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0004" w14:textId="77777777" w:rsidR="002C3CB0" w:rsidRPr="00645798" w:rsidRDefault="002C3CB0" w:rsidP="002C3CB0">
      <w:pPr>
        <w:jc w:val="center"/>
        <w:rPr>
          <w:rFonts w:ascii="Times New Roman" w:eastAsia="Times New Roman" w:hAnsi="Times New Roman" w:cs="Times New Roman"/>
          <w:bCs/>
          <w:color w:val="000000"/>
          <w:lang w:val="en-US" w:eastAsia="nl-NL"/>
        </w:rPr>
      </w:pPr>
      <w:r w:rsidRPr="00953650">
        <w:rPr>
          <w:rFonts w:ascii="Garamond" w:hAnsi="Garamond"/>
          <w:b/>
          <w:color w:val="000000"/>
          <w:shd w:val="clear" w:color="auto" w:fill="FFFFFF"/>
          <w:lang w:val="en-IE"/>
        </w:rPr>
        <w:t>RE-</w:t>
      </w:r>
      <w:r>
        <w:rPr>
          <w:rFonts w:ascii="Garamond" w:hAnsi="Garamond"/>
          <w:b/>
          <w:color w:val="000000"/>
          <w:shd w:val="clear" w:color="auto" w:fill="FFFFFF"/>
          <w:lang w:val="en-IE"/>
        </w:rPr>
        <w:t>THEORIZ</w:t>
      </w:r>
      <w:r w:rsidRPr="00953650">
        <w:rPr>
          <w:rFonts w:ascii="Garamond" w:hAnsi="Garamond"/>
          <w:b/>
          <w:color w:val="000000"/>
          <w:shd w:val="clear" w:color="auto" w:fill="FFFFFF"/>
          <w:lang w:val="en-IE"/>
        </w:rPr>
        <w:t>ING THE CONFIGURATION OF ORGANIZATIONAL FIELDS: THE IIRC AND THE PURSUIT OF 'ENLIGHTENED' CORPORATE REPORTING</w:t>
      </w:r>
    </w:p>
    <w:p w14:paraId="2FAA80B5" w14:textId="77777777" w:rsidR="002C3CB0" w:rsidRDefault="002C3CB0" w:rsidP="002C3CB0">
      <w:pPr>
        <w:rPr>
          <w:rFonts w:ascii="Times New Roman" w:eastAsia="Times New Roman" w:hAnsi="Times New Roman" w:cs="Times New Roman"/>
          <w:b/>
          <w:bCs/>
          <w:color w:val="000000"/>
          <w:sz w:val="24"/>
          <w:szCs w:val="24"/>
          <w:lang w:val="en-US" w:eastAsia="nl-NL"/>
        </w:rPr>
      </w:pPr>
    </w:p>
    <w:p w14:paraId="3B185EC5" w14:textId="77777777" w:rsidR="002C3CB0" w:rsidRDefault="002C3CB0" w:rsidP="002C3CB0">
      <w:pPr>
        <w:rPr>
          <w:rFonts w:ascii="Times New Roman" w:eastAsia="Times New Roman" w:hAnsi="Times New Roman" w:cs="Times New Roman"/>
          <w:b/>
          <w:bCs/>
          <w:color w:val="000000"/>
          <w:sz w:val="24"/>
          <w:szCs w:val="24"/>
          <w:lang w:val="en-US" w:eastAsia="nl-NL"/>
        </w:rPr>
      </w:pPr>
    </w:p>
    <w:p w14:paraId="30F87C31" w14:textId="77777777" w:rsidR="002C3CB0" w:rsidRPr="00AC78E7" w:rsidRDefault="002C3CB0" w:rsidP="002C3CB0">
      <w:pPr>
        <w:jc w:val="center"/>
        <w:rPr>
          <w:rFonts w:ascii="Times New Roman" w:eastAsia="Times New Roman" w:hAnsi="Times New Roman" w:cs="Times New Roman"/>
          <w:b/>
          <w:bCs/>
          <w:color w:val="000000" w:themeColor="text1"/>
          <w:lang w:val="en-US" w:eastAsia="nl-NL"/>
        </w:rPr>
      </w:pPr>
      <w:r w:rsidRPr="00AC78E7">
        <w:rPr>
          <w:rFonts w:ascii="Times New Roman" w:eastAsia="Times New Roman" w:hAnsi="Times New Roman" w:cs="Times New Roman"/>
          <w:b/>
          <w:bCs/>
          <w:color w:val="000000" w:themeColor="text1"/>
          <w:lang w:val="en-US" w:eastAsia="nl-NL"/>
        </w:rPr>
        <w:t>Chris</w:t>
      </w:r>
      <w:r>
        <w:rPr>
          <w:rFonts w:ascii="Times New Roman" w:eastAsia="Times New Roman" w:hAnsi="Times New Roman" w:cs="Times New Roman"/>
          <w:b/>
          <w:bCs/>
          <w:color w:val="000000" w:themeColor="text1"/>
          <w:lang w:val="en-US" w:eastAsia="nl-NL"/>
        </w:rPr>
        <w:t>topher</w:t>
      </w:r>
      <w:r w:rsidRPr="00AC78E7">
        <w:rPr>
          <w:rFonts w:ascii="Times New Roman" w:eastAsia="Times New Roman" w:hAnsi="Times New Roman" w:cs="Times New Roman"/>
          <w:b/>
          <w:bCs/>
          <w:color w:val="000000" w:themeColor="text1"/>
          <w:lang w:val="en-US" w:eastAsia="nl-NL"/>
        </w:rPr>
        <w:t xml:space="preserve"> Humphrey</w:t>
      </w:r>
    </w:p>
    <w:p w14:paraId="47C1285C" w14:textId="77777777" w:rsidR="002C3CB0" w:rsidRPr="00AC78E7" w:rsidRDefault="002C3CB0" w:rsidP="002C3CB0">
      <w:pPr>
        <w:spacing w:after="0" w:line="240" w:lineRule="auto"/>
        <w:jc w:val="center"/>
        <w:rPr>
          <w:rFonts w:ascii="Times New Roman" w:hAnsi="Times New Roman" w:cs="Times New Roman"/>
          <w:color w:val="000000" w:themeColor="text1"/>
          <w:lang w:val="en-US"/>
        </w:rPr>
      </w:pPr>
      <w:r w:rsidRPr="00AC78E7">
        <w:rPr>
          <w:rFonts w:ascii="Times New Roman" w:hAnsi="Times New Roman" w:cs="Times New Roman"/>
          <w:color w:val="000000" w:themeColor="text1"/>
          <w:lang w:val="en-US"/>
        </w:rPr>
        <w:t>Professor of Accounting</w:t>
      </w:r>
    </w:p>
    <w:p w14:paraId="583632FA" w14:textId="77777777" w:rsidR="002C3CB0" w:rsidRPr="00AC78E7" w:rsidRDefault="002C3CB0" w:rsidP="002C3CB0">
      <w:pPr>
        <w:spacing w:after="0" w:line="240" w:lineRule="auto"/>
        <w:jc w:val="center"/>
        <w:rPr>
          <w:rFonts w:ascii="Times New Roman" w:hAnsi="Times New Roman" w:cs="Times New Roman"/>
          <w:color w:val="000000" w:themeColor="text1"/>
          <w:lang w:val="en-US"/>
        </w:rPr>
      </w:pPr>
      <w:r w:rsidRPr="00AC78E7">
        <w:rPr>
          <w:rFonts w:ascii="Times New Roman" w:hAnsi="Times New Roman" w:cs="Times New Roman"/>
          <w:color w:val="000000" w:themeColor="text1"/>
          <w:lang w:val="en-US"/>
        </w:rPr>
        <w:t>Manchester Accounting and Finance Group (MAFG)</w:t>
      </w:r>
    </w:p>
    <w:p w14:paraId="324E8DB1" w14:textId="77777777" w:rsidR="002C3CB0" w:rsidRPr="00AC78E7" w:rsidRDefault="002C3CB0" w:rsidP="002C3CB0">
      <w:pPr>
        <w:spacing w:after="0" w:line="240" w:lineRule="auto"/>
        <w:jc w:val="center"/>
        <w:rPr>
          <w:rFonts w:ascii="Times New Roman" w:hAnsi="Times New Roman" w:cs="Times New Roman"/>
          <w:color w:val="000000" w:themeColor="text1"/>
          <w:lang w:val="en-US"/>
        </w:rPr>
      </w:pPr>
      <w:r w:rsidRPr="00AC78E7">
        <w:rPr>
          <w:rFonts w:ascii="Times New Roman" w:hAnsi="Times New Roman" w:cs="Times New Roman"/>
          <w:color w:val="000000" w:themeColor="text1"/>
          <w:lang w:val="en-US"/>
        </w:rPr>
        <w:t>Manchester Business School</w:t>
      </w:r>
    </w:p>
    <w:p w14:paraId="0A9E9639" w14:textId="77777777" w:rsidR="002C3CB0" w:rsidRPr="00AC78E7" w:rsidRDefault="002C3CB0" w:rsidP="002C3CB0">
      <w:pPr>
        <w:spacing w:after="0" w:line="240" w:lineRule="auto"/>
        <w:jc w:val="center"/>
        <w:rPr>
          <w:rFonts w:ascii="Times New Roman" w:hAnsi="Times New Roman" w:cs="Times New Roman"/>
          <w:color w:val="000000" w:themeColor="text1"/>
          <w:lang w:val="en-US"/>
        </w:rPr>
      </w:pPr>
      <w:r w:rsidRPr="00AC78E7">
        <w:rPr>
          <w:rFonts w:ascii="Times New Roman" w:hAnsi="Times New Roman" w:cs="Times New Roman"/>
          <w:color w:val="000000" w:themeColor="text1"/>
          <w:lang w:val="en-US"/>
        </w:rPr>
        <w:t>University of Manchester</w:t>
      </w:r>
    </w:p>
    <w:p w14:paraId="00F5B0CC" w14:textId="77777777" w:rsidR="002C3CB0" w:rsidRPr="00BA7E3A" w:rsidRDefault="002C3CB0" w:rsidP="002C3CB0">
      <w:pPr>
        <w:spacing w:after="0" w:line="240" w:lineRule="auto"/>
        <w:jc w:val="center"/>
        <w:rPr>
          <w:rFonts w:ascii="Times New Roman" w:hAnsi="Times New Roman" w:cs="Times New Roman"/>
          <w:color w:val="000000" w:themeColor="text1"/>
          <w:lang w:val="en-US"/>
        </w:rPr>
      </w:pPr>
      <w:r w:rsidRPr="00BA7E3A">
        <w:rPr>
          <w:rFonts w:ascii="Times New Roman" w:hAnsi="Times New Roman" w:cs="Times New Roman"/>
          <w:color w:val="000000" w:themeColor="text1"/>
          <w:lang w:val="en-US"/>
        </w:rPr>
        <w:t>England</w:t>
      </w:r>
    </w:p>
    <w:p w14:paraId="6C8C3C67"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r w:rsidRPr="00AC78E7">
        <w:rPr>
          <w:rFonts w:ascii="Times New Roman" w:eastAsia="Times New Roman" w:hAnsi="Times New Roman" w:cs="Times New Roman"/>
          <w:color w:val="000000" w:themeColor="text1"/>
          <w:lang w:val="en-US" w:eastAsia="nl-NL"/>
        </w:rPr>
        <w:t>Phone:</w:t>
      </w:r>
      <w:r>
        <w:rPr>
          <w:rFonts w:ascii="Times New Roman" w:eastAsia="Times New Roman" w:hAnsi="Times New Roman" w:cs="Times New Roman"/>
          <w:color w:val="000000" w:themeColor="text1"/>
          <w:lang w:val="en-US" w:eastAsia="nl-NL"/>
        </w:rPr>
        <w:t xml:space="preserve"> +44 (0)161 27</w:t>
      </w:r>
      <w:r w:rsidRPr="00390912">
        <w:rPr>
          <w:rFonts w:ascii="Times New Roman" w:eastAsia="Times New Roman" w:hAnsi="Times New Roman" w:cs="Times New Roman"/>
          <w:color w:val="000000" w:themeColor="text1"/>
          <w:lang w:val="en-US" w:eastAsia="nl-NL"/>
        </w:rPr>
        <w:t xml:space="preserve">5 </w:t>
      </w:r>
      <w:r>
        <w:rPr>
          <w:rFonts w:ascii="Times New Roman" w:eastAsia="Times New Roman" w:hAnsi="Times New Roman" w:cs="Times New Roman"/>
          <w:color w:val="000000" w:themeColor="text1"/>
          <w:lang w:val="en-US" w:eastAsia="nl-NL"/>
        </w:rPr>
        <w:t>4957</w:t>
      </w:r>
      <w:r w:rsidRPr="00AC78E7">
        <w:rPr>
          <w:rFonts w:ascii="Times New Roman" w:eastAsia="Times New Roman" w:hAnsi="Times New Roman" w:cs="Times New Roman"/>
          <w:color w:val="000000" w:themeColor="text1"/>
          <w:lang w:val="en-US" w:eastAsia="nl-NL"/>
        </w:rPr>
        <w:br/>
        <w:t xml:space="preserve">Email: </w:t>
      </w:r>
      <w:r w:rsidRPr="005003CC">
        <w:rPr>
          <w:rFonts w:ascii="Times New Roman" w:eastAsia="Times New Roman" w:hAnsi="Times New Roman" w:cs="Times New Roman"/>
          <w:color w:val="000000" w:themeColor="text1"/>
          <w:lang w:val="en-US" w:eastAsia="nl-NL"/>
        </w:rPr>
        <w:t>cgh1382004@yahoo.co.uk</w:t>
      </w:r>
    </w:p>
    <w:p w14:paraId="5AF62165"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p>
    <w:p w14:paraId="2F6C0D50" w14:textId="77777777" w:rsidR="002C3CB0" w:rsidRPr="00AC78E7" w:rsidRDefault="002C3CB0" w:rsidP="002C3CB0">
      <w:pPr>
        <w:rPr>
          <w:rFonts w:ascii="Times New Roman" w:eastAsia="Times New Roman" w:hAnsi="Times New Roman" w:cs="Times New Roman"/>
          <w:b/>
          <w:bCs/>
          <w:color w:val="000000" w:themeColor="text1"/>
          <w:lang w:val="en-US" w:eastAsia="nl-NL"/>
        </w:rPr>
      </w:pPr>
    </w:p>
    <w:p w14:paraId="5F4785EF" w14:textId="77777777" w:rsidR="002C3CB0" w:rsidRPr="00AC78E7" w:rsidRDefault="002C3CB0" w:rsidP="002C3CB0">
      <w:pPr>
        <w:spacing w:after="0" w:line="240" w:lineRule="auto"/>
        <w:jc w:val="center"/>
        <w:rPr>
          <w:rFonts w:ascii="Times New Roman" w:eastAsia="Times New Roman" w:hAnsi="Times New Roman" w:cs="Times New Roman"/>
          <w:b/>
          <w:color w:val="000000" w:themeColor="text1"/>
          <w:lang w:val="en-US" w:eastAsia="nl-NL"/>
        </w:rPr>
      </w:pPr>
      <w:r w:rsidRPr="00AC78E7">
        <w:rPr>
          <w:rFonts w:ascii="Times New Roman" w:eastAsia="Times New Roman" w:hAnsi="Times New Roman" w:cs="Times New Roman"/>
          <w:b/>
          <w:color w:val="000000" w:themeColor="text1"/>
          <w:lang w:val="en-US" w:eastAsia="nl-NL"/>
        </w:rPr>
        <w:t>Brendan O’Dwyer</w:t>
      </w:r>
      <w:r>
        <w:rPr>
          <w:rFonts w:ascii="Times New Roman" w:eastAsia="Times New Roman" w:hAnsi="Times New Roman" w:cs="Times New Roman"/>
          <w:b/>
          <w:color w:val="000000" w:themeColor="text1"/>
          <w:lang w:val="en-US" w:eastAsia="nl-NL"/>
        </w:rPr>
        <w:t xml:space="preserve"> ** </w:t>
      </w:r>
    </w:p>
    <w:p w14:paraId="55EA13CA" w14:textId="77777777" w:rsidR="002C3CB0" w:rsidRPr="00AC78E7" w:rsidRDefault="002C3CB0" w:rsidP="002C3CB0">
      <w:pPr>
        <w:spacing w:after="0" w:line="240" w:lineRule="auto"/>
        <w:jc w:val="center"/>
        <w:rPr>
          <w:rFonts w:ascii="Times New Roman" w:eastAsia="Times New Roman" w:hAnsi="Times New Roman" w:cs="Times New Roman"/>
          <w:b/>
          <w:color w:val="000000" w:themeColor="text1"/>
          <w:lang w:val="en-US" w:eastAsia="nl-NL"/>
        </w:rPr>
      </w:pPr>
    </w:p>
    <w:p w14:paraId="100610CA"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r w:rsidRPr="00390912">
        <w:rPr>
          <w:rFonts w:ascii="Times New Roman" w:eastAsia="Times New Roman" w:hAnsi="Times New Roman" w:cs="Times New Roman"/>
          <w:color w:val="000000" w:themeColor="text1"/>
          <w:lang w:val="en-US" w:eastAsia="nl-NL"/>
        </w:rPr>
        <w:t>Professor of Accounting </w:t>
      </w:r>
      <w:r w:rsidRPr="00390912">
        <w:rPr>
          <w:rFonts w:ascii="Times New Roman" w:eastAsia="Times New Roman" w:hAnsi="Times New Roman" w:cs="Times New Roman"/>
          <w:color w:val="000000" w:themeColor="text1"/>
          <w:lang w:val="en-US" w:eastAsia="nl-NL"/>
        </w:rPr>
        <w:br/>
      </w:r>
      <w:r w:rsidRPr="00AC78E7">
        <w:rPr>
          <w:rFonts w:ascii="Times New Roman" w:eastAsia="Times New Roman" w:hAnsi="Times New Roman" w:cs="Times New Roman"/>
          <w:color w:val="000000" w:themeColor="text1"/>
          <w:lang w:val="en-US" w:eastAsia="nl-NL"/>
        </w:rPr>
        <w:t xml:space="preserve">University of </w:t>
      </w:r>
      <w:r w:rsidRPr="00390912">
        <w:rPr>
          <w:rFonts w:ascii="Times New Roman" w:eastAsia="Times New Roman" w:hAnsi="Times New Roman" w:cs="Times New Roman"/>
          <w:color w:val="000000" w:themeColor="text1"/>
          <w:lang w:val="en-US" w:eastAsia="nl-NL"/>
        </w:rPr>
        <w:t>Amsterdam Business S</w:t>
      </w:r>
      <w:r w:rsidRPr="00AC78E7">
        <w:rPr>
          <w:rFonts w:ascii="Times New Roman" w:eastAsia="Times New Roman" w:hAnsi="Times New Roman" w:cs="Times New Roman"/>
          <w:color w:val="000000" w:themeColor="text1"/>
          <w:lang w:val="en-US" w:eastAsia="nl-NL"/>
        </w:rPr>
        <w:t>chool</w:t>
      </w:r>
    </w:p>
    <w:p w14:paraId="53BED825"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r w:rsidRPr="00AC78E7">
        <w:rPr>
          <w:rFonts w:ascii="Times New Roman" w:eastAsia="Times New Roman" w:hAnsi="Times New Roman" w:cs="Times New Roman"/>
          <w:color w:val="000000" w:themeColor="text1"/>
          <w:lang w:val="en-US" w:eastAsia="nl-NL"/>
        </w:rPr>
        <w:t>The Netherlands</w:t>
      </w:r>
      <w:r w:rsidRPr="00AC78E7">
        <w:rPr>
          <w:rFonts w:ascii="Times New Roman" w:eastAsia="Times New Roman" w:hAnsi="Times New Roman" w:cs="Times New Roman"/>
          <w:color w:val="000000" w:themeColor="text1"/>
          <w:lang w:val="en-US" w:eastAsia="nl-NL"/>
        </w:rPr>
        <w:br/>
        <w:t>Phone:</w:t>
      </w:r>
      <w:r w:rsidRPr="00390912">
        <w:rPr>
          <w:rFonts w:ascii="Times New Roman" w:eastAsia="Times New Roman" w:hAnsi="Times New Roman" w:cs="Times New Roman"/>
          <w:color w:val="000000" w:themeColor="text1"/>
          <w:lang w:val="en-US" w:eastAsia="nl-NL"/>
        </w:rPr>
        <w:t xml:space="preserve"> +31 (0)20 525 </w:t>
      </w:r>
      <w:r w:rsidRPr="00AC78E7">
        <w:rPr>
          <w:rFonts w:ascii="Times New Roman" w:eastAsia="Times New Roman" w:hAnsi="Times New Roman" w:cs="Times New Roman"/>
          <w:color w:val="000000" w:themeColor="text1"/>
          <w:lang w:val="en-US" w:eastAsia="nl-NL"/>
        </w:rPr>
        <w:t>4260</w:t>
      </w:r>
      <w:r w:rsidRPr="00AC78E7">
        <w:rPr>
          <w:rFonts w:ascii="Times New Roman" w:eastAsia="Times New Roman" w:hAnsi="Times New Roman" w:cs="Times New Roman"/>
          <w:color w:val="000000" w:themeColor="text1"/>
          <w:lang w:val="en-US" w:eastAsia="nl-NL"/>
        </w:rPr>
        <w:br/>
        <w:t xml:space="preserve">Email: </w:t>
      </w:r>
      <w:hyperlink r:id="rId9" w:history="1">
        <w:r w:rsidRPr="00AC78E7">
          <w:rPr>
            <w:rStyle w:val="Hyperlink"/>
            <w:rFonts w:ascii="Times New Roman" w:eastAsia="Times New Roman" w:hAnsi="Times New Roman" w:cs="Times New Roman"/>
            <w:color w:val="000000" w:themeColor="text1"/>
            <w:lang w:val="en-US" w:eastAsia="nl-NL"/>
          </w:rPr>
          <w:t>b.g.d.odwyer@uva.nl</w:t>
        </w:r>
      </w:hyperlink>
      <w:r w:rsidRPr="00AC78E7">
        <w:rPr>
          <w:rFonts w:ascii="Times New Roman" w:eastAsia="Times New Roman" w:hAnsi="Times New Roman" w:cs="Times New Roman"/>
          <w:color w:val="000000" w:themeColor="text1"/>
          <w:lang w:val="en-US" w:eastAsia="nl-NL"/>
        </w:rPr>
        <w:t xml:space="preserve"> </w:t>
      </w:r>
    </w:p>
    <w:p w14:paraId="5B76D736"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p>
    <w:p w14:paraId="792B0F4D"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p>
    <w:p w14:paraId="03F6F144" w14:textId="77777777" w:rsidR="002C3CB0" w:rsidRPr="00AC78E7" w:rsidRDefault="002C3CB0" w:rsidP="002C3CB0">
      <w:pPr>
        <w:spacing w:after="0" w:line="240" w:lineRule="auto"/>
        <w:jc w:val="center"/>
        <w:rPr>
          <w:rFonts w:ascii="Times New Roman" w:eastAsia="Times New Roman" w:hAnsi="Times New Roman" w:cs="Times New Roman"/>
          <w:b/>
          <w:color w:val="000000" w:themeColor="text1"/>
          <w:lang w:val="en-US" w:eastAsia="nl-NL"/>
        </w:rPr>
      </w:pPr>
      <w:r w:rsidRPr="00AC78E7">
        <w:rPr>
          <w:rFonts w:ascii="Times New Roman" w:eastAsia="Times New Roman" w:hAnsi="Times New Roman" w:cs="Times New Roman"/>
          <w:b/>
          <w:color w:val="000000" w:themeColor="text1"/>
          <w:lang w:val="en-US" w:eastAsia="nl-NL"/>
        </w:rPr>
        <w:t xml:space="preserve">Jeffrey </w:t>
      </w:r>
      <w:proofErr w:type="spellStart"/>
      <w:r w:rsidRPr="00AC78E7">
        <w:rPr>
          <w:rFonts w:ascii="Times New Roman" w:eastAsia="Times New Roman" w:hAnsi="Times New Roman" w:cs="Times New Roman"/>
          <w:b/>
          <w:color w:val="000000" w:themeColor="text1"/>
          <w:lang w:val="en-US" w:eastAsia="nl-NL"/>
        </w:rPr>
        <w:t>Unerman</w:t>
      </w:r>
      <w:proofErr w:type="spellEnd"/>
    </w:p>
    <w:p w14:paraId="33926D95" w14:textId="77777777" w:rsidR="002C3CB0" w:rsidRPr="00AC78E7" w:rsidRDefault="002C3CB0" w:rsidP="002C3CB0">
      <w:pPr>
        <w:spacing w:after="0" w:line="240" w:lineRule="auto"/>
        <w:jc w:val="center"/>
        <w:rPr>
          <w:rFonts w:ascii="Times New Roman" w:eastAsia="Times New Roman" w:hAnsi="Times New Roman" w:cs="Times New Roman"/>
          <w:b/>
          <w:color w:val="000000" w:themeColor="text1"/>
          <w:lang w:val="en-US" w:eastAsia="nl-NL"/>
        </w:rPr>
      </w:pPr>
    </w:p>
    <w:p w14:paraId="1382C998"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r w:rsidRPr="00AC78E7">
        <w:rPr>
          <w:rFonts w:ascii="Times New Roman" w:eastAsia="Times New Roman" w:hAnsi="Times New Roman" w:cs="Times New Roman"/>
          <w:color w:val="000000" w:themeColor="text1"/>
          <w:lang w:val="en-US" w:eastAsia="nl-NL"/>
        </w:rPr>
        <w:t>Professor of Accounting and Accountability</w:t>
      </w:r>
    </w:p>
    <w:p w14:paraId="1B7C853E"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r w:rsidRPr="00AC78E7">
        <w:rPr>
          <w:rFonts w:ascii="Times New Roman" w:eastAsia="Times New Roman" w:hAnsi="Times New Roman" w:cs="Times New Roman"/>
          <w:color w:val="000000" w:themeColor="text1"/>
          <w:lang w:val="en-US" w:eastAsia="nl-NL"/>
        </w:rPr>
        <w:t>School of Management</w:t>
      </w:r>
    </w:p>
    <w:p w14:paraId="131057C5"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r w:rsidRPr="00AC78E7">
        <w:rPr>
          <w:rFonts w:ascii="Times New Roman" w:eastAsia="Times New Roman" w:hAnsi="Times New Roman" w:cs="Times New Roman"/>
          <w:color w:val="000000" w:themeColor="text1"/>
          <w:lang w:val="en-US" w:eastAsia="nl-NL"/>
        </w:rPr>
        <w:t>Royal Holloway, University of London</w:t>
      </w:r>
    </w:p>
    <w:p w14:paraId="7503D58A"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r w:rsidRPr="00AC78E7">
        <w:rPr>
          <w:rFonts w:ascii="Times New Roman" w:eastAsia="Times New Roman" w:hAnsi="Times New Roman" w:cs="Times New Roman"/>
          <w:color w:val="000000" w:themeColor="text1"/>
          <w:lang w:val="en-US" w:eastAsia="nl-NL"/>
        </w:rPr>
        <w:t>England</w:t>
      </w:r>
    </w:p>
    <w:p w14:paraId="2F23F915" w14:textId="77777777" w:rsidR="002C3CB0" w:rsidRDefault="002C3CB0" w:rsidP="002C3CB0">
      <w:pPr>
        <w:spacing w:after="0" w:line="240" w:lineRule="auto"/>
        <w:jc w:val="center"/>
        <w:rPr>
          <w:rFonts w:ascii="Times New Roman" w:hAnsi="Times New Roman" w:cs="Times New Roman"/>
          <w:color w:val="000000" w:themeColor="text1"/>
          <w:lang w:val="en"/>
        </w:rPr>
      </w:pPr>
      <w:r w:rsidRPr="00AC78E7">
        <w:rPr>
          <w:rFonts w:ascii="Times New Roman" w:eastAsia="Times New Roman" w:hAnsi="Times New Roman" w:cs="Times New Roman"/>
          <w:color w:val="000000" w:themeColor="text1"/>
          <w:lang w:val="en-US" w:eastAsia="nl-NL"/>
        </w:rPr>
        <w:t>Phone: +</w:t>
      </w:r>
      <w:r w:rsidRPr="00AC78E7">
        <w:rPr>
          <w:rFonts w:ascii="Times New Roman" w:hAnsi="Times New Roman" w:cs="Times New Roman"/>
          <w:color w:val="000000" w:themeColor="text1"/>
          <w:lang w:val="en"/>
        </w:rPr>
        <w:t xml:space="preserve">44 </w:t>
      </w:r>
      <w:r>
        <w:rPr>
          <w:rFonts w:ascii="Times New Roman" w:hAnsi="Times New Roman" w:cs="Times New Roman"/>
          <w:color w:val="000000" w:themeColor="text1"/>
          <w:lang w:val="en"/>
        </w:rPr>
        <w:t>(0)</w:t>
      </w:r>
      <w:r w:rsidRPr="00AC78E7">
        <w:rPr>
          <w:rFonts w:ascii="Times New Roman" w:hAnsi="Times New Roman" w:cs="Times New Roman"/>
          <w:color w:val="000000" w:themeColor="text1"/>
          <w:lang w:val="en"/>
        </w:rPr>
        <w:t>1784 276606</w:t>
      </w:r>
    </w:p>
    <w:p w14:paraId="12176E7A"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r w:rsidRPr="00AC78E7">
        <w:rPr>
          <w:rFonts w:ascii="Times New Roman" w:eastAsia="Times New Roman" w:hAnsi="Times New Roman" w:cs="Times New Roman"/>
          <w:color w:val="000000" w:themeColor="text1"/>
          <w:lang w:val="en-US" w:eastAsia="nl-NL"/>
        </w:rPr>
        <w:t xml:space="preserve">Email: </w:t>
      </w:r>
      <w:hyperlink r:id="rId10" w:history="1">
        <w:r w:rsidRPr="00AC78E7">
          <w:rPr>
            <w:rStyle w:val="Hyperlink"/>
            <w:rFonts w:ascii="Times New Roman" w:eastAsia="Times New Roman" w:hAnsi="Times New Roman" w:cs="Times New Roman"/>
            <w:color w:val="000000" w:themeColor="text1"/>
            <w:lang w:val="en-US" w:eastAsia="nl-NL"/>
          </w:rPr>
          <w:t>Jeffrey.unerman@rhul.ac.uk</w:t>
        </w:r>
      </w:hyperlink>
    </w:p>
    <w:p w14:paraId="27F5FB9D" w14:textId="77777777" w:rsidR="002C3CB0" w:rsidRPr="00AC78E7" w:rsidRDefault="002C3CB0" w:rsidP="002C3CB0">
      <w:pPr>
        <w:spacing w:after="0" w:line="240" w:lineRule="auto"/>
        <w:jc w:val="center"/>
        <w:rPr>
          <w:rFonts w:ascii="Times New Roman" w:eastAsia="Times New Roman" w:hAnsi="Times New Roman" w:cs="Times New Roman"/>
          <w:color w:val="000000" w:themeColor="text1"/>
          <w:lang w:val="en-US" w:eastAsia="nl-NL"/>
        </w:rPr>
      </w:pPr>
    </w:p>
    <w:p w14:paraId="22C27FD7" w14:textId="77777777" w:rsidR="002C3CB0" w:rsidRPr="00AC78E7" w:rsidRDefault="002C3CB0" w:rsidP="002C3CB0">
      <w:pPr>
        <w:spacing w:after="0" w:line="240" w:lineRule="auto"/>
        <w:jc w:val="center"/>
        <w:rPr>
          <w:rFonts w:ascii="Cambria" w:eastAsia="Times New Roman" w:hAnsi="Cambria" w:cs="Times New Roman"/>
          <w:color w:val="000000"/>
          <w:lang w:val="en-US" w:eastAsia="nl-NL"/>
        </w:rPr>
      </w:pPr>
    </w:p>
    <w:p w14:paraId="1AAF31BA" w14:textId="77777777" w:rsidR="002C3CB0" w:rsidRPr="00AC78E7" w:rsidRDefault="002C3CB0" w:rsidP="002C3CB0">
      <w:pPr>
        <w:spacing w:after="120" w:line="240" w:lineRule="auto"/>
        <w:jc w:val="center"/>
        <w:rPr>
          <w:rFonts w:ascii="Times New Roman" w:hAnsi="Times New Roman" w:cs="Times New Roman"/>
          <w:color w:val="000000"/>
          <w:lang w:val="en-US"/>
        </w:rPr>
      </w:pPr>
    </w:p>
    <w:p w14:paraId="4E135F25" w14:textId="77777777" w:rsidR="002C3CB0" w:rsidRPr="00390912" w:rsidRDefault="002C3CB0" w:rsidP="002C3CB0">
      <w:pPr>
        <w:spacing w:after="0" w:line="240" w:lineRule="auto"/>
        <w:jc w:val="center"/>
        <w:rPr>
          <w:rFonts w:ascii="Cambria" w:eastAsia="Times New Roman" w:hAnsi="Cambria" w:cs="Times New Roman"/>
          <w:color w:val="000000"/>
          <w:lang w:val="en-US" w:eastAsia="nl-NL"/>
        </w:rPr>
      </w:pPr>
      <w:r w:rsidRPr="00AC78E7">
        <w:rPr>
          <w:rFonts w:ascii="Corbel" w:hAnsi="Corbel"/>
          <w:color w:val="000000"/>
          <w:lang w:val="en-US"/>
        </w:rPr>
        <w:br/>
      </w:r>
    </w:p>
    <w:p w14:paraId="5835FF95" w14:textId="77777777" w:rsidR="002C3CB0" w:rsidRPr="00AC78E7" w:rsidRDefault="002C3CB0" w:rsidP="002C3CB0">
      <w:pPr>
        <w:rPr>
          <w:rFonts w:ascii="Times New Roman" w:eastAsia="Times New Roman" w:hAnsi="Times New Roman" w:cs="Times New Roman"/>
          <w:b/>
          <w:bCs/>
          <w:color w:val="000000"/>
          <w:lang w:val="en-US" w:eastAsia="nl-NL"/>
        </w:rPr>
      </w:pPr>
    </w:p>
    <w:p w14:paraId="2A9ADB9C" w14:textId="77777777" w:rsidR="002C3CB0" w:rsidRDefault="002C3CB0" w:rsidP="002C3CB0">
      <w:pPr>
        <w:jc w:val="center"/>
        <w:rPr>
          <w:rFonts w:ascii="Corbel" w:hAnsi="Corbel"/>
          <w:color w:val="000000"/>
          <w:sz w:val="18"/>
          <w:szCs w:val="18"/>
          <w:lang w:val="en-US"/>
        </w:rPr>
      </w:pPr>
    </w:p>
    <w:p w14:paraId="11E7B968" w14:textId="77777777" w:rsidR="002C3CB0" w:rsidRPr="005340EA" w:rsidRDefault="002C3CB0" w:rsidP="002C3CB0">
      <w:pPr>
        <w:rPr>
          <w:rFonts w:ascii="Times New Roman" w:hAnsi="Times New Roman" w:cs="Times New Roman"/>
          <w:color w:val="000000"/>
          <w:lang w:val="en-US"/>
        </w:rPr>
      </w:pPr>
      <w:r w:rsidRPr="005340EA">
        <w:rPr>
          <w:rFonts w:ascii="Times New Roman" w:hAnsi="Times New Roman" w:cs="Times New Roman"/>
          <w:b/>
          <w:color w:val="000000"/>
          <w:lang w:val="en-US"/>
        </w:rPr>
        <w:t>**</w:t>
      </w:r>
      <w:r w:rsidRPr="005340EA">
        <w:rPr>
          <w:rFonts w:ascii="Times New Roman" w:hAnsi="Times New Roman" w:cs="Times New Roman"/>
          <w:color w:val="000000"/>
          <w:lang w:val="en-US"/>
        </w:rPr>
        <w:t xml:space="preserve"> Corresponding author</w:t>
      </w:r>
    </w:p>
    <w:p w14:paraId="01C07412" w14:textId="77777777" w:rsidR="002C3CB0" w:rsidRPr="00390912" w:rsidRDefault="002C3CB0" w:rsidP="002C3CB0">
      <w:pPr>
        <w:jc w:val="center"/>
        <w:rPr>
          <w:rFonts w:ascii="Times New Roman" w:eastAsia="Times New Roman" w:hAnsi="Times New Roman" w:cs="Times New Roman"/>
          <w:b/>
          <w:bCs/>
          <w:color w:val="000000"/>
          <w:sz w:val="24"/>
          <w:szCs w:val="24"/>
          <w:lang w:val="en-US" w:eastAsia="nl-NL"/>
        </w:rPr>
      </w:pPr>
    </w:p>
    <w:p w14:paraId="4F318D3C" w14:textId="77777777" w:rsidR="002C3CB0" w:rsidRDefault="002C3CB0" w:rsidP="002C3CB0">
      <w:pPr>
        <w:rPr>
          <w:rFonts w:ascii="Times New Roman" w:eastAsia="Times New Roman" w:hAnsi="Times New Roman" w:cs="Times New Roman"/>
          <w:b/>
          <w:bCs/>
          <w:color w:val="000000"/>
          <w:sz w:val="24"/>
          <w:szCs w:val="24"/>
          <w:lang w:val="en-US" w:eastAsia="nl-NL"/>
        </w:rPr>
      </w:pPr>
      <w:r>
        <w:rPr>
          <w:rFonts w:ascii="Times New Roman" w:eastAsia="Times New Roman" w:hAnsi="Times New Roman" w:cs="Times New Roman"/>
          <w:b/>
          <w:bCs/>
          <w:color w:val="000000"/>
          <w:sz w:val="24"/>
          <w:szCs w:val="24"/>
          <w:lang w:val="en-US" w:eastAsia="nl-NL"/>
        </w:rPr>
        <w:t>Acknowledgment:</w:t>
      </w:r>
    </w:p>
    <w:p w14:paraId="3B042791" w14:textId="77777777" w:rsidR="002C3CB0" w:rsidRPr="00B9747B" w:rsidRDefault="002C3CB0" w:rsidP="002C3CB0">
      <w:pPr>
        <w:rPr>
          <w:rFonts w:ascii="Times New Roman" w:eastAsia="Times New Roman" w:hAnsi="Times New Roman" w:cs="Times New Roman"/>
          <w:bCs/>
          <w:color w:val="000000"/>
          <w:lang w:val="en-US" w:eastAsia="nl-NL"/>
        </w:rPr>
      </w:pPr>
      <w:r w:rsidRPr="008502E0">
        <w:rPr>
          <w:rFonts w:ascii="Times New Roman" w:eastAsia="Times New Roman" w:hAnsi="Times New Roman" w:cs="Times New Roman"/>
          <w:bCs/>
          <w:color w:val="000000"/>
          <w:lang w:val="en-US" w:eastAsia="nl-NL"/>
        </w:rPr>
        <w:t>The authors would like to gratefully acknowledge the excellent research assistance of Kosta</w:t>
      </w:r>
      <w:r>
        <w:rPr>
          <w:rFonts w:ascii="Times New Roman" w:eastAsia="Times New Roman" w:hAnsi="Times New Roman" w:cs="Times New Roman"/>
          <w:bCs/>
          <w:color w:val="000000"/>
          <w:lang w:val="en-US" w:eastAsia="nl-NL"/>
        </w:rPr>
        <w:t>s</w:t>
      </w:r>
      <w:r w:rsidRPr="008502E0">
        <w:rPr>
          <w:rFonts w:ascii="Times New Roman" w:eastAsia="Times New Roman" w:hAnsi="Times New Roman" w:cs="Times New Roman"/>
          <w:bCs/>
          <w:color w:val="000000"/>
          <w:lang w:val="en-US" w:eastAsia="nl-NL"/>
        </w:rPr>
        <w:t xml:space="preserve"> </w:t>
      </w:r>
      <w:proofErr w:type="spellStart"/>
      <w:r w:rsidRPr="008502E0">
        <w:rPr>
          <w:rFonts w:ascii="Times New Roman" w:eastAsia="Times New Roman" w:hAnsi="Times New Roman" w:cs="Times New Roman"/>
          <w:bCs/>
          <w:color w:val="000000"/>
          <w:lang w:val="en-US" w:eastAsia="nl-NL"/>
        </w:rPr>
        <w:t>K</w:t>
      </w:r>
      <w:r>
        <w:rPr>
          <w:rFonts w:ascii="Times New Roman" w:eastAsia="Times New Roman" w:hAnsi="Times New Roman" w:cs="Times New Roman"/>
          <w:bCs/>
          <w:color w:val="000000"/>
          <w:lang w:val="en-US" w:eastAsia="nl-NL"/>
        </w:rPr>
        <w:t>iki</w:t>
      </w:r>
      <w:r w:rsidRPr="008502E0">
        <w:rPr>
          <w:rFonts w:ascii="Times New Roman" w:eastAsia="Times New Roman" w:hAnsi="Times New Roman" w:cs="Times New Roman"/>
          <w:bCs/>
          <w:color w:val="000000"/>
          <w:lang w:val="en-US" w:eastAsia="nl-NL"/>
        </w:rPr>
        <w:t>s</w:t>
      </w:r>
      <w:proofErr w:type="spellEnd"/>
      <w:r w:rsidRPr="008502E0">
        <w:rPr>
          <w:rFonts w:ascii="Times New Roman" w:eastAsia="Times New Roman" w:hAnsi="Times New Roman" w:cs="Times New Roman"/>
          <w:bCs/>
          <w:color w:val="000000"/>
          <w:lang w:val="en-US" w:eastAsia="nl-NL"/>
        </w:rPr>
        <w:t>.</w:t>
      </w:r>
    </w:p>
    <w:p w14:paraId="6C0BCAC8" w14:textId="2177AC36" w:rsidR="004548DD" w:rsidRPr="00645798" w:rsidRDefault="009F2F25" w:rsidP="00CC0A3C">
      <w:pPr>
        <w:jc w:val="center"/>
        <w:rPr>
          <w:rFonts w:ascii="Times New Roman" w:eastAsia="Times New Roman" w:hAnsi="Times New Roman" w:cs="Times New Roman"/>
          <w:bCs/>
          <w:color w:val="000000"/>
          <w:lang w:val="en-US" w:eastAsia="nl-NL"/>
        </w:rPr>
      </w:pPr>
      <w:bookmarkStart w:id="0" w:name="_GoBack"/>
      <w:bookmarkEnd w:id="0"/>
      <w:r w:rsidRPr="00953650">
        <w:rPr>
          <w:rFonts w:ascii="Garamond" w:hAnsi="Garamond"/>
          <w:b/>
          <w:color w:val="000000"/>
          <w:shd w:val="clear" w:color="auto" w:fill="FFFFFF"/>
          <w:lang w:val="en-IE"/>
        </w:rPr>
        <w:lastRenderedPageBreak/>
        <w:t>RE</w:t>
      </w:r>
      <w:r w:rsidR="008A2A2C" w:rsidRPr="00953650">
        <w:rPr>
          <w:rFonts w:ascii="Garamond" w:hAnsi="Garamond"/>
          <w:b/>
          <w:color w:val="000000"/>
          <w:shd w:val="clear" w:color="auto" w:fill="FFFFFF"/>
          <w:lang w:val="en-IE"/>
        </w:rPr>
        <w:t>-</w:t>
      </w:r>
      <w:r w:rsidR="00446B14">
        <w:rPr>
          <w:rFonts w:ascii="Garamond" w:hAnsi="Garamond"/>
          <w:b/>
          <w:color w:val="000000"/>
          <w:shd w:val="clear" w:color="auto" w:fill="FFFFFF"/>
          <w:lang w:val="en-IE"/>
        </w:rPr>
        <w:t>THEORIZ</w:t>
      </w:r>
      <w:r w:rsidRPr="00953650">
        <w:rPr>
          <w:rFonts w:ascii="Garamond" w:hAnsi="Garamond"/>
          <w:b/>
          <w:color w:val="000000"/>
          <w:shd w:val="clear" w:color="auto" w:fill="FFFFFF"/>
          <w:lang w:val="en-IE"/>
        </w:rPr>
        <w:t>ING THE CONFIGURATION OF ORGANIZATIONAL FIELDS: THE IIRC AND THE PURSUIT OF 'ENLIGHTENED' CORPORATE REPORTING</w:t>
      </w:r>
    </w:p>
    <w:p w14:paraId="1B6F5D2F" w14:textId="77777777" w:rsidR="004548DD" w:rsidRDefault="004548DD" w:rsidP="00645798">
      <w:pPr>
        <w:jc w:val="center"/>
        <w:rPr>
          <w:rFonts w:ascii="Times New Roman" w:eastAsia="Times New Roman" w:hAnsi="Times New Roman" w:cs="Times New Roman"/>
          <w:b/>
          <w:bCs/>
          <w:color w:val="000000"/>
          <w:sz w:val="24"/>
          <w:szCs w:val="24"/>
          <w:lang w:val="en-US" w:eastAsia="nl-NL"/>
        </w:rPr>
      </w:pPr>
    </w:p>
    <w:p w14:paraId="6F591727" w14:textId="3B36C9EC" w:rsidR="00B83800" w:rsidRDefault="004158E0" w:rsidP="00645798">
      <w:pPr>
        <w:jc w:val="center"/>
        <w:rPr>
          <w:rFonts w:ascii="Times New Roman" w:eastAsia="Times New Roman" w:hAnsi="Times New Roman" w:cs="Times New Roman"/>
          <w:b/>
          <w:bCs/>
          <w:color w:val="000000"/>
          <w:sz w:val="24"/>
          <w:szCs w:val="24"/>
          <w:lang w:val="en-US" w:eastAsia="nl-NL"/>
        </w:rPr>
      </w:pPr>
      <w:r>
        <w:rPr>
          <w:rFonts w:ascii="Times New Roman" w:eastAsia="Times New Roman" w:hAnsi="Times New Roman" w:cs="Times New Roman"/>
          <w:b/>
          <w:bCs/>
          <w:color w:val="000000"/>
          <w:sz w:val="24"/>
          <w:szCs w:val="24"/>
          <w:lang w:val="en-US" w:eastAsia="nl-NL"/>
        </w:rPr>
        <w:t>ABSTRACT</w:t>
      </w:r>
    </w:p>
    <w:p w14:paraId="4AF01231" w14:textId="77777777" w:rsidR="004158E0" w:rsidRDefault="004158E0" w:rsidP="00645798">
      <w:pPr>
        <w:jc w:val="center"/>
        <w:rPr>
          <w:rFonts w:ascii="Times New Roman" w:eastAsia="Times New Roman" w:hAnsi="Times New Roman" w:cs="Times New Roman"/>
          <w:b/>
          <w:bCs/>
          <w:color w:val="000000"/>
          <w:sz w:val="24"/>
          <w:szCs w:val="24"/>
          <w:lang w:val="en-US" w:eastAsia="nl-NL"/>
        </w:rPr>
      </w:pPr>
    </w:p>
    <w:p w14:paraId="1695F036" w14:textId="2F55D59B" w:rsidR="002E5149" w:rsidRPr="00953650" w:rsidRDefault="002E5149" w:rsidP="002E5149">
      <w:pPr>
        <w:jc w:val="both"/>
        <w:rPr>
          <w:rFonts w:ascii="Times New Roman" w:hAnsi="Times New Roman" w:cs="Times New Roman"/>
          <w:color w:val="000000"/>
          <w:lang w:val="en-US"/>
        </w:rPr>
      </w:pPr>
      <w:r>
        <w:rPr>
          <w:rFonts w:ascii="Times New Roman" w:hAnsi="Times New Roman" w:cs="Times New Roman"/>
          <w:color w:val="000000"/>
          <w:lang w:val="en-US"/>
        </w:rPr>
        <w:t xml:space="preserve">This paper </w:t>
      </w:r>
      <w:r w:rsidRPr="003961FF">
        <w:rPr>
          <w:rFonts w:ascii="Times New Roman" w:hAnsi="Times New Roman" w:cs="Times New Roman"/>
          <w:color w:val="000000"/>
          <w:lang w:val="en-US"/>
        </w:rPr>
        <w:t xml:space="preserve">studies the </w:t>
      </w:r>
      <w:r>
        <w:rPr>
          <w:rFonts w:ascii="Times New Roman" w:hAnsi="Times New Roman" w:cs="Times New Roman"/>
          <w:color w:val="000000"/>
          <w:lang w:val="en-US"/>
        </w:rPr>
        <w:t xml:space="preserve">emergence of </w:t>
      </w:r>
      <w:r w:rsidRPr="003961FF">
        <w:rPr>
          <w:rFonts w:ascii="Times New Roman" w:hAnsi="Times New Roman" w:cs="Times New Roman"/>
          <w:color w:val="000000"/>
          <w:lang w:val="en-US"/>
        </w:rPr>
        <w:t>the International Integrated Reporting Council (IIRC)</w:t>
      </w:r>
      <w:r>
        <w:rPr>
          <w:rFonts w:ascii="Times New Roman" w:hAnsi="Times New Roman" w:cs="Times New Roman"/>
          <w:color w:val="000000"/>
          <w:lang w:val="en-US"/>
        </w:rPr>
        <w:t xml:space="preserve"> and its attempts </w:t>
      </w:r>
      <w:r w:rsidRPr="003961FF">
        <w:rPr>
          <w:rFonts w:ascii="Times New Roman" w:hAnsi="Times New Roman" w:cs="Times New Roman"/>
          <w:color w:val="000000"/>
          <w:lang w:val="en-US"/>
        </w:rPr>
        <w:t xml:space="preserve">to institutionalize </w:t>
      </w:r>
      <w:r>
        <w:rPr>
          <w:rFonts w:ascii="Times New Roman" w:hAnsi="Times New Roman" w:cs="Times New Roman"/>
          <w:color w:val="000000"/>
          <w:lang w:val="en-US"/>
        </w:rPr>
        <w:t>integrated</w:t>
      </w:r>
      <w:r w:rsidRPr="003961FF">
        <w:rPr>
          <w:rFonts w:ascii="Times New Roman" w:hAnsi="Times New Roman" w:cs="Times New Roman"/>
          <w:color w:val="000000"/>
          <w:lang w:val="en-US"/>
        </w:rPr>
        <w:t xml:space="preserve"> </w:t>
      </w:r>
      <w:r w:rsidRPr="003B4195">
        <w:rPr>
          <w:rFonts w:ascii="Times New Roman" w:hAnsi="Times New Roman" w:cs="Times New Roman"/>
          <w:color w:val="000000"/>
          <w:lang w:val="en-US"/>
        </w:rPr>
        <w:t xml:space="preserve">reporting as </w:t>
      </w:r>
      <w:r>
        <w:rPr>
          <w:rFonts w:ascii="Times New Roman" w:hAnsi="Times New Roman" w:cs="Times New Roman"/>
          <w:color w:val="000000"/>
          <w:lang w:val="en-US"/>
        </w:rPr>
        <w:t xml:space="preserve">a practice that is </w:t>
      </w:r>
      <w:r w:rsidRPr="003B4195">
        <w:rPr>
          <w:rFonts w:ascii="Times New Roman" w:hAnsi="Times New Roman" w:cs="Times New Roman"/>
          <w:color w:val="000000"/>
          <w:lang w:val="en-US"/>
        </w:rPr>
        <w:t xml:space="preserve">critical </w:t>
      </w:r>
      <w:r w:rsidR="00DE4794">
        <w:rPr>
          <w:rFonts w:ascii="Times New Roman" w:hAnsi="Times New Roman" w:cs="Times New Roman"/>
          <w:color w:val="000000"/>
          <w:lang w:val="en-US"/>
        </w:rPr>
        <w:t xml:space="preserve">to the </w:t>
      </w:r>
      <w:r w:rsidRPr="003B4195">
        <w:rPr>
          <w:rFonts w:ascii="Times New Roman" w:hAnsi="Times New Roman" w:cs="Times New Roman"/>
          <w:color w:val="000000"/>
          <w:lang w:val="en-US"/>
        </w:rPr>
        <w:t>relevance and value of corporate reporting</w:t>
      </w:r>
      <w:r w:rsidR="00DE4794">
        <w:rPr>
          <w:rFonts w:ascii="Times New Roman" w:hAnsi="Times New Roman" w:cs="Times New Roman"/>
          <w:color w:val="000000"/>
          <w:lang w:val="en-US"/>
        </w:rPr>
        <w:t xml:space="preserve">. </w:t>
      </w:r>
      <w:r>
        <w:rPr>
          <w:rFonts w:ascii="Times New Roman" w:hAnsi="Times New Roman" w:cs="Times New Roman"/>
          <w:color w:val="000000"/>
          <w:lang w:val="en-US"/>
        </w:rPr>
        <w:t xml:space="preserve">Informed by </w:t>
      </w:r>
      <w:r w:rsidRPr="005245F2">
        <w:rPr>
          <w:rFonts w:ascii="Times New Roman" w:hAnsi="Times New Roman" w:cs="Times New Roman"/>
          <w:color w:val="000000"/>
          <w:lang w:val="en-US"/>
        </w:rPr>
        <w:t xml:space="preserve">Suddaby and </w:t>
      </w:r>
      <w:proofErr w:type="spellStart"/>
      <w:r w:rsidRPr="005245F2">
        <w:rPr>
          <w:rFonts w:ascii="Times New Roman" w:hAnsi="Times New Roman" w:cs="Times New Roman"/>
          <w:color w:val="000000"/>
          <w:lang w:val="en-US"/>
        </w:rPr>
        <w:t>Viale's</w:t>
      </w:r>
      <w:proofErr w:type="spellEnd"/>
      <w:r w:rsidRPr="005245F2">
        <w:rPr>
          <w:rFonts w:ascii="Times New Roman" w:hAnsi="Times New Roman" w:cs="Times New Roman"/>
          <w:color w:val="000000"/>
          <w:lang w:val="en-US"/>
        </w:rPr>
        <w:t xml:space="preserve"> (2011) </w:t>
      </w:r>
      <w:r>
        <w:rPr>
          <w:rFonts w:ascii="Times New Roman" w:hAnsi="Times New Roman" w:cs="Times New Roman"/>
          <w:color w:val="000000"/>
          <w:lang w:val="en-US"/>
        </w:rPr>
        <w:t>theorization</w:t>
      </w:r>
      <w:r w:rsidRPr="005245F2">
        <w:rPr>
          <w:rFonts w:ascii="Times New Roman" w:hAnsi="Times New Roman" w:cs="Times New Roman"/>
          <w:color w:val="000000"/>
          <w:lang w:val="en-US"/>
        </w:rPr>
        <w:t xml:space="preserve"> of how professionals</w:t>
      </w:r>
      <w:r>
        <w:rPr>
          <w:rFonts w:ascii="Times New Roman" w:hAnsi="Times New Roman" w:cs="Times New Roman"/>
          <w:color w:val="000000"/>
          <w:lang w:val="en-US"/>
        </w:rPr>
        <w:t xml:space="preserve"> reconfigure </w:t>
      </w:r>
      <w:r w:rsidRPr="005245F2">
        <w:rPr>
          <w:rFonts w:ascii="Times New Roman" w:hAnsi="Times New Roman" w:cs="Times New Roman"/>
          <w:color w:val="000000"/>
          <w:lang w:val="en-US"/>
        </w:rPr>
        <w:t>organ</w:t>
      </w:r>
      <w:r>
        <w:rPr>
          <w:rFonts w:ascii="Times New Roman" w:hAnsi="Times New Roman" w:cs="Times New Roman"/>
          <w:color w:val="000000"/>
          <w:lang w:val="en-US"/>
        </w:rPr>
        <w:t>iza</w:t>
      </w:r>
      <w:r w:rsidRPr="005245F2">
        <w:rPr>
          <w:rFonts w:ascii="Times New Roman" w:hAnsi="Times New Roman" w:cs="Times New Roman"/>
          <w:color w:val="000000"/>
          <w:lang w:val="en-US"/>
        </w:rPr>
        <w:t>tional fields</w:t>
      </w:r>
      <w:r>
        <w:rPr>
          <w:rFonts w:ascii="Times New Roman" w:hAnsi="Times New Roman" w:cs="Times New Roman"/>
          <w:color w:val="000000"/>
          <w:lang w:val="en-US"/>
        </w:rPr>
        <w:t>, t</w:t>
      </w:r>
      <w:r w:rsidRPr="003961FF">
        <w:rPr>
          <w:rFonts w:ascii="Times New Roman" w:hAnsi="Times New Roman" w:cs="Times New Roman"/>
          <w:color w:val="000000"/>
          <w:lang w:val="en-US"/>
        </w:rPr>
        <w:t xml:space="preserve">he paper </w:t>
      </w:r>
      <w:r>
        <w:rPr>
          <w:rFonts w:ascii="Times New Roman" w:hAnsi="Times New Roman" w:cs="Times New Roman"/>
          <w:color w:val="000000"/>
          <w:lang w:val="en-US"/>
        </w:rPr>
        <w:t xml:space="preserve">delineates </w:t>
      </w:r>
      <w:r w:rsidR="00DE4794">
        <w:rPr>
          <w:rFonts w:ascii="Times New Roman" w:hAnsi="Times New Roman" w:cs="Times New Roman"/>
          <w:color w:val="000000"/>
          <w:lang w:val="en-US"/>
        </w:rPr>
        <w:t xml:space="preserve">the </w:t>
      </w:r>
      <w:r w:rsidRPr="003961FF">
        <w:rPr>
          <w:rFonts w:ascii="Times New Roman" w:hAnsi="Times New Roman" w:cs="Times New Roman"/>
          <w:color w:val="000000"/>
          <w:lang w:val="en-US"/>
        </w:rPr>
        <w:t>strategies</w:t>
      </w:r>
      <w:r w:rsidR="00DE4794">
        <w:rPr>
          <w:rFonts w:ascii="Times New Roman" w:hAnsi="Times New Roman" w:cs="Times New Roman"/>
          <w:color w:val="000000"/>
          <w:lang w:val="en-US"/>
        </w:rPr>
        <w:t xml:space="preserve"> and </w:t>
      </w:r>
      <w:r w:rsidR="00DE4794" w:rsidRPr="003961FF">
        <w:rPr>
          <w:rFonts w:ascii="Times New Roman" w:hAnsi="Times New Roman" w:cs="Times New Roman"/>
          <w:color w:val="000000"/>
          <w:lang w:val="en-US"/>
        </w:rPr>
        <w:t xml:space="preserve">mechanisms </w:t>
      </w:r>
      <w:r w:rsidRPr="003961FF">
        <w:rPr>
          <w:rFonts w:ascii="Times New Roman" w:hAnsi="Times New Roman" w:cs="Times New Roman"/>
          <w:color w:val="000000"/>
          <w:lang w:val="en-US"/>
        </w:rPr>
        <w:t xml:space="preserve">through which </w:t>
      </w:r>
      <w:r>
        <w:rPr>
          <w:rFonts w:ascii="Times New Roman" w:hAnsi="Times New Roman" w:cs="Times New Roman"/>
          <w:color w:val="000000"/>
          <w:lang w:val="en-US"/>
        </w:rPr>
        <w:t>the IIRC</w:t>
      </w:r>
      <w:r w:rsidRPr="003961FF">
        <w:rPr>
          <w:rFonts w:ascii="Times New Roman" w:hAnsi="Times New Roman" w:cs="Times New Roman"/>
          <w:color w:val="000000"/>
          <w:lang w:val="en-US"/>
        </w:rPr>
        <w:t xml:space="preserve"> has</w:t>
      </w:r>
      <w:r>
        <w:rPr>
          <w:rFonts w:ascii="Times New Roman" w:hAnsi="Times New Roman" w:cs="Times New Roman"/>
          <w:color w:val="000000"/>
          <w:lang w:val="en-US"/>
        </w:rPr>
        <w:t xml:space="preserve"> sought to</w:t>
      </w:r>
      <w:r w:rsidRPr="003961FF">
        <w:rPr>
          <w:rFonts w:ascii="Times New Roman" w:hAnsi="Times New Roman" w:cs="Times New Roman"/>
          <w:color w:val="000000"/>
          <w:lang w:val="en-US"/>
        </w:rPr>
        <w:t xml:space="preserve"> </w:t>
      </w:r>
      <w:proofErr w:type="spellStart"/>
      <w:r w:rsidR="003E7CD1">
        <w:rPr>
          <w:rFonts w:ascii="Times New Roman" w:hAnsi="Times New Roman" w:cs="Times New Roman"/>
          <w:color w:val="000000"/>
          <w:lang w:val="en-US"/>
        </w:rPr>
        <w:t>enrol</w:t>
      </w:r>
      <w:proofErr w:type="spellEnd"/>
      <w:r w:rsidRPr="003961FF">
        <w:rPr>
          <w:rFonts w:ascii="Times New Roman" w:hAnsi="Times New Roman" w:cs="Times New Roman"/>
          <w:color w:val="000000"/>
          <w:lang w:val="en-US"/>
        </w:rPr>
        <w:t xml:space="preserve"> </w:t>
      </w:r>
      <w:r w:rsidR="00185A77">
        <w:rPr>
          <w:rFonts w:ascii="Times New Roman" w:hAnsi="Times New Roman" w:cs="Times New Roman"/>
          <w:color w:val="000000"/>
          <w:lang w:val="en-US"/>
        </w:rPr>
        <w:t xml:space="preserve">the support of </w:t>
      </w:r>
      <w:r w:rsidRPr="003961FF">
        <w:rPr>
          <w:rFonts w:ascii="Times New Roman" w:hAnsi="Times New Roman" w:cs="Times New Roman"/>
          <w:color w:val="000000"/>
          <w:lang w:val="en-US"/>
        </w:rPr>
        <w:t>a wide</w:t>
      </w:r>
      <w:r>
        <w:rPr>
          <w:rFonts w:ascii="Times New Roman" w:hAnsi="Times New Roman" w:cs="Times New Roman"/>
          <w:color w:val="000000"/>
          <w:lang w:val="en-US"/>
        </w:rPr>
        <w:t xml:space="preserve"> range of stakeholder groups </w:t>
      </w:r>
      <w:r w:rsidR="00185A77">
        <w:rPr>
          <w:rFonts w:ascii="Times New Roman" w:hAnsi="Times New Roman" w:cs="Times New Roman"/>
          <w:color w:val="000000"/>
          <w:lang w:val="en-US"/>
        </w:rPr>
        <w:t>for</w:t>
      </w:r>
      <w:r>
        <w:rPr>
          <w:rFonts w:ascii="Times New Roman" w:hAnsi="Times New Roman" w:cs="Times New Roman"/>
          <w:color w:val="000000"/>
          <w:lang w:val="en-US"/>
        </w:rPr>
        <w:t xml:space="preserve"> </w:t>
      </w:r>
      <w:r w:rsidRPr="003961FF">
        <w:rPr>
          <w:rFonts w:ascii="Times New Roman" w:hAnsi="Times New Roman" w:cs="Times New Roman"/>
          <w:color w:val="000000"/>
          <w:lang w:val="en-US"/>
        </w:rPr>
        <w:t xml:space="preserve">the idea of </w:t>
      </w:r>
      <w:r>
        <w:rPr>
          <w:rFonts w:ascii="Times New Roman" w:hAnsi="Times New Roman" w:cs="Times New Roman"/>
          <w:color w:val="000000"/>
          <w:lang w:val="en-US"/>
        </w:rPr>
        <w:t xml:space="preserve">integrated reporting </w:t>
      </w:r>
      <w:r w:rsidR="00DE4794">
        <w:rPr>
          <w:rFonts w:ascii="Times New Roman" w:hAnsi="Times New Roman" w:cs="Times New Roman"/>
          <w:color w:val="000000"/>
          <w:lang w:val="en-US"/>
        </w:rPr>
        <w:t xml:space="preserve">in order to </w:t>
      </w:r>
      <w:r w:rsidR="004E22D5">
        <w:rPr>
          <w:rFonts w:ascii="Times New Roman" w:hAnsi="Times New Roman" w:cs="Times New Roman"/>
          <w:color w:val="000000"/>
          <w:lang w:val="en-US"/>
        </w:rPr>
        <w:t xml:space="preserve">deliver a fundamental </w:t>
      </w:r>
      <w:r>
        <w:rPr>
          <w:rFonts w:ascii="Times New Roman" w:hAnsi="Times New Roman" w:cs="Times New Roman"/>
          <w:color w:val="000000"/>
          <w:lang w:val="en-US"/>
        </w:rPr>
        <w:t>reconfigur</w:t>
      </w:r>
      <w:r w:rsidR="004E22D5">
        <w:rPr>
          <w:rFonts w:ascii="Times New Roman" w:hAnsi="Times New Roman" w:cs="Times New Roman"/>
          <w:color w:val="000000"/>
          <w:lang w:val="en-US"/>
        </w:rPr>
        <w:t>ation of</w:t>
      </w:r>
      <w:r>
        <w:rPr>
          <w:rFonts w:ascii="Times New Roman" w:hAnsi="Times New Roman" w:cs="Times New Roman"/>
          <w:color w:val="000000"/>
          <w:lang w:val="en-US"/>
        </w:rPr>
        <w:t xml:space="preserve"> </w:t>
      </w:r>
      <w:r w:rsidR="00DE4794">
        <w:rPr>
          <w:rFonts w:ascii="Times New Roman" w:hAnsi="Times New Roman" w:cs="Times New Roman"/>
          <w:color w:val="000000"/>
          <w:lang w:val="en-US"/>
        </w:rPr>
        <w:t xml:space="preserve">the </w:t>
      </w:r>
      <w:r>
        <w:rPr>
          <w:rFonts w:ascii="Times New Roman" w:hAnsi="Times New Roman" w:cs="Times New Roman"/>
          <w:color w:val="000000"/>
          <w:lang w:val="en-US"/>
        </w:rPr>
        <w:t>corporate reporting</w:t>
      </w:r>
      <w:r w:rsidR="00DE4794">
        <w:rPr>
          <w:rFonts w:ascii="Times New Roman" w:hAnsi="Times New Roman" w:cs="Times New Roman"/>
          <w:color w:val="000000"/>
          <w:lang w:val="en-US"/>
        </w:rPr>
        <w:t xml:space="preserve"> field</w:t>
      </w:r>
      <w:r>
        <w:rPr>
          <w:rFonts w:ascii="Times New Roman" w:hAnsi="Times New Roman" w:cs="Times New Roman"/>
          <w:color w:val="000000"/>
          <w:lang w:val="en-US"/>
        </w:rPr>
        <w:t>.</w:t>
      </w:r>
      <w:r w:rsidRPr="003961FF">
        <w:rPr>
          <w:rFonts w:ascii="Times New Roman" w:hAnsi="Times New Roman" w:cs="Times New Roman"/>
          <w:color w:val="000000"/>
          <w:lang w:val="en-US"/>
        </w:rPr>
        <w:t> </w:t>
      </w:r>
      <w:r>
        <w:rPr>
          <w:rFonts w:ascii="Times New Roman" w:hAnsi="Times New Roman" w:cs="Times New Roman"/>
          <w:color w:val="000000"/>
          <w:lang w:val="en-US"/>
        </w:rPr>
        <w:t xml:space="preserve">The </w:t>
      </w:r>
      <w:r w:rsidR="00124A8C">
        <w:rPr>
          <w:rFonts w:ascii="Times New Roman" w:hAnsi="Times New Roman" w:cs="Times New Roman"/>
          <w:color w:val="000000"/>
          <w:lang w:val="en-US"/>
        </w:rPr>
        <w:t xml:space="preserve">paper’s analysis </w:t>
      </w:r>
      <w:r>
        <w:rPr>
          <w:rFonts w:ascii="Times New Roman" w:hAnsi="Times New Roman" w:cs="Times New Roman"/>
          <w:color w:val="000000"/>
          <w:lang w:val="en-US"/>
        </w:rPr>
        <w:t xml:space="preserve">reinforces the significance to any such field reconfiguration of the </w:t>
      </w:r>
      <w:r w:rsidRPr="00DD48D7">
        <w:rPr>
          <w:rFonts w:ascii="Times New Roman" w:hAnsi="Times New Roman" w:cs="Times New Roman"/>
          <w:lang w:val="en-US"/>
        </w:rPr>
        <w:t xml:space="preserve">reciprocal and mutual </w:t>
      </w:r>
      <w:r>
        <w:rPr>
          <w:rFonts w:ascii="Times New Roman" w:hAnsi="Times New Roman" w:cs="Times New Roman"/>
          <w:lang w:val="en-US"/>
        </w:rPr>
        <w:t xml:space="preserve">arrangements </w:t>
      </w:r>
      <w:r w:rsidRPr="00BA4CDD">
        <w:rPr>
          <w:rFonts w:ascii="Times New Roman" w:hAnsi="Times New Roman" w:cs="Times New Roman"/>
          <w:lang w:val="en-US"/>
        </w:rPr>
        <w:t xml:space="preserve">between </w:t>
      </w:r>
      <w:r>
        <w:rPr>
          <w:rFonts w:ascii="Times New Roman" w:hAnsi="Times New Roman" w:cs="Times New Roman"/>
          <w:lang w:val="en-US"/>
        </w:rPr>
        <w:t xml:space="preserve">influential </w:t>
      </w:r>
      <w:r w:rsidRPr="00BA4CDD">
        <w:rPr>
          <w:rFonts w:ascii="Times New Roman" w:hAnsi="Times New Roman" w:cs="Times New Roman"/>
          <w:lang w:val="en-US"/>
        </w:rPr>
        <w:t>profession</w:t>
      </w:r>
      <w:r>
        <w:rPr>
          <w:rFonts w:ascii="Times New Roman" w:hAnsi="Times New Roman" w:cs="Times New Roman"/>
          <w:lang w:val="en-US"/>
        </w:rPr>
        <w:t>al</w:t>
      </w:r>
      <w:r w:rsidRPr="00BA4CDD">
        <w:rPr>
          <w:rFonts w:ascii="Times New Roman" w:hAnsi="Times New Roman" w:cs="Times New Roman"/>
          <w:lang w:val="en-US"/>
        </w:rPr>
        <w:t>s and other powerful actors</w:t>
      </w:r>
      <w:r w:rsidR="009F2F25">
        <w:rPr>
          <w:rFonts w:ascii="Times New Roman" w:hAnsi="Times New Roman" w:cs="Times New Roman"/>
          <w:lang w:val="en-US"/>
        </w:rPr>
        <w:t xml:space="preserve"> </w:t>
      </w:r>
      <w:r w:rsidR="00185A77">
        <w:rPr>
          <w:rFonts w:ascii="Times New Roman" w:hAnsi="Times New Roman" w:cs="Times New Roman"/>
          <w:color w:val="000000"/>
          <w:lang w:val="en-US"/>
        </w:rPr>
        <w:t>but does so in a way that (a) refine</w:t>
      </w:r>
      <w:r w:rsidR="004E22D5">
        <w:rPr>
          <w:rFonts w:ascii="Times New Roman" w:hAnsi="Times New Roman" w:cs="Times New Roman"/>
          <w:color w:val="000000"/>
          <w:lang w:val="en-US"/>
        </w:rPr>
        <w:t>s</w:t>
      </w:r>
      <w:r w:rsidR="00185A77">
        <w:rPr>
          <w:rFonts w:ascii="Times New Roman" w:hAnsi="Times New Roman" w:cs="Times New Roman"/>
          <w:color w:val="000000"/>
          <w:lang w:val="en-US"/>
        </w:rPr>
        <w:t xml:space="preserve"> </w:t>
      </w:r>
      <w:r w:rsidRPr="004135C6">
        <w:rPr>
          <w:rFonts w:ascii="Times New Roman" w:hAnsi="Times New Roman" w:cs="Times New Roman"/>
          <w:lang w:val="en-US"/>
        </w:rPr>
        <w:t xml:space="preserve">Suddaby and </w:t>
      </w:r>
      <w:proofErr w:type="spellStart"/>
      <w:r w:rsidRPr="004135C6">
        <w:rPr>
          <w:rFonts w:ascii="Times New Roman" w:hAnsi="Times New Roman" w:cs="Times New Roman"/>
          <w:lang w:val="en-US"/>
        </w:rPr>
        <w:t>Viale’s</w:t>
      </w:r>
      <w:proofErr w:type="spellEnd"/>
      <w:r w:rsidRPr="004135C6">
        <w:rPr>
          <w:rFonts w:ascii="Times New Roman" w:hAnsi="Times New Roman" w:cs="Times New Roman"/>
          <w:lang w:val="en-US"/>
        </w:rPr>
        <w:t xml:space="preserve"> </w:t>
      </w:r>
      <w:r>
        <w:rPr>
          <w:rFonts w:ascii="Times New Roman" w:hAnsi="Times New Roman" w:cs="Times New Roman"/>
          <w:lang w:val="en-US"/>
        </w:rPr>
        <w:t>theorization</w:t>
      </w:r>
      <w:r w:rsidRPr="004135C6">
        <w:rPr>
          <w:rFonts w:ascii="Times New Roman" w:hAnsi="Times New Roman" w:cs="Times New Roman"/>
          <w:lang w:val="en-US"/>
        </w:rPr>
        <w:t xml:space="preserve"> of processes of field-level change</w:t>
      </w:r>
      <w:r>
        <w:rPr>
          <w:rFonts w:ascii="Times New Roman" w:hAnsi="Times New Roman" w:cs="Times New Roman"/>
          <w:lang w:val="en-US"/>
        </w:rPr>
        <w:t xml:space="preserve"> and </w:t>
      </w:r>
      <w:r w:rsidR="00185A77">
        <w:rPr>
          <w:rFonts w:ascii="Times New Roman" w:hAnsi="Times New Roman" w:cs="Times New Roman"/>
          <w:lang w:val="en-US"/>
        </w:rPr>
        <w:t>(b)</w:t>
      </w:r>
      <w:r w:rsidR="004E22D5">
        <w:rPr>
          <w:rFonts w:ascii="Times New Roman" w:hAnsi="Times New Roman" w:cs="Times New Roman"/>
          <w:lang w:val="en-US"/>
        </w:rPr>
        <w:t xml:space="preserve"> </w:t>
      </w:r>
      <w:r>
        <w:rPr>
          <w:rFonts w:ascii="Times New Roman" w:hAnsi="Times New Roman" w:cs="Times New Roman"/>
          <w:lang w:val="en-US"/>
        </w:rPr>
        <w:t>pinpoint</w:t>
      </w:r>
      <w:r w:rsidR="004E22D5">
        <w:rPr>
          <w:rFonts w:ascii="Times New Roman" w:hAnsi="Times New Roman" w:cs="Times New Roman"/>
          <w:lang w:val="en-US"/>
        </w:rPr>
        <w:t>s</w:t>
      </w:r>
      <w:r>
        <w:rPr>
          <w:rFonts w:ascii="Times New Roman" w:hAnsi="Times New Roman" w:cs="Times New Roman"/>
          <w:lang w:val="en-US"/>
        </w:rPr>
        <w:t xml:space="preserve"> the fundamental policy challenges facing the IIRC. </w:t>
      </w:r>
      <w:proofErr w:type="spellStart"/>
      <w:r>
        <w:rPr>
          <w:rFonts w:ascii="Times New Roman" w:hAnsi="Times New Roman" w:cs="Times New Roman"/>
          <w:lang w:val="en-US"/>
        </w:rPr>
        <w:t>Gieryn’s</w:t>
      </w:r>
      <w:proofErr w:type="spellEnd"/>
      <w:r>
        <w:rPr>
          <w:rFonts w:ascii="Times New Roman" w:hAnsi="Times New Roman" w:cs="Times New Roman"/>
          <w:lang w:val="en-US"/>
        </w:rPr>
        <w:t xml:space="preserve"> (1983) notion of boundary work is operationalized to capture some of the complexity and dynamism of the change process that is not </w:t>
      </w:r>
      <w:r w:rsidR="00DE4794">
        <w:rPr>
          <w:rFonts w:ascii="Times New Roman" w:hAnsi="Times New Roman" w:cs="Times New Roman"/>
          <w:lang w:val="en-US"/>
        </w:rPr>
        <w:t xml:space="preserve">sufficiently </w:t>
      </w:r>
      <w:r>
        <w:rPr>
          <w:rFonts w:ascii="Times New Roman" w:hAnsi="Times New Roman" w:cs="Times New Roman"/>
          <w:lang w:val="en-US"/>
        </w:rPr>
        <w:t xml:space="preserve">represented by Suddaby and </w:t>
      </w:r>
      <w:proofErr w:type="spellStart"/>
      <w:r>
        <w:rPr>
          <w:rFonts w:ascii="Times New Roman" w:hAnsi="Times New Roman" w:cs="Times New Roman"/>
          <w:lang w:val="en-US"/>
        </w:rPr>
        <w:t>Viale’s</w:t>
      </w:r>
      <w:proofErr w:type="spellEnd"/>
      <w:r>
        <w:rPr>
          <w:rFonts w:ascii="Times New Roman" w:hAnsi="Times New Roman" w:cs="Times New Roman"/>
          <w:lang w:val="en-US"/>
        </w:rPr>
        <w:t xml:space="preserve"> more </w:t>
      </w:r>
      <w:proofErr w:type="spellStart"/>
      <w:r>
        <w:rPr>
          <w:rFonts w:ascii="Times New Roman" w:hAnsi="Times New Roman" w:cs="Times New Roman"/>
          <w:lang w:val="en-US"/>
        </w:rPr>
        <w:t>sequentialist</w:t>
      </w:r>
      <w:proofErr w:type="spellEnd"/>
      <w:r>
        <w:rPr>
          <w:rFonts w:ascii="Times New Roman" w:hAnsi="Times New Roman" w:cs="Times New Roman"/>
          <w:lang w:val="en-US"/>
        </w:rPr>
        <w:t xml:space="preserve"> </w:t>
      </w:r>
      <w:r w:rsidR="00DE4794">
        <w:rPr>
          <w:rFonts w:ascii="Times New Roman" w:hAnsi="Times New Roman" w:cs="Times New Roman"/>
          <w:lang w:val="en-US"/>
        </w:rPr>
        <w:t>theorization</w:t>
      </w:r>
      <w:r>
        <w:rPr>
          <w:rFonts w:ascii="Times New Roman" w:hAnsi="Times New Roman" w:cs="Times New Roman"/>
          <w:lang w:val="en-US"/>
        </w:rPr>
        <w:t xml:space="preserve">. </w:t>
      </w:r>
      <w:r w:rsidR="00EE4771">
        <w:rPr>
          <w:rFonts w:ascii="Times New Roman" w:hAnsi="Times New Roman" w:cs="Times New Roman"/>
          <w:lang w:val="en-US"/>
        </w:rPr>
        <w:t xml:space="preserve"> From a policy perspective, </w:t>
      </w:r>
      <w:r w:rsidRPr="00152598">
        <w:rPr>
          <w:rFonts w:ascii="Times New Roman" w:hAnsi="Times New Roman" w:cs="Times New Roman"/>
          <w:color w:val="000000"/>
          <w:lang w:val="en-US"/>
        </w:rPr>
        <w:t>the paper</w:t>
      </w:r>
      <w:r>
        <w:rPr>
          <w:rFonts w:ascii="Times New Roman" w:hAnsi="Times New Roman" w:cs="Times New Roman"/>
          <w:color w:val="000000"/>
          <w:lang w:val="en-US"/>
        </w:rPr>
        <w:t xml:space="preserve"> demonstrates just how much the IIRC’s prospects for success in reconfiguring the corporate reporting field depend on its ability to reconfigure the mainstream investment field</w:t>
      </w:r>
      <w:r w:rsidR="00EE4771">
        <w:rPr>
          <w:rFonts w:ascii="Times New Roman" w:hAnsi="Times New Roman" w:cs="Times New Roman"/>
          <w:color w:val="000000"/>
          <w:lang w:val="en-US"/>
        </w:rPr>
        <w:t>. Ultimately, this</w:t>
      </w:r>
      <w:r w:rsidR="00A75C3C">
        <w:rPr>
          <w:rFonts w:ascii="Times New Roman" w:hAnsi="Times New Roman" w:cs="Times New Roman"/>
          <w:color w:val="000000"/>
          <w:lang w:val="en-US"/>
        </w:rPr>
        <w:t xml:space="preserve"> </w:t>
      </w:r>
      <w:r w:rsidR="00EE4771">
        <w:rPr>
          <w:rFonts w:ascii="Times New Roman" w:hAnsi="Times New Roman" w:cs="Times New Roman"/>
          <w:color w:val="000000"/>
          <w:lang w:val="en-US"/>
        </w:rPr>
        <w:t>serves to</w:t>
      </w:r>
      <w:r w:rsidR="00715E03">
        <w:rPr>
          <w:rFonts w:ascii="Times New Roman" w:hAnsi="Times New Roman" w:cs="Times New Roman"/>
          <w:color w:val="000000"/>
          <w:lang w:val="en-US"/>
        </w:rPr>
        <w:t xml:space="preserve"> </w:t>
      </w:r>
      <w:r w:rsidR="00185A77">
        <w:rPr>
          <w:rFonts w:ascii="Times New Roman" w:hAnsi="Times New Roman" w:cs="Times New Roman"/>
          <w:color w:val="000000"/>
          <w:lang w:val="en-US"/>
        </w:rPr>
        <w:t xml:space="preserve">question </w:t>
      </w:r>
      <w:r>
        <w:rPr>
          <w:rFonts w:ascii="Times New Roman" w:hAnsi="Times New Roman" w:cs="Times New Roman"/>
          <w:color w:val="000000"/>
          <w:lang w:val="en-US"/>
        </w:rPr>
        <w:t xml:space="preserve">whether </w:t>
      </w:r>
      <w:r w:rsidR="00185A77">
        <w:rPr>
          <w:rFonts w:ascii="Times New Roman" w:hAnsi="Times New Roman" w:cs="Times New Roman"/>
          <w:color w:val="000000"/>
          <w:lang w:val="en-US"/>
        </w:rPr>
        <w:t>the IIRC’s</w:t>
      </w:r>
      <w:r>
        <w:rPr>
          <w:rFonts w:ascii="Times New Roman" w:hAnsi="Times New Roman" w:cs="Times New Roman"/>
          <w:color w:val="000000"/>
          <w:lang w:val="en-US"/>
        </w:rPr>
        <w:t xml:space="preserve"> conceptuali</w:t>
      </w:r>
      <w:r w:rsidR="009F2F25">
        <w:rPr>
          <w:rFonts w:ascii="Times New Roman" w:hAnsi="Times New Roman" w:cs="Times New Roman"/>
          <w:color w:val="000000"/>
          <w:lang w:val="en-US"/>
        </w:rPr>
        <w:t>z</w:t>
      </w:r>
      <w:r>
        <w:rPr>
          <w:rFonts w:ascii="Times New Roman" w:hAnsi="Times New Roman" w:cs="Times New Roman"/>
          <w:color w:val="000000"/>
          <w:lang w:val="en-US"/>
        </w:rPr>
        <w:t>ation</w:t>
      </w:r>
      <w:r w:rsidRPr="00152598">
        <w:rPr>
          <w:rFonts w:ascii="Times New Roman" w:hAnsi="Times New Roman" w:cs="Times New Roman"/>
          <w:color w:val="000000"/>
          <w:lang w:val="en-US"/>
        </w:rPr>
        <w:t xml:space="preserve"> of ‘enlightened’ corporate reporting </w:t>
      </w:r>
      <w:r>
        <w:rPr>
          <w:rFonts w:ascii="Times New Roman" w:hAnsi="Times New Roman" w:cs="Times New Roman"/>
          <w:color w:val="000000"/>
          <w:lang w:val="en-US"/>
        </w:rPr>
        <w:t xml:space="preserve">is sufficiently powerful and persuasive to stimulate </w:t>
      </w:r>
      <w:r w:rsidRPr="00152598">
        <w:rPr>
          <w:rFonts w:ascii="Times New Roman" w:hAnsi="Times New Roman" w:cs="Times New Roman"/>
          <w:color w:val="000000"/>
          <w:lang w:val="en-US"/>
        </w:rPr>
        <w:t xml:space="preserve">‘enlightened’ investment </w:t>
      </w:r>
      <w:proofErr w:type="spellStart"/>
      <w:r w:rsidRPr="00FB2B20">
        <w:rPr>
          <w:rFonts w:ascii="Times New Roman" w:hAnsi="Times New Roman" w:cs="Times New Roman"/>
          <w:color w:val="000000"/>
          <w:lang w:val="en-US"/>
        </w:rPr>
        <w:t>behavio</w:t>
      </w:r>
      <w:r w:rsidR="00EC132D">
        <w:rPr>
          <w:rFonts w:ascii="Times New Roman" w:hAnsi="Times New Roman" w:cs="Times New Roman"/>
          <w:color w:val="000000"/>
          <w:lang w:val="en-US"/>
        </w:rPr>
        <w:t>u</w:t>
      </w:r>
      <w:r w:rsidRPr="00FB2B20">
        <w:rPr>
          <w:rFonts w:ascii="Times New Roman" w:hAnsi="Times New Roman" w:cs="Times New Roman"/>
          <w:color w:val="000000"/>
          <w:lang w:val="en-US"/>
        </w:rPr>
        <w:t>r</w:t>
      </w:r>
      <w:proofErr w:type="spellEnd"/>
      <w:r w:rsidRPr="00FB2B20">
        <w:rPr>
          <w:rFonts w:ascii="Times New Roman" w:hAnsi="Times New Roman" w:cs="Times New Roman"/>
          <w:color w:val="000000"/>
          <w:lang w:val="en-US"/>
        </w:rPr>
        <w:t xml:space="preserve"> focused on the medium and long term</w:t>
      </w:r>
      <w:r w:rsidR="00A75C3C">
        <w:rPr>
          <w:rFonts w:ascii="Times New Roman" w:hAnsi="Times New Roman" w:cs="Times New Roman"/>
          <w:color w:val="000000"/>
          <w:lang w:val="en-US"/>
        </w:rPr>
        <w:t xml:space="preserve"> – and, more generally</w:t>
      </w:r>
      <w:r>
        <w:rPr>
          <w:rFonts w:ascii="Times New Roman" w:eastAsia="Times New Roman" w:hAnsi="Times New Roman" w:cs="Times New Roman"/>
          <w:color w:val="000000"/>
          <w:lang w:val="en-US"/>
        </w:rPr>
        <w:t xml:space="preserve"> </w:t>
      </w:r>
      <w:r w:rsidR="0072495E">
        <w:rPr>
          <w:rFonts w:ascii="Times New Roman" w:eastAsia="Times New Roman" w:hAnsi="Times New Roman" w:cs="Times New Roman"/>
          <w:color w:val="000000"/>
          <w:lang w:val="en-US"/>
        </w:rPr>
        <w:t xml:space="preserve"> </w:t>
      </w:r>
      <w:r w:rsidR="002A3A75">
        <w:rPr>
          <w:rFonts w:ascii="Times New Roman" w:eastAsia="Times New Roman" w:hAnsi="Times New Roman" w:cs="Times New Roman"/>
          <w:color w:val="000000"/>
          <w:lang w:val="en-US"/>
        </w:rPr>
        <w:t xml:space="preserve">stresses the theoretical significance </w:t>
      </w:r>
      <w:r w:rsidR="00844C85">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of </w:t>
      </w:r>
      <w:r w:rsidRPr="00EA6237">
        <w:rPr>
          <w:rFonts w:ascii="Times New Roman" w:eastAsia="Times New Roman" w:hAnsi="Times New Roman" w:cs="Times New Roman"/>
          <w:color w:val="000000"/>
          <w:lang w:val="en-US"/>
        </w:rPr>
        <w:t xml:space="preserve">considering </w:t>
      </w:r>
      <w:r w:rsidRPr="00CE5C0A">
        <w:rPr>
          <w:rFonts w:ascii="Times New Roman" w:eastAsia="Times New Roman" w:hAnsi="Times New Roman" w:cs="Times New Roman"/>
          <w:color w:val="000000"/>
          <w:lang w:val="en-US"/>
        </w:rPr>
        <w:t>connections across related</w:t>
      </w:r>
      <w:r>
        <w:rPr>
          <w:rFonts w:ascii="Times New Roman" w:eastAsia="Times New Roman" w:hAnsi="Times New Roman" w:cs="Times New Roman"/>
          <w:color w:val="000000"/>
          <w:lang w:val="en-US"/>
        </w:rPr>
        <w:t xml:space="preserve"> organizational fields in institutional analyses of field reconfiguration efforts. </w:t>
      </w:r>
    </w:p>
    <w:p w14:paraId="2EA71457" w14:textId="77777777" w:rsidR="00F77856" w:rsidRPr="00F77856" w:rsidRDefault="00F77856" w:rsidP="00686181">
      <w:pPr>
        <w:jc w:val="both"/>
        <w:rPr>
          <w:rFonts w:ascii="Times New Roman" w:hAnsi="Times New Roman" w:cs="Times New Roman"/>
          <w:b/>
          <w:lang w:val="en-US"/>
        </w:rPr>
      </w:pPr>
    </w:p>
    <w:p w14:paraId="5AC42798" w14:textId="77777777" w:rsidR="00F77856" w:rsidRPr="00F77856" w:rsidRDefault="00F77856" w:rsidP="00F77856">
      <w:pPr>
        <w:rPr>
          <w:rFonts w:ascii="Times New Roman" w:hAnsi="Times New Roman" w:cs="Times New Roman"/>
          <w:b/>
          <w:lang w:val="en-US"/>
        </w:rPr>
      </w:pPr>
    </w:p>
    <w:p w14:paraId="1F21CE81" w14:textId="443B7674" w:rsidR="00334E5E" w:rsidRDefault="00F77856" w:rsidP="00F930AE">
      <w:pPr>
        <w:jc w:val="both"/>
        <w:rPr>
          <w:rFonts w:ascii="Times New Roman" w:eastAsia="Times New Roman" w:hAnsi="Times New Roman" w:cs="Times New Roman"/>
          <w:bCs/>
          <w:color w:val="000000"/>
          <w:lang w:val="en-US" w:eastAsia="nl-NL"/>
        </w:rPr>
      </w:pPr>
      <w:r w:rsidRPr="004158E0">
        <w:rPr>
          <w:rFonts w:ascii="Times New Roman" w:eastAsia="Times New Roman" w:hAnsi="Times New Roman" w:cs="Times New Roman"/>
          <w:b/>
          <w:bCs/>
          <w:color w:val="000000"/>
          <w:lang w:val="en-US" w:eastAsia="nl-NL"/>
        </w:rPr>
        <w:t xml:space="preserve">Keywords: </w:t>
      </w:r>
      <w:r w:rsidRPr="004158E0">
        <w:rPr>
          <w:rFonts w:ascii="Times New Roman" w:eastAsia="Times New Roman" w:hAnsi="Times New Roman" w:cs="Times New Roman"/>
          <w:bCs/>
          <w:color w:val="000000"/>
          <w:lang w:val="en-US" w:eastAsia="nl-NL"/>
        </w:rPr>
        <w:t xml:space="preserve">Integrated reporting, </w:t>
      </w:r>
      <w:r w:rsidR="008E4449">
        <w:rPr>
          <w:rFonts w:ascii="Times New Roman" w:eastAsia="Times New Roman" w:hAnsi="Times New Roman" w:cs="Times New Roman"/>
          <w:bCs/>
          <w:color w:val="000000"/>
          <w:lang w:val="en-US" w:eastAsia="nl-NL"/>
        </w:rPr>
        <w:t xml:space="preserve">corporate reporting, </w:t>
      </w:r>
      <w:r w:rsidRPr="004158E0">
        <w:rPr>
          <w:rFonts w:ascii="Times New Roman" w:eastAsia="Times New Roman" w:hAnsi="Times New Roman" w:cs="Times New Roman"/>
          <w:bCs/>
          <w:color w:val="000000"/>
          <w:lang w:val="en-US" w:eastAsia="nl-NL"/>
        </w:rPr>
        <w:t xml:space="preserve">IIRC, </w:t>
      </w:r>
      <w:r w:rsidR="00B55099">
        <w:rPr>
          <w:rFonts w:ascii="Times New Roman" w:eastAsia="Times New Roman" w:hAnsi="Times New Roman" w:cs="Times New Roman"/>
          <w:bCs/>
          <w:color w:val="000000"/>
          <w:lang w:val="en-US" w:eastAsia="nl-NL"/>
        </w:rPr>
        <w:t xml:space="preserve">organizational </w:t>
      </w:r>
      <w:r w:rsidR="000E1798">
        <w:rPr>
          <w:rFonts w:ascii="Times New Roman" w:eastAsia="Times New Roman" w:hAnsi="Times New Roman" w:cs="Times New Roman"/>
          <w:bCs/>
          <w:color w:val="000000"/>
          <w:lang w:val="en-US" w:eastAsia="nl-NL"/>
        </w:rPr>
        <w:t>field,</w:t>
      </w:r>
      <w:r w:rsidR="007E2E13">
        <w:rPr>
          <w:rFonts w:ascii="Times New Roman" w:eastAsia="Times New Roman" w:hAnsi="Times New Roman" w:cs="Times New Roman"/>
          <w:bCs/>
          <w:color w:val="000000"/>
          <w:lang w:val="en-US" w:eastAsia="nl-NL"/>
        </w:rPr>
        <w:t xml:space="preserve"> accountancy </w:t>
      </w:r>
      <w:r w:rsidR="00BE30FD">
        <w:rPr>
          <w:rFonts w:ascii="Times New Roman" w:eastAsia="Times New Roman" w:hAnsi="Times New Roman" w:cs="Times New Roman"/>
          <w:bCs/>
          <w:color w:val="000000"/>
          <w:lang w:val="en-US" w:eastAsia="nl-NL"/>
        </w:rPr>
        <w:t>profession, institutional work</w:t>
      </w:r>
      <w:r w:rsidRPr="004158E0">
        <w:rPr>
          <w:rFonts w:ascii="Times New Roman" w:eastAsia="Times New Roman" w:hAnsi="Times New Roman" w:cs="Times New Roman"/>
          <w:bCs/>
          <w:color w:val="000000"/>
          <w:lang w:val="en-US" w:eastAsia="nl-NL"/>
        </w:rPr>
        <w:t xml:space="preserve">, </w:t>
      </w:r>
      <w:r w:rsidR="00CE5C0A">
        <w:rPr>
          <w:rFonts w:ascii="Times New Roman" w:eastAsia="Times New Roman" w:hAnsi="Times New Roman" w:cs="Times New Roman"/>
          <w:bCs/>
          <w:color w:val="000000"/>
          <w:lang w:val="en-US" w:eastAsia="nl-NL"/>
        </w:rPr>
        <w:t xml:space="preserve">boundary work, </w:t>
      </w:r>
      <w:r w:rsidRPr="004158E0">
        <w:rPr>
          <w:rFonts w:ascii="Times New Roman" w:eastAsia="Times New Roman" w:hAnsi="Times New Roman" w:cs="Times New Roman"/>
          <w:bCs/>
          <w:color w:val="000000"/>
          <w:lang w:val="en-US" w:eastAsia="nl-NL"/>
        </w:rPr>
        <w:t>corporate reporting,</w:t>
      </w:r>
      <w:r w:rsidR="008E4449">
        <w:rPr>
          <w:rFonts w:ascii="Times New Roman" w:eastAsia="Times New Roman" w:hAnsi="Times New Roman" w:cs="Times New Roman"/>
          <w:bCs/>
          <w:color w:val="000000"/>
          <w:lang w:val="en-US" w:eastAsia="nl-NL"/>
        </w:rPr>
        <w:t xml:space="preserve"> </w:t>
      </w:r>
      <w:r w:rsidRPr="004158E0">
        <w:rPr>
          <w:rFonts w:ascii="Times New Roman" w:eastAsia="Times New Roman" w:hAnsi="Times New Roman" w:cs="Times New Roman"/>
          <w:bCs/>
          <w:color w:val="000000"/>
          <w:lang w:val="en-US" w:eastAsia="nl-NL"/>
        </w:rPr>
        <w:t>sustainability</w:t>
      </w:r>
      <w:r w:rsidR="00334E5E">
        <w:rPr>
          <w:rFonts w:ascii="Times New Roman" w:eastAsia="Times New Roman" w:hAnsi="Times New Roman" w:cs="Times New Roman"/>
          <w:bCs/>
          <w:color w:val="000000"/>
          <w:lang w:val="en-US" w:eastAsia="nl-NL"/>
        </w:rPr>
        <w:t xml:space="preserve"> reporting, non-financial reporting</w:t>
      </w:r>
      <w:r w:rsidR="0072495E">
        <w:rPr>
          <w:rFonts w:ascii="Times New Roman" w:eastAsia="Times New Roman" w:hAnsi="Times New Roman" w:cs="Times New Roman"/>
          <w:bCs/>
          <w:color w:val="000000"/>
          <w:lang w:val="en-US" w:eastAsia="nl-NL"/>
        </w:rPr>
        <w:t xml:space="preserve">, enlightened investment </w:t>
      </w:r>
      <w:proofErr w:type="spellStart"/>
      <w:r w:rsidR="0072495E">
        <w:rPr>
          <w:rFonts w:ascii="Times New Roman" w:eastAsia="Times New Roman" w:hAnsi="Times New Roman" w:cs="Times New Roman"/>
          <w:bCs/>
          <w:color w:val="000000"/>
          <w:lang w:val="en-US" w:eastAsia="nl-NL"/>
        </w:rPr>
        <w:t>behavio</w:t>
      </w:r>
      <w:r w:rsidR="003E7CD1">
        <w:rPr>
          <w:rFonts w:ascii="Times New Roman" w:eastAsia="Times New Roman" w:hAnsi="Times New Roman" w:cs="Times New Roman"/>
          <w:bCs/>
          <w:color w:val="000000"/>
          <w:lang w:val="en-US" w:eastAsia="nl-NL"/>
        </w:rPr>
        <w:t>u</w:t>
      </w:r>
      <w:r w:rsidR="0072495E">
        <w:rPr>
          <w:rFonts w:ascii="Times New Roman" w:eastAsia="Times New Roman" w:hAnsi="Times New Roman" w:cs="Times New Roman"/>
          <w:bCs/>
          <w:color w:val="000000"/>
          <w:lang w:val="en-US" w:eastAsia="nl-NL"/>
        </w:rPr>
        <w:t>r</w:t>
      </w:r>
      <w:proofErr w:type="spellEnd"/>
      <w:r w:rsidR="0072495E">
        <w:rPr>
          <w:rFonts w:ascii="Times New Roman" w:eastAsia="Times New Roman" w:hAnsi="Times New Roman" w:cs="Times New Roman"/>
          <w:bCs/>
          <w:color w:val="000000"/>
          <w:lang w:val="en-US" w:eastAsia="nl-NL"/>
        </w:rPr>
        <w:t>.</w:t>
      </w:r>
    </w:p>
    <w:p w14:paraId="72B38B07" w14:textId="77777777" w:rsidR="00334E5E" w:rsidRDefault="00334E5E" w:rsidP="00F930AE">
      <w:pPr>
        <w:jc w:val="both"/>
        <w:rPr>
          <w:rFonts w:ascii="Times New Roman" w:eastAsia="Times New Roman" w:hAnsi="Times New Roman" w:cs="Times New Roman"/>
          <w:bCs/>
          <w:color w:val="000000"/>
          <w:lang w:val="en-US" w:eastAsia="nl-NL"/>
        </w:rPr>
      </w:pPr>
    </w:p>
    <w:p w14:paraId="50B2B416" w14:textId="77777777" w:rsidR="00334E5E" w:rsidRDefault="00334E5E" w:rsidP="00F930AE">
      <w:pPr>
        <w:jc w:val="both"/>
        <w:rPr>
          <w:rFonts w:ascii="Times New Roman" w:eastAsia="Times New Roman" w:hAnsi="Times New Roman" w:cs="Times New Roman"/>
          <w:bCs/>
          <w:color w:val="000000"/>
          <w:lang w:val="en-US" w:eastAsia="nl-NL"/>
        </w:rPr>
      </w:pPr>
    </w:p>
    <w:p w14:paraId="154E3F2A" w14:textId="6EFBE5FB" w:rsidR="00814508" w:rsidRPr="00F930AE" w:rsidRDefault="003961FF" w:rsidP="00F930AE">
      <w:pPr>
        <w:jc w:val="both"/>
        <w:rPr>
          <w:rFonts w:ascii="Times New Roman" w:eastAsia="Times New Roman" w:hAnsi="Times New Roman" w:cs="Times New Roman"/>
          <w:bCs/>
          <w:color w:val="000000"/>
          <w:lang w:val="en-US" w:eastAsia="nl-NL"/>
        </w:rPr>
      </w:pPr>
      <w:r w:rsidRPr="00F77856">
        <w:rPr>
          <w:rFonts w:ascii="Times New Roman" w:eastAsia="Times New Roman" w:hAnsi="Times New Roman" w:cs="Times New Roman"/>
          <w:b/>
          <w:bCs/>
          <w:color w:val="000000"/>
          <w:sz w:val="24"/>
          <w:szCs w:val="24"/>
          <w:lang w:val="en-US" w:eastAsia="nl-NL"/>
        </w:rPr>
        <w:br w:type="page"/>
      </w:r>
      <w:r w:rsidR="005D7782">
        <w:rPr>
          <w:rFonts w:ascii="Times New Roman" w:eastAsia="Times New Roman" w:hAnsi="Times New Roman" w:cs="Times New Roman"/>
          <w:b/>
          <w:bCs/>
          <w:color w:val="000000"/>
          <w:sz w:val="24"/>
          <w:szCs w:val="24"/>
          <w:lang w:val="en-US" w:eastAsia="nl-NL"/>
        </w:rPr>
        <w:lastRenderedPageBreak/>
        <w:t>1.</w:t>
      </w:r>
      <w:r w:rsidR="005D7782">
        <w:rPr>
          <w:rFonts w:ascii="Times New Roman" w:eastAsia="Times New Roman" w:hAnsi="Times New Roman" w:cs="Times New Roman"/>
          <w:b/>
          <w:bCs/>
          <w:color w:val="000000"/>
          <w:sz w:val="24"/>
          <w:szCs w:val="24"/>
          <w:lang w:val="en-US" w:eastAsia="nl-NL"/>
        </w:rPr>
        <w:tab/>
      </w:r>
      <w:r w:rsidR="00814508" w:rsidRPr="00F77856">
        <w:rPr>
          <w:rFonts w:ascii="Times New Roman" w:hAnsi="Times New Roman" w:cs="Times New Roman"/>
          <w:b/>
          <w:lang w:val="en-US"/>
        </w:rPr>
        <w:t>I</w:t>
      </w:r>
      <w:r w:rsidR="007F09D9" w:rsidRPr="00F77856">
        <w:rPr>
          <w:rFonts w:ascii="Times New Roman" w:hAnsi="Times New Roman" w:cs="Times New Roman"/>
          <w:b/>
          <w:lang w:val="en-US"/>
        </w:rPr>
        <w:t>ntroduction</w:t>
      </w:r>
    </w:p>
    <w:p w14:paraId="75D9E0C2" w14:textId="69DA4ED8" w:rsidR="00814508" w:rsidRPr="00F23868" w:rsidRDefault="00814508" w:rsidP="00814508">
      <w:pPr>
        <w:ind w:left="708"/>
        <w:jc w:val="both"/>
        <w:rPr>
          <w:rFonts w:ascii="Times New Roman" w:hAnsi="Times New Roman" w:cs="Times New Roman"/>
          <w:sz w:val="20"/>
          <w:szCs w:val="20"/>
          <w:lang w:val="en-US"/>
        </w:rPr>
      </w:pPr>
      <w:r w:rsidRPr="0035316B">
        <w:rPr>
          <w:rFonts w:ascii="Times New Roman" w:hAnsi="Times New Roman" w:cs="Times New Roman"/>
          <w:sz w:val="20"/>
          <w:szCs w:val="20"/>
          <w:lang w:val="en-US"/>
        </w:rPr>
        <w:t xml:space="preserve">Our long-term vision is a world in which integrated management and thinking are embedded within mainstream business practice in the public and private sectors, facilitated by [Integrated Reporting] as the corporate reporting norm. The cycle of integrated thinking and reporting, resulting in efficient and productive capital allocation, will act as forces for </w:t>
      </w:r>
      <w:r w:rsidRPr="0035316B">
        <w:rPr>
          <w:rFonts w:ascii="Times New Roman" w:hAnsi="Times New Roman" w:cs="Times New Roman"/>
          <w:bCs/>
          <w:i/>
          <w:sz w:val="20"/>
          <w:szCs w:val="20"/>
          <w:lang w:val="en-US"/>
        </w:rPr>
        <w:t>financial stability</w:t>
      </w:r>
      <w:r w:rsidRPr="0035316B">
        <w:rPr>
          <w:rFonts w:ascii="Times New Roman" w:hAnsi="Times New Roman" w:cs="Times New Roman"/>
          <w:b/>
          <w:bCs/>
          <w:sz w:val="20"/>
          <w:szCs w:val="20"/>
          <w:lang w:val="en-US"/>
        </w:rPr>
        <w:t xml:space="preserve"> </w:t>
      </w:r>
      <w:r w:rsidRPr="0035316B">
        <w:rPr>
          <w:rFonts w:ascii="Times New Roman" w:hAnsi="Times New Roman" w:cs="Times New Roman"/>
          <w:sz w:val="20"/>
          <w:szCs w:val="20"/>
          <w:lang w:val="en-US"/>
        </w:rPr>
        <w:t xml:space="preserve">and </w:t>
      </w:r>
      <w:r w:rsidRPr="007F09D9">
        <w:rPr>
          <w:rFonts w:ascii="Times New Roman" w:hAnsi="Times New Roman" w:cs="Times New Roman"/>
          <w:bCs/>
          <w:i/>
          <w:sz w:val="20"/>
          <w:szCs w:val="20"/>
          <w:lang w:val="en-US"/>
        </w:rPr>
        <w:t>sustainability</w:t>
      </w:r>
      <w:r w:rsidR="007F09D9" w:rsidRPr="005E7227">
        <w:rPr>
          <w:rFonts w:ascii="Times New Roman" w:hAnsi="Times New Roman" w:cs="Times New Roman"/>
          <w:bCs/>
          <w:sz w:val="20"/>
          <w:szCs w:val="20"/>
          <w:lang w:val="en-US"/>
        </w:rPr>
        <w:t>.</w:t>
      </w:r>
      <w:r w:rsidR="00EB0212" w:rsidRPr="007F09D9">
        <w:rPr>
          <w:rFonts w:ascii="Times New Roman" w:hAnsi="Times New Roman" w:cs="Times New Roman"/>
          <w:sz w:val="20"/>
          <w:szCs w:val="20"/>
          <w:lang w:val="en-US"/>
        </w:rPr>
        <w:t xml:space="preserve"> (</w:t>
      </w:r>
      <w:r w:rsidR="00347304">
        <w:rPr>
          <w:rFonts w:ascii="Times New Roman" w:hAnsi="Times New Roman" w:cs="Times New Roman"/>
          <w:sz w:val="20"/>
          <w:szCs w:val="20"/>
          <w:lang w:val="en-US"/>
        </w:rPr>
        <w:t>Q</w:t>
      </w:r>
      <w:r w:rsidR="00EB0212" w:rsidRPr="007F09D9">
        <w:rPr>
          <w:rFonts w:ascii="Times New Roman" w:hAnsi="Times New Roman" w:cs="Times New Roman"/>
          <w:sz w:val="20"/>
          <w:szCs w:val="20"/>
          <w:lang w:val="en-US"/>
        </w:rPr>
        <w:t>uotation</w:t>
      </w:r>
      <w:r w:rsidRPr="0035316B">
        <w:rPr>
          <w:rFonts w:ascii="Times New Roman" w:hAnsi="Times New Roman" w:cs="Times New Roman"/>
          <w:sz w:val="20"/>
          <w:szCs w:val="20"/>
          <w:lang w:val="en-US"/>
        </w:rPr>
        <w:t xml:space="preserve"> from</w:t>
      </w:r>
      <w:r>
        <w:rPr>
          <w:rFonts w:ascii="Times New Roman" w:hAnsi="Times New Roman" w:cs="Times New Roman"/>
          <w:sz w:val="20"/>
          <w:szCs w:val="20"/>
          <w:lang w:val="en-US"/>
        </w:rPr>
        <w:t xml:space="preserve"> the</w:t>
      </w:r>
      <w:r w:rsidRPr="0035316B">
        <w:rPr>
          <w:rFonts w:ascii="Times New Roman" w:hAnsi="Times New Roman" w:cs="Times New Roman"/>
          <w:sz w:val="20"/>
          <w:szCs w:val="20"/>
          <w:lang w:val="en-US"/>
        </w:rPr>
        <w:t xml:space="preserve"> </w:t>
      </w:r>
      <w:r w:rsidRPr="0035316B">
        <w:rPr>
          <w:rFonts w:ascii="Times New Roman" w:eastAsia="Times New Roman" w:hAnsi="Times New Roman" w:cs="Times New Roman"/>
          <w:color w:val="000000"/>
          <w:sz w:val="20"/>
          <w:szCs w:val="20"/>
          <w:lang w:val="en-US" w:eastAsia="nl-NL"/>
        </w:rPr>
        <w:t>International Integrated Reporting Council (IIRC)</w:t>
      </w:r>
      <w:r w:rsidRPr="0035316B">
        <w:rPr>
          <w:rFonts w:ascii="Times New Roman" w:hAnsi="Times New Roman" w:cs="Times New Roman"/>
          <w:sz w:val="20"/>
          <w:szCs w:val="20"/>
          <w:lang w:val="en-US"/>
        </w:rPr>
        <w:t xml:space="preserve"> meeting outlining the IIRC’s</w:t>
      </w:r>
      <w:r>
        <w:rPr>
          <w:rFonts w:ascii="Times New Roman" w:hAnsi="Times New Roman" w:cs="Times New Roman"/>
          <w:sz w:val="20"/>
          <w:szCs w:val="20"/>
          <w:lang w:val="en-US"/>
        </w:rPr>
        <w:t xml:space="preserve"> long-</w:t>
      </w:r>
      <w:r w:rsidRPr="0035316B">
        <w:rPr>
          <w:rFonts w:ascii="Times New Roman" w:hAnsi="Times New Roman" w:cs="Times New Roman"/>
          <w:sz w:val="20"/>
          <w:szCs w:val="20"/>
          <w:lang w:val="en-US"/>
        </w:rPr>
        <w:t>term vision, December 5, 2013</w:t>
      </w:r>
      <w:r>
        <w:rPr>
          <w:rFonts w:ascii="Times New Roman" w:hAnsi="Times New Roman" w:cs="Times New Roman"/>
          <w:sz w:val="20"/>
          <w:szCs w:val="20"/>
          <w:lang w:val="en-US"/>
        </w:rPr>
        <w:t>, emphasis in original</w:t>
      </w:r>
      <w:r w:rsidRPr="0035316B">
        <w:rPr>
          <w:rFonts w:ascii="Times New Roman" w:hAnsi="Times New Roman" w:cs="Times New Roman"/>
          <w:sz w:val="20"/>
          <w:szCs w:val="20"/>
          <w:lang w:val="en-US"/>
        </w:rPr>
        <w:t>)</w:t>
      </w:r>
    </w:p>
    <w:p w14:paraId="42905CA6" w14:textId="3A282551" w:rsidR="00814508" w:rsidRDefault="00814508" w:rsidP="00EA6237">
      <w:pPr>
        <w:spacing w:line="360" w:lineRule="auto"/>
        <w:ind w:firstLine="567"/>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eastAsia="nl-NL"/>
        </w:rPr>
        <w:t>The quotation above outlines the ambitious long-term vision of the International Integrated Reporting</w:t>
      </w:r>
      <w:r w:rsidRPr="00DD1E36">
        <w:rPr>
          <w:rFonts w:ascii="Times New Roman" w:eastAsia="Times New Roman" w:hAnsi="Times New Roman" w:cs="Times New Roman"/>
          <w:color w:val="000000"/>
          <w:lang w:val="en-US" w:eastAsia="nl-NL"/>
        </w:rPr>
        <w:t xml:space="preserve"> Council (</w:t>
      </w:r>
      <w:r w:rsidRPr="00422BEF">
        <w:rPr>
          <w:rFonts w:ascii="Times New Roman" w:eastAsia="Times New Roman" w:hAnsi="Times New Roman" w:cs="Times New Roman"/>
          <w:color w:val="000000"/>
          <w:lang w:val="en-US" w:eastAsia="nl-NL"/>
        </w:rPr>
        <w:t xml:space="preserve">IIRC) for </w:t>
      </w:r>
      <w:r w:rsidR="00A9666A">
        <w:rPr>
          <w:rFonts w:ascii="Times New Roman" w:eastAsia="Times New Roman" w:hAnsi="Times New Roman" w:cs="Times New Roman"/>
          <w:color w:val="000000"/>
          <w:lang w:val="en-US" w:eastAsia="nl-NL"/>
        </w:rPr>
        <w:t>a</w:t>
      </w:r>
      <w:r w:rsidR="00A9666A" w:rsidRPr="00422BEF">
        <w:rPr>
          <w:rFonts w:ascii="Times New Roman" w:eastAsia="Times New Roman" w:hAnsi="Times New Roman" w:cs="Times New Roman"/>
          <w:color w:val="000000"/>
          <w:lang w:val="en-US" w:eastAsia="nl-NL"/>
        </w:rPr>
        <w:t xml:space="preserve"> </w:t>
      </w:r>
      <w:r w:rsidRPr="00422BEF">
        <w:rPr>
          <w:rFonts w:ascii="Times New Roman" w:eastAsia="Times New Roman" w:hAnsi="Times New Roman" w:cs="Times New Roman"/>
          <w:color w:val="000000"/>
          <w:lang w:val="en-US" w:eastAsia="nl-NL"/>
        </w:rPr>
        <w:t xml:space="preserve">future of corporate reporting </w:t>
      </w:r>
      <w:r w:rsidR="00A9666A">
        <w:rPr>
          <w:rFonts w:ascii="Times New Roman" w:eastAsia="Times New Roman" w:hAnsi="Times New Roman" w:cs="Times New Roman"/>
          <w:color w:val="000000"/>
          <w:lang w:val="en-US" w:eastAsia="nl-NL"/>
        </w:rPr>
        <w:t xml:space="preserve">in </w:t>
      </w:r>
      <w:r w:rsidRPr="00422BEF">
        <w:rPr>
          <w:rFonts w:ascii="Times New Roman" w:eastAsia="Times New Roman" w:hAnsi="Times New Roman" w:cs="Times New Roman"/>
          <w:color w:val="000000"/>
          <w:lang w:val="en-US" w:eastAsia="nl-NL"/>
        </w:rPr>
        <w:t xml:space="preserve">which </w:t>
      </w:r>
      <w:r w:rsidR="00121D10">
        <w:rPr>
          <w:rFonts w:ascii="Times New Roman" w:eastAsia="Times New Roman" w:hAnsi="Times New Roman" w:cs="Times New Roman"/>
          <w:color w:val="000000"/>
          <w:lang w:val="en-US" w:eastAsia="nl-NL"/>
        </w:rPr>
        <w:t>i</w:t>
      </w:r>
      <w:r w:rsidRPr="00422BEF">
        <w:rPr>
          <w:rFonts w:ascii="Times New Roman" w:eastAsia="Times New Roman" w:hAnsi="Times New Roman" w:cs="Times New Roman"/>
          <w:color w:val="000000"/>
          <w:lang w:val="en-US" w:eastAsia="nl-NL"/>
        </w:rPr>
        <w:t xml:space="preserve">ntegrated </w:t>
      </w:r>
      <w:r w:rsidR="00121D10">
        <w:rPr>
          <w:rFonts w:ascii="Times New Roman" w:eastAsia="Times New Roman" w:hAnsi="Times New Roman" w:cs="Times New Roman"/>
          <w:color w:val="000000"/>
          <w:lang w:val="en-US" w:eastAsia="nl-NL"/>
        </w:rPr>
        <w:t>r</w:t>
      </w:r>
      <w:r w:rsidRPr="00422BEF">
        <w:rPr>
          <w:rFonts w:ascii="Times New Roman" w:eastAsia="Times New Roman" w:hAnsi="Times New Roman" w:cs="Times New Roman"/>
          <w:color w:val="000000"/>
          <w:lang w:val="en-US" w:eastAsia="nl-NL"/>
        </w:rPr>
        <w:t xml:space="preserve">eporting </w:t>
      </w:r>
      <w:r w:rsidR="001A2388">
        <w:rPr>
          <w:rFonts w:ascii="Times New Roman" w:eastAsia="Times New Roman" w:hAnsi="Times New Roman" w:cs="Times New Roman"/>
          <w:color w:val="000000"/>
          <w:lang w:val="en-US" w:eastAsia="nl-NL"/>
        </w:rPr>
        <w:t>will</w:t>
      </w:r>
      <w:r w:rsidR="00D13ADA">
        <w:rPr>
          <w:rFonts w:ascii="Times New Roman" w:eastAsia="Times New Roman" w:hAnsi="Times New Roman" w:cs="Times New Roman"/>
          <w:color w:val="000000"/>
          <w:lang w:val="en-US" w:eastAsia="nl-NL"/>
        </w:rPr>
        <w:t xml:space="preserve"> </w:t>
      </w:r>
      <w:r>
        <w:rPr>
          <w:rFonts w:ascii="Times New Roman" w:eastAsia="Times New Roman" w:hAnsi="Times New Roman" w:cs="Times New Roman"/>
          <w:color w:val="000000"/>
          <w:lang w:val="en-US" w:eastAsia="nl-NL"/>
        </w:rPr>
        <w:t xml:space="preserve">eventually </w:t>
      </w:r>
      <w:r w:rsidRPr="00422BEF">
        <w:rPr>
          <w:rFonts w:ascii="Times New Roman" w:eastAsia="Times New Roman" w:hAnsi="Times New Roman" w:cs="Times New Roman"/>
          <w:color w:val="000000"/>
          <w:lang w:val="en-US" w:eastAsia="nl-NL"/>
        </w:rPr>
        <w:t xml:space="preserve">become </w:t>
      </w:r>
      <w:r w:rsidRPr="00AB2E45">
        <w:rPr>
          <w:rFonts w:ascii="Times New Roman" w:eastAsia="Times New Roman" w:hAnsi="Times New Roman" w:cs="Times New Roman"/>
          <w:i/>
          <w:color w:val="000000"/>
          <w:lang w:val="en-US" w:eastAsia="nl-NL"/>
        </w:rPr>
        <w:t xml:space="preserve">the </w:t>
      </w:r>
      <w:r w:rsidRPr="00422BEF">
        <w:rPr>
          <w:rFonts w:ascii="Times New Roman" w:eastAsia="Times New Roman" w:hAnsi="Times New Roman" w:cs="Times New Roman"/>
          <w:color w:val="000000"/>
          <w:lang w:val="en-US" w:eastAsia="nl-NL"/>
        </w:rPr>
        <w:t>international corporate reporting norm. This vision was agreed</w:t>
      </w:r>
      <w:r>
        <w:rPr>
          <w:rFonts w:ascii="Times New Roman" w:eastAsia="Times New Roman" w:hAnsi="Times New Roman" w:cs="Times New Roman"/>
          <w:color w:val="000000"/>
          <w:lang w:val="en-US" w:eastAsia="nl-NL"/>
        </w:rPr>
        <w:t xml:space="preserve"> at</w:t>
      </w:r>
      <w:r w:rsidRPr="00422BEF">
        <w:rPr>
          <w:rFonts w:ascii="Times New Roman" w:eastAsia="Times New Roman" w:hAnsi="Times New Roman" w:cs="Times New Roman"/>
          <w:color w:val="000000"/>
          <w:lang w:val="en-US" w:eastAsia="nl-NL"/>
        </w:rPr>
        <w:t xml:space="preserve"> a meeting of the IIRC council which approved the final draft of a conceptual framework for </w:t>
      </w:r>
      <w:r w:rsidR="00121D10">
        <w:rPr>
          <w:rFonts w:ascii="Times New Roman" w:eastAsia="Times New Roman" w:hAnsi="Times New Roman" w:cs="Times New Roman"/>
          <w:color w:val="000000"/>
          <w:lang w:val="en-US" w:eastAsia="nl-NL"/>
        </w:rPr>
        <w:t>integrated reporting</w:t>
      </w:r>
      <w:r>
        <w:rPr>
          <w:rFonts w:ascii="Times New Roman" w:eastAsia="Times New Roman" w:hAnsi="Times New Roman" w:cs="Times New Roman"/>
          <w:color w:val="000000"/>
          <w:lang w:val="en-US" w:eastAsia="nl-NL"/>
        </w:rPr>
        <w:t xml:space="preserve"> in December 2013.</w:t>
      </w:r>
      <w:r w:rsidRPr="00422BEF">
        <w:rPr>
          <w:rFonts w:ascii="Times New Roman" w:eastAsia="Times New Roman" w:hAnsi="Times New Roman" w:cs="Times New Roman"/>
          <w:color w:val="000000"/>
          <w:lang w:val="en-US" w:eastAsia="nl-NL"/>
        </w:rPr>
        <w:t xml:space="preserve"> The framework was launched </w:t>
      </w:r>
      <w:r w:rsidR="00DB1258">
        <w:rPr>
          <w:rFonts w:ascii="Times New Roman" w:eastAsia="Times New Roman" w:hAnsi="Times New Roman" w:cs="Times New Roman"/>
          <w:color w:val="000000"/>
          <w:lang w:val="en-US" w:eastAsia="nl-NL"/>
        </w:rPr>
        <w:t>after</w:t>
      </w:r>
      <w:r>
        <w:rPr>
          <w:rFonts w:ascii="Times New Roman" w:eastAsia="Times New Roman" w:hAnsi="Times New Roman" w:cs="Times New Roman"/>
          <w:color w:val="000000"/>
          <w:lang w:val="en-US" w:eastAsia="nl-NL"/>
        </w:rPr>
        <w:t xml:space="preserve"> this meeting</w:t>
      </w:r>
      <w:r w:rsidRPr="00422BEF">
        <w:rPr>
          <w:rFonts w:ascii="Times New Roman" w:eastAsia="Times New Roman" w:hAnsi="Times New Roman" w:cs="Times New Roman"/>
          <w:color w:val="000000"/>
          <w:lang w:val="en-US" w:eastAsia="nl-NL"/>
        </w:rPr>
        <w:t xml:space="preserve">, </w:t>
      </w:r>
      <w:r>
        <w:rPr>
          <w:rFonts w:ascii="Times New Roman" w:eastAsia="Times New Roman" w:hAnsi="Times New Roman" w:cs="Times New Roman"/>
          <w:color w:val="000000"/>
          <w:lang w:val="en-US" w:eastAsia="nl-NL"/>
        </w:rPr>
        <w:t xml:space="preserve">just over </w:t>
      </w:r>
      <w:r w:rsidRPr="00422BEF">
        <w:rPr>
          <w:rFonts w:ascii="Times New Roman" w:eastAsia="Times New Roman" w:hAnsi="Times New Roman" w:cs="Times New Roman"/>
          <w:color w:val="000000"/>
          <w:lang w:val="en-US" w:eastAsia="nl-NL"/>
        </w:rPr>
        <w:t>three years after the IIRC’s formation.</w:t>
      </w:r>
      <w:r>
        <w:rPr>
          <w:rFonts w:ascii="Times New Roman" w:eastAsia="Times New Roman" w:hAnsi="Times New Roman" w:cs="Times New Roman"/>
          <w:color w:val="000000"/>
          <w:lang w:val="en-US"/>
        </w:rPr>
        <w:t xml:space="preserve"> The speed of th</w:t>
      </w:r>
      <w:r w:rsidR="00124A8C">
        <w:rPr>
          <w:rFonts w:ascii="Times New Roman" w:eastAsia="Times New Roman" w:hAnsi="Times New Roman" w:cs="Times New Roman"/>
          <w:color w:val="000000"/>
          <w:lang w:val="en-US"/>
        </w:rPr>
        <w:t>e</w:t>
      </w:r>
      <w:r>
        <w:rPr>
          <w:rFonts w:ascii="Times New Roman" w:eastAsia="Times New Roman" w:hAnsi="Times New Roman" w:cs="Times New Roman"/>
          <w:color w:val="000000"/>
          <w:lang w:val="en-US"/>
        </w:rPr>
        <w:t xml:space="preserve"> framework</w:t>
      </w:r>
      <w:r w:rsidR="00A9666A">
        <w:rPr>
          <w:rFonts w:ascii="Times New Roman" w:eastAsia="Times New Roman" w:hAnsi="Times New Roman" w:cs="Times New Roman"/>
          <w:color w:val="000000"/>
          <w:lang w:val="en-US"/>
        </w:rPr>
        <w:t>’s</w:t>
      </w:r>
      <w:r>
        <w:rPr>
          <w:rFonts w:ascii="Times New Roman" w:eastAsia="Times New Roman" w:hAnsi="Times New Roman" w:cs="Times New Roman"/>
          <w:color w:val="000000"/>
          <w:lang w:val="en-US"/>
        </w:rPr>
        <w:t xml:space="preserve"> development testifies to </w:t>
      </w:r>
      <w:r w:rsidRPr="00422BEF">
        <w:rPr>
          <w:rFonts w:ascii="Times New Roman" w:eastAsia="Times New Roman" w:hAnsi="Times New Roman" w:cs="Times New Roman"/>
          <w:color w:val="000000"/>
          <w:lang w:val="en-US"/>
        </w:rPr>
        <w:t xml:space="preserve">the </w:t>
      </w:r>
      <w:r>
        <w:rPr>
          <w:rFonts w:ascii="Times New Roman" w:eastAsia="Times New Roman" w:hAnsi="Times New Roman" w:cs="Times New Roman"/>
          <w:color w:val="000000"/>
          <w:lang w:val="en-US"/>
        </w:rPr>
        <w:t xml:space="preserve">escalating </w:t>
      </w:r>
      <w:r w:rsidRPr="00422BEF">
        <w:rPr>
          <w:rFonts w:ascii="Times New Roman" w:eastAsia="Times New Roman" w:hAnsi="Times New Roman" w:cs="Times New Roman"/>
          <w:color w:val="000000"/>
          <w:lang w:val="en-US"/>
        </w:rPr>
        <w:t xml:space="preserve">significance and visibility of the IIRC. </w:t>
      </w:r>
      <w:r w:rsidR="00121D10">
        <w:rPr>
          <w:rFonts w:ascii="Times New Roman" w:eastAsia="Times New Roman" w:hAnsi="Times New Roman" w:cs="Times New Roman"/>
          <w:color w:val="000000"/>
          <w:lang w:val="en-US"/>
        </w:rPr>
        <w:t>Integrated reporting</w:t>
      </w:r>
      <w:r w:rsidRPr="00422BEF">
        <w:rPr>
          <w:rFonts w:ascii="Times New Roman" w:eastAsia="Times New Roman" w:hAnsi="Times New Roman" w:cs="Times New Roman"/>
          <w:color w:val="000000"/>
          <w:lang w:val="en-US"/>
        </w:rPr>
        <w:t xml:space="preserve"> is now discussed and advocated in positive terms </w:t>
      </w:r>
      <w:r>
        <w:rPr>
          <w:rFonts w:ascii="Times New Roman" w:eastAsia="Times New Roman" w:hAnsi="Times New Roman" w:cs="Times New Roman"/>
          <w:color w:val="000000"/>
          <w:lang w:val="en-US"/>
        </w:rPr>
        <w:t xml:space="preserve">by </w:t>
      </w:r>
      <w:r w:rsidR="00121D10">
        <w:rPr>
          <w:rFonts w:ascii="Times New Roman" w:eastAsia="Times New Roman" w:hAnsi="Times New Roman" w:cs="Times New Roman"/>
          <w:color w:val="000000"/>
          <w:lang w:val="en-US"/>
        </w:rPr>
        <w:t xml:space="preserve">a number of </w:t>
      </w:r>
      <w:r>
        <w:rPr>
          <w:rFonts w:ascii="Times New Roman" w:eastAsia="Times New Roman" w:hAnsi="Times New Roman" w:cs="Times New Roman"/>
          <w:color w:val="000000"/>
          <w:lang w:val="en-US"/>
        </w:rPr>
        <w:t>leading multinational</w:t>
      </w:r>
      <w:r w:rsidR="00823C68">
        <w:rPr>
          <w:rFonts w:ascii="Times New Roman" w:eastAsia="Times New Roman" w:hAnsi="Times New Roman" w:cs="Times New Roman"/>
          <w:color w:val="000000"/>
          <w:lang w:val="en-US"/>
        </w:rPr>
        <w:t xml:space="preserve"> corporations, </w:t>
      </w:r>
      <w:r>
        <w:rPr>
          <w:rFonts w:ascii="Times New Roman" w:eastAsia="Times New Roman" w:hAnsi="Times New Roman" w:cs="Times New Roman"/>
          <w:color w:val="000000"/>
          <w:lang w:val="en-US"/>
        </w:rPr>
        <w:t>the EU Commission,</w:t>
      </w:r>
      <w:r w:rsidR="000B36DA">
        <w:rPr>
          <w:rFonts w:ascii="Times New Roman" w:eastAsia="Times New Roman" w:hAnsi="Times New Roman" w:cs="Times New Roman"/>
          <w:color w:val="000000"/>
          <w:lang w:val="en-US"/>
        </w:rPr>
        <w:t xml:space="preserve"> and</w:t>
      </w:r>
      <w:r>
        <w:rPr>
          <w:rFonts w:ascii="Times New Roman" w:eastAsia="Times New Roman" w:hAnsi="Times New Roman" w:cs="Times New Roman"/>
          <w:color w:val="000000"/>
          <w:lang w:val="en-US"/>
        </w:rPr>
        <w:t xml:space="preserve"> </w:t>
      </w:r>
      <w:r w:rsidR="00121D10">
        <w:rPr>
          <w:rFonts w:ascii="Times New Roman" w:eastAsia="Times New Roman" w:hAnsi="Times New Roman" w:cs="Times New Roman"/>
          <w:color w:val="000000"/>
          <w:lang w:val="en-US"/>
        </w:rPr>
        <w:t xml:space="preserve">many </w:t>
      </w:r>
      <w:r>
        <w:rPr>
          <w:rFonts w:ascii="Times New Roman" w:eastAsia="Times New Roman" w:hAnsi="Times New Roman" w:cs="Times New Roman"/>
          <w:color w:val="000000"/>
          <w:lang w:val="en-US"/>
        </w:rPr>
        <w:t>international accounting and investment bodies</w:t>
      </w:r>
      <w:r w:rsidR="000B36DA">
        <w:rPr>
          <w:rFonts w:ascii="Times New Roman" w:eastAsia="Times New Roman" w:hAnsi="Times New Roman" w:cs="Times New Roman"/>
          <w:color w:val="000000"/>
          <w:lang w:val="en-US"/>
        </w:rPr>
        <w:t xml:space="preserve"> </w:t>
      </w:r>
      <w:r w:rsidR="00DB1258">
        <w:rPr>
          <w:rFonts w:ascii="Times New Roman" w:eastAsia="Times New Roman" w:hAnsi="Times New Roman" w:cs="Times New Roman"/>
          <w:color w:val="000000"/>
          <w:lang w:val="en-US"/>
        </w:rPr>
        <w:t xml:space="preserve">– </w:t>
      </w:r>
      <w:r w:rsidR="00124A8C">
        <w:rPr>
          <w:rFonts w:ascii="Times New Roman" w:eastAsia="Times New Roman" w:hAnsi="Times New Roman" w:cs="Times New Roman"/>
          <w:color w:val="000000"/>
          <w:lang w:val="en-US"/>
        </w:rPr>
        <w:t xml:space="preserve">with persistent </w:t>
      </w:r>
      <w:r w:rsidR="00A9666A">
        <w:rPr>
          <w:rFonts w:ascii="Times New Roman" w:eastAsia="Times New Roman" w:hAnsi="Times New Roman" w:cs="Times New Roman"/>
          <w:color w:val="000000"/>
          <w:lang w:val="en-US"/>
        </w:rPr>
        <w:t>claim</w:t>
      </w:r>
      <w:r w:rsidR="00124A8C">
        <w:rPr>
          <w:rFonts w:ascii="Times New Roman" w:eastAsia="Times New Roman" w:hAnsi="Times New Roman" w:cs="Times New Roman"/>
          <w:color w:val="000000"/>
          <w:lang w:val="en-US"/>
        </w:rPr>
        <w:t xml:space="preserve">s that it is </w:t>
      </w:r>
      <w:r w:rsidRPr="00422BEF">
        <w:rPr>
          <w:rFonts w:ascii="Times New Roman" w:eastAsia="Times New Roman" w:hAnsi="Times New Roman" w:cs="Times New Roman"/>
          <w:color w:val="000000"/>
          <w:lang w:val="en-US"/>
        </w:rPr>
        <w:t>an innovation that needed to happen and something that is going to lead the way in terms of the future development of corporate reporting</w:t>
      </w:r>
      <w:r w:rsidR="00BB04FC">
        <w:rPr>
          <w:rStyle w:val="FootnoteReference"/>
          <w:rFonts w:ascii="Times New Roman" w:eastAsia="Times New Roman" w:hAnsi="Times New Roman" w:cs="Times New Roman"/>
          <w:color w:val="000000"/>
          <w:lang w:val="en-US"/>
        </w:rPr>
        <w:footnoteReference w:id="1"/>
      </w:r>
      <w:r w:rsidR="00EA6237">
        <w:rPr>
          <w:rFonts w:ascii="Times New Roman" w:eastAsia="Times New Roman" w:hAnsi="Times New Roman" w:cs="Times New Roman"/>
          <w:color w:val="000000"/>
          <w:lang w:val="en-US"/>
        </w:rPr>
        <w:t>.</w:t>
      </w:r>
      <w:r w:rsidRPr="00422BEF">
        <w:rPr>
          <w:rFonts w:ascii="Times New Roman" w:eastAsia="Times New Roman" w:hAnsi="Times New Roman" w:cs="Times New Roman"/>
          <w:color w:val="000000"/>
          <w:lang w:val="en-US"/>
        </w:rPr>
        <w:t xml:space="preserve"> </w:t>
      </w:r>
    </w:p>
    <w:p w14:paraId="3EF1D98C" w14:textId="2F04DFDE" w:rsidR="00D45E8A" w:rsidRPr="00953650" w:rsidRDefault="00EE7601" w:rsidP="00953650">
      <w:pPr>
        <w:autoSpaceDE w:val="0"/>
        <w:autoSpaceDN w:val="0"/>
        <w:adjustRightInd w:val="0"/>
        <w:spacing w:after="0" w:line="360" w:lineRule="auto"/>
        <w:ind w:firstLine="567"/>
        <w:jc w:val="both"/>
        <w:rPr>
          <w:rStyle w:val="hlfld-abstract"/>
          <w:rFonts w:ascii="Times New Roman" w:eastAsia="Times New Roman" w:hAnsi="Times New Roman" w:cs="Times New Roman"/>
          <w:color w:val="000000"/>
          <w:lang w:val="en-IE" w:eastAsia="en-IE"/>
        </w:rPr>
      </w:pPr>
      <w:r w:rsidRPr="00953650">
        <w:rPr>
          <w:rFonts w:ascii="Times New Roman" w:eastAsia="Times New Roman" w:hAnsi="Times New Roman" w:cs="Times New Roman"/>
          <w:color w:val="000000"/>
          <w:lang w:val="en-IE" w:eastAsia="en-IE"/>
        </w:rPr>
        <w:t>Research on integrated reporting and the work of the IIRC has developed in a relatively broad fashion</w:t>
      </w:r>
      <w:r w:rsidR="00AC572F">
        <w:rPr>
          <w:rFonts w:ascii="Times New Roman" w:eastAsia="Times New Roman" w:hAnsi="Times New Roman" w:cs="Times New Roman"/>
          <w:color w:val="000000"/>
          <w:lang w:val="en-IE" w:eastAsia="en-IE"/>
        </w:rPr>
        <w:t xml:space="preserve">. </w:t>
      </w:r>
      <w:r w:rsidR="00AB4E9D" w:rsidRPr="00AC572F">
        <w:rPr>
          <w:rFonts w:ascii="Times New Roman" w:hAnsi="Times New Roman" w:cs="Times New Roman"/>
          <w:lang w:val="en-US"/>
        </w:rPr>
        <w:t>A small but developing body of academic work has</w:t>
      </w:r>
      <w:r w:rsidR="00953650">
        <w:rPr>
          <w:rFonts w:ascii="Times New Roman" w:hAnsi="Times New Roman" w:cs="Times New Roman"/>
          <w:lang w:val="en-US"/>
        </w:rPr>
        <w:t xml:space="preserve"> </w:t>
      </w:r>
      <w:r w:rsidR="00AC572F" w:rsidRPr="00953650">
        <w:rPr>
          <w:rFonts w:ascii="Times New Roman" w:hAnsi="Times New Roman" w:cs="Times New Roman"/>
          <w:lang w:val="en-US"/>
        </w:rPr>
        <w:t>stud</w:t>
      </w:r>
      <w:r w:rsidR="00953650">
        <w:rPr>
          <w:rFonts w:ascii="Times New Roman" w:hAnsi="Times New Roman" w:cs="Times New Roman"/>
          <w:lang w:val="en-US"/>
        </w:rPr>
        <w:t>ied</w:t>
      </w:r>
      <w:r w:rsidR="00AC572F" w:rsidRPr="00953650">
        <w:rPr>
          <w:rFonts w:ascii="Times New Roman" w:hAnsi="Times New Roman" w:cs="Times New Roman"/>
          <w:lang w:val="en-US"/>
        </w:rPr>
        <w:t xml:space="preserve"> </w:t>
      </w:r>
      <w:r w:rsidR="00AB4E9D" w:rsidRPr="00AC572F">
        <w:rPr>
          <w:rFonts w:ascii="Times New Roman" w:hAnsi="Times New Roman" w:cs="Times New Roman"/>
          <w:lang w:val="en-US"/>
        </w:rPr>
        <w:t>the potential of integrated reporting employed by early adopters to foster transitions to more sustainable business practices (Brown and Dillard, 2014; Higgins et al., 2014; Stubbs and Higgins, 2014). Van Bommel (2014)</w:t>
      </w:r>
      <w:r w:rsidR="00953650">
        <w:rPr>
          <w:rFonts w:ascii="Times New Roman" w:hAnsi="Times New Roman" w:cs="Times New Roman"/>
          <w:lang w:val="en-US"/>
        </w:rPr>
        <w:t xml:space="preserve"> </w:t>
      </w:r>
      <w:r w:rsidR="00DE1110">
        <w:rPr>
          <w:rFonts w:ascii="Times New Roman" w:hAnsi="Times New Roman" w:cs="Times New Roman"/>
          <w:lang w:val="en-US"/>
        </w:rPr>
        <w:t>ha</w:t>
      </w:r>
      <w:r w:rsidR="00953650">
        <w:rPr>
          <w:rFonts w:ascii="Times New Roman" w:hAnsi="Times New Roman" w:cs="Times New Roman"/>
          <w:lang w:val="en-US"/>
        </w:rPr>
        <w:t>s</w:t>
      </w:r>
      <w:r w:rsidR="00DE1110">
        <w:rPr>
          <w:rFonts w:ascii="Times New Roman" w:hAnsi="Times New Roman" w:cs="Times New Roman"/>
          <w:lang w:val="en-US"/>
        </w:rPr>
        <w:t xml:space="preserve"> </w:t>
      </w:r>
      <w:r w:rsidR="00AB4E9D" w:rsidRPr="00AC572F">
        <w:rPr>
          <w:rFonts w:ascii="Times New Roman" w:hAnsi="Times New Roman" w:cs="Times New Roman"/>
          <w:lang w:val="en-US"/>
        </w:rPr>
        <w:t xml:space="preserve"> </w:t>
      </w:r>
      <w:r w:rsidR="00AC572F" w:rsidRPr="00AC572F">
        <w:rPr>
          <w:rFonts w:ascii="Times New Roman" w:hAnsi="Times New Roman" w:cs="Times New Roman"/>
          <w:lang w:val="en-US"/>
        </w:rPr>
        <w:t>highlight</w:t>
      </w:r>
      <w:r w:rsidR="00DE1110">
        <w:rPr>
          <w:rFonts w:ascii="Times New Roman" w:hAnsi="Times New Roman" w:cs="Times New Roman"/>
          <w:lang w:val="en-US"/>
        </w:rPr>
        <w:t>ed</w:t>
      </w:r>
      <w:r w:rsidRPr="00AC572F">
        <w:rPr>
          <w:rFonts w:ascii="Times New Roman" w:hAnsi="Times New Roman" w:cs="Times New Roman"/>
          <w:lang w:val="en-US"/>
        </w:rPr>
        <w:t xml:space="preserve"> </w:t>
      </w:r>
      <w:r w:rsidRPr="00953650">
        <w:rPr>
          <w:rStyle w:val="hlfld-abstract"/>
          <w:rFonts w:ascii="Times New Roman" w:hAnsi="Times New Roman" w:cs="Times New Roman"/>
          <w:lang w:val="en-IE"/>
        </w:rPr>
        <w:t xml:space="preserve">the risk that integrated reporting may get captured by investors and accountants while Flower (2015) and Thomson (2015) </w:t>
      </w:r>
      <w:r w:rsidR="00DE1110">
        <w:rPr>
          <w:rStyle w:val="hlfld-abstract"/>
          <w:rFonts w:ascii="Times New Roman" w:hAnsi="Times New Roman" w:cs="Times New Roman"/>
          <w:lang w:val="en-IE"/>
        </w:rPr>
        <w:t xml:space="preserve">have </w:t>
      </w:r>
      <w:r w:rsidR="00AC572F" w:rsidRPr="00AC572F">
        <w:rPr>
          <w:rStyle w:val="hlfld-abstract"/>
          <w:rFonts w:ascii="Times New Roman" w:hAnsi="Times New Roman" w:cs="Times New Roman"/>
          <w:lang w:val="en-IE"/>
        </w:rPr>
        <w:t>problematiz</w:t>
      </w:r>
      <w:r w:rsidR="00AC572F">
        <w:rPr>
          <w:rStyle w:val="hlfld-abstract"/>
          <w:rFonts w:ascii="Times New Roman" w:hAnsi="Times New Roman" w:cs="Times New Roman"/>
          <w:lang w:val="en-IE"/>
        </w:rPr>
        <w:t>e</w:t>
      </w:r>
      <w:r w:rsidR="00DE1110">
        <w:rPr>
          <w:rStyle w:val="hlfld-abstract"/>
          <w:rFonts w:ascii="Times New Roman" w:hAnsi="Times New Roman" w:cs="Times New Roman"/>
          <w:lang w:val="en-IE"/>
        </w:rPr>
        <w:t>d</w:t>
      </w:r>
      <w:r w:rsidRPr="00953650">
        <w:rPr>
          <w:rStyle w:val="hlfld-abstract"/>
          <w:rFonts w:ascii="Times New Roman" w:hAnsi="Times New Roman" w:cs="Times New Roman"/>
          <w:lang w:val="en-IE"/>
        </w:rPr>
        <w:t xml:space="preserve"> the shifting content of the IIRC’s </w:t>
      </w:r>
      <w:r w:rsidR="00D45E8A">
        <w:rPr>
          <w:rStyle w:val="hlfld-abstract"/>
          <w:rFonts w:ascii="Times New Roman" w:hAnsi="Times New Roman" w:cs="Times New Roman"/>
          <w:lang w:val="en-IE"/>
        </w:rPr>
        <w:t xml:space="preserve">integrated reporting </w:t>
      </w:r>
      <w:r w:rsidRPr="00953650">
        <w:rPr>
          <w:rStyle w:val="hlfld-abstract"/>
          <w:rFonts w:ascii="Times New Roman" w:hAnsi="Times New Roman" w:cs="Times New Roman"/>
          <w:lang w:val="en-IE"/>
        </w:rPr>
        <w:t>proposals.</w:t>
      </w:r>
      <w:r w:rsidR="00D45E8A" w:rsidRPr="00953650">
        <w:rPr>
          <w:rStyle w:val="hlfld-abstract"/>
          <w:rFonts w:ascii="Times New Roman" w:hAnsi="Times New Roman" w:cs="Times New Roman"/>
          <w:lang w:val="en-IE"/>
        </w:rPr>
        <w:t xml:space="preserve"> Work inspired by actor network theory has </w:t>
      </w:r>
      <w:r w:rsidR="00AC572F">
        <w:rPr>
          <w:rFonts w:ascii="Times New Roman" w:hAnsi="Times New Roman" w:cs="Times New Roman"/>
          <w:lang w:val="en-IE"/>
        </w:rPr>
        <w:t xml:space="preserve">developed </w:t>
      </w:r>
      <w:r w:rsidR="00D45E8A" w:rsidRPr="00953650">
        <w:rPr>
          <w:rFonts w:ascii="Times New Roman" w:hAnsi="Times New Roman" w:cs="Times New Roman"/>
          <w:lang w:val="en-IE"/>
        </w:rPr>
        <w:t xml:space="preserve">our understanding of the tensions in the network of bodies </w:t>
      </w:r>
      <w:r w:rsidR="00DE1110">
        <w:rPr>
          <w:rFonts w:ascii="Times New Roman" w:hAnsi="Times New Roman" w:cs="Times New Roman"/>
          <w:lang w:val="en-IE"/>
        </w:rPr>
        <w:t xml:space="preserve">engaged </w:t>
      </w:r>
      <w:r w:rsidR="00D45E8A" w:rsidRPr="00953650">
        <w:rPr>
          <w:rFonts w:ascii="Times New Roman" w:hAnsi="Times New Roman" w:cs="Times New Roman"/>
          <w:lang w:val="en-IE"/>
        </w:rPr>
        <w:t>in developing</w:t>
      </w:r>
      <w:r w:rsidR="00AC572F" w:rsidRPr="00DE1110">
        <w:rPr>
          <w:rFonts w:ascii="Times New Roman" w:hAnsi="Times New Roman" w:cs="Times New Roman"/>
          <w:lang w:val="en-IE"/>
        </w:rPr>
        <w:t xml:space="preserve"> and pr</w:t>
      </w:r>
      <w:r w:rsidR="00AC572F" w:rsidRPr="00672171">
        <w:rPr>
          <w:rFonts w:ascii="Times New Roman" w:hAnsi="Times New Roman" w:cs="Times New Roman"/>
          <w:lang w:val="en-IE"/>
        </w:rPr>
        <w:t>omoting</w:t>
      </w:r>
      <w:r w:rsidR="00D45E8A" w:rsidRPr="00953650">
        <w:rPr>
          <w:rFonts w:ascii="Times New Roman" w:hAnsi="Times New Roman" w:cs="Times New Roman"/>
          <w:lang w:val="en-IE"/>
        </w:rPr>
        <w:t xml:space="preserve"> integrated reporting</w:t>
      </w:r>
      <w:r w:rsidR="00446B14">
        <w:rPr>
          <w:rFonts w:ascii="Times New Roman" w:hAnsi="Times New Roman" w:cs="Times New Roman"/>
          <w:lang w:val="en-IE"/>
        </w:rPr>
        <w:t xml:space="preserve"> (</w:t>
      </w:r>
      <w:proofErr w:type="spellStart"/>
      <w:r w:rsidR="00446B14">
        <w:rPr>
          <w:rFonts w:ascii="Times New Roman" w:hAnsi="Times New Roman" w:cs="Times New Roman"/>
          <w:lang w:val="en-US"/>
        </w:rPr>
        <w:t>Rowbottom</w:t>
      </w:r>
      <w:proofErr w:type="spellEnd"/>
      <w:r w:rsidR="00446B14">
        <w:rPr>
          <w:rFonts w:ascii="Times New Roman" w:hAnsi="Times New Roman" w:cs="Times New Roman"/>
          <w:lang w:val="en-US"/>
        </w:rPr>
        <w:t xml:space="preserve"> and Locke, 2016)</w:t>
      </w:r>
      <w:r w:rsidR="00D45E8A" w:rsidRPr="00953650">
        <w:rPr>
          <w:rFonts w:ascii="Times New Roman" w:hAnsi="Times New Roman" w:cs="Times New Roman"/>
          <w:lang w:val="en-IE"/>
        </w:rPr>
        <w:t xml:space="preserve"> </w:t>
      </w:r>
      <w:r w:rsidR="00953650">
        <w:rPr>
          <w:rStyle w:val="hlfld-abstract"/>
          <w:rFonts w:ascii="Times New Roman" w:hAnsi="Times New Roman" w:cs="Times New Roman"/>
          <w:lang w:val="en-IE"/>
        </w:rPr>
        <w:t xml:space="preserve">and </w:t>
      </w:r>
      <w:r w:rsidR="00D45E8A" w:rsidRPr="00953650">
        <w:rPr>
          <w:rStyle w:val="hlfld-abstract"/>
          <w:rFonts w:ascii="Times New Roman" w:hAnsi="Times New Roman" w:cs="Times New Roman"/>
          <w:lang w:val="en-IE"/>
        </w:rPr>
        <w:t xml:space="preserve">Reuter and </w:t>
      </w:r>
      <w:proofErr w:type="spellStart"/>
      <w:r w:rsidR="00D45E8A" w:rsidRPr="00953650">
        <w:rPr>
          <w:rStyle w:val="hlfld-abstract"/>
          <w:rFonts w:ascii="Times New Roman" w:hAnsi="Times New Roman" w:cs="Times New Roman"/>
          <w:lang w:val="en-IE"/>
        </w:rPr>
        <w:t>Messner</w:t>
      </w:r>
      <w:proofErr w:type="spellEnd"/>
      <w:r w:rsidR="00D45E8A" w:rsidRPr="00953650">
        <w:rPr>
          <w:rStyle w:val="hlfld-abstract"/>
          <w:rFonts w:ascii="Times New Roman" w:hAnsi="Times New Roman" w:cs="Times New Roman"/>
          <w:lang w:val="en-IE"/>
        </w:rPr>
        <w:t xml:space="preserve"> (2015) have examined formal participation in the early phases of the IIRC’s efforts to develop a conceptual framework for integrated reporting.</w:t>
      </w:r>
      <w:r w:rsidR="00D45E8A">
        <w:rPr>
          <w:rStyle w:val="hlfld-abstract"/>
          <w:lang w:val="en-IE"/>
        </w:rPr>
        <w:t xml:space="preserve"> </w:t>
      </w:r>
    </w:p>
    <w:p w14:paraId="4B7B4050" w14:textId="77777777" w:rsidR="00D45E8A" w:rsidRPr="00D45E8A" w:rsidDel="00EE7601" w:rsidRDefault="00D45E8A" w:rsidP="00953650">
      <w:pPr>
        <w:autoSpaceDE w:val="0"/>
        <w:autoSpaceDN w:val="0"/>
        <w:adjustRightInd w:val="0"/>
        <w:spacing w:after="0" w:line="360" w:lineRule="auto"/>
        <w:ind w:firstLine="567"/>
        <w:jc w:val="both"/>
        <w:rPr>
          <w:rFonts w:ascii="Times New Roman" w:hAnsi="Times New Roman" w:cs="Times New Roman"/>
          <w:lang w:val="en-US"/>
        </w:rPr>
      </w:pPr>
    </w:p>
    <w:p w14:paraId="36B7F6D5" w14:textId="5E6184AD" w:rsidR="00121D10" w:rsidRPr="00121D10" w:rsidRDefault="00AB4E9D" w:rsidP="00121D10">
      <w:pPr>
        <w:spacing w:line="360" w:lineRule="auto"/>
        <w:ind w:firstLine="567"/>
        <w:jc w:val="both"/>
        <w:rPr>
          <w:rFonts w:ascii="Times New Roman" w:hAnsi="Times New Roman" w:cs="Times New Roman"/>
          <w:lang w:val="en-US"/>
        </w:rPr>
      </w:pPr>
      <w:r>
        <w:rPr>
          <w:rFonts w:ascii="Times New Roman" w:hAnsi="Times New Roman" w:cs="Times New Roman"/>
          <w:lang w:val="en-US"/>
        </w:rPr>
        <w:t xml:space="preserve">This paper </w:t>
      </w:r>
      <w:r>
        <w:rPr>
          <w:rFonts w:ascii="Times New Roman" w:eastAsia="Times New Roman" w:hAnsi="Times New Roman" w:cs="Times New Roman"/>
          <w:color w:val="000000"/>
          <w:lang w:val="en-US" w:eastAsia="nl-NL"/>
        </w:rPr>
        <w:t xml:space="preserve">advances such prior work </w:t>
      </w:r>
      <w:r w:rsidR="006643DD">
        <w:rPr>
          <w:rFonts w:ascii="Times New Roman" w:eastAsia="Times New Roman" w:hAnsi="Times New Roman" w:cs="Times New Roman"/>
          <w:color w:val="000000"/>
          <w:lang w:val="en-US" w:eastAsia="nl-NL"/>
        </w:rPr>
        <w:t xml:space="preserve">in a number of key ways.  Empirically, it </w:t>
      </w:r>
      <w:r>
        <w:rPr>
          <w:rFonts w:ascii="Times New Roman" w:eastAsia="Times New Roman" w:hAnsi="Times New Roman" w:cs="Times New Roman"/>
          <w:color w:val="000000"/>
          <w:lang w:val="en-US" w:eastAsia="nl-NL"/>
        </w:rPr>
        <w:t>provid</w:t>
      </w:r>
      <w:r w:rsidR="006643DD">
        <w:rPr>
          <w:rFonts w:ascii="Times New Roman" w:eastAsia="Times New Roman" w:hAnsi="Times New Roman" w:cs="Times New Roman"/>
          <w:color w:val="000000"/>
          <w:lang w:val="en-US" w:eastAsia="nl-NL"/>
        </w:rPr>
        <w:t>es</w:t>
      </w:r>
      <w:r>
        <w:rPr>
          <w:rFonts w:ascii="Times New Roman" w:eastAsia="Times New Roman" w:hAnsi="Times New Roman" w:cs="Times New Roman"/>
          <w:color w:val="000000"/>
          <w:lang w:val="en-US" w:eastAsia="nl-NL"/>
        </w:rPr>
        <w:t xml:space="preserve"> what, to date, is the most in-depth </w:t>
      </w:r>
      <w:r w:rsidR="006643DD">
        <w:rPr>
          <w:rFonts w:ascii="Times New Roman" w:eastAsia="Times New Roman" w:hAnsi="Times New Roman" w:cs="Times New Roman"/>
          <w:color w:val="000000"/>
          <w:lang w:val="en-US" w:eastAsia="nl-NL"/>
        </w:rPr>
        <w:t xml:space="preserve">consideration </w:t>
      </w:r>
      <w:r>
        <w:rPr>
          <w:rFonts w:ascii="Times New Roman" w:eastAsia="Times New Roman" w:hAnsi="Times New Roman" w:cs="Times New Roman"/>
          <w:color w:val="000000"/>
          <w:lang w:val="en-US" w:eastAsia="nl-NL"/>
        </w:rPr>
        <w:t xml:space="preserve">of the institutional dynamics underpinning the rise of the IIRC (and integrated reporting) and delineation of the critical policy challenges that the IIRC has sought to overcome and those that it still faces. </w:t>
      </w:r>
      <w:r w:rsidR="006643DD">
        <w:rPr>
          <w:rFonts w:ascii="Times New Roman" w:eastAsia="Times New Roman" w:hAnsi="Times New Roman" w:cs="Times New Roman"/>
          <w:color w:val="000000"/>
          <w:lang w:val="en-US" w:eastAsia="nl-NL"/>
        </w:rPr>
        <w:t xml:space="preserve">Conceptually, the </w:t>
      </w:r>
      <w:r w:rsidR="00814508">
        <w:rPr>
          <w:rFonts w:ascii="Times New Roman" w:eastAsia="Times New Roman" w:hAnsi="Times New Roman" w:cs="Times New Roman"/>
          <w:color w:val="000000"/>
          <w:lang w:val="en-US" w:eastAsia="nl-NL"/>
        </w:rPr>
        <w:t xml:space="preserve">paper places particular emphasis on the structures and </w:t>
      </w:r>
      <w:r w:rsidR="00814508" w:rsidRPr="00DD1E36">
        <w:rPr>
          <w:rFonts w:ascii="Times New Roman" w:eastAsia="Times New Roman" w:hAnsi="Times New Roman" w:cs="Times New Roman"/>
          <w:color w:val="000000"/>
          <w:lang w:val="en-US" w:eastAsia="nl-NL"/>
        </w:rPr>
        <w:t xml:space="preserve">strategies </w:t>
      </w:r>
      <w:r w:rsidR="00814508">
        <w:rPr>
          <w:rFonts w:ascii="Times New Roman" w:eastAsia="Times New Roman" w:hAnsi="Times New Roman" w:cs="Times New Roman"/>
          <w:color w:val="000000"/>
          <w:lang w:val="en-US" w:eastAsia="nl-NL"/>
        </w:rPr>
        <w:t xml:space="preserve">that </w:t>
      </w:r>
      <w:r w:rsidR="00121392">
        <w:rPr>
          <w:rFonts w:ascii="Times New Roman" w:eastAsia="Times New Roman" w:hAnsi="Times New Roman" w:cs="Times New Roman"/>
          <w:color w:val="000000"/>
          <w:lang w:val="en-US" w:eastAsia="nl-NL"/>
        </w:rPr>
        <w:t xml:space="preserve">were </w:t>
      </w:r>
      <w:r w:rsidR="00814508">
        <w:rPr>
          <w:rFonts w:ascii="Times New Roman" w:eastAsia="Times New Roman" w:hAnsi="Times New Roman" w:cs="Times New Roman"/>
          <w:color w:val="000000"/>
          <w:lang w:val="en-US" w:eastAsia="nl-NL"/>
        </w:rPr>
        <w:t>installed</w:t>
      </w:r>
      <w:r w:rsidR="00814508" w:rsidRPr="00DD1E36">
        <w:rPr>
          <w:rFonts w:ascii="Times New Roman" w:eastAsia="Times New Roman" w:hAnsi="Times New Roman" w:cs="Times New Roman"/>
          <w:color w:val="000000"/>
          <w:lang w:val="en-US" w:eastAsia="nl-NL"/>
        </w:rPr>
        <w:t xml:space="preserve"> </w:t>
      </w:r>
      <w:r w:rsidR="00814508">
        <w:rPr>
          <w:rFonts w:ascii="Times New Roman" w:eastAsia="Times New Roman" w:hAnsi="Times New Roman" w:cs="Times New Roman"/>
          <w:color w:val="000000"/>
          <w:lang w:val="en-US" w:eastAsia="nl-NL"/>
        </w:rPr>
        <w:t xml:space="preserve">and </w:t>
      </w:r>
      <w:r w:rsidR="00814508" w:rsidRPr="00DD1E36">
        <w:rPr>
          <w:rFonts w:ascii="Times New Roman" w:eastAsia="Times New Roman" w:hAnsi="Times New Roman" w:cs="Times New Roman"/>
          <w:color w:val="000000"/>
          <w:lang w:val="en-US" w:eastAsia="nl-NL"/>
        </w:rPr>
        <w:t xml:space="preserve">adopted </w:t>
      </w:r>
      <w:r w:rsidR="006E7425">
        <w:rPr>
          <w:rFonts w:ascii="Times New Roman" w:eastAsia="Times New Roman" w:hAnsi="Times New Roman" w:cs="Times New Roman"/>
          <w:color w:val="000000"/>
          <w:lang w:val="en-US" w:eastAsia="nl-NL"/>
        </w:rPr>
        <w:t>as part of a concerted effort to</w:t>
      </w:r>
      <w:r w:rsidR="00814508">
        <w:rPr>
          <w:rFonts w:ascii="Times New Roman" w:eastAsia="Times New Roman" w:hAnsi="Times New Roman" w:cs="Times New Roman"/>
          <w:color w:val="000000"/>
          <w:lang w:val="en-US" w:eastAsia="nl-NL"/>
        </w:rPr>
        <w:t xml:space="preserve"> </w:t>
      </w:r>
      <w:r w:rsidR="001A2388">
        <w:rPr>
          <w:rFonts w:ascii="Times New Roman" w:eastAsia="Times New Roman" w:hAnsi="Times New Roman" w:cs="Times New Roman"/>
          <w:color w:val="000000"/>
          <w:lang w:val="en-US" w:eastAsia="nl-NL"/>
        </w:rPr>
        <w:t xml:space="preserve">position the </w:t>
      </w:r>
      <w:r w:rsidR="00814508">
        <w:rPr>
          <w:rFonts w:ascii="Times New Roman" w:eastAsia="Times New Roman" w:hAnsi="Times New Roman" w:cs="Times New Roman"/>
          <w:color w:val="000000"/>
          <w:lang w:val="en-US" w:eastAsia="nl-NL"/>
        </w:rPr>
        <w:t>IIRC</w:t>
      </w:r>
      <w:r w:rsidR="00D13ADA">
        <w:rPr>
          <w:rFonts w:ascii="Times New Roman" w:eastAsia="Times New Roman" w:hAnsi="Times New Roman" w:cs="Times New Roman"/>
          <w:color w:val="000000"/>
          <w:lang w:val="en-US" w:eastAsia="nl-NL"/>
        </w:rPr>
        <w:t xml:space="preserve"> </w:t>
      </w:r>
      <w:r w:rsidR="001A2388">
        <w:rPr>
          <w:rFonts w:ascii="Times New Roman" w:eastAsia="Times New Roman" w:hAnsi="Times New Roman" w:cs="Times New Roman"/>
          <w:color w:val="000000"/>
          <w:lang w:val="en-US" w:eastAsia="nl-NL"/>
        </w:rPr>
        <w:t xml:space="preserve">prominently </w:t>
      </w:r>
      <w:r w:rsidR="00304851">
        <w:rPr>
          <w:rFonts w:ascii="Times New Roman" w:eastAsia="Times New Roman" w:hAnsi="Times New Roman" w:cs="Times New Roman"/>
          <w:color w:val="000000"/>
          <w:lang w:val="en-US" w:eastAsia="nl-NL"/>
        </w:rPr>
        <w:t>within the corporate reporting field</w:t>
      </w:r>
      <w:r w:rsidR="00814508">
        <w:rPr>
          <w:rFonts w:ascii="Times New Roman" w:eastAsia="Times New Roman" w:hAnsi="Times New Roman" w:cs="Times New Roman"/>
          <w:color w:val="000000"/>
          <w:lang w:val="en-US" w:eastAsia="nl-NL"/>
        </w:rPr>
        <w:t xml:space="preserve">. </w:t>
      </w:r>
      <w:r w:rsidR="00814508" w:rsidRPr="00DD1E36">
        <w:rPr>
          <w:rFonts w:ascii="Times New Roman" w:eastAsia="Times New Roman" w:hAnsi="Times New Roman" w:cs="Times New Roman"/>
          <w:color w:val="000000"/>
          <w:lang w:val="en-US" w:eastAsia="nl-NL"/>
        </w:rPr>
        <w:t xml:space="preserve">Through such processes of institutional </w:t>
      </w:r>
      <w:r w:rsidR="00814508" w:rsidRPr="00DD1E36">
        <w:rPr>
          <w:rFonts w:ascii="Times New Roman" w:eastAsia="Times New Roman" w:hAnsi="Times New Roman" w:cs="Times New Roman"/>
          <w:color w:val="000000"/>
          <w:lang w:val="en-US" w:eastAsia="nl-NL"/>
        </w:rPr>
        <w:lastRenderedPageBreak/>
        <w:t xml:space="preserve">development, </w:t>
      </w:r>
      <w:r w:rsidR="00814508" w:rsidRPr="005245F2">
        <w:rPr>
          <w:rFonts w:ascii="Times New Roman" w:eastAsia="Times New Roman" w:hAnsi="Times New Roman" w:cs="Times New Roman"/>
          <w:color w:val="000000"/>
          <w:lang w:val="en-US" w:eastAsia="nl-NL"/>
        </w:rPr>
        <w:t xml:space="preserve">the </w:t>
      </w:r>
      <w:r w:rsidR="00814508">
        <w:rPr>
          <w:rFonts w:ascii="Times New Roman" w:eastAsia="Times New Roman" w:hAnsi="Times New Roman" w:cs="Times New Roman"/>
          <w:color w:val="000000"/>
          <w:lang w:val="en-US" w:eastAsia="nl-NL"/>
        </w:rPr>
        <w:t xml:space="preserve">paper’s </w:t>
      </w:r>
      <w:r w:rsidR="00814508" w:rsidRPr="005245F2">
        <w:rPr>
          <w:rFonts w:ascii="Times New Roman" w:eastAsia="Times New Roman" w:hAnsi="Times New Roman" w:cs="Times New Roman"/>
          <w:color w:val="000000"/>
          <w:lang w:val="en-US" w:eastAsia="nl-NL"/>
        </w:rPr>
        <w:t xml:space="preserve">analysis unveils the shaping and re-shaping that </w:t>
      </w:r>
      <w:r w:rsidR="00121392">
        <w:rPr>
          <w:rFonts w:ascii="Times New Roman" w:eastAsia="Times New Roman" w:hAnsi="Times New Roman" w:cs="Times New Roman"/>
          <w:color w:val="000000"/>
          <w:lang w:val="en-US" w:eastAsia="nl-NL"/>
        </w:rPr>
        <w:t xml:space="preserve">took </w:t>
      </w:r>
      <w:r w:rsidR="00814508" w:rsidRPr="005245F2">
        <w:rPr>
          <w:rFonts w:ascii="Times New Roman" w:eastAsia="Times New Roman" w:hAnsi="Times New Roman" w:cs="Times New Roman"/>
          <w:color w:val="000000"/>
          <w:lang w:val="en-US" w:eastAsia="nl-NL"/>
        </w:rPr>
        <w:t xml:space="preserve">place in the formulation of the philosophy underpinning </w:t>
      </w:r>
      <w:r w:rsidR="00E6284F">
        <w:rPr>
          <w:rFonts w:ascii="Times New Roman" w:eastAsia="Times New Roman" w:hAnsi="Times New Roman" w:cs="Times New Roman"/>
          <w:color w:val="000000"/>
          <w:lang w:val="en-US" w:eastAsia="nl-NL"/>
        </w:rPr>
        <w:t>the IIRC’s proposals</w:t>
      </w:r>
      <w:r w:rsidR="00814508" w:rsidRPr="005245F2">
        <w:rPr>
          <w:rFonts w:ascii="Times New Roman" w:eastAsia="Times New Roman" w:hAnsi="Times New Roman" w:cs="Times New Roman"/>
          <w:color w:val="000000"/>
          <w:lang w:val="en-US" w:eastAsia="nl-NL"/>
        </w:rPr>
        <w:t>, the principal declared tenets of</w:t>
      </w:r>
      <w:r w:rsidR="00E6284F">
        <w:rPr>
          <w:rFonts w:ascii="Times New Roman" w:eastAsia="Times New Roman" w:hAnsi="Times New Roman" w:cs="Times New Roman"/>
          <w:color w:val="000000"/>
          <w:lang w:val="en-US" w:eastAsia="nl-NL"/>
        </w:rPr>
        <w:t xml:space="preserve"> </w:t>
      </w:r>
      <w:r w:rsidR="006E7425">
        <w:rPr>
          <w:rFonts w:ascii="Times New Roman" w:eastAsia="Times New Roman" w:hAnsi="Times New Roman" w:cs="Times New Roman"/>
          <w:color w:val="000000"/>
          <w:lang w:val="en-US" w:eastAsia="nl-NL"/>
        </w:rPr>
        <w:t xml:space="preserve">its </w:t>
      </w:r>
      <w:r w:rsidR="00E6284F">
        <w:rPr>
          <w:rFonts w:ascii="Times New Roman" w:eastAsia="Times New Roman" w:hAnsi="Times New Roman" w:cs="Times New Roman"/>
          <w:color w:val="000000"/>
          <w:lang w:val="en-US" w:eastAsia="nl-NL"/>
        </w:rPr>
        <w:t>version of</w:t>
      </w:r>
      <w:r w:rsidR="00814508" w:rsidRPr="005245F2">
        <w:rPr>
          <w:rFonts w:ascii="Times New Roman" w:eastAsia="Times New Roman" w:hAnsi="Times New Roman" w:cs="Times New Roman"/>
          <w:color w:val="000000"/>
          <w:lang w:val="en-US" w:eastAsia="nl-NL"/>
        </w:rPr>
        <w:t xml:space="preserve"> </w:t>
      </w:r>
      <w:r w:rsidR="00121D10">
        <w:rPr>
          <w:rFonts w:ascii="Times New Roman" w:eastAsia="Times New Roman" w:hAnsi="Times New Roman" w:cs="Times New Roman"/>
          <w:color w:val="000000"/>
          <w:lang w:val="en-US" w:eastAsia="nl-NL"/>
        </w:rPr>
        <w:t>integrated reporting</w:t>
      </w:r>
      <w:r w:rsidR="00814508">
        <w:rPr>
          <w:rFonts w:ascii="Times New Roman" w:eastAsia="Times New Roman" w:hAnsi="Times New Roman" w:cs="Times New Roman"/>
          <w:color w:val="000000"/>
          <w:lang w:val="en-US" w:eastAsia="nl-NL"/>
        </w:rPr>
        <w:t>,</w:t>
      </w:r>
      <w:r w:rsidR="00814508" w:rsidRPr="005245F2">
        <w:rPr>
          <w:rFonts w:ascii="Times New Roman" w:eastAsia="Times New Roman" w:hAnsi="Times New Roman" w:cs="Times New Roman"/>
          <w:color w:val="000000"/>
          <w:lang w:val="en-US" w:eastAsia="nl-NL"/>
        </w:rPr>
        <w:t xml:space="preserve"> and the relative strength of its underlying knowledge base</w:t>
      </w:r>
      <w:r w:rsidR="00814508" w:rsidRPr="005245F2">
        <w:rPr>
          <w:rFonts w:ascii="Times New Roman" w:hAnsi="Times New Roman" w:cs="Times New Roman"/>
          <w:lang w:val="en-US"/>
        </w:rPr>
        <w:t>.</w:t>
      </w:r>
      <w:r w:rsidR="00121D10">
        <w:rPr>
          <w:rFonts w:ascii="Times New Roman" w:hAnsi="Times New Roman" w:cs="Times New Roman"/>
          <w:lang w:val="en-US"/>
        </w:rPr>
        <w:t xml:space="preserve"> T</w:t>
      </w:r>
      <w:r w:rsidR="00121D10" w:rsidRPr="00121D10">
        <w:rPr>
          <w:rFonts w:ascii="Times New Roman" w:hAnsi="Times New Roman" w:cs="Times New Roman"/>
          <w:lang w:val="en-US"/>
        </w:rPr>
        <w:t xml:space="preserve">he </w:t>
      </w:r>
      <w:r w:rsidR="006E7425">
        <w:rPr>
          <w:rFonts w:ascii="Times New Roman" w:hAnsi="Times New Roman" w:cs="Times New Roman"/>
          <w:lang w:val="en-US"/>
        </w:rPr>
        <w:t xml:space="preserve">emergence </w:t>
      </w:r>
      <w:r w:rsidR="00121D10" w:rsidRPr="00121D10">
        <w:rPr>
          <w:rFonts w:ascii="Times New Roman" w:hAnsi="Times New Roman" w:cs="Times New Roman"/>
          <w:lang w:val="en-US"/>
        </w:rPr>
        <w:t>of the IIRC and the strategic dilemmas it fac</w:t>
      </w:r>
      <w:r w:rsidR="00121392">
        <w:rPr>
          <w:rFonts w:ascii="Times New Roman" w:hAnsi="Times New Roman" w:cs="Times New Roman"/>
          <w:lang w:val="en-US"/>
        </w:rPr>
        <w:t>es</w:t>
      </w:r>
      <w:r w:rsidR="00121D10" w:rsidRPr="00121D10">
        <w:rPr>
          <w:rFonts w:ascii="Times New Roman" w:hAnsi="Times New Roman" w:cs="Times New Roman"/>
          <w:lang w:val="en-US"/>
        </w:rPr>
        <w:t xml:space="preserve"> provide a compelling illustration </w:t>
      </w:r>
      <w:r w:rsidR="00121392">
        <w:rPr>
          <w:rFonts w:ascii="Times New Roman" w:hAnsi="Times New Roman" w:cs="Times New Roman"/>
          <w:lang w:val="en-US"/>
        </w:rPr>
        <w:t xml:space="preserve">of </w:t>
      </w:r>
      <w:r w:rsidR="00121D10" w:rsidRPr="00121D10">
        <w:rPr>
          <w:rFonts w:ascii="Times New Roman" w:hAnsi="Times New Roman" w:cs="Times New Roman"/>
          <w:lang w:val="en-US"/>
        </w:rPr>
        <w:t>both the importance of studying accounting change processes within their institutional context and of the difficulties of shifting longstanding capital market traditions and priorities through innovations in corporate reporting</w:t>
      </w:r>
      <w:r w:rsidR="00121D10">
        <w:rPr>
          <w:rFonts w:ascii="Times New Roman" w:hAnsi="Times New Roman" w:cs="Times New Roman"/>
          <w:lang w:val="en-US"/>
        </w:rPr>
        <w:t>.</w:t>
      </w:r>
    </w:p>
    <w:p w14:paraId="289BBAD8" w14:textId="5C5FB5AA" w:rsidR="00823C68" w:rsidRDefault="00FB1AFF" w:rsidP="00823C68">
      <w:pPr>
        <w:spacing w:line="360" w:lineRule="auto"/>
        <w:ind w:firstLine="567"/>
        <w:jc w:val="both"/>
        <w:rPr>
          <w:rFonts w:ascii="Times New Roman" w:eastAsia="Times New Roman" w:hAnsi="Times New Roman" w:cs="Times New Roman"/>
          <w:color w:val="000000"/>
          <w:lang w:val="en-US" w:eastAsia="nl-NL"/>
        </w:rPr>
      </w:pPr>
      <w:r>
        <w:rPr>
          <w:rFonts w:ascii="Times New Roman" w:hAnsi="Times New Roman" w:cs="Times New Roman"/>
          <w:lang w:val="en-US"/>
        </w:rPr>
        <w:t xml:space="preserve">By </w:t>
      </w:r>
      <w:r w:rsidR="00BE2B12">
        <w:rPr>
          <w:rFonts w:ascii="Times New Roman" w:eastAsia="Times New Roman" w:hAnsi="Times New Roman" w:cs="Times New Roman"/>
          <w:color w:val="000000"/>
          <w:lang w:val="en-US" w:eastAsia="nl-NL"/>
        </w:rPr>
        <w:t xml:space="preserve">revealing </w:t>
      </w:r>
      <w:r w:rsidR="002C4DAA">
        <w:rPr>
          <w:rFonts w:ascii="Times New Roman" w:eastAsia="Times New Roman" w:hAnsi="Times New Roman" w:cs="Times New Roman"/>
          <w:color w:val="000000"/>
          <w:lang w:val="en-US" w:eastAsia="nl-NL"/>
        </w:rPr>
        <w:t xml:space="preserve">the </w:t>
      </w:r>
      <w:r w:rsidR="00D64163">
        <w:rPr>
          <w:rFonts w:ascii="Times New Roman" w:eastAsia="Times New Roman" w:hAnsi="Times New Roman" w:cs="Times New Roman"/>
          <w:color w:val="000000"/>
          <w:lang w:val="en-US" w:eastAsia="nl-NL"/>
        </w:rPr>
        <w:t xml:space="preserve">significance </w:t>
      </w:r>
      <w:r w:rsidR="002C4DAA">
        <w:rPr>
          <w:rFonts w:ascii="Times New Roman" w:eastAsia="Times New Roman" w:hAnsi="Times New Roman" w:cs="Times New Roman"/>
          <w:color w:val="000000"/>
          <w:lang w:val="en-US" w:eastAsia="nl-NL"/>
        </w:rPr>
        <w:t xml:space="preserve">of the evolving interrelationships between various </w:t>
      </w:r>
      <w:r w:rsidR="00D64163">
        <w:rPr>
          <w:rFonts w:ascii="Times New Roman" w:eastAsia="Times New Roman" w:hAnsi="Times New Roman" w:cs="Times New Roman"/>
          <w:color w:val="000000"/>
          <w:lang w:val="en-US" w:eastAsia="nl-NL"/>
        </w:rPr>
        <w:t xml:space="preserve">involved </w:t>
      </w:r>
      <w:r w:rsidR="002C4DAA">
        <w:rPr>
          <w:rFonts w:ascii="Times New Roman" w:eastAsia="Times New Roman" w:hAnsi="Times New Roman" w:cs="Times New Roman"/>
          <w:color w:val="000000"/>
          <w:lang w:val="en-US" w:eastAsia="nl-NL"/>
        </w:rPr>
        <w:t>bodies</w:t>
      </w:r>
      <w:r w:rsidR="00823C68">
        <w:rPr>
          <w:rFonts w:ascii="Times New Roman" w:eastAsia="Times New Roman" w:hAnsi="Times New Roman" w:cs="Times New Roman"/>
          <w:color w:val="000000"/>
          <w:lang w:val="en-US" w:eastAsia="nl-NL"/>
        </w:rPr>
        <w:t>/</w:t>
      </w:r>
      <w:r w:rsidR="00765924">
        <w:rPr>
          <w:rFonts w:ascii="Times New Roman" w:eastAsia="Times New Roman" w:hAnsi="Times New Roman" w:cs="Times New Roman"/>
          <w:color w:val="000000"/>
          <w:lang w:val="en-US" w:eastAsia="nl-NL"/>
        </w:rPr>
        <w:t>organizations</w:t>
      </w:r>
      <w:r w:rsidR="002C4DAA">
        <w:rPr>
          <w:rFonts w:ascii="Times New Roman" w:eastAsia="Times New Roman" w:hAnsi="Times New Roman" w:cs="Times New Roman"/>
          <w:color w:val="000000"/>
          <w:lang w:val="en-US" w:eastAsia="nl-NL"/>
        </w:rPr>
        <w:t xml:space="preserve"> and</w:t>
      </w:r>
      <w:r w:rsidR="00823C68">
        <w:rPr>
          <w:rFonts w:ascii="Times New Roman" w:eastAsia="Times New Roman" w:hAnsi="Times New Roman" w:cs="Times New Roman"/>
          <w:color w:val="000000"/>
          <w:lang w:val="en-US" w:eastAsia="nl-NL"/>
        </w:rPr>
        <w:t xml:space="preserve"> </w:t>
      </w:r>
      <w:r w:rsidR="002C4DAA">
        <w:rPr>
          <w:rFonts w:ascii="Times New Roman" w:eastAsia="Times New Roman" w:hAnsi="Times New Roman" w:cs="Times New Roman"/>
          <w:color w:val="000000"/>
          <w:lang w:val="en-US" w:eastAsia="nl-NL"/>
        </w:rPr>
        <w:t xml:space="preserve">their </w:t>
      </w:r>
      <w:r w:rsidR="001F1821">
        <w:rPr>
          <w:rFonts w:ascii="Times New Roman" w:eastAsia="Times New Roman" w:hAnsi="Times New Roman" w:cs="Times New Roman"/>
          <w:color w:val="000000"/>
          <w:lang w:val="en-US" w:eastAsia="nl-NL"/>
        </w:rPr>
        <w:t xml:space="preserve">engagement in </w:t>
      </w:r>
      <w:r w:rsidR="00333533">
        <w:rPr>
          <w:rFonts w:ascii="Times New Roman" w:eastAsia="Times New Roman" w:hAnsi="Times New Roman" w:cs="Times New Roman"/>
          <w:color w:val="000000"/>
          <w:lang w:val="en-US" w:eastAsia="nl-NL"/>
        </w:rPr>
        <w:t xml:space="preserve">specific </w:t>
      </w:r>
      <w:r w:rsidR="00823C68">
        <w:rPr>
          <w:rFonts w:ascii="Times New Roman" w:eastAsia="Times New Roman" w:hAnsi="Times New Roman" w:cs="Times New Roman"/>
          <w:color w:val="000000"/>
          <w:lang w:val="en-US" w:eastAsia="nl-NL"/>
        </w:rPr>
        <w:t>types</w:t>
      </w:r>
      <w:r w:rsidR="00D64163">
        <w:rPr>
          <w:rFonts w:ascii="Times New Roman" w:eastAsia="Times New Roman" w:hAnsi="Times New Roman" w:cs="Times New Roman"/>
          <w:color w:val="000000"/>
          <w:lang w:val="en-US" w:eastAsia="nl-NL"/>
        </w:rPr>
        <w:t xml:space="preserve"> of </w:t>
      </w:r>
      <w:r w:rsidR="00C41D53">
        <w:rPr>
          <w:rFonts w:ascii="Times New Roman" w:eastAsia="Times New Roman" w:hAnsi="Times New Roman" w:cs="Times New Roman"/>
          <w:color w:val="000000"/>
          <w:lang w:val="en-US" w:eastAsia="nl-NL"/>
        </w:rPr>
        <w:t xml:space="preserve">boundary work </w:t>
      </w:r>
      <w:r>
        <w:rPr>
          <w:rFonts w:ascii="Times New Roman" w:eastAsia="Times New Roman" w:hAnsi="Times New Roman" w:cs="Times New Roman"/>
          <w:color w:val="000000"/>
          <w:lang w:val="en-US" w:eastAsia="nl-NL"/>
        </w:rPr>
        <w:t>(</w:t>
      </w:r>
      <w:proofErr w:type="spellStart"/>
      <w:r>
        <w:rPr>
          <w:rFonts w:ascii="Times New Roman" w:eastAsia="Times New Roman" w:hAnsi="Times New Roman" w:cs="Times New Roman"/>
          <w:color w:val="000000"/>
          <w:lang w:val="en-US" w:eastAsia="nl-NL"/>
        </w:rPr>
        <w:t>Gieryn</w:t>
      </w:r>
      <w:proofErr w:type="spellEnd"/>
      <w:r>
        <w:rPr>
          <w:rFonts w:ascii="Times New Roman" w:eastAsia="Times New Roman" w:hAnsi="Times New Roman" w:cs="Times New Roman"/>
          <w:color w:val="000000"/>
          <w:lang w:val="en-US" w:eastAsia="nl-NL"/>
        </w:rPr>
        <w:t xml:space="preserve">, 1983) </w:t>
      </w:r>
      <w:r w:rsidR="002C4DAA">
        <w:rPr>
          <w:rFonts w:ascii="Times New Roman" w:eastAsia="Times New Roman" w:hAnsi="Times New Roman" w:cs="Times New Roman"/>
          <w:color w:val="000000"/>
          <w:lang w:val="en-US" w:eastAsia="nl-NL"/>
        </w:rPr>
        <w:t xml:space="preserve">to distinguish </w:t>
      </w:r>
      <w:r w:rsidR="00121D10">
        <w:rPr>
          <w:rFonts w:ascii="Times New Roman" w:eastAsia="Times New Roman" w:hAnsi="Times New Roman" w:cs="Times New Roman"/>
          <w:color w:val="000000"/>
          <w:lang w:val="en-US" w:eastAsia="nl-NL"/>
        </w:rPr>
        <w:t>integrated reporting</w:t>
      </w:r>
      <w:r w:rsidR="002C4DAA">
        <w:rPr>
          <w:rFonts w:ascii="Times New Roman" w:eastAsia="Times New Roman" w:hAnsi="Times New Roman" w:cs="Times New Roman"/>
          <w:color w:val="000000"/>
          <w:lang w:val="en-US" w:eastAsia="nl-NL"/>
        </w:rPr>
        <w:t xml:space="preserve"> from existing</w:t>
      </w:r>
      <w:r w:rsidR="00AD78D9">
        <w:rPr>
          <w:rFonts w:ascii="Times New Roman" w:eastAsia="Times New Roman" w:hAnsi="Times New Roman" w:cs="Times New Roman"/>
          <w:color w:val="000000"/>
          <w:lang w:val="en-US" w:eastAsia="nl-NL"/>
        </w:rPr>
        <w:t>/other</w:t>
      </w:r>
      <w:r w:rsidR="002C4DAA">
        <w:rPr>
          <w:rFonts w:ascii="Times New Roman" w:eastAsia="Times New Roman" w:hAnsi="Times New Roman" w:cs="Times New Roman"/>
          <w:color w:val="000000"/>
          <w:lang w:val="en-US" w:eastAsia="nl-NL"/>
        </w:rPr>
        <w:t xml:space="preserve"> </w:t>
      </w:r>
      <w:r w:rsidR="00AD78D9">
        <w:rPr>
          <w:rFonts w:ascii="Times New Roman" w:eastAsia="Times New Roman" w:hAnsi="Times New Roman" w:cs="Times New Roman"/>
          <w:color w:val="000000"/>
          <w:lang w:val="en-US" w:eastAsia="nl-NL"/>
        </w:rPr>
        <w:t xml:space="preserve">forms of </w:t>
      </w:r>
      <w:r w:rsidR="002C4DAA">
        <w:rPr>
          <w:rFonts w:ascii="Times New Roman" w:eastAsia="Times New Roman" w:hAnsi="Times New Roman" w:cs="Times New Roman"/>
          <w:color w:val="000000"/>
          <w:lang w:val="en-US" w:eastAsia="nl-NL"/>
        </w:rPr>
        <w:t>corporate reporting</w:t>
      </w:r>
      <w:r>
        <w:rPr>
          <w:rFonts w:ascii="Times New Roman" w:eastAsia="Times New Roman" w:hAnsi="Times New Roman" w:cs="Times New Roman"/>
          <w:color w:val="000000"/>
          <w:lang w:val="en-US" w:eastAsia="nl-NL"/>
        </w:rPr>
        <w:t xml:space="preserve">, </w:t>
      </w:r>
      <w:r w:rsidR="00823C68">
        <w:rPr>
          <w:rFonts w:ascii="Times New Roman" w:hAnsi="Times New Roman" w:cs="Times New Roman"/>
          <w:color w:val="000000"/>
          <w:lang w:val="en-US"/>
        </w:rPr>
        <w:t>the paper</w:t>
      </w:r>
      <w:r w:rsidR="001C2494">
        <w:rPr>
          <w:rFonts w:ascii="Times New Roman" w:hAnsi="Times New Roman" w:cs="Times New Roman"/>
          <w:color w:val="000000"/>
          <w:lang w:val="en-US"/>
        </w:rPr>
        <w:t xml:space="preserve">’s theoretical contribution extends well beyond the field of corporate reporting, </w:t>
      </w:r>
      <w:r>
        <w:rPr>
          <w:rFonts w:ascii="Times New Roman" w:hAnsi="Times New Roman" w:cs="Times New Roman"/>
          <w:color w:val="000000"/>
          <w:lang w:val="en-US"/>
        </w:rPr>
        <w:t>provid</w:t>
      </w:r>
      <w:r w:rsidR="001C2494">
        <w:rPr>
          <w:rFonts w:ascii="Times New Roman" w:hAnsi="Times New Roman" w:cs="Times New Roman"/>
          <w:color w:val="000000"/>
          <w:lang w:val="en-US"/>
        </w:rPr>
        <w:t>ing</w:t>
      </w:r>
      <w:r>
        <w:rPr>
          <w:rFonts w:ascii="Times New Roman" w:hAnsi="Times New Roman" w:cs="Times New Roman"/>
          <w:color w:val="000000"/>
          <w:lang w:val="en-US"/>
        </w:rPr>
        <w:t xml:space="preserve"> a substantive development of </w:t>
      </w:r>
      <w:r w:rsidR="00823C68" w:rsidRPr="005245F2">
        <w:rPr>
          <w:rFonts w:ascii="Times New Roman" w:hAnsi="Times New Roman" w:cs="Times New Roman"/>
          <w:color w:val="000000"/>
          <w:lang w:val="en-US"/>
        </w:rPr>
        <w:t xml:space="preserve">Suddaby and </w:t>
      </w:r>
      <w:proofErr w:type="spellStart"/>
      <w:r w:rsidR="00823C68" w:rsidRPr="005245F2">
        <w:rPr>
          <w:rFonts w:ascii="Times New Roman" w:hAnsi="Times New Roman" w:cs="Times New Roman"/>
          <w:color w:val="000000"/>
          <w:lang w:val="en-US"/>
        </w:rPr>
        <w:t>Viale</w:t>
      </w:r>
      <w:r w:rsidR="00823C68">
        <w:rPr>
          <w:rFonts w:ascii="Times New Roman" w:hAnsi="Times New Roman" w:cs="Times New Roman"/>
          <w:color w:val="000000"/>
          <w:lang w:val="en-US"/>
        </w:rPr>
        <w:t>’</w:t>
      </w:r>
      <w:r w:rsidR="00823C68" w:rsidRPr="005245F2">
        <w:rPr>
          <w:rFonts w:ascii="Times New Roman" w:hAnsi="Times New Roman" w:cs="Times New Roman"/>
          <w:color w:val="000000"/>
          <w:lang w:val="en-US"/>
        </w:rPr>
        <w:t>s</w:t>
      </w:r>
      <w:proofErr w:type="spellEnd"/>
      <w:r w:rsidR="00823C68" w:rsidRPr="005245F2">
        <w:rPr>
          <w:rFonts w:ascii="Times New Roman" w:hAnsi="Times New Roman" w:cs="Times New Roman"/>
          <w:color w:val="000000"/>
          <w:lang w:val="en-US"/>
        </w:rPr>
        <w:t xml:space="preserve"> (2011) </w:t>
      </w:r>
      <w:r w:rsidR="00823C68">
        <w:rPr>
          <w:rFonts w:ascii="Times New Roman" w:hAnsi="Times New Roman" w:cs="Times New Roman"/>
          <w:color w:val="000000"/>
          <w:lang w:val="en-US"/>
        </w:rPr>
        <w:t>theorization</w:t>
      </w:r>
      <w:r w:rsidR="00823C68" w:rsidRPr="005245F2">
        <w:rPr>
          <w:rFonts w:ascii="Times New Roman" w:hAnsi="Times New Roman" w:cs="Times New Roman"/>
          <w:color w:val="000000"/>
          <w:lang w:val="en-US"/>
        </w:rPr>
        <w:t xml:space="preserve"> of how professionals</w:t>
      </w:r>
      <w:r w:rsidR="00823C68">
        <w:rPr>
          <w:rFonts w:ascii="Times New Roman" w:hAnsi="Times New Roman" w:cs="Times New Roman"/>
          <w:color w:val="000000"/>
          <w:lang w:val="en-US"/>
        </w:rPr>
        <w:t xml:space="preserve"> </w:t>
      </w:r>
      <w:r w:rsidR="00823C68" w:rsidRPr="005245F2">
        <w:rPr>
          <w:rFonts w:ascii="Times New Roman" w:hAnsi="Times New Roman" w:cs="Times New Roman"/>
          <w:color w:val="000000"/>
          <w:lang w:val="en-US"/>
        </w:rPr>
        <w:t>reconfigure organ</w:t>
      </w:r>
      <w:r w:rsidR="00823C68">
        <w:rPr>
          <w:rFonts w:ascii="Times New Roman" w:hAnsi="Times New Roman" w:cs="Times New Roman"/>
          <w:color w:val="000000"/>
          <w:lang w:val="en-US"/>
        </w:rPr>
        <w:t>iza</w:t>
      </w:r>
      <w:r w:rsidR="00823C68" w:rsidRPr="005245F2">
        <w:rPr>
          <w:rFonts w:ascii="Times New Roman" w:hAnsi="Times New Roman" w:cs="Times New Roman"/>
          <w:color w:val="000000"/>
          <w:lang w:val="en-US"/>
        </w:rPr>
        <w:t>tional fields</w:t>
      </w:r>
      <w:r>
        <w:rPr>
          <w:rFonts w:ascii="Times New Roman" w:hAnsi="Times New Roman" w:cs="Times New Roman"/>
          <w:color w:val="000000"/>
          <w:lang w:val="en-US"/>
        </w:rPr>
        <w:t xml:space="preserve">.  </w:t>
      </w:r>
      <w:r w:rsidR="00A00867">
        <w:rPr>
          <w:rFonts w:ascii="Times New Roman" w:hAnsi="Times New Roman" w:cs="Times New Roman"/>
          <w:color w:val="000000"/>
          <w:lang w:val="en-US"/>
        </w:rPr>
        <w:t xml:space="preserve">Such theoretical </w:t>
      </w:r>
      <w:r w:rsidR="001C2494">
        <w:rPr>
          <w:rFonts w:ascii="Times New Roman" w:hAnsi="Times New Roman" w:cs="Times New Roman"/>
          <w:color w:val="000000"/>
          <w:lang w:val="en-US"/>
        </w:rPr>
        <w:t>advancement</w:t>
      </w:r>
      <w:r w:rsidR="00A00867">
        <w:rPr>
          <w:rFonts w:ascii="Times New Roman" w:hAnsi="Times New Roman" w:cs="Times New Roman"/>
          <w:color w:val="000000"/>
          <w:lang w:val="en-US"/>
        </w:rPr>
        <w:t xml:space="preserve"> takes place on two primary levels.  First, the paper’s conceptual framing and related analysis </w:t>
      </w:r>
      <w:r w:rsidR="00823C68">
        <w:rPr>
          <w:rFonts w:ascii="Times New Roman" w:hAnsi="Times New Roman" w:cs="Times New Roman"/>
          <w:lang w:val="en-US"/>
        </w:rPr>
        <w:t>capture</w:t>
      </w:r>
      <w:r>
        <w:rPr>
          <w:rFonts w:ascii="Times New Roman" w:hAnsi="Times New Roman" w:cs="Times New Roman"/>
          <w:lang w:val="en-US"/>
        </w:rPr>
        <w:t>s</w:t>
      </w:r>
      <w:r w:rsidR="00823C68">
        <w:rPr>
          <w:rFonts w:ascii="Times New Roman" w:hAnsi="Times New Roman" w:cs="Times New Roman"/>
          <w:lang w:val="en-US"/>
        </w:rPr>
        <w:t xml:space="preserve"> </w:t>
      </w:r>
      <w:r>
        <w:rPr>
          <w:rFonts w:ascii="Times New Roman" w:hAnsi="Times New Roman" w:cs="Times New Roman"/>
          <w:lang w:val="en-US"/>
        </w:rPr>
        <w:t xml:space="preserve">a level of </w:t>
      </w:r>
      <w:r w:rsidR="00823C68">
        <w:rPr>
          <w:rFonts w:ascii="Times New Roman" w:hAnsi="Times New Roman" w:cs="Times New Roman"/>
          <w:lang w:val="en-US"/>
        </w:rPr>
        <w:t xml:space="preserve">complexity and dynamism </w:t>
      </w:r>
      <w:r>
        <w:rPr>
          <w:rFonts w:ascii="Times New Roman" w:hAnsi="Times New Roman" w:cs="Times New Roman"/>
          <w:lang w:val="en-US"/>
        </w:rPr>
        <w:t xml:space="preserve">in </w:t>
      </w:r>
      <w:r w:rsidR="00823C68">
        <w:rPr>
          <w:rFonts w:ascii="Times New Roman" w:hAnsi="Times New Roman" w:cs="Times New Roman"/>
          <w:lang w:val="en-US"/>
        </w:rPr>
        <w:t>processes of field-level change that</w:t>
      </w:r>
      <w:r w:rsidR="00121392">
        <w:rPr>
          <w:rFonts w:ascii="Times New Roman" w:hAnsi="Times New Roman" w:cs="Times New Roman"/>
          <w:lang w:val="en-US"/>
        </w:rPr>
        <w:t xml:space="preserve"> Suddaby and </w:t>
      </w:r>
      <w:proofErr w:type="spellStart"/>
      <w:r w:rsidR="00121392">
        <w:rPr>
          <w:rFonts w:ascii="Times New Roman" w:hAnsi="Times New Roman" w:cs="Times New Roman"/>
          <w:lang w:val="en-US"/>
        </w:rPr>
        <w:t>Viale’s</w:t>
      </w:r>
      <w:proofErr w:type="spellEnd"/>
      <w:r w:rsidR="00121392">
        <w:rPr>
          <w:rFonts w:ascii="Times New Roman" w:hAnsi="Times New Roman" w:cs="Times New Roman"/>
          <w:lang w:val="en-US"/>
        </w:rPr>
        <w:t xml:space="preserve"> more </w:t>
      </w:r>
      <w:proofErr w:type="spellStart"/>
      <w:r w:rsidR="00121392">
        <w:rPr>
          <w:rFonts w:ascii="Times New Roman" w:hAnsi="Times New Roman" w:cs="Times New Roman"/>
          <w:lang w:val="en-US"/>
        </w:rPr>
        <w:t>sequentialist</w:t>
      </w:r>
      <w:proofErr w:type="spellEnd"/>
      <w:r w:rsidR="00121392">
        <w:rPr>
          <w:rFonts w:ascii="Times New Roman" w:hAnsi="Times New Roman" w:cs="Times New Roman"/>
          <w:lang w:val="en-US"/>
        </w:rPr>
        <w:t xml:space="preserve"> framework</w:t>
      </w:r>
      <w:r w:rsidR="00823C68">
        <w:rPr>
          <w:rFonts w:ascii="Times New Roman" w:hAnsi="Times New Roman" w:cs="Times New Roman"/>
          <w:lang w:val="en-US"/>
        </w:rPr>
        <w:t xml:space="preserve"> </w:t>
      </w:r>
      <w:r w:rsidR="00121392">
        <w:rPr>
          <w:rFonts w:ascii="Times New Roman" w:hAnsi="Times New Roman" w:cs="Times New Roman"/>
          <w:lang w:val="en-US"/>
        </w:rPr>
        <w:t xml:space="preserve">does </w:t>
      </w:r>
      <w:r w:rsidR="00823C68">
        <w:rPr>
          <w:rFonts w:ascii="Times New Roman" w:hAnsi="Times New Roman" w:cs="Times New Roman"/>
          <w:lang w:val="en-US"/>
        </w:rPr>
        <w:t xml:space="preserve">not </w:t>
      </w:r>
      <w:r w:rsidR="00121392">
        <w:rPr>
          <w:rFonts w:ascii="Times New Roman" w:hAnsi="Times New Roman" w:cs="Times New Roman"/>
          <w:lang w:val="en-US"/>
        </w:rPr>
        <w:t>sufficiently</w:t>
      </w:r>
      <w:r w:rsidR="00121392" w:rsidDel="00121392">
        <w:rPr>
          <w:rFonts w:ascii="Times New Roman" w:hAnsi="Times New Roman" w:cs="Times New Roman"/>
          <w:lang w:val="en-US"/>
        </w:rPr>
        <w:t xml:space="preserve"> </w:t>
      </w:r>
      <w:r w:rsidR="00823C68">
        <w:rPr>
          <w:rFonts w:ascii="Times New Roman" w:hAnsi="Times New Roman" w:cs="Times New Roman"/>
          <w:lang w:val="en-US"/>
        </w:rPr>
        <w:t>represent</w:t>
      </w:r>
      <w:r w:rsidR="00121392">
        <w:rPr>
          <w:rFonts w:ascii="Times New Roman" w:hAnsi="Times New Roman" w:cs="Times New Roman"/>
          <w:lang w:val="en-US"/>
        </w:rPr>
        <w:t>.</w:t>
      </w:r>
      <w:r w:rsidR="00823C68">
        <w:rPr>
          <w:rFonts w:ascii="Times New Roman" w:hAnsi="Times New Roman" w:cs="Times New Roman"/>
          <w:color w:val="000000"/>
          <w:lang w:val="en-US"/>
        </w:rPr>
        <w:t xml:space="preserve"> Specifically, </w:t>
      </w:r>
      <w:r w:rsidR="00823C68" w:rsidRPr="00A147DD">
        <w:rPr>
          <w:rFonts w:ascii="Times New Roman" w:eastAsia="Times New Roman" w:hAnsi="Times New Roman" w:cs="Times New Roman"/>
          <w:color w:val="000000"/>
          <w:lang w:val="en-US" w:eastAsia="nl-NL"/>
        </w:rPr>
        <w:t xml:space="preserve">the IIRC’s efforts to reconfigure the </w:t>
      </w:r>
      <w:r w:rsidR="00823C68">
        <w:rPr>
          <w:rFonts w:ascii="Times New Roman" w:eastAsia="Times New Roman" w:hAnsi="Times New Roman" w:cs="Times New Roman"/>
          <w:color w:val="000000"/>
          <w:lang w:val="en-US" w:eastAsia="nl-NL"/>
        </w:rPr>
        <w:t xml:space="preserve">field </w:t>
      </w:r>
      <w:r w:rsidR="00823C68" w:rsidRPr="00A147DD">
        <w:rPr>
          <w:rFonts w:ascii="Times New Roman" w:eastAsia="Times New Roman" w:hAnsi="Times New Roman" w:cs="Times New Roman"/>
          <w:color w:val="000000"/>
          <w:lang w:val="en-US" w:eastAsia="nl-NL"/>
        </w:rPr>
        <w:t>of corporate reporting</w:t>
      </w:r>
      <w:r w:rsidR="00823C68">
        <w:rPr>
          <w:rFonts w:ascii="Times New Roman" w:eastAsia="Times New Roman" w:hAnsi="Times New Roman" w:cs="Times New Roman"/>
          <w:color w:val="000000"/>
          <w:lang w:val="en-US" w:eastAsia="nl-NL"/>
        </w:rPr>
        <w:t xml:space="preserve"> through the introduction of integrated reporting </w:t>
      </w:r>
      <w:r w:rsidR="001C2494">
        <w:rPr>
          <w:rFonts w:ascii="Times New Roman" w:eastAsia="Times New Roman" w:hAnsi="Times New Roman" w:cs="Times New Roman"/>
          <w:color w:val="000000"/>
          <w:lang w:val="en-US" w:eastAsia="nl-NL"/>
        </w:rPr>
        <w:t xml:space="preserve">are seen to </w:t>
      </w:r>
      <w:r w:rsidR="00823C68">
        <w:rPr>
          <w:rFonts w:ascii="Times New Roman" w:eastAsia="Times New Roman" w:hAnsi="Times New Roman" w:cs="Times New Roman"/>
          <w:color w:val="000000"/>
          <w:lang w:val="en-US" w:eastAsia="nl-NL"/>
        </w:rPr>
        <w:t xml:space="preserve">have been </w:t>
      </w:r>
      <w:r w:rsidR="00823C68" w:rsidRPr="00A147DD">
        <w:rPr>
          <w:rFonts w:ascii="Times New Roman" w:eastAsia="Times New Roman" w:hAnsi="Times New Roman" w:cs="Times New Roman"/>
          <w:color w:val="000000"/>
          <w:lang w:val="en-US" w:eastAsia="nl-NL"/>
        </w:rPr>
        <w:t xml:space="preserve">contingent </w:t>
      </w:r>
      <w:r w:rsidR="00823C68">
        <w:rPr>
          <w:rFonts w:ascii="Times New Roman" w:eastAsia="Times New Roman" w:hAnsi="Times New Roman" w:cs="Times New Roman"/>
          <w:color w:val="000000"/>
          <w:lang w:val="en-US" w:eastAsia="nl-NL"/>
        </w:rPr>
        <w:t>up</w:t>
      </w:r>
      <w:r w:rsidR="00823C68" w:rsidRPr="00A147DD">
        <w:rPr>
          <w:rFonts w:ascii="Times New Roman" w:eastAsia="Times New Roman" w:hAnsi="Times New Roman" w:cs="Times New Roman"/>
          <w:color w:val="000000"/>
          <w:lang w:val="en-US" w:eastAsia="nl-NL"/>
        </w:rPr>
        <w:t xml:space="preserve">on </w:t>
      </w:r>
      <w:r w:rsidR="00823C68">
        <w:rPr>
          <w:rFonts w:ascii="Times New Roman" w:eastAsia="Times New Roman" w:hAnsi="Times New Roman" w:cs="Times New Roman"/>
          <w:color w:val="000000"/>
          <w:lang w:val="en-US" w:eastAsia="nl-NL"/>
        </w:rPr>
        <w:t>constructing</w:t>
      </w:r>
      <w:r w:rsidR="00823C68" w:rsidRPr="00A147DD">
        <w:rPr>
          <w:rFonts w:ascii="Times New Roman" w:eastAsia="Times New Roman" w:hAnsi="Times New Roman" w:cs="Times New Roman"/>
          <w:color w:val="000000"/>
          <w:lang w:val="en-US" w:eastAsia="nl-NL"/>
        </w:rPr>
        <w:t xml:space="preserve"> a common set of mutual interests among potentially competing professional reporting bodies</w:t>
      </w:r>
      <w:r w:rsidR="00823C68">
        <w:rPr>
          <w:rFonts w:ascii="Times New Roman" w:eastAsia="Times New Roman" w:hAnsi="Times New Roman" w:cs="Times New Roman"/>
          <w:color w:val="000000"/>
          <w:lang w:val="en-US" w:eastAsia="nl-NL"/>
        </w:rPr>
        <w:t xml:space="preserve"> (see relatedly, Hayne and Free, 2014)</w:t>
      </w:r>
      <w:r w:rsidR="00823C68" w:rsidRPr="00A147DD">
        <w:rPr>
          <w:rFonts w:ascii="Times New Roman" w:eastAsia="Times New Roman" w:hAnsi="Times New Roman" w:cs="Times New Roman"/>
          <w:color w:val="000000"/>
          <w:lang w:val="en-US" w:eastAsia="nl-NL"/>
        </w:rPr>
        <w:t xml:space="preserve">. </w:t>
      </w:r>
      <w:r w:rsidR="001C2494">
        <w:rPr>
          <w:rFonts w:ascii="Times New Roman" w:eastAsia="Times New Roman" w:hAnsi="Times New Roman" w:cs="Times New Roman"/>
          <w:color w:val="000000"/>
          <w:lang w:val="en-US" w:eastAsia="nl-NL"/>
        </w:rPr>
        <w:t>Such</w:t>
      </w:r>
      <w:r w:rsidR="001C2494" w:rsidRPr="00A147DD">
        <w:rPr>
          <w:rFonts w:ascii="Times New Roman" w:eastAsia="Times New Roman" w:hAnsi="Times New Roman" w:cs="Times New Roman"/>
          <w:color w:val="000000"/>
          <w:lang w:val="en-US" w:eastAsia="nl-NL"/>
        </w:rPr>
        <w:t xml:space="preserve"> </w:t>
      </w:r>
      <w:r w:rsidR="00823C68" w:rsidRPr="00A147DD">
        <w:rPr>
          <w:rFonts w:ascii="Times New Roman" w:eastAsia="Times New Roman" w:hAnsi="Times New Roman" w:cs="Times New Roman"/>
          <w:color w:val="000000"/>
          <w:lang w:val="en-US" w:eastAsia="nl-NL"/>
        </w:rPr>
        <w:t xml:space="preserve">bodies have </w:t>
      </w:r>
      <w:r w:rsidR="001C2494">
        <w:rPr>
          <w:rFonts w:ascii="Times New Roman" w:eastAsia="Times New Roman" w:hAnsi="Times New Roman" w:cs="Times New Roman"/>
          <w:color w:val="000000"/>
          <w:lang w:val="en-US" w:eastAsia="nl-NL"/>
        </w:rPr>
        <w:t xml:space="preserve">been able to </w:t>
      </w:r>
      <w:r w:rsidR="00823C68" w:rsidRPr="00A147DD">
        <w:rPr>
          <w:rFonts w:ascii="Times New Roman" w:eastAsia="Times New Roman" w:hAnsi="Times New Roman" w:cs="Times New Roman"/>
          <w:color w:val="000000"/>
          <w:lang w:val="en-US" w:eastAsia="nl-NL"/>
        </w:rPr>
        <w:t>extrac</w:t>
      </w:r>
      <w:r w:rsidR="001C2494">
        <w:rPr>
          <w:rFonts w:ascii="Times New Roman" w:eastAsia="Times New Roman" w:hAnsi="Times New Roman" w:cs="Times New Roman"/>
          <w:color w:val="000000"/>
          <w:lang w:val="en-US" w:eastAsia="nl-NL"/>
        </w:rPr>
        <w:t>t</w:t>
      </w:r>
      <w:r w:rsidR="00823C68" w:rsidRPr="00A147DD">
        <w:rPr>
          <w:rFonts w:ascii="Times New Roman" w:eastAsia="Times New Roman" w:hAnsi="Times New Roman" w:cs="Times New Roman"/>
          <w:color w:val="000000"/>
          <w:lang w:val="en-US" w:eastAsia="nl-NL"/>
        </w:rPr>
        <w:t xml:space="preserve"> formal written reassurances that </w:t>
      </w:r>
      <w:r w:rsidR="00823C68">
        <w:rPr>
          <w:rFonts w:ascii="Times New Roman" w:eastAsia="Times New Roman" w:hAnsi="Times New Roman" w:cs="Times New Roman"/>
          <w:color w:val="000000"/>
          <w:lang w:val="en-US" w:eastAsia="nl-NL"/>
        </w:rPr>
        <w:t>the IIRC’s integrated reporting</w:t>
      </w:r>
      <w:r w:rsidR="00823C68" w:rsidRPr="00A147DD">
        <w:rPr>
          <w:rFonts w:ascii="Times New Roman" w:eastAsia="Times New Roman" w:hAnsi="Times New Roman" w:cs="Times New Roman"/>
          <w:color w:val="000000"/>
          <w:lang w:val="en-US" w:eastAsia="nl-NL"/>
        </w:rPr>
        <w:t xml:space="preserve"> will not evolve to colo</w:t>
      </w:r>
      <w:r w:rsidR="00823C68">
        <w:rPr>
          <w:rFonts w:ascii="Times New Roman" w:eastAsia="Times New Roman" w:hAnsi="Times New Roman" w:cs="Times New Roman"/>
          <w:color w:val="000000"/>
          <w:lang w:val="en-US" w:eastAsia="nl-NL"/>
        </w:rPr>
        <w:t>nize</w:t>
      </w:r>
      <w:r w:rsidR="00823C68" w:rsidRPr="00A147DD">
        <w:rPr>
          <w:rFonts w:ascii="Times New Roman" w:eastAsia="Times New Roman" w:hAnsi="Times New Roman" w:cs="Times New Roman"/>
          <w:color w:val="000000"/>
          <w:lang w:val="en-US" w:eastAsia="nl-NL"/>
        </w:rPr>
        <w:t xml:space="preserve"> their </w:t>
      </w:r>
      <w:r w:rsidR="00823C68">
        <w:rPr>
          <w:rFonts w:ascii="Times New Roman" w:eastAsia="Times New Roman" w:hAnsi="Times New Roman" w:cs="Times New Roman"/>
          <w:color w:val="000000"/>
          <w:lang w:val="en-US" w:eastAsia="nl-NL"/>
        </w:rPr>
        <w:t xml:space="preserve">particular </w:t>
      </w:r>
      <w:r w:rsidR="00823C68" w:rsidRPr="00A147DD">
        <w:rPr>
          <w:rFonts w:ascii="Times New Roman" w:eastAsia="Times New Roman" w:hAnsi="Times New Roman" w:cs="Times New Roman"/>
          <w:color w:val="000000"/>
          <w:lang w:val="en-US" w:eastAsia="nl-NL"/>
        </w:rPr>
        <w:t xml:space="preserve">reporting </w:t>
      </w:r>
      <w:r w:rsidR="00823C68">
        <w:rPr>
          <w:rFonts w:ascii="Times New Roman" w:eastAsia="Times New Roman" w:hAnsi="Times New Roman" w:cs="Times New Roman"/>
          <w:color w:val="000000"/>
          <w:lang w:val="en-US" w:eastAsia="nl-NL"/>
        </w:rPr>
        <w:t>space</w:t>
      </w:r>
      <w:r w:rsidR="00823C68" w:rsidRPr="00A147DD">
        <w:rPr>
          <w:rFonts w:ascii="Times New Roman" w:eastAsia="Times New Roman" w:hAnsi="Times New Roman" w:cs="Times New Roman"/>
          <w:color w:val="000000"/>
          <w:lang w:val="en-US" w:eastAsia="nl-NL"/>
        </w:rPr>
        <w:t xml:space="preserve"> </w:t>
      </w:r>
      <w:r w:rsidR="00823C68">
        <w:rPr>
          <w:rFonts w:ascii="Times New Roman" w:eastAsia="Times New Roman" w:hAnsi="Times New Roman" w:cs="Times New Roman"/>
          <w:color w:val="000000"/>
          <w:lang w:val="en-US" w:eastAsia="nl-NL"/>
        </w:rPr>
        <w:t xml:space="preserve">within the corporate reporting field – </w:t>
      </w:r>
      <w:r w:rsidR="00823C68" w:rsidRPr="00A147DD">
        <w:rPr>
          <w:rFonts w:ascii="Times New Roman" w:eastAsia="Times New Roman" w:hAnsi="Times New Roman" w:cs="Times New Roman"/>
          <w:color w:val="000000"/>
          <w:lang w:val="en-US" w:eastAsia="nl-NL"/>
        </w:rPr>
        <w:t xml:space="preserve">despite key aspects of the IIRC’s </w:t>
      </w:r>
      <w:r w:rsidR="00121392">
        <w:rPr>
          <w:rFonts w:ascii="Times New Roman" w:eastAsia="Times New Roman" w:hAnsi="Times New Roman" w:cs="Times New Roman"/>
          <w:color w:val="000000"/>
          <w:lang w:val="en-US" w:eastAsia="nl-NL"/>
        </w:rPr>
        <w:t xml:space="preserve">initial </w:t>
      </w:r>
      <w:r w:rsidR="00823C68" w:rsidRPr="00A147DD">
        <w:rPr>
          <w:rFonts w:ascii="Times New Roman" w:eastAsia="Times New Roman" w:hAnsi="Times New Roman" w:cs="Times New Roman"/>
          <w:color w:val="000000"/>
          <w:lang w:val="en-US" w:eastAsia="nl-NL"/>
        </w:rPr>
        <w:t xml:space="preserve">ambitions </w:t>
      </w:r>
      <w:r w:rsidR="00823C68">
        <w:rPr>
          <w:rFonts w:ascii="Times New Roman" w:eastAsia="Times New Roman" w:hAnsi="Times New Roman" w:cs="Times New Roman"/>
          <w:color w:val="000000"/>
          <w:lang w:val="en-US" w:eastAsia="nl-NL"/>
        </w:rPr>
        <w:t xml:space="preserve">articulating </w:t>
      </w:r>
      <w:r w:rsidR="00823C68" w:rsidRPr="00A147DD">
        <w:rPr>
          <w:rFonts w:ascii="Times New Roman" w:eastAsia="Times New Roman" w:hAnsi="Times New Roman" w:cs="Times New Roman"/>
          <w:color w:val="000000"/>
          <w:lang w:val="en-US" w:eastAsia="nl-NL"/>
        </w:rPr>
        <w:t>this</w:t>
      </w:r>
      <w:r w:rsidR="00823C68">
        <w:rPr>
          <w:rFonts w:ascii="Times New Roman" w:eastAsia="Times New Roman" w:hAnsi="Times New Roman" w:cs="Times New Roman"/>
          <w:color w:val="000000"/>
          <w:lang w:val="en-US" w:eastAsia="nl-NL"/>
        </w:rPr>
        <w:t xml:space="preserve"> possibility</w:t>
      </w:r>
      <w:r w:rsidR="00823C68" w:rsidRPr="00A147DD">
        <w:rPr>
          <w:rFonts w:ascii="Times New Roman" w:eastAsia="Times New Roman" w:hAnsi="Times New Roman" w:cs="Times New Roman"/>
          <w:color w:val="000000"/>
          <w:lang w:val="en-US" w:eastAsia="nl-NL"/>
        </w:rPr>
        <w:t xml:space="preserve">. </w:t>
      </w:r>
      <w:r w:rsidR="007847C2">
        <w:rPr>
          <w:rFonts w:ascii="Times New Roman" w:eastAsia="Times New Roman" w:hAnsi="Times New Roman" w:cs="Times New Roman"/>
          <w:color w:val="000000"/>
          <w:lang w:val="en-US" w:eastAsia="nl-NL"/>
        </w:rPr>
        <w:t xml:space="preserve">In </w:t>
      </w:r>
      <w:r w:rsidR="00823C68">
        <w:rPr>
          <w:rFonts w:ascii="Times New Roman" w:eastAsia="Times New Roman" w:hAnsi="Times New Roman" w:cs="Times New Roman"/>
          <w:color w:val="000000"/>
          <w:lang w:val="en-US" w:eastAsia="nl-NL"/>
        </w:rPr>
        <w:t xml:space="preserve">contrast to numerous </w:t>
      </w:r>
      <w:r w:rsidR="00823C68" w:rsidRPr="00A147DD">
        <w:rPr>
          <w:rFonts w:ascii="Times New Roman" w:eastAsia="Times New Roman" w:hAnsi="Times New Roman" w:cs="Times New Roman"/>
          <w:color w:val="000000"/>
          <w:lang w:val="en-US" w:eastAsia="nl-NL"/>
        </w:rPr>
        <w:t xml:space="preserve">prior studies of </w:t>
      </w:r>
      <w:r w:rsidR="00823C68">
        <w:rPr>
          <w:rFonts w:ascii="Times New Roman" w:eastAsia="Times New Roman" w:hAnsi="Times New Roman" w:cs="Times New Roman"/>
          <w:color w:val="000000"/>
          <w:lang w:val="en-US" w:eastAsia="nl-NL"/>
        </w:rPr>
        <w:t xml:space="preserve">field reconfiguration projects driven by professionals and professional organizations (see, for example, </w:t>
      </w:r>
      <w:proofErr w:type="spellStart"/>
      <w:r w:rsidR="00823C68">
        <w:rPr>
          <w:rFonts w:ascii="Times New Roman" w:eastAsia="Times New Roman" w:hAnsi="Times New Roman" w:cs="Times New Roman"/>
          <w:color w:val="000000"/>
          <w:lang w:val="en-US" w:eastAsia="nl-NL"/>
        </w:rPr>
        <w:t>Gendron</w:t>
      </w:r>
      <w:proofErr w:type="spellEnd"/>
      <w:r w:rsidR="00823C68">
        <w:rPr>
          <w:rFonts w:ascii="Times New Roman" w:eastAsia="Times New Roman" w:hAnsi="Times New Roman" w:cs="Times New Roman"/>
          <w:color w:val="000000"/>
          <w:lang w:val="en-US" w:eastAsia="nl-NL"/>
        </w:rPr>
        <w:t xml:space="preserve"> and Barrett, 2004; Hoffman, 1999; Power, 1997</w:t>
      </w:r>
      <w:r w:rsidR="00823C68" w:rsidRPr="002A4199">
        <w:rPr>
          <w:rFonts w:ascii="Times New Roman" w:eastAsia="Times New Roman" w:hAnsi="Times New Roman" w:cs="Times New Roman"/>
          <w:color w:val="000000"/>
          <w:lang w:val="en-US" w:eastAsia="nl-NL"/>
        </w:rPr>
        <w:t>),</w:t>
      </w:r>
      <w:r w:rsidR="00823C68">
        <w:rPr>
          <w:rFonts w:ascii="Times New Roman" w:eastAsia="Times New Roman" w:hAnsi="Times New Roman" w:cs="Times New Roman"/>
          <w:color w:val="000000"/>
          <w:lang w:val="en-US" w:eastAsia="nl-NL"/>
        </w:rPr>
        <w:t xml:space="preserve"> integrated reporting </w:t>
      </w:r>
      <w:r w:rsidR="007847C2">
        <w:rPr>
          <w:rFonts w:ascii="Times New Roman" w:eastAsia="Times New Roman" w:hAnsi="Times New Roman" w:cs="Times New Roman"/>
          <w:color w:val="000000"/>
          <w:lang w:val="en-US" w:eastAsia="nl-NL"/>
        </w:rPr>
        <w:t xml:space="preserve">therefore </w:t>
      </w:r>
      <w:r w:rsidR="00823C68">
        <w:rPr>
          <w:rFonts w:ascii="Times New Roman" w:eastAsia="Times New Roman" w:hAnsi="Times New Roman" w:cs="Times New Roman"/>
          <w:color w:val="000000"/>
          <w:lang w:val="en-US" w:eastAsia="nl-NL"/>
        </w:rPr>
        <w:t xml:space="preserve">represents a rather more problematic case history in terms of degrees of colonization. Theoretically speaking, the case requires us to recognize that professional actors can act through a mutual coalition of interests, rather than just assuming that one </w:t>
      </w:r>
      <w:r w:rsidR="00823C68" w:rsidRPr="00A147DD">
        <w:rPr>
          <w:rFonts w:ascii="Times New Roman" w:eastAsia="Times New Roman" w:hAnsi="Times New Roman" w:cs="Times New Roman"/>
          <w:color w:val="000000"/>
          <w:lang w:val="en-US" w:eastAsia="nl-NL"/>
        </w:rPr>
        <w:t>dominant professional actor</w:t>
      </w:r>
      <w:r w:rsidR="00823C68">
        <w:rPr>
          <w:rFonts w:ascii="Times New Roman" w:eastAsia="Times New Roman" w:hAnsi="Times New Roman" w:cs="Times New Roman"/>
          <w:color w:val="000000"/>
          <w:lang w:val="en-US" w:eastAsia="nl-NL"/>
        </w:rPr>
        <w:t xml:space="preserve"> (or set of actors)</w:t>
      </w:r>
      <w:r w:rsidR="00823C68" w:rsidRPr="00A147DD">
        <w:rPr>
          <w:rFonts w:ascii="Times New Roman" w:eastAsia="Times New Roman" w:hAnsi="Times New Roman" w:cs="Times New Roman"/>
          <w:color w:val="000000"/>
          <w:lang w:val="en-US" w:eastAsia="nl-NL"/>
        </w:rPr>
        <w:t xml:space="preserve"> </w:t>
      </w:r>
      <w:r w:rsidR="00823C68">
        <w:rPr>
          <w:rFonts w:ascii="Times New Roman" w:eastAsia="Times New Roman" w:hAnsi="Times New Roman" w:cs="Times New Roman"/>
          <w:color w:val="000000"/>
          <w:lang w:val="en-US" w:eastAsia="nl-NL"/>
        </w:rPr>
        <w:t xml:space="preserve">will inevitably (fully) </w:t>
      </w:r>
      <w:r w:rsidR="00823C68" w:rsidRPr="00A147DD">
        <w:rPr>
          <w:rFonts w:ascii="Times New Roman" w:eastAsia="Times New Roman" w:hAnsi="Times New Roman" w:cs="Times New Roman"/>
          <w:color w:val="000000"/>
          <w:lang w:val="en-US" w:eastAsia="nl-NL"/>
        </w:rPr>
        <w:t>colo</w:t>
      </w:r>
      <w:r w:rsidR="00823C68">
        <w:rPr>
          <w:rFonts w:ascii="Times New Roman" w:eastAsia="Times New Roman" w:hAnsi="Times New Roman" w:cs="Times New Roman"/>
          <w:color w:val="000000"/>
          <w:lang w:val="en-US" w:eastAsia="nl-NL"/>
        </w:rPr>
        <w:t>nize</w:t>
      </w:r>
      <w:r w:rsidR="00823C68" w:rsidRPr="00A147DD">
        <w:rPr>
          <w:rFonts w:ascii="Times New Roman" w:eastAsia="Times New Roman" w:hAnsi="Times New Roman" w:cs="Times New Roman"/>
          <w:color w:val="000000"/>
          <w:lang w:val="en-US" w:eastAsia="nl-NL"/>
        </w:rPr>
        <w:t xml:space="preserve"> </w:t>
      </w:r>
      <w:r w:rsidR="00823C68">
        <w:rPr>
          <w:rFonts w:ascii="Times New Roman" w:eastAsia="Times New Roman" w:hAnsi="Times New Roman" w:cs="Times New Roman"/>
          <w:color w:val="000000"/>
          <w:lang w:val="en-US" w:eastAsia="nl-NL"/>
        </w:rPr>
        <w:t xml:space="preserve">a particular organizational field. </w:t>
      </w:r>
    </w:p>
    <w:p w14:paraId="4FA6DECE" w14:textId="36B69680" w:rsidR="00823C68" w:rsidRPr="00953650" w:rsidRDefault="00823C68" w:rsidP="00A03234">
      <w:pPr>
        <w:spacing w:line="360" w:lineRule="auto"/>
        <w:ind w:firstLine="567"/>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eastAsia="nl-NL"/>
        </w:rPr>
        <w:t xml:space="preserve">The degree to which </w:t>
      </w:r>
      <w:r>
        <w:rPr>
          <w:rFonts w:ascii="Times New Roman" w:eastAsia="Times New Roman" w:hAnsi="Times New Roman" w:cs="Times New Roman"/>
          <w:color w:val="000000"/>
          <w:lang w:val="en-US"/>
        </w:rPr>
        <w:t>integrated reporting</w:t>
      </w:r>
      <w:r w:rsidRPr="0078230B">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is able to sustain any degree of openness as an intellectual space is, ultimately, an empirical question. To date, </w:t>
      </w:r>
      <w:r w:rsidRPr="0078230B">
        <w:rPr>
          <w:rFonts w:ascii="Times New Roman" w:eastAsia="Times New Roman" w:hAnsi="Times New Roman" w:cs="Times New Roman"/>
          <w:color w:val="000000"/>
          <w:lang w:val="en-US"/>
        </w:rPr>
        <w:t>despite a subsequent tightening of formal institutional arrangements and relationships</w:t>
      </w:r>
      <w:r>
        <w:rPr>
          <w:rFonts w:ascii="Times New Roman" w:eastAsia="Times New Roman" w:hAnsi="Times New Roman" w:cs="Times New Roman"/>
          <w:color w:val="000000"/>
          <w:lang w:val="en-US"/>
        </w:rPr>
        <w:t>,</w:t>
      </w:r>
      <w:r w:rsidRPr="0078230B">
        <w:rPr>
          <w:rFonts w:ascii="Times New Roman" w:eastAsia="Times New Roman" w:hAnsi="Times New Roman" w:cs="Times New Roman"/>
          <w:color w:val="000000"/>
          <w:lang w:val="en-US"/>
        </w:rPr>
        <w:t xml:space="preserve"> th</w:t>
      </w:r>
      <w:r>
        <w:rPr>
          <w:rFonts w:ascii="Times New Roman" w:eastAsia="Times New Roman" w:hAnsi="Times New Roman" w:cs="Times New Roman"/>
          <w:color w:val="000000"/>
          <w:lang w:val="en-US"/>
        </w:rPr>
        <w:t xml:space="preserve">ere are grounds for arguing that the space </w:t>
      </w:r>
      <w:r w:rsidRPr="0078230B">
        <w:rPr>
          <w:rFonts w:ascii="Times New Roman" w:eastAsia="Times New Roman" w:hAnsi="Times New Roman" w:cs="Times New Roman"/>
          <w:color w:val="000000"/>
          <w:lang w:val="en-US"/>
        </w:rPr>
        <w:t>remain</w:t>
      </w:r>
      <w:r>
        <w:rPr>
          <w:rFonts w:ascii="Times New Roman" w:eastAsia="Times New Roman" w:hAnsi="Times New Roman" w:cs="Times New Roman"/>
          <w:color w:val="000000"/>
          <w:lang w:val="en-US"/>
        </w:rPr>
        <w:t>s</w:t>
      </w:r>
      <w:r w:rsidRPr="0078230B">
        <w:rPr>
          <w:rFonts w:ascii="Times New Roman" w:eastAsia="Times New Roman" w:hAnsi="Times New Roman" w:cs="Times New Roman"/>
          <w:color w:val="000000"/>
          <w:lang w:val="en-US"/>
        </w:rPr>
        <w:t xml:space="preserve"> open to additional </w:t>
      </w:r>
      <w:r>
        <w:rPr>
          <w:rFonts w:ascii="Times New Roman" w:eastAsia="Times New Roman" w:hAnsi="Times New Roman" w:cs="Times New Roman"/>
          <w:color w:val="000000"/>
          <w:lang w:val="en-US"/>
        </w:rPr>
        <w:t xml:space="preserve">professional </w:t>
      </w:r>
      <w:r w:rsidRPr="0078230B">
        <w:rPr>
          <w:rFonts w:ascii="Times New Roman" w:eastAsia="Times New Roman" w:hAnsi="Times New Roman" w:cs="Times New Roman"/>
          <w:color w:val="000000"/>
          <w:lang w:val="en-US"/>
        </w:rPr>
        <w:t>entrants</w:t>
      </w:r>
      <w:r>
        <w:rPr>
          <w:rFonts w:ascii="Times New Roman" w:eastAsia="Times New Roman" w:hAnsi="Times New Roman" w:cs="Times New Roman"/>
          <w:color w:val="000000"/>
          <w:lang w:val="en-US"/>
        </w:rPr>
        <w:t xml:space="preserve">, although much here will depend on the way in which institutional pressures and demands shape the future development of the IIRC’s strategy.  Herein lies </w:t>
      </w:r>
      <w:r w:rsidR="00A00867">
        <w:rPr>
          <w:rFonts w:ascii="Times New Roman" w:eastAsia="Times New Roman" w:hAnsi="Times New Roman" w:cs="Times New Roman"/>
          <w:color w:val="000000"/>
          <w:lang w:val="en-US"/>
        </w:rPr>
        <w:t xml:space="preserve">the second important theoretical contribution of the paper.  </w:t>
      </w:r>
      <w:r>
        <w:rPr>
          <w:rFonts w:ascii="Times New Roman" w:eastAsia="Times New Roman" w:hAnsi="Times New Roman" w:cs="Times New Roman"/>
          <w:color w:val="000000"/>
          <w:lang w:val="en-US"/>
        </w:rPr>
        <w:t xml:space="preserve">In exploring key policy implications of work already undertaken by the IIRC and considering future policy challenges, </w:t>
      </w:r>
      <w:r w:rsidR="001C2494">
        <w:rPr>
          <w:rFonts w:ascii="Times New Roman" w:eastAsia="Times New Roman" w:hAnsi="Times New Roman" w:cs="Times New Roman"/>
          <w:color w:val="000000"/>
          <w:lang w:val="en-US"/>
        </w:rPr>
        <w:t>the paper</w:t>
      </w:r>
      <w:r>
        <w:rPr>
          <w:rFonts w:ascii="Times New Roman" w:eastAsia="Times New Roman" w:hAnsi="Times New Roman" w:cs="Times New Roman"/>
          <w:color w:val="000000"/>
          <w:lang w:val="en-US"/>
        </w:rPr>
        <w:t xml:space="preserve"> demonstrates</w:t>
      </w:r>
      <w:r w:rsidRPr="00EA6237">
        <w:rPr>
          <w:rFonts w:ascii="Times New Roman" w:eastAsia="Times New Roman" w:hAnsi="Times New Roman" w:cs="Times New Roman"/>
          <w:color w:val="000000"/>
          <w:lang w:val="en-US"/>
        </w:rPr>
        <w:t xml:space="preserve"> the importance of institutional analysis </w:t>
      </w:r>
      <w:r w:rsidR="00A00867">
        <w:rPr>
          <w:rFonts w:ascii="Times New Roman" w:eastAsia="Times New Roman" w:hAnsi="Times New Roman" w:cs="Times New Roman"/>
          <w:color w:val="000000"/>
          <w:lang w:val="en-US"/>
        </w:rPr>
        <w:t xml:space="preserve">not only being conducted within individual organizational </w:t>
      </w:r>
      <w:r w:rsidR="00A00867">
        <w:rPr>
          <w:rFonts w:ascii="Times New Roman" w:eastAsia="Times New Roman" w:hAnsi="Times New Roman" w:cs="Times New Roman"/>
          <w:color w:val="000000"/>
          <w:lang w:val="en-US"/>
        </w:rPr>
        <w:lastRenderedPageBreak/>
        <w:t xml:space="preserve">fields but also giving serious </w:t>
      </w:r>
      <w:r w:rsidRPr="00EA6237">
        <w:rPr>
          <w:rFonts w:ascii="Times New Roman" w:eastAsia="Times New Roman" w:hAnsi="Times New Roman" w:cs="Times New Roman"/>
          <w:color w:val="000000"/>
          <w:lang w:val="en-US"/>
        </w:rPr>
        <w:t>consider</w:t>
      </w:r>
      <w:r w:rsidR="00A00867">
        <w:rPr>
          <w:rFonts w:ascii="Times New Roman" w:eastAsia="Times New Roman" w:hAnsi="Times New Roman" w:cs="Times New Roman"/>
          <w:color w:val="000000"/>
          <w:lang w:val="en-US"/>
        </w:rPr>
        <w:t>ation to</w:t>
      </w:r>
      <w:r w:rsidRPr="00EA6237">
        <w:rPr>
          <w:rFonts w:ascii="Times New Roman" w:eastAsia="Times New Roman" w:hAnsi="Times New Roman" w:cs="Times New Roman"/>
          <w:color w:val="000000"/>
          <w:lang w:val="en-US"/>
        </w:rPr>
        <w:t xml:space="preserve"> </w:t>
      </w:r>
      <w:r w:rsidR="00A00867">
        <w:rPr>
          <w:rFonts w:ascii="Times New Roman" w:eastAsia="Times New Roman" w:hAnsi="Times New Roman" w:cs="Times New Roman"/>
          <w:color w:val="000000"/>
          <w:lang w:val="en-US"/>
        </w:rPr>
        <w:t xml:space="preserve">the significance of </w:t>
      </w:r>
      <w:r w:rsidRPr="00EA6237">
        <w:rPr>
          <w:rFonts w:ascii="Times New Roman" w:eastAsia="Times New Roman" w:hAnsi="Times New Roman" w:cs="Times New Roman"/>
          <w:color w:val="000000"/>
          <w:lang w:val="en-US"/>
        </w:rPr>
        <w:t xml:space="preserve">connections </w:t>
      </w:r>
      <w:r w:rsidRPr="00EA6237">
        <w:rPr>
          <w:rFonts w:ascii="Times New Roman" w:eastAsia="Times New Roman" w:hAnsi="Times New Roman" w:cs="Times New Roman"/>
          <w:i/>
          <w:color w:val="000000"/>
          <w:lang w:val="en-US"/>
        </w:rPr>
        <w:t xml:space="preserve">across </w:t>
      </w:r>
      <w:r w:rsidRPr="00EA6237">
        <w:rPr>
          <w:rFonts w:ascii="Times New Roman" w:eastAsia="Times New Roman" w:hAnsi="Times New Roman" w:cs="Times New Roman"/>
          <w:color w:val="000000"/>
          <w:lang w:val="en-US"/>
        </w:rPr>
        <w:t xml:space="preserve">related organizational fields. </w:t>
      </w:r>
      <w:r w:rsidR="001C2494">
        <w:rPr>
          <w:rFonts w:ascii="Times New Roman" w:eastAsia="Times New Roman" w:hAnsi="Times New Roman" w:cs="Times New Roman"/>
          <w:color w:val="000000"/>
          <w:lang w:val="en-US"/>
        </w:rPr>
        <w:t xml:space="preserve"> </w:t>
      </w:r>
      <w:r w:rsidRPr="00EA6237">
        <w:rPr>
          <w:rFonts w:ascii="Times New Roman" w:eastAsia="Times New Roman" w:hAnsi="Times New Roman" w:cs="Times New Roman"/>
          <w:color w:val="000000"/>
          <w:lang w:val="en-US"/>
        </w:rPr>
        <w:t xml:space="preserve">Suddaby and </w:t>
      </w:r>
      <w:proofErr w:type="spellStart"/>
      <w:r w:rsidRPr="00EA6237">
        <w:rPr>
          <w:rFonts w:ascii="Times New Roman" w:eastAsia="Times New Roman" w:hAnsi="Times New Roman" w:cs="Times New Roman"/>
          <w:color w:val="000000"/>
          <w:lang w:val="en-US"/>
        </w:rPr>
        <w:t>Viale</w:t>
      </w:r>
      <w:proofErr w:type="spellEnd"/>
      <w:r w:rsidRPr="00EA6237">
        <w:rPr>
          <w:rFonts w:ascii="Times New Roman" w:eastAsia="Times New Roman" w:hAnsi="Times New Roman" w:cs="Times New Roman"/>
          <w:color w:val="000000"/>
          <w:lang w:val="en-US"/>
        </w:rPr>
        <w:t xml:space="preserve"> (2011: 426) </w:t>
      </w:r>
      <w:r>
        <w:rPr>
          <w:rFonts w:ascii="Times New Roman" w:eastAsia="Times New Roman" w:hAnsi="Times New Roman" w:cs="Times New Roman"/>
          <w:color w:val="000000"/>
          <w:lang w:val="en-US"/>
        </w:rPr>
        <w:t>theorize</w:t>
      </w:r>
      <w:r w:rsidRPr="00EA6237">
        <w:rPr>
          <w:rFonts w:ascii="Times New Roman" w:eastAsia="Times New Roman" w:hAnsi="Times New Roman" w:cs="Times New Roman"/>
          <w:color w:val="000000"/>
          <w:lang w:val="en-US"/>
        </w:rPr>
        <w:t xml:space="preserve"> that because professional </w:t>
      </w:r>
      <w:r>
        <w:rPr>
          <w:rFonts w:ascii="Times New Roman" w:eastAsia="Times New Roman" w:hAnsi="Times New Roman" w:cs="Times New Roman"/>
          <w:color w:val="000000"/>
          <w:lang w:val="en-US"/>
        </w:rPr>
        <w:t>organization</w:t>
      </w:r>
      <w:r w:rsidRPr="00EA6237">
        <w:rPr>
          <w:rFonts w:ascii="Times New Roman" w:eastAsia="Times New Roman" w:hAnsi="Times New Roman" w:cs="Times New Roman"/>
          <w:color w:val="000000"/>
          <w:lang w:val="en-US"/>
        </w:rPr>
        <w:t>s, groups and professionals are so embedded in organiza</w:t>
      </w:r>
      <w:r w:rsidRPr="00EA6237">
        <w:rPr>
          <w:rFonts w:ascii="Times New Roman" w:eastAsia="Times New Roman" w:hAnsi="Times New Roman" w:cs="Times New Roman"/>
          <w:color w:val="000000"/>
          <w:lang w:val="en-US"/>
        </w:rPr>
        <w:softHyphen/>
        <w:t xml:space="preserve">tional fields, efforts </w:t>
      </w:r>
      <w:r>
        <w:rPr>
          <w:rFonts w:ascii="Times New Roman" w:eastAsia="Times New Roman" w:hAnsi="Times New Roman" w:cs="Times New Roman"/>
          <w:color w:val="000000"/>
          <w:lang w:val="en-US"/>
        </w:rPr>
        <w:t xml:space="preserve">on their part </w:t>
      </w:r>
      <w:r w:rsidRPr="00EA6237">
        <w:rPr>
          <w:rFonts w:ascii="Times New Roman" w:eastAsia="Times New Roman" w:hAnsi="Times New Roman" w:cs="Times New Roman"/>
          <w:color w:val="000000"/>
          <w:lang w:val="en-US"/>
        </w:rPr>
        <w:t>to promote and coloni</w:t>
      </w:r>
      <w:r>
        <w:rPr>
          <w:rFonts w:ascii="Times New Roman" w:eastAsia="Times New Roman" w:hAnsi="Times New Roman" w:cs="Times New Roman"/>
          <w:color w:val="000000"/>
          <w:lang w:val="en-US"/>
        </w:rPr>
        <w:t>z</w:t>
      </w:r>
      <w:r w:rsidRPr="00EA6237">
        <w:rPr>
          <w:rFonts w:ascii="Times New Roman" w:eastAsia="Times New Roman" w:hAnsi="Times New Roman" w:cs="Times New Roman"/>
          <w:color w:val="000000"/>
          <w:lang w:val="en-US"/>
        </w:rPr>
        <w:t xml:space="preserve">e new </w:t>
      </w:r>
      <w:proofErr w:type="spellStart"/>
      <w:r>
        <w:rPr>
          <w:rFonts w:ascii="Times New Roman" w:eastAsia="Times New Roman" w:hAnsi="Times New Roman" w:cs="Times New Roman"/>
          <w:color w:val="000000"/>
          <w:lang w:val="en-US"/>
        </w:rPr>
        <w:t>programmes</w:t>
      </w:r>
      <w:proofErr w:type="spellEnd"/>
      <w:r>
        <w:rPr>
          <w:rFonts w:ascii="Times New Roman" w:eastAsia="Times New Roman" w:hAnsi="Times New Roman" w:cs="Times New Roman"/>
          <w:color w:val="000000"/>
          <w:lang w:val="en-US"/>
        </w:rPr>
        <w:t xml:space="preserve"> or </w:t>
      </w:r>
      <w:r w:rsidRPr="00EA6237">
        <w:rPr>
          <w:rFonts w:ascii="Times New Roman" w:eastAsia="Times New Roman" w:hAnsi="Times New Roman" w:cs="Times New Roman"/>
          <w:color w:val="000000"/>
          <w:lang w:val="en-US"/>
        </w:rPr>
        <w:t xml:space="preserve">practices </w:t>
      </w:r>
      <w:r>
        <w:rPr>
          <w:rFonts w:ascii="Times New Roman" w:eastAsia="Times New Roman" w:hAnsi="Times New Roman" w:cs="Times New Roman"/>
          <w:color w:val="000000"/>
          <w:lang w:val="en-US"/>
        </w:rPr>
        <w:t xml:space="preserve">can be expected to </w:t>
      </w:r>
      <w:r w:rsidRPr="00EA6237">
        <w:rPr>
          <w:rFonts w:ascii="Times New Roman" w:eastAsia="Times New Roman" w:hAnsi="Times New Roman" w:cs="Times New Roman"/>
          <w:color w:val="000000"/>
          <w:lang w:val="en-US"/>
        </w:rPr>
        <w:t xml:space="preserve">reverberate throughout the field and influence, either directly or indirectly, </w:t>
      </w:r>
      <w:r>
        <w:rPr>
          <w:rFonts w:ascii="Times New Roman" w:eastAsia="Times New Roman" w:hAnsi="Times New Roman" w:cs="Times New Roman"/>
          <w:color w:val="000000"/>
          <w:lang w:val="en-US"/>
        </w:rPr>
        <w:t xml:space="preserve">other </w:t>
      </w:r>
      <w:r w:rsidRPr="00EA6237">
        <w:rPr>
          <w:rFonts w:ascii="Times New Roman" w:eastAsia="Times New Roman" w:hAnsi="Times New Roman" w:cs="Times New Roman"/>
          <w:color w:val="000000"/>
          <w:lang w:val="en-US"/>
        </w:rPr>
        <w:t xml:space="preserve">institutionalization projects. </w:t>
      </w:r>
      <w:r>
        <w:rPr>
          <w:rFonts w:ascii="Times New Roman" w:eastAsia="Times New Roman" w:hAnsi="Times New Roman" w:cs="Times New Roman"/>
          <w:color w:val="000000"/>
          <w:lang w:val="en-US"/>
        </w:rPr>
        <w:t xml:space="preserve">We develop such arguments by </w:t>
      </w:r>
      <w:r w:rsidRPr="00863707">
        <w:rPr>
          <w:rFonts w:ascii="Times New Roman" w:eastAsia="Times New Roman" w:hAnsi="Times New Roman" w:cs="Times New Roman"/>
          <w:color w:val="000000"/>
          <w:lang w:val="en-US"/>
        </w:rPr>
        <w:t>show</w:t>
      </w:r>
      <w:r>
        <w:rPr>
          <w:rFonts w:ascii="Times New Roman" w:eastAsia="Times New Roman" w:hAnsi="Times New Roman" w:cs="Times New Roman"/>
          <w:color w:val="000000"/>
          <w:lang w:val="en-US"/>
        </w:rPr>
        <w:t>ing</w:t>
      </w:r>
      <w:r w:rsidRPr="00863707">
        <w:rPr>
          <w:rFonts w:ascii="Times New Roman" w:eastAsia="Times New Roman" w:hAnsi="Times New Roman" w:cs="Times New Roman"/>
          <w:color w:val="000000"/>
          <w:lang w:val="en-US"/>
        </w:rPr>
        <w:t xml:space="preserve"> how the</w:t>
      </w:r>
      <w:r>
        <w:rPr>
          <w:rFonts w:ascii="Times New Roman" w:eastAsia="Times New Roman" w:hAnsi="Times New Roman" w:cs="Times New Roman"/>
          <w:color w:val="000000"/>
          <w:lang w:val="en-US"/>
        </w:rPr>
        <w:t xml:space="preserve"> prospects of success for the</w:t>
      </w:r>
      <w:r w:rsidRPr="00863707">
        <w:rPr>
          <w:rFonts w:ascii="Times New Roman" w:eastAsia="Times New Roman" w:hAnsi="Times New Roman" w:cs="Times New Roman"/>
          <w:color w:val="000000"/>
          <w:lang w:val="en-US"/>
        </w:rPr>
        <w:t xml:space="preserve"> IIRC’s reconfiguration of the corporate reporting </w:t>
      </w:r>
      <w:r>
        <w:rPr>
          <w:rFonts w:ascii="Times New Roman" w:eastAsia="Times New Roman" w:hAnsi="Times New Roman" w:cs="Times New Roman"/>
          <w:color w:val="000000"/>
          <w:lang w:val="en-US"/>
        </w:rPr>
        <w:t xml:space="preserve">field </w:t>
      </w:r>
      <w:r w:rsidR="00A00867">
        <w:rPr>
          <w:rFonts w:ascii="Times New Roman" w:eastAsia="Times New Roman" w:hAnsi="Times New Roman" w:cs="Times New Roman"/>
          <w:color w:val="000000"/>
          <w:lang w:val="en-US"/>
        </w:rPr>
        <w:t xml:space="preserve">have come to </w:t>
      </w:r>
      <w:r>
        <w:rPr>
          <w:rFonts w:ascii="Times New Roman" w:eastAsia="Times New Roman" w:hAnsi="Times New Roman" w:cs="Times New Roman"/>
          <w:color w:val="000000"/>
          <w:lang w:val="en-US"/>
        </w:rPr>
        <w:t xml:space="preserve">depend centrally </w:t>
      </w:r>
      <w:r w:rsidRPr="00863707">
        <w:rPr>
          <w:rFonts w:ascii="Times New Roman" w:eastAsia="Times New Roman" w:hAnsi="Times New Roman" w:cs="Times New Roman"/>
          <w:color w:val="000000"/>
          <w:lang w:val="en-US"/>
        </w:rPr>
        <w:t xml:space="preserve">on the IIRC </w:t>
      </w:r>
      <w:r>
        <w:rPr>
          <w:rFonts w:ascii="Times New Roman" w:eastAsia="Times New Roman" w:hAnsi="Times New Roman" w:cs="Times New Roman"/>
          <w:color w:val="000000"/>
          <w:lang w:val="en-US"/>
        </w:rPr>
        <w:t xml:space="preserve">being able to </w:t>
      </w:r>
      <w:r w:rsidRPr="00863707">
        <w:rPr>
          <w:rFonts w:ascii="Times New Roman" w:eastAsia="Times New Roman" w:hAnsi="Times New Roman" w:cs="Times New Roman"/>
          <w:color w:val="000000"/>
          <w:lang w:val="en-US"/>
        </w:rPr>
        <w:t>instigat</w:t>
      </w:r>
      <w:r>
        <w:rPr>
          <w:rFonts w:ascii="Times New Roman" w:eastAsia="Times New Roman" w:hAnsi="Times New Roman" w:cs="Times New Roman"/>
          <w:color w:val="000000"/>
          <w:lang w:val="en-US"/>
        </w:rPr>
        <w:t>e</w:t>
      </w:r>
      <w:r w:rsidRPr="00863707">
        <w:rPr>
          <w:rFonts w:ascii="Times New Roman" w:eastAsia="Times New Roman" w:hAnsi="Times New Roman" w:cs="Times New Roman"/>
          <w:color w:val="000000"/>
          <w:lang w:val="en-US"/>
        </w:rPr>
        <w:t xml:space="preserve"> institutional change in </w:t>
      </w:r>
      <w:r>
        <w:rPr>
          <w:rFonts w:ascii="Times New Roman" w:eastAsia="Times New Roman" w:hAnsi="Times New Roman" w:cs="Times New Roman"/>
          <w:color w:val="000000"/>
          <w:lang w:val="en-US"/>
        </w:rPr>
        <w:t xml:space="preserve">the rather more distantly related field </w:t>
      </w:r>
      <w:r w:rsidRPr="00863707">
        <w:rPr>
          <w:rFonts w:ascii="Times New Roman" w:eastAsia="Times New Roman" w:hAnsi="Times New Roman" w:cs="Times New Roman"/>
          <w:color w:val="000000"/>
          <w:lang w:val="en-US"/>
        </w:rPr>
        <w:t xml:space="preserve">of mainstream investment. </w:t>
      </w:r>
      <w:r w:rsidR="001C2494">
        <w:rPr>
          <w:rFonts w:ascii="Times New Roman" w:eastAsia="Times New Roman" w:hAnsi="Times New Roman" w:cs="Times New Roman"/>
          <w:color w:val="000000"/>
          <w:lang w:val="en-US"/>
        </w:rPr>
        <w:t xml:space="preserve">In essence, the </w:t>
      </w:r>
      <w:r w:rsidRPr="00863707">
        <w:rPr>
          <w:rFonts w:ascii="Times New Roman" w:eastAsia="Times New Roman" w:hAnsi="Times New Roman" w:cs="Times New Roman"/>
          <w:color w:val="000000"/>
          <w:lang w:val="en-US"/>
        </w:rPr>
        <w:t xml:space="preserve">IIRC has </w:t>
      </w:r>
      <w:r>
        <w:rPr>
          <w:rFonts w:ascii="Times New Roman" w:eastAsia="Times New Roman" w:hAnsi="Times New Roman" w:cs="Times New Roman"/>
          <w:color w:val="000000"/>
          <w:lang w:val="en-US"/>
        </w:rPr>
        <w:t xml:space="preserve">sought to </w:t>
      </w:r>
      <w:r w:rsidRPr="00863707">
        <w:rPr>
          <w:rFonts w:ascii="Times New Roman" w:eastAsia="Times New Roman" w:hAnsi="Times New Roman" w:cs="Times New Roman"/>
          <w:color w:val="000000"/>
          <w:lang w:val="en-US"/>
        </w:rPr>
        <w:t>promot</w:t>
      </w:r>
      <w:r>
        <w:rPr>
          <w:rFonts w:ascii="Times New Roman" w:eastAsia="Times New Roman" w:hAnsi="Times New Roman" w:cs="Times New Roman"/>
          <w:color w:val="000000"/>
          <w:lang w:val="en-US"/>
        </w:rPr>
        <w:t>e</w:t>
      </w:r>
      <w:r w:rsidRPr="00863707">
        <w:rPr>
          <w:rFonts w:ascii="Times New Roman" w:eastAsia="Times New Roman" w:hAnsi="Times New Roman" w:cs="Times New Roman"/>
          <w:color w:val="000000"/>
          <w:lang w:val="en-US"/>
        </w:rPr>
        <w:t xml:space="preserve"> a greater focus on long</w:t>
      </w:r>
      <w:r>
        <w:rPr>
          <w:rFonts w:ascii="Times New Roman" w:eastAsia="Times New Roman" w:hAnsi="Times New Roman" w:cs="Times New Roman"/>
          <w:color w:val="000000"/>
          <w:lang w:val="en-US"/>
        </w:rPr>
        <w:t>-</w:t>
      </w:r>
      <w:r w:rsidRPr="00863707">
        <w:rPr>
          <w:rFonts w:ascii="Times New Roman" w:eastAsia="Times New Roman" w:hAnsi="Times New Roman" w:cs="Times New Roman"/>
          <w:color w:val="000000"/>
          <w:lang w:val="en-US"/>
        </w:rPr>
        <w:t>term</w:t>
      </w:r>
      <w:r>
        <w:rPr>
          <w:rFonts w:ascii="Times New Roman" w:eastAsia="Times New Roman" w:hAnsi="Times New Roman" w:cs="Times New Roman"/>
          <w:color w:val="000000"/>
          <w:lang w:val="en-US"/>
        </w:rPr>
        <w:t>, sustainable</w:t>
      </w:r>
      <w:r w:rsidRPr="00863707">
        <w:rPr>
          <w:rFonts w:ascii="Times New Roman" w:eastAsia="Times New Roman" w:hAnsi="Times New Roman" w:cs="Times New Roman"/>
          <w:color w:val="000000"/>
          <w:lang w:val="en-US"/>
        </w:rPr>
        <w:t xml:space="preserve"> investmen</w:t>
      </w:r>
      <w:r w:rsidR="001C2494">
        <w:rPr>
          <w:rFonts w:ascii="Times New Roman" w:eastAsia="Times New Roman" w:hAnsi="Times New Roman" w:cs="Times New Roman"/>
          <w:color w:val="000000"/>
          <w:lang w:val="en-US"/>
        </w:rPr>
        <w:t>t n</w:t>
      </w:r>
      <w:r w:rsidRPr="00863707">
        <w:rPr>
          <w:rFonts w:ascii="Times New Roman" w:eastAsia="Times New Roman" w:hAnsi="Times New Roman" w:cs="Times New Roman"/>
          <w:color w:val="000000"/>
          <w:lang w:val="en-US"/>
        </w:rPr>
        <w:t xml:space="preserve">ot only </w:t>
      </w:r>
      <w:r w:rsidR="001C2494">
        <w:rPr>
          <w:rFonts w:ascii="Times New Roman" w:eastAsia="Times New Roman" w:hAnsi="Times New Roman" w:cs="Times New Roman"/>
          <w:color w:val="000000"/>
          <w:lang w:val="en-US"/>
        </w:rPr>
        <w:t xml:space="preserve">by </w:t>
      </w:r>
      <w:r w:rsidRPr="00863707">
        <w:rPr>
          <w:rFonts w:ascii="Times New Roman" w:eastAsia="Times New Roman" w:hAnsi="Times New Roman" w:cs="Times New Roman"/>
          <w:color w:val="000000"/>
          <w:lang w:val="en-US"/>
        </w:rPr>
        <w:t xml:space="preserve">constructing a new form of </w:t>
      </w:r>
      <w:r>
        <w:rPr>
          <w:rFonts w:ascii="Times New Roman" w:eastAsia="Times New Roman" w:hAnsi="Times New Roman" w:cs="Times New Roman"/>
          <w:color w:val="000000"/>
          <w:lang w:val="en-US"/>
        </w:rPr>
        <w:t xml:space="preserve">(integrated) corporate </w:t>
      </w:r>
      <w:r w:rsidRPr="00863707">
        <w:rPr>
          <w:rFonts w:ascii="Times New Roman" w:eastAsia="Times New Roman" w:hAnsi="Times New Roman" w:cs="Times New Roman"/>
          <w:color w:val="000000"/>
          <w:lang w:val="en-US"/>
        </w:rPr>
        <w:t>reporting</w:t>
      </w:r>
      <w:r>
        <w:rPr>
          <w:rFonts w:ascii="Times New Roman" w:eastAsia="Times New Roman" w:hAnsi="Times New Roman" w:cs="Times New Roman"/>
          <w:color w:val="000000"/>
          <w:lang w:val="en-US"/>
        </w:rPr>
        <w:t xml:space="preserve"> </w:t>
      </w:r>
      <w:r w:rsidRPr="00863707">
        <w:rPr>
          <w:rFonts w:ascii="Times New Roman" w:eastAsia="Times New Roman" w:hAnsi="Times New Roman" w:cs="Times New Roman"/>
          <w:color w:val="000000"/>
          <w:lang w:val="en-US"/>
        </w:rPr>
        <w:t xml:space="preserve">but also </w:t>
      </w:r>
      <w:r w:rsidR="001C2494">
        <w:rPr>
          <w:rFonts w:ascii="Times New Roman" w:eastAsia="Times New Roman" w:hAnsi="Times New Roman" w:cs="Times New Roman"/>
          <w:color w:val="000000"/>
          <w:lang w:val="en-US"/>
        </w:rPr>
        <w:t xml:space="preserve">by </w:t>
      </w:r>
      <w:r>
        <w:rPr>
          <w:rFonts w:ascii="Times New Roman" w:eastAsia="Times New Roman" w:hAnsi="Times New Roman" w:cs="Times New Roman"/>
          <w:color w:val="000000"/>
          <w:lang w:val="en-US"/>
        </w:rPr>
        <w:t xml:space="preserve">seeking to reconstruct the identity and interests of the </w:t>
      </w:r>
      <w:r w:rsidRPr="00863707">
        <w:rPr>
          <w:rFonts w:ascii="Times New Roman" w:eastAsia="Times New Roman" w:hAnsi="Times New Roman" w:cs="Times New Roman"/>
          <w:color w:val="000000"/>
          <w:lang w:val="en-US"/>
        </w:rPr>
        <w:t>mainstream investor</w:t>
      </w:r>
      <w:r w:rsidR="001C2494">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with the success of the former depending centrally on delivering the latter</w:t>
      </w:r>
      <w:r w:rsidR="001C2494">
        <w:rPr>
          <w:rFonts w:ascii="Times New Roman" w:eastAsia="Times New Roman" w:hAnsi="Times New Roman" w:cs="Times New Roman"/>
          <w:color w:val="000000"/>
          <w:lang w:val="en-US"/>
        </w:rPr>
        <w:t>)</w:t>
      </w:r>
      <w:r w:rsidR="008A2A2C">
        <w:rPr>
          <w:rFonts w:ascii="Times New Roman" w:eastAsia="Times New Roman" w:hAnsi="Times New Roman" w:cs="Times New Roman"/>
          <w:color w:val="000000"/>
          <w:lang w:val="en-US"/>
        </w:rPr>
        <w:t>.  In building o</w:t>
      </w:r>
      <w:r w:rsidR="00446B14">
        <w:rPr>
          <w:rFonts w:ascii="Times New Roman" w:eastAsia="Times New Roman" w:hAnsi="Times New Roman" w:cs="Times New Roman"/>
          <w:color w:val="000000"/>
          <w:lang w:val="en-US"/>
        </w:rPr>
        <w:t>n this finding, the paper close</w:t>
      </w:r>
      <w:r w:rsidR="008A2A2C">
        <w:rPr>
          <w:rFonts w:ascii="Times New Roman" w:eastAsia="Times New Roman" w:hAnsi="Times New Roman" w:cs="Times New Roman"/>
          <w:color w:val="000000"/>
          <w:lang w:val="en-US"/>
        </w:rPr>
        <w:t xml:space="preserve">s by presenting a </w:t>
      </w:r>
      <w:r>
        <w:rPr>
          <w:rFonts w:ascii="Times New Roman" w:eastAsia="Times New Roman" w:hAnsi="Times New Roman" w:cs="Times New Roman"/>
          <w:color w:val="000000"/>
          <w:lang w:val="en-US"/>
        </w:rPr>
        <w:t xml:space="preserve">specific and </w:t>
      </w:r>
      <w:r w:rsidR="008A2A2C">
        <w:rPr>
          <w:rFonts w:ascii="Times New Roman" w:eastAsia="Times New Roman" w:hAnsi="Times New Roman" w:cs="Times New Roman"/>
          <w:color w:val="000000"/>
          <w:lang w:val="en-US"/>
        </w:rPr>
        <w:t xml:space="preserve">very </w:t>
      </w:r>
      <w:r w:rsidR="00187314">
        <w:rPr>
          <w:rFonts w:ascii="Times New Roman" w:eastAsia="Times New Roman" w:hAnsi="Times New Roman" w:cs="Times New Roman"/>
          <w:color w:val="000000"/>
          <w:lang w:val="en-US"/>
        </w:rPr>
        <w:t>fundamental</w:t>
      </w:r>
      <w:r>
        <w:rPr>
          <w:rFonts w:ascii="Times New Roman" w:eastAsia="Times New Roman" w:hAnsi="Times New Roman" w:cs="Times New Roman"/>
          <w:color w:val="000000"/>
          <w:lang w:val="en-US"/>
        </w:rPr>
        <w:t xml:space="preserve"> </w:t>
      </w:r>
      <w:r w:rsidR="008A2A2C">
        <w:rPr>
          <w:rFonts w:ascii="Times New Roman" w:eastAsia="Times New Roman" w:hAnsi="Times New Roman" w:cs="Times New Roman"/>
          <w:color w:val="000000"/>
          <w:lang w:val="en-US"/>
        </w:rPr>
        <w:t xml:space="preserve">policy </w:t>
      </w:r>
      <w:r>
        <w:rPr>
          <w:rFonts w:ascii="Times New Roman" w:eastAsia="Times New Roman" w:hAnsi="Times New Roman" w:cs="Times New Roman"/>
          <w:color w:val="000000"/>
          <w:lang w:val="en-US"/>
        </w:rPr>
        <w:t>challenge f</w:t>
      </w:r>
      <w:r w:rsidR="008A2A2C">
        <w:rPr>
          <w:rFonts w:ascii="Times New Roman" w:eastAsia="Times New Roman" w:hAnsi="Times New Roman" w:cs="Times New Roman"/>
          <w:color w:val="000000"/>
          <w:lang w:val="en-US"/>
        </w:rPr>
        <w:t>or</w:t>
      </w:r>
      <w:r>
        <w:rPr>
          <w:rFonts w:ascii="Times New Roman" w:eastAsia="Times New Roman" w:hAnsi="Times New Roman" w:cs="Times New Roman"/>
          <w:color w:val="000000"/>
          <w:lang w:val="en-US"/>
        </w:rPr>
        <w:t xml:space="preserve"> the IIRC. Namely, is it realistic to expect a change in corporate reporting traditions to be capable of disrupting long</w:t>
      </w:r>
      <w:r w:rsidR="00260D81">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standing patterns of investor </w:t>
      </w:r>
      <w:proofErr w:type="spellStart"/>
      <w:r>
        <w:rPr>
          <w:rFonts w:ascii="Times New Roman" w:eastAsia="Times New Roman" w:hAnsi="Times New Roman" w:cs="Times New Roman"/>
          <w:color w:val="000000"/>
          <w:lang w:val="en-US"/>
        </w:rPr>
        <w:t>behavio</w:t>
      </w:r>
      <w:r w:rsidR="00EC132D">
        <w:rPr>
          <w:rFonts w:ascii="Times New Roman" w:eastAsia="Times New Roman" w:hAnsi="Times New Roman" w:cs="Times New Roman"/>
          <w:color w:val="000000"/>
          <w:lang w:val="en-US"/>
        </w:rPr>
        <w:t>u</w:t>
      </w:r>
      <w:r>
        <w:rPr>
          <w:rFonts w:ascii="Times New Roman" w:eastAsia="Times New Roman" w:hAnsi="Times New Roman" w:cs="Times New Roman"/>
          <w:color w:val="000000"/>
          <w:lang w:val="en-US"/>
        </w:rPr>
        <w:t>r</w:t>
      </w:r>
      <w:proofErr w:type="spellEnd"/>
      <w:r>
        <w:rPr>
          <w:rFonts w:ascii="Times New Roman" w:eastAsia="Times New Roman" w:hAnsi="Times New Roman" w:cs="Times New Roman"/>
          <w:color w:val="000000"/>
          <w:lang w:val="en-US"/>
        </w:rPr>
        <w:t xml:space="preserve"> and capital markets? Or is it more likely that the development of integrated </w:t>
      </w:r>
      <w:r w:rsidRPr="00A6122A">
        <w:rPr>
          <w:rFonts w:ascii="Times New Roman" w:eastAsia="Times New Roman" w:hAnsi="Times New Roman" w:cs="Times New Roman"/>
          <w:color w:val="000000"/>
          <w:lang w:val="en-US"/>
        </w:rPr>
        <w:t>reporting</w:t>
      </w:r>
      <w:r w:rsidRPr="004939BE">
        <w:rPr>
          <w:rFonts w:ascii="Times New Roman" w:eastAsia="Times New Roman" w:hAnsi="Times New Roman" w:cs="Times New Roman"/>
          <w:color w:val="000000"/>
          <w:lang w:val="en-US"/>
        </w:rPr>
        <w:t xml:space="preserve"> will come to be captured by the very interests that have served to sustain a system of financial capital provision privileg</w:t>
      </w:r>
      <w:r w:rsidRPr="00A6122A">
        <w:rPr>
          <w:rFonts w:ascii="Times New Roman" w:eastAsia="Times New Roman" w:hAnsi="Times New Roman" w:cs="Times New Roman"/>
          <w:color w:val="000000"/>
          <w:lang w:val="en-US"/>
        </w:rPr>
        <w:t xml:space="preserve">ing the short-term over </w:t>
      </w:r>
      <w:r w:rsidRPr="004939BE">
        <w:rPr>
          <w:rFonts w:ascii="Times New Roman" w:eastAsia="Times New Roman" w:hAnsi="Times New Roman" w:cs="Times New Roman"/>
          <w:color w:val="000000"/>
          <w:lang w:val="en-US"/>
        </w:rPr>
        <w:t xml:space="preserve">the longer-term? </w:t>
      </w:r>
    </w:p>
    <w:p w14:paraId="4FBE5D2D" w14:textId="31A9EA21" w:rsidR="00823C68" w:rsidRDefault="00823C68" w:rsidP="00823C68">
      <w:pPr>
        <w:autoSpaceDE w:val="0"/>
        <w:autoSpaceDN w:val="0"/>
        <w:adjustRightInd w:val="0"/>
        <w:spacing w:after="0" w:line="360" w:lineRule="auto"/>
        <w:ind w:firstLine="567"/>
        <w:jc w:val="both"/>
        <w:rPr>
          <w:rFonts w:ascii="Times New Roman" w:hAnsi="Times New Roman" w:cs="Times New Roman"/>
          <w:color w:val="000000"/>
          <w:lang w:val="en-US"/>
        </w:rPr>
      </w:pPr>
      <w:r>
        <w:rPr>
          <w:rFonts w:ascii="Times New Roman" w:eastAsia="Times New Roman" w:hAnsi="Times New Roman" w:cs="Times New Roman"/>
          <w:color w:val="000000"/>
          <w:lang w:val="en-US"/>
        </w:rPr>
        <w:t xml:space="preserve">The paper is structured as follows. Section 2 blends Suddaby and </w:t>
      </w:r>
      <w:proofErr w:type="spellStart"/>
      <w:r>
        <w:rPr>
          <w:rFonts w:ascii="Times New Roman" w:eastAsia="Times New Roman" w:hAnsi="Times New Roman" w:cs="Times New Roman"/>
          <w:color w:val="000000"/>
          <w:lang w:val="en-US"/>
        </w:rPr>
        <w:t>Viale’s</w:t>
      </w:r>
      <w:proofErr w:type="spellEnd"/>
      <w:r>
        <w:rPr>
          <w:rFonts w:ascii="Times New Roman" w:eastAsia="Times New Roman" w:hAnsi="Times New Roman" w:cs="Times New Roman"/>
          <w:color w:val="000000"/>
          <w:lang w:val="en-US"/>
        </w:rPr>
        <w:t xml:space="preserve"> (2011) </w:t>
      </w:r>
      <w:r>
        <w:rPr>
          <w:rFonts w:ascii="Times New Roman" w:hAnsi="Times New Roman" w:cs="Times New Roman"/>
          <w:lang w:val="en-US"/>
        </w:rPr>
        <w:t>theorization of</w:t>
      </w:r>
      <w:r w:rsidRPr="00BA4CDD">
        <w:rPr>
          <w:rFonts w:ascii="Times New Roman" w:hAnsi="Times New Roman" w:cs="Times New Roman"/>
          <w:lang w:val="en-US"/>
        </w:rPr>
        <w:t xml:space="preserve"> </w:t>
      </w:r>
      <w:r w:rsidRPr="00F87964">
        <w:rPr>
          <w:rFonts w:ascii="Times New Roman" w:hAnsi="Times New Roman" w:cs="Times New Roman"/>
          <w:lang w:val="en-US"/>
        </w:rPr>
        <w:t>how</w:t>
      </w:r>
      <w:r w:rsidRPr="00BA4CDD">
        <w:rPr>
          <w:rFonts w:ascii="Times New Roman" w:hAnsi="Times New Roman" w:cs="Times New Roman"/>
          <w:lang w:val="en-US"/>
        </w:rPr>
        <w:t xml:space="preserve"> </w:t>
      </w:r>
      <w:r w:rsidRPr="00BA4CDD">
        <w:rPr>
          <w:rFonts w:ascii="Times New Roman" w:hAnsi="Times New Roman" w:cs="Times New Roman"/>
          <w:color w:val="000000"/>
          <w:lang w:val="en-US"/>
        </w:rPr>
        <w:t xml:space="preserve">professionals reconfigure organizational </w:t>
      </w:r>
      <w:r>
        <w:rPr>
          <w:rFonts w:ascii="Times New Roman" w:hAnsi="Times New Roman" w:cs="Times New Roman"/>
          <w:color w:val="000000"/>
          <w:lang w:val="en-US"/>
        </w:rPr>
        <w:t xml:space="preserve">fields with the notion of boundary work. We </w:t>
      </w:r>
      <w:r w:rsidR="00187314">
        <w:rPr>
          <w:rFonts w:ascii="Times New Roman" w:hAnsi="Times New Roman" w:cs="Times New Roman"/>
          <w:color w:val="000000"/>
          <w:lang w:val="en-US"/>
        </w:rPr>
        <w:t xml:space="preserve">carefully </w:t>
      </w:r>
      <w:r>
        <w:rPr>
          <w:rFonts w:ascii="Times New Roman" w:hAnsi="Times New Roman" w:cs="Times New Roman"/>
          <w:color w:val="000000"/>
          <w:lang w:val="en-US"/>
        </w:rPr>
        <w:t xml:space="preserve">locate </w:t>
      </w:r>
      <w:r w:rsidR="00187314">
        <w:rPr>
          <w:rFonts w:ascii="Times New Roman" w:hAnsi="Times New Roman" w:cs="Times New Roman"/>
          <w:color w:val="000000"/>
          <w:lang w:val="en-US"/>
        </w:rPr>
        <w:t xml:space="preserve">such </w:t>
      </w:r>
      <w:r>
        <w:rPr>
          <w:rFonts w:ascii="Times New Roman" w:hAnsi="Times New Roman" w:cs="Times New Roman"/>
          <w:color w:val="000000"/>
          <w:lang w:val="en-US"/>
        </w:rPr>
        <w:t>theorization, and related institutional studies, within the field of corporate reporting</w:t>
      </w:r>
      <w:r w:rsidR="00187314">
        <w:rPr>
          <w:rFonts w:ascii="Times New Roman" w:hAnsi="Times New Roman" w:cs="Times New Roman"/>
          <w:color w:val="000000"/>
          <w:lang w:val="en-US"/>
        </w:rPr>
        <w:t xml:space="preserve"> prior to, in </w:t>
      </w:r>
      <w:r>
        <w:rPr>
          <w:rFonts w:ascii="Times New Roman" w:hAnsi="Times New Roman" w:cs="Times New Roman"/>
          <w:color w:val="000000"/>
          <w:lang w:val="en-US"/>
        </w:rPr>
        <w:t>Section 3</w:t>
      </w:r>
      <w:r w:rsidR="002C42E2">
        <w:rPr>
          <w:rFonts w:ascii="Times New Roman" w:hAnsi="Times New Roman" w:cs="Times New Roman"/>
          <w:color w:val="000000"/>
          <w:lang w:val="en-US"/>
        </w:rPr>
        <w:t>,</w:t>
      </w:r>
      <w:r>
        <w:rPr>
          <w:rFonts w:ascii="Times New Roman" w:hAnsi="Times New Roman" w:cs="Times New Roman"/>
          <w:color w:val="000000"/>
          <w:lang w:val="en-US"/>
        </w:rPr>
        <w:t xml:space="preserve"> outlin</w:t>
      </w:r>
      <w:r w:rsidR="00187314">
        <w:rPr>
          <w:rFonts w:ascii="Times New Roman" w:hAnsi="Times New Roman" w:cs="Times New Roman"/>
          <w:color w:val="000000"/>
          <w:lang w:val="en-US"/>
        </w:rPr>
        <w:t>ing</w:t>
      </w:r>
      <w:r>
        <w:rPr>
          <w:rFonts w:ascii="Times New Roman" w:hAnsi="Times New Roman" w:cs="Times New Roman"/>
          <w:color w:val="000000"/>
          <w:lang w:val="en-US"/>
        </w:rPr>
        <w:t xml:space="preserve"> the </w:t>
      </w:r>
      <w:r w:rsidR="00187314">
        <w:rPr>
          <w:rFonts w:ascii="Times New Roman" w:hAnsi="Times New Roman" w:cs="Times New Roman"/>
          <w:color w:val="000000"/>
          <w:lang w:val="en-US"/>
        </w:rPr>
        <w:t xml:space="preserve">specifics of our adopted </w:t>
      </w:r>
      <w:r>
        <w:rPr>
          <w:rFonts w:ascii="Times New Roman" w:hAnsi="Times New Roman" w:cs="Times New Roman"/>
          <w:color w:val="000000"/>
          <w:lang w:val="en-US"/>
        </w:rPr>
        <w:t>research method</w:t>
      </w:r>
      <w:r w:rsidR="00187314">
        <w:rPr>
          <w:rFonts w:ascii="Times New Roman" w:hAnsi="Times New Roman" w:cs="Times New Roman"/>
          <w:color w:val="000000"/>
          <w:lang w:val="en-US"/>
        </w:rPr>
        <w:t>s</w:t>
      </w:r>
      <w:r>
        <w:rPr>
          <w:rFonts w:ascii="Times New Roman" w:hAnsi="Times New Roman" w:cs="Times New Roman"/>
          <w:color w:val="000000"/>
          <w:lang w:val="en-US"/>
        </w:rPr>
        <w:t>. Section 4 presents a detailed case analysis tracing key aspects of the evolution of the IIRC and the IIRC’s version of integrated reporting from the inception of the IIRC to the launch of its integrated reporting framework in December 2013. Section 5 reflects on the nature of the IIRC’s evolution, the strategic challenges it now faces and posits a number of ideas for future research.</w:t>
      </w:r>
    </w:p>
    <w:p w14:paraId="12C1E8F8" w14:textId="77777777" w:rsidR="001C1F33" w:rsidRDefault="001C1F33" w:rsidP="001C1F33">
      <w:pPr>
        <w:spacing w:after="0" w:line="240" w:lineRule="auto"/>
        <w:rPr>
          <w:rFonts w:ascii="Times New Roman" w:eastAsia="Times New Roman" w:hAnsi="Times New Roman" w:cs="Times New Roman"/>
          <w:color w:val="000000"/>
          <w:lang w:val="en-US" w:eastAsia="nl-NL"/>
        </w:rPr>
      </w:pPr>
    </w:p>
    <w:p w14:paraId="060E3DCB" w14:textId="06D4BE89" w:rsidR="003113E6" w:rsidRPr="00EA6237" w:rsidRDefault="00562427" w:rsidP="00562427">
      <w:pPr>
        <w:rPr>
          <w:rFonts w:ascii="Times New Roman" w:hAnsi="Times New Roman" w:cs="Times New Roman"/>
          <w:lang w:val="en-US"/>
        </w:rPr>
      </w:pPr>
      <w:r w:rsidRPr="00953650">
        <w:rPr>
          <w:rFonts w:ascii="Times New Roman" w:eastAsia="Times New Roman" w:hAnsi="Times New Roman" w:cs="Times New Roman"/>
          <w:b/>
          <w:color w:val="000000"/>
          <w:lang w:val="en-US" w:eastAsia="nl-NL"/>
        </w:rPr>
        <w:t>2.</w:t>
      </w:r>
      <w:r w:rsidRPr="002C42E2">
        <w:rPr>
          <w:rFonts w:ascii="Times New Roman" w:eastAsia="Times New Roman" w:hAnsi="Times New Roman" w:cs="Times New Roman"/>
          <w:color w:val="000000"/>
          <w:lang w:val="en-US" w:eastAsia="nl-NL"/>
        </w:rPr>
        <w:tab/>
      </w:r>
      <w:r w:rsidR="00A11E44" w:rsidRPr="002C42E2">
        <w:rPr>
          <w:rFonts w:ascii="Times New Roman" w:eastAsia="Times New Roman" w:hAnsi="Times New Roman" w:cs="Times New Roman"/>
          <w:b/>
          <w:color w:val="000000"/>
          <w:lang w:val="en-US" w:eastAsia="nl-NL"/>
        </w:rPr>
        <w:t>Re-t</w:t>
      </w:r>
      <w:r w:rsidR="00B91098" w:rsidRPr="00953650">
        <w:rPr>
          <w:rFonts w:ascii="Times New Roman" w:hAnsi="Times New Roman" w:cs="Times New Roman"/>
          <w:b/>
          <w:lang w:val="en-US"/>
        </w:rPr>
        <w:t>heorizing the configuration of organizational field</w:t>
      </w:r>
      <w:r w:rsidR="00B91098">
        <w:rPr>
          <w:rFonts w:ascii="Times New Roman" w:hAnsi="Times New Roman" w:cs="Times New Roman"/>
          <w:b/>
          <w:lang w:val="en-US"/>
        </w:rPr>
        <w:t xml:space="preserve">s </w:t>
      </w:r>
    </w:p>
    <w:p w14:paraId="5AC9E21B" w14:textId="6BAFF3AB" w:rsidR="00422BEF" w:rsidRDefault="002F66E2" w:rsidP="00D56A1D">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This paper situates the practice of </w:t>
      </w:r>
      <w:r w:rsidR="00121D10">
        <w:rPr>
          <w:rFonts w:ascii="Times New Roman" w:hAnsi="Times New Roman" w:cs="Times New Roman"/>
          <w:lang w:val="en-US"/>
        </w:rPr>
        <w:t>integrated reporting</w:t>
      </w:r>
      <w:r>
        <w:rPr>
          <w:rFonts w:ascii="Times New Roman" w:hAnsi="Times New Roman" w:cs="Times New Roman"/>
          <w:lang w:val="en-US"/>
        </w:rPr>
        <w:t xml:space="preserve"> within </w:t>
      </w:r>
      <w:r w:rsidR="009E4EBA">
        <w:rPr>
          <w:rFonts w:ascii="Times New Roman" w:hAnsi="Times New Roman" w:cs="Times New Roman"/>
          <w:lang w:val="en-US"/>
        </w:rPr>
        <w:t xml:space="preserve">the </w:t>
      </w:r>
      <w:r>
        <w:rPr>
          <w:rFonts w:ascii="Times New Roman" w:hAnsi="Times New Roman" w:cs="Times New Roman"/>
          <w:lang w:val="en-US"/>
        </w:rPr>
        <w:t>organizational field</w:t>
      </w:r>
      <w:r w:rsidR="003B0294">
        <w:rPr>
          <w:rFonts w:ascii="Times New Roman" w:hAnsi="Times New Roman" w:cs="Times New Roman"/>
          <w:lang w:val="en-US"/>
        </w:rPr>
        <w:t xml:space="preserve"> </w:t>
      </w:r>
      <w:r>
        <w:rPr>
          <w:rFonts w:ascii="Times New Roman" w:hAnsi="Times New Roman" w:cs="Times New Roman"/>
          <w:lang w:val="en-US"/>
        </w:rPr>
        <w:t xml:space="preserve">of </w:t>
      </w:r>
      <w:r w:rsidRPr="00C35E63">
        <w:rPr>
          <w:rFonts w:ascii="Times New Roman" w:hAnsi="Times New Roman" w:cs="Times New Roman"/>
          <w:lang w:val="en-US"/>
        </w:rPr>
        <w:t>corporate reporting</w:t>
      </w:r>
      <w:r w:rsidR="00EA6237" w:rsidRPr="00C35E63">
        <w:rPr>
          <w:rFonts w:ascii="Times New Roman" w:hAnsi="Times New Roman" w:cs="Times New Roman"/>
          <w:lang w:val="en-US"/>
        </w:rPr>
        <w:t>.</w:t>
      </w:r>
      <w:r w:rsidR="00EA6237">
        <w:rPr>
          <w:rFonts w:ascii="Times New Roman" w:hAnsi="Times New Roman" w:cs="Times New Roman"/>
          <w:lang w:val="en-US"/>
        </w:rPr>
        <w:t xml:space="preserve"> </w:t>
      </w:r>
      <w:r>
        <w:rPr>
          <w:rFonts w:ascii="Times New Roman" w:hAnsi="Times New Roman" w:cs="Times New Roman"/>
          <w:lang w:val="en-GB"/>
        </w:rPr>
        <w:t>O</w:t>
      </w:r>
      <w:r w:rsidR="009109E3" w:rsidRPr="004158E0">
        <w:rPr>
          <w:rFonts w:ascii="Times New Roman" w:hAnsi="Times New Roman" w:cs="Times New Roman"/>
          <w:lang w:val="en-GB"/>
        </w:rPr>
        <w:t>rganizational field</w:t>
      </w:r>
      <w:r w:rsidR="00D56A1D">
        <w:rPr>
          <w:rFonts w:ascii="Times New Roman" w:hAnsi="Times New Roman" w:cs="Times New Roman"/>
          <w:lang w:val="en-GB"/>
        </w:rPr>
        <w:t>s</w:t>
      </w:r>
      <w:r w:rsidR="009109E3" w:rsidRPr="004158E0">
        <w:rPr>
          <w:rFonts w:ascii="Times New Roman" w:hAnsi="Times New Roman" w:cs="Times New Roman"/>
          <w:lang w:val="en-GB"/>
        </w:rPr>
        <w:t xml:space="preserve"> </w:t>
      </w:r>
      <w:r w:rsidR="00D56A1D">
        <w:rPr>
          <w:rFonts w:ascii="Times New Roman" w:hAnsi="Times New Roman" w:cs="Times New Roman"/>
          <w:lang w:val="en-GB"/>
        </w:rPr>
        <w:t xml:space="preserve">represent </w:t>
      </w:r>
      <w:r>
        <w:rPr>
          <w:rFonts w:ascii="Times New Roman" w:hAnsi="Times New Roman" w:cs="Times New Roman"/>
          <w:lang w:val="en-GB"/>
        </w:rPr>
        <w:t>richly c</w:t>
      </w:r>
      <w:r w:rsidR="00D56A1D">
        <w:rPr>
          <w:rFonts w:ascii="Times New Roman" w:hAnsi="Times New Roman" w:cs="Times New Roman"/>
          <w:lang w:val="en-GB"/>
        </w:rPr>
        <w:t xml:space="preserve">ontextualised spaces </w:t>
      </w:r>
      <w:r w:rsidR="00A95022">
        <w:rPr>
          <w:rFonts w:ascii="Times New Roman" w:hAnsi="Times New Roman" w:cs="Times New Roman"/>
          <w:lang w:val="en-GB"/>
        </w:rPr>
        <w:t>comprising</w:t>
      </w:r>
      <w:r>
        <w:rPr>
          <w:rFonts w:ascii="Times New Roman" w:hAnsi="Times New Roman" w:cs="Times New Roman"/>
          <w:lang w:val="en-GB"/>
        </w:rPr>
        <w:t xml:space="preserve"> </w:t>
      </w:r>
      <w:r w:rsidR="009109E3" w:rsidRPr="004158E0">
        <w:rPr>
          <w:rFonts w:ascii="Times New Roman" w:hAnsi="Times New Roman" w:cs="Times New Roman"/>
          <w:lang w:val="en-GB"/>
        </w:rPr>
        <w:t xml:space="preserve">networks of </w:t>
      </w:r>
      <w:r w:rsidR="00D56A1D">
        <w:rPr>
          <w:rFonts w:ascii="Times New Roman" w:hAnsi="Times New Roman" w:cs="Times New Roman"/>
          <w:lang w:val="en-GB"/>
        </w:rPr>
        <w:t>disparate,</w:t>
      </w:r>
      <w:r>
        <w:rPr>
          <w:rFonts w:ascii="Times New Roman" w:hAnsi="Times New Roman" w:cs="Times New Roman"/>
          <w:lang w:val="en-GB"/>
        </w:rPr>
        <w:t xml:space="preserve"> </w:t>
      </w:r>
      <w:r w:rsidR="00D56A1D">
        <w:rPr>
          <w:rFonts w:ascii="Times New Roman" w:hAnsi="Times New Roman" w:cs="Times New Roman"/>
          <w:lang w:val="en-GB"/>
        </w:rPr>
        <w:t xml:space="preserve">interacting </w:t>
      </w:r>
      <w:r w:rsidR="009109E3" w:rsidRPr="004158E0">
        <w:rPr>
          <w:rFonts w:ascii="Times New Roman" w:hAnsi="Times New Roman" w:cs="Times New Roman"/>
          <w:lang w:val="en-GB"/>
        </w:rPr>
        <w:t>organizations that together constit</w:t>
      </w:r>
      <w:r w:rsidR="00901CFF" w:rsidRPr="00901CFF">
        <w:rPr>
          <w:rFonts w:ascii="Times New Roman" w:hAnsi="Times New Roman" w:cs="Times New Roman"/>
          <w:lang w:val="en-GB"/>
        </w:rPr>
        <w:t>ute a recognizable area of life</w:t>
      </w:r>
      <w:r w:rsidR="009109E3" w:rsidRPr="004158E0">
        <w:rPr>
          <w:rFonts w:ascii="Times New Roman" w:hAnsi="Times New Roman" w:cs="Times New Roman"/>
          <w:lang w:val="en-GB"/>
        </w:rPr>
        <w:t xml:space="preserve"> (Mag</w:t>
      </w:r>
      <w:r w:rsidR="00C77DEF">
        <w:rPr>
          <w:rFonts w:ascii="Times New Roman" w:hAnsi="Times New Roman" w:cs="Times New Roman"/>
          <w:lang w:val="en-GB"/>
        </w:rPr>
        <w:t>uire et al.,</w:t>
      </w:r>
      <w:r w:rsidR="00901CFF" w:rsidRPr="00901CFF">
        <w:rPr>
          <w:rFonts w:ascii="Times New Roman" w:hAnsi="Times New Roman" w:cs="Times New Roman"/>
          <w:lang w:val="en-GB"/>
        </w:rPr>
        <w:t xml:space="preserve"> 2004</w:t>
      </w:r>
      <w:r w:rsidR="00901CFF">
        <w:rPr>
          <w:rFonts w:ascii="Times New Roman" w:hAnsi="Times New Roman" w:cs="Times New Roman"/>
          <w:lang w:val="en-GB"/>
        </w:rPr>
        <w:t xml:space="preserve">: </w:t>
      </w:r>
      <w:r w:rsidR="009109E3" w:rsidRPr="004158E0">
        <w:rPr>
          <w:rFonts w:ascii="Times New Roman" w:hAnsi="Times New Roman" w:cs="Times New Roman"/>
          <w:lang w:val="en-GB"/>
        </w:rPr>
        <w:t xml:space="preserve">657). </w:t>
      </w:r>
      <w:r w:rsidR="00D56A1D">
        <w:rPr>
          <w:rFonts w:ascii="Times New Roman" w:hAnsi="Times New Roman" w:cs="Times New Roman"/>
          <w:lang w:val="en-GB"/>
        </w:rPr>
        <w:t xml:space="preserve">Interactions among </w:t>
      </w:r>
      <w:r w:rsidR="003B0294">
        <w:rPr>
          <w:rFonts w:ascii="Times New Roman" w:hAnsi="Times New Roman" w:cs="Times New Roman"/>
          <w:lang w:val="en-GB"/>
        </w:rPr>
        <w:t xml:space="preserve">members within an </w:t>
      </w:r>
      <w:r w:rsidR="00D56A1D">
        <w:rPr>
          <w:rFonts w:ascii="Times New Roman" w:hAnsi="Times New Roman" w:cs="Times New Roman"/>
          <w:lang w:val="en-GB"/>
        </w:rPr>
        <w:t>organi</w:t>
      </w:r>
      <w:r w:rsidR="00A95022">
        <w:rPr>
          <w:rFonts w:ascii="Times New Roman" w:hAnsi="Times New Roman" w:cs="Times New Roman"/>
          <w:lang w:val="en-GB"/>
        </w:rPr>
        <w:t>z</w:t>
      </w:r>
      <w:r w:rsidR="00D56A1D">
        <w:rPr>
          <w:rFonts w:ascii="Times New Roman" w:hAnsi="Times New Roman" w:cs="Times New Roman"/>
          <w:lang w:val="en-GB"/>
        </w:rPr>
        <w:t xml:space="preserve">ational field occur more </w:t>
      </w:r>
      <w:r>
        <w:rPr>
          <w:rFonts w:ascii="Times New Roman" w:hAnsi="Times New Roman" w:cs="Times New Roman"/>
          <w:lang w:val="en-GB"/>
        </w:rPr>
        <w:t xml:space="preserve">frequently than with actors </w:t>
      </w:r>
      <w:r w:rsidR="00D56A1D">
        <w:rPr>
          <w:rFonts w:ascii="Times New Roman" w:hAnsi="Times New Roman" w:cs="Times New Roman"/>
          <w:lang w:val="en-GB"/>
        </w:rPr>
        <w:t xml:space="preserve">existing </w:t>
      </w:r>
      <w:r>
        <w:rPr>
          <w:rFonts w:ascii="Times New Roman" w:hAnsi="Times New Roman" w:cs="Times New Roman"/>
          <w:lang w:val="en-GB"/>
        </w:rPr>
        <w:t>outside the</w:t>
      </w:r>
      <w:r w:rsidR="00C77DEF">
        <w:rPr>
          <w:rFonts w:ascii="Times New Roman" w:hAnsi="Times New Roman" w:cs="Times New Roman"/>
          <w:lang w:val="en-GB"/>
        </w:rPr>
        <w:t xml:space="preserve"> field (Gr</w:t>
      </w:r>
      <w:r>
        <w:rPr>
          <w:rFonts w:ascii="Times New Roman" w:hAnsi="Times New Roman" w:cs="Times New Roman"/>
          <w:lang w:val="en-GB"/>
        </w:rPr>
        <w:t xml:space="preserve">eenwood et al., 2002; Wooten and Hoffman, 2008). </w:t>
      </w:r>
      <w:r w:rsidR="00364714" w:rsidRPr="006E126A">
        <w:rPr>
          <w:rFonts w:ascii="Times New Roman" w:hAnsi="Times New Roman" w:cs="Times New Roman"/>
          <w:lang w:val="en-US"/>
        </w:rPr>
        <w:t xml:space="preserve">While </w:t>
      </w:r>
      <w:r w:rsidR="00364714">
        <w:rPr>
          <w:rFonts w:ascii="Times New Roman" w:hAnsi="Times New Roman" w:cs="Times New Roman"/>
          <w:lang w:val="en-US"/>
        </w:rPr>
        <w:t>circumscribing a field is somewhat challenging, especially when studying its dynamics (</w:t>
      </w:r>
      <w:proofErr w:type="spellStart"/>
      <w:r w:rsidR="00364714">
        <w:rPr>
          <w:rFonts w:ascii="Times New Roman" w:hAnsi="Times New Roman" w:cs="Times New Roman"/>
          <w:lang w:val="en-US"/>
        </w:rPr>
        <w:t>Malsch</w:t>
      </w:r>
      <w:proofErr w:type="spellEnd"/>
      <w:r w:rsidR="00364714">
        <w:rPr>
          <w:rFonts w:ascii="Times New Roman" w:hAnsi="Times New Roman" w:cs="Times New Roman"/>
          <w:lang w:val="en-US"/>
        </w:rPr>
        <w:t xml:space="preserve"> and </w:t>
      </w:r>
      <w:proofErr w:type="spellStart"/>
      <w:r w:rsidR="00364714">
        <w:rPr>
          <w:rFonts w:ascii="Times New Roman" w:hAnsi="Times New Roman" w:cs="Times New Roman"/>
          <w:lang w:val="en-US"/>
        </w:rPr>
        <w:t>Gendron</w:t>
      </w:r>
      <w:proofErr w:type="spellEnd"/>
      <w:r w:rsidR="00364714">
        <w:rPr>
          <w:rFonts w:ascii="Times New Roman" w:hAnsi="Times New Roman" w:cs="Times New Roman"/>
          <w:lang w:val="en-US"/>
        </w:rPr>
        <w:t>, 2013</w:t>
      </w:r>
      <w:r w:rsidR="0089013E">
        <w:rPr>
          <w:rFonts w:ascii="Times New Roman" w:hAnsi="Times New Roman" w:cs="Times New Roman"/>
          <w:lang w:val="en-US"/>
        </w:rPr>
        <w:t>; Wooten and Hoffman, 2008</w:t>
      </w:r>
      <w:r w:rsidR="00364714">
        <w:rPr>
          <w:rFonts w:ascii="Times New Roman" w:hAnsi="Times New Roman" w:cs="Times New Roman"/>
          <w:lang w:val="en-US"/>
        </w:rPr>
        <w:t>)</w:t>
      </w:r>
      <w:r w:rsidR="00C35E63">
        <w:rPr>
          <w:rFonts w:ascii="Times New Roman" w:hAnsi="Times New Roman" w:cs="Times New Roman"/>
          <w:lang w:val="en-US"/>
        </w:rPr>
        <w:t>,</w:t>
      </w:r>
      <w:r w:rsidR="00364714">
        <w:rPr>
          <w:rFonts w:ascii="Times New Roman" w:hAnsi="Times New Roman" w:cs="Times New Roman"/>
          <w:lang w:val="en-US"/>
        </w:rPr>
        <w:t xml:space="preserve"> </w:t>
      </w:r>
      <w:r w:rsidR="003B0294">
        <w:rPr>
          <w:rFonts w:ascii="Times New Roman" w:hAnsi="Times New Roman" w:cs="Times New Roman"/>
          <w:lang w:val="en-US"/>
        </w:rPr>
        <w:t xml:space="preserve">we regard </w:t>
      </w:r>
      <w:r w:rsidR="00364714">
        <w:rPr>
          <w:rFonts w:ascii="Times New Roman" w:hAnsi="Times New Roman" w:cs="Times New Roman"/>
          <w:lang w:val="en-US"/>
        </w:rPr>
        <w:t xml:space="preserve">the </w:t>
      </w:r>
      <w:r w:rsidR="009E4EBA">
        <w:rPr>
          <w:rFonts w:ascii="Times New Roman" w:hAnsi="Times New Roman" w:cs="Times New Roman"/>
          <w:lang w:val="en-US"/>
        </w:rPr>
        <w:t>field</w:t>
      </w:r>
      <w:r w:rsidR="00A95022" w:rsidRPr="00BA4CDD">
        <w:rPr>
          <w:rFonts w:ascii="Times New Roman" w:hAnsi="Times New Roman" w:cs="Times New Roman"/>
          <w:lang w:val="en-US"/>
        </w:rPr>
        <w:t xml:space="preserve"> </w:t>
      </w:r>
      <w:r w:rsidR="00A95022">
        <w:rPr>
          <w:rFonts w:ascii="Times New Roman" w:hAnsi="Times New Roman" w:cs="Times New Roman"/>
          <w:lang w:val="en-US"/>
        </w:rPr>
        <w:t xml:space="preserve">of </w:t>
      </w:r>
      <w:r w:rsidR="00870336">
        <w:rPr>
          <w:rFonts w:ascii="Times New Roman" w:hAnsi="Times New Roman" w:cs="Times New Roman"/>
          <w:lang w:val="en-US"/>
        </w:rPr>
        <w:t xml:space="preserve">corporate reporting </w:t>
      </w:r>
      <w:r w:rsidR="003B0294">
        <w:rPr>
          <w:rFonts w:ascii="Times New Roman" w:hAnsi="Times New Roman" w:cs="Times New Roman"/>
          <w:lang w:val="en-US"/>
        </w:rPr>
        <w:t xml:space="preserve">as comprising a number of distinct </w:t>
      </w:r>
      <w:r w:rsidR="00FF1F83">
        <w:rPr>
          <w:rFonts w:ascii="Times New Roman" w:hAnsi="Times New Roman" w:cs="Times New Roman"/>
          <w:lang w:val="en-US"/>
        </w:rPr>
        <w:t xml:space="preserve">but related </w:t>
      </w:r>
      <w:r w:rsidR="003B0294">
        <w:rPr>
          <w:rFonts w:ascii="Times New Roman" w:hAnsi="Times New Roman" w:cs="Times New Roman"/>
          <w:lang w:val="en-US"/>
        </w:rPr>
        <w:t xml:space="preserve">areas such as, </w:t>
      </w:r>
      <w:r w:rsidR="009E4EBA">
        <w:rPr>
          <w:rFonts w:ascii="Times New Roman" w:hAnsi="Times New Roman" w:cs="Times New Roman"/>
          <w:lang w:val="en-US"/>
        </w:rPr>
        <w:t>financial reporting, intellectual capital reporting, carbon reporting, and soc</w:t>
      </w:r>
      <w:r w:rsidR="00C41D53">
        <w:rPr>
          <w:rFonts w:ascii="Times New Roman" w:hAnsi="Times New Roman" w:cs="Times New Roman"/>
          <w:lang w:val="en-US"/>
        </w:rPr>
        <w:t>ial and environmental reporting</w:t>
      </w:r>
      <w:r w:rsidR="009E4EBA">
        <w:rPr>
          <w:rFonts w:ascii="Times New Roman" w:hAnsi="Times New Roman" w:cs="Times New Roman"/>
          <w:lang w:val="en-US"/>
        </w:rPr>
        <w:t>.</w:t>
      </w:r>
      <w:r w:rsidR="00C41D53">
        <w:rPr>
          <w:rFonts w:ascii="Times New Roman" w:hAnsi="Times New Roman" w:cs="Times New Roman"/>
          <w:lang w:val="en-US"/>
        </w:rPr>
        <w:t xml:space="preserve"> </w:t>
      </w:r>
      <w:r w:rsidR="009E4EBA">
        <w:rPr>
          <w:rFonts w:ascii="Times New Roman" w:hAnsi="Times New Roman" w:cs="Times New Roman"/>
          <w:lang w:val="en-US"/>
        </w:rPr>
        <w:t>Th</w:t>
      </w:r>
      <w:r w:rsidR="00C20B74">
        <w:rPr>
          <w:rFonts w:ascii="Times New Roman" w:hAnsi="Times New Roman" w:cs="Times New Roman"/>
          <w:lang w:val="en-US"/>
        </w:rPr>
        <w:t xml:space="preserve">e </w:t>
      </w:r>
      <w:r w:rsidR="009E4EBA">
        <w:rPr>
          <w:rFonts w:ascii="Times New Roman" w:hAnsi="Times New Roman" w:cs="Times New Roman"/>
          <w:lang w:val="en-US"/>
        </w:rPr>
        <w:t xml:space="preserve">field is </w:t>
      </w:r>
      <w:r w:rsidR="00422BEF" w:rsidRPr="00BA4CDD">
        <w:rPr>
          <w:rFonts w:ascii="Times New Roman" w:hAnsi="Times New Roman" w:cs="Times New Roman"/>
          <w:lang w:val="en-US"/>
        </w:rPr>
        <w:t xml:space="preserve">populated by a myriad of </w:t>
      </w:r>
      <w:r w:rsidR="00364714">
        <w:rPr>
          <w:rFonts w:ascii="Times New Roman" w:hAnsi="Times New Roman" w:cs="Times New Roman"/>
          <w:lang w:val="en-US"/>
        </w:rPr>
        <w:t xml:space="preserve">national and </w:t>
      </w:r>
      <w:r w:rsidR="00B562B4">
        <w:rPr>
          <w:rFonts w:ascii="Times New Roman" w:hAnsi="Times New Roman" w:cs="Times New Roman"/>
          <w:lang w:val="en-US"/>
        </w:rPr>
        <w:lastRenderedPageBreak/>
        <w:t xml:space="preserve">international ‘professional’ </w:t>
      </w:r>
      <w:r w:rsidR="00B562B4" w:rsidRPr="00BA4CDD">
        <w:rPr>
          <w:rFonts w:ascii="Times New Roman" w:hAnsi="Times New Roman" w:cs="Times New Roman"/>
          <w:lang w:val="en-US"/>
        </w:rPr>
        <w:t xml:space="preserve">actors </w:t>
      </w:r>
      <w:r>
        <w:rPr>
          <w:rFonts w:ascii="Times New Roman" w:hAnsi="Times New Roman" w:cs="Times New Roman"/>
          <w:lang w:val="en-US"/>
        </w:rPr>
        <w:t>interact</w:t>
      </w:r>
      <w:r w:rsidR="00D56A1D">
        <w:rPr>
          <w:rFonts w:ascii="Times New Roman" w:hAnsi="Times New Roman" w:cs="Times New Roman"/>
          <w:lang w:val="en-US"/>
        </w:rPr>
        <w:t>ing</w:t>
      </w:r>
      <w:r>
        <w:rPr>
          <w:rFonts w:ascii="Times New Roman" w:hAnsi="Times New Roman" w:cs="Times New Roman"/>
          <w:lang w:val="en-US"/>
        </w:rPr>
        <w:t xml:space="preserve"> with one another</w:t>
      </w:r>
      <w:r w:rsidR="00D56A1D">
        <w:rPr>
          <w:rFonts w:ascii="Times New Roman" w:hAnsi="Times New Roman" w:cs="Times New Roman"/>
          <w:lang w:val="en-US"/>
        </w:rPr>
        <w:t xml:space="preserve"> to</w:t>
      </w:r>
      <w:r>
        <w:rPr>
          <w:rFonts w:ascii="Times New Roman" w:hAnsi="Times New Roman" w:cs="Times New Roman"/>
          <w:lang w:val="en-US"/>
        </w:rPr>
        <w:t xml:space="preserve"> </w:t>
      </w:r>
      <w:r w:rsidR="00422BEF">
        <w:rPr>
          <w:rFonts w:ascii="Times New Roman" w:hAnsi="Times New Roman" w:cs="Times New Roman"/>
          <w:lang w:val="en-US"/>
        </w:rPr>
        <w:t>support</w:t>
      </w:r>
      <w:r w:rsidR="00DC0EDA">
        <w:rPr>
          <w:rFonts w:ascii="Times New Roman" w:hAnsi="Times New Roman" w:cs="Times New Roman"/>
          <w:lang w:val="en-US"/>
        </w:rPr>
        <w:t>,</w:t>
      </w:r>
      <w:r w:rsidR="00422BEF">
        <w:rPr>
          <w:rFonts w:ascii="Times New Roman" w:hAnsi="Times New Roman" w:cs="Times New Roman"/>
          <w:lang w:val="en-US"/>
        </w:rPr>
        <w:t xml:space="preserve"> stimulat</w:t>
      </w:r>
      <w:r w:rsidR="00D56A1D">
        <w:rPr>
          <w:rFonts w:ascii="Times New Roman" w:hAnsi="Times New Roman" w:cs="Times New Roman"/>
          <w:lang w:val="en-US"/>
        </w:rPr>
        <w:t>e</w:t>
      </w:r>
      <w:r w:rsidR="00DC0EDA">
        <w:rPr>
          <w:rFonts w:ascii="Times New Roman" w:hAnsi="Times New Roman" w:cs="Times New Roman"/>
          <w:lang w:val="en-US"/>
        </w:rPr>
        <w:t>, experiment with and disrupt</w:t>
      </w:r>
      <w:r w:rsidR="00422BEF">
        <w:rPr>
          <w:rFonts w:ascii="Times New Roman" w:hAnsi="Times New Roman" w:cs="Times New Roman"/>
          <w:lang w:val="en-US"/>
        </w:rPr>
        <w:t xml:space="preserve"> </w:t>
      </w:r>
      <w:r w:rsidR="009E4EBA">
        <w:rPr>
          <w:rFonts w:ascii="Times New Roman" w:hAnsi="Times New Roman" w:cs="Times New Roman"/>
          <w:lang w:val="en-US"/>
        </w:rPr>
        <w:t xml:space="preserve">these </w:t>
      </w:r>
      <w:r w:rsidR="00422BEF">
        <w:rPr>
          <w:rFonts w:ascii="Times New Roman" w:hAnsi="Times New Roman" w:cs="Times New Roman"/>
          <w:lang w:val="en-US"/>
        </w:rPr>
        <w:t>various forms of</w:t>
      </w:r>
      <w:r w:rsidR="00422BEF" w:rsidRPr="00BA4CDD">
        <w:rPr>
          <w:rFonts w:ascii="Times New Roman" w:hAnsi="Times New Roman" w:cs="Times New Roman"/>
          <w:lang w:val="en-US"/>
        </w:rPr>
        <w:t xml:space="preserve"> financial and non-financial reporting</w:t>
      </w:r>
      <w:r w:rsidR="00422BEF" w:rsidRPr="007D1B08">
        <w:rPr>
          <w:rFonts w:ascii="Times New Roman" w:hAnsi="Times New Roman" w:cs="Times New Roman"/>
          <w:lang w:val="en-US"/>
        </w:rPr>
        <w:t xml:space="preserve">. These actors include: international and national accounting bodies (for example, </w:t>
      </w:r>
      <w:r w:rsidR="00B91098">
        <w:rPr>
          <w:rFonts w:ascii="Times New Roman" w:hAnsi="Times New Roman" w:cs="Times New Roman"/>
          <w:lang w:val="en-US"/>
        </w:rPr>
        <w:t xml:space="preserve">the </w:t>
      </w:r>
      <w:r w:rsidR="00422BEF" w:rsidRPr="007D1B08">
        <w:rPr>
          <w:rFonts w:ascii="Times New Roman" w:hAnsi="Times New Roman" w:cs="Times New Roman"/>
          <w:lang w:val="en-US"/>
        </w:rPr>
        <w:t>IASB</w:t>
      </w:r>
      <w:r w:rsidR="007F09D9">
        <w:rPr>
          <w:rFonts w:ascii="Times New Roman" w:hAnsi="Times New Roman" w:cs="Times New Roman"/>
          <w:lang w:val="en-US"/>
        </w:rPr>
        <w:t xml:space="preserve"> (International Accounting Standards Board)</w:t>
      </w:r>
      <w:r w:rsidR="00422BEF" w:rsidRPr="007D1B08">
        <w:rPr>
          <w:rFonts w:ascii="Times New Roman" w:hAnsi="Times New Roman" w:cs="Times New Roman"/>
          <w:lang w:val="en-US"/>
        </w:rPr>
        <w:t xml:space="preserve">, </w:t>
      </w:r>
      <w:r w:rsidR="00422BEF">
        <w:rPr>
          <w:rFonts w:ascii="Times New Roman" w:hAnsi="Times New Roman" w:cs="Times New Roman"/>
          <w:lang w:val="en-US"/>
        </w:rPr>
        <w:t>FASB</w:t>
      </w:r>
      <w:r w:rsidR="007F09D9">
        <w:rPr>
          <w:rFonts w:ascii="Times New Roman" w:hAnsi="Times New Roman" w:cs="Times New Roman"/>
          <w:lang w:val="en-US"/>
        </w:rPr>
        <w:t xml:space="preserve"> (Financial Accounting Standards Board)</w:t>
      </w:r>
      <w:r w:rsidR="00422BEF">
        <w:rPr>
          <w:rFonts w:ascii="Times New Roman" w:hAnsi="Times New Roman" w:cs="Times New Roman"/>
          <w:lang w:val="en-US"/>
        </w:rPr>
        <w:t xml:space="preserve">, </w:t>
      </w:r>
      <w:r w:rsidR="00422BEF" w:rsidRPr="007D1B08">
        <w:rPr>
          <w:rFonts w:ascii="Times New Roman" w:hAnsi="Times New Roman" w:cs="Times New Roman"/>
          <w:lang w:val="en-US"/>
        </w:rPr>
        <w:t>ICAEW</w:t>
      </w:r>
      <w:r w:rsidR="007F09D9">
        <w:rPr>
          <w:rFonts w:ascii="Times New Roman" w:hAnsi="Times New Roman" w:cs="Times New Roman"/>
          <w:lang w:val="en-US"/>
        </w:rPr>
        <w:t xml:space="preserve"> (Institute of Chartered Accountants in England and Wales)</w:t>
      </w:r>
      <w:r w:rsidR="00422BEF" w:rsidRPr="007D1B08">
        <w:rPr>
          <w:rFonts w:ascii="Times New Roman" w:hAnsi="Times New Roman" w:cs="Times New Roman"/>
          <w:lang w:val="en-US"/>
        </w:rPr>
        <w:t xml:space="preserve">, </w:t>
      </w:r>
      <w:r w:rsidR="00C20B74">
        <w:rPr>
          <w:rFonts w:ascii="Times New Roman" w:hAnsi="Times New Roman" w:cs="Times New Roman"/>
          <w:lang w:val="en-US"/>
        </w:rPr>
        <w:t xml:space="preserve">and </w:t>
      </w:r>
      <w:r w:rsidR="00422BEF" w:rsidRPr="007D1B08">
        <w:rPr>
          <w:rFonts w:ascii="Times New Roman" w:hAnsi="Times New Roman" w:cs="Times New Roman"/>
          <w:lang w:val="en-US"/>
        </w:rPr>
        <w:t>AICPA</w:t>
      </w:r>
      <w:r w:rsidR="007F09D9">
        <w:rPr>
          <w:rFonts w:ascii="Times New Roman" w:hAnsi="Times New Roman" w:cs="Times New Roman"/>
          <w:lang w:val="en-US"/>
        </w:rPr>
        <w:t xml:space="preserve"> (American Institute of Certified Public Accountants</w:t>
      </w:r>
      <w:r w:rsidR="00422BEF" w:rsidRPr="007D1B08">
        <w:rPr>
          <w:rFonts w:ascii="Times New Roman" w:hAnsi="Times New Roman" w:cs="Times New Roman"/>
          <w:lang w:val="en-US"/>
        </w:rPr>
        <w:t>)</w:t>
      </w:r>
      <w:r w:rsidR="00A95022">
        <w:rPr>
          <w:rFonts w:ascii="Times New Roman" w:hAnsi="Times New Roman" w:cs="Times New Roman"/>
          <w:lang w:val="en-US"/>
        </w:rPr>
        <w:t>)</w:t>
      </w:r>
      <w:r w:rsidR="00422BEF" w:rsidRPr="007D1B08">
        <w:rPr>
          <w:rFonts w:ascii="Times New Roman" w:hAnsi="Times New Roman" w:cs="Times New Roman"/>
          <w:lang w:val="en-US"/>
        </w:rPr>
        <w:t xml:space="preserve">; the Big 4 professional services firms; </w:t>
      </w:r>
      <w:r w:rsidR="00422BEF">
        <w:rPr>
          <w:rFonts w:ascii="Times New Roman" w:hAnsi="Times New Roman" w:cs="Times New Roman"/>
          <w:lang w:val="en-US"/>
        </w:rPr>
        <w:t>international and national regulators; and</w:t>
      </w:r>
      <w:r w:rsidR="00422BEF" w:rsidRPr="007D1B08">
        <w:rPr>
          <w:rFonts w:ascii="Times New Roman" w:hAnsi="Times New Roman" w:cs="Times New Roman"/>
          <w:lang w:val="en-US"/>
        </w:rPr>
        <w:t xml:space="preserve"> consulting and advisory bodies </w:t>
      </w:r>
      <w:r w:rsidR="00422BEF">
        <w:rPr>
          <w:rFonts w:ascii="Times New Roman" w:hAnsi="Times New Roman" w:cs="Times New Roman"/>
          <w:lang w:val="en-US"/>
        </w:rPr>
        <w:t>promoting different forms of corporate reporting</w:t>
      </w:r>
      <w:r w:rsidR="00135FFA">
        <w:rPr>
          <w:rFonts w:ascii="Times New Roman" w:hAnsi="Times New Roman" w:cs="Times New Roman"/>
          <w:lang w:val="en-US"/>
        </w:rPr>
        <w:t>, such as</w:t>
      </w:r>
      <w:r w:rsidR="00422BEF">
        <w:rPr>
          <w:rFonts w:ascii="Times New Roman" w:hAnsi="Times New Roman" w:cs="Times New Roman"/>
          <w:lang w:val="en-US"/>
        </w:rPr>
        <w:t xml:space="preserve"> </w:t>
      </w:r>
      <w:r w:rsidR="00DC0EDA">
        <w:rPr>
          <w:rFonts w:ascii="Times New Roman" w:hAnsi="Times New Roman" w:cs="Times New Roman"/>
          <w:lang w:val="en-US"/>
        </w:rPr>
        <w:t xml:space="preserve">The Prince’s </w:t>
      </w:r>
      <w:r w:rsidR="00422BEF">
        <w:rPr>
          <w:rFonts w:ascii="Times New Roman" w:hAnsi="Times New Roman" w:cs="Times New Roman"/>
          <w:lang w:val="en-US"/>
        </w:rPr>
        <w:t xml:space="preserve">Accounting for </w:t>
      </w:r>
      <w:r w:rsidR="00422BEF" w:rsidRPr="00E16DD5">
        <w:rPr>
          <w:rFonts w:ascii="Times New Roman" w:hAnsi="Times New Roman" w:cs="Times New Roman"/>
          <w:lang w:val="en-US"/>
        </w:rPr>
        <w:t>Sustainability</w:t>
      </w:r>
      <w:r w:rsidR="00DC0EDA">
        <w:rPr>
          <w:rFonts w:ascii="Times New Roman" w:hAnsi="Times New Roman" w:cs="Times New Roman"/>
          <w:lang w:val="en-US"/>
        </w:rPr>
        <w:t xml:space="preserve"> Project</w:t>
      </w:r>
      <w:r w:rsidR="00422BEF" w:rsidRPr="00E16DD5">
        <w:rPr>
          <w:rFonts w:ascii="Times New Roman" w:hAnsi="Times New Roman" w:cs="Times New Roman"/>
          <w:lang w:val="en-US"/>
        </w:rPr>
        <w:t xml:space="preserve">, the </w:t>
      </w:r>
      <w:r w:rsidR="00B91098">
        <w:rPr>
          <w:rFonts w:ascii="Times New Roman" w:hAnsi="Times New Roman" w:cs="Times New Roman"/>
          <w:lang w:val="en-US"/>
        </w:rPr>
        <w:t>GRI (</w:t>
      </w:r>
      <w:r w:rsidR="00422BEF" w:rsidRPr="00E16DD5">
        <w:rPr>
          <w:rFonts w:ascii="Times New Roman" w:hAnsi="Times New Roman" w:cs="Times New Roman"/>
          <w:lang w:val="en-US"/>
        </w:rPr>
        <w:t>Global Reporting Initiative</w:t>
      </w:r>
      <w:r w:rsidR="00B91098">
        <w:rPr>
          <w:rFonts w:ascii="Times New Roman" w:hAnsi="Times New Roman" w:cs="Times New Roman"/>
          <w:lang w:val="en-US"/>
        </w:rPr>
        <w:t>)</w:t>
      </w:r>
      <w:r w:rsidR="00422BEF" w:rsidRPr="00E16DD5">
        <w:rPr>
          <w:rFonts w:ascii="Times New Roman" w:hAnsi="Times New Roman" w:cs="Times New Roman"/>
          <w:lang w:val="en-US"/>
        </w:rPr>
        <w:t>, the Carbon Disclosure Project</w:t>
      </w:r>
      <w:r w:rsidR="00F478C4">
        <w:rPr>
          <w:rFonts w:ascii="Times New Roman" w:hAnsi="Times New Roman" w:cs="Times New Roman"/>
          <w:lang w:val="en-US"/>
        </w:rPr>
        <w:t>,</w:t>
      </w:r>
      <w:r w:rsidR="00422BEF" w:rsidRPr="00E16DD5">
        <w:rPr>
          <w:rFonts w:ascii="Times New Roman" w:hAnsi="Times New Roman" w:cs="Times New Roman"/>
          <w:lang w:val="en-US"/>
        </w:rPr>
        <w:t xml:space="preserve"> and the</w:t>
      </w:r>
      <w:r w:rsidR="00422BEF" w:rsidRPr="00E16DD5">
        <w:rPr>
          <w:rStyle w:val="CommentReference"/>
          <w:rFonts w:ascii="Times New Roman" w:hAnsi="Times New Roman" w:cs="Times New Roman"/>
          <w:sz w:val="22"/>
          <w:szCs w:val="22"/>
          <w:lang w:val="en-US"/>
        </w:rPr>
        <w:t xml:space="preserve"> </w:t>
      </w:r>
      <w:r w:rsidR="00422BEF" w:rsidRPr="00E16DD5">
        <w:rPr>
          <w:rStyle w:val="st1"/>
          <w:rFonts w:ascii="Times New Roman" w:hAnsi="Times New Roman" w:cs="Times New Roman"/>
          <w:lang w:val="en-US"/>
        </w:rPr>
        <w:t>World Intellectual Capital Initiative</w:t>
      </w:r>
      <w:r w:rsidR="00422BEF" w:rsidRPr="00B615FA">
        <w:rPr>
          <w:rFonts w:ascii="Times New Roman" w:hAnsi="Times New Roman" w:cs="Times New Roman"/>
          <w:b/>
          <w:lang w:val="en-US"/>
        </w:rPr>
        <w:t>.</w:t>
      </w:r>
      <w:r w:rsidR="00B615FA">
        <w:rPr>
          <w:rFonts w:ascii="Times New Roman" w:hAnsi="Times New Roman" w:cs="Times New Roman"/>
          <w:b/>
          <w:lang w:val="en-US"/>
        </w:rPr>
        <w:t xml:space="preserve"> </w:t>
      </w:r>
      <w:r w:rsidR="00364714" w:rsidRPr="00364714">
        <w:rPr>
          <w:rFonts w:ascii="Times New Roman" w:hAnsi="Times New Roman" w:cs="Times New Roman"/>
          <w:lang w:val="en-US"/>
        </w:rPr>
        <w:t xml:space="preserve">A core </w:t>
      </w:r>
      <w:r w:rsidR="00135FFA">
        <w:rPr>
          <w:rFonts w:ascii="Times New Roman" w:hAnsi="Times New Roman" w:cs="Times New Roman"/>
          <w:lang w:val="en-US"/>
        </w:rPr>
        <w:t xml:space="preserve">aspect </w:t>
      </w:r>
      <w:r w:rsidR="00364714" w:rsidRPr="00364714">
        <w:rPr>
          <w:rFonts w:ascii="Times New Roman" w:hAnsi="Times New Roman" w:cs="Times New Roman"/>
          <w:lang w:val="en-US"/>
        </w:rPr>
        <w:t>of our analysis</w:t>
      </w:r>
      <w:r w:rsidR="007E4282">
        <w:rPr>
          <w:rFonts w:ascii="Times New Roman" w:hAnsi="Times New Roman" w:cs="Times New Roman"/>
          <w:lang w:val="en-US"/>
        </w:rPr>
        <w:t xml:space="preserve"> of the </w:t>
      </w:r>
      <w:r w:rsidR="00D13ADA">
        <w:rPr>
          <w:rFonts w:ascii="Times New Roman" w:hAnsi="Times New Roman" w:cs="Times New Roman"/>
          <w:lang w:val="en-US"/>
        </w:rPr>
        <w:t>emergence</w:t>
      </w:r>
      <w:r w:rsidR="007E4282">
        <w:rPr>
          <w:rFonts w:ascii="Times New Roman" w:hAnsi="Times New Roman" w:cs="Times New Roman"/>
          <w:lang w:val="en-US"/>
        </w:rPr>
        <w:t xml:space="preserve"> of the IIRC </w:t>
      </w:r>
      <w:r w:rsidR="00135FFA">
        <w:rPr>
          <w:rFonts w:ascii="Times New Roman" w:hAnsi="Times New Roman" w:cs="Times New Roman"/>
          <w:lang w:val="en-US"/>
        </w:rPr>
        <w:t>(</w:t>
      </w:r>
      <w:r w:rsidR="007E4282">
        <w:rPr>
          <w:rFonts w:ascii="Times New Roman" w:hAnsi="Times New Roman" w:cs="Times New Roman"/>
          <w:lang w:val="en-US"/>
        </w:rPr>
        <w:t>and</w:t>
      </w:r>
      <w:r w:rsidR="00FD6103">
        <w:rPr>
          <w:rFonts w:ascii="Times New Roman" w:hAnsi="Times New Roman" w:cs="Times New Roman"/>
          <w:lang w:val="en-US"/>
        </w:rPr>
        <w:t xml:space="preserve"> its version of</w:t>
      </w:r>
      <w:r w:rsidR="007E4282">
        <w:rPr>
          <w:rFonts w:ascii="Times New Roman" w:hAnsi="Times New Roman" w:cs="Times New Roman"/>
          <w:lang w:val="en-US"/>
        </w:rPr>
        <w:t xml:space="preserve"> </w:t>
      </w:r>
      <w:r w:rsidR="00121D10">
        <w:rPr>
          <w:rFonts w:ascii="Times New Roman" w:hAnsi="Times New Roman" w:cs="Times New Roman"/>
          <w:lang w:val="en-US"/>
        </w:rPr>
        <w:t>integrated reporting</w:t>
      </w:r>
      <w:r w:rsidR="00135FFA">
        <w:rPr>
          <w:rFonts w:ascii="Times New Roman" w:hAnsi="Times New Roman" w:cs="Times New Roman"/>
          <w:lang w:val="en-US"/>
        </w:rPr>
        <w:t>)</w:t>
      </w:r>
      <w:r w:rsidR="00364714" w:rsidRPr="00364714">
        <w:rPr>
          <w:rFonts w:ascii="Times New Roman" w:hAnsi="Times New Roman" w:cs="Times New Roman"/>
          <w:lang w:val="en-US"/>
        </w:rPr>
        <w:t xml:space="preserve"> focuses on examining</w:t>
      </w:r>
      <w:r w:rsidR="00135FFA">
        <w:rPr>
          <w:rFonts w:ascii="Times New Roman" w:hAnsi="Times New Roman" w:cs="Times New Roman"/>
          <w:lang w:val="en-US"/>
        </w:rPr>
        <w:t xml:space="preserve"> how a group of </w:t>
      </w:r>
      <w:r w:rsidR="00422BEF" w:rsidRPr="00364714">
        <w:rPr>
          <w:rFonts w:ascii="Times New Roman" w:hAnsi="Times New Roman" w:cs="Times New Roman"/>
          <w:lang w:val="en-US"/>
        </w:rPr>
        <w:t>professional</w:t>
      </w:r>
      <w:r w:rsidR="00DF648E">
        <w:rPr>
          <w:rFonts w:ascii="Times New Roman" w:hAnsi="Times New Roman" w:cs="Times New Roman"/>
          <w:lang w:val="en-US"/>
        </w:rPr>
        <w:t xml:space="preserve"> and associated </w:t>
      </w:r>
      <w:r w:rsidR="006E126A">
        <w:rPr>
          <w:rFonts w:ascii="Times New Roman" w:hAnsi="Times New Roman" w:cs="Times New Roman"/>
          <w:lang w:val="en-US"/>
        </w:rPr>
        <w:t>interests</w:t>
      </w:r>
      <w:r w:rsidR="00364714" w:rsidRPr="00364714">
        <w:rPr>
          <w:rFonts w:ascii="Times New Roman" w:hAnsi="Times New Roman" w:cs="Times New Roman"/>
          <w:lang w:val="en-US"/>
        </w:rPr>
        <w:t xml:space="preserve"> </w:t>
      </w:r>
      <w:r w:rsidR="00422BEF" w:rsidRPr="00364714">
        <w:rPr>
          <w:rFonts w:ascii="Times New Roman" w:hAnsi="Times New Roman" w:cs="Times New Roman"/>
          <w:lang w:val="en-US"/>
        </w:rPr>
        <w:t>have sought to reconfigur</w:t>
      </w:r>
      <w:r w:rsidR="00870336">
        <w:rPr>
          <w:rFonts w:ascii="Times New Roman" w:hAnsi="Times New Roman" w:cs="Times New Roman"/>
          <w:lang w:val="en-US"/>
        </w:rPr>
        <w:t>e th</w:t>
      </w:r>
      <w:r w:rsidR="00B62654">
        <w:rPr>
          <w:rFonts w:ascii="Times New Roman" w:hAnsi="Times New Roman" w:cs="Times New Roman"/>
          <w:lang w:val="en-US"/>
        </w:rPr>
        <w:t>e</w:t>
      </w:r>
      <w:r w:rsidR="00C41D53">
        <w:rPr>
          <w:rFonts w:ascii="Times New Roman" w:hAnsi="Times New Roman" w:cs="Times New Roman"/>
          <w:lang w:val="en-US"/>
        </w:rPr>
        <w:t xml:space="preserve"> </w:t>
      </w:r>
      <w:r w:rsidR="00364714" w:rsidRPr="00364714">
        <w:rPr>
          <w:rFonts w:ascii="Times New Roman" w:hAnsi="Times New Roman" w:cs="Times New Roman"/>
          <w:lang w:val="en-US"/>
        </w:rPr>
        <w:t xml:space="preserve">corporate reporting </w:t>
      </w:r>
      <w:r w:rsidR="00C20B74">
        <w:rPr>
          <w:rFonts w:ascii="Times New Roman" w:hAnsi="Times New Roman" w:cs="Times New Roman"/>
          <w:lang w:val="en-US"/>
        </w:rPr>
        <w:t xml:space="preserve">field by promoting </w:t>
      </w:r>
      <w:r w:rsidR="00121D10">
        <w:rPr>
          <w:rFonts w:ascii="Times New Roman" w:hAnsi="Times New Roman" w:cs="Times New Roman"/>
          <w:lang w:val="en-US"/>
        </w:rPr>
        <w:t>integrated reporting</w:t>
      </w:r>
      <w:r w:rsidR="00C20B74">
        <w:rPr>
          <w:rFonts w:ascii="Times New Roman" w:hAnsi="Times New Roman" w:cs="Times New Roman"/>
          <w:lang w:val="en-US"/>
        </w:rPr>
        <w:t xml:space="preserve"> as a </w:t>
      </w:r>
      <w:r w:rsidR="00C20B74" w:rsidRPr="00C41D53">
        <w:rPr>
          <w:rFonts w:ascii="Times New Roman" w:hAnsi="Times New Roman" w:cs="Times New Roman"/>
          <w:lang w:val="en-US"/>
        </w:rPr>
        <w:t>pre-eminent form</w:t>
      </w:r>
      <w:r w:rsidR="00C20B74">
        <w:rPr>
          <w:rFonts w:ascii="Times New Roman" w:hAnsi="Times New Roman" w:cs="Times New Roman"/>
          <w:lang w:val="en-US"/>
        </w:rPr>
        <w:t xml:space="preserve"> of corporate reporting. </w:t>
      </w:r>
    </w:p>
    <w:p w14:paraId="02E9B91E" w14:textId="77777777" w:rsidR="00F44E86" w:rsidRPr="00EA6237" w:rsidRDefault="00F44E86" w:rsidP="00F44E86">
      <w:pPr>
        <w:autoSpaceDE w:val="0"/>
        <w:autoSpaceDN w:val="0"/>
        <w:adjustRightInd w:val="0"/>
        <w:spacing w:after="0" w:line="360" w:lineRule="auto"/>
        <w:jc w:val="both"/>
        <w:rPr>
          <w:rFonts w:ascii="Times New Roman" w:hAnsi="Times New Roman" w:cs="Times New Roman"/>
          <w:bCs/>
          <w:lang w:val="en-US"/>
        </w:rPr>
      </w:pPr>
    </w:p>
    <w:p w14:paraId="13DB94DD" w14:textId="5859A927" w:rsidR="00C41D53" w:rsidRPr="00686181" w:rsidRDefault="00B91098" w:rsidP="002C42E2">
      <w:pPr>
        <w:autoSpaceDE w:val="0"/>
        <w:autoSpaceDN w:val="0"/>
        <w:adjustRightInd w:val="0"/>
        <w:spacing w:after="0" w:line="360" w:lineRule="auto"/>
        <w:ind w:left="705" w:hanging="705"/>
        <w:jc w:val="both"/>
        <w:rPr>
          <w:rFonts w:ascii="Times New Roman" w:hAnsi="Times New Roman" w:cs="Times New Roman"/>
          <w:i/>
          <w:lang w:val="en-US"/>
        </w:rPr>
      </w:pPr>
      <w:r w:rsidRPr="00686181">
        <w:rPr>
          <w:rFonts w:ascii="Times New Roman" w:hAnsi="Times New Roman" w:cs="Times New Roman"/>
          <w:b/>
          <w:i/>
          <w:lang w:val="en-US"/>
        </w:rPr>
        <w:t>2.1</w:t>
      </w:r>
      <w:r w:rsidRPr="00686181">
        <w:rPr>
          <w:rFonts w:ascii="Times New Roman" w:hAnsi="Times New Roman" w:cs="Times New Roman"/>
          <w:i/>
          <w:lang w:val="en-US"/>
        </w:rPr>
        <w:tab/>
      </w:r>
      <w:r w:rsidRPr="00686181">
        <w:rPr>
          <w:rFonts w:ascii="Times New Roman" w:hAnsi="Times New Roman" w:cs="Times New Roman"/>
          <w:b/>
          <w:i/>
          <w:lang w:val="en-US"/>
        </w:rPr>
        <w:t>Boundary work and the dynamics of field reconfiguration by professionals, professional groups and organizations</w:t>
      </w:r>
    </w:p>
    <w:p w14:paraId="0DF405DF" w14:textId="4E1AF6DD" w:rsidR="00422BEF" w:rsidRDefault="00422BEF" w:rsidP="00422BEF">
      <w:pPr>
        <w:autoSpaceDE w:val="0"/>
        <w:autoSpaceDN w:val="0"/>
        <w:adjustRightInd w:val="0"/>
        <w:spacing w:after="0" w:line="360" w:lineRule="auto"/>
        <w:ind w:firstLine="708"/>
        <w:jc w:val="both"/>
        <w:rPr>
          <w:rFonts w:ascii="Times New Roman" w:hAnsi="Times New Roman" w:cs="Times New Roman"/>
          <w:lang w:val="en-US"/>
        </w:rPr>
      </w:pPr>
      <w:r>
        <w:rPr>
          <w:rFonts w:ascii="Times New Roman" w:hAnsi="Times New Roman" w:cs="Times New Roman"/>
          <w:lang w:val="en-US"/>
        </w:rPr>
        <w:t xml:space="preserve">According to </w:t>
      </w:r>
      <w:r w:rsidRPr="00BA4CDD">
        <w:rPr>
          <w:rFonts w:ascii="Times New Roman" w:hAnsi="Times New Roman" w:cs="Times New Roman"/>
          <w:lang w:val="en-US"/>
        </w:rPr>
        <w:t>Scott (2008)</w:t>
      </w:r>
      <w:r>
        <w:rPr>
          <w:rFonts w:ascii="Times New Roman" w:hAnsi="Times New Roman" w:cs="Times New Roman"/>
          <w:lang w:val="en-US"/>
        </w:rPr>
        <w:t>,</w:t>
      </w:r>
      <w:r w:rsidRPr="00BA4CDD">
        <w:rPr>
          <w:rFonts w:ascii="Times New Roman" w:hAnsi="Times New Roman" w:cs="Times New Roman"/>
          <w:lang w:val="en-US"/>
        </w:rPr>
        <w:t xml:space="preserve"> professions and professionals</w:t>
      </w:r>
      <w:r w:rsidR="00F67159">
        <w:rPr>
          <w:rFonts w:ascii="Times New Roman" w:hAnsi="Times New Roman" w:cs="Times New Roman"/>
          <w:lang w:val="en-US"/>
        </w:rPr>
        <w:t xml:space="preserve"> (broadly defined)</w:t>
      </w:r>
      <w:r w:rsidRPr="00BA4CDD">
        <w:rPr>
          <w:rFonts w:ascii="Times New Roman" w:hAnsi="Times New Roman" w:cs="Times New Roman"/>
          <w:lang w:val="en-US"/>
        </w:rPr>
        <w:t xml:space="preserve"> play a crucial role in shaping institutions given their ability to simultaneously create, legitimize and control the knowledge and practices that govern various elements of everyday life (Currie et al., 2012</w:t>
      </w:r>
      <w:r w:rsidR="001A6AF0">
        <w:rPr>
          <w:rFonts w:ascii="Times New Roman" w:hAnsi="Times New Roman" w:cs="Times New Roman"/>
          <w:lang w:val="en-US"/>
        </w:rPr>
        <w:t>:</w:t>
      </w:r>
      <w:r w:rsidR="00C13BD3">
        <w:rPr>
          <w:rFonts w:ascii="Times New Roman" w:hAnsi="Times New Roman" w:cs="Times New Roman"/>
          <w:lang w:val="en-US"/>
        </w:rPr>
        <w:t xml:space="preserve"> </w:t>
      </w:r>
      <w:r w:rsidRPr="00BA4CDD">
        <w:rPr>
          <w:rFonts w:ascii="Times New Roman" w:hAnsi="Times New Roman" w:cs="Times New Roman"/>
          <w:lang w:val="en-US"/>
        </w:rPr>
        <w:t xml:space="preserve">940). </w:t>
      </w:r>
      <w:r>
        <w:rPr>
          <w:rFonts w:ascii="Times New Roman" w:hAnsi="Times New Roman" w:cs="Times New Roman"/>
          <w:lang w:val="en-US"/>
        </w:rPr>
        <w:t xml:space="preserve">Scott </w:t>
      </w:r>
      <w:r w:rsidRPr="00BA4CDD">
        <w:rPr>
          <w:rFonts w:ascii="Times New Roman" w:hAnsi="Times New Roman" w:cs="Times New Roman"/>
          <w:lang w:val="en-US"/>
        </w:rPr>
        <w:t>conceives of professions and professionals as primary societal institutional agents (Scott, 2008</w:t>
      </w:r>
      <w:r w:rsidR="001A6AF0">
        <w:rPr>
          <w:rFonts w:ascii="Times New Roman" w:hAnsi="Times New Roman" w:cs="Times New Roman"/>
          <w:lang w:val="en-US"/>
        </w:rPr>
        <w:t>:</w:t>
      </w:r>
      <w:r w:rsidR="00C13BD3">
        <w:rPr>
          <w:rFonts w:ascii="Times New Roman" w:hAnsi="Times New Roman" w:cs="Times New Roman"/>
          <w:lang w:val="en-US"/>
        </w:rPr>
        <w:t xml:space="preserve"> </w:t>
      </w:r>
      <w:r w:rsidRPr="00BA4CDD">
        <w:rPr>
          <w:rFonts w:ascii="Times New Roman" w:hAnsi="Times New Roman" w:cs="Times New Roman"/>
          <w:lang w:val="en-US"/>
        </w:rPr>
        <w:t xml:space="preserve">227) who have assumed </w:t>
      </w:r>
      <w:r>
        <w:rPr>
          <w:rFonts w:ascii="Times New Roman" w:hAnsi="Times New Roman" w:cs="Times New Roman"/>
          <w:lang w:val="en-US"/>
        </w:rPr>
        <w:t xml:space="preserve">central </w:t>
      </w:r>
      <w:r w:rsidRPr="00BA4CDD">
        <w:rPr>
          <w:rFonts w:ascii="Times New Roman" w:hAnsi="Times New Roman" w:cs="Times New Roman"/>
          <w:lang w:val="en-US"/>
        </w:rPr>
        <w:t>roles in creating, disrupting and main</w:t>
      </w:r>
      <w:r>
        <w:rPr>
          <w:rFonts w:ascii="Times New Roman" w:hAnsi="Times New Roman" w:cs="Times New Roman"/>
          <w:lang w:val="en-US"/>
        </w:rPr>
        <w:t>taining prevailing institutions</w:t>
      </w:r>
      <w:r w:rsidRPr="00BA4CDD">
        <w:rPr>
          <w:rFonts w:ascii="Times New Roman" w:hAnsi="Times New Roman" w:cs="Times New Roman"/>
          <w:lang w:val="en-US"/>
        </w:rPr>
        <w:t xml:space="preserve"> (Currie et al., 2012</w:t>
      </w:r>
      <w:r w:rsidR="001A6AF0">
        <w:rPr>
          <w:rFonts w:ascii="Times New Roman" w:hAnsi="Times New Roman" w:cs="Times New Roman"/>
          <w:lang w:val="en-US"/>
        </w:rPr>
        <w:t>:</w:t>
      </w:r>
      <w:r w:rsidR="00C13BD3">
        <w:rPr>
          <w:rFonts w:ascii="Times New Roman" w:hAnsi="Times New Roman" w:cs="Times New Roman"/>
          <w:lang w:val="en-US"/>
        </w:rPr>
        <w:t xml:space="preserve"> </w:t>
      </w:r>
      <w:r w:rsidRPr="00BA4CDD">
        <w:rPr>
          <w:rFonts w:ascii="Times New Roman" w:hAnsi="Times New Roman" w:cs="Times New Roman"/>
          <w:lang w:val="en-US"/>
        </w:rPr>
        <w:t>940</w:t>
      </w:r>
      <w:r w:rsidR="00C13BD3">
        <w:rPr>
          <w:rFonts w:ascii="Times New Roman" w:hAnsi="Times New Roman" w:cs="Times New Roman"/>
          <w:lang w:val="en-US"/>
        </w:rPr>
        <w:t xml:space="preserve">; </w:t>
      </w:r>
      <w:r w:rsidR="009B3377" w:rsidRPr="009B3377">
        <w:rPr>
          <w:rFonts w:ascii="Times New Roman" w:hAnsi="Times New Roman" w:cs="Times New Roman"/>
          <w:lang w:val="en-US"/>
        </w:rPr>
        <w:t>Lawrence and</w:t>
      </w:r>
      <w:r w:rsidR="009B3377">
        <w:rPr>
          <w:rFonts w:ascii="Times New Roman" w:hAnsi="Times New Roman" w:cs="Times New Roman"/>
          <w:lang w:val="en-US"/>
        </w:rPr>
        <w:t xml:space="preserve"> Suddaby, 2006</w:t>
      </w:r>
      <w:r w:rsidR="0089013E">
        <w:rPr>
          <w:rFonts w:ascii="Times New Roman" w:hAnsi="Times New Roman" w:cs="Times New Roman"/>
          <w:lang w:val="en-US"/>
        </w:rPr>
        <w:t>; Lawrence et al., 2009, 2011</w:t>
      </w:r>
      <w:r w:rsidRPr="00BA4CDD">
        <w:rPr>
          <w:rFonts w:ascii="Times New Roman" w:hAnsi="Times New Roman" w:cs="Times New Roman"/>
          <w:lang w:val="en-US"/>
        </w:rPr>
        <w:t xml:space="preserve">). </w:t>
      </w:r>
      <w:r>
        <w:rPr>
          <w:rFonts w:ascii="Times New Roman" w:hAnsi="Times New Roman" w:cs="Times New Roman"/>
          <w:lang w:val="en-US"/>
        </w:rPr>
        <w:t xml:space="preserve">For Suddaby and </w:t>
      </w:r>
      <w:proofErr w:type="spellStart"/>
      <w:r>
        <w:rPr>
          <w:rFonts w:ascii="Times New Roman" w:hAnsi="Times New Roman" w:cs="Times New Roman"/>
          <w:lang w:val="en-US"/>
        </w:rPr>
        <w:t>Viale</w:t>
      </w:r>
      <w:proofErr w:type="spellEnd"/>
      <w:r w:rsidR="00B615FA">
        <w:rPr>
          <w:rFonts w:ascii="Times New Roman" w:hAnsi="Times New Roman" w:cs="Times New Roman"/>
          <w:lang w:val="en-US"/>
        </w:rPr>
        <w:t xml:space="preserve"> (2011)</w:t>
      </w:r>
      <w:r>
        <w:rPr>
          <w:rFonts w:ascii="Times New Roman" w:hAnsi="Times New Roman" w:cs="Times New Roman"/>
          <w:lang w:val="en-US"/>
        </w:rPr>
        <w:t xml:space="preserve">, </w:t>
      </w:r>
      <w:r w:rsidR="00D67A08">
        <w:rPr>
          <w:rFonts w:ascii="Times New Roman" w:hAnsi="Times New Roman" w:cs="Times New Roman"/>
          <w:lang w:val="en-US"/>
        </w:rPr>
        <w:t xml:space="preserve">the </w:t>
      </w:r>
      <w:r w:rsidR="00DF648E">
        <w:rPr>
          <w:rFonts w:ascii="Times New Roman" w:hAnsi="Times New Roman" w:cs="Times New Roman"/>
          <w:lang w:val="en-US"/>
        </w:rPr>
        <w:t>field reconfiguration efforts</w:t>
      </w:r>
      <w:r w:rsidR="00D67A08">
        <w:rPr>
          <w:rFonts w:ascii="Times New Roman" w:hAnsi="Times New Roman" w:cs="Times New Roman"/>
          <w:lang w:val="en-US"/>
        </w:rPr>
        <w:t xml:space="preserve"> of professionals</w:t>
      </w:r>
      <w:r w:rsidR="00DF648E">
        <w:rPr>
          <w:rFonts w:ascii="Times New Roman" w:hAnsi="Times New Roman" w:cs="Times New Roman"/>
          <w:lang w:val="en-US"/>
        </w:rPr>
        <w:t xml:space="preserve"> </w:t>
      </w:r>
      <w:r w:rsidR="00AF51DC">
        <w:rPr>
          <w:rFonts w:ascii="Times New Roman" w:hAnsi="Times New Roman" w:cs="Times New Roman"/>
          <w:lang w:val="en-US"/>
        </w:rPr>
        <w:t xml:space="preserve">and </w:t>
      </w:r>
      <w:r w:rsidR="00796951">
        <w:rPr>
          <w:rFonts w:ascii="Times New Roman" w:hAnsi="Times New Roman" w:cs="Times New Roman"/>
          <w:lang w:val="en-US"/>
        </w:rPr>
        <w:t xml:space="preserve">broader </w:t>
      </w:r>
      <w:r w:rsidR="00AF51DC">
        <w:rPr>
          <w:rFonts w:ascii="Times New Roman" w:hAnsi="Times New Roman" w:cs="Times New Roman"/>
          <w:lang w:val="en-US"/>
        </w:rPr>
        <w:t xml:space="preserve">institutionalization </w:t>
      </w:r>
      <w:r w:rsidR="00796951">
        <w:rPr>
          <w:rFonts w:ascii="Times New Roman" w:hAnsi="Times New Roman" w:cs="Times New Roman"/>
          <w:lang w:val="en-US"/>
        </w:rPr>
        <w:t xml:space="preserve">processes </w:t>
      </w:r>
      <w:r w:rsidRPr="00BA4CDD">
        <w:rPr>
          <w:rFonts w:ascii="Times New Roman" w:hAnsi="Times New Roman" w:cs="Times New Roman"/>
          <w:lang w:val="en-US"/>
        </w:rPr>
        <w:t>occur simultaneously</w:t>
      </w:r>
      <w:r>
        <w:rPr>
          <w:rFonts w:ascii="Times New Roman" w:hAnsi="Times New Roman" w:cs="Times New Roman"/>
          <w:lang w:val="en-US"/>
        </w:rPr>
        <w:t xml:space="preserve">, with </w:t>
      </w:r>
      <w:r w:rsidRPr="00BA4CDD">
        <w:rPr>
          <w:rFonts w:ascii="Times New Roman" w:hAnsi="Times New Roman" w:cs="Times New Roman"/>
          <w:lang w:val="en-US"/>
        </w:rPr>
        <w:t xml:space="preserve">field level change </w:t>
      </w:r>
      <w:r>
        <w:rPr>
          <w:rFonts w:ascii="Times New Roman" w:hAnsi="Times New Roman" w:cs="Times New Roman"/>
          <w:lang w:val="en-US"/>
        </w:rPr>
        <w:t xml:space="preserve">being </w:t>
      </w:r>
      <w:r w:rsidRPr="00BA4CDD">
        <w:rPr>
          <w:rFonts w:ascii="Times New Roman" w:hAnsi="Times New Roman" w:cs="Times New Roman"/>
          <w:lang w:val="en-US"/>
        </w:rPr>
        <w:t xml:space="preserve">understood as </w:t>
      </w:r>
      <w:r w:rsidR="000F3DF0">
        <w:rPr>
          <w:rFonts w:ascii="Times New Roman" w:hAnsi="Times New Roman" w:cs="Times New Roman"/>
          <w:lang w:val="en-US"/>
        </w:rPr>
        <w:t>‘</w:t>
      </w:r>
      <w:r w:rsidRPr="00BA4CDD">
        <w:rPr>
          <w:rFonts w:ascii="Times New Roman" w:hAnsi="Times New Roman" w:cs="Times New Roman"/>
          <w:lang w:val="en-US"/>
        </w:rPr>
        <w:t xml:space="preserve">a series of </w:t>
      </w:r>
      <w:r w:rsidRPr="00BA4CDD">
        <w:rPr>
          <w:rFonts w:ascii="Times New Roman" w:hAnsi="Times New Roman" w:cs="Times New Roman"/>
          <w:i/>
          <w:lang w:val="en-US"/>
        </w:rPr>
        <w:t>reciprocal and mutual projects</w:t>
      </w:r>
      <w:r w:rsidRPr="00BA4CDD">
        <w:rPr>
          <w:rFonts w:ascii="Times New Roman" w:hAnsi="Times New Roman" w:cs="Times New Roman"/>
          <w:lang w:val="en-US"/>
        </w:rPr>
        <w:t xml:space="preserve"> between professions and other powerful actors</w:t>
      </w:r>
      <w:r w:rsidR="000F3DF0">
        <w:rPr>
          <w:rFonts w:ascii="Times New Roman" w:hAnsi="Times New Roman" w:cs="Times New Roman"/>
          <w:lang w:val="en-US"/>
        </w:rPr>
        <w:t>’</w:t>
      </w:r>
      <w:r w:rsidRPr="00BA4CDD">
        <w:rPr>
          <w:rFonts w:ascii="Times New Roman" w:hAnsi="Times New Roman" w:cs="Times New Roman"/>
          <w:lang w:val="en-US"/>
        </w:rPr>
        <w:t xml:space="preserve"> (p. 427, emphasis added) in the institution</w:t>
      </w:r>
      <w:r>
        <w:rPr>
          <w:rFonts w:ascii="Times New Roman" w:hAnsi="Times New Roman" w:cs="Times New Roman"/>
          <w:lang w:val="en-US"/>
        </w:rPr>
        <w:t>al environment</w:t>
      </w:r>
      <w:r w:rsidR="00796951">
        <w:rPr>
          <w:rFonts w:ascii="Times New Roman" w:hAnsi="Times New Roman" w:cs="Times New Roman"/>
          <w:lang w:val="en-US"/>
        </w:rPr>
        <w:t>.</w:t>
      </w:r>
    </w:p>
    <w:p w14:paraId="5A3FB67F" w14:textId="77777777" w:rsidR="00B91098" w:rsidRDefault="00B91098" w:rsidP="00422BEF">
      <w:pPr>
        <w:autoSpaceDE w:val="0"/>
        <w:autoSpaceDN w:val="0"/>
        <w:adjustRightInd w:val="0"/>
        <w:spacing w:after="0" w:line="360" w:lineRule="auto"/>
        <w:ind w:firstLine="708"/>
        <w:jc w:val="both"/>
        <w:rPr>
          <w:rFonts w:ascii="Times New Roman" w:hAnsi="Times New Roman" w:cs="Times New Roman"/>
          <w:lang w:val="en-US"/>
        </w:rPr>
      </w:pPr>
    </w:p>
    <w:p w14:paraId="60828C23" w14:textId="4A50449C" w:rsidR="00B91098" w:rsidRPr="00CD5A0E" w:rsidRDefault="00A03234" w:rsidP="00B91098">
      <w:pPr>
        <w:spacing w:line="360" w:lineRule="auto"/>
        <w:ind w:firstLine="708"/>
        <w:jc w:val="both"/>
        <w:rPr>
          <w:rFonts w:ascii="Times New Roman" w:hAnsi="Times New Roman" w:cs="Times New Roman"/>
          <w:lang w:val="en-GB"/>
        </w:rPr>
      </w:pPr>
      <w:r>
        <w:rPr>
          <w:rFonts w:ascii="Times New Roman" w:hAnsi="Times New Roman" w:cs="Times New Roman"/>
          <w:lang w:val="en-US"/>
        </w:rPr>
        <w:t xml:space="preserve">In crafting </w:t>
      </w:r>
      <w:r w:rsidR="00B91098" w:rsidRPr="00364714">
        <w:rPr>
          <w:rFonts w:ascii="Times New Roman" w:hAnsi="Times New Roman" w:cs="Times New Roman"/>
          <w:lang w:val="en-US"/>
        </w:rPr>
        <w:t xml:space="preserve">our analysis </w:t>
      </w:r>
      <w:r w:rsidR="00B91098">
        <w:rPr>
          <w:rFonts w:ascii="Times New Roman" w:hAnsi="Times New Roman" w:cs="Times New Roman"/>
          <w:lang w:val="en-US"/>
        </w:rPr>
        <w:t xml:space="preserve">of the emergence of the IIRC </w:t>
      </w:r>
      <w:r>
        <w:rPr>
          <w:rFonts w:ascii="Times New Roman" w:hAnsi="Times New Roman" w:cs="Times New Roman"/>
          <w:lang w:val="en-US"/>
        </w:rPr>
        <w:t xml:space="preserve">we </w:t>
      </w:r>
      <w:r w:rsidR="00B91098" w:rsidRPr="00364714">
        <w:rPr>
          <w:rFonts w:ascii="Times New Roman" w:hAnsi="Times New Roman" w:cs="Times New Roman"/>
          <w:lang w:val="en-US"/>
        </w:rPr>
        <w:t xml:space="preserve">draw </w:t>
      </w:r>
      <w:r>
        <w:rPr>
          <w:rFonts w:ascii="Times New Roman" w:hAnsi="Times New Roman" w:cs="Times New Roman"/>
          <w:lang w:val="en-US"/>
        </w:rPr>
        <w:t xml:space="preserve">initially </w:t>
      </w:r>
      <w:r w:rsidR="00B91098" w:rsidRPr="00364714">
        <w:rPr>
          <w:rFonts w:ascii="Times New Roman" w:hAnsi="Times New Roman" w:cs="Times New Roman"/>
          <w:lang w:val="en-US"/>
        </w:rPr>
        <w:t xml:space="preserve">on </w:t>
      </w:r>
      <w:r w:rsidR="00B91098">
        <w:rPr>
          <w:rFonts w:ascii="Times New Roman" w:hAnsi="Times New Roman" w:cs="Times New Roman"/>
          <w:lang w:val="en-US"/>
        </w:rPr>
        <w:t xml:space="preserve">Suddaby and </w:t>
      </w:r>
      <w:proofErr w:type="spellStart"/>
      <w:r w:rsidR="00B91098">
        <w:rPr>
          <w:rFonts w:ascii="Times New Roman" w:hAnsi="Times New Roman" w:cs="Times New Roman"/>
          <w:lang w:val="en-US"/>
        </w:rPr>
        <w:t>Viale’s</w:t>
      </w:r>
      <w:proofErr w:type="spellEnd"/>
      <w:r w:rsidR="00B91098">
        <w:rPr>
          <w:rFonts w:ascii="Times New Roman" w:hAnsi="Times New Roman" w:cs="Times New Roman"/>
          <w:lang w:val="en-US"/>
        </w:rPr>
        <w:t xml:space="preserve"> theorization</w:t>
      </w:r>
      <w:r w:rsidR="00B91098" w:rsidRPr="00364714">
        <w:rPr>
          <w:rFonts w:ascii="Times New Roman" w:hAnsi="Times New Roman" w:cs="Times New Roman"/>
          <w:lang w:val="en-US"/>
        </w:rPr>
        <w:t xml:space="preserve"> of the role of professions and professionals</w:t>
      </w:r>
      <w:r w:rsidR="00B91098">
        <w:rPr>
          <w:rStyle w:val="FootnoteReference"/>
          <w:rFonts w:ascii="Times New Roman" w:hAnsi="Times New Roman" w:cs="Times New Roman"/>
          <w:lang w:val="en-US"/>
        </w:rPr>
        <w:footnoteReference w:id="2"/>
      </w:r>
      <w:r w:rsidR="00B91098" w:rsidRPr="00364714">
        <w:rPr>
          <w:rFonts w:ascii="Times New Roman" w:hAnsi="Times New Roman" w:cs="Times New Roman"/>
          <w:lang w:val="en-US"/>
        </w:rPr>
        <w:t xml:space="preserve"> in </w:t>
      </w:r>
      <w:r w:rsidRPr="00364714">
        <w:rPr>
          <w:rFonts w:ascii="Times New Roman" w:hAnsi="Times New Roman" w:cs="Times New Roman"/>
          <w:lang w:val="en-US"/>
        </w:rPr>
        <w:t>c</w:t>
      </w:r>
      <w:r>
        <w:rPr>
          <w:rFonts w:ascii="Times New Roman" w:hAnsi="Times New Roman" w:cs="Times New Roman"/>
          <w:lang w:val="en-US"/>
        </w:rPr>
        <w:t>onstructing</w:t>
      </w:r>
      <w:r w:rsidRPr="00364714">
        <w:rPr>
          <w:rFonts w:ascii="Times New Roman" w:hAnsi="Times New Roman" w:cs="Times New Roman"/>
          <w:lang w:val="en-US"/>
        </w:rPr>
        <w:t xml:space="preserve"> </w:t>
      </w:r>
      <w:r w:rsidR="00B91098" w:rsidRPr="00364714">
        <w:rPr>
          <w:rFonts w:ascii="Times New Roman" w:hAnsi="Times New Roman" w:cs="Times New Roman"/>
          <w:lang w:val="en-US"/>
        </w:rPr>
        <w:t>and changing organizational fields</w:t>
      </w:r>
      <w:r w:rsidR="00B91098">
        <w:rPr>
          <w:rFonts w:ascii="Times New Roman" w:hAnsi="Times New Roman" w:cs="Times New Roman"/>
          <w:lang w:val="en-US"/>
        </w:rPr>
        <w:t xml:space="preserve"> (see also, </w:t>
      </w:r>
      <w:proofErr w:type="spellStart"/>
      <w:r w:rsidR="000538C3">
        <w:rPr>
          <w:rFonts w:ascii="Times New Roman" w:hAnsi="Times New Roman" w:cs="Times New Roman"/>
          <w:lang w:val="en-US"/>
        </w:rPr>
        <w:t>Chiwamit</w:t>
      </w:r>
      <w:proofErr w:type="spellEnd"/>
      <w:r w:rsidR="000538C3">
        <w:rPr>
          <w:rFonts w:ascii="Times New Roman" w:hAnsi="Times New Roman" w:cs="Times New Roman"/>
          <w:lang w:val="en-US"/>
        </w:rPr>
        <w:t xml:space="preserve"> et al., 2014; </w:t>
      </w:r>
      <w:proofErr w:type="spellStart"/>
      <w:r w:rsidR="00B91098">
        <w:rPr>
          <w:rFonts w:ascii="Times New Roman" w:hAnsi="Times New Roman" w:cs="Times New Roman"/>
          <w:lang w:val="en-US"/>
        </w:rPr>
        <w:t>Muzio</w:t>
      </w:r>
      <w:proofErr w:type="spellEnd"/>
      <w:r w:rsidR="00B91098">
        <w:rPr>
          <w:rFonts w:ascii="Times New Roman" w:hAnsi="Times New Roman" w:cs="Times New Roman"/>
          <w:lang w:val="en-US"/>
        </w:rPr>
        <w:t xml:space="preserve"> et al., 2013; Venter and De Villiers, 2013).  </w:t>
      </w:r>
      <w:r w:rsidR="004C5B0B">
        <w:rPr>
          <w:rFonts w:ascii="Times New Roman" w:hAnsi="Times New Roman" w:cs="Times New Roman"/>
          <w:lang w:val="en-US"/>
        </w:rPr>
        <w:t xml:space="preserve">In </w:t>
      </w:r>
      <w:r>
        <w:rPr>
          <w:rFonts w:ascii="Times New Roman" w:hAnsi="Times New Roman" w:cs="Times New Roman"/>
          <w:lang w:val="en-US"/>
        </w:rPr>
        <w:t xml:space="preserve">subsequently </w:t>
      </w:r>
      <w:r w:rsidR="00B91098">
        <w:rPr>
          <w:rFonts w:ascii="Times New Roman" w:hAnsi="Times New Roman" w:cs="Times New Roman"/>
          <w:lang w:val="en-US"/>
        </w:rPr>
        <w:t>supplem</w:t>
      </w:r>
      <w:r w:rsidR="00016E64">
        <w:rPr>
          <w:rFonts w:ascii="Times New Roman" w:hAnsi="Times New Roman" w:cs="Times New Roman"/>
          <w:lang w:val="en-US"/>
        </w:rPr>
        <w:t xml:space="preserve">enting and </w:t>
      </w:r>
      <w:r w:rsidR="00B91098">
        <w:rPr>
          <w:rFonts w:ascii="Times New Roman" w:hAnsi="Times New Roman" w:cs="Times New Roman"/>
          <w:lang w:val="en-US"/>
        </w:rPr>
        <w:t>develop</w:t>
      </w:r>
      <w:r w:rsidR="004C5B0B">
        <w:rPr>
          <w:rFonts w:ascii="Times New Roman" w:hAnsi="Times New Roman" w:cs="Times New Roman"/>
          <w:lang w:val="en-US"/>
        </w:rPr>
        <w:t>ing</w:t>
      </w:r>
      <w:r w:rsidR="00B91098">
        <w:rPr>
          <w:rFonts w:ascii="Times New Roman" w:hAnsi="Times New Roman" w:cs="Times New Roman"/>
          <w:lang w:val="en-US"/>
        </w:rPr>
        <w:t xml:space="preserve"> this fram</w:t>
      </w:r>
      <w:r w:rsidR="00016E64">
        <w:rPr>
          <w:rFonts w:ascii="Times New Roman" w:hAnsi="Times New Roman" w:cs="Times New Roman"/>
          <w:lang w:val="en-US"/>
        </w:rPr>
        <w:t>ework</w:t>
      </w:r>
      <w:r w:rsidR="004C5B0B">
        <w:rPr>
          <w:rFonts w:ascii="Times New Roman" w:hAnsi="Times New Roman" w:cs="Times New Roman"/>
          <w:lang w:val="en-US"/>
        </w:rPr>
        <w:t>,</w:t>
      </w:r>
      <w:r w:rsidR="00016E64">
        <w:rPr>
          <w:rFonts w:ascii="Times New Roman" w:hAnsi="Times New Roman" w:cs="Times New Roman"/>
          <w:lang w:val="en-US"/>
        </w:rPr>
        <w:t xml:space="preserve"> we make specific use of </w:t>
      </w:r>
      <w:proofErr w:type="spellStart"/>
      <w:r w:rsidR="00B91098">
        <w:rPr>
          <w:rFonts w:ascii="Times New Roman" w:hAnsi="Times New Roman" w:cs="Times New Roman"/>
          <w:lang w:val="en-US"/>
        </w:rPr>
        <w:t>Gieryn’s</w:t>
      </w:r>
      <w:proofErr w:type="spellEnd"/>
      <w:r w:rsidR="00B91098">
        <w:rPr>
          <w:rFonts w:ascii="Times New Roman" w:hAnsi="Times New Roman" w:cs="Times New Roman"/>
          <w:lang w:val="en-US"/>
        </w:rPr>
        <w:t xml:space="preserve"> (1983) notion of boundary work to </w:t>
      </w:r>
      <w:r w:rsidR="00016E64">
        <w:rPr>
          <w:rFonts w:ascii="Times New Roman" w:hAnsi="Times New Roman" w:cs="Times New Roman"/>
          <w:lang w:val="en-US"/>
        </w:rPr>
        <w:t xml:space="preserve">demonstrate (through the </w:t>
      </w:r>
      <w:r w:rsidR="00B91098">
        <w:rPr>
          <w:rFonts w:ascii="Times New Roman" w:hAnsi="Times New Roman" w:cs="Times New Roman"/>
          <w:lang w:val="en-US"/>
        </w:rPr>
        <w:t xml:space="preserve">case of integrated reporting and </w:t>
      </w:r>
      <w:r w:rsidR="00B91098">
        <w:rPr>
          <w:rFonts w:ascii="Times New Roman" w:hAnsi="Times New Roman" w:cs="Times New Roman"/>
          <w:lang w:val="en-US"/>
        </w:rPr>
        <w:lastRenderedPageBreak/>
        <w:t>the work of the IIRC</w:t>
      </w:r>
      <w:r w:rsidR="00016E64">
        <w:rPr>
          <w:rFonts w:ascii="Times New Roman" w:hAnsi="Times New Roman" w:cs="Times New Roman"/>
          <w:lang w:val="en-US"/>
        </w:rPr>
        <w:t xml:space="preserve">) that institutional </w:t>
      </w:r>
      <w:r w:rsidR="00B91098">
        <w:rPr>
          <w:rFonts w:ascii="Times New Roman" w:hAnsi="Times New Roman" w:cs="Times New Roman"/>
          <w:lang w:val="en-US"/>
        </w:rPr>
        <w:t>field reconfiguration</w:t>
      </w:r>
      <w:r w:rsidR="00016E64">
        <w:rPr>
          <w:rFonts w:ascii="Times New Roman" w:hAnsi="Times New Roman" w:cs="Times New Roman"/>
          <w:lang w:val="en-US"/>
        </w:rPr>
        <w:t>s</w:t>
      </w:r>
      <w:r w:rsidR="00B91098">
        <w:rPr>
          <w:rFonts w:ascii="Times New Roman" w:hAnsi="Times New Roman" w:cs="Times New Roman"/>
          <w:lang w:val="en-US"/>
        </w:rPr>
        <w:t xml:space="preserve"> </w:t>
      </w:r>
      <w:r w:rsidR="00016E64">
        <w:rPr>
          <w:rFonts w:ascii="Times New Roman" w:hAnsi="Times New Roman" w:cs="Times New Roman"/>
          <w:lang w:val="en-US"/>
        </w:rPr>
        <w:t xml:space="preserve">need to be regarded as less predictable and sequential </w:t>
      </w:r>
      <w:r w:rsidR="00B91098">
        <w:rPr>
          <w:rFonts w:ascii="Times New Roman" w:hAnsi="Times New Roman" w:cs="Times New Roman"/>
          <w:lang w:val="en-US"/>
        </w:rPr>
        <w:t xml:space="preserve">than that depicted under Suddaby and </w:t>
      </w:r>
      <w:proofErr w:type="spellStart"/>
      <w:r w:rsidR="00B91098">
        <w:rPr>
          <w:rFonts w:ascii="Times New Roman" w:hAnsi="Times New Roman" w:cs="Times New Roman"/>
          <w:lang w:val="en-US"/>
        </w:rPr>
        <w:t>Viale’s</w:t>
      </w:r>
      <w:proofErr w:type="spellEnd"/>
      <w:r w:rsidR="00B91098">
        <w:rPr>
          <w:rFonts w:ascii="Times New Roman" w:hAnsi="Times New Roman" w:cs="Times New Roman"/>
          <w:lang w:val="en-US"/>
        </w:rPr>
        <w:t xml:space="preserve"> conceptual framing. </w:t>
      </w:r>
    </w:p>
    <w:p w14:paraId="4DA35661" w14:textId="306F3A22" w:rsidR="00160480" w:rsidRDefault="009F5F01">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Boundary work refers to “actors’ efforts to establish, expand, reinforce or </w:t>
      </w:r>
      <w:r w:rsidRPr="004158E0">
        <w:rPr>
          <w:rFonts w:ascii="Times New Roman" w:hAnsi="Times New Roman" w:cs="Times New Roman"/>
          <w:i/>
          <w:lang w:val="en-US"/>
        </w:rPr>
        <w:t>undermine</w:t>
      </w:r>
      <w:r>
        <w:rPr>
          <w:rFonts w:ascii="Times New Roman" w:hAnsi="Times New Roman" w:cs="Times New Roman"/>
          <w:lang w:val="en-US"/>
        </w:rPr>
        <w:t xml:space="preserve"> boundaries”</w:t>
      </w:r>
      <w:r w:rsidR="00C77DEF">
        <w:rPr>
          <w:rFonts w:ascii="Times New Roman" w:hAnsi="Times New Roman" w:cs="Times New Roman"/>
          <w:lang w:val="en-US"/>
        </w:rPr>
        <w:t xml:space="preserve"> (</w:t>
      </w:r>
      <w:proofErr w:type="spellStart"/>
      <w:r w:rsidR="00C77DEF">
        <w:rPr>
          <w:rFonts w:ascii="Times New Roman" w:hAnsi="Times New Roman" w:cs="Times New Roman"/>
          <w:lang w:val="en-US"/>
        </w:rPr>
        <w:t>Zietsma</w:t>
      </w:r>
      <w:proofErr w:type="spellEnd"/>
      <w:r w:rsidR="00C77DEF">
        <w:rPr>
          <w:rFonts w:ascii="Times New Roman" w:hAnsi="Times New Roman" w:cs="Times New Roman"/>
          <w:lang w:val="en-US"/>
        </w:rPr>
        <w:t xml:space="preserve"> and Lawrence, 2010: </w:t>
      </w:r>
      <w:r>
        <w:rPr>
          <w:rFonts w:ascii="Times New Roman" w:hAnsi="Times New Roman" w:cs="Times New Roman"/>
          <w:lang w:val="en-US"/>
        </w:rPr>
        <w:t xml:space="preserve">192, emphasis added). </w:t>
      </w:r>
      <w:r w:rsidR="00E8459D">
        <w:rPr>
          <w:rFonts w:ascii="Times New Roman" w:hAnsi="Times New Roman" w:cs="Times New Roman"/>
          <w:lang w:val="en-US"/>
        </w:rPr>
        <w:t xml:space="preserve">It represents a rhetorical </w:t>
      </w:r>
      <w:r w:rsidR="00A95022">
        <w:rPr>
          <w:rFonts w:ascii="Times New Roman" w:hAnsi="Times New Roman" w:cs="Times New Roman"/>
          <w:lang w:val="en-US"/>
        </w:rPr>
        <w:t xml:space="preserve">device </w:t>
      </w:r>
      <w:r w:rsidR="00E8459D">
        <w:rPr>
          <w:rFonts w:ascii="Times New Roman" w:hAnsi="Times New Roman" w:cs="Times New Roman"/>
          <w:lang w:val="en-US"/>
        </w:rPr>
        <w:t xml:space="preserve">focused primarily on demarcation by drawing on ‘contrast cases’ in order to </w:t>
      </w:r>
      <w:r w:rsidR="00160480">
        <w:rPr>
          <w:rFonts w:ascii="Times New Roman" w:hAnsi="Times New Roman" w:cs="Times New Roman"/>
          <w:lang w:val="en-US"/>
        </w:rPr>
        <w:t xml:space="preserve">clearly </w:t>
      </w:r>
      <w:r w:rsidR="00E8459D">
        <w:rPr>
          <w:rFonts w:ascii="Times New Roman" w:hAnsi="Times New Roman" w:cs="Times New Roman"/>
          <w:lang w:val="en-US"/>
        </w:rPr>
        <w:t xml:space="preserve">distinguish practices or domains. It </w:t>
      </w:r>
      <w:r w:rsidR="00016E64">
        <w:rPr>
          <w:rFonts w:ascii="Times New Roman" w:hAnsi="Times New Roman" w:cs="Times New Roman"/>
          <w:lang w:val="en-US"/>
        </w:rPr>
        <w:t>can</w:t>
      </w:r>
      <w:r w:rsidR="00FC550E">
        <w:rPr>
          <w:rFonts w:ascii="Times New Roman" w:hAnsi="Times New Roman" w:cs="Times New Roman"/>
          <w:lang w:val="en-US"/>
        </w:rPr>
        <w:t xml:space="preserve"> be </w:t>
      </w:r>
      <w:r w:rsidR="00E8459D">
        <w:rPr>
          <w:rFonts w:ascii="Times New Roman" w:hAnsi="Times New Roman" w:cs="Times New Roman"/>
          <w:lang w:val="en-US"/>
        </w:rPr>
        <w:t xml:space="preserve">a particularly effective ideological </w:t>
      </w:r>
      <w:r w:rsidR="00A95022">
        <w:rPr>
          <w:rFonts w:ascii="Times New Roman" w:hAnsi="Times New Roman" w:cs="Times New Roman"/>
          <w:lang w:val="en-US"/>
        </w:rPr>
        <w:t xml:space="preserve">device </w:t>
      </w:r>
      <w:r w:rsidR="00E8459D">
        <w:rPr>
          <w:rFonts w:ascii="Times New Roman" w:hAnsi="Times New Roman" w:cs="Times New Roman"/>
          <w:lang w:val="en-US"/>
        </w:rPr>
        <w:t xml:space="preserve">for expanding, monopolizing and protecting professional autonomy, </w:t>
      </w:r>
      <w:r w:rsidR="00160480">
        <w:rPr>
          <w:rFonts w:ascii="Times New Roman" w:hAnsi="Times New Roman" w:cs="Times New Roman"/>
          <w:lang w:val="en-US"/>
        </w:rPr>
        <w:t xml:space="preserve">especially </w:t>
      </w:r>
      <w:r w:rsidR="00E8459D">
        <w:rPr>
          <w:rFonts w:ascii="Times New Roman" w:hAnsi="Times New Roman" w:cs="Times New Roman"/>
          <w:lang w:val="en-US"/>
        </w:rPr>
        <w:t>through its efforts to expand or limit areas of activity, expertise, legitimacy, authority and respo</w:t>
      </w:r>
      <w:r w:rsidR="00BC4A71">
        <w:rPr>
          <w:rFonts w:ascii="Times New Roman" w:hAnsi="Times New Roman" w:cs="Times New Roman"/>
          <w:lang w:val="en-US"/>
        </w:rPr>
        <w:t xml:space="preserve">nsibility (Mikes, 2012; </w:t>
      </w:r>
      <w:proofErr w:type="spellStart"/>
      <w:r w:rsidR="00BC4A71">
        <w:rPr>
          <w:rFonts w:ascii="Times New Roman" w:hAnsi="Times New Roman" w:cs="Times New Roman"/>
          <w:lang w:val="en-US"/>
        </w:rPr>
        <w:t>Gracia</w:t>
      </w:r>
      <w:proofErr w:type="spellEnd"/>
      <w:r w:rsidR="00BC4A71">
        <w:rPr>
          <w:rFonts w:ascii="Times New Roman" w:hAnsi="Times New Roman" w:cs="Times New Roman"/>
          <w:lang w:val="en-US"/>
        </w:rPr>
        <w:t xml:space="preserve"> and Oats, 2012</w:t>
      </w:r>
      <w:r w:rsidR="00E37A0F">
        <w:rPr>
          <w:rFonts w:ascii="Times New Roman" w:hAnsi="Times New Roman" w:cs="Times New Roman"/>
          <w:lang w:val="en-US"/>
        </w:rPr>
        <w:t>; Young, 2014</w:t>
      </w:r>
      <w:r w:rsidR="00160480">
        <w:rPr>
          <w:rFonts w:ascii="Times New Roman" w:hAnsi="Times New Roman" w:cs="Times New Roman"/>
          <w:lang w:val="en-US"/>
        </w:rPr>
        <w:t>)</w:t>
      </w:r>
      <w:r w:rsidR="00E8459D">
        <w:rPr>
          <w:rFonts w:ascii="Times New Roman" w:hAnsi="Times New Roman" w:cs="Times New Roman"/>
          <w:lang w:val="en-US"/>
        </w:rPr>
        <w:t xml:space="preserve">. </w:t>
      </w:r>
      <w:proofErr w:type="spellStart"/>
      <w:r>
        <w:rPr>
          <w:rFonts w:ascii="Times New Roman" w:hAnsi="Times New Roman" w:cs="Times New Roman"/>
          <w:lang w:val="en-US"/>
        </w:rPr>
        <w:t>Gieryn</w:t>
      </w:r>
      <w:r w:rsidR="00BE64EB">
        <w:rPr>
          <w:rFonts w:ascii="Times New Roman" w:hAnsi="Times New Roman" w:cs="Times New Roman"/>
          <w:lang w:val="en-US"/>
        </w:rPr>
        <w:t>’s</w:t>
      </w:r>
      <w:proofErr w:type="spellEnd"/>
      <w:r w:rsidR="00BE64EB">
        <w:rPr>
          <w:rFonts w:ascii="Times New Roman" w:hAnsi="Times New Roman" w:cs="Times New Roman"/>
          <w:lang w:val="en-US"/>
        </w:rPr>
        <w:t xml:space="preserve"> </w:t>
      </w:r>
      <w:r>
        <w:rPr>
          <w:rFonts w:ascii="Times New Roman" w:hAnsi="Times New Roman" w:cs="Times New Roman"/>
          <w:lang w:val="en-US"/>
        </w:rPr>
        <w:t>(1983)</w:t>
      </w:r>
      <w:r w:rsidR="00BE64EB">
        <w:rPr>
          <w:rFonts w:ascii="Times New Roman" w:hAnsi="Times New Roman" w:cs="Times New Roman"/>
          <w:lang w:val="en-US"/>
        </w:rPr>
        <w:t xml:space="preserve"> seminal paper</w:t>
      </w:r>
      <w:r>
        <w:rPr>
          <w:rFonts w:ascii="Times New Roman" w:hAnsi="Times New Roman" w:cs="Times New Roman"/>
          <w:lang w:val="en-US"/>
        </w:rPr>
        <w:t xml:space="preserve"> identifie</w:t>
      </w:r>
      <w:r w:rsidR="00FF1F83">
        <w:rPr>
          <w:rFonts w:ascii="Times New Roman" w:hAnsi="Times New Roman" w:cs="Times New Roman"/>
          <w:lang w:val="en-US"/>
        </w:rPr>
        <w:t xml:space="preserve">s </w:t>
      </w:r>
      <w:r>
        <w:rPr>
          <w:rFonts w:ascii="Times New Roman" w:hAnsi="Times New Roman" w:cs="Times New Roman"/>
          <w:lang w:val="en-US"/>
        </w:rPr>
        <w:t xml:space="preserve">boundary work </w:t>
      </w:r>
      <w:r w:rsidR="00BE64EB">
        <w:rPr>
          <w:rFonts w:ascii="Times New Roman" w:hAnsi="Times New Roman" w:cs="Times New Roman"/>
          <w:lang w:val="en-US"/>
        </w:rPr>
        <w:t xml:space="preserve">as </w:t>
      </w:r>
      <w:r w:rsidR="00DF648E">
        <w:rPr>
          <w:rFonts w:ascii="Times New Roman" w:hAnsi="Times New Roman" w:cs="Times New Roman"/>
          <w:lang w:val="en-US"/>
        </w:rPr>
        <w:t xml:space="preserve">a process of demarcation where </w:t>
      </w:r>
      <w:r w:rsidR="003D142C">
        <w:rPr>
          <w:rFonts w:ascii="Times New Roman" w:hAnsi="Times New Roman" w:cs="Times New Roman"/>
          <w:lang w:val="en-US"/>
        </w:rPr>
        <w:t>scientists attribute</w:t>
      </w:r>
      <w:r w:rsidR="00AA0E57">
        <w:rPr>
          <w:rFonts w:ascii="Times New Roman" w:hAnsi="Times New Roman" w:cs="Times New Roman"/>
          <w:lang w:val="en-US"/>
        </w:rPr>
        <w:t xml:space="preserve"> selected characteristics to the institution of science in order to construct a social boundary distinguishing some intellectual activities as non-science</w:t>
      </w:r>
      <w:r w:rsidR="00BC4A71">
        <w:rPr>
          <w:rFonts w:ascii="Times New Roman" w:hAnsi="Times New Roman" w:cs="Times New Roman"/>
          <w:lang w:val="en-US"/>
        </w:rPr>
        <w:t xml:space="preserve">. </w:t>
      </w:r>
    </w:p>
    <w:p w14:paraId="20F96843" w14:textId="0BD660B2" w:rsidR="00203003" w:rsidRDefault="00D67A08" w:rsidP="008A4ECE">
      <w:pPr>
        <w:spacing w:line="360" w:lineRule="auto"/>
        <w:ind w:firstLine="708"/>
        <w:jc w:val="both"/>
        <w:rPr>
          <w:rFonts w:ascii="Times New Roman" w:hAnsi="Times New Roman" w:cs="Times New Roman"/>
          <w:lang w:val="en-US"/>
        </w:rPr>
      </w:pPr>
      <w:r>
        <w:rPr>
          <w:rFonts w:ascii="Times New Roman" w:hAnsi="Times New Roman" w:cs="Times New Roman"/>
          <w:lang w:val="en-US"/>
        </w:rPr>
        <w:t>B</w:t>
      </w:r>
      <w:r w:rsidR="00AA0E57">
        <w:rPr>
          <w:rFonts w:ascii="Times New Roman" w:hAnsi="Times New Roman" w:cs="Times New Roman"/>
          <w:lang w:val="en-US"/>
        </w:rPr>
        <w:t xml:space="preserve">oundary work </w:t>
      </w:r>
      <w:r w:rsidR="008D1A1E">
        <w:rPr>
          <w:rFonts w:ascii="Times New Roman" w:hAnsi="Times New Roman" w:cs="Times New Roman"/>
          <w:lang w:val="en-US"/>
        </w:rPr>
        <w:t>often</w:t>
      </w:r>
      <w:r>
        <w:rPr>
          <w:rFonts w:ascii="Times New Roman" w:hAnsi="Times New Roman" w:cs="Times New Roman"/>
          <w:lang w:val="en-US"/>
        </w:rPr>
        <w:t xml:space="preserve"> </w:t>
      </w:r>
      <w:r w:rsidR="00AA0E57">
        <w:rPr>
          <w:rFonts w:ascii="Times New Roman" w:hAnsi="Times New Roman" w:cs="Times New Roman"/>
          <w:lang w:val="en-US"/>
        </w:rPr>
        <w:t>involve</w:t>
      </w:r>
      <w:r w:rsidR="00160480">
        <w:rPr>
          <w:rFonts w:ascii="Times New Roman" w:hAnsi="Times New Roman" w:cs="Times New Roman"/>
          <w:lang w:val="en-US"/>
        </w:rPr>
        <w:t>s</w:t>
      </w:r>
      <w:r w:rsidR="00AA0E57">
        <w:rPr>
          <w:rFonts w:ascii="Times New Roman" w:hAnsi="Times New Roman" w:cs="Times New Roman"/>
          <w:lang w:val="en-US"/>
        </w:rPr>
        <w:t xml:space="preserve"> the </w:t>
      </w:r>
      <w:proofErr w:type="spellStart"/>
      <w:r w:rsidR="00794753">
        <w:rPr>
          <w:rFonts w:ascii="Times New Roman" w:hAnsi="Times New Roman" w:cs="Times New Roman"/>
          <w:lang w:val="en-US"/>
        </w:rPr>
        <w:t>mobilisation</w:t>
      </w:r>
      <w:proofErr w:type="spellEnd"/>
      <w:r w:rsidR="00AA0E57">
        <w:rPr>
          <w:rFonts w:ascii="Times New Roman" w:hAnsi="Times New Roman" w:cs="Times New Roman"/>
          <w:lang w:val="en-US"/>
        </w:rPr>
        <w:t xml:space="preserve"> of inconsistent ideologies</w:t>
      </w:r>
      <w:r w:rsidR="00DF648E">
        <w:rPr>
          <w:rFonts w:ascii="Times New Roman" w:hAnsi="Times New Roman" w:cs="Times New Roman"/>
          <w:lang w:val="en-US"/>
        </w:rPr>
        <w:t>,</w:t>
      </w:r>
      <w:r w:rsidR="00203003">
        <w:rPr>
          <w:rFonts w:ascii="Times New Roman" w:hAnsi="Times New Roman" w:cs="Times New Roman"/>
          <w:lang w:val="en-US"/>
        </w:rPr>
        <w:t xml:space="preserve"> as</w:t>
      </w:r>
      <w:r w:rsidR="00AA0E57">
        <w:rPr>
          <w:rFonts w:ascii="Times New Roman" w:hAnsi="Times New Roman" w:cs="Times New Roman"/>
          <w:lang w:val="en-US"/>
        </w:rPr>
        <w:t xml:space="preserve"> characteri</w:t>
      </w:r>
      <w:r w:rsidR="00A95022">
        <w:rPr>
          <w:rFonts w:ascii="Times New Roman" w:hAnsi="Times New Roman" w:cs="Times New Roman"/>
          <w:lang w:val="en-US"/>
        </w:rPr>
        <w:t>z</w:t>
      </w:r>
      <w:r w:rsidR="00AA0E57">
        <w:rPr>
          <w:rFonts w:ascii="Times New Roman" w:hAnsi="Times New Roman" w:cs="Times New Roman"/>
          <w:lang w:val="en-US"/>
        </w:rPr>
        <w:t xml:space="preserve">ations </w:t>
      </w:r>
      <w:r w:rsidR="00FA6D29">
        <w:rPr>
          <w:rFonts w:ascii="Times New Roman" w:hAnsi="Times New Roman" w:cs="Times New Roman"/>
          <w:lang w:val="en-US"/>
        </w:rPr>
        <w:t xml:space="preserve">of a </w:t>
      </w:r>
      <w:r w:rsidR="00160480">
        <w:rPr>
          <w:rFonts w:ascii="Times New Roman" w:hAnsi="Times New Roman" w:cs="Times New Roman"/>
          <w:lang w:val="en-US"/>
        </w:rPr>
        <w:t xml:space="preserve">practice or </w:t>
      </w:r>
      <w:r w:rsidR="00FA6D29">
        <w:rPr>
          <w:rFonts w:ascii="Times New Roman" w:hAnsi="Times New Roman" w:cs="Times New Roman"/>
          <w:lang w:val="en-US"/>
        </w:rPr>
        <w:t xml:space="preserve">domain </w:t>
      </w:r>
      <w:r w:rsidR="00203003">
        <w:rPr>
          <w:rFonts w:ascii="Times New Roman" w:hAnsi="Times New Roman" w:cs="Times New Roman"/>
          <w:lang w:val="en-US"/>
        </w:rPr>
        <w:t>can shift</w:t>
      </w:r>
      <w:r w:rsidR="00AA0E57">
        <w:rPr>
          <w:rFonts w:ascii="Times New Roman" w:hAnsi="Times New Roman" w:cs="Times New Roman"/>
          <w:lang w:val="en-US"/>
        </w:rPr>
        <w:t xml:space="preserve"> over time depending on the </w:t>
      </w:r>
      <w:r w:rsidR="00DF648E">
        <w:rPr>
          <w:rFonts w:ascii="Times New Roman" w:hAnsi="Times New Roman" w:cs="Times New Roman"/>
          <w:lang w:val="en-US"/>
        </w:rPr>
        <w:t>‘</w:t>
      </w:r>
      <w:r w:rsidR="00AA0E57">
        <w:rPr>
          <w:rFonts w:ascii="Times New Roman" w:hAnsi="Times New Roman" w:cs="Times New Roman"/>
          <w:lang w:val="en-US"/>
        </w:rPr>
        <w:t>contrast cases</w:t>
      </w:r>
      <w:r w:rsidR="00DF648E">
        <w:rPr>
          <w:rFonts w:ascii="Times New Roman" w:hAnsi="Times New Roman" w:cs="Times New Roman"/>
          <w:lang w:val="en-US"/>
        </w:rPr>
        <w:t>’</w:t>
      </w:r>
      <w:r w:rsidR="00AA0E57">
        <w:rPr>
          <w:rFonts w:ascii="Times New Roman" w:hAnsi="Times New Roman" w:cs="Times New Roman"/>
          <w:lang w:val="en-US"/>
        </w:rPr>
        <w:t xml:space="preserve"> selected</w:t>
      </w:r>
      <w:r w:rsidR="003D142C">
        <w:rPr>
          <w:rFonts w:ascii="Times New Roman" w:hAnsi="Times New Roman" w:cs="Times New Roman"/>
          <w:lang w:val="en-US"/>
        </w:rPr>
        <w:t xml:space="preserve"> and </w:t>
      </w:r>
      <w:r w:rsidR="003D142C" w:rsidRPr="00160480">
        <w:rPr>
          <w:rFonts w:ascii="Times New Roman" w:hAnsi="Times New Roman" w:cs="Times New Roman"/>
          <w:lang w:val="en-US"/>
        </w:rPr>
        <w:t>the particular goals of the boundary work</w:t>
      </w:r>
      <w:r w:rsidR="00796951" w:rsidRPr="00160480">
        <w:rPr>
          <w:rFonts w:ascii="Times New Roman" w:hAnsi="Times New Roman" w:cs="Times New Roman"/>
          <w:lang w:val="en-US"/>
        </w:rPr>
        <w:t>.</w:t>
      </w:r>
      <w:r w:rsidR="00796951">
        <w:rPr>
          <w:rFonts w:ascii="Times New Roman" w:hAnsi="Times New Roman" w:cs="Times New Roman"/>
          <w:lang w:val="en-US"/>
        </w:rPr>
        <w:t xml:space="preserve"> For example, </w:t>
      </w:r>
      <w:proofErr w:type="spellStart"/>
      <w:r w:rsidR="00796951">
        <w:rPr>
          <w:rFonts w:ascii="Times New Roman" w:hAnsi="Times New Roman" w:cs="Times New Roman"/>
          <w:lang w:val="en-US"/>
        </w:rPr>
        <w:t>Gieryn</w:t>
      </w:r>
      <w:proofErr w:type="spellEnd"/>
      <w:r w:rsidR="00796951">
        <w:rPr>
          <w:rFonts w:ascii="Times New Roman" w:hAnsi="Times New Roman" w:cs="Times New Roman"/>
          <w:lang w:val="en-US"/>
        </w:rPr>
        <w:t xml:space="preserve"> (198</w:t>
      </w:r>
      <w:r w:rsidR="00AA0E57">
        <w:rPr>
          <w:rFonts w:ascii="Times New Roman" w:hAnsi="Times New Roman" w:cs="Times New Roman"/>
          <w:lang w:val="en-US"/>
        </w:rPr>
        <w:t>3) highlighted how the characteristics attributed to science depend</w:t>
      </w:r>
      <w:r w:rsidR="000143B5">
        <w:rPr>
          <w:rFonts w:ascii="Times New Roman" w:hAnsi="Times New Roman" w:cs="Times New Roman"/>
          <w:lang w:val="en-US"/>
        </w:rPr>
        <w:t>ed very much</w:t>
      </w:r>
      <w:r w:rsidR="00AA0E57">
        <w:rPr>
          <w:rFonts w:ascii="Times New Roman" w:hAnsi="Times New Roman" w:cs="Times New Roman"/>
          <w:lang w:val="en-US"/>
        </w:rPr>
        <w:t xml:space="preserve"> upon </w:t>
      </w:r>
      <w:r w:rsidR="00A95022">
        <w:rPr>
          <w:rFonts w:ascii="Times New Roman" w:hAnsi="Times New Roman" w:cs="Times New Roman"/>
          <w:lang w:val="en-US"/>
        </w:rPr>
        <w:t xml:space="preserve">the </w:t>
      </w:r>
      <w:r w:rsidR="00AA0E57">
        <w:rPr>
          <w:rFonts w:ascii="Times New Roman" w:hAnsi="Times New Roman" w:cs="Times New Roman"/>
          <w:lang w:val="en-US"/>
        </w:rPr>
        <w:t>non-science activit</w:t>
      </w:r>
      <w:r>
        <w:rPr>
          <w:rFonts w:ascii="Times New Roman" w:hAnsi="Times New Roman" w:cs="Times New Roman"/>
          <w:lang w:val="en-US"/>
        </w:rPr>
        <w:t>y it was being set against. He il</w:t>
      </w:r>
      <w:r w:rsidR="00BC4A71">
        <w:rPr>
          <w:rFonts w:ascii="Times New Roman" w:hAnsi="Times New Roman" w:cs="Times New Roman"/>
          <w:lang w:val="en-US"/>
        </w:rPr>
        <w:t>l</w:t>
      </w:r>
      <w:r>
        <w:rPr>
          <w:rFonts w:ascii="Times New Roman" w:hAnsi="Times New Roman" w:cs="Times New Roman"/>
          <w:lang w:val="en-US"/>
        </w:rPr>
        <w:t>ustrated</w:t>
      </w:r>
      <w:r w:rsidR="00AA0E57">
        <w:rPr>
          <w:rFonts w:ascii="Times New Roman" w:hAnsi="Times New Roman" w:cs="Times New Roman"/>
          <w:lang w:val="en-US"/>
        </w:rPr>
        <w:t xml:space="preserve"> how </w:t>
      </w:r>
      <w:r w:rsidR="000143B5">
        <w:rPr>
          <w:rFonts w:ascii="Times New Roman" w:hAnsi="Times New Roman" w:cs="Times New Roman"/>
          <w:lang w:val="en-US"/>
        </w:rPr>
        <w:t xml:space="preserve">such </w:t>
      </w:r>
      <w:r w:rsidR="00AA0E57">
        <w:rPr>
          <w:rFonts w:ascii="Times New Roman" w:hAnsi="Times New Roman" w:cs="Times New Roman"/>
          <w:lang w:val="en-US"/>
        </w:rPr>
        <w:t>boundary work can lead to ambiguous, flexible, historically changing, internally inconsistent and sometimes disputed characteri</w:t>
      </w:r>
      <w:r w:rsidR="00A95022">
        <w:rPr>
          <w:rFonts w:ascii="Times New Roman" w:hAnsi="Times New Roman" w:cs="Times New Roman"/>
          <w:lang w:val="en-US"/>
        </w:rPr>
        <w:t>z</w:t>
      </w:r>
      <w:r w:rsidR="00AA0E57">
        <w:rPr>
          <w:rFonts w:ascii="Times New Roman" w:hAnsi="Times New Roman" w:cs="Times New Roman"/>
          <w:lang w:val="en-US"/>
        </w:rPr>
        <w:t xml:space="preserve">ations of an area of activity. </w:t>
      </w:r>
      <w:r>
        <w:rPr>
          <w:rFonts w:ascii="Times New Roman" w:hAnsi="Times New Roman" w:cs="Times New Roman"/>
          <w:lang w:val="en-US"/>
        </w:rPr>
        <w:t>T</w:t>
      </w:r>
      <w:r w:rsidR="00AA0E57">
        <w:rPr>
          <w:rFonts w:ascii="Times New Roman" w:hAnsi="Times New Roman" w:cs="Times New Roman"/>
          <w:lang w:val="en-US"/>
        </w:rPr>
        <w:t xml:space="preserve">he simultaneous pursuit of </w:t>
      </w:r>
      <w:r w:rsidR="000143B5">
        <w:rPr>
          <w:rFonts w:ascii="Times New Roman" w:hAnsi="Times New Roman" w:cs="Times New Roman"/>
          <w:lang w:val="en-US"/>
        </w:rPr>
        <w:t>distinct</w:t>
      </w:r>
      <w:r w:rsidR="0041106C">
        <w:rPr>
          <w:rFonts w:ascii="Times New Roman" w:hAnsi="Times New Roman" w:cs="Times New Roman"/>
          <w:lang w:val="en-US"/>
        </w:rPr>
        <w:t xml:space="preserve"> professional goals and the differing ambitions of the professionals promoting a practice or an area of expertise </w:t>
      </w:r>
      <w:r w:rsidR="00160480">
        <w:rPr>
          <w:rFonts w:ascii="Times New Roman" w:hAnsi="Times New Roman" w:cs="Times New Roman"/>
          <w:lang w:val="en-US"/>
        </w:rPr>
        <w:t>can</w:t>
      </w:r>
      <w:r w:rsidR="00AA0E57">
        <w:rPr>
          <w:rFonts w:ascii="Times New Roman" w:hAnsi="Times New Roman" w:cs="Times New Roman"/>
          <w:lang w:val="en-US"/>
        </w:rPr>
        <w:t xml:space="preserve"> </w:t>
      </w:r>
      <w:r>
        <w:rPr>
          <w:rFonts w:ascii="Times New Roman" w:hAnsi="Times New Roman" w:cs="Times New Roman"/>
          <w:lang w:val="en-US"/>
        </w:rPr>
        <w:t xml:space="preserve">also </w:t>
      </w:r>
      <w:r w:rsidR="000143B5">
        <w:rPr>
          <w:rFonts w:ascii="Times New Roman" w:hAnsi="Times New Roman" w:cs="Times New Roman"/>
          <w:lang w:val="en-US"/>
        </w:rPr>
        <w:t>necessitate</w:t>
      </w:r>
      <w:r w:rsidR="0041106C">
        <w:rPr>
          <w:rFonts w:ascii="Times New Roman" w:hAnsi="Times New Roman" w:cs="Times New Roman"/>
          <w:lang w:val="en-US"/>
        </w:rPr>
        <w:t xml:space="preserve"> or </w:t>
      </w:r>
      <w:r w:rsidR="00160480">
        <w:rPr>
          <w:rFonts w:ascii="Times New Roman" w:hAnsi="Times New Roman" w:cs="Times New Roman"/>
          <w:lang w:val="en-US"/>
        </w:rPr>
        <w:t xml:space="preserve">result in a boundary </w:t>
      </w:r>
      <w:r w:rsidR="00AA0E57">
        <w:rPr>
          <w:rFonts w:ascii="Times New Roman" w:hAnsi="Times New Roman" w:cs="Times New Roman"/>
          <w:lang w:val="en-US"/>
        </w:rPr>
        <w:t>be</w:t>
      </w:r>
      <w:r w:rsidR="00160480">
        <w:rPr>
          <w:rFonts w:ascii="Times New Roman" w:hAnsi="Times New Roman" w:cs="Times New Roman"/>
          <w:lang w:val="en-US"/>
        </w:rPr>
        <w:t>ing</w:t>
      </w:r>
      <w:r w:rsidR="00AA0E57">
        <w:rPr>
          <w:rFonts w:ascii="Times New Roman" w:hAnsi="Times New Roman" w:cs="Times New Roman"/>
          <w:lang w:val="en-US"/>
        </w:rPr>
        <w:t xml:space="preserve"> built in different ways </w:t>
      </w:r>
      <w:r w:rsidR="0041106C">
        <w:rPr>
          <w:rFonts w:ascii="Times New Roman" w:hAnsi="Times New Roman" w:cs="Times New Roman"/>
          <w:lang w:val="en-US"/>
        </w:rPr>
        <w:t>(</w:t>
      </w:r>
      <w:proofErr w:type="spellStart"/>
      <w:r w:rsidR="00BE64EB">
        <w:rPr>
          <w:rFonts w:ascii="Times New Roman" w:hAnsi="Times New Roman" w:cs="Times New Roman"/>
          <w:lang w:val="en-US"/>
        </w:rPr>
        <w:t>Burri</w:t>
      </w:r>
      <w:proofErr w:type="spellEnd"/>
      <w:r w:rsidR="00BE64EB">
        <w:rPr>
          <w:rFonts w:ascii="Times New Roman" w:hAnsi="Times New Roman" w:cs="Times New Roman"/>
          <w:lang w:val="en-US"/>
        </w:rPr>
        <w:t>, 2008</w:t>
      </w:r>
      <w:r w:rsidR="00B965A4">
        <w:rPr>
          <w:rFonts w:ascii="Times New Roman" w:hAnsi="Times New Roman" w:cs="Times New Roman"/>
          <w:lang w:val="en-US"/>
        </w:rPr>
        <w:t xml:space="preserve">; </w:t>
      </w:r>
      <w:proofErr w:type="spellStart"/>
      <w:r w:rsidR="00B965A4">
        <w:rPr>
          <w:rFonts w:ascii="Times New Roman" w:hAnsi="Times New Roman" w:cs="Times New Roman"/>
          <w:lang w:val="en-US"/>
        </w:rPr>
        <w:t>Gieryn</w:t>
      </w:r>
      <w:proofErr w:type="spellEnd"/>
      <w:r w:rsidR="00B965A4">
        <w:rPr>
          <w:rFonts w:ascii="Times New Roman" w:hAnsi="Times New Roman" w:cs="Times New Roman"/>
          <w:lang w:val="en-US"/>
        </w:rPr>
        <w:t xml:space="preserve"> 1983</w:t>
      </w:r>
      <w:r w:rsidR="00AA0E57">
        <w:rPr>
          <w:rFonts w:ascii="Times New Roman" w:hAnsi="Times New Roman" w:cs="Times New Roman"/>
          <w:lang w:val="en-US"/>
        </w:rPr>
        <w:t>).</w:t>
      </w:r>
      <w:r>
        <w:rPr>
          <w:rFonts w:ascii="Times New Roman" w:hAnsi="Times New Roman" w:cs="Times New Roman"/>
          <w:lang w:val="en-US"/>
        </w:rPr>
        <w:t xml:space="preserve"> </w:t>
      </w:r>
    </w:p>
    <w:p w14:paraId="2DAFDE86" w14:textId="3615EDF0" w:rsidR="0072333D" w:rsidRDefault="00C96F42" w:rsidP="00686181">
      <w:pPr>
        <w:autoSpaceDE w:val="0"/>
        <w:autoSpaceDN w:val="0"/>
        <w:adjustRightInd w:val="0"/>
        <w:spacing w:after="0" w:line="360" w:lineRule="auto"/>
        <w:ind w:firstLine="708"/>
        <w:jc w:val="both"/>
        <w:rPr>
          <w:rFonts w:ascii="Times New Roman" w:hAnsi="Times New Roman" w:cs="Times New Roman"/>
          <w:color w:val="000000"/>
          <w:lang w:val="en-US"/>
        </w:rPr>
      </w:pPr>
      <w:r>
        <w:rPr>
          <w:rFonts w:ascii="Times New Roman" w:hAnsi="Times New Roman" w:cs="Times New Roman"/>
          <w:lang w:val="en-US"/>
        </w:rPr>
        <w:t>In th</w:t>
      </w:r>
      <w:r w:rsidR="00AE5A60">
        <w:rPr>
          <w:rFonts w:ascii="Times New Roman" w:hAnsi="Times New Roman" w:cs="Times New Roman"/>
          <w:lang w:val="en-US"/>
        </w:rPr>
        <w:t xml:space="preserve">e remainder of this </w:t>
      </w:r>
      <w:r>
        <w:rPr>
          <w:rFonts w:ascii="Times New Roman" w:hAnsi="Times New Roman" w:cs="Times New Roman"/>
          <w:lang w:val="en-US"/>
        </w:rPr>
        <w:t xml:space="preserve">sub-section </w:t>
      </w:r>
      <w:r w:rsidR="00AE5A60">
        <w:rPr>
          <w:rFonts w:ascii="Times New Roman" w:hAnsi="Times New Roman" w:cs="Times New Roman"/>
          <w:lang w:val="en-US"/>
        </w:rPr>
        <w:t xml:space="preserve">of the paper, </w:t>
      </w:r>
      <w:r>
        <w:rPr>
          <w:rFonts w:ascii="Times New Roman" w:hAnsi="Times New Roman" w:cs="Times New Roman"/>
          <w:lang w:val="en-US"/>
        </w:rPr>
        <w:t xml:space="preserve">we integrate the </w:t>
      </w:r>
      <w:r w:rsidR="002D471B">
        <w:rPr>
          <w:rFonts w:ascii="Times New Roman" w:hAnsi="Times New Roman" w:cs="Times New Roman"/>
          <w:lang w:val="en-US"/>
        </w:rPr>
        <w:t xml:space="preserve">above </w:t>
      </w:r>
      <w:r>
        <w:rPr>
          <w:rFonts w:ascii="Times New Roman" w:hAnsi="Times New Roman" w:cs="Times New Roman"/>
          <w:lang w:val="en-US"/>
        </w:rPr>
        <w:t xml:space="preserve">notion of boundary work within the four </w:t>
      </w:r>
      <w:r w:rsidR="009178FF">
        <w:rPr>
          <w:rFonts w:ascii="Times New Roman" w:hAnsi="Times New Roman" w:cs="Times New Roman"/>
          <w:lang w:val="en-US"/>
        </w:rPr>
        <w:t xml:space="preserve">overlapping (but analytically distinct) </w:t>
      </w:r>
      <w:r>
        <w:rPr>
          <w:rFonts w:ascii="Times New Roman" w:hAnsi="Times New Roman" w:cs="Times New Roman"/>
          <w:lang w:val="en-US"/>
        </w:rPr>
        <w:t>dynamics</w:t>
      </w:r>
      <w:r w:rsidR="00936D39">
        <w:rPr>
          <w:rFonts w:ascii="Times New Roman" w:hAnsi="Times New Roman" w:cs="Times New Roman"/>
          <w:lang w:val="en-US"/>
        </w:rPr>
        <w:t xml:space="preserve"> (or steps) </w:t>
      </w:r>
      <w:r w:rsidR="001E0D08">
        <w:rPr>
          <w:rFonts w:ascii="Times New Roman" w:hAnsi="Times New Roman" w:cs="Times New Roman"/>
          <w:lang w:val="en-US"/>
        </w:rPr>
        <w:t xml:space="preserve">that </w:t>
      </w:r>
      <w:r w:rsidRPr="00BA4CDD">
        <w:rPr>
          <w:rFonts w:ascii="Times New Roman" w:hAnsi="Times New Roman" w:cs="Times New Roman"/>
          <w:lang w:val="en-US"/>
        </w:rPr>
        <w:t xml:space="preserve">Suddaby and </w:t>
      </w:r>
      <w:proofErr w:type="spellStart"/>
      <w:r w:rsidRPr="00BA4CDD">
        <w:rPr>
          <w:rFonts w:ascii="Times New Roman" w:hAnsi="Times New Roman" w:cs="Times New Roman"/>
          <w:lang w:val="en-US"/>
        </w:rPr>
        <w:t>Viale</w:t>
      </w:r>
      <w:proofErr w:type="spellEnd"/>
      <w:r w:rsidRPr="00BA4CDD">
        <w:rPr>
          <w:rFonts w:ascii="Times New Roman" w:hAnsi="Times New Roman" w:cs="Times New Roman"/>
          <w:lang w:val="en-US"/>
        </w:rPr>
        <w:t xml:space="preserve"> (2011) </w:t>
      </w:r>
      <w:r w:rsidR="00B91098">
        <w:rPr>
          <w:rFonts w:ascii="Times New Roman" w:hAnsi="Times New Roman" w:cs="Times New Roman"/>
          <w:lang w:val="en-US"/>
        </w:rPr>
        <w:t>mobiliz</w:t>
      </w:r>
      <w:r w:rsidR="00794753">
        <w:rPr>
          <w:rFonts w:ascii="Times New Roman" w:hAnsi="Times New Roman" w:cs="Times New Roman"/>
          <w:lang w:val="en-US"/>
        </w:rPr>
        <w:t>e</w:t>
      </w:r>
      <w:r w:rsidR="005C3EB7">
        <w:rPr>
          <w:rFonts w:ascii="Times New Roman" w:hAnsi="Times New Roman" w:cs="Times New Roman"/>
          <w:lang w:val="en-US"/>
        </w:rPr>
        <w:t xml:space="preserve"> </w:t>
      </w:r>
      <w:r>
        <w:rPr>
          <w:rFonts w:ascii="Times New Roman" w:hAnsi="Times New Roman" w:cs="Times New Roman"/>
          <w:lang w:val="en-US"/>
        </w:rPr>
        <w:t xml:space="preserve">to characterize </w:t>
      </w:r>
      <w:r w:rsidRPr="005E7227">
        <w:rPr>
          <w:rFonts w:ascii="Times New Roman" w:hAnsi="Times New Roman" w:cs="Times New Roman"/>
          <w:lang w:val="en-US"/>
        </w:rPr>
        <w:t>how</w:t>
      </w:r>
      <w:r w:rsidRPr="00BA4CDD">
        <w:rPr>
          <w:rFonts w:ascii="Times New Roman" w:hAnsi="Times New Roman" w:cs="Times New Roman"/>
          <w:lang w:val="en-US"/>
        </w:rPr>
        <w:t xml:space="preserve"> </w:t>
      </w:r>
      <w:r w:rsidRPr="00BA4CDD">
        <w:rPr>
          <w:rFonts w:ascii="Times New Roman" w:hAnsi="Times New Roman" w:cs="Times New Roman"/>
          <w:color w:val="000000"/>
          <w:lang w:val="en-US"/>
        </w:rPr>
        <w:t>professionals</w:t>
      </w:r>
      <w:r>
        <w:rPr>
          <w:rFonts w:ascii="Times New Roman" w:hAnsi="Times New Roman" w:cs="Times New Roman"/>
          <w:color w:val="000000"/>
          <w:lang w:val="en-US"/>
        </w:rPr>
        <w:t>, professional groups and organi</w:t>
      </w:r>
      <w:r w:rsidR="00A95022">
        <w:rPr>
          <w:rFonts w:ascii="Times New Roman" w:hAnsi="Times New Roman" w:cs="Times New Roman"/>
          <w:color w:val="000000"/>
          <w:lang w:val="en-US"/>
        </w:rPr>
        <w:t>z</w:t>
      </w:r>
      <w:r>
        <w:rPr>
          <w:rFonts w:ascii="Times New Roman" w:hAnsi="Times New Roman" w:cs="Times New Roman"/>
          <w:color w:val="000000"/>
          <w:lang w:val="en-US"/>
        </w:rPr>
        <w:t>ations</w:t>
      </w:r>
      <w:r w:rsidRPr="00BA4CDD">
        <w:rPr>
          <w:rFonts w:ascii="Times New Roman" w:hAnsi="Times New Roman" w:cs="Times New Roman"/>
          <w:color w:val="000000"/>
          <w:lang w:val="en-US"/>
        </w:rPr>
        <w:t xml:space="preserve"> reconfigure organizational field</w:t>
      </w:r>
      <w:r>
        <w:rPr>
          <w:rFonts w:ascii="Times New Roman" w:hAnsi="Times New Roman" w:cs="Times New Roman"/>
          <w:color w:val="000000"/>
          <w:lang w:val="en-US"/>
        </w:rPr>
        <w:t xml:space="preserve">s. </w:t>
      </w:r>
      <w:r>
        <w:rPr>
          <w:rFonts w:ascii="Times New Roman" w:hAnsi="Times New Roman" w:cs="Times New Roman"/>
          <w:lang w:val="en-US"/>
        </w:rPr>
        <w:t xml:space="preserve">This </w:t>
      </w:r>
      <w:r w:rsidR="005C3EB7">
        <w:rPr>
          <w:rFonts w:ascii="Times New Roman" w:hAnsi="Times New Roman" w:cs="Times New Roman"/>
          <w:lang w:val="en-US"/>
        </w:rPr>
        <w:t xml:space="preserve">framing </w:t>
      </w:r>
      <w:r>
        <w:rPr>
          <w:rFonts w:ascii="Times New Roman" w:hAnsi="Times New Roman" w:cs="Times New Roman"/>
          <w:lang w:val="en-US"/>
        </w:rPr>
        <w:t xml:space="preserve">highlights </w:t>
      </w:r>
      <w:r>
        <w:rPr>
          <w:rFonts w:ascii="Times New Roman" w:hAnsi="Times New Roman" w:cs="Times New Roman"/>
          <w:color w:val="000000"/>
          <w:lang w:val="en-US"/>
        </w:rPr>
        <w:t xml:space="preserve">the role </w:t>
      </w:r>
      <w:r w:rsidR="005C3EB7">
        <w:rPr>
          <w:rFonts w:ascii="Times New Roman" w:hAnsi="Times New Roman" w:cs="Times New Roman"/>
          <w:color w:val="000000"/>
          <w:lang w:val="en-US"/>
        </w:rPr>
        <w:t xml:space="preserve">that </w:t>
      </w:r>
      <w:r>
        <w:rPr>
          <w:rFonts w:ascii="Times New Roman" w:hAnsi="Times New Roman" w:cs="Times New Roman"/>
          <w:color w:val="000000"/>
          <w:lang w:val="en-US"/>
        </w:rPr>
        <w:t xml:space="preserve">boundary work </w:t>
      </w:r>
      <w:r>
        <w:rPr>
          <w:rFonts w:ascii="Times New Roman" w:hAnsi="Times New Roman" w:cs="Times New Roman"/>
          <w:lang w:val="en-US"/>
        </w:rPr>
        <w:t>(</w:t>
      </w:r>
      <w:proofErr w:type="spellStart"/>
      <w:r>
        <w:rPr>
          <w:rFonts w:ascii="Times New Roman" w:hAnsi="Times New Roman" w:cs="Times New Roman"/>
          <w:lang w:val="en-US"/>
        </w:rPr>
        <w:t>Gieryn</w:t>
      </w:r>
      <w:proofErr w:type="spellEnd"/>
      <w:r>
        <w:rPr>
          <w:rFonts w:ascii="Times New Roman" w:hAnsi="Times New Roman" w:cs="Times New Roman"/>
          <w:lang w:val="en-US"/>
        </w:rPr>
        <w:t>, 1983, 1999)</w:t>
      </w:r>
      <w:r>
        <w:rPr>
          <w:rFonts w:ascii="Times New Roman" w:hAnsi="Times New Roman" w:cs="Times New Roman"/>
          <w:color w:val="000000"/>
          <w:lang w:val="en-US"/>
        </w:rPr>
        <w:t xml:space="preserve"> by </w:t>
      </w:r>
      <w:r>
        <w:rPr>
          <w:rFonts w:ascii="Times New Roman" w:hAnsi="Times New Roman" w:cs="Times New Roman"/>
          <w:lang w:val="en-US"/>
        </w:rPr>
        <w:t xml:space="preserve">professions and professionals </w:t>
      </w:r>
      <w:r w:rsidR="0031086B">
        <w:rPr>
          <w:rFonts w:ascii="Times New Roman" w:hAnsi="Times New Roman" w:cs="Times New Roman"/>
          <w:lang w:val="en-US"/>
        </w:rPr>
        <w:t xml:space="preserve">can </w:t>
      </w:r>
      <w:r>
        <w:rPr>
          <w:rFonts w:ascii="Times New Roman" w:hAnsi="Times New Roman" w:cs="Times New Roman"/>
          <w:lang w:val="en-US"/>
        </w:rPr>
        <w:t>play in field reconfiguration processes.</w:t>
      </w:r>
    </w:p>
    <w:p w14:paraId="4EF87F17" w14:textId="77777777" w:rsidR="0072333D" w:rsidRPr="00B615FA" w:rsidRDefault="0072333D" w:rsidP="00EA6237">
      <w:pPr>
        <w:autoSpaceDE w:val="0"/>
        <w:autoSpaceDN w:val="0"/>
        <w:adjustRightInd w:val="0"/>
        <w:spacing w:after="0" w:line="360" w:lineRule="auto"/>
        <w:jc w:val="both"/>
        <w:rPr>
          <w:rFonts w:ascii="Times New Roman" w:hAnsi="Times New Roman" w:cs="Times New Roman"/>
          <w:color w:val="000000"/>
          <w:lang w:val="en-US"/>
        </w:rPr>
      </w:pPr>
    </w:p>
    <w:p w14:paraId="59F93AEB" w14:textId="111505A3" w:rsidR="00422BEF" w:rsidRPr="005C3EB7" w:rsidRDefault="001A6AF0" w:rsidP="00422BEF">
      <w:pPr>
        <w:spacing w:line="360" w:lineRule="auto"/>
        <w:jc w:val="both"/>
        <w:rPr>
          <w:rFonts w:ascii="Times New Roman" w:hAnsi="Times New Roman" w:cs="Times New Roman"/>
          <w:i/>
          <w:lang w:val="en-US"/>
        </w:rPr>
      </w:pPr>
      <w:r w:rsidRPr="005C3EB7">
        <w:rPr>
          <w:rFonts w:ascii="Times New Roman" w:hAnsi="Times New Roman" w:cs="Times New Roman"/>
          <w:i/>
          <w:lang w:val="en-US"/>
        </w:rPr>
        <w:t>2.</w:t>
      </w:r>
      <w:r w:rsidR="00B91098">
        <w:rPr>
          <w:rFonts w:ascii="Times New Roman" w:hAnsi="Times New Roman" w:cs="Times New Roman"/>
          <w:i/>
          <w:lang w:val="en-US"/>
        </w:rPr>
        <w:t>1</w:t>
      </w:r>
      <w:r w:rsidR="00C41D53">
        <w:rPr>
          <w:rFonts w:ascii="Times New Roman" w:hAnsi="Times New Roman" w:cs="Times New Roman"/>
          <w:i/>
          <w:lang w:val="en-US"/>
        </w:rPr>
        <w:t>.1</w:t>
      </w:r>
      <w:r w:rsidRPr="005C3EB7">
        <w:rPr>
          <w:rFonts w:ascii="Times New Roman" w:hAnsi="Times New Roman" w:cs="Times New Roman"/>
          <w:i/>
          <w:lang w:val="en-US"/>
        </w:rPr>
        <w:tab/>
      </w:r>
      <w:r w:rsidR="00422BEF" w:rsidRPr="005C3EB7">
        <w:rPr>
          <w:rFonts w:ascii="Times New Roman" w:hAnsi="Times New Roman" w:cs="Times New Roman"/>
          <w:i/>
          <w:lang w:val="en-US"/>
        </w:rPr>
        <w:t>Defining</w:t>
      </w:r>
      <w:r w:rsidR="00EA6237" w:rsidRPr="005C3EB7">
        <w:rPr>
          <w:rFonts w:ascii="Times New Roman" w:hAnsi="Times New Roman" w:cs="Times New Roman"/>
          <w:i/>
          <w:lang w:val="en-US"/>
        </w:rPr>
        <w:t xml:space="preserve"> </w:t>
      </w:r>
      <w:r w:rsidR="00422BEF" w:rsidRPr="005C3EB7">
        <w:rPr>
          <w:rFonts w:ascii="Times New Roman" w:hAnsi="Times New Roman" w:cs="Times New Roman"/>
          <w:i/>
          <w:lang w:val="en-US"/>
        </w:rPr>
        <w:t>new spaces</w:t>
      </w:r>
    </w:p>
    <w:p w14:paraId="34197EA1" w14:textId="7F409019" w:rsidR="005C3EB7" w:rsidRDefault="007042FD" w:rsidP="00562427">
      <w:pPr>
        <w:spacing w:line="360" w:lineRule="auto"/>
        <w:ind w:firstLine="708"/>
        <w:jc w:val="both"/>
        <w:rPr>
          <w:rFonts w:ascii="Times New Roman" w:hAnsi="Times New Roman" w:cs="Times New Roman"/>
          <w:lang w:val="en-US"/>
        </w:rPr>
      </w:pPr>
      <w:r w:rsidRPr="00BA4CDD">
        <w:rPr>
          <w:rFonts w:ascii="Times New Roman" w:hAnsi="Times New Roman" w:cs="Times New Roman"/>
          <w:lang w:val="en-US"/>
        </w:rPr>
        <w:t xml:space="preserve">Suddaby and </w:t>
      </w:r>
      <w:proofErr w:type="spellStart"/>
      <w:r w:rsidRPr="00BA4CDD">
        <w:rPr>
          <w:rFonts w:ascii="Times New Roman" w:hAnsi="Times New Roman" w:cs="Times New Roman"/>
          <w:lang w:val="en-US"/>
        </w:rPr>
        <w:t>Viale</w:t>
      </w:r>
      <w:r>
        <w:rPr>
          <w:rFonts w:ascii="Times New Roman" w:hAnsi="Times New Roman" w:cs="Times New Roman"/>
          <w:lang w:val="en-US"/>
        </w:rPr>
        <w:t>’s</w:t>
      </w:r>
      <w:proofErr w:type="spellEnd"/>
      <w:r w:rsidRPr="00BA4CDD">
        <w:rPr>
          <w:rFonts w:ascii="Times New Roman" w:hAnsi="Times New Roman" w:cs="Times New Roman"/>
          <w:lang w:val="en-US"/>
        </w:rPr>
        <w:t xml:space="preserve"> (2011) </w:t>
      </w:r>
      <w:r w:rsidR="00422BEF">
        <w:rPr>
          <w:rFonts w:ascii="Times New Roman" w:hAnsi="Times New Roman" w:cs="Times New Roman"/>
          <w:lang w:val="en-US"/>
        </w:rPr>
        <w:t>first dynamic involves professionals defining</w:t>
      </w:r>
      <w:r w:rsidR="00422BEF" w:rsidRPr="00BA4CDD">
        <w:rPr>
          <w:rFonts w:ascii="Times New Roman" w:hAnsi="Times New Roman" w:cs="Times New Roman"/>
          <w:lang w:val="en-US"/>
        </w:rPr>
        <w:t xml:space="preserve"> new </w:t>
      </w:r>
      <w:r w:rsidR="006A62DC">
        <w:rPr>
          <w:rFonts w:ascii="Times New Roman" w:hAnsi="Times New Roman" w:cs="Times New Roman"/>
          <w:lang w:val="en-US"/>
        </w:rPr>
        <w:t xml:space="preserve">(sometimes) </w:t>
      </w:r>
      <w:r w:rsidR="00422BEF" w:rsidRPr="00BA4CDD">
        <w:rPr>
          <w:rFonts w:ascii="Times New Roman" w:hAnsi="Times New Roman" w:cs="Times New Roman"/>
          <w:lang w:val="en-US"/>
        </w:rPr>
        <w:t>uncontested intellectual and/or economic spaces through either colonizing space occupied by other professions</w:t>
      </w:r>
      <w:r w:rsidR="00310FC5">
        <w:rPr>
          <w:rFonts w:ascii="Times New Roman" w:hAnsi="Times New Roman" w:cs="Times New Roman"/>
          <w:lang w:val="en-US"/>
        </w:rPr>
        <w:t xml:space="preserve"> or professionals</w:t>
      </w:r>
      <w:r w:rsidR="00422BEF" w:rsidRPr="00BA4CDD">
        <w:rPr>
          <w:rFonts w:ascii="Times New Roman" w:hAnsi="Times New Roman" w:cs="Times New Roman"/>
          <w:lang w:val="en-US"/>
        </w:rPr>
        <w:t xml:space="preserve"> (Abbott, 1988; Greenwood and Suddaby, 2005; Power, </w:t>
      </w:r>
      <w:r w:rsidR="00422BEF">
        <w:rPr>
          <w:rFonts w:ascii="Times New Roman" w:hAnsi="Times New Roman" w:cs="Times New Roman"/>
          <w:lang w:val="en-US"/>
        </w:rPr>
        <w:t>1997, 2003</w:t>
      </w:r>
      <w:r w:rsidR="00422BEF" w:rsidRPr="00BA4CDD">
        <w:rPr>
          <w:rFonts w:ascii="Times New Roman" w:hAnsi="Times New Roman" w:cs="Times New Roman"/>
          <w:lang w:val="en-US"/>
        </w:rPr>
        <w:t>) or by defining new pr</w:t>
      </w:r>
      <w:r w:rsidR="00422BEF">
        <w:rPr>
          <w:rFonts w:ascii="Times New Roman" w:hAnsi="Times New Roman" w:cs="Times New Roman"/>
          <w:lang w:val="en-US"/>
        </w:rPr>
        <w:t>actice areas through expanding,</w:t>
      </w:r>
      <w:r w:rsidR="00422BEF" w:rsidRPr="00BA4CDD">
        <w:rPr>
          <w:rFonts w:ascii="Times New Roman" w:hAnsi="Times New Roman" w:cs="Times New Roman"/>
          <w:i/>
          <w:lang w:val="en-US"/>
        </w:rPr>
        <w:t xml:space="preserve"> </w:t>
      </w:r>
      <w:r w:rsidR="00422BEF" w:rsidRPr="00EE4B9B">
        <w:rPr>
          <w:rFonts w:ascii="Times New Roman" w:hAnsi="Times New Roman" w:cs="Times New Roman"/>
          <w:lang w:val="en-US"/>
        </w:rPr>
        <w:t xml:space="preserve">redefining </w:t>
      </w:r>
      <w:r w:rsidR="00422BEF" w:rsidRPr="00BA4CDD">
        <w:rPr>
          <w:rFonts w:ascii="Times New Roman" w:hAnsi="Times New Roman" w:cs="Times New Roman"/>
          <w:lang w:val="en-US"/>
        </w:rPr>
        <w:t xml:space="preserve">or renewing their expertise and knowledge base (Barrett and </w:t>
      </w:r>
      <w:proofErr w:type="spellStart"/>
      <w:r w:rsidR="00422BEF" w:rsidRPr="00BA4CDD">
        <w:rPr>
          <w:rFonts w:ascii="Times New Roman" w:hAnsi="Times New Roman" w:cs="Times New Roman"/>
          <w:lang w:val="en-US"/>
        </w:rPr>
        <w:t>Gendron</w:t>
      </w:r>
      <w:proofErr w:type="spellEnd"/>
      <w:r w:rsidR="00422BEF" w:rsidRPr="00BA4CDD">
        <w:rPr>
          <w:rFonts w:ascii="Times New Roman" w:hAnsi="Times New Roman" w:cs="Times New Roman"/>
          <w:lang w:val="en-US"/>
        </w:rPr>
        <w:t xml:space="preserve">, 2006; </w:t>
      </w:r>
      <w:r w:rsidR="008218D5">
        <w:rPr>
          <w:rFonts w:ascii="Times New Roman" w:hAnsi="Times New Roman" w:cs="Times New Roman"/>
          <w:lang w:val="en-US"/>
        </w:rPr>
        <w:t xml:space="preserve">Fogarty et al., 2006; </w:t>
      </w:r>
      <w:proofErr w:type="spellStart"/>
      <w:r w:rsidR="00422BEF" w:rsidRPr="00BA4CDD">
        <w:rPr>
          <w:rFonts w:ascii="Times New Roman" w:hAnsi="Times New Roman" w:cs="Times New Roman"/>
          <w:lang w:val="en-US"/>
        </w:rPr>
        <w:t>Gendron</w:t>
      </w:r>
      <w:proofErr w:type="spellEnd"/>
      <w:r w:rsidR="00422BEF" w:rsidRPr="00BA4CDD">
        <w:rPr>
          <w:rFonts w:ascii="Times New Roman" w:hAnsi="Times New Roman" w:cs="Times New Roman"/>
          <w:lang w:val="en-US"/>
        </w:rPr>
        <w:t xml:space="preserve"> and Barrett, 2004; </w:t>
      </w:r>
      <w:r w:rsidR="001A6AF0">
        <w:rPr>
          <w:rFonts w:ascii="Times New Roman" w:hAnsi="Times New Roman" w:cs="Times New Roman"/>
          <w:lang w:val="en-US"/>
        </w:rPr>
        <w:t>O’Dwyer, 2011; O’Dwyer et al.,</w:t>
      </w:r>
      <w:r w:rsidR="00260D81">
        <w:rPr>
          <w:rFonts w:ascii="Times New Roman" w:hAnsi="Times New Roman" w:cs="Times New Roman"/>
          <w:lang w:val="en-US"/>
        </w:rPr>
        <w:t xml:space="preserve"> </w:t>
      </w:r>
      <w:r w:rsidR="001A6AF0">
        <w:rPr>
          <w:rFonts w:ascii="Times New Roman" w:hAnsi="Times New Roman" w:cs="Times New Roman"/>
          <w:lang w:val="en-US"/>
        </w:rPr>
        <w:t>2011</w:t>
      </w:r>
      <w:r w:rsidR="00C13BD3">
        <w:rPr>
          <w:rFonts w:ascii="Times New Roman" w:hAnsi="Times New Roman" w:cs="Times New Roman"/>
          <w:lang w:val="en-US"/>
        </w:rPr>
        <w:t xml:space="preserve">; </w:t>
      </w:r>
      <w:r w:rsidR="00422BEF" w:rsidRPr="00BA4CDD">
        <w:rPr>
          <w:rFonts w:ascii="Times New Roman" w:hAnsi="Times New Roman" w:cs="Times New Roman"/>
          <w:lang w:val="en-US"/>
        </w:rPr>
        <w:t xml:space="preserve">Shafer and </w:t>
      </w:r>
      <w:proofErr w:type="spellStart"/>
      <w:r w:rsidR="00422BEF" w:rsidRPr="00BA4CDD">
        <w:rPr>
          <w:rFonts w:ascii="Times New Roman" w:hAnsi="Times New Roman" w:cs="Times New Roman"/>
          <w:lang w:val="en-US"/>
        </w:rPr>
        <w:t>Gendron</w:t>
      </w:r>
      <w:proofErr w:type="spellEnd"/>
      <w:r w:rsidR="00422BEF" w:rsidRPr="00BA4CDD">
        <w:rPr>
          <w:rFonts w:ascii="Times New Roman" w:hAnsi="Times New Roman" w:cs="Times New Roman"/>
          <w:lang w:val="en-US"/>
        </w:rPr>
        <w:t xml:space="preserve">, 2005). </w:t>
      </w:r>
      <w:r w:rsidR="002C58D2">
        <w:rPr>
          <w:rFonts w:ascii="Times New Roman" w:hAnsi="Times New Roman" w:cs="Times New Roman"/>
          <w:lang w:val="en-US"/>
        </w:rPr>
        <w:t xml:space="preserve"> B</w:t>
      </w:r>
      <w:r w:rsidR="00D34B91">
        <w:rPr>
          <w:rFonts w:ascii="Times New Roman" w:hAnsi="Times New Roman" w:cs="Times New Roman"/>
          <w:lang w:val="en-US"/>
        </w:rPr>
        <w:t xml:space="preserve">oundary work </w:t>
      </w:r>
      <w:r w:rsidR="002C58D2">
        <w:rPr>
          <w:rFonts w:ascii="Times New Roman" w:hAnsi="Times New Roman" w:cs="Times New Roman"/>
          <w:lang w:val="en-US"/>
        </w:rPr>
        <w:t xml:space="preserve">can be seen to be central to this dynamic, serving to </w:t>
      </w:r>
      <w:r w:rsidR="008673A7">
        <w:rPr>
          <w:rFonts w:ascii="Times New Roman" w:hAnsi="Times New Roman" w:cs="Times New Roman"/>
          <w:lang w:val="en-US"/>
        </w:rPr>
        <w:t>attach</w:t>
      </w:r>
      <w:r w:rsidR="006B43DF">
        <w:rPr>
          <w:rFonts w:ascii="Times New Roman" w:hAnsi="Times New Roman" w:cs="Times New Roman"/>
          <w:lang w:val="en-US"/>
        </w:rPr>
        <w:t xml:space="preserve"> specific</w:t>
      </w:r>
      <w:r w:rsidR="008673A7">
        <w:rPr>
          <w:rFonts w:ascii="Times New Roman" w:hAnsi="Times New Roman" w:cs="Times New Roman"/>
          <w:lang w:val="en-US"/>
        </w:rPr>
        <w:t xml:space="preserve"> characteristics to </w:t>
      </w:r>
      <w:r w:rsidR="00D34B91">
        <w:rPr>
          <w:rFonts w:ascii="Times New Roman" w:hAnsi="Times New Roman" w:cs="Times New Roman"/>
          <w:lang w:val="en-US"/>
        </w:rPr>
        <w:t xml:space="preserve">new </w:t>
      </w:r>
      <w:r w:rsidR="00ED515C">
        <w:rPr>
          <w:rFonts w:ascii="Times New Roman" w:hAnsi="Times New Roman" w:cs="Times New Roman"/>
          <w:lang w:val="en-US"/>
        </w:rPr>
        <w:t>practice areas</w:t>
      </w:r>
      <w:r w:rsidR="008673A7">
        <w:rPr>
          <w:rFonts w:ascii="Times New Roman" w:hAnsi="Times New Roman" w:cs="Times New Roman"/>
          <w:lang w:val="en-US"/>
        </w:rPr>
        <w:t xml:space="preserve"> </w:t>
      </w:r>
      <w:r w:rsidR="00D34B91">
        <w:rPr>
          <w:rFonts w:ascii="Times New Roman" w:hAnsi="Times New Roman" w:cs="Times New Roman"/>
          <w:lang w:val="en-US"/>
        </w:rPr>
        <w:t>that align with the perceived</w:t>
      </w:r>
      <w:r w:rsidR="002D471B">
        <w:rPr>
          <w:rFonts w:ascii="Times New Roman" w:hAnsi="Times New Roman" w:cs="Times New Roman"/>
          <w:lang w:val="en-US"/>
        </w:rPr>
        <w:t xml:space="preserve"> and/or professed</w:t>
      </w:r>
      <w:r w:rsidR="00D34B91">
        <w:rPr>
          <w:rFonts w:ascii="Times New Roman" w:hAnsi="Times New Roman" w:cs="Times New Roman"/>
          <w:lang w:val="en-US"/>
        </w:rPr>
        <w:t xml:space="preserve"> expertise of p</w:t>
      </w:r>
      <w:r w:rsidR="008673A7">
        <w:rPr>
          <w:rFonts w:ascii="Times New Roman" w:hAnsi="Times New Roman" w:cs="Times New Roman"/>
          <w:lang w:val="en-US"/>
        </w:rPr>
        <w:t>rofessionals</w:t>
      </w:r>
      <w:r w:rsidR="00ED515C">
        <w:rPr>
          <w:rFonts w:ascii="Times New Roman" w:hAnsi="Times New Roman" w:cs="Times New Roman"/>
          <w:lang w:val="en-US"/>
        </w:rPr>
        <w:t xml:space="preserve">. </w:t>
      </w:r>
      <w:r w:rsidR="003C1659">
        <w:rPr>
          <w:rFonts w:ascii="Times New Roman" w:hAnsi="Times New Roman" w:cs="Times New Roman"/>
          <w:lang w:val="en-US"/>
        </w:rPr>
        <w:t>S</w:t>
      </w:r>
      <w:r w:rsidR="002C58D2">
        <w:rPr>
          <w:rFonts w:ascii="Times New Roman" w:hAnsi="Times New Roman" w:cs="Times New Roman"/>
          <w:lang w:val="en-US"/>
        </w:rPr>
        <w:t>uch</w:t>
      </w:r>
      <w:r w:rsidR="002C58D2" w:rsidRPr="00BA4CDD">
        <w:rPr>
          <w:rFonts w:ascii="Times New Roman" w:hAnsi="Times New Roman" w:cs="Times New Roman"/>
          <w:lang w:val="en-US"/>
        </w:rPr>
        <w:t xml:space="preserve"> </w:t>
      </w:r>
      <w:r w:rsidR="00422BEF" w:rsidRPr="00BA4CDD">
        <w:rPr>
          <w:rFonts w:ascii="Times New Roman" w:hAnsi="Times New Roman" w:cs="Times New Roman"/>
          <w:lang w:val="en-US"/>
        </w:rPr>
        <w:t xml:space="preserve">processes </w:t>
      </w:r>
      <w:r w:rsidR="003C1659">
        <w:rPr>
          <w:rFonts w:ascii="Times New Roman" w:hAnsi="Times New Roman" w:cs="Times New Roman"/>
          <w:lang w:val="en-US"/>
        </w:rPr>
        <w:t xml:space="preserve">not only </w:t>
      </w:r>
      <w:r w:rsidR="00422BEF" w:rsidRPr="00BA4CDD">
        <w:rPr>
          <w:rFonts w:ascii="Times New Roman" w:hAnsi="Times New Roman" w:cs="Times New Roman"/>
          <w:lang w:val="en-US"/>
        </w:rPr>
        <w:t xml:space="preserve">allow professions to expand their </w:t>
      </w:r>
      <w:r w:rsidR="00422BEF" w:rsidRPr="00BA4CDD">
        <w:rPr>
          <w:rFonts w:ascii="Times New Roman" w:hAnsi="Times New Roman" w:cs="Times New Roman"/>
          <w:lang w:val="en-US"/>
        </w:rPr>
        <w:lastRenderedPageBreak/>
        <w:t>jurisdiction</w:t>
      </w:r>
      <w:r w:rsidR="003C1659">
        <w:rPr>
          <w:rFonts w:ascii="Times New Roman" w:hAnsi="Times New Roman" w:cs="Times New Roman"/>
          <w:lang w:val="en-US"/>
        </w:rPr>
        <w:t xml:space="preserve"> but can </w:t>
      </w:r>
      <w:r w:rsidR="00422BEF" w:rsidRPr="00BA4CDD">
        <w:rPr>
          <w:rFonts w:ascii="Times New Roman" w:hAnsi="Times New Roman" w:cs="Times New Roman"/>
          <w:lang w:val="en-US"/>
        </w:rPr>
        <w:t xml:space="preserve">also </w:t>
      </w:r>
      <w:r w:rsidR="00422BEF">
        <w:rPr>
          <w:rFonts w:ascii="Times New Roman" w:hAnsi="Times New Roman" w:cs="Times New Roman"/>
          <w:lang w:val="en-US"/>
        </w:rPr>
        <w:t xml:space="preserve">generate </w:t>
      </w:r>
      <w:r w:rsidR="00422BEF" w:rsidRPr="00BA4CDD">
        <w:rPr>
          <w:rFonts w:ascii="Times New Roman" w:hAnsi="Times New Roman" w:cs="Times New Roman"/>
          <w:lang w:val="en-US"/>
        </w:rPr>
        <w:t>wider institutional impacts as the landscape of particular field</w:t>
      </w:r>
      <w:r w:rsidR="002D471B">
        <w:rPr>
          <w:rFonts w:ascii="Times New Roman" w:hAnsi="Times New Roman" w:cs="Times New Roman"/>
          <w:lang w:val="en-US"/>
        </w:rPr>
        <w:t>s</w:t>
      </w:r>
      <w:r w:rsidR="00422BEF" w:rsidRPr="00BA4CDD">
        <w:rPr>
          <w:rFonts w:ascii="Times New Roman" w:hAnsi="Times New Roman" w:cs="Times New Roman"/>
          <w:lang w:val="en-US"/>
        </w:rPr>
        <w:t xml:space="preserve"> is simultaneously reshaped. Professionals </w:t>
      </w:r>
      <w:r w:rsidR="00422BEF">
        <w:rPr>
          <w:rFonts w:ascii="Times New Roman" w:hAnsi="Times New Roman" w:cs="Times New Roman"/>
          <w:lang w:val="en-US"/>
        </w:rPr>
        <w:t xml:space="preserve">are said to </w:t>
      </w:r>
      <w:r w:rsidR="00422BEF" w:rsidRPr="00BA4CDD">
        <w:rPr>
          <w:rFonts w:ascii="Times New Roman" w:hAnsi="Times New Roman" w:cs="Times New Roman"/>
          <w:lang w:val="en-US"/>
        </w:rPr>
        <w:t>define new</w:t>
      </w:r>
      <w:r w:rsidR="00422BEF">
        <w:rPr>
          <w:rFonts w:ascii="Times New Roman" w:hAnsi="Times New Roman" w:cs="Times New Roman"/>
          <w:lang w:val="en-US"/>
        </w:rPr>
        <w:t xml:space="preserve"> spaces by initially offering a </w:t>
      </w:r>
      <w:r w:rsidR="00422BEF" w:rsidRPr="00BA4CDD">
        <w:rPr>
          <w:rFonts w:ascii="Times New Roman" w:hAnsi="Times New Roman" w:cs="Times New Roman"/>
          <w:lang w:val="en-US"/>
        </w:rPr>
        <w:t>vaguely defined ‘idea’ (Scott, 2008</w:t>
      </w:r>
      <w:r w:rsidR="001A6AF0">
        <w:rPr>
          <w:rFonts w:ascii="Times New Roman" w:hAnsi="Times New Roman" w:cs="Times New Roman"/>
          <w:lang w:val="en-US"/>
        </w:rPr>
        <w:t>:</w:t>
      </w:r>
      <w:r w:rsidR="00C13BD3">
        <w:rPr>
          <w:rFonts w:ascii="Times New Roman" w:hAnsi="Times New Roman" w:cs="Times New Roman"/>
          <w:lang w:val="en-US"/>
        </w:rPr>
        <w:t xml:space="preserve"> </w:t>
      </w:r>
      <w:r w:rsidR="00422BEF" w:rsidRPr="00BA4CDD">
        <w:rPr>
          <w:rFonts w:ascii="Times New Roman" w:hAnsi="Times New Roman" w:cs="Times New Roman"/>
          <w:lang w:val="en-US"/>
        </w:rPr>
        <w:t>224)</w:t>
      </w:r>
      <w:r w:rsidR="003C1659">
        <w:rPr>
          <w:rFonts w:ascii="Times New Roman" w:hAnsi="Times New Roman" w:cs="Times New Roman"/>
          <w:lang w:val="en-US"/>
        </w:rPr>
        <w:t xml:space="preserve"> to d</w:t>
      </w:r>
      <w:r w:rsidR="00422BEF" w:rsidRPr="00BA4CDD">
        <w:rPr>
          <w:rFonts w:ascii="Times New Roman" w:hAnsi="Times New Roman" w:cs="Times New Roman"/>
          <w:lang w:val="en-US"/>
        </w:rPr>
        <w:t>escrib</w:t>
      </w:r>
      <w:r w:rsidR="003C1659">
        <w:rPr>
          <w:rFonts w:ascii="Times New Roman" w:hAnsi="Times New Roman" w:cs="Times New Roman"/>
          <w:lang w:val="en-US"/>
        </w:rPr>
        <w:t>e</w:t>
      </w:r>
      <w:r w:rsidR="00422BEF" w:rsidRPr="00BA4CDD">
        <w:rPr>
          <w:rFonts w:ascii="Times New Roman" w:hAnsi="Times New Roman" w:cs="Times New Roman"/>
          <w:lang w:val="en-US"/>
        </w:rPr>
        <w:t xml:space="preserve"> </w:t>
      </w:r>
      <w:r w:rsidR="003C1659">
        <w:rPr>
          <w:rFonts w:ascii="Times New Roman" w:hAnsi="Times New Roman" w:cs="Times New Roman"/>
          <w:lang w:val="en-US"/>
        </w:rPr>
        <w:t>a</w:t>
      </w:r>
      <w:r w:rsidR="00422BEF" w:rsidRPr="00BA4CDD">
        <w:rPr>
          <w:rFonts w:ascii="Times New Roman" w:hAnsi="Times New Roman" w:cs="Times New Roman"/>
          <w:lang w:val="en-US"/>
        </w:rPr>
        <w:t xml:space="preserve"> </w:t>
      </w:r>
      <w:r w:rsidR="003C1659">
        <w:rPr>
          <w:rFonts w:ascii="Times New Roman" w:hAnsi="Times New Roman" w:cs="Times New Roman"/>
          <w:lang w:val="en-US"/>
        </w:rPr>
        <w:t xml:space="preserve">presumed </w:t>
      </w:r>
      <w:r w:rsidR="00422BEF" w:rsidRPr="00BA4CDD">
        <w:rPr>
          <w:rFonts w:ascii="Times New Roman" w:hAnsi="Times New Roman" w:cs="Times New Roman"/>
          <w:lang w:val="en-US"/>
        </w:rPr>
        <w:t>form of reality</w:t>
      </w:r>
      <w:r w:rsidR="008C50B1">
        <w:rPr>
          <w:rFonts w:ascii="Times New Roman" w:hAnsi="Times New Roman" w:cs="Times New Roman"/>
          <w:lang w:val="en-US"/>
        </w:rPr>
        <w:t xml:space="preserve"> and offer solution</w:t>
      </w:r>
      <w:r w:rsidR="003C1659">
        <w:rPr>
          <w:rFonts w:ascii="Times New Roman" w:hAnsi="Times New Roman" w:cs="Times New Roman"/>
          <w:lang w:val="en-US"/>
        </w:rPr>
        <w:t>s</w:t>
      </w:r>
      <w:r w:rsidR="008C50B1">
        <w:rPr>
          <w:rFonts w:ascii="Times New Roman" w:hAnsi="Times New Roman" w:cs="Times New Roman"/>
          <w:lang w:val="en-US"/>
        </w:rPr>
        <w:t xml:space="preserve"> to a</w:t>
      </w:r>
      <w:r w:rsidR="001A6AF0">
        <w:rPr>
          <w:rFonts w:ascii="Times New Roman" w:hAnsi="Times New Roman" w:cs="Times New Roman"/>
          <w:lang w:val="en-US"/>
        </w:rPr>
        <w:t>n</w:t>
      </w:r>
      <w:r w:rsidR="008C50B1">
        <w:rPr>
          <w:rFonts w:ascii="Times New Roman" w:hAnsi="Times New Roman" w:cs="Times New Roman"/>
          <w:lang w:val="en-US"/>
        </w:rPr>
        <w:t xml:space="preserve"> </w:t>
      </w:r>
      <w:r w:rsidR="001A6AF0">
        <w:rPr>
          <w:rFonts w:ascii="Times New Roman" w:hAnsi="Times New Roman" w:cs="Times New Roman"/>
          <w:lang w:val="en-US"/>
        </w:rPr>
        <w:t>as</w:t>
      </w:r>
      <w:r w:rsidR="008C50B1">
        <w:rPr>
          <w:rFonts w:ascii="Times New Roman" w:hAnsi="Times New Roman" w:cs="Times New Roman"/>
          <w:lang w:val="en-US"/>
        </w:rPr>
        <w:t xml:space="preserve">sumed </w:t>
      </w:r>
      <w:r w:rsidR="003C1659">
        <w:rPr>
          <w:rFonts w:ascii="Times New Roman" w:hAnsi="Times New Roman" w:cs="Times New Roman"/>
          <w:lang w:val="en-US"/>
        </w:rPr>
        <w:t xml:space="preserve">set of </w:t>
      </w:r>
      <w:r w:rsidR="008C50B1">
        <w:rPr>
          <w:rFonts w:ascii="Times New Roman" w:hAnsi="Times New Roman" w:cs="Times New Roman"/>
          <w:lang w:val="en-US"/>
        </w:rPr>
        <w:t>problem</w:t>
      </w:r>
      <w:r w:rsidR="003C1659">
        <w:rPr>
          <w:rFonts w:ascii="Times New Roman" w:hAnsi="Times New Roman" w:cs="Times New Roman"/>
          <w:lang w:val="en-US"/>
        </w:rPr>
        <w:t>s</w:t>
      </w:r>
      <w:r w:rsidR="008C50B1">
        <w:rPr>
          <w:rFonts w:ascii="Times New Roman" w:hAnsi="Times New Roman" w:cs="Times New Roman"/>
          <w:lang w:val="en-US"/>
        </w:rPr>
        <w:t xml:space="preserve"> (Greenwood et al., 2002; Shafer and </w:t>
      </w:r>
      <w:proofErr w:type="spellStart"/>
      <w:r w:rsidR="008C50B1">
        <w:rPr>
          <w:rFonts w:ascii="Times New Roman" w:hAnsi="Times New Roman" w:cs="Times New Roman"/>
          <w:lang w:val="en-US"/>
        </w:rPr>
        <w:t>Gendron</w:t>
      </w:r>
      <w:proofErr w:type="spellEnd"/>
      <w:r w:rsidR="008C50B1">
        <w:rPr>
          <w:rFonts w:ascii="Times New Roman" w:hAnsi="Times New Roman" w:cs="Times New Roman"/>
          <w:lang w:val="en-US"/>
        </w:rPr>
        <w:t xml:space="preserve"> 2005)</w:t>
      </w:r>
      <w:r w:rsidR="00422BEF" w:rsidRPr="00BA4CDD">
        <w:rPr>
          <w:rFonts w:ascii="Times New Roman" w:hAnsi="Times New Roman" w:cs="Times New Roman"/>
          <w:lang w:val="en-US"/>
        </w:rPr>
        <w:t>.</w:t>
      </w:r>
      <w:r w:rsidR="00422BEF">
        <w:rPr>
          <w:rFonts w:ascii="Times New Roman" w:hAnsi="Times New Roman" w:cs="Times New Roman"/>
          <w:lang w:val="en-US"/>
        </w:rPr>
        <w:t xml:space="preserve"> </w:t>
      </w:r>
      <w:r w:rsidR="00D34B91">
        <w:rPr>
          <w:rFonts w:ascii="Times New Roman" w:hAnsi="Times New Roman" w:cs="Times New Roman"/>
          <w:lang w:val="en-US"/>
        </w:rPr>
        <w:t xml:space="preserve">Boundary work </w:t>
      </w:r>
      <w:r w:rsidR="002C58D2">
        <w:rPr>
          <w:rFonts w:ascii="Times New Roman" w:hAnsi="Times New Roman" w:cs="Times New Roman"/>
          <w:lang w:val="en-US"/>
        </w:rPr>
        <w:t xml:space="preserve">serves to </w:t>
      </w:r>
      <w:r w:rsidR="00D34B91">
        <w:rPr>
          <w:rFonts w:ascii="Times New Roman" w:hAnsi="Times New Roman" w:cs="Times New Roman"/>
          <w:lang w:val="en-US"/>
        </w:rPr>
        <w:t xml:space="preserve">attribute selected broad characteristics to </w:t>
      </w:r>
      <w:r w:rsidR="008673A7">
        <w:rPr>
          <w:rFonts w:ascii="Times New Roman" w:hAnsi="Times New Roman" w:cs="Times New Roman"/>
          <w:lang w:val="en-US"/>
        </w:rPr>
        <w:t>th</w:t>
      </w:r>
      <w:r w:rsidR="00ED515C">
        <w:rPr>
          <w:rFonts w:ascii="Times New Roman" w:hAnsi="Times New Roman" w:cs="Times New Roman"/>
          <w:lang w:val="en-US"/>
        </w:rPr>
        <w:t>is</w:t>
      </w:r>
      <w:r w:rsidR="008673A7">
        <w:rPr>
          <w:rFonts w:ascii="Times New Roman" w:hAnsi="Times New Roman" w:cs="Times New Roman"/>
          <w:lang w:val="en-US"/>
        </w:rPr>
        <w:t xml:space="preserve"> </w:t>
      </w:r>
      <w:r w:rsidR="002C58D2">
        <w:rPr>
          <w:rFonts w:ascii="Times New Roman" w:hAnsi="Times New Roman" w:cs="Times New Roman"/>
          <w:lang w:val="en-US"/>
        </w:rPr>
        <w:t>‘</w:t>
      </w:r>
      <w:r w:rsidR="008673A7">
        <w:rPr>
          <w:rFonts w:ascii="Times New Roman" w:hAnsi="Times New Roman" w:cs="Times New Roman"/>
          <w:lang w:val="en-US"/>
        </w:rPr>
        <w:t>idea</w:t>
      </w:r>
      <w:r w:rsidR="002C58D2">
        <w:rPr>
          <w:rFonts w:ascii="Times New Roman" w:hAnsi="Times New Roman" w:cs="Times New Roman"/>
          <w:lang w:val="en-US"/>
        </w:rPr>
        <w:t>’</w:t>
      </w:r>
      <w:r w:rsidR="008673A7">
        <w:rPr>
          <w:rFonts w:ascii="Times New Roman" w:hAnsi="Times New Roman" w:cs="Times New Roman"/>
          <w:lang w:val="en-US"/>
        </w:rPr>
        <w:t xml:space="preserve"> in order to </w:t>
      </w:r>
      <w:r w:rsidR="00D34B91">
        <w:rPr>
          <w:rFonts w:ascii="Times New Roman" w:hAnsi="Times New Roman" w:cs="Times New Roman"/>
          <w:lang w:val="en-US"/>
        </w:rPr>
        <w:t>distinguish it from</w:t>
      </w:r>
      <w:r w:rsidR="008673A7">
        <w:rPr>
          <w:rFonts w:ascii="Times New Roman" w:hAnsi="Times New Roman" w:cs="Times New Roman"/>
          <w:lang w:val="en-US"/>
        </w:rPr>
        <w:t xml:space="preserve"> ex</w:t>
      </w:r>
      <w:r w:rsidR="006B43DF">
        <w:rPr>
          <w:rFonts w:ascii="Times New Roman" w:hAnsi="Times New Roman" w:cs="Times New Roman"/>
          <w:lang w:val="en-US"/>
        </w:rPr>
        <w:t xml:space="preserve">isting, potentially competing </w:t>
      </w:r>
      <w:r w:rsidR="008673A7">
        <w:rPr>
          <w:rFonts w:ascii="Times New Roman" w:hAnsi="Times New Roman" w:cs="Times New Roman"/>
          <w:lang w:val="en-US"/>
        </w:rPr>
        <w:t>ideas</w:t>
      </w:r>
      <w:r w:rsidR="00D34B91">
        <w:rPr>
          <w:rFonts w:ascii="Times New Roman" w:hAnsi="Times New Roman" w:cs="Times New Roman"/>
          <w:lang w:val="en-US"/>
        </w:rPr>
        <w:t xml:space="preserve">. </w:t>
      </w:r>
      <w:r w:rsidR="000524F9">
        <w:rPr>
          <w:rFonts w:ascii="Times New Roman" w:hAnsi="Times New Roman" w:cs="Times New Roman"/>
          <w:lang w:val="en-US"/>
        </w:rPr>
        <w:t>T</w:t>
      </w:r>
      <w:r w:rsidR="00422BEF" w:rsidRPr="00BA4CDD">
        <w:rPr>
          <w:rFonts w:ascii="Times New Roman" w:hAnsi="Times New Roman" w:cs="Times New Roman"/>
          <w:lang w:val="en-US"/>
        </w:rPr>
        <w:t xml:space="preserve">erms and phrases underpinning the </w:t>
      </w:r>
      <w:r w:rsidR="002C58D2">
        <w:rPr>
          <w:rFonts w:ascii="Times New Roman" w:hAnsi="Times New Roman" w:cs="Times New Roman"/>
          <w:lang w:val="en-US"/>
        </w:rPr>
        <w:t>‘</w:t>
      </w:r>
      <w:r w:rsidR="00422BEF" w:rsidRPr="00BA4CDD">
        <w:rPr>
          <w:rFonts w:ascii="Times New Roman" w:hAnsi="Times New Roman" w:cs="Times New Roman"/>
          <w:lang w:val="en-US"/>
        </w:rPr>
        <w:t>idea</w:t>
      </w:r>
      <w:r w:rsidR="002C58D2">
        <w:rPr>
          <w:rFonts w:ascii="Times New Roman" w:hAnsi="Times New Roman" w:cs="Times New Roman"/>
          <w:lang w:val="en-US"/>
        </w:rPr>
        <w:t>’</w:t>
      </w:r>
      <w:r w:rsidR="000524F9">
        <w:rPr>
          <w:rFonts w:ascii="Times New Roman" w:hAnsi="Times New Roman" w:cs="Times New Roman"/>
          <w:lang w:val="en-US"/>
        </w:rPr>
        <w:t xml:space="preserve">, in turn, become </w:t>
      </w:r>
      <w:r w:rsidR="00422BEF" w:rsidRPr="00BA4CDD">
        <w:rPr>
          <w:rFonts w:ascii="Times New Roman" w:hAnsi="Times New Roman" w:cs="Times New Roman"/>
          <w:lang w:val="en-US"/>
        </w:rPr>
        <w:t xml:space="preserve">more clearly articulated, </w:t>
      </w:r>
      <w:r w:rsidR="000524F9">
        <w:rPr>
          <w:rFonts w:ascii="Times New Roman" w:hAnsi="Times New Roman" w:cs="Times New Roman"/>
          <w:lang w:val="en-US"/>
        </w:rPr>
        <w:t>typically</w:t>
      </w:r>
      <w:r w:rsidR="000524F9" w:rsidRPr="00BA4CDD">
        <w:rPr>
          <w:rFonts w:ascii="Times New Roman" w:hAnsi="Times New Roman" w:cs="Times New Roman"/>
          <w:lang w:val="en-US"/>
        </w:rPr>
        <w:t xml:space="preserve"> </w:t>
      </w:r>
      <w:r w:rsidR="00422BEF" w:rsidRPr="00BA4CDD">
        <w:rPr>
          <w:rFonts w:ascii="Times New Roman" w:hAnsi="Times New Roman" w:cs="Times New Roman"/>
          <w:lang w:val="en-US"/>
        </w:rPr>
        <w:t xml:space="preserve">in a manner </w:t>
      </w:r>
      <w:r w:rsidR="000524F9">
        <w:rPr>
          <w:rFonts w:ascii="Times New Roman" w:hAnsi="Times New Roman" w:cs="Times New Roman"/>
          <w:lang w:val="en-US"/>
        </w:rPr>
        <w:t xml:space="preserve">directly </w:t>
      </w:r>
      <w:r w:rsidR="00422BEF" w:rsidRPr="00BA4CDD">
        <w:rPr>
          <w:rFonts w:ascii="Times New Roman" w:hAnsi="Times New Roman" w:cs="Times New Roman"/>
          <w:lang w:val="en-US"/>
        </w:rPr>
        <w:t>suited to</w:t>
      </w:r>
      <w:r w:rsidR="00ED515C">
        <w:rPr>
          <w:rFonts w:ascii="Times New Roman" w:hAnsi="Times New Roman" w:cs="Times New Roman"/>
          <w:lang w:val="en-US"/>
        </w:rPr>
        <w:t xml:space="preserve"> the</w:t>
      </w:r>
      <w:r w:rsidR="00420C34">
        <w:rPr>
          <w:rFonts w:ascii="Times New Roman" w:hAnsi="Times New Roman" w:cs="Times New Roman"/>
          <w:lang w:val="en-US"/>
        </w:rPr>
        <w:t xml:space="preserve"> rhetorical claims </w:t>
      </w:r>
      <w:r w:rsidR="000524F9">
        <w:rPr>
          <w:rFonts w:ascii="Times New Roman" w:hAnsi="Times New Roman" w:cs="Times New Roman"/>
          <w:lang w:val="en-US"/>
        </w:rPr>
        <w:t>to</w:t>
      </w:r>
      <w:r w:rsidR="00422BEF" w:rsidRPr="00BA4CDD">
        <w:rPr>
          <w:rFonts w:ascii="Times New Roman" w:hAnsi="Times New Roman" w:cs="Times New Roman"/>
          <w:lang w:val="en-US"/>
        </w:rPr>
        <w:t xml:space="preserve"> expertise</w:t>
      </w:r>
      <w:r w:rsidR="00D91556">
        <w:rPr>
          <w:rFonts w:ascii="Times New Roman" w:hAnsi="Times New Roman" w:cs="Times New Roman"/>
          <w:lang w:val="en-US"/>
        </w:rPr>
        <w:t xml:space="preserve"> of a specific group of professionals</w:t>
      </w:r>
      <w:r w:rsidR="00422BEF" w:rsidRPr="00BA4CDD">
        <w:rPr>
          <w:rFonts w:ascii="Times New Roman" w:hAnsi="Times New Roman" w:cs="Times New Roman"/>
          <w:lang w:val="en-US"/>
        </w:rPr>
        <w:t xml:space="preserve">, thereby enabling </w:t>
      </w:r>
      <w:r w:rsidR="000524F9">
        <w:rPr>
          <w:rFonts w:ascii="Times New Roman" w:hAnsi="Times New Roman" w:cs="Times New Roman"/>
          <w:lang w:val="en-US"/>
        </w:rPr>
        <w:t xml:space="preserve">such a group </w:t>
      </w:r>
      <w:r w:rsidR="00422BEF" w:rsidRPr="00BA4CDD">
        <w:rPr>
          <w:rFonts w:ascii="Times New Roman" w:hAnsi="Times New Roman" w:cs="Times New Roman"/>
          <w:lang w:val="en-US"/>
        </w:rPr>
        <w:t>to populate the space and claim territor</w:t>
      </w:r>
      <w:r w:rsidR="002B679C">
        <w:rPr>
          <w:rFonts w:ascii="Times New Roman" w:hAnsi="Times New Roman" w:cs="Times New Roman"/>
          <w:lang w:val="en-US"/>
        </w:rPr>
        <w:t>ial rights</w:t>
      </w:r>
      <w:r w:rsidR="00422BEF" w:rsidRPr="00BA4CDD">
        <w:rPr>
          <w:rFonts w:ascii="Times New Roman" w:hAnsi="Times New Roman" w:cs="Times New Roman"/>
          <w:lang w:val="en-US"/>
        </w:rPr>
        <w:t xml:space="preserve">. </w:t>
      </w:r>
      <w:r w:rsidR="002B679C">
        <w:rPr>
          <w:rFonts w:ascii="Times New Roman" w:hAnsi="Times New Roman" w:cs="Times New Roman"/>
          <w:lang w:val="en-US"/>
        </w:rPr>
        <w:t>A</w:t>
      </w:r>
      <w:r w:rsidR="008673A7">
        <w:rPr>
          <w:rFonts w:ascii="Times New Roman" w:hAnsi="Times New Roman" w:cs="Times New Roman"/>
          <w:lang w:val="en-US"/>
        </w:rPr>
        <w:t xml:space="preserve">ssigned </w:t>
      </w:r>
      <w:r w:rsidR="00D34B91">
        <w:rPr>
          <w:rFonts w:ascii="Times New Roman" w:hAnsi="Times New Roman" w:cs="Times New Roman"/>
          <w:lang w:val="en-US"/>
        </w:rPr>
        <w:t xml:space="preserve">characteristics </w:t>
      </w:r>
      <w:r w:rsidR="000524F9">
        <w:rPr>
          <w:rFonts w:ascii="Times New Roman" w:hAnsi="Times New Roman" w:cs="Times New Roman"/>
          <w:lang w:val="en-US"/>
        </w:rPr>
        <w:t xml:space="preserve">also </w:t>
      </w:r>
      <w:r w:rsidR="00D34B91">
        <w:rPr>
          <w:rFonts w:ascii="Times New Roman" w:hAnsi="Times New Roman" w:cs="Times New Roman"/>
          <w:lang w:val="en-US"/>
        </w:rPr>
        <w:t xml:space="preserve">become more specific and the rhetoric </w:t>
      </w:r>
      <w:r w:rsidR="008673A7">
        <w:rPr>
          <w:rFonts w:ascii="Times New Roman" w:hAnsi="Times New Roman" w:cs="Times New Roman"/>
          <w:lang w:val="en-US"/>
        </w:rPr>
        <w:t xml:space="preserve">employed </w:t>
      </w:r>
      <w:r w:rsidR="00D34B91">
        <w:rPr>
          <w:rFonts w:ascii="Times New Roman" w:hAnsi="Times New Roman" w:cs="Times New Roman"/>
          <w:lang w:val="en-US"/>
        </w:rPr>
        <w:t>makes the contrast with existing practices</w:t>
      </w:r>
      <w:r w:rsidR="008A4ECE" w:rsidRPr="008A4ECE">
        <w:rPr>
          <w:rFonts w:ascii="Times New Roman" w:hAnsi="Times New Roman" w:cs="Times New Roman"/>
          <w:lang w:val="en-US"/>
        </w:rPr>
        <w:t xml:space="preserve"> </w:t>
      </w:r>
      <w:r w:rsidR="008A4ECE">
        <w:rPr>
          <w:rFonts w:ascii="Times New Roman" w:hAnsi="Times New Roman" w:cs="Times New Roman"/>
          <w:lang w:val="en-US"/>
        </w:rPr>
        <w:t>more explicit</w:t>
      </w:r>
      <w:r w:rsidR="00D34B91">
        <w:rPr>
          <w:rFonts w:ascii="Times New Roman" w:hAnsi="Times New Roman" w:cs="Times New Roman"/>
          <w:lang w:val="en-US"/>
        </w:rPr>
        <w:t xml:space="preserve">. A central feature of </w:t>
      </w:r>
      <w:r w:rsidR="000524F9">
        <w:rPr>
          <w:rFonts w:ascii="Times New Roman" w:hAnsi="Times New Roman" w:cs="Times New Roman"/>
          <w:lang w:val="en-US"/>
        </w:rPr>
        <w:t xml:space="preserve">such </w:t>
      </w:r>
      <w:r w:rsidR="00D34B91">
        <w:rPr>
          <w:rFonts w:ascii="Times New Roman" w:hAnsi="Times New Roman" w:cs="Times New Roman"/>
          <w:lang w:val="en-US"/>
        </w:rPr>
        <w:t>boundary work i</w:t>
      </w:r>
      <w:r w:rsidR="000524F9">
        <w:rPr>
          <w:rFonts w:ascii="Times New Roman" w:hAnsi="Times New Roman" w:cs="Times New Roman"/>
          <w:lang w:val="en-US"/>
        </w:rPr>
        <w:t xml:space="preserve">s the ongoing </w:t>
      </w:r>
      <w:r w:rsidR="008673A7">
        <w:rPr>
          <w:rFonts w:ascii="Times New Roman" w:hAnsi="Times New Roman" w:cs="Times New Roman"/>
          <w:lang w:val="en-US"/>
        </w:rPr>
        <w:t>refin</w:t>
      </w:r>
      <w:r w:rsidR="000524F9">
        <w:rPr>
          <w:rFonts w:ascii="Times New Roman" w:hAnsi="Times New Roman" w:cs="Times New Roman"/>
          <w:lang w:val="en-US"/>
        </w:rPr>
        <w:t>ement of</w:t>
      </w:r>
      <w:r w:rsidR="008673A7">
        <w:rPr>
          <w:rFonts w:ascii="Times New Roman" w:hAnsi="Times New Roman" w:cs="Times New Roman"/>
          <w:lang w:val="en-US"/>
        </w:rPr>
        <w:t xml:space="preserve"> the</w:t>
      </w:r>
      <w:r w:rsidR="00D34B91">
        <w:rPr>
          <w:rFonts w:ascii="Times New Roman" w:hAnsi="Times New Roman" w:cs="Times New Roman"/>
          <w:lang w:val="en-US"/>
        </w:rPr>
        <w:t xml:space="preserve"> characteristics </w:t>
      </w:r>
      <w:r w:rsidR="008673A7">
        <w:rPr>
          <w:rFonts w:ascii="Times New Roman" w:hAnsi="Times New Roman" w:cs="Times New Roman"/>
          <w:lang w:val="en-US"/>
        </w:rPr>
        <w:t xml:space="preserve">which </w:t>
      </w:r>
      <w:r w:rsidR="00D34B91">
        <w:rPr>
          <w:rFonts w:ascii="Times New Roman" w:hAnsi="Times New Roman" w:cs="Times New Roman"/>
          <w:lang w:val="en-US"/>
        </w:rPr>
        <w:t xml:space="preserve">best </w:t>
      </w:r>
      <w:r w:rsidR="000524F9">
        <w:rPr>
          <w:rFonts w:ascii="Times New Roman" w:hAnsi="Times New Roman" w:cs="Times New Roman"/>
          <w:lang w:val="en-US"/>
        </w:rPr>
        <w:t xml:space="preserve">serve to </w:t>
      </w:r>
      <w:r w:rsidR="00D34B91">
        <w:rPr>
          <w:rFonts w:ascii="Times New Roman" w:hAnsi="Times New Roman" w:cs="Times New Roman"/>
          <w:lang w:val="en-US"/>
        </w:rPr>
        <w:t xml:space="preserve">demarcate the </w:t>
      </w:r>
      <w:r w:rsidR="00ED515C">
        <w:rPr>
          <w:rFonts w:ascii="Times New Roman" w:hAnsi="Times New Roman" w:cs="Times New Roman"/>
          <w:lang w:val="en-US"/>
        </w:rPr>
        <w:t>new practice</w:t>
      </w:r>
      <w:r w:rsidR="008A4ECE">
        <w:rPr>
          <w:rFonts w:ascii="Times New Roman" w:hAnsi="Times New Roman" w:cs="Times New Roman"/>
          <w:lang w:val="en-US"/>
        </w:rPr>
        <w:t xml:space="preserve"> area</w:t>
      </w:r>
      <w:r w:rsidR="00D34B91">
        <w:rPr>
          <w:rFonts w:ascii="Times New Roman" w:hAnsi="Times New Roman" w:cs="Times New Roman"/>
          <w:lang w:val="en-US"/>
        </w:rPr>
        <w:t xml:space="preserve"> </w:t>
      </w:r>
      <w:r w:rsidR="000524F9">
        <w:rPr>
          <w:rFonts w:ascii="Times New Roman" w:hAnsi="Times New Roman" w:cs="Times New Roman"/>
          <w:lang w:val="en-US"/>
        </w:rPr>
        <w:t>and make it well-</w:t>
      </w:r>
      <w:r w:rsidR="00D34B91">
        <w:rPr>
          <w:rFonts w:ascii="Times New Roman" w:hAnsi="Times New Roman" w:cs="Times New Roman"/>
          <w:lang w:val="en-US"/>
        </w:rPr>
        <w:t>suited to the professionals’ interests</w:t>
      </w:r>
      <w:r w:rsidR="000524F9">
        <w:rPr>
          <w:rFonts w:ascii="Times New Roman" w:hAnsi="Times New Roman" w:cs="Times New Roman"/>
          <w:lang w:val="en-US"/>
        </w:rPr>
        <w:t xml:space="preserve">, although the extent to which they </w:t>
      </w:r>
      <w:r w:rsidR="00D52968">
        <w:rPr>
          <w:rFonts w:ascii="Times New Roman" w:hAnsi="Times New Roman" w:cs="Times New Roman"/>
          <w:lang w:val="en-US"/>
        </w:rPr>
        <w:t xml:space="preserve">successfully </w:t>
      </w:r>
      <w:r w:rsidR="008673A7">
        <w:rPr>
          <w:rFonts w:ascii="Times New Roman" w:hAnsi="Times New Roman" w:cs="Times New Roman"/>
          <w:lang w:val="en-US"/>
        </w:rPr>
        <w:t xml:space="preserve">construct a boundary around </w:t>
      </w:r>
      <w:r w:rsidR="003C1659">
        <w:rPr>
          <w:rFonts w:ascii="Times New Roman" w:hAnsi="Times New Roman" w:cs="Times New Roman"/>
          <w:lang w:val="en-US"/>
        </w:rPr>
        <w:t>a</w:t>
      </w:r>
      <w:r w:rsidR="008673A7">
        <w:rPr>
          <w:rFonts w:ascii="Times New Roman" w:hAnsi="Times New Roman" w:cs="Times New Roman"/>
          <w:lang w:val="en-US"/>
        </w:rPr>
        <w:t xml:space="preserve"> </w:t>
      </w:r>
      <w:r w:rsidR="00BE64EB">
        <w:rPr>
          <w:rFonts w:ascii="Times New Roman" w:hAnsi="Times New Roman" w:cs="Times New Roman"/>
          <w:lang w:val="en-US"/>
        </w:rPr>
        <w:t xml:space="preserve">proposed </w:t>
      </w:r>
      <w:r w:rsidR="008673A7">
        <w:rPr>
          <w:rFonts w:ascii="Times New Roman" w:hAnsi="Times New Roman" w:cs="Times New Roman"/>
          <w:lang w:val="en-US"/>
        </w:rPr>
        <w:t xml:space="preserve">new </w:t>
      </w:r>
      <w:r w:rsidR="008A4ECE">
        <w:rPr>
          <w:rFonts w:ascii="Times New Roman" w:hAnsi="Times New Roman" w:cs="Times New Roman"/>
          <w:lang w:val="en-US"/>
        </w:rPr>
        <w:t xml:space="preserve">area of </w:t>
      </w:r>
      <w:r w:rsidR="008673A7">
        <w:rPr>
          <w:rFonts w:ascii="Times New Roman" w:hAnsi="Times New Roman" w:cs="Times New Roman"/>
          <w:lang w:val="en-US"/>
        </w:rPr>
        <w:t>practice</w:t>
      </w:r>
      <w:r w:rsidR="000524F9">
        <w:rPr>
          <w:rFonts w:ascii="Times New Roman" w:hAnsi="Times New Roman" w:cs="Times New Roman"/>
          <w:lang w:val="en-US"/>
        </w:rPr>
        <w:t xml:space="preserve"> can </w:t>
      </w:r>
      <w:r w:rsidR="003D4FF7">
        <w:rPr>
          <w:rFonts w:ascii="Times New Roman" w:hAnsi="Times New Roman" w:cs="Times New Roman"/>
          <w:lang w:val="en-US"/>
        </w:rPr>
        <w:t>be variable and unpredictable</w:t>
      </w:r>
      <w:r w:rsidR="008E1098">
        <w:rPr>
          <w:rFonts w:ascii="Times New Roman" w:hAnsi="Times New Roman" w:cs="Times New Roman"/>
          <w:lang w:val="en-US"/>
        </w:rPr>
        <w:t xml:space="preserve"> (</w:t>
      </w:r>
      <w:proofErr w:type="spellStart"/>
      <w:r w:rsidR="008E1098">
        <w:rPr>
          <w:rFonts w:ascii="Times New Roman" w:hAnsi="Times New Roman" w:cs="Times New Roman"/>
          <w:lang w:val="en-US"/>
        </w:rPr>
        <w:t>Gieryn</w:t>
      </w:r>
      <w:proofErr w:type="spellEnd"/>
      <w:r w:rsidR="008E1098">
        <w:rPr>
          <w:rFonts w:ascii="Times New Roman" w:hAnsi="Times New Roman" w:cs="Times New Roman"/>
          <w:lang w:val="en-US"/>
        </w:rPr>
        <w:t>, 1</w:t>
      </w:r>
      <w:r w:rsidR="00BE64EB">
        <w:rPr>
          <w:rFonts w:ascii="Times New Roman" w:hAnsi="Times New Roman" w:cs="Times New Roman"/>
          <w:lang w:val="en-US"/>
        </w:rPr>
        <w:t>98</w:t>
      </w:r>
      <w:r w:rsidR="008E1098">
        <w:rPr>
          <w:rFonts w:ascii="Times New Roman" w:hAnsi="Times New Roman" w:cs="Times New Roman"/>
          <w:lang w:val="en-US"/>
        </w:rPr>
        <w:t>3</w:t>
      </w:r>
      <w:r w:rsidR="00BE64EB">
        <w:rPr>
          <w:rFonts w:ascii="Times New Roman" w:hAnsi="Times New Roman" w:cs="Times New Roman"/>
          <w:lang w:val="en-US"/>
        </w:rPr>
        <w:t>; Llewellyn, 1998)</w:t>
      </w:r>
      <w:r w:rsidR="008673A7">
        <w:rPr>
          <w:rStyle w:val="FootnoteReference"/>
          <w:rFonts w:ascii="Times New Roman" w:hAnsi="Times New Roman" w:cs="Times New Roman"/>
          <w:lang w:val="en-US"/>
        </w:rPr>
        <w:footnoteReference w:id="3"/>
      </w:r>
      <w:r w:rsidR="00EA6237">
        <w:rPr>
          <w:rFonts w:ascii="Times New Roman" w:hAnsi="Times New Roman" w:cs="Times New Roman"/>
          <w:lang w:val="en-US"/>
        </w:rPr>
        <w:t>.</w:t>
      </w:r>
    </w:p>
    <w:p w14:paraId="3E9D8908" w14:textId="77777777" w:rsidR="00562427" w:rsidRPr="00562427" w:rsidRDefault="00562427" w:rsidP="00562427">
      <w:pPr>
        <w:spacing w:line="360" w:lineRule="auto"/>
        <w:ind w:firstLine="708"/>
        <w:jc w:val="both"/>
        <w:rPr>
          <w:rFonts w:ascii="Times New Roman" w:hAnsi="Times New Roman" w:cs="Times New Roman"/>
          <w:lang w:val="en-US"/>
        </w:rPr>
      </w:pPr>
    </w:p>
    <w:p w14:paraId="09ED70A5" w14:textId="6AE50A1D" w:rsidR="00422BEF" w:rsidRPr="005C3EB7" w:rsidRDefault="001A6AF0" w:rsidP="00953650">
      <w:pPr>
        <w:spacing w:line="360" w:lineRule="auto"/>
        <w:ind w:left="1416" w:hanging="1416"/>
        <w:jc w:val="both"/>
        <w:rPr>
          <w:rFonts w:ascii="Times New Roman" w:hAnsi="Times New Roman" w:cs="Times New Roman"/>
          <w:i/>
          <w:lang w:val="en-US"/>
        </w:rPr>
      </w:pPr>
      <w:r w:rsidRPr="005C3EB7">
        <w:rPr>
          <w:rFonts w:ascii="Times New Roman" w:hAnsi="Times New Roman" w:cs="Times New Roman"/>
          <w:i/>
          <w:lang w:val="en-US"/>
        </w:rPr>
        <w:t>2.</w:t>
      </w:r>
      <w:r w:rsidR="00B91098">
        <w:rPr>
          <w:rFonts w:ascii="Times New Roman" w:hAnsi="Times New Roman" w:cs="Times New Roman"/>
          <w:i/>
          <w:lang w:val="en-US"/>
        </w:rPr>
        <w:t>1</w:t>
      </w:r>
      <w:r w:rsidR="003047DB">
        <w:rPr>
          <w:rFonts w:ascii="Times New Roman" w:hAnsi="Times New Roman" w:cs="Times New Roman"/>
          <w:i/>
          <w:lang w:val="en-US"/>
        </w:rPr>
        <w:t>.</w:t>
      </w:r>
      <w:r w:rsidR="00EA6237" w:rsidRPr="005C3EB7">
        <w:rPr>
          <w:rFonts w:ascii="Times New Roman" w:hAnsi="Times New Roman" w:cs="Times New Roman"/>
          <w:i/>
          <w:lang w:val="en-US"/>
        </w:rPr>
        <w:t xml:space="preserve">2 </w:t>
      </w:r>
      <w:r w:rsidRPr="005C3EB7">
        <w:rPr>
          <w:rFonts w:ascii="Times New Roman" w:hAnsi="Times New Roman" w:cs="Times New Roman"/>
          <w:i/>
          <w:lang w:val="en-US"/>
        </w:rPr>
        <w:tab/>
      </w:r>
      <w:r w:rsidR="00155F57" w:rsidRPr="005C3EB7">
        <w:rPr>
          <w:rFonts w:ascii="Times New Roman" w:hAnsi="Times New Roman" w:cs="Times New Roman"/>
          <w:i/>
          <w:lang w:val="en-US"/>
        </w:rPr>
        <w:t xml:space="preserve">Establishing boundaries around legitimate actors: </w:t>
      </w:r>
      <w:r w:rsidR="00422BEF" w:rsidRPr="005C3EB7">
        <w:rPr>
          <w:rFonts w:ascii="Times New Roman" w:hAnsi="Times New Roman" w:cs="Times New Roman"/>
          <w:i/>
          <w:lang w:val="en-US"/>
        </w:rPr>
        <w:t>Populating the new space with new actors</w:t>
      </w:r>
    </w:p>
    <w:p w14:paraId="1788AA71" w14:textId="5F017793" w:rsidR="00E53088" w:rsidRDefault="00422BEF" w:rsidP="00CD0156">
      <w:pPr>
        <w:spacing w:line="360" w:lineRule="auto"/>
        <w:ind w:firstLine="708"/>
        <w:jc w:val="both"/>
        <w:rPr>
          <w:rFonts w:ascii="Times New Roman" w:hAnsi="Times New Roman" w:cs="Times New Roman"/>
          <w:bCs/>
          <w:i/>
          <w:lang w:val="en-US"/>
        </w:rPr>
      </w:pPr>
      <w:r w:rsidRPr="00BA4CDD">
        <w:rPr>
          <w:rFonts w:ascii="Times New Roman" w:hAnsi="Times New Roman" w:cs="Times New Roman"/>
          <w:lang w:val="en-US"/>
        </w:rPr>
        <w:t xml:space="preserve">Having defined </w:t>
      </w:r>
      <w:r w:rsidR="002B679C">
        <w:rPr>
          <w:rFonts w:ascii="Times New Roman" w:hAnsi="Times New Roman" w:cs="Times New Roman"/>
          <w:lang w:val="en-US"/>
        </w:rPr>
        <w:t xml:space="preserve">a </w:t>
      </w:r>
      <w:r w:rsidRPr="00BA4CDD">
        <w:rPr>
          <w:rFonts w:ascii="Times New Roman" w:hAnsi="Times New Roman" w:cs="Times New Roman"/>
          <w:lang w:val="en-US"/>
        </w:rPr>
        <w:t>new space</w:t>
      </w:r>
      <w:r w:rsidR="002B679C">
        <w:rPr>
          <w:rFonts w:ascii="Times New Roman" w:hAnsi="Times New Roman" w:cs="Times New Roman"/>
          <w:lang w:val="en-US"/>
        </w:rPr>
        <w:t xml:space="preserve"> and its dominant characteristics</w:t>
      </w:r>
      <w:r w:rsidRPr="00BA4CDD">
        <w:rPr>
          <w:rFonts w:ascii="Times New Roman" w:hAnsi="Times New Roman" w:cs="Times New Roman"/>
          <w:lang w:val="en-US"/>
        </w:rPr>
        <w:t>, professionals seek to fill the</w:t>
      </w:r>
      <w:r w:rsidR="002B679C">
        <w:rPr>
          <w:rFonts w:ascii="Times New Roman" w:hAnsi="Times New Roman" w:cs="Times New Roman"/>
          <w:lang w:val="en-US"/>
        </w:rPr>
        <w:t xml:space="preserve"> space</w:t>
      </w:r>
      <w:r w:rsidRPr="00BA4CDD">
        <w:rPr>
          <w:rFonts w:ascii="Times New Roman" w:hAnsi="Times New Roman" w:cs="Times New Roman"/>
          <w:lang w:val="en-US"/>
        </w:rPr>
        <w:t xml:space="preserve"> with new and legitimate social actors who serve their interests. These actors may comprise categories of individuals or new forms of organization</w:t>
      </w:r>
      <w:r w:rsidR="009077B6">
        <w:rPr>
          <w:rFonts w:ascii="Times New Roman" w:hAnsi="Times New Roman" w:cs="Times New Roman"/>
          <w:lang w:val="en-US"/>
        </w:rPr>
        <w:t xml:space="preserve"> which </w:t>
      </w:r>
      <w:r w:rsidR="002B679C">
        <w:rPr>
          <w:rFonts w:ascii="Times New Roman" w:hAnsi="Times New Roman" w:cs="Times New Roman"/>
          <w:lang w:val="en-US"/>
        </w:rPr>
        <w:t xml:space="preserve">themselves </w:t>
      </w:r>
      <w:r w:rsidR="009077B6">
        <w:rPr>
          <w:rFonts w:ascii="Times New Roman" w:hAnsi="Times New Roman" w:cs="Times New Roman"/>
          <w:lang w:val="en-US"/>
        </w:rPr>
        <w:t xml:space="preserve">require clear specification </w:t>
      </w:r>
      <w:r w:rsidR="002B679C">
        <w:rPr>
          <w:rFonts w:ascii="Times New Roman" w:hAnsi="Times New Roman" w:cs="Times New Roman"/>
          <w:lang w:val="en-US"/>
        </w:rPr>
        <w:t>and identification</w:t>
      </w:r>
      <w:r w:rsidR="00446B14">
        <w:rPr>
          <w:rFonts w:ascii="Times New Roman" w:hAnsi="Times New Roman" w:cs="Times New Roman"/>
          <w:lang w:val="en-US"/>
        </w:rPr>
        <w:t xml:space="preserve">. </w:t>
      </w:r>
      <w:r w:rsidR="00522298">
        <w:rPr>
          <w:rFonts w:ascii="Times New Roman" w:hAnsi="Times New Roman" w:cs="Times New Roman"/>
          <w:lang w:val="en-US"/>
        </w:rPr>
        <w:t>A</w:t>
      </w:r>
      <w:r w:rsidR="006A62DC">
        <w:rPr>
          <w:rFonts w:ascii="Times New Roman" w:hAnsi="Times New Roman" w:cs="Times New Roman"/>
          <w:lang w:val="en-US"/>
        </w:rPr>
        <w:t>ccounting professionals</w:t>
      </w:r>
      <w:r w:rsidR="00522298">
        <w:rPr>
          <w:rFonts w:ascii="Times New Roman" w:hAnsi="Times New Roman" w:cs="Times New Roman"/>
          <w:lang w:val="en-US"/>
        </w:rPr>
        <w:t xml:space="preserve">, for example, </w:t>
      </w:r>
      <w:r w:rsidR="007A60FC">
        <w:rPr>
          <w:rFonts w:ascii="Times New Roman" w:hAnsi="Times New Roman" w:cs="Times New Roman"/>
          <w:lang w:val="en-US"/>
        </w:rPr>
        <w:t>engaged in boundary work</w:t>
      </w:r>
      <w:r w:rsidR="00EF0F0B">
        <w:rPr>
          <w:rFonts w:ascii="Times New Roman" w:hAnsi="Times New Roman" w:cs="Times New Roman"/>
          <w:lang w:val="en-US"/>
        </w:rPr>
        <w:t xml:space="preserve"> </w:t>
      </w:r>
      <w:r w:rsidR="007042FD">
        <w:rPr>
          <w:rFonts w:ascii="Times New Roman" w:hAnsi="Times New Roman" w:cs="Times New Roman"/>
          <w:lang w:val="en-US"/>
        </w:rPr>
        <w:t>in a</w:t>
      </w:r>
      <w:r w:rsidR="00AE5A60">
        <w:rPr>
          <w:rFonts w:ascii="Times New Roman" w:hAnsi="Times New Roman" w:cs="Times New Roman"/>
          <w:lang w:val="en-US"/>
        </w:rPr>
        <w:t xml:space="preserve">n (ultimately unsuccessful) </w:t>
      </w:r>
      <w:r w:rsidR="007042FD">
        <w:rPr>
          <w:rFonts w:ascii="Times New Roman" w:hAnsi="Times New Roman" w:cs="Times New Roman"/>
          <w:lang w:val="en-US"/>
        </w:rPr>
        <w:t xml:space="preserve">attempt </w:t>
      </w:r>
      <w:r w:rsidR="007A60FC">
        <w:rPr>
          <w:rFonts w:ascii="Times New Roman" w:hAnsi="Times New Roman" w:cs="Times New Roman"/>
          <w:lang w:val="en-US"/>
        </w:rPr>
        <w:t xml:space="preserve">to promote the multidisciplinary partnership as a new form of </w:t>
      </w:r>
      <w:r w:rsidR="003C1659">
        <w:rPr>
          <w:rFonts w:ascii="Times New Roman" w:hAnsi="Times New Roman" w:cs="Times New Roman"/>
          <w:lang w:val="en-US"/>
        </w:rPr>
        <w:t xml:space="preserve">professional </w:t>
      </w:r>
      <w:r w:rsidR="007A60FC">
        <w:rPr>
          <w:rFonts w:ascii="Times New Roman" w:hAnsi="Times New Roman" w:cs="Times New Roman"/>
          <w:lang w:val="en-US"/>
        </w:rPr>
        <w:t>organiz</w:t>
      </w:r>
      <w:r w:rsidR="003C1659">
        <w:rPr>
          <w:rFonts w:ascii="Times New Roman" w:hAnsi="Times New Roman" w:cs="Times New Roman"/>
          <w:lang w:val="en-US"/>
        </w:rPr>
        <w:t>ation</w:t>
      </w:r>
      <w:r w:rsidR="007A60FC">
        <w:rPr>
          <w:rFonts w:ascii="Times New Roman" w:hAnsi="Times New Roman" w:cs="Times New Roman"/>
          <w:lang w:val="en-US"/>
        </w:rPr>
        <w:t xml:space="preserve"> (Suddaby and Greenwood, 2005). </w:t>
      </w:r>
      <w:r w:rsidR="00522298">
        <w:rPr>
          <w:rFonts w:ascii="Times New Roman" w:hAnsi="Times New Roman" w:cs="Times New Roman"/>
          <w:lang w:val="en-US"/>
        </w:rPr>
        <w:t>Likewise, s</w:t>
      </w:r>
      <w:r w:rsidR="007A60FC">
        <w:rPr>
          <w:rFonts w:ascii="Times New Roman" w:hAnsi="Times New Roman" w:cs="Times New Roman"/>
          <w:lang w:val="en-US"/>
        </w:rPr>
        <w:t>enio</w:t>
      </w:r>
      <w:r w:rsidR="00F83B4B">
        <w:rPr>
          <w:rFonts w:ascii="Times New Roman" w:hAnsi="Times New Roman" w:cs="Times New Roman"/>
          <w:lang w:val="en-US"/>
        </w:rPr>
        <w:t>r r</w:t>
      </w:r>
      <w:r w:rsidR="007A60FC">
        <w:rPr>
          <w:rFonts w:ascii="Times New Roman" w:hAnsi="Times New Roman" w:cs="Times New Roman"/>
          <w:lang w:val="en-US"/>
        </w:rPr>
        <w:t>isk officers contribut</w:t>
      </w:r>
      <w:r w:rsidR="003047DB">
        <w:rPr>
          <w:rFonts w:ascii="Times New Roman" w:hAnsi="Times New Roman" w:cs="Times New Roman"/>
          <w:lang w:val="en-US"/>
        </w:rPr>
        <w:t>ed</w:t>
      </w:r>
      <w:r w:rsidR="007A60FC">
        <w:rPr>
          <w:rFonts w:ascii="Times New Roman" w:hAnsi="Times New Roman" w:cs="Times New Roman"/>
          <w:lang w:val="en-US"/>
        </w:rPr>
        <w:t xml:space="preserve"> to enhan</w:t>
      </w:r>
      <w:r w:rsidR="00F83B4B">
        <w:rPr>
          <w:rFonts w:ascii="Times New Roman" w:hAnsi="Times New Roman" w:cs="Times New Roman"/>
          <w:lang w:val="en-US"/>
        </w:rPr>
        <w:t>cing</w:t>
      </w:r>
      <w:r w:rsidR="007A60FC">
        <w:rPr>
          <w:rFonts w:ascii="Times New Roman" w:hAnsi="Times New Roman" w:cs="Times New Roman"/>
          <w:lang w:val="en-US"/>
        </w:rPr>
        <w:t xml:space="preserve"> </w:t>
      </w:r>
      <w:r w:rsidR="00C41101">
        <w:rPr>
          <w:rFonts w:ascii="Times New Roman" w:hAnsi="Times New Roman" w:cs="Times New Roman"/>
          <w:lang w:val="en-US"/>
        </w:rPr>
        <w:t xml:space="preserve">and promoting </w:t>
      </w:r>
      <w:r w:rsidR="007A60FC">
        <w:rPr>
          <w:rFonts w:ascii="Times New Roman" w:hAnsi="Times New Roman" w:cs="Times New Roman"/>
          <w:lang w:val="en-US"/>
        </w:rPr>
        <w:t>the professional status of ‘risk expert’</w:t>
      </w:r>
      <w:r w:rsidR="00F83B4B">
        <w:rPr>
          <w:rFonts w:ascii="Times New Roman" w:hAnsi="Times New Roman" w:cs="Times New Roman"/>
          <w:lang w:val="en-US"/>
        </w:rPr>
        <w:t xml:space="preserve"> actors</w:t>
      </w:r>
      <w:r w:rsidR="007A60FC">
        <w:rPr>
          <w:rFonts w:ascii="Times New Roman" w:hAnsi="Times New Roman" w:cs="Times New Roman"/>
          <w:lang w:val="en-US"/>
        </w:rPr>
        <w:t xml:space="preserve"> by ap</w:t>
      </w:r>
      <w:r w:rsidR="00F83B4B">
        <w:rPr>
          <w:rFonts w:ascii="Times New Roman" w:hAnsi="Times New Roman" w:cs="Times New Roman"/>
          <w:lang w:val="en-US"/>
        </w:rPr>
        <w:t>p</w:t>
      </w:r>
      <w:r w:rsidR="007A60FC">
        <w:rPr>
          <w:rFonts w:ascii="Times New Roman" w:hAnsi="Times New Roman" w:cs="Times New Roman"/>
          <w:lang w:val="en-US"/>
        </w:rPr>
        <w:t>l</w:t>
      </w:r>
      <w:r w:rsidR="00F83B4B">
        <w:rPr>
          <w:rFonts w:ascii="Times New Roman" w:hAnsi="Times New Roman" w:cs="Times New Roman"/>
          <w:lang w:val="en-US"/>
        </w:rPr>
        <w:t>y</w:t>
      </w:r>
      <w:r w:rsidR="007A60FC">
        <w:rPr>
          <w:rFonts w:ascii="Times New Roman" w:hAnsi="Times New Roman" w:cs="Times New Roman"/>
          <w:lang w:val="en-US"/>
        </w:rPr>
        <w:t>ing a rhetoric that pri</w:t>
      </w:r>
      <w:r w:rsidR="00F83B4B">
        <w:rPr>
          <w:rFonts w:ascii="Times New Roman" w:hAnsi="Times New Roman" w:cs="Times New Roman"/>
          <w:lang w:val="en-US"/>
        </w:rPr>
        <w:t xml:space="preserve">vileged more quantified risk </w:t>
      </w:r>
      <w:r w:rsidR="007A60FC">
        <w:rPr>
          <w:rFonts w:ascii="Times New Roman" w:hAnsi="Times New Roman" w:cs="Times New Roman"/>
          <w:lang w:val="en-US"/>
        </w:rPr>
        <w:t xml:space="preserve">measurement systems </w:t>
      </w:r>
      <w:r w:rsidR="00F83B4B">
        <w:rPr>
          <w:rFonts w:ascii="Times New Roman" w:hAnsi="Times New Roman" w:cs="Times New Roman"/>
          <w:lang w:val="en-US"/>
        </w:rPr>
        <w:t>over potentially competing representations of risk drawing on judgment and experience</w:t>
      </w:r>
      <w:r w:rsidR="00155F57">
        <w:rPr>
          <w:rFonts w:ascii="Times New Roman" w:hAnsi="Times New Roman" w:cs="Times New Roman"/>
          <w:lang w:val="en-US"/>
        </w:rPr>
        <w:t xml:space="preserve"> (Mikes, 2012)</w:t>
      </w:r>
      <w:r w:rsidR="00F83B4B">
        <w:rPr>
          <w:rFonts w:ascii="Times New Roman" w:hAnsi="Times New Roman" w:cs="Times New Roman"/>
          <w:lang w:val="en-US"/>
        </w:rPr>
        <w:t xml:space="preserve">. </w:t>
      </w:r>
      <w:r>
        <w:rPr>
          <w:rFonts w:ascii="Times New Roman" w:hAnsi="Times New Roman" w:cs="Times New Roman"/>
          <w:lang w:val="en-US"/>
        </w:rPr>
        <w:t>P</w:t>
      </w:r>
      <w:r w:rsidRPr="00BA4CDD">
        <w:rPr>
          <w:rFonts w:ascii="Times New Roman" w:hAnsi="Times New Roman" w:cs="Times New Roman"/>
          <w:lang w:val="en-US"/>
        </w:rPr>
        <w:t>rofessional</w:t>
      </w:r>
      <w:r w:rsidR="009077B6">
        <w:rPr>
          <w:rFonts w:ascii="Times New Roman" w:hAnsi="Times New Roman" w:cs="Times New Roman"/>
          <w:lang w:val="en-US"/>
        </w:rPr>
        <w:t xml:space="preserve">s can </w:t>
      </w:r>
      <w:r w:rsidRPr="00BA4CDD">
        <w:rPr>
          <w:rFonts w:ascii="Times New Roman" w:hAnsi="Times New Roman" w:cs="Times New Roman"/>
          <w:lang w:val="en-US"/>
        </w:rPr>
        <w:t xml:space="preserve">also </w:t>
      </w:r>
      <w:r>
        <w:rPr>
          <w:rFonts w:ascii="Times New Roman" w:hAnsi="Times New Roman" w:cs="Times New Roman"/>
          <w:lang w:val="en-US"/>
        </w:rPr>
        <w:t xml:space="preserve">seek to </w:t>
      </w:r>
      <w:r w:rsidRPr="00BA4CDD">
        <w:rPr>
          <w:rFonts w:ascii="Times New Roman" w:hAnsi="Times New Roman" w:cs="Times New Roman"/>
          <w:lang w:val="en-US"/>
        </w:rPr>
        <w:t>legitimate new professional roles or occupational categories tied to new practices (</w:t>
      </w:r>
      <w:proofErr w:type="spellStart"/>
      <w:r w:rsidRPr="00BA4CDD">
        <w:rPr>
          <w:rFonts w:ascii="Times New Roman" w:hAnsi="Times New Roman" w:cs="Times New Roman"/>
          <w:lang w:val="en-US"/>
        </w:rPr>
        <w:t>Muzio</w:t>
      </w:r>
      <w:proofErr w:type="spellEnd"/>
      <w:r w:rsidRPr="00BA4CDD">
        <w:rPr>
          <w:rFonts w:ascii="Times New Roman" w:hAnsi="Times New Roman" w:cs="Times New Roman"/>
          <w:lang w:val="en-US"/>
        </w:rPr>
        <w:t xml:space="preserve"> et al., 2013). Prior examples include accountants’ efforts to legitimate the occupational category of </w:t>
      </w:r>
      <w:r w:rsidR="00AE5A60">
        <w:rPr>
          <w:rFonts w:ascii="Times New Roman" w:hAnsi="Times New Roman" w:cs="Times New Roman"/>
          <w:lang w:val="en-US"/>
        </w:rPr>
        <w:t xml:space="preserve">the </w:t>
      </w:r>
      <w:r w:rsidRPr="00BA4CDD">
        <w:rPr>
          <w:rFonts w:ascii="Times New Roman" w:hAnsi="Times New Roman" w:cs="Times New Roman"/>
          <w:lang w:val="en-US"/>
        </w:rPr>
        <w:t xml:space="preserve">Global Business Professional and the emergence of new occupational categories </w:t>
      </w:r>
      <w:r w:rsidR="00522298">
        <w:rPr>
          <w:rFonts w:ascii="Times New Roman" w:hAnsi="Times New Roman" w:cs="Times New Roman"/>
          <w:lang w:val="en-US"/>
        </w:rPr>
        <w:t xml:space="preserve">such as </w:t>
      </w:r>
      <w:r w:rsidRPr="00BA4CDD">
        <w:rPr>
          <w:rFonts w:ascii="Times New Roman" w:hAnsi="Times New Roman" w:cs="Times New Roman"/>
          <w:lang w:val="en-US"/>
        </w:rPr>
        <w:t>Forensic Accounting, Human Resource Professional</w:t>
      </w:r>
      <w:r w:rsidR="00522298">
        <w:rPr>
          <w:rFonts w:ascii="Times New Roman" w:hAnsi="Times New Roman" w:cs="Times New Roman"/>
          <w:lang w:val="en-US"/>
        </w:rPr>
        <w:t>s</w:t>
      </w:r>
      <w:r w:rsidRPr="00BA4CDD">
        <w:rPr>
          <w:rFonts w:ascii="Times New Roman" w:hAnsi="Times New Roman" w:cs="Times New Roman"/>
          <w:lang w:val="en-US"/>
        </w:rPr>
        <w:t xml:space="preserve"> and Environmental Compliance Officer</w:t>
      </w:r>
      <w:r w:rsidR="00522298">
        <w:rPr>
          <w:rFonts w:ascii="Times New Roman" w:hAnsi="Times New Roman" w:cs="Times New Roman"/>
          <w:lang w:val="en-US"/>
        </w:rPr>
        <w:t>s</w:t>
      </w:r>
      <w:r w:rsidR="002B679C">
        <w:rPr>
          <w:rFonts w:ascii="Times New Roman" w:hAnsi="Times New Roman" w:cs="Times New Roman"/>
          <w:lang w:val="en-US"/>
        </w:rPr>
        <w:t xml:space="preserve"> </w:t>
      </w:r>
      <w:r w:rsidR="00447F1C">
        <w:rPr>
          <w:rFonts w:ascii="Times New Roman" w:hAnsi="Times New Roman" w:cs="Times New Roman"/>
          <w:lang w:val="en-US"/>
        </w:rPr>
        <w:t>(Hoffman, 1999; Lawrence, 1999; Suddaby et al., 2007).</w:t>
      </w:r>
    </w:p>
    <w:p w14:paraId="511BC353" w14:textId="77777777" w:rsidR="005C3EB7" w:rsidRDefault="005C3EB7" w:rsidP="00686181">
      <w:pPr>
        <w:spacing w:line="360" w:lineRule="auto"/>
        <w:ind w:firstLine="708"/>
        <w:jc w:val="both"/>
        <w:rPr>
          <w:rFonts w:ascii="Times New Roman" w:hAnsi="Times New Roman" w:cs="Times New Roman"/>
          <w:bCs/>
          <w:i/>
          <w:lang w:val="en-US"/>
        </w:rPr>
      </w:pPr>
    </w:p>
    <w:p w14:paraId="6102B58C" w14:textId="261E40F2" w:rsidR="00422BEF" w:rsidRPr="005C3EB7" w:rsidRDefault="003047DB" w:rsidP="00686181">
      <w:pPr>
        <w:spacing w:line="360" w:lineRule="auto"/>
        <w:ind w:left="1416" w:hanging="1416"/>
        <w:jc w:val="both"/>
        <w:rPr>
          <w:rFonts w:ascii="Times New Roman" w:hAnsi="Times New Roman" w:cs="Times New Roman"/>
          <w:i/>
          <w:lang w:val="en-US"/>
        </w:rPr>
      </w:pPr>
      <w:r>
        <w:rPr>
          <w:rFonts w:ascii="Times New Roman" w:hAnsi="Times New Roman" w:cs="Times New Roman"/>
          <w:bCs/>
          <w:i/>
          <w:lang w:val="en-US"/>
        </w:rPr>
        <w:lastRenderedPageBreak/>
        <w:t>2.</w:t>
      </w:r>
      <w:r w:rsidR="00B91098">
        <w:rPr>
          <w:rFonts w:ascii="Times New Roman" w:hAnsi="Times New Roman" w:cs="Times New Roman"/>
          <w:bCs/>
          <w:i/>
          <w:lang w:val="en-US"/>
        </w:rPr>
        <w:t>1</w:t>
      </w:r>
      <w:r>
        <w:rPr>
          <w:rFonts w:ascii="Times New Roman" w:hAnsi="Times New Roman" w:cs="Times New Roman"/>
          <w:bCs/>
          <w:i/>
          <w:lang w:val="en-US"/>
        </w:rPr>
        <w:t>.</w:t>
      </w:r>
      <w:r w:rsidR="00EA6237" w:rsidRPr="005C3EB7">
        <w:rPr>
          <w:rFonts w:ascii="Times New Roman" w:hAnsi="Times New Roman" w:cs="Times New Roman"/>
          <w:bCs/>
          <w:i/>
          <w:lang w:val="en-US"/>
        </w:rPr>
        <w:t>3</w:t>
      </w:r>
      <w:r w:rsidR="001A6AF0" w:rsidRPr="005C3EB7">
        <w:rPr>
          <w:rFonts w:ascii="Times New Roman" w:hAnsi="Times New Roman" w:cs="Times New Roman"/>
          <w:bCs/>
          <w:i/>
          <w:lang w:val="en-US"/>
        </w:rPr>
        <w:tab/>
      </w:r>
      <w:r w:rsidR="005C3EB7">
        <w:rPr>
          <w:rFonts w:ascii="Times New Roman" w:hAnsi="Times New Roman" w:cs="Times New Roman"/>
          <w:bCs/>
          <w:i/>
          <w:lang w:val="en-US"/>
        </w:rPr>
        <w:t xml:space="preserve">Redefining </w:t>
      </w:r>
      <w:r w:rsidR="005C3EB7" w:rsidRPr="005C3EB7">
        <w:rPr>
          <w:rFonts w:ascii="Times New Roman" w:hAnsi="Times New Roman" w:cs="Times New Roman"/>
          <w:bCs/>
          <w:i/>
          <w:lang w:val="en-US"/>
        </w:rPr>
        <w:t>the boundaries of organizational fields</w:t>
      </w:r>
      <w:r w:rsidR="005C3EB7">
        <w:rPr>
          <w:rFonts w:ascii="Times New Roman" w:hAnsi="Times New Roman" w:cs="Times New Roman"/>
          <w:bCs/>
          <w:i/>
          <w:lang w:val="en-US"/>
        </w:rPr>
        <w:t xml:space="preserve"> –</w:t>
      </w:r>
      <w:r w:rsidR="005C3EB7" w:rsidRPr="005C3EB7">
        <w:rPr>
          <w:rFonts w:ascii="Times New Roman" w:hAnsi="Times New Roman" w:cs="Times New Roman"/>
          <w:bCs/>
          <w:i/>
          <w:lang w:val="en-US"/>
        </w:rPr>
        <w:t xml:space="preserve"> </w:t>
      </w:r>
      <w:r w:rsidR="005C3EB7">
        <w:rPr>
          <w:rFonts w:ascii="Times New Roman" w:hAnsi="Times New Roman" w:cs="Times New Roman"/>
          <w:bCs/>
          <w:i/>
          <w:lang w:val="en-US"/>
        </w:rPr>
        <w:t>The promulgation of</w:t>
      </w:r>
      <w:r w:rsidR="00422BEF" w:rsidRPr="005C3EB7">
        <w:rPr>
          <w:rFonts w:ascii="Times New Roman" w:hAnsi="Times New Roman" w:cs="Times New Roman"/>
          <w:bCs/>
          <w:i/>
          <w:lang w:val="en-US"/>
        </w:rPr>
        <w:t xml:space="preserve"> new rule systems </w:t>
      </w:r>
    </w:p>
    <w:p w14:paraId="47C3F1F4" w14:textId="7C8DEB2A" w:rsidR="003969F7" w:rsidRDefault="00460700" w:rsidP="008A4ECE">
      <w:pPr>
        <w:spacing w:line="360" w:lineRule="auto"/>
        <w:ind w:firstLine="708"/>
        <w:jc w:val="both"/>
        <w:rPr>
          <w:rFonts w:ascii="Times New Roman" w:hAnsi="Times New Roman" w:cs="Times New Roman"/>
          <w:color w:val="000000"/>
          <w:lang w:val="en-US"/>
        </w:rPr>
      </w:pPr>
      <w:r w:rsidRPr="00EA6237">
        <w:rPr>
          <w:rFonts w:ascii="Times New Roman" w:hAnsi="Times New Roman" w:cs="Times New Roman"/>
          <w:lang w:val="en-US"/>
        </w:rPr>
        <w:t>The</w:t>
      </w:r>
      <w:r w:rsidR="00422BEF" w:rsidRPr="00EA6237">
        <w:rPr>
          <w:rFonts w:ascii="Times New Roman" w:hAnsi="Times New Roman" w:cs="Times New Roman"/>
          <w:lang w:val="en-US"/>
        </w:rPr>
        <w:t xml:space="preserve"> two dynamics</w:t>
      </w:r>
      <w:r w:rsidRPr="00EA6237">
        <w:rPr>
          <w:rFonts w:ascii="Times New Roman" w:hAnsi="Times New Roman" w:cs="Times New Roman"/>
          <w:lang w:val="en-US"/>
        </w:rPr>
        <w:t xml:space="preserve"> above</w:t>
      </w:r>
      <w:r w:rsidR="00422BEF" w:rsidRPr="00EA6237">
        <w:rPr>
          <w:rFonts w:ascii="Times New Roman" w:hAnsi="Times New Roman" w:cs="Times New Roman"/>
          <w:lang w:val="en-US"/>
        </w:rPr>
        <w:t xml:space="preserve"> indicate </w:t>
      </w:r>
      <w:r w:rsidR="00522298">
        <w:rPr>
          <w:rFonts w:ascii="Times New Roman" w:hAnsi="Times New Roman" w:cs="Times New Roman"/>
          <w:lang w:val="en-US"/>
        </w:rPr>
        <w:t>that</w:t>
      </w:r>
      <w:r w:rsidR="00522298" w:rsidRPr="00EA6237">
        <w:rPr>
          <w:rFonts w:ascii="Times New Roman" w:hAnsi="Times New Roman" w:cs="Times New Roman"/>
          <w:lang w:val="en-US"/>
        </w:rPr>
        <w:t xml:space="preserve"> </w:t>
      </w:r>
      <w:r w:rsidR="00422BEF" w:rsidRPr="00EA6237">
        <w:rPr>
          <w:rFonts w:ascii="Times New Roman" w:hAnsi="Times New Roman" w:cs="Times New Roman"/>
          <w:color w:val="000000"/>
          <w:lang w:val="en-US"/>
        </w:rPr>
        <w:t>professionals</w:t>
      </w:r>
      <w:r w:rsidR="006A62DC" w:rsidRPr="00EA6237">
        <w:rPr>
          <w:rFonts w:ascii="Times New Roman" w:hAnsi="Times New Roman" w:cs="Times New Roman"/>
          <w:color w:val="000000"/>
          <w:lang w:val="en-US"/>
        </w:rPr>
        <w:t xml:space="preserve"> </w:t>
      </w:r>
      <w:r w:rsidR="00522298">
        <w:rPr>
          <w:rFonts w:ascii="Times New Roman" w:hAnsi="Times New Roman" w:cs="Times New Roman"/>
          <w:color w:val="000000"/>
          <w:lang w:val="en-US"/>
        </w:rPr>
        <w:t xml:space="preserve">can </w:t>
      </w:r>
      <w:r w:rsidR="006A62DC" w:rsidRPr="00EA6237">
        <w:rPr>
          <w:rFonts w:ascii="Times New Roman" w:hAnsi="Times New Roman" w:cs="Times New Roman"/>
          <w:color w:val="000000"/>
          <w:lang w:val="en-US"/>
        </w:rPr>
        <w:t>advance</w:t>
      </w:r>
      <w:r w:rsidR="00422BEF" w:rsidRPr="00EA6237">
        <w:rPr>
          <w:rFonts w:ascii="Times New Roman" w:hAnsi="Times New Roman" w:cs="Times New Roman"/>
          <w:color w:val="000000"/>
          <w:lang w:val="en-US"/>
        </w:rPr>
        <w:t xml:space="preserve"> their knowledge base and jurisdiction</w:t>
      </w:r>
      <w:r w:rsidR="00B84DD0">
        <w:rPr>
          <w:rFonts w:ascii="Times New Roman" w:hAnsi="Times New Roman" w:cs="Times New Roman"/>
          <w:color w:val="000000"/>
          <w:lang w:val="en-US"/>
        </w:rPr>
        <w:t xml:space="preserve"> </w:t>
      </w:r>
      <w:r w:rsidR="00420C34">
        <w:rPr>
          <w:rFonts w:ascii="Times New Roman" w:hAnsi="Times New Roman" w:cs="Times New Roman"/>
          <w:color w:val="000000"/>
          <w:lang w:val="en-US"/>
        </w:rPr>
        <w:t xml:space="preserve">by </w:t>
      </w:r>
      <w:r w:rsidR="00422BEF" w:rsidRPr="00BA4CDD">
        <w:rPr>
          <w:rFonts w:ascii="Times New Roman" w:hAnsi="Times New Roman" w:cs="Times New Roman"/>
          <w:lang w:val="en-US"/>
        </w:rPr>
        <w:t>subordinat</w:t>
      </w:r>
      <w:r w:rsidR="00422BEF">
        <w:rPr>
          <w:rFonts w:ascii="Times New Roman" w:hAnsi="Times New Roman" w:cs="Times New Roman"/>
          <w:lang w:val="en-US"/>
        </w:rPr>
        <w:t>ing existing occupations and</w:t>
      </w:r>
      <w:r w:rsidR="007042FD">
        <w:rPr>
          <w:rFonts w:ascii="Times New Roman" w:hAnsi="Times New Roman" w:cs="Times New Roman"/>
          <w:lang w:val="en-US"/>
        </w:rPr>
        <w:t>/or</w:t>
      </w:r>
      <w:r w:rsidR="00422BEF">
        <w:rPr>
          <w:rFonts w:ascii="Times New Roman" w:hAnsi="Times New Roman" w:cs="Times New Roman"/>
          <w:lang w:val="en-US"/>
        </w:rPr>
        <w:t xml:space="preserve"> establishing </w:t>
      </w:r>
      <w:r w:rsidR="00422BEF" w:rsidRPr="00BA4CDD">
        <w:rPr>
          <w:rFonts w:ascii="Times New Roman" w:hAnsi="Times New Roman" w:cs="Times New Roman"/>
          <w:lang w:val="en-US"/>
        </w:rPr>
        <w:t xml:space="preserve">new areas of practice or new expert occupations. Suddaby and </w:t>
      </w:r>
      <w:proofErr w:type="spellStart"/>
      <w:r w:rsidR="00422BEF" w:rsidRPr="00BA4CDD">
        <w:rPr>
          <w:rFonts w:ascii="Times New Roman" w:hAnsi="Times New Roman" w:cs="Times New Roman"/>
          <w:lang w:val="en-US"/>
        </w:rPr>
        <w:t>Viale’s</w:t>
      </w:r>
      <w:proofErr w:type="spellEnd"/>
      <w:r w:rsidR="00422BEF" w:rsidRPr="00BA4CDD">
        <w:rPr>
          <w:rFonts w:ascii="Times New Roman" w:hAnsi="Times New Roman" w:cs="Times New Roman"/>
          <w:lang w:val="en-US"/>
        </w:rPr>
        <w:t xml:space="preserve"> (2011) third dynamic proposes that </w:t>
      </w:r>
      <w:r w:rsidR="00422BEF">
        <w:rPr>
          <w:rFonts w:ascii="Times New Roman" w:hAnsi="Times New Roman" w:cs="Times New Roman"/>
          <w:lang w:val="en-US"/>
        </w:rPr>
        <w:t xml:space="preserve">such changes in </w:t>
      </w:r>
      <w:r w:rsidR="00422BEF" w:rsidRPr="00BA4CDD">
        <w:rPr>
          <w:rFonts w:ascii="Times New Roman" w:hAnsi="Times New Roman" w:cs="Times New Roman"/>
          <w:lang w:val="en-US"/>
        </w:rPr>
        <w:t xml:space="preserve">the basis of expertise can also induce key shifts in the boundaries and rule systems (what they term, </w:t>
      </w:r>
      <w:r w:rsidR="00B84DD0">
        <w:rPr>
          <w:rFonts w:ascii="Times New Roman" w:hAnsi="Times New Roman" w:cs="Times New Roman"/>
          <w:lang w:val="en-US"/>
        </w:rPr>
        <w:t>‘</w:t>
      </w:r>
      <w:r w:rsidR="00422BEF" w:rsidRPr="00BA4CDD">
        <w:rPr>
          <w:rFonts w:ascii="Times New Roman" w:hAnsi="Times New Roman" w:cs="Times New Roman"/>
          <w:lang w:val="en-US"/>
        </w:rPr>
        <w:t xml:space="preserve">the logics’) of organizational fields. </w:t>
      </w:r>
      <w:r w:rsidR="00422BEF" w:rsidRPr="00BA4CDD">
        <w:rPr>
          <w:rFonts w:ascii="Times New Roman" w:hAnsi="Times New Roman" w:cs="Times New Roman"/>
          <w:color w:val="000000"/>
          <w:lang w:val="en-US"/>
        </w:rPr>
        <w:t xml:space="preserve">A key process through which professionals </w:t>
      </w:r>
      <w:proofErr w:type="spellStart"/>
      <w:r w:rsidR="003E7CD1">
        <w:rPr>
          <w:rFonts w:ascii="Times New Roman" w:hAnsi="Times New Roman" w:cs="Times New Roman"/>
          <w:color w:val="000000"/>
          <w:lang w:val="en-US"/>
        </w:rPr>
        <w:t>enrol</w:t>
      </w:r>
      <w:proofErr w:type="spellEnd"/>
      <w:r w:rsidR="00422BEF" w:rsidRPr="00BA4CDD">
        <w:rPr>
          <w:rFonts w:ascii="Times New Roman" w:hAnsi="Times New Roman" w:cs="Times New Roman"/>
          <w:color w:val="000000"/>
          <w:lang w:val="en-US"/>
        </w:rPr>
        <w:t xml:space="preserve"> their e</w:t>
      </w:r>
      <w:r w:rsidR="003047DB">
        <w:rPr>
          <w:rFonts w:ascii="Times New Roman" w:hAnsi="Times New Roman" w:cs="Times New Roman"/>
          <w:color w:val="000000"/>
          <w:lang w:val="en-US"/>
        </w:rPr>
        <w:t>xpertise to alter field log</w:t>
      </w:r>
      <w:r w:rsidR="003047DB">
        <w:rPr>
          <w:rFonts w:ascii="Times New Roman" w:hAnsi="Times New Roman" w:cs="Times New Roman"/>
          <w:color w:val="000000"/>
          <w:lang w:val="en-US"/>
        </w:rPr>
        <w:softHyphen/>
        <w:t xml:space="preserve">ics, </w:t>
      </w:r>
      <w:r w:rsidR="00422BEF" w:rsidRPr="00BA4CDD">
        <w:rPr>
          <w:rFonts w:ascii="Times New Roman" w:hAnsi="Times New Roman" w:cs="Times New Roman"/>
          <w:color w:val="000000"/>
          <w:lang w:val="en-US"/>
        </w:rPr>
        <w:t xml:space="preserve">while simultaneously advancing their own professional </w:t>
      </w:r>
      <w:r w:rsidR="00B84DD0">
        <w:rPr>
          <w:rFonts w:ascii="Times New Roman" w:hAnsi="Times New Roman" w:cs="Times New Roman"/>
          <w:color w:val="000000"/>
          <w:lang w:val="en-US"/>
        </w:rPr>
        <w:t>interests</w:t>
      </w:r>
      <w:r w:rsidR="00422BEF" w:rsidRPr="00BA4CDD">
        <w:rPr>
          <w:rFonts w:ascii="Times New Roman" w:hAnsi="Times New Roman" w:cs="Times New Roman"/>
          <w:color w:val="000000"/>
          <w:lang w:val="en-US"/>
        </w:rPr>
        <w:t xml:space="preserve">, is by presenting and endorsing rule systems (such as regulations, laws, legal forums, standards, or conceptual schemes). Once established, these rule systems </w:t>
      </w:r>
      <w:r w:rsidR="008A4ECE">
        <w:rPr>
          <w:rFonts w:ascii="Times New Roman" w:hAnsi="Times New Roman" w:cs="Times New Roman"/>
          <w:color w:val="000000"/>
          <w:lang w:val="en-US"/>
        </w:rPr>
        <w:t xml:space="preserve">may </w:t>
      </w:r>
      <w:r w:rsidR="00422BEF" w:rsidRPr="00BA4CDD">
        <w:rPr>
          <w:rFonts w:ascii="Times New Roman" w:hAnsi="Times New Roman" w:cs="Times New Roman"/>
          <w:color w:val="000000"/>
          <w:lang w:val="en-US"/>
        </w:rPr>
        <w:t xml:space="preserve">become part of the institutional fabric of a field. However, because the professionals who construct the rules are </w:t>
      </w:r>
      <w:r w:rsidR="00395966">
        <w:rPr>
          <w:rFonts w:ascii="Times New Roman" w:hAnsi="Times New Roman" w:cs="Times New Roman"/>
          <w:color w:val="000000"/>
          <w:lang w:val="en-US"/>
        </w:rPr>
        <w:t xml:space="preserve">likely to be </w:t>
      </w:r>
      <w:r w:rsidR="00610809">
        <w:rPr>
          <w:rFonts w:ascii="Times New Roman" w:hAnsi="Times New Roman" w:cs="Times New Roman"/>
          <w:color w:val="000000"/>
          <w:lang w:val="en-US"/>
        </w:rPr>
        <w:t>adept at</w:t>
      </w:r>
      <w:r w:rsidR="00395966">
        <w:rPr>
          <w:rFonts w:ascii="Times New Roman" w:hAnsi="Times New Roman" w:cs="Times New Roman"/>
          <w:color w:val="000000"/>
          <w:lang w:val="en-US"/>
        </w:rPr>
        <w:t xml:space="preserve"> claiming to have </w:t>
      </w:r>
      <w:r w:rsidR="00422BEF" w:rsidRPr="00BA4CDD">
        <w:rPr>
          <w:rFonts w:ascii="Times New Roman" w:hAnsi="Times New Roman" w:cs="Times New Roman"/>
          <w:color w:val="000000"/>
          <w:lang w:val="en-US"/>
        </w:rPr>
        <w:t xml:space="preserve">the </w:t>
      </w:r>
      <w:r w:rsidR="00395966">
        <w:rPr>
          <w:rFonts w:ascii="Times New Roman" w:hAnsi="Times New Roman" w:cs="Times New Roman"/>
          <w:color w:val="000000"/>
          <w:lang w:val="en-US"/>
        </w:rPr>
        <w:t xml:space="preserve">requisite </w:t>
      </w:r>
      <w:r w:rsidR="00422BEF" w:rsidRPr="00BA4CDD">
        <w:rPr>
          <w:rFonts w:ascii="Times New Roman" w:hAnsi="Times New Roman" w:cs="Times New Roman"/>
          <w:color w:val="000000"/>
          <w:lang w:val="en-US"/>
        </w:rPr>
        <w:t xml:space="preserve">expertise and legitimacy </w:t>
      </w:r>
      <w:r w:rsidR="00395966">
        <w:rPr>
          <w:rFonts w:ascii="Times New Roman" w:hAnsi="Times New Roman" w:cs="Times New Roman"/>
          <w:color w:val="000000"/>
          <w:lang w:val="en-US"/>
        </w:rPr>
        <w:t xml:space="preserve">with which </w:t>
      </w:r>
      <w:r w:rsidR="00422BEF" w:rsidRPr="00BA4CDD">
        <w:rPr>
          <w:rFonts w:ascii="Times New Roman" w:hAnsi="Times New Roman" w:cs="Times New Roman"/>
          <w:color w:val="000000"/>
          <w:lang w:val="en-US"/>
        </w:rPr>
        <w:t>to interpret</w:t>
      </w:r>
      <w:r w:rsidR="00422BEF">
        <w:rPr>
          <w:rFonts w:ascii="Times New Roman" w:hAnsi="Times New Roman" w:cs="Times New Roman"/>
          <w:color w:val="000000"/>
          <w:lang w:val="en-US"/>
        </w:rPr>
        <w:t xml:space="preserve"> and apply them, </w:t>
      </w:r>
      <w:r w:rsidR="00395966">
        <w:rPr>
          <w:rFonts w:ascii="Times New Roman" w:hAnsi="Times New Roman" w:cs="Times New Roman"/>
          <w:color w:val="000000"/>
          <w:lang w:val="en-US"/>
        </w:rPr>
        <w:t xml:space="preserve">such </w:t>
      </w:r>
      <w:r w:rsidR="00422BEF">
        <w:rPr>
          <w:rFonts w:ascii="Times New Roman" w:hAnsi="Times New Roman" w:cs="Times New Roman"/>
          <w:color w:val="000000"/>
          <w:lang w:val="en-US"/>
        </w:rPr>
        <w:t>rules</w:t>
      </w:r>
      <w:r w:rsidR="002B679C">
        <w:rPr>
          <w:rFonts w:ascii="Times New Roman" w:hAnsi="Times New Roman" w:cs="Times New Roman"/>
          <w:color w:val="000000"/>
          <w:lang w:val="en-US"/>
        </w:rPr>
        <w:t>, often held out as being designed in the broader social interest,</w:t>
      </w:r>
      <w:r w:rsidR="00422BEF">
        <w:rPr>
          <w:rFonts w:ascii="Times New Roman" w:hAnsi="Times New Roman" w:cs="Times New Roman"/>
          <w:color w:val="000000"/>
          <w:lang w:val="en-US"/>
        </w:rPr>
        <w:t xml:space="preserve"> </w:t>
      </w:r>
      <w:r w:rsidR="00395966">
        <w:rPr>
          <w:rFonts w:ascii="Times New Roman" w:hAnsi="Times New Roman" w:cs="Times New Roman"/>
          <w:color w:val="000000"/>
          <w:lang w:val="en-US"/>
        </w:rPr>
        <w:t xml:space="preserve">serve to </w:t>
      </w:r>
      <w:r w:rsidR="00422BEF" w:rsidRPr="00BA4CDD">
        <w:rPr>
          <w:rFonts w:ascii="Times New Roman" w:hAnsi="Times New Roman" w:cs="Times New Roman"/>
          <w:color w:val="000000"/>
          <w:lang w:val="en-US"/>
        </w:rPr>
        <w:t>consolidate the power and stat</w:t>
      </w:r>
      <w:r w:rsidR="00422BEF">
        <w:rPr>
          <w:rFonts w:ascii="Times New Roman" w:hAnsi="Times New Roman" w:cs="Times New Roman"/>
          <w:color w:val="000000"/>
          <w:lang w:val="en-US"/>
        </w:rPr>
        <w:t>us of the profession</w:t>
      </w:r>
      <w:r w:rsidR="00610809">
        <w:rPr>
          <w:rFonts w:ascii="Times New Roman" w:hAnsi="Times New Roman" w:cs="Times New Roman"/>
          <w:color w:val="000000"/>
          <w:lang w:val="en-US"/>
        </w:rPr>
        <w:t>al</w:t>
      </w:r>
      <w:r w:rsidR="00422BEF">
        <w:rPr>
          <w:rFonts w:ascii="Times New Roman" w:hAnsi="Times New Roman" w:cs="Times New Roman"/>
          <w:color w:val="000000"/>
          <w:lang w:val="en-US"/>
        </w:rPr>
        <w:t xml:space="preserve">s involved </w:t>
      </w:r>
      <w:r w:rsidR="00B615FA">
        <w:rPr>
          <w:rFonts w:ascii="Times New Roman" w:hAnsi="Times New Roman" w:cs="Times New Roman"/>
          <w:color w:val="000000"/>
          <w:lang w:val="en-US"/>
        </w:rPr>
        <w:t>(</w:t>
      </w:r>
      <w:proofErr w:type="spellStart"/>
      <w:r w:rsidR="00B615FA">
        <w:rPr>
          <w:rFonts w:ascii="Times New Roman" w:hAnsi="Times New Roman" w:cs="Times New Roman"/>
          <w:color w:val="000000"/>
          <w:lang w:val="en-US"/>
        </w:rPr>
        <w:t>Muzio</w:t>
      </w:r>
      <w:proofErr w:type="spellEnd"/>
      <w:r w:rsidR="00B615FA">
        <w:rPr>
          <w:rFonts w:ascii="Times New Roman" w:hAnsi="Times New Roman" w:cs="Times New Roman"/>
          <w:color w:val="000000"/>
          <w:lang w:val="en-US"/>
        </w:rPr>
        <w:t xml:space="preserve"> et al., 2013</w:t>
      </w:r>
      <w:r w:rsidR="00BB130B">
        <w:rPr>
          <w:rFonts w:ascii="Times New Roman" w:hAnsi="Times New Roman" w:cs="Times New Roman"/>
          <w:color w:val="000000"/>
          <w:lang w:val="en-US"/>
        </w:rPr>
        <w:t xml:space="preserve">). </w:t>
      </w:r>
    </w:p>
    <w:p w14:paraId="31F83288" w14:textId="6B83AD74" w:rsidR="00B84DD0" w:rsidRDefault="00422BEF" w:rsidP="008A4ECE">
      <w:pPr>
        <w:spacing w:line="360" w:lineRule="auto"/>
        <w:ind w:firstLine="708"/>
        <w:jc w:val="both"/>
        <w:rPr>
          <w:rFonts w:ascii="Times New Roman" w:hAnsi="Times New Roman" w:cs="Times New Roman"/>
          <w:color w:val="000000"/>
          <w:lang w:val="en-US"/>
        </w:rPr>
      </w:pPr>
      <w:r w:rsidRPr="00BA4CDD">
        <w:rPr>
          <w:rFonts w:ascii="Times New Roman" w:hAnsi="Times New Roman" w:cs="Times New Roman"/>
          <w:color w:val="000000"/>
          <w:lang w:val="en-US"/>
        </w:rPr>
        <w:t>A</w:t>
      </w:r>
      <w:r w:rsidR="00395966">
        <w:rPr>
          <w:rFonts w:ascii="Times New Roman" w:hAnsi="Times New Roman" w:cs="Times New Roman"/>
          <w:color w:val="000000"/>
          <w:lang w:val="en-US"/>
        </w:rPr>
        <w:t>n additional</w:t>
      </w:r>
      <w:r w:rsidRPr="00BA4CDD">
        <w:rPr>
          <w:rFonts w:ascii="Times New Roman" w:hAnsi="Times New Roman" w:cs="Times New Roman"/>
          <w:color w:val="000000"/>
          <w:lang w:val="en-US"/>
        </w:rPr>
        <w:t xml:space="preserve"> feature of this dynamic is </w:t>
      </w:r>
      <w:r>
        <w:rPr>
          <w:rFonts w:ascii="Times New Roman" w:hAnsi="Times New Roman" w:cs="Times New Roman"/>
          <w:color w:val="000000"/>
          <w:lang w:val="en-US"/>
        </w:rPr>
        <w:t>the way</w:t>
      </w:r>
      <w:r w:rsidRPr="00BA4CDD">
        <w:rPr>
          <w:rFonts w:ascii="Times New Roman" w:hAnsi="Times New Roman" w:cs="Times New Roman"/>
          <w:color w:val="000000"/>
          <w:lang w:val="en-US"/>
        </w:rPr>
        <w:t xml:space="preserve"> </w:t>
      </w:r>
      <w:r w:rsidR="00BB130B">
        <w:rPr>
          <w:rFonts w:ascii="Times New Roman" w:hAnsi="Times New Roman" w:cs="Times New Roman"/>
          <w:color w:val="000000"/>
          <w:lang w:val="en-US"/>
        </w:rPr>
        <w:t xml:space="preserve">in which </w:t>
      </w:r>
      <w:r w:rsidRPr="00BA4CDD">
        <w:rPr>
          <w:rFonts w:ascii="Times New Roman" w:hAnsi="Times New Roman" w:cs="Times New Roman"/>
          <w:color w:val="000000"/>
          <w:lang w:val="en-US"/>
        </w:rPr>
        <w:t xml:space="preserve">professionals seek out new alliances and strategic relationships with institutions </w:t>
      </w:r>
      <w:r w:rsidR="008E1098">
        <w:rPr>
          <w:rFonts w:ascii="Times New Roman" w:hAnsi="Times New Roman" w:cs="Times New Roman"/>
          <w:color w:val="000000"/>
          <w:lang w:val="en-US"/>
        </w:rPr>
        <w:t xml:space="preserve">(or other professionals) </w:t>
      </w:r>
      <w:r w:rsidRPr="00BA4CDD">
        <w:rPr>
          <w:rFonts w:ascii="Times New Roman" w:hAnsi="Times New Roman" w:cs="Times New Roman"/>
          <w:color w:val="000000"/>
          <w:lang w:val="en-US"/>
        </w:rPr>
        <w:t xml:space="preserve">that </w:t>
      </w:r>
      <w:r w:rsidR="00A932FF">
        <w:rPr>
          <w:rFonts w:ascii="Times New Roman" w:hAnsi="Times New Roman" w:cs="Times New Roman"/>
          <w:color w:val="000000"/>
          <w:lang w:val="en-US"/>
        </w:rPr>
        <w:t>they perceive as being able to</w:t>
      </w:r>
      <w:r w:rsidRPr="00BA4CDD">
        <w:rPr>
          <w:rFonts w:ascii="Times New Roman" w:hAnsi="Times New Roman" w:cs="Times New Roman"/>
          <w:color w:val="000000"/>
          <w:lang w:val="en-US"/>
        </w:rPr>
        <w:t xml:space="preserve"> </w:t>
      </w:r>
      <w:r w:rsidR="00395966">
        <w:rPr>
          <w:rFonts w:ascii="Times New Roman" w:hAnsi="Times New Roman" w:cs="Times New Roman"/>
          <w:color w:val="000000"/>
          <w:lang w:val="en-US"/>
        </w:rPr>
        <w:t>facilitate the</w:t>
      </w:r>
      <w:r w:rsidR="005911A7">
        <w:rPr>
          <w:rFonts w:ascii="Times New Roman" w:hAnsi="Times New Roman" w:cs="Times New Roman"/>
          <w:color w:val="000000"/>
          <w:lang w:val="en-US"/>
        </w:rPr>
        <w:t>ir expansionary aims</w:t>
      </w:r>
      <w:r w:rsidR="00395966">
        <w:rPr>
          <w:rFonts w:ascii="Times New Roman" w:hAnsi="Times New Roman" w:cs="Times New Roman"/>
          <w:color w:val="000000"/>
          <w:lang w:val="en-US"/>
        </w:rPr>
        <w:t xml:space="preserve"> </w:t>
      </w:r>
      <w:r w:rsidRPr="00BA4CDD">
        <w:rPr>
          <w:rFonts w:ascii="Times New Roman" w:hAnsi="Times New Roman" w:cs="Times New Roman"/>
          <w:color w:val="000000"/>
          <w:lang w:val="en-US"/>
        </w:rPr>
        <w:t xml:space="preserve">(see, </w:t>
      </w:r>
      <w:r w:rsidR="009113EC">
        <w:rPr>
          <w:rFonts w:ascii="Times New Roman" w:hAnsi="Times New Roman" w:cs="Times New Roman"/>
          <w:color w:val="000000"/>
          <w:lang w:val="en-US"/>
        </w:rPr>
        <w:t>Andon</w:t>
      </w:r>
      <w:r w:rsidR="009B230B">
        <w:rPr>
          <w:rFonts w:ascii="Times New Roman" w:hAnsi="Times New Roman" w:cs="Times New Roman"/>
          <w:color w:val="000000"/>
          <w:lang w:val="en-US"/>
        </w:rPr>
        <w:t xml:space="preserve"> et al., 2015; </w:t>
      </w:r>
      <w:proofErr w:type="spellStart"/>
      <w:r w:rsidRPr="00BA4CDD">
        <w:rPr>
          <w:rFonts w:ascii="Times New Roman" w:hAnsi="Times New Roman" w:cs="Times New Roman"/>
          <w:color w:val="000000"/>
          <w:lang w:val="en-US"/>
        </w:rPr>
        <w:t>Gendron</w:t>
      </w:r>
      <w:proofErr w:type="spellEnd"/>
      <w:r w:rsidRPr="00BA4CDD">
        <w:rPr>
          <w:rFonts w:ascii="Times New Roman" w:hAnsi="Times New Roman" w:cs="Times New Roman"/>
          <w:color w:val="000000"/>
          <w:lang w:val="en-US"/>
        </w:rPr>
        <w:t xml:space="preserve"> and Barrett, 2004; Shafer and </w:t>
      </w:r>
      <w:proofErr w:type="spellStart"/>
      <w:r w:rsidRPr="00BA4CDD">
        <w:rPr>
          <w:rFonts w:ascii="Times New Roman" w:hAnsi="Times New Roman" w:cs="Times New Roman"/>
          <w:color w:val="000000"/>
          <w:lang w:val="en-US"/>
        </w:rPr>
        <w:t>Gendron</w:t>
      </w:r>
      <w:proofErr w:type="spellEnd"/>
      <w:r w:rsidRPr="00BA4CDD">
        <w:rPr>
          <w:rFonts w:ascii="Times New Roman" w:hAnsi="Times New Roman" w:cs="Times New Roman"/>
          <w:color w:val="000000"/>
          <w:lang w:val="en-US"/>
        </w:rPr>
        <w:t xml:space="preserve">, 2005). Consequently, professionals’ efforts are often reciprocated by other powerful actors who stand to gain from </w:t>
      </w:r>
      <w:r w:rsidR="00395966">
        <w:rPr>
          <w:rFonts w:ascii="Times New Roman" w:hAnsi="Times New Roman" w:cs="Times New Roman"/>
          <w:color w:val="000000"/>
          <w:lang w:val="en-US"/>
        </w:rPr>
        <w:t xml:space="preserve">also </w:t>
      </w:r>
      <w:r w:rsidRPr="00BA4CDD">
        <w:rPr>
          <w:rFonts w:ascii="Times New Roman" w:hAnsi="Times New Roman" w:cs="Times New Roman"/>
          <w:color w:val="000000"/>
          <w:lang w:val="en-US"/>
        </w:rPr>
        <w:t>becoming dominant actors in a reconfigured</w:t>
      </w:r>
      <w:r>
        <w:rPr>
          <w:rFonts w:ascii="Times New Roman" w:hAnsi="Times New Roman" w:cs="Times New Roman"/>
          <w:color w:val="000000"/>
          <w:lang w:val="en-US"/>
        </w:rPr>
        <w:t xml:space="preserve"> field</w:t>
      </w:r>
      <w:r w:rsidRPr="00BA4CDD">
        <w:rPr>
          <w:rFonts w:ascii="Times New Roman" w:hAnsi="Times New Roman" w:cs="Times New Roman"/>
          <w:color w:val="000000"/>
          <w:lang w:val="en-US"/>
        </w:rPr>
        <w:t xml:space="preserve">. </w:t>
      </w:r>
      <w:r w:rsidR="00604896">
        <w:rPr>
          <w:rFonts w:ascii="Times New Roman" w:hAnsi="Times New Roman" w:cs="Times New Roman"/>
          <w:color w:val="000000"/>
          <w:lang w:val="en-US"/>
        </w:rPr>
        <w:t xml:space="preserve">Boundary work is </w:t>
      </w:r>
      <w:r w:rsidR="00522298">
        <w:rPr>
          <w:rFonts w:ascii="Times New Roman" w:hAnsi="Times New Roman" w:cs="Times New Roman"/>
          <w:color w:val="000000"/>
          <w:lang w:val="en-US"/>
        </w:rPr>
        <w:t xml:space="preserve">again </w:t>
      </w:r>
      <w:r w:rsidR="00604896">
        <w:rPr>
          <w:rFonts w:ascii="Times New Roman" w:hAnsi="Times New Roman" w:cs="Times New Roman"/>
          <w:color w:val="000000"/>
          <w:lang w:val="en-US"/>
        </w:rPr>
        <w:t xml:space="preserve">central to these processes in that the rhetoric employed assigns distinctive characteristics to the new rule systems indicating </w:t>
      </w:r>
      <w:r w:rsidR="00522298">
        <w:rPr>
          <w:rFonts w:ascii="Times New Roman" w:hAnsi="Times New Roman" w:cs="Times New Roman"/>
          <w:color w:val="000000"/>
          <w:lang w:val="en-US"/>
        </w:rPr>
        <w:t xml:space="preserve">that </w:t>
      </w:r>
      <w:r w:rsidR="00604896">
        <w:rPr>
          <w:rFonts w:ascii="Times New Roman" w:hAnsi="Times New Roman" w:cs="Times New Roman"/>
          <w:color w:val="000000"/>
          <w:lang w:val="en-US"/>
        </w:rPr>
        <w:t xml:space="preserve">only certain professionals are capable of </w:t>
      </w:r>
      <w:r w:rsidR="00B84DD0">
        <w:rPr>
          <w:rFonts w:ascii="Times New Roman" w:hAnsi="Times New Roman" w:cs="Times New Roman"/>
          <w:color w:val="000000"/>
          <w:lang w:val="en-US"/>
        </w:rPr>
        <w:t>comprehending and applying them.</w:t>
      </w:r>
      <w:r w:rsidR="00604896">
        <w:rPr>
          <w:rFonts w:ascii="Times New Roman" w:hAnsi="Times New Roman" w:cs="Times New Roman"/>
          <w:color w:val="000000"/>
          <w:lang w:val="en-US"/>
        </w:rPr>
        <w:t xml:space="preserve"> Disparate prof</w:t>
      </w:r>
      <w:r w:rsidR="005911A7">
        <w:rPr>
          <w:rFonts w:ascii="Times New Roman" w:hAnsi="Times New Roman" w:cs="Times New Roman"/>
          <w:color w:val="000000"/>
          <w:lang w:val="en-US"/>
        </w:rPr>
        <w:t xml:space="preserve">essionals </w:t>
      </w:r>
      <w:r w:rsidR="00987F9F">
        <w:rPr>
          <w:rFonts w:ascii="Times New Roman" w:hAnsi="Times New Roman" w:cs="Times New Roman"/>
          <w:color w:val="000000"/>
          <w:lang w:val="en-US"/>
        </w:rPr>
        <w:t>may</w:t>
      </w:r>
      <w:r w:rsidR="00604896">
        <w:rPr>
          <w:rFonts w:ascii="Times New Roman" w:hAnsi="Times New Roman" w:cs="Times New Roman"/>
          <w:color w:val="000000"/>
          <w:lang w:val="en-US"/>
        </w:rPr>
        <w:t xml:space="preserve"> then coalesce and construct a supporting rhetoric around the rules designed to support their </w:t>
      </w:r>
      <w:r w:rsidR="000B09B7">
        <w:rPr>
          <w:rFonts w:ascii="Times New Roman" w:hAnsi="Times New Roman" w:cs="Times New Roman"/>
          <w:color w:val="000000"/>
          <w:lang w:val="en-US"/>
        </w:rPr>
        <w:t xml:space="preserve">particular </w:t>
      </w:r>
      <w:r w:rsidR="005911A7">
        <w:rPr>
          <w:rFonts w:ascii="Times New Roman" w:hAnsi="Times New Roman" w:cs="Times New Roman"/>
          <w:color w:val="000000"/>
          <w:lang w:val="en-US"/>
        </w:rPr>
        <w:t xml:space="preserve">expertise and </w:t>
      </w:r>
      <w:r w:rsidR="004E3488">
        <w:rPr>
          <w:rFonts w:ascii="Times New Roman" w:hAnsi="Times New Roman" w:cs="Times New Roman"/>
          <w:color w:val="000000"/>
          <w:lang w:val="en-US"/>
        </w:rPr>
        <w:t xml:space="preserve">to </w:t>
      </w:r>
      <w:r w:rsidR="00604896">
        <w:rPr>
          <w:rFonts w:ascii="Times New Roman" w:hAnsi="Times New Roman" w:cs="Times New Roman"/>
          <w:color w:val="000000"/>
          <w:lang w:val="en-US"/>
        </w:rPr>
        <w:t xml:space="preserve">distinguish it from others so </w:t>
      </w:r>
      <w:r w:rsidR="004E3488">
        <w:rPr>
          <w:rFonts w:ascii="Times New Roman" w:hAnsi="Times New Roman" w:cs="Times New Roman"/>
          <w:color w:val="000000"/>
          <w:lang w:val="en-US"/>
        </w:rPr>
        <w:t xml:space="preserve">that </w:t>
      </w:r>
      <w:r w:rsidR="00604896">
        <w:rPr>
          <w:rFonts w:ascii="Times New Roman" w:hAnsi="Times New Roman" w:cs="Times New Roman"/>
          <w:color w:val="000000"/>
          <w:lang w:val="en-US"/>
        </w:rPr>
        <w:t xml:space="preserve">they </w:t>
      </w:r>
      <w:r w:rsidR="002B679C">
        <w:rPr>
          <w:rFonts w:ascii="Times New Roman" w:hAnsi="Times New Roman" w:cs="Times New Roman"/>
          <w:color w:val="000000"/>
          <w:lang w:val="en-US"/>
        </w:rPr>
        <w:t xml:space="preserve">too </w:t>
      </w:r>
      <w:r w:rsidR="00604896">
        <w:rPr>
          <w:rFonts w:ascii="Times New Roman" w:hAnsi="Times New Roman" w:cs="Times New Roman"/>
          <w:color w:val="000000"/>
          <w:lang w:val="en-US"/>
        </w:rPr>
        <w:t xml:space="preserve">can stake a </w:t>
      </w:r>
      <w:r w:rsidR="00604896" w:rsidRPr="004158E0">
        <w:rPr>
          <w:rFonts w:ascii="Times New Roman" w:hAnsi="Times New Roman" w:cs="Times New Roman"/>
          <w:i/>
          <w:color w:val="000000"/>
          <w:lang w:val="en-US"/>
        </w:rPr>
        <w:t>collective</w:t>
      </w:r>
      <w:r w:rsidR="00604896">
        <w:rPr>
          <w:rFonts w:ascii="Times New Roman" w:hAnsi="Times New Roman" w:cs="Times New Roman"/>
          <w:color w:val="000000"/>
          <w:lang w:val="en-US"/>
        </w:rPr>
        <w:t xml:space="preserve"> claim over </w:t>
      </w:r>
      <w:r w:rsidR="005911A7">
        <w:rPr>
          <w:rFonts w:ascii="Times New Roman" w:hAnsi="Times New Roman" w:cs="Times New Roman"/>
          <w:color w:val="000000"/>
          <w:lang w:val="en-US"/>
        </w:rPr>
        <w:t xml:space="preserve">proposed </w:t>
      </w:r>
      <w:r w:rsidR="00604896">
        <w:rPr>
          <w:rFonts w:ascii="Times New Roman" w:hAnsi="Times New Roman" w:cs="Times New Roman"/>
          <w:color w:val="000000"/>
          <w:lang w:val="en-US"/>
        </w:rPr>
        <w:t xml:space="preserve">practices (Mikes, 2012). </w:t>
      </w:r>
      <w:r w:rsidR="00BC518F">
        <w:rPr>
          <w:rFonts w:ascii="Times New Roman" w:hAnsi="Times New Roman" w:cs="Times New Roman"/>
          <w:color w:val="000000"/>
          <w:lang w:val="en-US"/>
        </w:rPr>
        <w:t xml:space="preserve">This form of boundary work </w:t>
      </w:r>
      <w:r w:rsidR="005911A7">
        <w:rPr>
          <w:rFonts w:ascii="Times New Roman" w:hAnsi="Times New Roman" w:cs="Times New Roman"/>
          <w:color w:val="000000"/>
          <w:lang w:val="en-US"/>
        </w:rPr>
        <w:t xml:space="preserve">also </w:t>
      </w:r>
      <w:r w:rsidR="00BC518F">
        <w:rPr>
          <w:rFonts w:ascii="Times New Roman" w:hAnsi="Times New Roman" w:cs="Times New Roman"/>
          <w:color w:val="000000"/>
          <w:lang w:val="en-US"/>
        </w:rPr>
        <w:t>seek</w:t>
      </w:r>
      <w:r w:rsidR="004E3488">
        <w:rPr>
          <w:rFonts w:ascii="Times New Roman" w:hAnsi="Times New Roman" w:cs="Times New Roman"/>
          <w:color w:val="000000"/>
          <w:lang w:val="en-US"/>
        </w:rPr>
        <w:t>s</w:t>
      </w:r>
      <w:r w:rsidR="00BC518F">
        <w:rPr>
          <w:rFonts w:ascii="Times New Roman" w:hAnsi="Times New Roman" w:cs="Times New Roman"/>
          <w:color w:val="000000"/>
          <w:lang w:val="en-US"/>
        </w:rPr>
        <w:t xml:space="preserve"> to shape domains by controlling the types of difference permitted among complementary professional groups operating within them</w:t>
      </w:r>
      <w:r w:rsidR="00B84DD0">
        <w:rPr>
          <w:rFonts w:ascii="Times New Roman" w:hAnsi="Times New Roman" w:cs="Times New Roman"/>
          <w:color w:val="000000"/>
          <w:lang w:val="en-US"/>
        </w:rPr>
        <w:t>,</w:t>
      </w:r>
      <w:r w:rsidR="00BC518F">
        <w:rPr>
          <w:rFonts w:ascii="Times New Roman" w:hAnsi="Times New Roman" w:cs="Times New Roman"/>
          <w:color w:val="000000"/>
          <w:lang w:val="en-US"/>
        </w:rPr>
        <w:t xml:space="preserve"> thereby preventing fragmentation (Llewellyn, 1998). </w:t>
      </w:r>
      <w:r w:rsidR="00364D24" w:rsidRPr="00364D24">
        <w:rPr>
          <w:rFonts w:ascii="Times New Roman" w:hAnsi="Times New Roman" w:cs="Times New Roman"/>
          <w:color w:val="000000"/>
          <w:lang w:val="en-US"/>
        </w:rPr>
        <w:t xml:space="preserve">For example, Loft et al. (2006) unveiled the reciprocal efforts of numerous related </w:t>
      </w:r>
      <w:r w:rsidR="00604896">
        <w:rPr>
          <w:rFonts w:ascii="Times New Roman" w:hAnsi="Times New Roman" w:cs="Times New Roman"/>
          <w:color w:val="000000"/>
          <w:lang w:val="en-US"/>
        </w:rPr>
        <w:t xml:space="preserve">professional </w:t>
      </w:r>
      <w:r w:rsidR="00364D24" w:rsidRPr="00364D24">
        <w:rPr>
          <w:rFonts w:ascii="Times New Roman" w:hAnsi="Times New Roman" w:cs="Times New Roman"/>
          <w:color w:val="000000"/>
          <w:lang w:val="en-US"/>
        </w:rPr>
        <w:t xml:space="preserve">actors, such as IFAC, the European Commission, the World Bank, and the International </w:t>
      </w:r>
      <w:r w:rsidR="006C247B">
        <w:rPr>
          <w:rFonts w:ascii="Times New Roman" w:hAnsi="Times New Roman" w:cs="Times New Roman"/>
          <w:color w:val="000000"/>
          <w:lang w:val="en-US"/>
        </w:rPr>
        <w:t>Organization</w:t>
      </w:r>
      <w:r w:rsidR="00364D24" w:rsidRPr="00364D24">
        <w:rPr>
          <w:rFonts w:ascii="Times New Roman" w:hAnsi="Times New Roman" w:cs="Times New Roman"/>
          <w:color w:val="000000"/>
          <w:lang w:val="en-US"/>
        </w:rPr>
        <w:t xml:space="preserve"> of Securities Commissions, in constructing a regulatory scheme for global finance </w:t>
      </w:r>
      <w:r w:rsidR="00604896">
        <w:rPr>
          <w:rFonts w:ascii="Times New Roman" w:hAnsi="Times New Roman" w:cs="Times New Roman"/>
          <w:color w:val="000000"/>
          <w:lang w:val="en-US"/>
        </w:rPr>
        <w:t xml:space="preserve">underpinned by a rhetoric </w:t>
      </w:r>
      <w:r w:rsidR="00364D24" w:rsidRPr="00364D24">
        <w:rPr>
          <w:rFonts w:ascii="Times New Roman" w:hAnsi="Times New Roman" w:cs="Times New Roman"/>
          <w:color w:val="000000"/>
          <w:lang w:val="en-US"/>
        </w:rPr>
        <w:t>that</w:t>
      </w:r>
      <w:r w:rsidR="005D7F78">
        <w:rPr>
          <w:rFonts w:ascii="Times New Roman" w:hAnsi="Times New Roman" w:cs="Times New Roman"/>
          <w:color w:val="000000"/>
          <w:lang w:val="en-US"/>
        </w:rPr>
        <w:t xml:space="preserve"> sought</w:t>
      </w:r>
      <w:r w:rsidR="00364D24" w:rsidRPr="00364D24">
        <w:rPr>
          <w:rFonts w:ascii="Times New Roman" w:hAnsi="Times New Roman" w:cs="Times New Roman"/>
          <w:color w:val="000000"/>
          <w:lang w:val="en-US"/>
        </w:rPr>
        <w:t xml:space="preserve"> to consolidate these actors as dominant coercive institutions in the emerging field of global financial transactions</w:t>
      </w:r>
      <w:r w:rsidR="0004351F">
        <w:rPr>
          <w:rFonts w:ascii="Times New Roman" w:hAnsi="Times New Roman" w:cs="Times New Roman"/>
          <w:color w:val="000000"/>
          <w:lang w:val="en-US"/>
        </w:rPr>
        <w:t>.</w:t>
      </w:r>
      <w:r w:rsidR="00364D24" w:rsidRPr="00364D24">
        <w:rPr>
          <w:rFonts w:ascii="Times New Roman" w:hAnsi="Times New Roman" w:cs="Times New Roman"/>
          <w:color w:val="000000"/>
          <w:lang w:val="en-US"/>
        </w:rPr>
        <w:t xml:space="preserve"> </w:t>
      </w:r>
    </w:p>
    <w:p w14:paraId="67EBA4F3" w14:textId="74DC53E2" w:rsidR="00562427" w:rsidRPr="00B32829" w:rsidRDefault="004E3488" w:rsidP="00B32829">
      <w:pPr>
        <w:spacing w:line="360" w:lineRule="auto"/>
        <w:ind w:firstLine="708"/>
        <w:jc w:val="both"/>
        <w:rPr>
          <w:rFonts w:ascii="Times New Roman" w:hAnsi="Times New Roman" w:cs="Times New Roman"/>
          <w:color w:val="000000"/>
          <w:lang w:val="en-US"/>
        </w:rPr>
      </w:pPr>
      <w:r>
        <w:rPr>
          <w:rFonts w:ascii="Times New Roman" w:hAnsi="Times New Roman" w:cs="Times New Roman"/>
          <w:color w:val="000000"/>
          <w:lang w:val="en-US"/>
        </w:rPr>
        <w:t>This type</w:t>
      </w:r>
      <w:r w:rsidR="00B84DD0">
        <w:rPr>
          <w:rFonts w:ascii="Times New Roman" w:hAnsi="Times New Roman" w:cs="Times New Roman"/>
          <w:color w:val="000000"/>
          <w:lang w:val="en-US"/>
        </w:rPr>
        <w:t xml:space="preserve"> of work </w:t>
      </w:r>
      <w:r w:rsidR="007042FD">
        <w:rPr>
          <w:rFonts w:ascii="Times New Roman" w:hAnsi="Times New Roman" w:cs="Times New Roman"/>
          <w:color w:val="000000"/>
          <w:lang w:val="en-US"/>
        </w:rPr>
        <w:t>i</w:t>
      </w:r>
      <w:r w:rsidR="00B84DD0">
        <w:rPr>
          <w:rFonts w:ascii="Times New Roman" w:hAnsi="Times New Roman" w:cs="Times New Roman"/>
          <w:color w:val="000000"/>
          <w:lang w:val="en-US"/>
        </w:rPr>
        <w:t xml:space="preserve">s, however, </w:t>
      </w:r>
      <w:r w:rsidR="00EF0F0B">
        <w:rPr>
          <w:rFonts w:ascii="Times New Roman" w:hAnsi="Times New Roman" w:cs="Times New Roman"/>
          <w:color w:val="000000"/>
          <w:lang w:val="en-US"/>
        </w:rPr>
        <w:t xml:space="preserve">highly challenging and </w:t>
      </w:r>
      <w:r w:rsidR="006C247B">
        <w:rPr>
          <w:rFonts w:ascii="Times New Roman" w:hAnsi="Times New Roman" w:cs="Times New Roman"/>
          <w:color w:val="000000"/>
          <w:lang w:val="en-US"/>
        </w:rPr>
        <w:t>can</w:t>
      </w:r>
      <w:r w:rsidR="00EF0F0B">
        <w:rPr>
          <w:rFonts w:ascii="Times New Roman" w:hAnsi="Times New Roman" w:cs="Times New Roman"/>
          <w:color w:val="000000"/>
          <w:lang w:val="en-US"/>
        </w:rPr>
        <w:t xml:space="preserve"> </w:t>
      </w:r>
      <w:r w:rsidR="0072333D">
        <w:rPr>
          <w:rFonts w:ascii="Times New Roman" w:hAnsi="Times New Roman" w:cs="Times New Roman"/>
          <w:color w:val="000000"/>
          <w:lang w:val="en-US"/>
        </w:rPr>
        <w:t xml:space="preserve">ultimately </w:t>
      </w:r>
      <w:r w:rsidR="00EF0F0B">
        <w:rPr>
          <w:rFonts w:ascii="Times New Roman" w:hAnsi="Times New Roman" w:cs="Times New Roman"/>
          <w:color w:val="000000"/>
          <w:lang w:val="en-US"/>
        </w:rPr>
        <w:t>fail. For example, accountants</w:t>
      </w:r>
      <w:r w:rsidR="00B84DD0">
        <w:rPr>
          <w:rFonts w:ascii="Times New Roman" w:hAnsi="Times New Roman" w:cs="Times New Roman"/>
          <w:color w:val="000000"/>
          <w:lang w:val="en-US"/>
        </w:rPr>
        <w:t>’</w:t>
      </w:r>
      <w:r w:rsidR="00EF0F0B">
        <w:rPr>
          <w:rFonts w:ascii="Times New Roman" w:hAnsi="Times New Roman" w:cs="Times New Roman"/>
          <w:color w:val="000000"/>
          <w:lang w:val="en-US"/>
        </w:rPr>
        <w:t xml:space="preserve"> attempts to develop a new market in e-commerce assurance based on their claims to exclusive professional expertise through what was known as the </w:t>
      </w:r>
      <w:proofErr w:type="spellStart"/>
      <w:r w:rsidR="00EF0F0B">
        <w:rPr>
          <w:rFonts w:ascii="Times New Roman" w:hAnsi="Times New Roman" w:cs="Times New Roman"/>
          <w:color w:val="000000"/>
          <w:lang w:val="en-US"/>
        </w:rPr>
        <w:t>WebTrust</w:t>
      </w:r>
      <w:proofErr w:type="spellEnd"/>
      <w:r w:rsidR="00EF0F0B">
        <w:rPr>
          <w:rFonts w:ascii="Times New Roman" w:hAnsi="Times New Roman" w:cs="Times New Roman"/>
          <w:color w:val="000000"/>
          <w:lang w:val="en-US"/>
        </w:rPr>
        <w:t xml:space="preserve"> project (Barrett and </w:t>
      </w:r>
      <w:proofErr w:type="spellStart"/>
      <w:r w:rsidR="00EF0F0B">
        <w:rPr>
          <w:rFonts w:ascii="Times New Roman" w:hAnsi="Times New Roman" w:cs="Times New Roman"/>
          <w:color w:val="000000"/>
          <w:lang w:val="en-US"/>
        </w:rPr>
        <w:lastRenderedPageBreak/>
        <w:t>Gendron</w:t>
      </w:r>
      <w:proofErr w:type="spellEnd"/>
      <w:r w:rsidR="00EF0F0B">
        <w:rPr>
          <w:rFonts w:ascii="Times New Roman" w:hAnsi="Times New Roman" w:cs="Times New Roman"/>
          <w:color w:val="000000"/>
          <w:lang w:val="en-US"/>
        </w:rPr>
        <w:t xml:space="preserve">, 2006; </w:t>
      </w:r>
      <w:proofErr w:type="spellStart"/>
      <w:r w:rsidR="00EF0F0B">
        <w:rPr>
          <w:rFonts w:ascii="Times New Roman" w:hAnsi="Times New Roman" w:cs="Times New Roman"/>
          <w:color w:val="000000"/>
          <w:lang w:val="en-US"/>
        </w:rPr>
        <w:t>Gendron</w:t>
      </w:r>
      <w:proofErr w:type="spellEnd"/>
      <w:r w:rsidR="00EF0F0B">
        <w:rPr>
          <w:rFonts w:ascii="Times New Roman" w:hAnsi="Times New Roman" w:cs="Times New Roman"/>
          <w:color w:val="000000"/>
          <w:lang w:val="en-US"/>
        </w:rPr>
        <w:t xml:space="preserve"> and Barrett, 2004)</w:t>
      </w:r>
      <w:r w:rsidR="00270C11">
        <w:rPr>
          <w:rFonts w:ascii="Times New Roman" w:hAnsi="Times New Roman" w:cs="Times New Roman"/>
          <w:color w:val="000000"/>
          <w:lang w:val="en-US"/>
        </w:rPr>
        <w:t xml:space="preserve"> </w:t>
      </w:r>
      <w:r w:rsidR="006C247B">
        <w:rPr>
          <w:rFonts w:ascii="Times New Roman" w:hAnsi="Times New Roman" w:cs="Times New Roman"/>
          <w:color w:val="000000"/>
          <w:lang w:val="en-US"/>
        </w:rPr>
        <w:t xml:space="preserve">notably </w:t>
      </w:r>
      <w:r w:rsidR="00522298">
        <w:rPr>
          <w:rFonts w:ascii="Times New Roman" w:hAnsi="Times New Roman" w:cs="Times New Roman"/>
          <w:color w:val="000000"/>
          <w:lang w:val="en-US"/>
        </w:rPr>
        <w:t xml:space="preserve">did not </w:t>
      </w:r>
      <w:r w:rsidR="00EF0F0B">
        <w:rPr>
          <w:rFonts w:ascii="Times New Roman" w:hAnsi="Times New Roman" w:cs="Times New Roman"/>
          <w:color w:val="000000"/>
          <w:lang w:val="en-US"/>
        </w:rPr>
        <w:t>gain widespread support</w:t>
      </w:r>
      <w:r w:rsidR="00492D65">
        <w:rPr>
          <w:rFonts w:ascii="Times New Roman" w:hAnsi="Times New Roman" w:cs="Times New Roman"/>
          <w:color w:val="000000"/>
          <w:lang w:val="en-US"/>
        </w:rPr>
        <w:t>. This was</w:t>
      </w:r>
      <w:r w:rsidR="00EF0F0B">
        <w:rPr>
          <w:rFonts w:ascii="Times New Roman" w:hAnsi="Times New Roman" w:cs="Times New Roman"/>
          <w:color w:val="000000"/>
          <w:lang w:val="en-US"/>
        </w:rPr>
        <w:t xml:space="preserve"> partly</w:t>
      </w:r>
      <w:r w:rsidR="00492D65">
        <w:rPr>
          <w:rFonts w:ascii="Times New Roman" w:hAnsi="Times New Roman" w:cs="Times New Roman"/>
          <w:color w:val="000000"/>
          <w:lang w:val="en-US"/>
        </w:rPr>
        <w:t xml:space="preserve"> due to</w:t>
      </w:r>
      <w:r w:rsidR="00EF0F0B">
        <w:rPr>
          <w:rFonts w:ascii="Times New Roman" w:hAnsi="Times New Roman" w:cs="Times New Roman"/>
          <w:color w:val="000000"/>
          <w:lang w:val="en-US"/>
        </w:rPr>
        <w:t xml:space="preserve"> </w:t>
      </w:r>
      <w:r w:rsidR="00B84DD0">
        <w:rPr>
          <w:rFonts w:ascii="Times New Roman" w:hAnsi="Times New Roman" w:cs="Times New Roman"/>
          <w:color w:val="000000"/>
          <w:lang w:val="en-US"/>
        </w:rPr>
        <w:t>the</w:t>
      </w:r>
      <w:r w:rsidR="00522298">
        <w:rPr>
          <w:rFonts w:ascii="Times New Roman" w:hAnsi="Times New Roman" w:cs="Times New Roman"/>
          <w:color w:val="000000"/>
          <w:lang w:val="en-US"/>
        </w:rPr>
        <w:t xml:space="preserve"> </w:t>
      </w:r>
      <w:r w:rsidR="00EF0F0B">
        <w:rPr>
          <w:rFonts w:ascii="Times New Roman" w:hAnsi="Times New Roman" w:cs="Times New Roman"/>
          <w:color w:val="000000"/>
          <w:lang w:val="en-US"/>
        </w:rPr>
        <w:t xml:space="preserve">overt promotion of </w:t>
      </w:r>
      <w:r w:rsidR="00270C11">
        <w:rPr>
          <w:rFonts w:ascii="Times New Roman" w:hAnsi="Times New Roman" w:cs="Times New Roman"/>
          <w:color w:val="000000"/>
          <w:lang w:val="en-US"/>
        </w:rPr>
        <w:t xml:space="preserve">a </w:t>
      </w:r>
      <w:r w:rsidR="007042FD">
        <w:rPr>
          <w:rFonts w:ascii="Times New Roman" w:hAnsi="Times New Roman" w:cs="Times New Roman"/>
          <w:color w:val="000000"/>
          <w:lang w:val="en-US"/>
        </w:rPr>
        <w:t xml:space="preserve">more explicit </w:t>
      </w:r>
      <w:r w:rsidR="00270C11">
        <w:rPr>
          <w:rFonts w:ascii="Times New Roman" w:hAnsi="Times New Roman" w:cs="Times New Roman"/>
          <w:color w:val="000000"/>
          <w:lang w:val="en-US"/>
        </w:rPr>
        <w:t xml:space="preserve">commercial </w:t>
      </w:r>
      <w:r w:rsidR="00EF0F0B">
        <w:rPr>
          <w:rFonts w:ascii="Times New Roman" w:hAnsi="Times New Roman" w:cs="Times New Roman"/>
          <w:color w:val="000000"/>
          <w:lang w:val="en-US"/>
        </w:rPr>
        <w:t xml:space="preserve">logic in the professional accounting field. </w:t>
      </w:r>
    </w:p>
    <w:p w14:paraId="0D3BEE4B" w14:textId="4E461E49" w:rsidR="00422BEF" w:rsidRPr="004E3488" w:rsidRDefault="001A6AF0" w:rsidP="00422BEF">
      <w:pPr>
        <w:spacing w:line="360" w:lineRule="auto"/>
        <w:rPr>
          <w:rFonts w:ascii="Times New Roman" w:hAnsi="Times New Roman" w:cs="Times New Roman"/>
          <w:bCs/>
          <w:i/>
          <w:lang w:val="en-US"/>
        </w:rPr>
      </w:pPr>
      <w:r w:rsidRPr="004E3488">
        <w:rPr>
          <w:rFonts w:ascii="Times New Roman" w:hAnsi="Times New Roman" w:cs="Times New Roman"/>
          <w:bCs/>
          <w:i/>
          <w:lang w:val="en-US"/>
        </w:rPr>
        <w:t>2.</w:t>
      </w:r>
      <w:r w:rsidR="00B91098">
        <w:rPr>
          <w:rFonts w:ascii="Times New Roman" w:hAnsi="Times New Roman" w:cs="Times New Roman"/>
          <w:bCs/>
          <w:i/>
          <w:lang w:val="en-US"/>
        </w:rPr>
        <w:t>1</w:t>
      </w:r>
      <w:r w:rsidR="003047DB">
        <w:rPr>
          <w:rFonts w:ascii="Times New Roman" w:hAnsi="Times New Roman" w:cs="Times New Roman"/>
          <w:bCs/>
          <w:i/>
          <w:lang w:val="en-US"/>
        </w:rPr>
        <w:t>.</w:t>
      </w:r>
      <w:r w:rsidRPr="004E3488">
        <w:rPr>
          <w:rFonts w:ascii="Times New Roman" w:hAnsi="Times New Roman" w:cs="Times New Roman"/>
          <w:bCs/>
          <w:i/>
          <w:lang w:val="en-US"/>
        </w:rPr>
        <w:t>4</w:t>
      </w:r>
      <w:r w:rsidRPr="004E3488">
        <w:rPr>
          <w:rFonts w:ascii="Times New Roman" w:hAnsi="Times New Roman" w:cs="Times New Roman"/>
          <w:bCs/>
          <w:i/>
          <w:lang w:val="en-US"/>
        </w:rPr>
        <w:tab/>
      </w:r>
      <w:r w:rsidR="004E3488">
        <w:rPr>
          <w:rFonts w:ascii="Times New Roman" w:hAnsi="Times New Roman" w:cs="Times New Roman"/>
          <w:bCs/>
          <w:i/>
          <w:lang w:val="en-US"/>
        </w:rPr>
        <w:t xml:space="preserve">  </w:t>
      </w:r>
      <w:r w:rsidR="00422BEF" w:rsidRPr="004E3488">
        <w:rPr>
          <w:rFonts w:ascii="Times New Roman" w:hAnsi="Times New Roman" w:cs="Times New Roman"/>
          <w:bCs/>
          <w:i/>
          <w:lang w:val="en-US"/>
        </w:rPr>
        <w:t>Managing the reproduction of professional capital</w:t>
      </w:r>
    </w:p>
    <w:p w14:paraId="4F317E79" w14:textId="47C1AE39" w:rsidR="00422BEF" w:rsidRDefault="00D11F69" w:rsidP="00B84FA0">
      <w:pPr>
        <w:spacing w:line="360" w:lineRule="auto"/>
        <w:ind w:firstLine="708"/>
        <w:jc w:val="both"/>
        <w:rPr>
          <w:rFonts w:ascii="Times New Roman" w:hAnsi="Times New Roman" w:cs="Times New Roman"/>
          <w:color w:val="000000"/>
          <w:lang w:val="en-US"/>
        </w:rPr>
      </w:pPr>
      <w:r>
        <w:rPr>
          <w:rFonts w:ascii="Times New Roman" w:hAnsi="Times New Roman" w:cs="Times New Roman"/>
          <w:lang w:val="en-US"/>
        </w:rPr>
        <w:t xml:space="preserve">Suddaby and </w:t>
      </w:r>
      <w:proofErr w:type="spellStart"/>
      <w:r>
        <w:rPr>
          <w:rFonts w:ascii="Times New Roman" w:hAnsi="Times New Roman" w:cs="Times New Roman"/>
          <w:lang w:val="en-US"/>
        </w:rPr>
        <w:t>Viale’s</w:t>
      </w:r>
      <w:proofErr w:type="spellEnd"/>
      <w:r>
        <w:rPr>
          <w:rFonts w:ascii="Times New Roman" w:hAnsi="Times New Roman" w:cs="Times New Roman"/>
          <w:lang w:val="en-US"/>
        </w:rPr>
        <w:t xml:space="preserve"> fourth dynamic relates to the broad-based capacity that p</w:t>
      </w:r>
      <w:r w:rsidR="00422BEF" w:rsidRPr="00BA4CDD">
        <w:rPr>
          <w:rFonts w:ascii="Times New Roman" w:hAnsi="Times New Roman" w:cs="Times New Roman"/>
          <w:lang w:val="en-US"/>
        </w:rPr>
        <w:t>rofessionals</w:t>
      </w:r>
      <w:r w:rsidR="00787D7A">
        <w:rPr>
          <w:rFonts w:ascii="Times New Roman" w:hAnsi="Times New Roman" w:cs="Times New Roman"/>
          <w:lang w:val="en-US"/>
        </w:rPr>
        <w:t xml:space="preserve"> </w:t>
      </w:r>
      <w:r>
        <w:rPr>
          <w:rFonts w:ascii="Times New Roman" w:hAnsi="Times New Roman" w:cs="Times New Roman"/>
          <w:lang w:val="en-US"/>
        </w:rPr>
        <w:t xml:space="preserve">have to </w:t>
      </w:r>
      <w:r w:rsidR="00422BEF" w:rsidRPr="00BA4CDD">
        <w:rPr>
          <w:rFonts w:ascii="Times New Roman" w:hAnsi="Times New Roman" w:cs="Times New Roman"/>
          <w:lang w:val="en-US"/>
        </w:rPr>
        <w:t>manipulat</w:t>
      </w:r>
      <w:r>
        <w:rPr>
          <w:rFonts w:ascii="Times New Roman" w:hAnsi="Times New Roman" w:cs="Times New Roman"/>
          <w:lang w:val="en-US"/>
        </w:rPr>
        <w:t>e</w:t>
      </w:r>
      <w:r w:rsidR="00422BEF" w:rsidRPr="00BA4CDD">
        <w:rPr>
          <w:rFonts w:ascii="Times New Roman" w:hAnsi="Times New Roman" w:cs="Times New Roman"/>
          <w:lang w:val="en-US"/>
        </w:rPr>
        <w:t xml:space="preserve"> the social order within an organizational field. This ability </w:t>
      </w:r>
      <w:r w:rsidR="000B09B7">
        <w:rPr>
          <w:rFonts w:ascii="Times New Roman" w:hAnsi="Times New Roman" w:cs="Times New Roman"/>
          <w:lang w:val="en-US"/>
        </w:rPr>
        <w:t xml:space="preserve">- </w:t>
      </w:r>
      <w:r w:rsidR="00422BEF" w:rsidRPr="00BA4CDD">
        <w:rPr>
          <w:rFonts w:ascii="Times New Roman" w:hAnsi="Times New Roman" w:cs="Times New Roman"/>
          <w:lang w:val="en-US"/>
        </w:rPr>
        <w:t>or ‘social skill’</w:t>
      </w:r>
      <w:r w:rsidR="00412687">
        <w:rPr>
          <w:rFonts w:ascii="Times New Roman" w:hAnsi="Times New Roman" w:cs="Times New Roman"/>
          <w:lang w:val="en-US"/>
        </w:rPr>
        <w:t xml:space="preserve"> </w:t>
      </w:r>
      <w:r w:rsidR="003302A6">
        <w:rPr>
          <w:rFonts w:ascii="Times New Roman" w:hAnsi="Times New Roman" w:cs="Times New Roman"/>
          <w:lang w:val="en-US"/>
        </w:rPr>
        <w:t>(</w:t>
      </w:r>
      <w:proofErr w:type="spellStart"/>
      <w:r w:rsidR="003302A6">
        <w:rPr>
          <w:rFonts w:ascii="Times New Roman" w:hAnsi="Times New Roman" w:cs="Times New Roman"/>
          <w:lang w:val="en-US"/>
        </w:rPr>
        <w:t>Fligstein</w:t>
      </w:r>
      <w:proofErr w:type="spellEnd"/>
      <w:r w:rsidR="003302A6">
        <w:rPr>
          <w:rFonts w:ascii="Times New Roman" w:hAnsi="Times New Roman" w:cs="Times New Roman"/>
          <w:lang w:val="en-US"/>
        </w:rPr>
        <w:t>, 1996)</w:t>
      </w:r>
      <w:r w:rsidR="000B09B7">
        <w:rPr>
          <w:rFonts w:ascii="Times New Roman" w:hAnsi="Times New Roman" w:cs="Times New Roman"/>
          <w:lang w:val="en-US"/>
        </w:rPr>
        <w:t xml:space="preserve"> -</w:t>
      </w:r>
      <w:r w:rsidR="003302A6">
        <w:rPr>
          <w:rFonts w:ascii="Times New Roman" w:hAnsi="Times New Roman" w:cs="Times New Roman"/>
          <w:lang w:val="en-US"/>
        </w:rPr>
        <w:t xml:space="preserve"> </w:t>
      </w:r>
      <w:r w:rsidR="00422BEF" w:rsidRPr="00BA4CDD">
        <w:rPr>
          <w:rFonts w:ascii="Times New Roman" w:hAnsi="Times New Roman" w:cs="Times New Roman"/>
          <w:lang w:val="en-US"/>
        </w:rPr>
        <w:t xml:space="preserve">is largely based on their unique access to a wide range of capitals within a field, such as social, cultural and symbolic capital, and their ability to move between these capitals. Access to </w:t>
      </w:r>
      <w:r w:rsidR="00522298">
        <w:rPr>
          <w:rFonts w:ascii="Times New Roman" w:hAnsi="Times New Roman" w:cs="Times New Roman"/>
          <w:lang w:val="en-US"/>
        </w:rPr>
        <w:t>such</w:t>
      </w:r>
      <w:r w:rsidR="00522298" w:rsidRPr="00BA4CDD">
        <w:rPr>
          <w:rFonts w:ascii="Times New Roman" w:hAnsi="Times New Roman" w:cs="Times New Roman"/>
          <w:lang w:val="en-US"/>
        </w:rPr>
        <w:t xml:space="preserve"> </w:t>
      </w:r>
      <w:r w:rsidR="00422BEF" w:rsidRPr="00BA4CDD">
        <w:rPr>
          <w:rFonts w:ascii="Times New Roman" w:hAnsi="Times New Roman" w:cs="Times New Roman"/>
          <w:lang w:val="en-US"/>
        </w:rPr>
        <w:t xml:space="preserve">capitals derives from </w:t>
      </w:r>
      <w:r w:rsidR="00422BEF">
        <w:rPr>
          <w:rFonts w:ascii="Times New Roman" w:hAnsi="Times New Roman" w:cs="Times New Roman"/>
          <w:lang w:val="en-US"/>
        </w:rPr>
        <w:t>a</w:t>
      </w:r>
      <w:r w:rsidR="00422BEF" w:rsidRPr="00BA4CDD">
        <w:rPr>
          <w:rFonts w:ascii="Times New Roman" w:hAnsi="Times New Roman" w:cs="Times New Roman"/>
          <w:color w:val="000000"/>
          <w:lang w:val="en-US"/>
        </w:rPr>
        <w:t xml:space="preserve"> long history </w:t>
      </w:r>
      <w:r w:rsidR="00787D7A">
        <w:rPr>
          <w:rFonts w:ascii="Times New Roman" w:hAnsi="Times New Roman" w:cs="Times New Roman"/>
          <w:color w:val="000000"/>
          <w:lang w:val="en-US"/>
        </w:rPr>
        <w:t>of</w:t>
      </w:r>
      <w:r w:rsidR="00422BEF" w:rsidRPr="00BA4CDD">
        <w:rPr>
          <w:rFonts w:ascii="Times New Roman" w:hAnsi="Times New Roman" w:cs="Times New Roman"/>
          <w:color w:val="000000"/>
          <w:lang w:val="en-US"/>
        </w:rPr>
        <w:t xml:space="preserve"> serving elites which </w:t>
      </w:r>
      <w:r w:rsidR="00422BEF">
        <w:rPr>
          <w:rFonts w:ascii="Times New Roman" w:hAnsi="Times New Roman" w:cs="Times New Roman"/>
          <w:color w:val="000000"/>
          <w:lang w:val="en-US"/>
        </w:rPr>
        <w:t>insti</w:t>
      </w:r>
      <w:r w:rsidR="00B84FA0">
        <w:rPr>
          <w:rFonts w:ascii="Times New Roman" w:hAnsi="Times New Roman" w:cs="Times New Roman"/>
          <w:color w:val="000000"/>
          <w:lang w:val="en-US"/>
        </w:rPr>
        <w:t>l</w:t>
      </w:r>
      <w:r w:rsidR="00422BEF">
        <w:rPr>
          <w:rFonts w:ascii="Times New Roman" w:hAnsi="Times New Roman" w:cs="Times New Roman"/>
          <w:color w:val="000000"/>
          <w:lang w:val="en-US"/>
        </w:rPr>
        <w:t>s a</w:t>
      </w:r>
      <w:r w:rsidR="00CD0156">
        <w:rPr>
          <w:rFonts w:ascii="Times New Roman" w:hAnsi="Times New Roman" w:cs="Times New Roman"/>
          <w:color w:val="000000"/>
          <w:lang w:val="en-US"/>
        </w:rPr>
        <w:t xml:space="preserve"> </w:t>
      </w:r>
      <w:r w:rsidR="00422BEF">
        <w:rPr>
          <w:rFonts w:ascii="Times New Roman" w:hAnsi="Times New Roman" w:cs="Times New Roman"/>
          <w:color w:val="000000"/>
          <w:lang w:val="en-US"/>
        </w:rPr>
        <w:t xml:space="preserve">sensitivity to, and a capability to reproduce, </w:t>
      </w:r>
      <w:r w:rsidR="00422BEF" w:rsidRPr="00BA4CDD">
        <w:rPr>
          <w:rFonts w:ascii="Times New Roman" w:hAnsi="Times New Roman" w:cs="Times New Roman"/>
          <w:color w:val="000000"/>
          <w:lang w:val="en-US"/>
        </w:rPr>
        <w:t>social stru</w:t>
      </w:r>
      <w:r w:rsidR="003047DB">
        <w:rPr>
          <w:rFonts w:ascii="Times New Roman" w:hAnsi="Times New Roman" w:cs="Times New Roman"/>
          <w:color w:val="000000"/>
          <w:lang w:val="en-US"/>
        </w:rPr>
        <w:t>ctures of hierarchy and status.</w:t>
      </w:r>
    </w:p>
    <w:p w14:paraId="68C84AB4" w14:textId="49F5261B" w:rsidR="00255592" w:rsidRDefault="00C86335" w:rsidP="00B84FA0">
      <w:pPr>
        <w:spacing w:line="360" w:lineRule="auto"/>
        <w:ind w:firstLine="708"/>
        <w:jc w:val="both"/>
        <w:rPr>
          <w:rFonts w:ascii="Times New Roman" w:hAnsi="Times New Roman" w:cs="Times New Roman"/>
          <w:color w:val="000000"/>
          <w:sz w:val="20"/>
          <w:szCs w:val="20"/>
          <w:lang w:val="en-US"/>
        </w:rPr>
      </w:pPr>
      <w:r>
        <w:rPr>
          <w:rFonts w:ascii="Times New Roman" w:hAnsi="Times New Roman" w:cs="Times New Roman"/>
          <w:color w:val="000000"/>
          <w:lang w:val="en-US"/>
        </w:rPr>
        <w:t xml:space="preserve">Boundary work </w:t>
      </w:r>
      <w:r w:rsidR="006F3745">
        <w:rPr>
          <w:rFonts w:ascii="Times New Roman" w:hAnsi="Times New Roman" w:cs="Times New Roman"/>
          <w:color w:val="000000"/>
          <w:lang w:val="en-US"/>
        </w:rPr>
        <w:t xml:space="preserve">is </w:t>
      </w:r>
      <w:r w:rsidR="00B91098">
        <w:rPr>
          <w:rFonts w:ascii="Times New Roman" w:hAnsi="Times New Roman" w:cs="Times New Roman"/>
          <w:color w:val="000000"/>
          <w:lang w:val="en-US"/>
        </w:rPr>
        <w:t>mobiliz</w:t>
      </w:r>
      <w:r w:rsidR="00794753">
        <w:rPr>
          <w:rFonts w:ascii="Times New Roman" w:hAnsi="Times New Roman" w:cs="Times New Roman"/>
          <w:color w:val="000000"/>
          <w:lang w:val="en-US"/>
        </w:rPr>
        <w:t>e</w:t>
      </w:r>
      <w:r w:rsidR="006F3745">
        <w:rPr>
          <w:rFonts w:ascii="Times New Roman" w:hAnsi="Times New Roman" w:cs="Times New Roman"/>
          <w:color w:val="000000"/>
          <w:lang w:val="en-US"/>
        </w:rPr>
        <w:t xml:space="preserve">d </w:t>
      </w:r>
      <w:r w:rsidR="00922A3D">
        <w:rPr>
          <w:rFonts w:ascii="Times New Roman" w:hAnsi="Times New Roman" w:cs="Times New Roman"/>
          <w:color w:val="000000"/>
          <w:lang w:val="en-US"/>
        </w:rPr>
        <w:t>in this dynamic</w:t>
      </w:r>
      <w:r w:rsidR="006F3745">
        <w:rPr>
          <w:rFonts w:ascii="Times New Roman" w:hAnsi="Times New Roman" w:cs="Times New Roman"/>
          <w:color w:val="000000"/>
          <w:lang w:val="en-US"/>
        </w:rPr>
        <w:t xml:space="preserve"> through</w:t>
      </w:r>
      <w:r>
        <w:rPr>
          <w:rFonts w:ascii="Times New Roman" w:hAnsi="Times New Roman" w:cs="Times New Roman"/>
          <w:color w:val="000000"/>
          <w:lang w:val="en-US"/>
        </w:rPr>
        <w:t xml:space="preserve"> the adoption of r</w:t>
      </w:r>
      <w:r w:rsidR="00422BEF" w:rsidRPr="00422BEF">
        <w:rPr>
          <w:rFonts w:ascii="Times New Roman" w:hAnsi="Times New Roman" w:cs="Times New Roman"/>
          <w:lang w:val="en-US"/>
        </w:rPr>
        <w:t>hetoric</w:t>
      </w:r>
      <w:r>
        <w:rPr>
          <w:rFonts w:ascii="Times New Roman" w:hAnsi="Times New Roman" w:cs="Times New Roman"/>
          <w:lang w:val="en-US"/>
        </w:rPr>
        <w:t>al</w:t>
      </w:r>
      <w:r w:rsidR="00492D65">
        <w:rPr>
          <w:rFonts w:ascii="Times New Roman" w:hAnsi="Times New Roman" w:cs="Times New Roman"/>
          <w:lang w:val="en-US"/>
        </w:rPr>
        <w:t xml:space="preserve"> </w:t>
      </w:r>
      <w:r w:rsidR="00422BEF" w:rsidRPr="00422BEF">
        <w:rPr>
          <w:rFonts w:ascii="Times New Roman" w:hAnsi="Times New Roman" w:cs="Times New Roman"/>
          <w:lang w:val="en-US"/>
        </w:rPr>
        <w:t>strategies</w:t>
      </w:r>
      <w:r w:rsidR="00422BEF">
        <w:rPr>
          <w:rFonts w:ascii="Times New Roman" w:hAnsi="Times New Roman" w:cs="Times New Roman"/>
          <w:lang w:val="en-US"/>
        </w:rPr>
        <w:t xml:space="preserve"> </w:t>
      </w:r>
      <w:r>
        <w:rPr>
          <w:rFonts w:ascii="Times New Roman" w:hAnsi="Times New Roman" w:cs="Times New Roman"/>
          <w:lang w:val="en-US"/>
        </w:rPr>
        <w:t xml:space="preserve">aimed at </w:t>
      </w:r>
      <w:r w:rsidR="00422BEF">
        <w:rPr>
          <w:rFonts w:ascii="Times New Roman" w:hAnsi="Times New Roman" w:cs="Times New Roman"/>
          <w:lang w:val="en-US"/>
        </w:rPr>
        <w:t>enabl</w:t>
      </w:r>
      <w:r>
        <w:rPr>
          <w:rFonts w:ascii="Times New Roman" w:hAnsi="Times New Roman" w:cs="Times New Roman"/>
          <w:lang w:val="en-US"/>
        </w:rPr>
        <w:t>ing</w:t>
      </w:r>
      <w:r w:rsidR="00422BEF">
        <w:rPr>
          <w:rFonts w:ascii="Times New Roman" w:hAnsi="Times New Roman" w:cs="Times New Roman"/>
          <w:lang w:val="en-US"/>
        </w:rPr>
        <w:t xml:space="preserve"> professionals to</w:t>
      </w:r>
      <w:r w:rsidR="00492D65">
        <w:rPr>
          <w:rFonts w:ascii="Times New Roman" w:hAnsi="Times New Roman" w:cs="Times New Roman"/>
          <w:lang w:val="en-US"/>
        </w:rPr>
        <w:t xml:space="preserve"> </w:t>
      </w:r>
      <w:r w:rsidR="00422BEF" w:rsidRPr="00BA4CDD">
        <w:rPr>
          <w:rFonts w:ascii="Times New Roman" w:hAnsi="Times New Roman" w:cs="Times New Roman"/>
          <w:lang w:val="en-US"/>
        </w:rPr>
        <w:t xml:space="preserve">use their access to various capitals </w:t>
      </w:r>
      <w:r w:rsidR="00422BEF" w:rsidRPr="00F244B8">
        <w:rPr>
          <w:rFonts w:ascii="Times New Roman" w:hAnsi="Times New Roman" w:cs="Times New Roman"/>
          <w:lang w:val="en-US"/>
        </w:rPr>
        <w:t>to influence the social order</w:t>
      </w:r>
      <w:r w:rsidR="00422BEF">
        <w:rPr>
          <w:rFonts w:ascii="Times New Roman" w:hAnsi="Times New Roman" w:cs="Times New Roman"/>
          <w:lang w:val="en-US"/>
        </w:rPr>
        <w:t>, shape</w:t>
      </w:r>
      <w:r w:rsidR="00422BEF" w:rsidRPr="00BA4CDD">
        <w:rPr>
          <w:rFonts w:ascii="Times New Roman" w:hAnsi="Times New Roman" w:cs="Times New Roman"/>
          <w:lang w:val="en-US"/>
        </w:rPr>
        <w:t xml:space="preserve"> the speed and direction of field level change</w:t>
      </w:r>
      <w:r w:rsidR="00422BEF" w:rsidRPr="00BA4CDD">
        <w:rPr>
          <w:rFonts w:ascii="Times New Roman" w:hAnsi="Times New Roman" w:cs="Times New Roman"/>
          <w:i/>
          <w:lang w:val="en-US"/>
        </w:rPr>
        <w:t xml:space="preserve"> </w:t>
      </w:r>
      <w:r w:rsidR="00422BEF" w:rsidRPr="00BA4CDD">
        <w:rPr>
          <w:rFonts w:ascii="Times New Roman" w:hAnsi="Times New Roman" w:cs="Times New Roman"/>
          <w:lang w:val="en-US"/>
        </w:rPr>
        <w:t xml:space="preserve">and legitimate the acceptance of particular change </w:t>
      </w:r>
      <w:proofErr w:type="spellStart"/>
      <w:r w:rsidR="00422BEF" w:rsidRPr="00BA4CDD">
        <w:rPr>
          <w:rFonts w:ascii="Times New Roman" w:hAnsi="Times New Roman" w:cs="Times New Roman"/>
          <w:lang w:val="en-US"/>
        </w:rPr>
        <w:t>programmes</w:t>
      </w:r>
      <w:proofErr w:type="spellEnd"/>
      <w:r w:rsidR="00422BEF" w:rsidRPr="00BA4CDD">
        <w:rPr>
          <w:rFonts w:ascii="Times New Roman" w:hAnsi="Times New Roman" w:cs="Times New Roman"/>
          <w:lang w:val="en-US"/>
        </w:rPr>
        <w:t xml:space="preserve"> (see also, Edward Green Jr. and Li, 2011; </w:t>
      </w:r>
      <w:proofErr w:type="spellStart"/>
      <w:r w:rsidR="004429DF">
        <w:rPr>
          <w:rFonts w:ascii="Times New Roman" w:hAnsi="Times New Roman" w:cs="Times New Roman"/>
          <w:lang w:val="en-US"/>
        </w:rPr>
        <w:t>Etzion</w:t>
      </w:r>
      <w:proofErr w:type="spellEnd"/>
      <w:r w:rsidR="004429DF">
        <w:rPr>
          <w:rFonts w:ascii="Times New Roman" w:hAnsi="Times New Roman" w:cs="Times New Roman"/>
          <w:lang w:val="en-US"/>
        </w:rPr>
        <w:t xml:space="preserve"> and Ferra</w:t>
      </w:r>
      <w:r w:rsidR="004F2387">
        <w:rPr>
          <w:rFonts w:ascii="Times New Roman" w:hAnsi="Times New Roman" w:cs="Times New Roman"/>
          <w:lang w:val="en-US"/>
        </w:rPr>
        <w:t xml:space="preserve">ro, 2010; </w:t>
      </w:r>
      <w:r w:rsidR="00422BEF" w:rsidRPr="00BA4CDD">
        <w:rPr>
          <w:rFonts w:ascii="Times New Roman" w:hAnsi="Times New Roman" w:cs="Times New Roman"/>
          <w:lang w:val="en-US"/>
        </w:rPr>
        <w:t xml:space="preserve">Suddaby and Greenwood, 2005). </w:t>
      </w:r>
      <w:r w:rsidR="00522298">
        <w:rPr>
          <w:rFonts w:ascii="Times New Roman" w:hAnsi="Times New Roman" w:cs="Times New Roman"/>
          <w:lang w:val="en-US"/>
        </w:rPr>
        <w:t>Such work</w:t>
      </w:r>
      <w:r w:rsidR="00522298" w:rsidRPr="00BA4CDD">
        <w:rPr>
          <w:rFonts w:ascii="Times New Roman" w:hAnsi="Times New Roman" w:cs="Times New Roman"/>
          <w:lang w:val="en-US"/>
        </w:rPr>
        <w:t xml:space="preserve"> </w:t>
      </w:r>
      <w:r w:rsidR="00492D65">
        <w:rPr>
          <w:rFonts w:ascii="Times New Roman" w:hAnsi="Times New Roman" w:cs="Times New Roman"/>
          <w:lang w:val="en-US"/>
        </w:rPr>
        <w:t xml:space="preserve">can </w:t>
      </w:r>
      <w:r w:rsidR="00422BEF" w:rsidRPr="00BA4CDD">
        <w:rPr>
          <w:rFonts w:ascii="Times New Roman" w:hAnsi="Times New Roman" w:cs="Times New Roman"/>
          <w:lang w:val="en-US"/>
        </w:rPr>
        <w:t>assist in mobilizing collective action among key audiences and in challenging taken-for-granted assumptions (Battilana et al</w:t>
      </w:r>
      <w:r w:rsidR="004F2387">
        <w:rPr>
          <w:rFonts w:ascii="Times New Roman" w:hAnsi="Times New Roman" w:cs="Times New Roman"/>
          <w:lang w:val="en-US"/>
        </w:rPr>
        <w:t>., 2009</w:t>
      </w:r>
      <w:r w:rsidR="009509CA">
        <w:rPr>
          <w:rFonts w:ascii="Times New Roman" w:hAnsi="Times New Roman" w:cs="Times New Roman"/>
          <w:lang w:val="en-US"/>
        </w:rPr>
        <w:t>; Hardy and Maguire, 2008</w:t>
      </w:r>
      <w:r w:rsidR="00422BEF">
        <w:rPr>
          <w:rFonts w:ascii="Times New Roman" w:hAnsi="Times New Roman" w:cs="Times New Roman"/>
          <w:lang w:val="en-US"/>
        </w:rPr>
        <w:t xml:space="preserve">). </w:t>
      </w:r>
      <w:r w:rsidR="00422BEF" w:rsidRPr="00BA4CDD">
        <w:rPr>
          <w:rFonts w:ascii="Times New Roman" w:hAnsi="Times New Roman" w:cs="Times New Roman"/>
          <w:lang w:val="en-US"/>
        </w:rPr>
        <w:t xml:space="preserve">A key rhetorical strategy involves the use of universalist themes to connect </w:t>
      </w:r>
      <w:r w:rsidR="001266B5">
        <w:rPr>
          <w:rFonts w:ascii="Times New Roman" w:hAnsi="Times New Roman" w:cs="Times New Roman"/>
          <w:lang w:val="en-US"/>
        </w:rPr>
        <w:t xml:space="preserve">specific </w:t>
      </w:r>
      <w:r w:rsidR="00422BEF" w:rsidRPr="00BA4CDD">
        <w:rPr>
          <w:rFonts w:ascii="Times New Roman" w:hAnsi="Times New Roman" w:cs="Times New Roman"/>
          <w:lang w:val="en-US"/>
        </w:rPr>
        <w:t>professional interests to broader (and more stable) value systems</w:t>
      </w:r>
      <w:r w:rsidR="001266B5">
        <w:rPr>
          <w:rFonts w:ascii="Times New Roman" w:hAnsi="Times New Roman" w:cs="Times New Roman"/>
          <w:lang w:val="en-US"/>
        </w:rPr>
        <w:t xml:space="preserve"> </w:t>
      </w:r>
      <w:r w:rsidR="00787D7A">
        <w:rPr>
          <w:rFonts w:ascii="Times New Roman" w:hAnsi="Times New Roman" w:cs="Times New Roman"/>
          <w:lang w:val="en-US"/>
        </w:rPr>
        <w:t xml:space="preserve">and to contrast the ability of competing interests to </w:t>
      </w:r>
      <w:r w:rsidR="00492D65">
        <w:rPr>
          <w:rFonts w:ascii="Times New Roman" w:hAnsi="Times New Roman" w:cs="Times New Roman"/>
          <w:lang w:val="en-US"/>
        </w:rPr>
        <w:t xml:space="preserve">connect to </w:t>
      </w:r>
      <w:r w:rsidR="00787D7A">
        <w:rPr>
          <w:rFonts w:ascii="Times New Roman" w:hAnsi="Times New Roman" w:cs="Times New Roman"/>
          <w:lang w:val="en-US"/>
        </w:rPr>
        <w:t>these systems</w:t>
      </w:r>
      <w:r w:rsidR="004E3488">
        <w:rPr>
          <w:rFonts w:ascii="Times New Roman" w:hAnsi="Times New Roman" w:cs="Times New Roman"/>
          <w:lang w:val="en-US"/>
        </w:rPr>
        <w:t xml:space="preserve">. </w:t>
      </w:r>
      <w:r w:rsidR="00492D65">
        <w:rPr>
          <w:rFonts w:ascii="Times New Roman" w:hAnsi="Times New Roman" w:cs="Times New Roman"/>
          <w:lang w:val="en-US"/>
        </w:rPr>
        <w:t>This b</w:t>
      </w:r>
      <w:r>
        <w:rPr>
          <w:rFonts w:ascii="Times New Roman" w:hAnsi="Times New Roman" w:cs="Times New Roman"/>
          <w:lang w:val="en-US"/>
        </w:rPr>
        <w:t xml:space="preserve">oundary work explicitly seeks to make </w:t>
      </w:r>
      <w:proofErr w:type="spellStart"/>
      <w:r w:rsidR="00492D65">
        <w:rPr>
          <w:rFonts w:ascii="Times New Roman" w:hAnsi="Times New Roman" w:cs="Times New Roman"/>
          <w:lang w:val="en-US"/>
        </w:rPr>
        <w:t>favoured</w:t>
      </w:r>
      <w:proofErr w:type="spellEnd"/>
      <w:r w:rsidR="00492D65">
        <w:rPr>
          <w:rFonts w:ascii="Times New Roman" w:hAnsi="Times New Roman" w:cs="Times New Roman"/>
          <w:lang w:val="en-US"/>
        </w:rPr>
        <w:t xml:space="preserve"> </w:t>
      </w:r>
      <w:r>
        <w:rPr>
          <w:rFonts w:ascii="Times New Roman" w:hAnsi="Times New Roman" w:cs="Times New Roman"/>
          <w:lang w:val="en-US"/>
        </w:rPr>
        <w:t xml:space="preserve">practices seem natural and unavoidable. </w:t>
      </w:r>
      <w:r w:rsidR="00492D65">
        <w:rPr>
          <w:rFonts w:ascii="Times New Roman" w:hAnsi="Times New Roman" w:cs="Times New Roman"/>
          <w:lang w:val="en-US"/>
        </w:rPr>
        <w:t xml:space="preserve">It </w:t>
      </w:r>
      <w:r w:rsidR="00422BEF" w:rsidRPr="00BA4CDD">
        <w:rPr>
          <w:rFonts w:ascii="Times New Roman" w:hAnsi="Times New Roman" w:cs="Times New Roman"/>
          <w:lang w:val="en-US"/>
        </w:rPr>
        <w:t>promote</w:t>
      </w:r>
      <w:r w:rsidR="00492D65">
        <w:rPr>
          <w:rFonts w:ascii="Times New Roman" w:hAnsi="Times New Roman" w:cs="Times New Roman"/>
          <w:lang w:val="en-US"/>
        </w:rPr>
        <w:t>s</w:t>
      </w:r>
      <w:r w:rsidR="00422BEF" w:rsidRPr="00BA4CDD">
        <w:rPr>
          <w:rFonts w:ascii="Times New Roman" w:hAnsi="Times New Roman" w:cs="Times New Roman"/>
          <w:lang w:val="en-US"/>
        </w:rPr>
        <w:t xml:space="preserve"> the cultural authority of </w:t>
      </w:r>
      <w:r w:rsidR="004C3255">
        <w:rPr>
          <w:rFonts w:ascii="Times New Roman" w:hAnsi="Times New Roman" w:cs="Times New Roman"/>
          <w:lang w:val="en-US"/>
        </w:rPr>
        <w:t xml:space="preserve">certain </w:t>
      </w:r>
      <w:r w:rsidR="00422BEF" w:rsidRPr="00BA4CDD">
        <w:rPr>
          <w:rFonts w:ascii="Times New Roman" w:hAnsi="Times New Roman" w:cs="Times New Roman"/>
          <w:lang w:val="en-US"/>
        </w:rPr>
        <w:t xml:space="preserve">professionals’ work by connecting </w:t>
      </w:r>
      <w:r w:rsidR="000F3DF0">
        <w:rPr>
          <w:rFonts w:ascii="Times New Roman" w:hAnsi="Times New Roman" w:cs="Times New Roman"/>
          <w:lang w:val="en-US"/>
        </w:rPr>
        <w:t>‘</w:t>
      </w:r>
      <w:r w:rsidR="00422BEF" w:rsidRPr="00BA4CDD">
        <w:rPr>
          <w:rFonts w:ascii="Times New Roman" w:hAnsi="Times New Roman" w:cs="Times New Roman"/>
          <w:lang w:val="en-US"/>
        </w:rPr>
        <w:t>professional diagnosis, treatment and inferences to central values in the larger culture</w:t>
      </w:r>
      <w:r w:rsidR="000F3DF0">
        <w:rPr>
          <w:rFonts w:ascii="Times New Roman" w:hAnsi="Times New Roman" w:cs="Times New Roman"/>
          <w:lang w:val="en-US"/>
        </w:rPr>
        <w:t>’</w:t>
      </w:r>
      <w:r w:rsidR="00422BEF" w:rsidRPr="00BA4CDD">
        <w:rPr>
          <w:rFonts w:ascii="Times New Roman" w:hAnsi="Times New Roman" w:cs="Times New Roman"/>
          <w:lang w:val="en-US"/>
        </w:rPr>
        <w:t xml:space="preserve"> (Abbott, 1988</w:t>
      </w:r>
      <w:r w:rsidR="001A6AF0">
        <w:rPr>
          <w:rFonts w:ascii="Times New Roman" w:hAnsi="Times New Roman" w:cs="Times New Roman"/>
          <w:lang w:val="en-US"/>
        </w:rPr>
        <w:t>:</w:t>
      </w:r>
      <w:r w:rsidR="00C13BD3">
        <w:rPr>
          <w:rFonts w:ascii="Times New Roman" w:hAnsi="Times New Roman" w:cs="Times New Roman"/>
          <w:lang w:val="en-US"/>
        </w:rPr>
        <w:t xml:space="preserve"> </w:t>
      </w:r>
      <w:r w:rsidR="00422BEF" w:rsidRPr="00BA4CDD">
        <w:rPr>
          <w:rFonts w:ascii="Times New Roman" w:hAnsi="Times New Roman" w:cs="Times New Roman"/>
          <w:lang w:val="en-US"/>
        </w:rPr>
        <w:t xml:space="preserve">184). </w:t>
      </w:r>
    </w:p>
    <w:p w14:paraId="0799D236" w14:textId="5E9428C1" w:rsidR="00422BEF" w:rsidRDefault="00270C11" w:rsidP="006F04CE">
      <w:pPr>
        <w:spacing w:line="360" w:lineRule="auto"/>
        <w:ind w:firstLine="708"/>
        <w:jc w:val="both"/>
        <w:rPr>
          <w:rFonts w:ascii="Times New Roman" w:hAnsi="Times New Roman" w:cs="Times New Roman"/>
          <w:color w:val="000000"/>
          <w:lang w:val="en-US"/>
        </w:rPr>
      </w:pPr>
      <w:r>
        <w:rPr>
          <w:rFonts w:ascii="Times New Roman" w:hAnsi="Times New Roman" w:cs="Times New Roman"/>
          <w:lang w:val="en-US"/>
        </w:rPr>
        <w:t>W</w:t>
      </w:r>
      <w:r w:rsidR="00422BEF" w:rsidRPr="00BA4CDD">
        <w:rPr>
          <w:rFonts w:ascii="Times New Roman" w:hAnsi="Times New Roman" w:cs="Times New Roman"/>
          <w:lang w:val="en-US"/>
        </w:rPr>
        <w:t>hile professionals’ ‘social skill</w:t>
      </w:r>
      <w:r w:rsidR="00422BEF">
        <w:rPr>
          <w:rFonts w:ascii="Times New Roman" w:hAnsi="Times New Roman" w:cs="Times New Roman"/>
          <w:lang w:val="en-US"/>
        </w:rPr>
        <w:t>s</w:t>
      </w:r>
      <w:r w:rsidR="00422BEF" w:rsidRPr="00BA4CDD">
        <w:rPr>
          <w:rFonts w:ascii="Times New Roman" w:hAnsi="Times New Roman" w:cs="Times New Roman"/>
          <w:lang w:val="en-US"/>
        </w:rPr>
        <w:t xml:space="preserve">’ </w:t>
      </w:r>
      <w:r w:rsidR="00825963">
        <w:rPr>
          <w:rFonts w:ascii="Times New Roman" w:hAnsi="Times New Roman" w:cs="Times New Roman"/>
          <w:lang w:val="en-US"/>
        </w:rPr>
        <w:t xml:space="preserve">are critical to their </w:t>
      </w:r>
      <w:r w:rsidR="00422BEF" w:rsidRPr="00BA4CDD">
        <w:rPr>
          <w:rFonts w:ascii="Times New Roman" w:hAnsi="Times New Roman" w:cs="Times New Roman"/>
          <w:lang w:val="en-US"/>
        </w:rPr>
        <w:t xml:space="preserve">ability to engage others in collective action, </w:t>
      </w:r>
      <w:r w:rsidR="00825963">
        <w:rPr>
          <w:rFonts w:ascii="Times New Roman" w:hAnsi="Times New Roman" w:cs="Times New Roman"/>
          <w:lang w:val="en-US"/>
        </w:rPr>
        <w:t xml:space="preserve">it also has to be recognized that </w:t>
      </w:r>
      <w:r w:rsidR="00422BEF" w:rsidRPr="00BA4CDD">
        <w:rPr>
          <w:rFonts w:ascii="Times New Roman" w:hAnsi="Times New Roman" w:cs="Times New Roman"/>
          <w:lang w:val="en-US"/>
        </w:rPr>
        <w:t xml:space="preserve">building </w:t>
      </w:r>
      <w:r w:rsidR="00492D65">
        <w:rPr>
          <w:rFonts w:ascii="Times New Roman" w:hAnsi="Times New Roman" w:cs="Times New Roman"/>
          <w:lang w:val="en-US"/>
        </w:rPr>
        <w:t xml:space="preserve">stable and solid networks of </w:t>
      </w:r>
      <w:r w:rsidR="00422BEF" w:rsidRPr="00BA4CDD">
        <w:rPr>
          <w:rFonts w:ascii="Times New Roman" w:hAnsi="Times New Roman" w:cs="Times New Roman"/>
          <w:lang w:val="en-US"/>
        </w:rPr>
        <w:t xml:space="preserve">support </w:t>
      </w:r>
      <w:r w:rsidR="003047DB">
        <w:rPr>
          <w:rFonts w:ascii="Times New Roman" w:hAnsi="Times New Roman" w:cs="Times New Roman"/>
          <w:lang w:val="en-US"/>
        </w:rPr>
        <w:t xml:space="preserve">is </w:t>
      </w:r>
      <w:r w:rsidR="00825963">
        <w:rPr>
          <w:rFonts w:ascii="Times New Roman" w:hAnsi="Times New Roman" w:cs="Times New Roman"/>
          <w:lang w:val="en-US"/>
        </w:rPr>
        <w:t xml:space="preserve">quite </w:t>
      </w:r>
      <w:r w:rsidR="0072333D">
        <w:rPr>
          <w:rFonts w:ascii="Times New Roman" w:hAnsi="Times New Roman" w:cs="Times New Roman"/>
          <w:lang w:val="en-US"/>
        </w:rPr>
        <w:t xml:space="preserve">demanding </w:t>
      </w:r>
      <w:r w:rsidR="00422BEF" w:rsidRPr="00BA4CDD">
        <w:rPr>
          <w:rFonts w:ascii="Times New Roman" w:hAnsi="Times New Roman" w:cs="Times New Roman"/>
          <w:lang w:val="en-US"/>
        </w:rPr>
        <w:t>(</w:t>
      </w:r>
      <w:r w:rsidR="009113EC">
        <w:rPr>
          <w:rFonts w:ascii="Times New Roman" w:hAnsi="Times New Roman" w:cs="Times New Roman"/>
          <w:lang w:val="en-US"/>
        </w:rPr>
        <w:t>Andon</w:t>
      </w:r>
      <w:r w:rsidR="009B230B">
        <w:rPr>
          <w:rFonts w:ascii="Times New Roman" w:hAnsi="Times New Roman" w:cs="Times New Roman"/>
          <w:lang w:val="en-US"/>
        </w:rPr>
        <w:t xml:space="preserve"> et al., 2015; </w:t>
      </w:r>
      <w:proofErr w:type="spellStart"/>
      <w:r w:rsidR="00422BEF" w:rsidRPr="00BA4CDD">
        <w:rPr>
          <w:rFonts w:ascii="Times New Roman" w:hAnsi="Times New Roman" w:cs="Times New Roman"/>
          <w:lang w:val="en-US"/>
        </w:rPr>
        <w:t>Gendron</w:t>
      </w:r>
      <w:proofErr w:type="spellEnd"/>
      <w:r w:rsidR="00422BEF" w:rsidRPr="00BA4CDD">
        <w:rPr>
          <w:rFonts w:ascii="Times New Roman" w:hAnsi="Times New Roman" w:cs="Times New Roman"/>
          <w:lang w:val="en-US"/>
        </w:rPr>
        <w:t xml:space="preserve"> and Barrett, 2004; </w:t>
      </w:r>
      <w:r>
        <w:rPr>
          <w:rFonts w:ascii="Times New Roman" w:hAnsi="Times New Roman" w:cs="Times New Roman"/>
          <w:lang w:val="en-US"/>
        </w:rPr>
        <w:t xml:space="preserve">Larson, 1977; </w:t>
      </w:r>
      <w:r w:rsidR="00422BEF" w:rsidRPr="00BA4CDD">
        <w:rPr>
          <w:rFonts w:ascii="Times New Roman" w:hAnsi="Times New Roman" w:cs="Times New Roman"/>
          <w:lang w:val="en-US"/>
        </w:rPr>
        <w:t xml:space="preserve">Shafer and </w:t>
      </w:r>
      <w:proofErr w:type="spellStart"/>
      <w:r w:rsidR="00422BEF" w:rsidRPr="00BA4CDD">
        <w:rPr>
          <w:rFonts w:ascii="Times New Roman" w:hAnsi="Times New Roman" w:cs="Times New Roman"/>
          <w:lang w:val="en-US"/>
        </w:rPr>
        <w:t>Gendron</w:t>
      </w:r>
      <w:proofErr w:type="spellEnd"/>
      <w:r w:rsidR="00422BEF" w:rsidRPr="00BA4CDD">
        <w:rPr>
          <w:rFonts w:ascii="Times New Roman" w:hAnsi="Times New Roman" w:cs="Times New Roman"/>
          <w:lang w:val="en-US"/>
        </w:rPr>
        <w:t>, 2005).</w:t>
      </w:r>
      <w:r w:rsidR="0041781C">
        <w:rPr>
          <w:rFonts w:ascii="Times New Roman" w:hAnsi="Times New Roman" w:cs="Times New Roman"/>
          <w:lang w:val="en-US"/>
        </w:rPr>
        <w:t xml:space="preserve"> </w:t>
      </w:r>
      <w:r w:rsidR="00825963">
        <w:rPr>
          <w:rFonts w:ascii="Times New Roman" w:hAnsi="Times New Roman" w:cs="Times New Roman"/>
          <w:lang w:val="en-US"/>
        </w:rPr>
        <w:t xml:space="preserve">Indeed, </w:t>
      </w:r>
      <w:r w:rsidR="00825963">
        <w:rPr>
          <w:rFonts w:ascii="Times New Roman" w:hAnsi="Times New Roman" w:cs="Times New Roman"/>
          <w:color w:val="000000"/>
          <w:lang w:val="en-US"/>
        </w:rPr>
        <w:t>t</w:t>
      </w:r>
      <w:r w:rsidR="00090A1E">
        <w:rPr>
          <w:rFonts w:ascii="Times New Roman" w:hAnsi="Times New Roman" w:cs="Times New Roman"/>
          <w:color w:val="000000"/>
          <w:lang w:val="en-US"/>
        </w:rPr>
        <w:t xml:space="preserve">he </w:t>
      </w:r>
      <w:r>
        <w:rPr>
          <w:rFonts w:ascii="Times New Roman" w:hAnsi="Times New Roman" w:cs="Times New Roman"/>
          <w:color w:val="000000"/>
          <w:lang w:val="en-US"/>
        </w:rPr>
        <w:t>American Institute</w:t>
      </w:r>
      <w:r w:rsidR="007042FD">
        <w:rPr>
          <w:rFonts w:ascii="Times New Roman" w:hAnsi="Times New Roman" w:cs="Times New Roman"/>
          <w:color w:val="000000"/>
          <w:lang w:val="en-US"/>
        </w:rPr>
        <w:t xml:space="preserve"> of Certified Public Accountant</w:t>
      </w:r>
      <w:r>
        <w:rPr>
          <w:rFonts w:ascii="Times New Roman" w:hAnsi="Times New Roman" w:cs="Times New Roman"/>
          <w:color w:val="000000"/>
          <w:lang w:val="en-US"/>
        </w:rPr>
        <w:t>s</w:t>
      </w:r>
      <w:r w:rsidR="007042FD">
        <w:rPr>
          <w:rFonts w:ascii="Times New Roman" w:hAnsi="Times New Roman" w:cs="Times New Roman"/>
          <w:color w:val="000000"/>
          <w:lang w:val="en-US"/>
        </w:rPr>
        <w:t>’</w:t>
      </w:r>
      <w:r>
        <w:rPr>
          <w:rFonts w:ascii="Times New Roman" w:hAnsi="Times New Roman" w:cs="Times New Roman"/>
          <w:color w:val="000000"/>
          <w:lang w:val="en-US"/>
        </w:rPr>
        <w:t xml:space="preserve"> efforts</w:t>
      </w:r>
      <w:r w:rsidR="00090A1E">
        <w:rPr>
          <w:rFonts w:ascii="Times New Roman" w:hAnsi="Times New Roman" w:cs="Times New Roman"/>
          <w:color w:val="000000"/>
          <w:lang w:val="en-US"/>
        </w:rPr>
        <w:t xml:space="preserve"> to </w:t>
      </w:r>
      <w:proofErr w:type="spellStart"/>
      <w:r w:rsidR="003E7CD1">
        <w:rPr>
          <w:rFonts w:ascii="Times New Roman" w:hAnsi="Times New Roman" w:cs="Times New Roman"/>
          <w:color w:val="000000"/>
          <w:lang w:val="en-US"/>
        </w:rPr>
        <w:t>enrol</w:t>
      </w:r>
      <w:proofErr w:type="spellEnd"/>
      <w:r w:rsidR="00090A1E">
        <w:rPr>
          <w:rFonts w:ascii="Times New Roman" w:hAnsi="Times New Roman" w:cs="Times New Roman"/>
          <w:color w:val="000000"/>
          <w:lang w:val="en-US"/>
        </w:rPr>
        <w:t xml:space="preserve"> a diverse set of pro</w:t>
      </w:r>
      <w:r>
        <w:rPr>
          <w:rFonts w:ascii="Times New Roman" w:hAnsi="Times New Roman" w:cs="Times New Roman"/>
          <w:color w:val="000000"/>
          <w:lang w:val="en-US"/>
        </w:rPr>
        <w:t>fessional groups behind a global c</w:t>
      </w:r>
      <w:r w:rsidR="00090A1E">
        <w:rPr>
          <w:rFonts w:ascii="Times New Roman" w:hAnsi="Times New Roman" w:cs="Times New Roman"/>
          <w:color w:val="000000"/>
          <w:lang w:val="en-US"/>
        </w:rPr>
        <w:t xml:space="preserve">onsulting credential failed to gain legitimacy among </w:t>
      </w:r>
      <w:r w:rsidR="00492D65">
        <w:rPr>
          <w:rFonts w:ascii="Times New Roman" w:hAnsi="Times New Roman" w:cs="Times New Roman"/>
          <w:color w:val="000000"/>
          <w:lang w:val="en-US"/>
        </w:rPr>
        <w:t>targeted</w:t>
      </w:r>
      <w:r>
        <w:rPr>
          <w:rFonts w:ascii="Times New Roman" w:hAnsi="Times New Roman" w:cs="Times New Roman"/>
          <w:color w:val="000000"/>
          <w:lang w:val="en-US"/>
        </w:rPr>
        <w:t xml:space="preserve"> support</w:t>
      </w:r>
      <w:r w:rsidR="00492D65">
        <w:rPr>
          <w:rFonts w:ascii="Times New Roman" w:hAnsi="Times New Roman" w:cs="Times New Roman"/>
          <w:color w:val="000000"/>
          <w:lang w:val="en-US"/>
        </w:rPr>
        <w:t>er</w:t>
      </w:r>
      <w:r>
        <w:rPr>
          <w:rFonts w:ascii="Times New Roman" w:hAnsi="Times New Roman" w:cs="Times New Roman"/>
          <w:color w:val="000000"/>
          <w:lang w:val="en-US"/>
        </w:rPr>
        <w:t xml:space="preserve">s despite </w:t>
      </w:r>
      <w:r w:rsidR="00492D65">
        <w:rPr>
          <w:rFonts w:ascii="Times New Roman" w:hAnsi="Times New Roman" w:cs="Times New Roman"/>
          <w:color w:val="000000"/>
          <w:lang w:val="en-US"/>
        </w:rPr>
        <w:t>articulating a distinct boundary demarcating certified from</w:t>
      </w:r>
      <w:r>
        <w:rPr>
          <w:rFonts w:ascii="Times New Roman" w:hAnsi="Times New Roman" w:cs="Times New Roman"/>
          <w:color w:val="000000"/>
          <w:lang w:val="en-US"/>
        </w:rPr>
        <w:t xml:space="preserve"> non-certified consulting profession</w:t>
      </w:r>
      <w:r w:rsidR="0075546E">
        <w:rPr>
          <w:rFonts w:ascii="Times New Roman" w:hAnsi="Times New Roman" w:cs="Times New Roman"/>
          <w:color w:val="000000"/>
          <w:lang w:val="en-US"/>
        </w:rPr>
        <w:t xml:space="preserve">als. (Shafer and </w:t>
      </w:r>
      <w:proofErr w:type="spellStart"/>
      <w:r w:rsidR="0075546E">
        <w:rPr>
          <w:rFonts w:ascii="Times New Roman" w:hAnsi="Times New Roman" w:cs="Times New Roman"/>
          <w:color w:val="000000"/>
          <w:lang w:val="en-US"/>
        </w:rPr>
        <w:t>Gendron</w:t>
      </w:r>
      <w:proofErr w:type="spellEnd"/>
      <w:r w:rsidR="0075546E">
        <w:rPr>
          <w:rFonts w:ascii="Times New Roman" w:hAnsi="Times New Roman" w:cs="Times New Roman"/>
          <w:color w:val="000000"/>
          <w:lang w:val="en-US"/>
        </w:rPr>
        <w:t xml:space="preserve">, 2005; </w:t>
      </w:r>
      <w:r w:rsidR="003047DB">
        <w:rPr>
          <w:rFonts w:ascii="Times New Roman" w:hAnsi="Times New Roman" w:cs="Times New Roman"/>
          <w:color w:val="000000"/>
          <w:lang w:val="en-US"/>
        </w:rPr>
        <w:t xml:space="preserve">Fogarty </w:t>
      </w:r>
      <w:r>
        <w:rPr>
          <w:rFonts w:ascii="Times New Roman" w:hAnsi="Times New Roman" w:cs="Times New Roman"/>
          <w:color w:val="000000"/>
          <w:lang w:val="en-US"/>
        </w:rPr>
        <w:t>et al., 2006)</w:t>
      </w:r>
      <w:r w:rsidR="006E31D9">
        <w:rPr>
          <w:rFonts w:ascii="Times New Roman" w:hAnsi="Times New Roman" w:cs="Times New Roman"/>
          <w:color w:val="000000"/>
          <w:lang w:val="en-US"/>
        </w:rPr>
        <w:t>.</w:t>
      </w:r>
      <w:r w:rsidR="007847C2">
        <w:rPr>
          <w:rFonts w:ascii="Times New Roman" w:hAnsi="Times New Roman" w:cs="Times New Roman"/>
          <w:color w:val="000000"/>
          <w:lang w:val="en-US"/>
        </w:rPr>
        <w:t xml:space="preserve"> Thus</w:t>
      </w:r>
      <w:r w:rsidR="006E31D9">
        <w:rPr>
          <w:rFonts w:ascii="Times New Roman" w:hAnsi="Times New Roman" w:cs="Times New Roman"/>
          <w:color w:val="000000"/>
          <w:lang w:val="en-US"/>
        </w:rPr>
        <w:t xml:space="preserve">, </w:t>
      </w:r>
      <w:r>
        <w:rPr>
          <w:rFonts w:ascii="Times New Roman" w:hAnsi="Times New Roman" w:cs="Times New Roman"/>
          <w:color w:val="000000"/>
          <w:lang w:val="en-US"/>
        </w:rPr>
        <w:t>the dynamics</w:t>
      </w:r>
      <w:r w:rsidR="00D95CA2">
        <w:rPr>
          <w:rFonts w:ascii="Times New Roman" w:hAnsi="Times New Roman" w:cs="Times New Roman"/>
          <w:color w:val="000000"/>
          <w:lang w:val="en-US"/>
        </w:rPr>
        <w:t xml:space="preserve"> described by S</w:t>
      </w:r>
      <w:r w:rsidR="00AA0521">
        <w:rPr>
          <w:rFonts w:ascii="Times New Roman" w:hAnsi="Times New Roman" w:cs="Times New Roman"/>
          <w:color w:val="000000"/>
          <w:lang w:val="en-US"/>
        </w:rPr>
        <w:t>uddab</w:t>
      </w:r>
      <w:r w:rsidR="00D95CA2">
        <w:rPr>
          <w:rFonts w:ascii="Times New Roman" w:hAnsi="Times New Roman" w:cs="Times New Roman"/>
          <w:color w:val="000000"/>
          <w:lang w:val="en-US"/>
        </w:rPr>
        <w:t xml:space="preserve">y and </w:t>
      </w:r>
      <w:proofErr w:type="spellStart"/>
      <w:r w:rsidR="00D95CA2">
        <w:rPr>
          <w:rFonts w:ascii="Times New Roman" w:hAnsi="Times New Roman" w:cs="Times New Roman"/>
          <w:color w:val="000000"/>
          <w:lang w:val="en-US"/>
        </w:rPr>
        <w:t>V</w:t>
      </w:r>
      <w:r>
        <w:rPr>
          <w:rFonts w:ascii="Times New Roman" w:hAnsi="Times New Roman" w:cs="Times New Roman"/>
          <w:color w:val="000000"/>
          <w:lang w:val="en-US"/>
        </w:rPr>
        <w:t>iale</w:t>
      </w:r>
      <w:proofErr w:type="spellEnd"/>
      <w:r w:rsidR="00D95CA2">
        <w:rPr>
          <w:rFonts w:ascii="Times New Roman" w:hAnsi="Times New Roman" w:cs="Times New Roman"/>
          <w:color w:val="000000"/>
          <w:lang w:val="en-US"/>
        </w:rPr>
        <w:t xml:space="preserve"> (2011) </w:t>
      </w:r>
      <w:r w:rsidR="00825963">
        <w:rPr>
          <w:rFonts w:ascii="Times New Roman" w:hAnsi="Times New Roman" w:cs="Times New Roman"/>
          <w:color w:val="000000"/>
          <w:lang w:val="en-US"/>
        </w:rPr>
        <w:t xml:space="preserve">should not be presumed automatically to </w:t>
      </w:r>
      <w:r>
        <w:rPr>
          <w:rFonts w:ascii="Times New Roman" w:hAnsi="Times New Roman" w:cs="Times New Roman"/>
          <w:color w:val="000000"/>
          <w:lang w:val="en-US"/>
        </w:rPr>
        <w:t>give rise to ‘heroic’ institutional entrepreneurs instigating significant insti</w:t>
      </w:r>
      <w:r w:rsidR="00D95CA2">
        <w:rPr>
          <w:rFonts w:ascii="Times New Roman" w:hAnsi="Times New Roman" w:cs="Times New Roman"/>
          <w:color w:val="000000"/>
          <w:lang w:val="en-US"/>
        </w:rPr>
        <w:t>tutional</w:t>
      </w:r>
      <w:r>
        <w:rPr>
          <w:rFonts w:ascii="Times New Roman" w:hAnsi="Times New Roman" w:cs="Times New Roman"/>
          <w:color w:val="000000"/>
          <w:lang w:val="en-US"/>
        </w:rPr>
        <w:t xml:space="preserve"> change (Hardy and Maguire, 2008). </w:t>
      </w:r>
    </w:p>
    <w:p w14:paraId="2B232F6F" w14:textId="060A4D01" w:rsidR="00B91098" w:rsidRDefault="00B91098" w:rsidP="00B91098">
      <w:pPr>
        <w:spacing w:line="360" w:lineRule="auto"/>
        <w:ind w:firstLine="708"/>
        <w:jc w:val="both"/>
        <w:rPr>
          <w:rFonts w:ascii="Times New Roman" w:hAnsi="Times New Roman" w:cs="Times New Roman"/>
          <w:lang w:val="en-US"/>
        </w:rPr>
      </w:pPr>
      <w:r>
        <w:rPr>
          <w:rFonts w:ascii="Times New Roman" w:hAnsi="Times New Roman" w:cs="Times New Roman"/>
          <w:lang w:val="en-US"/>
        </w:rPr>
        <w:t>The above theoretical framing integrating the notion of boundary work (</w:t>
      </w:r>
      <w:proofErr w:type="spellStart"/>
      <w:r>
        <w:rPr>
          <w:rFonts w:ascii="Times New Roman" w:hAnsi="Times New Roman" w:cs="Times New Roman"/>
          <w:lang w:val="en-US"/>
        </w:rPr>
        <w:t>Gieryn</w:t>
      </w:r>
      <w:proofErr w:type="spellEnd"/>
      <w:r>
        <w:rPr>
          <w:rFonts w:ascii="Times New Roman" w:hAnsi="Times New Roman" w:cs="Times New Roman"/>
          <w:lang w:val="en-US"/>
        </w:rPr>
        <w:t xml:space="preserve">, 1983) within Suddaby and </w:t>
      </w:r>
      <w:proofErr w:type="spellStart"/>
      <w:r>
        <w:rPr>
          <w:rFonts w:ascii="Times New Roman" w:hAnsi="Times New Roman" w:cs="Times New Roman"/>
          <w:lang w:val="en-US"/>
        </w:rPr>
        <w:t>Viale’s</w:t>
      </w:r>
      <w:proofErr w:type="spellEnd"/>
      <w:r>
        <w:rPr>
          <w:rFonts w:ascii="Times New Roman" w:hAnsi="Times New Roman" w:cs="Times New Roman"/>
          <w:lang w:val="en-US"/>
        </w:rPr>
        <w:t xml:space="preserve"> four dynamics serve</w:t>
      </w:r>
      <w:r w:rsidR="00825963">
        <w:rPr>
          <w:rFonts w:ascii="Times New Roman" w:hAnsi="Times New Roman" w:cs="Times New Roman"/>
          <w:lang w:val="en-US"/>
        </w:rPr>
        <w:t>d</w:t>
      </w:r>
      <w:r>
        <w:rPr>
          <w:rFonts w:ascii="Times New Roman" w:hAnsi="Times New Roman" w:cs="Times New Roman"/>
          <w:lang w:val="en-US"/>
        </w:rPr>
        <w:t xml:space="preserve"> as a </w:t>
      </w:r>
      <w:proofErr w:type="spellStart"/>
      <w:r>
        <w:rPr>
          <w:rFonts w:ascii="Times New Roman" w:hAnsi="Times New Roman" w:cs="Times New Roman"/>
          <w:lang w:val="en-US"/>
        </w:rPr>
        <w:t>sensitising</w:t>
      </w:r>
      <w:proofErr w:type="spellEnd"/>
      <w:r>
        <w:rPr>
          <w:rFonts w:ascii="Times New Roman" w:hAnsi="Times New Roman" w:cs="Times New Roman"/>
          <w:lang w:val="en-US"/>
        </w:rPr>
        <w:t xml:space="preserve">, interpretive device through which we came to understand and explain the workings of the IIRC and the rise in prominence of its version of integrated reporting. While presented in advance of our empirical results, it is important to note that </w:t>
      </w:r>
      <w:r>
        <w:rPr>
          <w:rFonts w:ascii="Times New Roman" w:hAnsi="Times New Roman" w:cs="Times New Roman"/>
          <w:lang w:val="en-US"/>
        </w:rPr>
        <w:lastRenderedPageBreak/>
        <w:t xml:space="preserve">this theoretical framing was not a static vehicle, whose relevance was merely illustrated through the case events of the IIRC. Rather, it </w:t>
      </w:r>
      <w:r w:rsidR="00825963">
        <w:rPr>
          <w:rFonts w:ascii="Times New Roman" w:hAnsi="Times New Roman" w:cs="Times New Roman"/>
          <w:lang w:val="en-US"/>
        </w:rPr>
        <w:t xml:space="preserve">had </w:t>
      </w:r>
      <w:r>
        <w:rPr>
          <w:rFonts w:ascii="Times New Roman" w:hAnsi="Times New Roman" w:cs="Times New Roman"/>
          <w:lang w:val="en-US"/>
        </w:rPr>
        <w:t xml:space="preserve">a more transformative nature, with the initial theoretical framing provided by Suddaby and </w:t>
      </w:r>
      <w:proofErr w:type="spellStart"/>
      <w:r>
        <w:rPr>
          <w:rFonts w:ascii="Times New Roman" w:hAnsi="Times New Roman" w:cs="Times New Roman"/>
          <w:lang w:val="en-US"/>
        </w:rPr>
        <w:t>Viale</w:t>
      </w:r>
      <w:proofErr w:type="spellEnd"/>
      <w:r>
        <w:rPr>
          <w:rFonts w:ascii="Times New Roman" w:hAnsi="Times New Roman" w:cs="Times New Roman"/>
          <w:lang w:val="en-US"/>
        </w:rPr>
        <w:t xml:space="preserve"> being refined as the empirical evidence served to demonstrate the institutional significance of boundary work and revealed development patterns that were not </w:t>
      </w:r>
      <w:r w:rsidR="00E37A0F">
        <w:rPr>
          <w:rFonts w:ascii="Times New Roman" w:hAnsi="Times New Roman" w:cs="Times New Roman"/>
          <w:lang w:val="en-US"/>
        </w:rPr>
        <w:t xml:space="preserve">sufficiently </w:t>
      </w:r>
      <w:r>
        <w:rPr>
          <w:rFonts w:ascii="Times New Roman" w:hAnsi="Times New Roman" w:cs="Times New Roman"/>
          <w:lang w:val="en-US"/>
        </w:rPr>
        <w:t xml:space="preserve">captured by Suddaby and </w:t>
      </w:r>
      <w:proofErr w:type="spellStart"/>
      <w:r>
        <w:rPr>
          <w:rFonts w:ascii="Times New Roman" w:hAnsi="Times New Roman" w:cs="Times New Roman"/>
          <w:lang w:val="en-US"/>
        </w:rPr>
        <w:t>Viale’s</w:t>
      </w:r>
      <w:proofErr w:type="spellEnd"/>
      <w:r>
        <w:rPr>
          <w:rFonts w:ascii="Times New Roman" w:hAnsi="Times New Roman" w:cs="Times New Roman"/>
          <w:lang w:val="en-US"/>
        </w:rPr>
        <w:t xml:space="preserve"> more generic modelling of field reconfigurations.  This interaction between empirical analysis and theoretical development proved to be a central feature of our research method, which is outlined in detail in the next section, prior to presenting the results of our analysis.</w:t>
      </w:r>
    </w:p>
    <w:p w14:paraId="106A9664" w14:textId="77777777" w:rsidR="004E3488" w:rsidRDefault="004E3488" w:rsidP="00AC5CDC">
      <w:pPr>
        <w:autoSpaceDE w:val="0"/>
        <w:autoSpaceDN w:val="0"/>
        <w:adjustRightInd w:val="0"/>
        <w:spacing w:after="0" w:line="360" w:lineRule="auto"/>
        <w:ind w:firstLine="708"/>
        <w:jc w:val="both"/>
        <w:rPr>
          <w:rFonts w:ascii="Times New Roman" w:hAnsi="Times New Roman" w:cs="Times New Roman"/>
          <w:lang w:val="en-US"/>
        </w:rPr>
      </w:pPr>
    </w:p>
    <w:p w14:paraId="329E469F" w14:textId="1B690F8D" w:rsidR="00250645" w:rsidRPr="00686181" w:rsidRDefault="00BB70BE" w:rsidP="00BB70BE">
      <w:pPr>
        <w:spacing w:line="360" w:lineRule="auto"/>
        <w:rPr>
          <w:rFonts w:ascii="Times New Roman" w:hAnsi="Times New Roman" w:cs="Times New Roman"/>
          <w:b/>
          <w:lang w:val="en-US"/>
        </w:rPr>
      </w:pPr>
      <w:r>
        <w:rPr>
          <w:rFonts w:ascii="Times New Roman" w:hAnsi="Times New Roman" w:cs="Times New Roman"/>
          <w:b/>
          <w:lang w:val="en-US"/>
        </w:rPr>
        <w:t>3.</w:t>
      </w:r>
      <w:r w:rsidR="007847C2">
        <w:rPr>
          <w:rFonts w:ascii="Times New Roman" w:hAnsi="Times New Roman" w:cs="Times New Roman"/>
          <w:b/>
          <w:lang w:val="en-US"/>
        </w:rPr>
        <w:tab/>
      </w:r>
      <w:r w:rsidR="00412687" w:rsidRPr="00686181">
        <w:rPr>
          <w:rFonts w:ascii="Times New Roman" w:hAnsi="Times New Roman" w:cs="Times New Roman"/>
          <w:b/>
          <w:lang w:val="en-US"/>
        </w:rPr>
        <w:t>Research method</w:t>
      </w:r>
    </w:p>
    <w:p w14:paraId="3D5FA7C0" w14:textId="5438E066" w:rsidR="00BB70BE" w:rsidRPr="00686181" w:rsidRDefault="00BB70BE" w:rsidP="00686181">
      <w:pPr>
        <w:spacing w:line="360" w:lineRule="auto"/>
        <w:ind w:firstLine="708"/>
        <w:jc w:val="both"/>
        <w:rPr>
          <w:rFonts w:ascii="Times New Roman" w:hAnsi="Times New Roman" w:cs="Times New Roman"/>
          <w:bCs/>
          <w:lang w:val="en-US"/>
        </w:rPr>
      </w:pPr>
      <w:r w:rsidRPr="00686181">
        <w:rPr>
          <w:rFonts w:ascii="Times New Roman" w:hAnsi="Times New Roman" w:cs="Times New Roman"/>
          <w:lang w:val="en-US"/>
        </w:rPr>
        <w:t xml:space="preserve">To address our core objective of </w:t>
      </w:r>
      <w:proofErr w:type="spellStart"/>
      <w:r w:rsidRPr="00686181">
        <w:rPr>
          <w:rFonts w:ascii="Times New Roman" w:hAnsi="Times New Roman" w:cs="Times New Roman"/>
          <w:lang w:val="en-US"/>
        </w:rPr>
        <w:t>analysing</w:t>
      </w:r>
      <w:proofErr w:type="spellEnd"/>
      <w:r w:rsidRPr="00686181">
        <w:rPr>
          <w:rFonts w:ascii="Times New Roman" w:hAnsi="Times New Roman" w:cs="Times New Roman"/>
          <w:lang w:val="en-US"/>
        </w:rPr>
        <w:t xml:space="preserve"> the evolution of the IIRC and its efforts to promote integrated reporting </w:t>
      </w:r>
      <w:r w:rsidRPr="00686181">
        <w:rPr>
          <w:rFonts w:ascii="Times New Roman" w:hAnsi="Times New Roman" w:cs="Times New Roman"/>
          <w:iCs/>
          <w:color w:val="000000"/>
          <w:lang w:val="en-US" w:eastAsia="en-IE"/>
        </w:rPr>
        <w:t xml:space="preserve">we conducted </w:t>
      </w:r>
      <w:r w:rsidRPr="00686181">
        <w:rPr>
          <w:rFonts w:ascii="Times New Roman" w:hAnsi="Times New Roman" w:cs="Times New Roman"/>
          <w:lang w:val="en-US"/>
        </w:rPr>
        <w:t xml:space="preserve">a qualitative analysis of a range of archival and other data. The documentary material </w:t>
      </w:r>
      <w:proofErr w:type="spellStart"/>
      <w:r w:rsidRPr="00686181">
        <w:rPr>
          <w:rFonts w:ascii="Times New Roman" w:hAnsi="Times New Roman" w:cs="Times New Roman"/>
          <w:lang w:val="en-US"/>
        </w:rPr>
        <w:t>analysed</w:t>
      </w:r>
      <w:proofErr w:type="spellEnd"/>
      <w:r w:rsidRPr="00686181">
        <w:rPr>
          <w:rFonts w:ascii="Times New Roman" w:hAnsi="Times New Roman" w:cs="Times New Roman"/>
          <w:lang w:val="en-US"/>
        </w:rPr>
        <w:t xml:space="preserve"> included formal IIRC documents such as the IIRC’s 2011 discussion paper and responses to this discussion paper, the 2013 technical agenda papers of the IIRC Working Group and Council, the IIRC consultation draft framework and </w:t>
      </w:r>
      <w:r w:rsidR="00825963">
        <w:rPr>
          <w:rFonts w:ascii="Times New Roman" w:hAnsi="Times New Roman" w:cs="Times New Roman"/>
          <w:lang w:val="en-US"/>
        </w:rPr>
        <w:t xml:space="preserve">related </w:t>
      </w:r>
      <w:r w:rsidRPr="00686181">
        <w:rPr>
          <w:rFonts w:ascii="Times New Roman" w:hAnsi="Times New Roman" w:cs="Times New Roman"/>
          <w:lang w:val="en-US"/>
        </w:rPr>
        <w:t xml:space="preserve">submissions, the IIRC’s Emerging Integrated Reporting Database, the final integrated reporting framework and its supporting Basis for Conclusions and Summary of Significant Issues. We also </w:t>
      </w:r>
      <w:proofErr w:type="spellStart"/>
      <w:r w:rsidRPr="00686181">
        <w:rPr>
          <w:rFonts w:ascii="Times New Roman" w:hAnsi="Times New Roman" w:cs="Times New Roman"/>
          <w:lang w:val="en-US"/>
        </w:rPr>
        <w:t>analysed</w:t>
      </w:r>
      <w:proofErr w:type="spellEnd"/>
      <w:r w:rsidRPr="00686181">
        <w:rPr>
          <w:rFonts w:ascii="Times New Roman" w:hAnsi="Times New Roman" w:cs="Times New Roman"/>
          <w:lang w:val="en-US"/>
        </w:rPr>
        <w:t xml:space="preserve"> all Memoranda of Understanding signed by the IIRC, IIRC press releases, Background Papers, the IIRC Pilot </w:t>
      </w:r>
      <w:proofErr w:type="spellStart"/>
      <w:r w:rsidRPr="00686181">
        <w:rPr>
          <w:rFonts w:ascii="Times New Roman" w:hAnsi="Times New Roman" w:cs="Times New Roman"/>
          <w:lang w:val="en-US"/>
        </w:rPr>
        <w:t>Programme</w:t>
      </w:r>
      <w:proofErr w:type="spellEnd"/>
      <w:r w:rsidRPr="00686181">
        <w:rPr>
          <w:rFonts w:ascii="Times New Roman" w:hAnsi="Times New Roman" w:cs="Times New Roman"/>
          <w:lang w:val="en-US"/>
        </w:rPr>
        <w:t xml:space="preserve"> Yearbooks for 2012 and 2013, the IIRC blog, and twitter feeds on integrated reporting from the IIRC, the ICAEW sustainability division, Ethical Corporation, The Prince’s Accounting for Sustainability Project, the Global Reporting Initiative (GRI), PwC Sustainability, TEEB (now renamed the National Capital Coalition), IFAC, the US Sustainability Accounting Standards Board, KPMG Sustainability, Deloitte IAS Plus, and </w:t>
      </w:r>
      <w:r w:rsidR="00825963">
        <w:rPr>
          <w:rFonts w:ascii="Times New Roman" w:hAnsi="Times New Roman" w:cs="Times New Roman"/>
          <w:bCs/>
          <w:lang w:val="en-US"/>
        </w:rPr>
        <w:t>t</w:t>
      </w:r>
      <w:r w:rsidRPr="00686181">
        <w:rPr>
          <w:rFonts w:ascii="Times New Roman" w:hAnsi="Times New Roman" w:cs="Times New Roman"/>
          <w:bCs/>
          <w:lang w:val="en-US"/>
        </w:rPr>
        <w:t>he Federation of European Accountants</w:t>
      </w:r>
      <w:r w:rsidR="00825963">
        <w:rPr>
          <w:rFonts w:ascii="Times New Roman" w:hAnsi="Times New Roman" w:cs="Times New Roman"/>
          <w:bCs/>
          <w:lang w:val="en-US"/>
        </w:rPr>
        <w:t xml:space="preserve"> (FEE)</w:t>
      </w:r>
      <w:r w:rsidRPr="00686181">
        <w:rPr>
          <w:rFonts w:ascii="Times New Roman" w:hAnsi="Times New Roman" w:cs="Times New Roman"/>
          <w:bCs/>
          <w:lang w:val="en-US"/>
        </w:rPr>
        <w:t xml:space="preserve">, among others. </w:t>
      </w:r>
    </w:p>
    <w:p w14:paraId="19B343B3" w14:textId="77777777" w:rsidR="00BB70BE" w:rsidRPr="00686181" w:rsidRDefault="00BB70BE" w:rsidP="00686181">
      <w:pPr>
        <w:spacing w:line="360" w:lineRule="auto"/>
        <w:ind w:firstLine="708"/>
        <w:jc w:val="both"/>
        <w:rPr>
          <w:rFonts w:ascii="Times New Roman" w:hAnsi="Times New Roman" w:cs="Times New Roman"/>
          <w:lang w:val="en-US"/>
        </w:rPr>
      </w:pPr>
      <w:r w:rsidRPr="00686181">
        <w:rPr>
          <w:rFonts w:ascii="Times New Roman" w:hAnsi="Times New Roman" w:cs="Times New Roman"/>
          <w:bCs/>
          <w:lang w:val="en-US"/>
        </w:rPr>
        <w:t xml:space="preserve">We constructed a database of </w:t>
      </w:r>
      <w:r w:rsidRPr="00686181">
        <w:rPr>
          <w:rFonts w:ascii="Times New Roman" w:hAnsi="Times New Roman" w:cs="Times New Roman"/>
          <w:lang w:val="en-US"/>
        </w:rPr>
        <w:t xml:space="preserve">research studies and commentaries on integrated reporting and its evolution emanating from professional accounting bodies, consultancies, professionals in the field of corporate reporting, the investment industry and key media commentators. We also gathered copies of presentations made by the IIRC and others such as corporate social responsibility consultants and professional accounting bodies at public events and conferences. We placed particular emphasis on accessing all media contributions by IIRC board members, including interviews, opinion pieces, and YouTube videos of presentations on integrated reporting and the IIRC. This allowed us to build up an extensive archive of data that we linked chronologically to each phase of the IIRC’s development. </w:t>
      </w:r>
    </w:p>
    <w:p w14:paraId="0D38E06E" w14:textId="36A60ABB" w:rsidR="00BB70BE" w:rsidRPr="00686181" w:rsidRDefault="00BB70BE" w:rsidP="00686181">
      <w:pPr>
        <w:spacing w:line="360" w:lineRule="auto"/>
        <w:ind w:firstLine="708"/>
        <w:jc w:val="both"/>
        <w:rPr>
          <w:rFonts w:ascii="Times New Roman" w:hAnsi="Times New Roman" w:cs="Times New Roman"/>
          <w:lang w:val="en-US"/>
        </w:rPr>
      </w:pPr>
      <w:r w:rsidRPr="00686181">
        <w:rPr>
          <w:rFonts w:ascii="Times New Roman" w:hAnsi="Times New Roman" w:cs="Times New Roman"/>
          <w:lang w:val="en-US"/>
        </w:rPr>
        <w:t xml:space="preserve">This documentary data was supplemented with insights from participation in several events linked to the work of the IIRC, along with interactions with IIRC members and IIRC advocates, including participation in roundtables hosted by the IIRC in London, Amsterdam and Italy and a launch meeting of the IIRC’s Pilot </w:t>
      </w:r>
      <w:proofErr w:type="spellStart"/>
      <w:r w:rsidRPr="00686181">
        <w:rPr>
          <w:rFonts w:ascii="Times New Roman" w:hAnsi="Times New Roman" w:cs="Times New Roman"/>
          <w:lang w:val="en-US"/>
        </w:rPr>
        <w:t>Programme</w:t>
      </w:r>
      <w:proofErr w:type="spellEnd"/>
      <w:r w:rsidRPr="00686181">
        <w:rPr>
          <w:rFonts w:ascii="Times New Roman" w:hAnsi="Times New Roman" w:cs="Times New Roman"/>
          <w:lang w:val="en-US"/>
        </w:rPr>
        <w:t xml:space="preserve"> for businesses in Rotterdam (all in 2011).  One of the </w:t>
      </w:r>
      <w:r w:rsidRPr="00686181">
        <w:rPr>
          <w:rFonts w:ascii="Times New Roman" w:hAnsi="Times New Roman" w:cs="Times New Roman"/>
          <w:lang w:val="en-US"/>
        </w:rPr>
        <w:lastRenderedPageBreak/>
        <w:t xml:space="preserve">authors, at the invitation of the IIRC, developed and led an Integrated Reporting Academic Network which involved discussions and engagement over an extended period with executives seconded to the IIRC with an aim of providing the IIRC with access to existing academic research insights to help inform its development of integrated reporting. </w:t>
      </w:r>
      <w:r w:rsidR="00C82419">
        <w:rPr>
          <w:rFonts w:ascii="Times New Roman" w:hAnsi="Times New Roman" w:cs="Times New Roman"/>
          <w:lang w:val="en-US"/>
        </w:rPr>
        <w:t xml:space="preserve">This author was careful to maintain a distanced, critical stance throughout this process. </w:t>
      </w:r>
      <w:r w:rsidRPr="00686181">
        <w:rPr>
          <w:rFonts w:ascii="Times New Roman" w:hAnsi="Times New Roman" w:cs="Times New Roman"/>
          <w:lang w:val="en-US"/>
        </w:rPr>
        <w:t xml:space="preserve">He also co-led an academic research project for the Prince’s Accounting for Sustainability Project (one of the founding bodies of the IIRC). Two of the authors presented at and organized the academic session on </w:t>
      </w:r>
      <w:r w:rsidR="000778EF">
        <w:rPr>
          <w:rFonts w:ascii="Times New Roman" w:hAnsi="Times New Roman" w:cs="Times New Roman"/>
          <w:lang w:val="en-US"/>
        </w:rPr>
        <w:t>i</w:t>
      </w:r>
      <w:r w:rsidRPr="00686181">
        <w:rPr>
          <w:rFonts w:ascii="Times New Roman" w:hAnsi="Times New Roman" w:cs="Times New Roman"/>
          <w:lang w:val="en-US"/>
        </w:rPr>
        <w:t xml:space="preserve">ntegrated </w:t>
      </w:r>
      <w:r w:rsidR="000778EF">
        <w:rPr>
          <w:rFonts w:ascii="Times New Roman" w:hAnsi="Times New Roman" w:cs="Times New Roman"/>
          <w:lang w:val="en-US"/>
        </w:rPr>
        <w:t>r</w:t>
      </w:r>
      <w:r w:rsidRPr="00686181">
        <w:rPr>
          <w:rFonts w:ascii="Times New Roman" w:hAnsi="Times New Roman" w:cs="Times New Roman"/>
          <w:lang w:val="en-US"/>
        </w:rPr>
        <w:t>eporting at the GRI 2013 conference in Amsterdam</w:t>
      </w:r>
      <w:r w:rsidR="000778EF">
        <w:rPr>
          <w:rFonts w:ascii="Times New Roman" w:hAnsi="Times New Roman" w:cs="Times New Roman"/>
          <w:lang w:val="en-US"/>
        </w:rPr>
        <w:t xml:space="preserve">, </w:t>
      </w:r>
      <w:r w:rsidRPr="00686181">
        <w:rPr>
          <w:rFonts w:ascii="Times New Roman" w:hAnsi="Times New Roman" w:cs="Times New Roman"/>
          <w:lang w:val="en-US"/>
        </w:rPr>
        <w:t xml:space="preserve">attended by key individuals from the IIRC including its CEO, Paul </w:t>
      </w:r>
      <w:proofErr w:type="spellStart"/>
      <w:r w:rsidRPr="00686181">
        <w:rPr>
          <w:rFonts w:ascii="Times New Roman" w:hAnsi="Times New Roman" w:cs="Times New Roman"/>
          <w:lang w:val="en-US"/>
        </w:rPr>
        <w:t>Druckman</w:t>
      </w:r>
      <w:proofErr w:type="spellEnd"/>
      <w:r w:rsidRPr="00686181">
        <w:rPr>
          <w:rFonts w:ascii="Times New Roman" w:hAnsi="Times New Roman" w:cs="Times New Roman"/>
          <w:lang w:val="en-US"/>
        </w:rPr>
        <w:t xml:space="preserve">. We also drew on discussions and informal meetings with several members of the IIRC and partners and staff in Big 4 professional services firms in the Netherlands that provided services related to integrated reporting. </w:t>
      </w:r>
    </w:p>
    <w:p w14:paraId="5A068A7D" w14:textId="7977CA54" w:rsidR="00BB70BE" w:rsidRPr="00686181" w:rsidRDefault="00BB70BE" w:rsidP="00686181">
      <w:pPr>
        <w:spacing w:line="360" w:lineRule="auto"/>
        <w:ind w:firstLine="708"/>
        <w:jc w:val="both"/>
        <w:rPr>
          <w:rFonts w:ascii="Times New Roman" w:hAnsi="Times New Roman" w:cs="Times New Roman"/>
          <w:lang w:val="en-US"/>
        </w:rPr>
      </w:pPr>
      <w:r w:rsidRPr="00686181">
        <w:rPr>
          <w:rFonts w:ascii="Times New Roman" w:hAnsi="Times New Roman" w:cs="Times New Roman"/>
          <w:lang w:val="en-US"/>
        </w:rPr>
        <w:t>A</w:t>
      </w:r>
      <w:r w:rsidR="000778EF">
        <w:rPr>
          <w:rFonts w:ascii="Times New Roman" w:hAnsi="Times New Roman" w:cs="Times New Roman"/>
          <w:lang w:val="en-US"/>
        </w:rPr>
        <w:t>cross</w:t>
      </w:r>
      <w:r w:rsidRPr="00686181">
        <w:rPr>
          <w:rFonts w:ascii="Times New Roman" w:hAnsi="Times New Roman" w:cs="Times New Roman"/>
          <w:lang w:val="en-US"/>
        </w:rPr>
        <w:t xml:space="preserve"> all stages of </w:t>
      </w:r>
      <w:r w:rsidR="000778EF">
        <w:rPr>
          <w:rFonts w:ascii="Times New Roman" w:hAnsi="Times New Roman" w:cs="Times New Roman"/>
          <w:lang w:val="en-US"/>
        </w:rPr>
        <w:t>our</w:t>
      </w:r>
      <w:r w:rsidR="000778EF" w:rsidRPr="00686181">
        <w:rPr>
          <w:rFonts w:ascii="Times New Roman" w:hAnsi="Times New Roman" w:cs="Times New Roman"/>
          <w:lang w:val="en-US"/>
        </w:rPr>
        <w:t xml:space="preserve"> </w:t>
      </w:r>
      <w:r w:rsidRPr="00686181">
        <w:rPr>
          <w:rFonts w:ascii="Times New Roman" w:hAnsi="Times New Roman" w:cs="Times New Roman"/>
          <w:lang w:val="en-US"/>
        </w:rPr>
        <w:t xml:space="preserve">involvement with the IIRC, we discussed and obtained informed consent to use insights from these interactions in our academic research. It was made clear to those with whom we interacted that our role was to observe and provide evidence, not to make decisions around the shaping of the IIRC or integrated reporting, and we were careful throughout to maintain this </w:t>
      </w:r>
      <w:r w:rsidR="000778EF">
        <w:rPr>
          <w:rFonts w:ascii="Times New Roman" w:hAnsi="Times New Roman" w:cs="Times New Roman"/>
          <w:lang w:val="en-US"/>
        </w:rPr>
        <w:t xml:space="preserve">level of </w:t>
      </w:r>
      <w:r w:rsidRPr="00686181">
        <w:rPr>
          <w:rFonts w:ascii="Times New Roman" w:hAnsi="Times New Roman" w:cs="Times New Roman"/>
          <w:lang w:val="en-US"/>
        </w:rPr>
        <w:t>academic independence, for example, by not becoming actively involved in, or advocating decisions on, the shape of integrated reporting.</w:t>
      </w:r>
    </w:p>
    <w:p w14:paraId="47FBD5E5" w14:textId="0399E22B" w:rsidR="00BB70BE" w:rsidRPr="00686181" w:rsidRDefault="00BB70BE" w:rsidP="00686181">
      <w:pPr>
        <w:spacing w:line="360" w:lineRule="auto"/>
        <w:ind w:firstLine="708"/>
        <w:jc w:val="both"/>
        <w:rPr>
          <w:rFonts w:ascii="Times New Roman" w:hAnsi="Times New Roman"/>
          <w:lang w:val="en-US"/>
        </w:rPr>
      </w:pPr>
      <w:r w:rsidRPr="00686181">
        <w:rPr>
          <w:rFonts w:ascii="Times New Roman" w:hAnsi="Times New Roman"/>
          <w:lang w:val="en-US"/>
        </w:rPr>
        <w:t xml:space="preserve">We used a modified form of content analysis (see, </w:t>
      </w:r>
      <w:proofErr w:type="spellStart"/>
      <w:r w:rsidRPr="00686181">
        <w:rPr>
          <w:rFonts w:ascii="Times New Roman" w:hAnsi="Times New Roman"/>
          <w:lang w:val="en-US"/>
        </w:rPr>
        <w:t>Malsch</w:t>
      </w:r>
      <w:proofErr w:type="spellEnd"/>
      <w:r w:rsidRPr="00686181">
        <w:rPr>
          <w:rFonts w:ascii="Times New Roman" w:hAnsi="Times New Roman"/>
          <w:lang w:val="en-US"/>
        </w:rPr>
        <w:t xml:space="preserve"> and </w:t>
      </w:r>
      <w:proofErr w:type="spellStart"/>
      <w:r w:rsidRPr="00686181">
        <w:rPr>
          <w:rFonts w:ascii="Times New Roman" w:hAnsi="Times New Roman"/>
          <w:lang w:val="en-US"/>
        </w:rPr>
        <w:t>Gendron</w:t>
      </w:r>
      <w:proofErr w:type="spellEnd"/>
      <w:r w:rsidRPr="00686181">
        <w:rPr>
          <w:rFonts w:ascii="Times New Roman" w:hAnsi="Times New Roman"/>
          <w:lang w:val="en-US"/>
        </w:rPr>
        <w:t xml:space="preserve">, 2011; Shapiro and Matson, 2008) to </w:t>
      </w:r>
      <w:proofErr w:type="spellStart"/>
      <w:r w:rsidRPr="00686181">
        <w:rPr>
          <w:rFonts w:ascii="Times New Roman" w:hAnsi="Times New Roman"/>
          <w:lang w:val="en-US"/>
        </w:rPr>
        <w:t>analyse</w:t>
      </w:r>
      <w:proofErr w:type="spellEnd"/>
      <w:r w:rsidRPr="00686181">
        <w:rPr>
          <w:rFonts w:ascii="Times New Roman" w:hAnsi="Times New Roman"/>
          <w:lang w:val="en-US"/>
        </w:rPr>
        <w:t xml:space="preserve"> the archival data. This focused on examining both the manifest (literal meaning) and latent (deep structural meaning) content of the evidence (Suddaby et al., 2007). Initially, we read all the documentary evidence separately focusing on the manifest content of the documents. This focus led to identification and description of the </w:t>
      </w:r>
      <w:r w:rsidR="000778EF">
        <w:rPr>
          <w:rFonts w:ascii="Times New Roman" w:hAnsi="Times New Roman"/>
          <w:lang w:val="en-US"/>
        </w:rPr>
        <w:t>main</w:t>
      </w:r>
      <w:r w:rsidR="000778EF" w:rsidRPr="00686181">
        <w:rPr>
          <w:rFonts w:ascii="Times New Roman" w:hAnsi="Times New Roman"/>
          <w:lang w:val="en-US"/>
        </w:rPr>
        <w:t xml:space="preserve"> </w:t>
      </w:r>
      <w:r w:rsidRPr="00686181">
        <w:rPr>
          <w:rFonts w:ascii="Times New Roman" w:hAnsi="Times New Roman"/>
          <w:lang w:val="en-US"/>
        </w:rPr>
        <w:t xml:space="preserve">phases in the evolution of the IIRC, identifying the key actors involved and their interactions and interrelationships. We then conducted a number of keyword or theme-based searches of all documentation to delve deeper into the </w:t>
      </w:r>
      <w:r w:rsidR="000778EF">
        <w:rPr>
          <w:rFonts w:ascii="Times New Roman" w:hAnsi="Times New Roman"/>
          <w:lang w:val="en-US"/>
        </w:rPr>
        <w:t xml:space="preserve">main </w:t>
      </w:r>
      <w:r w:rsidRPr="00686181">
        <w:rPr>
          <w:rFonts w:ascii="Times New Roman" w:hAnsi="Times New Roman"/>
          <w:lang w:val="en-US"/>
        </w:rPr>
        <w:t xml:space="preserve">phases of the IIRC’s progression. These included documentary searches using guiding themes such as: sustainability versus value creation; stakeholders versus investors, solutions offered; integrated versus connected reporting; new reporting versus building on existing reporting; shifting scope of integrated reporting; belief statements and expectations of actors; ambiguity of language, use of rhetoric; criticisms of integrated reporting; relationship to prior (and existing) corporate reporting initiatives; market-led; harmonization; competing reporters; alliances; use of supporting evidence; and the role of long term investors. </w:t>
      </w:r>
    </w:p>
    <w:p w14:paraId="23498F08" w14:textId="41864371" w:rsidR="00BB70BE" w:rsidRPr="00686181" w:rsidRDefault="00BB70BE" w:rsidP="00686181">
      <w:pPr>
        <w:spacing w:line="360" w:lineRule="auto"/>
        <w:ind w:firstLine="708"/>
        <w:jc w:val="both"/>
        <w:rPr>
          <w:rFonts w:ascii="Times New Roman" w:hAnsi="Times New Roman"/>
          <w:lang w:val="en-US"/>
        </w:rPr>
      </w:pPr>
      <w:r w:rsidRPr="00686181">
        <w:rPr>
          <w:rFonts w:ascii="Times New Roman" w:hAnsi="Times New Roman"/>
          <w:lang w:val="en-US"/>
        </w:rPr>
        <w:t>We documented the key actors in the field and their interrelationships and also kept a record of all our meetings and conversations at the events we were directly involved</w:t>
      </w:r>
      <w:r w:rsidR="002273D2">
        <w:rPr>
          <w:rFonts w:ascii="Times New Roman" w:hAnsi="Times New Roman"/>
          <w:lang w:val="en-US"/>
        </w:rPr>
        <w:t>.</w:t>
      </w:r>
      <w:r w:rsidRPr="00686181">
        <w:rPr>
          <w:rFonts w:ascii="Times New Roman" w:hAnsi="Times New Roman"/>
          <w:lang w:val="en-US"/>
        </w:rPr>
        <w:t xml:space="preserve"> This was </w:t>
      </w:r>
      <w:r w:rsidR="002273D2">
        <w:rPr>
          <w:rFonts w:ascii="Times New Roman" w:hAnsi="Times New Roman"/>
          <w:lang w:val="en-US"/>
        </w:rPr>
        <w:t xml:space="preserve">very much </w:t>
      </w:r>
      <w:r w:rsidRPr="00686181">
        <w:rPr>
          <w:rFonts w:ascii="Times New Roman" w:hAnsi="Times New Roman"/>
          <w:lang w:val="en-US"/>
        </w:rPr>
        <w:t xml:space="preserve">an ongoing process as the IIRC and integrated reporting were evolving as our data collection and analysis </w:t>
      </w:r>
      <w:r w:rsidRPr="00686181">
        <w:rPr>
          <w:rFonts w:ascii="Times New Roman" w:hAnsi="Times New Roman"/>
          <w:lang w:val="en-US"/>
        </w:rPr>
        <w:lastRenderedPageBreak/>
        <w:t xml:space="preserve">proceeded. This initial stage of data collection commenced in January 2012 and ceased in mid-January 2013. </w:t>
      </w:r>
    </w:p>
    <w:p w14:paraId="0FF2B8F5" w14:textId="7E197A43" w:rsidR="00BB70BE" w:rsidRPr="00686181" w:rsidRDefault="00BB70BE" w:rsidP="00686181">
      <w:pPr>
        <w:spacing w:line="360" w:lineRule="auto"/>
        <w:ind w:firstLine="708"/>
        <w:jc w:val="both"/>
        <w:rPr>
          <w:rFonts w:ascii="Times New Roman" w:hAnsi="Times New Roman"/>
          <w:lang w:val="en-US"/>
        </w:rPr>
      </w:pPr>
      <w:r w:rsidRPr="00686181">
        <w:rPr>
          <w:rFonts w:ascii="Times New Roman" w:hAnsi="Times New Roman"/>
          <w:lang w:val="en-US"/>
        </w:rPr>
        <w:t>Our second analy</w:t>
      </w:r>
      <w:r w:rsidR="002273D2">
        <w:rPr>
          <w:rFonts w:ascii="Times New Roman" w:hAnsi="Times New Roman"/>
          <w:lang w:val="en-US"/>
        </w:rPr>
        <w:t>tical</w:t>
      </w:r>
      <w:r w:rsidRPr="00686181">
        <w:rPr>
          <w:rFonts w:ascii="Times New Roman" w:hAnsi="Times New Roman"/>
          <w:lang w:val="en-US"/>
        </w:rPr>
        <w:t xml:space="preserve"> phase concentrated on the latent content of the data. This involved an interpretive content analysis focused more explicitly on understanding and explaining the data in the context of the central dynamics outlined in Suddaby and </w:t>
      </w:r>
      <w:proofErr w:type="spellStart"/>
      <w:r w:rsidRPr="00686181">
        <w:rPr>
          <w:rFonts w:ascii="Times New Roman" w:hAnsi="Times New Roman"/>
          <w:lang w:val="en-US"/>
        </w:rPr>
        <w:t>Viale’s</w:t>
      </w:r>
      <w:proofErr w:type="spellEnd"/>
      <w:r w:rsidRPr="00686181">
        <w:rPr>
          <w:rFonts w:ascii="Times New Roman" w:hAnsi="Times New Roman"/>
          <w:lang w:val="en-US"/>
        </w:rPr>
        <w:t xml:space="preserve"> (2011) </w:t>
      </w:r>
      <w:r w:rsidRPr="00686181">
        <w:rPr>
          <w:rFonts w:ascii="Times New Roman" w:hAnsi="Times New Roman" w:cs="Times New Roman"/>
          <w:lang w:val="en-US"/>
        </w:rPr>
        <w:t xml:space="preserve">theorization of the role of professions and professionals in crafting and changing organizational fields. </w:t>
      </w:r>
      <w:r w:rsidR="00172F35">
        <w:rPr>
          <w:rFonts w:ascii="Times New Roman" w:hAnsi="Times New Roman" w:cs="Times New Roman"/>
          <w:lang w:val="en-US"/>
        </w:rPr>
        <w:t xml:space="preserve">We mobilized the concept of boundary work within this framing as this enabled us to explain the data in more depth and </w:t>
      </w:r>
      <w:r w:rsidR="00797B81">
        <w:rPr>
          <w:rFonts w:ascii="Times New Roman" w:hAnsi="Times New Roman" w:cs="Times New Roman"/>
          <w:lang w:val="en-US"/>
        </w:rPr>
        <w:t xml:space="preserve">to </w:t>
      </w:r>
      <w:r w:rsidRPr="00686181">
        <w:rPr>
          <w:rFonts w:ascii="Times New Roman" w:hAnsi="Times New Roman" w:cs="Times New Roman"/>
          <w:lang w:val="en-US"/>
        </w:rPr>
        <w:t>appreciate the broader significance of our empirical findings</w:t>
      </w:r>
      <w:r w:rsidR="00797B81">
        <w:rPr>
          <w:rFonts w:ascii="Times New Roman" w:hAnsi="Times New Roman" w:cs="Times New Roman"/>
          <w:lang w:val="en-US"/>
        </w:rPr>
        <w:t xml:space="preserve">.  Collectively, this two-staged level of </w:t>
      </w:r>
      <w:r w:rsidRPr="00686181">
        <w:rPr>
          <w:rFonts w:ascii="Times New Roman" w:hAnsi="Times New Roman" w:cs="Times New Roman"/>
          <w:lang w:val="en-US"/>
        </w:rPr>
        <w:t xml:space="preserve"> </w:t>
      </w:r>
      <w:r w:rsidR="00797B81">
        <w:rPr>
          <w:rFonts w:ascii="Times New Roman" w:hAnsi="Times New Roman" w:cs="Times New Roman"/>
          <w:lang w:val="en-US"/>
        </w:rPr>
        <w:t xml:space="preserve">analysis enabled us </w:t>
      </w:r>
      <w:r w:rsidRPr="00686181">
        <w:rPr>
          <w:rFonts w:ascii="Times New Roman" w:hAnsi="Times New Roman" w:cs="Times New Roman"/>
          <w:lang w:val="en-US"/>
        </w:rPr>
        <w:t xml:space="preserve">to </w:t>
      </w:r>
      <w:r w:rsidR="00797B81">
        <w:rPr>
          <w:rFonts w:ascii="Times New Roman" w:hAnsi="Times New Roman" w:cs="Times New Roman"/>
          <w:lang w:val="en-US"/>
        </w:rPr>
        <w:t>construct a richer level of theorization</w:t>
      </w:r>
      <w:r w:rsidR="00797B81" w:rsidRPr="00686181">
        <w:rPr>
          <w:rFonts w:ascii="Times New Roman" w:hAnsi="Times New Roman" w:cs="Times New Roman"/>
          <w:lang w:val="en-US"/>
        </w:rPr>
        <w:t xml:space="preserve"> </w:t>
      </w:r>
      <w:r w:rsidRPr="00686181">
        <w:rPr>
          <w:rFonts w:ascii="Times New Roman" w:hAnsi="Times New Roman" w:cs="Times New Roman"/>
          <w:lang w:val="en-US"/>
        </w:rPr>
        <w:t xml:space="preserve">and to delineate the primary public policy challenges facing the IIRC. It necessitated considerable </w:t>
      </w:r>
      <w:r w:rsidRPr="00686181">
        <w:rPr>
          <w:rFonts w:ascii="Times New Roman" w:hAnsi="Times New Roman"/>
          <w:lang w:val="en-US"/>
        </w:rPr>
        <w:t xml:space="preserve">re-reading and </w:t>
      </w:r>
      <w:r w:rsidR="00797B81">
        <w:rPr>
          <w:rFonts w:ascii="Times New Roman" w:hAnsi="Times New Roman"/>
          <w:lang w:val="en-US"/>
        </w:rPr>
        <w:t>re-</w:t>
      </w:r>
      <w:r w:rsidRPr="00686181">
        <w:rPr>
          <w:rFonts w:ascii="Times New Roman" w:hAnsi="Times New Roman"/>
          <w:lang w:val="en-US"/>
        </w:rPr>
        <w:t>interpret</w:t>
      </w:r>
      <w:r w:rsidR="00797B81">
        <w:rPr>
          <w:rFonts w:ascii="Times New Roman" w:hAnsi="Times New Roman"/>
          <w:lang w:val="en-US"/>
        </w:rPr>
        <w:t xml:space="preserve">ing of </w:t>
      </w:r>
      <w:r w:rsidRPr="00686181">
        <w:rPr>
          <w:rFonts w:ascii="Times New Roman" w:hAnsi="Times New Roman"/>
          <w:lang w:val="en-US"/>
        </w:rPr>
        <w:t xml:space="preserve">our </w:t>
      </w:r>
      <w:r w:rsidR="00797B81">
        <w:rPr>
          <w:rFonts w:ascii="Times New Roman" w:hAnsi="Times New Roman"/>
          <w:lang w:val="en-US"/>
        </w:rPr>
        <w:t xml:space="preserve">initial </w:t>
      </w:r>
      <w:r w:rsidRPr="00686181">
        <w:rPr>
          <w:rFonts w:ascii="Times New Roman" w:hAnsi="Times New Roman"/>
          <w:lang w:val="en-US"/>
        </w:rPr>
        <w:t>phase of data analysis</w:t>
      </w:r>
      <w:r w:rsidR="00797B81">
        <w:rPr>
          <w:rFonts w:ascii="Times New Roman" w:hAnsi="Times New Roman"/>
          <w:lang w:val="en-US"/>
        </w:rPr>
        <w:t xml:space="preserve">.  We also </w:t>
      </w:r>
      <w:r w:rsidRPr="00686181">
        <w:rPr>
          <w:rFonts w:ascii="Times New Roman" w:hAnsi="Times New Roman"/>
          <w:lang w:val="en-US"/>
        </w:rPr>
        <w:t>engag</w:t>
      </w:r>
      <w:r w:rsidR="00797B81">
        <w:rPr>
          <w:rFonts w:ascii="Times New Roman" w:hAnsi="Times New Roman"/>
          <w:lang w:val="en-US"/>
        </w:rPr>
        <w:t>ed</w:t>
      </w:r>
      <w:r w:rsidRPr="00686181">
        <w:rPr>
          <w:rFonts w:ascii="Times New Roman" w:hAnsi="Times New Roman"/>
          <w:lang w:val="en-US"/>
        </w:rPr>
        <w:t xml:space="preserve"> in extensive discussion and debate until agreement was reached about </w:t>
      </w:r>
      <w:r w:rsidR="00797B81">
        <w:rPr>
          <w:rFonts w:ascii="Times New Roman" w:hAnsi="Times New Roman"/>
          <w:lang w:val="en-US"/>
        </w:rPr>
        <w:t>the</w:t>
      </w:r>
      <w:r w:rsidRPr="00686181">
        <w:rPr>
          <w:rFonts w:ascii="Times New Roman" w:hAnsi="Times New Roman"/>
          <w:lang w:val="en-US"/>
        </w:rPr>
        <w:t xml:space="preserve"> meaning and substance </w:t>
      </w:r>
      <w:r w:rsidR="00797B81">
        <w:rPr>
          <w:rFonts w:ascii="Times New Roman" w:hAnsi="Times New Roman"/>
          <w:lang w:val="en-US"/>
        </w:rPr>
        <w:t xml:space="preserve">of our empirical material </w:t>
      </w:r>
      <w:r w:rsidRPr="00686181">
        <w:rPr>
          <w:rFonts w:ascii="Times New Roman" w:hAnsi="Times New Roman"/>
          <w:lang w:val="en-US"/>
        </w:rPr>
        <w:t xml:space="preserve">in the context of our theoretical framing and the strategies being pursued by the IIRC. We also continued to add to the documentary evidence during this phase, up to the December 2013 publication of the IIRC’s final framework. </w:t>
      </w:r>
    </w:p>
    <w:p w14:paraId="1C358DA0" w14:textId="0233F580" w:rsidR="00BB70BE" w:rsidRPr="00686181" w:rsidRDefault="00BB70BE" w:rsidP="00686181">
      <w:pPr>
        <w:spacing w:line="360" w:lineRule="auto"/>
        <w:ind w:firstLine="708"/>
        <w:jc w:val="both"/>
        <w:rPr>
          <w:rFonts w:ascii="Times New Roman" w:hAnsi="Times New Roman" w:cs="Times New Roman"/>
          <w:b/>
          <w:sz w:val="24"/>
          <w:szCs w:val="24"/>
          <w:lang w:val="en-US"/>
        </w:rPr>
      </w:pPr>
      <w:r w:rsidRPr="00686181">
        <w:rPr>
          <w:rFonts w:ascii="Times New Roman" w:hAnsi="Times New Roman"/>
          <w:lang w:val="en-US"/>
        </w:rPr>
        <w:t>The following section presents the results of this analysis process</w:t>
      </w:r>
      <w:r w:rsidR="00797B81">
        <w:rPr>
          <w:rFonts w:ascii="Times New Roman" w:hAnsi="Times New Roman"/>
          <w:lang w:val="en-US"/>
        </w:rPr>
        <w:t xml:space="preserve">.  Specifically, it </w:t>
      </w:r>
      <w:r w:rsidRPr="00686181">
        <w:rPr>
          <w:rFonts w:ascii="Times New Roman" w:hAnsi="Times New Roman"/>
          <w:lang w:val="en-US"/>
        </w:rPr>
        <w:t>examine</w:t>
      </w:r>
      <w:r w:rsidR="00797B81">
        <w:rPr>
          <w:rFonts w:ascii="Times New Roman" w:hAnsi="Times New Roman"/>
          <w:lang w:val="en-US"/>
        </w:rPr>
        <w:t>s</w:t>
      </w:r>
      <w:r w:rsidRPr="00686181">
        <w:rPr>
          <w:rFonts w:ascii="Times New Roman" w:hAnsi="Times New Roman"/>
          <w:lang w:val="en-US"/>
        </w:rPr>
        <w:t xml:space="preserve"> how and why the IIRC and its advocated version of integrated reporting practice have evolved</w:t>
      </w:r>
      <w:r w:rsidR="00797B81">
        <w:rPr>
          <w:rFonts w:ascii="Times New Roman" w:hAnsi="Times New Roman"/>
          <w:lang w:val="en-US"/>
        </w:rPr>
        <w:t xml:space="preserve"> </w:t>
      </w:r>
      <w:r w:rsidRPr="00686181">
        <w:rPr>
          <w:rFonts w:ascii="Times New Roman" w:hAnsi="Times New Roman"/>
          <w:lang w:val="en-US"/>
        </w:rPr>
        <w:t>with notable speed and support</w:t>
      </w:r>
      <w:r w:rsidR="008708B6">
        <w:rPr>
          <w:rFonts w:ascii="Times New Roman" w:hAnsi="Times New Roman"/>
          <w:lang w:val="en-US"/>
        </w:rPr>
        <w:t>,</w:t>
      </w:r>
      <w:r w:rsidRPr="00686181">
        <w:rPr>
          <w:rFonts w:ascii="Times New Roman" w:hAnsi="Times New Roman"/>
          <w:lang w:val="en-US"/>
        </w:rPr>
        <w:t xml:space="preserve"> but also </w:t>
      </w:r>
      <w:r w:rsidR="008708B6">
        <w:rPr>
          <w:rFonts w:ascii="Times New Roman" w:hAnsi="Times New Roman"/>
          <w:lang w:val="en-US"/>
        </w:rPr>
        <w:t xml:space="preserve">presented the IIRC with numerous </w:t>
      </w:r>
      <w:r w:rsidRPr="00686181">
        <w:rPr>
          <w:rFonts w:ascii="Times New Roman" w:hAnsi="Times New Roman"/>
          <w:lang w:val="en-US"/>
        </w:rPr>
        <w:t xml:space="preserve">public policy challenges in terms of </w:t>
      </w:r>
      <w:r w:rsidR="008708B6">
        <w:rPr>
          <w:rFonts w:ascii="Times New Roman" w:hAnsi="Times New Roman"/>
          <w:lang w:val="en-US"/>
        </w:rPr>
        <w:t xml:space="preserve">pursuing its (shifting) </w:t>
      </w:r>
      <w:r w:rsidRPr="00686181">
        <w:rPr>
          <w:rFonts w:ascii="Times New Roman" w:hAnsi="Times New Roman"/>
          <w:lang w:val="en-US"/>
        </w:rPr>
        <w:t xml:space="preserve">strategic development path.  </w:t>
      </w:r>
    </w:p>
    <w:p w14:paraId="73BBD16A" w14:textId="77777777" w:rsidR="00FD3DBD" w:rsidRDefault="00FD3DBD" w:rsidP="00422BEF">
      <w:pPr>
        <w:autoSpaceDE w:val="0"/>
        <w:autoSpaceDN w:val="0"/>
        <w:adjustRightInd w:val="0"/>
        <w:spacing w:after="0" w:line="360" w:lineRule="auto"/>
        <w:jc w:val="both"/>
        <w:rPr>
          <w:rFonts w:ascii="Times New Roman" w:hAnsi="Times New Roman" w:cs="Times New Roman"/>
          <w:b/>
          <w:sz w:val="24"/>
          <w:szCs w:val="24"/>
          <w:lang w:val="en-US"/>
        </w:rPr>
      </w:pPr>
    </w:p>
    <w:p w14:paraId="3F0DD09B" w14:textId="73FDD9D8" w:rsidR="001A6EE6" w:rsidRDefault="00E801CE" w:rsidP="001A6EE6">
      <w:pPr>
        <w:pStyle w:val="ListParagraph"/>
        <w:numPr>
          <w:ilvl w:val="0"/>
          <w:numId w:val="25"/>
        </w:numPr>
        <w:autoSpaceDE w:val="0"/>
        <w:autoSpaceDN w:val="0"/>
        <w:adjustRightInd w:val="0"/>
        <w:spacing w:after="0" w:line="360" w:lineRule="auto"/>
        <w:ind w:hanging="720"/>
        <w:jc w:val="both"/>
        <w:rPr>
          <w:rFonts w:ascii="Times New Roman" w:hAnsi="Times New Roman" w:cs="Times New Roman"/>
          <w:b/>
          <w:lang w:val="en-US"/>
        </w:rPr>
      </w:pPr>
      <w:r w:rsidRPr="00686181">
        <w:rPr>
          <w:rFonts w:ascii="Times New Roman" w:hAnsi="Times New Roman" w:cs="Times New Roman"/>
          <w:b/>
          <w:lang w:val="en-US"/>
        </w:rPr>
        <w:t xml:space="preserve">Case </w:t>
      </w:r>
      <w:r w:rsidR="00E96013">
        <w:rPr>
          <w:rFonts w:ascii="Times New Roman" w:hAnsi="Times New Roman" w:cs="Times New Roman"/>
          <w:b/>
          <w:lang w:val="en-US"/>
        </w:rPr>
        <w:t>analysis</w:t>
      </w:r>
    </w:p>
    <w:p w14:paraId="6C9B31DF" w14:textId="77777777" w:rsidR="00B32829" w:rsidRPr="00B32829" w:rsidRDefault="00B32829" w:rsidP="00B32829">
      <w:pPr>
        <w:pStyle w:val="ListParagraph"/>
        <w:autoSpaceDE w:val="0"/>
        <w:autoSpaceDN w:val="0"/>
        <w:adjustRightInd w:val="0"/>
        <w:spacing w:after="0" w:line="360" w:lineRule="auto"/>
        <w:jc w:val="both"/>
        <w:rPr>
          <w:rFonts w:ascii="Times New Roman" w:hAnsi="Times New Roman" w:cs="Times New Roman"/>
          <w:b/>
          <w:lang w:val="en-US"/>
        </w:rPr>
      </w:pPr>
    </w:p>
    <w:p w14:paraId="2BDDEDD8" w14:textId="16363AE0" w:rsidR="00710380" w:rsidRPr="00042B35" w:rsidRDefault="00710380" w:rsidP="00562427">
      <w:pPr>
        <w:spacing w:line="360" w:lineRule="auto"/>
        <w:ind w:firstLine="360"/>
        <w:jc w:val="both"/>
        <w:rPr>
          <w:rFonts w:ascii="Times New Roman" w:hAnsi="Times New Roman" w:cs="Times New Roman"/>
          <w:lang w:val="en-US"/>
        </w:rPr>
      </w:pPr>
      <w:r w:rsidRPr="00615627">
        <w:rPr>
          <w:rFonts w:ascii="Times New Roman" w:hAnsi="Times New Roman" w:cs="Times New Roman"/>
          <w:lang w:val="en-US"/>
        </w:rPr>
        <w:t xml:space="preserve">The case narrative commences by explaining the origins of the IIRC and placing its arguments for </w:t>
      </w:r>
      <w:r w:rsidR="00121D10">
        <w:rPr>
          <w:rFonts w:ascii="Times New Roman" w:hAnsi="Times New Roman" w:cs="Times New Roman"/>
          <w:lang w:val="en-US"/>
        </w:rPr>
        <w:t>integrated reporting</w:t>
      </w:r>
      <w:r w:rsidRPr="00615627">
        <w:rPr>
          <w:rFonts w:ascii="Times New Roman" w:hAnsi="Times New Roman" w:cs="Times New Roman"/>
          <w:lang w:val="en-US"/>
        </w:rPr>
        <w:t xml:space="preserve"> in the context of earlier developments in </w:t>
      </w:r>
      <w:r w:rsidR="00121D10">
        <w:rPr>
          <w:rFonts w:ascii="Times New Roman" w:hAnsi="Times New Roman" w:cs="Times New Roman"/>
          <w:lang w:val="en-US"/>
        </w:rPr>
        <w:t>integrated reporting</w:t>
      </w:r>
      <w:r w:rsidRPr="00615627">
        <w:rPr>
          <w:rFonts w:ascii="Times New Roman" w:hAnsi="Times New Roman" w:cs="Times New Roman"/>
          <w:lang w:val="en-US"/>
        </w:rPr>
        <w:t xml:space="preserve"> practice. It subsequently explores how the IIRC </w:t>
      </w:r>
      <w:r w:rsidR="009B2E87">
        <w:rPr>
          <w:rFonts w:ascii="Times New Roman" w:hAnsi="Times New Roman" w:cs="Times New Roman"/>
          <w:lang w:val="en-US"/>
        </w:rPr>
        <w:t xml:space="preserve">sought to reconfigure the field of corporate reporting </w:t>
      </w:r>
      <w:r w:rsidR="00813495">
        <w:rPr>
          <w:rFonts w:ascii="Times New Roman" w:hAnsi="Times New Roman" w:cs="Times New Roman"/>
          <w:lang w:val="en-US"/>
        </w:rPr>
        <w:t>by</w:t>
      </w:r>
      <w:r w:rsidRPr="00615627">
        <w:rPr>
          <w:rFonts w:ascii="Times New Roman" w:hAnsi="Times New Roman" w:cs="Times New Roman"/>
          <w:lang w:val="en-US"/>
        </w:rPr>
        <w:t xml:space="preserve"> propos</w:t>
      </w:r>
      <w:r w:rsidR="00813495">
        <w:rPr>
          <w:rFonts w:ascii="Times New Roman" w:hAnsi="Times New Roman" w:cs="Times New Roman"/>
          <w:lang w:val="en-US"/>
        </w:rPr>
        <w:t xml:space="preserve">ing </w:t>
      </w:r>
      <w:r w:rsidR="007C4202">
        <w:rPr>
          <w:rFonts w:ascii="Times New Roman" w:hAnsi="Times New Roman" w:cs="Times New Roman"/>
          <w:lang w:val="en-US"/>
        </w:rPr>
        <w:t>integrated reporting</w:t>
      </w:r>
      <w:r w:rsidR="007C4202" w:rsidRPr="00615627">
        <w:rPr>
          <w:rFonts w:ascii="Times New Roman" w:hAnsi="Times New Roman" w:cs="Times New Roman"/>
          <w:lang w:val="en-US"/>
        </w:rPr>
        <w:t xml:space="preserve"> </w:t>
      </w:r>
      <w:r w:rsidRPr="00615627">
        <w:rPr>
          <w:rFonts w:ascii="Times New Roman" w:hAnsi="Times New Roman" w:cs="Times New Roman"/>
          <w:lang w:val="en-US"/>
        </w:rPr>
        <w:t xml:space="preserve">as a partial </w:t>
      </w:r>
      <w:r w:rsidR="00615627" w:rsidRPr="00615627">
        <w:rPr>
          <w:rFonts w:ascii="Times New Roman" w:hAnsi="Times New Roman" w:cs="Times New Roman"/>
          <w:lang w:val="en-US"/>
        </w:rPr>
        <w:t>solution to societal-level problems surrounding the sustainability of business and society</w:t>
      </w:r>
      <w:r w:rsidR="00813495">
        <w:rPr>
          <w:rFonts w:ascii="Times New Roman" w:hAnsi="Times New Roman" w:cs="Times New Roman"/>
          <w:lang w:val="en-US"/>
        </w:rPr>
        <w:t>,</w:t>
      </w:r>
      <w:r w:rsidR="00615627" w:rsidRPr="00615627">
        <w:rPr>
          <w:rFonts w:ascii="Times New Roman" w:hAnsi="Times New Roman" w:cs="Times New Roman"/>
          <w:lang w:val="en-US"/>
        </w:rPr>
        <w:t xml:space="preserve"> and</w:t>
      </w:r>
      <w:r w:rsidR="00813495">
        <w:rPr>
          <w:rFonts w:ascii="Times New Roman" w:hAnsi="Times New Roman" w:cs="Times New Roman"/>
          <w:lang w:val="en-US"/>
        </w:rPr>
        <w:t xml:space="preserve"> how the IIRC</w:t>
      </w:r>
      <w:r w:rsidR="00615627" w:rsidRPr="00615627">
        <w:rPr>
          <w:rFonts w:ascii="Times New Roman" w:hAnsi="Times New Roman" w:cs="Times New Roman"/>
          <w:lang w:val="en-US"/>
        </w:rPr>
        <w:t xml:space="preserve"> engaged in boundary work explicitly contrasting </w:t>
      </w:r>
      <w:r w:rsidR="003859B1">
        <w:rPr>
          <w:rFonts w:ascii="Times New Roman" w:hAnsi="Times New Roman" w:cs="Times New Roman"/>
          <w:lang w:val="en-US"/>
        </w:rPr>
        <w:t xml:space="preserve">these claims and </w:t>
      </w:r>
      <w:r w:rsidR="004E3488">
        <w:rPr>
          <w:rFonts w:ascii="Times New Roman" w:hAnsi="Times New Roman" w:cs="Times New Roman"/>
          <w:lang w:val="en-US"/>
        </w:rPr>
        <w:t xml:space="preserve">the </w:t>
      </w:r>
      <w:r w:rsidR="003859B1">
        <w:rPr>
          <w:rFonts w:ascii="Times New Roman" w:hAnsi="Times New Roman" w:cs="Times New Roman"/>
          <w:lang w:val="en-US"/>
        </w:rPr>
        <w:t xml:space="preserve">key </w:t>
      </w:r>
      <w:r w:rsidR="00615627" w:rsidRPr="00615627">
        <w:rPr>
          <w:rFonts w:ascii="Times New Roman" w:hAnsi="Times New Roman" w:cs="Times New Roman"/>
          <w:lang w:val="en-US"/>
        </w:rPr>
        <w:t xml:space="preserve">characteristics assigned to </w:t>
      </w:r>
      <w:r w:rsidR="00121D10">
        <w:rPr>
          <w:rFonts w:ascii="Times New Roman" w:hAnsi="Times New Roman" w:cs="Times New Roman"/>
          <w:lang w:val="en-US"/>
        </w:rPr>
        <w:t>integrated reporting</w:t>
      </w:r>
      <w:r w:rsidR="00615627" w:rsidRPr="00615627">
        <w:rPr>
          <w:rFonts w:ascii="Times New Roman" w:hAnsi="Times New Roman" w:cs="Times New Roman"/>
          <w:lang w:val="en-US"/>
        </w:rPr>
        <w:t xml:space="preserve"> with other forms of reporting</w:t>
      </w:r>
      <w:r w:rsidR="00D02AEF">
        <w:rPr>
          <w:rFonts w:ascii="Times New Roman" w:hAnsi="Times New Roman" w:cs="Times New Roman"/>
          <w:lang w:val="en-US"/>
        </w:rPr>
        <w:t>.</w:t>
      </w:r>
      <w:r w:rsidR="001A6EE6">
        <w:rPr>
          <w:rFonts w:ascii="Times New Roman" w:hAnsi="Times New Roman" w:cs="Times New Roman"/>
          <w:lang w:val="en-US"/>
        </w:rPr>
        <w:t xml:space="preserve"> </w:t>
      </w:r>
      <w:r w:rsidRPr="00615627">
        <w:rPr>
          <w:rFonts w:ascii="Times New Roman" w:hAnsi="Times New Roman" w:cs="Times New Roman"/>
          <w:lang w:val="en-US"/>
        </w:rPr>
        <w:t>We then examine how various mechanisms were adopted that maintained support from</w:t>
      </w:r>
      <w:r w:rsidR="00813495">
        <w:rPr>
          <w:rFonts w:ascii="Times New Roman" w:hAnsi="Times New Roman" w:cs="Times New Roman"/>
          <w:lang w:val="en-US"/>
        </w:rPr>
        <w:t xml:space="preserve"> </w:t>
      </w:r>
      <w:r w:rsidRPr="00615627">
        <w:rPr>
          <w:rFonts w:ascii="Times New Roman" w:hAnsi="Times New Roman" w:cs="Times New Roman"/>
          <w:lang w:val="en-US"/>
        </w:rPr>
        <w:t xml:space="preserve">a variety of </w:t>
      </w:r>
      <w:r w:rsidR="00813495">
        <w:rPr>
          <w:rFonts w:ascii="Times New Roman" w:hAnsi="Times New Roman" w:cs="Times New Roman"/>
          <w:lang w:val="en-US"/>
        </w:rPr>
        <w:t xml:space="preserve">other </w:t>
      </w:r>
      <w:r w:rsidRPr="00615627">
        <w:rPr>
          <w:rFonts w:ascii="Times New Roman" w:hAnsi="Times New Roman" w:cs="Times New Roman"/>
          <w:lang w:val="en-US"/>
        </w:rPr>
        <w:t xml:space="preserve">corporate reporting </w:t>
      </w:r>
      <w:r w:rsidR="009B2E87">
        <w:rPr>
          <w:rFonts w:ascii="Times New Roman" w:hAnsi="Times New Roman" w:cs="Times New Roman"/>
          <w:lang w:val="en-US"/>
        </w:rPr>
        <w:t xml:space="preserve">constituencies </w:t>
      </w:r>
      <w:r w:rsidRPr="00615627">
        <w:rPr>
          <w:rFonts w:ascii="Times New Roman" w:hAnsi="Times New Roman" w:cs="Times New Roman"/>
          <w:lang w:val="en-US"/>
        </w:rPr>
        <w:t xml:space="preserve">in refining </w:t>
      </w:r>
      <w:r w:rsidR="00121D10">
        <w:rPr>
          <w:rFonts w:ascii="Times New Roman" w:hAnsi="Times New Roman" w:cs="Times New Roman"/>
          <w:lang w:val="en-US"/>
        </w:rPr>
        <w:t>integrated reporting</w:t>
      </w:r>
      <w:r w:rsidRPr="00615627">
        <w:rPr>
          <w:rFonts w:ascii="Times New Roman" w:hAnsi="Times New Roman" w:cs="Times New Roman"/>
          <w:lang w:val="en-US"/>
        </w:rPr>
        <w:t xml:space="preserve"> and establishing its rule systems</w:t>
      </w:r>
      <w:r w:rsidR="00C13BD3" w:rsidRPr="00615627">
        <w:rPr>
          <w:rFonts w:ascii="Times New Roman" w:hAnsi="Times New Roman" w:cs="Times New Roman"/>
          <w:lang w:val="en-US"/>
        </w:rPr>
        <w:t xml:space="preserve">, while focusing </w:t>
      </w:r>
      <w:r w:rsidR="00121D10">
        <w:rPr>
          <w:rFonts w:ascii="Times New Roman" w:hAnsi="Times New Roman" w:cs="Times New Roman"/>
          <w:lang w:val="en-US"/>
        </w:rPr>
        <w:t>integrated reporting</w:t>
      </w:r>
      <w:r w:rsidRPr="00615627">
        <w:rPr>
          <w:rFonts w:ascii="Times New Roman" w:hAnsi="Times New Roman" w:cs="Times New Roman"/>
          <w:lang w:val="en-US"/>
        </w:rPr>
        <w:t xml:space="preserve"> more centrally on meeting supposedly market-led information needs of long-term providers of financial capital. We </w:t>
      </w:r>
      <w:r w:rsidR="001C3047">
        <w:rPr>
          <w:rFonts w:ascii="Times New Roman" w:hAnsi="Times New Roman" w:cs="Times New Roman"/>
          <w:lang w:val="en-US"/>
        </w:rPr>
        <w:t>demonstrate</w:t>
      </w:r>
      <w:r w:rsidRPr="00615627">
        <w:rPr>
          <w:rFonts w:ascii="Times New Roman" w:hAnsi="Times New Roman" w:cs="Times New Roman"/>
          <w:lang w:val="en-US"/>
        </w:rPr>
        <w:t xml:space="preserve"> how the IIRC subsequently strengthened alliances of institutional support for the IIRC </w:t>
      </w:r>
      <w:r w:rsidR="008F2103" w:rsidRPr="00615627">
        <w:rPr>
          <w:rFonts w:ascii="Times New Roman" w:hAnsi="Times New Roman" w:cs="Times New Roman"/>
          <w:lang w:val="en-US"/>
        </w:rPr>
        <w:t>(</w:t>
      </w:r>
      <w:r w:rsidRPr="00615627">
        <w:rPr>
          <w:rFonts w:ascii="Times New Roman" w:hAnsi="Times New Roman" w:cs="Times New Roman"/>
          <w:lang w:val="en-US"/>
        </w:rPr>
        <w:t xml:space="preserve">and its developing variant of </w:t>
      </w:r>
      <w:r w:rsidR="00121D10">
        <w:rPr>
          <w:rFonts w:ascii="Times New Roman" w:hAnsi="Times New Roman" w:cs="Times New Roman"/>
          <w:lang w:val="en-US"/>
        </w:rPr>
        <w:t>integrated reporting</w:t>
      </w:r>
      <w:r w:rsidR="008F2103" w:rsidRPr="00615627">
        <w:rPr>
          <w:rFonts w:ascii="Times New Roman" w:hAnsi="Times New Roman" w:cs="Times New Roman"/>
          <w:lang w:val="en-US"/>
        </w:rPr>
        <w:t>)</w:t>
      </w:r>
      <w:r w:rsidRPr="00615627">
        <w:rPr>
          <w:rFonts w:ascii="Times New Roman" w:hAnsi="Times New Roman" w:cs="Times New Roman"/>
          <w:lang w:val="en-US"/>
        </w:rPr>
        <w:t xml:space="preserve"> among professional networks of corporate report preparers</w:t>
      </w:r>
      <w:r w:rsidR="00C13BD3" w:rsidRPr="00615627">
        <w:rPr>
          <w:rFonts w:ascii="Times New Roman" w:hAnsi="Times New Roman" w:cs="Times New Roman"/>
          <w:lang w:val="en-US"/>
        </w:rPr>
        <w:t xml:space="preserve"> in order</w:t>
      </w:r>
      <w:r w:rsidRPr="00615627">
        <w:rPr>
          <w:rFonts w:ascii="Times New Roman" w:hAnsi="Times New Roman" w:cs="Times New Roman"/>
          <w:lang w:val="en-US"/>
        </w:rPr>
        <w:t xml:space="preserve"> to </w:t>
      </w:r>
      <w:r w:rsidR="00BB70BE">
        <w:rPr>
          <w:rFonts w:ascii="Times New Roman" w:hAnsi="Times New Roman" w:cs="Times New Roman"/>
          <w:lang w:val="en-US"/>
        </w:rPr>
        <w:t>mobiliz</w:t>
      </w:r>
      <w:r w:rsidR="00794753">
        <w:rPr>
          <w:rFonts w:ascii="Times New Roman" w:hAnsi="Times New Roman" w:cs="Times New Roman"/>
          <w:lang w:val="en-US"/>
        </w:rPr>
        <w:t>e</w:t>
      </w:r>
      <w:r w:rsidRPr="00615627">
        <w:rPr>
          <w:rFonts w:ascii="Times New Roman" w:hAnsi="Times New Roman" w:cs="Times New Roman"/>
          <w:lang w:val="en-US"/>
        </w:rPr>
        <w:t xml:space="preserve"> collective a</w:t>
      </w:r>
      <w:r w:rsidR="00615627" w:rsidRPr="00615627">
        <w:rPr>
          <w:rFonts w:ascii="Times New Roman" w:hAnsi="Times New Roman" w:cs="Times New Roman"/>
          <w:lang w:val="en-US"/>
        </w:rPr>
        <w:t>ction through consensus-building</w:t>
      </w:r>
      <w:r w:rsidRPr="00615627">
        <w:rPr>
          <w:rFonts w:ascii="Times New Roman" w:hAnsi="Times New Roman" w:cs="Times New Roman"/>
          <w:lang w:val="en-US"/>
        </w:rPr>
        <w:t xml:space="preserve">. The final subsection illustrates how, having asserted the primacy of the (long-term) investor for </w:t>
      </w:r>
      <w:r w:rsidR="00121D10">
        <w:rPr>
          <w:rFonts w:ascii="Times New Roman" w:hAnsi="Times New Roman" w:cs="Times New Roman"/>
          <w:lang w:val="en-US"/>
        </w:rPr>
        <w:t>integrated reporting</w:t>
      </w:r>
      <w:r w:rsidRPr="00615627">
        <w:rPr>
          <w:rFonts w:ascii="Times New Roman" w:hAnsi="Times New Roman" w:cs="Times New Roman"/>
          <w:lang w:val="en-US"/>
        </w:rPr>
        <w:t xml:space="preserve">, the IIRC </w:t>
      </w:r>
      <w:r w:rsidR="00042B35" w:rsidRPr="00615627">
        <w:rPr>
          <w:rFonts w:ascii="Times New Roman" w:hAnsi="Times New Roman" w:cs="Times New Roman"/>
          <w:lang w:val="en-US"/>
        </w:rPr>
        <w:t xml:space="preserve">has </w:t>
      </w:r>
      <w:r w:rsidRPr="00615627">
        <w:rPr>
          <w:rFonts w:ascii="Times New Roman" w:hAnsi="Times New Roman" w:cs="Times New Roman"/>
          <w:lang w:val="en-US"/>
        </w:rPr>
        <w:t xml:space="preserve">strived to stimulate </w:t>
      </w:r>
      <w:r w:rsidRPr="00615627">
        <w:rPr>
          <w:rFonts w:ascii="Times New Roman" w:hAnsi="Times New Roman" w:cs="Times New Roman"/>
          <w:lang w:val="en-US"/>
        </w:rPr>
        <w:lastRenderedPageBreak/>
        <w:t xml:space="preserve">mainstream investor interest in long-term performance and business sustainability as part of an effort aimed at instigating institutional change in the field of </w:t>
      </w:r>
      <w:r w:rsidR="00042B35" w:rsidRPr="00615627">
        <w:rPr>
          <w:rFonts w:ascii="Times New Roman" w:hAnsi="Times New Roman" w:cs="Times New Roman"/>
          <w:lang w:val="en-US"/>
        </w:rPr>
        <w:t xml:space="preserve">mainstream </w:t>
      </w:r>
      <w:r w:rsidRPr="00615627">
        <w:rPr>
          <w:rFonts w:ascii="Times New Roman" w:hAnsi="Times New Roman" w:cs="Times New Roman"/>
          <w:lang w:val="en-US"/>
        </w:rPr>
        <w:t>investment.</w:t>
      </w:r>
      <w:r w:rsidRPr="005E7227">
        <w:rPr>
          <w:rFonts w:ascii="Times New Roman" w:hAnsi="Times New Roman" w:cs="Times New Roman"/>
          <w:lang w:val="en-US"/>
        </w:rPr>
        <w:t xml:space="preserve"> </w:t>
      </w:r>
    </w:p>
    <w:p w14:paraId="3DD56237" w14:textId="77777777" w:rsidR="00422BEF" w:rsidRPr="006A7EC0" w:rsidRDefault="00422BEF" w:rsidP="00422BEF">
      <w:pPr>
        <w:autoSpaceDE w:val="0"/>
        <w:autoSpaceDN w:val="0"/>
        <w:adjustRightInd w:val="0"/>
        <w:spacing w:after="0" w:line="360" w:lineRule="auto"/>
        <w:jc w:val="both"/>
        <w:rPr>
          <w:rFonts w:ascii="Times New Roman" w:hAnsi="Times New Roman" w:cs="Times New Roman"/>
          <w:b/>
          <w:i/>
          <w:color w:val="000000"/>
          <w:sz w:val="24"/>
          <w:szCs w:val="24"/>
          <w:lang w:val="en-US"/>
        </w:rPr>
      </w:pPr>
    </w:p>
    <w:p w14:paraId="3E25B2CB" w14:textId="21ED655A" w:rsidR="00422BEF" w:rsidRPr="005E7227" w:rsidRDefault="00710380" w:rsidP="005E7227">
      <w:pPr>
        <w:spacing w:line="360" w:lineRule="auto"/>
        <w:ind w:left="360" w:hanging="360"/>
        <w:rPr>
          <w:rFonts w:ascii="Times New Roman" w:hAnsi="Times New Roman" w:cs="Times New Roman"/>
          <w:b/>
          <w:i/>
          <w:sz w:val="24"/>
          <w:szCs w:val="24"/>
          <w:lang w:val="en-US"/>
        </w:rPr>
      </w:pPr>
      <w:r w:rsidRPr="005E7227">
        <w:rPr>
          <w:rFonts w:ascii="Times New Roman" w:hAnsi="Times New Roman" w:cs="Times New Roman"/>
          <w:b/>
          <w:i/>
          <w:lang w:val="en-US"/>
        </w:rPr>
        <w:t>4.1</w:t>
      </w:r>
      <w:r w:rsidRPr="005E7227">
        <w:rPr>
          <w:rFonts w:ascii="Times New Roman" w:hAnsi="Times New Roman" w:cs="Times New Roman"/>
          <w:b/>
          <w:i/>
          <w:lang w:val="en-US"/>
        </w:rPr>
        <w:tab/>
      </w:r>
      <w:r w:rsidR="00422BEF" w:rsidRPr="005E7227">
        <w:rPr>
          <w:rFonts w:ascii="Times New Roman" w:hAnsi="Times New Roman" w:cs="Times New Roman"/>
          <w:b/>
          <w:i/>
          <w:lang w:val="en-US"/>
        </w:rPr>
        <w:t xml:space="preserve">The origins of the </w:t>
      </w:r>
      <w:r w:rsidR="00121D10">
        <w:rPr>
          <w:rFonts w:ascii="Times New Roman" w:hAnsi="Times New Roman" w:cs="Times New Roman"/>
          <w:b/>
          <w:i/>
          <w:lang w:val="en-US"/>
        </w:rPr>
        <w:t>integrated reporting</w:t>
      </w:r>
      <w:r w:rsidR="00D63B32">
        <w:rPr>
          <w:rFonts w:ascii="Times New Roman" w:hAnsi="Times New Roman" w:cs="Times New Roman"/>
          <w:b/>
          <w:i/>
          <w:lang w:val="en-US"/>
        </w:rPr>
        <w:t xml:space="preserve"> </w:t>
      </w:r>
      <w:r w:rsidR="00422BEF" w:rsidRPr="005E7227">
        <w:rPr>
          <w:rFonts w:ascii="Times New Roman" w:hAnsi="Times New Roman" w:cs="Times New Roman"/>
          <w:b/>
          <w:i/>
          <w:lang w:val="en-US"/>
        </w:rPr>
        <w:t xml:space="preserve">‘idea’ – Defining a new corporate reporting space </w:t>
      </w:r>
    </w:p>
    <w:p w14:paraId="6ED1E3A5" w14:textId="156473A6" w:rsidR="006226CC" w:rsidRDefault="007E7BCF" w:rsidP="00422BEF">
      <w:pPr>
        <w:spacing w:line="360" w:lineRule="auto"/>
        <w:ind w:firstLine="360"/>
        <w:jc w:val="both"/>
        <w:rPr>
          <w:rFonts w:ascii="Times New Roman" w:hAnsi="Times New Roman" w:cs="Times New Roman"/>
          <w:lang w:val="en-US"/>
        </w:rPr>
      </w:pPr>
      <w:r>
        <w:rPr>
          <w:rFonts w:ascii="Times New Roman" w:hAnsi="Times New Roman" w:cs="Times New Roman"/>
          <w:lang w:val="en-US"/>
        </w:rPr>
        <w:t>The IIRC</w:t>
      </w:r>
      <w:r w:rsidR="00422BEF" w:rsidRPr="00DD1E36">
        <w:rPr>
          <w:rFonts w:ascii="Times New Roman" w:hAnsi="Times New Roman" w:cs="Times New Roman"/>
          <w:lang w:val="en-US"/>
        </w:rPr>
        <w:t xml:space="preserve"> emerged from a meeting convened at the Prince</w:t>
      </w:r>
      <w:r w:rsidR="00065179">
        <w:rPr>
          <w:rFonts w:ascii="Times New Roman" w:hAnsi="Times New Roman" w:cs="Times New Roman"/>
          <w:lang w:val="en-US"/>
        </w:rPr>
        <w:t>’s</w:t>
      </w:r>
      <w:r w:rsidR="00422BEF" w:rsidRPr="00DD1E36">
        <w:rPr>
          <w:rFonts w:ascii="Times New Roman" w:hAnsi="Times New Roman" w:cs="Times New Roman"/>
          <w:lang w:val="en-US"/>
        </w:rPr>
        <w:t xml:space="preserve"> Accounting for Sustainability</w:t>
      </w:r>
      <w:r w:rsidR="00065179">
        <w:rPr>
          <w:rFonts w:ascii="Times New Roman" w:hAnsi="Times New Roman" w:cs="Times New Roman"/>
          <w:lang w:val="en-US"/>
        </w:rPr>
        <w:t xml:space="preserve"> Project’s Annual</w:t>
      </w:r>
      <w:r w:rsidR="00422BEF" w:rsidRPr="00DD1E36">
        <w:rPr>
          <w:rFonts w:ascii="Times New Roman" w:hAnsi="Times New Roman" w:cs="Times New Roman"/>
          <w:lang w:val="en-US"/>
        </w:rPr>
        <w:t xml:space="preserve"> </w:t>
      </w:r>
      <w:r w:rsidR="00065179">
        <w:rPr>
          <w:rFonts w:ascii="Times New Roman" w:hAnsi="Times New Roman" w:cs="Times New Roman"/>
          <w:lang w:val="en-US"/>
        </w:rPr>
        <w:t>F</w:t>
      </w:r>
      <w:r w:rsidR="00422BEF" w:rsidRPr="00DD1E36">
        <w:rPr>
          <w:rFonts w:ascii="Times New Roman" w:hAnsi="Times New Roman" w:cs="Times New Roman"/>
          <w:lang w:val="en-US"/>
        </w:rPr>
        <w:t xml:space="preserve">orum in December 2009 in London. </w:t>
      </w:r>
      <w:r w:rsidR="00F478C4">
        <w:rPr>
          <w:rFonts w:ascii="Times New Roman" w:hAnsi="Times New Roman" w:cs="Times New Roman"/>
          <w:lang w:val="en-US"/>
        </w:rPr>
        <w:t>The Accounting for Sustainability Project</w:t>
      </w:r>
      <w:r w:rsidR="00422BEF" w:rsidRPr="00DD1E36">
        <w:rPr>
          <w:rFonts w:ascii="Times New Roman" w:hAnsi="Times New Roman" w:cs="Times New Roman"/>
          <w:lang w:val="en-US"/>
        </w:rPr>
        <w:t xml:space="preserve"> </w:t>
      </w:r>
      <w:r w:rsidR="00065179">
        <w:rPr>
          <w:rFonts w:ascii="Times New Roman" w:hAnsi="Times New Roman" w:cs="Times New Roman"/>
          <w:lang w:val="en-US"/>
        </w:rPr>
        <w:t>had been</w:t>
      </w:r>
      <w:r>
        <w:rPr>
          <w:rFonts w:ascii="Times New Roman" w:hAnsi="Times New Roman" w:cs="Times New Roman"/>
          <w:lang w:val="en-US"/>
        </w:rPr>
        <w:t xml:space="preserve"> </w:t>
      </w:r>
      <w:r w:rsidR="00065179">
        <w:rPr>
          <w:rFonts w:ascii="Times New Roman" w:hAnsi="Times New Roman" w:cs="Times New Roman"/>
          <w:lang w:val="en-US"/>
        </w:rPr>
        <w:t>formed</w:t>
      </w:r>
      <w:r>
        <w:rPr>
          <w:rFonts w:ascii="Times New Roman" w:hAnsi="Times New Roman" w:cs="Times New Roman"/>
          <w:lang w:val="en-US"/>
        </w:rPr>
        <w:t xml:space="preserve"> in 2004 as</w:t>
      </w:r>
      <w:r w:rsidRPr="00DD1E36">
        <w:rPr>
          <w:rFonts w:ascii="Times New Roman" w:hAnsi="Times New Roman" w:cs="Times New Roman"/>
          <w:lang w:val="en-US"/>
        </w:rPr>
        <w:t xml:space="preserve"> </w:t>
      </w:r>
      <w:r w:rsidR="00422BEF" w:rsidRPr="00DD1E36">
        <w:rPr>
          <w:rFonts w:ascii="Times New Roman" w:hAnsi="Times New Roman" w:cs="Times New Roman"/>
          <w:lang w:val="en-US"/>
        </w:rPr>
        <w:t xml:space="preserve">a collaborative </w:t>
      </w:r>
      <w:r>
        <w:rPr>
          <w:rFonts w:ascii="Times New Roman" w:hAnsi="Times New Roman" w:cs="Times New Roman"/>
          <w:lang w:val="en-US"/>
        </w:rPr>
        <w:t>initiative</w:t>
      </w:r>
      <w:r w:rsidRPr="00DD1E36">
        <w:rPr>
          <w:rFonts w:ascii="Times New Roman" w:hAnsi="Times New Roman" w:cs="Times New Roman"/>
          <w:lang w:val="en-US"/>
        </w:rPr>
        <w:t xml:space="preserve"> </w:t>
      </w:r>
      <w:r w:rsidR="00422BEF" w:rsidRPr="00DD1E36">
        <w:rPr>
          <w:rFonts w:ascii="Times New Roman" w:hAnsi="Times New Roman" w:cs="Times New Roman"/>
          <w:lang w:val="en-US"/>
        </w:rPr>
        <w:t>comprising representatives from industry, the investment community, academia, NGOs, and the accountancy profession</w:t>
      </w:r>
      <w:r w:rsidR="00813495">
        <w:rPr>
          <w:rFonts w:ascii="Times New Roman" w:hAnsi="Times New Roman" w:cs="Times New Roman"/>
          <w:lang w:val="en-US"/>
        </w:rPr>
        <w:t>.</w:t>
      </w:r>
      <w:r w:rsidR="00422BEF" w:rsidRPr="00DD1E36">
        <w:rPr>
          <w:rFonts w:ascii="Times New Roman" w:hAnsi="Times New Roman" w:cs="Times New Roman"/>
          <w:lang w:val="en-US"/>
        </w:rPr>
        <w:t xml:space="preserve"> </w:t>
      </w:r>
      <w:r w:rsidR="00813495">
        <w:rPr>
          <w:rFonts w:ascii="Times New Roman" w:hAnsi="Times New Roman" w:cs="Times New Roman"/>
          <w:lang w:val="en-US"/>
        </w:rPr>
        <w:t>A</w:t>
      </w:r>
      <w:r>
        <w:rPr>
          <w:rFonts w:ascii="Times New Roman" w:hAnsi="Times New Roman" w:cs="Times New Roman"/>
          <w:lang w:val="en-US"/>
        </w:rPr>
        <w:t>mong</w:t>
      </w:r>
      <w:r w:rsidR="006226CC">
        <w:rPr>
          <w:rFonts w:ascii="Times New Roman" w:hAnsi="Times New Roman" w:cs="Times New Roman"/>
          <w:lang w:val="en-US"/>
        </w:rPr>
        <w:t xml:space="preserve"> its</w:t>
      </w:r>
      <w:r>
        <w:rPr>
          <w:rFonts w:ascii="Times New Roman" w:hAnsi="Times New Roman" w:cs="Times New Roman"/>
          <w:lang w:val="en-US"/>
        </w:rPr>
        <w:t xml:space="preserve"> other sustainability accounting initiatives, </w:t>
      </w:r>
      <w:r w:rsidR="00813495">
        <w:rPr>
          <w:rFonts w:ascii="Times New Roman" w:hAnsi="Times New Roman" w:cs="Times New Roman"/>
          <w:lang w:val="en-US"/>
        </w:rPr>
        <w:t xml:space="preserve">it </w:t>
      </w:r>
      <w:r>
        <w:rPr>
          <w:rFonts w:ascii="Times New Roman" w:hAnsi="Times New Roman" w:cs="Times New Roman"/>
          <w:lang w:val="en-US"/>
        </w:rPr>
        <w:t>developed</w:t>
      </w:r>
      <w:r w:rsidR="00422BEF" w:rsidRPr="00DD1E36">
        <w:rPr>
          <w:rFonts w:ascii="Times New Roman" w:hAnsi="Times New Roman" w:cs="Times New Roman"/>
          <w:lang w:val="en-US"/>
        </w:rPr>
        <w:t xml:space="preserve"> a connected reporting framework promoting the reporting of sustainability information alongside more conventional financial information. </w:t>
      </w:r>
      <w:r w:rsidR="00F478C4">
        <w:rPr>
          <w:rFonts w:ascii="Times New Roman" w:hAnsi="Times New Roman" w:cs="Times New Roman"/>
          <w:lang w:val="en-US"/>
        </w:rPr>
        <w:t>The Accounting for Sustainability Project</w:t>
      </w:r>
      <w:r w:rsidR="00422BEF" w:rsidRPr="00DD1E36">
        <w:rPr>
          <w:rFonts w:ascii="Times New Roman" w:hAnsi="Times New Roman" w:cs="Times New Roman"/>
          <w:lang w:val="en-US"/>
        </w:rPr>
        <w:t xml:space="preserve"> claimed that there </w:t>
      </w:r>
      <w:r>
        <w:rPr>
          <w:rFonts w:ascii="Times New Roman" w:hAnsi="Times New Roman" w:cs="Times New Roman"/>
          <w:lang w:val="en-US"/>
        </w:rPr>
        <w:t>had been</w:t>
      </w:r>
      <w:r w:rsidRPr="00DD1E36">
        <w:rPr>
          <w:rFonts w:ascii="Times New Roman" w:hAnsi="Times New Roman" w:cs="Times New Roman"/>
          <w:lang w:val="en-US"/>
        </w:rPr>
        <w:t xml:space="preserve"> </w:t>
      </w:r>
      <w:r w:rsidR="00422BEF" w:rsidRPr="00DD1E36">
        <w:rPr>
          <w:rFonts w:ascii="Times New Roman" w:hAnsi="Times New Roman" w:cs="Times New Roman"/>
          <w:lang w:val="en-US"/>
        </w:rPr>
        <w:t xml:space="preserve">a lack of connection between sustainability and financial reporting which meant that sustainability reporting was </w:t>
      </w:r>
      <w:r w:rsidR="00422BEF">
        <w:rPr>
          <w:rFonts w:ascii="Times New Roman" w:hAnsi="Times New Roman" w:cs="Times New Roman"/>
          <w:lang w:val="en-US"/>
        </w:rPr>
        <w:t xml:space="preserve">largely </w:t>
      </w:r>
      <w:r w:rsidR="00422BEF" w:rsidRPr="00DD1E36">
        <w:rPr>
          <w:rFonts w:ascii="Times New Roman" w:hAnsi="Times New Roman" w:cs="Times New Roman"/>
          <w:lang w:val="en-US"/>
        </w:rPr>
        <w:t>detached from organ</w:t>
      </w:r>
      <w:r w:rsidR="00E8208C">
        <w:rPr>
          <w:rFonts w:ascii="Times New Roman" w:hAnsi="Times New Roman" w:cs="Times New Roman"/>
          <w:lang w:val="en-US"/>
        </w:rPr>
        <w:t>iza</w:t>
      </w:r>
      <w:r w:rsidR="00422BEF" w:rsidRPr="00DD1E36">
        <w:rPr>
          <w:rFonts w:ascii="Times New Roman" w:hAnsi="Times New Roman" w:cs="Times New Roman"/>
          <w:lang w:val="en-US"/>
        </w:rPr>
        <w:t>tions’ strategic objectives (see</w:t>
      </w:r>
      <w:r w:rsidR="00EB0212">
        <w:rPr>
          <w:rFonts w:ascii="Times New Roman" w:hAnsi="Times New Roman" w:cs="Times New Roman"/>
          <w:lang w:val="en-US"/>
        </w:rPr>
        <w:t>,</w:t>
      </w:r>
      <w:r w:rsidR="00422BEF" w:rsidRPr="00DD1E36">
        <w:rPr>
          <w:rFonts w:ascii="Times New Roman" w:hAnsi="Times New Roman" w:cs="Times New Roman"/>
          <w:lang w:val="en-US"/>
        </w:rPr>
        <w:t xml:space="preserve"> Hopwood et al., 2010). </w:t>
      </w:r>
      <w:r w:rsidR="00422BEF">
        <w:rPr>
          <w:rFonts w:ascii="Times New Roman" w:hAnsi="Times New Roman" w:cs="Times New Roman"/>
          <w:lang w:val="en-US"/>
        </w:rPr>
        <w:t xml:space="preserve">It </w:t>
      </w:r>
      <w:r w:rsidR="00065179">
        <w:rPr>
          <w:rFonts w:ascii="Times New Roman" w:hAnsi="Times New Roman" w:cs="Times New Roman"/>
          <w:lang w:val="en-US"/>
        </w:rPr>
        <w:t xml:space="preserve">launched </w:t>
      </w:r>
      <w:r>
        <w:rPr>
          <w:rFonts w:ascii="Times New Roman" w:hAnsi="Times New Roman" w:cs="Times New Roman"/>
          <w:lang w:val="en-US"/>
        </w:rPr>
        <w:t>its</w:t>
      </w:r>
      <w:r w:rsidRPr="00DD1E36">
        <w:rPr>
          <w:rFonts w:ascii="Times New Roman" w:hAnsi="Times New Roman" w:cs="Times New Roman"/>
          <w:lang w:val="en-US"/>
        </w:rPr>
        <w:t xml:space="preserve"> </w:t>
      </w:r>
      <w:r w:rsidR="00422BEF" w:rsidRPr="00DD1E36">
        <w:rPr>
          <w:rFonts w:ascii="Times New Roman" w:hAnsi="Times New Roman" w:cs="Times New Roman"/>
          <w:lang w:val="en-US"/>
        </w:rPr>
        <w:t xml:space="preserve">connected reporting framework </w:t>
      </w:r>
      <w:r>
        <w:rPr>
          <w:rFonts w:ascii="Times New Roman" w:hAnsi="Times New Roman" w:cs="Times New Roman"/>
          <w:lang w:val="en-US"/>
        </w:rPr>
        <w:t xml:space="preserve">in 2007 </w:t>
      </w:r>
      <w:r w:rsidR="00422BEF" w:rsidRPr="00DD1E36">
        <w:rPr>
          <w:rFonts w:ascii="Times New Roman" w:hAnsi="Times New Roman" w:cs="Times New Roman"/>
          <w:lang w:val="en-US"/>
        </w:rPr>
        <w:t>to</w:t>
      </w:r>
      <w:r>
        <w:rPr>
          <w:rFonts w:ascii="Times New Roman" w:hAnsi="Times New Roman" w:cs="Times New Roman"/>
          <w:lang w:val="en-US"/>
        </w:rPr>
        <w:t xml:space="preserve"> help</w:t>
      </w:r>
      <w:r w:rsidR="00422BEF" w:rsidRPr="00DD1E36">
        <w:rPr>
          <w:rFonts w:ascii="Times New Roman" w:hAnsi="Times New Roman" w:cs="Times New Roman"/>
          <w:lang w:val="en-US"/>
        </w:rPr>
        <w:t xml:space="preserve"> highlight clear connections between financial and sustainability information and to assist in ensuring that sustainability considerations were embedded into organ</w:t>
      </w:r>
      <w:r w:rsidR="00E8208C">
        <w:rPr>
          <w:rFonts w:ascii="Times New Roman" w:hAnsi="Times New Roman" w:cs="Times New Roman"/>
          <w:lang w:val="en-US"/>
        </w:rPr>
        <w:t>iza</w:t>
      </w:r>
      <w:r w:rsidR="00422BEF" w:rsidRPr="00DD1E36">
        <w:rPr>
          <w:rFonts w:ascii="Times New Roman" w:hAnsi="Times New Roman" w:cs="Times New Roman"/>
          <w:lang w:val="en-US"/>
        </w:rPr>
        <w:t xml:space="preserve">tions’ day-to-day processes. </w:t>
      </w:r>
    </w:p>
    <w:p w14:paraId="4748F548" w14:textId="19D2AB5A" w:rsidR="00422BEF" w:rsidRPr="00DD1E36" w:rsidRDefault="00422BEF" w:rsidP="00422BEF">
      <w:pPr>
        <w:spacing w:line="360" w:lineRule="auto"/>
        <w:ind w:firstLine="360"/>
        <w:jc w:val="both"/>
        <w:rPr>
          <w:rFonts w:ascii="Times New Roman" w:hAnsi="Times New Roman" w:cs="Times New Roman"/>
          <w:lang w:val="en-US"/>
        </w:rPr>
      </w:pPr>
      <w:r w:rsidRPr="00DD1E36">
        <w:rPr>
          <w:rFonts w:ascii="Times New Roman" w:hAnsi="Times New Roman" w:cs="Times New Roman"/>
          <w:lang w:val="en-US"/>
        </w:rPr>
        <w:t>According to</w:t>
      </w:r>
      <w:r w:rsidR="00065179">
        <w:rPr>
          <w:rFonts w:ascii="Times New Roman" w:hAnsi="Times New Roman" w:cs="Times New Roman"/>
          <w:lang w:val="en-US"/>
        </w:rPr>
        <w:t xml:space="preserve"> </w:t>
      </w:r>
      <w:r w:rsidR="007C4202">
        <w:rPr>
          <w:rFonts w:ascii="Times New Roman" w:hAnsi="Times New Roman" w:cs="Times New Roman"/>
          <w:lang w:val="en-US"/>
        </w:rPr>
        <w:t>t</w:t>
      </w:r>
      <w:r w:rsidR="00F478C4">
        <w:rPr>
          <w:rFonts w:ascii="Times New Roman" w:hAnsi="Times New Roman" w:cs="Times New Roman"/>
          <w:lang w:val="en-US"/>
        </w:rPr>
        <w:t>he Accounting for Sustainability Project</w:t>
      </w:r>
      <w:r w:rsidR="00065179">
        <w:rPr>
          <w:rFonts w:ascii="Times New Roman" w:hAnsi="Times New Roman" w:cs="Times New Roman"/>
          <w:lang w:val="en-US"/>
        </w:rPr>
        <w:t>’s patron,</w:t>
      </w:r>
      <w:r w:rsidRPr="00DD1E36">
        <w:rPr>
          <w:rFonts w:ascii="Times New Roman" w:hAnsi="Times New Roman" w:cs="Times New Roman"/>
          <w:lang w:val="en-US"/>
        </w:rPr>
        <w:t xml:space="preserve"> </w:t>
      </w:r>
      <w:r w:rsidR="007C4202">
        <w:rPr>
          <w:rFonts w:ascii="Times New Roman" w:hAnsi="Times New Roman" w:cs="Times New Roman"/>
          <w:lang w:val="en-US"/>
        </w:rPr>
        <w:t>t</w:t>
      </w:r>
      <w:r w:rsidRPr="00DD1E36">
        <w:rPr>
          <w:rFonts w:ascii="Times New Roman" w:hAnsi="Times New Roman" w:cs="Times New Roman"/>
          <w:lang w:val="en-US"/>
        </w:rPr>
        <w:t xml:space="preserve">he Prince of Wales, the </w:t>
      </w:r>
      <w:r>
        <w:rPr>
          <w:rFonts w:ascii="Times New Roman" w:hAnsi="Times New Roman" w:cs="Times New Roman"/>
          <w:lang w:val="en-US"/>
        </w:rPr>
        <w:t xml:space="preserve">hope was that the </w:t>
      </w:r>
      <w:r w:rsidRPr="00DD1E36">
        <w:rPr>
          <w:rFonts w:ascii="Times New Roman" w:hAnsi="Times New Roman" w:cs="Times New Roman"/>
          <w:lang w:val="en-US"/>
        </w:rPr>
        <w:t xml:space="preserve">framework </w:t>
      </w:r>
      <w:r>
        <w:rPr>
          <w:rFonts w:ascii="Times New Roman" w:hAnsi="Times New Roman" w:cs="Times New Roman"/>
          <w:lang w:val="en-US"/>
        </w:rPr>
        <w:t xml:space="preserve">would </w:t>
      </w:r>
      <w:r w:rsidR="000F3DF0">
        <w:rPr>
          <w:rFonts w:ascii="Times New Roman" w:hAnsi="Times New Roman" w:cs="Times New Roman"/>
          <w:lang w:val="en-US"/>
        </w:rPr>
        <w:t>‘</w:t>
      </w:r>
      <w:r w:rsidRPr="00DD1E36">
        <w:rPr>
          <w:rFonts w:ascii="Times New Roman" w:hAnsi="Times New Roman" w:cs="Times New Roman"/>
          <w:lang w:val="en-US"/>
        </w:rPr>
        <w:t xml:space="preserve">encourage and facilitate clear, concise and comparable sustainability reporting to ensure that broader and longer-term sustainability considerations </w:t>
      </w:r>
      <w:r>
        <w:rPr>
          <w:rFonts w:ascii="Times New Roman" w:hAnsi="Times New Roman" w:cs="Times New Roman"/>
          <w:lang w:val="en-US"/>
        </w:rPr>
        <w:t>a</w:t>
      </w:r>
      <w:r w:rsidRPr="00DD1E36">
        <w:rPr>
          <w:rFonts w:ascii="Times New Roman" w:hAnsi="Times New Roman" w:cs="Times New Roman"/>
          <w:lang w:val="en-US"/>
        </w:rPr>
        <w:t>re integrated and connected with traditional accounting measurements</w:t>
      </w:r>
      <w:r w:rsidR="000F3DF0">
        <w:rPr>
          <w:rFonts w:ascii="Times New Roman" w:hAnsi="Times New Roman" w:cs="Times New Roman"/>
          <w:lang w:val="en-US"/>
        </w:rPr>
        <w:t>’</w:t>
      </w:r>
      <w:r w:rsidRPr="00DD1E36">
        <w:rPr>
          <w:rFonts w:ascii="Times New Roman" w:hAnsi="Times New Roman" w:cs="Times New Roman"/>
          <w:lang w:val="en-US"/>
        </w:rPr>
        <w:t>.</w:t>
      </w:r>
      <w:r w:rsidR="00A250A5">
        <w:rPr>
          <w:rStyle w:val="FootnoteReference"/>
          <w:rFonts w:ascii="Times New Roman" w:hAnsi="Times New Roman" w:cs="Times New Roman"/>
          <w:lang w:val="en-US"/>
        </w:rPr>
        <w:footnoteReference w:id="4"/>
      </w:r>
      <w:r w:rsidRPr="00DD1E36">
        <w:rPr>
          <w:rFonts w:ascii="Times New Roman" w:hAnsi="Times New Roman" w:cs="Times New Roman"/>
          <w:lang w:val="en-US"/>
        </w:rPr>
        <w:t xml:space="preserve"> </w:t>
      </w:r>
      <w:r w:rsidR="005609D0">
        <w:rPr>
          <w:rFonts w:ascii="Times New Roman" w:hAnsi="Times New Roman" w:cs="Times New Roman"/>
          <w:lang w:val="en-US"/>
        </w:rPr>
        <w:t xml:space="preserve">It </w:t>
      </w:r>
      <w:r w:rsidR="00065179">
        <w:rPr>
          <w:rFonts w:ascii="Times New Roman" w:hAnsi="Times New Roman" w:cs="Times New Roman"/>
          <w:lang w:val="en-US"/>
        </w:rPr>
        <w:t>was argued that c</w:t>
      </w:r>
      <w:r w:rsidRPr="00DD1E36">
        <w:rPr>
          <w:rFonts w:ascii="Times New Roman" w:hAnsi="Times New Roman" w:cs="Times New Roman"/>
          <w:lang w:val="en-US"/>
        </w:rPr>
        <w:t xml:space="preserve">ompanies </w:t>
      </w:r>
      <w:r w:rsidR="006226CC">
        <w:rPr>
          <w:rFonts w:ascii="Times New Roman" w:hAnsi="Times New Roman" w:cs="Times New Roman"/>
          <w:lang w:val="en-US"/>
        </w:rPr>
        <w:t>which</w:t>
      </w:r>
      <w:r w:rsidR="006226CC" w:rsidRPr="00DD1E36">
        <w:rPr>
          <w:rFonts w:ascii="Times New Roman" w:hAnsi="Times New Roman" w:cs="Times New Roman"/>
          <w:lang w:val="en-US"/>
        </w:rPr>
        <w:t xml:space="preserve"> </w:t>
      </w:r>
      <w:r w:rsidRPr="00DD1E36">
        <w:rPr>
          <w:rFonts w:ascii="Times New Roman" w:hAnsi="Times New Roman" w:cs="Times New Roman"/>
          <w:lang w:val="en-US"/>
        </w:rPr>
        <w:t xml:space="preserve">adopted connected reporting would </w:t>
      </w:r>
      <w:r w:rsidR="000F3DF0">
        <w:rPr>
          <w:rFonts w:ascii="Times New Roman" w:hAnsi="Times New Roman" w:cs="Times New Roman"/>
          <w:lang w:val="en-US"/>
        </w:rPr>
        <w:t>‘</w:t>
      </w:r>
      <w:r w:rsidRPr="00DD1E36">
        <w:rPr>
          <w:rFonts w:ascii="Times New Roman" w:hAnsi="Times New Roman" w:cs="Times New Roman"/>
          <w:lang w:val="en-US"/>
        </w:rPr>
        <w:t>get ahead of the game</w:t>
      </w:r>
      <w:r w:rsidR="000F3DF0">
        <w:rPr>
          <w:rFonts w:ascii="Times New Roman" w:hAnsi="Times New Roman" w:cs="Times New Roman"/>
          <w:lang w:val="en-US"/>
        </w:rPr>
        <w:t>’</w:t>
      </w:r>
      <w:r w:rsidRPr="00DD1E36">
        <w:rPr>
          <w:rFonts w:ascii="Times New Roman" w:hAnsi="Times New Roman" w:cs="Times New Roman"/>
          <w:lang w:val="en-US"/>
        </w:rPr>
        <w:t xml:space="preserve"> in advance of inevitable regulation, and there</w:t>
      </w:r>
      <w:r w:rsidR="00B136B2">
        <w:rPr>
          <w:rFonts w:ascii="Times New Roman" w:hAnsi="Times New Roman" w:cs="Times New Roman"/>
          <w:lang w:val="en-US"/>
        </w:rPr>
        <w:t>by</w:t>
      </w:r>
      <w:r w:rsidRPr="00DD1E36">
        <w:rPr>
          <w:rFonts w:ascii="Times New Roman" w:hAnsi="Times New Roman" w:cs="Times New Roman"/>
          <w:lang w:val="en-US"/>
        </w:rPr>
        <w:t xml:space="preserve"> enhance their credibility and standing. </w:t>
      </w:r>
    </w:p>
    <w:p w14:paraId="54F69556" w14:textId="3AEDD631" w:rsidR="00422BEF" w:rsidRDefault="00422BEF" w:rsidP="00422BEF">
      <w:pPr>
        <w:spacing w:line="360" w:lineRule="auto"/>
        <w:ind w:firstLine="360"/>
        <w:jc w:val="both"/>
        <w:rPr>
          <w:rFonts w:ascii="Times New Roman" w:hAnsi="Times New Roman" w:cs="Times New Roman"/>
          <w:lang w:val="en-US"/>
        </w:rPr>
      </w:pPr>
      <w:r w:rsidRPr="00DD1E36">
        <w:rPr>
          <w:rFonts w:ascii="Times New Roman" w:hAnsi="Times New Roman" w:cs="Times New Roman"/>
          <w:lang w:val="en-US"/>
        </w:rPr>
        <w:t xml:space="preserve">At the </w:t>
      </w:r>
      <w:r w:rsidR="001C3047">
        <w:rPr>
          <w:rFonts w:ascii="Times New Roman" w:hAnsi="Times New Roman" w:cs="Times New Roman"/>
          <w:lang w:val="en-US"/>
        </w:rPr>
        <w:t>above</w:t>
      </w:r>
      <w:r w:rsidR="00DE1110">
        <w:rPr>
          <w:rFonts w:ascii="Times New Roman" w:hAnsi="Times New Roman" w:cs="Times New Roman"/>
          <w:lang w:val="en-US"/>
        </w:rPr>
        <w:t>-</w:t>
      </w:r>
      <w:r w:rsidR="001C3047">
        <w:rPr>
          <w:rFonts w:ascii="Times New Roman" w:hAnsi="Times New Roman" w:cs="Times New Roman"/>
          <w:lang w:val="en-US"/>
        </w:rPr>
        <w:t xml:space="preserve">mentioned </w:t>
      </w:r>
      <w:r w:rsidR="00065179">
        <w:rPr>
          <w:rFonts w:ascii="Times New Roman" w:hAnsi="Times New Roman" w:cs="Times New Roman"/>
          <w:lang w:val="en-US"/>
        </w:rPr>
        <w:t xml:space="preserve">2009 </w:t>
      </w:r>
      <w:r w:rsidR="00F478C4">
        <w:rPr>
          <w:rFonts w:ascii="Times New Roman" w:hAnsi="Times New Roman" w:cs="Times New Roman"/>
          <w:lang w:val="en-US"/>
        </w:rPr>
        <w:t>Prince’s Accounting for Sustainability Project</w:t>
      </w:r>
      <w:r w:rsidRPr="00DD1E36">
        <w:rPr>
          <w:rFonts w:ascii="Times New Roman" w:hAnsi="Times New Roman" w:cs="Times New Roman"/>
          <w:lang w:val="en-US"/>
        </w:rPr>
        <w:t xml:space="preserve"> </w:t>
      </w:r>
      <w:r w:rsidR="00065179">
        <w:rPr>
          <w:rFonts w:ascii="Times New Roman" w:hAnsi="Times New Roman" w:cs="Times New Roman"/>
          <w:lang w:val="en-US"/>
        </w:rPr>
        <w:t xml:space="preserve">Annual Forum </w:t>
      </w:r>
      <w:r w:rsidRPr="00DD1E36">
        <w:rPr>
          <w:rFonts w:ascii="Times New Roman" w:hAnsi="Times New Roman" w:cs="Times New Roman"/>
          <w:lang w:val="en-US"/>
        </w:rPr>
        <w:t>meeting, a group of professionals</w:t>
      </w:r>
      <w:r w:rsidR="00710380">
        <w:rPr>
          <w:rFonts w:ascii="Times New Roman" w:hAnsi="Times New Roman" w:cs="Times New Roman"/>
          <w:lang w:val="en-US"/>
        </w:rPr>
        <w:t>,</w:t>
      </w:r>
      <w:r w:rsidRPr="00DD1E36">
        <w:rPr>
          <w:rFonts w:ascii="Times New Roman" w:hAnsi="Times New Roman" w:cs="Times New Roman"/>
          <w:lang w:val="en-US"/>
        </w:rPr>
        <w:t xml:space="preserve"> </w:t>
      </w:r>
      <w:r w:rsidR="00710380">
        <w:rPr>
          <w:rFonts w:ascii="Times New Roman" w:hAnsi="Times New Roman" w:cs="Times New Roman"/>
          <w:lang w:val="en-US"/>
        </w:rPr>
        <w:t xml:space="preserve">primarily </w:t>
      </w:r>
      <w:r w:rsidRPr="00DD1E36">
        <w:rPr>
          <w:rFonts w:ascii="Times New Roman" w:hAnsi="Times New Roman" w:cs="Times New Roman"/>
          <w:lang w:val="en-US"/>
        </w:rPr>
        <w:t xml:space="preserve">from </w:t>
      </w:r>
      <w:r w:rsidR="00E909F4">
        <w:rPr>
          <w:rFonts w:ascii="Times New Roman" w:hAnsi="Times New Roman" w:cs="Times New Roman"/>
          <w:lang w:val="en-US"/>
        </w:rPr>
        <w:t xml:space="preserve">within </w:t>
      </w:r>
      <w:r w:rsidRPr="00DD1E36">
        <w:rPr>
          <w:rFonts w:ascii="Times New Roman" w:hAnsi="Times New Roman" w:cs="Times New Roman"/>
          <w:lang w:val="en-US"/>
        </w:rPr>
        <w:t xml:space="preserve">the </w:t>
      </w:r>
      <w:r w:rsidR="007920FD">
        <w:rPr>
          <w:rFonts w:ascii="Times New Roman" w:hAnsi="Times New Roman" w:cs="Times New Roman"/>
          <w:lang w:val="en-US"/>
        </w:rPr>
        <w:t>field</w:t>
      </w:r>
      <w:r w:rsidR="00813495" w:rsidRPr="00DD1E36">
        <w:rPr>
          <w:rFonts w:ascii="Times New Roman" w:hAnsi="Times New Roman" w:cs="Times New Roman"/>
          <w:lang w:val="en-US"/>
        </w:rPr>
        <w:t xml:space="preserve"> </w:t>
      </w:r>
      <w:r w:rsidRPr="00DD1E36">
        <w:rPr>
          <w:rFonts w:ascii="Times New Roman" w:hAnsi="Times New Roman" w:cs="Times New Roman"/>
          <w:lang w:val="en-US"/>
        </w:rPr>
        <w:t xml:space="preserve">of corporate reporting, </w:t>
      </w:r>
      <w:r w:rsidR="006226CC">
        <w:rPr>
          <w:rFonts w:ascii="Times New Roman" w:hAnsi="Times New Roman" w:cs="Times New Roman"/>
          <w:lang w:val="en-US"/>
        </w:rPr>
        <w:t>agreed</w:t>
      </w:r>
      <w:r w:rsidR="006226CC" w:rsidRPr="00DD1E36">
        <w:rPr>
          <w:rFonts w:ascii="Times New Roman" w:hAnsi="Times New Roman" w:cs="Times New Roman"/>
          <w:lang w:val="en-US"/>
        </w:rPr>
        <w:t xml:space="preserve"> </w:t>
      </w:r>
      <w:r w:rsidRPr="00DD1E36">
        <w:rPr>
          <w:rFonts w:ascii="Times New Roman" w:hAnsi="Times New Roman" w:cs="Times New Roman"/>
          <w:lang w:val="en-US"/>
        </w:rPr>
        <w:t xml:space="preserve">that a committee called the International </w:t>
      </w:r>
      <w:r>
        <w:rPr>
          <w:rFonts w:ascii="Times New Roman" w:hAnsi="Times New Roman" w:cs="Times New Roman"/>
          <w:lang w:val="en-US"/>
        </w:rPr>
        <w:t>Integrated Reporting</w:t>
      </w:r>
      <w:r w:rsidRPr="00DD1E36">
        <w:rPr>
          <w:rFonts w:ascii="Times New Roman" w:hAnsi="Times New Roman" w:cs="Times New Roman"/>
          <w:lang w:val="en-US"/>
        </w:rPr>
        <w:t xml:space="preserve"> </w:t>
      </w:r>
      <w:r w:rsidRPr="00EB0212">
        <w:rPr>
          <w:rFonts w:ascii="Times New Roman" w:hAnsi="Times New Roman" w:cs="Times New Roman"/>
          <w:lang w:val="en-US"/>
        </w:rPr>
        <w:t>Committee</w:t>
      </w:r>
      <w:r>
        <w:rPr>
          <w:rStyle w:val="FootnoteReference"/>
          <w:rFonts w:ascii="Times New Roman" w:hAnsi="Times New Roman" w:cs="Times New Roman"/>
          <w:lang w:val="en-US"/>
        </w:rPr>
        <w:footnoteReference w:id="5"/>
      </w:r>
      <w:r w:rsidRPr="00DD1E36">
        <w:rPr>
          <w:rFonts w:ascii="Times New Roman" w:hAnsi="Times New Roman" w:cs="Times New Roman"/>
          <w:lang w:val="en-US"/>
        </w:rPr>
        <w:t>,</w:t>
      </w:r>
      <w:r w:rsidR="001A6EE6">
        <w:rPr>
          <w:rFonts w:ascii="Times New Roman" w:hAnsi="Times New Roman" w:cs="Times New Roman"/>
          <w:lang w:val="en-US"/>
        </w:rPr>
        <w:t xml:space="preserve"> </w:t>
      </w:r>
      <w:r w:rsidR="00813495" w:rsidRPr="00DD1E36">
        <w:rPr>
          <w:rFonts w:ascii="Times New Roman" w:hAnsi="Times New Roman" w:cs="Times New Roman"/>
          <w:lang w:val="en-US"/>
        </w:rPr>
        <w:t xml:space="preserve">should be formed </w:t>
      </w:r>
      <w:r w:rsidRPr="00DD1E36">
        <w:rPr>
          <w:rFonts w:ascii="Times New Roman" w:hAnsi="Times New Roman" w:cs="Times New Roman"/>
          <w:lang w:val="en-US"/>
        </w:rPr>
        <w:t>to create a globally accepted framewor</w:t>
      </w:r>
      <w:r>
        <w:rPr>
          <w:rFonts w:ascii="Times New Roman" w:hAnsi="Times New Roman" w:cs="Times New Roman"/>
          <w:lang w:val="en-US"/>
        </w:rPr>
        <w:t>k for</w:t>
      </w:r>
      <w:r w:rsidRPr="00DD1E36">
        <w:rPr>
          <w:rFonts w:ascii="Times New Roman" w:hAnsi="Times New Roman" w:cs="Times New Roman"/>
          <w:lang w:val="en-US"/>
        </w:rPr>
        <w:t xml:space="preserve"> </w:t>
      </w:r>
      <w:r w:rsidR="000F3DF0">
        <w:rPr>
          <w:rFonts w:ascii="Times New Roman" w:hAnsi="Times New Roman" w:cs="Times New Roman"/>
          <w:lang w:val="en-US"/>
        </w:rPr>
        <w:t>‘</w:t>
      </w:r>
      <w:r w:rsidRPr="00DD1E36">
        <w:rPr>
          <w:rFonts w:ascii="Times New Roman" w:hAnsi="Times New Roman" w:cs="Times New Roman"/>
          <w:lang w:val="en-US"/>
        </w:rPr>
        <w:t>accounting for sustainability</w:t>
      </w:r>
      <w:r w:rsidR="000F3DF0">
        <w:rPr>
          <w:rFonts w:ascii="Times New Roman" w:hAnsi="Times New Roman" w:cs="Times New Roman"/>
          <w:lang w:val="en-US"/>
        </w:rPr>
        <w:t>’</w:t>
      </w:r>
      <w:r w:rsidRPr="00DD1E36">
        <w:rPr>
          <w:rFonts w:ascii="Times New Roman" w:hAnsi="Times New Roman" w:cs="Times New Roman"/>
          <w:lang w:val="en-US"/>
        </w:rPr>
        <w:t xml:space="preserve">. This sought to extend the work of </w:t>
      </w:r>
      <w:r w:rsidR="006226CC">
        <w:rPr>
          <w:rFonts w:ascii="Times New Roman" w:hAnsi="Times New Roman" w:cs="Times New Roman"/>
          <w:lang w:val="en-US"/>
        </w:rPr>
        <w:t>t</w:t>
      </w:r>
      <w:r w:rsidR="00F478C4">
        <w:rPr>
          <w:rFonts w:ascii="Times New Roman" w:hAnsi="Times New Roman" w:cs="Times New Roman"/>
          <w:lang w:val="en-US"/>
        </w:rPr>
        <w:t>he Prince’s Accounting for Sustainability Project</w:t>
      </w:r>
      <w:r w:rsidR="00B136B2">
        <w:rPr>
          <w:rFonts w:ascii="Times New Roman" w:hAnsi="Times New Roman" w:cs="Times New Roman"/>
          <w:lang w:val="en-US"/>
        </w:rPr>
        <w:t>. T</w:t>
      </w:r>
      <w:r w:rsidRPr="00DD1E36">
        <w:rPr>
          <w:rFonts w:ascii="Times New Roman" w:hAnsi="Times New Roman" w:cs="Times New Roman"/>
          <w:lang w:val="en-US"/>
        </w:rPr>
        <w:t xml:space="preserve">he IIRC was </w:t>
      </w:r>
      <w:r w:rsidR="001C3047">
        <w:rPr>
          <w:rFonts w:ascii="Times New Roman" w:hAnsi="Times New Roman" w:cs="Times New Roman"/>
          <w:lang w:val="en-US"/>
        </w:rPr>
        <w:t xml:space="preserve">subsequently </w:t>
      </w:r>
      <w:r w:rsidRPr="00DD1E36">
        <w:rPr>
          <w:rFonts w:ascii="Times New Roman" w:hAnsi="Times New Roman" w:cs="Times New Roman"/>
          <w:lang w:val="en-US"/>
        </w:rPr>
        <w:t xml:space="preserve">formally </w:t>
      </w:r>
      <w:r>
        <w:rPr>
          <w:rFonts w:ascii="Times New Roman" w:hAnsi="Times New Roman" w:cs="Times New Roman"/>
          <w:lang w:val="en-US"/>
        </w:rPr>
        <w:t xml:space="preserve">launched </w:t>
      </w:r>
      <w:r w:rsidRPr="00DD1E36">
        <w:rPr>
          <w:rFonts w:ascii="Times New Roman" w:hAnsi="Times New Roman" w:cs="Times New Roman"/>
          <w:lang w:val="en-US"/>
        </w:rPr>
        <w:t xml:space="preserve">by </w:t>
      </w:r>
      <w:r w:rsidR="006226CC">
        <w:rPr>
          <w:rFonts w:ascii="Times New Roman" w:hAnsi="Times New Roman" w:cs="Times New Roman"/>
          <w:lang w:val="en-US"/>
        </w:rPr>
        <w:t>t</w:t>
      </w:r>
      <w:r w:rsidR="00F478C4">
        <w:rPr>
          <w:rFonts w:ascii="Times New Roman" w:hAnsi="Times New Roman" w:cs="Times New Roman"/>
          <w:lang w:val="en-US"/>
        </w:rPr>
        <w:t>he Accounting for Sustainability Project</w:t>
      </w:r>
      <w:r w:rsidRPr="00DD1E36">
        <w:rPr>
          <w:rFonts w:ascii="Times New Roman" w:hAnsi="Times New Roman" w:cs="Times New Roman"/>
          <w:lang w:val="en-US"/>
        </w:rPr>
        <w:t xml:space="preserve"> and the </w:t>
      </w:r>
      <w:r w:rsidR="00BB70BE">
        <w:rPr>
          <w:rFonts w:ascii="Times New Roman" w:hAnsi="Times New Roman" w:cs="Times New Roman"/>
          <w:lang w:val="en-US"/>
        </w:rPr>
        <w:t xml:space="preserve">GRI </w:t>
      </w:r>
      <w:r w:rsidRPr="00DD1E36">
        <w:rPr>
          <w:rFonts w:ascii="Times New Roman" w:hAnsi="Times New Roman" w:cs="Times New Roman"/>
          <w:lang w:val="en-US"/>
        </w:rPr>
        <w:t>in August 2010</w:t>
      </w:r>
      <w:r w:rsidRPr="00DD1E36">
        <w:rPr>
          <w:rStyle w:val="FootnoteReference"/>
          <w:rFonts w:ascii="Times New Roman" w:hAnsi="Times New Roman" w:cs="Times New Roman"/>
          <w:lang w:val="en-US"/>
        </w:rPr>
        <w:footnoteReference w:id="6"/>
      </w:r>
      <w:r w:rsidRPr="00DD1E36">
        <w:rPr>
          <w:rFonts w:ascii="Times New Roman" w:hAnsi="Times New Roman" w:cs="Times New Roman"/>
          <w:lang w:val="en-US"/>
        </w:rPr>
        <w:t xml:space="preserve">. </w:t>
      </w:r>
      <w:r w:rsidR="00B136B2">
        <w:rPr>
          <w:rFonts w:ascii="Times New Roman" w:hAnsi="Times New Roman" w:cs="Times New Roman"/>
          <w:lang w:val="en-US"/>
        </w:rPr>
        <w:t xml:space="preserve">A </w:t>
      </w:r>
      <w:r w:rsidR="00B136B2" w:rsidRPr="00DD1E36">
        <w:rPr>
          <w:rFonts w:ascii="Times New Roman" w:hAnsi="Times New Roman" w:cs="Times New Roman"/>
          <w:lang w:val="en-US"/>
        </w:rPr>
        <w:t xml:space="preserve">joint </w:t>
      </w:r>
      <w:r w:rsidRPr="00DD1E36">
        <w:rPr>
          <w:rFonts w:ascii="Times New Roman" w:hAnsi="Times New Roman" w:cs="Times New Roman"/>
          <w:lang w:val="en-US"/>
        </w:rPr>
        <w:t>press release</w:t>
      </w:r>
      <w:r w:rsidR="00B136B2">
        <w:rPr>
          <w:rFonts w:ascii="Times New Roman" w:hAnsi="Times New Roman" w:cs="Times New Roman"/>
          <w:lang w:val="en-US"/>
        </w:rPr>
        <w:t xml:space="preserve"> </w:t>
      </w:r>
      <w:r w:rsidR="0033230F">
        <w:rPr>
          <w:rFonts w:ascii="Times New Roman" w:hAnsi="Times New Roman" w:cs="Times New Roman"/>
          <w:lang w:val="en-US"/>
        </w:rPr>
        <w:t xml:space="preserve">from the </w:t>
      </w:r>
      <w:r w:rsidR="00BB70BE">
        <w:rPr>
          <w:rFonts w:ascii="Times New Roman" w:hAnsi="Times New Roman" w:cs="Times New Roman"/>
          <w:lang w:val="en-US"/>
        </w:rPr>
        <w:t xml:space="preserve">GRI </w:t>
      </w:r>
      <w:r w:rsidR="0033230F">
        <w:rPr>
          <w:rFonts w:ascii="Times New Roman" w:hAnsi="Times New Roman" w:cs="Times New Roman"/>
          <w:lang w:val="en-US"/>
        </w:rPr>
        <w:lastRenderedPageBreak/>
        <w:t xml:space="preserve">and </w:t>
      </w:r>
      <w:r w:rsidR="007C4202">
        <w:rPr>
          <w:rFonts w:ascii="Times New Roman" w:hAnsi="Times New Roman" w:cs="Times New Roman"/>
          <w:lang w:val="en-US"/>
        </w:rPr>
        <w:t>t</w:t>
      </w:r>
      <w:r w:rsidR="0033230F">
        <w:rPr>
          <w:rFonts w:ascii="Times New Roman" w:hAnsi="Times New Roman" w:cs="Times New Roman"/>
          <w:lang w:val="en-US"/>
        </w:rPr>
        <w:t>he Prince’s Accounting for Sustainability Project</w:t>
      </w:r>
      <w:r w:rsidR="0033230F" w:rsidRPr="00DD1E36">
        <w:rPr>
          <w:rFonts w:ascii="Times New Roman" w:hAnsi="Times New Roman" w:cs="Times New Roman"/>
          <w:lang w:val="en-US"/>
        </w:rPr>
        <w:t xml:space="preserve"> </w:t>
      </w:r>
      <w:r w:rsidR="0033230F">
        <w:rPr>
          <w:rFonts w:ascii="Times New Roman" w:hAnsi="Times New Roman" w:cs="Times New Roman"/>
          <w:lang w:val="en-US"/>
        </w:rPr>
        <w:t xml:space="preserve">that </w:t>
      </w:r>
      <w:r w:rsidR="00B136B2">
        <w:rPr>
          <w:rFonts w:ascii="Times New Roman" w:hAnsi="Times New Roman" w:cs="Times New Roman"/>
          <w:lang w:val="en-US"/>
        </w:rPr>
        <w:t>announc</w:t>
      </w:r>
      <w:r w:rsidR="0033230F">
        <w:rPr>
          <w:rFonts w:ascii="Times New Roman" w:hAnsi="Times New Roman" w:cs="Times New Roman"/>
          <w:lang w:val="en-US"/>
        </w:rPr>
        <w:t>ed</w:t>
      </w:r>
      <w:r w:rsidR="00B136B2">
        <w:rPr>
          <w:rFonts w:ascii="Times New Roman" w:hAnsi="Times New Roman" w:cs="Times New Roman"/>
          <w:lang w:val="en-US"/>
        </w:rPr>
        <w:t xml:space="preserve"> the launch,</w:t>
      </w:r>
      <w:r w:rsidRPr="00DD1E36">
        <w:rPr>
          <w:rFonts w:ascii="Times New Roman" w:hAnsi="Times New Roman" w:cs="Times New Roman"/>
          <w:lang w:val="en-US"/>
        </w:rPr>
        <w:t xml:space="preserve"> and other supporting statements</w:t>
      </w:r>
      <w:r w:rsidR="00B136B2">
        <w:rPr>
          <w:rFonts w:ascii="Times New Roman" w:hAnsi="Times New Roman" w:cs="Times New Roman"/>
          <w:lang w:val="en-US"/>
        </w:rPr>
        <w:t>,</w:t>
      </w:r>
      <w:r w:rsidRPr="00DD1E36">
        <w:rPr>
          <w:rFonts w:ascii="Times New Roman" w:hAnsi="Times New Roman" w:cs="Times New Roman"/>
          <w:lang w:val="en-US"/>
        </w:rPr>
        <w:t xml:space="preserve"> </w:t>
      </w:r>
      <w:r w:rsidR="00BB70BE">
        <w:rPr>
          <w:rFonts w:ascii="Times New Roman" w:hAnsi="Times New Roman" w:cs="Times New Roman"/>
          <w:lang w:val="en-US"/>
        </w:rPr>
        <w:t>mobiliz</w:t>
      </w:r>
      <w:r w:rsidR="00794753">
        <w:rPr>
          <w:rFonts w:ascii="Times New Roman" w:hAnsi="Times New Roman" w:cs="Times New Roman"/>
          <w:lang w:val="en-US"/>
        </w:rPr>
        <w:t>e</w:t>
      </w:r>
      <w:r w:rsidR="00135FFA">
        <w:rPr>
          <w:rFonts w:ascii="Times New Roman" w:hAnsi="Times New Roman" w:cs="Times New Roman"/>
          <w:lang w:val="en-US"/>
        </w:rPr>
        <w:t>d</w:t>
      </w:r>
      <w:r w:rsidRPr="00DD1E36">
        <w:rPr>
          <w:rFonts w:ascii="Times New Roman" w:hAnsi="Times New Roman" w:cs="Times New Roman"/>
          <w:lang w:val="en-US"/>
        </w:rPr>
        <w:t xml:space="preserve"> high level themes calling for the creation of a new corporate reporting space</w:t>
      </w:r>
      <w:r w:rsidR="00813495">
        <w:rPr>
          <w:rFonts w:ascii="Times New Roman" w:hAnsi="Times New Roman" w:cs="Times New Roman"/>
          <w:lang w:val="en-US"/>
        </w:rPr>
        <w:t xml:space="preserve"> </w:t>
      </w:r>
      <w:r w:rsidRPr="00DD1E36">
        <w:rPr>
          <w:rFonts w:ascii="Times New Roman" w:hAnsi="Times New Roman" w:cs="Times New Roman"/>
          <w:lang w:val="en-US"/>
        </w:rPr>
        <w:t xml:space="preserve">around </w:t>
      </w:r>
      <w:r w:rsidR="0033230F">
        <w:rPr>
          <w:rFonts w:ascii="Times New Roman" w:hAnsi="Times New Roman" w:cs="Times New Roman"/>
          <w:lang w:val="en-US"/>
        </w:rPr>
        <w:t>i</w:t>
      </w:r>
      <w:r>
        <w:rPr>
          <w:rFonts w:ascii="Times New Roman" w:hAnsi="Times New Roman" w:cs="Times New Roman"/>
          <w:lang w:val="en-US"/>
        </w:rPr>
        <w:t xml:space="preserve">ntegrated </w:t>
      </w:r>
      <w:r w:rsidR="0033230F">
        <w:rPr>
          <w:rFonts w:ascii="Times New Roman" w:hAnsi="Times New Roman" w:cs="Times New Roman"/>
          <w:lang w:val="en-US"/>
        </w:rPr>
        <w:t>r</w:t>
      </w:r>
      <w:r>
        <w:rPr>
          <w:rFonts w:ascii="Times New Roman" w:hAnsi="Times New Roman" w:cs="Times New Roman"/>
          <w:lang w:val="en-US"/>
        </w:rPr>
        <w:t>eporting</w:t>
      </w:r>
      <w:r w:rsidRPr="00DD1E36">
        <w:rPr>
          <w:rFonts w:ascii="Times New Roman" w:hAnsi="Times New Roman" w:cs="Times New Roman"/>
          <w:lang w:val="en-US"/>
        </w:rPr>
        <w:t xml:space="preserve"> that would contribute to ensuring future economic and social well-being. For example, the </w:t>
      </w:r>
      <w:r w:rsidR="00B136B2">
        <w:rPr>
          <w:rFonts w:ascii="Times New Roman" w:hAnsi="Times New Roman" w:cs="Times New Roman"/>
          <w:lang w:val="en-US"/>
        </w:rPr>
        <w:t>founding</w:t>
      </w:r>
      <w:r w:rsidR="00B136B2" w:rsidRPr="00DD1E36">
        <w:rPr>
          <w:rFonts w:ascii="Times New Roman" w:hAnsi="Times New Roman" w:cs="Times New Roman"/>
          <w:lang w:val="en-US"/>
        </w:rPr>
        <w:t xml:space="preserve"> </w:t>
      </w:r>
      <w:r w:rsidRPr="00DD1E36">
        <w:rPr>
          <w:rFonts w:ascii="Times New Roman" w:hAnsi="Times New Roman" w:cs="Times New Roman"/>
          <w:lang w:val="en-US"/>
        </w:rPr>
        <w:t xml:space="preserve">Chairman of the IIRC, Sir Michael Peat, hailed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as</w:t>
      </w:r>
      <w:r>
        <w:rPr>
          <w:rFonts w:ascii="Times New Roman" w:hAnsi="Times New Roman" w:cs="Times New Roman"/>
          <w:lang w:val="en-US"/>
        </w:rPr>
        <w:t>:</w:t>
      </w:r>
    </w:p>
    <w:p w14:paraId="12CBD757" w14:textId="77777777" w:rsidR="00422BEF" w:rsidRPr="00DD1E36" w:rsidRDefault="00422BEF" w:rsidP="00422BEF">
      <w:pPr>
        <w:spacing w:line="240" w:lineRule="auto"/>
        <w:ind w:left="708"/>
        <w:jc w:val="both"/>
        <w:rPr>
          <w:rFonts w:ascii="Times New Roman" w:hAnsi="Times New Roman" w:cs="Times New Roman"/>
          <w:lang w:val="en-US"/>
        </w:rPr>
      </w:pPr>
      <w:r w:rsidRPr="00DD1E36">
        <w:rPr>
          <w:rFonts w:ascii="Times New Roman" w:hAnsi="Times New Roman" w:cs="Times New Roman"/>
          <w:sz w:val="20"/>
          <w:szCs w:val="20"/>
          <w:lang w:val="en-US"/>
        </w:rPr>
        <w:t xml:space="preserve">… a vital building block to enable the world’s economy to evolve and maintain standards of living for people who already enjoy a good quality of life, and create them for the hundreds of millions who do not, without the present unsustainable over-consumption of the world’s finite resources. </w:t>
      </w:r>
    </w:p>
    <w:p w14:paraId="6966E637" w14:textId="73745A22" w:rsidR="00DC50A4" w:rsidRDefault="00422BEF" w:rsidP="00422BEF">
      <w:pPr>
        <w:spacing w:line="360" w:lineRule="auto"/>
        <w:ind w:firstLine="360"/>
        <w:jc w:val="both"/>
        <w:rPr>
          <w:rFonts w:ascii="Times New Roman" w:hAnsi="Times New Roman" w:cs="Times New Roman"/>
          <w:lang w:val="en-US"/>
        </w:rPr>
      </w:pPr>
      <w:r w:rsidRPr="00DD1E36">
        <w:rPr>
          <w:rFonts w:ascii="Times New Roman" w:hAnsi="Times New Roman" w:cs="Times New Roman"/>
          <w:lang w:val="en-US"/>
        </w:rPr>
        <w:t xml:space="preserve">The initial press release indicated that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would ‘build on’ the existing practice of financial reporting and </w:t>
      </w:r>
      <w:r w:rsidR="00F23195">
        <w:rPr>
          <w:rFonts w:ascii="Times New Roman" w:hAnsi="Times New Roman" w:cs="Times New Roman"/>
          <w:lang w:val="en-US"/>
        </w:rPr>
        <w:t>‘</w:t>
      </w:r>
      <w:r w:rsidRPr="00DD1E36">
        <w:rPr>
          <w:rFonts w:ascii="Times New Roman" w:hAnsi="Times New Roman" w:cs="Times New Roman"/>
          <w:lang w:val="en-US"/>
        </w:rPr>
        <w:t>environment</w:t>
      </w:r>
      <w:r>
        <w:rPr>
          <w:rFonts w:ascii="Times New Roman" w:hAnsi="Times New Roman" w:cs="Times New Roman"/>
          <w:lang w:val="en-US"/>
        </w:rPr>
        <w:t>al</w:t>
      </w:r>
      <w:r w:rsidRPr="00DD1E36">
        <w:rPr>
          <w:rFonts w:ascii="Times New Roman" w:hAnsi="Times New Roman" w:cs="Times New Roman"/>
          <w:lang w:val="en-US"/>
        </w:rPr>
        <w:t>, societ</w:t>
      </w:r>
      <w:r>
        <w:rPr>
          <w:rFonts w:ascii="Times New Roman" w:hAnsi="Times New Roman" w:cs="Times New Roman"/>
          <w:lang w:val="en-US"/>
        </w:rPr>
        <w:t>al</w:t>
      </w:r>
      <w:r w:rsidRPr="00DD1E36">
        <w:rPr>
          <w:rFonts w:ascii="Times New Roman" w:hAnsi="Times New Roman" w:cs="Times New Roman"/>
          <w:lang w:val="en-US"/>
        </w:rPr>
        <w:t xml:space="preserve"> and governance</w:t>
      </w:r>
      <w:r w:rsidR="00F23195">
        <w:rPr>
          <w:rFonts w:ascii="Times New Roman" w:hAnsi="Times New Roman" w:cs="Times New Roman"/>
          <w:lang w:val="en-US"/>
        </w:rPr>
        <w:t>’</w:t>
      </w:r>
      <w:r w:rsidRPr="00DD1E36">
        <w:rPr>
          <w:rFonts w:ascii="Times New Roman" w:hAnsi="Times New Roman" w:cs="Times New Roman"/>
          <w:lang w:val="en-US"/>
        </w:rPr>
        <w:t xml:space="preserve"> reporting. It claimed that the IIRC was responding to the </w:t>
      </w:r>
      <w:r w:rsidRPr="00686181">
        <w:rPr>
          <w:rFonts w:ascii="Times New Roman" w:hAnsi="Times New Roman" w:cs="Times New Roman"/>
          <w:lang w:val="en-US"/>
        </w:rPr>
        <w:t>need</w:t>
      </w:r>
      <w:r w:rsidRPr="00AC3A23">
        <w:rPr>
          <w:rFonts w:ascii="Times New Roman" w:hAnsi="Times New Roman" w:cs="Times New Roman"/>
          <w:lang w:val="en-US"/>
        </w:rPr>
        <w:t xml:space="preserve"> </w:t>
      </w:r>
      <w:r w:rsidRPr="00DD1E36">
        <w:rPr>
          <w:rFonts w:ascii="Times New Roman" w:hAnsi="Times New Roman" w:cs="Times New Roman"/>
          <w:lang w:val="en-US"/>
        </w:rPr>
        <w:t xml:space="preserve">for a concise, clear, consistent and comparable reporting framework which would integrate financial and non-financial information and eventually </w:t>
      </w:r>
      <w:r w:rsidR="000F3DF0">
        <w:rPr>
          <w:rFonts w:ascii="Times New Roman" w:hAnsi="Times New Roman" w:cs="Times New Roman"/>
          <w:lang w:val="en-US"/>
        </w:rPr>
        <w:t>‘</w:t>
      </w:r>
      <w:r w:rsidRPr="00DD1E36">
        <w:rPr>
          <w:rFonts w:ascii="Times New Roman" w:hAnsi="Times New Roman" w:cs="Times New Roman"/>
          <w:lang w:val="en-US"/>
        </w:rPr>
        <w:t>bring corporate reporting into line with the business needs of the 21</w:t>
      </w:r>
      <w:r w:rsidRPr="00DD1E36">
        <w:rPr>
          <w:rFonts w:ascii="Times New Roman" w:hAnsi="Times New Roman" w:cs="Times New Roman"/>
          <w:vertAlign w:val="superscript"/>
          <w:lang w:val="en-US"/>
        </w:rPr>
        <w:t>st</w:t>
      </w:r>
      <w:r w:rsidRPr="00DD1E36">
        <w:rPr>
          <w:rFonts w:ascii="Times New Roman" w:hAnsi="Times New Roman" w:cs="Times New Roman"/>
          <w:lang w:val="en-US"/>
        </w:rPr>
        <w:t xml:space="preserve"> century</w:t>
      </w:r>
      <w:r w:rsidR="000F3DF0">
        <w:rPr>
          <w:rFonts w:ascii="Times New Roman" w:hAnsi="Times New Roman" w:cs="Times New Roman"/>
          <w:lang w:val="en-US"/>
        </w:rPr>
        <w:t>’</w:t>
      </w:r>
      <w:r w:rsidRPr="00DD1E36">
        <w:rPr>
          <w:rFonts w:ascii="Times New Roman" w:hAnsi="Times New Roman" w:cs="Times New Roman"/>
          <w:lang w:val="en-US"/>
        </w:rPr>
        <w:t xml:space="preserve">. </w:t>
      </w:r>
    </w:p>
    <w:p w14:paraId="6B44C801" w14:textId="7448D198" w:rsidR="00DC50A4" w:rsidRDefault="009A6529" w:rsidP="00422BEF">
      <w:pPr>
        <w:spacing w:line="360" w:lineRule="auto"/>
        <w:ind w:firstLine="360"/>
        <w:jc w:val="both"/>
        <w:rPr>
          <w:rFonts w:ascii="Times New Roman" w:hAnsi="Times New Roman" w:cs="Times New Roman"/>
          <w:lang w:val="en-US"/>
        </w:rPr>
      </w:pPr>
      <w:r>
        <w:rPr>
          <w:rFonts w:ascii="Times New Roman" w:hAnsi="Times New Roman" w:cs="Times New Roman"/>
          <w:lang w:val="en-US"/>
        </w:rPr>
        <w:t>I</w:t>
      </w:r>
      <w:r w:rsidR="00121D10">
        <w:rPr>
          <w:rFonts w:ascii="Times New Roman" w:hAnsi="Times New Roman" w:cs="Times New Roman"/>
          <w:lang w:val="en-US"/>
        </w:rPr>
        <w:t>ntegrated reporting</w:t>
      </w:r>
      <w:r w:rsidR="005609D0">
        <w:rPr>
          <w:rFonts w:ascii="Times New Roman" w:hAnsi="Times New Roman" w:cs="Times New Roman"/>
          <w:lang w:val="en-US"/>
        </w:rPr>
        <w:t xml:space="preserve"> as a concept and practice was</w:t>
      </w:r>
      <w:r>
        <w:rPr>
          <w:rFonts w:ascii="Times New Roman" w:hAnsi="Times New Roman" w:cs="Times New Roman"/>
          <w:lang w:val="en-US"/>
        </w:rPr>
        <w:t>, however,</w:t>
      </w:r>
      <w:r w:rsidR="005609D0">
        <w:rPr>
          <w:rFonts w:ascii="Times New Roman" w:hAnsi="Times New Roman" w:cs="Times New Roman"/>
          <w:lang w:val="en-US"/>
        </w:rPr>
        <w:t xml:space="preserve"> not new</w:t>
      </w:r>
      <w:r w:rsidR="00AB2B8E">
        <w:rPr>
          <w:rFonts w:ascii="Times New Roman" w:hAnsi="Times New Roman" w:cs="Times New Roman"/>
          <w:lang w:val="en-US"/>
        </w:rPr>
        <w:t>. For example</w:t>
      </w:r>
      <w:r w:rsidR="005E1F3B">
        <w:rPr>
          <w:rFonts w:ascii="Times New Roman" w:hAnsi="Times New Roman" w:cs="Times New Roman"/>
          <w:lang w:val="en-US"/>
        </w:rPr>
        <w:t>,</w:t>
      </w:r>
      <w:r w:rsidR="00AB2B8E">
        <w:rPr>
          <w:rFonts w:ascii="Times New Roman" w:hAnsi="Times New Roman" w:cs="Times New Roman"/>
          <w:lang w:val="en-US"/>
        </w:rPr>
        <w:t xml:space="preserve"> Danish pharmaceutical multinational</w:t>
      </w:r>
      <w:r w:rsidR="005609D0">
        <w:rPr>
          <w:rFonts w:ascii="Times New Roman" w:hAnsi="Times New Roman" w:cs="Times New Roman"/>
          <w:lang w:val="en-US"/>
        </w:rPr>
        <w:t xml:space="preserve"> Novo Nor</w:t>
      </w:r>
      <w:r w:rsidR="00AB2B8E">
        <w:rPr>
          <w:rFonts w:ascii="Times New Roman" w:hAnsi="Times New Roman" w:cs="Times New Roman"/>
          <w:lang w:val="en-US"/>
        </w:rPr>
        <w:t>disk had been publishing what it called an annual integrated sustainability and financial report since 2004, having changed its Articles of Association to mandate such annual reporting</w:t>
      </w:r>
      <w:r w:rsidR="005A7EA1">
        <w:rPr>
          <w:rFonts w:ascii="Times New Roman" w:hAnsi="Times New Roman" w:cs="Times New Roman"/>
          <w:lang w:val="en-US"/>
        </w:rPr>
        <w:t xml:space="preserve"> (see, </w:t>
      </w:r>
      <w:proofErr w:type="spellStart"/>
      <w:r w:rsidR="005A7EA1">
        <w:rPr>
          <w:rFonts w:ascii="Times New Roman" w:hAnsi="Times New Roman" w:cs="Times New Roman"/>
          <w:lang w:val="en-US"/>
        </w:rPr>
        <w:t>Dey</w:t>
      </w:r>
      <w:proofErr w:type="spellEnd"/>
      <w:r w:rsidR="005A7EA1">
        <w:rPr>
          <w:rFonts w:ascii="Times New Roman" w:hAnsi="Times New Roman" w:cs="Times New Roman"/>
          <w:lang w:val="en-US"/>
        </w:rPr>
        <w:t xml:space="preserve"> and Burns, 2010)</w:t>
      </w:r>
      <w:r w:rsidR="00AB2B8E">
        <w:rPr>
          <w:rFonts w:ascii="Times New Roman" w:hAnsi="Times New Roman" w:cs="Times New Roman"/>
          <w:lang w:val="en-US"/>
        </w:rPr>
        <w:t>. In South Africa, since 2010</w:t>
      </w:r>
      <w:r w:rsidR="006B1F58">
        <w:rPr>
          <w:rFonts w:ascii="Times New Roman" w:hAnsi="Times New Roman" w:cs="Times New Roman"/>
          <w:lang w:val="en-US"/>
        </w:rPr>
        <w:t>,</w:t>
      </w:r>
      <w:r w:rsidR="00AB2B8E">
        <w:rPr>
          <w:rFonts w:ascii="Times New Roman" w:hAnsi="Times New Roman" w:cs="Times New Roman"/>
          <w:lang w:val="en-US"/>
        </w:rPr>
        <w:t xml:space="preserve"> corporations whose primary listing </w:t>
      </w:r>
      <w:r w:rsidR="00501F1F">
        <w:rPr>
          <w:rFonts w:ascii="Times New Roman" w:hAnsi="Times New Roman" w:cs="Times New Roman"/>
          <w:lang w:val="en-US"/>
        </w:rPr>
        <w:t>is o</w:t>
      </w:r>
      <w:r w:rsidR="00AB2B8E">
        <w:rPr>
          <w:rFonts w:ascii="Times New Roman" w:hAnsi="Times New Roman" w:cs="Times New Roman"/>
          <w:lang w:val="en-US"/>
        </w:rPr>
        <w:t xml:space="preserve">n the Johannesburg Stock Exchange have been required either to publish an annual integrated report </w:t>
      </w:r>
      <w:r w:rsidR="00501F1F">
        <w:rPr>
          <w:rFonts w:ascii="Times New Roman" w:hAnsi="Times New Roman" w:cs="Times New Roman"/>
          <w:lang w:val="en-US"/>
        </w:rPr>
        <w:t>or</w:t>
      </w:r>
      <w:r w:rsidR="00AB2B8E">
        <w:rPr>
          <w:rFonts w:ascii="Times New Roman" w:hAnsi="Times New Roman" w:cs="Times New Roman"/>
          <w:lang w:val="en-US"/>
        </w:rPr>
        <w:t xml:space="preserve"> explain why they have not done so</w:t>
      </w:r>
      <w:r w:rsidR="00AA4651">
        <w:rPr>
          <w:rFonts w:ascii="Times New Roman" w:hAnsi="Times New Roman" w:cs="Times New Roman"/>
          <w:lang w:val="en-US"/>
        </w:rPr>
        <w:t xml:space="preserve"> (see, ACCA, 2012)</w:t>
      </w:r>
      <w:r w:rsidR="00AB2B8E">
        <w:rPr>
          <w:rFonts w:ascii="Times New Roman" w:hAnsi="Times New Roman" w:cs="Times New Roman"/>
          <w:lang w:val="en-US"/>
        </w:rPr>
        <w:t xml:space="preserve">. These South African </w:t>
      </w:r>
      <w:r w:rsidR="00121D10">
        <w:rPr>
          <w:rFonts w:ascii="Times New Roman" w:hAnsi="Times New Roman" w:cs="Times New Roman"/>
          <w:lang w:val="en-US"/>
        </w:rPr>
        <w:t>integrated reporting</w:t>
      </w:r>
      <w:r w:rsidR="00AB2B8E">
        <w:rPr>
          <w:rFonts w:ascii="Times New Roman" w:hAnsi="Times New Roman" w:cs="Times New Roman"/>
          <w:lang w:val="en-US"/>
        </w:rPr>
        <w:t xml:space="preserve"> requirements are based on proposals</w:t>
      </w:r>
      <w:r w:rsidR="005A5945">
        <w:rPr>
          <w:rFonts w:ascii="Times New Roman" w:hAnsi="Times New Roman" w:cs="Times New Roman"/>
          <w:lang w:val="en-US"/>
        </w:rPr>
        <w:t xml:space="preserve"> for mandatory </w:t>
      </w:r>
      <w:r w:rsidR="00121D10">
        <w:rPr>
          <w:rFonts w:ascii="Times New Roman" w:hAnsi="Times New Roman" w:cs="Times New Roman"/>
          <w:lang w:val="en-US"/>
        </w:rPr>
        <w:t>integrated reporting</w:t>
      </w:r>
      <w:r w:rsidR="00AB2B8E">
        <w:rPr>
          <w:rFonts w:ascii="Times New Roman" w:hAnsi="Times New Roman" w:cs="Times New Roman"/>
          <w:lang w:val="en-US"/>
        </w:rPr>
        <w:t xml:space="preserve"> </w:t>
      </w:r>
      <w:r w:rsidR="005A5945">
        <w:rPr>
          <w:rFonts w:ascii="Times New Roman" w:hAnsi="Times New Roman" w:cs="Times New Roman"/>
          <w:lang w:val="en-US"/>
        </w:rPr>
        <w:t>in the September 2009 King Report on Governance</w:t>
      </w:r>
      <w:r w:rsidR="00501F1F">
        <w:rPr>
          <w:rFonts w:ascii="Times New Roman" w:hAnsi="Times New Roman" w:cs="Times New Roman"/>
          <w:lang w:val="en-US"/>
        </w:rPr>
        <w:t xml:space="preserve"> Principles</w:t>
      </w:r>
      <w:r w:rsidR="005A5945">
        <w:rPr>
          <w:rFonts w:ascii="Times New Roman" w:hAnsi="Times New Roman" w:cs="Times New Roman"/>
          <w:lang w:val="en-US"/>
        </w:rPr>
        <w:t xml:space="preserve"> for South Africa (commonly referred to as King III </w:t>
      </w:r>
      <w:r w:rsidR="00430621">
        <w:rPr>
          <w:rFonts w:ascii="Times New Roman" w:hAnsi="Times New Roman" w:cs="Times New Roman"/>
          <w:lang w:val="en-US"/>
        </w:rPr>
        <w:t xml:space="preserve">- </w:t>
      </w:r>
      <w:r w:rsidR="005A5945">
        <w:rPr>
          <w:rFonts w:ascii="Times New Roman" w:hAnsi="Times New Roman" w:cs="Times New Roman"/>
          <w:lang w:val="en-US"/>
        </w:rPr>
        <w:t>th</w:t>
      </w:r>
      <w:r w:rsidR="006B1F58">
        <w:rPr>
          <w:rFonts w:ascii="Times New Roman" w:hAnsi="Times New Roman" w:cs="Times New Roman"/>
          <w:lang w:val="en-US"/>
        </w:rPr>
        <w:t>e</w:t>
      </w:r>
      <w:r w:rsidR="005A5945">
        <w:rPr>
          <w:rFonts w:ascii="Times New Roman" w:hAnsi="Times New Roman" w:cs="Times New Roman"/>
          <w:lang w:val="en-US"/>
        </w:rPr>
        <w:t xml:space="preserve"> report </w:t>
      </w:r>
      <w:r w:rsidR="00430621">
        <w:rPr>
          <w:rFonts w:ascii="Times New Roman" w:hAnsi="Times New Roman" w:cs="Times New Roman"/>
          <w:lang w:val="en-US"/>
        </w:rPr>
        <w:t>being</w:t>
      </w:r>
      <w:r w:rsidR="005A5945">
        <w:rPr>
          <w:rFonts w:ascii="Times New Roman" w:hAnsi="Times New Roman" w:cs="Times New Roman"/>
          <w:lang w:val="en-US"/>
        </w:rPr>
        <w:t xml:space="preserve"> the third in a series of corporate governance reports in South Africa produced by the King Committee, chaired by Judge Professor Mervyn King), which themselves derive in part from </w:t>
      </w:r>
      <w:r w:rsidR="00501F1F">
        <w:rPr>
          <w:rFonts w:ascii="Times New Roman" w:hAnsi="Times New Roman" w:cs="Times New Roman"/>
          <w:lang w:val="en-US"/>
        </w:rPr>
        <w:t xml:space="preserve">recommendations on </w:t>
      </w:r>
      <w:r w:rsidR="00121D10">
        <w:rPr>
          <w:rFonts w:ascii="Times New Roman" w:hAnsi="Times New Roman" w:cs="Times New Roman"/>
          <w:lang w:val="en-US"/>
        </w:rPr>
        <w:t>integrated reporting</w:t>
      </w:r>
      <w:r w:rsidR="00501F1F">
        <w:rPr>
          <w:rFonts w:ascii="Times New Roman" w:hAnsi="Times New Roman" w:cs="Times New Roman"/>
          <w:lang w:val="en-US"/>
        </w:rPr>
        <w:t xml:space="preserve"> in the preceding 2002 King Report on Corporate Governance for South Africa (commonly referred to as King II)</w:t>
      </w:r>
      <w:r w:rsidR="000A00B6">
        <w:rPr>
          <w:rFonts w:ascii="Times New Roman" w:hAnsi="Times New Roman" w:cs="Times New Roman"/>
          <w:lang w:val="en-US"/>
        </w:rPr>
        <w:t xml:space="preserve"> (see also, Owen</w:t>
      </w:r>
      <w:r w:rsidR="003E547C">
        <w:rPr>
          <w:rFonts w:ascii="Times New Roman" w:hAnsi="Times New Roman" w:cs="Times New Roman"/>
          <w:lang w:val="en-US"/>
        </w:rPr>
        <w:t>,</w:t>
      </w:r>
      <w:r w:rsidR="000A00B6">
        <w:rPr>
          <w:rFonts w:ascii="Times New Roman" w:hAnsi="Times New Roman" w:cs="Times New Roman"/>
          <w:lang w:val="en-US"/>
        </w:rPr>
        <w:t xml:space="preserve"> 2013: 348-349)</w:t>
      </w:r>
      <w:r w:rsidR="00A650DC">
        <w:rPr>
          <w:rFonts w:ascii="Times New Roman" w:hAnsi="Times New Roman" w:cs="Times New Roman"/>
          <w:lang w:val="en-US"/>
        </w:rPr>
        <w:t>.</w:t>
      </w:r>
      <w:r w:rsidR="005E1F3B">
        <w:rPr>
          <w:rStyle w:val="FootnoteReference"/>
          <w:rFonts w:ascii="Times New Roman" w:hAnsi="Times New Roman" w:cs="Times New Roman"/>
          <w:lang w:val="en-US"/>
        </w:rPr>
        <w:footnoteReference w:id="7"/>
      </w:r>
      <w:r w:rsidR="00A650DC">
        <w:rPr>
          <w:rFonts w:ascii="Times New Roman" w:hAnsi="Times New Roman" w:cs="Times New Roman"/>
          <w:lang w:val="en-US"/>
        </w:rPr>
        <w:t xml:space="preserve"> </w:t>
      </w:r>
      <w:r w:rsidR="00BA0518">
        <w:rPr>
          <w:rStyle w:val="FootnoteReference"/>
          <w:rFonts w:ascii="Times New Roman" w:hAnsi="Times New Roman" w:cs="Times New Roman"/>
          <w:lang w:val="en-US"/>
        </w:rPr>
        <w:footnoteReference w:id="8"/>
      </w:r>
      <w:r w:rsidR="00501F1F">
        <w:rPr>
          <w:rFonts w:ascii="Times New Roman" w:hAnsi="Times New Roman" w:cs="Times New Roman"/>
          <w:lang w:val="en-US"/>
        </w:rPr>
        <w:t xml:space="preserve"> </w:t>
      </w:r>
    </w:p>
    <w:p w14:paraId="381D981D" w14:textId="5A7EEB22" w:rsidR="00F3255E" w:rsidRDefault="00B80680" w:rsidP="004E3488">
      <w:pPr>
        <w:spacing w:line="360" w:lineRule="auto"/>
        <w:ind w:firstLine="360"/>
        <w:jc w:val="both"/>
        <w:rPr>
          <w:rFonts w:ascii="Times New Roman" w:hAnsi="Times New Roman" w:cs="Times New Roman"/>
          <w:lang w:val="en-US"/>
        </w:rPr>
      </w:pPr>
      <w:r>
        <w:rPr>
          <w:rFonts w:ascii="Times New Roman" w:hAnsi="Times New Roman" w:cs="Times New Roman"/>
          <w:lang w:val="en-US"/>
        </w:rPr>
        <w:t>A</w:t>
      </w:r>
      <w:r w:rsidR="00AB2B8E">
        <w:rPr>
          <w:rFonts w:ascii="Times New Roman" w:hAnsi="Times New Roman" w:cs="Times New Roman"/>
          <w:lang w:val="en-US"/>
        </w:rPr>
        <w:t xml:space="preserve"> key difference between these earlier developed forms of </w:t>
      </w:r>
      <w:r w:rsidR="00121D10">
        <w:rPr>
          <w:rFonts w:ascii="Times New Roman" w:hAnsi="Times New Roman" w:cs="Times New Roman"/>
          <w:lang w:val="en-US"/>
        </w:rPr>
        <w:t>integrated reporting</w:t>
      </w:r>
      <w:r w:rsidR="00AB2B8E">
        <w:rPr>
          <w:rFonts w:ascii="Times New Roman" w:hAnsi="Times New Roman" w:cs="Times New Roman"/>
          <w:lang w:val="en-US"/>
        </w:rPr>
        <w:t xml:space="preserve"> and the </w:t>
      </w:r>
      <w:r w:rsidR="006B1F58">
        <w:rPr>
          <w:rFonts w:ascii="Times New Roman" w:hAnsi="Times New Roman" w:cs="Times New Roman"/>
          <w:lang w:val="en-US"/>
        </w:rPr>
        <w:t xml:space="preserve">work of the </w:t>
      </w:r>
      <w:r w:rsidR="00AB2B8E">
        <w:rPr>
          <w:rFonts w:ascii="Times New Roman" w:hAnsi="Times New Roman" w:cs="Times New Roman"/>
          <w:lang w:val="en-US"/>
        </w:rPr>
        <w:t xml:space="preserve">IIRC </w:t>
      </w:r>
      <w:r w:rsidR="00E909F4">
        <w:rPr>
          <w:rFonts w:ascii="Times New Roman" w:hAnsi="Times New Roman" w:cs="Times New Roman"/>
          <w:lang w:val="en-US"/>
        </w:rPr>
        <w:t>wa</w:t>
      </w:r>
      <w:r w:rsidR="00AB2B8E">
        <w:rPr>
          <w:rFonts w:ascii="Times New Roman" w:hAnsi="Times New Roman" w:cs="Times New Roman"/>
          <w:lang w:val="en-US"/>
        </w:rPr>
        <w:t xml:space="preserve">s the </w:t>
      </w:r>
      <w:r w:rsidR="006B1F58">
        <w:rPr>
          <w:rFonts w:ascii="Times New Roman" w:hAnsi="Times New Roman" w:cs="Times New Roman"/>
          <w:lang w:val="en-US"/>
        </w:rPr>
        <w:t xml:space="preserve">latter’s </w:t>
      </w:r>
      <w:r w:rsidR="00AB2B8E">
        <w:rPr>
          <w:rFonts w:ascii="Times New Roman" w:hAnsi="Times New Roman" w:cs="Times New Roman"/>
          <w:lang w:val="en-US"/>
        </w:rPr>
        <w:t>global ambitions and reach.</w:t>
      </w:r>
      <w:r w:rsidR="00DC50A4">
        <w:rPr>
          <w:rFonts w:ascii="Times New Roman" w:hAnsi="Times New Roman" w:cs="Times New Roman"/>
          <w:lang w:val="en-US"/>
        </w:rPr>
        <w:t xml:space="preserve"> </w:t>
      </w:r>
      <w:r>
        <w:rPr>
          <w:rFonts w:ascii="Times New Roman" w:hAnsi="Times New Roman" w:cs="Times New Roman"/>
          <w:lang w:val="en-US"/>
        </w:rPr>
        <w:t xml:space="preserve">When the IIRC was launched in 2010, </w:t>
      </w:r>
      <w:r w:rsidR="009A6B17">
        <w:rPr>
          <w:rFonts w:ascii="Times New Roman" w:hAnsi="Times New Roman" w:cs="Times New Roman"/>
          <w:lang w:val="en-US"/>
        </w:rPr>
        <w:t xml:space="preserve">it was overseen by a </w:t>
      </w:r>
      <w:r w:rsidR="00430621">
        <w:rPr>
          <w:rFonts w:ascii="Times New Roman" w:hAnsi="Times New Roman" w:cs="Times New Roman"/>
          <w:lang w:val="en-US"/>
        </w:rPr>
        <w:t>thirty</w:t>
      </w:r>
      <w:r w:rsidR="00DE1110">
        <w:rPr>
          <w:rFonts w:ascii="Times New Roman" w:hAnsi="Times New Roman" w:cs="Times New Roman"/>
          <w:lang w:val="en-US"/>
        </w:rPr>
        <w:t>-</w:t>
      </w:r>
      <w:r w:rsidR="00430621">
        <w:rPr>
          <w:rFonts w:ascii="Times New Roman" w:hAnsi="Times New Roman" w:cs="Times New Roman"/>
          <w:lang w:val="en-US"/>
        </w:rPr>
        <w:t xml:space="preserve">three </w:t>
      </w:r>
      <w:r w:rsidR="009A6B17" w:rsidRPr="00DD1E36">
        <w:rPr>
          <w:rFonts w:ascii="Times New Roman" w:hAnsi="Times New Roman" w:cs="Times New Roman"/>
          <w:lang w:val="en-US"/>
        </w:rPr>
        <w:t xml:space="preserve">member steering group </w:t>
      </w:r>
      <w:r w:rsidR="009A6B17">
        <w:rPr>
          <w:rFonts w:ascii="Times New Roman" w:hAnsi="Times New Roman" w:cs="Times New Roman"/>
          <w:lang w:val="en-US"/>
        </w:rPr>
        <w:t>chaired by Sir Michael Peat (a former partner at KPMG</w:t>
      </w:r>
      <w:r w:rsidR="00807DC0">
        <w:rPr>
          <w:rFonts w:ascii="Times New Roman" w:hAnsi="Times New Roman" w:cs="Times New Roman"/>
          <w:lang w:val="en-US"/>
        </w:rPr>
        <w:t xml:space="preserve"> – and whose family formed the P in KPMG –</w:t>
      </w:r>
      <w:r w:rsidR="009A6B17">
        <w:rPr>
          <w:rFonts w:ascii="Times New Roman" w:hAnsi="Times New Roman" w:cs="Times New Roman"/>
          <w:lang w:val="en-US"/>
        </w:rPr>
        <w:t xml:space="preserve"> and at the time Principal Private Secretary to the Prince of Wales and Duchess of Cornwall) with Professor Mervyn King (who also chaired both the </w:t>
      </w:r>
      <w:r w:rsidR="009A6B17">
        <w:rPr>
          <w:rFonts w:ascii="Times New Roman" w:hAnsi="Times New Roman" w:cs="Times New Roman"/>
          <w:lang w:val="en-US"/>
        </w:rPr>
        <w:lastRenderedPageBreak/>
        <w:t>South African King Committee on Corporate Governance and the</w:t>
      </w:r>
      <w:r w:rsidR="00BB70BE">
        <w:rPr>
          <w:rFonts w:ascii="Times New Roman" w:hAnsi="Times New Roman" w:cs="Times New Roman"/>
          <w:lang w:val="en-US"/>
        </w:rPr>
        <w:t xml:space="preserve"> GRI</w:t>
      </w:r>
      <w:r w:rsidR="009A6B17">
        <w:rPr>
          <w:rFonts w:ascii="Times New Roman" w:hAnsi="Times New Roman" w:cs="Times New Roman"/>
          <w:lang w:val="en-US"/>
        </w:rPr>
        <w:t>) as Deputy Chair. A</w:t>
      </w:r>
      <w:r w:rsidR="00422BEF" w:rsidRPr="00DD1E36">
        <w:rPr>
          <w:rFonts w:ascii="Times New Roman" w:hAnsi="Times New Roman" w:cs="Times New Roman"/>
          <w:lang w:val="en-US"/>
        </w:rPr>
        <w:t xml:space="preserve"> </w:t>
      </w:r>
      <w:r w:rsidR="00430621">
        <w:rPr>
          <w:rFonts w:ascii="Times New Roman" w:hAnsi="Times New Roman" w:cs="Times New Roman"/>
          <w:lang w:val="en-US"/>
        </w:rPr>
        <w:t xml:space="preserve">twenty </w:t>
      </w:r>
      <w:r w:rsidR="00422BEF" w:rsidRPr="00DD1E36">
        <w:rPr>
          <w:rFonts w:ascii="Times New Roman" w:hAnsi="Times New Roman" w:cs="Times New Roman"/>
          <w:lang w:val="en-US"/>
        </w:rPr>
        <w:t xml:space="preserve">member </w:t>
      </w:r>
      <w:r w:rsidR="005609D0">
        <w:rPr>
          <w:rFonts w:ascii="Times New Roman" w:hAnsi="Times New Roman" w:cs="Times New Roman"/>
          <w:lang w:val="en-US"/>
        </w:rPr>
        <w:t xml:space="preserve">IIRC </w:t>
      </w:r>
      <w:r w:rsidR="00422BEF" w:rsidRPr="00DD1E36">
        <w:rPr>
          <w:rFonts w:ascii="Times New Roman" w:hAnsi="Times New Roman" w:cs="Times New Roman"/>
          <w:lang w:val="en-US"/>
        </w:rPr>
        <w:t xml:space="preserve">working group was </w:t>
      </w:r>
      <w:r w:rsidR="009A6B17">
        <w:rPr>
          <w:rFonts w:ascii="Times New Roman" w:hAnsi="Times New Roman" w:cs="Times New Roman"/>
          <w:lang w:val="en-US"/>
        </w:rPr>
        <w:t xml:space="preserve">also </w:t>
      </w:r>
      <w:r w:rsidR="00C90DAB">
        <w:rPr>
          <w:rFonts w:ascii="Times New Roman" w:hAnsi="Times New Roman" w:cs="Times New Roman"/>
          <w:lang w:val="en-US"/>
        </w:rPr>
        <w:t>established</w:t>
      </w:r>
      <w:r w:rsidR="00C90DAB" w:rsidRPr="00DD1E36">
        <w:rPr>
          <w:rFonts w:ascii="Times New Roman" w:hAnsi="Times New Roman" w:cs="Times New Roman"/>
          <w:lang w:val="en-US"/>
        </w:rPr>
        <w:t xml:space="preserve"> </w:t>
      </w:r>
      <w:r w:rsidR="00C90DAB">
        <w:rPr>
          <w:rFonts w:ascii="Times New Roman" w:hAnsi="Times New Roman" w:cs="Times New Roman"/>
          <w:lang w:val="en-US"/>
        </w:rPr>
        <w:t>and included</w:t>
      </w:r>
      <w:r w:rsidR="00C90DAB" w:rsidRPr="00DD1E36">
        <w:rPr>
          <w:rFonts w:ascii="Times New Roman" w:hAnsi="Times New Roman" w:cs="Times New Roman"/>
          <w:lang w:val="en-US"/>
        </w:rPr>
        <w:t xml:space="preserve"> </w:t>
      </w:r>
      <w:r w:rsidR="00422BEF" w:rsidRPr="00DD1E36">
        <w:rPr>
          <w:rFonts w:ascii="Times New Roman" w:hAnsi="Times New Roman" w:cs="Times New Roman"/>
          <w:lang w:val="en-US"/>
        </w:rPr>
        <w:t>nine individuals directly linked to the accounting profession</w:t>
      </w:r>
      <w:r w:rsidR="00C90DAB">
        <w:rPr>
          <w:rFonts w:ascii="Times New Roman" w:hAnsi="Times New Roman" w:cs="Times New Roman"/>
          <w:lang w:val="en-US"/>
        </w:rPr>
        <w:t>. It was</w:t>
      </w:r>
      <w:r w:rsidR="00422BEF" w:rsidRPr="00DD1E36">
        <w:rPr>
          <w:rFonts w:ascii="Times New Roman" w:hAnsi="Times New Roman" w:cs="Times New Roman"/>
          <w:lang w:val="en-US"/>
        </w:rPr>
        <w:t xml:space="preserve"> co-chaired b</w:t>
      </w:r>
      <w:r w:rsidR="00967CE6">
        <w:rPr>
          <w:rFonts w:ascii="Times New Roman" w:hAnsi="Times New Roman" w:cs="Times New Roman"/>
          <w:lang w:val="en-US"/>
        </w:rPr>
        <w:t>y Ian Ball,</w:t>
      </w:r>
      <w:r w:rsidR="00422BEF" w:rsidRPr="00DD1E36">
        <w:rPr>
          <w:rFonts w:ascii="Times New Roman" w:hAnsi="Times New Roman" w:cs="Times New Roman"/>
          <w:lang w:val="en-US"/>
        </w:rPr>
        <w:t xml:space="preserve"> the </w:t>
      </w:r>
      <w:r w:rsidR="006E2AA6">
        <w:rPr>
          <w:rFonts w:ascii="Times New Roman" w:hAnsi="Times New Roman" w:cs="Times New Roman"/>
          <w:lang w:val="en-US"/>
        </w:rPr>
        <w:t xml:space="preserve">then </w:t>
      </w:r>
      <w:r w:rsidR="00422BEF" w:rsidRPr="00DD1E36">
        <w:rPr>
          <w:rFonts w:ascii="Times New Roman" w:hAnsi="Times New Roman" w:cs="Times New Roman"/>
          <w:lang w:val="en-US"/>
        </w:rPr>
        <w:t>CEO o</w:t>
      </w:r>
      <w:r w:rsidR="00967CE6">
        <w:rPr>
          <w:rFonts w:ascii="Times New Roman" w:hAnsi="Times New Roman" w:cs="Times New Roman"/>
          <w:lang w:val="en-US"/>
        </w:rPr>
        <w:t xml:space="preserve">f IFAC and Paul </w:t>
      </w:r>
      <w:proofErr w:type="spellStart"/>
      <w:r w:rsidR="00967CE6">
        <w:rPr>
          <w:rFonts w:ascii="Times New Roman" w:hAnsi="Times New Roman" w:cs="Times New Roman"/>
          <w:lang w:val="en-US"/>
        </w:rPr>
        <w:t>Druckman</w:t>
      </w:r>
      <w:proofErr w:type="spellEnd"/>
      <w:r w:rsidR="00967CE6">
        <w:rPr>
          <w:rFonts w:ascii="Times New Roman" w:hAnsi="Times New Roman" w:cs="Times New Roman"/>
          <w:lang w:val="en-US"/>
        </w:rPr>
        <w:t>, ex-President</w:t>
      </w:r>
      <w:r w:rsidR="00422BEF" w:rsidRPr="00DD1E36">
        <w:rPr>
          <w:rFonts w:ascii="Times New Roman" w:hAnsi="Times New Roman" w:cs="Times New Roman"/>
          <w:lang w:val="en-US"/>
        </w:rPr>
        <w:t xml:space="preserve"> of the ICAEW and </w:t>
      </w:r>
      <w:r w:rsidR="009A6529">
        <w:rPr>
          <w:rFonts w:ascii="Times New Roman" w:hAnsi="Times New Roman" w:cs="Times New Roman"/>
          <w:lang w:val="en-US"/>
        </w:rPr>
        <w:t xml:space="preserve">the then </w:t>
      </w:r>
      <w:r w:rsidR="00422BEF" w:rsidRPr="009C19FE">
        <w:rPr>
          <w:rFonts w:ascii="Times New Roman" w:hAnsi="Times New Roman" w:cs="Times New Roman"/>
          <w:lang w:val="en-US"/>
        </w:rPr>
        <w:t xml:space="preserve">Chair of </w:t>
      </w:r>
      <w:r w:rsidR="00F3255E">
        <w:rPr>
          <w:rFonts w:ascii="Times New Roman" w:hAnsi="Times New Roman" w:cs="Times New Roman"/>
          <w:lang w:val="en-US"/>
        </w:rPr>
        <w:t>t</w:t>
      </w:r>
      <w:r w:rsidR="00F478C4">
        <w:rPr>
          <w:rFonts w:ascii="Times New Roman" w:hAnsi="Times New Roman" w:cs="Times New Roman"/>
          <w:lang w:val="en-US"/>
        </w:rPr>
        <w:t>he Prince’s Accounting for Sustainability Project</w:t>
      </w:r>
      <w:r w:rsidR="00422BEF" w:rsidRPr="009C19FE">
        <w:rPr>
          <w:rFonts w:ascii="Times New Roman" w:hAnsi="Times New Roman" w:cs="Times New Roman"/>
          <w:lang w:val="en-US"/>
        </w:rPr>
        <w:t>.</w:t>
      </w:r>
      <w:r w:rsidR="00422BEF" w:rsidRPr="00DD1E36">
        <w:rPr>
          <w:rFonts w:ascii="Times New Roman" w:hAnsi="Times New Roman" w:cs="Times New Roman"/>
          <w:lang w:val="en-US"/>
        </w:rPr>
        <w:t xml:space="preserve"> </w:t>
      </w:r>
    </w:p>
    <w:p w14:paraId="7ED4FA50" w14:textId="50CC10DF" w:rsidR="00562427" w:rsidRDefault="00422BEF" w:rsidP="00686181">
      <w:pPr>
        <w:spacing w:line="360" w:lineRule="auto"/>
        <w:ind w:firstLine="360"/>
        <w:jc w:val="both"/>
        <w:rPr>
          <w:rFonts w:ascii="Times New Roman" w:hAnsi="Times New Roman" w:cs="Times New Roman"/>
          <w:lang w:val="en-US"/>
        </w:rPr>
      </w:pPr>
      <w:r w:rsidRPr="00DD1E36">
        <w:rPr>
          <w:rFonts w:ascii="Times New Roman" w:hAnsi="Times New Roman" w:cs="Times New Roman"/>
          <w:lang w:val="en-US"/>
        </w:rPr>
        <w:t>The IIRC’s initial documentation promoted itself as ‘a coalition with clout’ reflecting the ‘right balance’ of powerful stakeholders</w:t>
      </w:r>
      <w:r w:rsidR="00753A74">
        <w:rPr>
          <w:rFonts w:ascii="Times New Roman" w:hAnsi="Times New Roman" w:cs="Times New Roman"/>
          <w:lang w:val="en-US"/>
        </w:rPr>
        <w:t>,</w:t>
      </w:r>
      <w:r>
        <w:rPr>
          <w:rFonts w:ascii="Times New Roman" w:hAnsi="Times New Roman" w:cs="Times New Roman"/>
          <w:lang w:val="en-US"/>
        </w:rPr>
        <w:t xml:space="preserve"> and it immediately launched a campaign to spread </w:t>
      </w:r>
      <w:r w:rsidR="00065179">
        <w:rPr>
          <w:rFonts w:ascii="Times New Roman" w:hAnsi="Times New Roman" w:cs="Times New Roman"/>
          <w:lang w:val="en-US"/>
        </w:rPr>
        <w:t xml:space="preserve">its </w:t>
      </w:r>
      <w:r w:rsidR="00F3255E">
        <w:rPr>
          <w:rFonts w:ascii="Times New Roman" w:hAnsi="Times New Roman" w:cs="Times New Roman"/>
          <w:lang w:val="en-US"/>
        </w:rPr>
        <w:t>i</w:t>
      </w:r>
      <w:r>
        <w:rPr>
          <w:rFonts w:ascii="Times New Roman" w:hAnsi="Times New Roman" w:cs="Times New Roman"/>
          <w:lang w:val="en-US"/>
        </w:rPr>
        <w:t xml:space="preserve">ntegrated </w:t>
      </w:r>
      <w:r w:rsidR="00F3255E">
        <w:rPr>
          <w:rFonts w:ascii="Times New Roman" w:hAnsi="Times New Roman" w:cs="Times New Roman"/>
          <w:lang w:val="en-US"/>
        </w:rPr>
        <w:t>r</w:t>
      </w:r>
      <w:r>
        <w:rPr>
          <w:rFonts w:ascii="Times New Roman" w:hAnsi="Times New Roman" w:cs="Times New Roman"/>
          <w:lang w:val="en-US"/>
        </w:rPr>
        <w:t>eporting</w:t>
      </w:r>
      <w:r w:rsidRPr="00DD1E36">
        <w:rPr>
          <w:rFonts w:ascii="Times New Roman" w:hAnsi="Times New Roman" w:cs="Times New Roman"/>
          <w:lang w:val="en-US"/>
        </w:rPr>
        <w:t xml:space="preserve"> message with the aim of creating an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framework proposal in time for the November 2011 G20 meeting.</w:t>
      </w:r>
    </w:p>
    <w:p w14:paraId="70C53233" w14:textId="3FB01CA5" w:rsidR="00422BEF" w:rsidRPr="005E7227" w:rsidRDefault="006204BB" w:rsidP="00422BEF">
      <w:pPr>
        <w:spacing w:line="360" w:lineRule="auto"/>
        <w:jc w:val="both"/>
        <w:rPr>
          <w:rFonts w:ascii="Times New Roman" w:hAnsi="Times New Roman" w:cs="Times New Roman"/>
          <w:b/>
          <w:i/>
          <w:lang w:val="en-US"/>
        </w:rPr>
      </w:pPr>
      <w:r w:rsidRPr="005E7227">
        <w:rPr>
          <w:rFonts w:ascii="Times New Roman" w:hAnsi="Times New Roman" w:cs="Times New Roman"/>
          <w:b/>
          <w:i/>
          <w:lang w:val="en-US"/>
        </w:rPr>
        <w:t>4.2</w:t>
      </w:r>
      <w:r w:rsidRPr="005E7227">
        <w:rPr>
          <w:rFonts w:ascii="Times New Roman" w:hAnsi="Times New Roman" w:cs="Times New Roman"/>
          <w:b/>
          <w:i/>
          <w:lang w:val="en-US"/>
        </w:rPr>
        <w:tab/>
      </w:r>
      <w:r w:rsidR="00422BEF" w:rsidRPr="005E7227">
        <w:rPr>
          <w:rFonts w:ascii="Times New Roman" w:hAnsi="Times New Roman" w:cs="Times New Roman"/>
          <w:b/>
          <w:i/>
          <w:lang w:val="en-US"/>
        </w:rPr>
        <w:t xml:space="preserve">Articulating the ‘problem(s)’ and specifying the </w:t>
      </w:r>
      <w:r w:rsidR="00121D10">
        <w:rPr>
          <w:rFonts w:ascii="Times New Roman" w:hAnsi="Times New Roman" w:cs="Times New Roman"/>
          <w:b/>
          <w:i/>
          <w:lang w:val="en-US"/>
        </w:rPr>
        <w:t>integrated reporting</w:t>
      </w:r>
      <w:r w:rsidR="00A51C46">
        <w:rPr>
          <w:rFonts w:ascii="Times New Roman" w:hAnsi="Times New Roman" w:cs="Times New Roman"/>
          <w:b/>
          <w:i/>
          <w:lang w:val="en-US"/>
        </w:rPr>
        <w:t xml:space="preserve"> </w:t>
      </w:r>
      <w:r w:rsidR="00422BEF" w:rsidRPr="005E7227">
        <w:rPr>
          <w:rFonts w:ascii="Times New Roman" w:hAnsi="Times New Roman" w:cs="Times New Roman"/>
          <w:b/>
          <w:i/>
          <w:lang w:val="en-US"/>
        </w:rPr>
        <w:t xml:space="preserve">solution </w:t>
      </w:r>
    </w:p>
    <w:p w14:paraId="5823C7C3" w14:textId="73BAE2AA" w:rsidR="00422BEF" w:rsidRPr="005E7227" w:rsidRDefault="006204BB" w:rsidP="004E3488">
      <w:pPr>
        <w:spacing w:line="360" w:lineRule="auto"/>
        <w:ind w:left="708" w:hanging="708"/>
        <w:jc w:val="both"/>
        <w:rPr>
          <w:rFonts w:ascii="Times New Roman" w:hAnsi="Times New Roman" w:cs="Times New Roman"/>
          <w:i/>
          <w:lang w:val="en-US"/>
        </w:rPr>
      </w:pPr>
      <w:r w:rsidRPr="006204BB">
        <w:rPr>
          <w:rFonts w:ascii="Times New Roman" w:hAnsi="Times New Roman" w:cs="Times New Roman"/>
          <w:i/>
          <w:lang w:val="en-US"/>
        </w:rPr>
        <w:t>4.2.</w:t>
      </w:r>
      <w:r>
        <w:rPr>
          <w:rFonts w:ascii="Times New Roman" w:hAnsi="Times New Roman" w:cs="Times New Roman"/>
          <w:i/>
          <w:lang w:val="en-US"/>
        </w:rPr>
        <w:t>1</w:t>
      </w:r>
      <w:r w:rsidRPr="005E7227">
        <w:rPr>
          <w:rFonts w:ascii="Times New Roman" w:hAnsi="Times New Roman" w:cs="Times New Roman"/>
          <w:i/>
          <w:lang w:val="en-US"/>
        </w:rPr>
        <w:tab/>
      </w:r>
      <w:r w:rsidR="00B30045">
        <w:rPr>
          <w:rFonts w:ascii="Times New Roman" w:hAnsi="Times New Roman" w:cs="Times New Roman"/>
          <w:i/>
          <w:lang w:val="en-US"/>
        </w:rPr>
        <w:t xml:space="preserve">Seeking ‘contrast cases’ - </w:t>
      </w:r>
      <w:r w:rsidR="00422BEF" w:rsidRPr="005E7227">
        <w:rPr>
          <w:rFonts w:ascii="Times New Roman" w:hAnsi="Times New Roman" w:cs="Times New Roman"/>
          <w:i/>
          <w:lang w:val="en-US"/>
        </w:rPr>
        <w:t>Mobil</w:t>
      </w:r>
      <w:r w:rsidR="00575700" w:rsidRPr="005E7227">
        <w:rPr>
          <w:rFonts w:ascii="Times New Roman" w:hAnsi="Times New Roman" w:cs="Times New Roman"/>
          <w:i/>
          <w:lang w:val="en-US"/>
        </w:rPr>
        <w:t>izin</w:t>
      </w:r>
      <w:r w:rsidR="00422BEF" w:rsidRPr="005E7227">
        <w:rPr>
          <w:rFonts w:ascii="Times New Roman" w:hAnsi="Times New Roman" w:cs="Times New Roman"/>
          <w:i/>
          <w:lang w:val="en-US"/>
        </w:rPr>
        <w:t xml:space="preserve">g universal themes </w:t>
      </w:r>
      <w:r w:rsidR="00B30045">
        <w:rPr>
          <w:rFonts w:ascii="Times New Roman" w:hAnsi="Times New Roman" w:cs="Times New Roman"/>
          <w:i/>
          <w:lang w:val="en-US"/>
        </w:rPr>
        <w:t>to distinguish</w:t>
      </w:r>
      <w:r w:rsidR="00A51C46">
        <w:rPr>
          <w:rFonts w:ascii="Times New Roman" w:hAnsi="Times New Roman" w:cs="Times New Roman"/>
          <w:i/>
          <w:lang w:val="en-US"/>
        </w:rPr>
        <w:t xml:space="preserve"> and prioriti</w:t>
      </w:r>
      <w:r w:rsidR="00BB70BE">
        <w:rPr>
          <w:rFonts w:ascii="Times New Roman" w:hAnsi="Times New Roman" w:cs="Times New Roman"/>
          <w:i/>
          <w:lang w:val="en-US"/>
        </w:rPr>
        <w:t>z</w:t>
      </w:r>
      <w:r w:rsidR="00A51C46">
        <w:rPr>
          <w:rFonts w:ascii="Times New Roman" w:hAnsi="Times New Roman" w:cs="Times New Roman"/>
          <w:i/>
          <w:lang w:val="en-US"/>
        </w:rPr>
        <w:t xml:space="preserve">e </w:t>
      </w:r>
      <w:r w:rsidR="00121D10">
        <w:rPr>
          <w:rFonts w:ascii="Times New Roman" w:hAnsi="Times New Roman" w:cs="Times New Roman"/>
          <w:i/>
          <w:lang w:val="en-US"/>
        </w:rPr>
        <w:t>integrated reporting</w:t>
      </w:r>
      <w:r w:rsidR="00A51C46">
        <w:rPr>
          <w:rFonts w:ascii="Times New Roman" w:hAnsi="Times New Roman" w:cs="Times New Roman"/>
          <w:i/>
          <w:lang w:val="en-US"/>
        </w:rPr>
        <w:t xml:space="preserve"> </w:t>
      </w:r>
      <w:r w:rsidR="00C80B0A">
        <w:rPr>
          <w:rFonts w:ascii="Times New Roman" w:hAnsi="Times New Roman" w:cs="Times New Roman"/>
          <w:i/>
          <w:lang w:val="en-US"/>
        </w:rPr>
        <w:t>within the corporate reporting field</w:t>
      </w:r>
    </w:p>
    <w:p w14:paraId="05663601" w14:textId="354AE131" w:rsidR="00487E9C" w:rsidRPr="00686181" w:rsidRDefault="00396421" w:rsidP="00686181">
      <w:pPr>
        <w:autoSpaceDE w:val="0"/>
        <w:autoSpaceDN w:val="0"/>
        <w:adjustRightInd w:val="0"/>
        <w:spacing w:after="0" w:line="360" w:lineRule="auto"/>
        <w:ind w:firstLine="708"/>
        <w:jc w:val="both"/>
        <w:rPr>
          <w:rFonts w:ascii="Times New Roman" w:hAnsi="Times New Roman" w:cs="Times New Roman"/>
          <w:lang w:val="en-GB"/>
        </w:rPr>
      </w:pPr>
      <w:r>
        <w:rPr>
          <w:rFonts w:ascii="Times New Roman" w:hAnsi="Times New Roman" w:cs="Times New Roman"/>
          <w:lang w:val="en-US"/>
        </w:rPr>
        <w:t xml:space="preserve">Within the above </w:t>
      </w:r>
      <w:r w:rsidR="00FD0ABB">
        <w:rPr>
          <w:rFonts w:ascii="Times New Roman" w:hAnsi="Times New Roman" w:cs="Times New Roman"/>
          <w:lang w:val="en-US"/>
        </w:rPr>
        <w:t>mobiliz</w:t>
      </w:r>
      <w:r w:rsidR="00794753">
        <w:rPr>
          <w:rFonts w:ascii="Times New Roman" w:hAnsi="Times New Roman" w:cs="Times New Roman"/>
          <w:lang w:val="en-US"/>
        </w:rPr>
        <w:t>ation</w:t>
      </w:r>
      <w:r>
        <w:rPr>
          <w:rFonts w:ascii="Times New Roman" w:hAnsi="Times New Roman" w:cs="Times New Roman"/>
          <w:lang w:val="en-US"/>
        </w:rPr>
        <w:t xml:space="preserve"> of influential figures, t</w:t>
      </w:r>
      <w:r w:rsidR="00422BEF" w:rsidRPr="00DD1E36">
        <w:rPr>
          <w:rFonts w:ascii="Times New Roman" w:hAnsi="Times New Roman" w:cs="Times New Roman"/>
          <w:lang w:val="en-US"/>
        </w:rPr>
        <w:t xml:space="preserve">he initial rhetoric </w:t>
      </w:r>
      <w:r w:rsidR="003E7CD1">
        <w:rPr>
          <w:rFonts w:ascii="Times New Roman" w:hAnsi="Times New Roman" w:cs="Times New Roman"/>
          <w:lang w:val="en-US"/>
        </w:rPr>
        <w:t>enrol</w:t>
      </w:r>
      <w:r w:rsidR="00EC132D">
        <w:rPr>
          <w:rFonts w:ascii="Times New Roman" w:hAnsi="Times New Roman" w:cs="Times New Roman"/>
          <w:lang w:val="en-US"/>
        </w:rPr>
        <w:t>l</w:t>
      </w:r>
      <w:r w:rsidR="00422BEF" w:rsidRPr="00DD1E36">
        <w:rPr>
          <w:rFonts w:ascii="Times New Roman" w:hAnsi="Times New Roman" w:cs="Times New Roman"/>
          <w:lang w:val="en-US"/>
        </w:rPr>
        <w:t xml:space="preserve">ed to support the IIRC’s formation was underpinned by a sense of irresistibility and urgency. </w:t>
      </w:r>
      <w:r w:rsidR="00724A66">
        <w:rPr>
          <w:rFonts w:ascii="Times New Roman" w:hAnsi="Times New Roman" w:cs="Times New Roman"/>
          <w:lang w:val="en-US"/>
        </w:rPr>
        <w:t>I</w:t>
      </w:r>
      <w:r w:rsidR="00121D10">
        <w:rPr>
          <w:rFonts w:ascii="Times New Roman" w:hAnsi="Times New Roman" w:cs="Times New Roman"/>
          <w:lang w:val="en-US"/>
        </w:rPr>
        <w:t>ntegrated reporting</w:t>
      </w:r>
      <w:r w:rsidR="00753A74">
        <w:rPr>
          <w:rFonts w:ascii="Times New Roman" w:hAnsi="Times New Roman" w:cs="Times New Roman"/>
          <w:lang w:val="en-US"/>
        </w:rPr>
        <w:t xml:space="preserve"> </w:t>
      </w:r>
      <w:r w:rsidR="00422BEF" w:rsidRPr="00DD1E36">
        <w:rPr>
          <w:rFonts w:ascii="Times New Roman" w:hAnsi="Times New Roman" w:cs="Times New Roman"/>
          <w:lang w:val="en-US"/>
        </w:rPr>
        <w:t xml:space="preserve">was </w:t>
      </w:r>
      <w:r w:rsidR="005D3266">
        <w:rPr>
          <w:rFonts w:ascii="Times New Roman" w:hAnsi="Times New Roman" w:cs="Times New Roman"/>
          <w:lang w:val="en-US"/>
        </w:rPr>
        <w:t xml:space="preserve">deemed </w:t>
      </w:r>
      <w:r w:rsidR="00422BEF" w:rsidRPr="00DD1E36">
        <w:rPr>
          <w:rFonts w:ascii="Times New Roman" w:hAnsi="Times New Roman" w:cs="Times New Roman"/>
          <w:lang w:val="en-US"/>
        </w:rPr>
        <w:t xml:space="preserve">vital to ‘our’ future well-being and represented an inevitable force for ‘good’. The IIRC needed to build a global consensus around </w:t>
      </w:r>
      <w:r w:rsidR="00121D10">
        <w:rPr>
          <w:rFonts w:ascii="Times New Roman" w:hAnsi="Times New Roman" w:cs="Times New Roman"/>
          <w:lang w:val="en-US"/>
        </w:rPr>
        <w:t>integrated reporting</w:t>
      </w:r>
      <w:r w:rsidR="00422BEF" w:rsidRPr="00DD1E36">
        <w:rPr>
          <w:rFonts w:ascii="Times New Roman" w:hAnsi="Times New Roman" w:cs="Times New Roman"/>
          <w:lang w:val="en-US"/>
        </w:rPr>
        <w:t xml:space="preserve"> as </w:t>
      </w:r>
      <w:r w:rsidR="000F3DF0">
        <w:rPr>
          <w:rFonts w:ascii="Times New Roman" w:hAnsi="Times New Roman" w:cs="Times New Roman"/>
          <w:lang w:val="en-US"/>
        </w:rPr>
        <w:t>‘</w:t>
      </w:r>
      <w:r w:rsidR="00422BEF" w:rsidRPr="00DD1E36">
        <w:rPr>
          <w:rFonts w:ascii="Times New Roman" w:hAnsi="Times New Roman" w:cs="Times New Roman"/>
          <w:lang w:val="en-US"/>
        </w:rPr>
        <w:t>co-ordinated, international action [was] needed now</w:t>
      </w:r>
      <w:r w:rsidR="000F3DF0">
        <w:rPr>
          <w:rFonts w:ascii="Times New Roman" w:hAnsi="Times New Roman" w:cs="Times New Roman"/>
          <w:lang w:val="en-US"/>
        </w:rPr>
        <w:t>’</w:t>
      </w:r>
      <w:r w:rsidR="00422BEF" w:rsidRPr="00DD1E36">
        <w:rPr>
          <w:rFonts w:ascii="Times New Roman" w:hAnsi="Times New Roman" w:cs="Times New Roman"/>
          <w:lang w:val="en-US"/>
        </w:rPr>
        <w:t>. Prominent industry and professional leaders endorse</w:t>
      </w:r>
      <w:r w:rsidR="00422BEF">
        <w:rPr>
          <w:rFonts w:ascii="Times New Roman" w:hAnsi="Times New Roman" w:cs="Times New Roman"/>
          <w:lang w:val="en-US"/>
        </w:rPr>
        <w:t>d</w:t>
      </w:r>
      <w:r w:rsidR="00422BEF" w:rsidRPr="00DD1E36">
        <w:rPr>
          <w:rFonts w:ascii="Times New Roman" w:hAnsi="Times New Roman" w:cs="Times New Roman"/>
          <w:lang w:val="en-US"/>
        </w:rPr>
        <w:t xml:space="preserve"> </w:t>
      </w:r>
      <w:r w:rsidR="00121D10">
        <w:rPr>
          <w:rFonts w:ascii="Times New Roman" w:hAnsi="Times New Roman" w:cs="Times New Roman"/>
          <w:lang w:val="en-US"/>
        </w:rPr>
        <w:t>integrated reporting</w:t>
      </w:r>
      <w:r w:rsidR="00422BEF">
        <w:rPr>
          <w:rFonts w:ascii="Times New Roman" w:hAnsi="Times New Roman" w:cs="Times New Roman"/>
          <w:lang w:val="en-US"/>
        </w:rPr>
        <w:t xml:space="preserve"> by</w:t>
      </w:r>
      <w:r w:rsidR="00422BEF" w:rsidRPr="00DD1E36">
        <w:rPr>
          <w:rFonts w:ascii="Times New Roman" w:hAnsi="Times New Roman" w:cs="Times New Roman"/>
          <w:lang w:val="en-US"/>
        </w:rPr>
        <w:t xml:space="preserve"> </w:t>
      </w:r>
      <w:r w:rsidR="00422BEF">
        <w:rPr>
          <w:rFonts w:ascii="Times New Roman" w:hAnsi="Times New Roman" w:cs="Times New Roman"/>
          <w:lang w:val="en-US"/>
        </w:rPr>
        <w:t xml:space="preserve">attaching it </w:t>
      </w:r>
      <w:r w:rsidR="00422BEF" w:rsidRPr="00DD1E36">
        <w:rPr>
          <w:rFonts w:ascii="Times New Roman" w:hAnsi="Times New Roman" w:cs="Times New Roman"/>
          <w:lang w:val="en-US"/>
        </w:rPr>
        <w:t xml:space="preserve">to different, albeit interrelated issues of societal significance. Jane </w:t>
      </w:r>
      <w:proofErr w:type="spellStart"/>
      <w:r w:rsidR="00422BEF" w:rsidRPr="00DD1E36">
        <w:rPr>
          <w:rFonts w:ascii="Times New Roman" w:hAnsi="Times New Roman" w:cs="Times New Roman"/>
          <w:lang w:val="en-US"/>
        </w:rPr>
        <w:t>Diplock</w:t>
      </w:r>
      <w:proofErr w:type="spellEnd"/>
      <w:r w:rsidR="00422BEF" w:rsidRPr="00DD1E36">
        <w:rPr>
          <w:rFonts w:ascii="Times New Roman" w:hAnsi="Times New Roman" w:cs="Times New Roman"/>
          <w:lang w:val="en-US"/>
        </w:rPr>
        <w:t xml:space="preserve">, then chairperson of IOSCO (International </w:t>
      </w:r>
      <w:r w:rsidR="0091232F">
        <w:rPr>
          <w:rFonts w:ascii="Times New Roman" w:hAnsi="Times New Roman" w:cs="Times New Roman"/>
          <w:lang w:val="en-US"/>
        </w:rPr>
        <w:t>Organization</w:t>
      </w:r>
      <w:r w:rsidR="00422BEF" w:rsidRPr="00DD1E36">
        <w:rPr>
          <w:rFonts w:ascii="Times New Roman" w:hAnsi="Times New Roman" w:cs="Times New Roman"/>
          <w:lang w:val="en-US"/>
        </w:rPr>
        <w:t xml:space="preserve"> of Securities Commissions) and a future IIRC board member, contended that </w:t>
      </w:r>
      <w:r w:rsidR="000F3DF0">
        <w:rPr>
          <w:rFonts w:ascii="Times New Roman" w:hAnsi="Times New Roman" w:cs="Times New Roman"/>
          <w:lang w:val="en-US"/>
        </w:rPr>
        <w:t>‘</w:t>
      </w:r>
      <w:r w:rsidR="00422BEF" w:rsidRPr="00DD1E36">
        <w:rPr>
          <w:rFonts w:ascii="Times New Roman" w:hAnsi="Times New Roman" w:cs="Times New Roman"/>
          <w:lang w:val="en-US"/>
        </w:rPr>
        <w:t>[w]</w:t>
      </w:r>
      <w:proofErr w:type="spellStart"/>
      <w:r w:rsidR="00422BEF" w:rsidRPr="00DD1E36">
        <w:rPr>
          <w:rFonts w:ascii="Times New Roman" w:hAnsi="Times New Roman" w:cs="Times New Roman"/>
          <w:lang w:val="en-US"/>
        </w:rPr>
        <w:t>hile</w:t>
      </w:r>
      <w:proofErr w:type="spellEnd"/>
      <w:r w:rsidR="00422BEF" w:rsidRPr="00DD1E36">
        <w:rPr>
          <w:rFonts w:ascii="Times New Roman" w:hAnsi="Times New Roman" w:cs="Times New Roman"/>
          <w:lang w:val="en-US"/>
        </w:rPr>
        <w:t xml:space="preserve"> </w:t>
      </w:r>
      <w:r w:rsidR="00422BEF">
        <w:rPr>
          <w:rFonts w:ascii="Times New Roman" w:hAnsi="Times New Roman" w:cs="Times New Roman"/>
          <w:lang w:val="en-US"/>
        </w:rPr>
        <w:t>Integrated Reporting</w:t>
      </w:r>
      <w:r w:rsidR="00422BEF" w:rsidRPr="00DD1E36">
        <w:rPr>
          <w:rFonts w:ascii="Times New Roman" w:hAnsi="Times New Roman" w:cs="Times New Roman"/>
          <w:lang w:val="en-US"/>
        </w:rPr>
        <w:t xml:space="preserve"> alone cannot ensure sustainability, it is nevertheless a powerful mechanism for helping us all make better decisions about the resources we consume and the lives we lead.</w:t>
      </w:r>
      <w:r w:rsidR="000F3DF0">
        <w:rPr>
          <w:rFonts w:ascii="Times New Roman" w:hAnsi="Times New Roman" w:cs="Times New Roman"/>
          <w:lang w:val="en-US"/>
        </w:rPr>
        <w:t>’</w:t>
      </w:r>
      <w:r w:rsidR="00422BEF" w:rsidRPr="00DD1E36">
        <w:rPr>
          <w:rFonts w:ascii="Times New Roman" w:hAnsi="Times New Roman" w:cs="Times New Roman"/>
          <w:lang w:val="en-US"/>
        </w:rPr>
        <w:t xml:space="preserve"> Jim Singh, CFO of Nestle claimed that companies had no choice but to communicate through </w:t>
      </w:r>
      <w:r w:rsidR="00121D10">
        <w:rPr>
          <w:rFonts w:ascii="Times New Roman" w:hAnsi="Times New Roman" w:cs="Times New Roman"/>
          <w:lang w:val="en-US"/>
        </w:rPr>
        <w:t>integrated reporting</w:t>
      </w:r>
      <w:r w:rsidR="00422BEF" w:rsidRPr="00DD1E36">
        <w:rPr>
          <w:rFonts w:ascii="Times New Roman" w:hAnsi="Times New Roman" w:cs="Times New Roman"/>
          <w:lang w:val="en-US"/>
        </w:rPr>
        <w:t xml:space="preserve"> if they were committed to the long term and wanted to be trusted, while Goran </w:t>
      </w:r>
      <w:proofErr w:type="spellStart"/>
      <w:r w:rsidR="00422BEF" w:rsidRPr="00DD1E36">
        <w:rPr>
          <w:rFonts w:ascii="Times New Roman" w:hAnsi="Times New Roman" w:cs="Times New Roman"/>
          <w:lang w:val="en-US"/>
        </w:rPr>
        <w:t>Tidstrom</w:t>
      </w:r>
      <w:proofErr w:type="spellEnd"/>
      <w:r w:rsidR="00422BEF" w:rsidRPr="00DD1E36">
        <w:rPr>
          <w:rFonts w:ascii="Times New Roman" w:hAnsi="Times New Roman" w:cs="Times New Roman"/>
          <w:lang w:val="en-US"/>
        </w:rPr>
        <w:t xml:space="preserve">, President of IFAC, maintained that </w:t>
      </w:r>
      <w:r w:rsidR="00121D10">
        <w:rPr>
          <w:rFonts w:ascii="Times New Roman" w:hAnsi="Times New Roman" w:cs="Times New Roman"/>
          <w:lang w:val="en-US"/>
        </w:rPr>
        <w:t>integrated reporting</w:t>
      </w:r>
      <w:r w:rsidR="00422BEF" w:rsidRPr="00DD1E36">
        <w:rPr>
          <w:rFonts w:ascii="Times New Roman" w:hAnsi="Times New Roman" w:cs="Times New Roman"/>
          <w:lang w:val="en-US"/>
        </w:rPr>
        <w:t xml:space="preserve"> would help stakeholders make better resource allocation decisions that were fundamental to creating, what he termed, ‘a sustainable society’. </w:t>
      </w:r>
      <w:r w:rsidR="00422BEF" w:rsidRPr="00475EE1">
        <w:rPr>
          <w:rFonts w:ascii="Times New Roman" w:hAnsi="Times New Roman" w:cs="Times New Roman"/>
          <w:lang w:val="en-US"/>
        </w:rPr>
        <w:t>The IIRC’s first Discussion Paper, launched in September 2011, articulated a</w:t>
      </w:r>
      <w:r w:rsidR="00422BEF" w:rsidRPr="00563AFE">
        <w:rPr>
          <w:rFonts w:ascii="Times New Roman" w:hAnsi="Times New Roman" w:cs="Times New Roman"/>
          <w:lang w:val="en-US"/>
        </w:rPr>
        <w:t xml:space="preserve"> rationale for </w:t>
      </w:r>
      <w:r w:rsidR="00121D10" w:rsidRPr="005832E7">
        <w:rPr>
          <w:rFonts w:ascii="Times New Roman" w:hAnsi="Times New Roman" w:cs="Times New Roman"/>
          <w:lang w:val="en-US"/>
        </w:rPr>
        <w:t>integrated reporting</w:t>
      </w:r>
      <w:r w:rsidR="00422BEF" w:rsidRPr="005832E7">
        <w:rPr>
          <w:rFonts w:ascii="Times New Roman" w:hAnsi="Times New Roman" w:cs="Times New Roman"/>
          <w:lang w:val="en-US"/>
        </w:rPr>
        <w:t xml:space="preserve"> and offered proposals for the development of an International </w:t>
      </w:r>
      <w:r w:rsidR="00E7560E" w:rsidRPr="005832E7">
        <w:rPr>
          <w:rFonts w:ascii="Times New Roman" w:hAnsi="Times New Roman" w:cs="Times New Roman"/>
          <w:lang w:val="en-US"/>
        </w:rPr>
        <w:t>I</w:t>
      </w:r>
      <w:r w:rsidR="00121D10" w:rsidRPr="005832E7">
        <w:rPr>
          <w:rFonts w:ascii="Times New Roman" w:hAnsi="Times New Roman" w:cs="Times New Roman"/>
          <w:lang w:val="en-US"/>
        </w:rPr>
        <w:t xml:space="preserve">ntegrated </w:t>
      </w:r>
      <w:r w:rsidR="00E7560E" w:rsidRPr="00475EE1">
        <w:rPr>
          <w:rFonts w:ascii="Times New Roman" w:hAnsi="Times New Roman" w:cs="Times New Roman"/>
          <w:lang w:val="en-US"/>
        </w:rPr>
        <w:t>R</w:t>
      </w:r>
      <w:r w:rsidR="00121D10" w:rsidRPr="00475EE1">
        <w:rPr>
          <w:rFonts w:ascii="Times New Roman" w:hAnsi="Times New Roman" w:cs="Times New Roman"/>
          <w:lang w:val="en-US"/>
        </w:rPr>
        <w:t>eporting</w:t>
      </w:r>
      <w:r w:rsidR="00422BEF" w:rsidRPr="00475EE1">
        <w:rPr>
          <w:rFonts w:ascii="Times New Roman" w:hAnsi="Times New Roman" w:cs="Times New Roman"/>
          <w:lang w:val="en-US"/>
        </w:rPr>
        <w:t xml:space="preserve"> Framework and how this might be established and adopted. It claimed that changes in the business environment such as globalization, higher expectations for corporate transparency and accountability, resource scarcity, population growth, and environmental concerns meant that the information needed to assess the past and current performance of organ</w:t>
      </w:r>
      <w:r w:rsidR="00E8208C" w:rsidRPr="00475EE1">
        <w:rPr>
          <w:rFonts w:ascii="Times New Roman" w:hAnsi="Times New Roman" w:cs="Times New Roman"/>
          <w:lang w:val="en-US"/>
        </w:rPr>
        <w:t>iza</w:t>
      </w:r>
      <w:r w:rsidR="00422BEF" w:rsidRPr="00475EE1">
        <w:rPr>
          <w:rFonts w:ascii="Times New Roman" w:hAnsi="Times New Roman" w:cs="Times New Roman"/>
          <w:lang w:val="en-US"/>
        </w:rPr>
        <w:t xml:space="preserve">tions was now much broader. </w:t>
      </w:r>
      <w:r w:rsidR="00475EE1" w:rsidRPr="00686181">
        <w:rPr>
          <w:rFonts w:ascii="Times New Roman" w:hAnsi="Times New Roman" w:cs="Times New Roman"/>
          <w:lang w:val="en-GB"/>
        </w:rPr>
        <w:t xml:space="preserve">Integrated </w:t>
      </w:r>
      <w:r w:rsidR="0054374D">
        <w:rPr>
          <w:rFonts w:ascii="Times New Roman" w:hAnsi="Times New Roman" w:cs="Times New Roman"/>
          <w:lang w:val="en-GB"/>
        </w:rPr>
        <w:t>r</w:t>
      </w:r>
      <w:r w:rsidR="00475EE1" w:rsidRPr="00686181">
        <w:rPr>
          <w:rFonts w:ascii="Times New Roman" w:hAnsi="Times New Roman" w:cs="Times New Roman"/>
          <w:lang w:val="en-GB"/>
        </w:rPr>
        <w:t>eports would provide this and it was claimed they should therefore become an organization’s primary reporting vehicle.</w:t>
      </w:r>
    </w:p>
    <w:p w14:paraId="57F7F3EB" w14:textId="77777777" w:rsidR="00475EE1" w:rsidRPr="00686181" w:rsidRDefault="00475EE1" w:rsidP="00686181">
      <w:pPr>
        <w:autoSpaceDE w:val="0"/>
        <w:autoSpaceDN w:val="0"/>
        <w:adjustRightInd w:val="0"/>
        <w:spacing w:after="0" w:line="240" w:lineRule="auto"/>
        <w:rPr>
          <w:rFonts w:ascii="FuturaStd-Medium" w:hAnsi="FuturaStd-Medium" w:cs="FuturaStd-Medium"/>
          <w:sz w:val="24"/>
          <w:szCs w:val="24"/>
          <w:lang w:val="en-GB"/>
        </w:rPr>
      </w:pPr>
    </w:p>
    <w:p w14:paraId="40C14249" w14:textId="1119DA7B" w:rsidR="00E7560E" w:rsidRDefault="005157D3" w:rsidP="00422BEF">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Boundary work </w:t>
      </w:r>
      <w:r w:rsidR="00236390">
        <w:rPr>
          <w:rFonts w:ascii="Times New Roman" w:hAnsi="Times New Roman" w:cs="Times New Roman"/>
          <w:lang w:val="en-US"/>
        </w:rPr>
        <w:t>pervaded the Discussion P</w:t>
      </w:r>
      <w:r>
        <w:rPr>
          <w:rFonts w:ascii="Times New Roman" w:hAnsi="Times New Roman" w:cs="Times New Roman"/>
          <w:lang w:val="en-US"/>
        </w:rPr>
        <w:t>aper</w:t>
      </w:r>
      <w:r w:rsidR="00236390">
        <w:rPr>
          <w:rFonts w:ascii="Times New Roman" w:hAnsi="Times New Roman" w:cs="Times New Roman"/>
          <w:lang w:val="en-US"/>
        </w:rPr>
        <w:t xml:space="preserve"> and </w:t>
      </w:r>
      <w:r w:rsidR="005220F0">
        <w:rPr>
          <w:rFonts w:ascii="Times New Roman" w:hAnsi="Times New Roman" w:cs="Times New Roman"/>
          <w:lang w:val="en-US"/>
        </w:rPr>
        <w:t>contras</w:t>
      </w:r>
      <w:r w:rsidR="00E53B5A">
        <w:rPr>
          <w:rFonts w:ascii="Times New Roman" w:hAnsi="Times New Roman" w:cs="Times New Roman"/>
          <w:lang w:val="en-US"/>
        </w:rPr>
        <w:t>t</w:t>
      </w:r>
      <w:r w:rsidR="00807DC0">
        <w:rPr>
          <w:rFonts w:ascii="Times New Roman" w:hAnsi="Times New Roman" w:cs="Times New Roman"/>
          <w:lang w:val="en-US"/>
        </w:rPr>
        <w:t>ing</w:t>
      </w:r>
      <w:r w:rsidR="00E53B5A">
        <w:rPr>
          <w:rFonts w:ascii="Times New Roman" w:hAnsi="Times New Roman" w:cs="Times New Roman"/>
          <w:lang w:val="en-US"/>
        </w:rPr>
        <w:t xml:space="preserve"> cases </w:t>
      </w:r>
      <w:r w:rsidR="00236390">
        <w:rPr>
          <w:rFonts w:ascii="Times New Roman" w:hAnsi="Times New Roman" w:cs="Times New Roman"/>
          <w:lang w:val="en-US"/>
        </w:rPr>
        <w:t xml:space="preserve">were </w:t>
      </w:r>
      <w:r w:rsidR="005220F0">
        <w:rPr>
          <w:rFonts w:ascii="Times New Roman" w:hAnsi="Times New Roman" w:cs="Times New Roman"/>
          <w:lang w:val="en-US"/>
        </w:rPr>
        <w:t>carefully selected</w:t>
      </w:r>
      <w:r w:rsidR="0054374D">
        <w:rPr>
          <w:rFonts w:ascii="Times New Roman" w:hAnsi="Times New Roman" w:cs="Times New Roman"/>
          <w:lang w:val="en-US"/>
        </w:rPr>
        <w:t xml:space="preserve"> to reinforce the claimed value of integrated reporting</w:t>
      </w:r>
      <w:r>
        <w:rPr>
          <w:rFonts w:ascii="Times New Roman" w:hAnsi="Times New Roman" w:cs="Times New Roman"/>
          <w:lang w:val="en-US"/>
        </w:rPr>
        <w:t>. First,</w:t>
      </w:r>
      <w:r w:rsidR="005220F0">
        <w:rPr>
          <w:rFonts w:ascii="Times New Roman" w:hAnsi="Times New Roman" w:cs="Times New Roman"/>
          <w:lang w:val="en-US"/>
        </w:rPr>
        <w:t xml:space="preserve"> </w:t>
      </w:r>
      <w:r>
        <w:rPr>
          <w:rFonts w:ascii="Times New Roman" w:hAnsi="Times New Roman" w:cs="Times New Roman"/>
          <w:lang w:val="en-US"/>
        </w:rPr>
        <w:t>the key charac</w:t>
      </w:r>
      <w:r w:rsidR="00B61B32">
        <w:rPr>
          <w:rFonts w:ascii="Times New Roman" w:hAnsi="Times New Roman" w:cs="Times New Roman"/>
          <w:lang w:val="en-US"/>
        </w:rPr>
        <w:t>teris</w:t>
      </w:r>
      <w:r>
        <w:rPr>
          <w:rFonts w:ascii="Times New Roman" w:hAnsi="Times New Roman" w:cs="Times New Roman"/>
          <w:lang w:val="en-US"/>
        </w:rPr>
        <w:t>t</w:t>
      </w:r>
      <w:r w:rsidR="005220F0">
        <w:rPr>
          <w:rFonts w:ascii="Times New Roman" w:hAnsi="Times New Roman" w:cs="Times New Roman"/>
          <w:lang w:val="en-US"/>
        </w:rPr>
        <w:t>i</w:t>
      </w:r>
      <w:r>
        <w:rPr>
          <w:rFonts w:ascii="Times New Roman" w:hAnsi="Times New Roman" w:cs="Times New Roman"/>
          <w:lang w:val="en-US"/>
        </w:rPr>
        <w:t xml:space="preserve">cs of </w:t>
      </w:r>
      <w:r w:rsidR="00121D10">
        <w:rPr>
          <w:rFonts w:ascii="Times New Roman" w:hAnsi="Times New Roman" w:cs="Times New Roman"/>
          <w:lang w:val="en-US"/>
        </w:rPr>
        <w:t xml:space="preserve">integrated </w:t>
      </w:r>
      <w:r w:rsidR="00121D10">
        <w:rPr>
          <w:rFonts w:ascii="Times New Roman" w:hAnsi="Times New Roman" w:cs="Times New Roman"/>
          <w:lang w:val="en-US"/>
        </w:rPr>
        <w:lastRenderedPageBreak/>
        <w:t>reporting</w:t>
      </w:r>
      <w:r>
        <w:rPr>
          <w:rFonts w:ascii="Times New Roman" w:hAnsi="Times New Roman" w:cs="Times New Roman"/>
          <w:lang w:val="en-US"/>
        </w:rPr>
        <w:t xml:space="preserve"> </w:t>
      </w:r>
      <w:r w:rsidR="005220F0">
        <w:rPr>
          <w:rFonts w:ascii="Times New Roman" w:hAnsi="Times New Roman" w:cs="Times New Roman"/>
          <w:lang w:val="en-US"/>
        </w:rPr>
        <w:t xml:space="preserve">were distinguished </w:t>
      </w:r>
      <w:r>
        <w:rPr>
          <w:rFonts w:ascii="Times New Roman" w:hAnsi="Times New Roman" w:cs="Times New Roman"/>
          <w:lang w:val="en-US"/>
        </w:rPr>
        <w:t xml:space="preserve">from </w:t>
      </w:r>
      <w:r w:rsidR="005220F0">
        <w:rPr>
          <w:rFonts w:ascii="Times New Roman" w:hAnsi="Times New Roman" w:cs="Times New Roman"/>
          <w:lang w:val="en-US"/>
        </w:rPr>
        <w:t xml:space="preserve">all </w:t>
      </w:r>
      <w:r>
        <w:rPr>
          <w:rFonts w:ascii="Times New Roman" w:hAnsi="Times New Roman" w:cs="Times New Roman"/>
          <w:lang w:val="en-US"/>
        </w:rPr>
        <w:t>other forms</w:t>
      </w:r>
      <w:r w:rsidR="00807DC0">
        <w:rPr>
          <w:rFonts w:ascii="Times New Roman" w:hAnsi="Times New Roman" w:cs="Times New Roman"/>
          <w:lang w:val="en-US"/>
        </w:rPr>
        <w:t xml:space="preserve"> </w:t>
      </w:r>
      <w:r>
        <w:rPr>
          <w:rFonts w:ascii="Times New Roman" w:hAnsi="Times New Roman" w:cs="Times New Roman"/>
          <w:lang w:val="en-US"/>
        </w:rPr>
        <w:t xml:space="preserve">of </w:t>
      </w:r>
      <w:r w:rsidR="00807DC0">
        <w:rPr>
          <w:rFonts w:ascii="Times New Roman" w:hAnsi="Times New Roman" w:cs="Times New Roman"/>
          <w:lang w:val="en-US"/>
        </w:rPr>
        <w:t xml:space="preserve">corporate </w:t>
      </w:r>
      <w:r>
        <w:rPr>
          <w:rFonts w:ascii="Times New Roman" w:hAnsi="Times New Roman" w:cs="Times New Roman"/>
          <w:lang w:val="en-US"/>
        </w:rPr>
        <w:t xml:space="preserve">reporting. </w:t>
      </w:r>
      <w:r w:rsidR="005220F0">
        <w:rPr>
          <w:rFonts w:ascii="Times New Roman" w:hAnsi="Times New Roman" w:cs="Times New Roman"/>
          <w:lang w:val="en-US"/>
        </w:rPr>
        <w:t xml:space="preserve">The </w:t>
      </w:r>
      <w:r w:rsidR="00422BEF" w:rsidRPr="00DD1E36">
        <w:rPr>
          <w:rFonts w:ascii="Times New Roman" w:hAnsi="Times New Roman" w:cs="Times New Roman"/>
          <w:lang w:val="en-US"/>
        </w:rPr>
        <w:t xml:space="preserve">corporate reporting </w:t>
      </w:r>
      <w:r w:rsidR="007920FD">
        <w:rPr>
          <w:rFonts w:ascii="Times New Roman" w:hAnsi="Times New Roman" w:cs="Times New Roman"/>
          <w:lang w:val="en-US"/>
        </w:rPr>
        <w:t xml:space="preserve">field </w:t>
      </w:r>
      <w:r w:rsidR="005220F0">
        <w:rPr>
          <w:rFonts w:ascii="Times New Roman" w:hAnsi="Times New Roman" w:cs="Times New Roman"/>
          <w:lang w:val="en-US"/>
        </w:rPr>
        <w:t xml:space="preserve">was characterized </w:t>
      </w:r>
      <w:r>
        <w:rPr>
          <w:rFonts w:ascii="Times New Roman" w:hAnsi="Times New Roman" w:cs="Times New Roman"/>
          <w:lang w:val="en-US"/>
        </w:rPr>
        <w:t xml:space="preserve">as </w:t>
      </w:r>
      <w:r w:rsidR="00B61B32">
        <w:rPr>
          <w:rFonts w:ascii="Times New Roman" w:hAnsi="Times New Roman" w:cs="Times New Roman"/>
          <w:lang w:val="en-US"/>
        </w:rPr>
        <w:t xml:space="preserve">being </w:t>
      </w:r>
      <w:r w:rsidR="005220F0">
        <w:rPr>
          <w:rFonts w:ascii="Times New Roman" w:hAnsi="Times New Roman" w:cs="Times New Roman"/>
          <w:lang w:val="en-US"/>
        </w:rPr>
        <w:t xml:space="preserve">too </w:t>
      </w:r>
      <w:r w:rsidR="00422BEF" w:rsidRPr="00DD1E36">
        <w:rPr>
          <w:rFonts w:ascii="Times New Roman" w:hAnsi="Times New Roman" w:cs="Times New Roman"/>
          <w:lang w:val="en-US"/>
        </w:rPr>
        <w:t>confused, fragmented</w:t>
      </w:r>
      <w:r>
        <w:rPr>
          <w:rFonts w:ascii="Times New Roman" w:hAnsi="Times New Roman" w:cs="Times New Roman"/>
          <w:lang w:val="en-US"/>
        </w:rPr>
        <w:t>,</w:t>
      </w:r>
      <w:r w:rsidR="00422BEF" w:rsidRPr="00DD1E36">
        <w:rPr>
          <w:rFonts w:ascii="Times New Roman" w:hAnsi="Times New Roman" w:cs="Times New Roman"/>
          <w:lang w:val="en-US"/>
        </w:rPr>
        <w:t xml:space="preserve"> and cluttered with immaterial, disconnected information in diverse reports</w:t>
      </w:r>
      <w:r w:rsidR="00172F35">
        <w:rPr>
          <w:rFonts w:ascii="Times New Roman" w:hAnsi="Times New Roman" w:cs="Times New Roman"/>
          <w:lang w:val="en-US"/>
        </w:rPr>
        <w:t>:</w:t>
      </w:r>
    </w:p>
    <w:p w14:paraId="04A5315A" w14:textId="7CC82A4A" w:rsidR="00E7560E" w:rsidRPr="00686181" w:rsidRDefault="00E7560E" w:rsidP="00686181">
      <w:pPr>
        <w:autoSpaceDE w:val="0"/>
        <w:autoSpaceDN w:val="0"/>
        <w:adjustRightInd w:val="0"/>
        <w:spacing w:after="0" w:line="240" w:lineRule="auto"/>
        <w:ind w:left="708"/>
        <w:rPr>
          <w:rFonts w:ascii="Times New Roman" w:hAnsi="Times New Roman" w:cs="Times New Roman"/>
          <w:sz w:val="20"/>
          <w:szCs w:val="20"/>
          <w:lang w:val="en-GB"/>
        </w:rPr>
      </w:pPr>
      <w:r w:rsidRPr="00686181">
        <w:rPr>
          <w:rFonts w:ascii="Times New Roman" w:hAnsi="Times New Roman" w:cs="Times New Roman"/>
          <w:sz w:val="20"/>
          <w:szCs w:val="20"/>
          <w:lang w:val="en-GB"/>
        </w:rPr>
        <w:t>[M]any currently perceive a reporting landscape of confusion, clutter and</w:t>
      </w:r>
      <w:r>
        <w:rPr>
          <w:rFonts w:ascii="Times New Roman" w:hAnsi="Times New Roman" w:cs="Times New Roman"/>
          <w:sz w:val="20"/>
          <w:szCs w:val="20"/>
          <w:lang w:val="en-GB"/>
        </w:rPr>
        <w:t xml:space="preserve"> </w:t>
      </w:r>
      <w:r w:rsidRPr="00686181">
        <w:rPr>
          <w:rFonts w:ascii="Times New Roman" w:hAnsi="Times New Roman" w:cs="Times New Roman"/>
          <w:sz w:val="20"/>
          <w:szCs w:val="20"/>
          <w:lang w:val="en-GB"/>
        </w:rPr>
        <w:t xml:space="preserve">fragmentation. Much of the information now provided is disconnected and key disclosure gaps remain. </w:t>
      </w:r>
      <w:r w:rsidR="00373A4A">
        <w:rPr>
          <w:rFonts w:ascii="Times New Roman" w:hAnsi="Times New Roman" w:cs="Times New Roman"/>
          <w:sz w:val="20"/>
          <w:szCs w:val="20"/>
          <w:lang w:val="en-GB"/>
        </w:rPr>
        <w:t xml:space="preserve">(IIRC, 2011: </w:t>
      </w:r>
      <w:r w:rsidRPr="00E7560E">
        <w:rPr>
          <w:rFonts w:ascii="Times New Roman" w:hAnsi="Times New Roman" w:cs="Times New Roman"/>
          <w:sz w:val="20"/>
          <w:szCs w:val="20"/>
          <w:lang w:val="en-GB"/>
        </w:rPr>
        <w:t>10).</w:t>
      </w:r>
    </w:p>
    <w:p w14:paraId="02D45D68" w14:textId="77777777" w:rsidR="00E7560E" w:rsidRDefault="00E7560E" w:rsidP="00422BEF">
      <w:pPr>
        <w:spacing w:line="360" w:lineRule="auto"/>
        <w:ind w:firstLine="708"/>
        <w:jc w:val="both"/>
        <w:rPr>
          <w:rFonts w:ascii="FuturaStd-Medium" w:hAnsi="FuturaStd-Medium" w:cs="FuturaStd-Medium"/>
          <w:sz w:val="24"/>
          <w:szCs w:val="24"/>
          <w:lang w:val="en-GB"/>
        </w:rPr>
      </w:pPr>
    </w:p>
    <w:p w14:paraId="42AC3B17" w14:textId="1D4CC33B" w:rsidR="00487E9C" w:rsidRDefault="00E7560E" w:rsidP="00422BEF">
      <w:pPr>
        <w:spacing w:line="360" w:lineRule="auto"/>
        <w:ind w:firstLine="708"/>
        <w:jc w:val="both"/>
        <w:rPr>
          <w:rFonts w:ascii="Times New Roman" w:hAnsi="Times New Roman" w:cs="Times New Roman"/>
          <w:lang w:val="en-US"/>
        </w:rPr>
      </w:pPr>
      <w:r>
        <w:rPr>
          <w:rFonts w:ascii="Times New Roman" w:hAnsi="Times New Roman" w:cs="Times New Roman"/>
          <w:lang w:val="en-GB"/>
        </w:rPr>
        <w:t xml:space="preserve">This was </w:t>
      </w:r>
      <w:r w:rsidR="00482248">
        <w:rPr>
          <w:rFonts w:ascii="Times New Roman" w:hAnsi="Times New Roman" w:cs="Times New Roman"/>
          <w:lang w:val="en-US"/>
        </w:rPr>
        <w:t>contrast</w:t>
      </w:r>
      <w:r w:rsidR="009A6529">
        <w:rPr>
          <w:rFonts w:ascii="Times New Roman" w:hAnsi="Times New Roman" w:cs="Times New Roman"/>
          <w:lang w:val="en-US"/>
        </w:rPr>
        <w:t>ed with</w:t>
      </w:r>
      <w:r w:rsidR="00482248">
        <w:rPr>
          <w:rFonts w:ascii="Times New Roman" w:hAnsi="Times New Roman" w:cs="Times New Roman"/>
          <w:lang w:val="en-US"/>
        </w:rPr>
        <w:t xml:space="preserve"> </w:t>
      </w:r>
      <w:r w:rsidR="005157D3">
        <w:rPr>
          <w:rFonts w:ascii="Times New Roman" w:hAnsi="Times New Roman" w:cs="Times New Roman"/>
          <w:lang w:val="en-US"/>
        </w:rPr>
        <w:t xml:space="preserve">the core tenets of </w:t>
      </w:r>
      <w:r w:rsidR="00121D10">
        <w:rPr>
          <w:rFonts w:ascii="Times New Roman" w:hAnsi="Times New Roman" w:cs="Times New Roman"/>
          <w:lang w:val="en-US"/>
        </w:rPr>
        <w:t>integrated reporting</w:t>
      </w:r>
      <w:r w:rsidR="00807DC0">
        <w:rPr>
          <w:rFonts w:ascii="Times New Roman" w:hAnsi="Times New Roman" w:cs="Times New Roman"/>
          <w:lang w:val="en-US"/>
        </w:rPr>
        <w:t xml:space="preserve"> that</w:t>
      </w:r>
      <w:r w:rsidR="005157D3">
        <w:rPr>
          <w:rFonts w:ascii="Times New Roman" w:hAnsi="Times New Roman" w:cs="Times New Roman"/>
          <w:lang w:val="en-US"/>
        </w:rPr>
        <w:t xml:space="preserve"> focused on</w:t>
      </w:r>
      <w:r w:rsidR="00E909F4">
        <w:rPr>
          <w:rFonts w:ascii="Times New Roman" w:hAnsi="Times New Roman" w:cs="Times New Roman"/>
          <w:lang w:val="en-US"/>
        </w:rPr>
        <w:t xml:space="preserve"> connectivity, conciseness, and mat</w:t>
      </w:r>
      <w:r w:rsidR="00E53B5A">
        <w:rPr>
          <w:rFonts w:ascii="Times New Roman" w:hAnsi="Times New Roman" w:cs="Times New Roman"/>
          <w:lang w:val="en-US"/>
        </w:rPr>
        <w:t>eriality</w:t>
      </w:r>
      <w:r w:rsidR="00482248">
        <w:rPr>
          <w:rFonts w:ascii="Times New Roman" w:hAnsi="Times New Roman" w:cs="Times New Roman"/>
          <w:lang w:val="en-US"/>
        </w:rPr>
        <w:t>.</w:t>
      </w:r>
      <w:r w:rsidR="00A650DC">
        <w:rPr>
          <w:rFonts w:ascii="Times New Roman" w:hAnsi="Times New Roman" w:cs="Times New Roman"/>
          <w:lang w:val="en-US"/>
        </w:rPr>
        <w:t xml:space="preserve"> </w:t>
      </w:r>
      <w:r w:rsidR="00482248">
        <w:rPr>
          <w:rFonts w:ascii="Times New Roman" w:hAnsi="Times New Roman" w:cs="Times New Roman"/>
          <w:lang w:val="en-US"/>
        </w:rPr>
        <w:t>O</w:t>
      </w:r>
      <w:r w:rsidR="005157D3">
        <w:rPr>
          <w:rFonts w:ascii="Times New Roman" w:hAnsi="Times New Roman" w:cs="Times New Roman"/>
          <w:lang w:val="en-US"/>
        </w:rPr>
        <w:t xml:space="preserve">ther forms of reporting </w:t>
      </w:r>
      <w:r w:rsidR="00422BEF" w:rsidRPr="00DD1E36">
        <w:rPr>
          <w:rFonts w:ascii="Times New Roman" w:hAnsi="Times New Roman" w:cs="Times New Roman"/>
          <w:lang w:val="en-US"/>
        </w:rPr>
        <w:t>w</w:t>
      </w:r>
      <w:r w:rsidR="005157D3">
        <w:rPr>
          <w:rFonts w:ascii="Times New Roman" w:hAnsi="Times New Roman" w:cs="Times New Roman"/>
          <w:lang w:val="en-US"/>
        </w:rPr>
        <w:t>ere</w:t>
      </w:r>
      <w:r w:rsidR="00422BEF" w:rsidRPr="00DD1E36">
        <w:rPr>
          <w:rFonts w:ascii="Times New Roman" w:hAnsi="Times New Roman" w:cs="Times New Roman"/>
          <w:lang w:val="en-US"/>
        </w:rPr>
        <w:t xml:space="preserve"> </w:t>
      </w:r>
      <w:r w:rsidR="00E53B5A">
        <w:rPr>
          <w:rFonts w:ascii="Times New Roman" w:hAnsi="Times New Roman" w:cs="Times New Roman"/>
          <w:lang w:val="en-US"/>
        </w:rPr>
        <w:t>characteri</w:t>
      </w:r>
      <w:r w:rsidR="00807DC0">
        <w:rPr>
          <w:rFonts w:ascii="Times New Roman" w:hAnsi="Times New Roman" w:cs="Times New Roman"/>
          <w:lang w:val="en-US"/>
        </w:rPr>
        <w:t>z</w:t>
      </w:r>
      <w:r w:rsidR="00E53B5A">
        <w:rPr>
          <w:rFonts w:ascii="Times New Roman" w:hAnsi="Times New Roman" w:cs="Times New Roman"/>
          <w:lang w:val="en-US"/>
        </w:rPr>
        <w:t xml:space="preserve">ed as </w:t>
      </w:r>
      <w:r w:rsidR="00422BEF" w:rsidRPr="00DD1E36">
        <w:rPr>
          <w:rFonts w:ascii="Times New Roman" w:hAnsi="Times New Roman" w:cs="Times New Roman"/>
          <w:lang w:val="en-US"/>
        </w:rPr>
        <w:t xml:space="preserve">unsuited to a changing, more globalized world underpinned by rapid population growth, increasing global consumption, and rapid advances in technology. </w:t>
      </w:r>
    </w:p>
    <w:p w14:paraId="7441D451" w14:textId="58055139" w:rsidR="00C25219" w:rsidRDefault="00482248" w:rsidP="00422BEF">
      <w:pPr>
        <w:spacing w:line="360" w:lineRule="auto"/>
        <w:ind w:firstLine="708"/>
        <w:jc w:val="both"/>
        <w:rPr>
          <w:rFonts w:ascii="Times New Roman" w:hAnsi="Times New Roman" w:cs="Times New Roman"/>
          <w:lang w:val="en-US"/>
        </w:rPr>
      </w:pPr>
      <w:r>
        <w:rPr>
          <w:rFonts w:ascii="Times New Roman" w:hAnsi="Times New Roman" w:cs="Times New Roman"/>
          <w:lang w:val="en-US"/>
        </w:rPr>
        <w:t>Second, t</w:t>
      </w:r>
      <w:r w:rsidR="005157D3">
        <w:rPr>
          <w:rFonts w:ascii="Times New Roman" w:hAnsi="Times New Roman" w:cs="Times New Roman"/>
          <w:lang w:val="en-US"/>
        </w:rPr>
        <w:t xml:space="preserve">he </w:t>
      </w:r>
      <w:r w:rsidR="00E53B5A">
        <w:rPr>
          <w:rFonts w:ascii="Times New Roman" w:hAnsi="Times New Roman" w:cs="Times New Roman"/>
          <w:lang w:val="en-US"/>
        </w:rPr>
        <w:t>D</w:t>
      </w:r>
      <w:r>
        <w:rPr>
          <w:rFonts w:ascii="Times New Roman" w:hAnsi="Times New Roman" w:cs="Times New Roman"/>
          <w:lang w:val="en-US"/>
        </w:rPr>
        <w:t xml:space="preserve">iscussion </w:t>
      </w:r>
      <w:r w:rsidR="00E53B5A">
        <w:rPr>
          <w:rFonts w:ascii="Times New Roman" w:hAnsi="Times New Roman" w:cs="Times New Roman"/>
          <w:lang w:val="en-US"/>
        </w:rPr>
        <w:t>P</w:t>
      </w:r>
      <w:r w:rsidR="005157D3">
        <w:rPr>
          <w:rFonts w:ascii="Times New Roman" w:hAnsi="Times New Roman" w:cs="Times New Roman"/>
          <w:lang w:val="en-US"/>
        </w:rPr>
        <w:t xml:space="preserve">aper </w:t>
      </w:r>
      <w:r w:rsidR="00BB70BE">
        <w:rPr>
          <w:rFonts w:ascii="Times New Roman" w:hAnsi="Times New Roman" w:cs="Times New Roman"/>
          <w:lang w:val="en-US"/>
        </w:rPr>
        <w:t>mobiliz</w:t>
      </w:r>
      <w:r w:rsidR="00794753">
        <w:rPr>
          <w:rFonts w:ascii="Times New Roman" w:hAnsi="Times New Roman" w:cs="Times New Roman"/>
          <w:lang w:val="en-US"/>
        </w:rPr>
        <w:t>e</w:t>
      </w:r>
      <w:r w:rsidR="00E53B5A">
        <w:rPr>
          <w:rFonts w:ascii="Times New Roman" w:hAnsi="Times New Roman" w:cs="Times New Roman"/>
          <w:lang w:val="en-US"/>
        </w:rPr>
        <w:t>d</w:t>
      </w:r>
      <w:r w:rsidR="005220F0">
        <w:rPr>
          <w:rFonts w:ascii="Times New Roman" w:hAnsi="Times New Roman" w:cs="Times New Roman"/>
          <w:lang w:val="en-US"/>
        </w:rPr>
        <w:t xml:space="preserve"> the</w:t>
      </w:r>
      <w:r>
        <w:rPr>
          <w:rFonts w:ascii="Times New Roman" w:hAnsi="Times New Roman" w:cs="Times New Roman"/>
          <w:lang w:val="en-US"/>
        </w:rPr>
        <w:t xml:space="preserve"> </w:t>
      </w:r>
      <w:r w:rsidRPr="004158E0">
        <w:rPr>
          <w:rFonts w:ascii="Times New Roman" w:hAnsi="Times New Roman" w:cs="Times New Roman"/>
          <w:i/>
          <w:lang w:val="en-US"/>
        </w:rPr>
        <w:t>specific</w:t>
      </w:r>
      <w:r w:rsidR="005220F0">
        <w:rPr>
          <w:rFonts w:ascii="Times New Roman" w:hAnsi="Times New Roman" w:cs="Times New Roman"/>
          <w:lang w:val="en-US"/>
        </w:rPr>
        <w:t xml:space="preserve"> </w:t>
      </w:r>
      <w:r w:rsidR="00B61B32">
        <w:rPr>
          <w:rFonts w:ascii="Times New Roman" w:hAnsi="Times New Roman" w:cs="Times New Roman"/>
          <w:lang w:val="en-US"/>
        </w:rPr>
        <w:t>‘</w:t>
      </w:r>
      <w:r w:rsidR="005220F0">
        <w:rPr>
          <w:rFonts w:ascii="Times New Roman" w:hAnsi="Times New Roman" w:cs="Times New Roman"/>
          <w:lang w:val="en-US"/>
        </w:rPr>
        <w:t>contrast case</w:t>
      </w:r>
      <w:r w:rsidR="00B61B32">
        <w:rPr>
          <w:rFonts w:ascii="Times New Roman" w:hAnsi="Times New Roman" w:cs="Times New Roman"/>
          <w:lang w:val="en-US"/>
        </w:rPr>
        <w:t>’</w:t>
      </w:r>
      <w:r w:rsidR="005220F0">
        <w:rPr>
          <w:rFonts w:ascii="Times New Roman" w:hAnsi="Times New Roman" w:cs="Times New Roman"/>
          <w:lang w:val="en-US"/>
        </w:rPr>
        <w:t xml:space="preserve"> of financial reporting in order to </w:t>
      </w:r>
      <w:r w:rsidR="005157D3">
        <w:rPr>
          <w:rFonts w:ascii="Times New Roman" w:hAnsi="Times New Roman" w:cs="Times New Roman"/>
          <w:lang w:val="en-US"/>
        </w:rPr>
        <w:t xml:space="preserve">construct an explicit boundary between </w:t>
      </w:r>
      <w:r w:rsidR="00121D10">
        <w:rPr>
          <w:rFonts w:ascii="Times New Roman" w:hAnsi="Times New Roman" w:cs="Times New Roman"/>
          <w:lang w:val="en-US"/>
        </w:rPr>
        <w:t>integrated reporting</w:t>
      </w:r>
      <w:r w:rsidR="005157D3">
        <w:rPr>
          <w:rFonts w:ascii="Times New Roman" w:hAnsi="Times New Roman" w:cs="Times New Roman"/>
          <w:lang w:val="en-US"/>
        </w:rPr>
        <w:t xml:space="preserve"> and </w:t>
      </w:r>
      <w:r w:rsidR="00B30045">
        <w:rPr>
          <w:rFonts w:ascii="Times New Roman" w:hAnsi="Times New Roman" w:cs="Times New Roman"/>
          <w:lang w:val="en-US"/>
        </w:rPr>
        <w:t>financial reporting</w:t>
      </w:r>
      <w:r w:rsidR="005157D3">
        <w:rPr>
          <w:rFonts w:ascii="Times New Roman" w:hAnsi="Times New Roman" w:cs="Times New Roman"/>
          <w:lang w:val="en-US"/>
        </w:rPr>
        <w:t xml:space="preserve">. </w:t>
      </w:r>
      <w:r w:rsidR="005220F0">
        <w:rPr>
          <w:rFonts w:ascii="Times New Roman" w:hAnsi="Times New Roman" w:cs="Times New Roman"/>
          <w:lang w:val="en-US"/>
        </w:rPr>
        <w:t>T</w:t>
      </w:r>
      <w:r w:rsidR="005157D3">
        <w:rPr>
          <w:rFonts w:ascii="Times New Roman" w:hAnsi="Times New Roman" w:cs="Times New Roman"/>
          <w:lang w:val="en-US"/>
        </w:rPr>
        <w:t xml:space="preserve">he </w:t>
      </w:r>
      <w:r w:rsidR="00236390">
        <w:rPr>
          <w:rFonts w:ascii="Times New Roman" w:hAnsi="Times New Roman" w:cs="Times New Roman"/>
          <w:lang w:val="en-US"/>
        </w:rPr>
        <w:t xml:space="preserve">IIRC </w:t>
      </w:r>
      <w:r w:rsidR="005157D3">
        <w:rPr>
          <w:rFonts w:ascii="Times New Roman" w:hAnsi="Times New Roman" w:cs="Times New Roman"/>
          <w:lang w:val="en-US"/>
        </w:rPr>
        <w:t>rhetoric</w:t>
      </w:r>
      <w:r>
        <w:rPr>
          <w:rFonts w:ascii="Times New Roman" w:hAnsi="Times New Roman" w:cs="Times New Roman"/>
          <w:lang w:val="en-US"/>
        </w:rPr>
        <w:t xml:space="preserve"> constantly</w:t>
      </w:r>
      <w:r w:rsidR="005157D3">
        <w:rPr>
          <w:rFonts w:ascii="Times New Roman" w:hAnsi="Times New Roman" w:cs="Times New Roman"/>
          <w:lang w:val="en-US"/>
        </w:rPr>
        <w:t xml:space="preserve"> highlighted how </w:t>
      </w:r>
      <w:r w:rsidR="00422BEF" w:rsidRPr="00DD1E36">
        <w:rPr>
          <w:rFonts w:ascii="Times New Roman" w:hAnsi="Times New Roman" w:cs="Times New Roman"/>
          <w:lang w:val="en-US"/>
        </w:rPr>
        <w:t>only about 19% of a company’s market value was explained by physical and financial assets (compared to 83% in 1975)</w:t>
      </w:r>
      <w:r w:rsidR="00422BEF">
        <w:rPr>
          <w:rFonts w:ascii="Times New Roman" w:hAnsi="Times New Roman" w:cs="Times New Roman"/>
          <w:lang w:val="en-US"/>
        </w:rPr>
        <w:t>,</w:t>
      </w:r>
      <w:r w:rsidR="00422BEF" w:rsidRPr="00DD1E36">
        <w:rPr>
          <w:rFonts w:ascii="Times New Roman" w:hAnsi="Times New Roman" w:cs="Times New Roman"/>
          <w:lang w:val="en-US"/>
        </w:rPr>
        <w:t xml:space="preserve"> while the remaining intangible factors were only partially explained in financial statements</w:t>
      </w:r>
      <w:r w:rsidR="00172F35">
        <w:rPr>
          <w:rFonts w:ascii="Times New Roman" w:hAnsi="Times New Roman" w:cs="Times New Roman"/>
          <w:lang w:val="en-US"/>
        </w:rPr>
        <w:t>:</w:t>
      </w:r>
    </w:p>
    <w:p w14:paraId="4C7AEBB6" w14:textId="091E8408" w:rsidR="00C25219" w:rsidRDefault="00C25219" w:rsidP="00686181">
      <w:pPr>
        <w:autoSpaceDE w:val="0"/>
        <w:autoSpaceDN w:val="0"/>
        <w:adjustRightInd w:val="0"/>
        <w:spacing w:after="0" w:line="240" w:lineRule="auto"/>
        <w:ind w:left="708"/>
        <w:jc w:val="both"/>
        <w:rPr>
          <w:rFonts w:ascii="Times New Roman" w:hAnsi="Times New Roman" w:cs="Times New Roman"/>
          <w:sz w:val="20"/>
          <w:szCs w:val="20"/>
          <w:lang w:val="en-GB"/>
        </w:rPr>
      </w:pPr>
      <w:r w:rsidRPr="00686181">
        <w:rPr>
          <w:rFonts w:ascii="Times New Roman" w:hAnsi="Times New Roman" w:cs="Times New Roman"/>
          <w:sz w:val="20"/>
          <w:szCs w:val="20"/>
          <w:lang w:val="en-GB"/>
        </w:rPr>
        <w:t>The traditional [financial] reporting model was developed for an industrial world. Although it continues to play a valuable role with respect to stewardship of financial capital, it nonetheless focuses on a relatively narrow account of historical financial performance and of the value-creation process.</w:t>
      </w:r>
      <w:r>
        <w:rPr>
          <w:rFonts w:ascii="Times New Roman" w:hAnsi="Times New Roman" w:cs="Times New Roman"/>
          <w:sz w:val="20"/>
          <w:szCs w:val="20"/>
          <w:lang w:val="en-GB"/>
        </w:rPr>
        <w:t xml:space="preserve"> … </w:t>
      </w:r>
      <w:r w:rsidRPr="00686181">
        <w:rPr>
          <w:rFonts w:ascii="Times New Roman" w:hAnsi="Times New Roman" w:cs="Times New Roman"/>
          <w:sz w:val="20"/>
          <w:szCs w:val="20"/>
          <w:lang w:val="en-GB"/>
        </w:rPr>
        <w:t>Corporate reports are already long and, in many cases, they are getting longer. Length and excessive detail can obscure critical information rather than aid understanding</w:t>
      </w:r>
      <w:r w:rsidR="00702C01">
        <w:rPr>
          <w:rFonts w:ascii="Times New Roman" w:hAnsi="Times New Roman" w:cs="Times New Roman"/>
          <w:sz w:val="20"/>
          <w:szCs w:val="20"/>
          <w:lang w:val="en-GB"/>
        </w:rPr>
        <w:t>.</w:t>
      </w:r>
      <w:r w:rsidR="00373A4A">
        <w:rPr>
          <w:rFonts w:ascii="Times New Roman" w:hAnsi="Times New Roman" w:cs="Times New Roman"/>
          <w:sz w:val="20"/>
          <w:szCs w:val="20"/>
          <w:lang w:val="en-GB"/>
        </w:rPr>
        <w:t xml:space="preserve"> (IIRC, 2011: </w:t>
      </w:r>
      <w:r w:rsidR="00AC3A23">
        <w:rPr>
          <w:rFonts w:ascii="Times New Roman" w:hAnsi="Times New Roman" w:cs="Times New Roman"/>
          <w:sz w:val="20"/>
          <w:szCs w:val="20"/>
          <w:lang w:val="en-GB"/>
        </w:rPr>
        <w:t>10 and 11)</w:t>
      </w:r>
    </w:p>
    <w:p w14:paraId="38ED2C4B" w14:textId="77777777" w:rsidR="00E7560E" w:rsidRDefault="00E7560E" w:rsidP="00686181">
      <w:pPr>
        <w:autoSpaceDE w:val="0"/>
        <w:autoSpaceDN w:val="0"/>
        <w:adjustRightInd w:val="0"/>
        <w:spacing w:after="0" w:line="240" w:lineRule="auto"/>
        <w:ind w:left="708"/>
        <w:rPr>
          <w:rFonts w:ascii="Times New Roman" w:hAnsi="Times New Roman" w:cs="Times New Roman"/>
          <w:sz w:val="20"/>
          <w:szCs w:val="20"/>
          <w:lang w:val="en-GB"/>
        </w:rPr>
      </w:pPr>
    </w:p>
    <w:p w14:paraId="479A2AB5" w14:textId="77777777" w:rsidR="00C25219" w:rsidRDefault="00C25219" w:rsidP="00422BEF">
      <w:pPr>
        <w:spacing w:line="360" w:lineRule="auto"/>
        <w:ind w:firstLine="708"/>
        <w:jc w:val="both"/>
        <w:rPr>
          <w:rFonts w:ascii="Times New Roman" w:hAnsi="Times New Roman" w:cs="Times New Roman"/>
          <w:lang w:val="en-US"/>
        </w:rPr>
      </w:pPr>
    </w:p>
    <w:p w14:paraId="4E88349B" w14:textId="7468F794" w:rsidR="00422BEF" w:rsidRDefault="00422BEF" w:rsidP="00422BEF">
      <w:pPr>
        <w:spacing w:line="360" w:lineRule="auto"/>
        <w:ind w:firstLine="708"/>
        <w:jc w:val="both"/>
        <w:rPr>
          <w:rFonts w:ascii="Times New Roman" w:hAnsi="Times New Roman" w:cs="Times New Roman"/>
          <w:lang w:val="en-US"/>
        </w:rPr>
      </w:pPr>
      <w:r w:rsidRPr="00DD1E36">
        <w:rPr>
          <w:rFonts w:ascii="Times New Roman" w:hAnsi="Times New Roman" w:cs="Times New Roman"/>
          <w:lang w:val="en-US"/>
        </w:rPr>
        <w:t xml:space="preserve"> The financial reporting model was </w:t>
      </w:r>
      <w:r w:rsidR="008B5781" w:rsidRPr="008B5781">
        <w:rPr>
          <w:rFonts w:ascii="Times New Roman" w:hAnsi="Times New Roman" w:cs="Times New Roman"/>
          <w:lang w:val="en-US"/>
        </w:rPr>
        <w:t>deemed</w:t>
      </w:r>
      <w:r w:rsidR="008B5781">
        <w:rPr>
          <w:rFonts w:ascii="Times New Roman" w:hAnsi="Times New Roman" w:cs="Times New Roman"/>
          <w:lang w:val="en-US"/>
        </w:rPr>
        <w:t xml:space="preserve"> </w:t>
      </w:r>
      <w:r w:rsidR="00E7560E">
        <w:rPr>
          <w:rFonts w:ascii="Times New Roman" w:hAnsi="Times New Roman" w:cs="Times New Roman"/>
          <w:lang w:val="en-US"/>
        </w:rPr>
        <w:t xml:space="preserve">to be </w:t>
      </w:r>
      <w:r w:rsidR="008B5781">
        <w:rPr>
          <w:rFonts w:ascii="Times New Roman" w:hAnsi="Times New Roman" w:cs="Times New Roman"/>
          <w:lang w:val="en-US"/>
        </w:rPr>
        <w:t xml:space="preserve">both </w:t>
      </w:r>
      <w:r w:rsidRPr="00DD1E36">
        <w:rPr>
          <w:rFonts w:ascii="Times New Roman" w:hAnsi="Times New Roman" w:cs="Times New Roman"/>
          <w:lang w:val="en-US"/>
        </w:rPr>
        <w:t xml:space="preserve">broken and too narrowly </w:t>
      </w:r>
      <w:r w:rsidR="00E7560E">
        <w:rPr>
          <w:rFonts w:ascii="Times New Roman" w:hAnsi="Times New Roman" w:cs="Times New Roman"/>
          <w:lang w:val="en-US"/>
        </w:rPr>
        <w:t xml:space="preserve">focused </w:t>
      </w:r>
      <w:r w:rsidRPr="00DD1E36">
        <w:rPr>
          <w:rFonts w:ascii="Times New Roman" w:hAnsi="Times New Roman" w:cs="Times New Roman"/>
          <w:lang w:val="en-US"/>
        </w:rPr>
        <w:t>on mandated disclosures</w:t>
      </w:r>
      <w:r w:rsidR="00A650DC">
        <w:rPr>
          <w:rFonts w:ascii="Times New Roman" w:hAnsi="Times New Roman" w:cs="Times New Roman"/>
          <w:lang w:val="en-US"/>
        </w:rPr>
        <w:t xml:space="preserve">. </w:t>
      </w:r>
      <w:r w:rsidR="00ED18D2">
        <w:rPr>
          <w:rFonts w:ascii="Times New Roman" w:hAnsi="Times New Roman" w:cs="Times New Roman"/>
          <w:lang w:val="en-US"/>
        </w:rPr>
        <w:t>I</w:t>
      </w:r>
      <w:r w:rsidR="00121D10">
        <w:rPr>
          <w:rFonts w:ascii="Times New Roman" w:hAnsi="Times New Roman" w:cs="Times New Roman"/>
          <w:lang w:val="en-US"/>
        </w:rPr>
        <w:t>ntegrated reporting</w:t>
      </w:r>
      <w:r w:rsidR="00B61B32">
        <w:rPr>
          <w:rFonts w:ascii="Times New Roman" w:hAnsi="Times New Roman" w:cs="Times New Roman"/>
          <w:lang w:val="en-US"/>
        </w:rPr>
        <w:t xml:space="preserve"> </w:t>
      </w:r>
      <w:r w:rsidR="00B30045">
        <w:rPr>
          <w:rFonts w:ascii="Times New Roman" w:hAnsi="Times New Roman" w:cs="Times New Roman"/>
          <w:lang w:val="en-US"/>
        </w:rPr>
        <w:t xml:space="preserve">was held </w:t>
      </w:r>
      <w:r w:rsidR="00B61B32">
        <w:rPr>
          <w:rFonts w:ascii="Times New Roman" w:hAnsi="Times New Roman" w:cs="Times New Roman"/>
          <w:lang w:val="en-US"/>
        </w:rPr>
        <w:t xml:space="preserve">up as a </w:t>
      </w:r>
      <w:r w:rsidR="00482248">
        <w:rPr>
          <w:rFonts w:ascii="Times New Roman" w:hAnsi="Times New Roman" w:cs="Times New Roman"/>
          <w:lang w:val="en-US"/>
        </w:rPr>
        <w:t xml:space="preserve">flattering </w:t>
      </w:r>
      <w:r w:rsidR="00B61B32">
        <w:rPr>
          <w:rFonts w:ascii="Times New Roman" w:hAnsi="Times New Roman" w:cs="Times New Roman"/>
          <w:lang w:val="en-US"/>
        </w:rPr>
        <w:t xml:space="preserve">contrast </w:t>
      </w:r>
      <w:r w:rsidR="00B30045">
        <w:rPr>
          <w:rFonts w:ascii="Times New Roman" w:hAnsi="Times New Roman" w:cs="Times New Roman"/>
          <w:lang w:val="en-US"/>
        </w:rPr>
        <w:t xml:space="preserve">and </w:t>
      </w:r>
      <w:r w:rsidR="00B61B32">
        <w:rPr>
          <w:rFonts w:ascii="Times New Roman" w:hAnsi="Times New Roman" w:cs="Times New Roman"/>
          <w:lang w:val="en-US"/>
        </w:rPr>
        <w:t xml:space="preserve">assigned characteristics suggesting that it would </w:t>
      </w:r>
      <w:r w:rsidRPr="00DD1E36">
        <w:rPr>
          <w:rFonts w:ascii="Times New Roman" w:hAnsi="Times New Roman" w:cs="Times New Roman"/>
          <w:lang w:val="en-US"/>
        </w:rPr>
        <w:t>cover</w:t>
      </w:r>
      <w:r w:rsidR="00A650DC">
        <w:rPr>
          <w:rFonts w:ascii="Times New Roman" w:hAnsi="Times New Roman" w:cs="Times New Roman"/>
          <w:lang w:val="en-US"/>
        </w:rPr>
        <w:t xml:space="preserve"> </w:t>
      </w:r>
      <w:r w:rsidRPr="00DD1E36">
        <w:rPr>
          <w:rFonts w:ascii="Times New Roman" w:hAnsi="Times New Roman" w:cs="Times New Roman"/>
          <w:lang w:val="en-US"/>
        </w:rPr>
        <w:t>a broad</w:t>
      </w:r>
      <w:r w:rsidR="00826D0C">
        <w:rPr>
          <w:rFonts w:ascii="Times New Roman" w:hAnsi="Times New Roman" w:cs="Times New Roman"/>
          <w:lang w:val="en-US"/>
        </w:rPr>
        <w:t>er</w:t>
      </w:r>
      <w:r w:rsidRPr="00DD1E36">
        <w:rPr>
          <w:rFonts w:ascii="Times New Roman" w:hAnsi="Times New Roman" w:cs="Times New Roman"/>
          <w:lang w:val="en-US"/>
        </w:rPr>
        <w:t xml:space="preserve"> range of positive and negative issues</w:t>
      </w:r>
      <w:r w:rsidR="00172F35">
        <w:rPr>
          <w:rFonts w:ascii="Times New Roman" w:hAnsi="Times New Roman" w:cs="Times New Roman"/>
          <w:lang w:val="en-US"/>
        </w:rPr>
        <w:t>:</w:t>
      </w:r>
    </w:p>
    <w:p w14:paraId="7A7B4C55" w14:textId="43026F02" w:rsidR="00702C01" w:rsidRPr="00686181" w:rsidRDefault="00C25219" w:rsidP="00686181">
      <w:pPr>
        <w:autoSpaceDE w:val="0"/>
        <w:autoSpaceDN w:val="0"/>
        <w:adjustRightInd w:val="0"/>
        <w:spacing w:after="0" w:line="240" w:lineRule="auto"/>
        <w:ind w:left="708"/>
        <w:jc w:val="both"/>
        <w:rPr>
          <w:rFonts w:ascii="Times New Roman" w:hAnsi="Times New Roman" w:cs="Times New Roman"/>
          <w:sz w:val="20"/>
          <w:szCs w:val="20"/>
          <w:lang w:val="en-GB"/>
        </w:rPr>
      </w:pPr>
      <w:r w:rsidRPr="00686181">
        <w:rPr>
          <w:rFonts w:ascii="Times New Roman" w:hAnsi="Times New Roman" w:cs="Times New Roman"/>
          <w:sz w:val="20"/>
          <w:szCs w:val="20"/>
          <w:lang w:val="en-GB"/>
        </w:rPr>
        <w:t>Integrated Reporting brings together the material information about an organization’s strategy, governance, performance and prospects in a way that reflects the commercial, social and environmental context within which it operates. It provides a clear and concise representation of how an organization demonstrates stewardship and how it creates value, now and in the future</w:t>
      </w:r>
      <w:r w:rsidR="00AC3A23" w:rsidRPr="00AC3A23">
        <w:rPr>
          <w:rFonts w:ascii="Times New Roman" w:hAnsi="Times New Roman" w:cs="Times New Roman"/>
          <w:sz w:val="20"/>
          <w:szCs w:val="20"/>
          <w:lang w:val="en-GB"/>
        </w:rPr>
        <w:t xml:space="preserve"> … Integrated Reporting [will</w:t>
      </w:r>
      <w:r w:rsidR="00AC3A23">
        <w:rPr>
          <w:rFonts w:ascii="Times New Roman" w:hAnsi="Times New Roman" w:cs="Times New Roman"/>
          <w:sz w:val="20"/>
          <w:szCs w:val="20"/>
          <w:lang w:val="en-GB"/>
        </w:rPr>
        <w:t>]</w:t>
      </w:r>
      <w:r w:rsidRPr="00686181">
        <w:rPr>
          <w:rFonts w:ascii="Times New Roman" w:hAnsi="Times New Roman" w:cs="Times New Roman"/>
          <w:sz w:val="20"/>
          <w:szCs w:val="20"/>
          <w:lang w:val="en-GB"/>
        </w:rPr>
        <w:t xml:space="preserve"> </w:t>
      </w:r>
      <w:proofErr w:type="spellStart"/>
      <w:r w:rsidRPr="00686181">
        <w:rPr>
          <w:rFonts w:ascii="Times New Roman" w:hAnsi="Times New Roman" w:cs="Times New Roman"/>
          <w:sz w:val="20"/>
          <w:szCs w:val="20"/>
          <w:lang w:val="en-GB"/>
        </w:rPr>
        <w:t>improv</w:t>
      </w:r>
      <w:proofErr w:type="spellEnd"/>
      <w:r w:rsidRPr="00686181">
        <w:rPr>
          <w:rFonts w:ascii="Times New Roman" w:hAnsi="Times New Roman" w:cs="Times New Roman"/>
          <w:sz w:val="20"/>
          <w:szCs w:val="20"/>
          <w:lang w:val="en-GB"/>
        </w:rPr>
        <w:t>[e] … investors’, and other stakeholders’, insight and understanding</w:t>
      </w:r>
      <w:r w:rsidR="00702C01" w:rsidRPr="00686181">
        <w:rPr>
          <w:rFonts w:ascii="Times New Roman" w:hAnsi="Times New Roman" w:cs="Times New Roman"/>
          <w:sz w:val="20"/>
          <w:szCs w:val="20"/>
          <w:lang w:val="en-GB"/>
        </w:rPr>
        <w:t xml:space="preserve"> [as] only the most material information [will] be included in the Integrated Report.</w:t>
      </w:r>
      <w:r w:rsidR="00AC3A23">
        <w:rPr>
          <w:rFonts w:ascii="Times New Roman" w:hAnsi="Times New Roman" w:cs="Times New Roman"/>
          <w:sz w:val="20"/>
          <w:szCs w:val="20"/>
          <w:lang w:val="en-GB"/>
        </w:rPr>
        <w:t xml:space="preserve"> </w:t>
      </w:r>
      <w:r w:rsidR="00373A4A" w:rsidRPr="00373A4A">
        <w:rPr>
          <w:rFonts w:ascii="Times New Roman" w:hAnsi="Times New Roman" w:cs="Times New Roman"/>
          <w:sz w:val="20"/>
          <w:szCs w:val="20"/>
          <w:lang w:val="en-GB"/>
        </w:rPr>
        <w:t>(IIRC, 2011</w:t>
      </w:r>
      <w:r w:rsidR="00373A4A">
        <w:rPr>
          <w:rFonts w:ascii="Times New Roman" w:hAnsi="Times New Roman" w:cs="Times New Roman"/>
          <w:sz w:val="20"/>
          <w:szCs w:val="20"/>
          <w:lang w:val="en-GB"/>
        </w:rPr>
        <w:t xml:space="preserve">: </w:t>
      </w:r>
      <w:r w:rsidR="00702C01" w:rsidRPr="00686181">
        <w:rPr>
          <w:rFonts w:ascii="Times New Roman" w:hAnsi="Times New Roman" w:cs="Times New Roman"/>
          <w:sz w:val="20"/>
          <w:szCs w:val="20"/>
          <w:lang w:val="en-GB"/>
        </w:rPr>
        <w:t>11 and 13)</w:t>
      </w:r>
    </w:p>
    <w:p w14:paraId="279167B7" w14:textId="77777777" w:rsidR="00C25219" w:rsidRDefault="00C25219" w:rsidP="00686181">
      <w:pPr>
        <w:autoSpaceDE w:val="0"/>
        <w:autoSpaceDN w:val="0"/>
        <w:adjustRightInd w:val="0"/>
        <w:spacing w:after="0" w:line="240" w:lineRule="auto"/>
        <w:rPr>
          <w:rFonts w:ascii="FuturaStd-Medium" w:hAnsi="FuturaStd-Medium" w:cs="FuturaStd-Medium"/>
          <w:sz w:val="24"/>
          <w:szCs w:val="24"/>
          <w:lang w:val="en-GB"/>
        </w:rPr>
      </w:pPr>
    </w:p>
    <w:p w14:paraId="1044A2C9" w14:textId="77777777" w:rsidR="00C25219" w:rsidRPr="00686181" w:rsidRDefault="00C25219" w:rsidP="00686181">
      <w:pPr>
        <w:autoSpaceDE w:val="0"/>
        <w:autoSpaceDN w:val="0"/>
        <w:adjustRightInd w:val="0"/>
        <w:spacing w:after="0" w:line="240" w:lineRule="auto"/>
        <w:ind w:left="708"/>
        <w:rPr>
          <w:rFonts w:ascii="FuturaStd-Medium" w:hAnsi="FuturaStd-Medium" w:cs="FuturaStd-Medium"/>
          <w:sz w:val="24"/>
          <w:szCs w:val="24"/>
          <w:lang w:val="en-GB"/>
        </w:rPr>
      </w:pPr>
    </w:p>
    <w:p w14:paraId="0DA959D8" w14:textId="48730DBF" w:rsidR="005D3266" w:rsidRDefault="00422BEF" w:rsidP="00422BEF">
      <w:pPr>
        <w:spacing w:line="360" w:lineRule="auto"/>
        <w:ind w:firstLine="708"/>
        <w:jc w:val="both"/>
        <w:rPr>
          <w:rFonts w:ascii="Times New Roman" w:hAnsi="Times New Roman" w:cs="Times New Roman"/>
          <w:lang w:val="en-US"/>
        </w:rPr>
      </w:pPr>
      <w:r>
        <w:rPr>
          <w:rFonts w:ascii="Times New Roman" w:hAnsi="Times New Roman" w:cs="Times New Roman"/>
          <w:lang w:val="en-US"/>
        </w:rPr>
        <w:t>Escalating</w:t>
      </w:r>
      <w:r w:rsidRPr="00DD1E36">
        <w:rPr>
          <w:rFonts w:ascii="Times New Roman" w:hAnsi="Times New Roman" w:cs="Times New Roman"/>
          <w:lang w:val="en-US"/>
        </w:rPr>
        <w:t xml:space="preserve"> </w:t>
      </w:r>
      <w:r w:rsidRPr="005E1F3B">
        <w:rPr>
          <w:rFonts w:ascii="Times New Roman" w:hAnsi="Times New Roman" w:cs="Times New Roman"/>
          <w:lang w:val="en-US"/>
        </w:rPr>
        <w:t>demands for a</w:t>
      </w:r>
      <w:r w:rsidR="00562427">
        <w:rPr>
          <w:rFonts w:ascii="Times New Roman" w:hAnsi="Times New Roman" w:cs="Times New Roman"/>
          <w:lang w:val="en-US"/>
        </w:rPr>
        <w:t xml:space="preserve"> </w:t>
      </w:r>
      <w:r w:rsidRPr="005E1F3B">
        <w:rPr>
          <w:rFonts w:ascii="Times New Roman" w:hAnsi="Times New Roman" w:cs="Times New Roman"/>
          <w:lang w:val="en-US"/>
        </w:rPr>
        <w:t>broad information</w:t>
      </w:r>
      <w:r w:rsidR="005D3266">
        <w:rPr>
          <w:rFonts w:ascii="Times New Roman" w:hAnsi="Times New Roman" w:cs="Times New Roman"/>
          <w:lang w:val="en-US"/>
        </w:rPr>
        <w:t>-</w:t>
      </w:r>
      <w:r w:rsidRPr="005E1F3B">
        <w:rPr>
          <w:rFonts w:ascii="Times New Roman" w:hAnsi="Times New Roman" w:cs="Times New Roman"/>
          <w:lang w:val="en-US"/>
        </w:rPr>
        <w:t xml:space="preserve">set from markets, regulators and civil society </w:t>
      </w:r>
      <w:r w:rsidRPr="00962060">
        <w:rPr>
          <w:rFonts w:ascii="Times New Roman" w:hAnsi="Times New Roman" w:cs="Times New Roman"/>
          <w:lang w:val="en-US"/>
        </w:rPr>
        <w:t xml:space="preserve">were held to necessitate a </w:t>
      </w:r>
      <w:r w:rsidRPr="003E4079">
        <w:rPr>
          <w:rFonts w:ascii="Times New Roman" w:hAnsi="Times New Roman" w:cs="Times New Roman"/>
          <w:lang w:val="en-US"/>
        </w:rPr>
        <w:t xml:space="preserve">new </w:t>
      </w:r>
      <w:r w:rsidR="00A97B9F" w:rsidRPr="005E7227">
        <w:rPr>
          <w:rFonts w:ascii="Times New Roman" w:hAnsi="Times New Roman" w:cs="Times New Roman"/>
          <w:lang w:val="en-US"/>
        </w:rPr>
        <w:t xml:space="preserve">framework </w:t>
      </w:r>
      <w:r w:rsidRPr="005E7227">
        <w:rPr>
          <w:rFonts w:ascii="Times New Roman" w:hAnsi="Times New Roman" w:cs="Times New Roman"/>
          <w:lang w:val="en-US"/>
        </w:rPr>
        <w:t xml:space="preserve">to support the future development of corporate reporting. </w:t>
      </w:r>
      <w:r w:rsidR="00ED18D2">
        <w:rPr>
          <w:rFonts w:ascii="Times New Roman" w:hAnsi="Times New Roman" w:cs="Times New Roman"/>
          <w:lang w:val="en-US"/>
        </w:rPr>
        <w:t>I</w:t>
      </w:r>
      <w:r w:rsidR="00121D10">
        <w:rPr>
          <w:rFonts w:ascii="Times New Roman" w:hAnsi="Times New Roman" w:cs="Times New Roman"/>
          <w:lang w:val="en-US"/>
        </w:rPr>
        <w:t>ntegrated reporting</w:t>
      </w:r>
      <w:r w:rsidRPr="005E7227">
        <w:rPr>
          <w:rFonts w:ascii="Times New Roman" w:hAnsi="Times New Roman" w:cs="Times New Roman"/>
          <w:lang w:val="en-US"/>
        </w:rPr>
        <w:t xml:space="preserve"> </w:t>
      </w:r>
      <w:r w:rsidR="00AC3A23">
        <w:rPr>
          <w:rFonts w:ascii="Times New Roman" w:hAnsi="Times New Roman" w:cs="Times New Roman"/>
          <w:lang w:val="en-US"/>
        </w:rPr>
        <w:t xml:space="preserve">was </w:t>
      </w:r>
      <w:r w:rsidR="00AC3A23" w:rsidRPr="005E7227">
        <w:rPr>
          <w:rFonts w:ascii="Times New Roman" w:hAnsi="Times New Roman" w:cs="Times New Roman"/>
          <w:lang w:val="en-US"/>
        </w:rPr>
        <w:t>offere</w:t>
      </w:r>
      <w:r w:rsidR="00AC3A23">
        <w:rPr>
          <w:rFonts w:ascii="Times New Roman" w:hAnsi="Times New Roman" w:cs="Times New Roman"/>
          <w:lang w:val="en-US"/>
        </w:rPr>
        <w:t>d as</w:t>
      </w:r>
      <w:r w:rsidR="00AC3A23" w:rsidRPr="005E7227">
        <w:rPr>
          <w:rFonts w:ascii="Times New Roman" w:hAnsi="Times New Roman" w:cs="Times New Roman"/>
          <w:lang w:val="en-US"/>
        </w:rPr>
        <w:t xml:space="preserve"> </w:t>
      </w:r>
      <w:r w:rsidRPr="005E7227">
        <w:rPr>
          <w:rFonts w:ascii="Times New Roman" w:hAnsi="Times New Roman" w:cs="Times New Roman"/>
          <w:lang w:val="en-US"/>
        </w:rPr>
        <w:t xml:space="preserve">the solution which would make visible </w:t>
      </w:r>
      <w:r w:rsidR="0054374D">
        <w:rPr>
          <w:rFonts w:ascii="Times New Roman" w:hAnsi="Times New Roman" w:cs="Times New Roman"/>
          <w:lang w:val="en-US"/>
        </w:rPr>
        <w:t xml:space="preserve">both </w:t>
      </w:r>
      <w:r w:rsidRPr="005E7227">
        <w:rPr>
          <w:rFonts w:ascii="Times New Roman" w:hAnsi="Times New Roman" w:cs="Times New Roman"/>
          <w:lang w:val="en-US"/>
        </w:rPr>
        <w:t>organizations’ use of</w:t>
      </w:r>
      <w:r w:rsidR="0054374D">
        <w:rPr>
          <w:rFonts w:ascii="Times New Roman" w:hAnsi="Times New Roman" w:cs="Times New Roman"/>
          <w:lang w:val="en-US"/>
        </w:rPr>
        <w:t xml:space="preserve"> (</w:t>
      </w:r>
      <w:r w:rsidRPr="005E7227">
        <w:rPr>
          <w:rFonts w:ascii="Times New Roman" w:hAnsi="Times New Roman" w:cs="Times New Roman"/>
          <w:lang w:val="en-US"/>
        </w:rPr>
        <w:t xml:space="preserve">and dependence </w:t>
      </w:r>
      <w:r w:rsidR="00756B4B">
        <w:rPr>
          <w:rFonts w:ascii="Times New Roman" w:hAnsi="Times New Roman" w:cs="Times New Roman"/>
          <w:lang w:val="en-US"/>
        </w:rPr>
        <w:t>up</w:t>
      </w:r>
      <w:r w:rsidRPr="005E7227">
        <w:rPr>
          <w:rFonts w:ascii="Times New Roman" w:hAnsi="Times New Roman" w:cs="Times New Roman"/>
          <w:lang w:val="en-US"/>
        </w:rPr>
        <w:t>on</w:t>
      </w:r>
      <w:r w:rsidR="0054374D">
        <w:rPr>
          <w:rFonts w:ascii="Times New Roman" w:hAnsi="Times New Roman" w:cs="Times New Roman"/>
          <w:lang w:val="en-US"/>
        </w:rPr>
        <w:t xml:space="preserve">) </w:t>
      </w:r>
      <w:r w:rsidRPr="005E7227">
        <w:rPr>
          <w:rFonts w:ascii="Times New Roman" w:hAnsi="Times New Roman" w:cs="Times New Roman"/>
          <w:lang w:val="en-US"/>
        </w:rPr>
        <w:t xml:space="preserve">different resources and relationships (termed ‘capitals’) and their access to </w:t>
      </w:r>
      <w:r w:rsidR="0054374D">
        <w:rPr>
          <w:rFonts w:ascii="Times New Roman" w:hAnsi="Times New Roman" w:cs="Times New Roman"/>
          <w:lang w:val="en-US"/>
        </w:rPr>
        <w:t>(</w:t>
      </w:r>
      <w:r w:rsidRPr="005E7227">
        <w:rPr>
          <w:rFonts w:ascii="Times New Roman" w:hAnsi="Times New Roman" w:cs="Times New Roman"/>
          <w:lang w:val="en-US"/>
        </w:rPr>
        <w:t>and impact on</w:t>
      </w:r>
      <w:r w:rsidR="0054374D">
        <w:rPr>
          <w:rFonts w:ascii="Times New Roman" w:hAnsi="Times New Roman" w:cs="Times New Roman"/>
          <w:lang w:val="en-US"/>
        </w:rPr>
        <w:t>)</w:t>
      </w:r>
      <w:r w:rsidRPr="005E7227">
        <w:rPr>
          <w:rFonts w:ascii="Times New Roman" w:hAnsi="Times New Roman" w:cs="Times New Roman"/>
          <w:lang w:val="en-US"/>
        </w:rPr>
        <w:t xml:space="preserve"> them</w:t>
      </w:r>
      <w:r w:rsidR="00DE1110">
        <w:rPr>
          <w:rFonts w:ascii="Times New Roman" w:hAnsi="Times New Roman" w:cs="Times New Roman"/>
          <w:lang w:val="en-US"/>
        </w:rPr>
        <w:t>. F</w:t>
      </w:r>
      <w:r w:rsidR="005157D3">
        <w:rPr>
          <w:rFonts w:ascii="Times New Roman" w:hAnsi="Times New Roman" w:cs="Times New Roman"/>
          <w:lang w:val="en-US"/>
        </w:rPr>
        <w:t>inancial reporting</w:t>
      </w:r>
      <w:r w:rsidR="00DE1110">
        <w:rPr>
          <w:rFonts w:ascii="Times New Roman" w:hAnsi="Times New Roman" w:cs="Times New Roman"/>
          <w:lang w:val="en-US"/>
        </w:rPr>
        <w:t xml:space="preserve"> was accused of failing to make these issues visible</w:t>
      </w:r>
      <w:r w:rsidR="00AC3A23">
        <w:rPr>
          <w:rFonts w:ascii="Times New Roman" w:hAnsi="Times New Roman" w:cs="Times New Roman"/>
          <w:lang w:val="en-US"/>
        </w:rPr>
        <w:t>:</w:t>
      </w:r>
    </w:p>
    <w:p w14:paraId="528B860B" w14:textId="5975A5F7" w:rsidR="005D3266" w:rsidRDefault="005D3266" w:rsidP="00686181">
      <w:pPr>
        <w:autoSpaceDE w:val="0"/>
        <w:autoSpaceDN w:val="0"/>
        <w:adjustRightInd w:val="0"/>
        <w:spacing w:after="0" w:line="240" w:lineRule="auto"/>
        <w:ind w:left="708"/>
        <w:jc w:val="both"/>
        <w:rPr>
          <w:rFonts w:ascii="Times New Roman" w:hAnsi="Times New Roman" w:cs="Times New Roman"/>
          <w:sz w:val="20"/>
          <w:szCs w:val="20"/>
          <w:lang w:val="en-GB"/>
        </w:rPr>
      </w:pPr>
      <w:r w:rsidRPr="00686181">
        <w:rPr>
          <w:rFonts w:ascii="Times New Roman" w:hAnsi="Times New Roman" w:cs="Times New Roman"/>
          <w:sz w:val="20"/>
          <w:szCs w:val="20"/>
          <w:lang w:val="en-GB"/>
        </w:rPr>
        <w:lastRenderedPageBreak/>
        <w:t xml:space="preserve">Annual reporting at present is largely focused on past financial performance and financial risks. Other reports and communications may cover other resources and relationships, but they are seldom presented in a connected way, or linked to the organization’s strategic objectives and its ability to create and sustain value in the future. </w:t>
      </w:r>
      <w:r w:rsidR="00373A4A">
        <w:rPr>
          <w:rFonts w:ascii="Times New Roman" w:hAnsi="Times New Roman" w:cs="Times New Roman"/>
          <w:sz w:val="20"/>
          <w:szCs w:val="20"/>
          <w:lang w:val="en-GB"/>
        </w:rPr>
        <w:t xml:space="preserve">(IIRC, 2011: </w:t>
      </w:r>
      <w:r w:rsidRPr="00686181">
        <w:rPr>
          <w:rFonts w:ascii="Times New Roman" w:hAnsi="Times New Roman" w:cs="Times New Roman"/>
          <w:sz w:val="20"/>
          <w:szCs w:val="20"/>
          <w:lang w:val="en-GB"/>
        </w:rPr>
        <w:t>18).</w:t>
      </w:r>
    </w:p>
    <w:p w14:paraId="5BA66B09" w14:textId="77777777" w:rsidR="00C43D96" w:rsidRPr="00686181" w:rsidRDefault="00C43D96" w:rsidP="00686181">
      <w:pPr>
        <w:autoSpaceDE w:val="0"/>
        <w:autoSpaceDN w:val="0"/>
        <w:adjustRightInd w:val="0"/>
        <w:spacing w:after="0" w:line="240" w:lineRule="auto"/>
        <w:ind w:left="708"/>
        <w:rPr>
          <w:rFonts w:ascii="Times New Roman" w:hAnsi="Times New Roman" w:cs="Times New Roman"/>
          <w:sz w:val="20"/>
          <w:szCs w:val="20"/>
          <w:lang w:val="en-GB"/>
        </w:rPr>
      </w:pPr>
    </w:p>
    <w:p w14:paraId="307F2D02" w14:textId="4180C4DB" w:rsidR="00ED18D2" w:rsidRDefault="00ED18D2" w:rsidP="00422BEF">
      <w:pPr>
        <w:spacing w:line="360" w:lineRule="auto"/>
        <w:ind w:firstLine="708"/>
        <w:jc w:val="both"/>
        <w:rPr>
          <w:rFonts w:ascii="Times New Roman" w:hAnsi="Times New Roman" w:cs="Times New Roman"/>
          <w:lang w:val="en-US"/>
        </w:rPr>
      </w:pPr>
      <w:r>
        <w:rPr>
          <w:rFonts w:ascii="Times New Roman" w:hAnsi="Times New Roman" w:cs="Times New Roman"/>
          <w:lang w:val="en-US"/>
        </w:rPr>
        <w:t>I</w:t>
      </w:r>
      <w:r w:rsidR="00121D10">
        <w:rPr>
          <w:rFonts w:ascii="Times New Roman" w:hAnsi="Times New Roman" w:cs="Times New Roman"/>
          <w:lang w:val="en-US"/>
        </w:rPr>
        <w:t>ntegrated reporting</w:t>
      </w:r>
      <w:r w:rsidR="00422BEF" w:rsidRPr="005E7227">
        <w:rPr>
          <w:rFonts w:ascii="Times New Roman" w:hAnsi="Times New Roman" w:cs="Times New Roman"/>
          <w:lang w:val="en-US"/>
        </w:rPr>
        <w:t xml:space="preserve"> was </w:t>
      </w:r>
      <w:r w:rsidR="00756B4B">
        <w:rPr>
          <w:rFonts w:ascii="Times New Roman" w:hAnsi="Times New Roman" w:cs="Times New Roman"/>
          <w:lang w:val="en-US"/>
        </w:rPr>
        <w:t>argued to be</w:t>
      </w:r>
      <w:r w:rsidR="00AC3A23">
        <w:rPr>
          <w:rFonts w:ascii="Times New Roman" w:hAnsi="Times New Roman" w:cs="Times New Roman"/>
          <w:lang w:val="en-US"/>
        </w:rPr>
        <w:t xml:space="preserve"> </w:t>
      </w:r>
      <w:r w:rsidR="00422BEF" w:rsidRPr="005E7227">
        <w:rPr>
          <w:rFonts w:ascii="Times New Roman" w:hAnsi="Times New Roman" w:cs="Times New Roman"/>
          <w:lang w:val="en-US"/>
        </w:rPr>
        <w:t>cr</w:t>
      </w:r>
      <w:r w:rsidR="00826D0C">
        <w:rPr>
          <w:rFonts w:ascii="Times New Roman" w:hAnsi="Times New Roman" w:cs="Times New Roman"/>
          <w:lang w:val="en-US"/>
        </w:rPr>
        <w:t>ucial</w:t>
      </w:r>
      <w:r w:rsidR="00422BEF" w:rsidRPr="005E7227">
        <w:rPr>
          <w:rFonts w:ascii="Times New Roman" w:hAnsi="Times New Roman" w:cs="Times New Roman"/>
          <w:lang w:val="en-US"/>
        </w:rPr>
        <w:t xml:space="preserve"> as it </w:t>
      </w:r>
      <w:r w:rsidR="00756B4B">
        <w:rPr>
          <w:rFonts w:ascii="Times New Roman" w:hAnsi="Times New Roman" w:cs="Times New Roman"/>
          <w:lang w:val="en-US"/>
        </w:rPr>
        <w:t>promised</w:t>
      </w:r>
      <w:r w:rsidR="00422BEF" w:rsidRPr="005E7227">
        <w:rPr>
          <w:rFonts w:ascii="Times New Roman" w:hAnsi="Times New Roman" w:cs="Times New Roman"/>
          <w:lang w:val="en-US"/>
        </w:rPr>
        <w:t xml:space="preserve"> a meaningful assessment</w:t>
      </w:r>
      <w:r w:rsidR="00422BEF" w:rsidRPr="005E1F3B">
        <w:rPr>
          <w:rFonts w:ascii="Times New Roman" w:hAnsi="Times New Roman" w:cs="Times New Roman"/>
          <w:lang w:val="en-US"/>
        </w:rPr>
        <w:t xml:space="preserve"> of the </w:t>
      </w:r>
      <w:r w:rsidR="00422BEF" w:rsidRPr="005E7227">
        <w:rPr>
          <w:rFonts w:ascii="Times New Roman" w:hAnsi="Times New Roman" w:cs="Times New Roman"/>
          <w:lang w:val="en-US"/>
        </w:rPr>
        <w:t>long-term viability</w:t>
      </w:r>
      <w:r w:rsidR="00422BEF" w:rsidRPr="005E1F3B">
        <w:rPr>
          <w:rFonts w:ascii="Times New Roman" w:hAnsi="Times New Roman" w:cs="Times New Roman"/>
          <w:lang w:val="en-US"/>
        </w:rPr>
        <w:t xml:space="preserve"> of an organization’s business model and strategy, meet</w:t>
      </w:r>
      <w:r w:rsidR="00756B4B">
        <w:rPr>
          <w:rFonts w:ascii="Times New Roman" w:hAnsi="Times New Roman" w:cs="Times New Roman"/>
          <w:lang w:val="en-US"/>
        </w:rPr>
        <w:t>ing</w:t>
      </w:r>
      <w:r w:rsidR="00422BEF" w:rsidRPr="005E1F3B">
        <w:rPr>
          <w:rFonts w:ascii="Times New Roman" w:hAnsi="Times New Roman" w:cs="Times New Roman"/>
          <w:lang w:val="en-US"/>
        </w:rPr>
        <w:t xml:space="preserve"> the </w:t>
      </w:r>
      <w:r w:rsidR="00756B4B">
        <w:rPr>
          <w:rFonts w:ascii="Times New Roman" w:hAnsi="Times New Roman" w:cs="Times New Roman"/>
          <w:lang w:val="en-US"/>
        </w:rPr>
        <w:t xml:space="preserve">claimed </w:t>
      </w:r>
      <w:r w:rsidR="00422BEF" w:rsidRPr="005E1F3B">
        <w:rPr>
          <w:rFonts w:ascii="Times New Roman" w:hAnsi="Times New Roman" w:cs="Times New Roman"/>
          <w:lang w:val="en-US"/>
        </w:rPr>
        <w:t xml:space="preserve">information needs of </w:t>
      </w:r>
      <w:r w:rsidR="00422BEF" w:rsidRPr="005E7227">
        <w:rPr>
          <w:rFonts w:ascii="Times New Roman" w:hAnsi="Times New Roman" w:cs="Times New Roman"/>
          <w:lang w:val="en-US"/>
        </w:rPr>
        <w:t>investors and other stakeholders</w:t>
      </w:r>
      <w:r w:rsidR="00422BEF" w:rsidRPr="005E1F3B">
        <w:rPr>
          <w:rFonts w:ascii="Times New Roman" w:hAnsi="Times New Roman" w:cs="Times New Roman"/>
          <w:lang w:val="en-US"/>
        </w:rPr>
        <w:t xml:space="preserve"> and</w:t>
      </w:r>
      <w:r w:rsidR="008B5781" w:rsidRPr="006204BB">
        <w:rPr>
          <w:rFonts w:ascii="Times New Roman" w:hAnsi="Times New Roman" w:cs="Times New Roman"/>
          <w:lang w:val="en-US"/>
        </w:rPr>
        <w:t>,</w:t>
      </w:r>
      <w:r w:rsidR="00422BEF" w:rsidRPr="006204BB">
        <w:rPr>
          <w:rFonts w:ascii="Times New Roman" w:hAnsi="Times New Roman" w:cs="Times New Roman"/>
          <w:lang w:val="en-US"/>
        </w:rPr>
        <w:t xml:space="preserve"> ultimately, ensur</w:t>
      </w:r>
      <w:r w:rsidR="00756B4B">
        <w:rPr>
          <w:rFonts w:ascii="Times New Roman" w:hAnsi="Times New Roman" w:cs="Times New Roman"/>
          <w:lang w:val="en-US"/>
        </w:rPr>
        <w:t>ing</w:t>
      </w:r>
      <w:r w:rsidR="00422BEF" w:rsidRPr="006204BB">
        <w:rPr>
          <w:rFonts w:ascii="Times New Roman" w:hAnsi="Times New Roman" w:cs="Times New Roman"/>
          <w:lang w:val="en-US"/>
        </w:rPr>
        <w:t xml:space="preserve"> the effective allocation of scarce resources. </w:t>
      </w:r>
    </w:p>
    <w:p w14:paraId="5A570E53" w14:textId="51275BF5" w:rsidR="00422BEF" w:rsidRDefault="00B32193" w:rsidP="00422BEF">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The </w:t>
      </w:r>
      <w:r w:rsidR="00992A1D">
        <w:rPr>
          <w:rFonts w:ascii="Times New Roman" w:hAnsi="Times New Roman" w:cs="Times New Roman"/>
          <w:lang w:val="en-US"/>
        </w:rPr>
        <w:t>claimed distinct</w:t>
      </w:r>
      <w:r w:rsidR="002B4CFC">
        <w:rPr>
          <w:rFonts w:ascii="Times New Roman" w:hAnsi="Times New Roman" w:cs="Times New Roman"/>
          <w:lang w:val="en-US"/>
        </w:rPr>
        <w:t>ive</w:t>
      </w:r>
      <w:r w:rsidR="00992A1D">
        <w:rPr>
          <w:rFonts w:ascii="Times New Roman" w:hAnsi="Times New Roman" w:cs="Times New Roman"/>
          <w:lang w:val="en-US"/>
        </w:rPr>
        <w:t xml:space="preserve"> characteristics </w:t>
      </w:r>
      <w:r>
        <w:rPr>
          <w:rFonts w:ascii="Times New Roman" w:hAnsi="Times New Roman" w:cs="Times New Roman"/>
          <w:lang w:val="en-US"/>
        </w:rPr>
        <w:t xml:space="preserve">of integrated reporting </w:t>
      </w:r>
      <w:r w:rsidR="005B4462">
        <w:rPr>
          <w:rFonts w:ascii="Times New Roman" w:hAnsi="Times New Roman" w:cs="Times New Roman"/>
          <w:lang w:val="en-US"/>
        </w:rPr>
        <w:t>were central to efforts to construct a boundary aroun</w:t>
      </w:r>
      <w:r w:rsidR="00C1692B">
        <w:rPr>
          <w:rFonts w:ascii="Times New Roman" w:hAnsi="Times New Roman" w:cs="Times New Roman"/>
          <w:lang w:val="en-US"/>
        </w:rPr>
        <w:t>d the</w:t>
      </w:r>
      <w:r w:rsidR="002B4CFC">
        <w:rPr>
          <w:rFonts w:ascii="Times New Roman" w:hAnsi="Times New Roman" w:cs="Times New Roman"/>
          <w:lang w:val="en-US"/>
        </w:rPr>
        <w:t xml:space="preserve"> notion of</w:t>
      </w:r>
      <w:r w:rsidR="00C1692B">
        <w:rPr>
          <w:rFonts w:ascii="Times New Roman" w:hAnsi="Times New Roman" w:cs="Times New Roman"/>
          <w:lang w:val="en-US"/>
        </w:rPr>
        <w:t xml:space="preserve"> </w:t>
      </w:r>
      <w:r w:rsidR="00121D10">
        <w:rPr>
          <w:rFonts w:ascii="Times New Roman" w:hAnsi="Times New Roman" w:cs="Times New Roman"/>
          <w:lang w:val="en-US"/>
        </w:rPr>
        <w:t>integrated reporting</w:t>
      </w:r>
      <w:r w:rsidR="00C1692B">
        <w:rPr>
          <w:rFonts w:ascii="Times New Roman" w:hAnsi="Times New Roman" w:cs="Times New Roman"/>
          <w:lang w:val="en-US"/>
        </w:rPr>
        <w:t xml:space="preserve">. </w:t>
      </w:r>
      <w:r w:rsidR="002B4CFC">
        <w:rPr>
          <w:rFonts w:ascii="Times New Roman" w:hAnsi="Times New Roman" w:cs="Times New Roman"/>
          <w:lang w:val="en-US"/>
        </w:rPr>
        <w:t>It was proposed that i</w:t>
      </w:r>
      <w:r w:rsidR="00121D10">
        <w:rPr>
          <w:rFonts w:ascii="Times New Roman" w:hAnsi="Times New Roman" w:cs="Times New Roman"/>
          <w:lang w:val="en-US"/>
        </w:rPr>
        <w:t>ntegrated reporting</w:t>
      </w:r>
      <w:r w:rsidR="00A650DC">
        <w:rPr>
          <w:rFonts w:ascii="Times New Roman" w:hAnsi="Times New Roman" w:cs="Times New Roman"/>
          <w:lang w:val="en-US"/>
        </w:rPr>
        <w:t xml:space="preserve"> </w:t>
      </w:r>
      <w:r w:rsidR="002B4CFC">
        <w:rPr>
          <w:rFonts w:ascii="Times New Roman" w:hAnsi="Times New Roman" w:cs="Times New Roman"/>
          <w:lang w:val="en-US"/>
        </w:rPr>
        <w:t xml:space="preserve">would </w:t>
      </w:r>
      <w:r w:rsidR="00422BEF" w:rsidRPr="006204BB">
        <w:rPr>
          <w:rFonts w:ascii="Times New Roman" w:hAnsi="Times New Roman" w:cs="Times New Roman"/>
          <w:lang w:val="en-US"/>
        </w:rPr>
        <w:t>assist investors to make better long term investment returns</w:t>
      </w:r>
      <w:r w:rsidR="002B4CFC">
        <w:rPr>
          <w:rFonts w:ascii="Times New Roman" w:hAnsi="Times New Roman" w:cs="Times New Roman"/>
          <w:lang w:val="en-US"/>
        </w:rPr>
        <w:t>.  Likewise, through such reporting,</w:t>
      </w:r>
      <w:r w:rsidR="00DE1110">
        <w:rPr>
          <w:rFonts w:ascii="Times New Roman" w:hAnsi="Times New Roman" w:cs="Times New Roman"/>
          <w:lang w:val="en-US"/>
        </w:rPr>
        <w:t xml:space="preserve"> </w:t>
      </w:r>
      <w:r w:rsidR="00422BEF" w:rsidRPr="00DD1E36">
        <w:rPr>
          <w:rFonts w:ascii="Times New Roman" w:hAnsi="Times New Roman" w:cs="Times New Roman"/>
          <w:lang w:val="en-US"/>
        </w:rPr>
        <w:t>civil society would be able to assess organizations’ stewardship not only of financial capital but of human, natural, social and other ‘capitals</w:t>
      </w:r>
      <w:r w:rsidR="002B4CFC">
        <w:rPr>
          <w:rFonts w:ascii="Times New Roman" w:hAnsi="Times New Roman" w:cs="Times New Roman"/>
          <w:lang w:val="en-US"/>
        </w:rPr>
        <w:t xml:space="preserve">’.  </w:t>
      </w:r>
      <w:r w:rsidR="00422BEF" w:rsidRPr="00DD1E36">
        <w:rPr>
          <w:rFonts w:ascii="Times New Roman" w:hAnsi="Times New Roman" w:cs="Times New Roman"/>
          <w:lang w:val="en-US"/>
        </w:rPr>
        <w:t>‘</w:t>
      </w:r>
      <w:r w:rsidR="002B4CFC">
        <w:rPr>
          <w:rFonts w:ascii="Times New Roman" w:hAnsi="Times New Roman" w:cs="Times New Roman"/>
          <w:lang w:val="en-US"/>
        </w:rPr>
        <w:t>I</w:t>
      </w:r>
      <w:r w:rsidR="00422BEF" w:rsidRPr="00DD1E36">
        <w:rPr>
          <w:rFonts w:ascii="Times New Roman" w:hAnsi="Times New Roman" w:cs="Times New Roman"/>
          <w:lang w:val="en-US"/>
        </w:rPr>
        <w:t>ntegrated thinking’ would allow employees to identify how they contributed to the ability of an organization to ‘create and sustain value’ over time</w:t>
      </w:r>
      <w:r w:rsidR="002B4CFC">
        <w:rPr>
          <w:rFonts w:ascii="Times New Roman" w:hAnsi="Times New Roman" w:cs="Times New Roman"/>
          <w:lang w:val="en-US"/>
        </w:rPr>
        <w:t>.  L</w:t>
      </w:r>
      <w:r w:rsidR="00422BEF" w:rsidRPr="00DD1E36">
        <w:rPr>
          <w:rFonts w:ascii="Times New Roman" w:hAnsi="Times New Roman" w:cs="Times New Roman"/>
          <w:lang w:val="en-US"/>
        </w:rPr>
        <w:t xml:space="preserve">ower volatility in markets </w:t>
      </w:r>
      <w:r w:rsidR="002B4CFC">
        <w:rPr>
          <w:rFonts w:ascii="Times New Roman" w:hAnsi="Times New Roman" w:cs="Times New Roman"/>
          <w:lang w:val="en-US"/>
        </w:rPr>
        <w:t xml:space="preserve">was also expected to </w:t>
      </w:r>
      <w:r w:rsidR="00422BEF" w:rsidRPr="00DD1E36">
        <w:rPr>
          <w:rFonts w:ascii="Times New Roman" w:hAnsi="Times New Roman" w:cs="Times New Roman"/>
          <w:lang w:val="en-US"/>
        </w:rPr>
        <w:t xml:space="preserve">emerge due to </w:t>
      </w:r>
      <w:r w:rsidR="002B4CFC">
        <w:rPr>
          <w:rFonts w:ascii="Times New Roman" w:hAnsi="Times New Roman" w:cs="Times New Roman"/>
          <w:lang w:val="en-US"/>
        </w:rPr>
        <w:t xml:space="preserve">the </w:t>
      </w:r>
      <w:r w:rsidR="00422BEF" w:rsidRPr="00DD1E36">
        <w:rPr>
          <w:rFonts w:ascii="Times New Roman" w:hAnsi="Times New Roman" w:cs="Times New Roman"/>
          <w:lang w:val="en-US"/>
        </w:rPr>
        <w:t>improved</w:t>
      </w:r>
      <w:r w:rsidR="002B4CFC">
        <w:rPr>
          <w:rFonts w:ascii="Times New Roman" w:hAnsi="Times New Roman" w:cs="Times New Roman"/>
          <w:lang w:val="en-US"/>
        </w:rPr>
        <w:t xml:space="preserve"> and longer-term </w:t>
      </w:r>
      <w:r w:rsidR="00422BEF" w:rsidRPr="00DD1E36">
        <w:rPr>
          <w:rFonts w:ascii="Times New Roman" w:hAnsi="Times New Roman" w:cs="Times New Roman"/>
          <w:lang w:val="en-US"/>
        </w:rPr>
        <w:t>interna</w:t>
      </w:r>
      <w:r w:rsidR="004E3488">
        <w:rPr>
          <w:rFonts w:ascii="Times New Roman" w:hAnsi="Times New Roman" w:cs="Times New Roman"/>
          <w:lang w:val="en-US"/>
        </w:rPr>
        <w:t xml:space="preserve">l decision making </w:t>
      </w:r>
      <w:r w:rsidR="002B4CFC">
        <w:rPr>
          <w:rFonts w:ascii="Times New Roman" w:hAnsi="Times New Roman" w:cs="Times New Roman"/>
          <w:lang w:val="en-US"/>
        </w:rPr>
        <w:t>that inte</w:t>
      </w:r>
      <w:r w:rsidR="00121D10">
        <w:rPr>
          <w:rFonts w:ascii="Times New Roman" w:hAnsi="Times New Roman" w:cs="Times New Roman"/>
          <w:lang w:val="en-US"/>
        </w:rPr>
        <w:t>grated reporting</w:t>
      </w:r>
      <w:r w:rsidR="002B4CFC">
        <w:rPr>
          <w:rFonts w:ascii="Times New Roman" w:hAnsi="Times New Roman" w:cs="Times New Roman"/>
          <w:lang w:val="en-US"/>
        </w:rPr>
        <w:t xml:space="preserve"> was supposed to stimulate</w:t>
      </w:r>
      <w:r w:rsidR="00422BEF">
        <w:rPr>
          <w:rFonts w:ascii="Times New Roman" w:hAnsi="Times New Roman" w:cs="Times New Roman"/>
          <w:lang w:val="en-US"/>
        </w:rPr>
        <w:t>.</w:t>
      </w:r>
      <w:r w:rsidR="00422BEF" w:rsidRPr="00DD1E36">
        <w:rPr>
          <w:rFonts w:ascii="Times New Roman" w:hAnsi="Times New Roman" w:cs="Times New Roman"/>
          <w:lang w:val="en-US"/>
        </w:rPr>
        <w:t xml:space="preserve"> </w:t>
      </w:r>
    </w:p>
    <w:p w14:paraId="76DE9F18" w14:textId="546C82C8" w:rsidR="00ED18D2" w:rsidRDefault="00422BEF" w:rsidP="004E3488">
      <w:pPr>
        <w:spacing w:line="360" w:lineRule="auto"/>
        <w:ind w:firstLine="708"/>
        <w:jc w:val="both"/>
        <w:rPr>
          <w:rFonts w:ascii="Times New Roman" w:hAnsi="Times New Roman" w:cs="Times New Roman"/>
          <w:lang w:val="en-US"/>
        </w:rPr>
      </w:pPr>
      <w:r w:rsidRPr="00DD1E36">
        <w:rPr>
          <w:rFonts w:ascii="Times New Roman" w:hAnsi="Times New Roman" w:cs="Times New Roman"/>
          <w:lang w:val="en-US"/>
        </w:rPr>
        <w:t>The</w:t>
      </w:r>
      <w:r w:rsidR="00ED18D2">
        <w:rPr>
          <w:rFonts w:ascii="Times New Roman" w:hAnsi="Times New Roman" w:cs="Times New Roman"/>
          <w:lang w:val="en-US"/>
        </w:rPr>
        <w:t xml:space="preserve"> claimed</w:t>
      </w:r>
      <w:r w:rsidRPr="00DD1E36">
        <w:rPr>
          <w:rFonts w:ascii="Times New Roman" w:hAnsi="Times New Roman" w:cs="Times New Roman"/>
          <w:lang w:val="en-US"/>
        </w:rPr>
        <w:t xml:space="preserve"> long</w:t>
      </w:r>
      <w:r w:rsidR="008B5781">
        <w:rPr>
          <w:rFonts w:ascii="Times New Roman" w:hAnsi="Times New Roman" w:cs="Times New Roman"/>
          <w:lang w:val="en-US"/>
        </w:rPr>
        <w:t>-</w:t>
      </w:r>
      <w:r w:rsidRPr="00DD1E36">
        <w:rPr>
          <w:rFonts w:ascii="Times New Roman" w:hAnsi="Times New Roman" w:cs="Times New Roman"/>
          <w:lang w:val="en-US"/>
        </w:rPr>
        <w:t xml:space="preserve">term focus of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was </w:t>
      </w:r>
      <w:r w:rsidR="008B5781">
        <w:rPr>
          <w:rFonts w:ascii="Times New Roman" w:hAnsi="Times New Roman" w:cs="Times New Roman"/>
          <w:lang w:val="en-US"/>
        </w:rPr>
        <w:t xml:space="preserve">also </w:t>
      </w:r>
      <w:r w:rsidRPr="00DD1E36">
        <w:rPr>
          <w:rFonts w:ascii="Times New Roman" w:hAnsi="Times New Roman" w:cs="Times New Roman"/>
          <w:lang w:val="en-US"/>
        </w:rPr>
        <w:t xml:space="preserve">offered as a way of addressing some of the media and regulatory concerns surrounding short-termism </w:t>
      </w:r>
      <w:r w:rsidR="002B4CFC">
        <w:rPr>
          <w:rFonts w:ascii="Times New Roman" w:hAnsi="Times New Roman" w:cs="Times New Roman"/>
          <w:lang w:val="en-US"/>
        </w:rPr>
        <w:t xml:space="preserve">that had been stimulated by </w:t>
      </w:r>
      <w:r w:rsidRPr="00DD1E36">
        <w:rPr>
          <w:rFonts w:ascii="Times New Roman" w:hAnsi="Times New Roman" w:cs="Times New Roman"/>
          <w:lang w:val="en-US"/>
        </w:rPr>
        <w:t xml:space="preserve">the </w:t>
      </w:r>
      <w:r w:rsidR="006C1B7F">
        <w:rPr>
          <w:rFonts w:ascii="Times New Roman" w:hAnsi="Times New Roman" w:cs="Times New Roman"/>
          <w:lang w:val="en-US"/>
        </w:rPr>
        <w:t>g</w:t>
      </w:r>
      <w:r w:rsidR="00F05171">
        <w:rPr>
          <w:rFonts w:ascii="Times New Roman" w:hAnsi="Times New Roman" w:cs="Times New Roman"/>
          <w:lang w:val="en-US"/>
        </w:rPr>
        <w:t xml:space="preserve">lobal </w:t>
      </w:r>
      <w:r w:rsidR="006C1B7F">
        <w:rPr>
          <w:rFonts w:ascii="Times New Roman" w:hAnsi="Times New Roman" w:cs="Times New Roman"/>
          <w:lang w:val="en-US"/>
        </w:rPr>
        <w:t>f</w:t>
      </w:r>
      <w:r w:rsidRPr="00DD1E36">
        <w:rPr>
          <w:rFonts w:ascii="Times New Roman" w:hAnsi="Times New Roman" w:cs="Times New Roman"/>
          <w:lang w:val="en-US"/>
        </w:rPr>
        <w:t xml:space="preserve">inancial </w:t>
      </w:r>
      <w:r w:rsidR="006C1B7F">
        <w:rPr>
          <w:rFonts w:ascii="Times New Roman" w:hAnsi="Times New Roman" w:cs="Times New Roman"/>
          <w:lang w:val="en-US"/>
        </w:rPr>
        <w:t>c</w:t>
      </w:r>
      <w:r w:rsidRPr="00DD1E36">
        <w:rPr>
          <w:rFonts w:ascii="Times New Roman" w:hAnsi="Times New Roman" w:cs="Times New Roman"/>
          <w:lang w:val="en-US"/>
        </w:rPr>
        <w:t xml:space="preserve">risis. The rhetoric of risk-reduction was repeatedly </w:t>
      </w:r>
      <w:r w:rsidR="003E7CD1">
        <w:rPr>
          <w:rFonts w:ascii="Times New Roman" w:hAnsi="Times New Roman" w:cs="Times New Roman"/>
          <w:lang w:val="en-US"/>
        </w:rPr>
        <w:t>enrol</w:t>
      </w:r>
      <w:r w:rsidR="00EC132D">
        <w:rPr>
          <w:rFonts w:ascii="Times New Roman" w:hAnsi="Times New Roman" w:cs="Times New Roman"/>
          <w:lang w:val="en-US"/>
        </w:rPr>
        <w:t>l</w:t>
      </w:r>
      <w:r w:rsidRPr="00DD1E36">
        <w:rPr>
          <w:rFonts w:ascii="Times New Roman" w:hAnsi="Times New Roman" w:cs="Times New Roman"/>
          <w:lang w:val="en-US"/>
        </w:rPr>
        <w:t>ed</w:t>
      </w:r>
      <w:r>
        <w:rPr>
          <w:rFonts w:ascii="Times New Roman" w:hAnsi="Times New Roman" w:cs="Times New Roman"/>
          <w:lang w:val="en-US"/>
        </w:rPr>
        <w:t xml:space="preserve"> by high profile supporters</w:t>
      </w:r>
      <w:r w:rsidR="008B5781">
        <w:rPr>
          <w:rFonts w:ascii="Times New Roman" w:hAnsi="Times New Roman" w:cs="Times New Roman"/>
          <w:lang w:val="en-US"/>
        </w:rPr>
        <w:t xml:space="preserve"> of the IIRC</w:t>
      </w:r>
      <w:r w:rsidRPr="00DD1E36">
        <w:rPr>
          <w:rFonts w:ascii="Times New Roman" w:hAnsi="Times New Roman" w:cs="Times New Roman"/>
          <w:lang w:val="en-US"/>
        </w:rPr>
        <w:t>. For example, Peter Simons of CIMA</w:t>
      </w:r>
      <w:r w:rsidR="00CE3EDB">
        <w:rPr>
          <w:rFonts w:ascii="Times New Roman" w:hAnsi="Times New Roman" w:cs="Times New Roman"/>
          <w:lang w:val="en-US"/>
        </w:rPr>
        <w:t xml:space="preserve"> (Chartered Institute of Management Accountants)</w:t>
      </w:r>
      <w:r w:rsidRPr="00DD1E36">
        <w:rPr>
          <w:rFonts w:ascii="Times New Roman" w:hAnsi="Times New Roman" w:cs="Times New Roman"/>
          <w:lang w:val="en-US"/>
        </w:rPr>
        <w:t xml:space="preserve"> insisted that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represented </w:t>
      </w:r>
      <w:r w:rsidR="006204BB">
        <w:rPr>
          <w:rFonts w:ascii="Times New Roman" w:hAnsi="Times New Roman" w:cs="Times New Roman"/>
          <w:lang w:val="en-US"/>
        </w:rPr>
        <w:t>‘</w:t>
      </w:r>
      <w:r w:rsidRPr="00DD1E36">
        <w:rPr>
          <w:rFonts w:ascii="Times New Roman" w:hAnsi="Times New Roman" w:cs="Times New Roman"/>
          <w:lang w:val="en-US"/>
        </w:rPr>
        <w:t>a reaction to the sudden and unexpec</w:t>
      </w:r>
      <w:r>
        <w:rPr>
          <w:rFonts w:ascii="Times New Roman" w:hAnsi="Times New Roman" w:cs="Times New Roman"/>
          <w:lang w:val="en-US"/>
        </w:rPr>
        <w:t>ted nature of the crash</w:t>
      </w:r>
      <w:r w:rsidR="006204BB">
        <w:rPr>
          <w:rFonts w:ascii="Times New Roman" w:hAnsi="Times New Roman" w:cs="Times New Roman"/>
          <w:lang w:val="en-US"/>
        </w:rPr>
        <w:t>’</w:t>
      </w:r>
      <w:r>
        <w:rPr>
          <w:rFonts w:ascii="Times New Roman" w:hAnsi="Times New Roman" w:cs="Times New Roman"/>
          <w:lang w:val="en-US"/>
        </w:rPr>
        <w:t xml:space="preserve"> which w</w:t>
      </w:r>
      <w:r w:rsidRPr="00DD1E36">
        <w:rPr>
          <w:rFonts w:ascii="Times New Roman" w:hAnsi="Times New Roman" w:cs="Times New Roman"/>
          <w:lang w:val="en-US"/>
        </w:rPr>
        <w:t xml:space="preserve">ould encourage </w:t>
      </w:r>
      <w:r w:rsidR="006204BB">
        <w:rPr>
          <w:rFonts w:ascii="Times New Roman" w:hAnsi="Times New Roman" w:cs="Times New Roman"/>
          <w:lang w:val="en-US"/>
        </w:rPr>
        <w:t>‘</w:t>
      </w:r>
      <w:r w:rsidRPr="00DD1E36">
        <w:rPr>
          <w:rFonts w:ascii="Times New Roman" w:hAnsi="Times New Roman" w:cs="Times New Roman"/>
          <w:lang w:val="en-US"/>
        </w:rPr>
        <w:t>better risk management and more transparency in reporting to better inform stakeholders</w:t>
      </w:r>
      <w:r w:rsidR="006204BB">
        <w:rPr>
          <w:rFonts w:ascii="Times New Roman" w:hAnsi="Times New Roman" w:cs="Times New Roman"/>
          <w:lang w:val="en-US"/>
        </w:rPr>
        <w:t>’</w:t>
      </w:r>
      <w:r w:rsidRPr="00DD1E36">
        <w:rPr>
          <w:rFonts w:ascii="Times New Roman" w:hAnsi="Times New Roman" w:cs="Times New Roman"/>
          <w:lang w:val="en-US"/>
        </w:rPr>
        <w:t xml:space="preserve">. </w:t>
      </w:r>
      <w:r w:rsidR="00ED18D2">
        <w:rPr>
          <w:rFonts w:ascii="Times New Roman" w:hAnsi="Times New Roman" w:cs="Times New Roman"/>
          <w:lang w:val="en-US"/>
        </w:rPr>
        <w:t>Within this rhetoric t</w:t>
      </w:r>
      <w:r w:rsidRPr="00DD1E36">
        <w:rPr>
          <w:rFonts w:ascii="Times New Roman" w:hAnsi="Times New Roman" w:cs="Times New Roman"/>
          <w:lang w:val="en-US"/>
        </w:rPr>
        <w:t xml:space="preserve">here seemed little room for any doubt that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represented the future of corporate reporting given its </w:t>
      </w:r>
      <w:r w:rsidR="007F331D">
        <w:rPr>
          <w:rFonts w:ascii="Times New Roman" w:hAnsi="Times New Roman" w:cs="Times New Roman"/>
          <w:lang w:val="en-US"/>
        </w:rPr>
        <w:t>stated capaci</w:t>
      </w:r>
      <w:r w:rsidRPr="00DD1E36">
        <w:rPr>
          <w:rFonts w:ascii="Times New Roman" w:hAnsi="Times New Roman" w:cs="Times New Roman"/>
          <w:lang w:val="en-US"/>
        </w:rPr>
        <w:t>ty to solv</w:t>
      </w:r>
      <w:r w:rsidR="007F331D">
        <w:rPr>
          <w:rFonts w:ascii="Times New Roman" w:hAnsi="Times New Roman" w:cs="Times New Roman"/>
          <w:lang w:val="en-US"/>
        </w:rPr>
        <w:t>e</w:t>
      </w:r>
      <w:r w:rsidRPr="00DD1E36">
        <w:rPr>
          <w:rFonts w:ascii="Times New Roman" w:hAnsi="Times New Roman" w:cs="Times New Roman"/>
          <w:lang w:val="en-US"/>
        </w:rPr>
        <w:t xml:space="preserve"> </w:t>
      </w:r>
      <w:r w:rsidR="007F331D">
        <w:rPr>
          <w:rFonts w:ascii="Times New Roman" w:hAnsi="Times New Roman" w:cs="Times New Roman"/>
          <w:lang w:val="en-US"/>
        </w:rPr>
        <w:t>an</w:t>
      </w:r>
      <w:r w:rsidR="007F331D" w:rsidRPr="00DD1E36">
        <w:rPr>
          <w:rFonts w:ascii="Times New Roman" w:hAnsi="Times New Roman" w:cs="Times New Roman"/>
          <w:lang w:val="en-US"/>
        </w:rPr>
        <w:t xml:space="preserve"> </w:t>
      </w:r>
      <w:r w:rsidRPr="00DD1E36">
        <w:rPr>
          <w:rFonts w:ascii="Times New Roman" w:hAnsi="Times New Roman" w:cs="Times New Roman"/>
          <w:lang w:val="en-US"/>
        </w:rPr>
        <w:t>array of problems</w:t>
      </w:r>
      <w:r w:rsidR="009171ED">
        <w:rPr>
          <w:rFonts w:ascii="Times New Roman" w:hAnsi="Times New Roman" w:cs="Times New Roman"/>
          <w:lang w:val="en-US"/>
        </w:rPr>
        <w:t xml:space="preserve"> </w:t>
      </w:r>
      <w:r w:rsidR="007F331D">
        <w:rPr>
          <w:rFonts w:ascii="Times New Roman" w:hAnsi="Times New Roman" w:cs="Times New Roman"/>
          <w:lang w:val="en-US"/>
        </w:rPr>
        <w:t xml:space="preserve">fundamentally </w:t>
      </w:r>
      <w:r w:rsidR="009171ED">
        <w:rPr>
          <w:rFonts w:ascii="Times New Roman" w:hAnsi="Times New Roman" w:cs="Times New Roman"/>
          <w:lang w:val="en-US"/>
        </w:rPr>
        <w:t>un</w:t>
      </w:r>
      <w:r w:rsidR="00C1692B">
        <w:rPr>
          <w:rFonts w:ascii="Times New Roman" w:hAnsi="Times New Roman" w:cs="Times New Roman"/>
          <w:lang w:val="en-US"/>
        </w:rPr>
        <w:t>addressed by current</w:t>
      </w:r>
      <w:r w:rsidR="007F331D">
        <w:rPr>
          <w:rFonts w:ascii="Times New Roman" w:hAnsi="Times New Roman" w:cs="Times New Roman"/>
          <w:lang w:val="en-US"/>
        </w:rPr>
        <w:t xml:space="preserve"> corporate</w:t>
      </w:r>
      <w:r w:rsidR="00C1692B">
        <w:rPr>
          <w:rFonts w:ascii="Times New Roman" w:hAnsi="Times New Roman" w:cs="Times New Roman"/>
          <w:lang w:val="en-US"/>
        </w:rPr>
        <w:t xml:space="preserve"> reporting</w:t>
      </w:r>
      <w:r w:rsidR="007F331D">
        <w:rPr>
          <w:rFonts w:ascii="Times New Roman" w:hAnsi="Times New Roman" w:cs="Times New Roman"/>
          <w:lang w:val="en-US"/>
        </w:rPr>
        <w:t xml:space="preserve"> practices</w:t>
      </w:r>
      <w:r w:rsidR="00C1692B">
        <w:rPr>
          <w:rFonts w:ascii="Times New Roman" w:hAnsi="Times New Roman" w:cs="Times New Roman"/>
          <w:lang w:val="en-US"/>
        </w:rPr>
        <w:t>, particular</w:t>
      </w:r>
      <w:r w:rsidR="007F331D">
        <w:rPr>
          <w:rFonts w:ascii="Times New Roman" w:hAnsi="Times New Roman" w:cs="Times New Roman"/>
          <w:lang w:val="en-US"/>
        </w:rPr>
        <w:t>ly</w:t>
      </w:r>
      <w:r w:rsidR="00DE6380">
        <w:rPr>
          <w:rFonts w:ascii="Times New Roman" w:hAnsi="Times New Roman" w:cs="Times New Roman"/>
          <w:lang w:val="en-US"/>
        </w:rPr>
        <w:t xml:space="preserve"> </w:t>
      </w:r>
      <w:r w:rsidR="00C1692B">
        <w:rPr>
          <w:rFonts w:ascii="Times New Roman" w:hAnsi="Times New Roman" w:cs="Times New Roman"/>
          <w:lang w:val="en-US"/>
        </w:rPr>
        <w:t>financial reporting</w:t>
      </w:r>
      <w:r w:rsidR="00A650DC">
        <w:rPr>
          <w:rFonts w:ascii="Times New Roman" w:hAnsi="Times New Roman" w:cs="Times New Roman"/>
          <w:lang w:val="en-US"/>
        </w:rPr>
        <w:t xml:space="preserve">. </w:t>
      </w:r>
    </w:p>
    <w:p w14:paraId="3620CFD1" w14:textId="220BFAF8" w:rsidR="004E3488" w:rsidRDefault="00422BEF">
      <w:pPr>
        <w:spacing w:line="360" w:lineRule="auto"/>
        <w:ind w:firstLine="708"/>
        <w:jc w:val="both"/>
        <w:rPr>
          <w:rFonts w:ascii="Times New Roman" w:hAnsi="Times New Roman" w:cs="Times New Roman"/>
          <w:lang w:val="en-US"/>
        </w:rPr>
      </w:pPr>
      <w:r w:rsidRPr="00DD1E36">
        <w:rPr>
          <w:rFonts w:ascii="Times New Roman" w:hAnsi="Times New Roman" w:cs="Times New Roman"/>
          <w:lang w:val="en-US"/>
        </w:rPr>
        <w:t>The underlying rhetoric was consistently linked to the concept of globalization and</w:t>
      </w:r>
      <w:r>
        <w:rPr>
          <w:rFonts w:ascii="Times New Roman" w:hAnsi="Times New Roman" w:cs="Times New Roman"/>
          <w:lang w:val="en-US"/>
        </w:rPr>
        <w:t>,</w:t>
      </w:r>
      <w:r w:rsidRPr="00DD1E36">
        <w:rPr>
          <w:rFonts w:ascii="Times New Roman" w:hAnsi="Times New Roman" w:cs="Times New Roman"/>
          <w:lang w:val="en-US"/>
        </w:rPr>
        <w:t xml:space="preserve"> in particular</w:t>
      </w:r>
      <w:r>
        <w:rPr>
          <w:rFonts w:ascii="Times New Roman" w:hAnsi="Times New Roman" w:cs="Times New Roman"/>
          <w:lang w:val="en-US"/>
        </w:rPr>
        <w:t>,</w:t>
      </w:r>
      <w:r w:rsidRPr="00DD1E36">
        <w:rPr>
          <w:rFonts w:ascii="Times New Roman" w:hAnsi="Times New Roman" w:cs="Times New Roman"/>
          <w:lang w:val="en-US"/>
        </w:rPr>
        <w:t xml:space="preserve"> to the efforts of the IASB and FASB to harmo</w:t>
      </w:r>
      <w:r w:rsidR="003D7B1F">
        <w:rPr>
          <w:rFonts w:ascii="Times New Roman" w:hAnsi="Times New Roman" w:cs="Times New Roman"/>
          <w:lang w:val="en-US"/>
        </w:rPr>
        <w:t>nize</w:t>
      </w:r>
      <w:r w:rsidRPr="00DD1E36">
        <w:rPr>
          <w:rFonts w:ascii="Times New Roman" w:hAnsi="Times New Roman" w:cs="Times New Roman"/>
          <w:lang w:val="en-US"/>
        </w:rPr>
        <w:t xml:space="preserve"> international financial reporting standards. </w:t>
      </w:r>
      <w:r w:rsidR="00992A1D">
        <w:rPr>
          <w:rFonts w:ascii="Times New Roman" w:hAnsi="Times New Roman" w:cs="Times New Roman"/>
          <w:lang w:val="en-US"/>
        </w:rPr>
        <w:t>I</w:t>
      </w:r>
      <w:r w:rsidR="00482248">
        <w:rPr>
          <w:rFonts w:ascii="Times New Roman" w:hAnsi="Times New Roman" w:cs="Times New Roman"/>
          <w:lang w:val="en-US"/>
        </w:rPr>
        <w:t xml:space="preserve">t was </w:t>
      </w:r>
      <w:r w:rsidR="00236390">
        <w:rPr>
          <w:rFonts w:ascii="Times New Roman" w:hAnsi="Times New Roman" w:cs="Times New Roman"/>
          <w:lang w:val="en-US"/>
        </w:rPr>
        <w:t xml:space="preserve">asserted </w:t>
      </w:r>
      <w:r w:rsidR="00482248">
        <w:rPr>
          <w:rFonts w:ascii="Times New Roman" w:hAnsi="Times New Roman" w:cs="Times New Roman"/>
          <w:lang w:val="en-US"/>
        </w:rPr>
        <w:t xml:space="preserve">that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would not merely </w:t>
      </w:r>
      <w:r w:rsidR="000F3DF0">
        <w:rPr>
          <w:rFonts w:ascii="Times New Roman" w:hAnsi="Times New Roman" w:cs="Times New Roman"/>
          <w:lang w:val="en-US"/>
        </w:rPr>
        <w:t>‘</w:t>
      </w:r>
      <w:r w:rsidRPr="00DD1E36">
        <w:rPr>
          <w:rFonts w:ascii="Times New Roman" w:hAnsi="Times New Roman" w:cs="Times New Roman"/>
          <w:lang w:val="en-US"/>
        </w:rPr>
        <w:t>reflect and build</w:t>
      </w:r>
      <w:r>
        <w:rPr>
          <w:rFonts w:ascii="Times New Roman" w:hAnsi="Times New Roman" w:cs="Times New Roman"/>
          <w:lang w:val="en-US"/>
        </w:rPr>
        <w:t xml:space="preserve"> on</w:t>
      </w:r>
      <w:r w:rsidR="000F3DF0">
        <w:rPr>
          <w:rFonts w:ascii="Times New Roman" w:hAnsi="Times New Roman" w:cs="Times New Roman"/>
          <w:lang w:val="en-US"/>
        </w:rPr>
        <w:t>’</w:t>
      </w:r>
      <w:r w:rsidRPr="00DD1E36">
        <w:rPr>
          <w:rFonts w:ascii="Times New Roman" w:hAnsi="Times New Roman" w:cs="Times New Roman"/>
          <w:lang w:val="en-US"/>
        </w:rPr>
        <w:t xml:space="preserve"> current reporting through </w:t>
      </w:r>
      <w:r w:rsidR="000F3DF0">
        <w:rPr>
          <w:rFonts w:ascii="Times New Roman" w:hAnsi="Times New Roman" w:cs="Times New Roman"/>
          <w:lang w:val="en-US"/>
        </w:rPr>
        <w:t>‘</w:t>
      </w:r>
      <w:proofErr w:type="spellStart"/>
      <w:r w:rsidRPr="00DD1E36">
        <w:rPr>
          <w:rFonts w:ascii="Times New Roman" w:hAnsi="Times New Roman" w:cs="Times New Roman"/>
          <w:lang w:val="en-US"/>
        </w:rPr>
        <w:t>enhanc</w:t>
      </w:r>
      <w:proofErr w:type="spellEnd"/>
      <w:r w:rsidRPr="00DD1E36">
        <w:rPr>
          <w:rFonts w:ascii="Times New Roman" w:hAnsi="Times New Roman" w:cs="Times New Roman"/>
          <w:lang w:val="en-US"/>
        </w:rPr>
        <w:t>[</w:t>
      </w:r>
      <w:proofErr w:type="spellStart"/>
      <w:r w:rsidRPr="00DD1E36">
        <w:rPr>
          <w:rFonts w:ascii="Times New Roman" w:hAnsi="Times New Roman" w:cs="Times New Roman"/>
          <w:lang w:val="en-US"/>
        </w:rPr>
        <w:t>ing</w:t>
      </w:r>
      <w:proofErr w:type="spellEnd"/>
      <w:r w:rsidRPr="00DD1E36">
        <w:rPr>
          <w:rFonts w:ascii="Times New Roman" w:hAnsi="Times New Roman" w:cs="Times New Roman"/>
          <w:lang w:val="en-US"/>
        </w:rPr>
        <w:t xml:space="preserve">] and </w:t>
      </w:r>
      <w:proofErr w:type="spellStart"/>
      <w:r w:rsidRPr="00DD1E36">
        <w:rPr>
          <w:rFonts w:ascii="Times New Roman" w:hAnsi="Times New Roman" w:cs="Times New Roman"/>
          <w:lang w:val="en-US"/>
        </w:rPr>
        <w:t>consolidat</w:t>
      </w:r>
      <w:proofErr w:type="spellEnd"/>
      <w:r w:rsidRPr="00DD1E36">
        <w:rPr>
          <w:rFonts w:ascii="Times New Roman" w:hAnsi="Times New Roman" w:cs="Times New Roman"/>
          <w:lang w:val="en-US"/>
        </w:rPr>
        <w:t>[</w:t>
      </w:r>
      <w:proofErr w:type="spellStart"/>
      <w:r w:rsidRPr="00DD1E36">
        <w:rPr>
          <w:rFonts w:ascii="Times New Roman" w:hAnsi="Times New Roman" w:cs="Times New Roman"/>
          <w:lang w:val="en-US"/>
        </w:rPr>
        <w:t>ing</w:t>
      </w:r>
      <w:proofErr w:type="spellEnd"/>
      <w:r w:rsidRPr="00DD1E36">
        <w:rPr>
          <w:rFonts w:ascii="Times New Roman" w:hAnsi="Times New Roman" w:cs="Times New Roman"/>
          <w:lang w:val="en-US"/>
        </w:rPr>
        <w:t>] existing reporting practices</w:t>
      </w:r>
      <w:r w:rsidR="000F3DF0">
        <w:rPr>
          <w:rFonts w:ascii="Times New Roman" w:hAnsi="Times New Roman" w:cs="Times New Roman"/>
          <w:lang w:val="en-US"/>
        </w:rPr>
        <w:t>’</w:t>
      </w:r>
      <w:r w:rsidR="00482248">
        <w:rPr>
          <w:rFonts w:ascii="Times New Roman" w:hAnsi="Times New Roman" w:cs="Times New Roman"/>
          <w:lang w:val="en-US"/>
        </w:rPr>
        <w:t>,</w:t>
      </w:r>
      <w:r w:rsidR="005B4462">
        <w:rPr>
          <w:rFonts w:ascii="Times New Roman" w:hAnsi="Times New Roman" w:cs="Times New Roman"/>
          <w:lang w:val="en-US"/>
        </w:rPr>
        <w:t xml:space="preserve"> </w:t>
      </w:r>
      <w:r w:rsidR="00482248">
        <w:rPr>
          <w:rFonts w:ascii="Times New Roman" w:hAnsi="Times New Roman" w:cs="Times New Roman"/>
          <w:lang w:val="en-US"/>
        </w:rPr>
        <w:t xml:space="preserve">but </w:t>
      </w:r>
      <w:r w:rsidRPr="00DD1E36">
        <w:rPr>
          <w:rFonts w:ascii="Times New Roman" w:hAnsi="Times New Roman" w:cs="Times New Roman"/>
          <w:lang w:val="en-US"/>
        </w:rPr>
        <w:t>would ultimately become an organ</w:t>
      </w:r>
      <w:r w:rsidR="00E8208C">
        <w:rPr>
          <w:rFonts w:ascii="Times New Roman" w:hAnsi="Times New Roman" w:cs="Times New Roman"/>
          <w:lang w:val="en-US"/>
        </w:rPr>
        <w:t>iza</w:t>
      </w:r>
      <w:r w:rsidRPr="00DD1E36">
        <w:rPr>
          <w:rFonts w:ascii="Times New Roman" w:hAnsi="Times New Roman" w:cs="Times New Roman"/>
          <w:lang w:val="en-US"/>
        </w:rPr>
        <w:t>tion’s</w:t>
      </w:r>
      <w:r w:rsidRPr="00DD1E36">
        <w:rPr>
          <w:rFonts w:ascii="Times New Roman" w:hAnsi="Times New Roman" w:cs="Times New Roman"/>
          <w:i/>
          <w:lang w:val="en-US"/>
        </w:rPr>
        <w:t xml:space="preserve"> primary</w:t>
      </w:r>
      <w:r w:rsidRPr="00DD1E36">
        <w:rPr>
          <w:rFonts w:ascii="Times New Roman" w:hAnsi="Times New Roman" w:cs="Times New Roman"/>
          <w:lang w:val="en-US"/>
        </w:rPr>
        <w:t xml:space="preserve"> report, </w:t>
      </w:r>
      <w:r w:rsidRPr="00DD1E36">
        <w:rPr>
          <w:rFonts w:ascii="Times New Roman" w:hAnsi="Times New Roman" w:cs="Times New Roman"/>
          <w:i/>
          <w:lang w:val="en-US"/>
        </w:rPr>
        <w:t>replacing</w:t>
      </w:r>
      <w:r w:rsidRPr="00DD1E36">
        <w:rPr>
          <w:rFonts w:ascii="Times New Roman" w:hAnsi="Times New Roman" w:cs="Times New Roman"/>
          <w:lang w:val="en-US"/>
        </w:rPr>
        <w:t xml:space="preserve"> </w:t>
      </w:r>
      <w:r w:rsidR="007F331D">
        <w:rPr>
          <w:rFonts w:ascii="Times New Roman" w:hAnsi="Times New Roman" w:cs="Times New Roman"/>
          <w:lang w:val="en-US"/>
        </w:rPr>
        <w:t>(</w:t>
      </w:r>
      <w:r w:rsidRPr="00DD1E36">
        <w:rPr>
          <w:rFonts w:ascii="Times New Roman" w:hAnsi="Times New Roman" w:cs="Times New Roman"/>
          <w:lang w:val="en-US"/>
        </w:rPr>
        <w:t>rather than adding to</w:t>
      </w:r>
      <w:r w:rsidR="007F331D">
        <w:rPr>
          <w:rFonts w:ascii="Times New Roman" w:hAnsi="Times New Roman" w:cs="Times New Roman"/>
          <w:lang w:val="en-US"/>
        </w:rPr>
        <w:t>)</w:t>
      </w:r>
      <w:r w:rsidRPr="00DD1E36">
        <w:rPr>
          <w:rFonts w:ascii="Times New Roman" w:hAnsi="Times New Roman" w:cs="Times New Roman"/>
          <w:lang w:val="en-US"/>
        </w:rPr>
        <w:t xml:space="preserve"> existing reporting.</w:t>
      </w:r>
      <w:r w:rsidR="00B61B32">
        <w:rPr>
          <w:rFonts w:ascii="Times New Roman" w:hAnsi="Times New Roman" w:cs="Times New Roman"/>
          <w:lang w:val="en-US"/>
        </w:rPr>
        <w:t xml:space="preserve"> </w:t>
      </w:r>
      <w:r w:rsidR="007847C2">
        <w:rPr>
          <w:rFonts w:ascii="Times New Roman" w:hAnsi="Times New Roman" w:cs="Times New Roman"/>
          <w:lang w:val="en-US"/>
        </w:rPr>
        <w:t>O</w:t>
      </w:r>
      <w:r w:rsidRPr="00DD1E36">
        <w:rPr>
          <w:rFonts w:ascii="Times New Roman" w:hAnsi="Times New Roman" w:cs="Times New Roman"/>
          <w:lang w:val="en-US"/>
        </w:rPr>
        <w:t xml:space="preserve">ther forms of separate reporting containing more detailed financial information, operational data and sustainability information </w:t>
      </w:r>
      <w:r w:rsidR="00B61B32">
        <w:rPr>
          <w:rFonts w:ascii="Times New Roman" w:hAnsi="Times New Roman" w:cs="Times New Roman"/>
          <w:lang w:val="en-US"/>
        </w:rPr>
        <w:t xml:space="preserve">were </w:t>
      </w:r>
      <w:r w:rsidR="007847C2">
        <w:rPr>
          <w:rFonts w:ascii="Times New Roman" w:hAnsi="Times New Roman" w:cs="Times New Roman"/>
          <w:lang w:val="en-US"/>
        </w:rPr>
        <w:t xml:space="preserve">therefore </w:t>
      </w:r>
      <w:r w:rsidR="00B61B32">
        <w:rPr>
          <w:rFonts w:ascii="Times New Roman" w:hAnsi="Times New Roman" w:cs="Times New Roman"/>
          <w:lang w:val="en-US"/>
        </w:rPr>
        <w:t>char</w:t>
      </w:r>
      <w:r w:rsidR="00482248">
        <w:rPr>
          <w:rFonts w:ascii="Times New Roman" w:hAnsi="Times New Roman" w:cs="Times New Roman"/>
          <w:lang w:val="en-US"/>
        </w:rPr>
        <w:t>acte</w:t>
      </w:r>
      <w:r w:rsidR="00C559FE">
        <w:rPr>
          <w:rFonts w:ascii="Times New Roman" w:hAnsi="Times New Roman" w:cs="Times New Roman"/>
          <w:lang w:val="en-US"/>
        </w:rPr>
        <w:t>rized as inferior rivals that</w:t>
      </w:r>
      <w:r w:rsidR="00B61B32">
        <w:rPr>
          <w:rFonts w:ascii="Times New Roman" w:hAnsi="Times New Roman" w:cs="Times New Roman"/>
          <w:lang w:val="en-US"/>
        </w:rPr>
        <w:t xml:space="preserve"> </w:t>
      </w:r>
      <w:r w:rsidRPr="00DD1E36">
        <w:rPr>
          <w:rFonts w:ascii="Times New Roman" w:hAnsi="Times New Roman" w:cs="Times New Roman"/>
          <w:lang w:val="en-US"/>
        </w:rPr>
        <w:t>would, in time, be relegated in importance</w:t>
      </w:r>
      <w:r w:rsidR="00E2292D">
        <w:rPr>
          <w:rFonts w:ascii="Times New Roman" w:hAnsi="Times New Roman" w:cs="Times New Roman"/>
          <w:lang w:val="en-US"/>
        </w:rPr>
        <w:t xml:space="preserve"> and</w:t>
      </w:r>
      <w:r w:rsidR="00DE1110">
        <w:rPr>
          <w:rFonts w:ascii="Times New Roman" w:hAnsi="Times New Roman" w:cs="Times New Roman"/>
          <w:lang w:val="en-US"/>
        </w:rPr>
        <w:t xml:space="preserve"> </w:t>
      </w:r>
      <w:r w:rsidR="00E53B5A">
        <w:rPr>
          <w:rFonts w:ascii="Times New Roman" w:hAnsi="Times New Roman" w:cs="Times New Roman"/>
          <w:lang w:val="en-US"/>
        </w:rPr>
        <w:t xml:space="preserve">most likely </w:t>
      </w:r>
      <w:r w:rsidR="00E2292D">
        <w:rPr>
          <w:rFonts w:ascii="Times New Roman" w:hAnsi="Times New Roman" w:cs="Times New Roman"/>
          <w:lang w:val="en-US"/>
        </w:rPr>
        <w:t>marginalized (see</w:t>
      </w:r>
      <w:r w:rsidR="004E3488">
        <w:rPr>
          <w:rFonts w:ascii="Times New Roman" w:hAnsi="Times New Roman" w:cs="Times New Roman"/>
          <w:lang w:val="en-US"/>
        </w:rPr>
        <w:t>,</w:t>
      </w:r>
      <w:r w:rsidR="00E2292D">
        <w:rPr>
          <w:rFonts w:ascii="Times New Roman" w:hAnsi="Times New Roman" w:cs="Times New Roman"/>
          <w:lang w:val="en-US"/>
        </w:rPr>
        <w:t xml:space="preserve"> Llewel</w:t>
      </w:r>
      <w:r w:rsidR="00E53B5A">
        <w:rPr>
          <w:rFonts w:ascii="Times New Roman" w:hAnsi="Times New Roman" w:cs="Times New Roman"/>
          <w:lang w:val="en-US"/>
        </w:rPr>
        <w:t>l</w:t>
      </w:r>
      <w:r w:rsidR="00E2292D">
        <w:rPr>
          <w:rFonts w:ascii="Times New Roman" w:hAnsi="Times New Roman" w:cs="Times New Roman"/>
          <w:lang w:val="en-US"/>
        </w:rPr>
        <w:t>yn,</w:t>
      </w:r>
      <w:r w:rsidR="0029548F">
        <w:rPr>
          <w:rFonts w:ascii="Times New Roman" w:hAnsi="Times New Roman" w:cs="Times New Roman"/>
          <w:lang w:val="en-US"/>
        </w:rPr>
        <w:t xml:space="preserve"> 1998)</w:t>
      </w:r>
      <w:r w:rsidR="004E3488">
        <w:rPr>
          <w:rFonts w:ascii="Times New Roman" w:hAnsi="Times New Roman" w:cs="Times New Roman"/>
          <w:lang w:val="en-US"/>
        </w:rPr>
        <w:t>.</w:t>
      </w:r>
    </w:p>
    <w:p w14:paraId="5E87B925" w14:textId="77777777" w:rsidR="002C42E2" w:rsidRDefault="002C42E2">
      <w:pPr>
        <w:spacing w:line="360" w:lineRule="auto"/>
        <w:ind w:firstLine="708"/>
        <w:jc w:val="both"/>
        <w:rPr>
          <w:rFonts w:ascii="Times New Roman" w:hAnsi="Times New Roman" w:cs="Times New Roman"/>
          <w:lang w:val="en-US"/>
        </w:rPr>
      </w:pPr>
    </w:p>
    <w:p w14:paraId="5D15E058" w14:textId="2B98729F" w:rsidR="00422BEF" w:rsidRPr="005E7227" w:rsidRDefault="006204BB" w:rsidP="00422BEF">
      <w:pPr>
        <w:spacing w:line="360" w:lineRule="auto"/>
        <w:jc w:val="both"/>
        <w:rPr>
          <w:rFonts w:ascii="Times New Roman" w:hAnsi="Times New Roman" w:cs="Times New Roman"/>
          <w:lang w:val="en-US"/>
        </w:rPr>
      </w:pPr>
      <w:r w:rsidRPr="005E7227">
        <w:rPr>
          <w:rFonts w:ascii="Times New Roman" w:hAnsi="Times New Roman" w:cs="Times New Roman"/>
          <w:i/>
          <w:lang w:val="en-US"/>
        </w:rPr>
        <w:lastRenderedPageBreak/>
        <w:t>4.2.2</w:t>
      </w:r>
      <w:r w:rsidRPr="005E7227">
        <w:rPr>
          <w:rFonts w:ascii="Times New Roman" w:hAnsi="Times New Roman" w:cs="Times New Roman"/>
          <w:i/>
          <w:lang w:val="en-US"/>
        </w:rPr>
        <w:tab/>
      </w:r>
      <w:r w:rsidR="00E53B5A">
        <w:rPr>
          <w:rFonts w:ascii="Times New Roman" w:hAnsi="Times New Roman" w:cs="Times New Roman"/>
          <w:i/>
          <w:lang w:val="en-US"/>
        </w:rPr>
        <w:t>Contesting</w:t>
      </w:r>
      <w:r w:rsidR="0009701C">
        <w:rPr>
          <w:rFonts w:ascii="Times New Roman" w:hAnsi="Times New Roman" w:cs="Times New Roman"/>
          <w:i/>
          <w:lang w:val="en-US"/>
        </w:rPr>
        <w:t xml:space="preserve"> the </w:t>
      </w:r>
      <w:r w:rsidR="00E53B5A">
        <w:rPr>
          <w:rFonts w:ascii="Times New Roman" w:hAnsi="Times New Roman" w:cs="Times New Roman"/>
          <w:i/>
          <w:lang w:val="en-US"/>
        </w:rPr>
        <w:t xml:space="preserve">distinctive </w:t>
      </w:r>
      <w:r w:rsidR="0009701C">
        <w:rPr>
          <w:rFonts w:ascii="Times New Roman" w:hAnsi="Times New Roman" w:cs="Times New Roman"/>
          <w:i/>
          <w:lang w:val="en-US"/>
        </w:rPr>
        <w:t xml:space="preserve">characteristics assigned to </w:t>
      </w:r>
      <w:r w:rsidR="00121D10">
        <w:rPr>
          <w:rFonts w:ascii="Times New Roman" w:hAnsi="Times New Roman" w:cs="Times New Roman"/>
          <w:i/>
          <w:lang w:val="en-US"/>
        </w:rPr>
        <w:t>integrated reporting</w:t>
      </w:r>
      <w:r w:rsidR="0009701C">
        <w:rPr>
          <w:rFonts w:ascii="Times New Roman" w:hAnsi="Times New Roman" w:cs="Times New Roman"/>
          <w:i/>
          <w:lang w:val="en-US"/>
        </w:rPr>
        <w:t xml:space="preserve"> </w:t>
      </w:r>
    </w:p>
    <w:p w14:paraId="2B4C805D" w14:textId="7C96FF3E" w:rsidR="00422BEF" w:rsidRDefault="00422BEF" w:rsidP="00422BEF">
      <w:pPr>
        <w:spacing w:line="360" w:lineRule="auto"/>
        <w:ind w:firstLine="708"/>
        <w:jc w:val="both"/>
        <w:rPr>
          <w:rFonts w:ascii="Times New Roman" w:hAnsi="Times New Roman" w:cs="Times New Roman"/>
          <w:lang w:val="en-US"/>
        </w:rPr>
      </w:pPr>
      <w:r w:rsidRPr="00DD1E36">
        <w:rPr>
          <w:rFonts w:ascii="Times New Roman" w:hAnsi="Times New Roman" w:cs="Times New Roman"/>
          <w:lang w:val="en-US"/>
        </w:rPr>
        <w:t xml:space="preserve">Despite </w:t>
      </w:r>
      <w:r w:rsidR="0025797D">
        <w:rPr>
          <w:rFonts w:ascii="Times New Roman" w:hAnsi="Times New Roman" w:cs="Times New Roman"/>
          <w:lang w:val="en-US"/>
        </w:rPr>
        <w:t>assertion</w:t>
      </w:r>
      <w:r w:rsidR="00B32193">
        <w:rPr>
          <w:rFonts w:ascii="Times New Roman" w:hAnsi="Times New Roman" w:cs="Times New Roman"/>
          <w:lang w:val="en-US"/>
        </w:rPr>
        <w:t>s</w:t>
      </w:r>
      <w:r w:rsidR="0025797D">
        <w:rPr>
          <w:rFonts w:ascii="Times New Roman" w:hAnsi="Times New Roman" w:cs="Times New Roman"/>
          <w:lang w:val="en-US"/>
        </w:rPr>
        <w:t xml:space="preserve"> of an</w:t>
      </w:r>
      <w:r w:rsidRPr="00DD1E36">
        <w:rPr>
          <w:rFonts w:ascii="Times New Roman" w:hAnsi="Times New Roman" w:cs="Times New Roman"/>
          <w:lang w:val="en-US"/>
        </w:rPr>
        <w:t xml:space="preserve"> urgent need for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limited evidence was </w:t>
      </w:r>
      <w:r w:rsidR="00BB70BE">
        <w:rPr>
          <w:rFonts w:ascii="Times New Roman" w:hAnsi="Times New Roman" w:cs="Times New Roman"/>
          <w:lang w:val="en-US"/>
        </w:rPr>
        <w:t>mobiliz</w:t>
      </w:r>
      <w:r w:rsidR="00794753">
        <w:rPr>
          <w:rFonts w:ascii="Times New Roman" w:hAnsi="Times New Roman" w:cs="Times New Roman"/>
          <w:lang w:val="en-US"/>
        </w:rPr>
        <w:t>e</w:t>
      </w:r>
      <w:r w:rsidR="00135FFA">
        <w:rPr>
          <w:rFonts w:ascii="Times New Roman" w:hAnsi="Times New Roman" w:cs="Times New Roman"/>
          <w:lang w:val="en-US"/>
        </w:rPr>
        <w:t>d</w:t>
      </w:r>
      <w:r w:rsidRPr="00DD1E36">
        <w:rPr>
          <w:rFonts w:ascii="Times New Roman" w:hAnsi="Times New Roman" w:cs="Times New Roman"/>
          <w:lang w:val="en-US"/>
        </w:rPr>
        <w:t xml:space="preserve"> to support several of the claims </w:t>
      </w:r>
      <w:r w:rsidR="00B27C5B">
        <w:rPr>
          <w:rFonts w:ascii="Times New Roman" w:hAnsi="Times New Roman" w:cs="Times New Roman"/>
          <w:lang w:val="en-US"/>
        </w:rPr>
        <w:t xml:space="preserve">being </w:t>
      </w:r>
      <w:r w:rsidRPr="00DD1E36">
        <w:rPr>
          <w:rFonts w:ascii="Times New Roman" w:hAnsi="Times New Roman" w:cs="Times New Roman"/>
          <w:lang w:val="en-US"/>
        </w:rPr>
        <w:t xml:space="preserve">made on its behalf. For example, </w:t>
      </w:r>
      <w:r>
        <w:rPr>
          <w:rFonts w:ascii="Times New Roman" w:hAnsi="Times New Roman" w:cs="Times New Roman"/>
          <w:lang w:val="en-US"/>
        </w:rPr>
        <w:t xml:space="preserve">there was little indication in the IIRC’s </w:t>
      </w:r>
      <w:r w:rsidR="00025998">
        <w:rPr>
          <w:rFonts w:ascii="Times New Roman" w:hAnsi="Times New Roman" w:cs="Times New Roman"/>
          <w:lang w:val="en-US"/>
        </w:rPr>
        <w:t xml:space="preserve">published </w:t>
      </w:r>
      <w:r>
        <w:rPr>
          <w:rFonts w:ascii="Times New Roman" w:hAnsi="Times New Roman" w:cs="Times New Roman"/>
          <w:lang w:val="en-US"/>
        </w:rPr>
        <w:t xml:space="preserve">material as to how and why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w:t>
      </w:r>
      <w:r>
        <w:rPr>
          <w:rFonts w:ascii="Times New Roman" w:hAnsi="Times New Roman" w:cs="Times New Roman"/>
          <w:lang w:val="en-US"/>
        </w:rPr>
        <w:t xml:space="preserve">as the answer </w:t>
      </w:r>
      <w:r w:rsidR="0050368E">
        <w:rPr>
          <w:rFonts w:ascii="Times New Roman" w:hAnsi="Times New Roman" w:cs="Times New Roman"/>
          <w:lang w:val="en-US"/>
        </w:rPr>
        <w:t>to</w:t>
      </w:r>
      <w:r>
        <w:rPr>
          <w:rFonts w:ascii="Times New Roman" w:hAnsi="Times New Roman" w:cs="Times New Roman"/>
          <w:lang w:val="en-US"/>
        </w:rPr>
        <w:t xml:space="preserve"> meeting</w:t>
      </w:r>
      <w:r w:rsidRPr="00DD1E36">
        <w:rPr>
          <w:rFonts w:ascii="Times New Roman" w:hAnsi="Times New Roman" w:cs="Times New Roman"/>
          <w:lang w:val="en-US"/>
        </w:rPr>
        <w:t xml:space="preserve"> the needs of the </w:t>
      </w:r>
      <w:r w:rsidR="000F3DF0">
        <w:rPr>
          <w:rFonts w:ascii="Times New Roman" w:hAnsi="Times New Roman" w:cs="Times New Roman"/>
          <w:lang w:val="en-US"/>
        </w:rPr>
        <w:t>‘</w:t>
      </w:r>
      <w:r w:rsidRPr="00DD1E36">
        <w:rPr>
          <w:rFonts w:ascii="Times New Roman" w:hAnsi="Times New Roman" w:cs="Times New Roman"/>
          <w:lang w:val="en-US"/>
        </w:rPr>
        <w:t>emerging m</w:t>
      </w:r>
      <w:r w:rsidR="00CE3EDB">
        <w:rPr>
          <w:rFonts w:ascii="Times New Roman" w:hAnsi="Times New Roman" w:cs="Times New Roman"/>
          <w:lang w:val="en-US"/>
        </w:rPr>
        <w:t>ore sustainable global economy</w:t>
      </w:r>
      <w:r w:rsidR="000F3DF0">
        <w:rPr>
          <w:rFonts w:ascii="Times New Roman" w:hAnsi="Times New Roman" w:cs="Times New Roman"/>
          <w:lang w:val="en-US"/>
        </w:rPr>
        <w:t>’</w:t>
      </w:r>
      <w:r w:rsidR="00CE3EDB">
        <w:rPr>
          <w:rFonts w:ascii="Times New Roman" w:hAnsi="Times New Roman" w:cs="Times New Roman"/>
          <w:lang w:val="en-US"/>
        </w:rPr>
        <w:t>.</w:t>
      </w:r>
      <w:r w:rsidRPr="00DD1E36">
        <w:rPr>
          <w:rFonts w:ascii="Times New Roman" w:hAnsi="Times New Roman" w:cs="Times New Roman"/>
          <w:lang w:val="en-US"/>
        </w:rPr>
        <w:t xml:space="preserve"> </w:t>
      </w:r>
      <w:r w:rsidR="00025998">
        <w:rPr>
          <w:rFonts w:ascii="Times New Roman" w:hAnsi="Times New Roman" w:cs="Times New Roman"/>
          <w:lang w:val="en-US"/>
        </w:rPr>
        <w:t xml:space="preserve">Limited detail was also offered regarding </w:t>
      </w:r>
      <w:r>
        <w:rPr>
          <w:rFonts w:ascii="Times New Roman" w:hAnsi="Times New Roman" w:cs="Times New Roman"/>
          <w:lang w:val="en-US"/>
        </w:rPr>
        <w:t>w</w:t>
      </w:r>
      <w:r w:rsidR="00CE3EDB">
        <w:rPr>
          <w:rFonts w:ascii="Times New Roman" w:hAnsi="Times New Roman" w:cs="Times New Roman"/>
          <w:lang w:val="en-US"/>
        </w:rPr>
        <w:t>hat exactly these needs</w:t>
      </w:r>
      <w:r w:rsidR="0050368E">
        <w:rPr>
          <w:rFonts w:ascii="Times New Roman" w:hAnsi="Times New Roman" w:cs="Times New Roman"/>
          <w:lang w:val="en-US"/>
        </w:rPr>
        <w:t xml:space="preserve"> were</w:t>
      </w:r>
      <w:r w:rsidR="00CE3EDB">
        <w:rPr>
          <w:rFonts w:ascii="Times New Roman" w:hAnsi="Times New Roman" w:cs="Times New Roman"/>
          <w:lang w:val="en-US"/>
        </w:rPr>
        <w:t xml:space="preserve"> and who determined them. Moreover, </w:t>
      </w:r>
      <w:r w:rsidR="0025797D">
        <w:rPr>
          <w:rFonts w:ascii="Times New Roman" w:hAnsi="Times New Roman" w:cs="Times New Roman"/>
          <w:lang w:val="en-US"/>
        </w:rPr>
        <w:t>there was no</w:t>
      </w:r>
      <w:r>
        <w:rPr>
          <w:rFonts w:ascii="Times New Roman" w:hAnsi="Times New Roman" w:cs="Times New Roman"/>
          <w:lang w:val="en-US"/>
        </w:rPr>
        <w:t xml:space="preserve"> evidence </w:t>
      </w:r>
      <w:r w:rsidR="0025797D">
        <w:rPr>
          <w:rFonts w:ascii="Times New Roman" w:hAnsi="Times New Roman" w:cs="Times New Roman"/>
          <w:lang w:val="en-US"/>
        </w:rPr>
        <w:t xml:space="preserve">provided </w:t>
      </w:r>
      <w:r>
        <w:rPr>
          <w:rFonts w:ascii="Times New Roman" w:hAnsi="Times New Roman" w:cs="Times New Roman"/>
          <w:lang w:val="en-US"/>
        </w:rPr>
        <w:t>of</w:t>
      </w:r>
      <w:r w:rsidRPr="00DD1E36">
        <w:rPr>
          <w:rFonts w:ascii="Times New Roman" w:hAnsi="Times New Roman" w:cs="Times New Roman"/>
          <w:lang w:val="en-US"/>
        </w:rPr>
        <w:t xml:space="preserve"> the emergence of a ‘sustainable economy’</w:t>
      </w:r>
      <w:r w:rsidR="0025797D">
        <w:rPr>
          <w:rFonts w:ascii="Times New Roman" w:hAnsi="Times New Roman" w:cs="Times New Roman"/>
          <w:lang w:val="en-US"/>
        </w:rPr>
        <w:t>.</w:t>
      </w:r>
      <w:r w:rsidRPr="00DD1E36">
        <w:rPr>
          <w:rFonts w:ascii="Times New Roman" w:hAnsi="Times New Roman" w:cs="Times New Roman"/>
          <w:lang w:val="en-US"/>
        </w:rPr>
        <w:t xml:space="preserve"> Notwithstanding this lack of supporting evidence</w:t>
      </w:r>
      <w:r>
        <w:rPr>
          <w:rFonts w:ascii="Times New Roman" w:hAnsi="Times New Roman" w:cs="Times New Roman"/>
          <w:lang w:val="en-US"/>
        </w:rPr>
        <w:t>,</w:t>
      </w:r>
      <w:r w:rsidRPr="00DD1E36">
        <w:rPr>
          <w:rFonts w:ascii="Times New Roman" w:hAnsi="Times New Roman" w:cs="Times New Roman"/>
          <w:lang w:val="en-US"/>
        </w:rPr>
        <w:t xml:space="preserve"> </w:t>
      </w:r>
      <w:r w:rsidR="00A034A0">
        <w:rPr>
          <w:rFonts w:ascii="Times New Roman" w:hAnsi="Times New Roman" w:cs="Times New Roman"/>
          <w:lang w:val="en-US"/>
        </w:rPr>
        <w:t xml:space="preserve">influential </w:t>
      </w:r>
      <w:r w:rsidRPr="00DD1E36">
        <w:rPr>
          <w:rFonts w:ascii="Times New Roman" w:hAnsi="Times New Roman" w:cs="Times New Roman"/>
          <w:lang w:val="en-US"/>
        </w:rPr>
        <w:t xml:space="preserve">actors in the corporate reporting field continued to advocate the idea of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with a</w:t>
      </w:r>
      <w:r w:rsidR="0025797D">
        <w:rPr>
          <w:rFonts w:ascii="Times New Roman" w:hAnsi="Times New Roman" w:cs="Times New Roman"/>
          <w:lang w:val="en-US"/>
        </w:rPr>
        <w:t>n apparent</w:t>
      </w:r>
      <w:r w:rsidRPr="00DD1E36">
        <w:rPr>
          <w:rFonts w:ascii="Times New Roman" w:hAnsi="Times New Roman" w:cs="Times New Roman"/>
          <w:lang w:val="en-US"/>
        </w:rPr>
        <w:t xml:space="preserve"> certainty that belied its nascent nature</w:t>
      </w:r>
      <w:r w:rsidR="00AC3A23">
        <w:rPr>
          <w:rFonts w:ascii="Times New Roman" w:hAnsi="Times New Roman" w:cs="Times New Roman"/>
          <w:lang w:val="en-US"/>
        </w:rPr>
        <w:t>:</w:t>
      </w:r>
    </w:p>
    <w:p w14:paraId="7B04A67C" w14:textId="1ED2DD5A" w:rsidR="005832E7" w:rsidRPr="00686181" w:rsidRDefault="005832E7" w:rsidP="00686181">
      <w:pPr>
        <w:spacing w:line="240" w:lineRule="auto"/>
        <w:ind w:left="708"/>
        <w:jc w:val="both"/>
        <w:rPr>
          <w:rFonts w:ascii="Times New Roman" w:hAnsi="Times New Roman" w:cs="Times New Roman"/>
          <w:color w:val="000000"/>
          <w:sz w:val="20"/>
          <w:szCs w:val="20"/>
          <w:lang w:val="en-GB"/>
        </w:rPr>
      </w:pPr>
      <w:r w:rsidRPr="00686181">
        <w:rPr>
          <w:rFonts w:ascii="Times New Roman" w:hAnsi="Times New Roman" w:cs="Times New Roman"/>
          <w:color w:val="000000"/>
          <w:sz w:val="20"/>
          <w:szCs w:val="20"/>
          <w:lang w:val="en-GB"/>
        </w:rPr>
        <w:t>Organizations are increasingly focused on long-term sustainability, and the IIRC Integrated Reporting Framework represents a significant step towards a globally-accepted solution for better reflecting th</w:t>
      </w:r>
      <w:r w:rsidR="00AC3A23" w:rsidRPr="00AC3A23">
        <w:rPr>
          <w:rFonts w:ascii="Times New Roman" w:hAnsi="Times New Roman" w:cs="Times New Roman"/>
          <w:color w:val="000000"/>
          <w:sz w:val="20"/>
          <w:szCs w:val="20"/>
          <w:lang w:val="en-GB"/>
        </w:rPr>
        <w:t>is focus in business reporting,</w:t>
      </w:r>
      <w:r w:rsidRPr="00686181">
        <w:rPr>
          <w:rFonts w:ascii="Times New Roman" w:hAnsi="Times New Roman" w:cs="Times New Roman"/>
          <w:color w:val="000000"/>
          <w:sz w:val="20"/>
          <w:szCs w:val="20"/>
          <w:lang w:val="en-GB"/>
        </w:rPr>
        <w:t xml:space="preserve"> (</w:t>
      </w:r>
      <w:hyperlink r:id="rId11" w:history="1">
        <w:r w:rsidRPr="00686181">
          <w:rPr>
            <w:rStyle w:val="Hyperlink"/>
            <w:rFonts w:ascii="Times New Roman" w:hAnsi="Times New Roman" w:cs="Times New Roman"/>
            <w:color w:val="auto"/>
            <w:sz w:val="20"/>
            <w:szCs w:val="20"/>
            <w:lang w:val="en-GB"/>
          </w:rPr>
          <w:t>Sue Coffey</w:t>
        </w:r>
      </w:hyperlink>
      <w:r w:rsidRPr="00686181">
        <w:rPr>
          <w:rFonts w:ascii="Times New Roman" w:hAnsi="Times New Roman" w:cs="Times New Roman"/>
          <w:sz w:val="20"/>
          <w:szCs w:val="20"/>
          <w:lang w:val="en-GB"/>
        </w:rPr>
        <w:t xml:space="preserve">, AICPA </w:t>
      </w:r>
      <w:r w:rsidRPr="00686181">
        <w:rPr>
          <w:rFonts w:ascii="Times New Roman" w:hAnsi="Times New Roman" w:cs="Times New Roman"/>
          <w:color w:val="000000"/>
          <w:sz w:val="20"/>
          <w:szCs w:val="20"/>
          <w:lang w:val="en-GB"/>
        </w:rPr>
        <w:t>senior vice president, public practice and global alliance)</w:t>
      </w:r>
      <w:r w:rsidRPr="00686181">
        <w:rPr>
          <w:rStyle w:val="FootnoteReference"/>
          <w:rFonts w:ascii="Times New Roman" w:hAnsi="Times New Roman" w:cs="Times New Roman"/>
          <w:color w:val="000000"/>
          <w:sz w:val="20"/>
          <w:szCs w:val="20"/>
          <w:lang w:val="en-GB"/>
        </w:rPr>
        <w:footnoteReference w:id="9"/>
      </w:r>
    </w:p>
    <w:p w14:paraId="63F164B8" w14:textId="11F0D8FC" w:rsidR="00A626DF" w:rsidRPr="00686181" w:rsidRDefault="00A626DF" w:rsidP="00686181">
      <w:pPr>
        <w:autoSpaceDE w:val="0"/>
        <w:autoSpaceDN w:val="0"/>
        <w:adjustRightInd w:val="0"/>
        <w:spacing w:after="0" w:line="240" w:lineRule="auto"/>
        <w:ind w:left="708"/>
        <w:jc w:val="both"/>
        <w:rPr>
          <w:rFonts w:ascii="Times New Roman" w:hAnsi="Times New Roman" w:cs="Times New Roman"/>
          <w:sz w:val="20"/>
          <w:szCs w:val="20"/>
          <w:lang w:val="en-GB"/>
        </w:rPr>
      </w:pPr>
      <w:r w:rsidRPr="00686181">
        <w:rPr>
          <w:rFonts w:ascii="Times New Roman" w:hAnsi="Times New Roman" w:cs="Times New Roman"/>
          <w:sz w:val="20"/>
          <w:szCs w:val="20"/>
          <w:lang w:val="en-GB"/>
        </w:rPr>
        <w:t>We are now taking the critical first steps</w:t>
      </w:r>
      <w:r w:rsidR="00B32193" w:rsidRPr="00686181">
        <w:rPr>
          <w:rFonts w:ascii="Times New Roman" w:hAnsi="Times New Roman" w:cs="Times New Roman"/>
          <w:sz w:val="20"/>
          <w:szCs w:val="20"/>
          <w:lang w:val="en-GB"/>
        </w:rPr>
        <w:t xml:space="preserve"> </w:t>
      </w:r>
      <w:r w:rsidRPr="00686181">
        <w:rPr>
          <w:rFonts w:ascii="Times New Roman" w:hAnsi="Times New Roman" w:cs="Times New Roman"/>
          <w:sz w:val="20"/>
          <w:szCs w:val="20"/>
          <w:lang w:val="en-GB"/>
        </w:rPr>
        <w:t>towards a new way of reporting globally. Being at the</w:t>
      </w:r>
      <w:r w:rsidR="00F94466">
        <w:rPr>
          <w:rFonts w:ascii="Times New Roman" w:hAnsi="Times New Roman" w:cs="Times New Roman"/>
          <w:sz w:val="20"/>
          <w:szCs w:val="20"/>
          <w:lang w:val="en-GB"/>
        </w:rPr>
        <w:t xml:space="preserve"> </w:t>
      </w:r>
      <w:r w:rsidRPr="00686181">
        <w:rPr>
          <w:rFonts w:ascii="Times New Roman" w:hAnsi="Times New Roman" w:cs="Times New Roman"/>
          <w:sz w:val="20"/>
          <w:szCs w:val="20"/>
          <w:lang w:val="en-GB"/>
        </w:rPr>
        <w:t xml:space="preserve">helm of an </w:t>
      </w:r>
      <w:r w:rsidR="00794753">
        <w:rPr>
          <w:rFonts w:ascii="Times New Roman" w:hAnsi="Times New Roman" w:cs="Times New Roman"/>
          <w:sz w:val="20"/>
          <w:szCs w:val="20"/>
          <w:lang w:val="en-GB"/>
        </w:rPr>
        <w:t>organization</w:t>
      </w:r>
      <w:r w:rsidRPr="00686181">
        <w:rPr>
          <w:rFonts w:ascii="Times New Roman" w:hAnsi="Times New Roman" w:cs="Times New Roman"/>
          <w:sz w:val="20"/>
          <w:szCs w:val="20"/>
          <w:lang w:val="en-GB"/>
        </w:rPr>
        <w:t xml:space="preserve"> concerned with business and sustainability, I am excited by the huge potential this gives business to make</w:t>
      </w:r>
      <w:r w:rsidR="00AC3A23" w:rsidRPr="00AC3A23">
        <w:rPr>
          <w:rFonts w:ascii="Times New Roman" w:hAnsi="Times New Roman" w:cs="Times New Roman"/>
          <w:sz w:val="20"/>
          <w:szCs w:val="20"/>
          <w:lang w:val="en-GB"/>
        </w:rPr>
        <w:t xml:space="preserve"> positive changes to our world</w:t>
      </w:r>
      <w:r w:rsidR="00AC3A23">
        <w:rPr>
          <w:rFonts w:ascii="Times New Roman" w:hAnsi="Times New Roman" w:cs="Times New Roman"/>
          <w:sz w:val="20"/>
          <w:szCs w:val="20"/>
          <w:lang w:val="en-GB"/>
        </w:rPr>
        <w:t>.</w:t>
      </w:r>
      <w:r w:rsidRPr="00686181">
        <w:rPr>
          <w:rFonts w:ascii="Times New Roman" w:hAnsi="Times New Roman" w:cs="Times New Roman"/>
          <w:sz w:val="20"/>
          <w:szCs w:val="20"/>
          <w:lang w:val="en-GB"/>
        </w:rPr>
        <w:t xml:space="preserve">  </w:t>
      </w:r>
      <w:r w:rsidR="00373A4A">
        <w:rPr>
          <w:rFonts w:ascii="Times New Roman" w:hAnsi="Times New Roman" w:cs="Times New Roman"/>
          <w:sz w:val="20"/>
          <w:szCs w:val="20"/>
          <w:lang w:val="en-GB"/>
        </w:rPr>
        <w:t>(</w:t>
      </w:r>
      <w:r w:rsidRPr="00686181">
        <w:rPr>
          <w:rFonts w:ascii="Times New Roman" w:hAnsi="Times New Roman" w:cs="Times New Roman"/>
          <w:sz w:val="20"/>
          <w:szCs w:val="20"/>
          <w:lang w:val="en-GB"/>
        </w:rPr>
        <w:t>Peter Bakker, President, World Business Council for Sustainable Development (WBCSD)</w:t>
      </w:r>
      <w:r w:rsidR="00AC3A23">
        <w:rPr>
          <w:rFonts w:ascii="Times New Roman" w:hAnsi="Times New Roman" w:cs="Times New Roman"/>
          <w:sz w:val="20"/>
          <w:szCs w:val="20"/>
          <w:lang w:val="en-GB"/>
        </w:rPr>
        <w:t>)</w:t>
      </w:r>
      <w:r w:rsidR="00F94466">
        <w:rPr>
          <w:rStyle w:val="FootnoteReference"/>
          <w:rFonts w:ascii="Times New Roman" w:hAnsi="Times New Roman" w:cs="Times New Roman"/>
          <w:sz w:val="20"/>
          <w:szCs w:val="20"/>
          <w:lang w:val="en-GB"/>
        </w:rPr>
        <w:footnoteReference w:id="10"/>
      </w:r>
    </w:p>
    <w:p w14:paraId="5E2EE33A" w14:textId="77777777" w:rsidR="00A626DF" w:rsidRPr="00686181" w:rsidRDefault="00A626DF" w:rsidP="00686181">
      <w:pPr>
        <w:autoSpaceDE w:val="0"/>
        <w:autoSpaceDN w:val="0"/>
        <w:adjustRightInd w:val="0"/>
        <w:spacing w:after="0" w:line="240" w:lineRule="auto"/>
        <w:rPr>
          <w:rFonts w:ascii="FuturaStd-Book" w:hAnsi="FuturaStd-Book" w:cs="FuturaStd-Book"/>
          <w:sz w:val="20"/>
          <w:szCs w:val="20"/>
          <w:lang w:val="en-GB"/>
        </w:rPr>
      </w:pPr>
    </w:p>
    <w:p w14:paraId="21B40F5B" w14:textId="54800D9F" w:rsidR="0025797D" w:rsidRDefault="00422BEF" w:rsidP="00422BEF">
      <w:pPr>
        <w:autoSpaceDE w:val="0"/>
        <w:autoSpaceDN w:val="0"/>
        <w:adjustRightInd w:val="0"/>
        <w:spacing w:after="0" w:line="360" w:lineRule="auto"/>
        <w:ind w:firstLine="708"/>
        <w:jc w:val="both"/>
        <w:rPr>
          <w:rFonts w:ascii="Times New Roman" w:hAnsi="Times New Roman" w:cs="Times New Roman"/>
          <w:lang w:val="en-US"/>
        </w:rPr>
      </w:pPr>
      <w:r w:rsidRPr="00DD1E36">
        <w:rPr>
          <w:rFonts w:ascii="Times New Roman" w:hAnsi="Times New Roman" w:cs="Times New Roman"/>
          <w:lang w:val="en-US"/>
        </w:rPr>
        <w:t>The</w:t>
      </w:r>
      <w:r w:rsidR="004C7308">
        <w:rPr>
          <w:rFonts w:ascii="Times New Roman" w:hAnsi="Times New Roman" w:cs="Times New Roman"/>
          <w:lang w:val="en-US"/>
        </w:rPr>
        <w:t xml:space="preserve"> </w:t>
      </w:r>
      <w:r w:rsidR="0025797D">
        <w:rPr>
          <w:rFonts w:ascii="Times New Roman" w:hAnsi="Times New Roman" w:cs="Times New Roman"/>
          <w:lang w:val="en-US"/>
        </w:rPr>
        <w:t xml:space="preserve">IIRC’s </w:t>
      </w:r>
      <w:r w:rsidR="004C7308">
        <w:rPr>
          <w:rFonts w:ascii="Times New Roman" w:hAnsi="Times New Roman" w:cs="Times New Roman"/>
          <w:lang w:val="en-US"/>
        </w:rPr>
        <w:t>September 2011</w:t>
      </w:r>
      <w:r w:rsidRPr="00DD1E36">
        <w:rPr>
          <w:rFonts w:ascii="Times New Roman" w:hAnsi="Times New Roman" w:cs="Times New Roman"/>
          <w:lang w:val="en-US"/>
        </w:rPr>
        <w:t xml:space="preserve"> Discussion Paper suggested that the</w:t>
      </w:r>
      <w:r w:rsidRPr="00DD1E36">
        <w:rPr>
          <w:rFonts w:ascii="Times New Roman" w:hAnsi="Times New Roman" w:cs="Times New Roman"/>
          <w:i/>
          <w:lang w:val="en-US"/>
        </w:rPr>
        <w:t xml:space="preserve"> initial</w:t>
      </w:r>
      <w:r w:rsidRPr="00DD1E36">
        <w:rPr>
          <w:rFonts w:ascii="Times New Roman" w:hAnsi="Times New Roman" w:cs="Times New Roman"/>
          <w:lang w:val="en-US"/>
        </w:rPr>
        <w:t xml:space="preserve"> focus of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would be on investors </w:t>
      </w:r>
      <w:r w:rsidRPr="00DD1E36">
        <w:rPr>
          <w:rFonts w:ascii="Times New Roman" w:hAnsi="Times New Roman" w:cs="Times New Roman"/>
          <w:i/>
          <w:lang w:val="en-US"/>
        </w:rPr>
        <w:t>with a long</w:t>
      </w:r>
      <w:r w:rsidR="004C7308">
        <w:rPr>
          <w:rFonts w:ascii="Times New Roman" w:hAnsi="Times New Roman" w:cs="Times New Roman"/>
          <w:i/>
          <w:lang w:val="en-US"/>
        </w:rPr>
        <w:t>-</w:t>
      </w:r>
      <w:r w:rsidRPr="00DD1E36">
        <w:rPr>
          <w:rFonts w:ascii="Times New Roman" w:hAnsi="Times New Roman" w:cs="Times New Roman"/>
          <w:i/>
          <w:lang w:val="en-US"/>
        </w:rPr>
        <w:t>term focus</w:t>
      </w:r>
      <w:r w:rsidR="0025797D">
        <w:rPr>
          <w:rFonts w:ascii="Times New Roman" w:hAnsi="Times New Roman" w:cs="Times New Roman"/>
          <w:lang w:val="en-US"/>
        </w:rPr>
        <w:t>. It</w:t>
      </w:r>
      <w:r w:rsidRPr="00DD1E36">
        <w:rPr>
          <w:rFonts w:ascii="Times New Roman" w:hAnsi="Times New Roman" w:cs="Times New Roman"/>
          <w:lang w:val="en-US"/>
        </w:rPr>
        <w:t xml:space="preserve"> introduced a number of high-level concepts </w:t>
      </w:r>
      <w:r w:rsidR="00AC3A23">
        <w:rPr>
          <w:rFonts w:ascii="Times New Roman" w:hAnsi="Times New Roman" w:cs="Times New Roman"/>
          <w:lang w:val="en-US"/>
        </w:rPr>
        <w:t>such as</w:t>
      </w:r>
      <w:r w:rsidR="001A1D06">
        <w:rPr>
          <w:rFonts w:ascii="Times New Roman" w:hAnsi="Times New Roman" w:cs="Times New Roman"/>
          <w:lang w:val="en-US"/>
        </w:rPr>
        <w:t xml:space="preserve"> the six capitals (</w:t>
      </w:r>
      <w:r w:rsidR="001A1D06" w:rsidRPr="00DD1E36">
        <w:rPr>
          <w:rFonts w:ascii="Times New Roman" w:hAnsi="Times New Roman" w:cs="Times New Roman"/>
          <w:lang w:val="en-US"/>
        </w:rPr>
        <w:t>financial, manufactured, human, intellectual, natural and social)</w:t>
      </w:r>
      <w:r w:rsidR="001A1D06">
        <w:rPr>
          <w:rFonts w:ascii="Times New Roman" w:hAnsi="Times New Roman" w:cs="Times New Roman"/>
          <w:lang w:val="en-US"/>
        </w:rPr>
        <w:t xml:space="preserve">, integrated thinking, and connectivity. These were </w:t>
      </w:r>
      <w:r w:rsidRPr="00DD1E36">
        <w:rPr>
          <w:rFonts w:ascii="Times New Roman" w:hAnsi="Times New Roman" w:cs="Times New Roman"/>
          <w:lang w:val="en-US"/>
        </w:rPr>
        <w:t xml:space="preserve">designed to underpin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t>
      </w:r>
      <w:r>
        <w:rPr>
          <w:rFonts w:ascii="Times New Roman" w:hAnsi="Times New Roman" w:cs="Times New Roman"/>
          <w:lang w:val="en-US"/>
        </w:rPr>
        <w:t>practice</w:t>
      </w:r>
      <w:r w:rsidR="005220F0">
        <w:rPr>
          <w:rFonts w:ascii="Times New Roman" w:hAnsi="Times New Roman" w:cs="Times New Roman"/>
          <w:lang w:val="en-US"/>
        </w:rPr>
        <w:t xml:space="preserve"> and </w:t>
      </w:r>
      <w:r w:rsidR="00E53B5A">
        <w:rPr>
          <w:rFonts w:ascii="Times New Roman" w:hAnsi="Times New Roman" w:cs="Times New Roman"/>
          <w:lang w:val="en-US"/>
        </w:rPr>
        <w:t xml:space="preserve">more </w:t>
      </w:r>
      <w:r w:rsidR="005220F0">
        <w:rPr>
          <w:rFonts w:ascii="Times New Roman" w:hAnsi="Times New Roman" w:cs="Times New Roman"/>
          <w:lang w:val="en-US"/>
        </w:rPr>
        <w:t xml:space="preserve">clearly distinguish </w:t>
      </w:r>
      <w:r w:rsidR="00826D0C">
        <w:rPr>
          <w:rFonts w:ascii="Times New Roman" w:hAnsi="Times New Roman" w:cs="Times New Roman"/>
          <w:lang w:val="en-US"/>
        </w:rPr>
        <w:t xml:space="preserve">it </w:t>
      </w:r>
      <w:r w:rsidR="005220F0">
        <w:rPr>
          <w:rFonts w:ascii="Times New Roman" w:hAnsi="Times New Roman" w:cs="Times New Roman"/>
          <w:lang w:val="en-US"/>
        </w:rPr>
        <w:t xml:space="preserve">from </w:t>
      </w:r>
      <w:r w:rsidR="00E53B5A">
        <w:rPr>
          <w:rFonts w:ascii="Times New Roman" w:hAnsi="Times New Roman" w:cs="Times New Roman"/>
          <w:lang w:val="en-US"/>
        </w:rPr>
        <w:t xml:space="preserve">existing </w:t>
      </w:r>
      <w:r w:rsidR="005220F0">
        <w:rPr>
          <w:rFonts w:ascii="Times New Roman" w:hAnsi="Times New Roman" w:cs="Times New Roman"/>
          <w:lang w:val="en-US"/>
        </w:rPr>
        <w:t xml:space="preserve">forms of </w:t>
      </w:r>
      <w:r w:rsidR="00E53B5A">
        <w:rPr>
          <w:rFonts w:ascii="Times New Roman" w:hAnsi="Times New Roman" w:cs="Times New Roman"/>
          <w:lang w:val="en-US"/>
        </w:rPr>
        <w:t xml:space="preserve">corporate </w:t>
      </w:r>
      <w:r w:rsidR="005220F0">
        <w:rPr>
          <w:rFonts w:ascii="Times New Roman" w:hAnsi="Times New Roman" w:cs="Times New Roman"/>
          <w:lang w:val="en-US"/>
        </w:rPr>
        <w:t>reporting.</w:t>
      </w:r>
      <w:r w:rsidR="00AC3A23">
        <w:rPr>
          <w:rFonts w:ascii="Times New Roman" w:hAnsi="Times New Roman" w:cs="Times New Roman"/>
          <w:lang w:val="en-US"/>
        </w:rPr>
        <w:t xml:space="preserve"> </w:t>
      </w:r>
      <w:r>
        <w:rPr>
          <w:rFonts w:ascii="Times New Roman" w:hAnsi="Times New Roman" w:cs="Times New Roman"/>
          <w:lang w:val="en-US"/>
        </w:rPr>
        <w:t xml:space="preserve">The </w:t>
      </w:r>
      <w:r w:rsidR="004C7308">
        <w:rPr>
          <w:rFonts w:ascii="Times New Roman" w:hAnsi="Times New Roman" w:cs="Times New Roman"/>
          <w:lang w:val="en-US"/>
        </w:rPr>
        <w:t xml:space="preserve">Discussion </w:t>
      </w:r>
      <w:r>
        <w:rPr>
          <w:rFonts w:ascii="Times New Roman" w:hAnsi="Times New Roman" w:cs="Times New Roman"/>
          <w:lang w:val="en-US"/>
        </w:rPr>
        <w:t>Paper</w:t>
      </w:r>
      <w:r w:rsidR="004C7308">
        <w:rPr>
          <w:rFonts w:ascii="Times New Roman" w:hAnsi="Times New Roman" w:cs="Times New Roman"/>
          <w:lang w:val="en-US"/>
        </w:rPr>
        <w:t xml:space="preserve"> </w:t>
      </w:r>
      <w:r w:rsidRPr="00DD1E36">
        <w:rPr>
          <w:rFonts w:ascii="Times New Roman" w:hAnsi="Times New Roman" w:cs="Times New Roman"/>
          <w:lang w:val="en-US"/>
        </w:rPr>
        <w:t xml:space="preserve">allowed actors in the corporate reporting field to reflect on what the </w:t>
      </w:r>
      <w:r w:rsidR="00121D10">
        <w:rPr>
          <w:rFonts w:ascii="Times New Roman" w:hAnsi="Times New Roman" w:cs="Times New Roman"/>
          <w:lang w:val="en-US"/>
        </w:rPr>
        <w:t>integrated reporting</w:t>
      </w:r>
      <w:r>
        <w:rPr>
          <w:rFonts w:ascii="Times New Roman" w:hAnsi="Times New Roman" w:cs="Times New Roman"/>
          <w:lang w:val="en-US"/>
        </w:rPr>
        <w:t xml:space="preserve"> </w:t>
      </w:r>
      <w:r w:rsidR="0083126C">
        <w:rPr>
          <w:rFonts w:ascii="Times New Roman" w:hAnsi="Times New Roman" w:cs="Times New Roman"/>
          <w:lang w:val="en-US"/>
        </w:rPr>
        <w:t>‘</w:t>
      </w:r>
      <w:r>
        <w:rPr>
          <w:rFonts w:ascii="Times New Roman" w:hAnsi="Times New Roman" w:cs="Times New Roman"/>
          <w:lang w:val="en-US"/>
        </w:rPr>
        <w:t>idea</w:t>
      </w:r>
      <w:r w:rsidR="0083126C">
        <w:rPr>
          <w:rFonts w:ascii="Times New Roman" w:hAnsi="Times New Roman" w:cs="Times New Roman"/>
          <w:lang w:val="en-US"/>
        </w:rPr>
        <w:t>’</w:t>
      </w:r>
      <w:r>
        <w:rPr>
          <w:rFonts w:ascii="Times New Roman" w:hAnsi="Times New Roman" w:cs="Times New Roman"/>
          <w:lang w:val="en-US"/>
        </w:rPr>
        <w:t xml:space="preserve"> </w:t>
      </w:r>
      <w:r w:rsidRPr="00DD1E36">
        <w:rPr>
          <w:rFonts w:ascii="Times New Roman" w:hAnsi="Times New Roman" w:cs="Times New Roman"/>
          <w:lang w:val="en-US"/>
        </w:rPr>
        <w:t xml:space="preserve">represented. </w:t>
      </w:r>
    </w:p>
    <w:p w14:paraId="1E1669E4" w14:textId="77777777" w:rsidR="00DB4949" w:rsidRDefault="00DB4949" w:rsidP="00422BEF">
      <w:pPr>
        <w:autoSpaceDE w:val="0"/>
        <w:autoSpaceDN w:val="0"/>
        <w:adjustRightInd w:val="0"/>
        <w:spacing w:after="0" w:line="360" w:lineRule="auto"/>
        <w:ind w:firstLine="708"/>
        <w:jc w:val="both"/>
        <w:rPr>
          <w:rFonts w:ascii="Times New Roman" w:hAnsi="Times New Roman" w:cs="Times New Roman"/>
          <w:lang w:val="en-US"/>
        </w:rPr>
      </w:pPr>
    </w:p>
    <w:p w14:paraId="30E534F2" w14:textId="246E9250" w:rsidR="00422BEF" w:rsidRPr="00DD1E36" w:rsidRDefault="00422BEF" w:rsidP="00422BEF">
      <w:pPr>
        <w:autoSpaceDE w:val="0"/>
        <w:autoSpaceDN w:val="0"/>
        <w:adjustRightInd w:val="0"/>
        <w:spacing w:after="0" w:line="360" w:lineRule="auto"/>
        <w:ind w:firstLine="708"/>
        <w:jc w:val="both"/>
        <w:rPr>
          <w:rFonts w:ascii="Times New Roman" w:hAnsi="Times New Roman" w:cs="Times New Roman"/>
          <w:lang w:val="en-US"/>
        </w:rPr>
      </w:pPr>
      <w:r w:rsidRPr="00DD1E36">
        <w:rPr>
          <w:rFonts w:ascii="Times New Roman" w:hAnsi="Times New Roman" w:cs="Times New Roman"/>
          <w:lang w:val="en-US"/>
        </w:rPr>
        <w:t xml:space="preserve">While </w:t>
      </w:r>
      <w:r>
        <w:rPr>
          <w:rFonts w:ascii="Times New Roman" w:hAnsi="Times New Roman" w:cs="Times New Roman"/>
          <w:lang w:val="en-US"/>
        </w:rPr>
        <w:t xml:space="preserve">the 214 </w:t>
      </w:r>
      <w:r w:rsidRPr="00DD1E36">
        <w:rPr>
          <w:rFonts w:ascii="Times New Roman" w:hAnsi="Times New Roman" w:cs="Times New Roman"/>
          <w:lang w:val="en-US"/>
        </w:rPr>
        <w:t xml:space="preserve">respondents to the Discussion Paper were almost uniformly supportive of the ‘idea’ of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and of the IIRC’s broad ambitions, many </w:t>
      </w:r>
      <w:proofErr w:type="spellStart"/>
      <w:r w:rsidR="00E53B5A">
        <w:rPr>
          <w:rFonts w:ascii="Times New Roman" w:hAnsi="Times New Roman" w:cs="Times New Roman"/>
          <w:lang w:val="en-US"/>
        </w:rPr>
        <w:t>criticis</w:t>
      </w:r>
      <w:r w:rsidR="0050368E">
        <w:rPr>
          <w:rFonts w:ascii="Times New Roman" w:hAnsi="Times New Roman" w:cs="Times New Roman"/>
          <w:lang w:val="en-US"/>
        </w:rPr>
        <w:t>ed</w:t>
      </w:r>
      <w:proofErr w:type="spellEnd"/>
      <w:r w:rsidR="0050368E">
        <w:rPr>
          <w:rFonts w:ascii="Times New Roman" w:hAnsi="Times New Roman" w:cs="Times New Roman"/>
          <w:lang w:val="en-US"/>
        </w:rPr>
        <w:t xml:space="preserve"> </w:t>
      </w:r>
      <w:r w:rsidRPr="00DD1E36">
        <w:rPr>
          <w:rFonts w:ascii="Times New Roman" w:hAnsi="Times New Roman" w:cs="Times New Roman"/>
          <w:lang w:val="en-US"/>
        </w:rPr>
        <w:t xml:space="preserve">the lack of compelling evidence offered in support of the proposed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solution to the </w:t>
      </w:r>
      <w:r>
        <w:rPr>
          <w:rFonts w:ascii="Times New Roman" w:hAnsi="Times New Roman" w:cs="Times New Roman"/>
          <w:lang w:val="en-US"/>
        </w:rPr>
        <w:t xml:space="preserve">societal-level </w:t>
      </w:r>
      <w:r w:rsidRPr="00DD1E36">
        <w:rPr>
          <w:rFonts w:ascii="Times New Roman" w:hAnsi="Times New Roman" w:cs="Times New Roman"/>
          <w:lang w:val="en-US"/>
        </w:rPr>
        <w:t>problems presented by the IIRC and its supporters</w:t>
      </w:r>
      <w:r w:rsidR="00E11B04">
        <w:rPr>
          <w:rFonts w:ascii="Times New Roman" w:hAnsi="Times New Roman" w:cs="Times New Roman"/>
          <w:lang w:val="en-US"/>
        </w:rPr>
        <w:t xml:space="preserve"> (see also, Reuter and </w:t>
      </w:r>
      <w:proofErr w:type="spellStart"/>
      <w:r w:rsidR="00E11B04">
        <w:rPr>
          <w:rFonts w:ascii="Times New Roman" w:hAnsi="Times New Roman" w:cs="Times New Roman"/>
          <w:lang w:val="en-US"/>
        </w:rPr>
        <w:t>Messner</w:t>
      </w:r>
      <w:proofErr w:type="spellEnd"/>
      <w:r w:rsidR="00E11B04">
        <w:rPr>
          <w:rFonts w:ascii="Times New Roman" w:hAnsi="Times New Roman" w:cs="Times New Roman"/>
          <w:lang w:val="en-US"/>
        </w:rPr>
        <w:t>, 2015</w:t>
      </w:r>
      <w:r w:rsidR="00E11B04" w:rsidRPr="00686181">
        <w:rPr>
          <w:rFonts w:ascii="Times New Roman" w:hAnsi="Times New Roman" w:cs="Times New Roman"/>
          <w:lang w:val="en-GB"/>
        </w:rPr>
        <w:t>)</w:t>
      </w:r>
      <w:r w:rsidRPr="00DD1E36">
        <w:rPr>
          <w:rFonts w:ascii="Times New Roman" w:hAnsi="Times New Roman" w:cs="Times New Roman"/>
          <w:lang w:val="en-US"/>
        </w:rPr>
        <w:t xml:space="preserve">. Several respondents observed that </w:t>
      </w:r>
      <w:r>
        <w:rPr>
          <w:rFonts w:ascii="Times New Roman" w:hAnsi="Times New Roman" w:cs="Times New Roman"/>
          <w:lang w:val="en-US"/>
        </w:rPr>
        <w:t>t</w:t>
      </w:r>
      <w:r w:rsidR="00AE20EF">
        <w:rPr>
          <w:rFonts w:ascii="Times New Roman" w:hAnsi="Times New Roman" w:cs="Times New Roman"/>
          <w:lang w:val="en-US"/>
        </w:rPr>
        <w:t>he Discussion Paper wa</w:t>
      </w:r>
      <w:r w:rsidRPr="00DD1E36">
        <w:rPr>
          <w:rFonts w:ascii="Times New Roman" w:hAnsi="Times New Roman" w:cs="Times New Roman"/>
          <w:lang w:val="en-US"/>
        </w:rPr>
        <w:t xml:space="preserve">s written in an overly persuasive marketing style while the language used was accused of </w:t>
      </w:r>
      <w:r w:rsidR="000F3DF0">
        <w:rPr>
          <w:rFonts w:ascii="Times New Roman" w:hAnsi="Times New Roman" w:cs="Times New Roman"/>
          <w:lang w:val="en-US"/>
        </w:rPr>
        <w:t>‘</w:t>
      </w:r>
      <w:proofErr w:type="spellStart"/>
      <w:r w:rsidRPr="00DD1E36">
        <w:rPr>
          <w:rFonts w:ascii="Times New Roman" w:hAnsi="Times New Roman" w:cs="Times New Roman"/>
          <w:lang w:val="en-US"/>
        </w:rPr>
        <w:t>overclaiming</w:t>
      </w:r>
      <w:proofErr w:type="spellEnd"/>
      <w:r w:rsidRPr="00DD1E36">
        <w:rPr>
          <w:rFonts w:ascii="Times New Roman" w:hAnsi="Times New Roman" w:cs="Times New Roman"/>
          <w:lang w:val="en-US"/>
        </w:rPr>
        <w:t xml:space="preserve"> outcomes from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that depend[</w:t>
      </w:r>
      <w:proofErr w:type="spellStart"/>
      <w:r w:rsidRPr="00DD1E36">
        <w:rPr>
          <w:rFonts w:ascii="Times New Roman" w:hAnsi="Times New Roman" w:cs="Times New Roman"/>
          <w:lang w:val="en-US"/>
        </w:rPr>
        <w:t>ed</w:t>
      </w:r>
      <w:proofErr w:type="spellEnd"/>
      <w:r w:rsidRPr="00DD1E36">
        <w:rPr>
          <w:rFonts w:ascii="Times New Roman" w:hAnsi="Times New Roman" w:cs="Times New Roman"/>
          <w:lang w:val="en-US"/>
        </w:rPr>
        <w:t>] on subjective judgement</w:t>
      </w:r>
      <w:r w:rsidR="000F3DF0">
        <w:rPr>
          <w:rFonts w:ascii="Times New Roman" w:hAnsi="Times New Roman" w:cs="Times New Roman"/>
          <w:lang w:val="en-US"/>
        </w:rPr>
        <w:t>’</w:t>
      </w:r>
      <w:r w:rsidRPr="00DD1E36">
        <w:rPr>
          <w:rFonts w:ascii="Times New Roman" w:hAnsi="Times New Roman" w:cs="Times New Roman"/>
          <w:lang w:val="en-US"/>
        </w:rPr>
        <w:t xml:space="preserve"> (Association of Accounting Technicians (UK))</w:t>
      </w:r>
      <w:r w:rsidR="00F94466">
        <w:rPr>
          <w:rFonts w:ascii="Times New Roman" w:hAnsi="Times New Roman" w:cs="Times New Roman"/>
          <w:lang w:val="en-US"/>
        </w:rPr>
        <w:t>:</w:t>
      </w:r>
    </w:p>
    <w:p w14:paraId="642CF47D" w14:textId="09CF907B" w:rsidR="00422BEF" w:rsidRPr="004266CA" w:rsidRDefault="00422BEF">
      <w:pPr>
        <w:autoSpaceDE w:val="0"/>
        <w:autoSpaceDN w:val="0"/>
        <w:adjustRightInd w:val="0"/>
        <w:spacing w:after="0" w:line="240" w:lineRule="auto"/>
        <w:ind w:left="708"/>
        <w:jc w:val="both"/>
        <w:rPr>
          <w:rFonts w:ascii="Times New Roman" w:hAnsi="Times New Roman" w:cs="Times New Roman"/>
          <w:sz w:val="20"/>
          <w:szCs w:val="20"/>
          <w:lang w:val="en-US"/>
        </w:rPr>
      </w:pPr>
      <w:r w:rsidRPr="004266CA">
        <w:rPr>
          <w:rFonts w:ascii="Times New Roman" w:hAnsi="Times New Roman" w:cs="Times New Roman"/>
          <w:sz w:val="20"/>
          <w:szCs w:val="20"/>
          <w:lang w:val="en-US"/>
        </w:rPr>
        <w:t xml:space="preserve">We find that the discussion paper reads more as guidance on how to produce an integrated report … </w:t>
      </w:r>
      <w:r w:rsidRPr="004266CA">
        <w:rPr>
          <w:rFonts w:ascii="Times New Roman" w:hAnsi="Times New Roman" w:cs="Times New Roman"/>
          <w:i/>
          <w:sz w:val="20"/>
          <w:szCs w:val="20"/>
          <w:lang w:val="en-US"/>
        </w:rPr>
        <w:t>without fully articulating why such a report should be produced</w:t>
      </w:r>
      <w:r w:rsidRPr="004266CA">
        <w:rPr>
          <w:rFonts w:ascii="Times New Roman" w:hAnsi="Times New Roman" w:cs="Times New Roman"/>
          <w:sz w:val="20"/>
          <w:szCs w:val="20"/>
          <w:lang w:val="en-US"/>
        </w:rPr>
        <w:t xml:space="preserve">. We acknowledge that the Integrated Reporting debate is at an early stage and that the concepts outlined in the discussion paper are necessarily at a very high level. Evidence of the debate being at an early stage is that </w:t>
      </w:r>
      <w:r w:rsidRPr="004266CA">
        <w:rPr>
          <w:rFonts w:ascii="Times New Roman" w:hAnsi="Times New Roman" w:cs="Times New Roman"/>
          <w:i/>
          <w:sz w:val="20"/>
          <w:szCs w:val="20"/>
          <w:lang w:val="en-US"/>
        </w:rPr>
        <w:t xml:space="preserve">the discussion paper makes a number of assertions about the need for such a report without referencing any </w:t>
      </w:r>
      <w:r w:rsidRPr="004266CA">
        <w:rPr>
          <w:rFonts w:ascii="Times New Roman" w:hAnsi="Times New Roman" w:cs="Times New Roman"/>
          <w:i/>
          <w:sz w:val="20"/>
          <w:szCs w:val="20"/>
          <w:lang w:val="en-US"/>
        </w:rPr>
        <w:lastRenderedPageBreak/>
        <w:t>substantive research to support those assertions</w:t>
      </w:r>
      <w:r w:rsidRPr="004266CA">
        <w:rPr>
          <w:rFonts w:ascii="Times New Roman" w:hAnsi="Times New Roman" w:cs="Times New Roman"/>
          <w:sz w:val="20"/>
          <w:szCs w:val="20"/>
          <w:lang w:val="en-US"/>
        </w:rPr>
        <w:t xml:space="preserve"> (</w:t>
      </w:r>
      <w:r w:rsidR="00F94466" w:rsidRPr="00686181">
        <w:rPr>
          <w:rFonts w:ascii="Times New Roman" w:hAnsi="Times New Roman" w:cs="Times New Roman"/>
          <w:sz w:val="20"/>
          <w:szCs w:val="20"/>
          <w:lang w:val="en-US"/>
        </w:rPr>
        <w:t xml:space="preserve">Deloitte </w:t>
      </w:r>
      <w:proofErr w:type="spellStart"/>
      <w:r w:rsidR="00F94466" w:rsidRPr="00686181">
        <w:rPr>
          <w:rFonts w:ascii="Times New Roman" w:hAnsi="Times New Roman" w:cs="Times New Roman"/>
          <w:sz w:val="20"/>
          <w:szCs w:val="20"/>
          <w:lang w:val="en-US"/>
        </w:rPr>
        <w:t>Touche</w:t>
      </w:r>
      <w:proofErr w:type="spellEnd"/>
      <w:r w:rsidR="00F94466" w:rsidRPr="00686181">
        <w:rPr>
          <w:rFonts w:ascii="Times New Roman" w:hAnsi="Times New Roman" w:cs="Times New Roman"/>
          <w:sz w:val="20"/>
          <w:szCs w:val="20"/>
          <w:lang w:val="en-US"/>
        </w:rPr>
        <w:t xml:space="preserve"> Tohmatsu response</w:t>
      </w:r>
      <w:r w:rsidR="004266CA" w:rsidRPr="00686181">
        <w:rPr>
          <w:rFonts w:ascii="Times New Roman" w:hAnsi="Times New Roman" w:cs="Times New Roman"/>
          <w:sz w:val="20"/>
          <w:szCs w:val="20"/>
          <w:lang w:val="en-US"/>
        </w:rPr>
        <w:t xml:space="preserve"> to IIRC Discussion paper, </w:t>
      </w:r>
      <w:r w:rsidRPr="004266CA">
        <w:rPr>
          <w:rFonts w:ascii="Times New Roman" w:hAnsi="Times New Roman" w:cs="Times New Roman"/>
          <w:sz w:val="20"/>
          <w:szCs w:val="20"/>
          <w:lang w:val="en-US"/>
        </w:rPr>
        <w:t>emphasis added)</w:t>
      </w:r>
      <w:r w:rsidR="004266CA">
        <w:rPr>
          <w:rStyle w:val="FootnoteReference"/>
          <w:rFonts w:ascii="Times New Roman" w:hAnsi="Times New Roman" w:cs="Times New Roman"/>
          <w:sz w:val="20"/>
          <w:szCs w:val="20"/>
          <w:lang w:val="en-US"/>
        </w:rPr>
        <w:footnoteReference w:id="11"/>
      </w:r>
      <w:r w:rsidRPr="004266CA">
        <w:rPr>
          <w:rFonts w:ascii="Times New Roman" w:hAnsi="Times New Roman" w:cs="Times New Roman"/>
          <w:sz w:val="20"/>
          <w:szCs w:val="20"/>
          <w:lang w:val="en-US"/>
        </w:rPr>
        <w:t>.</w:t>
      </w:r>
    </w:p>
    <w:p w14:paraId="2BAC51AD" w14:textId="77777777" w:rsidR="00422BEF" w:rsidRPr="00DD1E36" w:rsidRDefault="00422BEF" w:rsidP="00422BEF">
      <w:pPr>
        <w:autoSpaceDE w:val="0"/>
        <w:autoSpaceDN w:val="0"/>
        <w:adjustRightInd w:val="0"/>
        <w:spacing w:after="0" w:line="360" w:lineRule="auto"/>
        <w:jc w:val="both"/>
        <w:rPr>
          <w:rFonts w:ascii="Times New Roman" w:hAnsi="Times New Roman" w:cs="Times New Roman"/>
          <w:lang w:val="en-US"/>
        </w:rPr>
      </w:pPr>
    </w:p>
    <w:p w14:paraId="0CC633C4" w14:textId="4A12F7F0" w:rsidR="00422BEF" w:rsidRPr="00DD1E36" w:rsidRDefault="00AE0B7F" w:rsidP="00422BEF">
      <w:pPr>
        <w:spacing w:line="360" w:lineRule="auto"/>
        <w:ind w:firstLine="708"/>
        <w:jc w:val="both"/>
        <w:rPr>
          <w:rFonts w:ascii="Times New Roman" w:hAnsi="Times New Roman" w:cs="Times New Roman"/>
          <w:lang w:val="en-US"/>
        </w:rPr>
      </w:pPr>
      <w:r>
        <w:rPr>
          <w:rFonts w:ascii="Times New Roman" w:hAnsi="Times New Roman" w:cs="Times New Roman"/>
          <w:lang w:val="en-US"/>
        </w:rPr>
        <w:t>A</w:t>
      </w:r>
      <w:r w:rsidR="00422BEF" w:rsidRPr="00DD1E36">
        <w:rPr>
          <w:rFonts w:ascii="Times New Roman" w:hAnsi="Times New Roman" w:cs="Times New Roman"/>
          <w:lang w:val="en-US"/>
        </w:rPr>
        <w:t xml:space="preserve">s the IIRC </w:t>
      </w:r>
      <w:r w:rsidR="00D6421D">
        <w:rPr>
          <w:rFonts w:ascii="Times New Roman" w:hAnsi="Times New Roman" w:cs="Times New Roman"/>
          <w:lang w:val="en-US"/>
        </w:rPr>
        <w:t>explicitly</w:t>
      </w:r>
      <w:r w:rsidR="00D6421D" w:rsidRPr="00DD1E36">
        <w:rPr>
          <w:rFonts w:ascii="Times New Roman" w:hAnsi="Times New Roman" w:cs="Times New Roman"/>
          <w:lang w:val="en-US"/>
        </w:rPr>
        <w:t xml:space="preserve"> </w:t>
      </w:r>
      <w:r w:rsidR="00422BEF" w:rsidRPr="00DD1E36">
        <w:rPr>
          <w:rFonts w:ascii="Times New Roman" w:hAnsi="Times New Roman" w:cs="Times New Roman"/>
          <w:lang w:val="en-US"/>
        </w:rPr>
        <w:t>acknowledged</w:t>
      </w:r>
      <w:r w:rsidR="006204BB">
        <w:rPr>
          <w:rFonts w:ascii="Times New Roman" w:hAnsi="Times New Roman" w:cs="Times New Roman"/>
          <w:lang w:val="en-US"/>
        </w:rPr>
        <w:t xml:space="preserve"> in summari</w:t>
      </w:r>
      <w:r w:rsidR="00F05171">
        <w:rPr>
          <w:rFonts w:ascii="Times New Roman" w:hAnsi="Times New Roman" w:cs="Times New Roman"/>
          <w:lang w:val="en-US"/>
        </w:rPr>
        <w:t>z</w:t>
      </w:r>
      <w:r w:rsidR="006204BB">
        <w:rPr>
          <w:rFonts w:ascii="Times New Roman" w:hAnsi="Times New Roman" w:cs="Times New Roman"/>
          <w:lang w:val="en-US"/>
        </w:rPr>
        <w:t>ing the responses to the Discussion Paper</w:t>
      </w:r>
      <w:r w:rsidR="00422BEF" w:rsidRPr="00DD1E36">
        <w:rPr>
          <w:rFonts w:ascii="Times New Roman" w:hAnsi="Times New Roman" w:cs="Times New Roman"/>
          <w:lang w:val="en-US"/>
        </w:rPr>
        <w:t xml:space="preserve">, respondents remained </w:t>
      </w:r>
      <w:r w:rsidR="00422BEF">
        <w:rPr>
          <w:rFonts w:ascii="Times New Roman" w:hAnsi="Times New Roman" w:cs="Times New Roman"/>
          <w:lang w:val="en-US"/>
        </w:rPr>
        <w:t xml:space="preserve">unsure as to what </w:t>
      </w:r>
      <w:r w:rsidR="00121D10">
        <w:rPr>
          <w:rFonts w:ascii="Times New Roman" w:hAnsi="Times New Roman" w:cs="Times New Roman"/>
          <w:lang w:val="en-US"/>
        </w:rPr>
        <w:t>integrated reporting</w:t>
      </w:r>
      <w:r w:rsidR="00422BEF" w:rsidRPr="00DD1E36">
        <w:rPr>
          <w:rFonts w:ascii="Times New Roman" w:hAnsi="Times New Roman" w:cs="Times New Roman"/>
          <w:lang w:val="en-US"/>
        </w:rPr>
        <w:t xml:space="preserve"> actually represented and how it would relate to existing financial and non-financial reporting in the corporate reporting field:</w:t>
      </w:r>
    </w:p>
    <w:p w14:paraId="2ABC987B" w14:textId="25D31708" w:rsidR="00422BEF" w:rsidRDefault="00422BEF" w:rsidP="00422BEF">
      <w:pPr>
        <w:autoSpaceDE w:val="0"/>
        <w:autoSpaceDN w:val="0"/>
        <w:adjustRightInd w:val="0"/>
        <w:spacing w:after="0" w:line="240" w:lineRule="auto"/>
        <w:ind w:left="708"/>
        <w:jc w:val="both"/>
        <w:rPr>
          <w:rFonts w:ascii="Times New Roman" w:hAnsi="Times New Roman" w:cs="Times New Roman"/>
          <w:sz w:val="20"/>
          <w:szCs w:val="20"/>
          <w:lang w:val="en-US"/>
        </w:rPr>
      </w:pPr>
      <w:r w:rsidRPr="006204BB">
        <w:rPr>
          <w:rFonts w:ascii="Times New Roman" w:hAnsi="Times New Roman" w:cs="Times New Roman"/>
          <w:sz w:val="20"/>
          <w:szCs w:val="20"/>
          <w:lang w:val="en-US"/>
        </w:rPr>
        <w:t>It was apparent from the responses</w:t>
      </w:r>
      <w:r w:rsidR="00BB21C4">
        <w:rPr>
          <w:rFonts w:ascii="Times New Roman" w:hAnsi="Times New Roman" w:cs="Times New Roman"/>
          <w:sz w:val="20"/>
          <w:szCs w:val="20"/>
          <w:lang w:val="en-US"/>
        </w:rPr>
        <w:t xml:space="preserve"> </w:t>
      </w:r>
      <w:r w:rsidRPr="006204BB">
        <w:rPr>
          <w:rFonts w:ascii="Times New Roman" w:hAnsi="Times New Roman" w:cs="Times New Roman"/>
          <w:sz w:val="20"/>
          <w:szCs w:val="20"/>
          <w:lang w:val="en-US"/>
        </w:rPr>
        <w:t xml:space="preserve">that there is a diversity of views, and </w:t>
      </w:r>
      <w:r w:rsidRPr="005E7227">
        <w:rPr>
          <w:rFonts w:ascii="Times New Roman" w:hAnsi="Times New Roman" w:cs="Times New Roman"/>
          <w:sz w:val="20"/>
          <w:szCs w:val="20"/>
          <w:lang w:val="en-US"/>
        </w:rPr>
        <w:t>even a degree of confusion, about the definition of Integrated Reporting;</w:t>
      </w:r>
      <w:r w:rsidRPr="006204BB">
        <w:rPr>
          <w:rFonts w:ascii="Times New Roman" w:hAnsi="Times New Roman" w:cs="Times New Roman"/>
          <w:sz w:val="20"/>
          <w:szCs w:val="20"/>
          <w:lang w:val="en-US"/>
        </w:rPr>
        <w:t xml:space="preserve"> </w:t>
      </w:r>
      <w:r w:rsidRPr="005E7227">
        <w:rPr>
          <w:rFonts w:ascii="Times New Roman" w:hAnsi="Times New Roman" w:cs="Times New Roman"/>
          <w:sz w:val="20"/>
          <w:szCs w:val="20"/>
          <w:lang w:val="en-US"/>
        </w:rPr>
        <w:t>about what Integrated Reporting is, or is intended to become; and how Integrated Reporting should relate to existing reporting strands</w:t>
      </w:r>
      <w:r w:rsidRPr="006204BB">
        <w:rPr>
          <w:rFonts w:ascii="Times New Roman" w:hAnsi="Times New Roman" w:cs="Times New Roman"/>
          <w:sz w:val="20"/>
          <w:szCs w:val="20"/>
          <w:lang w:val="en-US"/>
        </w:rPr>
        <w:t xml:space="preserve"> (e.g. financial, management commentary, governance and remuneration, and sustainability reporting).</w:t>
      </w:r>
      <w:r w:rsidRPr="00DD1E36">
        <w:rPr>
          <w:rFonts w:ascii="Times New Roman" w:hAnsi="Times New Roman" w:cs="Times New Roman"/>
          <w:sz w:val="20"/>
          <w:szCs w:val="20"/>
          <w:lang w:val="en-US"/>
        </w:rPr>
        <w:t xml:space="preserve"> </w:t>
      </w:r>
    </w:p>
    <w:p w14:paraId="73D1553F" w14:textId="77777777" w:rsidR="005220F0" w:rsidRDefault="005220F0" w:rsidP="00422BEF">
      <w:pPr>
        <w:autoSpaceDE w:val="0"/>
        <w:autoSpaceDN w:val="0"/>
        <w:adjustRightInd w:val="0"/>
        <w:spacing w:after="0" w:line="240" w:lineRule="auto"/>
        <w:ind w:left="708"/>
        <w:jc w:val="both"/>
        <w:rPr>
          <w:rFonts w:ascii="Times New Roman" w:hAnsi="Times New Roman" w:cs="Times New Roman"/>
          <w:sz w:val="20"/>
          <w:szCs w:val="20"/>
          <w:lang w:val="en-US"/>
        </w:rPr>
      </w:pPr>
    </w:p>
    <w:p w14:paraId="64FE055F" w14:textId="77777777" w:rsidR="0083709F" w:rsidRDefault="0083709F" w:rsidP="004158E0">
      <w:pPr>
        <w:autoSpaceDE w:val="0"/>
        <w:autoSpaceDN w:val="0"/>
        <w:adjustRightInd w:val="0"/>
        <w:spacing w:after="0" w:line="240" w:lineRule="auto"/>
        <w:jc w:val="both"/>
        <w:rPr>
          <w:rFonts w:ascii="Times New Roman" w:hAnsi="Times New Roman" w:cs="Times New Roman"/>
          <w:sz w:val="20"/>
          <w:szCs w:val="20"/>
          <w:lang w:val="en-US"/>
        </w:rPr>
      </w:pPr>
    </w:p>
    <w:p w14:paraId="2AB5C9BA" w14:textId="5069C8A7" w:rsidR="005220F0" w:rsidRDefault="001A1D06" w:rsidP="004158E0">
      <w:pPr>
        <w:autoSpaceDE w:val="0"/>
        <w:autoSpaceDN w:val="0"/>
        <w:adjustRightInd w:val="0"/>
        <w:spacing w:after="0" w:line="360" w:lineRule="auto"/>
        <w:ind w:firstLine="708"/>
        <w:jc w:val="both"/>
        <w:rPr>
          <w:rFonts w:ascii="Times New Roman" w:hAnsi="Times New Roman" w:cs="Times New Roman"/>
          <w:lang w:val="en-US"/>
        </w:rPr>
      </w:pPr>
      <w:r>
        <w:rPr>
          <w:rFonts w:ascii="Times New Roman" w:hAnsi="Times New Roman" w:cs="Times New Roman"/>
          <w:lang w:val="en-US"/>
        </w:rPr>
        <w:t xml:space="preserve">To </w:t>
      </w:r>
      <w:proofErr w:type="spellStart"/>
      <w:r>
        <w:rPr>
          <w:rFonts w:ascii="Times New Roman" w:hAnsi="Times New Roman" w:cs="Times New Roman"/>
          <w:lang w:val="en-US"/>
        </w:rPr>
        <w:t>summarise</w:t>
      </w:r>
      <w:proofErr w:type="spellEnd"/>
      <w:r w:rsidR="00DB4949">
        <w:rPr>
          <w:rFonts w:ascii="Times New Roman" w:hAnsi="Times New Roman" w:cs="Times New Roman"/>
          <w:lang w:val="en-US"/>
        </w:rPr>
        <w:t xml:space="preserve">, </w:t>
      </w:r>
      <w:r w:rsidR="0083126C">
        <w:rPr>
          <w:rFonts w:ascii="Times New Roman" w:hAnsi="Times New Roman" w:cs="Times New Roman"/>
          <w:lang w:val="en-US"/>
        </w:rPr>
        <w:t xml:space="preserve">the </w:t>
      </w:r>
      <w:r w:rsidR="005220F0" w:rsidRPr="004158E0">
        <w:rPr>
          <w:rFonts w:ascii="Times New Roman" w:hAnsi="Times New Roman" w:cs="Times New Roman"/>
          <w:lang w:val="en-US"/>
        </w:rPr>
        <w:t xml:space="preserve">boundary work </w:t>
      </w:r>
      <w:r w:rsidR="00DE1110">
        <w:rPr>
          <w:rFonts w:ascii="Times New Roman" w:hAnsi="Times New Roman" w:cs="Times New Roman"/>
          <w:lang w:val="en-US"/>
        </w:rPr>
        <w:t xml:space="preserve">of the IIRC </w:t>
      </w:r>
      <w:r w:rsidR="0083709F" w:rsidRPr="004158E0">
        <w:rPr>
          <w:rFonts w:ascii="Times New Roman" w:hAnsi="Times New Roman" w:cs="Times New Roman"/>
          <w:lang w:val="en-US"/>
        </w:rPr>
        <w:t>to this point</w:t>
      </w:r>
      <w:r w:rsidR="005220F0" w:rsidRPr="004158E0">
        <w:rPr>
          <w:rFonts w:ascii="Times New Roman" w:hAnsi="Times New Roman" w:cs="Times New Roman"/>
          <w:lang w:val="en-US"/>
        </w:rPr>
        <w:t xml:space="preserve"> had been somewhat ambiguous about </w:t>
      </w:r>
      <w:r w:rsidR="00025998">
        <w:rPr>
          <w:rFonts w:ascii="Times New Roman" w:hAnsi="Times New Roman" w:cs="Times New Roman"/>
          <w:lang w:val="en-US"/>
        </w:rPr>
        <w:t xml:space="preserve">offering </w:t>
      </w:r>
      <w:r w:rsidR="005220F0" w:rsidRPr="004158E0">
        <w:rPr>
          <w:rFonts w:ascii="Times New Roman" w:hAnsi="Times New Roman" w:cs="Times New Roman"/>
          <w:lang w:val="en-US"/>
        </w:rPr>
        <w:t>support for many of the distinct</w:t>
      </w:r>
      <w:r w:rsidR="0050368E">
        <w:rPr>
          <w:rFonts w:ascii="Times New Roman" w:hAnsi="Times New Roman" w:cs="Times New Roman"/>
          <w:lang w:val="en-US"/>
        </w:rPr>
        <w:t xml:space="preserve"> characte</w:t>
      </w:r>
      <w:r w:rsidR="00E53B5A">
        <w:rPr>
          <w:rFonts w:ascii="Times New Roman" w:hAnsi="Times New Roman" w:cs="Times New Roman"/>
          <w:lang w:val="en-US"/>
        </w:rPr>
        <w:t>r</w:t>
      </w:r>
      <w:r w:rsidR="0050368E">
        <w:rPr>
          <w:rFonts w:ascii="Times New Roman" w:hAnsi="Times New Roman" w:cs="Times New Roman"/>
          <w:lang w:val="en-US"/>
        </w:rPr>
        <w:t>istics</w:t>
      </w:r>
      <w:r w:rsidR="005220F0" w:rsidRPr="004158E0">
        <w:rPr>
          <w:rFonts w:ascii="Times New Roman" w:hAnsi="Times New Roman" w:cs="Times New Roman"/>
          <w:lang w:val="en-US"/>
        </w:rPr>
        <w:t xml:space="preserve"> claimed for </w:t>
      </w:r>
      <w:r w:rsidR="00121D10">
        <w:rPr>
          <w:rFonts w:ascii="Times New Roman" w:hAnsi="Times New Roman" w:cs="Times New Roman"/>
          <w:lang w:val="en-US"/>
        </w:rPr>
        <w:t>integrated reporting</w:t>
      </w:r>
      <w:r w:rsidR="005220F0" w:rsidRPr="004158E0">
        <w:rPr>
          <w:rFonts w:ascii="Times New Roman" w:hAnsi="Times New Roman" w:cs="Times New Roman"/>
          <w:lang w:val="en-US"/>
        </w:rPr>
        <w:t xml:space="preserve">. </w:t>
      </w:r>
      <w:r w:rsidR="00BF4CED" w:rsidRPr="004158E0">
        <w:rPr>
          <w:rFonts w:ascii="Times New Roman" w:hAnsi="Times New Roman" w:cs="Times New Roman"/>
          <w:lang w:val="en-US"/>
        </w:rPr>
        <w:t xml:space="preserve">However, the </w:t>
      </w:r>
      <w:r w:rsidR="00826D0C" w:rsidRPr="004158E0">
        <w:rPr>
          <w:rFonts w:ascii="Times New Roman" w:hAnsi="Times New Roman" w:cs="Times New Roman"/>
          <w:lang w:val="en-US"/>
        </w:rPr>
        <w:t>‘flattering contrasts’ (</w:t>
      </w:r>
      <w:proofErr w:type="spellStart"/>
      <w:r w:rsidR="00826D0C" w:rsidRPr="004158E0">
        <w:rPr>
          <w:rFonts w:ascii="Times New Roman" w:hAnsi="Times New Roman" w:cs="Times New Roman"/>
          <w:lang w:val="en-US"/>
        </w:rPr>
        <w:t>Gieryn</w:t>
      </w:r>
      <w:proofErr w:type="spellEnd"/>
      <w:r w:rsidR="00826D0C" w:rsidRPr="004158E0">
        <w:rPr>
          <w:rFonts w:ascii="Times New Roman" w:hAnsi="Times New Roman" w:cs="Times New Roman"/>
          <w:lang w:val="en-US"/>
        </w:rPr>
        <w:t xml:space="preserve"> 1983; Mikes, 2012)</w:t>
      </w:r>
      <w:r w:rsidR="00BF4CED" w:rsidRPr="004158E0">
        <w:rPr>
          <w:rFonts w:ascii="Times New Roman" w:hAnsi="Times New Roman" w:cs="Times New Roman"/>
          <w:lang w:val="en-US"/>
        </w:rPr>
        <w:t xml:space="preserve"> presenting </w:t>
      </w:r>
      <w:r w:rsidR="00121D10">
        <w:rPr>
          <w:rFonts w:ascii="Times New Roman" w:hAnsi="Times New Roman" w:cs="Times New Roman"/>
          <w:lang w:val="en-US"/>
        </w:rPr>
        <w:t>integrated reporting</w:t>
      </w:r>
      <w:r w:rsidR="00BF4CED" w:rsidRPr="004158E0">
        <w:rPr>
          <w:rFonts w:ascii="Times New Roman" w:hAnsi="Times New Roman" w:cs="Times New Roman"/>
          <w:lang w:val="en-US"/>
        </w:rPr>
        <w:t xml:space="preserve"> as an alternative to current reporting norms </w:t>
      </w:r>
      <w:r w:rsidR="00BB70BE">
        <w:rPr>
          <w:rFonts w:ascii="Times New Roman" w:hAnsi="Times New Roman" w:cs="Times New Roman"/>
          <w:lang w:val="en-US"/>
        </w:rPr>
        <w:t>had</w:t>
      </w:r>
      <w:r w:rsidR="00992A1D">
        <w:rPr>
          <w:rFonts w:ascii="Times New Roman" w:hAnsi="Times New Roman" w:cs="Times New Roman"/>
          <w:lang w:val="en-US"/>
        </w:rPr>
        <w:t xml:space="preserve"> </w:t>
      </w:r>
      <w:r w:rsidR="00025998">
        <w:rPr>
          <w:rFonts w:ascii="Times New Roman" w:hAnsi="Times New Roman" w:cs="Times New Roman"/>
          <w:lang w:val="en-US"/>
        </w:rPr>
        <w:t xml:space="preserve">succeeded in </w:t>
      </w:r>
      <w:r w:rsidR="00BF4CED" w:rsidRPr="004158E0">
        <w:rPr>
          <w:rFonts w:ascii="Times New Roman" w:hAnsi="Times New Roman" w:cs="Times New Roman"/>
          <w:lang w:val="en-US"/>
        </w:rPr>
        <w:t>stimulat</w:t>
      </w:r>
      <w:r w:rsidR="00025998">
        <w:rPr>
          <w:rFonts w:ascii="Times New Roman" w:hAnsi="Times New Roman" w:cs="Times New Roman"/>
          <w:lang w:val="en-US"/>
        </w:rPr>
        <w:t>ing</w:t>
      </w:r>
      <w:r w:rsidR="00BF4CED" w:rsidRPr="004158E0">
        <w:rPr>
          <w:rFonts w:ascii="Times New Roman" w:hAnsi="Times New Roman" w:cs="Times New Roman"/>
          <w:lang w:val="en-US"/>
        </w:rPr>
        <w:t xml:space="preserve"> increased questioning of the reporting status quo</w:t>
      </w:r>
      <w:r w:rsidR="0029548F">
        <w:rPr>
          <w:rFonts w:ascii="Times New Roman" w:hAnsi="Times New Roman" w:cs="Times New Roman"/>
          <w:lang w:val="en-US"/>
        </w:rPr>
        <w:t>,</w:t>
      </w:r>
      <w:r w:rsidR="00BF4CED" w:rsidRPr="004158E0">
        <w:rPr>
          <w:rFonts w:ascii="Times New Roman" w:hAnsi="Times New Roman" w:cs="Times New Roman"/>
          <w:lang w:val="en-US"/>
        </w:rPr>
        <w:t xml:space="preserve"> </w:t>
      </w:r>
      <w:r w:rsidR="0029548F" w:rsidRPr="0029548F">
        <w:rPr>
          <w:rFonts w:ascii="Times New Roman" w:hAnsi="Times New Roman" w:cs="Times New Roman"/>
          <w:lang w:val="en-US"/>
        </w:rPr>
        <w:t xml:space="preserve">against which </w:t>
      </w:r>
      <w:r w:rsidR="00121D10">
        <w:rPr>
          <w:rFonts w:ascii="Times New Roman" w:hAnsi="Times New Roman" w:cs="Times New Roman"/>
          <w:lang w:val="en-US"/>
        </w:rPr>
        <w:t>integrated reporting</w:t>
      </w:r>
      <w:r w:rsidR="0029548F">
        <w:rPr>
          <w:rFonts w:ascii="Times New Roman" w:hAnsi="Times New Roman" w:cs="Times New Roman"/>
          <w:lang w:val="en-US"/>
        </w:rPr>
        <w:t xml:space="preserve">, however vaguely specified, </w:t>
      </w:r>
      <w:r w:rsidR="00025998">
        <w:rPr>
          <w:rFonts w:ascii="Times New Roman" w:hAnsi="Times New Roman" w:cs="Times New Roman"/>
          <w:lang w:val="en-US"/>
        </w:rPr>
        <w:t xml:space="preserve">was </w:t>
      </w:r>
      <w:proofErr w:type="spellStart"/>
      <w:r w:rsidR="00BB70BE">
        <w:rPr>
          <w:rFonts w:ascii="Times New Roman" w:hAnsi="Times New Roman" w:cs="Times New Roman"/>
          <w:lang w:val="en-US"/>
        </w:rPr>
        <w:t>favourably</w:t>
      </w:r>
      <w:proofErr w:type="spellEnd"/>
      <w:r w:rsidR="00BB70BE">
        <w:rPr>
          <w:rFonts w:ascii="Times New Roman" w:hAnsi="Times New Roman" w:cs="Times New Roman"/>
          <w:lang w:val="en-US"/>
        </w:rPr>
        <w:t xml:space="preserve"> </w:t>
      </w:r>
      <w:r w:rsidR="00BF4CED" w:rsidRPr="004158E0">
        <w:rPr>
          <w:rFonts w:ascii="Times New Roman" w:hAnsi="Times New Roman" w:cs="Times New Roman"/>
          <w:lang w:val="en-US"/>
        </w:rPr>
        <w:t xml:space="preserve">positioned. Moreover, </w:t>
      </w:r>
      <w:r w:rsidR="00121D10">
        <w:rPr>
          <w:rFonts w:ascii="Times New Roman" w:hAnsi="Times New Roman" w:cs="Times New Roman"/>
          <w:lang w:val="en-US"/>
        </w:rPr>
        <w:t>integrated reporting</w:t>
      </w:r>
      <w:r w:rsidR="00AD6D42" w:rsidRPr="00AD6D42">
        <w:rPr>
          <w:rFonts w:ascii="Times New Roman" w:hAnsi="Times New Roman" w:cs="Times New Roman"/>
          <w:lang w:val="en-US"/>
        </w:rPr>
        <w:t xml:space="preserve">, despite </w:t>
      </w:r>
      <w:r w:rsidR="0009701C">
        <w:rPr>
          <w:rFonts w:ascii="Times New Roman" w:hAnsi="Times New Roman" w:cs="Times New Roman"/>
          <w:lang w:val="en-US"/>
        </w:rPr>
        <w:t>the</w:t>
      </w:r>
      <w:r w:rsidR="00BF4CED" w:rsidRPr="004158E0">
        <w:rPr>
          <w:rFonts w:ascii="Times New Roman" w:hAnsi="Times New Roman" w:cs="Times New Roman"/>
          <w:lang w:val="en-US"/>
        </w:rPr>
        <w:t xml:space="preserve"> lack of substantive evidence</w:t>
      </w:r>
      <w:r w:rsidR="00AD6D42">
        <w:rPr>
          <w:rFonts w:ascii="Times New Roman" w:hAnsi="Times New Roman" w:cs="Times New Roman"/>
          <w:lang w:val="en-US"/>
        </w:rPr>
        <w:t xml:space="preserve"> supporting many of the claims made for it</w:t>
      </w:r>
      <w:r w:rsidR="00826D0C" w:rsidRPr="004158E0">
        <w:rPr>
          <w:rFonts w:ascii="Times New Roman" w:hAnsi="Times New Roman" w:cs="Times New Roman"/>
          <w:lang w:val="en-US"/>
        </w:rPr>
        <w:t>,</w:t>
      </w:r>
      <w:r w:rsidR="00BF4CED" w:rsidRPr="004158E0">
        <w:rPr>
          <w:rFonts w:ascii="Times New Roman" w:hAnsi="Times New Roman" w:cs="Times New Roman"/>
          <w:lang w:val="en-US"/>
        </w:rPr>
        <w:t xml:space="preserve"> was now being </w:t>
      </w:r>
      <w:r w:rsidR="00DD7FB6">
        <w:rPr>
          <w:rFonts w:ascii="Times New Roman" w:hAnsi="Times New Roman" w:cs="Times New Roman"/>
          <w:lang w:val="en-US"/>
        </w:rPr>
        <w:t xml:space="preserve">publicly espoused by many professional groups </w:t>
      </w:r>
      <w:r w:rsidR="00BF4CED" w:rsidRPr="004158E0">
        <w:rPr>
          <w:rFonts w:ascii="Times New Roman" w:hAnsi="Times New Roman" w:cs="Times New Roman"/>
          <w:lang w:val="en-US"/>
        </w:rPr>
        <w:t xml:space="preserve">as a </w:t>
      </w:r>
      <w:r w:rsidR="00CD436F">
        <w:rPr>
          <w:rFonts w:ascii="Times New Roman" w:hAnsi="Times New Roman" w:cs="Times New Roman"/>
          <w:lang w:val="en-US"/>
        </w:rPr>
        <w:t xml:space="preserve">credible </w:t>
      </w:r>
      <w:r w:rsidR="0019497D">
        <w:rPr>
          <w:rFonts w:ascii="Times New Roman" w:hAnsi="Times New Roman" w:cs="Times New Roman"/>
          <w:lang w:val="en-US"/>
        </w:rPr>
        <w:t xml:space="preserve">reporting </w:t>
      </w:r>
      <w:r w:rsidR="00BF4CED" w:rsidRPr="004158E0">
        <w:rPr>
          <w:rFonts w:ascii="Times New Roman" w:hAnsi="Times New Roman" w:cs="Times New Roman"/>
          <w:lang w:val="en-US"/>
        </w:rPr>
        <w:t>alternative</w:t>
      </w:r>
      <w:r w:rsidR="0083126C">
        <w:rPr>
          <w:rFonts w:ascii="Times New Roman" w:hAnsi="Times New Roman" w:cs="Times New Roman"/>
          <w:lang w:val="en-US"/>
        </w:rPr>
        <w:t xml:space="preserve"> and something positively distinct </w:t>
      </w:r>
      <w:r w:rsidR="00520A73">
        <w:rPr>
          <w:rFonts w:ascii="Times New Roman" w:hAnsi="Times New Roman" w:cs="Times New Roman"/>
          <w:lang w:val="en-US"/>
        </w:rPr>
        <w:t>from</w:t>
      </w:r>
      <w:r w:rsidR="00AD6D42">
        <w:rPr>
          <w:rFonts w:ascii="Times New Roman" w:hAnsi="Times New Roman" w:cs="Times New Roman"/>
          <w:lang w:val="en-US"/>
        </w:rPr>
        <w:t xml:space="preserve"> other forms of corporate reporting</w:t>
      </w:r>
      <w:r w:rsidR="00520A73">
        <w:rPr>
          <w:rFonts w:ascii="Times New Roman" w:hAnsi="Times New Roman" w:cs="Times New Roman"/>
          <w:lang w:val="en-US"/>
        </w:rPr>
        <w:t xml:space="preserve"> </w:t>
      </w:r>
      <w:r w:rsidR="00BF4CED" w:rsidRPr="004158E0">
        <w:rPr>
          <w:rFonts w:ascii="Times New Roman" w:hAnsi="Times New Roman" w:cs="Times New Roman"/>
          <w:lang w:val="en-US"/>
        </w:rPr>
        <w:t>(see</w:t>
      </w:r>
      <w:r w:rsidR="004E3488">
        <w:rPr>
          <w:rFonts w:ascii="Times New Roman" w:hAnsi="Times New Roman" w:cs="Times New Roman"/>
          <w:lang w:val="en-US"/>
        </w:rPr>
        <w:t>,</w:t>
      </w:r>
      <w:r w:rsidR="00BF4CED" w:rsidRPr="004158E0">
        <w:rPr>
          <w:rFonts w:ascii="Times New Roman" w:hAnsi="Times New Roman" w:cs="Times New Roman"/>
          <w:lang w:val="en-US"/>
        </w:rPr>
        <w:t xml:space="preserve"> Mikes, 2012)</w:t>
      </w:r>
      <w:r w:rsidR="0050368E">
        <w:rPr>
          <w:rFonts w:ascii="Times New Roman" w:hAnsi="Times New Roman" w:cs="Times New Roman"/>
          <w:lang w:val="en-US"/>
        </w:rPr>
        <w:t>.</w:t>
      </w:r>
      <w:r w:rsidR="00047AD2">
        <w:rPr>
          <w:rFonts w:ascii="Times New Roman" w:hAnsi="Times New Roman" w:cs="Times New Roman"/>
          <w:lang w:val="en-US"/>
        </w:rPr>
        <w:t xml:space="preserve"> Deloitte </w:t>
      </w:r>
      <w:proofErr w:type="spellStart"/>
      <w:r w:rsidR="00047AD2">
        <w:rPr>
          <w:rFonts w:ascii="Times New Roman" w:hAnsi="Times New Roman" w:cs="Times New Roman"/>
          <w:lang w:val="en-US"/>
        </w:rPr>
        <w:t>Touche</w:t>
      </w:r>
      <w:proofErr w:type="spellEnd"/>
      <w:r w:rsidR="00047AD2">
        <w:rPr>
          <w:rFonts w:ascii="Times New Roman" w:hAnsi="Times New Roman" w:cs="Times New Roman"/>
          <w:lang w:val="en-US"/>
        </w:rPr>
        <w:t xml:space="preserve"> Tohmatsu’s perspective on integrated repo</w:t>
      </w:r>
      <w:r w:rsidR="00DD7FB6">
        <w:rPr>
          <w:rFonts w:ascii="Times New Roman" w:hAnsi="Times New Roman" w:cs="Times New Roman"/>
          <w:lang w:val="en-US"/>
        </w:rPr>
        <w:t>rting around</w:t>
      </w:r>
      <w:r w:rsidR="00047AD2">
        <w:rPr>
          <w:rFonts w:ascii="Times New Roman" w:hAnsi="Times New Roman" w:cs="Times New Roman"/>
          <w:lang w:val="en-US"/>
        </w:rPr>
        <w:t xml:space="preserve"> this time reflected </w:t>
      </w:r>
      <w:r w:rsidR="00BB70BE">
        <w:rPr>
          <w:rFonts w:ascii="Times New Roman" w:hAnsi="Times New Roman" w:cs="Times New Roman"/>
          <w:lang w:val="en-US"/>
        </w:rPr>
        <w:t>the dominant</w:t>
      </w:r>
      <w:r w:rsidR="00DD7FB6">
        <w:rPr>
          <w:rFonts w:ascii="Times New Roman" w:hAnsi="Times New Roman" w:cs="Times New Roman"/>
          <w:lang w:val="en-US"/>
        </w:rPr>
        <w:t xml:space="preserve"> positive</w:t>
      </w:r>
      <w:r>
        <w:rPr>
          <w:rFonts w:ascii="Times New Roman" w:hAnsi="Times New Roman" w:cs="Times New Roman"/>
          <w:lang w:val="en-US"/>
        </w:rPr>
        <w:t xml:space="preserve"> view of its potential:</w:t>
      </w:r>
    </w:p>
    <w:p w14:paraId="2AE604BF" w14:textId="77777777" w:rsidR="00047AD2" w:rsidRDefault="00047AD2" w:rsidP="00686181">
      <w:pPr>
        <w:autoSpaceDE w:val="0"/>
        <w:autoSpaceDN w:val="0"/>
        <w:adjustRightInd w:val="0"/>
        <w:spacing w:after="0" w:line="360" w:lineRule="auto"/>
        <w:jc w:val="both"/>
        <w:rPr>
          <w:rFonts w:ascii="Times New Roman" w:hAnsi="Times New Roman" w:cs="Times New Roman"/>
          <w:lang w:val="en-US"/>
        </w:rPr>
      </w:pPr>
    </w:p>
    <w:p w14:paraId="5550E86E" w14:textId="1CA98323" w:rsidR="00047AD2" w:rsidRPr="00686181" w:rsidRDefault="00047AD2" w:rsidP="00686181">
      <w:pPr>
        <w:autoSpaceDE w:val="0"/>
        <w:autoSpaceDN w:val="0"/>
        <w:adjustRightInd w:val="0"/>
        <w:spacing w:after="0" w:line="240" w:lineRule="auto"/>
        <w:ind w:left="708"/>
        <w:jc w:val="both"/>
        <w:rPr>
          <w:rFonts w:ascii="Times New Roman" w:hAnsi="Times New Roman" w:cs="Times New Roman"/>
          <w:sz w:val="20"/>
          <w:szCs w:val="20"/>
          <w:lang w:val="en-US"/>
        </w:rPr>
      </w:pPr>
      <w:r w:rsidRPr="00686181">
        <w:rPr>
          <w:rFonts w:ascii="Times New Roman" w:hAnsi="Times New Roman" w:cs="Times New Roman"/>
          <w:sz w:val="20"/>
          <w:szCs w:val="20"/>
          <w:lang w:val="en-US"/>
        </w:rPr>
        <w:t>Just as the world has inexorably moved toward the adoption of International Financial Reporting Standards (IFRS), the progression toward a single, global common framework for integrated reporting seems inevitable … Integrated reporting has the potential to become the preferred reporting format for larger companies in the majority of advanced countries around the world (Deloitte G</w:t>
      </w:r>
      <w:r w:rsidR="000520D5">
        <w:rPr>
          <w:rFonts w:ascii="Times New Roman" w:hAnsi="Times New Roman" w:cs="Times New Roman"/>
          <w:sz w:val="20"/>
          <w:szCs w:val="20"/>
          <w:lang w:val="en-US"/>
        </w:rPr>
        <w:t xml:space="preserve">lobal Services Limited, 2011: </w:t>
      </w:r>
      <w:r w:rsidRPr="00686181">
        <w:rPr>
          <w:rFonts w:ascii="Times New Roman" w:hAnsi="Times New Roman" w:cs="Times New Roman"/>
          <w:sz w:val="20"/>
          <w:szCs w:val="20"/>
          <w:lang w:val="en-US"/>
        </w:rPr>
        <w:t>7 and 10).</w:t>
      </w:r>
    </w:p>
    <w:p w14:paraId="6651DFD9" w14:textId="77777777" w:rsidR="005468C2" w:rsidRPr="00DD1E36" w:rsidRDefault="005468C2" w:rsidP="00422BEF">
      <w:pPr>
        <w:spacing w:line="360" w:lineRule="auto"/>
        <w:jc w:val="both"/>
        <w:rPr>
          <w:rFonts w:ascii="Times New Roman" w:hAnsi="Times New Roman" w:cs="Times New Roman"/>
          <w:lang w:val="en-US"/>
        </w:rPr>
      </w:pPr>
    </w:p>
    <w:p w14:paraId="7522D0ED" w14:textId="48F9BCE9" w:rsidR="00BB70BE" w:rsidRDefault="00065542" w:rsidP="00BB70BE">
      <w:pPr>
        <w:spacing w:line="360" w:lineRule="auto"/>
        <w:ind w:firstLine="708"/>
        <w:jc w:val="both"/>
        <w:rPr>
          <w:rFonts w:ascii="Times New Roman" w:hAnsi="Times New Roman" w:cs="Times New Roman"/>
          <w:lang w:val="en-US"/>
        </w:rPr>
      </w:pPr>
      <w:r>
        <w:rPr>
          <w:rFonts w:ascii="Times New Roman" w:hAnsi="Times New Roman" w:cs="Times New Roman"/>
          <w:lang w:val="en-US"/>
        </w:rPr>
        <w:t>In essence, f</w:t>
      </w:r>
      <w:r w:rsidR="00422BEF" w:rsidRPr="00DD1E36">
        <w:rPr>
          <w:rFonts w:ascii="Times New Roman" w:hAnsi="Times New Roman" w:cs="Times New Roman"/>
          <w:lang w:val="en-US"/>
        </w:rPr>
        <w:t>rom its launch in August 2010 to the release of the Discussion Paper in September 2011</w:t>
      </w:r>
      <w:r w:rsidR="00422BEF">
        <w:rPr>
          <w:rFonts w:ascii="Times New Roman" w:hAnsi="Times New Roman" w:cs="Times New Roman"/>
          <w:lang w:val="en-US"/>
        </w:rPr>
        <w:t>,</w:t>
      </w:r>
      <w:r w:rsidR="00422BEF" w:rsidRPr="00DD1E36">
        <w:rPr>
          <w:rFonts w:ascii="Times New Roman" w:hAnsi="Times New Roman" w:cs="Times New Roman"/>
          <w:lang w:val="en-US"/>
        </w:rPr>
        <w:t xml:space="preserve"> </w:t>
      </w:r>
      <w:r w:rsidR="00121D10">
        <w:rPr>
          <w:rFonts w:ascii="Times New Roman" w:hAnsi="Times New Roman" w:cs="Times New Roman"/>
          <w:lang w:val="en-US"/>
        </w:rPr>
        <w:t>integrated reporting</w:t>
      </w:r>
      <w:r w:rsidR="00B51E30">
        <w:rPr>
          <w:rFonts w:ascii="Times New Roman" w:hAnsi="Times New Roman" w:cs="Times New Roman"/>
          <w:lang w:val="en-US"/>
        </w:rPr>
        <w:t xml:space="preserve"> </w:t>
      </w:r>
      <w:r w:rsidR="00422BEF" w:rsidRPr="00DD1E36">
        <w:rPr>
          <w:rFonts w:ascii="Times New Roman" w:hAnsi="Times New Roman" w:cs="Times New Roman"/>
          <w:lang w:val="en-US"/>
        </w:rPr>
        <w:t xml:space="preserve">was </w:t>
      </w:r>
      <w:r w:rsidR="00422BEF">
        <w:rPr>
          <w:rFonts w:ascii="Times New Roman" w:hAnsi="Times New Roman" w:cs="Times New Roman"/>
          <w:lang w:val="en-US"/>
        </w:rPr>
        <w:t>promoted</w:t>
      </w:r>
      <w:r w:rsidR="00422BEF" w:rsidRPr="00DD1E36">
        <w:rPr>
          <w:rFonts w:ascii="Times New Roman" w:hAnsi="Times New Roman" w:cs="Times New Roman"/>
          <w:lang w:val="en-US"/>
        </w:rPr>
        <w:t xml:space="preserve"> as an </w:t>
      </w:r>
      <w:r w:rsidR="00A12715">
        <w:rPr>
          <w:rFonts w:ascii="Times New Roman" w:hAnsi="Times New Roman" w:cs="Times New Roman"/>
          <w:lang w:val="en-US"/>
        </w:rPr>
        <w:t xml:space="preserve">appealing </w:t>
      </w:r>
      <w:r w:rsidR="00422BEF" w:rsidRPr="00DD1E36">
        <w:rPr>
          <w:rFonts w:ascii="Times New Roman" w:hAnsi="Times New Roman" w:cs="Times New Roman"/>
          <w:lang w:val="en-US"/>
        </w:rPr>
        <w:t xml:space="preserve">idea whose time had come. </w:t>
      </w:r>
      <w:r w:rsidR="00E2292D">
        <w:rPr>
          <w:rFonts w:ascii="Times New Roman" w:hAnsi="Times New Roman" w:cs="Times New Roman"/>
          <w:lang w:val="en-US"/>
        </w:rPr>
        <w:t>T</w:t>
      </w:r>
      <w:r w:rsidR="00422BEF" w:rsidRPr="00DD1E36">
        <w:rPr>
          <w:rFonts w:ascii="Times New Roman" w:hAnsi="Times New Roman" w:cs="Times New Roman"/>
          <w:lang w:val="en-US"/>
        </w:rPr>
        <w:t xml:space="preserve">he initial IIRC working and steering groups </w:t>
      </w:r>
      <w:r w:rsidR="00794753">
        <w:rPr>
          <w:rFonts w:ascii="Times New Roman" w:hAnsi="Times New Roman" w:cs="Times New Roman"/>
          <w:lang w:val="en-US"/>
        </w:rPr>
        <w:t>mobili</w:t>
      </w:r>
      <w:r w:rsidR="00025998">
        <w:rPr>
          <w:rFonts w:ascii="Times New Roman" w:hAnsi="Times New Roman" w:cs="Times New Roman"/>
          <w:lang w:val="en-US"/>
        </w:rPr>
        <w:t>z</w:t>
      </w:r>
      <w:r w:rsidR="00794753">
        <w:rPr>
          <w:rFonts w:ascii="Times New Roman" w:hAnsi="Times New Roman" w:cs="Times New Roman"/>
          <w:lang w:val="en-US"/>
        </w:rPr>
        <w:t>e</w:t>
      </w:r>
      <w:r w:rsidR="00135FFA">
        <w:rPr>
          <w:rFonts w:ascii="Times New Roman" w:hAnsi="Times New Roman" w:cs="Times New Roman"/>
          <w:lang w:val="en-US"/>
        </w:rPr>
        <w:t>d</w:t>
      </w:r>
      <w:r w:rsidR="00422BEF" w:rsidRPr="00DD1E36">
        <w:rPr>
          <w:rFonts w:ascii="Times New Roman" w:hAnsi="Times New Roman" w:cs="Times New Roman"/>
          <w:lang w:val="en-US"/>
        </w:rPr>
        <w:t xml:space="preserve"> their social</w:t>
      </w:r>
      <w:r w:rsidR="00C72086">
        <w:rPr>
          <w:rFonts w:ascii="Times New Roman" w:hAnsi="Times New Roman" w:cs="Times New Roman"/>
          <w:lang w:val="en-US"/>
        </w:rPr>
        <w:t xml:space="preserve"> and reputational</w:t>
      </w:r>
      <w:r w:rsidR="00422BEF" w:rsidRPr="00DD1E36">
        <w:rPr>
          <w:rFonts w:ascii="Times New Roman" w:hAnsi="Times New Roman" w:cs="Times New Roman"/>
          <w:lang w:val="en-US"/>
        </w:rPr>
        <w:t xml:space="preserve"> capital behind</w:t>
      </w:r>
      <w:r w:rsidR="00801213">
        <w:rPr>
          <w:rFonts w:ascii="Times New Roman" w:hAnsi="Times New Roman" w:cs="Times New Roman"/>
          <w:lang w:val="en-US"/>
        </w:rPr>
        <w:t xml:space="preserve"> the IIRC’s emerging version of</w:t>
      </w:r>
      <w:r w:rsidR="00422BEF" w:rsidRPr="00DD1E36">
        <w:rPr>
          <w:rFonts w:ascii="Times New Roman" w:hAnsi="Times New Roman" w:cs="Times New Roman"/>
          <w:lang w:val="en-US"/>
        </w:rPr>
        <w:t xml:space="preserve"> </w:t>
      </w:r>
      <w:r w:rsidR="00121D10">
        <w:rPr>
          <w:rFonts w:ascii="Times New Roman" w:hAnsi="Times New Roman" w:cs="Times New Roman"/>
          <w:lang w:val="en-US"/>
        </w:rPr>
        <w:t>integrated reporting</w:t>
      </w:r>
      <w:r w:rsidR="00422BEF">
        <w:rPr>
          <w:rFonts w:ascii="Times New Roman" w:hAnsi="Times New Roman" w:cs="Times New Roman"/>
          <w:lang w:val="en-US"/>
        </w:rPr>
        <w:t>,</w:t>
      </w:r>
      <w:r w:rsidR="00422BEF" w:rsidRPr="00DD1E36">
        <w:rPr>
          <w:rFonts w:ascii="Times New Roman" w:hAnsi="Times New Roman" w:cs="Times New Roman"/>
          <w:lang w:val="en-US"/>
        </w:rPr>
        <w:t xml:space="preserve"> </w:t>
      </w:r>
      <w:r w:rsidR="003E7CD1">
        <w:rPr>
          <w:rFonts w:ascii="Times New Roman" w:hAnsi="Times New Roman" w:cs="Times New Roman"/>
          <w:lang w:val="en-US"/>
        </w:rPr>
        <w:t>enrol</w:t>
      </w:r>
      <w:r w:rsidR="00EC132D">
        <w:rPr>
          <w:rFonts w:ascii="Times New Roman" w:hAnsi="Times New Roman" w:cs="Times New Roman"/>
          <w:lang w:val="en-US"/>
        </w:rPr>
        <w:t>l</w:t>
      </w:r>
      <w:r w:rsidR="00DC24F7">
        <w:rPr>
          <w:rFonts w:ascii="Times New Roman" w:hAnsi="Times New Roman" w:cs="Times New Roman"/>
          <w:lang w:val="en-US"/>
        </w:rPr>
        <w:t xml:space="preserve">ing, in the process, proponents </w:t>
      </w:r>
      <w:r w:rsidR="00422BEF">
        <w:rPr>
          <w:rFonts w:ascii="Times New Roman" w:hAnsi="Times New Roman" w:cs="Times New Roman"/>
          <w:lang w:val="en-US"/>
        </w:rPr>
        <w:t xml:space="preserve">to </w:t>
      </w:r>
      <w:r w:rsidR="00422BEF" w:rsidRPr="00DD1E36">
        <w:rPr>
          <w:rFonts w:ascii="Times New Roman" w:hAnsi="Times New Roman" w:cs="Times New Roman"/>
          <w:lang w:val="en-US"/>
        </w:rPr>
        <w:t>issu</w:t>
      </w:r>
      <w:r w:rsidR="00422BEF">
        <w:rPr>
          <w:rFonts w:ascii="Times New Roman" w:hAnsi="Times New Roman" w:cs="Times New Roman"/>
          <w:lang w:val="en-US"/>
        </w:rPr>
        <w:t>e</w:t>
      </w:r>
      <w:r w:rsidR="00422BEF" w:rsidRPr="00DD1E36">
        <w:rPr>
          <w:rFonts w:ascii="Times New Roman" w:hAnsi="Times New Roman" w:cs="Times New Roman"/>
          <w:lang w:val="en-US"/>
        </w:rPr>
        <w:t xml:space="preserve"> supportive </w:t>
      </w:r>
      <w:r w:rsidR="001A1D06">
        <w:rPr>
          <w:rFonts w:ascii="Times New Roman" w:hAnsi="Times New Roman" w:cs="Times New Roman"/>
          <w:lang w:val="en-US"/>
        </w:rPr>
        <w:t xml:space="preserve">statements </w:t>
      </w:r>
      <w:r w:rsidR="00422BEF" w:rsidRPr="00DD1E36">
        <w:rPr>
          <w:rFonts w:ascii="Times New Roman" w:hAnsi="Times New Roman" w:cs="Times New Roman"/>
          <w:lang w:val="en-US"/>
        </w:rPr>
        <w:t xml:space="preserve">proclaiming </w:t>
      </w:r>
      <w:r w:rsidR="00121D10">
        <w:rPr>
          <w:rFonts w:ascii="Times New Roman" w:hAnsi="Times New Roman" w:cs="Times New Roman"/>
          <w:lang w:val="en-US"/>
        </w:rPr>
        <w:t>integrated reporting</w:t>
      </w:r>
      <w:r w:rsidR="00422BEF" w:rsidRPr="00DD1E36">
        <w:rPr>
          <w:rFonts w:ascii="Times New Roman" w:hAnsi="Times New Roman" w:cs="Times New Roman"/>
          <w:lang w:val="en-US"/>
        </w:rPr>
        <w:t xml:space="preserve">’s potential to </w:t>
      </w:r>
      <w:r w:rsidR="00422BEF">
        <w:rPr>
          <w:rFonts w:ascii="Times New Roman" w:hAnsi="Times New Roman" w:cs="Times New Roman"/>
          <w:lang w:val="en-US"/>
        </w:rPr>
        <w:t xml:space="preserve">address </w:t>
      </w:r>
      <w:r w:rsidR="00422BEF" w:rsidRPr="00DD1E36">
        <w:rPr>
          <w:rFonts w:ascii="Times New Roman" w:hAnsi="Times New Roman" w:cs="Times New Roman"/>
          <w:lang w:val="en-US"/>
        </w:rPr>
        <w:t>universal themes associated with creating sustainable societies and preventing future financial crises.</w:t>
      </w:r>
      <w:r w:rsidR="00A6676E">
        <w:rPr>
          <w:rFonts w:ascii="Times New Roman" w:hAnsi="Times New Roman" w:cs="Times New Roman"/>
          <w:lang w:val="en-US"/>
        </w:rPr>
        <w:t xml:space="preserve"> </w:t>
      </w:r>
      <w:r>
        <w:rPr>
          <w:rFonts w:ascii="Times New Roman" w:hAnsi="Times New Roman" w:cs="Times New Roman"/>
          <w:lang w:val="en-US"/>
        </w:rPr>
        <w:t xml:space="preserve">Such combined advocacy </w:t>
      </w:r>
      <w:r w:rsidR="00B22C5D">
        <w:rPr>
          <w:rFonts w:ascii="Times New Roman" w:hAnsi="Times New Roman" w:cs="Times New Roman"/>
          <w:lang w:val="en-US"/>
        </w:rPr>
        <w:t>established</w:t>
      </w:r>
      <w:r w:rsidR="00E2292D">
        <w:rPr>
          <w:rFonts w:ascii="Times New Roman" w:hAnsi="Times New Roman" w:cs="Times New Roman"/>
          <w:lang w:val="en-US"/>
        </w:rPr>
        <w:t xml:space="preserve"> a boundary distinguishing </w:t>
      </w:r>
      <w:r w:rsidR="00121D10">
        <w:rPr>
          <w:rFonts w:ascii="Times New Roman" w:hAnsi="Times New Roman" w:cs="Times New Roman"/>
          <w:lang w:val="en-US"/>
        </w:rPr>
        <w:t>integrated reporting</w:t>
      </w:r>
      <w:r w:rsidR="00E2292D">
        <w:rPr>
          <w:rFonts w:ascii="Times New Roman" w:hAnsi="Times New Roman" w:cs="Times New Roman"/>
          <w:lang w:val="en-US"/>
        </w:rPr>
        <w:t xml:space="preserve"> from </w:t>
      </w:r>
      <w:r w:rsidR="00E101D1">
        <w:rPr>
          <w:rFonts w:ascii="Times New Roman" w:hAnsi="Times New Roman" w:cs="Times New Roman"/>
          <w:lang w:val="en-US"/>
        </w:rPr>
        <w:t xml:space="preserve">other </w:t>
      </w:r>
      <w:r w:rsidR="00DC1332">
        <w:rPr>
          <w:rFonts w:ascii="Times New Roman" w:hAnsi="Times New Roman" w:cs="Times New Roman"/>
          <w:lang w:val="en-US"/>
        </w:rPr>
        <w:t xml:space="preserve">forms of </w:t>
      </w:r>
      <w:r w:rsidR="00E101D1">
        <w:rPr>
          <w:rFonts w:ascii="Times New Roman" w:hAnsi="Times New Roman" w:cs="Times New Roman"/>
          <w:lang w:val="en-US"/>
        </w:rPr>
        <w:t>corporate reporting</w:t>
      </w:r>
      <w:r>
        <w:rPr>
          <w:rFonts w:ascii="Times New Roman" w:hAnsi="Times New Roman" w:cs="Times New Roman"/>
          <w:lang w:val="en-US"/>
        </w:rPr>
        <w:t>, particularly corporate financial reporting</w:t>
      </w:r>
      <w:r w:rsidR="00912720">
        <w:rPr>
          <w:rFonts w:ascii="Times New Roman" w:hAnsi="Times New Roman" w:cs="Times New Roman"/>
          <w:lang w:val="en-US"/>
        </w:rPr>
        <w:t xml:space="preserve"> This repre</w:t>
      </w:r>
      <w:r w:rsidR="0050368E">
        <w:rPr>
          <w:rFonts w:ascii="Times New Roman" w:hAnsi="Times New Roman" w:cs="Times New Roman"/>
          <w:lang w:val="en-US"/>
        </w:rPr>
        <w:t xml:space="preserve">sented, at least initially, </w:t>
      </w:r>
      <w:r w:rsidR="00912720">
        <w:rPr>
          <w:rFonts w:ascii="Times New Roman" w:hAnsi="Times New Roman" w:cs="Times New Roman"/>
          <w:lang w:val="en-US"/>
        </w:rPr>
        <w:t>boundary work of marginalization (Llewelyn, 1998)</w:t>
      </w:r>
      <w:r>
        <w:rPr>
          <w:rFonts w:ascii="Times New Roman" w:hAnsi="Times New Roman" w:cs="Times New Roman"/>
          <w:lang w:val="en-US"/>
        </w:rPr>
        <w:t xml:space="preserve"> - </w:t>
      </w:r>
      <w:r w:rsidR="00DB4949">
        <w:rPr>
          <w:rFonts w:ascii="Times New Roman" w:hAnsi="Times New Roman" w:cs="Times New Roman"/>
          <w:lang w:val="en-US"/>
        </w:rPr>
        <w:t>relegat</w:t>
      </w:r>
      <w:r>
        <w:rPr>
          <w:rFonts w:ascii="Times New Roman" w:hAnsi="Times New Roman" w:cs="Times New Roman"/>
          <w:lang w:val="en-US"/>
        </w:rPr>
        <w:t>ing</w:t>
      </w:r>
      <w:r w:rsidR="00DB4949">
        <w:rPr>
          <w:rFonts w:ascii="Times New Roman" w:hAnsi="Times New Roman" w:cs="Times New Roman"/>
          <w:lang w:val="en-US"/>
        </w:rPr>
        <w:t xml:space="preserve"> </w:t>
      </w:r>
      <w:r w:rsidR="0050368E">
        <w:rPr>
          <w:rFonts w:ascii="Times New Roman" w:hAnsi="Times New Roman" w:cs="Times New Roman"/>
          <w:lang w:val="en-US"/>
        </w:rPr>
        <w:t>other reporting forms</w:t>
      </w:r>
      <w:r w:rsidR="00DC1332">
        <w:rPr>
          <w:rFonts w:ascii="Times New Roman" w:hAnsi="Times New Roman" w:cs="Times New Roman"/>
          <w:lang w:val="en-US"/>
        </w:rPr>
        <w:t xml:space="preserve"> </w:t>
      </w:r>
      <w:r w:rsidR="004E3488">
        <w:rPr>
          <w:rFonts w:ascii="Times New Roman" w:hAnsi="Times New Roman" w:cs="Times New Roman"/>
          <w:lang w:val="en-US"/>
        </w:rPr>
        <w:t xml:space="preserve">and </w:t>
      </w:r>
      <w:r w:rsidR="00422BEF" w:rsidRPr="00DD1E36">
        <w:rPr>
          <w:rFonts w:ascii="Times New Roman" w:hAnsi="Times New Roman" w:cs="Times New Roman"/>
          <w:lang w:val="en-US"/>
        </w:rPr>
        <w:t>creat</w:t>
      </w:r>
      <w:r>
        <w:rPr>
          <w:rFonts w:ascii="Times New Roman" w:hAnsi="Times New Roman" w:cs="Times New Roman"/>
          <w:lang w:val="en-US"/>
        </w:rPr>
        <w:t>ing</w:t>
      </w:r>
      <w:r w:rsidR="00422BEF" w:rsidRPr="00DD1E36">
        <w:rPr>
          <w:rFonts w:ascii="Times New Roman" w:hAnsi="Times New Roman" w:cs="Times New Roman"/>
          <w:lang w:val="en-US"/>
        </w:rPr>
        <w:t xml:space="preserve"> curiosity </w:t>
      </w:r>
      <w:r w:rsidR="00422BEF">
        <w:rPr>
          <w:rFonts w:ascii="Times New Roman" w:hAnsi="Times New Roman" w:cs="Times New Roman"/>
          <w:lang w:val="en-US"/>
        </w:rPr>
        <w:t xml:space="preserve">among </w:t>
      </w:r>
      <w:r w:rsidR="00DC1332">
        <w:rPr>
          <w:rFonts w:ascii="Times New Roman" w:hAnsi="Times New Roman" w:cs="Times New Roman"/>
          <w:lang w:val="en-US"/>
        </w:rPr>
        <w:t xml:space="preserve">other </w:t>
      </w:r>
      <w:r w:rsidR="00422BEF">
        <w:rPr>
          <w:rFonts w:ascii="Times New Roman" w:hAnsi="Times New Roman" w:cs="Times New Roman"/>
          <w:lang w:val="en-US"/>
        </w:rPr>
        <w:t xml:space="preserve">actors </w:t>
      </w:r>
      <w:r w:rsidR="00422BEF" w:rsidRPr="00DD1E36">
        <w:rPr>
          <w:rFonts w:ascii="Times New Roman" w:hAnsi="Times New Roman" w:cs="Times New Roman"/>
          <w:lang w:val="en-US"/>
        </w:rPr>
        <w:t xml:space="preserve">in </w:t>
      </w:r>
      <w:r w:rsidR="00DC1332">
        <w:rPr>
          <w:rFonts w:ascii="Times New Roman" w:hAnsi="Times New Roman" w:cs="Times New Roman"/>
          <w:lang w:val="en-US"/>
        </w:rPr>
        <w:t xml:space="preserve">the </w:t>
      </w:r>
      <w:r w:rsidR="00422BEF" w:rsidRPr="00DD1E36">
        <w:rPr>
          <w:rFonts w:ascii="Times New Roman" w:hAnsi="Times New Roman" w:cs="Times New Roman"/>
          <w:lang w:val="en-US"/>
        </w:rPr>
        <w:t xml:space="preserve">corporate </w:t>
      </w:r>
      <w:r w:rsidR="00422BEF">
        <w:rPr>
          <w:rFonts w:ascii="Times New Roman" w:hAnsi="Times New Roman" w:cs="Times New Roman"/>
          <w:lang w:val="en-US"/>
        </w:rPr>
        <w:t xml:space="preserve">reporting field, </w:t>
      </w:r>
      <w:r w:rsidR="00422BEF" w:rsidRPr="00DD1E36">
        <w:rPr>
          <w:rFonts w:ascii="Times New Roman" w:hAnsi="Times New Roman" w:cs="Times New Roman"/>
          <w:lang w:val="en-US"/>
        </w:rPr>
        <w:t xml:space="preserve">many of whom had little indication as to what </w:t>
      </w:r>
      <w:r w:rsidR="00121D10">
        <w:rPr>
          <w:rFonts w:ascii="Times New Roman" w:hAnsi="Times New Roman" w:cs="Times New Roman"/>
          <w:lang w:val="en-US"/>
        </w:rPr>
        <w:t>integrated reporting</w:t>
      </w:r>
      <w:r w:rsidR="00422BEF" w:rsidRPr="00DD1E36">
        <w:rPr>
          <w:rFonts w:ascii="Times New Roman" w:hAnsi="Times New Roman" w:cs="Times New Roman"/>
          <w:lang w:val="en-US"/>
        </w:rPr>
        <w:t xml:space="preserve"> represented. </w:t>
      </w:r>
      <w:r>
        <w:rPr>
          <w:rFonts w:ascii="Times New Roman" w:hAnsi="Times New Roman" w:cs="Times New Roman"/>
          <w:lang w:val="en-US"/>
        </w:rPr>
        <w:t xml:space="preserve">Such </w:t>
      </w:r>
      <w:r w:rsidR="00902DD7">
        <w:rPr>
          <w:rFonts w:ascii="Times New Roman" w:hAnsi="Times New Roman" w:cs="Times New Roman"/>
          <w:lang w:val="en-US"/>
        </w:rPr>
        <w:t>a</w:t>
      </w:r>
      <w:r w:rsidR="00422BEF" w:rsidRPr="00D36B5B">
        <w:rPr>
          <w:rFonts w:ascii="Times New Roman" w:hAnsi="Times New Roman" w:cs="Times New Roman"/>
          <w:lang w:val="en-US"/>
        </w:rPr>
        <w:t xml:space="preserve"> combination</w:t>
      </w:r>
      <w:r>
        <w:rPr>
          <w:rFonts w:ascii="Times New Roman" w:hAnsi="Times New Roman" w:cs="Times New Roman"/>
          <w:lang w:val="en-US"/>
        </w:rPr>
        <w:t>, though,</w:t>
      </w:r>
      <w:r w:rsidR="00422BEF" w:rsidRPr="00D36B5B">
        <w:rPr>
          <w:rFonts w:ascii="Times New Roman" w:hAnsi="Times New Roman" w:cs="Times New Roman"/>
          <w:lang w:val="en-US"/>
        </w:rPr>
        <w:t xml:space="preserve"> of social capital</w:t>
      </w:r>
      <w:r w:rsidR="00BB70BE">
        <w:rPr>
          <w:rFonts w:ascii="Times New Roman" w:hAnsi="Times New Roman" w:cs="Times New Roman"/>
          <w:lang w:val="en-US"/>
        </w:rPr>
        <w:t xml:space="preserve"> and</w:t>
      </w:r>
      <w:r w:rsidR="00422BEF" w:rsidRPr="00D36B5B">
        <w:rPr>
          <w:rFonts w:ascii="Times New Roman" w:hAnsi="Times New Roman" w:cs="Times New Roman"/>
          <w:lang w:val="en-US"/>
        </w:rPr>
        <w:t xml:space="preserve"> high</w:t>
      </w:r>
      <w:r w:rsidR="00A6676E">
        <w:rPr>
          <w:rFonts w:ascii="Times New Roman" w:hAnsi="Times New Roman" w:cs="Times New Roman"/>
          <w:lang w:val="en-US"/>
        </w:rPr>
        <w:t>-</w:t>
      </w:r>
      <w:r w:rsidR="00422BEF" w:rsidRPr="00D36B5B">
        <w:rPr>
          <w:rFonts w:ascii="Times New Roman" w:hAnsi="Times New Roman" w:cs="Times New Roman"/>
          <w:lang w:val="en-US"/>
        </w:rPr>
        <w:t xml:space="preserve">level rhetoric drawing on </w:t>
      </w:r>
      <w:r w:rsidR="00422BEF" w:rsidRPr="00D36B5B">
        <w:rPr>
          <w:rFonts w:ascii="Times New Roman" w:hAnsi="Times New Roman" w:cs="Times New Roman"/>
          <w:lang w:val="en-US"/>
        </w:rPr>
        <w:lastRenderedPageBreak/>
        <w:t xml:space="preserve">universal themes </w:t>
      </w:r>
      <w:r w:rsidR="00422BEF">
        <w:rPr>
          <w:rFonts w:ascii="Times New Roman" w:hAnsi="Times New Roman" w:cs="Times New Roman"/>
          <w:lang w:val="en-US"/>
        </w:rPr>
        <w:t xml:space="preserve">served </w:t>
      </w:r>
      <w:r w:rsidR="00422BEF" w:rsidRPr="00D36B5B">
        <w:rPr>
          <w:rFonts w:ascii="Times New Roman" w:hAnsi="Times New Roman" w:cs="Times New Roman"/>
          <w:lang w:val="en-US"/>
        </w:rPr>
        <w:t xml:space="preserve">to stimulate and sustain </w:t>
      </w:r>
      <w:r w:rsidR="00422BEF">
        <w:rPr>
          <w:rFonts w:ascii="Times New Roman" w:hAnsi="Times New Roman" w:cs="Times New Roman"/>
          <w:lang w:val="en-US"/>
        </w:rPr>
        <w:t xml:space="preserve">enough initial interest in </w:t>
      </w:r>
      <w:r w:rsidR="00121D10">
        <w:rPr>
          <w:rFonts w:ascii="Times New Roman" w:hAnsi="Times New Roman" w:cs="Times New Roman"/>
          <w:lang w:val="en-US"/>
        </w:rPr>
        <w:t>integrated reporting</w:t>
      </w:r>
      <w:r w:rsidR="00422BEF">
        <w:rPr>
          <w:rFonts w:ascii="Times New Roman" w:hAnsi="Times New Roman" w:cs="Times New Roman"/>
          <w:lang w:val="en-US"/>
        </w:rPr>
        <w:t xml:space="preserve"> to </w:t>
      </w:r>
      <w:r w:rsidR="00AE20EF">
        <w:rPr>
          <w:rFonts w:ascii="Times New Roman" w:hAnsi="Times New Roman" w:cs="Times New Roman"/>
          <w:lang w:val="en-US"/>
        </w:rPr>
        <w:t>persuade</w:t>
      </w:r>
      <w:r w:rsidR="00422BEF">
        <w:rPr>
          <w:rFonts w:ascii="Times New Roman" w:hAnsi="Times New Roman" w:cs="Times New Roman"/>
          <w:lang w:val="en-US"/>
        </w:rPr>
        <w:t xml:space="preserve"> and </w:t>
      </w:r>
      <w:r w:rsidR="00BB70BE">
        <w:rPr>
          <w:rFonts w:ascii="Times New Roman" w:hAnsi="Times New Roman" w:cs="Times New Roman"/>
          <w:lang w:val="en-US"/>
        </w:rPr>
        <w:t>mobiliz</w:t>
      </w:r>
      <w:r w:rsidR="00794753">
        <w:rPr>
          <w:rFonts w:ascii="Times New Roman" w:hAnsi="Times New Roman" w:cs="Times New Roman"/>
          <w:lang w:val="en-US"/>
        </w:rPr>
        <w:t>e</w:t>
      </w:r>
      <w:r w:rsidR="00422BEF" w:rsidRPr="00D36B5B">
        <w:rPr>
          <w:rFonts w:ascii="Times New Roman" w:hAnsi="Times New Roman" w:cs="Times New Roman"/>
          <w:lang w:val="en-US"/>
        </w:rPr>
        <w:t xml:space="preserve"> </w:t>
      </w:r>
      <w:r w:rsidR="00422BEF">
        <w:rPr>
          <w:rFonts w:ascii="Times New Roman" w:hAnsi="Times New Roman" w:cs="Times New Roman"/>
          <w:lang w:val="en-US"/>
        </w:rPr>
        <w:t xml:space="preserve">a wide variety of </w:t>
      </w:r>
      <w:r w:rsidR="00422BEF" w:rsidRPr="00D36B5B">
        <w:rPr>
          <w:rFonts w:ascii="Times New Roman" w:hAnsi="Times New Roman" w:cs="Times New Roman"/>
          <w:lang w:val="en-US"/>
        </w:rPr>
        <w:t>actors</w:t>
      </w:r>
      <w:r w:rsidR="00422BEF">
        <w:rPr>
          <w:rFonts w:ascii="Times New Roman" w:hAnsi="Times New Roman" w:cs="Times New Roman"/>
          <w:lang w:val="en-US"/>
        </w:rPr>
        <w:t xml:space="preserve"> to engage with its future</w:t>
      </w:r>
      <w:r w:rsidR="00422BEF" w:rsidRPr="00D36B5B">
        <w:rPr>
          <w:rFonts w:ascii="Times New Roman" w:hAnsi="Times New Roman" w:cs="Times New Roman"/>
          <w:lang w:val="en-US"/>
        </w:rPr>
        <w:t xml:space="preserve"> development.</w:t>
      </w:r>
      <w:r w:rsidR="00422BEF" w:rsidRPr="00DD1E36">
        <w:rPr>
          <w:rFonts w:ascii="Times New Roman" w:hAnsi="Times New Roman" w:cs="Times New Roman"/>
          <w:lang w:val="en-US"/>
        </w:rPr>
        <w:t xml:space="preserve"> </w:t>
      </w:r>
      <w:r>
        <w:rPr>
          <w:rFonts w:ascii="Times New Roman" w:hAnsi="Times New Roman" w:cs="Times New Roman"/>
          <w:lang w:val="en-US"/>
        </w:rPr>
        <w:t>Nevertheless, w</w:t>
      </w:r>
      <w:proofErr w:type="spellStart"/>
      <w:r w:rsidR="00BB70BE" w:rsidRPr="003441AD">
        <w:rPr>
          <w:rFonts w:ascii="Times New Roman" w:hAnsi="Times New Roman" w:cs="Times New Roman"/>
          <w:lang w:val="en-GB"/>
        </w:rPr>
        <w:t>hile</w:t>
      </w:r>
      <w:proofErr w:type="spellEnd"/>
      <w:r w:rsidR="00BB70BE" w:rsidRPr="003441AD">
        <w:rPr>
          <w:rFonts w:ascii="Times New Roman" w:hAnsi="Times New Roman" w:cs="Times New Roman"/>
          <w:lang w:val="en-GB"/>
        </w:rPr>
        <w:t xml:space="preserve"> the integrated reporting idea had garnered a high level of interest and support from respondents to the Discussion Paper, its vague conceptual underpinnings need</w:t>
      </w:r>
      <w:r w:rsidR="00F8112F">
        <w:rPr>
          <w:rFonts w:ascii="Times New Roman" w:hAnsi="Times New Roman" w:cs="Times New Roman"/>
          <w:lang w:val="en-GB"/>
        </w:rPr>
        <w:t>ed</w:t>
      </w:r>
      <w:r w:rsidR="00BB70BE" w:rsidRPr="003441AD">
        <w:rPr>
          <w:rFonts w:ascii="Times New Roman" w:hAnsi="Times New Roman" w:cs="Times New Roman"/>
          <w:lang w:val="en-GB"/>
        </w:rPr>
        <w:t xml:space="preserve"> clarification if this initial interest was to be consolidated and escalated. It is to this issue that we now turn.</w:t>
      </w:r>
    </w:p>
    <w:p w14:paraId="63969274" w14:textId="56552D53" w:rsidR="000A1EAA" w:rsidRPr="00446B14" w:rsidRDefault="005E7227" w:rsidP="002C42E2">
      <w:pPr>
        <w:spacing w:line="360" w:lineRule="auto"/>
        <w:ind w:left="708" w:hanging="708"/>
        <w:jc w:val="both"/>
        <w:rPr>
          <w:lang w:val="en-IE"/>
        </w:rPr>
      </w:pPr>
      <w:r w:rsidRPr="005E7227">
        <w:rPr>
          <w:rFonts w:ascii="Times New Roman" w:hAnsi="Times New Roman" w:cs="Times New Roman"/>
          <w:b/>
          <w:i/>
          <w:lang w:val="en-US"/>
        </w:rPr>
        <w:t>4.3</w:t>
      </w:r>
      <w:r w:rsidRPr="005E7227">
        <w:rPr>
          <w:rFonts w:ascii="Times New Roman" w:hAnsi="Times New Roman" w:cs="Times New Roman"/>
          <w:b/>
          <w:i/>
          <w:lang w:val="en-US"/>
        </w:rPr>
        <w:tab/>
      </w:r>
      <w:r w:rsidR="00BB21C4">
        <w:rPr>
          <w:rFonts w:ascii="Times New Roman" w:hAnsi="Times New Roman" w:cs="Times New Roman"/>
          <w:b/>
          <w:i/>
          <w:lang w:val="en-US"/>
        </w:rPr>
        <w:t xml:space="preserve">Refining the </w:t>
      </w:r>
      <w:r w:rsidR="00121D10">
        <w:rPr>
          <w:rFonts w:ascii="Times New Roman" w:hAnsi="Times New Roman" w:cs="Times New Roman"/>
          <w:b/>
          <w:i/>
          <w:lang w:val="en-US"/>
        </w:rPr>
        <w:t>integrated reporting</w:t>
      </w:r>
      <w:r w:rsidR="005D3E0C">
        <w:rPr>
          <w:rFonts w:ascii="Times New Roman" w:hAnsi="Times New Roman" w:cs="Times New Roman"/>
          <w:b/>
          <w:i/>
          <w:lang w:val="en-US"/>
        </w:rPr>
        <w:t xml:space="preserve"> </w:t>
      </w:r>
      <w:r w:rsidR="00422BEF" w:rsidRPr="005E7227">
        <w:rPr>
          <w:rFonts w:ascii="Times New Roman" w:hAnsi="Times New Roman" w:cs="Times New Roman"/>
          <w:b/>
          <w:i/>
          <w:lang w:val="en-US"/>
        </w:rPr>
        <w:t>idea and establishing ‘rule systems’ –</w:t>
      </w:r>
      <w:r w:rsidR="00446B14">
        <w:rPr>
          <w:rFonts w:ascii="Times New Roman" w:hAnsi="Times New Roman" w:cs="Times New Roman"/>
          <w:b/>
          <w:i/>
          <w:lang w:val="en-US"/>
        </w:rPr>
        <w:t xml:space="preserve"> </w:t>
      </w:r>
      <w:r w:rsidR="00DE1110">
        <w:rPr>
          <w:rFonts w:ascii="Times New Roman" w:hAnsi="Times New Roman" w:cs="Times New Roman"/>
          <w:b/>
          <w:i/>
          <w:lang w:val="en-US"/>
        </w:rPr>
        <w:t xml:space="preserve">Reinforcing boundary work </w:t>
      </w:r>
      <w:r w:rsidR="00D87B73">
        <w:rPr>
          <w:rFonts w:ascii="Times New Roman" w:hAnsi="Times New Roman" w:cs="Times New Roman"/>
          <w:b/>
          <w:i/>
          <w:lang w:val="en-US"/>
        </w:rPr>
        <w:t xml:space="preserve">by </w:t>
      </w:r>
      <w:r w:rsidR="00B22C5D">
        <w:rPr>
          <w:rFonts w:ascii="Times New Roman" w:hAnsi="Times New Roman" w:cs="Times New Roman"/>
          <w:b/>
          <w:i/>
          <w:lang w:val="en-US"/>
        </w:rPr>
        <w:t xml:space="preserve">mobilizing </w:t>
      </w:r>
      <w:r w:rsidR="00422BEF" w:rsidRPr="005E7227">
        <w:rPr>
          <w:rFonts w:ascii="Times New Roman" w:hAnsi="Times New Roman" w:cs="Times New Roman"/>
          <w:b/>
          <w:i/>
          <w:lang w:val="en-US"/>
        </w:rPr>
        <w:t>an ‘enlightened shareholder’ logic</w:t>
      </w:r>
    </w:p>
    <w:p w14:paraId="1078F7D8" w14:textId="77777777" w:rsidR="000A1EAA" w:rsidRDefault="000A1EAA" w:rsidP="000A1EAA">
      <w:pPr>
        <w:spacing w:after="0" w:line="360" w:lineRule="auto"/>
        <w:ind w:firstLine="708"/>
        <w:jc w:val="both"/>
        <w:rPr>
          <w:rFonts w:ascii="Times New Roman" w:hAnsi="Times New Roman" w:cs="Times New Roman"/>
          <w:lang w:val="en-US"/>
        </w:rPr>
      </w:pPr>
      <w:r w:rsidRPr="00DD1E36">
        <w:rPr>
          <w:rFonts w:ascii="Times New Roman" w:hAnsi="Times New Roman" w:cs="Times New Roman"/>
          <w:lang w:val="en-US"/>
        </w:rPr>
        <w:t>The degree of confusion expressed by many respondents to the</w:t>
      </w:r>
      <w:r>
        <w:rPr>
          <w:rFonts w:ascii="Times New Roman" w:hAnsi="Times New Roman" w:cs="Times New Roman"/>
          <w:lang w:val="en-US"/>
        </w:rPr>
        <w:t xml:space="preserve"> 2011</w:t>
      </w:r>
      <w:r w:rsidRPr="00DD1E36">
        <w:rPr>
          <w:rFonts w:ascii="Times New Roman" w:hAnsi="Times New Roman" w:cs="Times New Roman"/>
          <w:lang w:val="en-US"/>
        </w:rPr>
        <w:t xml:space="preserve"> Discussion Paper was exacerbated by ambiguity </w:t>
      </w:r>
      <w:r>
        <w:rPr>
          <w:rFonts w:ascii="Times New Roman" w:hAnsi="Times New Roman" w:cs="Times New Roman"/>
          <w:lang w:val="en-US"/>
        </w:rPr>
        <w:t>surrounding some</w:t>
      </w:r>
      <w:r w:rsidRPr="00DD1E36">
        <w:rPr>
          <w:rFonts w:ascii="Times New Roman" w:hAnsi="Times New Roman" w:cs="Times New Roman"/>
          <w:lang w:val="en-US"/>
        </w:rPr>
        <w:t xml:space="preserve"> of the</w:t>
      </w:r>
      <w:r>
        <w:rPr>
          <w:rFonts w:ascii="Times New Roman" w:hAnsi="Times New Roman" w:cs="Times New Roman"/>
          <w:lang w:val="en-US"/>
        </w:rPr>
        <w:t xml:space="preserve"> aforementioned</w:t>
      </w:r>
      <w:r w:rsidRPr="00DD1E36">
        <w:rPr>
          <w:rFonts w:ascii="Times New Roman" w:hAnsi="Times New Roman" w:cs="Times New Roman"/>
          <w:lang w:val="en-US"/>
        </w:rPr>
        <w:t xml:space="preserve"> concepts introduced to underp</w:t>
      </w:r>
      <w:r>
        <w:rPr>
          <w:rFonts w:ascii="Times New Roman" w:hAnsi="Times New Roman" w:cs="Times New Roman"/>
          <w:lang w:val="en-US"/>
        </w:rPr>
        <w:t>in</w:t>
      </w:r>
      <w:r w:rsidRPr="00DD1E36">
        <w:rPr>
          <w:rFonts w:ascii="Times New Roman" w:hAnsi="Times New Roman" w:cs="Times New Roman"/>
          <w:lang w:val="en-US"/>
        </w:rPr>
        <w:t xml:space="preserve"> </w:t>
      </w:r>
      <w:r>
        <w:rPr>
          <w:rFonts w:ascii="Times New Roman" w:hAnsi="Times New Roman" w:cs="Times New Roman"/>
          <w:lang w:val="en-US"/>
        </w:rPr>
        <w:t xml:space="preserve">integrated reporting. </w:t>
      </w:r>
      <w:r w:rsidRPr="00DD1E36">
        <w:rPr>
          <w:rFonts w:ascii="Times New Roman" w:hAnsi="Times New Roman" w:cs="Times New Roman"/>
          <w:lang w:val="en-US"/>
        </w:rPr>
        <w:t>For example</w:t>
      </w:r>
      <w:r w:rsidRPr="006204BB">
        <w:rPr>
          <w:rFonts w:ascii="Times New Roman" w:hAnsi="Times New Roman" w:cs="Times New Roman"/>
          <w:lang w:val="en-US"/>
        </w:rPr>
        <w:t xml:space="preserve">, </w:t>
      </w:r>
      <w:r>
        <w:rPr>
          <w:rFonts w:ascii="Times New Roman" w:hAnsi="Times New Roman" w:cs="Times New Roman"/>
          <w:lang w:val="en-US"/>
        </w:rPr>
        <w:t>integrated reporting</w:t>
      </w:r>
      <w:r w:rsidRPr="004F3825">
        <w:rPr>
          <w:rFonts w:ascii="Times New Roman" w:hAnsi="Times New Roman" w:cs="Times New Roman"/>
          <w:lang w:val="en-US"/>
        </w:rPr>
        <w:t xml:space="preserve"> was defined in the Discussion Paper as follows:</w:t>
      </w:r>
    </w:p>
    <w:p w14:paraId="0BC8C814" w14:textId="77777777" w:rsidR="000A1EAA" w:rsidRPr="004F3825" w:rsidRDefault="000A1EAA" w:rsidP="000A1EAA">
      <w:pPr>
        <w:spacing w:after="0" w:line="360" w:lineRule="auto"/>
        <w:ind w:firstLine="708"/>
        <w:jc w:val="both"/>
        <w:rPr>
          <w:rFonts w:ascii="Times New Roman" w:hAnsi="Times New Roman" w:cs="Times New Roman"/>
          <w:lang w:val="en-US"/>
        </w:rPr>
      </w:pPr>
    </w:p>
    <w:p w14:paraId="30B059FE" w14:textId="77777777" w:rsidR="000A1EAA" w:rsidRPr="005E7227" w:rsidRDefault="000A1EAA" w:rsidP="000A1EAA">
      <w:pPr>
        <w:autoSpaceDE w:val="0"/>
        <w:autoSpaceDN w:val="0"/>
        <w:adjustRightInd w:val="0"/>
        <w:spacing w:after="0" w:line="240" w:lineRule="auto"/>
        <w:ind w:left="708"/>
        <w:jc w:val="both"/>
        <w:rPr>
          <w:rFonts w:ascii="Times New Roman" w:hAnsi="Times New Roman" w:cs="Times New Roman"/>
          <w:sz w:val="20"/>
          <w:szCs w:val="20"/>
          <w:lang w:val="en-US"/>
        </w:rPr>
      </w:pPr>
      <w:r w:rsidRPr="004F3825">
        <w:rPr>
          <w:rFonts w:ascii="Times New Roman" w:hAnsi="Times New Roman" w:cs="Times New Roman"/>
          <w:sz w:val="20"/>
          <w:szCs w:val="20"/>
          <w:lang w:val="en-US"/>
        </w:rPr>
        <w:t xml:space="preserve">Integrated Reporting brings together the </w:t>
      </w:r>
      <w:r w:rsidRPr="005E7227">
        <w:rPr>
          <w:rFonts w:ascii="Times New Roman" w:hAnsi="Times New Roman" w:cs="Times New Roman"/>
          <w:sz w:val="20"/>
          <w:szCs w:val="20"/>
          <w:lang w:val="en-US"/>
        </w:rPr>
        <w:t>material</w:t>
      </w:r>
      <w:r w:rsidRPr="006204BB">
        <w:rPr>
          <w:rFonts w:ascii="Times New Roman" w:hAnsi="Times New Roman" w:cs="Times New Roman"/>
          <w:sz w:val="20"/>
          <w:szCs w:val="20"/>
          <w:lang w:val="en-US"/>
        </w:rPr>
        <w:t xml:space="preserve"> information about an organization’s strategy, governance, performance and </w:t>
      </w:r>
      <w:r w:rsidRPr="005E7227">
        <w:rPr>
          <w:rFonts w:ascii="Times New Roman" w:hAnsi="Times New Roman" w:cs="Times New Roman"/>
          <w:sz w:val="20"/>
          <w:szCs w:val="20"/>
          <w:lang w:val="en-US"/>
        </w:rPr>
        <w:t>prospects</w:t>
      </w:r>
      <w:r w:rsidRPr="006204BB">
        <w:rPr>
          <w:rFonts w:ascii="Times New Roman" w:hAnsi="Times New Roman" w:cs="Times New Roman"/>
          <w:sz w:val="20"/>
          <w:szCs w:val="20"/>
          <w:lang w:val="en-US"/>
        </w:rPr>
        <w:t xml:space="preserve"> in a way that reflects the commercial, social and environmental context within which it operates. It provides a clear and concise representation of how an organization demonstrates </w:t>
      </w:r>
      <w:r w:rsidRPr="005E7227">
        <w:rPr>
          <w:rFonts w:ascii="Times New Roman" w:hAnsi="Times New Roman" w:cs="Times New Roman"/>
          <w:sz w:val="20"/>
          <w:szCs w:val="20"/>
          <w:lang w:val="en-US"/>
        </w:rPr>
        <w:t>stewardship</w:t>
      </w:r>
      <w:r w:rsidRPr="006204BB">
        <w:rPr>
          <w:rFonts w:ascii="Times New Roman" w:hAnsi="Times New Roman" w:cs="Times New Roman"/>
          <w:sz w:val="20"/>
          <w:szCs w:val="20"/>
          <w:lang w:val="en-US"/>
        </w:rPr>
        <w:t xml:space="preserve"> and how it </w:t>
      </w:r>
      <w:r w:rsidRPr="005E7227">
        <w:rPr>
          <w:rFonts w:ascii="Times New Roman" w:hAnsi="Times New Roman" w:cs="Times New Roman"/>
          <w:sz w:val="20"/>
          <w:szCs w:val="20"/>
          <w:lang w:val="en-US"/>
        </w:rPr>
        <w:t>creates value</w:t>
      </w:r>
      <w:r w:rsidRPr="006204BB">
        <w:rPr>
          <w:rFonts w:ascii="Times New Roman" w:hAnsi="Times New Roman" w:cs="Times New Roman"/>
          <w:sz w:val="20"/>
          <w:szCs w:val="20"/>
          <w:lang w:val="en-US"/>
        </w:rPr>
        <w:t xml:space="preserve">, now and in the future. </w:t>
      </w:r>
      <w:r w:rsidRPr="004F3825">
        <w:rPr>
          <w:rFonts w:ascii="Times New Roman" w:hAnsi="Times New Roman" w:cs="Times New Roman"/>
          <w:sz w:val="20"/>
          <w:szCs w:val="20"/>
          <w:lang w:val="en-US"/>
        </w:rPr>
        <w:t xml:space="preserve">Integrated Reporting combines the </w:t>
      </w:r>
      <w:r w:rsidRPr="005E7227">
        <w:rPr>
          <w:rFonts w:ascii="Times New Roman" w:hAnsi="Times New Roman" w:cs="Times New Roman"/>
          <w:sz w:val="20"/>
          <w:szCs w:val="20"/>
          <w:lang w:val="en-US"/>
        </w:rPr>
        <w:t>most material</w:t>
      </w:r>
      <w:r w:rsidRPr="006204BB">
        <w:rPr>
          <w:rFonts w:ascii="Times New Roman" w:hAnsi="Times New Roman" w:cs="Times New Roman"/>
          <w:sz w:val="20"/>
          <w:szCs w:val="20"/>
          <w:lang w:val="en-US"/>
        </w:rPr>
        <w:t xml:space="preserve"> elements of information currently reported in separate reporting strands (financial, management commentary, governance and remuneration, and sustainability) in a coherent whole, and importantly: </w:t>
      </w:r>
      <w:r w:rsidRPr="005E7227">
        <w:rPr>
          <w:rFonts w:ascii="Times New Roman" w:hAnsi="Times New Roman" w:cs="Times New Roman"/>
          <w:sz w:val="20"/>
          <w:szCs w:val="20"/>
          <w:lang w:val="en-US"/>
        </w:rPr>
        <w:t>shows the connectivity between them</w:t>
      </w:r>
      <w:r w:rsidRPr="006204BB">
        <w:rPr>
          <w:rFonts w:ascii="Times New Roman" w:hAnsi="Times New Roman" w:cs="Times New Roman"/>
          <w:sz w:val="20"/>
          <w:szCs w:val="20"/>
          <w:lang w:val="en-US"/>
        </w:rPr>
        <w:t xml:space="preserve">; and explains how they affect the ability of an organization to </w:t>
      </w:r>
      <w:r w:rsidRPr="005E7227">
        <w:rPr>
          <w:rFonts w:ascii="Times New Roman" w:hAnsi="Times New Roman" w:cs="Times New Roman"/>
          <w:sz w:val="20"/>
          <w:szCs w:val="20"/>
          <w:lang w:val="en-US"/>
        </w:rPr>
        <w:t xml:space="preserve">create and sustain value in the short, medium and long term. </w:t>
      </w:r>
    </w:p>
    <w:p w14:paraId="78793DFC" w14:textId="77777777" w:rsidR="000A1EAA" w:rsidRPr="00DD1E36" w:rsidRDefault="000A1EAA" w:rsidP="000A1EAA">
      <w:pPr>
        <w:autoSpaceDE w:val="0"/>
        <w:autoSpaceDN w:val="0"/>
        <w:adjustRightInd w:val="0"/>
        <w:spacing w:after="0" w:line="360" w:lineRule="auto"/>
        <w:rPr>
          <w:rFonts w:ascii="Times New Roman" w:hAnsi="Times New Roman" w:cs="Times New Roman"/>
          <w:lang w:val="en-US"/>
        </w:rPr>
      </w:pPr>
    </w:p>
    <w:p w14:paraId="5E4BEF25" w14:textId="77777777" w:rsidR="000A1EAA" w:rsidRDefault="000A1EAA" w:rsidP="000A1EAA">
      <w:pPr>
        <w:spacing w:line="360" w:lineRule="auto"/>
        <w:ind w:firstLine="708"/>
        <w:jc w:val="both"/>
        <w:rPr>
          <w:rFonts w:ascii="Times New Roman" w:hAnsi="Times New Roman" w:cs="Times New Roman"/>
          <w:lang w:val="en-US"/>
        </w:rPr>
      </w:pPr>
      <w:r>
        <w:rPr>
          <w:rFonts w:ascii="Times New Roman" w:hAnsi="Times New Roman" w:cs="Times New Roman"/>
          <w:lang w:val="en-US"/>
        </w:rPr>
        <w:t>According to this definition</w:t>
      </w:r>
      <w:r w:rsidRPr="00DD1E36">
        <w:rPr>
          <w:rFonts w:ascii="Times New Roman" w:hAnsi="Times New Roman" w:cs="Times New Roman"/>
          <w:lang w:val="en-US"/>
        </w:rPr>
        <w:t xml:space="preserve">, </w:t>
      </w:r>
      <w:r>
        <w:rPr>
          <w:rFonts w:ascii="Times New Roman" w:hAnsi="Times New Roman" w:cs="Times New Roman"/>
          <w:lang w:val="en-US"/>
        </w:rPr>
        <w:t>integrated reporting</w:t>
      </w:r>
      <w:r w:rsidRPr="00DD1E36">
        <w:rPr>
          <w:rFonts w:ascii="Times New Roman" w:hAnsi="Times New Roman" w:cs="Times New Roman"/>
          <w:lang w:val="en-US"/>
        </w:rPr>
        <w:t xml:space="preserve"> would explain an organ</w:t>
      </w:r>
      <w:r>
        <w:rPr>
          <w:rFonts w:ascii="Times New Roman" w:hAnsi="Times New Roman" w:cs="Times New Roman"/>
          <w:lang w:val="en-US"/>
        </w:rPr>
        <w:t>iza</w:t>
      </w:r>
      <w:r w:rsidRPr="00DD1E36">
        <w:rPr>
          <w:rFonts w:ascii="Times New Roman" w:hAnsi="Times New Roman" w:cs="Times New Roman"/>
          <w:lang w:val="en-US"/>
        </w:rPr>
        <w:t xml:space="preserve">tion’s ability to </w:t>
      </w:r>
      <w:r w:rsidRPr="00DD1E36">
        <w:rPr>
          <w:rFonts w:ascii="Times New Roman" w:hAnsi="Times New Roman" w:cs="Times New Roman"/>
          <w:i/>
          <w:lang w:val="en-US"/>
        </w:rPr>
        <w:t xml:space="preserve">create and sustain value </w:t>
      </w:r>
      <w:r w:rsidRPr="00DD1E36">
        <w:rPr>
          <w:rFonts w:ascii="Times New Roman" w:hAnsi="Times New Roman" w:cs="Times New Roman"/>
          <w:lang w:val="en-US"/>
        </w:rPr>
        <w:t xml:space="preserve">thereby improving investors’ and other stakeholders’ insight and understanding. </w:t>
      </w:r>
      <w:r>
        <w:rPr>
          <w:rFonts w:ascii="Times New Roman" w:hAnsi="Times New Roman" w:cs="Times New Roman"/>
          <w:lang w:val="en-US"/>
        </w:rPr>
        <w:t>It</w:t>
      </w:r>
      <w:r w:rsidRPr="00DD1E36">
        <w:rPr>
          <w:rFonts w:ascii="Times New Roman" w:hAnsi="Times New Roman" w:cs="Times New Roman"/>
          <w:lang w:val="en-US"/>
        </w:rPr>
        <w:t xml:space="preserve"> would reflect </w:t>
      </w:r>
      <w:r w:rsidRPr="00DD1E36">
        <w:rPr>
          <w:rFonts w:ascii="Times New Roman" w:hAnsi="Times New Roman" w:cs="Times New Roman"/>
          <w:i/>
          <w:lang w:val="en-US"/>
        </w:rPr>
        <w:t>integrated thinking</w:t>
      </w:r>
      <w:r w:rsidRPr="00DD1E36">
        <w:rPr>
          <w:rFonts w:ascii="Times New Roman" w:hAnsi="Times New Roman" w:cs="Times New Roman"/>
          <w:lang w:val="en-US"/>
        </w:rPr>
        <w:t xml:space="preserve"> among senior management as opposed to the </w:t>
      </w:r>
      <w:r w:rsidRPr="00FB2B20">
        <w:rPr>
          <w:rFonts w:ascii="Times New Roman" w:hAnsi="Times New Roman" w:cs="Times New Roman"/>
          <w:lang w:val="en-US"/>
        </w:rPr>
        <w:t>thinking in silos</w:t>
      </w:r>
      <w:r w:rsidRPr="00DD1E36">
        <w:rPr>
          <w:rFonts w:ascii="Times New Roman" w:hAnsi="Times New Roman" w:cs="Times New Roman"/>
          <w:lang w:val="en-US"/>
        </w:rPr>
        <w:t xml:space="preserve"> encouraged by ‘traditional’ reporting </w:t>
      </w:r>
      <w:r>
        <w:rPr>
          <w:rFonts w:ascii="Times New Roman" w:hAnsi="Times New Roman" w:cs="Times New Roman"/>
          <w:lang w:val="en-US"/>
        </w:rPr>
        <w:t xml:space="preserve">and </w:t>
      </w:r>
      <w:r w:rsidRPr="00DD1E36">
        <w:rPr>
          <w:rFonts w:ascii="Times New Roman" w:hAnsi="Times New Roman" w:cs="Times New Roman"/>
          <w:lang w:val="en-US"/>
        </w:rPr>
        <w:t xml:space="preserve">support </w:t>
      </w:r>
      <w:r w:rsidRPr="00FB2B20">
        <w:rPr>
          <w:rFonts w:ascii="Times New Roman" w:hAnsi="Times New Roman" w:cs="Times New Roman"/>
          <w:lang w:val="en-US"/>
        </w:rPr>
        <w:t>resource allocation decisions</w:t>
      </w:r>
      <w:r>
        <w:rPr>
          <w:rFonts w:ascii="Times New Roman" w:hAnsi="Times New Roman" w:cs="Times New Roman"/>
          <w:i/>
          <w:lang w:val="en-US"/>
        </w:rPr>
        <w:t xml:space="preserve"> </w:t>
      </w:r>
      <w:r w:rsidRPr="00DD1E36">
        <w:rPr>
          <w:rFonts w:ascii="Times New Roman" w:hAnsi="Times New Roman" w:cs="Times New Roman"/>
          <w:lang w:val="en-US"/>
        </w:rPr>
        <w:t xml:space="preserve">consistent with achieving </w:t>
      </w:r>
      <w:r w:rsidRPr="00DD1E36">
        <w:rPr>
          <w:rFonts w:ascii="Times New Roman" w:hAnsi="Times New Roman" w:cs="Times New Roman"/>
          <w:i/>
          <w:lang w:val="en-US"/>
        </w:rPr>
        <w:t>sustained value creation</w:t>
      </w:r>
      <w:r w:rsidRPr="00DD1E36">
        <w:rPr>
          <w:rFonts w:ascii="Times New Roman" w:hAnsi="Times New Roman" w:cs="Times New Roman"/>
          <w:lang w:val="en-US"/>
        </w:rPr>
        <w:t xml:space="preserve"> and </w:t>
      </w:r>
      <w:r w:rsidRPr="00DD1E36">
        <w:rPr>
          <w:rFonts w:ascii="Times New Roman" w:hAnsi="Times New Roman" w:cs="Times New Roman"/>
          <w:i/>
          <w:lang w:val="en-US"/>
        </w:rPr>
        <w:t>long term viability</w:t>
      </w:r>
      <w:r w:rsidRPr="00DD1E36">
        <w:rPr>
          <w:rFonts w:ascii="Times New Roman" w:hAnsi="Times New Roman" w:cs="Times New Roman"/>
          <w:lang w:val="en-US"/>
        </w:rPr>
        <w:t xml:space="preserve">. </w:t>
      </w:r>
    </w:p>
    <w:p w14:paraId="22224F5C" w14:textId="77777777" w:rsidR="000A1EAA" w:rsidRPr="00DD1E36" w:rsidRDefault="000A1EAA" w:rsidP="000A1EAA">
      <w:pPr>
        <w:spacing w:line="360" w:lineRule="auto"/>
        <w:ind w:firstLine="708"/>
        <w:jc w:val="both"/>
        <w:rPr>
          <w:rFonts w:ascii="Times New Roman" w:hAnsi="Times New Roman" w:cs="Times New Roman"/>
          <w:lang w:val="en-US"/>
        </w:rPr>
      </w:pPr>
      <w:r w:rsidRPr="00DD1E36">
        <w:rPr>
          <w:rFonts w:ascii="Times New Roman" w:hAnsi="Times New Roman" w:cs="Times New Roman"/>
          <w:lang w:val="en-US"/>
        </w:rPr>
        <w:t xml:space="preserve">Drawing on prior work by Forum for the </w:t>
      </w:r>
      <w:r>
        <w:rPr>
          <w:rFonts w:ascii="Times New Roman" w:hAnsi="Times New Roman" w:cs="Times New Roman"/>
          <w:lang w:val="en-US"/>
        </w:rPr>
        <w:t>Future</w:t>
      </w:r>
      <w:r>
        <w:rPr>
          <w:rStyle w:val="FootnoteReference"/>
          <w:rFonts w:ascii="Times New Roman" w:hAnsi="Times New Roman" w:cs="Times New Roman"/>
          <w:lang w:val="en-US"/>
        </w:rPr>
        <w:footnoteReference w:id="12"/>
      </w:r>
      <w:r>
        <w:rPr>
          <w:rFonts w:ascii="Times New Roman" w:hAnsi="Times New Roman" w:cs="Times New Roman"/>
          <w:lang w:val="en-US"/>
        </w:rPr>
        <w:t xml:space="preserve">, the </w:t>
      </w:r>
      <w:r w:rsidRPr="00DD1E36">
        <w:rPr>
          <w:rFonts w:ascii="Times New Roman" w:hAnsi="Times New Roman" w:cs="Times New Roman"/>
          <w:lang w:val="en-US"/>
        </w:rPr>
        <w:t xml:space="preserve">Discussion Paper introduced the notion of </w:t>
      </w:r>
      <w:r w:rsidRPr="00DD1E36">
        <w:rPr>
          <w:rFonts w:ascii="Times New Roman" w:hAnsi="Times New Roman" w:cs="Times New Roman"/>
          <w:i/>
          <w:lang w:val="en-US"/>
        </w:rPr>
        <w:t>capitals</w:t>
      </w:r>
      <w:r w:rsidRPr="00DD1E36">
        <w:rPr>
          <w:rFonts w:ascii="Times New Roman" w:hAnsi="Times New Roman" w:cs="Times New Roman"/>
          <w:lang w:val="en-US"/>
        </w:rPr>
        <w:t xml:space="preserve"> (financial, manufactured, human, intellectual, natural and social) to represent the resources and relat</w:t>
      </w:r>
      <w:r>
        <w:rPr>
          <w:rFonts w:ascii="Times New Roman" w:hAnsi="Times New Roman" w:cs="Times New Roman"/>
          <w:lang w:val="en-US"/>
        </w:rPr>
        <w:t>ionships an organization depended</w:t>
      </w:r>
      <w:r w:rsidRPr="00DD1E36">
        <w:rPr>
          <w:rFonts w:ascii="Times New Roman" w:hAnsi="Times New Roman" w:cs="Times New Roman"/>
          <w:lang w:val="en-US"/>
        </w:rPr>
        <w:t xml:space="preserve"> on for its (past, present and future) success. </w:t>
      </w:r>
      <w:r>
        <w:rPr>
          <w:rFonts w:ascii="Times New Roman" w:hAnsi="Times New Roman" w:cs="Times New Roman"/>
          <w:lang w:val="en-US"/>
        </w:rPr>
        <w:t>Integrated reporting</w:t>
      </w:r>
      <w:r w:rsidRPr="00DD1E36">
        <w:rPr>
          <w:rFonts w:ascii="Times New Roman" w:hAnsi="Times New Roman" w:cs="Times New Roman"/>
          <w:lang w:val="en-US"/>
        </w:rPr>
        <w:t xml:space="preserve"> promised to make visible how an organization used </w:t>
      </w:r>
      <w:r>
        <w:rPr>
          <w:rFonts w:ascii="Times New Roman" w:hAnsi="Times New Roman" w:cs="Times New Roman"/>
          <w:lang w:val="en-US"/>
        </w:rPr>
        <w:t xml:space="preserve">these </w:t>
      </w:r>
      <w:r w:rsidRPr="00DD1E36">
        <w:rPr>
          <w:rFonts w:ascii="Times New Roman" w:hAnsi="Times New Roman" w:cs="Times New Roman"/>
          <w:lang w:val="en-US"/>
        </w:rPr>
        <w:t>different capitals, its impact on them and their interdependence</w:t>
      </w:r>
      <w:r>
        <w:rPr>
          <w:rFonts w:ascii="Times New Roman" w:hAnsi="Times New Roman" w:cs="Times New Roman"/>
          <w:lang w:val="en-US"/>
        </w:rPr>
        <w:t>,</w:t>
      </w:r>
      <w:r w:rsidRPr="00DD1E36">
        <w:rPr>
          <w:rFonts w:ascii="Times New Roman" w:hAnsi="Times New Roman" w:cs="Times New Roman"/>
          <w:lang w:val="en-US"/>
        </w:rPr>
        <w:t xml:space="preserve"> while also contending that not all capitals were equally relevant or applicable to all organizations. </w:t>
      </w:r>
    </w:p>
    <w:p w14:paraId="194B4C00" w14:textId="77777777" w:rsidR="000A1EAA" w:rsidRPr="00DD1E36" w:rsidRDefault="000A1EAA" w:rsidP="000A1EAA">
      <w:pPr>
        <w:spacing w:line="360" w:lineRule="auto"/>
        <w:ind w:firstLine="708"/>
        <w:jc w:val="both"/>
        <w:rPr>
          <w:rFonts w:ascii="Times New Roman" w:hAnsi="Times New Roman" w:cs="Times New Roman"/>
          <w:lang w:val="en-US"/>
        </w:rPr>
      </w:pPr>
      <w:r w:rsidRPr="00DD1E36">
        <w:rPr>
          <w:rFonts w:ascii="Times New Roman" w:hAnsi="Times New Roman" w:cs="Times New Roman"/>
          <w:lang w:val="en-US"/>
        </w:rPr>
        <w:t xml:space="preserve">Concerns about ambiguity and the ‘high </w:t>
      </w:r>
      <w:r>
        <w:rPr>
          <w:rFonts w:ascii="Times New Roman" w:hAnsi="Times New Roman" w:cs="Times New Roman"/>
          <w:lang w:val="en-US"/>
        </w:rPr>
        <w:t>level’ nature of the concepts introduced</w:t>
      </w:r>
      <w:r w:rsidRPr="00DD1E36">
        <w:rPr>
          <w:rFonts w:ascii="Times New Roman" w:hAnsi="Times New Roman" w:cs="Times New Roman"/>
          <w:lang w:val="en-US"/>
        </w:rPr>
        <w:t xml:space="preserve"> </w:t>
      </w:r>
      <w:r>
        <w:rPr>
          <w:rFonts w:ascii="Times New Roman" w:hAnsi="Times New Roman" w:cs="Times New Roman"/>
          <w:lang w:val="en-US"/>
        </w:rPr>
        <w:t xml:space="preserve">can be seen to have </w:t>
      </w:r>
      <w:r w:rsidRPr="00DD1E36">
        <w:rPr>
          <w:rFonts w:ascii="Times New Roman" w:hAnsi="Times New Roman" w:cs="Times New Roman"/>
          <w:lang w:val="en-US"/>
        </w:rPr>
        <w:t>pervaded the comments on the</w:t>
      </w:r>
      <w:r>
        <w:rPr>
          <w:rFonts w:ascii="Times New Roman" w:hAnsi="Times New Roman" w:cs="Times New Roman"/>
          <w:lang w:val="en-US"/>
        </w:rPr>
        <w:t xml:space="preserve"> Discussion Paper, especially</w:t>
      </w:r>
      <w:r w:rsidRPr="00DD1E36">
        <w:rPr>
          <w:rFonts w:ascii="Times New Roman" w:hAnsi="Times New Roman" w:cs="Times New Roman"/>
          <w:lang w:val="en-US"/>
        </w:rPr>
        <w:t xml:space="preserve"> those emanating from the accountancy profession. The notions of </w:t>
      </w:r>
      <w:r>
        <w:rPr>
          <w:rFonts w:ascii="Times New Roman" w:hAnsi="Times New Roman" w:cs="Times New Roman"/>
          <w:lang w:val="en-US"/>
        </w:rPr>
        <w:t>‘</w:t>
      </w:r>
      <w:r w:rsidRPr="00DD1E36">
        <w:rPr>
          <w:rFonts w:ascii="Times New Roman" w:hAnsi="Times New Roman" w:cs="Times New Roman"/>
          <w:lang w:val="en-US"/>
        </w:rPr>
        <w:t>value</w:t>
      </w:r>
      <w:r>
        <w:rPr>
          <w:rFonts w:ascii="Times New Roman" w:hAnsi="Times New Roman" w:cs="Times New Roman"/>
          <w:lang w:val="en-US"/>
        </w:rPr>
        <w:t xml:space="preserve">’ </w:t>
      </w:r>
      <w:r w:rsidRPr="00DD1E36">
        <w:rPr>
          <w:rFonts w:ascii="Times New Roman" w:hAnsi="Times New Roman" w:cs="Times New Roman"/>
          <w:lang w:val="en-US"/>
        </w:rPr>
        <w:t xml:space="preserve">and ‘value creation’ were </w:t>
      </w:r>
      <w:r>
        <w:rPr>
          <w:rFonts w:ascii="Times New Roman" w:hAnsi="Times New Roman" w:cs="Times New Roman"/>
          <w:lang w:val="en-US"/>
        </w:rPr>
        <w:t>considered to be</w:t>
      </w:r>
      <w:r w:rsidRPr="00DD1E36">
        <w:rPr>
          <w:rFonts w:ascii="Times New Roman" w:hAnsi="Times New Roman" w:cs="Times New Roman"/>
          <w:lang w:val="en-US"/>
        </w:rPr>
        <w:t xml:space="preserve"> confusing and vague. Despite the tentative initial focus on long</w:t>
      </w:r>
      <w:r>
        <w:rPr>
          <w:rFonts w:ascii="Times New Roman" w:hAnsi="Times New Roman" w:cs="Times New Roman"/>
          <w:lang w:val="en-US"/>
        </w:rPr>
        <w:t>-</w:t>
      </w:r>
      <w:r w:rsidRPr="00DD1E36">
        <w:rPr>
          <w:rFonts w:ascii="Times New Roman" w:hAnsi="Times New Roman" w:cs="Times New Roman"/>
          <w:lang w:val="en-US"/>
        </w:rPr>
        <w:t xml:space="preserve">term investors there was perceived ambiguity about </w:t>
      </w:r>
      <w:r>
        <w:rPr>
          <w:rFonts w:ascii="Times New Roman" w:hAnsi="Times New Roman" w:cs="Times New Roman"/>
          <w:lang w:val="en-US"/>
        </w:rPr>
        <w:t xml:space="preserve">for </w:t>
      </w:r>
      <w:r w:rsidRPr="00DD1E36">
        <w:rPr>
          <w:rFonts w:ascii="Times New Roman" w:hAnsi="Times New Roman" w:cs="Times New Roman"/>
          <w:i/>
          <w:lang w:val="en-US"/>
        </w:rPr>
        <w:t>who</w:t>
      </w:r>
      <w:r>
        <w:rPr>
          <w:rFonts w:ascii="Times New Roman" w:hAnsi="Times New Roman" w:cs="Times New Roman"/>
          <w:i/>
          <w:lang w:val="en-US"/>
        </w:rPr>
        <w:t>m</w:t>
      </w:r>
      <w:r w:rsidRPr="00DD1E36">
        <w:rPr>
          <w:rFonts w:ascii="Times New Roman" w:hAnsi="Times New Roman" w:cs="Times New Roman"/>
          <w:i/>
          <w:lang w:val="en-US"/>
        </w:rPr>
        <w:t xml:space="preserve"> </w:t>
      </w:r>
      <w:r>
        <w:rPr>
          <w:rFonts w:ascii="Times New Roman" w:hAnsi="Times New Roman" w:cs="Times New Roman"/>
          <w:lang w:val="en-US"/>
        </w:rPr>
        <w:t>an</w:t>
      </w:r>
      <w:r w:rsidRPr="00DD1E36">
        <w:rPr>
          <w:rFonts w:ascii="Times New Roman" w:hAnsi="Times New Roman" w:cs="Times New Roman"/>
          <w:lang w:val="en-US"/>
        </w:rPr>
        <w:t xml:space="preserve"> organ</w:t>
      </w:r>
      <w:r>
        <w:rPr>
          <w:rFonts w:ascii="Times New Roman" w:hAnsi="Times New Roman" w:cs="Times New Roman"/>
          <w:lang w:val="en-US"/>
        </w:rPr>
        <w:t>iza</w:t>
      </w:r>
      <w:r w:rsidRPr="00DD1E36">
        <w:rPr>
          <w:rFonts w:ascii="Times New Roman" w:hAnsi="Times New Roman" w:cs="Times New Roman"/>
          <w:lang w:val="en-US"/>
        </w:rPr>
        <w:t>ti</w:t>
      </w:r>
      <w:r>
        <w:rPr>
          <w:rFonts w:ascii="Times New Roman" w:hAnsi="Times New Roman" w:cs="Times New Roman"/>
          <w:lang w:val="en-US"/>
        </w:rPr>
        <w:t xml:space="preserve">on created and sustained value </w:t>
      </w:r>
      <w:r w:rsidRPr="00DD1E36">
        <w:rPr>
          <w:rFonts w:ascii="Times New Roman" w:hAnsi="Times New Roman" w:cs="Times New Roman"/>
          <w:lang w:val="en-US"/>
        </w:rPr>
        <w:t xml:space="preserve">(ACCA; Malaysian Institute of Accountants) and the focus on value creation was seen as one-sided as it did not acknowledge that, in </w:t>
      </w:r>
      <w:r w:rsidRPr="00DD1E36">
        <w:rPr>
          <w:rFonts w:ascii="Times New Roman" w:hAnsi="Times New Roman" w:cs="Times New Roman"/>
          <w:lang w:val="en-US"/>
        </w:rPr>
        <w:lastRenderedPageBreak/>
        <w:t xml:space="preserve">addition to creating value, businesses consumed value or incurred costs to create value (Deloitte </w:t>
      </w:r>
      <w:proofErr w:type="spellStart"/>
      <w:r w:rsidRPr="00DD1E36">
        <w:rPr>
          <w:rFonts w:ascii="Times New Roman" w:hAnsi="Times New Roman" w:cs="Times New Roman"/>
          <w:lang w:val="en-US"/>
        </w:rPr>
        <w:t>Touche</w:t>
      </w:r>
      <w:proofErr w:type="spellEnd"/>
      <w:r w:rsidRPr="00DD1E36">
        <w:rPr>
          <w:rFonts w:ascii="Times New Roman" w:hAnsi="Times New Roman" w:cs="Times New Roman"/>
          <w:lang w:val="en-US"/>
        </w:rPr>
        <w:t xml:space="preserve"> Tohmatsu). The concept</w:t>
      </w:r>
      <w:r>
        <w:rPr>
          <w:rFonts w:ascii="Times New Roman" w:hAnsi="Times New Roman" w:cs="Times New Roman"/>
          <w:lang w:val="en-US"/>
        </w:rPr>
        <w:t>s</w:t>
      </w:r>
      <w:r w:rsidRPr="00DD1E36">
        <w:rPr>
          <w:rFonts w:ascii="Times New Roman" w:hAnsi="Times New Roman" w:cs="Times New Roman"/>
          <w:lang w:val="en-US"/>
        </w:rPr>
        <w:t xml:space="preserve"> of ‘capitals’ </w:t>
      </w:r>
      <w:r>
        <w:rPr>
          <w:rFonts w:ascii="Times New Roman" w:hAnsi="Times New Roman" w:cs="Times New Roman"/>
          <w:lang w:val="en-US"/>
        </w:rPr>
        <w:t>were considered</w:t>
      </w:r>
      <w:r w:rsidRPr="00DD1E36">
        <w:rPr>
          <w:rFonts w:ascii="Times New Roman" w:hAnsi="Times New Roman" w:cs="Times New Roman"/>
          <w:lang w:val="en-US"/>
        </w:rPr>
        <w:t xml:space="preserve"> confusi</w:t>
      </w:r>
      <w:r>
        <w:rPr>
          <w:rFonts w:ascii="Times New Roman" w:hAnsi="Times New Roman" w:cs="Times New Roman"/>
          <w:lang w:val="en-US"/>
        </w:rPr>
        <w:t xml:space="preserve">ng as they </w:t>
      </w:r>
      <w:r w:rsidRPr="00DD1E36">
        <w:rPr>
          <w:rFonts w:ascii="Times New Roman" w:hAnsi="Times New Roman" w:cs="Times New Roman"/>
          <w:lang w:val="en-US"/>
        </w:rPr>
        <w:t>were not clearly defined (AASB, Austr</w:t>
      </w:r>
      <w:r>
        <w:rPr>
          <w:rFonts w:ascii="Times New Roman" w:hAnsi="Times New Roman" w:cs="Times New Roman"/>
          <w:lang w:val="en-US"/>
        </w:rPr>
        <w:t xml:space="preserve">alia) and </w:t>
      </w:r>
      <w:r w:rsidRPr="00DD1E36">
        <w:rPr>
          <w:rFonts w:ascii="Times New Roman" w:hAnsi="Times New Roman" w:cs="Times New Roman"/>
          <w:lang w:val="en-US"/>
        </w:rPr>
        <w:t>were difficult to op</w:t>
      </w:r>
      <w:r>
        <w:rPr>
          <w:rFonts w:ascii="Times New Roman" w:hAnsi="Times New Roman" w:cs="Times New Roman"/>
          <w:lang w:val="en-US"/>
        </w:rPr>
        <w:t xml:space="preserve">erationalize (IDW Germany) as well as lacking </w:t>
      </w:r>
      <w:r w:rsidRPr="00DD1E36">
        <w:rPr>
          <w:rFonts w:ascii="Times New Roman" w:hAnsi="Times New Roman" w:cs="Times New Roman"/>
          <w:lang w:val="en-US"/>
        </w:rPr>
        <w:t>a clearly developed rationale (</w:t>
      </w:r>
      <w:r>
        <w:rPr>
          <w:rFonts w:ascii="Times New Roman" w:hAnsi="Times New Roman" w:cs="Times New Roman"/>
          <w:lang w:val="en-US"/>
        </w:rPr>
        <w:t>Federation of European Accountants)</w:t>
      </w:r>
      <w:r w:rsidRPr="00DD1E36">
        <w:rPr>
          <w:rFonts w:ascii="Times New Roman" w:hAnsi="Times New Roman" w:cs="Times New Roman"/>
          <w:lang w:val="en-US"/>
        </w:rPr>
        <w:t>.</w:t>
      </w:r>
      <w:r>
        <w:rPr>
          <w:rFonts w:ascii="Times New Roman" w:hAnsi="Times New Roman" w:cs="Times New Roman"/>
          <w:lang w:val="en-US"/>
        </w:rPr>
        <w:t xml:space="preserve"> Respondents also expressed concern that </w:t>
      </w:r>
      <w:r w:rsidRPr="00DD1E36">
        <w:rPr>
          <w:rFonts w:ascii="Times New Roman" w:hAnsi="Times New Roman" w:cs="Times New Roman"/>
          <w:lang w:val="en-US"/>
        </w:rPr>
        <w:t>the</w:t>
      </w:r>
      <w:r>
        <w:rPr>
          <w:rFonts w:ascii="Times New Roman" w:hAnsi="Times New Roman" w:cs="Times New Roman"/>
          <w:lang w:val="en-US"/>
        </w:rPr>
        <w:t xml:space="preserve"> capitals concepts</w:t>
      </w:r>
      <w:r w:rsidRPr="00DD1E36">
        <w:rPr>
          <w:rFonts w:ascii="Times New Roman" w:hAnsi="Times New Roman" w:cs="Times New Roman"/>
          <w:lang w:val="en-US"/>
        </w:rPr>
        <w:t xml:space="preserve"> could not support a common unit of measurement (KPMG) and performance could not be m</w:t>
      </w:r>
      <w:r>
        <w:rPr>
          <w:rFonts w:ascii="Times New Roman" w:hAnsi="Times New Roman" w:cs="Times New Roman"/>
          <w:lang w:val="en-US"/>
        </w:rPr>
        <w:t>easured consistently across them</w:t>
      </w:r>
      <w:r w:rsidRPr="00DD1E36">
        <w:rPr>
          <w:rFonts w:ascii="Times New Roman" w:hAnsi="Times New Roman" w:cs="Times New Roman"/>
          <w:lang w:val="en-US"/>
        </w:rPr>
        <w:t xml:space="preserve"> without causing confusion for readers (Deloitte </w:t>
      </w:r>
      <w:proofErr w:type="spellStart"/>
      <w:r w:rsidRPr="00DD1E36">
        <w:rPr>
          <w:rFonts w:ascii="Times New Roman" w:hAnsi="Times New Roman" w:cs="Times New Roman"/>
          <w:lang w:val="en-US"/>
        </w:rPr>
        <w:t>Touche</w:t>
      </w:r>
      <w:proofErr w:type="spellEnd"/>
      <w:r w:rsidRPr="00DD1E36">
        <w:rPr>
          <w:rFonts w:ascii="Times New Roman" w:hAnsi="Times New Roman" w:cs="Times New Roman"/>
          <w:lang w:val="en-US"/>
        </w:rPr>
        <w:t xml:space="preserve"> Tohmatsu). Concepts such as stewardship and materiality </w:t>
      </w:r>
      <w:r>
        <w:rPr>
          <w:rFonts w:ascii="Times New Roman" w:hAnsi="Times New Roman" w:cs="Times New Roman"/>
          <w:lang w:val="en-US"/>
        </w:rPr>
        <w:t>were viewed as lacking</w:t>
      </w:r>
      <w:r w:rsidRPr="00DD1E36">
        <w:rPr>
          <w:rFonts w:ascii="Times New Roman" w:hAnsi="Times New Roman" w:cs="Times New Roman"/>
          <w:lang w:val="en-US"/>
        </w:rPr>
        <w:t xml:space="preserve"> clarity. Deloitte </w:t>
      </w:r>
      <w:proofErr w:type="spellStart"/>
      <w:r w:rsidRPr="00DD1E36">
        <w:rPr>
          <w:rFonts w:ascii="Times New Roman" w:hAnsi="Times New Roman" w:cs="Times New Roman"/>
          <w:lang w:val="en-US"/>
        </w:rPr>
        <w:t>Touche</w:t>
      </w:r>
      <w:proofErr w:type="spellEnd"/>
      <w:r w:rsidRPr="00DD1E36">
        <w:rPr>
          <w:rFonts w:ascii="Times New Roman" w:hAnsi="Times New Roman" w:cs="Times New Roman"/>
          <w:lang w:val="en-US"/>
        </w:rPr>
        <w:t xml:space="preserve"> Tohmatsu</w:t>
      </w:r>
      <w:r>
        <w:rPr>
          <w:rFonts w:ascii="Times New Roman" w:hAnsi="Times New Roman" w:cs="Times New Roman"/>
          <w:lang w:val="en-US"/>
        </w:rPr>
        <w:t>, for example,</w:t>
      </w:r>
      <w:r w:rsidRPr="00DD1E36">
        <w:rPr>
          <w:rFonts w:ascii="Times New Roman" w:hAnsi="Times New Roman" w:cs="Times New Roman"/>
          <w:lang w:val="en-US"/>
        </w:rPr>
        <w:t xml:space="preserve"> argued that the concept of stewardship needed to be revisited to acquire a different meaning as it did not currently extend to other resources or capitals not controlled by the business. </w:t>
      </w:r>
    </w:p>
    <w:p w14:paraId="62C671A5" w14:textId="55972997" w:rsidR="002C0030" w:rsidRDefault="00422BEF" w:rsidP="00422BEF">
      <w:pPr>
        <w:pStyle w:val="Default"/>
        <w:spacing w:line="360" w:lineRule="auto"/>
        <w:ind w:firstLine="708"/>
        <w:jc w:val="both"/>
        <w:rPr>
          <w:rFonts w:ascii="Times New Roman" w:hAnsi="Times New Roman" w:cs="Times New Roman"/>
          <w:sz w:val="22"/>
          <w:szCs w:val="22"/>
        </w:rPr>
      </w:pPr>
      <w:r w:rsidRPr="00DD1E36">
        <w:rPr>
          <w:rFonts w:ascii="Times New Roman" w:hAnsi="Times New Roman" w:cs="Times New Roman"/>
          <w:sz w:val="22"/>
          <w:szCs w:val="22"/>
        </w:rPr>
        <w:t xml:space="preserve">A series of ‘background papers’ </w:t>
      </w:r>
      <w:r w:rsidR="006B0C02">
        <w:rPr>
          <w:rFonts w:ascii="Times New Roman" w:hAnsi="Times New Roman" w:cs="Times New Roman"/>
          <w:sz w:val="22"/>
          <w:szCs w:val="22"/>
        </w:rPr>
        <w:t>was</w:t>
      </w:r>
      <w:r w:rsidR="006B0C02" w:rsidRPr="00DD1E36">
        <w:rPr>
          <w:rFonts w:ascii="Times New Roman" w:hAnsi="Times New Roman" w:cs="Times New Roman"/>
          <w:sz w:val="22"/>
          <w:szCs w:val="22"/>
        </w:rPr>
        <w:t xml:space="preserve"> </w:t>
      </w:r>
      <w:r w:rsidR="000A1EAA">
        <w:rPr>
          <w:rFonts w:ascii="Times New Roman" w:hAnsi="Times New Roman" w:cs="Times New Roman"/>
          <w:sz w:val="22"/>
          <w:szCs w:val="22"/>
        </w:rPr>
        <w:t xml:space="preserve">duly </w:t>
      </w:r>
      <w:r w:rsidR="00106295">
        <w:rPr>
          <w:rFonts w:ascii="Times New Roman" w:hAnsi="Times New Roman" w:cs="Times New Roman"/>
          <w:sz w:val="22"/>
          <w:szCs w:val="22"/>
        </w:rPr>
        <w:t>commissioned from ‘Technical Collaboration Groups’</w:t>
      </w:r>
      <w:r w:rsidRPr="00DD1E36">
        <w:rPr>
          <w:rFonts w:ascii="Times New Roman" w:hAnsi="Times New Roman" w:cs="Times New Roman"/>
          <w:sz w:val="22"/>
          <w:szCs w:val="22"/>
        </w:rPr>
        <w:t xml:space="preserve"> to provide clarification with regard to some of the key concepts</w:t>
      </w:r>
      <w:r>
        <w:rPr>
          <w:rFonts w:ascii="Times New Roman" w:hAnsi="Times New Roman" w:cs="Times New Roman"/>
          <w:sz w:val="22"/>
          <w:szCs w:val="22"/>
        </w:rPr>
        <w:t xml:space="preserve"> underpinning the</w:t>
      </w:r>
      <w:r w:rsidR="00A6676E">
        <w:rPr>
          <w:rFonts w:ascii="Times New Roman" w:hAnsi="Times New Roman" w:cs="Times New Roman"/>
          <w:sz w:val="22"/>
          <w:szCs w:val="22"/>
        </w:rPr>
        <w:t xml:space="preserve"> embryonic</w:t>
      </w:r>
      <w:r>
        <w:rPr>
          <w:rFonts w:ascii="Times New Roman" w:hAnsi="Times New Roman" w:cs="Times New Roman"/>
          <w:sz w:val="22"/>
          <w:szCs w:val="22"/>
        </w:rPr>
        <w:t xml:space="preserve"> ‘rule systems’ of </w:t>
      </w:r>
      <w:r w:rsidR="00121D10">
        <w:rPr>
          <w:rFonts w:ascii="Times New Roman" w:hAnsi="Times New Roman" w:cs="Times New Roman"/>
          <w:sz w:val="22"/>
          <w:szCs w:val="22"/>
        </w:rPr>
        <w:t>integrated reporting</w:t>
      </w:r>
      <w:r w:rsidR="00902DD7">
        <w:rPr>
          <w:rFonts w:ascii="Times New Roman" w:hAnsi="Times New Roman" w:cs="Times New Roman"/>
          <w:sz w:val="22"/>
          <w:szCs w:val="22"/>
        </w:rPr>
        <w:t>.  These included papers on:</w:t>
      </w:r>
      <w:r w:rsidRPr="00DD1E36">
        <w:rPr>
          <w:rFonts w:ascii="Times New Roman" w:hAnsi="Times New Roman" w:cs="Times New Roman"/>
          <w:sz w:val="22"/>
          <w:szCs w:val="22"/>
        </w:rPr>
        <w:t xml:space="preserve"> ‘value creation’</w:t>
      </w:r>
      <w:r w:rsidR="00106295">
        <w:rPr>
          <w:rFonts w:ascii="Times New Roman" w:hAnsi="Times New Roman" w:cs="Times New Roman"/>
          <w:sz w:val="22"/>
          <w:szCs w:val="22"/>
        </w:rPr>
        <w:t xml:space="preserve"> (led by Ernst &amp; Young and an 18 person steering committee, with interim findings produced in 2012 and the final report published in July 2013)</w:t>
      </w:r>
      <w:r w:rsidR="00902DD7">
        <w:rPr>
          <w:rFonts w:ascii="Times New Roman" w:hAnsi="Times New Roman" w:cs="Times New Roman"/>
          <w:sz w:val="22"/>
          <w:szCs w:val="22"/>
        </w:rPr>
        <w:t>;</w:t>
      </w:r>
      <w:r w:rsidRPr="00DD1E36">
        <w:rPr>
          <w:rFonts w:ascii="Times New Roman" w:hAnsi="Times New Roman" w:cs="Times New Roman"/>
          <w:sz w:val="22"/>
          <w:szCs w:val="22"/>
        </w:rPr>
        <w:t xml:space="preserve"> ‘materiality’</w:t>
      </w:r>
      <w:r w:rsidR="00106295">
        <w:rPr>
          <w:rFonts w:ascii="Times New Roman" w:hAnsi="Times New Roman" w:cs="Times New Roman"/>
          <w:sz w:val="22"/>
          <w:szCs w:val="22"/>
        </w:rPr>
        <w:t xml:space="preserve"> (led by AICPA</w:t>
      </w:r>
      <w:r w:rsidR="006E481B">
        <w:rPr>
          <w:rFonts w:ascii="Times New Roman" w:hAnsi="Times New Roman" w:cs="Times New Roman"/>
          <w:sz w:val="22"/>
          <w:szCs w:val="22"/>
        </w:rPr>
        <w:t>, report published in March 2013)</w:t>
      </w:r>
      <w:r w:rsidR="00902DD7">
        <w:rPr>
          <w:rFonts w:ascii="Times New Roman" w:hAnsi="Times New Roman" w:cs="Times New Roman"/>
          <w:sz w:val="22"/>
          <w:szCs w:val="22"/>
        </w:rPr>
        <w:t xml:space="preserve">; </w:t>
      </w:r>
      <w:r w:rsidRPr="00DD1E36">
        <w:rPr>
          <w:rFonts w:ascii="Times New Roman" w:hAnsi="Times New Roman" w:cs="Times New Roman"/>
          <w:sz w:val="22"/>
          <w:szCs w:val="22"/>
        </w:rPr>
        <w:t>‘connectivity’</w:t>
      </w:r>
      <w:r w:rsidR="004E3497">
        <w:rPr>
          <w:rFonts w:ascii="Times New Roman" w:hAnsi="Times New Roman" w:cs="Times New Roman"/>
          <w:sz w:val="22"/>
          <w:szCs w:val="22"/>
        </w:rPr>
        <w:t xml:space="preserve"> (led by the World Intellectual Capital Initiative, report published in July 2013)</w:t>
      </w:r>
      <w:r w:rsidR="00902DD7">
        <w:rPr>
          <w:rFonts w:ascii="Times New Roman" w:hAnsi="Times New Roman" w:cs="Times New Roman"/>
          <w:sz w:val="22"/>
          <w:szCs w:val="22"/>
        </w:rPr>
        <w:t>;</w:t>
      </w:r>
      <w:r w:rsidRPr="00DD1E36">
        <w:rPr>
          <w:rFonts w:ascii="Times New Roman" w:hAnsi="Times New Roman" w:cs="Times New Roman"/>
          <w:sz w:val="22"/>
          <w:szCs w:val="22"/>
        </w:rPr>
        <w:t xml:space="preserve"> ‘capitals’</w:t>
      </w:r>
      <w:r w:rsidR="004E3497">
        <w:rPr>
          <w:rFonts w:ascii="Times New Roman" w:hAnsi="Times New Roman" w:cs="Times New Roman"/>
          <w:sz w:val="22"/>
          <w:szCs w:val="22"/>
        </w:rPr>
        <w:t xml:space="preserve"> (led by ACCA</w:t>
      </w:r>
      <w:r w:rsidR="001B6129">
        <w:rPr>
          <w:rFonts w:ascii="Times New Roman" w:hAnsi="Times New Roman" w:cs="Times New Roman"/>
          <w:sz w:val="22"/>
          <w:szCs w:val="22"/>
        </w:rPr>
        <w:t xml:space="preserve"> </w:t>
      </w:r>
      <w:r w:rsidR="004E3497">
        <w:rPr>
          <w:rFonts w:ascii="Times New Roman" w:hAnsi="Times New Roman" w:cs="Times New Roman"/>
          <w:sz w:val="22"/>
          <w:szCs w:val="22"/>
        </w:rPr>
        <w:t>and the Netherlands Institute of Chartered Accountants, report published in March 2013)</w:t>
      </w:r>
      <w:r w:rsidR="00902DD7">
        <w:rPr>
          <w:rFonts w:ascii="Times New Roman" w:hAnsi="Times New Roman" w:cs="Times New Roman"/>
          <w:sz w:val="22"/>
          <w:szCs w:val="22"/>
        </w:rPr>
        <w:t>;</w:t>
      </w:r>
      <w:r w:rsidRPr="00DD1E36">
        <w:rPr>
          <w:rFonts w:ascii="Times New Roman" w:hAnsi="Times New Roman" w:cs="Times New Roman"/>
          <w:sz w:val="22"/>
          <w:szCs w:val="22"/>
        </w:rPr>
        <w:t xml:space="preserve"> and the ‘business model’</w:t>
      </w:r>
      <w:r w:rsidR="004E3497">
        <w:rPr>
          <w:rFonts w:ascii="Times New Roman" w:hAnsi="Times New Roman" w:cs="Times New Roman"/>
          <w:sz w:val="22"/>
          <w:szCs w:val="22"/>
        </w:rPr>
        <w:t xml:space="preserve"> (led by CIMA, IFAC and PwC, report published in March 2013)</w:t>
      </w:r>
      <w:r w:rsidR="009674D0">
        <w:rPr>
          <w:rStyle w:val="FootnoteReference"/>
          <w:rFonts w:ascii="Times New Roman" w:hAnsi="Times New Roman" w:cs="Times New Roman"/>
          <w:sz w:val="22"/>
          <w:szCs w:val="22"/>
        </w:rPr>
        <w:footnoteReference w:id="13"/>
      </w:r>
      <w:r w:rsidRPr="00DD1E36">
        <w:rPr>
          <w:rFonts w:ascii="Times New Roman" w:hAnsi="Times New Roman" w:cs="Times New Roman"/>
          <w:sz w:val="22"/>
          <w:szCs w:val="22"/>
        </w:rPr>
        <w:t xml:space="preserve">. </w:t>
      </w:r>
    </w:p>
    <w:p w14:paraId="35E1434C" w14:textId="77777777" w:rsidR="001A1D06" w:rsidRDefault="001A1D06" w:rsidP="00422BEF">
      <w:pPr>
        <w:pStyle w:val="Default"/>
        <w:spacing w:line="360" w:lineRule="auto"/>
        <w:ind w:firstLine="708"/>
        <w:jc w:val="both"/>
        <w:rPr>
          <w:rFonts w:ascii="Times New Roman" w:hAnsi="Times New Roman" w:cs="Times New Roman"/>
          <w:sz w:val="22"/>
          <w:szCs w:val="22"/>
        </w:rPr>
      </w:pPr>
    </w:p>
    <w:p w14:paraId="43ACFE6C" w14:textId="2A563F9F" w:rsidR="00422BEF" w:rsidRDefault="00422BEF" w:rsidP="00422BEF">
      <w:pPr>
        <w:pStyle w:val="Default"/>
        <w:spacing w:line="360" w:lineRule="auto"/>
        <w:ind w:firstLine="708"/>
        <w:jc w:val="both"/>
        <w:rPr>
          <w:rFonts w:ascii="Times New Roman" w:hAnsi="Times New Roman" w:cs="Times New Roman"/>
          <w:sz w:val="22"/>
          <w:szCs w:val="22"/>
        </w:rPr>
      </w:pPr>
      <w:r w:rsidRPr="00DD1E36">
        <w:rPr>
          <w:rFonts w:ascii="Times New Roman" w:hAnsi="Times New Roman" w:cs="Times New Roman"/>
          <w:sz w:val="22"/>
          <w:szCs w:val="22"/>
        </w:rPr>
        <w:t>The</w:t>
      </w:r>
      <w:r w:rsidR="00F52A1B">
        <w:rPr>
          <w:rFonts w:ascii="Times New Roman" w:hAnsi="Times New Roman" w:cs="Times New Roman"/>
          <w:sz w:val="22"/>
          <w:szCs w:val="22"/>
        </w:rPr>
        <w:t xml:space="preserve"> proposals in these </w:t>
      </w:r>
      <w:r w:rsidRPr="00DD1E36">
        <w:rPr>
          <w:rFonts w:ascii="Times New Roman" w:hAnsi="Times New Roman" w:cs="Times New Roman"/>
          <w:sz w:val="22"/>
          <w:szCs w:val="22"/>
        </w:rPr>
        <w:t xml:space="preserve">papers </w:t>
      </w:r>
      <w:r w:rsidR="00DD56FD">
        <w:rPr>
          <w:rFonts w:ascii="Times New Roman" w:hAnsi="Times New Roman" w:cs="Times New Roman"/>
          <w:sz w:val="22"/>
          <w:szCs w:val="22"/>
        </w:rPr>
        <w:t>represented</w:t>
      </w:r>
      <w:r w:rsidRPr="00DD1E36">
        <w:rPr>
          <w:rFonts w:ascii="Times New Roman" w:hAnsi="Times New Roman" w:cs="Times New Roman"/>
          <w:sz w:val="22"/>
          <w:szCs w:val="22"/>
        </w:rPr>
        <w:t xml:space="preserve"> a definitive shift in the focus of </w:t>
      </w:r>
      <w:r w:rsidR="00121D10">
        <w:rPr>
          <w:rFonts w:ascii="Times New Roman" w:hAnsi="Times New Roman" w:cs="Times New Roman"/>
          <w:sz w:val="22"/>
          <w:szCs w:val="22"/>
        </w:rPr>
        <w:t>integrated reporting</w:t>
      </w:r>
      <w:r w:rsidRPr="00DD1E36">
        <w:rPr>
          <w:rFonts w:ascii="Times New Roman" w:hAnsi="Times New Roman" w:cs="Times New Roman"/>
          <w:sz w:val="22"/>
          <w:szCs w:val="22"/>
        </w:rPr>
        <w:t xml:space="preserve"> towards providers of financial capital. </w:t>
      </w:r>
      <w:r w:rsidR="00F102E6">
        <w:rPr>
          <w:rFonts w:ascii="Times New Roman" w:hAnsi="Times New Roman" w:cs="Times New Roman"/>
          <w:sz w:val="22"/>
          <w:szCs w:val="22"/>
        </w:rPr>
        <w:t xml:space="preserve">It </w:t>
      </w:r>
      <w:r w:rsidR="00F52A1B">
        <w:rPr>
          <w:rFonts w:ascii="Times New Roman" w:hAnsi="Times New Roman" w:cs="Times New Roman"/>
          <w:sz w:val="22"/>
          <w:szCs w:val="22"/>
        </w:rPr>
        <w:t xml:space="preserve">was </w:t>
      </w:r>
      <w:r w:rsidR="00F102E6">
        <w:rPr>
          <w:rFonts w:ascii="Times New Roman" w:hAnsi="Times New Roman" w:cs="Times New Roman"/>
          <w:sz w:val="22"/>
          <w:szCs w:val="22"/>
        </w:rPr>
        <w:t>clear that the IIRC had</w:t>
      </w:r>
      <w:r w:rsidR="00A13470">
        <w:rPr>
          <w:rFonts w:ascii="Times New Roman" w:hAnsi="Times New Roman" w:cs="Times New Roman"/>
          <w:sz w:val="22"/>
          <w:szCs w:val="22"/>
        </w:rPr>
        <w:t xml:space="preserve"> </w:t>
      </w:r>
      <w:r w:rsidR="00F102E6">
        <w:rPr>
          <w:rFonts w:ascii="Times New Roman" w:hAnsi="Times New Roman" w:cs="Times New Roman"/>
          <w:sz w:val="22"/>
          <w:szCs w:val="22"/>
        </w:rPr>
        <w:t xml:space="preserve">decided to create a </w:t>
      </w:r>
      <w:r w:rsidR="00A13470">
        <w:rPr>
          <w:rFonts w:ascii="Times New Roman" w:hAnsi="Times New Roman" w:cs="Times New Roman"/>
          <w:sz w:val="22"/>
          <w:szCs w:val="22"/>
        </w:rPr>
        <w:t xml:space="preserve">more distinct </w:t>
      </w:r>
      <w:r w:rsidR="00F102E6">
        <w:rPr>
          <w:rFonts w:ascii="Times New Roman" w:hAnsi="Times New Roman" w:cs="Times New Roman"/>
          <w:sz w:val="22"/>
          <w:szCs w:val="22"/>
        </w:rPr>
        <w:t xml:space="preserve">boundary </w:t>
      </w:r>
      <w:r w:rsidR="00A13470">
        <w:rPr>
          <w:rFonts w:ascii="Times New Roman" w:hAnsi="Times New Roman" w:cs="Times New Roman"/>
          <w:sz w:val="22"/>
          <w:szCs w:val="22"/>
        </w:rPr>
        <w:t xml:space="preserve">between </w:t>
      </w:r>
      <w:r w:rsidR="00121D10">
        <w:rPr>
          <w:rFonts w:ascii="Times New Roman" w:hAnsi="Times New Roman" w:cs="Times New Roman"/>
          <w:sz w:val="22"/>
          <w:szCs w:val="22"/>
        </w:rPr>
        <w:t>integrated reporting</w:t>
      </w:r>
      <w:r w:rsidR="00A13470">
        <w:rPr>
          <w:rFonts w:ascii="Times New Roman" w:hAnsi="Times New Roman" w:cs="Times New Roman"/>
          <w:sz w:val="22"/>
          <w:szCs w:val="22"/>
        </w:rPr>
        <w:t xml:space="preserve"> and</w:t>
      </w:r>
      <w:r w:rsidR="00F102E6">
        <w:rPr>
          <w:rFonts w:ascii="Times New Roman" w:hAnsi="Times New Roman" w:cs="Times New Roman"/>
          <w:sz w:val="22"/>
          <w:szCs w:val="22"/>
        </w:rPr>
        <w:t xml:space="preserve"> </w:t>
      </w:r>
      <w:r w:rsidR="00F52A1B">
        <w:rPr>
          <w:rFonts w:ascii="Times New Roman" w:hAnsi="Times New Roman" w:cs="Times New Roman"/>
          <w:sz w:val="22"/>
          <w:szCs w:val="22"/>
        </w:rPr>
        <w:t>both</w:t>
      </w:r>
      <w:r w:rsidR="00DE1110">
        <w:rPr>
          <w:rFonts w:ascii="Times New Roman" w:hAnsi="Times New Roman" w:cs="Times New Roman"/>
          <w:sz w:val="22"/>
          <w:szCs w:val="22"/>
        </w:rPr>
        <w:t xml:space="preserve"> </w:t>
      </w:r>
      <w:r w:rsidR="00F102E6">
        <w:rPr>
          <w:rFonts w:ascii="Times New Roman" w:hAnsi="Times New Roman" w:cs="Times New Roman"/>
          <w:sz w:val="22"/>
          <w:szCs w:val="22"/>
        </w:rPr>
        <w:t>stakeholder</w:t>
      </w:r>
      <w:r w:rsidR="00183585">
        <w:rPr>
          <w:rFonts w:ascii="Times New Roman" w:hAnsi="Times New Roman" w:cs="Times New Roman"/>
          <w:sz w:val="22"/>
          <w:szCs w:val="22"/>
        </w:rPr>
        <w:t>-</w:t>
      </w:r>
      <w:r w:rsidR="00F102E6">
        <w:rPr>
          <w:rFonts w:ascii="Times New Roman" w:hAnsi="Times New Roman" w:cs="Times New Roman"/>
          <w:sz w:val="22"/>
          <w:szCs w:val="22"/>
        </w:rPr>
        <w:t>focus</w:t>
      </w:r>
      <w:r w:rsidR="00A13470">
        <w:rPr>
          <w:rFonts w:ascii="Times New Roman" w:hAnsi="Times New Roman" w:cs="Times New Roman"/>
          <w:sz w:val="22"/>
          <w:szCs w:val="22"/>
        </w:rPr>
        <w:t xml:space="preserve">ed </w:t>
      </w:r>
      <w:r w:rsidR="00F102E6">
        <w:rPr>
          <w:rFonts w:ascii="Times New Roman" w:hAnsi="Times New Roman" w:cs="Times New Roman"/>
          <w:sz w:val="22"/>
          <w:szCs w:val="22"/>
        </w:rPr>
        <w:t>sustainability reporting</w:t>
      </w:r>
      <w:r w:rsidR="00A13470">
        <w:rPr>
          <w:rFonts w:ascii="Times New Roman" w:hAnsi="Times New Roman" w:cs="Times New Roman"/>
          <w:sz w:val="22"/>
          <w:szCs w:val="22"/>
        </w:rPr>
        <w:t xml:space="preserve"> </w:t>
      </w:r>
      <w:r w:rsidR="00F52A1B">
        <w:rPr>
          <w:rFonts w:ascii="Times New Roman" w:hAnsi="Times New Roman" w:cs="Times New Roman"/>
          <w:sz w:val="22"/>
          <w:szCs w:val="22"/>
        </w:rPr>
        <w:t>(</w:t>
      </w:r>
      <w:r w:rsidR="00A13470">
        <w:rPr>
          <w:rFonts w:ascii="Times New Roman" w:hAnsi="Times New Roman" w:cs="Times New Roman"/>
          <w:sz w:val="22"/>
          <w:szCs w:val="22"/>
        </w:rPr>
        <w:t xml:space="preserve">advocated by the </w:t>
      </w:r>
      <w:r w:rsidR="000A1EAA">
        <w:rPr>
          <w:rFonts w:ascii="Times New Roman" w:hAnsi="Times New Roman" w:cs="Times New Roman"/>
          <w:sz w:val="22"/>
          <w:szCs w:val="22"/>
        </w:rPr>
        <w:t>GRI</w:t>
      </w:r>
      <w:r w:rsidR="00F52A1B">
        <w:rPr>
          <w:rFonts w:ascii="Times New Roman" w:hAnsi="Times New Roman" w:cs="Times New Roman"/>
          <w:sz w:val="22"/>
          <w:szCs w:val="22"/>
        </w:rPr>
        <w:t>)</w:t>
      </w:r>
      <w:r w:rsidR="000A1EAA">
        <w:rPr>
          <w:rFonts w:ascii="Times New Roman" w:hAnsi="Times New Roman" w:cs="Times New Roman"/>
          <w:sz w:val="22"/>
          <w:szCs w:val="22"/>
        </w:rPr>
        <w:t xml:space="preserve"> </w:t>
      </w:r>
      <w:r w:rsidR="00A13470" w:rsidRPr="008A58D1">
        <w:rPr>
          <w:rFonts w:ascii="Times New Roman" w:hAnsi="Times New Roman" w:cs="Times New Roman"/>
        </w:rPr>
        <w:t>and</w:t>
      </w:r>
      <w:r w:rsidR="00A13470" w:rsidRPr="00DE1110">
        <w:rPr>
          <w:rFonts w:ascii="Times New Roman" w:hAnsi="Times New Roman" w:cs="Times New Roman"/>
          <w:sz w:val="22"/>
          <w:szCs w:val="22"/>
        </w:rPr>
        <w:t xml:space="preserve"> </w:t>
      </w:r>
      <w:r w:rsidR="00F102E6">
        <w:rPr>
          <w:rFonts w:ascii="Times New Roman" w:hAnsi="Times New Roman" w:cs="Times New Roman"/>
          <w:sz w:val="22"/>
          <w:szCs w:val="22"/>
        </w:rPr>
        <w:t>short</w:t>
      </w:r>
      <w:r w:rsidR="00DD56FD">
        <w:rPr>
          <w:rFonts w:ascii="Times New Roman" w:hAnsi="Times New Roman" w:cs="Times New Roman"/>
          <w:sz w:val="22"/>
          <w:szCs w:val="22"/>
        </w:rPr>
        <w:t>-</w:t>
      </w:r>
      <w:r w:rsidR="00F102E6">
        <w:rPr>
          <w:rFonts w:ascii="Times New Roman" w:hAnsi="Times New Roman" w:cs="Times New Roman"/>
          <w:sz w:val="22"/>
          <w:szCs w:val="22"/>
        </w:rPr>
        <w:t>term investor</w:t>
      </w:r>
      <w:r w:rsidR="00DD56FD">
        <w:rPr>
          <w:rFonts w:ascii="Times New Roman" w:hAnsi="Times New Roman" w:cs="Times New Roman"/>
          <w:sz w:val="22"/>
          <w:szCs w:val="22"/>
        </w:rPr>
        <w:t>-</w:t>
      </w:r>
      <w:r w:rsidR="00F102E6">
        <w:rPr>
          <w:rFonts w:ascii="Times New Roman" w:hAnsi="Times New Roman" w:cs="Times New Roman"/>
          <w:sz w:val="22"/>
          <w:szCs w:val="22"/>
        </w:rPr>
        <w:t>focus</w:t>
      </w:r>
      <w:r w:rsidR="00DD56FD">
        <w:rPr>
          <w:rFonts w:ascii="Times New Roman" w:hAnsi="Times New Roman" w:cs="Times New Roman"/>
          <w:sz w:val="22"/>
          <w:szCs w:val="22"/>
        </w:rPr>
        <w:t>ed</w:t>
      </w:r>
      <w:r w:rsidR="00F102E6">
        <w:rPr>
          <w:rFonts w:ascii="Times New Roman" w:hAnsi="Times New Roman" w:cs="Times New Roman"/>
          <w:sz w:val="22"/>
          <w:szCs w:val="22"/>
        </w:rPr>
        <w:t xml:space="preserve"> financial reporting.  </w:t>
      </w:r>
      <w:r w:rsidR="00153C63">
        <w:rPr>
          <w:rFonts w:ascii="Times New Roman" w:hAnsi="Times New Roman" w:cs="Times New Roman"/>
          <w:sz w:val="22"/>
          <w:szCs w:val="22"/>
        </w:rPr>
        <w:t xml:space="preserve">Several papers promoted a distinct focus </w:t>
      </w:r>
      <w:r w:rsidR="00AD132D">
        <w:rPr>
          <w:rFonts w:ascii="Times New Roman" w:hAnsi="Times New Roman" w:cs="Times New Roman"/>
          <w:sz w:val="22"/>
          <w:szCs w:val="22"/>
        </w:rPr>
        <w:t xml:space="preserve">for </w:t>
      </w:r>
      <w:r w:rsidR="00121D10">
        <w:rPr>
          <w:rFonts w:ascii="Times New Roman" w:hAnsi="Times New Roman" w:cs="Times New Roman"/>
          <w:sz w:val="22"/>
          <w:szCs w:val="22"/>
        </w:rPr>
        <w:t>integrated reporting</w:t>
      </w:r>
      <w:r w:rsidR="00AD132D">
        <w:rPr>
          <w:rFonts w:ascii="Times New Roman" w:hAnsi="Times New Roman" w:cs="Times New Roman"/>
          <w:sz w:val="22"/>
          <w:szCs w:val="22"/>
        </w:rPr>
        <w:t xml:space="preserve"> on long term investors. For example, i</w:t>
      </w:r>
      <w:r w:rsidRPr="00DD1E36">
        <w:rPr>
          <w:rFonts w:ascii="Times New Roman" w:hAnsi="Times New Roman" w:cs="Times New Roman"/>
          <w:sz w:val="22"/>
          <w:szCs w:val="22"/>
        </w:rPr>
        <w:t xml:space="preserve">n seeking to clarify the intended users of integrated reports, the materiality background paper stated that </w:t>
      </w:r>
      <w:r w:rsidR="00121D10">
        <w:rPr>
          <w:rFonts w:ascii="Times New Roman" w:hAnsi="Times New Roman" w:cs="Times New Roman"/>
          <w:sz w:val="22"/>
          <w:szCs w:val="22"/>
        </w:rPr>
        <w:t>integrated reporting</w:t>
      </w:r>
      <w:r w:rsidRPr="00DD1E36">
        <w:rPr>
          <w:rFonts w:ascii="Times New Roman" w:hAnsi="Times New Roman" w:cs="Times New Roman"/>
          <w:sz w:val="22"/>
          <w:szCs w:val="22"/>
        </w:rPr>
        <w:t xml:space="preserve"> was principally aimed at providers of financial capital to support their financial capital allocation assessments, with long-term investors likely to be the primary beneficiaries of </w:t>
      </w:r>
      <w:r w:rsidR="00121D10">
        <w:rPr>
          <w:rFonts w:ascii="Times New Roman" w:hAnsi="Times New Roman" w:cs="Times New Roman"/>
          <w:sz w:val="22"/>
          <w:szCs w:val="22"/>
        </w:rPr>
        <w:t>integrated reporting</w:t>
      </w:r>
      <w:r w:rsidRPr="00DD1E36">
        <w:rPr>
          <w:rFonts w:ascii="Times New Roman" w:hAnsi="Times New Roman" w:cs="Times New Roman"/>
          <w:sz w:val="22"/>
          <w:szCs w:val="22"/>
        </w:rPr>
        <w:t xml:space="preserve">. </w:t>
      </w:r>
      <w:r w:rsidR="00153C63">
        <w:rPr>
          <w:rFonts w:ascii="Times New Roman" w:hAnsi="Times New Roman" w:cs="Times New Roman"/>
          <w:sz w:val="22"/>
          <w:szCs w:val="22"/>
        </w:rPr>
        <w:t>T</w:t>
      </w:r>
      <w:r w:rsidRPr="00DD1E36">
        <w:rPr>
          <w:rFonts w:ascii="Times New Roman" w:hAnsi="Times New Roman" w:cs="Times New Roman"/>
          <w:sz w:val="22"/>
          <w:szCs w:val="22"/>
        </w:rPr>
        <w:t>he paper</w:t>
      </w:r>
      <w:r w:rsidR="00153C63">
        <w:rPr>
          <w:rFonts w:ascii="Times New Roman" w:hAnsi="Times New Roman" w:cs="Times New Roman"/>
          <w:sz w:val="22"/>
          <w:szCs w:val="22"/>
        </w:rPr>
        <w:t xml:space="preserve"> also </w:t>
      </w:r>
      <w:r w:rsidR="00343E60">
        <w:rPr>
          <w:rFonts w:ascii="Times New Roman" w:hAnsi="Times New Roman" w:cs="Times New Roman"/>
          <w:sz w:val="22"/>
          <w:szCs w:val="22"/>
        </w:rPr>
        <w:t>asserted (without cit</w:t>
      </w:r>
      <w:r w:rsidR="00B20160">
        <w:rPr>
          <w:rFonts w:ascii="Times New Roman" w:hAnsi="Times New Roman" w:cs="Times New Roman"/>
          <w:sz w:val="22"/>
          <w:szCs w:val="22"/>
        </w:rPr>
        <w:t>ing</w:t>
      </w:r>
      <w:r w:rsidR="00343E60">
        <w:rPr>
          <w:rFonts w:ascii="Times New Roman" w:hAnsi="Times New Roman" w:cs="Times New Roman"/>
          <w:sz w:val="22"/>
          <w:szCs w:val="22"/>
        </w:rPr>
        <w:t xml:space="preserve"> </w:t>
      </w:r>
      <w:r w:rsidR="00B20160">
        <w:rPr>
          <w:rFonts w:ascii="Times New Roman" w:hAnsi="Times New Roman" w:cs="Times New Roman"/>
          <w:sz w:val="22"/>
          <w:szCs w:val="22"/>
        </w:rPr>
        <w:t xml:space="preserve">supporting </w:t>
      </w:r>
      <w:r w:rsidR="00343E60">
        <w:rPr>
          <w:rFonts w:ascii="Times New Roman" w:hAnsi="Times New Roman" w:cs="Times New Roman"/>
          <w:sz w:val="22"/>
          <w:szCs w:val="22"/>
        </w:rPr>
        <w:t>evidence)</w:t>
      </w:r>
      <w:r w:rsidR="00343E60" w:rsidRPr="00DD1E36">
        <w:rPr>
          <w:rFonts w:ascii="Times New Roman" w:hAnsi="Times New Roman" w:cs="Times New Roman"/>
          <w:sz w:val="22"/>
          <w:szCs w:val="22"/>
        </w:rPr>
        <w:t xml:space="preserve"> </w:t>
      </w:r>
      <w:r w:rsidRPr="00DD1E36">
        <w:rPr>
          <w:rFonts w:ascii="Times New Roman" w:hAnsi="Times New Roman" w:cs="Times New Roman"/>
          <w:sz w:val="22"/>
          <w:szCs w:val="22"/>
        </w:rPr>
        <w:t xml:space="preserve">that </w:t>
      </w:r>
      <w:r w:rsidR="001B6129">
        <w:rPr>
          <w:rFonts w:ascii="Times New Roman" w:hAnsi="Times New Roman" w:cs="Times New Roman"/>
          <w:sz w:val="22"/>
          <w:szCs w:val="22"/>
        </w:rPr>
        <w:t>‘</w:t>
      </w:r>
      <w:r w:rsidRPr="00DD1E36">
        <w:rPr>
          <w:rFonts w:ascii="Times New Roman" w:hAnsi="Times New Roman" w:cs="Times New Roman"/>
          <w:sz w:val="22"/>
          <w:szCs w:val="22"/>
        </w:rPr>
        <w:t>the interests of [these] [long</w:t>
      </w:r>
      <w:r w:rsidR="00DD56FD">
        <w:rPr>
          <w:rFonts w:ascii="Times New Roman" w:hAnsi="Times New Roman" w:cs="Times New Roman"/>
          <w:sz w:val="22"/>
          <w:szCs w:val="22"/>
        </w:rPr>
        <w:t>-</w:t>
      </w:r>
      <w:r w:rsidRPr="00DD1E36">
        <w:rPr>
          <w:rFonts w:ascii="Times New Roman" w:hAnsi="Times New Roman" w:cs="Times New Roman"/>
          <w:sz w:val="22"/>
          <w:szCs w:val="22"/>
        </w:rPr>
        <w:t xml:space="preserve">term financial capital] providers </w:t>
      </w:r>
      <w:r w:rsidR="00AD132D">
        <w:rPr>
          <w:rFonts w:ascii="Times New Roman" w:hAnsi="Times New Roman" w:cs="Times New Roman"/>
          <w:sz w:val="22"/>
          <w:szCs w:val="22"/>
        </w:rPr>
        <w:t>[we]</w:t>
      </w:r>
      <w:r w:rsidRPr="00DD1E36">
        <w:rPr>
          <w:rFonts w:ascii="Times New Roman" w:hAnsi="Times New Roman" w:cs="Times New Roman"/>
          <w:sz w:val="22"/>
          <w:szCs w:val="22"/>
        </w:rPr>
        <w:t>re likely to be aligned with the public interest</w:t>
      </w:r>
      <w:r w:rsidR="001B6129">
        <w:rPr>
          <w:rFonts w:ascii="Times New Roman" w:hAnsi="Times New Roman" w:cs="Times New Roman"/>
          <w:sz w:val="22"/>
          <w:szCs w:val="22"/>
        </w:rPr>
        <w:t>’</w:t>
      </w:r>
      <w:r w:rsidR="00343E60">
        <w:rPr>
          <w:rFonts w:ascii="Times New Roman" w:hAnsi="Times New Roman" w:cs="Times New Roman"/>
          <w:sz w:val="22"/>
          <w:szCs w:val="22"/>
        </w:rPr>
        <w:t xml:space="preserve"> (p. 1)</w:t>
      </w:r>
      <w:r w:rsidRPr="00DD1E36">
        <w:rPr>
          <w:rFonts w:ascii="Times New Roman" w:hAnsi="Times New Roman" w:cs="Times New Roman"/>
          <w:sz w:val="22"/>
          <w:szCs w:val="22"/>
        </w:rPr>
        <w:t xml:space="preserve">. </w:t>
      </w:r>
    </w:p>
    <w:p w14:paraId="4C045876" w14:textId="77777777" w:rsidR="002C0030" w:rsidRDefault="002C0030" w:rsidP="00422BEF">
      <w:pPr>
        <w:pStyle w:val="Default"/>
        <w:spacing w:line="360" w:lineRule="auto"/>
        <w:ind w:firstLine="708"/>
        <w:jc w:val="both"/>
        <w:rPr>
          <w:rFonts w:ascii="Times New Roman" w:hAnsi="Times New Roman" w:cs="Times New Roman"/>
          <w:sz w:val="22"/>
          <w:szCs w:val="22"/>
        </w:rPr>
      </w:pPr>
    </w:p>
    <w:p w14:paraId="21AFCD8A" w14:textId="5B028356" w:rsidR="00422BEF" w:rsidRDefault="00F244EF" w:rsidP="00422BEF">
      <w:pPr>
        <w:pStyle w:val="Default"/>
        <w:spacing w:line="360" w:lineRule="auto"/>
        <w:ind w:firstLine="708"/>
        <w:jc w:val="both"/>
        <w:rPr>
          <w:rFonts w:ascii="Times New Roman" w:hAnsi="Times New Roman" w:cs="Times New Roman"/>
          <w:sz w:val="22"/>
          <w:szCs w:val="22"/>
        </w:rPr>
      </w:pPr>
      <w:r>
        <w:rPr>
          <w:rFonts w:ascii="Times New Roman" w:hAnsi="Times New Roman" w:cs="Times New Roman"/>
          <w:sz w:val="22"/>
          <w:szCs w:val="22"/>
        </w:rPr>
        <w:t>Likewise, t</w:t>
      </w:r>
      <w:r w:rsidR="00422BEF" w:rsidRPr="00DD1E36">
        <w:rPr>
          <w:rFonts w:ascii="Times New Roman" w:hAnsi="Times New Roman" w:cs="Times New Roman"/>
          <w:sz w:val="22"/>
          <w:szCs w:val="22"/>
        </w:rPr>
        <w:t xml:space="preserve">he ‘capitals’ paper prioritized a more distinct </w:t>
      </w:r>
      <w:r w:rsidR="00422BEF" w:rsidRPr="00391A1A">
        <w:rPr>
          <w:rFonts w:ascii="Times New Roman" w:hAnsi="Times New Roman" w:cs="Times New Roman"/>
          <w:sz w:val="22"/>
          <w:szCs w:val="22"/>
        </w:rPr>
        <w:t>‘e</w:t>
      </w:r>
      <w:r w:rsidR="00422BEF" w:rsidRPr="00C27063">
        <w:rPr>
          <w:rFonts w:ascii="Times New Roman" w:hAnsi="Times New Roman" w:cs="Times New Roman"/>
          <w:sz w:val="22"/>
          <w:szCs w:val="22"/>
        </w:rPr>
        <w:t>nlightened shareholder’</w:t>
      </w:r>
      <w:r w:rsidR="00422BEF" w:rsidRPr="00DD1E36">
        <w:rPr>
          <w:rFonts w:ascii="Times New Roman" w:hAnsi="Times New Roman" w:cs="Times New Roman"/>
          <w:sz w:val="22"/>
          <w:szCs w:val="22"/>
        </w:rPr>
        <w:t xml:space="preserve"> logic</w:t>
      </w:r>
      <w:r w:rsidR="00B81161">
        <w:rPr>
          <w:rStyle w:val="FootnoteReference"/>
          <w:rFonts w:ascii="Times New Roman" w:hAnsi="Times New Roman" w:cs="Times New Roman"/>
          <w:sz w:val="22"/>
          <w:szCs w:val="22"/>
        </w:rPr>
        <w:footnoteReference w:id="14"/>
      </w:r>
      <w:r w:rsidR="00B81161">
        <w:rPr>
          <w:rFonts w:ascii="Times New Roman" w:hAnsi="Times New Roman" w:cs="Times New Roman"/>
          <w:sz w:val="22"/>
          <w:szCs w:val="22"/>
        </w:rPr>
        <w:t xml:space="preserve"> –focused on medium and long term investment - </w:t>
      </w:r>
      <w:r w:rsidR="00422BEF" w:rsidRPr="00DD1E36">
        <w:rPr>
          <w:rFonts w:ascii="Times New Roman" w:hAnsi="Times New Roman" w:cs="Times New Roman"/>
          <w:sz w:val="22"/>
          <w:szCs w:val="22"/>
        </w:rPr>
        <w:t xml:space="preserve"> which contrasted with the ‘stakeholder inclusive’ </w:t>
      </w:r>
      <w:r w:rsidR="00422BEF" w:rsidRPr="00DD1E36">
        <w:rPr>
          <w:rFonts w:ascii="Times New Roman" w:hAnsi="Times New Roman" w:cs="Times New Roman"/>
          <w:sz w:val="22"/>
          <w:szCs w:val="22"/>
        </w:rPr>
        <w:lastRenderedPageBreak/>
        <w:t xml:space="preserve">logic </w:t>
      </w:r>
      <w:r w:rsidR="002F456A">
        <w:rPr>
          <w:rFonts w:ascii="Times New Roman" w:hAnsi="Times New Roman" w:cs="Times New Roman"/>
          <w:sz w:val="22"/>
          <w:szCs w:val="22"/>
        </w:rPr>
        <w:t xml:space="preserve">both suggestive in the IIRC’s prior emphasis on multiple notions of capital and </w:t>
      </w:r>
      <w:r w:rsidR="00BC36CA">
        <w:rPr>
          <w:rFonts w:ascii="Times New Roman" w:hAnsi="Times New Roman" w:cs="Times New Roman"/>
          <w:sz w:val="22"/>
          <w:szCs w:val="22"/>
        </w:rPr>
        <w:t>underpinning</w:t>
      </w:r>
      <w:r w:rsidR="00422BEF" w:rsidRPr="00DD1E36">
        <w:rPr>
          <w:rFonts w:ascii="Times New Roman" w:hAnsi="Times New Roman" w:cs="Times New Roman"/>
          <w:sz w:val="22"/>
          <w:szCs w:val="22"/>
        </w:rPr>
        <w:t xml:space="preserve"> the </w:t>
      </w:r>
      <w:r w:rsidR="00747BEA">
        <w:rPr>
          <w:rFonts w:ascii="Times New Roman" w:hAnsi="Times New Roman" w:cs="Times New Roman"/>
          <w:sz w:val="22"/>
          <w:szCs w:val="22"/>
        </w:rPr>
        <w:t>GRI’s</w:t>
      </w:r>
      <w:r w:rsidR="002F456A">
        <w:rPr>
          <w:rFonts w:ascii="Times New Roman" w:hAnsi="Times New Roman" w:cs="Times New Roman"/>
          <w:sz w:val="22"/>
          <w:szCs w:val="22"/>
        </w:rPr>
        <w:t xml:space="preserve"> </w:t>
      </w:r>
      <w:r w:rsidR="00422BEF" w:rsidRPr="00DD1E36">
        <w:rPr>
          <w:rFonts w:ascii="Times New Roman" w:hAnsi="Times New Roman" w:cs="Times New Roman"/>
          <w:sz w:val="22"/>
          <w:szCs w:val="22"/>
        </w:rPr>
        <w:t xml:space="preserve">sustainability reporting guidelines. The </w:t>
      </w:r>
      <w:r w:rsidR="002F456A">
        <w:rPr>
          <w:rFonts w:ascii="Times New Roman" w:hAnsi="Times New Roman" w:cs="Times New Roman"/>
          <w:sz w:val="22"/>
          <w:szCs w:val="22"/>
        </w:rPr>
        <w:t xml:space="preserve">‘capitals’ </w:t>
      </w:r>
      <w:r w:rsidR="00422BEF" w:rsidRPr="00DD1E36">
        <w:rPr>
          <w:rFonts w:ascii="Times New Roman" w:hAnsi="Times New Roman" w:cs="Times New Roman"/>
          <w:sz w:val="22"/>
          <w:szCs w:val="22"/>
        </w:rPr>
        <w:t xml:space="preserve">paper </w:t>
      </w:r>
      <w:r w:rsidR="00BB21C4">
        <w:rPr>
          <w:rFonts w:ascii="Times New Roman" w:hAnsi="Times New Roman" w:cs="Times New Roman"/>
          <w:sz w:val="22"/>
          <w:szCs w:val="22"/>
        </w:rPr>
        <w:t xml:space="preserve">clearly </w:t>
      </w:r>
      <w:r w:rsidR="00422BEF" w:rsidRPr="00DD1E36">
        <w:rPr>
          <w:rFonts w:ascii="Times New Roman" w:hAnsi="Times New Roman" w:cs="Times New Roman"/>
          <w:sz w:val="22"/>
          <w:szCs w:val="22"/>
        </w:rPr>
        <w:t xml:space="preserve">distinguished </w:t>
      </w:r>
      <w:r w:rsidR="00121D10">
        <w:rPr>
          <w:rFonts w:ascii="Times New Roman" w:hAnsi="Times New Roman" w:cs="Times New Roman"/>
          <w:sz w:val="22"/>
          <w:szCs w:val="22"/>
        </w:rPr>
        <w:t>integrated reporting</w:t>
      </w:r>
      <w:r w:rsidR="00422BEF" w:rsidRPr="00DD1E36">
        <w:rPr>
          <w:rFonts w:ascii="Times New Roman" w:hAnsi="Times New Roman" w:cs="Times New Roman"/>
          <w:sz w:val="22"/>
          <w:szCs w:val="22"/>
        </w:rPr>
        <w:t xml:space="preserve"> from sustainability reporting on the basis that the latter </w:t>
      </w:r>
      <w:r w:rsidR="001B6129">
        <w:rPr>
          <w:rFonts w:ascii="Times New Roman" w:hAnsi="Times New Roman" w:cs="Times New Roman"/>
          <w:sz w:val="22"/>
          <w:szCs w:val="22"/>
        </w:rPr>
        <w:t>‘</w:t>
      </w:r>
      <w:r w:rsidR="00422BEF" w:rsidRPr="00DD1E36">
        <w:rPr>
          <w:rFonts w:ascii="Times New Roman" w:hAnsi="Times New Roman" w:cs="Times New Roman"/>
          <w:sz w:val="22"/>
          <w:szCs w:val="22"/>
        </w:rPr>
        <w:t>target[</w:t>
      </w:r>
      <w:proofErr w:type="spellStart"/>
      <w:r w:rsidR="00422BEF" w:rsidRPr="00DD1E36">
        <w:rPr>
          <w:rFonts w:ascii="Times New Roman" w:hAnsi="Times New Roman" w:cs="Times New Roman"/>
          <w:sz w:val="22"/>
          <w:szCs w:val="22"/>
        </w:rPr>
        <w:t>ed</w:t>
      </w:r>
      <w:proofErr w:type="spellEnd"/>
      <w:r w:rsidR="00422BEF" w:rsidRPr="00DD1E36">
        <w:rPr>
          <w:rFonts w:ascii="Times New Roman" w:hAnsi="Times New Roman" w:cs="Times New Roman"/>
          <w:sz w:val="22"/>
          <w:szCs w:val="22"/>
        </w:rPr>
        <w:t xml:space="preserve">] a wider stakeholder audience than … </w:t>
      </w:r>
      <w:r w:rsidR="00121D10">
        <w:rPr>
          <w:rFonts w:ascii="Times New Roman" w:hAnsi="Times New Roman" w:cs="Times New Roman"/>
          <w:sz w:val="22"/>
          <w:szCs w:val="22"/>
        </w:rPr>
        <w:t>integrated reporting</w:t>
      </w:r>
      <w:r w:rsidR="00422BEF" w:rsidRPr="00DD1E36">
        <w:rPr>
          <w:rFonts w:ascii="Times New Roman" w:hAnsi="Times New Roman" w:cs="Times New Roman"/>
          <w:sz w:val="22"/>
          <w:szCs w:val="22"/>
        </w:rPr>
        <w:t>, which focus[</w:t>
      </w:r>
      <w:proofErr w:type="spellStart"/>
      <w:r w:rsidR="00422BEF" w:rsidRPr="00DD1E36">
        <w:rPr>
          <w:rFonts w:ascii="Times New Roman" w:hAnsi="Times New Roman" w:cs="Times New Roman"/>
          <w:sz w:val="22"/>
          <w:szCs w:val="22"/>
        </w:rPr>
        <w:t>ed</w:t>
      </w:r>
      <w:proofErr w:type="spellEnd"/>
      <w:r w:rsidR="00422BEF" w:rsidRPr="00DD1E36">
        <w:rPr>
          <w:rFonts w:ascii="Times New Roman" w:hAnsi="Times New Roman" w:cs="Times New Roman"/>
          <w:sz w:val="22"/>
          <w:szCs w:val="22"/>
        </w:rPr>
        <w:t>] primarily on providers of financial capital, particularly those with a long term view</w:t>
      </w:r>
      <w:r w:rsidR="001B6129">
        <w:rPr>
          <w:rFonts w:ascii="Times New Roman" w:hAnsi="Times New Roman" w:cs="Times New Roman"/>
          <w:sz w:val="22"/>
          <w:szCs w:val="22"/>
        </w:rPr>
        <w:t>’</w:t>
      </w:r>
      <w:r w:rsidR="00422BEF" w:rsidRPr="00DD1E36">
        <w:rPr>
          <w:rFonts w:ascii="Times New Roman" w:hAnsi="Times New Roman" w:cs="Times New Roman"/>
          <w:sz w:val="22"/>
          <w:szCs w:val="22"/>
        </w:rPr>
        <w:t xml:space="preserve">. For </w:t>
      </w:r>
      <w:r w:rsidR="00121D10">
        <w:rPr>
          <w:rFonts w:ascii="Times New Roman" w:hAnsi="Times New Roman" w:cs="Times New Roman"/>
          <w:sz w:val="22"/>
          <w:szCs w:val="22"/>
        </w:rPr>
        <w:t>integrated reporting</w:t>
      </w:r>
      <w:r w:rsidR="00422BEF" w:rsidRPr="00DD1E36">
        <w:rPr>
          <w:rFonts w:ascii="Times New Roman" w:hAnsi="Times New Roman" w:cs="Times New Roman"/>
          <w:sz w:val="22"/>
          <w:szCs w:val="22"/>
        </w:rPr>
        <w:t>, an organization’</w:t>
      </w:r>
      <w:r w:rsidR="00422BEF">
        <w:rPr>
          <w:rFonts w:ascii="Times New Roman" w:hAnsi="Times New Roman" w:cs="Times New Roman"/>
          <w:sz w:val="22"/>
          <w:szCs w:val="22"/>
        </w:rPr>
        <w:t xml:space="preserve">s </w:t>
      </w:r>
      <w:r w:rsidR="00422BEF" w:rsidRPr="00DD1E36">
        <w:rPr>
          <w:rFonts w:ascii="Times New Roman" w:hAnsi="Times New Roman" w:cs="Times New Roman"/>
          <w:sz w:val="22"/>
          <w:szCs w:val="22"/>
        </w:rPr>
        <w:t xml:space="preserve">impact on the various capitals was material only if it </w:t>
      </w:r>
      <w:r w:rsidR="001B6129">
        <w:rPr>
          <w:rFonts w:ascii="Times New Roman" w:hAnsi="Times New Roman" w:cs="Times New Roman"/>
          <w:sz w:val="22"/>
          <w:szCs w:val="22"/>
        </w:rPr>
        <w:t>‘</w:t>
      </w:r>
      <w:r w:rsidR="00422BEF" w:rsidRPr="00DD1E36">
        <w:rPr>
          <w:rFonts w:ascii="Times New Roman" w:hAnsi="Times New Roman" w:cs="Times New Roman"/>
          <w:sz w:val="22"/>
          <w:szCs w:val="22"/>
        </w:rPr>
        <w:t>affect[</w:t>
      </w:r>
      <w:proofErr w:type="spellStart"/>
      <w:r w:rsidR="00422BEF" w:rsidRPr="00DD1E36">
        <w:rPr>
          <w:rFonts w:ascii="Times New Roman" w:hAnsi="Times New Roman" w:cs="Times New Roman"/>
          <w:sz w:val="22"/>
          <w:szCs w:val="22"/>
        </w:rPr>
        <w:t>ed</w:t>
      </w:r>
      <w:proofErr w:type="spellEnd"/>
      <w:r w:rsidR="00422BEF" w:rsidRPr="00DD1E36">
        <w:rPr>
          <w:rFonts w:ascii="Times New Roman" w:hAnsi="Times New Roman" w:cs="Times New Roman"/>
          <w:sz w:val="22"/>
          <w:szCs w:val="22"/>
        </w:rPr>
        <w:t xml:space="preserve">] stakeholders’ perceptions of the organization in such a way that it </w:t>
      </w:r>
      <w:proofErr w:type="spellStart"/>
      <w:r w:rsidR="00422BEF" w:rsidRPr="00DD1E36">
        <w:rPr>
          <w:rFonts w:ascii="Times New Roman" w:hAnsi="Times New Roman" w:cs="Times New Roman"/>
          <w:sz w:val="22"/>
          <w:szCs w:val="22"/>
        </w:rPr>
        <w:t>ha</w:t>
      </w:r>
      <w:proofErr w:type="spellEnd"/>
      <w:r w:rsidR="00422BEF" w:rsidRPr="00DD1E36">
        <w:rPr>
          <w:rFonts w:ascii="Times New Roman" w:hAnsi="Times New Roman" w:cs="Times New Roman"/>
          <w:sz w:val="22"/>
          <w:szCs w:val="22"/>
        </w:rPr>
        <w:t>[d] a significant business consequence</w:t>
      </w:r>
      <w:r w:rsidR="001B6129">
        <w:rPr>
          <w:rFonts w:ascii="Times New Roman" w:hAnsi="Times New Roman" w:cs="Times New Roman"/>
          <w:sz w:val="22"/>
          <w:szCs w:val="22"/>
        </w:rPr>
        <w:t>’</w:t>
      </w:r>
      <w:r w:rsidR="00422BEF" w:rsidRPr="00DD1E36">
        <w:rPr>
          <w:rFonts w:ascii="Times New Roman" w:hAnsi="Times New Roman" w:cs="Times New Roman"/>
          <w:sz w:val="22"/>
          <w:szCs w:val="22"/>
        </w:rPr>
        <w:t xml:space="preserve">. </w:t>
      </w:r>
      <w:r w:rsidR="00F102E6">
        <w:rPr>
          <w:rFonts w:ascii="Times New Roman" w:hAnsi="Times New Roman" w:cs="Times New Roman"/>
          <w:sz w:val="22"/>
          <w:szCs w:val="22"/>
        </w:rPr>
        <w:t xml:space="preserve">This was an intriguing development, particularly as the </w:t>
      </w:r>
      <w:r w:rsidR="00F478C4">
        <w:rPr>
          <w:rFonts w:ascii="Times New Roman" w:hAnsi="Times New Roman" w:cs="Times New Roman"/>
          <w:sz w:val="22"/>
          <w:szCs w:val="22"/>
        </w:rPr>
        <w:t>Prince’s Accounting for Sustainability Project</w:t>
      </w:r>
      <w:r w:rsidR="00F102E6">
        <w:rPr>
          <w:rFonts w:ascii="Times New Roman" w:hAnsi="Times New Roman" w:cs="Times New Roman"/>
          <w:sz w:val="22"/>
          <w:szCs w:val="22"/>
        </w:rPr>
        <w:t xml:space="preserve"> from which the IIRC </w:t>
      </w:r>
      <w:r w:rsidR="00AD132D">
        <w:rPr>
          <w:rFonts w:ascii="Times New Roman" w:hAnsi="Times New Roman" w:cs="Times New Roman"/>
          <w:sz w:val="22"/>
          <w:szCs w:val="22"/>
        </w:rPr>
        <w:t xml:space="preserve">had </w:t>
      </w:r>
      <w:r w:rsidR="00F102E6">
        <w:rPr>
          <w:rFonts w:ascii="Times New Roman" w:hAnsi="Times New Roman" w:cs="Times New Roman"/>
          <w:sz w:val="22"/>
          <w:szCs w:val="22"/>
        </w:rPr>
        <w:t xml:space="preserve">emerged </w:t>
      </w:r>
      <w:proofErr w:type="spellStart"/>
      <w:r w:rsidR="00F102E6">
        <w:rPr>
          <w:rFonts w:ascii="Times New Roman" w:hAnsi="Times New Roman" w:cs="Times New Roman"/>
          <w:sz w:val="22"/>
          <w:szCs w:val="22"/>
        </w:rPr>
        <w:t>emphasis</w:t>
      </w:r>
      <w:r w:rsidR="001A1D06">
        <w:rPr>
          <w:rFonts w:ascii="Times New Roman" w:hAnsi="Times New Roman" w:cs="Times New Roman"/>
          <w:sz w:val="22"/>
          <w:szCs w:val="22"/>
        </w:rPr>
        <w:t>ed</w:t>
      </w:r>
      <w:proofErr w:type="spellEnd"/>
      <w:r w:rsidR="00F102E6">
        <w:rPr>
          <w:rFonts w:ascii="Times New Roman" w:hAnsi="Times New Roman" w:cs="Times New Roman"/>
          <w:sz w:val="22"/>
          <w:szCs w:val="22"/>
        </w:rPr>
        <w:t xml:space="preserve"> connecting sustainability reporting and financial reporting in order to embed sustainability into organizations’ operations. </w:t>
      </w:r>
      <w:r w:rsidR="00A13470">
        <w:rPr>
          <w:rFonts w:ascii="Times New Roman" w:hAnsi="Times New Roman" w:cs="Times New Roman"/>
          <w:sz w:val="22"/>
          <w:szCs w:val="22"/>
        </w:rPr>
        <w:t xml:space="preserve">However, it now </w:t>
      </w:r>
      <w:r w:rsidR="00134E7D">
        <w:rPr>
          <w:rFonts w:ascii="Times New Roman" w:hAnsi="Times New Roman" w:cs="Times New Roman"/>
          <w:sz w:val="22"/>
          <w:szCs w:val="22"/>
        </w:rPr>
        <w:t xml:space="preserve">appeared </w:t>
      </w:r>
      <w:r w:rsidR="00A13470">
        <w:rPr>
          <w:rFonts w:ascii="Times New Roman" w:hAnsi="Times New Roman" w:cs="Times New Roman"/>
          <w:sz w:val="22"/>
          <w:szCs w:val="22"/>
        </w:rPr>
        <w:t xml:space="preserve"> </w:t>
      </w:r>
      <w:r w:rsidR="00F102E6">
        <w:rPr>
          <w:rFonts w:ascii="Times New Roman" w:hAnsi="Times New Roman" w:cs="Times New Roman"/>
          <w:sz w:val="22"/>
          <w:szCs w:val="22"/>
        </w:rPr>
        <w:t>that the IIRC wanted to establish a clear</w:t>
      </w:r>
      <w:r w:rsidR="00D87B73">
        <w:rPr>
          <w:rFonts w:ascii="Times New Roman" w:hAnsi="Times New Roman" w:cs="Times New Roman"/>
          <w:sz w:val="22"/>
          <w:szCs w:val="22"/>
        </w:rPr>
        <w:t>er</w:t>
      </w:r>
      <w:r w:rsidR="00F102E6">
        <w:rPr>
          <w:rFonts w:ascii="Times New Roman" w:hAnsi="Times New Roman" w:cs="Times New Roman"/>
          <w:sz w:val="22"/>
          <w:szCs w:val="22"/>
        </w:rPr>
        <w:t xml:space="preserve"> boundary between </w:t>
      </w:r>
      <w:r w:rsidR="00121D10">
        <w:rPr>
          <w:rFonts w:ascii="Times New Roman" w:hAnsi="Times New Roman" w:cs="Times New Roman"/>
          <w:sz w:val="22"/>
          <w:szCs w:val="22"/>
        </w:rPr>
        <w:t>integrated reporting</w:t>
      </w:r>
      <w:r w:rsidR="00F102E6">
        <w:rPr>
          <w:rFonts w:ascii="Times New Roman" w:hAnsi="Times New Roman" w:cs="Times New Roman"/>
          <w:sz w:val="22"/>
          <w:szCs w:val="22"/>
        </w:rPr>
        <w:t xml:space="preserve"> and</w:t>
      </w:r>
      <w:r w:rsidR="00BC36CA">
        <w:rPr>
          <w:rFonts w:ascii="Times New Roman" w:hAnsi="Times New Roman" w:cs="Times New Roman"/>
          <w:sz w:val="22"/>
          <w:szCs w:val="22"/>
        </w:rPr>
        <w:t xml:space="preserve"> </w:t>
      </w:r>
      <w:r w:rsidR="00F102E6">
        <w:rPr>
          <w:rFonts w:ascii="Times New Roman" w:hAnsi="Times New Roman" w:cs="Times New Roman"/>
          <w:sz w:val="22"/>
          <w:szCs w:val="22"/>
        </w:rPr>
        <w:t xml:space="preserve">sustainability reporting </w:t>
      </w:r>
      <w:r w:rsidR="00D87B73">
        <w:rPr>
          <w:rFonts w:ascii="Times New Roman" w:hAnsi="Times New Roman" w:cs="Times New Roman"/>
          <w:sz w:val="22"/>
          <w:szCs w:val="22"/>
        </w:rPr>
        <w:t>(as well as</w:t>
      </w:r>
      <w:r w:rsidR="00F102E6">
        <w:rPr>
          <w:rFonts w:ascii="Times New Roman" w:hAnsi="Times New Roman" w:cs="Times New Roman"/>
          <w:sz w:val="22"/>
          <w:szCs w:val="22"/>
        </w:rPr>
        <w:t xml:space="preserve"> financial reporting</w:t>
      </w:r>
      <w:r w:rsidR="00D87B73">
        <w:rPr>
          <w:rFonts w:ascii="Times New Roman" w:hAnsi="Times New Roman" w:cs="Times New Roman"/>
          <w:sz w:val="22"/>
          <w:szCs w:val="22"/>
        </w:rPr>
        <w:t>)</w:t>
      </w:r>
      <w:r w:rsidR="00F102E6">
        <w:rPr>
          <w:rFonts w:ascii="Times New Roman" w:hAnsi="Times New Roman" w:cs="Times New Roman"/>
          <w:sz w:val="22"/>
          <w:szCs w:val="22"/>
        </w:rPr>
        <w:t xml:space="preserve"> by specifying an alternative target audience for </w:t>
      </w:r>
      <w:r w:rsidR="00121D10">
        <w:rPr>
          <w:rFonts w:ascii="Times New Roman" w:hAnsi="Times New Roman" w:cs="Times New Roman"/>
          <w:sz w:val="22"/>
          <w:szCs w:val="22"/>
        </w:rPr>
        <w:t>integrated reporting</w:t>
      </w:r>
      <w:r w:rsidR="00F102E6">
        <w:rPr>
          <w:rFonts w:ascii="Times New Roman" w:hAnsi="Times New Roman" w:cs="Times New Roman"/>
          <w:sz w:val="22"/>
          <w:szCs w:val="22"/>
        </w:rPr>
        <w:t>.</w:t>
      </w:r>
    </w:p>
    <w:p w14:paraId="67FDA89C" w14:textId="77777777" w:rsidR="001B6129" w:rsidRDefault="001B6129" w:rsidP="00422BEF">
      <w:pPr>
        <w:pStyle w:val="Default"/>
        <w:spacing w:line="360" w:lineRule="auto"/>
        <w:ind w:firstLine="708"/>
        <w:jc w:val="both"/>
        <w:rPr>
          <w:rFonts w:ascii="Times New Roman" w:hAnsi="Times New Roman" w:cs="Times New Roman"/>
          <w:sz w:val="22"/>
          <w:szCs w:val="22"/>
        </w:rPr>
      </w:pPr>
    </w:p>
    <w:p w14:paraId="706CF43B" w14:textId="1B4A2679" w:rsidR="005902C4" w:rsidRPr="00686181" w:rsidRDefault="005902C4" w:rsidP="00686181">
      <w:pPr>
        <w:autoSpaceDE w:val="0"/>
        <w:autoSpaceDN w:val="0"/>
        <w:adjustRightInd w:val="0"/>
        <w:spacing w:after="0" w:line="360" w:lineRule="auto"/>
        <w:ind w:firstLine="708"/>
        <w:jc w:val="both"/>
        <w:rPr>
          <w:rFonts w:ascii="Arial" w:hAnsi="Arial" w:cs="Arial"/>
          <w:lang w:val="en-GB"/>
        </w:rPr>
      </w:pPr>
      <w:r w:rsidRPr="00686181">
        <w:rPr>
          <w:rFonts w:ascii="Times New Roman" w:hAnsi="Times New Roman" w:cs="Times New Roman"/>
          <w:lang w:val="en-GB"/>
        </w:rPr>
        <w:t xml:space="preserve">Suddaby and </w:t>
      </w:r>
      <w:proofErr w:type="spellStart"/>
      <w:r w:rsidRPr="00686181">
        <w:rPr>
          <w:rFonts w:ascii="Times New Roman" w:hAnsi="Times New Roman" w:cs="Times New Roman"/>
          <w:lang w:val="en-GB"/>
        </w:rPr>
        <w:t>Viale</w:t>
      </w:r>
      <w:proofErr w:type="spellEnd"/>
      <w:r w:rsidRPr="00686181">
        <w:rPr>
          <w:rFonts w:ascii="Times New Roman" w:hAnsi="Times New Roman" w:cs="Times New Roman"/>
          <w:lang w:val="en-GB"/>
        </w:rPr>
        <w:t xml:space="preserve"> (2011) </w:t>
      </w:r>
      <w:r w:rsidR="00747BEA">
        <w:rPr>
          <w:rFonts w:ascii="Times New Roman" w:hAnsi="Times New Roman" w:cs="Times New Roman"/>
          <w:lang w:val="en-GB"/>
        </w:rPr>
        <w:t>theoriz</w:t>
      </w:r>
      <w:r w:rsidR="001A1D06">
        <w:rPr>
          <w:rFonts w:ascii="Times New Roman" w:hAnsi="Times New Roman" w:cs="Times New Roman"/>
          <w:lang w:val="en-GB"/>
        </w:rPr>
        <w:t>e</w:t>
      </w:r>
      <w:r w:rsidR="002F456A" w:rsidRPr="00686181">
        <w:rPr>
          <w:rFonts w:ascii="Times New Roman" w:hAnsi="Times New Roman" w:cs="Times New Roman"/>
          <w:lang w:val="en-GB"/>
        </w:rPr>
        <w:t xml:space="preserve"> </w:t>
      </w:r>
      <w:r w:rsidRPr="00686181">
        <w:rPr>
          <w:rFonts w:ascii="Times New Roman" w:hAnsi="Times New Roman" w:cs="Times New Roman"/>
          <w:lang w:val="en-GB"/>
        </w:rPr>
        <w:t xml:space="preserve">that professionals seeking to </w:t>
      </w:r>
      <w:r w:rsidR="00747BEA">
        <w:rPr>
          <w:rFonts w:ascii="Times New Roman" w:hAnsi="Times New Roman" w:cs="Times New Roman"/>
          <w:lang w:val="en-GB"/>
        </w:rPr>
        <w:t xml:space="preserve">dominate </w:t>
      </w:r>
      <w:r w:rsidRPr="00686181">
        <w:rPr>
          <w:rFonts w:ascii="Times New Roman" w:hAnsi="Times New Roman" w:cs="Times New Roman"/>
          <w:lang w:val="en-GB"/>
        </w:rPr>
        <w:t xml:space="preserve">new intellectual spaces </w:t>
      </w:r>
      <w:r w:rsidR="002F456A" w:rsidRPr="00686181">
        <w:rPr>
          <w:rFonts w:ascii="Times New Roman" w:hAnsi="Times New Roman" w:cs="Times New Roman"/>
          <w:lang w:val="en-GB"/>
        </w:rPr>
        <w:t>will tend to advocate, adopt and clarify key terminology in ways that marry well with their own existing</w:t>
      </w:r>
      <w:r w:rsidRPr="00686181">
        <w:rPr>
          <w:rFonts w:ascii="Times New Roman" w:hAnsi="Times New Roman" w:cs="Times New Roman"/>
          <w:lang w:val="en-GB"/>
        </w:rPr>
        <w:t xml:space="preserve"> expertise. However, despite the prevalence of </w:t>
      </w:r>
      <w:r w:rsidR="00294EC3" w:rsidRPr="00686181">
        <w:rPr>
          <w:rFonts w:ascii="Times New Roman" w:hAnsi="Times New Roman" w:cs="Times New Roman"/>
          <w:lang w:val="en-GB"/>
        </w:rPr>
        <w:t xml:space="preserve">the </w:t>
      </w:r>
      <w:r w:rsidRPr="00686181">
        <w:rPr>
          <w:rFonts w:ascii="Times New Roman" w:hAnsi="Times New Roman" w:cs="Times New Roman"/>
          <w:lang w:val="en-GB"/>
        </w:rPr>
        <w:t>accoun</w:t>
      </w:r>
      <w:r w:rsidR="00294EC3" w:rsidRPr="00686181">
        <w:rPr>
          <w:rFonts w:ascii="Times New Roman" w:hAnsi="Times New Roman" w:cs="Times New Roman"/>
          <w:lang w:val="en-GB"/>
        </w:rPr>
        <w:t>ting profession in leading</w:t>
      </w:r>
      <w:r w:rsidRPr="00686181">
        <w:rPr>
          <w:rFonts w:ascii="Times New Roman" w:hAnsi="Times New Roman" w:cs="Times New Roman"/>
          <w:lang w:val="en-GB"/>
        </w:rPr>
        <w:t xml:space="preserve"> </w:t>
      </w:r>
      <w:r w:rsidR="00294EC3" w:rsidRPr="00686181">
        <w:rPr>
          <w:rFonts w:ascii="Times New Roman" w:hAnsi="Times New Roman" w:cs="Times New Roman"/>
          <w:lang w:val="en-GB"/>
        </w:rPr>
        <w:t xml:space="preserve">the attempts to </w:t>
      </w:r>
      <w:r w:rsidRPr="00686181">
        <w:rPr>
          <w:rFonts w:ascii="Times New Roman" w:hAnsi="Times New Roman" w:cs="Times New Roman"/>
          <w:lang w:val="en-GB"/>
        </w:rPr>
        <w:t xml:space="preserve">clarify some of the vague concepts underlying </w:t>
      </w:r>
      <w:r w:rsidR="00121D10" w:rsidRPr="00686181">
        <w:rPr>
          <w:rFonts w:ascii="Times New Roman" w:hAnsi="Times New Roman" w:cs="Times New Roman"/>
          <w:lang w:val="en-GB"/>
        </w:rPr>
        <w:t>integrated reporting</w:t>
      </w:r>
      <w:r w:rsidRPr="00686181">
        <w:rPr>
          <w:rFonts w:ascii="Times New Roman" w:hAnsi="Times New Roman" w:cs="Times New Roman"/>
          <w:lang w:val="en-GB"/>
        </w:rPr>
        <w:t>, we found little evidence that th</w:t>
      </w:r>
      <w:r w:rsidR="00150D74">
        <w:rPr>
          <w:rFonts w:ascii="Times New Roman" w:hAnsi="Times New Roman" w:cs="Times New Roman"/>
          <w:lang w:val="en-GB"/>
        </w:rPr>
        <w:t>e IIRC’s delineations here</w:t>
      </w:r>
      <w:r w:rsidRPr="00686181">
        <w:rPr>
          <w:rFonts w:ascii="Times New Roman" w:hAnsi="Times New Roman" w:cs="Times New Roman"/>
          <w:lang w:val="en-GB"/>
        </w:rPr>
        <w:t xml:space="preserve"> w</w:t>
      </w:r>
      <w:r w:rsidR="00150D74">
        <w:rPr>
          <w:rFonts w:ascii="Times New Roman" w:hAnsi="Times New Roman" w:cs="Times New Roman"/>
          <w:lang w:val="en-GB"/>
        </w:rPr>
        <w:t>ere</w:t>
      </w:r>
      <w:r w:rsidRPr="00686181">
        <w:rPr>
          <w:rFonts w:ascii="Times New Roman" w:hAnsi="Times New Roman" w:cs="Times New Roman"/>
          <w:lang w:val="en-GB"/>
        </w:rPr>
        <w:t xml:space="preserve"> </w:t>
      </w:r>
      <w:r w:rsidR="00DB22BF" w:rsidRPr="00686181">
        <w:rPr>
          <w:rFonts w:ascii="Times New Roman" w:hAnsi="Times New Roman" w:cs="Times New Roman"/>
          <w:lang w:val="en-GB"/>
        </w:rPr>
        <w:t xml:space="preserve">exclusively </w:t>
      </w:r>
      <w:r w:rsidR="00C24012">
        <w:rPr>
          <w:rFonts w:ascii="Times New Roman" w:hAnsi="Times New Roman" w:cs="Times New Roman"/>
          <w:lang w:val="en-GB"/>
        </w:rPr>
        <w:t>aligned</w:t>
      </w:r>
      <w:r w:rsidRPr="00686181">
        <w:rPr>
          <w:rFonts w:ascii="Times New Roman" w:hAnsi="Times New Roman" w:cs="Times New Roman"/>
          <w:lang w:val="en-GB"/>
        </w:rPr>
        <w:t xml:space="preserve"> to </w:t>
      </w:r>
      <w:r w:rsidR="00DB22BF" w:rsidRPr="00686181">
        <w:rPr>
          <w:rFonts w:ascii="Times New Roman" w:hAnsi="Times New Roman" w:cs="Times New Roman"/>
          <w:lang w:val="en-GB"/>
        </w:rPr>
        <w:t>the expertise</w:t>
      </w:r>
      <w:r w:rsidR="00294EC3" w:rsidRPr="00686181">
        <w:rPr>
          <w:rFonts w:ascii="Times New Roman" w:hAnsi="Times New Roman" w:cs="Times New Roman"/>
          <w:lang w:val="en-GB"/>
        </w:rPr>
        <w:t xml:space="preserve"> </w:t>
      </w:r>
      <w:r w:rsidR="00C24012">
        <w:rPr>
          <w:rFonts w:ascii="Times New Roman" w:hAnsi="Times New Roman" w:cs="Times New Roman"/>
          <w:lang w:val="en-GB"/>
        </w:rPr>
        <w:t xml:space="preserve">and preferences </w:t>
      </w:r>
      <w:r w:rsidR="00150D74">
        <w:rPr>
          <w:rFonts w:ascii="Times New Roman" w:hAnsi="Times New Roman" w:cs="Times New Roman"/>
          <w:lang w:val="en-GB"/>
        </w:rPr>
        <w:t xml:space="preserve">of the accounting profession.  </w:t>
      </w:r>
      <w:r w:rsidR="00771868">
        <w:rPr>
          <w:rFonts w:ascii="Times New Roman" w:hAnsi="Times New Roman" w:cs="Times New Roman"/>
          <w:lang w:val="en-GB"/>
        </w:rPr>
        <w:t xml:space="preserve">Indeed, in responding to the draft </w:t>
      </w:r>
      <w:r w:rsidR="00D14ED0">
        <w:rPr>
          <w:rFonts w:ascii="Times New Roman" w:hAnsi="Times New Roman" w:cs="Times New Roman"/>
          <w:lang w:val="en-GB"/>
        </w:rPr>
        <w:t xml:space="preserve">Integrated Reporting </w:t>
      </w:r>
      <w:r w:rsidR="00771868">
        <w:rPr>
          <w:rFonts w:ascii="Times New Roman" w:hAnsi="Times New Roman" w:cs="Times New Roman"/>
          <w:lang w:val="en-GB"/>
        </w:rPr>
        <w:t xml:space="preserve">framework launched in April 2013, </w:t>
      </w:r>
      <w:r w:rsidRPr="00686181">
        <w:rPr>
          <w:rFonts w:ascii="Times New Roman" w:hAnsi="Times New Roman" w:cs="Times New Roman"/>
          <w:lang w:val="en-GB"/>
        </w:rPr>
        <w:t xml:space="preserve">different </w:t>
      </w:r>
      <w:r w:rsidR="00294EC3" w:rsidRPr="00686181">
        <w:rPr>
          <w:rFonts w:ascii="Times New Roman" w:hAnsi="Times New Roman" w:cs="Times New Roman"/>
          <w:lang w:val="en-GB"/>
        </w:rPr>
        <w:t xml:space="preserve">members of </w:t>
      </w:r>
      <w:r w:rsidRPr="00686181">
        <w:rPr>
          <w:rFonts w:ascii="Times New Roman" w:hAnsi="Times New Roman" w:cs="Times New Roman"/>
          <w:lang w:val="en-GB"/>
        </w:rPr>
        <w:t xml:space="preserve">the accounting profession continued to raise concerns regarding </w:t>
      </w:r>
      <w:r w:rsidR="00294EC3" w:rsidRPr="00686181">
        <w:rPr>
          <w:rFonts w:ascii="Times New Roman" w:hAnsi="Times New Roman" w:cs="Times New Roman"/>
          <w:lang w:val="en-GB"/>
        </w:rPr>
        <w:t xml:space="preserve">the </w:t>
      </w:r>
      <w:r w:rsidRPr="00686181">
        <w:rPr>
          <w:rFonts w:ascii="Times New Roman" w:hAnsi="Times New Roman" w:cs="Times New Roman"/>
          <w:lang w:val="en-GB"/>
        </w:rPr>
        <w:t xml:space="preserve">clarity </w:t>
      </w:r>
      <w:r w:rsidR="00294EC3" w:rsidRPr="00686181">
        <w:rPr>
          <w:rFonts w:ascii="Times New Roman" w:hAnsi="Times New Roman" w:cs="Times New Roman"/>
          <w:lang w:val="en-GB"/>
        </w:rPr>
        <w:t>of concepts</w:t>
      </w:r>
      <w:r w:rsidR="00947105" w:rsidRPr="00686181">
        <w:rPr>
          <w:rFonts w:ascii="Times New Roman" w:hAnsi="Times New Roman" w:cs="Times New Roman"/>
          <w:lang w:val="en-GB"/>
        </w:rPr>
        <w:t>,</w:t>
      </w:r>
      <w:r w:rsidR="00294EC3" w:rsidRPr="00686181">
        <w:rPr>
          <w:rFonts w:ascii="Times New Roman" w:hAnsi="Times New Roman" w:cs="Times New Roman"/>
          <w:lang w:val="en-GB"/>
        </w:rPr>
        <w:t xml:space="preserve"> </w:t>
      </w:r>
      <w:r w:rsidR="00F53B8F" w:rsidRPr="00686181">
        <w:rPr>
          <w:rFonts w:ascii="Times New Roman" w:hAnsi="Times New Roman" w:cs="Times New Roman"/>
          <w:lang w:val="en-GB"/>
        </w:rPr>
        <w:t>with</w:t>
      </w:r>
      <w:r w:rsidR="00333E1A" w:rsidRPr="00686181">
        <w:rPr>
          <w:rFonts w:ascii="Times New Roman" w:hAnsi="Times New Roman" w:cs="Times New Roman"/>
          <w:lang w:val="en-GB"/>
        </w:rPr>
        <w:t xml:space="preserve"> their response</w:t>
      </w:r>
      <w:r w:rsidR="007A5F9F" w:rsidRPr="00686181">
        <w:rPr>
          <w:rFonts w:ascii="Times New Roman" w:hAnsi="Times New Roman" w:cs="Times New Roman"/>
          <w:lang w:val="en-GB"/>
        </w:rPr>
        <w:t>s also</w:t>
      </w:r>
      <w:r w:rsidR="00333E1A" w:rsidRPr="00686181">
        <w:rPr>
          <w:rFonts w:ascii="Times New Roman" w:hAnsi="Times New Roman" w:cs="Times New Roman"/>
          <w:lang w:val="en-GB"/>
        </w:rPr>
        <w:t xml:space="preserve"> </w:t>
      </w:r>
      <w:r w:rsidR="00294EC3" w:rsidRPr="00686181">
        <w:rPr>
          <w:rFonts w:ascii="Times New Roman" w:hAnsi="Times New Roman" w:cs="Times New Roman"/>
          <w:lang w:val="en-GB"/>
        </w:rPr>
        <w:t>address</w:t>
      </w:r>
      <w:r w:rsidR="00F53B8F" w:rsidRPr="00686181">
        <w:rPr>
          <w:rFonts w:ascii="Times New Roman" w:hAnsi="Times New Roman" w:cs="Times New Roman"/>
          <w:lang w:val="en-GB"/>
        </w:rPr>
        <w:t xml:space="preserve">ing </w:t>
      </w:r>
      <w:r w:rsidRPr="00686181">
        <w:rPr>
          <w:rFonts w:ascii="Times New Roman" w:hAnsi="Times New Roman" w:cs="Times New Roman"/>
          <w:lang w:val="en-GB"/>
        </w:rPr>
        <w:t xml:space="preserve">different </w:t>
      </w:r>
      <w:r w:rsidR="00F53B8F" w:rsidRPr="00686181">
        <w:rPr>
          <w:rFonts w:ascii="Times New Roman" w:hAnsi="Times New Roman" w:cs="Times New Roman"/>
          <w:lang w:val="en-GB"/>
        </w:rPr>
        <w:t xml:space="preserve">concerns over </w:t>
      </w:r>
      <w:r w:rsidR="003302A6" w:rsidRPr="00686181">
        <w:rPr>
          <w:rFonts w:ascii="Times New Roman" w:hAnsi="Times New Roman" w:cs="Times New Roman"/>
          <w:lang w:val="en-GB"/>
        </w:rPr>
        <w:t xml:space="preserve">concepts. </w:t>
      </w:r>
      <w:proofErr w:type="spellStart"/>
      <w:r w:rsidR="00D14ED0">
        <w:rPr>
          <w:rFonts w:ascii="Times New Roman" w:hAnsi="Times New Roman" w:cs="Times New Roman"/>
          <w:lang w:val="en-GB"/>
        </w:rPr>
        <w:t>EY</w:t>
      </w:r>
      <w:r w:rsidR="00653751" w:rsidRPr="00686181">
        <w:rPr>
          <w:rFonts w:ascii="Times New Roman" w:hAnsi="Times New Roman" w:cs="Times New Roman"/>
          <w:lang w:val="en-GB"/>
        </w:rPr>
        <w:t>noted</w:t>
      </w:r>
      <w:proofErr w:type="spellEnd"/>
      <w:r w:rsidR="00653751" w:rsidRPr="00686181">
        <w:rPr>
          <w:rFonts w:ascii="Times New Roman" w:hAnsi="Times New Roman" w:cs="Times New Roman"/>
          <w:lang w:val="en-GB"/>
        </w:rPr>
        <w:t xml:space="preserve"> that </w:t>
      </w:r>
      <w:r w:rsidR="00653751" w:rsidRPr="00E43F41">
        <w:rPr>
          <w:rFonts w:ascii="Times New Roman" w:hAnsi="Times New Roman" w:cs="Times New Roman"/>
          <w:lang w:val="en-GB"/>
        </w:rPr>
        <w:t>“</w:t>
      </w:r>
      <w:r w:rsidR="00653751" w:rsidRPr="00686181">
        <w:rPr>
          <w:rFonts w:ascii="Times New Roman" w:hAnsi="Times New Roman" w:cs="Times New Roman"/>
          <w:lang w:val="en-GB"/>
        </w:rPr>
        <w:t>[t]here appears to be some confusion in the Framework between the concept of capital and that of an</w:t>
      </w:r>
      <w:r w:rsidR="00E43F41" w:rsidRPr="00686181">
        <w:rPr>
          <w:rFonts w:ascii="Times New Roman" w:hAnsi="Times New Roman" w:cs="Times New Roman"/>
          <w:lang w:val="en-GB"/>
        </w:rPr>
        <w:t xml:space="preserve"> </w:t>
      </w:r>
      <w:r w:rsidR="00653751" w:rsidRPr="00686181">
        <w:rPr>
          <w:rFonts w:ascii="Times New Roman" w:hAnsi="Times New Roman" w:cs="Times New Roman"/>
          <w:lang w:val="en-GB"/>
        </w:rPr>
        <w:t>i</w:t>
      </w:r>
      <w:r w:rsidR="001F3731" w:rsidRPr="005A09AF">
        <w:rPr>
          <w:rFonts w:ascii="Times New Roman" w:hAnsi="Times New Roman" w:cs="Times New Roman"/>
          <w:lang w:val="en-GB"/>
        </w:rPr>
        <w:t xml:space="preserve">ntangible asset /resource” and </w:t>
      </w:r>
      <w:r w:rsidR="00653751" w:rsidRPr="00686181">
        <w:rPr>
          <w:rFonts w:ascii="Times New Roman" w:hAnsi="Times New Roman" w:cs="Times New Roman"/>
          <w:lang w:val="en-GB"/>
        </w:rPr>
        <w:t>suggested “that the IIRC clarifies the diff</w:t>
      </w:r>
      <w:r w:rsidR="00E43F41" w:rsidRPr="00686181">
        <w:rPr>
          <w:rFonts w:ascii="Times New Roman" w:hAnsi="Times New Roman" w:cs="Times New Roman"/>
          <w:lang w:val="en-GB"/>
        </w:rPr>
        <w:t xml:space="preserve">erence between the concepts, in </w:t>
      </w:r>
      <w:r w:rsidR="00653751" w:rsidRPr="00686181">
        <w:rPr>
          <w:rFonts w:ascii="Times New Roman" w:hAnsi="Times New Roman" w:cs="Times New Roman"/>
          <w:lang w:val="en-GB"/>
        </w:rPr>
        <w:t xml:space="preserve">order to avoid unintentional “double counting” of capitals”. </w:t>
      </w:r>
      <w:r w:rsidR="00BB05EA" w:rsidRPr="00686181">
        <w:rPr>
          <w:rFonts w:ascii="Times New Roman" w:hAnsi="Times New Roman" w:cs="Times New Roman"/>
          <w:lang w:val="en-GB"/>
        </w:rPr>
        <w:t>A</w:t>
      </w:r>
      <w:r w:rsidR="00E43F41" w:rsidRPr="00686181">
        <w:rPr>
          <w:rFonts w:ascii="Times New Roman" w:hAnsi="Times New Roman" w:cs="Times New Roman"/>
          <w:lang w:val="en-GB"/>
        </w:rPr>
        <w:t>CCA sought greater clarity</w:t>
      </w:r>
      <w:r w:rsidR="00BB05EA" w:rsidRPr="00686181">
        <w:rPr>
          <w:rFonts w:ascii="Times New Roman" w:hAnsi="Times New Roman" w:cs="Times New Roman"/>
          <w:lang w:val="en-GB"/>
        </w:rPr>
        <w:t xml:space="preserve"> on </w:t>
      </w:r>
      <w:r w:rsidR="006E0102">
        <w:rPr>
          <w:rFonts w:ascii="Times New Roman" w:hAnsi="Times New Roman" w:cs="Times New Roman"/>
          <w:lang w:val="en-GB"/>
        </w:rPr>
        <w:t xml:space="preserve">the </w:t>
      </w:r>
      <w:r w:rsidR="00BB05EA" w:rsidRPr="00686181">
        <w:rPr>
          <w:rFonts w:ascii="Times New Roman" w:hAnsi="Times New Roman" w:cs="Times New Roman"/>
          <w:lang w:val="en-GB"/>
        </w:rPr>
        <w:t>trade-</w:t>
      </w:r>
      <w:r w:rsidR="00E43F41" w:rsidRPr="00686181">
        <w:rPr>
          <w:rFonts w:ascii="Times New Roman" w:hAnsi="Times New Roman" w:cs="Times New Roman"/>
          <w:lang w:val="en-GB"/>
        </w:rPr>
        <w:t>offs between capitals and their</w:t>
      </w:r>
      <w:r w:rsidR="00BB05EA" w:rsidRPr="00686181">
        <w:rPr>
          <w:rFonts w:ascii="Times New Roman" w:hAnsi="Times New Roman" w:cs="Times New Roman"/>
          <w:lang w:val="en-GB"/>
        </w:rPr>
        <w:t xml:space="preserve"> measurement</w:t>
      </w:r>
      <w:r w:rsidR="00E43F41" w:rsidRPr="00686181">
        <w:rPr>
          <w:rFonts w:ascii="Times New Roman" w:hAnsi="Times New Roman" w:cs="Times New Roman"/>
          <w:lang w:val="en-GB"/>
        </w:rPr>
        <w:t xml:space="preserve">, </w:t>
      </w:r>
      <w:r w:rsidR="00BB05EA" w:rsidRPr="00686181">
        <w:rPr>
          <w:rFonts w:ascii="Times New Roman" w:hAnsi="Times New Roman" w:cs="Times New Roman"/>
          <w:lang w:val="en-GB"/>
        </w:rPr>
        <w:t xml:space="preserve">while the AICPA argued that </w:t>
      </w:r>
      <w:r w:rsidR="00E43F41" w:rsidRPr="00686181">
        <w:rPr>
          <w:rFonts w:ascii="Times New Roman" w:hAnsi="Times New Roman" w:cs="Times New Roman"/>
          <w:lang w:val="en-GB"/>
        </w:rPr>
        <w:t>“</w:t>
      </w:r>
      <w:r w:rsidR="00BB05EA" w:rsidRPr="00686181">
        <w:rPr>
          <w:rFonts w:ascii="Times New Roman" w:hAnsi="Times New Roman" w:cs="Times New Roman"/>
          <w:lang w:val="en-GB"/>
        </w:rPr>
        <w:t>the classification for Intellectual Capital, Human Capital and Social and Relationship Capital covered in the Consultation Draft is not consistent with current practice and therefore may cause confusion</w:t>
      </w:r>
      <w:r w:rsidR="00E43F41" w:rsidRPr="00686181">
        <w:rPr>
          <w:rFonts w:ascii="Times New Roman" w:hAnsi="Times New Roman" w:cs="Times New Roman"/>
          <w:lang w:val="en-GB"/>
        </w:rPr>
        <w:t>”</w:t>
      </w:r>
      <w:r w:rsidR="00BB05EA" w:rsidRPr="00686181">
        <w:rPr>
          <w:rFonts w:ascii="Times New Roman" w:hAnsi="Times New Roman" w:cs="Times New Roman"/>
          <w:lang w:val="en-GB"/>
        </w:rPr>
        <w:t xml:space="preserve">. </w:t>
      </w:r>
      <w:r w:rsidRPr="00686181">
        <w:rPr>
          <w:rFonts w:ascii="Times New Roman" w:hAnsi="Times New Roman" w:cs="Times New Roman"/>
          <w:lang w:val="en-GB"/>
        </w:rPr>
        <w:t>Moreove</w:t>
      </w:r>
      <w:r w:rsidR="00294EC3" w:rsidRPr="00686181">
        <w:rPr>
          <w:rFonts w:ascii="Times New Roman" w:hAnsi="Times New Roman" w:cs="Times New Roman"/>
          <w:lang w:val="en-GB"/>
        </w:rPr>
        <w:t>r, the more e</w:t>
      </w:r>
      <w:r w:rsidR="00A932FF" w:rsidRPr="00686181">
        <w:rPr>
          <w:rFonts w:ascii="Times New Roman" w:hAnsi="Times New Roman" w:cs="Times New Roman"/>
          <w:lang w:val="en-GB"/>
        </w:rPr>
        <w:t>xplicit adoption of an</w:t>
      </w:r>
      <w:r w:rsidR="00A650DC" w:rsidRPr="00686181">
        <w:rPr>
          <w:rFonts w:ascii="Times New Roman" w:hAnsi="Times New Roman" w:cs="Times New Roman"/>
          <w:lang w:val="en-GB"/>
        </w:rPr>
        <w:t xml:space="preserve"> </w:t>
      </w:r>
      <w:r w:rsidR="00294EC3" w:rsidRPr="00686181">
        <w:rPr>
          <w:rFonts w:ascii="Times New Roman" w:hAnsi="Times New Roman" w:cs="Times New Roman"/>
          <w:lang w:val="en-GB"/>
        </w:rPr>
        <w:t>enlightened shareholder</w:t>
      </w:r>
      <w:r w:rsidRPr="00686181">
        <w:rPr>
          <w:rFonts w:ascii="Times New Roman" w:hAnsi="Times New Roman" w:cs="Times New Roman"/>
          <w:lang w:val="en-GB"/>
        </w:rPr>
        <w:t xml:space="preserve"> </w:t>
      </w:r>
      <w:r w:rsidR="00294EC3" w:rsidRPr="00686181">
        <w:rPr>
          <w:rFonts w:ascii="Times New Roman" w:hAnsi="Times New Roman" w:cs="Times New Roman"/>
          <w:lang w:val="en-GB"/>
        </w:rPr>
        <w:t>l</w:t>
      </w:r>
      <w:r w:rsidRPr="00686181">
        <w:rPr>
          <w:rFonts w:ascii="Times New Roman" w:hAnsi="Times New Roman" w:cs="Times New Roman"/>
          <w:lang w:val="en-GB"/>
        </w:rPr>
        <w:t>o</w:t>
      </w:r>
      <w:r w:rsidR="00294EC3" w:rsidRPr="00686181">
        <w:rPr>
          <w:rFonts w:ascii="Times New Roman" w:hAnsi="Times New Roman" w:cs="Times New Roman"/>
          <w:lang w:val="en-GB"/>
        </w:rPr>
        <w:t>gic was n</w:t>
      </w:r>
      <w:r w:rsidRPr="00686181">
        <w:rPr>
          <w:rFonts w:ascii="Times New Roman" w:hAnsi="Times New Roman" w:cs="Times New Roman"/>
          <w:lang w:val="en-GB"/>
        </w:rPr>
        <w:t>ot automatically accepted by all prof</w:t>
      </w:r>
      <w:r w:rsidR="00294EC3" w:rsidRPr="00686181">
        <w:rPr>
          <w:rFonts w:ascii="Times New Roman" w:hAnsi="Times New Roman" w:cs="Times New Roman"/>
          <w:lang w:val="en-GB"/>
        </w:rPr>
        <w:t>ession</w:t>
      </w:r>
      <w:r w:rsidRPr="00686181">
        <w:rPr>
          <w:rFonts w:ascii="Times New Roman" w:hAnsi="Times New Roman" w:cs="Times New Roman"/>
          <w:lang w:val="en-GB"/>
        </w:rPr>
        <w:t>al grouping</w:t>
      </w:r>
      <w:r w:rsidR="00294EC3" w:rsidRPr="00686181">
        <w:rPr>
          <w:rFonts w:ascii="Times New Roman" w:hAnsi="Times New Roman" w:cs="Times New Roman"/>
          <w:lang w:val="en-GB"/>
        </w:rPr>
        <w:t>s</w:t>
      </w:r>
      <w:r w:rsidR="00802A28" w:rsidRPr="00686181">
        <w:rPr>
          <w:rFonts w:ascii="Times New Roman" w:hAnsi="Times New Roman" w:cs="Times New Roman"/>
          <w:lang w:val="en-GB"/>
        </w:rPr>
        <w:t>,</w:t>
      </w:r>
      <w:r w:rsidR="00294EC3" w:rsidRPr="00686181">
        <w:rPr>
          <w:rFonts w:ascii="Times New Roman" w:hAnsi="Times New Roman" w:cs="Times New Roman"/>
          <w:lang w:val="en-GB"/>
        </w:rPr>
        <w:t xml:space="preserve"> </w:t>
      </w:r>
      <w:r w:rsidR="00947105" w:rsidRPr="00686181">
        <w:rPr>
          <w:rFonts w:ascii="Times New Roman" w:hAnsi="Times New Roman" w:cs="Times New Roman"/>
          <w:lang w:val="en-GB"/>
        </w:rPr>
        <w:t xml:space="preserve">with </w:t>
      </w:r>
      <w:r w:rsidR="007A5F9F" w:rsidRPr="00686181">
        <w:rPr>
          <w:rFonts w:ascii="Times New Roman" w:hAnsi="Times New Roman" w:cs="Times New Roman"/>
          <w:lang w:val="en-GB"/>
        </w:rPr>
        <w:t>some</w:t>
      </w:r>
      <w:r w:rsidR="00E43F41" w:rsidRPr="00E43F41">
        <w:rPr>
          <w:rFonts w:ascii="Times New Roman" w:hAnsi="Times New Roman" w:cs="Times New Roman"/>
          <w:lang w:val="en-GB"/>
        </w:rPr>
        <w:t xml:space="preserve"> </w:t>
      </w:r>
      <w:r w:rsidR="00294EC3" w:rsidRPr="00686181">
        <w:rPr>
          <w:rFonts w:ascii="Times New Roman" w:hAnsi="Times New Roman" w:cs="Times New Roman"/>
          <w:lang w:val="en-GB"/>
        </w:rPr>
        <w:t xml:space="preserve">members </w:t>
      </w:r>
      <w:r w:rsidRPr="00686181">
        <w:rPr>
          <w:rFonts w:ascii="Times New Roman" w:hAnsi="Times New Roman" w:cs="Times New Roman"/>
          <w:lang w:val="en-GB"/>
        </w:rPr>
        <w:t xml:space="preserve">of </w:t>
      </w:r>
      <w:r w:rsidR="00294EC3" w:rsidRPr="00686181">
        <w:rPr>
          <w:rFonts w:ascii="Times New Roman" w:hAnsi="Times New Roman" w:cs="Times New Roman"/>
          <w:lang w:val="en-GB"/>
        </w:rPr>
        <w:t>t</w:t>
      </w:r>
      <w:r w:rsidRPr="00686181">
        <w:rPr>
          <w:rFonts w:ascii="Times New Roman" w:hAnsi="Times New Roman" w:cs="Times New Roman"/>
          <w:lang w:val="en-GB"/>
        </w:rPr>
        <w:t xml:space="preserve">he accounting </w:t>
      </w:r>
      <w:r w:rsidR="00294EC3" w:rsidRPr="00686181">
        <w:rPr>
          <w:rFonts w:ascii="Times New Roman" w:hAnsi="Times New Roman" w:cs="Times New Roman"/>
          <w:lang w:val="en-GB"/>
        </w:rPr>
        <w:t>pr</w:t>
      </w:r>
      <w:r w:rsidRPr="00686181">
        <w:rPr>
          <w:rFonts w:ascii="Times New Roman" w:hAnsi="Times New Roman" w:cs="Times New Roman"/>
          <w:lang w:val="en-GB"/>
        </w:rPr>
        <w:t xml:space="preserve">ofession </w:t>
      </w:r>
      <w:r w:rsidR="00947105" w:rsidRPr="00686181">
        <w:rPr>
          <w:rFonts w:ascii="Times New Roman" w:hAnsi="Times New Roman" w:cs="Times New Roman"/>
          <w:lang w:val="en-GB"/>
        </w:rPr>
        <w:t xml:space="preserve">continuing to </w:t>
      </w:r>
      <w:r w:rsidRPr="00686181">
        <w:rPr>
          <w:rFonts w:ascii="Times New Roman" w:hAnsi="Times New Roman" w:cs="Times New Roman"/>
          <w:lang w:val="en-GB"/>
        </w:rPr>
        <w:t>express concern</w:t>
      </w:r>
      <w:r w:rsidR="00294EC3" w:rsidRPr="00686181">
        <w:rPr>
          <w:rFonts w:ascii="Times New Roman" w:hAnsi="Times New Roman" w:cs="Times New Roman"/>
          <w:lang w:val="en-GB"/>
        </w:rPr>
        <w:t xml:space="preserve"> over the more </w:t>
      </w:r>
      <w:r w:rsidRPr="00686181">
        <w:rPr>
          <w:rFonts w:ascii="Times New Roman" w:hAnsi="Times New Roman" w:cs="Times New Roman"/>
          <w:lang w:val="en-GB"/>
        </w:rPr>
        <w:t xml:space="preserve">definitive </w:t>
      </w:r>
      <w:r w:rsidR="002F4C44" w:rsidRPr="00686181">
        <w:rPr>
          <w:rFonts w:ascii="Times New Roman" w:hAnsi="Times New Roman" w:cs="Times New Roman"/>
          <w:lang w:val="en-GB"/>
        </w:rPr>
        <w:t xml:space="preserve">(but narrower) </w:t>
      </w:r>
      <w:r w:rsidR="00374EC9" w:rsidRPr="00686181">
        <w:rPr>
          <w:rFonts w:ascii="Times New Roman" w:hAnsi="Times New Roman" w:cs="Times New Roman"/>
          <w:lang w:val="en-GB"/>
        </w:rPr>
        <w:t>focus on</w:t>
      </w:r>
      <w:r w:rsidR="00294EC3" w:rsidRPr="00686181">
        <w:rPr>
          <w:rFonts w:ascii="Times New Roman" w:hAnsi="Times New Roman" w:cs="Times New Roman"/>
          <w:lang w:val="en-GB"/>
        </w:rPr>
        <w:t xml:space="preserve"> providers of financial ca</w:t>
      </w:r>
      <w:r w:rsidR="003302A6" w:rsidRPr="00686181">
        <w:rPr>
          <w:rFonts w:ascii="Times New Roman" w:hAnsi="Times New Roman" w:cs="Times New Roman"/>
          <w:lang w:val="en-GB"/>
        </w:rPr>
        <w:t xml:space="preserve">pital. </w:t>
      </w:r>
      <w:r w:rsidR="006E0102" w:rsidRPr="006E0102">
        <w:rPr>
          <w:rFonts w:ascii="Times New Roman" w:hAnsi="Times New Roman" w:cs="Times New Roman"/>
          <w:lang w:val="en-US"/>
        </w:rPr>
        <w:t xml:space="preserve">For </w:t>
      </w:r>
      <w:r w:rsidR="00D25B4C">
        <w:rPr>
          <w:rFonts w:ascii="Times New Roman" w:hAnsi="Times New Roman" w:cs="Times New Roman"/>
          <w:lang w:val="en-US"/>
        </w:rPr>
        <w:t>inst</w:t>
      </w:r>
      <w:r w:rsidR="006E0102">
        <w:rPr>
          <w:rFonts w:ascii="Times New Roman" w:hAnsi="Times New Roman" w:cs="Times New Roman"/>
          <w:lang w:val="en-US"/>
        </w:rPr>
        <w:t>ance</w:t>
      </w:r>
      <w:r w:rsidR="0017399D" w:rsidRPr="00686181">
        <w:rPr>
          <w:rFonts w:ascii="Times New Roman" w:hAnsi="Times New Roman" w:cs="Times New Roman"/>
          <w:lang w:val="en-US"/>
        </w:rPr>
        <w:t>, while acknowledging that providers of financial capital provided an a</w:t>
      </w:r>
      <w:proofErr w:type="spellStart"/>
      <w:r w:rsidR="0017399D" w:rsidRPr="00686181">
        <w:rPr>
          <w:rFonts w:ascii="Times New Roman" w:hAnsi="Times New Roman" w:cs="Times New Roman"/>
          <w:lang w:val="en-GB"/>
        </w:rPr>
        <w:t>ppropriate</w:t>
      </w:r>
      <w:proofErr w:type="spellEnd"/>
      <w:r w:rsidR="0017399D" w:rsidRPr="00686181">
        <w:rPr>
          <w:rFonts w:ascii="Times New Roman" w:hAnsi="Times New Roman" w:cs="Times New Roman"/>
          <w:lang w:val="en-GB"/>
        </w:rPr>
        <w:t xml:space="preserve"> starting point for integrated reporting</w:t>
      </w:r>
      <w:r w:rsidR="0017399D" w:rsidRPr="00686181">
        <w:rPr>
          <w:rFonts w:ascii="Times New Roman" w:hAnsi="Times New Roman" w:cs="Times New Roman"/>
          <w:lang w:val="en-US"/>
        </w:rPr>
        <w:t xml:space="preserve"> in the short term </w:t>
      </w:r>
      <w:r w:rsidR="00D14ED0">
        <w:rPr>
          <w:rFonts w:ascii="Times New Roman" w:hAnsi="Times New Roman" w:cs="Times New Roman"/>
          <w:lang w:val="en-US"/>
        </w:rPr>
        <w:t xml:space="preserve">EY </w:t>
      </w:r>
      <w:r w:rsidR="0017399D" w:rsidRPr="00686181">
        <w:rPr>
          <w:rFonts w:ascii="Times New Roman" w:hAnsi="Times New Roman" w:cs="Times New Roman"/>
          <w:lang w:val="en-US"/>
        </w:rPr>
        <w:t>questioned “whether this focus may be too narrow, and whether an integrated report should ultimately be aimed at a broader range of stakeholders (insofar as they are relevant from a value creation perspective)”. They also suggested</w:t>
      </w:r>
      <w:r w:rsidR="009D0788" w:rsidRPr="00686181">
        <w:rPr>
          <w:rFonts w:ascii="Times New Roman" w:hAnsi="Times New Roman" w:cs="Times New Roman"/>
          <w:lang w:val="en-GB"/>
        </w:rPr>
        <w:t xml:space="preserve">, along with the Federation of European Accountants, </w:t>
      </w:r>
      <w:r w:rsidR="0017399D" w:rsidRPr="00686181">
        <w:rPr>
          <w:rFonts w:ascii="Times New Roman" w:hAnsi="Times New Roman" w:cs="Times New Roman"/>
          <w:lang w:val="en-US"/>
        </w:rPr>
        <w:t xml:space="preserve">that “further research would be appropriate to </w:t>
      </w:r>
      <w:r w:rsidR="0017399D" w:rsidRPr="00686181">
        <w:rPr>
          <w:rFonts w:ascii="Times New Roman" w:hAnsi="Times New Roman" w:cs="Times New Roman"/>
          <w:lang w:val="en-US"/>
        </w:rPr>
        <w:lastRenderedPageBreak/>
        <w:t>determine whether the information needs of providers of financial capital are aligned with those of other stakeholders”</w:t>
      </w:r>
      <w:r w:rsidR="0017399D" w:rsidRPr="00686181">
        <w:rPr>
          <w:rStyle w:val="FootnoteReference"/>
          <w:rFonts w:ascii="Times New Roman" w:hAnsi="Times New Roman" w:cs="Times New Roman"/>
          <w:lang w:val="en-US"/>
        </w:rPr>
        <w:footnoteReference w:id="15"/>
      </w:r>
      <w:r w:rsidR="0017399D" w:rsidRPr="00686181">
        <w:rPr>
          <w:rFonts w:ascii="Times New Roman" w:hAnsi="Times New Roman" w:cs="Times New Roman"/>
          <w:lang w:val="en-US"/>
        </w:rPr>
        <w:t xml:space="preserve">. </w:t>
      </w:r>
    </w:p>
    <w:p w14:paraId="782517A3" w14:textId="77777777" w:rsidR="00BC36CA" w:rsidRPr="00E43F41" w:rsidRDefault="00BC36CA" w:rsidP="00E43F41">
      <w:pPr>
        <w:pStyle w:val="Default"/>
        <w:spacing w:line="360" w:lineRule="auto"/>
        <w:ind w:firstLine="708"/>
        <w:jc w:val="both"/>
        <w:rPr>
          <w:rFonts w:ascii="Times New Roman" w:hAnsi="Times New Roman" w:cs="Times New Roman"/>
          <w:sz w:val="22"/>
          <w:szCs w:val="22"/>
        </w:rPr>
      </w:pPr>
    </w:p>
    <w:p w14:paraId="4208D2AF" w14:textId="77777777" w:rsidR="00BC36CA" w:rsidRDefault="00BC36CA" w:rsidP="00EB0212">
      <w:pPr>
        <w:pStyle w:val="Default"/>
        <w:spacing w:line="360" w:lineRule="auto"/>
        <w:ind w:firstLine="708"/>
        <w:jc w:val="both"/>
        <w:rPr>
          <w:rFonts w:ascii="Times New Roman" w:hAnsi="Times New Roman" w:cs="Times New Roman"/>
          <w:sz w:val="22"/>
          <w:szCs w:val="22"/>
        </w:rPr>
      </w:pPr>
    </w:p>
    <w:p w14:paraId="7126D3F6" w14:textId="730F1BBA" w:rsidR="00422BEF" w:rsidRDefault="005E7227" w:rsidP="00422BEF">
      <w:pPr>
        <w:rPr>
          <w:rFonts w:ascii="Times New Roman" w:hAnsi="Times New Roman" w:cs="Times New Roman"/>
          <w:b/>
          <w:i/>
          <w:lang w:val="en-US"/>
        </w:rPr>
      </w:pPr>
      <w:r>
        <w:rPr>
          <w:rFonts w:ascii="Times New Roman" w:hAnsi="Times New Roman" w:cs="Times New Roman"/>
          <w:b/>
          <w:i/>
          <w:lang w:val="en-US"/>
        </w:rPr>
        <w:t>4.4</w:t>
      </w:r>
      <w:r w:rsidR="001B6129" w:rsidRPr="005E7227">
        <w:rPr>
          <w:rFonts w:ascii="Times New Roman" w:hAnsi="Times New Roman" w:cs="Times New Roman"/>
          <w:b/>
          <w:i/>
          <w:lang w:val="en-US"/>
        </w:rPr>
        <w:tab/>
      </w:r>
      <w:r w:rsidR="00422BEF" w:rsidRPr="005E7227">
        <w:rPr>
          <w:rFonts w:ascii="Times New Roman" w:hAnsi="Times New Roman" w:cs="Times New Roman"/>
          <w:b/>
          <w:i/>
          <w:lang w:val="en-US"/>
        </w:rPr>
        <w:t>Concret</w:t>
      </w:r>
      <w:r w:rsidR="00575700" w:rsidRPr="005E7227">
        <w:rPr>
          <w:rFonts w:ascii="Times New Roman" w:hAnsi="Times New Roman" w:cs="Times New Roman"/>
          <w:b/>
          <w:i/>
          <w:lang w:val="en-US"/>
        </w:rPr>
        <w:t>izin</w:t>
      </w:r>
      <w:r w:rsidR="00422BEF" w:rsidRPr="005E7227">
        <w:rPr>
          <w:rFonts w:ascii="Times New Roman" w:hAnsi="Times New Roman" w:cs="Times New Roman"/>
          <w:b/>
          <w:i/>
          <w:lang w:val="en-US"/>
        </w:rPr>
        <w:t>g alliances - Mobili</w:t>
      </w:r>
      <w:r w:rsidR="00E8208C" w:rsidRPr="005E7227">
        <w:rPr>
          <w:rFonts w:ascii="Times New Roman" w:hAnsi="Times New Roman" w:cs="Times New Roman"/>
          <w:b/>
          <w:i/>
          <w:lang w:val="en-US"/>
        </w:rPr>
        <w:t>z</w:t>
      </w:r>
      <w:r w:rsidR="00422BEF" w:rsidRPr="005E7227">
        <w:rPr>
          <w:rFonts w:ascii="Times New Roman" w:hAnsi="Times New Roman" w:cs="Times New Roman"/>
          <w:b/>
          <w:i/>
          <w:lang w:val="en-US"/>
        </w:rPr>
        <w:t xml:space="preserve">ing collective action and seeking consensus </w:t>
      </w:r>
    </w:p>
    <w:p w14:paraId="27653B85" w14:textId="6B989EB0" w:rsidR="005D2BB0" w:rsidRDefault="0087639F" w:rsidP="00422BEF">
      <w:pPr>
        <w:shd w:val="clear" w:color="auto" w:fill="FFFFFF"/>
        <w:spacing w:before="100" w:beforeAutospacing="1" w:after="75" w:line="360" w:lineRule="auto"/>
        <w:ind w:firstLine="708"/>
        <w:jc w:val="both"/>
        <w:rPr>
          <w:rFonts w:ascii="Times New Roman" w:hAnsi="Times New Roman" w:cs="Times New Roman"/>
          <w:lang w:val="en-US"/>
        </w:rPr>
      </w:pPr>
      <w:r>
        <w:rPr>
          <w:rFonts w:ascii="Times New Roman" w:hAnsi="Times New Roman" w:cs="Times New Roman"/>
          <w:lang w:val="en-US"/>
        </w:rPr>
        <w:t>Throughout</w:t>
      </w:r>
      <w:r w:rsidR="00422BEF" w:rsidRPr="00DD1E36">
        <w:rPr>
          <w:rFonts w:ascii="Times New Roman" w:hAnsi="Times New Roman" w:cs="Times New Roman"/>
          <w:lang w:val="en-US"/>
        </w:rPr>
        <w:t xml:space="preserve"> the process of developing </w:t>
      </w:r>
      <w:r>
        <w:rPr>
          <w:rFonts w:ascii="Times New Roman" w:hAnsi="Times New Roman" w:cs="Times New Roman"/>
          <w:lang w:val="en-US"/>
        </w:rPr>
        <w:t>its</w:t>
      </w:r>
      <w:r w:rsidRPr="00DD1E36">
        <w:rPr>
          <w:rFonts w:ascii="Times New Roman" w:hAnsi="Times New Roman" w:cs="Times New Roman"/>
          <w:lang w:val="en-US"/>
        </w:rPr>
        <w:t xml:space="preserve"> </w:t>
      </w:r>
      <w:r w:rsidR="00121D10">
        <w:rPr>
          <w:rFonts w:ascii="Times New Roman" w:hAnsi="Times New Roman" w:cs="Times New Roman"/>
          <w:lang w:val="en-US"/>
        </w:rPr>
        <w:t>integrated reporting</w:t>
      </w:r>
      <w:r w:rsidR="00422BEF" w:rsidRPr="00DD1E36">
        <w:rPr>
          <w:rFonts w:ascii="Times New Roman" w:hAnsi="Times New Roman" w:cs="Times New Roman"/>
          <w:lang w:val="en-US"/>
        </w:rPr>
        <w:t xml:space="preserve"> framework the IIRC persistently presented itself as a comprehensive coalition of representatives from civil society and the corporate, accounting, securities, regulatory, NGO and standard</w:t>
      </w:r>
      <w:r w:rsidR="001F0337">
        <w:rPr>
          <w:rFonts w:ascii="Times New Roman" w:hAnsi="Times New Roman" w:cs="Times New Roman"/>
          <w:lang w:val="en-US"/>
        </w:rPr>
        <w:t>-</w:t>
      </w:r>
      <w:r w:rsidR="00422BEF" w:rsidRPr="00DD1E36">
        <w:rPr>
          <w:rFonts w:ascii="Times New Roman" w:hAnsi="Times New Roman" w:cs="Times New Roman"/>
          <w:lang w:val="en-US"/>
        </w:rPr>
        <w:t>setting sectors. Its primary engagement efforts evolved, however, to focus mainly on the business and investment communities who possessed significant economic</w:t>
      </w:r>
      <w:r>
        <w:rPr>
          <w:rFonts w:ascii="Times New Roman" w:hAnsi="Times New Roman" w:cs="Times New Roman"/>
          <w:lang w:val="en-US"/>
        </w:rPr>
        <w:t xml:space="preserve"> and political</w:t>
      </w:r>
      <w:r w:rsidR="00422BEF" w:rsidRPr="00DD1E36">
        <w:rPr>
          <w:rFonts w:ascii="Times New Roman" w:hAnsi="Times New Roman" w:cs="Times New Roman"/>
          <w:lang w:val="en-US"/>
        </w:rPr>
        <w:t xml:space="preserve"> capital. </w:t>
      </w:r>
    </w:p>
    <w:p w14:paraId="799E85FD" w14:textId="6BD11340" w:rsidR="00422BEF" w:rsidRPr="00DD1E36" w:rsidRDefault="001B6129" w:rsidP="00422BEF">
      <w:pPr>
        <w:shd w:val="clear" w:color="auto" w:fill="FFFFFF"/>
        <w:spacing w:before="100" w:beforeAutospacing="1" w:after="75" w:line="360" w:lineRule="auto"/>
        <w:ind w:firstLine="708"/>
        <w:jc w:val="both"/>
        <w:rPr>
          <w:rFonts w:ascii="Times New Roman" w:hAnsi="Times New Roman" w:cs="Times New Roman"/>
          <w:lang w:val="en-US"/>
        </w:rPr>
      </w:pPr>
      <w:r>
        <w:rPr>
          <w:rFonts w:ascii="Times New Roman" w:hAnsi="Times New Roman" w:cs="Times New Roman"/>
          <w:lang w:val="en-US"/>
        </w:rPr>
        <w:t xml:space="preserve">These </w:t>
      </w:r>
      <w:r w:rsidR="00422BEF" w:rsidRPr="00DD1E36">
        <w:rPr>
          <w:rFonts w:ascii="Times New Roman" w:hAnsi="Times New Roman" w:cs="Times New Roman"/>
          <w:lang w:val="en-US"/>
        </w:rPr>
        <w:t xml:space="preserve">efforts accelerated subsequent to the </w:t>
      </w:r>
      <w:r w:rsidR="0085016B">
        <w:rPr>
          <w:rFonts w:ascii="Times New Roman" w:hAnsi="Times New Roman" w:cs="Times New Roman"/>
          <w:lang w:val="en-US"/>
        </w:rPr>
        <w:t xml:space="preserve">September 2011 </w:t>
      </w:r>
      <w:r w:rsidR="00422BEF" w:rsidRPr="00DD1E36">
        <w:rPr>
          <w:rFonts w:ascii="Times New Roman" w:hAnsi="Times New Roman" w:cs="Times New Roman"/>
          <w:lang w:val="en-US"/>
        </w:rPr>
        <w:t>publication of the Discussion Paper with the appoin</w:t>
      </w:r>
      <w:r w:rsidR="00422BEF">
        <w:rPr>
          <w:rFonts w:ascii="Times New Roman" w:hAnsi="Times New Roman" w:cs="Times New Roman"/>
          <w:lang w:val="en-US"/>
        </w:rPr>
        <w:t xml:space="preserve">tment of Paul </w:t>
      </w:r>
      <w:proofErr w:type="spellStart"/>
      <w:r w:rsidR="00422BEF">
        <w:rPr>
          <w:rFonts w:ascii="Times New Roman" w:hAnsi="Times New Roman" w:cs="Times New Roman"/>
          <w:lang w:val="en-US"/>
        </w:rPr>
        <w:t>Druckman</w:t>
      </w:r>
      <w:proofErr w:type="spellEnd"/>
      <w:r w:rsidR="00422BEF">
        <w:rPr>
          <w:rFonts w:ascii="Times New Roman" w:hAnsi="Times New Roman" w:cs="Times New Roman"/>
          <w:lang w:val="en-US"/>
        </w:rPr>
        <w:t xml:space="preserve"> as CEO and Mervyn King as Chair</w:t>
      </w:r>
      <w:r w:rsidR="0085016B">
        <w:rPr>
          <w:rFonts w:ascii="Times New Roman" w:hAnsi="Times New Roman" w:cs="Times New Roman"/>
          <w:lang w:val="en-US"/>
        </w:rPr>
        <w:t xml:space="preserve"> of the IIRC</w:t>
      </w:r>
      <w:r w:rsidR="00422BEF" w:rsidRPr="00DD1E36">
        <w:rPr>
          <w:rFonts w:ascii="Times New Roman" w:hAnsi="Times New Roman" w:cs="Times New Roman"/>
          <w:lang w:val="en-US"/>
        </w:rPr>
        <w:t>. A</w:t>
      </w:r>
      <w:r w:rsidR="00422BEF">
        <w:rPr>
          <w:rFonts w:ascii="Times New Roman" w:hAnsi="Times New Roman" w:cs="Times New Roman"/>
          <w:lang w:val="en-US"/>
        </w:rPr>
        <w:t>t</w:t>
      </w:r>
      <w:r w:rsidR="00422BEF" w:rsidRPr="00DD1E36">
        <w:rPr>
          <w:rFonts w:ascii="Times New Roman" w:hAnsi="Times New Roman" w:cs="Times New Roman"/>
          <w:lang w:val="en-US"/>
        </w:rPr>
        <w:t xml:space="preserve"> this time, the IIRC also formalized its organ</w:t>
      </w:r>
      <w:r w:rsidR="00E8208C">
        <w:rPr>
          <w:rFonts w:ascii="Times New Roman" w:hAnsi="Times New Roman" w:cs="Times New Roman"/>
          <w:lang w:val="en-US"/>
        </w:rPr>
        <w:t>iza</w:t>
      </w:r>
      <w:r w:rsidR="00422BEF" w:rsidRPr="00DD1E36">
        <w:rPr>
          <w:rFonts w:ascii="Times New Roman" w:hAnsi="Times New Roman" w:cs="Times New Roman"/>
          <w:lang w:val="en-US"/>
        </w:rPr>
        <w:t xml:space="preserve">tional structure and established a seven person board which, apart from </w:t>
      </w:r>
      <w:proofErr w:type="spellStart"/>
      <w:r w:rsidR="00422BEF" w:rsidRPr="00DD1E36">
        <w:rPr>
          <w:rFonts w:ascii="Times New Roman" w:hAnsi="Times New Roman" w:cs="Times New Roman"/>
          <w:lang w:val="en-US"/>
        </w:rPr>
        <w:t>Druckman</w:t>
      </w:r>
      <w:proofErr w:type="spellEnd"/>
      <w:r w:rsidR="00422BEF" w:rsidRPr="00DD1E36">
        <w:rPr>
          <w:rFonts w:ascii="Times New Roman" w:hAnsi="Times New Roman" w:cs="Times New Roman"/>
          <w:lang w:val="en-US"/>
        </w:rPr>
        <w:t xml:space="preserve"> and King, included influential members of the accounting profession</w:t>
      </w:r>
      <w:r w:rsidR="003A031B">
        <w:rPr>
          <w:rFonts w:ascii="Times New Roman" w:hAnsi="Times New Roman" w:cs="Times New Roman"/>
          <w:lang w:val="en-US"/>
        </w:rPr>
        <w:t xml:space="preserve"> and sustainability reporting community</w:t>
      </w:r>
      <w:r w:rsidR="00422BEF" w:rsidRPr="00DD1E36">
        <w:rPr>
          <w:rFonts w:ascii="Times New Roman" w:hAnsi="Times New Roman" w:cs="Times New Roman"/>
          <w:lang w:val="en-US"/>
        </w:rPr>
        <w:t xml:space="preserve"> </w:t>
      </w:r>
      <w:r w:rsidR="0085016B">
        <w:rPr>
          <w:rFonts w:ascii="Times New Roman" w:hAnsi="Times New Roman" w:cs="Times New Roman"/>
          <w:lang w:val="en-US"/>
        </w:rPr>
        <w:t xml:space="preserve">such as </w:t>
      </w:r>
      <w:r w:rsidR="00422BEF" w:rsidRPr="00DD1E36">
        <w:rPr>
          <w:rFonts w:ascii="Times New Roman" w:hAnsi="Times New Roman" w:cs="Times New Roman"/>
          <w:lang w:val="en-US"/>
        </w:rPr>
        <w:t xml:space="preserve">Ian Ball </w:t>
      </w:r>
      <w:r w:rsidR="0085016B">
        <w:rPr>
          <w:rFonts w:ascii="Times New Roman" w:hAnsi="Times New Roman" w:cs="Times New Roman"/>
          <w:lang w:val="en-US"/>
        </w:rPr>
        <w:t>(</w:t>
      </w:r>
      <w:r w:rsidR="00F4028B">
        <w:rPr>
          <w:rFonts w:ascii="Times New Roman" w:hAnsi="Times New Roman" w:cs="Times New Roman"/>
          <w:lang w:val="en-US"/>
        </w:rPr>
        <w:t xml:space="preserve">the then </w:t>
      </w:r>
      <w:r w:rsidR="00422BEF" w:rsidRPr="00DD1E36">
        <w:rPr>
          <w:rFonts w:ascii="Times New Roman" w:hAnsi="Times New Roman" w:cs="Times New Roman"/>
          <w:lang w:val="en-US"/>
        </w:rPr>
        <w:t xml:space="preserve">CEO of IFAC), Ernst </w:t>
      </w:r>
      <w:proofErr w:type="spellStart"/>
      <w:r w:rsidR="00422BEF" w:rsidRPr="00DD1E36">
        <w:rPr>
          <w:rFonts w:ascii="Times New Roman" w:hAnsi="Times New Roman" w:cs="Times New Roman"/>
          <w:lang w:val="en-US"/>
        </w:rPr>
        <w:t>Ligteri</w:t>
      </w:r>
      <w:r w:rsidR="00422BEF">
        <w:rPr>
          <w:rFonts w:ascii="Times New Roman" w:hAnsi="Times New Roman" w:cs="Times New Roman"/>
          <w:lang w:val="en-US"/>
        </w:rPr>
        <w:t>ngen</w:t>
      </w:r>
      <w:proofErr w:type="spellEnd"/>
      <w:r w:rsidR="00422BEF">
        <w:rPr>
          <w:rFonts w:ascii="Times New Roman" w:hAnsi="Times New Roman" w:cs="Times New Roman"/>
          <w:lang w:val="en-US"/>
        </w:rPr>
        <w:t xml:space="preserve"> (</w:t>
      </w:r>
      <w:r w:rsidR="00422BEF" w:rsidRPr="00DD1E36">
        <w:rPr>
          <w:rFonts w:ascii="Times New Roman" w:hAnsi="Times New Roman" w:cs="Times New Roman"/>
          <w:lang w:val="en-US"/>
        </w:rPr>
        <w:t xml:space="preserve">the </w:t>
      </w:r>
      <w:r w:rsidR="00D25B4C">
        <w:rPr>
          <w:rFonts w:ascii="Times New Roman" w:hAnsi="Times New Roman" w:cs="Times New Roman"/>
          <w:lang w:val="en-US"/>
        </w:rPr>
        <w:t xml:space="preserve">then </w:t>
      </w:r>
      <w:r w:rsidR="00422BEF">
        <w:rPr>
          <w:rFonts w:ascii="Times New Roman" w:hAnsi="Times New Roman" w:cs="Times New Roman"/>
          <w:lang w:val="en-US"/>
        </w:rPr>
        <w:t xml:space="preserve">CEO of </w:t>
      </w:r>
      <w:r w:rsidR="00747BEA">
        <w:rPr>
          <w:rFonts w:ascii="Times New Roman" w:hAnsi="Times New Roman" w:cs="Times New Roman"/>
          <w:lang w:val="en-US"/>
        </w:rPr>
        <w:t>the GRI</w:t>
      </w:r>
      <w:r w:rsidR="00422BEF">
        <w:rPr>
          <w:rFonts w:ascii="Times New Roman" w:hAnsi="Times New Roman" w:cs="Times New Roman"/>
          <w:lang w:val="en-US"/>
        </w:rPr>
        <w:t>),</w:t>
      </w:r>
      <w:r w:rsidR="00422BEF" w:rsidRPr="00DD1E36">
        <w:rPr>
          <w:rFonts w:ascii="Times New Roman" w:hAnsi="Times New Roman" w:cs="Times New Roman"/>
          <w:lang w:val="en-US"/>
        </w:rPr>
        <w:t xml:space="preserve"> and Jessica Fries</w:t>
      </w:r>
      <w:r w:rsidR="00174424">
        <w:rPr>
          <w:rFonts w:ascii="Times New Roman" w:hAnsi="Times New Roman" w:cs="Times New Roman"/>
          <w:lang w:val="en-US"/>
        </w:rPr>
        <w:t xml:space="preserve"> (Executive</w:t>
      </w:r>
      <w:r w:rsidR="00422BEF">
        <w:rPr>
          <w:rFonts w:ascii="Times New Roman" w:hAnsi="Times New Roman" w:cs="Times New Roman"/>
          <w:lang w:val="en-US"/>
        </w:rPr>
        <w:t xml:space="preserve"> Director of </w:t>
      </w:r>
      <w:r w:rsidR="00F478C4">
        <w:rPr>
          <w:rFonts w:ascii="Times New Roman" w:hAnsi="Times New Roman" w:cs="Times New Roman"/>
          <w:lang w:val="en-US"/>
        </w:rPr>
        <w:t>The Prince’s Accounting for Sustainability Project</w:t>
      </w:r>
      <w:r w:rsidR="00422BEF">
        <w:rPr>
          <w:rFonts w:ascii="Times New Roman" w:hAnsi="Times New Roman" w:cs="Times New Roman"/>
          <w:lang w:val="en-US"/>
        </w:rPr>
        <w:t>)</w:t>
      </w:r>
      <w:r w:rsidR="00422BEF" w:rsidRPr="00DD1E36">
        <w:rPr>
          <w:rFonts w:ascii="Times New Roman" w:hAnsi="Times New Roman" w:cs="Times New Roman"/>
          <w:lang w:val="en-US"/>
        </w:rPr>
        <w:t xml:space="preserve">. </w:t>
      </w:r>
    </w:p>
    <w:p w14:paraId="788F2573" w14:textId="4EDC7B28" w:rsidR="00615D2E" w:rsidRPr="005F028E" w:rsidRDefault="00422BEF" w:rsidP="00422BEF">
      <w:pPr>
        <w:shd w:val="clear" w:color="auto" w:fill="FFFFFF"/>
        <w:spacing w:before="100" w:beforeAutospacing="1" w:after="75" w:line="360" w:lineRule="auto"/>
        <w:ind w:firstLine="708"/>
        <w:jc w:val="both"/>
        <w:rPr>
          <w:rFonts w:ascii="Times New Roman" w:hAnsi="Times New Roman" w:cs="Times New Roman"/>
          <w:lang w:val="en-US"/>
        </w:rPr>
      </w:pPr>
      <w:r w:rsidRPr="00DD1E36">
        <w:rPr>
          <w:rFonts w:ascii="Times New Roman" w:hAnsi="Times New Roman" w:cs="Times New Roman"/>
          <w:lang w:val="en-US"/>
        </w:rPr>
        <w:t xml:space="preserve">A </w:t>
      </w:r>
      <w:r w:rsidR="00BA7E3A">
        <w:rPr>
          <w:rFonts w:ascii="Times New Roman" w:hAnsi="Times New Roman" w:cs="Times New Roman"/>
          <w:lang w:val="en-US"/>
        </w:rPr>
        <w:t xml:space="preserve">Business Network Pilot </w:t>
      </w:r>
      <w:proofErr w:type="spellStart"/>
      <w:r w:rsidR="00BA7E3A">
        <w:rPr>
          <w:rFonts w:ascii="Times New Roman" w:hAnsi="Times New Roman" w:cs="Times New Roman"/>
          <w:lang w:val="en-US"/>
        </w:rPr>
        <w:t>Programme</w:t>
      </w:r>
      <w:proofErr w:type="spellEnd"/>
      <w:r w:rsidR="00BA7E3A">
        <w:rPr>
          <w:rFonts w:ascii="Times New Roman" w:hAnsi="Times New Roman" w:cs="Times New Roman"/>
          <w:lang w:val="en-US"/>
        </w:rPr>
        <w:t xml:space="preserve">, </w:t>
      </w:r>
      <w:r w:rsidRPr="00DD1E36">
        <w:rPr>
          <w:rFonts w:ascii="Times New Roman" w:hAnsi="Times New Roman" w:cs="Times New Roman"/>
          <w:lang w:val="en-US"/>
        </w:rPr>
        <w:t>allowing</w:t>
      </w:r>
      <w:r w:rsidR="00BA7E3A">
        <w:rPr>
          <w:rFonts w:ascii="Times New Roman" w:hAnsi="Times New Roman" w:cs="Times New Roman"/>
          <w:lang w:val="en-US"/>
        </w:rPr>
        <w:t xml:space="preserve"> businesses</w:t>
      </w:r>
      <w:r w:rsidRPr="00DD1E36">
        <w:rPr>
          <w:rFonts w:ascii="Times New Roman" w:hAnsi="Times New Roman" w:cs="Times New Roman"/>
          <w:lang w:val="en-US"/>
        </w:rPr>
        <w:t xml:space="preserve"> to experiment with </w:t>
      </w:r>
      <w:r w:rsidR="00121D10">
        <w:rPr>
          <w:rFonts w:ascii="Times New Roman" w:hAnsi="Times New Roman" w:cs="Times New Roman"/>
          <w:lang w:val="en-US"/>
        </w:rPr>
        <w:t>integrated reporting</w:t>
      </w:r>
      <w:r w:rsidR="00013087">
        <w:rPr>
          <w:rFonts w:ascii="Times New Roman" w:hAnsi="Times New Roman" w:cs="Times New Roman"/>
          <w:lang w:val="en-US"/>
        </w:rPr>
        <w:t>,</w:t>
      </w:r>
      <w:r w:rsidRPr="00DD1E36">
        <w:rPr>
          <w:rFonts w:ascii="Times New Roman" w:hAnsi="Times New Roman" w:cs="Times New Roman"/>
          <w:lang w:val="en-US"/>
        </w:rPr>
        <w:t xml:space="preserve"> commenced</w:t>
      </w:r>
      <w:r>
        <w:rPr>
          <w:rFonts w:ascii="Times New Roman" w:hAnsi="Times New Roman" w:cs="Times New Roman"/>
          <w:lang w:val="en-US"/>
        </w:rPr>
        <w:t xml:space="preserve"> </w:t>
      </w:r>
      <w:r w:rsidRPr="00DD1E36">
        <w:rPr>
          <w:rFonts w:ascii="Times New Roman" w:hAnsi="Times New Roman" w:cs="Times New Roman"/>
          <w:lang w:val="en-US"/>
        </w:rPr>
        <w:t xml:space="preserve">in October 2011 </w:t>
      </w:r>
      <w:r>
        <w:rPr>
          <w:rFonts w:ascii="Times New Roman" w:hAnsi="Times New Roman" w:cs="Times New Roman"/>
          <w:lang w:val="en-US"/>
        </w:rPr>
        <w:t xml:space="preserve">just after the formal launch of the Discussion Paper. This </w:t>
      </w:r>
      <w:r w:rsidRPr="00DD1E36">
        <w:rPr>
          <w:rFonts w:ascii="Times New Roman" w:hAnsi="Times New Roman" w:cs="Times New Roman"/>
          <w:lang w:val="en-US"/>
        </w:rPr>
        <w:t>initia</w:t>
      </w:r>
      <w:r>
        <w:rPr>
          <w:rFonts w:ascii="Times New Roman" w:hAnsi="Times New Roman" w:cs="Times New Roman"/>
          <w:lang w:val="en-US"/>
        </w:rPr>
        <w:t>lly attracted</w:t>
      </w:r>
      <w:r w:rsidRPr="00DD1E36">
        <w:rPr>
          <w:rFonts w:ascii="Times New Roman" w:hAnsi="Times New Roman" w:cs="Times New Roman"/>
          <w:lang w:val="en-US"/>
        </w:rPr>
        <w:t xml:space="preserve"> over 40 comp</w:t>
      </w:r>
      <w:r>
        <w:rPr>
          <w:rFonts w:ascii="Times New Roman" w:hAnsi="Times New Roman" w:cs="Times New Roman"/>
          <w:lang w:val="en-US"/>
        </w:rPr>
        <w:t xml:space="preserve">anies and by </w:t>
      </w:r>
      <w:r w:rsidRPr="00DD1E36">
        <w:rPr>
          <w:rFonts w:ascii="Times New Roman" w:hAnsi="Times New Roman" w:cs="Times New Roman"/>
          <w:lang w:val="en-US"/>
        </w:rPr>
        <w:t>the end of 2013</w:t>
      </w:r>
      <w:r w:rsidR="00AD3611">
        <w:rPr>
          <w:rFonts w:ascii="Times New Roman" w:hAnsi="Times New Roman" w:cs="Times New Roman"/>
          <w:lang w:val="en-US"/>
        </w:rPr>
        <w:t xml:space="preserve"> had</w:t>
      </w:r>
      <w:r>
        <w:rPr>
          <w:rFonts w:ascii="Times New Roman" w:hAnsi="Times New Roman" w:cs="Times New Roman"/>
          <w:lang w:val="en-US"/>
        </w:rPr>
        <w:t xml:space="preserve"> grown to over 100</w:t>
      </w:r>
      <w:r w:rsidR="00EB0212">
        <w:rPr>
          <w:rFonts w:ascii="Times New Roman" w:hAnsi="Times New Roman" w:cs="Times New Roman"/>
          <w:lang w:val="en-US"/>
        </w:rPr>
        <w:t xml:space="preserve">. </w:t>
      </w:r>
      <w:r w:rsidR="00013087">
        <w:rPr>
          <w:rFonts w:ascii="Times New Roman" w:hAnsi="Times New Roman" w:cs="Times New Roman"/>
          <w:lang w:val="en-US"/>
        </w:rPr>
        <w:t>T</w:t>
      </w:r>
      <w:r w:rsidR="00615D2E">
        <w:rPr>
          <w:rFonts w:ascii="Times New Roman" w:hAnsi="Times New Roman" w:cs="Times New Roman"/>
          <w:lang w:val="en-US"/>
        </w:rPr>
        <w:t xml:space="preserve">he Pilot </w:t>
      </w:r>
      <w:proofErr w:type="spellStart"/>
      <w:r w:rsidR="00615D2E">
        <w:rPr>
          <w:rFonts w:ascii="Times New Roman" w:hAnsi="Times New Roman" w:cs="Times New Roman"/>
          <w:lang w:val="en-US"/>
        </w:rPr>
        <w:t>Programme</w:t>
      </w:r>
      <w:proofErr w:type="spellEnd"/>
      <w:r w:rsidR="000919F4">
        <w:rPr>
          <w:rFonts w:ascii="Times New Roman" w:hAnsi="Times New Roman" w:cs="Times New Roman"/>
          <w:lang w:val="en-US"/>
        </w:rPr>
        <w:t xml:space="preserve">, dubbed an ‘innovation hub’ by Paul </w:t>
      </w:r>
      <w:proofErr w:type="spellStart"/>
      <w:r w:rsidR="000919F4">
        <w:rPr>
          <w:rFonts w:ascii="Times New Roman" w:hAnsi="Times New Roman" w:cs="Times New Roman"/>
          <w:lang w:val="en-US"/>
        </w:rPr>
        <w:t>Druckman</w:t>
      </w:r>
      <w:proofErr w:type="spellEnd"/>
      <w:r w:rsidR="000919F4">
        <w:rPr>
          <w:rFonts w:ascii="Times New Roman" w:hAnsi="Times New Roman" w:cs="Times New Roman"/>
          <w:lang w:val="en-US"/>
        </w:rPr>
        <w:t xml:space="preserve">, </w:t>
      </w:r>
      <w:r w:rsidR="00615D2E">
        <w:rPr>
          <w:rFonts w:ascii="Times New Roman" w:hAnsi="Times New Roman" w:cs="Times New Roman"/>
          <w:lang w:val="en-US"/>
        </w:rPr>
        <w:t xml:space="preserve">required </w:t>
      </w:r>
      <w:r w:rsidR="00013087">
        <w:rPr>
          <w:rFonts w:ascii="Times New Roman" w:hAnsi="Times New Roman" w:cs="Times New Roman"/>
          <w:lang w:val="en-US"/>
        </w:rPr>
        <w:t>participating</w:t>
      </w:r>
      <w:r w:rsidR="00615D2E">
        <w:rPr>
          <w:rFonts w:ascii="Times New Roman" w:hAnsi="Times New Roman" w:cs="Times New Roman"/>
          <w:lang w:val="en-US"/>
        </w:rPr>
        <w:t xml:space="preserve"> </w:t>
      </w:r>
      <w:r w:rsidR="00013087">
        <w:rPr>
          <w:rFonts w:ascii="Times New Roman" w:hAnsi="Times New Roman" w:cs="Times New Roman"/>
          <w:lang w:val="en-US"/>
        </w:rPr>
        <w:t>businesses</w:t>
      </w:r>
      <w:r w:rsidR="00615D2E">
        <w:rPr>
          <w:rFonts w:ascii="Times New Roman" w:hAnsi="Times New Roman" w:cs="Times New Roman"/>
          <w:lang w:val="en-US"/>
        </w:rPr>
        <w:t xml:space="preserve"> to devote resources to developing </w:t>
      </w:r>
      <w:r w:rsidR="00121D10">
        <w:rPr>
          <w:rFonts w:ascii="Times New Roman" w:hAnsi="Times New Roman" w:cs="Times New Roman"/>
          <w:lang w:val="en-US"/>
        </w:rPr>
        <w:t>integrated reporting</w:t>
      </w:r>
      <w:r w:rsidR="00615D2E">
        <w:rPr>
          <w:rFonts w:ascii="Times New Roman" w:hAnsi="Times New Roman" w:cs="Times New Roman"/>
          <w:lang w:val="en-US"/>
        </w:rPr>
        <w:t xml:space="preserve"> practices within their own </w:t>
      </w:r>
      <w:r w:rsidR="00615D2E" w:rsidRPr="005F028E">
        <w:rPr>
          <w:rFonts w:ascii="Times New Roman" w:hAnsi="Times New Roman" w:cs="Times New Roman"/>
          <w:lang w:val="en-US"/>
        </w:rPr>
        <w:t>organizations, in addition to the financial contributions they made to support the IIRC</w:t>
      </w:r>
      <w:r w:rsidR="003859B1" w:rsidRPr="005F028E">
        <w:rPr>
          <w:rFonts w:ascii="Times New Roman" w:hAnsi="Times New Roman" w:cs="Times New Roman"/>
          <w:lang w:val="en-US"/>
        </w:rPr>
        <w:t>.</w:t>
      </w:r>
      <w:r w:rsidR="00A13470" w:rsidRPr="005F028E">
        <w:rPr>
          <w:rStyle w:val="FootnoteReference"/>
          <w:rFonts w:ascii="Times New Roman" w:hAnsi="Times New Roman" w:cs="Times New Roman"/>
          <w:lang w:val="en-US"/>
        </w:rPr>
        <w:footnoteReference w:id="16"/>
      </w:r>
      <w:r w:rsidR="00357C55" w:rsidRPr="005F028E">
        <w:rPr>
          <w:rFonts w:ascii="Times New Roman" w:hAnsi="Times New Roman" w:cs="Times New Roman"/>
          <w:lang w:val="en-US"/>
        </w:rPr>
        <w:t xml:space="preserve"> The </w:t>
      </w:r>
      <w:r w:rsidR="00C6101D" w:rsidRPr="005F028E">
        <w:rPr>
          <w:rFonts w:ascii="Times New Roman" w:hAnsi="Times New Roman" w:cs="Times New Roman"/>
          <w:lang w:val="en-US"/>
        </w:rPr>
        <w:t xml:space="preserve">experiences of the </w:t>
      </w:r>
      <w:r w:rsidR="00357C55" w:rsidRPr="005F028E">
        <w:rPr>
          <w:rFonts w:ascii="Times New Roman" w:hAnsi="Times New Roman" w:cs="Times New Roman"/>
          <w:lang w:val="en-US"/>
        </w:rPr>
        <w:t xml:space="preserve">Pilot </w:t>
      </w:r>
      <w:proofErr w:type="spellStart"/>
      <w:r w:rsidR="00357C55" w:rsidRPr="005F028E">
        <w:rPr>
          <w:rFonts w:ascii="Times New Roman" w:hAnsi="Times New Roman" w:cs="Times New Roman"/>
          <w:lang w:val="en-US"/>
        </w:rPr>
        <w:t>Programme</w:t>
      </w:r>
      <w:proofErr w:type="spellEnd"/>
      <w:r w:rsidR="00357C55" w:rsidRPr="005F028E">
        <w:rPr>
          <w:rFonts w:ascii="Times New Roman" w:hAnsi="Times New Roman" w:cs="Times New Roman"/>
          <w:lang w:val="en-US"/>
        </w:rPr>
        <w:t xml:space="preserve"> </w:t>
      </w:r>
      <w:r w:rsidR="00C6101D" w:rsidRPr="005F028E">
        <w:rPr>
          <w:rFonts w:ascii="Times New Roman" w:hAnsi="Times New Roman" w:cs="Times New Roman"/>
          <w:lang w:val="en-US"/>
        </w:rPr>
        <w:t xml:space="preserve">participants were reported in </w:t>
      </w:r>
      <w:r w:rsidR="00357C55" w:rsidRPr="005F028E">
        <w:rPr>
          <w:rFonts w:ascii="Times New Roman" w:hAnsi="Times New Roman" w:cs="Times New Roman"/>
          <w:lang w:val="en-US"/>
        </w:rPr>
        <w:t>Yearbook</w:t>
      </w:r>
      <w:r w:rsidR="00C6101D" w:rsidRPr="005F028E">
        <w:rPr>
          <w:rFonts w:ascii="Times New Roman" w:hAnsi="Times New Roman" w:cs="Times New Roman"/>
          <w:lang w:val="en-US"/>
        </w:rPr>
        <w:t>s</w:t>
      </w:r>
      <w:r w:rsidR="00357C55" w:rsidRPr="005F028E">
        <w:rPr>
          <w:rFonts w:ascii="Times New Roman" w:hAnsi="Times New Roman" w:cs="Times New Roman"/>
          <w:lang w:val="en-US"/>
        </w:rPr>
        <w:t xml:space="preserve"> </w:t>
      </w:r>
      <w:r w:rsidR="00C6101D" w:rsidRPr="005F028E">
        <w:rPr>
          <w:rFonts w:ascii="Times New Roman" w:hAnsi="Times New Roman" w:cs="Times New Roman"/>
          <w:lang w:val="en-US"/>
        </w:rPr>
        <w:t xml:space="preserve">designed to provide an insight into the issues </w:t>
      </w:r>
      <w:r w:rsidR="00357C55" w:rsidRPr="005F028E">
        <w:rPr>
          <w:rFonts w:ascii="Times New Roman" w:hAnsi="Times New Roman" w:cs="Times New Roman"/>
          <w:lang w:val="en-US"/>
        </w:rPr>
        <w:t xml:space="preserve">businesses </w:t>
      </w:r>
      <w:r w:rsidR="00C6101D" w:rsidRPr="005F028E">
        <w:rPr>
          <w:rFonts w:ascii="Times New Roman" w:hAnsi="Times New Roman" w:cs="Times New Roman"/>
          <w:lang w:val="en-US"/>
        </w:rPr>
        <w:t>faced when seeking to connect departments and develop</w:t>
      </w:r>
      <w:r w:rsidR="00357C55" w:rsidRPr="005F028E">
        <w:rPr>
          <w:rFonts w:ascii="Times New Roman" w:hAnsi="Times New Roman" w:cs="Times New Roman"/>
          <w:lang w:val="en-US"/>
        </w:rPr>
        <w:t xml:space="preserve"> strategies for longer term value creation</w:t>
      </w:r>
      <w:r w:rsidR="00C6101D" w:rsidRPr="005F028E">
        <w:rPr>
          <w:rFonts w:ascii="Times New Roman" w:hAnsi="Times New Roman" w:cs="Times New Roman"/>
          <w:lang w:val="en-US"/>
        </w:rPr>
        <w:t xml:space="preserve"> which co</w:t>
      </w:r>
      <w:r w:rsidR="00107A48" w:rsidRPr="005F028E">
        <w:rPr>
          <w:rFonts w:ascii="Times New Roman" w:hAnsi="Times New Roman" w:cs="Times New Roman"/>
          <w:lang w:val="en-US"/>
        </w:rPr>
        <w:t>u</w:t>
      </w:r>
      <w:r w:rsidR="00C6101D" w:rsidRPr="005F028E">
        <w:rPr>
          <w:rFonts w:ascii="Times New Roman" w:hAnsi="Times New Roman" w:cs="Times New Roman"/>
          <w:lang w:val="en-US"/>
        </w:rPr>
        <w:t>ld then</w:t>
      </w:r>
      <w:r w:rsidR="00107A48" w:rsidRPr="005F028E">
        <w:rPr>
          <w:rFonts w:ascii="Times New Roman" w:hAnsi="Times New Roman" w:cs="Times New Roman"/>
          <w:lang w:val="en-US"/>
        </w:rPr>
        <w:t xml:space="preserve"> be</w:t>
      </w:r>
      <w:r w:rsidR="00C6101D" w:rsidRPr="005F028E">
        <w:rPr>
          <w:rFonts w:ascii="Times New Roman" w:hAnsi="Times New Roman" w:cs="Times New Roman"/>
          <w:lang w:val="en-US"/>
        </w:rPr>
        <w:t xml:space="preserve"> communicated </w:t>
      </w:r>
      <w:r w:rsidR="005F028E" w:rsidRPr="005F028E">
        <w:rPr>
          <w:rFonts w:ascii="Times New Roman" w:hAnsi="Times New Roman" w:cs="Times New Roman"/>
          <w:lang w:val="en-US"/>
        </w:rPr>
        <w:t>externally</w:t>
      </w:r>
      <w:r w:rsidR="005F028E">
        <w:rPr>
          <w:rFonts w:ascii="Times New Roman" w:hAnsi="Times New Roman" w:cs="Times New Roman"/>
          <w:lang w:val="en-US"/>
        </w:rPr>
        <w:t xml:space="preserve"> in integrated reports</w:t>
      </w:r>
      <w:r w:rsidR="00C6101D" w:rsidRPr="005F028E">
        <w:rPr>
          <w:rStyle w:val="FootnoteReference"/>
          <w:rFonts w:ascii="Times New Roman" w:hAnsi="Times New Roman" w:cs="Times New Roman"/>
          <w:lang w:val="en-US"/>
        </w:rPr>
        <w:footnoteReference w:id="17"/>
      </w:r>
      <w:r w:rsidR="005F028E" w:rsidRPr="005F028E">
        <w:rPr>
          <w:rFonts w:ascii="Times New Roman" w:hAnsi="Times New Roman" w:cs="Times New Roman"/>
          <w:lang w:val="en-US"/>
        </w:rPr>
        <w:t>.</w:t>
      </w:r>
      <w:r w:rsidR="009E21EF">
        <w:rPr>
          <w:rFonts w:ascii="Times New Roman" w:hAnsi="Times New Roman" w:cs="Times New Roman"/>
          <w:lang w:val="en-US"/>
        </w:rPr>
        <w:t xml:space="preserve"> </w:t>
      </w:r>
      <w:r w:rsidR="000919F4">
        <w:rPr>
          <w:rFonts w:ascii="Times New Roman" w:hAnsi="Times New Roman" w:cs="Times New Roman"/>
          <w:lang w:val="en-US"/>
        </w:rPr>
        <w:t>T</w:t>
      </w:r>
      <w:r w:rsidR="00351AD8">
        <w:rPr>
          <w:rFonts w:ascii="Times New Roman" w:hAnsi="Times New Roman" w:cs="Times New Roman"/>
          <w:lang w:val="en-US"/>
        </w:rPr>
        <w:t xml:space="preserve">he IIRC </w:t>
      </w:r>
      <w:r w:rsidR="000919F4">
        <w:rPr>
          <w:rFonts w:ascii="Times New Roman" w:hAnsi="Times New Roman" w:cs="Times New Roman"/>
          <w:lang w:val="en-US"/>
        </w:rPr>
        <w:t xml:space="preserve">hailed </w:t>
      </w:r>
      <w:r w:rsidR="000919F4">
        <w:rPr>
          <w:rFonts w:ascii="Times New Roman" w:hAnsi="Times New Roman" w:cs="Times New Roman"/>
          <w:lang w:val="en-US"/>
        </w:rPr>
        <w:lastRenderedPageBreak/>
        <w:t xml:space="preserve">participants </w:t>
      </w:r>
      <w:r w:rsidR="00351AD8">
        <w:rPr>
          <w:rFonts w:ascii="Times New Roman" w:hAnsi="Times New Roman" w:cs="Times New Roman"/>
          <w:lang w:val="en-US"/>
        </w:rPr>
        <w:t xml:space="preserve">as </w:t>
      </w:r>
      <w:r w:rsidR="000919F4">
        <w:rPr>
          <w:rFonts w:ascii="Times New Roman" w:hAnsi="Times New Roman" w:cs="Times New Roman"/>
          <w:lang w:val="en-US"/>
        </w:rPr>
        <w:t>‘</w:t>
      </w:r>
      <w:r w:rsidR="00351AD8">
        <w:rPr>
          <w:rFonts w:ascii="Times New Roman" w:hAnsi="Times New Roman" w:cs="Times New Roman"/>
          <w:lang w:val="en-US"/>
        </w:rPr>
        <w:t>pioneers</w:t>
      </w:r>
      <w:r w:rsidR="000919F4">
        <w:rPr>
          <w:rFonts w:ascii="Times New Roman" w:hAnsi="Times New Roman" w:cs="Times New Roman"/>
          <w:lang w:val="en-US"/>
        </w:rPr>
        <w:t>’</w:t>
      </w:r>
      <w:r w:rsidR="00351AD8">
        <w:rPr>
          <w:rFonts w:ascii="Times New Roman" w:hAnsi="Times New Roman" w:cs="Times New Roman"/>
          <w:lang w:val="en-US"/>
        </w:rPr>
        <w:t xml:space="preserve"> and </w:t>
      </w:r>
      <w:r w:rsidR="000919F4">
        <w:rPr>
          <w:rFonts w:ascii="Times New Roman" w:hAnsi="Times New Roman" w:cs="Times New Roman"/>
          <w:lang w:val="en-US"/>
        </w:rPr>
        <w:t>‘</w:t>
      </w:r>
      <w:r w:rsidR="00351AD8">
        <w:rPr>
          <w:rFonts w:ascii="Times New Roman" w:hAnsi="Times New Roman" w:cs="Times New Roman"/>
          <w:lang w:val="en-US"/>
        </w:rPr>
        <w:t>innovators</w:t>
      </w:r>
      <w:r w:rsidR="000919F4">
        <w:rPr>
          <w:rFonts w:ascii="Times New Roman" w:hAnsi="Times New Roman" w:cs="Times New Roman"/>
          <w:lang w:val="en-US"/>
        </w:rPr>
        <w:t>’</w:t>
      </w:r>
      <w:r w:rsidR="00351AD8">
        <w:rPr>
          <w:rFonts w:ascii="Times New Roman" w:hAnsi="Times New Roman" w:cs="Times New Roman"/>
          <w:lang w:val="en-US"/>
        </w:rPr>
        <w:t xml:space="preserve"> </w:t>
      </w:r>
      <w:r w:rsidR="000919F4">
        <w:rPr>
          <w:rFonts w:ascii="Times New Roman" w:hAnsi="Times New Roman" w:cs="Times New Roman"/>
          <w:lang w:val="en-US"/>
        </w:rPr>
        <w:t xml:space="preserve">who were willing to ‘question orthodox thinking’ and the process </w:t>
      </w:r>
      <w:r w:rsidR="009E21EF">
        <w:rPr>
          <w:rFonts w:ascii="Times New Roman" w:hAnsi="Times New Roman" w:cs="Times New Roman"/>
          <w:lang w:val="en-US"/>
        </w:rPr>
        <w:t>faci</w:t>
      </w:r>
      <w:r w:rsidR="00747BEA">
        <w:rPr>
          <w:rFonts w:ascii="Times New Roman" w:hAnsi="Times New Roman" w:cs="Times New Roman"/>
          <w:lang w:val="en-US"/>
        </w:rPr>
        <w:t xml:space="preserve">litated network-building among </w:t>
      </w:r>
      <w:r w:rsidR="009E21EF">
        <w:rPr>
          <w:rFonts w:ascii="Times New Roman" w:hAnsi="Times New Roman" w:cs="Times New Roman"/>
          <w:lang w:val="en-US"/>
        </w:rPr>
        <w:t>key user communities</w:t>
      </w:r>
      <w:r w:rsidR="000919F4">
        <w:rPr>
          <w:rStyle w:val="FootnoteReference"/>
          <w:rFonts w:ascii="Times New Roman" w:hAnsi="Times New Roman" w:cs="Times New Roman"/>
          <w:lang w:val="en-US"/>
        </w:rPr>
        <w:footnoteReference w:id="18"/>
      </w:r>
      <w:r w:rsidR="009E21EF">
        <w:rPr>
          <w:rFonts w:ascii="Times New Roman" w:hAnsi="Times New Roman" w:cs="Times New Roman"/>
          <w:lang w:val="en-US"/>
        </w:rPr>
        <w:t>.</w:t>
      </w:r>
    </w:p>
    <w:p w14:paraId="77DC3A8D" w14:textId="483F8DE1" w:rsidR="00194884" w:rsidRDefault="00EB0212" w:rsidP="0071679F">
      <w:pPr>
        <w:shd w:val="clear" w:color="auto" w:fill="FFFFFF"/>
        <w:spacing w:before="100" w:beforeAutospacing="1" w:after="75" w:line="360" w:lineRule="auto"/>
        <w:ind w:firstLine="708"/>
        <w:jc w:val="both"/>
        <w:rPr>
          <w:rFonts w:ascii="Times New Roman" w:hAnsi="Times New Roman" w:cs="Times New Roman"/>
          <w:lang w:val="en-US"/>
        </w:rPr>
      </w:pPr>
      <w:proofErr w:type="spellStart"/>
      <w:r>
        <w:rPr>
          <w:rFonts w:ascii="Times New Roman" w:hAnsi="Times New Roman" w:cs="Times New Roman"/>
          <w:lang w:val="en-US"/>
        </w:rPr>
        <w:t>Druckman</w:t>
      </w:r>
      <w:proofErr w:type="spellEnd"/>
      <w:r>
        <w:rPr>
          <w:rFonts w:ascii="Times New Roman" w:hAnsi="Times New Roman" w:cs="Times New Roman"/>
          <w:lang w:val="en-US"/>
        </w:rPr>
        <w:t xml:space="preserve"> </w:t>
      </w:r>
      <w:r w:rsidR="001F0337">
        <w:rPr>
          <w:rFonts w:ascii="Times New Roman" w:hAnsi="Times New Roman" w:cs="Times New Roman"/>
          <w:lang w:val="en-US"/>
        </w:rPr>
        <w:t xml:space="preserve">in his CEO role </w:t>
      </w:r>
      <w:r w:rsidR="00F32A81">
        <w:rPr>
          <w:rFonts w:ascii="Times New Roman" w:hAnsi="Times New Roman" w:cs="Times New Roman"/>
          <w:lang w:val="en-US"/>
        </w:rPr>
        <w:t>helped</w:t>
      </w:r>
      <w:r w:rsidR="00422BEF" w:rsidRPr="00DD1E36">
        <w:rPr>
          <w:rFonts w:ascii="Times New Roman" w:hAnsi="Times New Roman" w:cs="Times New Roman"/>
          <w:lang w:val="en-US"/>
        </w:rPr>
        <w:t xml:space="preserve"> promot</w:t>
      </w:r>
      <w:r w:rsidR="00F32A81">
        <w:rPr>
          <w:rFonts w:ascii="Times New Roman" w:hAnsi="Times New Roman" w:cs="Times New Roman"/>
          <w:lang w:val="en-US"/>
        </w:rPr>
        <w:t>e</w:t>
      </w:r>
      <w:r w:rsidR="00422BEF" w:rsidRPr="00DD1E36">
        <w:rPr>
          <w:rFonts w:ascii="Times New Roman" w:hAnsi="Times New Roman" w:cs="Times New Roman"/>
          <w:lang w:val="en-US"/>
        </w:rPr>
        <w:t xml:space="preserve"> the IIRC message at </w:t>
      </w:r>
      <w:r w:rsidR="00422BEF">
        <w:rPr>
          <w:rFonts w:ascii="Times New Roman" w:hAnsi="Times New Roman" w:cs="Times New Roman"/>
          <w:lang w:val="en-US"/>
        </w:rPr>
        <w:t xml:space="preserve">numerous </w:t>
      </w:r>
      <w:r w:rsidR="00422BEF" w:rsidRPr="00DD1E36">
        <w:rPr>
          <w:rFonts w:ascii="Times New Roman" w:hAnsi="Times New Roman" w:cs="Times New Roman"/>
          <w:lang w:val="en-US"/>
        </w:rPr>
        <w:t xml:space="preserve">high level </w:t>
      </w:r>
      <w:r w:rsidR="00013087">
        <w:rPr>
          <w:rFonts w:ascii="Times New Roman" w:hAnsi="Times New Roman" w:cs="Times New Roman"/>
          <w:lang w:val="en-US"/>
        </w:rPr>
        <w:t>fora,</w:t>
      </w:r>
      <w:r w:rsidR="00422BEF" w:rsidRPr="00DD1E36">
        <w:rPr>
          <w:rFonts w:ascii="Times New Roman" w:hAnsi="Times New Roman" w:cs="Times New Roman"/>
          <w:lang w:val="en-US"/>
        </w:rPr>
        <w:t xml:space="preserve"> including the</w:t>
      </w:r>
      <w:r w:rsidR="005A629F">
        <w:rPr>
          <w:rFonts w:ascii="Times New Roman" w:hAnsi="Times New Roman" w:cs="Times New Roman"/>
          <w:lang w:val="en-US"/>
        </w:rPr>
        <w:t xml:space="preserve"> 2012</w:t>
      </w:r>
      <w:r w:rsidR="00422BEF" w:rsidRPr="00DD1E36">
        <w:rPr>
          <w:rFonts w:ascii="Times New Roman" w:hAnsi="Times New Roman" w:cs="Times New Roman"/>
          <w:lang w:val="en-US"/>
        </w:rPr>
        <w:t xml:space="preserve"> Rio+20 corporate sustainability forum where he explicitly linked </w:t>
      </w:r>
      <w:r w:rsidR="00121D10">
        <w:rPr>
          <w:rFonts w:ascii="Times New Roman" w:hAnsi="Times New Roman" w:cs="Times New Roman"/>
          <w:lang w:val="en-US"/>
        </w:rPr>
        <w:t>integrated reporting</w:t>
      </w:r>
      <w:r w:rsidR="00422BEF" w:rsidRPr="00DD1E36">
        <w:rPr>
          <w:rFonts w:ascii="Times New Roman" w:hAnsi="Times New Roman" w:cs="Times New Roman"/>
          <w:lang w:val="en-US"/>
        </w:rPr>
        <w:t xml:space="preserve"> to improving corporate transparency and accountability</w:t>
      </w:r>
      <w:r w:rsidR="00F32A81">
        <w:rPr>
          <w:rFonts w:ascii="Times New Roman" w:hAnsi="Times New Roman" w:cs="Times New Roman"/>
          <w:lang w:val="en-US"/>
        </w:rPr>
        <w:t xml:space="preserve"> and</w:t>
      </w:r>
      <w:r w:rsidR="008A3546">
        <w:rPr>
          <w:rFonts w:ascii="Times New Roman" w:hAnsi="Times New Roman" w:cs="Times New Roman"/>
          <w:lang w:val="en-US"/>
        </w:rPr>
        <w:t>, consistent with the boundary work to date,</w:t>
      </w:r>
      <w:r w:rsidR="00F32A81">
        <w:rPr>
          <w:rFonts w:ascii="Times New Roman" w:hAnsi="Times New Roman" w:cs="Times New Roman"/>
          <w:lang w:val="en-US"/>
        </w:rPr>
        <w:t xml:space="preserve"> contra</w:t>
      </w:r>
      <w:r w:rsidR="00183585">
        <w:rPr>
          <w:rFonts w:ascii="Times New Roman" w:hAnsi="Times New Roman" w:cs="Times New Roman"/>
          <w:lang w:val="en-US"/>
        </w:rPr>
        <w:t xml:space="preserve">sted it </w:t>
      </w:r>
      <w:proofErr w:type="spellStart"/>
      <w:r w:rsidR="00183585">
        <w:rPr>
          <w:rFonts w:ascii="Times New Roman" w:hAnsi="Times New Roman" w:cs="Times New Roman"/>
          <w:lang w:val="en-US"/>
        </w:rPr>
        <w:t>favourably</w:t>
      </w:r>
      <w:proofErr w:type="spellEnd"/>
      <w:r w:rsidR="00183585">
        <w:rPr>
          <w:rFonts w:ascii="Times New Roman" w:hAnsi="Times New Roman" w:cs="Times New Roman"/>
          <w:lang w:val="en-US"/>
        </w:rPr>
        <w:t xml:space="preserve"> with existing corporate </w:t>
      </w:r>
      <w:r w:rsidR="00F32A81">
        <w:rPr>
          <w:rFonts w:ascii="Times New Roman" w:hAnsi="Times New Roman" w:cs="Times New Roman"/>
          <w:lang w:val="en-US"/>
        </w:rPr>
        <w:t>reporting</w:t>
      </w:r>
      <w:r w:rsidR="00422BEF" w:rsidRPr="00DD1E36">
        <w:rPr>
          <w:rFonts w:ascii="Times New Roman" w:hAnsi="Times New Roman" w:cs="Times New Roman"/>
          <w:lang w:val="en-US"/>
        </w:rPr>
        <w:t xml:space="preserve">. </w:t>
      </w:r>
    </w:p>
    <w:p w14:paraId="7F589773" w14:textId="60563541" w:rsidR="00194884" w:rsidRDefault="00422BEF" w:rsidP="0071679F">
      <w:pPr>
        <w:shd w:val="clear" w:color="auto" w:fill="FFFFFF"/>
        <w:spacing w:before="100" w:beforeAutospacing="1" w:after="75" w:line="360" w:lineRule="auto"/>
        <w:ind w:firstLine="708"/>
        <w:jc w:val="both"/>
        <w:rPr>
          <w:rFonts w:ascii="Times New Roman" w:hAnsi="Times New Roman" w:cs="Times New Roman"/>
          <w:lang w:val="en-US"/>
        </w:rPr>
      </w:pPr>
      <w:r w:rsidRPr="00DD1E36">
        <w:rPr>
          <w:rFonts w:ascii="Times New Roman" w:hAnsi="Times New Roman" w:cs="Times New Roman"/>
          <w:lang w:val="en-US"/>
        </w:rPr>
        <w:t xml:space="preserve">In July 2012, Peter Bakker, the President of the </w:t>
      </w:r>
      <w:r w:rsidR="009C23CD">
        <w:rPr>
          <w:rFonts w:ascii="Times New Roman" w:hAnsi="Times New Roman" w:cs="Times New Roman"/>
          <w:lang w:val="en-US"/>
        </w:rPr>
        <w:t>World Business Council for Sustainable Development</w:t>
      </w:r>
      <w:r>
        <w:rPr>
          <w:rFonts w:ascii="Times New Roman" w:hAnsi="Times New Roman" w:cs="Times New Roman"/>
          <w:lang w:val="en-US"/>
        </w:rPr>
        <w:t>,</w:t>
      </w:r>
      <w:r w:rsidRPr="00DD1E36">
        <w:rPr>
          <w:rFonts w:ascii="Times New Roman" w:hAnsi="Times New Roman" w:cs="Times New Roman"/>
          <w:lang w:val="en-US"/>
        </w:rPr>
        <w:t xml:space="preserve"> was appointed as Deputy Chair</w:t>
      </w:r>
      <w:r w:rsidR="005A629F">
        <w:rPr>
          <w:rFonts w:ascii="Times New Roman" w:hAnsi="Times New Roman" w:cs="Times New Roman"/>
          <w:lang w:val="en-US"/>
        </w:rPr>
        <w:t xml:space="preserve"> of the IIRC</w:t>
      </w:r>
      <w:r w:rsidRPr="00DD1E36">
        <w:rPr>
          <w:rFonts w:ascii="Times New Roman" w:hAnsi="Times New Roman" w:cs="Times New Roman"/>
          <w:lang w:val="en-US"/>
        </w:rPr>
        <w:t xml:space="preserve"> to build </w:t>
      </w:r>
      <w:r w:rsidR="00013087">
        <w:rPr>
          <w:rFonts w:ascii="Times New Roman" w:hAnsi="Times New Roman" w:cs="Times New Roman"/>
          <w:lang w:val="en-US"/>
        </w:rPr>
        <w:t xml:space="preserve">additional </w:t>
      </w:r>
      <w:r w:rsidRPr="00DD1E36">
        <w:rPr>
          <w:rFonts w:ascii="Times New Roman" w:hAnsi="Times New Roman" w:cs="Times New Roman"/>
          <w:lang w:val="en-US"/>
        </w:rPr>
        <w:t xml:space="preserve">business support </w:t>
      </w:r>
      <w:r w:rsidR="00013087">
        <w:rPr>
          <w:rFonts w:ascii="Times New Roman" w:hAnsi="Times New Roman" w:cs="Times New Roman"/>
          <w:lang w:val="en-US"/>
        </w:rPr>
        <w:t>for</w:t>
      </w:r>
      <w:r w:rsidRPr="00DD1E36">
        <w:rPr>
          <w:rFonts w:ascii="Times New Roman" w:hAnsi="Times New Roman" w:cs="Times New Roman"/>
          <w:lang w:val="en-US"/>
        </w:rPr>
        <w:t xml:space="preserve">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in advance of the draft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framework launch planned for April 2013. This further forma</w:t>
      </w:r>
      <w:r w:rsidR="00E8208C">
        <w:rPr>
          <w:rFonts w:ascii="Times New Roman" w:hAnsi="Times New Roman" w:cs="Times New Roman"/>
          <w:lang w:val="en-US"/>
        </w:rPr>
        <w:t>lize</w:t>
      </w:r>
      <w:r w:rsidRPr="00DD1E36">
        <w:rPr>
          <w:rFonts w:ascii="Times New Roman" w:hAnsi="Times New Roman" w:cs="Times New Roman"/>
          <w:lang w:val="en-US"/>
        </w:rPr>
        <w:t xml:space="preserve">d the business engagement </w:t>
      </w:r>
      <w:r>
        <w:rPr>
          <w:rFonts w:ascii="Times New Roman" w:hAnsi="Times New Roman" w:cs="Times New Roman"/>
          <w:lang w:val="en-US"/>
        </w:rPr>
        <w:t xml:space="preserve">that </w:t>
      </w:r>
      <w:r w:rsidRPr="00DD1E36">
        <w:rPr>
          <w:rFonts w:ascii="Times New Roman" w:hAnsi="Times New Roman" w:cs="Times New Roman"/>
          <w:lang w:val="en-US"/>
        </w:rPr>
        <w:t xml:space="preserve">the IIRC now </w:t>
      </w:r>
      <w:r w:rsidR="00EB0212">
        <w:rPr>
          <w:rFonts w:ascii="Times New Roman" w:hAnsi="Times New Roman" w:cs="Times New Roman"/>
          <w:lang w:val="en-US"/>
        </w:rPr>
        <w:t xml:space="preserve">seemed </w:t>
      </w:r>
      <w:r w:rsidRPr="00DD1E36">
        <w:rPr>
          <w:rFonts w:ascii="Times New Roman" w:hAnsi="Times New Roman" w:cs="Times New Roman"/>
          <w:lang w:val="en-US"/>
        </w:rPr>
        <w:t>to prefer</w:t>
      </w:r>
      <w:r w:rsidRPr="00DD1E36">
        <w:rPr>
          <w:rStyle w:val="FootnoteReference"/>
          <w:rFonts w:ascii="Times New Roman" w:hAnsi="Times New Roman" w:cs="Times New Roman"/>
          <w:lang w:val="en-US"/>
        </w:rPr>
        <w:footnoteReference w:id="19"/>
      </w:r>
      <w:r w:rsidRPr="00DD1E36">
        <w:rPr>
          <w:rFonts w:ascii="Times New Roman" w:hAnsi="Times New Roman" w:cs="Times New Roman"/>
          <w:lang w:val="en-US"/>
        </w:rPr>
        <w:t xml:space="preserve">. </w:t>
      </w:r>
    </w:p>
    <w:p w14:paraId="7CC3267B" w14:textId="0B83FD79" w:rsidR="00194884" w:rsidRPr="00DD1E36" w:rsidRDefault="00422BEF">
      <w:pPr>
        <w:shd w:val="clear" w:color="auto" w:fill="FFFFFF"/>
        <w:spacing w:before="100" w:beforeAutospacing="1" w:after="75" w:line="360" w:lineRule="auto"/>
        <w:ind w:firstLine="708"/>
        <w:jc w:val="both"/>
        <w:rPr>
          <w:rFonts w:ascii="Times New Roman" w:eastAsia="Times New Roman" w:hAnsi="Times New Roman" w:cs="Times New Roman"/>
          <w:lang w:val="en-US"/>
        </w:rPr>
      </w:pPr>
      <w:r w:rsidRPr="00DD1E36">
        <w:rPr>
          <w:rFonts w:ascii="Times New Roman" w:hAnsi="Times New Roman" w:cs="Times New Roman"/>
          <w:lang w:val="en-US"/>
        </w:rPr>
        <w:t xml:space="preserve">High level ‘ambassadors’, </w:t>
      </w:r>
      <w:r w:rsidRPr="00DD1E36">
        <w:rPr>
          <w:rFonts w:ascii="Times New Roman" w:eastAsia="Times New Roman" w:hAnsi="Times New Roman" w:cs="Times New Roman"/>
          <w:lang w:val="en-US"/>
        </w:rPr>
        <w:t xml:space="preserve">most of whom </w:t>
      </w:r>
      <w:r>
        <w:rPr>
          <w:rFonts w:ascii="Times New Roman" w:eastAsia="Times New Roman" w:hAnsi="Times New Roman" w:cs="Times New Roman"/>
          <w:lang w:val="en-US"/>
        </w:rPr>
        <w:t xml:space="preserve">held senior positions </w:t>
      </w:r>
      <w:r w:rsidRPr="00DD1E36">
        <w:rPr>
          <w:rFonts w:ascii="Times New Roman" w:eastAsia="Times New Roman" w:hAnsi="Times New Roman" w:cs="Times New Roman"/>
          <w:lang w:val="en-US"/>
        </w:rPr>
        <w:t xml:space="preserve">or had significant links with the accounting and investment professions, </w:t>
      </w:r>
      <w:r w:rsidRPr="00DD1E36">
        <w:rPr>
          <w:rFonts w:ascii="Times New Roman" w:hAnsi="Times New Roman" w:cs="Times New Roman"/>
          <w:lang w:val="en-US"/>
        </w:rPr>
        <w:t xml:space="preserve">were formally appointed to engage </w:t>
      </w:r>
      <w:r w:rsidR="00013087">
        <w:rPr>
          <w:rFonts w:ascii="Times New Roman" w:hAnsi="Times New Roman" w:cs="Times New Roman"/>
          <w:lang w:val="en-US"/>
        </w:rPr>
        <w:t xml:space="preserve">further </w:t>
      </w:r>
      <w:r w:rsidRPr="00DD1E36">
        <w:rPr>
          <w:rFonts w:ascii="Times New Roman" w:hAnsi="Times New Roman" w:cs="Times New Roman"/>
          <w:lang w:val="en-US"/>
        </w:rPr>
        <w:t xml:space="preserve">with influential stakeholders. They were specifically charged with building a consensus </w:t>
      </w:r>
      <w:r w:rsidRPr="00DD1E36">
        <w:rPr>
          <w:rFonts w:ascii="Times New Roman" w:eastAsia="Times New Roman" w:hAnsi="Times New Roman" w:cs="Times New Roman"/>
          <w:lang w:val="en-US"/>
        </w:rPr>
        <w:t xml:space="preserve">around the need for a global </w:t>
      </w:r>
      <w:r w:rsidR="00121D10">
        <w:rPr>
          <w:rFonts w:ascii="Times New Roman" w:eastAsia="Times New Roman" w:hAnsi="Times New Roman" w:cs="Times New Roman"/>
          <w:lang w:val="en-US"/>
        </w:rPr>
        <w:t>integrated reporting</w:t>
      </w:r>
      <w:r w:rsidRPr="00DD1E36">
        <w:rPr>
          <w:rFonts w:ascii="Times New Roman" w:eastAsia="Times New Roman" w:hAnsi="Times New Roman" w:cs="Times New Roman"/>
          <w:lang w:val="en-US"/>
        </w:rPr>
        <w:t xml:space="preserve"> framework and with stimulating productive discourse around the IIRC’s work that would further its aims. </w:t>
      </w:r>
      <w:r w:rsidR="00CF6A07">
        <w:rPr>
          <w:rFonts w:ascii="Times New Roman" w:eastAsia="Times New Roman" w:hAnsi="Times New Roman" w:cs="Times New Roman"/>
          <w:lang w:val="en-US"/>
        </w:rPr>
        <w:t xml:space="preserve">With </w:t>
      </w:r>
      <w:r w:rsidRPr="00DD1E36">
        <w:rPr>
          <w:rFonts w:ascii="Times New Roman" w:eastAsia="Times New Roman" w:hAnsi="Times New Roman" w:cs="Times New Roman"/>
          <w:lang w:val="en-US"/>
        </w:rPr>
        <w:t>parallel efforts in the European Commission</w:t>
      </w:r>
      <w:r w:rsidR="00134E7D">
        <w:rPr>
          <w:rFonts w:ascii="Times New Roman" w:eastAsia="Times New Roman" w:hAnsi="Times New Roman" w:cs="Times New Roman"/>
          <w:lang w:val="en-US"/>
        </w:rPr>
        <w:t xml:space="preserve"> at this time</w:t>
      </w:r>
      <w:r w:rsidRPr="00DD1E36">
        <w:rPr>
          <w:rFonts w:ascii="Times New Roman" w:eastAsia="Times New Roman" w:hAnsi="Times New Roman" w:cs="Times New Roman"/>
          <w:lang w:val="en-US"/>
        </w:rPr>
        <w:t xml:space="preserve"> to mandate greater non-financial reporting among large EU companies, a </w:t>
      </w:r>
      <w:r w:rsidR="00CF6A07">
        <w:rPr>
          <w:rFonts w:ascii="Times New Roman" w:eastAsia="Times New Roman" w:hAnsi="Times New Roman" w:cs="Times New Roman"/>
          <w:lang w:val="en-US"/>
        </w:rPr>
        <w:t xml:space="preserve">further notable </w:t>
      </w:r>
      <w:r w:rsidRPr="00DD1E36">
        <w:rPr>
          <w:rFonts w:ascii="Times New Roman" w:eastAsia="Times New Roman" w:hAnsi="Times New Roman" w:cs="Times New Roman"/>
          <w:lang w:val="en-US"/>
        </w:rPr>
        <w:t xml:space="preserve">ambassador </w:t>
      </w:r>
      <w:r w:rsidR="00013087">
        <w:rPr>
          <w:rFonts w:ascii="Times New Roman" w:eastAsia="Times New Roman" w:hAnsi="Times New Roman" w:cs="Times New Roman"/>
          <w:lang w:val="en-US"/>
        </w:rPr>
        <w:t xml:space="preserve">for </w:t>
      </w:r>
      <w:r w:rsidR="00121D10">
        <w:rPr>
          <w:rFonts w:ascii="Times New Roman" w:eastAsia="Times New Roman" w:hAnsi="Times New Roman" w:cs="Times New Roman"/>
          <w:lang w:val="en-US"/>
        </w:rPr>
        <w:t>integrated reporting</w:t>
      </w:r>
      <w:r w:rsidR="00013087">
        <w:rPr>
          <w:rFonts w:ascii="Times New Roman" w:eastAsia="Times New Roman" w:hAnsi="Times New Roman" w:cs="Times New Roman"/>
          <w:lang w:val="en-US"/>
        </w:rPr>
        <w:t xml:space="preserve"> </w:t>
      </w:r>
      <w:r w:rsidRPr="00DD1E36">
        <w:rPr>
          <w:rFonts w:ascii="Times New Roman" w:eastAsia="Times New Roman" w:hAnsi="Times New Roman" w:cs="Times New Roman"/>
          <w:lang w:val="en-US"/>
        </w:rPr>
        <w:t xml:space="preserve">was Richard Howitt MEP, </w:t>
      </w:r>
      <w:r>
        <w:rPr>
          <w:rFonts w:ascii="Times New Roman" w:eastAsia="Times New Roman" w:hAnsi="Times New Roman" w:cs="Times New Roman"/>
          <w:lang w:val="en-US"/>
        </w:rPr>
        <w:t>t</w:t>
      </w:r>
      <w:r w:rsidRPr="00DD1E36">
        <w:rPr>
          <w:rFonts w:ascii="Times New Roman" w:eastAsia="Times New Roman" w:hAnsi="Times New Roman" w:cs="Times New Roman"/>
          <w:lang w:val="en-US"/>
        </w:rPr>
        <w:t>he European Parliament Rapporteur on CSR</w:t>
      </w:r>
      <w:r w:rsidR="00834F8D">
        <w:rPr>
          <w:rStyle w:val="FootnoteReference"/>
          <w:rFonts w:ascii="Times New Roman" w:eastAsia="Times New Roman" w:hAnsi="Times New Roman" w:cs="Times New Roman"/>
          <w:lang w:val="en-US"/>
        </w:rPr>
        <w:footnoteReference w:id="20"/>
      </w:r>
      <w:r w:rsidRPr="00DD1E36">
        <w:rPr>
          <w:rFonts w:ascii="Times New Roman" w:eastAsia="Times New Roman" w:hAnsi="Times New Roman" w:cs="Times New Roman"/>
          <w:lang w:val="en-US"/>
        </w:rPr>
        <w:t>.</w:t>
      </w:r>
    </w:p>
    <w:p w14:paraId="4D58093F" w14:textId="7305233C" w:rsidR="00422BEF" w:rsidRPr="005E7227" w:rsidRDefault="001B6129" w:rsidP="00183585">
      <w:pPr>
        <w:pStyle w:val="NormalWeb"/>
        <w:spacing w:line="360" w:lineRule="auto"/>
        <w:ind w:left="708" w:hanging="708"/>
        <w:jc w:val="both"/>
        <w:rPr>
          <w:i/>
          <w:sz w:val="22"/>
          <w:szCs w:val="22"/>
          <w:lang w:val="en-US"/>
        </w:rPr>
      </w:pPr>
      <w:r w:rsidRPr="005E7227">
        <w:rPr>
          <w:i/>
          <w:sz w:val="22"/>
          <w:szCs w:val="22"/>
          <w:lang w:val="en-US"/>
        </w:rPr>
        <w:t>4.</w:t>
      </w:r>
      <w:r w:rsidR="00491370">
        <w:rPr>
          <w:i/>
          <w:sz w:val="22"/>
          <w:szCs w:val="22"/>
          <w:lang w:val="en-US"/>
        </w:rPr>
        <w:t>4</w:t>
      </w:r>
      <w:r w:rsidRPr="005E7227">
        <w:rPr>
          <w:i/>
          <w:sz w:val="22"/>
          <w:szCs w:val="22"/>
          <w:lang w:val="en-US"/>
        </w:rPr>
        <w:t>.1</w:t>
      </w:r>
      <w:r w:rsidRPr="005E7227">
        <w:rPr>
          <w:i/>
          <w:sz w:val="22"/>
          <w:szCs w:val="22"/>
          <w:lang w:val="en-US"/>
        </w:rPr>
        <w:tab/>
      </w:r>
      <w:r w:rsidR="00D14ED0">
        <w:rPr>
          <w:i/>
          <w:sz w:val="22"/>
          <w:szCs w:val="22"/>
          <w:lang w:val="en-US"/>
        </w:rPr>
        <w:t xml:space="preserve">Undermining prior boundary work </w:t>
      </w:r>
      <w:r w:rsidR="001A10A2">
        <w:rPr>
          <w:i/>
          <w:sz w:val="22"/>
          <w:szCs w:val="22"/>
          <w:lang w:val="en-US"/>
        </w:rPr>
        <w:t xml:space="preserve">- </w:t>
      </w:r>
      <w:r w:rsidR="00422BEF" w:rsidRPr="005E7227">
        <w:rPr>
          <w:i/>
          <w:sz w:val="22"/>
          <w:szCs w:val="22"/>
          <w:lang w:val="en-US"/>
        </w:rPr>
        <w:t xml:space="preserve">The role of Memoranda of Understanding in constructing a sense of mutuality and reciprocity </w:t>
      </w:r>
    </w:p>
    <w:p w14:paraId="1E5483F8" w14:textId="2DD89E4F" w:rsidR="00194884" w:rsidRDefault="00013087" w:rsidP="00422BEF">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In its attempts to gain </w:t>
      </w:r>
      <w:r w:rsidR="00422BEF" w:rsidRPr="00DD1E36">
        <w:rPr>
          <w:rFonts w:ascii="Times New Roman" w:hAnsi="Times New Roman" w:cs="Times New Roman"/>
          <w:lang w:val="en-US"/>
        </w:rPr>
        <w:t>greater traction</w:t>
      </w:r>
      <w:r>
        <w:rPr>
          <w:rFonts w:ascii="Times New Roman" w:hAnsi="Times New Roman" w:cs="Times New Roman"/>
          <w:lang w:val="en-US"/>
        </w:rPr>
        <w:t xml:space="preserve"> for </w:t>
      </w:r>
      <w:r w:rsidR="00121D10">
        <w:rPr>
          <w:rFonts w:ascii="Times New Roman" w:hAnsi="Times New Roman" w:cs="Times New Roman"/>
          <w:lang w:val="en-US"/>
        </w:rPr>
        <w:t>integrated reporting</w:t>
      </w:r>
      <w:r w:rsidR="00422BEF" w:rsidRPr="00DD1E36">
        <w:rPr>
          <w:rFonts w:ascii="Times New Roman" w:hAnsi="Times New Roman" w:cs="Times New Roman"/>
          <w:lang w:val="en-US"/>
        </w:rPr>
        <w:t xml:space="preserve">, </w:t>
      </w:r>
      <w:r>
        <w:rPr>
          <w:rFonts w:ascii="Times New Roman" w:hAnsi="Times New Roman" w:cs="Times New Roman"/>
          <w:lang w:val="en-US"/>
        </w:rPr>
        <w:t xml:space="preserve">a key component in the IIRC’s development strategy </w:t>
      </w:r>
      <w:r w:rsidR="00134E7D">
        <w:rPr>
          <w:rFonts w:ascii="Times New Roman" w:hAnsi="Times New Roman" w:cs="Times New Roman"/>
          <w:lang w:val="en-US"/>
        </w:rPr>
        <w:t xml:space="preserve">was the pursuit of </w:t>
      </w:r>
      <w:r>
        <w:rPr>
          <w:rFonts w:ascii="Times New Roman" w:hAnsi="Times New Roman" w:cs="Times New Roman"/>
          <w:lang w:val="en-US"/>
        </w:rPr>
        <w:t xml:space="preserve">a variety of </w:t>
      </w:r>
      <w:r w:rsidR="00B73EBA">
        <w:rPr>
          <w:rFonts w:ascii="Times New Roman" w:hAnsi="Times New Roman" w:cs="Times New Roman"/>
          <w:lang w:val="en-US"/>
        </w:rPr>
        <w:t xml:space="preserve">official </w:t>
      </w:r>
      <w:r>
        <w:rPr>
          <w:rFonts w:ascii="Times New Roman" w:hAnsi="Times New Roman" w:cs="Times New Roman"/>
          <w:lang w:val="en-US"/>
        </w:rPr>
        <w:t xml:space="preserve">Memoranda of Understanding with a number of </w:t>
      </w:r>
      <w:r w:rsidR="00213026">
        <w:rPr>
          <w:rFonts w:ascii="Times New Roman" w:hAnsi="Times New Roman" w:cs="Times New Roman"/>
          <w:lang w:val="en-US"/>
        </w:rPr>
        <w:t xml:space="preserve">other </w:t>
      </w:r>
      <w:r w:rsidR="00422BEF" w:rsidRPr="00DD1E36">
        <w:rPr>
          <w:rFonts w:ascii="Times New Roman" w:hAnsi="Times New Roman" w:cs="Times New Roman"/>
          <w:lang w:val="en-US"/>
        </w:rPr>
        <w:t xml:space="preserve">bodies </w:t>
      </w:r>
      <w:r w:rsidR="001F0337">
        <w:rPr>
          <w:rFonts w:ascii="Times New Roman" w:hAnsi="Times New Roman" w:cs="Times New Roman"/>
          <w:lang w:val="en-US"/>
        </w:rPr>
        <w:t xml:space="preserve">from </w:t>
      </w:r>
      <w:r w:rsidR="00213026">
        <w:rPr>
          <w:rFonts w:ascii="Times New Roman" w:hAnsi="Times New Roman" w:cs="Times New Roman"/>
          <w:lang w:val="en-US"/>
        </w:rPr>
        <w:t xml:space="preserve">within the </w:t>
      </w:r>
      <w:r w:rsidR="00422BEF" w:rsidRPr="00DD1E36">
        <w:rPr>
          <w:rFonts w:ascii="Times New Roman" w:hAnsi="Times New Roman" w:cs="Times New Roman"/>
          <w:lang w:val="en-US"/>
        </w:rPr>
        <w:t>corporate reporting field</w:t>
      </w:r>
      <w:r w:rsidR="00531AB5">
        <w:rPr>
          <w:rStyle w:val="FootnoteReference"/>
          <w:rFonts w:ascii="Times New Roman" w:hAnsi="Times New Roman" w:cs="Times New Roman"/>
          <w:lang w:val="en-US"/>
        </w:rPr>
        <w:footnoteReference w:id="21"/>
      </w:r>
      <w:r w:rsidR="00962060">
        <w:rPr>
          <w:rFonts w:ascii="Times New Roman" w:hAnsi="Times New Roman" w:cs="Times New Roman"/>
          <w:lang w:val="en-US"/>
        </w:rPr>
        <w:t>.</w:t>
      </w:r>
      <w:r w:rsidR="00422BEF" w:rsidRPr="00DD1E36">
        <w:rPr>
          <w:rFonts w:ascii="Times New Roman" w:hAnsi="Times New Roman" w:cs="Times New Roman"/>
          <w:lang w:val="en-US"/>
        </w:rPr>
        <w:t xml:space="preserve"> </w:t>
      </w:r>
      <w:r w:rsidR="0082281F">
        <w:rPr>
          <w:rFonts w:ascii="Times New Roman" w:hAnsi="Times New Roman" w:cs="Times New Roman"/>
          <w:lang w:val="en-US"/>
        </w:rPr>
        <w:t>As noted earlier, s</w:t>
      </w:r>
      <w:r w:rsidR="00422BEF" w:rsidRPr="00DD1E36">
        <w:rPr>
          <w:rFonts w:ascii="Times New Roman" w:hAnsi="Times New Roman" w:cs="Times New Roman"/>
          <w:lang w:val="en-US"/>
        </w:rPr>
        <w:t xml:space="preserve">ome of these bodies, such as the </w:t>
      </w:r>
      <w:r w:rsidR="000225A5">
        <w:rPr>
          <w:rFonts w:ascii="Times New Roman" w:hAnsi="Times New Roman" w:cs="Times New Roman"/>
          <w:lang w:val="en-US"/>
        </w:rPr>
        <w:t xml:space="preserve">GRI </w:t>
      </w:r>
      <w:r w:rsidR="00422BEF" w:rsidRPr="00DD1E36">
        <w:rPr>
          <w:rFonts w:ascii="Times New Roman" w:hAnsi="Times New Roman" w:cs="Times New Roman"/>
          <w:lang w:val="en-US"/>
        </w:rPr>
        <w:t xml:space="preserve">and IFAC had </w:t>
      </w:r>
      <w:r w:rsidR="00A20C5B">
        <w:rPr>
          <w:rFonts w:ascii="Times New Roman" w:hAnsi="Times New Roman" w:cs="Times New Roman"/>
          <w:lang w:val="en-US"/>
        </w:rPr>
        <w:t>ensured they were positioned</w:t>
      </w:r>
      <w:r w:rsidR="00422BEF" w:rsidRPr="00DD1E36">
        <w:rPr>
          <w:rFonts w:ascii="Times New Roman" w:hAnsi="Times New Roman" w:cs="Times New Roman"/>
          <w:lang w:val="en-US"/>
        </w:rPr>
        <w:t xml:space="preserve"> on the IIRC board and were </w:t>
      </w:r>
      <w:r w:rsidR="00422BEF" w:rsidRPr="00DD1E36">
        <w:rPr>
          <w:rFonts w:ascii="Times New Roman" w:hAnsi="Times New Roman" w:cs="Times New Roman"/>
          <w:lang w:val="en-US"/>
        </w:rPr>
        <w:lastRenderedPageBreak/>
        <w:t xml:space="preserve">influential in </w:t>
      </w:r>
      <w:r w:rsidR="003619F4">
        <w:rPr>
          <w:rFonts w:ascii="Times New Roman" w:hAnsi="Times New Roman" w:cs="Times New Roman"/>
          <w:lang w:val="en-US"/>
        </w:rPr>
        <w:t xml:space="preserve">building and sustaining </w:t>
      </w:r>
      <w:r w:rsidR="00422BEF" w:rsidRPr="00DD1E36">
        <w:rPr>
          <w:rFonts w:ascii="Times New Roman" w:hAnsi="Times New Roman" w:cs="Times New Roman"/>
          <w:lang w:val="en-US"/>
        </w:rPr>
        <w:t xml:space="preserve">the IIRC’s momentum. </w:t>
      </w:r>
      <w:r w:rsidR="00B73EBA">
        <w:rPr>
          <w:rFonts w:ascii="Times New Roman" w:hAnsi="Times New Roman" w:cs="Times New Roman"/>
          <w:lang w:val="en-US"/>
        </w:rPr>
        <w:t xml:space="preserve">The </w:t>
      </w:r>
      <w:r w:rsidR="00194884">
        <w:rPr>
          <w:rFonts w:ascii="Times New Roman" w:hAnsi="Times New Roman" w:cs="Times New Roman"/>
          <w:lang w:val="en-US"/>
        </w:rPr>
        <w:t>Memoranda of Understanding</w:t>
      </w:r>
      <w:r w:rsidR="003302A6">
        <w:rPr>
          <w:rFonts w:ascii="Times New Roman" w:hAnsi="Times New Roman" w:cs="Times New Roman"/>
          <w:lang w:val="en-US"/>
        </w:rPr>
        <w:t xml:space="preserve"> </w:t>
      </w:r>
      <w:r w:rsidR="00422BEF" w:rsidRPr="00DD1E36">
        <w:rPr>
          <w:rFonts w:ascii="Times New Roman" w:hAnsi="Times New Roman" w:cs="Times New Roman"/>
          <w:lang w:val="en-US"/>
        </w:rPr>
        <w:t xml:space="preserve">signed by the IIRC with accounting bodies, standard setters and other possible collaborators or competitors, including the </w:t>
      </w:r>
      <w:r w:rsidR="00747BEA">
        <w:rPr>
          <w:rFonts w:ascii="Times New Roman" w:hAnsi="Times New Roman" w:cs="Times New Roman"/>
          <w:lang w:val="en-US"/>
        </w:rPr>
        <w:t>GRI</w:t>
      </w:r>
      <w:r w:rsidR="00422BEF" w:rsidRPr="00DD1E36">
        <w:rPr>
          <w:rFonts w:ascii="Times New Roman" w:hAnsi="Times New Roman" w:cs="Times New Roman"/>
          <w:lang w:val="en-US"/>
        </w:rPr>
        <w:t xml:space="preserve">, the </w:t>
      </w:r>
      <w:r w:rsidR="00194884">
        <w:rPr>
          <w:rFonts w:ascii="Times New Roman" w:hAnsi="Times New Roman" w:cs="Times New Roman"/>
          <w:lang w:val="en-US"/>
        </w:rPr>
        <w:t>Climate Disclosure Standards Board</w:t>
      </w:r>
      <w:r w:rsidR="00422BEF" w:rsidRPr="00DD1E36">
        <w:rPr>
          <w:rFonts w:ascii="Times New Roman" w:hAnsi="Times New Roman" w:cs="Times New Roman"/>
          <w:lang w:val="en-US"/>
        </w:rPr>
        <w:t xml:space="preserve">, and </w:t>
      </w:r>
      <w:r w:rsidR="00422BEF" w:rsidRPr="00A43994">
        <w:rPr>
          <w:rFonts w:ascii="Times New Roman" w:hAnsi="Times New Roman" w:cs="Times New Roman"/>
          <w:lang w:val="en-US"/>
        </w:rPr>
        <w:t xml:space="preserve">the </w:t>
      </w:r>
      <w:r w:rsidR="00F478C4">
        <w:rPr>
          <w:rFonts w:ascii="Times New Roman" w:hAnsi="Times New Roman" w:cs="Times New Roman"/>
          <w:lang w:val="en-US"/>
        </w:rPr>
        <w:t>World Intellectual Capital Initiative</w:t>
      </w:r>
      <w:r w:rsidR="00B73EBA">
        <w:rPr>
          <w:rFonts w:ascii="Times New Roman" w:hAnsi="Times New Roman" w:cs="Times New Roman"/>
          <w:lang w:val="en-US"/>
        </w:rPr>
        <w:t xml:space="preserve"> </w:t>
      </w:r>
      <w:r w:rsidR="001F3731">
        <w:rPr>
          <w:rFonts w:ascii="Times New Roman" w:hAnsi="Times New Roman" w:cs="Times New Roman"/>
          <w:lang w:val="en-US"/>
        </w:rPr>
        <w:t>l</w:t>
      </w:r>
      <w:r w:rsidR="00B73EBA">
        <w:rPr>
          <w:rFonts w:ascii="Times New Roman" w:hAnsi="Times New Roman" w:cs="Times New Roman"/>
          <w:lang w:val="en-US"/>
        </w:rPr>
        <w:t>ent an additional level of formalization to such arrangements</w:t>
      </w:r>
      <w:r w:rsidR="00F32A81">
        <w:rPr>
          <w:rFonts w:ascii="Times New Roman" w:hAnsi="Times New Roman" w:cs="Times New Roman"/>
          <w:lang w:val="en-US"/>
        </w:rPr>
        <w:t>.</w:t>
      </w:r>
      <w:r w:rsidR="00B73EBA">
        <w:rPr>
          <w:rFonts w:ascii="Times New Roman" w:hAnsi="Times New Roman" w:cs="Times New Roman"/>
          <w:lang w:val="en-US"/>
        </w:rPr>
        <w:t xml:space="preserve"> </w:t>
      </w:r>
    </w:p>
    <w:p w14:paraId="456789F5" w14:textId="67F9C013" w:rsidR="00422BEF" w:rsidRPr="00DD1E36" w:rsidRDefault="00194884" w:rsidP="00422BEF">
      <w:pPr>
        <w:spacing w:line="360" w:lineRule="auto"/>
        <w:ind w:firstLine="708"/>
        <w:jc w:val="both"/>
        <w:rPr>
          <w:rFonts w:ascii="Times New Roman" w:hAnsi="Times New Roman" w:cs="Times New Roman"/>
          <w:b/>
          <w:lang w:val="en-US"/>
        </w:rPr>
      </w:pPr>
      <w:r>
        <w:rPr>
          <w:rFonts w:ascii="Times New Roman" w:hAnsi="Times New Roman" w:cs="Times New Roman"/>
          <w:lang w:val="en-US"/>
        </w:rPr>
        <w:t>W</w:t>
      </w:r>
      <w:r w:rsidR="00F32A81">
        <w:rPr>
          <w:rFonts w:ascii="Times New Roman" w:hAnsi="Times New Roman" w:cs="Times New Roman"/>
          <w:lang w:val="en-US"/>
        </w:rPr>
        <w:t xml:space="preserve">hile </w:t>
      </w:r>
      <w:r w:rsidR="00121D10">
        <w:rPr>
          <w:rFonts w:ascii="Times New Roman" w:hAnsi="Times New Roman" w:cs="Times New Roman"/>
          <w:lang w:val="en-US"/>
        </w:rPr>
        <w:t>integrated reporting</w:t>
      </w:r>
      <w:r w:rsidR="00560A9F">
        <w:rPr>
          <w:rFonts w:ascii="Times New Roman" w:hAnsi="Times New Roman" w:cs="Times New Roman"/>
          <w:lang w:val="en-US"/>
        </w:rPr>
        <w:t xml:space="preserve"> was </w:t>
      </w:r>
      <w:r w:rsidR="00F32A81">
        <w:rPr>
          <w:rFonts w:ascii="Times New Roman" w:hAnsi="Times New Roman" w:cs="Times New Roman"/>
          <w:lang w:val="en-US"/>
        </w:rPr>
        <w:t xml:space="preserve">consistently </w:t>
      </w:r>
      <w:r w:rsidR="0005686F">
        <w:rPr>
          <w:rFonts w:ascii="Times New Roman" w:hAnsi="Times New Roman" w:cs="Times New Roman"/>
          <w:lang w:val="en-US"/>
        </w:rPr>
        <w:t xml:space="preserve">distinguished from </w:t>
      </w:r>
      <w:r w:rsidR="00F32A81">
        <w:rPr>
          <w:rFonts w:ascii="Times New Roman" w:hAnsi="Times New Roman" w:cs="Times New Roman"/>
          <w:lang w:val="en-US"/>
        </w:rPr>
        <w:t>the reporting frameworks</w:t>
      </w:r>
      <w:r w:rsidR="001F0337">
        <w:rPr>
          <w:rFonts w:ascii="Times New Roman" w:hAnsi="Times New Roman" w:cs="Times New Roman"/>
          <w:lang w:val="en-US"/>
        </w:rPr>
        <w:t xml:space="preserve"> </w:t>
      </w:r>
      <w:r w:rsidR="00F32A81">
        <w:rPr>
          <w:rFonts w:ascii="Times New Roman" w:hAnsi="Times New Roman" w:cs="Times New Roman"/>
          <w:lang w:val="en-US"/>
        </w:rPr>
        <w:t>of these competing reporting bodies</w:t>
      </w:r>
      <w:r w:rsidR="00D73C34">
        <w:rPr>
          <w:rFonts w:ascii="Times New Roman" w:hAnsi="Times New Roman" w:cs="Times New Roman"/>
          <w:lang w:val="en-US"/>
        </w:rPr>
        <w:t>, the</w:t>
      </w:r>
      <w:r w:rsidR="00B57FCA">
        <w:rPr>
          <w:rFonts w:ascii="Times New Roman" w:hAnsi="Times New Roman" w:cs="Times New Roman"/>
          <w:lang w:val="en-US"/>
        </w:rPr>
        <w:t xml:space="preserve"> </w:t>
      </w:r>
      <w:r>
        <w:rPr>
          <w:rFonts w:ascii="Times New Roman" w:hAnsi="Times New Roman" w:cs="Times New Roman"/>
          <w:lang w:val="en-US"/>
        </w:rPr>
        <w:t>Memoranda of Understanding</w:t>
      </w:r>
      <w:r w:rsidR="00D73C34">
        <w:rPr>
          <w:rFonts w:ascii="Times New Roman" w:hAnsi="Times New Roman" w:cs="Times New Roman"/>
          <w:lang w:val="en-US"/>
        </w:rPr>
        <w:t xml:space="preserve"> </w:t>
      </w:r>
      <w:r w:rsidR="005F028E">
        <w:rPr>
          <w:rFonts w:ascii="Times New Roman" w:hAnsi="Times New Roman" w:cs="Times New Roman"/>
          <w:lang w:val="en-US"/>
        </w:rPr>
        <w:t>downplay</w:t>
      </w:r>
      <w:r w:rsidR="00597093">
        <w:rPr>
          <w:rFonts w:ascii="Times New Roman" w:hAnsi="Times New Roman" w:cs="Times New Roman"/>
          <w:lang w:val="en-US"/>
        </w:rPr>
        <w:t>ed</w:t>
      </w:r>
      <w:r w:rsidR="00D73C34" w:rsidRPr="004158E0">
        <w:rPr>
          <w:rFonts w:ascii="Times New Roman" w:hAnsi="Times New Roman" w:cs="Times New Roman"/>
          <w:i/>
          <w:lang w:val="en-US"/>
        </w:rPr>
        <w:t xml:space="preserve"> </w:t>
      </w:r>
      <w:r w:rsidR="00D73C34">
        <w:rPr>
          <w:rFonts w:ascii="Times New Roman" w:hAnsi="Times New Roman" w:cs="Times New Roman"/>
          <w:lang w:val="en-US"/>
        </w:rPr>
        <w:t xml:space="preserve">any </w:t>
      </w:r>
      <w:r w:rsidR="0005686F">
        <w:rPr>
          <w:rFonts w:ascii="Times New Roman" w:hAnsi="Times New Roman" w:cs="Times New Roman"/>
          <w:lang w:val="en-US"/>
        </w:rPr>
        <w:t>boundaries between the IIRC</w:t>
      </w:r>
      <w:r w:rsidR="00D73C34">
        <w:rPr>
          <w:rFonts w:ascii="Times New Roman" w:hAnsi="Times New Roman" w:cs="Times New Roman"/>
          <w:lang w:val="en-US"/>
        </w:rPr>
        <w:t>’s aims</w:t>
      </w:r>
      <w:r w:rsidR="00B57FCA">
        <w:rPr>
          <w:rFonts w:ascii="Times New Roman" w:hAnsi="Times New Roman" w:cs="Times New Roman"/>
          <w:lang w:val="en-US"/>
        </w:rPr>
        <w:t xml:space="preserve"> and those of other reporting </w:t>
      </w:r>
      <w:r w:rsidR="00F244EF">
        <w:rPr>
          <w:rFonts w:ascii="Times New Roman" w:hAnsi="Times New Roman" w:cs="Times New Roman"/>
          <w:lang w:val="en-US"/>
        </w:rPr>
        <w:t>bodies</w:t>
      </w:r>
      <w:r w:rsidR="001F3731">
        <w:rPr>
          <w:rFonts w:ascii="Times New Roman" w:hAnsi="Times New Roman" w:cs="Times New Roman"/>
          <w:lang w:val="en-US"/>
        </w:rPr>
        <w:t xml:space="preserve"> </w:t>
      </w:r>
      <w:r w:rsidR="001F3731" w:rsidRPr="004158E0">
        <w:rPr>
          <w:rFonts w:ascii="Times New Roman" w:hAnsi="Times New Roman" w:cs="Times New Roman"/>
          <w:lang w:val="en-US"/>
        </w:rPr>
        <w:t>(see</w:t>
      </w:r>
      <w:r w:rsidR="005468C2">
        <w:rPr>
          <w:rFonts w:ascii="Times New Roman" w:hAnsi="Times New Roman" w:cs="Times New Roman"/>
          <w:lang w:val="en-US"/>
        </w:rPr>
        <w:t>,</w:t>
      </w:r>
      <w:r w:rsidR="001F3731" w:rsidRPr="004158E0">
        <w:rPr>
          <w:rFonts w:ascii="Times New Roman" w:hAnsi="Times New Roman" w:cs="Times New Roman"/>
          <w:lang w:val="en-US"/>
        </w:rPr>
        <w:t xml:space="preserve"> </w:t>
      </w:r>
      <w:proofErr w:type="spellStart"/>
      <w:r w:rsidR="001F3731" w:rsidRPr="004158E0">
        <w:rPr>
          <w:rFonts w:ascii="Times New Roman" w:hAnsi="Times New Roman" w:cs="Times New Roman"/>
          <w:lang w:val="en-US"/>
        </w:rPr>
        <w:t>Zietsma</w:t>
      </w:r>
      <w:proofErr w:type="spellEnd"/>
      <w:r w:rsidR="001F3731" w:rsidRPr="004158E0">
        <w:rPr>
          <w:rFonts w:ascii="Times New Roman" w:hAnsi="Times New Roman" w:cs="Times New Roman"/>
          <w:lang w:val="en-US"/>
        </w:rPr>
        <w:t xml:space="preserve"> and Lawrence, 2010)</w:t>
      </w:r>
      <w:r w:rsidR="0005686F">
        <w:rPr>
          <w:rFonts w:ascii="Times New Roman" w:hAnsi="Times New Roman" w:cs="Times New Roman"/>
          <w:lang w:val="en-US"/>
        </w:rPr>
        <w:t>.</w:t>
      </w:r>
      <w:r w:rsidR="00F32A81">
        <w:rPr>
          <w:rFonts w:ascii="Times New Roman" w:hAnsi="Times New Roman" w:cs="Times New Roman"/>
          <w:lang w:val="en-US"/>
        </w:rPr>
        <w:t xml:space="preserve"> </w:t>
      </w:r>
      <w:r w:rsidR="00D73C34">
        <w:rPr>
          <w:rFonts w:ascii="Times New Roman" w:hAnsi="Times New Roman" w:cs="Times New Roman"/>
          <w:lang w:val="en-US"/>
        </w:rPr>
        <w:t xml:space="preserve">For example, </w:t>
      </w:r>
      <w:r w:rsidR="0005686F">
        <w:rPr>
          <w:rFonts w:ascii="Times New Roman" w:hAnsi="Times New Roman" w:cs="Times New Roman"/>
          <w:lang w:val="en-US"/>
        </w:rPr>
        <w:t>t</w:t>
      </w:r>
      <w:r w:rsidR="00613B8C">
        <w:rPr>
          <w:rFonts w:ascii="Times New Roman" w:hAnsi="Times New Roman" w:cs="Times New Roman"/>
          <w:lang w:val="en-US"/>
        </w:rPr>
        <w:t>he wording of t</w:t>
      </w:r>
      <w:r w:rsidR="00422BEF" w:rsidRPr="00DD1E36">
        <w:rPr>
          <w:rFonts w:ascii="Times New Roman" w:hAnsi="Times New Roman" w:cs="Times New Roman"/>
          <w:lang w:val="en-US"/>
        </w:rPr>
        <w:t xml:space="preserve">he </w:t>
      </w:r>
      <w:r>
        <w:rPr>
          <w:rFonts w:ascii="Times New Roman" w:hAnsi="Times New Roman" w:cs="Times New Roman"/>
          <w:lang w:val="en-US"/>
        </w:rPr>
        <w:t>Memoranda of Understanding</w:t>
      </w:r>
      <w:r w:rsidR="00422BEF" w:rsidRPr="00DD1E36">
        <w:rPr>
          <w:rFonts w:ascii="Times New Roman" w:hAnsi="Times New Roman" w:cs="Times New Roman"/>
          <w:lang w:val="en-US"/>
        </w:rPr>
        <w:t xml:space="preserve"> </w:t>
      </w:r>
      <w:r w:rsidR="00B73EBA">
        <w:rPr>
          <w:rFonts w:ascii="Times New Roman" w:hAnsi="Times New Roman" w:cs="Times New Roman"/>
          <w:lang w:val="en-US"/>
        </w:rPr>
        <w:t>reflect</w:t>
      </w:r>
      <w:r w:rsidR="00D73C34">
        <w:rPr>
          <w:rFonts w:ascii="Times New Roman" w:hAnsi="Times New Roman" w:cs="Times New Roman"/>
          <w:lang w:val="en-US"/>
        </w:rPr>
        <w:t>ed</w:t>
      </w:r>
      <w:r w:rsidR="00A650DC">
        <w:rPr>
          <w:rFonts w:ascii="Times New Roman" w:hAnsi="Times New Roman" w:cs="Times New Roman"/>
          <w:lang w:val="en-US"/>
        </w:rPr>
        <w:t xml:space="preserve"> </w:t>
      </w:r>
      <w:r w:rsidR="00422BEF" w:rsidRPr="00DD1E36">
        <w:rPr>
          <w:rFonts w:ascii="Times New Roman" w:hAnsi="Times New Roman" w:cs="Times New Roman"/>
          <w:lang w:val="en-US"/>
        </w:rPr>
        <w:t xml:space="preserve">a sense of mutuality and reciprocity among key actors by recognizing complementarities </w:t>
      </w:r>
      <w:r w:rsidR="00B73EBA">
        <w:rPr>
          <w:rFonts w:ascii="Times New Roman" w:hAnsi="Times New Roman" w:cs="Times New Roman"/>
          <w:lang w:val="en-US"/>
        </w:rPr>
        <w:t xml:space="preserve">in terms of commitment to </w:t>
      </w:r>
      <w:r w:rsidR="00121D10">
        <w:rPr>
          <w:rFonts w:ascii="Times New Roman" w:hAnsi="Times New Roman" w:cs="Times New Roman"/>
          <w:lang w:val="en-US"/>
        </w:rPr>
        <w:t>integrated reporting</w:t>
      </w:r>
      <w:r w:rsidR="00B73EBA">
        <w:rPr>
          <w:rFonts w:ascii="Times New Roman" w:hAnsi="Times New Roman" w:cs="Times New Roman"/>
          <w:lang w:val="en-US"/>
        </w:rPr>
        <w:t xml:space="preserve"> </w:t>
      </w:r>
      <w:r w:rsidR="0005686F">
        <w:rPr>
          <w:rFonts w:ascii="Times New Roman" w:hAnsi="Times New Roman" w:cs="Times New Roman"/>
          <w:lang w:val="en-US"/>
        </w:rPr>
        <w:t>while</w:t>
      </w:r>
      <w:r w:rsidR="00B73EBA">
        <w:rPr>
          <w:rFonts w:ascii="Times New Roman" w:hAnsi="Times New Roman" w:cs="Times New Roman"/>
          <w:lang w:val="en-US"/>
        </w:rPr>
        <w:t xml:space="preserve"> also </w:t>
      </w:r>
      <w:r w:rsidR="00422BEF" w:rsidRPr="00DD1E36">
        <w:rPr>
          <w:rFonts w:ascii="Times New Roman" w:hAnsi="Times New Roman" w:cs="Times New Roman"/>
          <w:lang w:val="en-US"/>
        </w:rPr>
        <w:t>providing assurances that</w:t>
      </w:r>
      <w:r w:rsidR="00422BEF">
        <w:rPr>
          <w:rFonts w:ascii="Times New Roman" w:hAnsi="Times New Roman" w:cs="Times New Roman"/>
          <w:lang w:val="en-US"/>
        </w:rPr>
        <w:t xml:space="preserve"> </w:t>
      </w:r>
      <w:r w:rsidR="00121D10">
        <w:rPr>
          <w:rFonts w:ascii="Times New Roman" w:hAnsi="Times New Roman" w:cs="Times New Roman"/>
          <w:lang w:val="en-US"/>
        </w:rPr>
        <w:t>integrated reporting</w:t>
      </w:r>
      <w:r w:rsidR="00422BEF">
        <w:rPr>
          <w:rFonts w:ascii="Times New Roman" w:hAnsi="Times New Roman" w:cs="Times New Roman"/>
          <w:lang w:val="en-US"/>
        </w:rPr>
        <w:t xml:space="preserve"> would not colo</w:t>
      </w:r>
      <w:r w:rsidR="003D7B1F">
        <w:rPr>
          <w:rFonts w:ascii="Times New Roman" w:hAnsi="Times New Roman" w:cs="Times New Roman"/>
          <w:lang w:val="en-US"/>
        </w:rPr>
        <w:t>nize</w:t>
      </w:r>
      <w:r w:rsidR="00422BEF" w:rsidRPr="00DD1E36">
        <w:rPr>
          <w:rFonts w:ascii="Times New Roman" w:hAnsi="Times New Roman" w:cs="Times New Roman"/>
          <w:lang w:val="en-US"/>
        </w:rPr>
        <w:t xml:space="preserve"> existing reporting spaces</w:t>
      </w:r>
      <w:r w:rsidR="00D73C34">
        <w:rPr>
          <w:rFonts w:ascii="Times New Roman" w:hAnsi="Times New Roman" w:cs="Times New Roman"/>
          <w:lang w:val="en-US"/>
        </w:rPr>
        <w:t xml:space="preserve">. This </w:t>
      </w:r>
      <w:r w:rsidR="000753B3">
        <w:rPr>
          <w:rFonts w:ascii="Times New Roman" w:hAnsi="Times New Roman" w:cs="Times New Roman"/>
          <w:lang w:val="en-US"/>
        </w:rPr>
        <w:t xml:space="preserve">approach </w:t>
      </w:r>
      <w:r w:rsidR="0005686F">
        <w:rPr>
          <w:rFonts w:ascii="Times New Roman" w:hAnsi="Times New Roman" w:cs="Times New Roman"/>
          <w:lang w:val="en-US"/>
        </w:rPr>
        <w:t>contrast</w:t>
      </w:r>
      <w:r w:rsidR="000753B3">
        <w:rPr>
          <w:rFonts w:ascii="Times New Roman" w:hAnsi="Times New Roman" w:cs="Times New Roman"/>
          <w:lang w:val="en-US"/>
        </w:rPr>
        <w:t xml:space="preserve">ed directly with </w:t>
      </w:r>
      <w:r w:rsidR="0005686F">
        <w:rPr>
          <w:rFonts w:ascii="Times New Roman" w:hAnsi="Times New Roman" w:cs="Times New Roman"/>
          <w:lang w:val="en-US"/>
        </w:rPr>
        <w:t xml:space="preserve">the initial </w:t>
      </w:r>
      <w:r w:rsidR="005C5C77">
        <w:rPr>
          <w:rFonts w:ascii="Times New Roman" w:hAnsi="Times New Roman" w:cs="Times New Roman"/>
          <w:lang w:val="en-US"/>
        </w:rPr>
        <w:t xml:space="preserve">colonizing </w:t>
      </w:r>
      <w:r w:rsidR="0005686F">
        <w:rPr>
          <w:rFonts w:ascii="Times New Roman" w:hAnsi="Times New Roman" w:cs="Times New Roman"/>
          <w:lang w:val="en-US"/>
        </w:rPr>
        <w:t xml:space="preserve">objectives held out for </w:t>
      </w:r>
      <w:r w:rsidR="00121D10">
        <w:rPr>
          <w:rFonts w:ascii="Times New Roman" w:hAnsi="Times New Roman" w:cs="Times New Roman"/>
          <w:lang w:val="en-US"/>
        </w:rPr>
        <w:t>integrated reporting</w:t>
      </w:r>
      <w:r w:rsidR="0005686F">
        <w:rPr>
          <w:rFonts w:ascii="Times New Roman" w:hAnsi="Times New Roman" w:cs="Times New Roman"/>
          <w:lang w:val="en-US"/>
        </w:rPr>
        <w:t xml:space="preserve"> at its </w:t>
      </w:r>
      <w:r w:rsidR="00C47611">
        <w:rPr>
          <w:rFonts w:ascii="Times New Roman" w:hAnsi="Times New Roman" w:cs="Times New Roman"/>
          <w:lang w:val="en-US"/>
        </w:rPr>
        <w:t>inception.</w:t>
      </w:r>
    </w:p>
    <w:p w14:paraId="30244E34" w14:textId="3895F335" w:rsidR="00422BEF" w:rsidRPr="00A43994" w:rsidRDefault="00422BEF" w:rsidP="00422BEF">
      <w:pPr>
        <w:spacing w:line="360" w:lineRule="auto"/>
        <w:ind w:firstLine="708"/>
        <w:jc w:val="both"/>
        <w:rPr>
          <w:rFonts w:ascii="Times New Roman" w:hAnsi="Times New Roman" w:cs="Times New Roman"/>
          <w:lang w:val="en"/>
        </w:rPr>
      </w:pPr>
      <w:r w:rsidRPr="00A43994">
        <w:rPr>
          <w:rFonts w:ascii="Times New Roman" w:hAnsi="Times New Roman" w:cs="Times New Roman"/>
          <w:lang w:val="en-US"/>
        </w:rPr>
        <w:t xml:space="preserve">The first </w:t>
      </w:r>
      <w:r w:rsidR="00194884">
        <w:rPr>
          <w:rFonts w:ascii="Times New Roman" w:hAnsi="Times New Roman" w:cs="Times New Roman"/>
          <w:lang w:val="en-US"/>
        </w:rPr>
        <w:t>Memorandum of Understanding</w:t>
      </w:r>
      <w:r w:rsidRPr="00A43994">
        <w:rPr>
          <w:rFonts w:ascii="Times New Roman" w:hAnsi="Times New Roman" w:cs="Times New Roman"/>
          <w:lang w:val="en-US"/>
        </w:rPr>
        <w:t xml:space="preserve"> was signed with the International Federation of Accountants (IFAC) in October 2012 </w:t>
      </w:r>
      <w:r w:rsidR="000F3DF0">
        <w:rPr>
          <w:rFonts w:ascii="Times New Roman" w:hAnsi="Times New Roman" w:cs="Times New Roman"/>
          <w:lang w:val="en-US"/>
        </w:rPr>
        <w:t>‘</w:t>
      </w:r>
      <w:r w:rsidRPr="00A43994">
        <w:rPr>
          <w:rFonts w:ascii="Times New Roman" w:hAnsi="Times New Roman" w:cs="Times New Roman"/>
          <w:lang w:val="en-US"/>
        </w:rPr>
        <w:t>to recognize [the IIRC</w:t>
      </w:r>
      <w:r>
        <w:rPr>
          <w:rFonts w:ascii="Times New Roman" w:hAnsi="Times New Roman" w:cs="Times New Roman"/>
          <w:lang w:val="en-US"/>
        </w:rPr>
        <w:t>’s</w:t>
      </w:r>
      <w:r w:rsidRPr="00A43994">
        <w:rPr>
          <w:rFonts w:ascii="Times New Roman" w:hAnsi="Times New Roman" w:cs="Times New Roman"/>
          <w:lang w:val="en-US"/>
        </w:rPr>
        <w:t xml:space="preserve"> and IFAC’s] shared vision for the evolution of corporate reporting</w:t>
      </w:r>
      <w:r w:rsidR="000F3DF0">
        <w:rPr>
          <w:rFonts w:ascii="Times New Roman" w:hAnsi="Times New Roman" w:cs="Times New Roman"/>
          <w:lang w:val="en-US"/>
        </w:rPr>
        <w:t>’</w:t>
      </w:r>
      <w:r w:rsidRPr="00A43994">
        <w:rPr>
          <w:rFonts w:ascii="Times New Roman" w:hAnsi="Times New Roman" w:cs="Times New Roman"/>
          <w:lang w:val="en-US"/>
        </w:rPr>
        <w:t xml:space="preserve">. </w:t>
      </w:r>
      <w:r w:rsidRPr="00A43994">
        <w:rPr>
          <w:rFonts w:ascii="Times New Roman" w:hAnsi="Times New Roman" w:cs="Times New Roman"/>
          <w:lang w:val="en"/>
        </w:rPr>
        <w:t xml:space="preserve">IFAC committed to respecting the integrity of the IIRC’s mandate and to </w:t>
      </w:r>
      <w:r w:rsidR="000F3DF0">
        <w:rPr>
          <w:rFonts w:ascii="Times New Roman" w:hAnsi="Times New Roman" w:cs="Times New Roman"/>
          <w:lang w:val="en"/>
        </w:rPr>
        <w:t>‘</w:t>
      </w:r>
      <w:r w:rsidRPr="00A43994">
        <w:rPr>
          <w:rFonts w:ascii="Times New Roman" w:hAnsi="Times New Roman" w:cs="Times New Roman"/>
          <w:lang w:val="en"/>
        </w:rPr>
        <w:t>work proactively [with the IIRC]</w:t>
      </w:r>
      <w:r w:rsidR="00284CA9">
        <w:rPr>
          <w:rFonts w:ascii="Times New Roman" w:hAnsi="Times New Roman" w:cs="Times New Roman"/>
          <w:lang w:val="en"/>
        </w:rPr>
        <w:t xml:space="preserve"> </w:t>
      </w:r>
      <w:r w:rsidRPr="00A43994">
        <w:rPr>
          <w:rFonts w:ascii="Times New Roman" w:hAnsi="Times New Roman" w:cs="Times New Roman"/>
          <w:lang w:val="en"/>
        </w:rPr>
        <w:t xml:space="preserve">… to identify ways and means by which </w:t>
      </w:r>
      <w:r w:rsidR="00121D10">
        <w:rPr>
          <w:rFonts w:ascii="Times New Roman" w:hAnsi="Times New Roman" w:cs="Times New Roman"/>
          <w:lang w:val="en"/>
        </w:rPr>
        <w:t>integrated reporting</w:t>
      </w:r>
      <w:r w:rsidRPr="00DD1E36">
        <w:rPr>
          <w:rFonts w:ascii="Times New Roman" w:hAnsi="Times New Roman" w:cs="Times New Roman"/>
          <w:lang w:val="en"/>
        </w:rPr>
        <w:t xml:space="preserve"> principles c[</w:t>
      </w:r>
      <w:proofErr w:type="spellStart"/>
      <w:r w:rsidRPr="00DD1E36">
        <w:rPr>
          <w:rFonts w:ascii="Times New Roman" w:hAnsi="Times New Roman" w:cs="Times New Roman"/>
          <w:lang w:val="en"/>
        </w:rPr>
        <w:t>ould</w:t>
      </w:r>
      <w:proofErr w:type="spellEnd"/>
      <w:r w:rsidRPr="00DD1E36">
        <w:rPr>
          <w:rFonts w:ascii="Times New Roman" w:hAnsi="Times New Roman" w:cs="Times New Roman"/>
          <w:lang w:val="en"/>
        </w:rPr>
        <w:t xml:space="preserve">] be aligned with accounting practices to strengthen </w:t>
      </w:r>
      <w:r w:rsidRPr="00A43994">
        <w:rPr>
          <w:rFonts w:ascii="Times New Roman" w:hAnsi="Times New Roman" w:cs="Times New Roman"/>
          <w:lang w:val="en"/>
        </w:rPr>
        <w:t>corporate reporting</w:t>
      </w:r>
      <w:r w:rsidR="000F3DF0">
        <w:rPr>
          <w:rFonts w:ascii="Times New Roman" w:hAnsi="Times New Roman" w:cs="Times New Roman"/>
          <w:lang w:val="en"/>
        </w:rPr>
        <w:t>’</w:t>
      </w:r>
      <w:r w:rsidRPr="00A43994">
        <w:rPr>
          <w:rFonts w:ascii="Times New Roman" w:hAnsi="Times New Roman" w:cs="Times New Roman"/>
          <w:lang w:val="en"/>
        </w:rPr>
        <w:t xml:space="preserve">. </w:t>
      </w:r>
      <w:r w:rsidR="000753B3">
        <w:rPr>
          <w:rFonts w:ascii="Times New Roman" w:hAnsi="Times New Roman" w:cs="Times New Roman"/>
          <w:lang w:val="en"/>
        </w:rPr>
        <w:t xml:space="preserve">The then </w:t>
      </w:r>
      <w:r w:rsidRPr="00A43994">
        <w:rPr>
          <w:rFonts w:ascii="Times New Roman" w:hAnsi="Times New Roman" w:cs="Times New Roman"/>
          <w:lang w:val="en"/>
        </w:rPr>
        <w:t>IFAC CEO Ian Ball</w:t>
      </w:r>
      <w:r w:rsidR="00613B8C">
        <w:rPr>
          <w:rFonts w:ascii="Times New Roman" w:hAnsi="Times New Roman" w:cs="Times New Roman"/>
          <w:lang w:val="en"/>
        </w:rPr>
        <w:t xml:space="preserve"> </w:t>
      </w:r>
      <w:r w:rsidRPr="00A43994">
        <w:rPr>
          <w:rFonts w:ascii="Times New Roman" w:hAnsi="Times New Roman" w:cs="Times New Roman"/>
          <w:lang w:val="en"/>
        </w:rPr>
        <w:t xml:space="preserve">highlighted how </w:t>
      </w:r>
      <w:r w:rsidR="00121D10">
        <w:rPr>
          <w:rFonts w:ascii="Times New Roman" w:hAnsi="Times New Roman" w:cs="Times New Roman"/>
          <w:lang w:val="en"/>
        </w:rPr>
        <w:t>integrated reporting</w:t>
      </w:r>
      <w:r w:rsidRPr="00A43994">
        <w:rPr>
          <w:rFonts w:ascii="Times New Roman" w:hAnsi="Times New Roman" w:cs="Times New Roman"/>
          <w:lang w:val="en"/>
        </w:rPr>
        <w:t xml:space="preserve"> could </w:t>
      </w:r>
      <w:r w:rsidRPr="004158E0">
        <w:rPr>
          <w:rFonts w:ascii="Times New Roman" w:hAnsi="Times New Roman" w:cs="Times New Roman"/>
          <w:i/>
          <w:lang w:val="en"/>
        </w:rPr>
        <w:t xml:space="preserve">supplement </w:t>
      </w:r>
      <w:r w:rsidRPr="00A43994">
        <w:rPr>
          <w:rFonts w:ascii="Times New Roman" w:hAnsi="Times New Roman" w:cs="Times New Roman"/>
          <w:lang w:val="en"/>
        </w:rPr>
        <w:t>traditional financial reporting</w:t>
      </w:r>
      <w:r w:rsidRPr="00DD1E36">
        <w:rPr>
          <w:lang w:val="en"/>
        </w:rPr>
        <w:t>:</w:t>
      </w:r>
    </w:p>
    <w:p w14:paraId="7BD8DE54" w14:textId="77777777" w:rsidR="00422BEF" w:rsidRPr="00DD1E36" w:rsidRDefault="00422BEF" w:rsidP="00422BEF">
      <w:pPr>
        <w:pStyle w:val="NormalWeb"/>
        <w:ind w:left="708"/>
        <w:jc w:val="both"/>
        <w:rPr>
          <w:sz w:val="20"/>
          <w:szCs w:val="20"/>
          <w:lang w:val="en" w:eastAsia="en-US"/>
        </w:rPr>
      </w:pPr>
      <w:r w:rsidRPr="00DD1E36">
        <w:rPr>
          <w:sz w:val="20"/>
          <w:szCs w:val="20"/>
          <w:lang w:val="en" w:eastAsia="en-US"/>
        </w:rPr>
        <w:t xml:space="preserve">There are </w:t>
      </w:r>
      <w:r w:rsidRPr="00DD1E36">
        <w:rPr>
          <w:i/>
          <w:sz w:val="20"/>
          <w:szCs w:val="20"/>
          <w:lang w:val="en" w:eastAsia="en-US"/>
        </w:rPr>
        <w:t>inherent synergies</w:t>
      </w:r>
      <w:r w:rsidRPr="00DD1E36">
        <w:rPr>
          <w:sz w:val="20"/>
          <w:szCs w:val="20"/>
          <w:lang w:val="en" w:eastAsia="en-US"/>
        </w:rPr>
        <w:t xml:space="preserve"> between the work of IFAC and the IIRC in support of an internationally accepted framework for </w:t>
      </w:r>
      <w:r>
        <w:rPr>
          <w:sz w:val="20"/>
          <w:szCs w:val="20"/>
          <w:lang w:val="en" w:eastAsia="en-US"/>
        </w:rPr>
        <w:t>Integrated Reporting</w:t>
      </w:r>
      <w:r w:rsidRPr="00DD1E36">
        <w:rPr>
          <w:sz w:val="20"/>
          <w:szCs w:val="20"/>
          <w:lang w:val="en" w:eastAsia="en-US"/>
        </w:rPr>
        <w:t xml:space="preserve"> … </w:t>
      </w:r>
      <w:r w:rsidRPr="00DD1E36">
        <w:rPr>
          <w:i/>
          <w:sz w:val="20"/>
          <w:szCs w:val="20"/>
          <w:lang w:val="en" w:eastAsia="en-US"/>
        </w:rPr>
        <w:t>Traditional financial reporting alone is no longer enough information for investors and stakeholders</w:t>
      </w:r>
      <w:r w:rsidRPr="00DD1E36">
        <w:rPr>
          <w:sz w:val="20"/>
          <w:szCs w:val="20"/>
          <w:lang w:val="en" w:eastAsia="en-US"/>
        </w:rPr>
        <w:t>. A more complete picture is needed, and the work of the IIRC will help guide organizations to achieve this (emphasis added).</w:t>
      </w:r>
    </w:p>
    <w:p w14:paraId="49D63A9F" w14:textId="74A12E62" w:rsidR="00422BEF" w:rsidRDefault="00422BEF" w:rsidP="00422BEF">
      <w:pPr>
        <w:spacing w:after="0" w:line="360" w:lineRule="auto"/>
        <w:ind w:firstLine="708"/>
        <w:jc w:val="both"/>
        <w:rPr>
          <w:rFonts w:ascii="Times New Roman" w:eastAsia="Times New Roman" w:hAnsi="Times New Roman" w:cs="Times New Roman"/>
          <w:lang w:val="en"/>
        </w:rPr>
      </w:pPr>
      <w:r w:rsidRPr="00DD1E36">
        <w:rPr>
          <w:rFonts w:ascii="Times New Roman" w:eastAsia="Times New Roman" w:hAnsi="Times New Roman" w:cs="Times New Roman"/>
          <w:lang w:val="en"/>
        </w:rPr>
        <w:t xml:space="preserve">On signing the </w:t>
      </w:r>
      <w:r w:rsidR="00194884">
        <w:rPr>
          <w:rFonts w:ascii="Times New Roman" w:eastAsia="Times New Roman" w:hAnsi="Times New Roman" w:cs="Times New Roman"/>
          <w:lang w:val="en"/>
        </w:rPr>
        <w:t>Memorandum of Understanding</w:t>
      </w:r>
      <w:r w:rsidR="00613B8C">
        <w:rPr>
          <w:rFonts w:ascii="Times New Roman" w:eastAsia="Times New Roman" w:hAnsi="Times New Roman" w:cs="Times New Roman"/>
          <w:lang w:val="en"/>
        </w:rPr>
        <w:t xml:space="preserve"> with IFAC</w:t>
      </w:r>
      <w:r w:rsidRPr="00DD1E36">
        <w:rPr>
          <w:rFonts w:ascii="Times New Roman" w:eastAsia="Times New Roman" w:hAnsi="Times New Roman" w:cs="Times New Roman"/>
          <w:lang w:val="en"/>
        </w:rPr>
        <w:t xml:space="preserve">, </w:t>
      </w:r>
      <w:proofErr w:type="spellStart"/>
      <w:r w:rsidRPr="00DD1E36">
        <w:rPr>
          <w:rFonts w:ascii="Times New Roman" w:eastAsia="Times New Roman" w:hAnsi="Times New Roman" w:cs="Times New Roman"/>
          <w:lang w:val="en"/>
        </w:rPr>
        <w:t>Druckman</w:t>
      </w:r>
      <w:proofErr w:type="spellEnd"/>
      <w:r w:rsidRPr="00DD1E36">
        <w:rPr>
          <w:rFonts w:ascii="Times New Roman" w:eastAsia="Times New Roman" w:hAnsi="Times New Roman" w:cs="Times New Roman"/>
          <w:lang w:val="en"/>
        </w:rPr>
        <w:t xml:space="preserve"> </w:t>
      </w:r>
      <w:r w:rsidR="00B73EBA">
        <w:rPr>
          <w:rFonts w:ascii="Times New Roman" w:eastAsia="Times New Roman" w:hAnsi="Times New Roman" w:cs="Times New Roman"/>
          <w:lang w:val="en"/>
        </w:rPr>
        <w:t xml:space="preserve">stressed </w:t>
      </w:r>
      <w:r w:rsidR="00A932FF">
        <w:rPr>
          <w:rFonts w:ascii="Times New Roman" w:eastAsia="Times New Roman" w:hAnsi="Times New Roman" w:cs="Times New Roman"/>
          <w:lang w:val="en"/>
        </w:rPr>
        <w:t>t</w:t>
      </w:r>
      <w:r w:rsidRPr="00DD1E36">
        <w:rPr>
          <w:rFonts w:ascii="Times New Roman" w:eastAsia="Times New Roman" w:hAnsi="Times New Roman" w:cs="Times New Roman"/>
          <w:lang w:val="en"/>
        </w:rPr>
        <w:t xml:space="preserve">he crucial role of the accounting profession in supporting the adoption of </w:t>
      </w:r>
      <w:r w:rsidR="00121D10">
        <w:rPr>
          <w:rFonts w:ascii="Times New Roman" w:eastAsia="Times New Roman" w:hAnsi="Times New Roman" w:cs="Times New Roman"/>
          <w:lang w:val="en"/>
        </w:rPr>
        <w:t>integrated reporting</w:t>
      </w:r>
      <w:r w:rsidRPr="00DD1E36">
        <w:rPr>
          <w:rFonts w:ascii="Times New Roman" w:eastAsia="Times New Roman" w:hAnsi="Times New Roman" w:cs="Times New Roman"/>
          <w:lang w:val="en"/>
        </w:rPr>
        <w:t xml:space="preserve"> which would, he contended, </w:t>
      </w:r>
      <w:r w:rsidR="000F3DF0">
        <w:rPr>
          <w:rFonts w:ascii="Times New Roman" w:eastAsia="Times New Roman" w:hAnsi="Times New Roman" w:cs="Times New Roman"/>
          <w:lang w:val="en"/>
        </w:rPr>
        <w:t>‘</w:t>
      </w:r>
      <w:r w:rsidRPr="00DD1E36">
        <w:rPr>
          <w:rFonts w:ascii="Times New Roman" w:eastAsia="Times New Roman" w:hAnsi="Times New Roman" w:cs="Times New Roman"/>
          <w:lang w:val="en"/>
        </w:rPr>
        <w:t>support … efficient and productive capital markets, and a more sustainable global econom</w:t>
      </w:r>
      <w:r w:rsidRPr="00A43994">
        <w:rPr>
          <w:rFonts w:ascii="Times New Roman" w:eastAsia="Times New Roman" w:hAnsi="Times New Roman" w:cs="Times New Roman"/>
          <w:lang w:val="en"/>
        </w:rPr>
        <w:t>y</w:t>
      </w:r>
      <w:r w:rsidR="000F3DF0">
        <w:rPr>
          <w:rFonts w:ascii="Times New Roman" w:eastAsia="Times New Roman" w:hAnsi="Times New Roman" w:cs="Times New Roman"/>
          <w:lang w:val="en"/>
        </w:rPr>
        <w:t>’</w:t>
      </w:r>
      <w:r w:rsidRPr="00A43994">
        <w:rPr>
          <w:rFonts w:ascii="Times New Roman" w:eastAsia="Times New Roman" w:hAnsi="Times New Roman" w:cs="Times New Roman"/>
          <w:lang w:val="en"/>
        </w:rPr>
        <w:t>:</w:t>
      </w:r>
    </w:p>
    <w:p w14:paraId="79C4587F" w14:textId="77777777" w:rsidR="00A932FF" w:rsidRPr="00DD1E36" w:rsidRDefault="00A932FF" w:rsidP="00422BEF">
      <w:pPr>
        <w:spacing w:after="0" w:line="360" w:lineRule="auto"/>
        <w:ind w:firstLine="708"/>
        <w:jc w:val="both"/>
        <w:rPr>
          <w:rFonts w:ascii="Times New Roman" w:eastAsia="Times New Roman" w:hAnsi="Times New Roman" w:cs="Times New Roman"/>
          <w:lang w:val="en"/>
        </w:rPr>
      </w:pPr>
    </w:p>
    <w:p w14:paraId="3A93B436" w14:textId="7AF3B28F" w:rsidR="00422BEF" w:rsidRDefault="00422BEF" w:rsidP="00422BEF">
      <w:pPr>
        <w:spacing w:line="240" w:lineRule="auto"/>
        <w:ind w:left="708"/>
        <w:jc w:val="both"/>
        <w:rPr>
          <w:rFonts w:ascii="Times New Roman" w:eastAsia="Times New Roman" w:hAnsi="Times New Roman" w:cs="Times New Roman"/>
          <w:color w:val="666666"/>
          <w:sz w:val="20"/>
          <w:szCs w:val="20"/>
          <w:lang w:val="en"/>
        </w:rPr>
      </w:pPr>
      <w:r w:rsidRPr="00DD1E36">
        <w:rPr>
          <w:rFonts w:ascii="Times New Roman" w:eastAsia="Times New Roman" w:hAnsi="Times New Roman" w:cs="Times New Roman"/>
          <w:sz w:val="20"/>
          <w:szCs w:val="20"/>
          <w:lang w:val="en"/>
        </w:rPr>
        <w:t>The accountancy profession globally has a vital role to play in providing confidence in the validity of both the narrative and the numbers that businesses must disclose to secure investment and provide transparency. This MoU</w:t>
      </w:r>
      <w:r w:rsidR="00531AB5">
        <w:rPr>
          <w:rFonts w:ascii="Times New Roman" w:eastAsia="Times New Roman" w:hAnsi="Times New Roman" w:cs="Times New Roman"/>
          <w:sz w:val="20"/>
          <w:szCs w:val="20"/>
          <w:lang w:val="en"/>
        </w:rPr>
        <w:t xml:space="preserve"> [Memorandum of Understanding]</w:t>
      </w:r>
      <w:r w:rsidRPr="00DD1E36">
        <w:rPr>
          <w:rFonts w:ascii="Times New Roman" w:eastAsia="Times New Roman" w:hAnsi="Times New Roman" w:cs="Times New Roman"/>
          <w:sz w:val="20"/>
          <w:szCs w:val="20"/>
          <w:lang w:val="en"/>
        </w:rPr>
        <w:t xml:space="preserve"> underscores the value that both IFAC and the IIRC place in this continued partnership, and its role in helping to secure an evolution in corporate reporting that supports efficient and productive capital markets, and a more sustainable global economy</w:t>
      </w:r>
      <w:r w:rsidRPr="00DD1E36">
        <w:rPr>
          <w:rFonts w:ascii="Times New Roman" w:eastAsia="Times New Roman" w:hAnsi="Times New Roman" w:cs="Times New Roman"/>
          <w:color w:val="666666"/>
          <w:sz w:val="20"/>
          <w:szCs w:val="20"/>
          <w:lang w:val="en"/>
        </w:rPr>
        <w:t>.</w:t>
      </w:r>
    </w:p>
    <w:p w14:paraId="4F755C46" w14:textId="77777777" w:rsidR="00AD3611" w:rsidRPr="00DD1E36" w:rsidRDefault="00AD3611" w:rsidP="00422BEF">
      <w:pPr>
        <w:spacing w:line="240" w:lineRule="auto"/>
        <w:ind w:left="708"/>
        <w:jc w:val="both"/>
        <w:rPr>
          <w:rFonts w:ascii="Times New Roman" w:eastAsia="Times New Roman" w:hAnsi="Times New Roman" w:cs="Times New Roman"/>
          <w:color w:val="666666"/>
          <w:sz w:val="20"/>
          <w:szCs w:val="20"/>
          <w:lang w:val="en"/>
        </w:rPr>
      </w:pPr>
    </w:p>
    <w:p w14:paraId="20B20B4D" w14:textId="0B6E8720" w:rsidR="00194884" w:rsidRDefault="00422BEF" w:rsidP="00422BEF">
      <w:pPr>
        <w:spacing w:line="360" w:lineRule="auto"/>
        <w:ind w:firstLine="708"/>
        <w:jc w:val="both"/>
        <w:rPr>
          <w:rFonts w:ascii="Times New Roman" w:hAnsi="Times New Roman" w:cs="Times New Roman"/>
          <w:lang w:val="en"/>
        </w:rPr>
      </w:pPr>
      <w:r w:rsidRPr="00DD1E36">
        <w:rPr>
          <w:rFonts w:ascii="Times New Roman" w:hAnsi="Times New Roman" w:cs="Times New Roman"/>
          <w:lang w:val="en"/>
        </w:rPr>
        <w:t xml:space="preserve">Prior to the launch of the draft </w:t>
      </w:r>
      <w:r w:rsidR="00121D10">
        <w:rPr>
          <w:rFonts w:ascii="Times New Roman" w:hAnsi="Times New Roman" w:cs="Times New Roman"/>
          <w:lang w:val="en"/>
        </w:rPr>
        <w:t>integrated reporting</w:t>
      </w:r>
      <w:r w:rsidRPr="00DD1E36">
        <w:rPr>
          <w:rFonts w:ascii="Times New Roman" w:hAnsi="Times New Roman" w:cs="Times New Roman"/>
          <w:lang w:val="en"/>
        </w:rPr>
        <w:t xml:space="preserve"> framework in April 2013, the IIRC signed a </w:t>
      </w:r>
      <w:r w:rsidR="00194884">
        <w:rPr>
          <w:rFonts w:ascii="Times New Roman" w:hAnsi="Times New Roman" w:cs="Times New Roman"/>
          <w:lang w:val="en"/>
        </w:rPr>
        <w:t>Memorandum of Understanding</w:t>
      </w:r>
      <w:r w:rsidRPr="00DD1E36">
        <w:rPr>
          <w:rFonts w:ascii="Times New Roman" w:hAnsi="Times New Roman" w:cs="Times New Roman"/>
          <w:lang w:val="en"/>
        </w:rPr>
        <w:t xml:space="preserve"> with the IASB</w:t>
      </w:r>
      <w:r>
        <w:rPr>
          <w:rFonts w:ascii="Times New Roman" w:hAnsi="Times New Roman" w:cs="Times New Roman"/>
          <w:lang w:val="en"/>
        </w:rPr>
        <w:t xml:space="preserve"> </w:t>
      </w:r>
      <w:r w:rsidRPr="00DD1E36">
        <w:rPr>
          <w:rFonts w:ascii="Times New Roman" w:hAnsi="Times New Roman" w:cs="Times New Roman"/>
          <w:lang w:val="en"/>
        </w:rPr>
        <w:t xml:space="preserve">in which the IASB committed to </w:t>
      </w:r>
      <w:r w:rsidR="000F3DF0">
        <w:rPr>
          <w:rFonts w:ascii="Times New Roman" w:hAnsi="Times New Roman" w:cs="Times New Roman"/>
          <w:lang w:val="en"/>
        </w:rPr>
        <w:t>‘</w:t>
      </w:r>
      <w:r w:rsidRPr="00DD1E36">
        <w:rPr>
          <w:rFonts w:ascii="Times New Roman" w:hAnsi="Times New Roman" w:cs="Times New Roman"/>
          <w:lang w:val="en"/>
        </w:rPr>
        <w:t xml:space="preserve">work proactively to identify ways and means by which </w:t>
      </w:r>
      <w:r w:rsidR="00121D10">
        <w:rPr>
          <w:rFonts w:ascii="Times New Roman" w:hAnsi="Times New Roman" w:cs="Times New Roman"/>
          <w:lang w:val="en"/>
        </w:rPr>
        <w:t>integrated reporting</w:t>
      </w:r>
      <w:r w:rsidRPr="00DD1E36">
        <w:rPr>
          <w:rFonts w:ascii="Times New Roman" w:hAnsi="Times New Roman" w:cs="Times New Roman"/>
          <w:lang w:val="en"/>
        </w:rPr>
        <w:t xml:space="preserve"> and financial reporting standards [could] be </w:t>
      </w:r>
      <w:r w:rsidRPr="00DD1E36">
        <w:rPr>
          <w:rFonts w:ascii="Times New Roman" w:hAnsi="Times New Roman" w:cs="Times New Roman"/>
          <w:lang w:val="en"/>
        </w:rPr>
        <w:lastRenderedPageBreak/>
        <w:t>aligned to strengthen corporate reporting</w:t>
      </w:r>
      <w:r w:rsidR="000F3DF0">
        <w:rPr>
          <w:rFonts w:ascii="Times New Roman" w:hAnsi="Times New Roman" w:cs="Times New Roman"/>
          <w:lang w:val="en"/>
        </w:rPr>
        <w:t>’</w:t>
      </w:r>
      <w:r>
        <w:rPr>
          <w:rFonts w:ascii="Times New Roman" w:hAnsi="Times New Roman" w:cs="Times New Roman"/>
          <w:lang w:val="en"/>
        </w:rPr>
        <w:t>.</w:t>
      </w:r>
      <w:r w:rsidRPr="00DD1E36">
        <w:rPr>
          <w:rFonts w:ascii="Times New Roman" w:hAnsi="Times New Roman" w:cs="Times New Roman"/>
          <w:lang w:val="en"/>
        </w:rPr>
        <w:t xml:space="preserve"> </w:t>
      </w:r>
      <w:r w:rsidR="005C5C77">
        <w:rPr>
          <w:rFonts w:ascii="Times New Roman" w:hAnsi="Times New Roman" w:cs="Times New Roman"/>
          <w:lang w:val="en"/>
        </w:rPr>
        <w:t>Again, the focus was on alignment and not differentiation</w:t>
      </w:r>
      <w:r w:rsidR="00D575FD">
        <w:rPr>
          <w:rFonts w:ascii="Times New Roman" w:hAnsi="Times New Roman" w:cs="Times New Roman"/>
          <w:lang w:val="en"/>
        </w:rPr>
        <w:t>, developing com</w:t>
      </w:r>
      <w:r w:rsidR="00765445">
        <w:rPr>
          <w:rFonts w:ascii="Times New Roman" w:hAnsi="Times New Roman" w:cs="Times New Roman"/>
          <w:lang w:val="en"/>
        </w:rPr>
        <w:t>m</w:t>
      </w:r>
      <w:r w:rsidR="00D575FD">
        <w:rPr>
          <w:rFonts w:ascii="Times New Roman" w:hAnsi="Times New Roman" w:cs="Times New Roman"/>
          <w:lang w:val="en"/>
        </w:rPr>
        <w:t>onalities between the two f</w:t>
      </w:r>
      <w:r w:rsidR="00213026">
        <w:rPr>
          <w:rFonts w:ascii="Times New Roman" w:hAnsi="Times New Roman" w:cs="Times New Roman"/>
          <w:lang w:val="en"/>
        </w:rPr>
        <w:t>orms of reporting</w:t>
      </w:r>
      <w:r w:rsidR="005C5C77">
        <w:rPr>
          <w:rFonts w:ascii="Times New Roman" w:hAnsi="Times New Roman" w:cs="Times New Roman"/>
          <w:lang w:val="en"/>
        </w:rPr>
        <w:t xml:space="preserve">. </w:t>
      </w:r>
      <w:r w:rsidRPr="00DD1E36">
        <w:rPr>
          <w:rFonts w:ascii="Times New Roman" w:hAnsi="Times New Roman" w:cs="Times New Roman"/>
          <w:lang w:val="en"/>
        </w:rPr>
        <w:t xml:space="preserve">This was a considerable commitment given the complexity and controversy already existing in the financial reporting standards </w:t>
      </w:r>
      <w:r w:rsidR="00597093">
        <w:rPr>
          <w:rFonts w:ascii="Times New Roman" w:hAnsi="Times New Roman" w:cs="Times New Roman"/>
          <w:lang w:val="en"/>
        </w:rPr>
        <w:t>arena</w:t>
      </w:r>
      <w:r w:rsidRPr="00DD1E36">
        <w:rPr>
          <w:rFonts w:ascii="Times New Roman" w:hAnsi="Times New Roman" w:cs="Times New Roman"/>
          <w:lang w:val="en"/>
        </w:rPr>
        <w:t xml:space="preserve">, especially with respect to </w:t>
      </w:r>
      <w:r>
        <w:rPr>
          <w:rFonts w:ascii="Times New Roman" w:hAnsi="Times New Roman" w:cs="Times New Roman"/>
          <w:lang w:val="en"/>
        </w:rPr>
        <w:t xml:space="preserve">the </w:t>
      </w:r>
      <w:r w:rsidRPr="00DD1E36">
        <w:rPr>
          <w:rFonts w:ascii="Times New Roman" w:hAnsi="Times New Roman" w:cs="Times New Roman"/>
          <w:lang w:val="en"/>
        </w:rPr>
        <w:t xml:space="preserve">efforts to create </w:t>
      </w:r>
      <w:r>
        <w:rPr>
          <w:rFonts w:ascii="Times New Roman" w:hAnsi="Times New Roman" w:cs="Times New Roman"/>
          <w:lang w:val="en"/>
        </w:rPr>
        <w:t xml:space="preserve">global support for </w:t>
      </w:r>
      <w:r w:rsidRPr="00DD1E36">
        <w:rPr>
          <w:rFonts w:ascii="Times New Roman" w:hAnsi="Times New Roman" w:cs="Times New Roman"/>
          <w:lang w:val="en"/>
        </w:rPr>
        <w:t xml:space="preserve">IFRSs. </w:t>
      </w:r>
    </w:p>
    <w:p w14:paraId="715E72D9" w14:textId="414FB14E" w:rsidR="00194884" w:rsidRDefault="00422BEF" w:rsidP="00422BEF">
      <w:pPr>
        <w:spacing w:line="360" w:lineRule="auto"/>
        <w:ind w:firstLine="708"/>
        <w:jc w:val="both"/>
        <w:rPr>
          <w:rFonts w:ascii="Times New Roman" w:hAnsi="Times New Roman" w:cs="Times New Roman"/>
          <w:lang w:val="en"/>
        </w:rPr>
      </w:pPr>
      <w:r w:rsidRPr="00DD1E36">
        <w:rPr>
          <w:rFonts w:ascii="Times New Roman" w:hAnsi="Times New Roman" w:cs="Times New Roman"/>
          <w:lang w:val="en"/>
        </w:rPr>
        <w:t>Throughou</w:t>
      </w:r>
      <w:r w:rsidR="005C5C77">
        <w:rPr>
          <w:rFonts w:ascii="Times New Roman" w:hAnsi="Times New Roman" w:cs="Times New Roman"/>
          <w:lang w:val="en"/>
        </w:rPr>
        <w:t xml:space="preserve">t </w:t>
      </w:r>
      <w:r w:rsidRPr="00DD1E36">
        <w:rPr>
          <w:rFonts w:ascii="Times New Roman" w:hAnsi="Times New Roman" w:cs="Times New Roman"/>
          <w:lang w:val="en"/>
        </w:rPr>
        <w:t xml:space="preserve">2013, </w:t>
      </w:r>
      <w:r>
        <w:rPr>
          <w:rFonts w:ascii="Times New Roman" w:hAnsi="Times New Roman" w:cs="Times New Roman"/>
          <w:lang w:val="en"/>
        </w:rPr>
        <w:t xml:space="preserve">additional </w:t>
      </w:r>
      <w:r w:rsidR="00194884">
        <w:rPr>
          <w:rFonts w:ascii="Times New Roman" w:hAnsi="Times New Roman" w:cs="Times New Roman"/>
          <w:lang w:val="en"/>
        </w:rPr>
        <w:t>Memoranda of Understanding</w:t>
      </w:r>
      <w:r w:rsidRPr="00DD1E36">
        <w:rPr>
          <w:rFonts w:ascii="Times New Roman" w:hAnsi="Times New Roman" w:cs="Times New Roman"/>
          <w:lang w:val="en"/>
        </w:rPr>
        <w:t xml:space="preserve"> were signed with potentially competing reporting and standard setting bodies such as the Carbon Disclosure Project, the Climate Disclosure Standards Board</w:t>
      </w:r>
      <w:r w:rsidR="003843B1">
        <w:rPr>
          <w:rFonts w:ascii="Times New Roman" w:hAnsi="Times New Roman" w:cs="Times New Roman"/>
          <w:lang w:val="en"/>
        </w:rPr>
        <w:t xml:space="preserve"> (CDSB)</w:t>
      </w:r>
      <w:r w:rsidRPr="00DD1E36">
        <w:rPr>
          <w:rFonts w:ascii="Times New Roman" w:hAnsi="Times New Roman" w:cs="Times New Roman"/>
          <w:lang w:val="en"/>
        </w:rPr>
        <w:t xml:space="preserve"> and the World Intellectual Capital Initiative. These </w:t>
      </w:r>
      <w:r w:rsidR="00194884">
        <w:rPr>
          <w:rFonts w:ascii="Times New Roman" w:hAnsi="Times New Roman" w:cs="Times New Roman"/>
          <w:lang w:val="en"/>
        </w:rPr>
        <w:t>Memoranda of Understanding</w:t>
      </w:r>
      <w:r w:rsidRPr="00DD1E36">
        <w:rPr>
          <w:rFonts w:ascii="Times New Roman" w:hAnsi="Times New Roman" w:cs="Times New Roman"/>
          <w:lang w:val="en"/>
        </w:rPr>
        <w:t xml:space="preserve"> also </w:t>
      </w:r>
      <w:proofErr w:type="spellStart"/>
      <w:r w:rsidRPr="00DD1E36">
        <w:rPr>
          <w:rFonts w:ascii="Times New Roman" w:hAnsi="Times New Roman" w:cs="Times New Roman"/>
          <w:lang w:val="en"/>
        </w:rPr>
        <w:t>emphasised</w:t>
      </w:r>
      <w:proofErr w:type="spellEnd"/>
      <w:r w:rsidRPr="00DD1E36">
        <w:rPr>
          <w:rFonts w:ascii="Times New Roman" w:hAnsi="Times New Roman" w:cs="Times New Roman"/>
          <w:lang w:val="en"/>
        </w:rPr>
        <w:t xml:space="preserve"> </w:t>
      </w:r>
      <w:r w:rsidR="00213026">
        <w:rPr>
          <w:rFonts w:ascii="Times New Roman" w:hAnsi="Times New Roman" w:cs="Times New Roman"/>
          <w:lang w:val="en"/>
        </w:rPr>
        <w:t xml:space="preserve">the </w:t>
      </w:r>
      <w:r w:rsidRPr="00DD1E36">
        <w:rPr>
          <w:rFonts w:ascii="Times New Roman" w:hAnsi="Times New Roman" w:cs="Times New Roman"/>
          <w:lang w:val="en"/>
        </w:rPr>
        <w:t>collaborati</w:t>
      </w:r>
      <w:r w:rsidR="00213026">
        <w:rPr>
          <w:rFonts w:ascii="Times New Roman" w:hAnsi="Times New Roman" w:cs="Times New Roman"/>
          <w:lang w:val="en"/>
        </w:rPr>
        <w:t>ve</w:t>
      </w:r>
      <w:r w:rsidRPr="00DD1E36">
        <w:rPr>
          <w:rFonts w:ascii="Times New Roman" w:hAnsi="Times New Roman" w:cs="Times New Roman"/>
          <w:lang w:val="en"/>
        </w:rPr>
        <w:t xml:space="preserve"> and </w:t>
      </w:r>
      <w:r w:rsidRPr="00D772A1">
        <w:rPr>
          <w:rFonts w:ascii="Times New Roman" w:hAnsi="Times New Roman" w:cs="Times New Roman"/>
          <w:lang w:val="en"/>
        </w:rPr>
        <w:t>complementary roles</w:t>
      </w:r>
      <w:r w:rsidR="00D575FD">
        <w:rPr>
          <w:rFonts w:ascii="Times New Roman" w:hAnsi="Times New Roman" w:cs="Times New Roman"/>
          <w:lang w:val="en"/>
        </w:rPr>
        <w:t xml:space="preserve"> </w:t>
      </w:r>
      <w:r>
        <w:rPr>
          <w:rFonts w:ascii="Times New Roman" w:hAnsi="Times New Roman" w:cs="Times New Roman"/>
          <w:lang w:val="en"/>
        </w:rPr>
        <w:t xml:space="preserve">that the respective </w:t>
      </w:r>
      <w:r w:rsidRPr="00DD1E36">
        <w:rPr>
          <w:rFonts w:ascii="Times New Roman" w:hAnsi="Times New Roman" w:cs="Times New Roman"/>
          <w:lang w:val="en"/>
        </w:rPr>
        <w:t xml:space="preserve">bodies could play alongside the IIRC. </w:t>
      </w:r>
    </w:p>
    <w:p w14:paraId="6461CF68" w14:textId="3B57C86D" w:rsidR="00422BEF" w:rsidRPr="00DD1E36" w:rsidRDefault="00422BEF" w:rsidP="00422BEF">
      <w:pPr>
        <w:spacing w:line="360" w:lineRule="auto"/>
        <w:ind w:firstLine="708"/>
        <w:jc w:val="both"/>
        <w:rPr>
          <w:rFonts w:ascii="Times New Roman" w:hAnsi="Times New Roman" w:cs="Times New Roman"/>
          <w:lang w:val="en"/>
        </w:rPr>
      </w:pPr>
      <w:r w:rsidRPr="00DD1E36">
        <w:rPr>
          <w:rFonts w:ascii="Times New Roman" w:hAnsi="Times New Roman" w:cs="Times New Roman"/>
          <w:lang w:val="en"/>
        </w:rPr>
        <w:t xml:space="preserve">On signing the </w:t>
      </w:r>
      <w:r w:rsidR="00194884">
        <w:rPr>
          <w:rFonts w:ascii="Times New Roman" w:hAnsi="Times New Roman" w:cs="Times New Roman"/>
          <w:lang w:val="en"/>
        </w:rPr>
        <w:t>Memorandum of Understanding</w:t>
      </w:r>
      <w:r w:rsidRPr="00DD1E36">
        <w:rPr>
          <w:rFonts w:ascii="Times New Roman" w:hAnsi="Times New Roman" w:cs="Times New Roman"/>
          <w:lang w:val="en"/>
        </w:rPr>
        <w:t xml:space="preserve"> with the</w:t>
      </w:r>
      <w:r w:rsidR="00F478C4">
        <w:rPr>
          <w:rFonts w:ascii="Times New Roman" w:hAnsi="Times New Roman" w:cs="Times New Roman"/>
          <w:lang w:val="en"/>
        </w:rPr>
        <w:t xml:space="preserve"> Carbon Disclosure Project</w:t>
      </w:r>
      <w:r w:rsidR="00DC2C04">
        <w:rPr>
          <w:rFonts w:ascii="Times New Roman" w:hAnsi="Times New Roman" w:cs="Times New Roman"/>
          <w:lang w:val="en"/>
        </w:rPr>
        <w:t xml:space="preserve"> </w:t>
      </w:r>
      <w:r w:rsidRPr="00DD1E36">
        <w:rPr>
          <w:rFonts w:ascii="Times New Roman" w:hAnsi="Times New Roman" w:cs="Times New Roman"/>
          <w:lang w:val="en"/>
        </w:rPr>
        <w:t xml:space="preserve">and CDSP, </w:t>
      </w:r>
      <w:proofErr w:type="spellStart"/>
      <w:r w:rsidRPr="00DD1E36">
        <w:rPr>
          <w:rFonts w:ascii="Times New Roman" w:hAnsi="Times New Roman" w:cs="Times New Roman"/>
          <w:lang w:val="en"/>
        </w:rPr>
        <w:t>Druckman</w:t>
      </w:r>
      <w:proofErr w:type="spellEnd"/>
      <w:r w:rsidRPr="00DD1E36">
        <w:rPr>
          <w:rFonts w:ascii="Times New Roman" w:hAnsi="Times New Roman" w:cs="Times New Roman"/>
          <w:lang w:val="en"/>
        </w:rPr>
        <w:t xml:space="preserve"> stated that </w:t>
      </w:r>
      <w:r w:rsidR="00121D10">
        <w:rPr>
          <w:rFonts w:ascii="Times New Roman" w:hAnsi="Times New Roman" w:cs="Times New Roman"/>
          <w:lang w:val="en"/>
        </w:rPr>
        <w:t>integrated reporting</w:t>
      </w:r>
      <w:r w:rsidRPr="00DD1E36">
        <w:rPr>
          <w:rFonts w:ascii="Times New Roman" w:hAnsi="Times New Roman" w:cs="Times New Roman"/>
          <w:lang w:val="en"/>
        </w:rPr>
        <w:t xml:space="preserve"> would not replace but would </w:t>
      </w:r>
      <w:r w:rsidRPr="004158E0">
        <w:rPr>
          <w:rFonts w:ascii="Times New Roman" w:hAnsi="Times New Roman" w:cs="Times New Roman"/>
          <w:i/>
          <w:lang w:val="en"/>
        </w:rPr>
        <w:t>draw on</w:t>
      </w:r>
      <w:r w:rsidRPr="00DD1E36">
        <w:rPr>
          <w:rFonts w:ascii="Times New Roman" w:hAnsi="Times New Roman" w:cs="Times New Roman"/>
          <w:lang w:val="en"/>
        </w:rPr>
        <w:t xml:space="preserve"> the reporting advocated by these bodies, thereby </w:t>
      </w:r>
      <w:r w:rsidR="005C5C77">
        <w:rPr>
          <w:rFonts w:ascii="Times New Roman" w:hAnsi="Times New Roman" w:cs="Times New Roman"/>
          <w:lang w:val="en"/>
        </w:rPr>
        <w:t xml:space="preserve">considerably </w:t>
      </w:r>
      <w:r w:rsidRPr="00DD1E36">
        <w:rPr>
          <w:rFonts w:ascii="Times New Roman" w:hAnsi="Times New Roman" w:cs="Times New Roman"/>
          <w:lang w:val="en"/>
        </w:rPr>
        <w:t xml:space="preserve">softening the earlier </w:t>
      </w:r>
      <w:r>
        <w:rPr>
          <w:rFonts w:ascii="Times New Roman" w:hAnsi="Times New Roman" w:cs="Times New Roman"/>
          <w:lang w:val="en"/>
        </w:rPr>
        <w:t>IIRC</w:t>
      </w:r>
      <w:r w:rsidR="00597093">
        <w:rPr>
          <w:rFonts w:ascii="Times New Roman" w:hAnsi="Times New Roman" w:cs="Times New Roman"/>
          <w:lang w:val="en"/>
        </w:rPr>
        <w:t xml:space="preserve"> claims</w:t>
      </w:r>
      <w:r w:rsidR="007847C2">
        <w:rPr>
          <w:rFonts w:ascii="Times New Roman" w:hAnsi="Times New Roman" w:cs="Times New Roman"/>
          <w:lang w:val="en"/>
        </w:rPr>
        <w:t xml:space="preserve"> </w:t>
      </w:r>
      <w:r w:rsidR="003843B1">
        <w:rPr>
          <w:rFonts w:ascii="Times New Roman" w:hAnsi="Times New Roman" w:cs="Times New Roman"/>
          <w:lang w:val="en"/>
        </w:rPr>
        <w:t xml:space="preserve">which had suggested </w:t>
      </w:r>
      <w:r w:rsidRPr="00DD1E36">
        <w:rPr>
          <w:rFonts w:ascii="Times New Roman" w:hAnsi="Times New Roman" w:cs="Times New Roman"/>
          <w:lang w:val="en"/>
        </w:rPr>
        <w:t xml:space="preserve">that </w:t>
      </w:r>
      <w:r w:rsidR="00121D10">
        <w:rPr>
          <w:rFonts w:ascii="Times New Roman" w:hAnsi="Times New Roman" w:cs="Times New Roman"/>
          <w:lang w:val="en"/>
        </w:rPr>
        <w:t>integrated reporting</w:t>
      </w:r>
      <w:r w:rsidRPr="00DD1E36">
        <w:rPr>
          <w:rFonts w:ascii="Times New Roman" w:hAnsi="Times New Roman" w:cs="Times New Roman"/>
          <w:lang w:val="en"/>
        </w:rPr>
        <w:t xml:space="preserve"> would </w:t>
      </w:r>
      <w:r>
        <w:rPr>
          <w:rFonts w:ascii="Times New Roman" w:hAnsi="Times New Roman" w:cs="Times New Roman"/>
          <w:lang w:val="en"/>
        </w:rPr>
        <w:t xml:space="preserve">eventually </w:t>
      </w:r>
      <w:r w:rsidRPr="00DD1E36">
        <w:rPr>
          <w:rFonts w:ascii="Times New Roman" w:hAnsi="Times New Roman" w:cs="Times New Roman"/>
          <w:lang w:val="en"/>
        </w:rPr>
        <w:t>replace much existing financial and non-financial reporting:</w:t>
      </w:r>
    </w:p>
    <w:p w14:paraId="175EAACA" w14:textId="6D962C5D" w:rsidR="00422BEF" w:rsidRPr="00BB21C4" w:rsidRDefault="00422BEF" w:rsidP="00422BEF">
      <w:pPr>
        <w:shd w:val="clear" w:color="auto" w:fill="FFFFFF"/>
        <w:spacing w:before="100" w:beforeAutospacing="1" w:after="100" w:afterAutospacing="1" w:line="240" w:lineRule="auto"/>
        <w:ind w:left="708"/>
        <w:jc w:val="both"/>
        <w:rPr>
          <w:rFonts w:ascii="Times New Roman" w:eastAsia="Times New Roman" w:hAnsi="Times New Roman" w:cs="Times New Roman"/>
          <w:sz w:val="20"/>
          <w:szCs w:val="20"/>
          <w:lang w:val="en-US"/>
        </w:rPr>
      </w:pPr>
      <w:r w:rsidRPr="00BB21C4">
        <w:rPr>
          <w:rFonts w:ascii="Times New Roman" w:eastAsia="Times New Roman" w:hAnsi="Times New Roman" w:cs="Times New Roman"/>
          <w:sz w:val="20"/>
          <w:szCs w:val="20"/>
          <w:lang w:val="en-US"/>
        </w:rPr>
        <w:t xml:space="preserve">The express intention of the IIRC to work collaboratively with other reporting initiatives, frameworks and innovations is to provide greater clarity to the market and achieve greater momentum towards the adoption of Integrated Reporting.  </w:t>
      </w:r>
      <w:r w:rsidR="00194884">
        <w:rPr>
          <w:rFonts w:ascii="Times New Roman" w:eastAsia="Times New Roman" w:hAnsi="Times New Roman" w:cs="Times New Roman"/>
          <w:sz w:val="20"/>
          <w:szCs w:val="20"/>
          <w:lang w:val="en-US"/>
        </w:rPr>
        <w:t>[Integrated Re</w:t>
      </w:r>
      <w:r w:rsidR="00121D10">
        <w:rPr>
          <w:rFonts w:ascii="Times New Roman" w:eastAsia="Times New Roman" w:hAnsi="Times New Roman" w:cs="Times New Roman"/>
          <w:sz w:val="20"/>
          <w:szCs w:val="20"/>
          <w:lang w:val="en-US"/>
        </w:rPr>
        <w:t>porting</w:t>
      </w:r>
      <w:r w:rsidR="00194884">
        <w:rPr>
          <w:rFonts w:ascii="Times New Roman" w:eastAsia="Times New Roman" w:hAnsi="Times New Roman" w:cs="Times New Roman"/>
          <w:sz w:val="20"/>
          <w:szCs w:val="20"/>
          <w:lang w:val="en-US"/>
        </w:rPr>
        <w:t>]</w:t>
      </w:r>
      <w:r w:rsidRPr="00BB21C4">
        <w:rPr>
          <w:rFonts w:ascii="Times New Roman" w:eastAsia="Times New Roman" w:hAnsi="Times New Roman" w:cs="Times New Roman"/>
          <w:sz w:val="20"/>
          <w:szCs w:val="20"/>
          <w:lang w:val="en-US"/>
        </w:rPr>
        <w:t xml:space="preserve"> is not intended to supplant other non-financial disclosures, but to utilize these disclosures, through the applic</w:t>
      </w:r>
      <w:r w:rsidR="00BB21C4">
        <w:rPr>
          <w:rFonts w:ascii="Times New Roman" w:eastAsia="Times New Roman" w:hAnsi="Times New Roman" w:cs="Times New Roman"/>
          <w:sz w:val="20"/>
          <w:szCs w:val="20"/>
          <w:lang w:val="en-US"/>
        </w:rPr>
        <w:t xml:space="preserve">ation of the principles of </w:t>
      </w:r>
      <w:r w:rsidR="00194884">
        <w:rPr>
          <w:rFonts w:ascii="Times New Roman" w:eastAsia="Times New Roman" w:hAnsi="Times New Roman" w:cs="Times New Roman"/>
          <w:sz w:val="20"/>
          <w:szCs w:val="20"/>
          <w:lang w:val="en-US"/>
        </w:rPr>
        <w:t>[I</w:t>
      </w:r>
      <w:r w:rsidR="00121D10">
        <w:rPr>
          <w:rFonts w:ascii="Times New Roman" w:eastAsia="Times New Roman" w:hAnsi="Times New Roman" w:cs="Times New Roman"/>
          <w:sz w:val="20"/>
          <w:szCs w:val="20"/>
          <w:lang w:val="en-US"/>
        </w:rPr>
        <w:t xml:space="preserve">ntegrated </w:t>
      </w:r>
      <w:r w:rsidR="00194884">
        <w:rPr>
          <w:rFonts w:ascii="Times New Roman" w:eastAsia="Times New Roman" w:hAnsi="Times New Roman" w:cs="Times New Roman"/>
          <w:sz w:val="20"/>
          <w:szCs w:val="20"/>
          <w:lang w:val="en-US"/>
        </w:rPr>
        <w:t>R</w:t>
      </w:r>
      <w:r w:rsidR="00121D10">
        <w:rPr>
          <w:rFonts w:ascii="Times New Roman" w:eastAsia="Times New Roman" w:hAnsi="Times New Roman" w:cs="Times New Roman"/>
          <w:sz w:val="20"/>
          <w:szCs w:val="20"/>
          <w:lang w:val="en-US"/>
        </w:rPr>
        <w:t>eporting</w:t>
      </w:r>
      <w:r w:rsidR="00BB21C4">
        <w:rPr>
          <w:rFonts w:ascii="Times New Roman" w:eastAsia="Times New Roman" w:hAnsi="Times New Roman" w:cs="Times New Roman"/>
          <w:sz w:val="20"/>
          <w:szCs w:val="20"/>
          <w:lang w:val="en-US"/>
        </w:rPr>
        <w:t>.</w:t>
      </w:r>
    </w:p>
    <w:p w14:paraId="25CAD157" w14:textId="31B0DCAF" w:rsidR="00422BEF" w:rsidRPr="00DD1E36" w:rsidRDefault="00962060" w:rsidP="00422BEF">
      <w:pPr>
        <w:shd w:val="clear" w:color="auto" w:fill="FFFFFF"/>
        <w:spacing w:before="100" w:beforeAutospacing="1" w:after="100" w:afterAutospacing="1"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A </w:t>
      </w:r>
      <w:r w:rsidR="00422BEF" w:rsidRPr="00DD1E36">
        <w:rPr>
          <w:rFonts w:ascii="Times New Roman" w:eastAsia="Times New Roman" w:hAnsi="Times New Roman" w:cs="Times New Roman"/>
          <w:lang w:val="en-US"/>
        </w:rPr>
        <w:t xml:space="preserve">key </w:t>
      </w:r>
      <w:r w:rsidR="00194884">
        <w:rPr>
          <w:rFonts w:ascii="Times New Roman" w:eastAsia="Times New Roman" w:hAnsi="Times New Roman" w:cs="Times New Roman"/>
          <w:lang w:val="en-US"/>
        </w:rPr>
        <w:t>Memorandum of Understanding</w:t>
      </w:r>
      <w:r w:rsidR="00422BEF" w:rsidRPr="00DD1E36">
        <w:rPr>
          <w:rFonts w:ascii="Times New Roman" w:eastAsia="Times New Roman" w:hAnsi="Times New Roman" w:cs="Times New Roman"/>
          <w:lang w:val="en-US"/>
        </w:rPr>
        <w:t xml:space="preserve"> w</w:t>
      </w:r>
      <w:r>
        <w:rPr>
          <w:rFonts w:ascii="Times New Roman" w:eastAsia="Times New Roman" w:hAnsi="Times New Roman" w:cs="Times New Roman"/>
          <w:lang w:val="en-US"/>
        </w:rPr>
        <w:t xml:space="preserve">as </w:t>
      </w:r>
      <w:r w:rsidR="00422BEF" w:rsidRPr="00DD1E36">
        <w:rPr>
          <w:rFonts w:ascii="Times New Roman" w:eastAsia="Times New Roman" w:hAnsi="Times New Roman" w:cs="Times New Roman"/>
          <w:lang w:val="en-US"/>
        </w:rPr>
        <w:t xml:space="preserve">signed with the </w:t>
      </w:r>
      <w:r w:rsidR="003843B1">
        <w:rPr>
          <w:rFonts w:ascii="Times New Roman" w:eastAsia="Times New Roman" w:hAnsi="Times New Roman" w:cs="Times New Roman"/>
          <w:lang w:val="en-US"/>
        </w:rPr>
        <w:t xml:space="preserve">GRI </w:t>
      </w:r>
      <w:r w:rsidR="00422BEF" w:rsidRPr="00DD1E36">
        <w:rPr>
          <w:rFonts w:ascii="Times New Roman" w:eastAsia="Times New Roman" w:hAnsi="Times New Roman" w:cs="Times New Roman"/>
          <w:lang w:val="en-US"/>
        </w:rPr>
        <w:t>in March 2013</w:t>
      </w:r>
      <w:r>
        <w:rPr>
          <w:rStyle w:val="FootnoteReference"/>
          <w:rFonts w:ascii="Times New Roman" w:eastAsia="Times New Roman" w:hAnsi="Times New Roman" w:cs="Times New Roman"/>
          <w:lang w:val="en-US"/>
        </w:rPr>
        <w:footnoteReference w:id="22"/>
      </w:r>
      <w:r w:rsidR="00422BEF" w:rsidRPr="00DD1E36">
        <w:rPr>
          <w:rFonts w:ascii="Times New Roman" w:eastAsia="Times New Roman" w:hAnsi="Times New Roman" w:cs="Times New Roman"/>
          <w:lang w:val="en-US"/>
        </w:rPr>
        <w:t xml:space="preserve">. Ernst </w:t>
      </w:r>
      <w:proofErr w:type="spellStart"/>
      <w:r w:rsidR="00422BEF" w:rsidRPr="00DD1E36">
        <w:rPr>
          <w:rFonts w:ascii="Times New Roman" w:eastAsia="Times New Roman" w:hAnsi="Times New Roman" w:cs="Times New Roman"/>
          <w:lang w:val="en-US"/>
        </w:rPr>
        <w:t>Ligertingen</w:t>
      </w:r>
      <w:proofErr w:type="spellEnd"/>
      <w:r w:rsidR="00D25B4C">
        <w:rPr>
          <w:rFonts w:ascii="Times New Roman" w:eastAsia="Times New Roman" w:hAnsi="Times New Roman" w:cs="Times New Roman"/>
          <w:lang w:val="en-US"/>
        </w:rPr>
        <w:t xml:space="preserve"> of the GRI</w:t>
      </w:r>
      <w:r w:rsidR="00422BEF" w:rsidRPr="00DD1E36">
        <w:rPr>
          <w:rFonts w:ascii="Times New Roman" w:eastAsia="Times New Roman" w:hAnsi="Times New Roman" w:cs="Times New Roman"/>
          <w:lang w:val="en-US"/>
        </w:rPr>
        <w:t xml:space="preserve"> highlighted what he saw as an evolution in corporate reporting in which </w:t>
      </w:r>
      <w:r w:rsidR="00121D10">
        <w:rPr>
          <w:rFonts w:ascii="Times New Roman" w:eastAsia="Times New Roman" w:hAnsi="Times New Roman" w:cs="Times New Roman"/>
          <w:lang w:val="en-US"/>
        </w:rPr>
        <w:t>integrated reporting</w:t>
      </w:r>
      <w:r w:rsidR="00422BEF" w:rsidRPr="00DD1E36">
        <w:rPr>
          <w:rFonts w:ascii="Times New Roman" w:eastAsia="Times New Roman" w:hAnsi="Times New Roman" w:cs="Times New Roman"/>
          <w:lang w:val="en-US"/>
        </w:rPr>
        <w:t xml:space="preserve"> and sustainability reporting would play a vital and complementary role. The </w:t>
      </w:r>
      <w:r w:rsidR="00194884">
        <w:rPr>
          <w:rFonts w:ascii="Times New Roman" w:eastAsia="Times New Roman" w:hAnsi="Times New Roman" w:cs="Times New Roman"/>
          <w:lang w:val="en-US"/>
        </w:rPr>
        <w:t>Memorandum of Understanding</w:t>
      </w:r>
      <w:r w:rsidR="00422BEF" w:rsidRPr="00DD1E36">
        <w:rPr>
          <w:rFonts w:ascii="Times New Roman" w:eastAsia="Times New Roman" w:hAnsi="Times New Roman" w:cs="Times New Roman"/>
          <w:lang w:val="en-US"/>
        </w:rPr>
        <w:t xml:space="preserve"> was carefully worded to ensure that neither body operated to threaten the other. For example, the commitments and arrangements between the pa</w:t>
      </w:r>
      <w:r w:rsidR="00BB21C4">
        <w:rPr>
          <w:rFonts w:ascii="Times New Roman" w:eastAsia="Times New Roman" w:hAnsi="Times New Roman" w:cs="Times New Roman"/>
          <w:lang w:val="en-US"/>
        </w:rPr>
        <w:t>rties specified the following:</w:t>
      </w:r>
      <w:r w:rsidR="00422BEF" w:rsidRPr="00DD1E36">
        <w:rPr>
          <w:rFonts w:ascii="Times New Roman" w:eastAsia="Times New Roman" w:hAnsi="Times New Roman" w:cs="Times New Roman"/>
          <w:lang w:val="en-US"/>
        </w:rPr>
        <w:t xml:space="preserve"> </w:t>
      </w:r>
    </w:p>
    <w:p w14:paraId="70CDB4CB" w14:textId="0EED97ED" w:rsidR="00422BEF" w:rsidRPr="00DD1E36" w:rsidRDefault="00422BEF" w:rsidP="00422BEF">
      <w:pPr>
        <w:shd w:val="clear" w:color="auto" w:fill="FFFFFF"/>
        <w:spacing w:before="100" w:beforeAutospacing="1" w:after="100" w:afterAutospacing="1" w:line="240" w:lineRule="auto"/>
        <w:ind w:left="708"/>
        <w:jc w:val="both"/>
        <w:rPr>
          <w:rFonts w:ascii="Times New Roman" w:eastAsia="Times New Roman" w:hAnsi="Times New Roman" w:cs="Times New Roman"/>
          <w:sz w:val="20"/>
          <w:szCs w:val="20"/>
          <w:lang w:val="en-US"/>
        </w:rPr>
      </w:pPr>
      <w:r w:rsidRPr="00DD1E36">
        <w:rPr>
          <w:rFonts w:ascii="Times New Roman" w:eastAsia="Times New Roman" w:hAnsi="Times New Roman" w:cs="Times New Roman"/>
          <w:sz w:val="20"/>
          <w:szCs w:val="20"/>
          <w:lang w:val="en-US"/>
        </w:rPr>
        <w:t xml:space="preserve">The IIRC commits to … develop </w:t>
      </w:r>
      <w:r w:rsidR="00BB21C4">
        <w:rPr>
          <w:rFonts w:ascii="Times New Roman" w:eastAsia="Times New Roman" w:hAnsi="Times New Roman" w:cs="Times New Roman"/>
          <w:sz w:val="20"/>
          <w:szCs w:val="20"/>
          <w:lang w:val="en-US"/>
        </w:rPr>
        <w:t>and maintain the International IR</w:t>
      </w:r>
      <w:r w:rsidRPr="00DD1E36">
        <w:rPr>
          <w:rFonts w:ascii="Times New Roman" w:eastAsia="Times New Roman" w:hAnsi="Times New Roman" w:cs="Times New Roman"/>
          <w:sz w:val="20"/>
          <w:szCs w:val="20"/>
          <w:lang w:val="en-US"/>
        </w:rPr>
        <w:t xml:space="preserve"> Framework with the intent that it will be (to the extent relevant, applicable and practicable) compatible with and supportive of, yet avoiding duplication (where reasonably possible) of, GRI’s guidelines and standards, both current and (to the extent reasonable and practicable) under development.</w:t>
      </w:r>
    </w:p>
    <w:p w14:paraId="1E9DC6CF" w14:textId="503CB472" w:rsidR="00422BEF" w:rsidRPr="00DD1E36" w:rsidRDefault="00422BEF" w:rsidP="00422BEF">
      <w:pPr>
        <w:shd w:val="clear" w:color="auto" w:fill="FFFFFF"/>
        <w:spacing w:before="100" w:beforeAutospacing="1" w:after="100" w:afterAutospacing="1" w:line="240" w:lineRule="auto"/>
        <w:ind w:left="708"/>
        <w:jc w:val="both"/>
        <w:rPr>
          <w:rFonts w:ascii="Times New Roman" w:eastAsia="Times New Roman" w:hAnsi="Times New Roman" w:cs="Times New Roman"/>
          <w:sz w:val="20"/>
          <w:szCs w:val="20"/>
          <w:highlight w:val="yellow"/>
          <w:lang w:val="en-US"/>
        </w:rPr>
      </w:pPr>
      <w:r w:rsidRPr="00DD1E36">
        <w:rPr>
          <w:rFonts w:ascii="Times New Roman" w:eastAsia="Times New Roman" w:hAnsi="Times New Roman" w:cs="Times New Roman"/>
          <w:sz w:val="20"/>
          <w:szCs w:val="20"/>
          <w:lang w:val="en-US"/>
        </w:rPr>
        <w:t>GRI commits to … develop and maintain its guidelines and standards with the intent that these will be (to the extent relevant, applicable and practicable) compatible with and s</w:t>
      </w:r>
      <w:r w:rsidR="00BB21C4">
        <w:rPr>
          <w:rFonts w:ascii="Times New Roman" w:eastAsia="Times New Roman" w:hAnsi="Times New Roman" w:cs="Times New Roman"/>
          <w:sz w:val="20"/>
          <w:szCs w:val="20"/>
          <w:lang w:val="en-US"/>
        </w:rPr>
        <w:t xml:space="preserve">upportive of the International </w:t>
      </w:r>
      <w:r w:rsidR="00BB21C4">
        <w:rPr>
          <w:rFonts w:ascii="Times New Roman" w:eastAsia="Times New Roman" w:hAnsi="Times New Roman" w:cs="Times New Roman"/>
          <w:sz w:val="20"/>
          <w:szCs w:val="20"/>
          <w:lang w:val="en-US"/>
        </w:rPr>
        <w:lastRenderedPageBreak/>
        <w:t>IR</w:t>
      </w:r>
      <w:r w:rsidRPr="00DD1E36">
        <w:rPr>
          <w:rFonts w:ascii="Times New Roman" w:eastAsia="Times New Roman" w:hAnsi="Times New Roman" w:cs="Times New Roman"/>
          <w:sz w:val="20"/>
          <w:szCs w:val="20"/>
          <w:lang w:val="en-US"/>
        </w:rPr>
        <w:t xml:space="preserve"> Framework and related guidance, both current and (to the extent reasonable and practicable) under </w:t>
      </w:r>
      <w:r w:rsidRPr="00AE20EF">
        <w:rPr>
          <w:rFonts w:ascii="Times New Roman" w:eastAsia="Times New Roman" w:hAnsi="Times New Roman" w:cs="Times New Roman"/>
          <w:sz w:val="20"/>
          <w:szCs w:val="20"/>
          <w:lang w:val="en-US"/>
        </w:rPr>
        <w:t>development.</w:t>
      </w:r>
    </w:p>
    <w:p w14:paraId="489DCB0E" w14:textId="0E7742B5" w:rsidR="006C3F0E" w:rsidRDefault="001A10A2" w:rsidP="00686181">
      <w:pPr>
        <w:spacing w:line="360" w:lineRule="auto"/>
        <w:ind w:firstLine="426"/>
        <w:jc w:val="both"/>
        <w:rPr>
          <w:rFonts w:ascii="Times New Roman" w:hAnsi="Times New Roman" w:cs="Times New Roman"/>
          <w:lang w:val="en-US"/>
        </w:rPr>
      </w:pPr>
      <w:r>
        <w:rPr>
          <w:rFonts w:ascii="Times New Roman" w:hAnsi="Times New Roman" w:cs="Times New Roman"/>
          <w:lang w:val="en-US"/>
        </w:rPr>
        <w:t>O</w:t>
      </w:r>
      <w:r w:rsidR="00422BEF">
        <w:rPr>
          <w:rFonts w:ascii="Times New Roman" w:hAnsi="Times New Roman" w:cs="Times New Roman"/>
          <w:lang w:val="en-US"/>
        </w:rPr>
        <w:t xml:space="preserve">ur analysis </w:t>
      </w:r>
      <w:r w:rsidR="006110A9">
        <w:rPr>
          <w:rFonts w:ascii="Times New Roman" w:hAnsi="Times New Roman" w:cs="Times New Roman"/>
          <w:lang w:val="en-US"/>
        </w:rPr>
        <w:t xml:space="preserve">thus far </w:t>
      </w:r>
      <w:r w:rsidR="00422BEF">
        <w:rPr>
          <w:rFonts w:ascii="Times New Roman" w:hAnsi="Times New Roman" w:cs="Times New Roman"/>
          <w:lang w:val="en-US"/>
        </w:rPr>
        <w:t xml:space="preserve">of the early efforts </w:t>
      </w:r>
      <w:r w:rsidR="00B108F0">
        <w:rPr>
          <w:rFonts w:ascii="Times New Roman" w:hAnsi="Times New Roman" w:cs="Times New Roman"/>
          <w:lang w:val="en-US"/>
        </w:rPr>
        <w:t xml:space="preserve">by the IIRC </w:t>
      </w:r>
      <w:r w:rsidR="00422BEF">
        <w:rPr>
          <w:rFonts w:ascii="Times New Roman" w:hAnsi="Times New Roman" w:cs="Times New Roman"/>
          <w:lang w:val="en-US"/>
        </w:rPr>
        <w:t>to institutionalize</w:t>
      </w:r>
      <w:r w:rsidR="00B108F0">
        <w:rPr>
          <w:rFonts w:ascii="Times New Roman" w:hAnsi="Times New Roman" w:cs="Times New Roman"/>
          <w:lang w:val="en-US"/>
        </w:rPr>
        <w:t xml:space="preserve"> its version of</w:t>
      </w:r>
      <w:r w:rsidR="00422BEF">
        <w:rPr>
          <w:rFonts w:ascii="Times New Roman" w:hAnsi="Times New Roman" w:cs="Times New Roman"/>
          <w:lang w:val="en-US"/>
        </w:rPr>
        <w:t xml:space="preserve"> </w:t>
      </w:r>
      <w:r w:rsidR="00121D10">
        <w:rPr>
          <w:rFonts w:ascii="Times New Roman" w:hAnsi="Times New Roman" w:cs="Times New Roman"/>
          <w:lang w:val="en-US"/>
        </w:rPr>
        <w:t>integrated reporting</w:t>
      </w:r>
      <w:r w:rsidR="00422BEF">
        <w:rPr>
          <w:rFonts w:ascii="Times New Roman" w:hAnsi="Times New Roman" w:cs="Times New Roman"/>
          <w:lang w:val="en-US"/>
        </w:rPr>
        <w:t xml:space="preserve"> </w:t>
      </w:r>
      <w:r w:rsidR="003D3D86">
        <w:rPr>
          <w:rFonts w:ascii="Times New Roman" w:hAnsi="Times New Roman" w:cs="Times New Roman"/>
          <w:lang w:val="en-US"/>
        </w:rPr>
        <w:t>illuminate</w:t>
      </w:r>
      <w:r w:rsidR="00292D9F">
        <w:rPr>
          <w:rFonts w:ascii="Times New Roman" w:hAnsi="Times New Roman" w:cs="Times New Roman"/>
          <w:lang w:val="en-US"/>
        </w:rPr>
        <w:t>s</w:t>
      </w:r>
      <w:r w:rsidR="003D3D86">
        <w:rPr>
          <w:rFonts w:ascii="Times New Roman" w:hAnsi="Times New Roman" w:cs="Times New Roman"/>
          <w:lang w:val="en-US"/>
        </w:rPr>
        <w:t xml:space="preserve"> </w:t>
      </w:r>
      <w:r w:rsidR="00422BEF">
        <w:rPr>
          <w:rFonts w:ascii="Times New Roman" w:hAnsi="Times New Roman" w:cs="Times New Roman"/>
          <w:lang w:val="en-US"/>
        </w:rPr>
        <w:t xml:space="preserve">a number of important, specific refinements </w:t>
      </w:r>
      <w:r w:rsidR="003843B1">
        <w:rPr>
          <w:rFonts w:ascii="Times New Roman" w:hAnsi="Times New Roman" w:cs="Times New Roman"/>
          <w:lang w:val="en-US"/>
        </w:rPr>
        <w:t xml:space="preserve">that need to be made </w:t>
      </w:r>
      <w:r w:rsidR="00422BEF">
        <w:rPr>
          <w:rFonts w:ascii="Times New Roman" w:hAnsi="Times New Roman" w:cs="Times New Roman"/>
          <w:lang w:val="en-US"/>
        </w:rPr>
        <w:t xml:space="preserve">to </w:t>
      </w:r>
      <w:r w:rsidR="00B108F0" w:rsidRPr="00DD1E36">
        <w:rPr>
          <w:rFonts w:ascii="Times New Roman" w:hAnsi="Times New Roman" w:cs="Times New Roman"/>
          <w:lang w:val="en-US"/>
        </w:rPr>
        <w:t xml:space="preserve">Suddaby and </w:t>
      </w:r>
      <w:proofErr w:type="spellStart"/>
      <w:r w:rsidR="00B108F0" w:rsidRPr="00DD1E36">
        <w:rPr>
          <w:rFonts w:ascii="Times New Roman" w:hAnsi="Times New Roman" w:cs="Times New Roman"/>
          <w:lang w:val="en-US"/>
        </w:rPr>
        <w:t>Viale</w:t>
      </w:r>
      <w:r w:rsidR="00B108F0">
        <w:rPr>
          <w:rFonts w:ascii="Times New Roman" w:hAnsi="Times New Roman" w:cs="Times New Roman"/>
          <w:lang w:val="en-US"/>
        </w:rPr>
        <w:t>’s</w:t>
      </w:r>
      <w:proofErr w:type="spellEnd"/>
      <w:r w:rsidR="00B108F0" w:rsidRPr="00DD1E36">
        <w:rPr>
          <w:rFonts w:ascii="Times New Roman" w:hAnsi="Times New Roman" w:cs="Times New Roman"/>
          <w:lang w:val="en-US"/>
        </w:rPr>
        <w:t xml:space="preserve"> </w:t>
      </w:r>
      <w:r w:rsidR="00422BEF">
        <w:rPr>
          <w:rFonts w:ascii="Times New Roman" w:hAnsi="Times New Roman" w:cs="Times New Roman"/>
          <w:lang w:val="en-US"/>
        </w:rPr>
        <w:t>representation of processes of field</w:t>
      </w:r>
      <w:r w:rsidR="00B108F0">
        <w:rPr>
          <w:rFonts w:ascii="Times New Roman" w:hAnsi="Times New Roman" w:cs="Times New Roman"/>
          <w:lang w:val="en-US"/>
        </w:rPr>
        <w:t>-</w:t>
      </w:r>
      <w:r w:rsidR="00422BEF">
        <w:rPr>
          <w:rFonts w:ascii="Times New Roman" w:hAnsi="Times New Roman" w:cs="Times New Roman"/>
          <w:lang w:val="en-US"/>
        </w:rPr>
        <w:t>leve</w:t>
      </w:r>
      <w:r w:rsidR="00EB0212">
        <w:rPr>
          <w:rFonts w:ascii="Times New Roman" w:hAnsi="Times New Roman" w:cs="Times New Roman"/>
          <w:lang w:val="en-US"/>
        </w:rPr>
        <w:t xml:space="preserve">l change. </w:t>
      </w:r>
      <w:r w:rsidR="00422BEF">
        <w:rPr>
          <w:rFonts w:ascii="Times New Roman" w:hAnsi="Times New Roman" w:cs="Times New Roman"/>
          <w:lang w:val="en-US"/>
        </w:rPr>
        <w:t xml:space="preserve">In contrast to </w:t>
      </w:r>
      <w:r w:rsidR="003843B1">
        <w:rPr>
          <w:rFonts w:ascii="Times New Roman" w:hAnsi="Times New Roman" w:cs="Times New Roman"/>
          <w:lang w:val="en-US"/>
        </w:rPr>
        <w:t xml:space="preserve">their </w:t>
      </w:r>
      <w:r w:rsidR="00422BEF">
        <w:rPr>
          <w:rFonts w:ascii="Times New Roman" w:hAnsi="Times New Roman" w:cs="Times New Roman"/>
          <w:lang w:val="en-US"/>
        </w:rPr>
        <w:t xml:space="preserve">claims that </w:t>
      </w:r>
      <w:r w:rsidR="00422BEF" w:rsidRPr="00D772A1">
        <w:rPr>
          <w:rFonts w:ascii="Times New Roman" w:hAnsi="Times New Roman" w:cs="Times New Roman"/>
          <w:i/>
          <w:lang w:val="en-US"/>
        </w:rPr>
        <w:t>individual</w:t>
      </w:r>
      <w:r w:rsidR="00422BEF">
        <w:rPr>
          <w:rFonts w:ascii="Times New Roman" w:hAnsi="Times New Roman" w:cs="Times New Roman"/>
          <w:lang w:val="en-US"/>
        </w:rPr>
        <w:t xml:space="preserve"> professions tend to expand their jurisdiction by colon</w:t>
      </w:r>
      <w:r w:rsidR="00575700">
        <w:rPr>
          <w:rFonts w:ascii="Times New Roman" w:hAnsi="Times New Roman" w:cs="Times New Roman"/>
          <w:lang w:val="en-US"/>
        </w:rPr>
        <w:t>izi</w:t>
      </w:r>
      <w:r w:rsidR="00422BEF">
        <w:rPr>
          <w:rFonts w:ascii="Times New Roman" w:hAnsi="Times New Roman" w:cs="Times New Roman"/>
          <w:lang w:val="en-US"/>
        </w:rPr>
        <w:t xml:space="preserve">ng other professions, our analysis illustrates how, as the new practice of </w:t>
      </w:r>
      <w:r w:rsidR="00121D10">
        <w:rPr>
          <w:rFonts w:ascii="Times New Roman" w:hAnsi="Times New Roman" w:cs="Times New Roman"/>
          <w:lang w:val="en-US"/>
        </w:rPr>
        <w:t>integrated reporting</w:t>
      </w:r>
      <w:r w:rsidR="00422BEF">
        <w:rPr>
          <w:rFonts w:ascii="Times New Roman" w:hAnsi="Times New Roman" w:cs="Times New Roman"/>
          <w:lang w:val="en-US"/>
        </w:rPr>
        <w:t xml:space="preserve"> </w:t>
      </w:r>
      <w:r w:rsidR="00BD40EC">
        <w:rPr>
          <w:rFonts w:ascii="Times New Roman" w:hAnsi="Times New Roman" w:cs="Times New Roman"/>
          <w:lang w:val="en-US"/>
        </w:rPr>
        <w:t xml:space="preserve">increasingly </w:t>
      </w:r>
      <w:r w:rsidR="00CC1DCC">
        <w:rPr>
          <w:rFonts w:ascii="Times New Roman" w:hAnsi="Times New Roman" w:cs="Times New Roman"/>
          <w:lang w:val="en-US"/>
        </w:rPr>
        <w:t>became</w:t>
      </w:r>
      <w:r w:rsidR="00422BEF">
        <w:rPr>
          <w:rFonts w:ascii="Times New Roman" w:hAnsi="Times New Roman" w:cs="Times New Roman"/>
          <w:lang w:val="en-US"/>
        </w:rPr>
        <w:t xml:space="preserve"> driven by a </w:t>
      </w:r>
      <w:r w:rsidR="00422BEF" w:rsidRPr="007F32ED">
        <w:rPr>
          <w:rFonts w:ascii="Times New Roman" w:hAnsi="Times New Roman" w:cs="Times New Roman"/>
          <w:i/>
          <w:lang w:val="en-US"/>
        </w:rPr>
        <w:t xml:space="preserve">coalition </w:t>
      </w:r>
      <w:r w:rsidR="00422BEF">
        <w:rPr>
          <w:rFonts w:ascii="Times New Roman" w:hAnsi="Times New Roman" w:cs="Times New Roman"/>
          <w:lang w:val="en-US"/>
        </w:rPr>
        <w:t xml:space="preserve">of professionals, </w:t>
      </w:r>
      <w:r w:rsidR="003843B1">
        <w:rPr>
          <w:rFonts w:ascii="Times New Roman" w:hAnsi="Times New Roman" w:cs="Times New Roman"/>
          <w:lang w:val="en-US"/>
        </w:rPr>
        <w:t xml:space="preserve">action was required </w:t>
      </w:r>
      <w:r w:rsidR="00422BEF">
        <w:rPr>
          <w:rFonts w:ascii="Times New Roman" w:hAnsi="Times New Roman" w:cs="Times New Roman"/>
          <w:lang w:val="en-US"/>
        </w:rPr>
        <w:t>to diminish perceived</w:t>
      </w:r>
      <w:r w:rsidR="003843B1">
        <w:rPr>
          <w:rFonts w:ascii="Times New Roman" w:hAnsi="Times New Roman" w:cs="Times New Roman"/>
          <w:lang w:val="en-US"/>
        </w:rPr>
        <w:t xml:space="preserve"> colonizing</w:t>
      </w:r>
      <w:r w:rsidR="00422BEF">
        <w:rPr>
          <w:rFonts w:ascii="Times New Roman" w:hAnsi="Times New Roman" w:cs="Times New Roman"/>
          <w:lang w:val="en-US"/>
        </w:rPr>
        <w:t xml:space="preserve"> threats  </w:t>
      </w:r>
      <w:r w:rsidR="003843B1">
        <w:rPr>
          <w:rFonts w:ascii="Times New Roman" w:hAnsi="Times New Roman" w:cs="Times New Roman"/>
          <w:lang w:val="en-US"/>
        </w:rPr>
        <w:t xml:space="preserve">in order </w:t>
      </w:r>
      <w:r w:rsidR="00422BEF">
        <w:rPr>
          <w:rFonts w:ascii="Times New Roman" w:hAnsi="Times New Roman" w:cs="Times New Roman"/>
          <w:lang w:val="en-US"/>
        </w:rPr>
        <w:t xml:space="preserve">to secure continuing coalition support. </w:t>
      </w:r>
      <w:r w:rsidR="00292D9F">
        <w:rPr>
          <w:rFonts w:ascii="Times New Roman" w:hAnsi="Times New Roman" w:cs="Times New Roman"/>
          <w:lang w:val="en-US"/>
        </w:rPr>
        <w:t>The initial boundary work</w:t>
      </w:r>
      <w:r w:rsidR="00BD40EC">
        <w:rPr>
          <w:rFonts w:ascii="Times New Roman" w:hAnsi="Times New Roman" w:cs="Times New Roman"/>
          <w:lang w:val="en-US"/>
        </w:rPr>
        <w:t xml:space="preserve"> of the IIRC</w:t>
      </w:r>
      <w:r w:rsidR="00292D9F">
        <w:rPr>
          <w:rFonts w:ascii="Times New Roman" w:hAnsi="Times New Roman" w:cs="Times New Roman"/>
          <w:lang w:val="en-US"/>
        </w:rPr>
        <w:t xml:space="preserve"> highlighting contrast</w:t>
      </w:r>
      <w:r w:rsidR="00693E8F">
        <w:rPr>
          <w:rFonts w:ascii="Times New Roman" w:hAnsi="Times New Roman" w:cs="Times New Roman"/>
          <w:lang w:val="en-US"/>
        </w:rPr>
        <w:t>s</w:t>
      </w:r>
      <w:r w:rsidR="00292D9F">
        <w:rPr>
          <w:rFonts w:ascii="Times New Roman" w:hAnsi="Times New Roman" w:cs="Times New Roman"/>
          <w:lang w:val="en-US"/>
        </w:rPr>
        <w:t xml:space="preserve"> </w:t>
      </w:r>
      <w:r w:rsidR="00D25B4C">
        <w:rPr>
          <w:rFonts w:ascii="Times New Roman" w:hAnsi="Times New Roman" w:cs="Times New Roman"/>
          <w:lang w:val="en-US"/>
        </w:rPr>
        <w:t xml:space="preserve">between different forms of reporting </w:t>
      </w:r>
      <w:r w:rsidR="00292D9F">
        <w:rPr>
          <w:rFonts w:ascii="Times New Roman" w:hAnsi="Times New Roman" w:cs="Times New Roman"/>
          <w:lang w:val="en-US"/>
        </w:rPr>
        <w:t xml:space="preserve">was </w:t>
      </w:r>
      <w:r w:rsidR="00134E7D">
        <w:rPr>
          <w:rFonts w:ascii="Times New Roman" w:hAnsi="Times New Roman" w:cs="Times New Roman"/>
          <w:lang w:val="en-US"/>
        </w:rPr>
        <w:t xml:space="preserve">therefore </w:t>
      </w:r>
      <w:r w:rsidR="00292D9F">
        <w:rPr>
          <w:rFonts w:ascii="Times New Roman" w:hAnsi="Times New Roman" w:cs="Times New Roman"/>
          <w:lang w:val="en-US"/>
        </w:rPr>
        <w:t xml:space="preserve">toned down. </w:t>
      </w:r>
      <w:r w:rsidR="00422BEF">
        <w:rPr>
          <w:rFonts w:ascii="Times New Roman" w:hAnsi="Times New Roman" w:cs="Times New Roman"/>
          <w:lang w:val="en-US"/>
        </w:rPr>
        <w:t xml:space="preserve">It would appear that in the case of </w:t>
      </w:r>
      <w:r w:rsidR="00121D10">
        <w:rPr>
          <w:rFonts w:ascii="Times New Roman" w:hAnsi="Times New Roman" w:cs="Times New Roman"/>
          <w:lang w:val="en-US"/>
        </w:rPr>
        <w:t>integrated reporting</w:t>
      </w:r>
      <w:r w:rsidR="00422BEF">
        <w:rPr>
          <w:rFonts w:ascii="Times New Roman" w:hAnsi="Times New Roman" w:cs="Times New Roman"/>
          <w:lang w:val="en-US"/>
        </w:rPr>
        <w:t xml:space="preserve">, key professional groups </w:t>
      </w:r>
      <w:r w:rsidR="0071677D">
        <w:rPr>
          <w:rFonts w:ascii="Times New Roman" w:hAnsi="Times New Roman" w:cs="Times New Roman"/>
          <w:lang w:val="en-US"/>
        </w:rPr>
        <w:t xml:space="preserve">within </w:t>
      </w:r>
      <w:r w:rsidR="003C5970">
        <w:rPr>
          <w:rFonts w:ascii="Times New Roman" w:hAnsi="Times New Roman" w:cs="Times New Roman"/>
          <w:lang w:val="en-US"/>
        </w:rPr>
        <w:t xml:space="preserve">the </w:t>
      </w:r>
      <w:r w:rsidR="00422BEF">
        <w:rPr>
          <w:rFonts w:ascii="Times New Roman" w:hAnsi="Times New Roman" w:cs="Times New Roman"/>
          <w:lang w:val="en-US"/>
        </w:rPr>
        <w:t>corporate reporting</w:t>
      </w:r>
      <w:r w:rsidR="003C5970">
        <w:rPr>
          <w:rFonts w:ascii="Times New Roman" w:hAnsi="Times New Roman" w:cs="Times New Roman"/>
          <w:lang w:val="en-US"/>
        </w:rPr>
        <w:t xml:space="preserve"> field</w:t>
      </w:r>
      <w:r w:rsidR="00422BEF">
        <w:rPr>
          <w:rFonts w:ascii="Times New Roman" w:hAnsi="Times New Roman" w:cs="Times New Roman"/>
          <w:lang w:val="en-US"/>
        </w:rPr>
        <w:t xml:space="preserve"> felt the need to establish a formal sense of mutuality and</w:t>
      </w:r>
      <w:r w:rsidR="0082281F">
        <w:rPr>
          <w:rFonts w:ascii="Times New Roman" w:hAnsi="Times New Roman" w:cs="Times New Roman"/>
          <w:lang w:val="en-US"/>
        </w:rPr>
        <w:t xml:space="preserve"> reciprocity among themselves, </w:t>
      </w:r>
      <w:r w:rsidR="00422BEF">
        <w:rPr>
          <w:rFonts w:ascii="Times New Roman" w:hAnsi="Times New Roman" w:cs="Times New Roman"/>
          <w:lang w:val="en-US"/>
        </w:rPr>
        <w:t>prior to formal</w:t>
      </w:r>
      <w:r w:rsidR="00575700">
        <w:rPr>
          <w:rFonts w:ascii="Times New Roman" w:hAnsi="Times New Roman" w:cs="Times New Roman"/>
          <w:lang w:val="en-US"/>
        </w:rPr>
        <w:t>izi</w:t>
      </w:r>
      <w:r w:rsidR="00422BEF">
        <w:rPr>
          <w:rFonts w:ascii="Times New Roman" w:hAnsi="Times New Roman" w:cs="Times New Roman"/>
          <w:lang w:val="en-US"/>
        </w:rPr>
        <w:t xml:space="preserve">ng the commitments that Suddaby and </w:t>
      </w:r>
      <w:proofErr w:type="spellStart"/>
      <w:r w:rsidR="00422BEF">
        <w:rPr>
          <w:rFonts w:ascii="Times New Roman" w:hAnsi="Times New Roman" w:cs="Times New Roman"/>
          <w:lang w:val="en-US"/>
        </w:rPr>
        <w:t>Viale</w:t>
      </w:r>
      <w:proofErr w:type="spellEnd"/>
      <w:r w:rsidR="00422BEF">
        <w:rPr>
          <w:rFonts w:ascii="Times New Roman" w:hAnsi="Times New Roman" w:cs="Times New Roman"/>
          <w:lang w:val="en-US"/>
        </w:rPr>
        <w:t xml:space="preserve"> represent as essential with</w:t>
      </w:r>
      <w:r w:rsidR="002C42E2">
        <w:rPr>
          <w:rFonts w:ascii="Times New Roman" w:hAnsi="Times New Roman" w:cs="Times New Roman"/>
          <w:lang w:val="en-US"/>
        </w:rPr>
        <w:t xml:space="preserve"> other powerful bodies outside </w:t>
      </w:r>
      <w:r w:rsidR="00422BEF">
        <w:rPr>
          <w:rFonts w:ascii="Times New Roman" w:hAnsi="Times New Roman" w:cs="Times New Roman"/>
          <w:lang w:val="en-US"/>
        </w:rPr>
        <w:t xml:space="preserve">the field. </w:t>
      </w:r>
      <w:r w:rsidR="00490BE3">
        <w:rPr>
          <w:rFonts w:ascii="Times New Roman" w:hAnsi="Times New Roman" w:cs="Times New Roman"/>
          <w:lang w:val="en-US"/>
        </w:rPr>
        <w:t>S</w:t>
      </w:r>
      <w:r w:rsidR="0082281F">
        <w:rPr>
          <w:rFonts w:ascii="Times New Roman" w:hAnsi="Times New Roman" w:cs="Times New Roman"/>
          <w:lang w:val="en-US"/>
        </w:rPr>
        <w:t xml:space="preserve">uch linkages </w:t>
      </w:r>
      <w:r w:rsidR="00487EB7">
        <w:rPr>
          <w:rFonts w:ascii="Times New Roman" w:hAnsi="Times New Roman" w:cs="Times New Roman"/>
          <w:lang w:val="en-US"/>
        </w:rPr>
        <w:t xml:space="preserve">seemed </w:t>
      </w:r>
      <w:r w:rsidR="00956E85">
        <w:rPr>
          <w:rFonts w:ascii="Times New Roman" w:hAnsi="Times New Roman" w:cs="Times New Roman"/>
          <w:lang w:val="en-US"/>
        </w:rPr>
        <w:t xml:space="preserve">to be </w:t>
      </w:r>
      <w:r w:rsidR="00487EB7">
        <w:rPr>
          <w:rFonts w:ascii="Times New Roman" w:hAnsi="Times New Roman" w:cs="Times New Roman"/>
          <w:lang w:val="en-US"/>
        </w:rPr>
        <w:t xml:space="preserve">regarded by the </w:t>
      </w:r>
      <w:r w:rsidR="006C3F0E">
        <w:rPr>
          <w:rFonts w:ascii="Times New Roman" w:hAnsi="Times New Roman" w:cs="Times New Roman"/>
          <w:lang w:val="en-US"/>
        </w:rPr>
        <w:t>IIRC</w:t>
      </w:r>
      <w:r w:rsidR="00422BEF">
        <w:rPr>
          <w:rFonts w:ascii="Times New Roman" w:hAnsi="Times New Roman" w:cs="Times New Roman"/>
          <w:lang w:val="en-US"/>
        </w:rPr>
        <w:t xml:space="preserve"> </w:t>
      </w:r>
      <w:r w:rsidR="00487EB7">
        <w:rPr>
          <w:rFonts w:ascii="Times New Roman" w:hAnsi="Times New Roman" w:cs="Times New Roman"/>
          <w:lang w:val="en-US"/>
        </w:rPr>
        <w:t xml:space="preserve">as essential </w:t>
      </w:r>
      <w:r w:rsidR="00422BEF">
        <w:rPr>
          <w:rFonts w:ascii="Times New Roman" w:hAnsi="Times New Roman" w:cs="Times New Roman"/>
          <w:lang w:val="en-US"/>
        </w:rPr>
        <w:t>in maintain</w:t>
      </w:r>
      <w:r w:rsidR="00007855">
        <w:rPr>
          <w:rFonts w:ascii="Times New Roman" w:hAnsi="Times New Roman" w:cs="Times New Roman"/>
          <w:lang w:val="en-US"/>
        </w:rPr>
        <w:t>ing</w:t>
      </w:r>
      <w:r w:rsidR="00422BEF">
        <w:rPr>
          <w:rFonts w:ascii="Times New Roman" w:hAnsi="Times New Roman" w:cs="Times New Roman"/>
          <w:lang w:val="en-US"/>
        </w:rPr>
        <w:t xml:space="preserve"> support </w:t>
      </w:r>
      <w:r w:rsidR="00007855">
        <w:rPr>
          <w:rFonts w:ascii="Times New Roman" w:hAnsi="Times New Roman" w:cs="Times New Roman"/>
          <w:lang w:val="en-US"/>
        </w:rPr>
        <w:t xml:space="preserve">and </w:t>
      </w:r>
      <w:r w:rsidR="00422BEF">
        <w:rPr>
          <w:rFonts w:ascii="Times New Roman" w:hAnsi="Times New Roman" w:cs="Times New Roman"/>
          <w:lang w:val="en-US"/>
        </w:rPr>
        <w:t>avoid</w:t>
      </w:r>
      <w:r w:rsidR="00007855">
        <w:rPr>
          <w:rFonts w:ascii="Times New Roman" w:hAnsi="Times New Roman" w:cs="Times New Roman"/>
          <w:lang w:val="en-US"/>
        </w:rPr>
        <w:t>ing</w:t>
      </w:r>
      <w:r w:rsidR="00422BEF">
        <w:rPr>
          <w:rFonts w:ascii="Times New Roman" w:hAnsi="Times New Roman" w:cs="Times New Roman"/>
          <w:lang w:val="en-US"/>
        </w:rPr>
        <w:t xml:space="preserve"> the impression that any one professional grouping w</w:t>
      </w:r>
      <w:r w:rsidR="00007855">
        <w:rPr>
          <w:rFonts w:ascii="Times New Roman" w:hAnsi="Times New Roman" w:cs="Times New Roman"/>
          <w:lang w:val="en-US"/>
        </w:rPr>
        <w:t>ould</w:t>
      </w:r>
      <w:r w:rsidR="00422BEF">
        <w:rPr>
          <w:rFonts w:ascii="Times New Roman" w:hAnsi="Times New Roman" w:cs="Times New Roman"/>
          <w:lang w:val="en-US"/>
        </w:rPr>
        <w:t xml:space="preserve"> dominate the emerging </w:t>
      </w:r>
      <w:r w:rsidR="00121D10">
        <w:rPr>
          <w:rFonts w:ascii="Times New Roman" w:hAnsi="Times New Roman" w:cs="Times New Roman"/>
          <w:lang w:val="en-US"/>
        </w:rPr>
        <w:t>integrated reporting</w:t>
      </w:r>
      <w:r w:rsidR="00422BEF">
        <w:rPr>
          <w:rFonts w:ascii="Times New Roman" w:hAnsi="Times New Roman" w:cs="Times New Roman"/>
          <w:lang w:val="en-US"/>
        </w:rPr>
        <w:t xml:space="preserve"> </w:t>
      </w:r>
      <w:r w:rsidR="003C5970">
        <w:rPr>
          <w:rFonts w:ascii="Times New Roman" w:hAnsi="Times New Roman" w:cs="Times New Roman"/>
          <w:lang w:val="en-US"/>
        </w:rPr>
        <w:t>space</w:t>
      </w:r>
      <w:r w:rsidR="00422BEF">
        <w:rPr>
          <w:rFonts w:ascii="Times New Roman" w:hAnsi="Times New Roman" w:cs="Times New Roman"/>
          <w:lang w:val="en-US"/>
        </w:rPr>
        <w:t xml:space="preserve">. </w:t>
      </w:r>
      <w:r w:rsidR="00007855">
        <w:rPr>
          <w:rFonts w:ascii="Times New Roman" w:hAnsi="Times New Roman" w:cs="Times New Roman"/>
          <w:lang w:val="en-US"/>
        </w:rPr>
        <w:t>In this regard, t</w:t>
      </w:r>
      <w:r w:rsidR="00422BEF" w:rsidRPr="00DD1E36">
        <w:rPr>
          <w:rFonts w:ascii="Times New Roman" w:hAnsi="Times New Roman" w:cs="Times New Roman"/>
          <w:lang w:val="en-US"/>
        </w:rPr>
        <w:t>he emphasis</w:t>
      </w:r>
      <w:r w:rsidR="006C3F0E">
        <w:rPr>
          <w:rFonts w:ascii="Times New Roman" w:hAnsi="Times New Roman" w:cs="Times New Roman"/>
          <w:lang w:val="en-US"/>
        </w:rPr>
        <w:t xml:space="preserve"> of the</w:t>
      </w:r>
      <w:r w:rsidR="00422BEF" w:rsidRPr="00DD1E36">
        <w:rPr>
          <w:rFonts w:ascii="Times New Roman" w:hAnsi="Times New Roman" w:cs="Times New Roman"/>
          <w:lang w:val="en-US"/>
        </w:rPr>
        <w:t xml:space="preserve"> </w:t>
      </w:r>
      <w:r w:rsidR="006C3F0E">
        <w:rPr>
          <w:rFonts w:ascii="Times New Roman" w:hAnsi="Times New Roman" w:cs="Times New Roman"/>
          <w:lang w:val="en-US"/>
        </w:rPr>
        <w:t>Memoranda of Understanding</w:t>
      </w:r>
      <w:r w:rsidR="006C3F0E" w:rsidRPr="00DD1E36">
        <w:rPr>
          <w:rFonts w:ascii="Times New Roman" w:hAnsi="Times New Roman" w:cs="Times New Roman"/>
          <w:lang w:val="en-US"/>
        </w:rPr>
        <w:t xml:space="preserve"> </w:t>
      </w:r>
      <w:r w:rsidR="00422BEF" w:rsidRPr="00DD1E36">
        <w:rPr>
          <w:rFonts w:ascii="Times New Roman" w:hAnsi="Times New Roman" w:cs="Times New Roman"/>
          <w:lang w:val="en-US"/>
        </w:rPr>
        <w:t>on complementarity and mutuality</w:t>
      </w:r>
      <w:r w:rsidR="003843B1">
        <w:rPr>
          <w:rFonts w:ascii="Times New Roman" w:hAnsi="Times New Roman" w:cs="Times New Roman"/>
          <w:lang w:val="en-US"/>
        </w:rPr>
        <w:t xml:space="preserve"> was critical in seeking </w:t>
      </w:r>
      <w:r w:rsidR="00A932FF">
        <w:rPr>
          <w:rFonts w:ascii="Times New Roman" w:hAnsi="Times New Roman" w:cs="Times New Roman"/>
          <w:lang w:val="en-US"/>
        </w:rPr>
        <w:t xml:space="preserve">to </w:t>
      </w:r>
      <w:r w:rsidR="00422BEF" w:rsidRPr="00DD1E36">
        <w:rPr>
          <w:rFonts w:ascii="Times New Roman" w:hAnsi="Times New Roman" w:cs="Times New Roman"/>
          <w:lang w:val="en-US"/>
        </w:rPr>
        <w:t>embed</w:t>
      </w:r>
      <w:r w:rsidR="00AD3611">
        <w:rPr>
          <w:rFonts w:ascii="Times New Roman" w:hAnsi="Times New Roman" w:cs="Times New Roman"/>
          <w:lang w:val="en-US"/>
        </w:rPr>
        <w:t xml:space="preserve"> an </w:t>
      </w:r>
      <w:r w:rsidR="00422BEF">
        <w:rPr>
          <w:rFonts w:ascii="Times New Roman" w:hAnsi="Times New Roman" w:cs="Times New Roman"/>
          <w:lang w:val="en-US"/>
        </w:rPr>
        <w:t xml:space="preserve">existing coalition of professionals </w:t>
      </w:r>
      <w:r w:rsidR="003843B1">
        <w:rPr>
          <w:rFonts w:ascii="Times New Roman" w:hAnsi="Times New Roman" w:cs="Times New Roman"/>
          <w:lang w:val="en-US"/>
        </w:rPr>
        <w:t xml:space="preserve">in </w:t>
      </w:r>
      <w:r w:rsidR="00422BEF" w:rsidRPr="00DD1E36">
        <w:rPr>
          <w:rFonts w:ascii="Times New Roman" w:hAnsi="Times New Roman" w:cs="Times New Roman"/>
          <w:lang w:val="en-US"/>
        </w:rPr>
        <w:t>the</w:t>
      </w:r>
      <w:r w:rsidR="00422BEF">
        <w:rPr>
          <w:rFonts w:ascii="Times New Roman" w:hAnsi="Times New Roman" w:cs="Times New Roman"/>
          <w:lang w:val="en-US"/>
        </w:rPr>
        <w:t xml:space="preserve"> </w:t>
      </w:r>
      <w:r w:rsidR="00121D10">
        <w:rPr>
          <w:rFonts w:ascii="Times New Roman" w:hAnsi="Times New Roman" w:cs="Times New Roman"/>
          <w:lang w:val="en-US"/>
        </w:rPr>
        <w:t>integrated reporting</w:t>
      </w:r>
      <w:r w:rsidR="00422BEF">
        <w:rPr>
          <w:rFonts w:ascii="Times New Roman" w:hAnsi="Times New Roman" w:cs="Times New Roman"/>
          <w:lang w:val="en-US"/>
        </w:rPr>
        <w:t xml:space="preserve"> development process.</w:t>
      </w:r>
      <w:r w:rsidR="002B24DF">
        <w:rPr>
          <w:rFonts w:ascii="Times New Roman" w:hAnsi="Times New Roman" w:cs="Times New Roman"/>
          <w:lang w:val="en-US"/>
        </w:rPr>
        <w:t xml:space="preserve"> </w:t>
      </w:r>
    </w:p>
    <w:p w14:paraId="479567BF" w14:textId="189823DE" w:rsidR="00E20BDF" w:rsidRDefault="00422BEF" w:rsidP="00CD0156">
      <w:pPr>
        <w:spacing w:line="360" w:lineRule="auto"/>
        <w:ind w:firstLine="426"/>
        <w:jc w:val="both"/>
        <w:rPr>
          <w:rFonts w:ascii="Times New Roman" w:hAnsi="Times New Roman" w:cs="Times New Roman"/>
          <w:lang w:val="en-US"/>
        </w:rPr>
      </w:pPr>
      <w:r>
        <w:rPr>
          <w:rFonts w:ascii="Times New Roman" w:hAnsi="Times New Roman" w:cs="Times New Roman"/>
          <w:lang w:val="en-US"/>
        </w:rPr>
        <w:t xml:space="preserve">As noted earlier, </w:t>
      </w:r>
      <w:r w:rsidR="003D3D86">
        <w:rPr>
          <w:rFonts w:ascii="Times New Roman" w:hAnsi="Times New Roman" w:cs="Times New Roman"/>
          <w:lang w:val="en-US"/>
        </w:rPr>
        <w:t xml:space="preserve">the nature and wording of the mutuality arrangements suggest that existing </w:t>
      </w:r>
      <w:r>
        <w:rPr>
          <w:rFonts w:ascii="Times New Roman" w:hAnsi="Times New Roman" w:cs="Times New Roman"/>
          <w:lang w:val="en-US"/>
        </w:rPr>
        <w:t>b</w:t>
      </w:r>
      <w:r w:rsidRPr="00DD1E36">
        <w:rPr>
          <w:rFonts w:ascii="Times New Roman" w:hAnsi="Times New Roman" w:cs="Times New Roman"/>
          <w:lang w:val="en-US"/>
        </w:rPr>
        <w:t xml:space="preserve">odies </w:t>
      </w:r>
      <w:r>
        <w:rPr>
          <w:rFonts w:ascii="Times New Roman" w:hAnsi="Times New Roman" w:cs="Times New Roman"/>
          <w:lang w:val="en-US"/>
        </w:rPr>
        <w:t xml:space="preserve">such as the </w:t>
      </w:r>
      <w:r w:rsidR="003843B1">
        <w:rPr>
          <w:rFonts w:ascii="Times New Roman" w:hAnsi="Times New Roman" w:cs="Times New Roman"/>
          <w:lang w:val="en-US"/>
        </w:rPr>
        <w:t xml:space="preserve">GRI </w:t>
      </w:r>
      <w:r w:rsidRPr="00DD1E36">
        <w:rPr>
          <w:rFonts w:ascii="Times New Roman" w:hAnsi="Times New Roman" w:cs="Times New Roman"/>
          <w:lang w:val="en-US"/>
        </w:rPr>
        <w:t xml:space="preserve">required reassurance that their place in the social order of the corporate reporting </w:t>
      </w:r>
      <w:r w:rsidR="003C5970">
        <w:rPr>
          <w:rFonts w:ascii="Times New Roman" w:hAnsi="Times New Roman" w:cs="Times New Roman"/>
          <w:lang w:val="en-US"/>
        </w:rPr>
        <w:t xml:space="preserve">field </w:t>
      </w:r>
      <w:r w:rsidR="00A932FF">
        <w:rPr>
          <w:rFonts w:ascii="Times New Roman" w:hAnsi="Times New Roman" w:cs="Times New Roman"/>
          <w:lang w:val="en-US"/>
        </w:rPr>
        <w:t xml:space="preserve">was not being </w:t>
      </w:r>
      <w:r w:rsidRPr="00DD1E36">
        <w:rPr>
          <w:rFonts w:ascii="Times New Roman" w:hAnsi="Times New Roman" w:cs="Times New Roman"/>
          <w:lang w:val="en-US"/>
        </w:rPr>
        <w:t>threatened</w:t>
      </w:r>
      <w:r w:rsidR="00F70D69">
        <w:rPr>
          <w:rFonts w:ascii="Times New Roman" w:hAnsi="Times New Roman" w:cs="Times New Roman"/>
          <w:lang w:val="en-US"/>
        </w:rPr>
        <w:t>.</w:t>
      </w:r>
      <w:r w:rsidR="0071677D">
        <w:rPr>
          <w:rFonts w:ascii="Times New Roman" w:hAnsi="Times New Roman" w:cs="Times New Roman"/>
          <w:lang w:val="en-US"/>
        </w:rPr>
        <w:t xml:space="preserve"> </w:t>
      </w:r>
      <w:r w:rsidR="00E20BDF">
        <w:rPr>
          <w:rFonts w:ascii="Times New Roman" w:hAnsi="Times New Roman" w:cs="Times New Roman"/>
          <w:lang w:val="en-US"/>
        </w:rPr>
        <w:t xml:space="preserve">Hence, while </w:t>
      </w:r>
      <w:r w:rsidR="00007855">
        <w:rPr>
          <w:rFonts w:ascii="Times New Roman" w:hAnsi="Times New Roman" w:cs="Times New Roman"/>
          <w:lang w:val="en-US"/>
        </w:rPr>
        <w:t xml:space="preserve">the IIRC’s </w:t>
      </w:r>
      <w:r w:rsidR="00E20BDF">
        <w:rPr>
          <w:rFonts w:ascii="Times New Roman" w:hAnsi="Times New Roman" w:cs="Times New Roman"/>
          <w:lang w:val="en-US"/>
        </w:rPr>
        <w:t xml:space="preserve">boundary work </w:t>
      </w:r>
      <w:r w:rsidR="00292D9F">
        <w:rPr>
          <w:rFonts w:ascii="Times New Roman" w:hAnsi="Times New Roman" w:cs="Times New Roman"/>
          <w:lang w:val="en-US"/>
        </w:rPr>
        <w:t xml:space="preserve">initially </w:t>
      </w:r>
      <w:r w:rsidR="00076F24">
        <w:rPr>
          <w:rFonts w:ascii="Times New Roman" w:hAnsi="Times New Roman" w:cs="Times New Roman"/>
          <w:lang w:val="en-US"/>
        </w:rPr>
        <w:t xml:space="preserve">sought to </w:t>
      </w:r>
      <w:r w:rsidR="00E20BDF">
        <w:rPr>
          <w:rFonts w:ascii="Times New Roman" w:hAnsi="Times New Roman" w:cs="Times New Roman"/>
          <w:lang w:val="en-US"/>
        </w:rPr>
        <w:t xml:space="preserve">distinguish </w:t>
      </w:r>
      <w:r w:rsidR="00121D10">
        <w:rPr>
          <w:rFonts w:ascii="Times New Roman" w:hAnsi="Times New Roman" w:cs="Times New Roman"/>
          <w:lang w:val="en-US"/>
        </w:rPr>
        <w:t>integrated reporting</w:t>
      </w:r>
      <w:r w:rsidR="00E20BDF">
        <w:rPr>
          <w:rFonts w:ascii="Times New Roman" w:hAnsi="Times New Roman" w:cs="Times New Roman"/>
          <w:lang w:val="en-US"/>
        </w:rPr>
        <w:t xml:space="preserve"> by </w:t>
      </w:r>
      <w:r w:rsidR="001A10A2">
        <w:rPr>
          <w:rFonts w:ascii="Times New Roman" w:hAnsi="Times New Roman" w:cs="Times New Roman"/>
          <w:lang w:val="en-US"/>
        </w:rPr>
        <w:t>highlighting</w:t>
      </w:r>
      <w:r w:rsidR="00E20BDF">
        <w:rPr>
          <w:rFonts w:ascii="Times New Roman" w:hAnsi="Times New Roman" w:cs="Times New Roman"/>
          <w:lang w:val="en-US"/>
        </w:rPr>
        <w:t xml:space="preserve"> flaws in other reporting</w:t>
      </w:r>
      <w:r w:rsidR="00292D9F">
        <w:rPr>
          <w:rFonts w:ascii="Times New Roman" w:hAnsi="Times New Roman" w:cs="Times New Roman"/>
          <w:lang w:val="en-US"/>
        </w:rPr>
        <w:t xml:space="preserve"> frameworks</w:t>
      </w:r>
      <w:r w:rsidR="00076F24">
        <w:rPr>
          <w:rFonts w:ascii="Times New Roman" w:hAnsi="Times New Roman" w:cs="Times New Roman"/>
          <w:lang w:val="en-US"/>
        </w:rPr>
        <w:t xml:space="preserve">, it ended up, at least publicly, seeking to </w:t>
      </w:r>
      <w:proofErr w:type="spellStart"/>
      <w:r w:rsidR="003E7CD1">
        <w:rPr>
          <w:rFonts w:ascii="Times New Roman" w:hAnsi="Times New Roman" w:cs="Times New Roman"/>
          <w:lang w:val="en-US"/>
        </w:rPr>
        <w:t>enrol</w:t>
      </w:r>
      <w:proofErr w:type="spellEnd"/>
      <w:r w:rsidR="00076F24">
        <w:rPr>
          <w:rFonts w:ascii="Times New Roman" w:hAnsi="Times New Roman" w:cs="Times New Roman"/>
          <w:lang w:val="en-US"/>
        </w:rPr>
        <w:t xml:space="preserve"> the bodies promoting such ‘inferior’ frameworks.</w:t>
      </w:r>
      <w:r w:rsidR="00292D9F">
        <w:rPr>
          <w:rFonts w:ascii="Times New Roman" w:hAnsi="Times New Roman" w:cs="Times New Roman"/>
          <w:lang w:val="en-US"/>
        </w:rPr>
        <w:t xml:space="preserve"> </w:t>
      </w:r>
      <w:r w:rsidR="00096EAE">
        <w:rPr>
          <w:rFonts w:ascii="Times New Roman" w:hAnsi="Times New Roman" w:cs="Times New Roman"/>
          <w:lang w:val="en-US"/>
        </w:rPr>
        <w:t xml:space="preserve"> This allowed diverse </w:t>
      </w:r>
      <w:r w:rsidR="00D25B4C">
        <w:rPr>
          <w:rFonts w:ascii="Times New Roman" w:hAnsi="Times New Roman" w:cs="Times New Roman"/>
          <w:lang w:val="en-GB"/>
        </w:rPr>
        <w:t xml:space="preserve">but </w:t>
      </w:r>
      <w:r w:rsidR="00D25B4C">
        <w:rPr>
          <w:rFonts w:ascii="Times New Roman" w:hAnsi="Times New Roman" w:cs="Times New Roman"/>
          <w:lang w:val="en-US"/>
        </w:rPr>
        <w:t xml:space="preserve">connected </w:t>
      </w:r>
      <w:r w:rsidR="00096EAE">
        <w:rPr>
          <w:rFonts w:ascii="Times New Roman" w:hAnsi="Times New Roman" w:cs="Times New Roman"/>
          <w:lang w:val="en-US"/>
        </w:rPr>
        <w:t xml:space="preserve">professional groups to stake a </w:t>
      </w:r>
      <w:r w:rsidR="00096EAE" w:rsidRPr="00B41BA8">
        <w:rPr>
          <w:rFonts w:ascii="Times New Roman" w:hAnsi="Times New Roman" w:cs="Times New Roman"/>
          <w:lang w:val="en-US"/>
        </w:rPr>
        <w:t>collective claim</w:t>
      </w:r>
      <w:r w:rsidR="00096EAE">
        <w:rPr>
          <w:rFonts w:ascii="Times New Roman" w:hAnsi="Times New Roman" w:cs="Times New Roman"/>
          <w:lang w:val="en-US"/>
        </w:rPr>
        <w:t xml:space="preserve"> over </w:t>
      </w:r>
      <w:r w:rsidR="00121D10">
        <w:rPr>
          <w:rFonts w:ascii="Times New Roman" w:hAnsi="Times New Roman" w:cs="Times New Roman"/>
          <w:lang w:val="en-US"/>
        </w:rPr>
        <w:t>integrated reporting</w:t>
      </w:r>
      <w:r w:rsidR="00096EAE">
        <w:rPr>
          <w:rFonts w:ascii="Times New Roman" w:hAnsi="Times New Roman" w:cs="Times New Roman"/>
          <w:lang w:val="en-US"/>
        </w:rPr>
        <w:t xml:space="preserve"> </w:t>
      </w:r>
      <w:r w:rsidR="003843B1">
        <w:rPr>
          <w:rFonts w:ascii="Times New Roman" w:hAnsi="Times New Roman" w:cs="Times New Roman"/>
          <w:lang w:val="en-US"/>
        </w:rPr>
        <w:t xml:space="preserve">in a way that was </w:t>
      </w:r>
      <w:r w:rsidR="003B3BBD">
        <w:rPr>
          <w:rFonts w:ascii="Times New Roman" w:hAnsi="Times New Roman" w:cs="Times New Roman"/>
          <w:lang w:val="en-US"/>
        </w:rPr>
        <w:t xml:space="preserve">aimed at </w:t>
      </w:r>
      <w:r w:rsidR="00096EAE">
        <w:rPr>
          <w:rFonts w:ascii="Times New Roman" w:hAnsi="Times New Roman" w:cs="Times New Roman"/>
          <w:lang w:val="en-US"/>
        </w:rPr>
        <w:t>prevent</w:t>
      </w:r>
      <w:r w:rsidR="003B3BBD">
        <w:rPr>
          <w:rFonts w:ascii="Times New Roman" w:hAnsi="Times New Roman" w:cs="Times New Roman"/>
          <w:lang w:val="en-US"/>
        </w:rPr>
        <w:t>ing</w:t>
      </w:r>
      <w:r w:rsidR="00096EAE">
        <w:rPr>
          <w:rFonts w:ascii="Times New Roman" w:hAnsi="Times New Roman" w:cs="Times New Roman"/>
          <w:lang w:val="en-US"/>
        </w:rPr>
        <w:t xml:space="preserve"> fragmentation and contro</w:t>
      </w:r>
      <w:r w:rsidR="003B3BBD">
        <w:rPr>
          <w:rFonts w:ascii="Times New Roman" w:hAnsi="Times New Roman" w:cs="Times New Roman"/>
          <w:lang w:val="en-US"/>
        </w:rPr>
        <w:t>l</w:t>
      </w:r>
      <w:r w:rsidR="00096EAE">
        <w:rPr>
          <w:rFonts w:ascii="Times New Roman" w:hAnsi="Times New Roman" w:cs="Times New Roman"/>
          <w:lang w:val="en-US"/>
        </w:rPr>
        <w:t>l</w:t>
      </w:r>
      <w:r w:rsidR="003B3BBD">
        <w:rPr>
          <w:rFonts w:ascii="Times New Roman" w:hAnsi="Times New Roman" w:cs="Times New Roman"/>
          <w:lang w:val="en-US"/>
        </w:rPr>
        <w:t>ing</w:t>
      </w:r>
      <w:r w:rsidR="00096EAE">
        <w:rPr>
          <w:rFonts w:ascii="Times New Roman" w:hAnsi="Times New Roman" w:cs="Times New Roman"/>
          <w:lang w:val="en-US"/>
        </w:rPr>
        <w:t xml:space="preserve"> the types of difference permitted among</w:t>
      </w:r>
      <w:r w:rsidR="00597093">
        <w:rPr>
          <w:rFonts w:ascii="Times New Roman" w:hAnsi="Times New Roman" w:cs="Times New Roman"/>
          <w:lang w:val="en-US"/>
        </w:rPr>
        <w:t xml:space="preserve"> </w:t>
      </w:r>
      <w:r w:rsidR="003843B1">
        <w:rPr>
          <w:rFonts w:ascii="Times New Roman" w:hAnsi="Times New Roman" w:cs="Times New Roman"/>
          <w:lang w:val="en-US"/>
        </w:rPr>
        <w:t xml:space="preserve">such </w:t>
      </w:r>
      <w:r w:rsidR="00BF085F">
        <w:rPr>
          <w:rFonts w:ascii="Times New Roman" w:hAnsi="Times New Roman" w:cs="Times New Roman"/>
          <w:lang w:val="en-US"/>
        </w:rPr>
        <w:t>‘</w:t>
      </w:r>
      <w:r w:rsidR="00096EAE">
        <w:rPr>
          <w:rFonts w:ascii="Times New Roman" w:hAnsi="Times New Roman" w:cs="Times New Roman"/>
          <w:lang w:val="en-US"/>
        </w:rPr>
        <w:t>complementary</w:t>
      </w:r>
      <w:r w:rsidR="00BF085F">
        <w:rPr>
          <w:rFonts w:ascii="Times New Roman" w:hAnsi="Times New Roman" w:cs="Times New Roman"/>
          <w:lang w:val="en-US"/>
        </w:rPr>
        <w:t>’</w:t>
      </w:r>
      <w:r w:rsidR="00096EAE">
        <w:rPr>
          <w:rFonts w:ascii="Times New Roman" w:hAnsi="Times New Roman" w:cs="Times New Roman"/>
          <w:lang w:val="en-US"/>
        </w:rPr>
        <w:t xml:space="preserve"> professional groups (Llewellyn, 1998)</w:t>
      </w:r>
      <w:r w:rsidR="00CD0C5C">
        <w:rPr>
          <w:rFonts w:ascii="Times New Roman" w:hAnsi="Times New Roman" w:cs="Times New Roman"/>
          <w:lang w:val="en-US"/>
        </w:rPr>
        <w:t xml:space="preserve">. </w:t>
      </w:r>
      <w:r w:rsidR="00B41BA8">
        <w:rPr>
          <w:rFonts w:ascii="Times New Roman" w:hAnsi="Times New Roman" w:cs="Times New Roman"/>
          <w:lang w:val="en-US"/>
        </w:rPr>
        <w:t>T</w:t>
      </w:r>
      <w:r w:rsidR="00CD0C5C">
        <w:rPr>
          <w:rFonts w:ascii="Times New Roman" w:hAnsi="Times New Roman" w:cs="Times New Roman"/>
          <w:lang w:val="en-US"/>
        </w:rPr>
        <w:t xml:space="preserve">he </w:t>
      </w:r>
      <w:r w:rsidR="003B3BBD">
        <w:rPr>
          <w:rFonts w:ascii="Times New Roman" w:hAnsi="Times New Roman" w:cs="Times New Roman"/>
          <w:lang w:val="en-US"/>
        </w:rPr>
        <w:t xml:space="preserve">core </w:t>
      </w:r>
      <w:r w:rsidR="00CD0C5C">
        <w:rPr>
          <w:rFonts w:ascii="Times New Roman" w:hAnsi="Times New Roman" w:cs="Times New Roman"/>
          <w:lang w:val="en-US"/>
        </w:rPr>
        <w:t xml:space="preserve">aim was to construct a stable and solid network of support around </w:t>
      </w:r>
      <w:r w:rsidR="00CD0C5C" w:rsidRPr="004158E0">
        <w:rPr>
          <w:rFonts w:ascii="Times New Roman" w:hAnsi="Times New Roman" w:cs="Times New Roman"/>
          <w:i/>
          <w:lang w:val="en-US"/>
        </w:rPr>
        <w:t>collective</w:t>
      </w:r>
      <w:r w:rsidR="00CD0C5C">
        <w:rPr>
          <w:rFonts w:ascii="Times New Roman" w:hAnsi="Times New Roman" w:cs="Times New Roman"/>
          <w:lang w:val="en-US"/>
        </w:rPr>
        <w:t xml:space="preserve"> claims to expertise in the </w:t>
      </w:r>
      <w:r w:rsidR="00121D10">
        <w:rPr>
          <w:rFonts w:ascii="Times New Roman" w:hAnsi="Times New Roman" w:cs="Times New Roman"/>
          <w:lang w:val="en-US"/>
        </w:rPr>
        <w:t>integrated reporting</w:t>
      </w:r>
      <w:r w:rsidR="00CD0C5C">
        <w:rPr>
          <w:rFonts w:ascii="Times New Roman" w:hAnsi="Times New Roman" w:cs="Times New Roman"/>
          <w:lang w:val="en-US"/>
        </w:rPr>
        <w:t xml:space="preserve"> </w:t>
      </w:r>
      <w:r w:rsidR="00066A5A">
        <w:rPr>
          <w:rFonts w:ascii="Times New Roman" w:hAnsi="Times New Roman" w:cs="Times New Roman"/>
          <w:lang w:val="en-US"/>
        </w:rPr>
        <w:t>space</w:t>
      </w:r>
      <w:r w:rsidR="00F70D69">
        <w:rPr>
          <w:rFonts w:ascii="Times New Roman" w:hAnsi="Times New Roman" w:cs="Times New Roman"/>
          <w:lang w:val="en-US"/>
        </w:rPr>
        <w:t xml:space="preserve"> while also ensuring that existing </w:t>
      </w:r>
      <w:r w:rsidR="00490BE3">
        <w:rPr>
          <w:rFonts w:ascii="Times New Roman" w:hAnsi="Times New Roman" w:cs="Times New Roman"/>
          <w:lang w:val="en-US"/>
        </w:rPr>
        <w:t xml:space="preserve">proponents of other </w:t>
      </w:r>
      <w:r w:rsidR="00F70D69">
        <w:rPr>
          <w:rFonts w:ascii="Times New Roman" w:hAnsi="Times New Roman" w:cs="Times New Roman"/>
          <w:lang w:val="en-US"/>
        </w:rPr>
        <w:t>corporate reporting models felt less threatened</w:t>
      </w:r>
      <w:r w:rsidR="00645ABE">
        <w:rPr>
          <w:rFonts w:ascii="Times New Roman" w:hAnsi="Times New Roman" w:cs="Times New Roman"/>
          <w:lang w:val="en-US"/>
        </w:rPr>
        <w:t xml:space="preserve"> and not marginalized</w:t>
      </w:r>
      <w:r w:rsidR="00F70D69">
        <w:rPr>
          <w:rFonts w:ascii="Times New Roman" w:hAnsi="Times New Roman" w:cs="Times New Roman"/>
          <w:lang w:val="en-US"/>
        </w:rPr>
        <w:t>.</w:t>
      </w:r>
      <w:r w:rsidR="003D1972">
        <w:rPr>
          <w:rFonts w:ascii="Times New Roman" w:hAnsi="Times New Roman" w:cs="Times New Roman"/>
          <w:lang w:val="en-US"/>
        </w:rPr>
        <w:t xml:space="preserve"> At its council meeting in December 2013, the IIRC acknowledged thes</w:t>
      </w:r>
      <w:r w:rsidR="001F3731">
        <w:rPr>
          <w:rFonts w:ascii="Times New Roman" w:hAnsi="Times New Roman" w:cs="Times New Roman"/>
          <w:lang w:val="en-US"/>
        </w:rPr>
        <w:t>e co</w:t>
      </w:r>
      <w:r w:rsidR="00076F24">
        <w:rPr>
          <w:rFonts w:ascii="Times New Roman" w:hAnsi="Times New Roman" w:cs="Times New Roman"/>
          <w:lang w:val="en-US"/>
        </w:rPr>
        <w:t>alit</w:t>
      </w:r>
      <w:r w:rsidR="001F3731">
        <w:rPr>
          <w:rFonts w:ascii="Times New Roman" w:hAnsi="Times New Roman" w:cs="Times New Roman"/>
          <w:lang w:val="en-US"/>
        </w:rPr>
        <w:t>ion building efforts when noting</w:t>
      </w:r>
      <w:r w:rsidR="003D1972">
        <w:rPr>
          <w:rFonts w:ascii="Times New Roman" w:hAnsi="Times New Roman" w:cs="Times New Roman"/>
          <w:lang w:val="en-US"/>
        </w:rPr>
        <w:t xml:space="preserve"> that “much of [the IIRC’s authority] is derived from the powerful coalition it has assembled, as well as the quality of its engagement with businesses and institutional investors” (IIRC council minutes of meeting </w:t>
      </w:r>
      <w:r w:rsidR="00D25B4C">
        <w:rPr>
          <w:rFonts w:ascii="Times New Roman" w:hAnsi="Times New Roman" w:cs="Times New Roman"/>
          <w:lang w:val="en-US"/>
        </w:rPr>
        <w:t xml:space="preserve">held </w:t>
      </w:r>
      <w:r w:rsidR="003D1972">
        <w:rPr>
          <w:rFonts w:ascii="Times New Roman" w:hAnsi="Times New Roman" w:cs="Times New Roman"/>
          <w:lang w:val="en-US"/>
        </w:rPr>
        <w:t xml:space="preserve">on 5 December, 2013, p. 6).   </w:t>
      </w:r>
    </w:p>
    <w:p w14:paraId="395489A0" w14:textId="22D3F417" w:rsidR="000F3DF0" w:rsidRDefault="001F3731" w:rsidP="00A650DC">
      <w:pPr>
        <w:spacing w:line="360" w:lineRule="auto"/>
        <w:ind w:firstLine="426"/>
        <w:jc w:val="both"/>
        <w:rPr>
          <w:rFonts w:ascii="Times New Roman" w:hAnsi="Times New Roman" w:cs="Times New Roman"/>
          <w:lang w:val="en-US"/>
        </w:rPr>
      </w:pPr>
      <w:r>
        <w:rPr>
          <w:rFonts w:ascii="Times New Roman" w:hAnsi="Times New Roman" w:cs="Times New Roman"/>
          <w:lang w:val="en-US"/>
        </w:rPr>
        <w:t>W</w:t>
      </w:r>
      <w:r w:rsidR="00422BEF">
        <w:rPr>
          <w:rFonts w:ascii="Times New Roman" w:hAnsi="Times New Roman" w:cs="Times New Roman"/>
          <w:lang w:val="en-US"/>
        </w:rPr>
        <w:t>hile new practice</w:t>
      </w:r>
      <w:r w:rsidR="00D25B4C">
        <w:rPr>
          <w:rFonts w:ascii="Times New Roman" w:hAnsi="Times New Roman" w:cs="Times New Roman"/>
          <w:lang w:val="en-US"/>
        </w:rPr>
        <w:t xml:space="preserve"> spaces</w:t>
      </w:r>
      <w:r w:rsidR="00422BEF">
        <w:rPr>
          <w:rFonts w:ascii="Times New Roman" w:hAnsi="Times New Roman" w:cs="Times New Roman"/>
          <w:lang w:val="en-US"/>
        </w:rPr>
        <w:t xml:space="preserve"> are </w:t>
      </w:r>
      <w:r w:rsidR="003843B1">
        <w:rPr>
          <w:rFonts w:ascii="Times New Roman" w:hAnsi="Times New Roman" w:cs="Times New Roman"/>
          <w:lang w:val="en-US"/>
        </w:rPr>
        <w:t xml:space="preserve">also </w:t>
      </w:r>
      <w:r w:rsidR="00422BEF">
        <w:rPr>
          <w:rFonts w:ascii="Times New Roman" w:hAnsi="Times New Roman" w:cs="Times New Roman"/>
          <w:lang w:val="en-US"/>
        </w:rPr>
        <w:t xml:space="preserve">often </w:t>
      </w:r>
      <w:r w:rsidR="003843B1">
        <w:rPr>
          <w:rFonts w:ascii="Times New Roman" w:hAnsi="Times New Roman" w:cs="Times New Roman"/>
          <w:lang w:val="en-US"/>
        </w:rPr>
        <w:t>theoriz</w:t>
      </w:r>
      <w:r w:rsidR="00CD0156">
        <w:rPr>
          <w:rFonts w:ascii="Times New Roman" w:hAnsi="Times New Roman" w:cs="Times New Roman"/>
          <w:lang w:val="en-US"/>
        </w:rPr>
        <w:t>e</w:t>
      </w:r>
      <w:r w:rsidR="00422BEF">
        <w:rPr>
          <w:rFonts w:ascii="Times New Roman" w:hAnsi="Times New Roman" w:cs="Times New Roman"/>
          <w:lang w:val="en-US"/>
        </w:rPr>
        <w:t xml:space="preserve">d as emerging due to professionals expanding, redefining or renewing their knowledge base (O’Dwyer, 2011; O’Dwyer et al., 2011; Power, 1997, 2003; </w:t>
      </w:r>
      <w:proofErr w:type="spellStart"/>
      <w:r w:rsidR="00422BEF">
        <w:rPr>
          <w:rFonts w:ascii="Times New Roman" w:hAnsi="Times New Roman" w:cs="Times New Roman"/>
          <w:lang w:val="en-US"/>
        </w:rPr>
        <w:t>Gendron</w:t>
      </w:r>
      <w:proofErr w:type="spellEnd"/>
      <w:r w:rsidR="00422BEF">
        <w:rPr>
          <w:rFonts w:ascii="Times New Roman" w:hAnsi="Times New Roman" w:cs="Times New Roman"/>
          <w:lang w:val="en-US"/>
        </w:rPr>
        <w:t xml:space="preserve"> and Barrett, 2004), our </w:t>
      </w:r>
      <w:r w:rsidR="00693E8F">
        <w:rPr>
          <w:rFonts w:ascii="Times New Roman" w:hAnsi="Times New Roman" w:cs="Times New Roman"/>
          <w:lang w:val="en-US"/>
        </w:rPr>
        <w:t xml:space="preserve">analysis </w:t>
      </w:r>
      <w:r w:rsidR="00422BEF">
        <w:rPr>
          <w:rFonts w:ascii="Times New Roman" w:hAnsi="Times New Roman" w:cs="Times New Roman"/>
          <w:lang w:val="en-US"/>
        </w:rPr>
        <w:t xml:space="preserve">suggests that existing professionals in </w:t>
      </w:r>
      <w:r w:rsidR="00066A5A">
        <w:rPr>
          <w:rFonts w:ascii="Times New Roman" w:hAnsi="Times New Roman" w:cs="Times New Roman"/>
          <w:lang w:val="en-US"/>
        </w:rPr>
        <w:t xml:space="preserve">the </w:t>
      </w:r>
      <w:r w:rsidR="00422BEF">
        <w:rPr>
          <w:rFonts w:ascii="Times New Roman" w:hAnsi="Times New Roman" w:cs="Times New Roman"/>
          <w:lang w:val="en-US"/>
        </w:rPr>
        <w:t xml:space="preserve">corporate reporting field </w:t>
      </w:r>
      <w:r w:rsidR="003D3D86">
        <w:rPr>
          <w:rFonts w:ascii="Times New Roman" w:hAnsi="Times New Roman" w:cs="Times New Roman"/>
          <w:lang w:val="en-US"/>
        </w:rPr>
        <w:t xml:space="preserve">chose </w:t>
      </w:r>
      <w:r w:rsidR="00422BEF">
        <w:rPr>
          <w:rFonts w:ascii="Times New Roman" w:hAnsi="Times New Roman" w:cs="Times New Roman"/>
          <w:lang w:val="en-US"/>
        </w:rPr>
        <w:t xml:space="preserve">to cling to their existing areas of practice </w:t>
      </w:r>
      <w:r w:rsidR="003D3D86">
        <w:rPr>
          <w:rFonts w:ascii="Times New Roman" w:hAnsi="Times New Roman" w:cs="Times New Roman"/>
          <w:lang w:val="en-US"/>
        </w:rPr>
        <w:t xml:space="preserve">and </w:t>
      </w:r>
      <w:r w:rsidR="003843B1">
        <w:rPr>
          <w:rFonts w:ascii="Times New Roman" w:hAnsi="Times New Roman" w:cs="Times New Roman"/>
          <w:lang w:val="en-US"/>
        </w:rPr>
        <w:t xml:space="preserve">tried </w:t>
      </w:r>
      <w:r w:rsidR="00422BEF">
        <w:rPr>
          <w:rFonts w:ascii="Times New Roman" w:hAnsi="Times New Roman" w:cs="Times New Roman"/>
          <w:lang w:val="en-US"/>
        </w:rPr>
        <w:t xml:space="preserve">to ensure that the shape of </w:t>
      </w:r>
      <w:r w:rsidR="00121D10">
        <w:rPr>
          <w:rFonts w:ascii="Times New Roman" w:hAnsi="Times New Roman" w:cs="Times New Roman"/>
          <w:lang w:val="en-US"/>
        </w:rPr>
        <w:lastRenderedPageBreak/>
        <w:t>integrated reporting</w:t>
      </w:r>
      <w:r w:rsidR="00422BEF" w:rsidRPr="00D772A1">
        <w:rPr>
          <w:rFonts w:ascii="Times New Roman" w:hAnsi="Times New Roman" w:cs="Times New Roman"/>
          <w:lang w:val="en-US"/>
        </w:rPr>
        <w:t xml:space="preserve"> </w:t>
      </w:r>
      <w:r w:rsidR="00422BEF">
        <w:rPr>
          <w:rFonts w:ascii="Times New Roman" w:hAnsi="Times New Roman" w:cs="Times New Roman"/>
          <w:lang w:val="en-US"/>
        </w:rPr>
        <w:t xml:space="preserve">embraced </w:t>
      </w:r>
      <w:r w:rsidR="00F70D69">
        <w:rPr>
          <w:rFonts w:ascii="Times New Roman" w:hAnsi="Times New Roman" w:cs="Times New Roman"/>
          <w:lang w:val="en-US"/>
        </w:rPr>
        <w:t xml:space="preserve">but did not supplant </w:t>
      </w:r>
      <w:r w:rsidR="00422BEF">
        <w:rPr>
          <w:rFonts w:ascii="Times New Roman" w:hAnsi="Times New Roman" w:cs="Times New Roman"/>
          <w:lang w:val="en-US"/>
        </w:rPr>
        <w:t>their existing areas of expertise (see also, O’Dwyer, 2011).</w:t>
      </w:r>
      <w:r w:rsidR="001A10A2">
        <w:rPr>
          <w:rFonts w:ascii="Times New Roman" w:hAnsi="Times New Roman" w:cs="Times New Roman"/>
          <w:lang w:val="en-US"/>
        </w:rPr>
        <w:t xml:space="preserve"> </w:t>
      </w:r>
      <w:r w:rsidR="007847C2">
        <w:rPr>
          <w:rFonts w:ascii="Times New Roman" w:hAnsi="Times New Roman" w:cs="Times New Roman"/>
          <w:lang w:val="en-US"/>
        </w:rPr>
        <w:t xml:space="preserve">In </w:t>
      </w:r>
      <w:r w:rsidR="00310700">
        <w:rPr>
          <w:rFonts w:ascii="Times New Roman" w:hAnsi="Times New Roman" w:cs="Times New Roman"/>
          <w:lang w:val="en-US"/>
        </w:rPr>
        <w:t xml:space="preserve">contrast </w:t>
      </w:r>
      <w:r w:rsidR="00310700" w:rsidRPr="001F3731">
        <w:rPr>
          <w:rFonts w:ascii="Times New Roman" w:hAnsi="Times New Roman" w:cs="Times New Roman"/>
          <w:lang w:val="en-US"/>
        </w:rPr>
        <w:t>to Abbott</w:t>
      </w:r>
      <w:r w:rsidRPr="00686181">
        <w:rPr>
          <w:rFonts w:ascii="Times New Roman" w:hAnsi="Times New Roman" w:cs="Times New Roman"/>
          <w:lang w:val="en-US"/>
        </w:rPr>
        <w:t>’s</w:t>
      </w:r>
      <w:r w:rsidR="00310700" w:rsidRPr="001F3731">
        <w:rPr>
          <w:rFonts w:ascii="Times New Roman" w:hAnsi="Times New Roman" w:cs="Times New Roman"/>
          <w:lang w:val="en-US"/>
        </w:rPr>
        <w:t xml:space="preserve"> (1988)</w:t>
      </w:r>
      <w:r w:rsidRPr="00686181">
        <w:rPr>
          <w:rFonts w:ascii="Times New Roman" w:hAnsi="Times New Roman" w:cs="Times New Roman"/>
          <w:lang w:val="en-US"/>
        </w:rPr>
        <w:t xml:space="preserve"> observations</w:t>
      </w:r>
      <w:r w:rsidR="00310700" w:rsidRPr="001F3731">
        <w:rPr>
          <w:rFonts w:ascii="Times New Roman" w:hAnsi="Times New Roman" w:cs="Times New Roman"/>
          <w:lang w:val="en-US"/>
        </w:rPr>
        <w:t xml:space="preserve">, </w:t>
      </w:r>
      <w:r w:rsidR="00693E8F" w:rsidRPr="001F3731">
        <w:rPr>
          <w:rFonts w:ascii="Times New Roman" w:hAnsi="Times New Roman" w:cs="Times New Roman"/>
          <w:lang w:val="en-US"/>
        </w:rPr>
        <w:t>we</w:t>
      </w:r>
      <w:r w:rsidR="00693E8F">
        <w:rPr>
          <w:rFonts w:ascii="Times New Roman" w:hAnsi="Times New Roman" w:cs="Times New Roman"/>
          <w:lang w:val="en-US"/>
        </w:rPr>
        <w:t xml:space="preserve"> </w:t>
      </w:r>
      <w:r w:rsidR="007847C2">
        <w:rPr>
          <w:rFonts w:ascii="Times New Roman" w:hAnsi="Times New Roman" w:cs="Times New Roman"/>
          <w:lang w:val="en-US"/>
        </w:rPr>
        <w:t xml:space="preserve">therefore </w:t>
      </w:r>
      <w:r w:rsidR="00693E8F">
        <w:rPr>
          <w:rFonts w:ascii="Times New Roman" w:hAnsi="Times New Roman" w:cs="Times New Roman"/>
          <w:lang w:val="en-US"/>
        </w:rPr>
        <w:t xml:space="preserve">found </w:t>
      </w:r>
      <w:r w:rsidR="00D23699">
        <w:rPr>
          <w:rFonts w:ascii="Times New Roman" w:hAnsi="Times New Roman" w:cs="Times New Roman"/>
          <w:lang w:val="en-US"/>
        </w:rPr>
        <w:t xml:space="preserve">little evidence of boundary work seeking to privilege one professional grouping over another. The core </w:t>
      </w:r>
      <w:r w:rsidR="00B41BA8">
        <w:rPr>
          <w:rFonts w:ascii="Times New Roman" w:hAnsi="Times New Roman" w:cs="Times New Roman"/>
          <w:lang w:val="en-US"/>
        </w:rPr>
        <w:t xml:space="preserve">process </w:t>
      </w:r>
      <w:r w:rsidR="00597093">
        <w:rPr>
          <w:rFonts w:ascii="Times New Roman" w:hAnsi="Times New Roman" w:cs="Times New Roman"/>
          <w:lang w:val="en-US"/>
        </w:rPr>
        <w:t xml:space="preserve">encompassed </w:t>
      </w:r>
      <w:r w:rsidR="00B41BA8">
        <w:rPr>
          <w:rFonts w:ascii="Times New Roman" w:hAnsi="Times New Roman" w:cs="Times New Roman"/>
          <w:lang w:val="en-US"/>
        </w:rPr>
        <w:t xml:space="preserve">efforts aimed at </w:t>
      </w:r>
      <w:r w:rsidR="00D23699">
        <w:rPr>
          <w:rFonts w:ascii="Times New Roman" w:hAnsi="Times New Roman" w:cs="Times New Roman"/>
          <w:lang w:val="en-US"/>
        </w:rPr>
        <w:t>highlight</w:t>
      </w:r>
      <w:r w:rsidR="00B41BA8">
        <w:rPr>
          <w:rFonts w:ascii="Times New Roman" w:hAnsi="Times New Roman" w:cs="Times New Roman"/>
          <w:lang w:val="en-US"/>
        </w:rPr>
        <w:t>ing</w:t>
      </w:r>
      <w:r w:rsidR="00D23699">
        <w:rPr>
          <w:rFonts w:ascii="Times New Roman" w:hAnsi="Times New Roman" w:cs="Times New Roman"/>
          <w:lang w:val="en-US"/>
        </w:rPr>
        <w:t xml:space="preserve"> how the characteristics of </w:t>
      </w:r>
      <w:r w:rsidR="00121D10">
        <w:rPr>
          <w:rFonts w:ascii="Times New Roman" w:hAnsi="Times New Roman" w:cs="Times New Roman"/>
          <w:lang w:val="en-US"/>
        </w:rPr>
        <w:t>integrated reporting</w:t>
      </w:r>
      <w:r w:rsidR="00D23699">
        <w:rPr>
          <w:rFonts w:ascii="Times New Roman" w:hAnsi="Times New Roman" w:cs="Times New Roman"/>
          <w:lang w:val="en-US"/>
        </w:rPr>
        <w:t xml:space="preserve"> could be shaped to </w:t>
      </w:r>
      <w:r w:rsidR="00B57FCA">
        <w:rPr>
          <w:rFonts w:ascii="Times New Roman" w:hAnsi="Times New Roman" w:cs="Times New Roman"/>
          <w:lang w:val="en-US"/>
        </w:rPr>
        <w:t>constru</w:t>
      </w:r>
      <w:r w:rsidR="00D23699">
        <w:rPr>
          <w:rFonts w:ascii="Times New Roman" w:hAnsi="Times New Roman" w:cs="Times New Roman"/>
          <w:lang w:val="en-US"/>
        </w:rPr>
        <w:t>ct commonalities</w:t>
      </w:r>
      <w:r w:rsidR="00215A93">
        <w:rPr>
          <w:rFonts w:ascii="Times New Roman" w:hAnsi="Times New Roman" w:cs="Times New Roman"/>
          <w:lang w:val="en-US"/>
        </w:rPr>
        <w:t xml:space="preserve"> as opposed to contrasts</w:t>
      </w:r>
      <w:r w:rsidR="00D23699">
        <w:rPr>
          <w:rFonts w:ascii="Times New Roman" w:hAnsi="Times New Roman" w:cs="Times New Roman"/>
          <w:lang w:val="en-US"/>
        </w:rPr>
        <w:t xml:space="preserve"> among the expertise of </w:t>
      </w:r>
      <w:r w:rsidR="00B41BA8">
        <w:rPr>
          <w:rFonts w:ascii="Times New Roman" w:hAnsi="Times New Roman" w:cs="Times New Roman"/>
          <w:lang w:val="en-US"/>
        </w:rPr>
        <w:t xml:space="preserve">the </w:t>
      </w:r>
      <w:r w:rsidR="00D23699">
        <w:rPr>
          <w:rFonts w:ascii="Times New Roman" w:hAnsi="Times New Roman" w:cs="Times New Roman"/>
          <w:lang w:val="en-US"/>
        </w:rPr>
        <w:t>professional groups</w:t>
      </w:r>
      <w:r w:rsidR="00B41BA8">
        <w:rPr>
          <w:rFonts w:ascii="Times New Roman" w:hAnsi="Times New Roman" w:cs="Times New Roman"/>
          <w:lang w:val="en-US"/>
        </w:rPr>
        <w:t xml:space="preserve"> involved</w:t>
      </w:r>
      <w:r w:rsidR="0071677D">
        <w:rPr>
          <w:rFonts w:ascii="Times New Roman" w:hAnsi="Times New Roman" w:cs="Times New Roman"/>
          <w:lang w:val="en-US"/>
        </w:rPr>
        <w:t>.</w:t>
      </w:r>
    </w:p>
    <w:p w14:paraId="45DE698F" w14:textId="77777777" w:rsidR="00EA42D1" w:rsidRPr="00BB21C4" w:rsidRDefault="00EA42D1" w:rsidP="002223A8">
      <w:pPr>
        <w:spacing w:line="360" w:lineRule="auto"/>
        <w:jc w:val="both"/>
        <w:rPr>
          <w:rFonts w:ascii="Times New Roman" w:hAnsi="Times New Roman" w:cs="Times New Roman"/>
          <w:lang w:val="en-US"/>
        </w:rPr>
      </w:pPr>
    </w:p>
    <w:p w14:paraId="5AD6AC5E" w14:textId="06FC9595" w:rsidR="002E2B25" w:rsidRPr="005F028E" w:rsidRDefault="00422BEF" w:rsidP="005F028E">
      <w:pPr>
        <w:pStyle w:val="ListParagraph"/>
        <w:numPr>
          <w:ilvl w:val="1"/>
          <w:numId w:val="25"/>
        </w:numPr>
        <w:spacing w:line="360" w:lineRule="auto"/>
        <w:ind w:hanging="720"/>
        <w:jc w:val="both"/>
        <w:rPr>
          <w:rFonts w:ascii="Times New Roman" w:hAnsi="Times New Roman" w:cs="Times New Roman"/>
          <w:b/>
          <w:i/>
          <w:lang w:val="en-US"/>
        </w:rPr>
      </w:pPr>
      <w:r w:rsidRPr="005F028E">
        <w:rPr>
          <w:rFonts w:ascii="Times New Roman" w:hAnsi="Times New Roman" w:cs="Times New Roman"/>
          <w:b/>
          <w:i/>
          <w:lang w:val="en-US"/>
        </w:rPr>
        <w:t>Market-led or a</w:t>
      </w:r>
      <w:r w:rsidR="00BB21C4" w:rsidRPr="005F028E">
        <w:rPr>
          <w:rFonts w:ascii="Times New Roman" w:hAnsi="Times New Roman" w:cs="Times New Roman"/>
          <w:b/>
          <w:i/>
          <w:lang w:val="en-US"/>
        </w:rPr>
        <w:t xml:space="preserve"> case of educating the market? </w:t>
      </w:r>
      <w:r w:rsidRPr="005F028E">
        <w:rPr>
          <w:rFonts w:ascii="Times New Roman" w:hAnsi="Times New Roman" w:cs="Times New Roman"/>
          <w:b/>
          <w:i/>
          <w:lang w:val="en-US"/>
        </w:rPr>
        <w:t xml:space="preserve">- </w:t>
      </w:r>
      <w:r w:rsidR="00A46044" w:rsidRPr="005F028E">
        <w:rPr>
          <w:rFonts w:ascii="Times New Roman" w:hAnsi="Times New Roman" w:cs="Times New Roman"/>
          <w:b/>
          <w:i/>
          <w:lang w:val="en-US"/>
        </w:rPr>
        <w:t>t</w:t>
      </w:r>
      <w:r w:rsidR="00D83846" w:rsidRPr="005F028E">
        <w:rPr>
          <w:rFonts w:ascii="Times New Roman" w:hAnsi="Times New Roman" w:cs="Times New Roman"/>
          <w:b/>
          <w:i/>
          <w:lang w:val="en-US"/>
        </w:rPr>
        <w:t>he significance of the not</w:t>
      </w:r>
      <w:r w:rsidRPr="005F028E">
        <w:rPr>
          <w:rFonts w:ascii="Times New Roman" w:hAnsi="Times New Roman" w:cs="Times New Roman"/>
          <w:b/>
          <w:i/>
          <w:lang w:val="en-US"/>
        </w:rPr>
        <w:t xml:space="preserve">ion of an </w:t>
      </w:r>
      <w:r w:rsidR="00CC1DCC" w:rsidRPr="005F028E">
        <w:rPr>
          <w:rFonts w:ascii="Times New Roman" w:hAnsi="Times New Roman" w:cs="Times New Roman"/>
          <w:b/>
          <w:i/>
          <w:lang w:val="en-US"/>
        </w:rPr>
        <w:t>‘</w:t>
      </w:r>
      <w:r w:rsidRPr="005F028E">
        <w:rPr>
          <w:rFonts w:ascii="Times New Roman" w:hAnsi="Times New Roman" w:cs="Times New Roman"/>
          <w:b/>
          <w:i/>
          <w:lang w:val="en-US"/>
        </w:rPr>
        <w:t>enlightened</w:t>
      </w:r>
      <w:r w:rsidR="00CC1DCC" w:rsidRPr="005F028E">
        <w:rPr>
          <w:rFonts w:ascii="Times New Roman" w:hAnsi="Times New Roman" w:cs="Times New Roman"/>
          <w:b/>
          <w:i/>
          <w:lang w:val="en-US"/>
        </w:rPr>
        <w:t>’</w:t>
      </w:r>
      <w:r w:rsidRPr="005F028E">
        <w:rPr>
          <w:rFonts w:ascii="Times New Roman" w:hAnsi="Times New Roman" w:cs="Times New Roman"/>
          <w:b/>
          <w:i/>
          <w:lang w:val="en-US"/>
        </w:rPr>
        <w:t xml:space="preserve"> long term investor </w:t>
      </w:r>
    </w:p>
    <w:p w14:paraId="6D8A1F01" w14:textId="3F882C84" w:rsidR="00A626DF" w:rsidRPr="00686181" w:rsidRDefault="002E2B25" w:rsidP="00A626DF">
      <w:pPr>
        <w:spacing w:line="360" w:lineRule="auto"/>
        <w:ind w:firstLine="360"/>
        <w:jc w:val="both"/>
        <w:rPr>
          <w:rFonts w:ascii="Times New Roman" w:hAnsi="Times New Roman" w:cs="Times New Roman"/>
          <w:lang w:val="en-US"/>
        </w:rPr>
      </w:pPr>
      <w:r w:rsidRPr="008E4449">
        <w:rPr>
          <w:rFonts w:ascii="Times New Roman" w:hAnsi="Times New Roman" w:cs="Times New Roman"/>
          <w:lang w:val="en-US"/>
        </w:rPr>
        <w:t xml:space="preserve">The benefits to all professionals involved in shaping and promoting </w:t>
      </w:r>
      <w:r w:rsidR="00121D10">
        <w:rPr>
          <w:rFonts w:ascii="Times New Roman" w:hAnsi="Times New Roman" w:cs="Times New Roman"/>
          <w:lang w:val="en-US"/>
        </w:rPr>
        <w:t>integrated reporting</w:t>
      </w:r>
      <w:r w:rsidRPr="008E4449">
        <w:rPr>
          <w:rFonts w:ascii="Times New Roman" w:hAnsi="Times New Roman" w:cs="Times New Roman"/>
          <w:lang w:val="en-US"/>
        </w:rPr>
        <w:t xml:space="preserve"> </w:t>
      </w:r>
      <w:r w:rsidR="00BD02E2">
        <w:rPr>
          <w:rFonts w:ascii="Times New Roman" w:hAnsi="Times New Roman" w:cs="Times New Roman"/>
          <w:lang w:val="en-US"/>
        </w:rPr>
        <w:t xml:space="preserve">clearly depend on it </w:t>
      </w:r>
      <w:r w:rsidRPr="008E4449">
        <w:rPr>
          <w:rFonts w:ascii="Times New Roman" w:hAnsi="Times New Roman" w:cs="Times New Roman"/>
          <w:lang w:val="en-US"/>
        </w:rPr>
        <w:t>attract</w:t>
      </w:r>
      <w:r w:rsidR="00BD02E2">
        <w:rPr>
          <w:rFonts w:ascii="Times New Roman" w:hAnsi="Times New Roman" w:cs="Times New Roman"/>
          <w:lang w:val="en-US"/>
        </w:rPr>
        <w:t>ing</w:t>
      </w:r>
      <w:r w:rsidRPr="008E4449">
        <w:rPr>
          <w:rFonts w:ascii="Times New Roman" w:hAnsi="Times New Roman" w:cs="Times New Roman"/>
          <w:lang w:val="en-US"/>
        </w:rPr>
        <w:t xml:space="preserve"> a large number of </w:t>
      </w:r>
      <w:r w:rsidR="006A79BD">
        <w:rPr>
          <w:rFonts w:ascii="Times New Roman" w:hAnsi="Times New Roman" w:cs="Times New Roman"/>
          <w:lang w:val="en-US"/>
        </w:rPr>
        <w:t xml:space="preserve">adopting </w:t>
      </w:r>
      <w:r w:rsidRPr="008E4449">
        <w:rPr>
          <w:rFonts w:ascii="Times New Roman" w:hAnsi="Times New Roman" w:cs="Times New Roman"/>
          <w:lang w:val="en-US"/>
        </w:rPr>
        <w:t>o</w:t>
      </w:r>
      <w:r w:rsidR="002223A8">
        <w:rPr>
          <w:rFonts w:ascii="Times New Roman" w:hAnsi="Times New Roman" w:cs="Times New Roman"/>
          <w:lang w:val="en-US"/>
        </w:rPr>
        <w:t>rganizations</w:t>
      </w:r>
      <w:r w:rsidR="00D25B4C">
        <w:rPr>
          <w:rFonts w:ascii="Times New Roman" w:hAnsi="Times New Roman" w:cs="Times New Roman"/>
          <w:lang w:val="en-US"/>
        </w:rPr>
        <w:t xml:space="preserve">. </w:t>
      </w:r>
      <w:r w:rsidR="002223A8">
        <w:rPr>
          <w:rFonts w:ascii="Times New Roman" w:hAnsi="Times New Roman" w:cs="Times New Roman"/>
          <w:lang w:val="en-US"/>
        </w:rPr>
        <w:t xml:space="preserve"> </w:t>
      </w:r>
      <w:r w:rsidR="00BD02E2">
        <w:rPr>
          <w:rFonts w:ascii="Times New Roman" w:hAnsi="Times New Roman" w:cs="Times New Roman"/>
          <w:lang w:val="en-US"/>
        </w:rPr>
        <w:t xml:space="preserve">With </w:t>
      </w:r>
      <w:r w:rsidR="002223A8">
        <w:rPr>
          <w:rFonts w:ascii="Times New Roman" w:hAnsi="Times New Roman" w:cs="Times New Roman"/>
          <w:lang w:val="en-US"/>
        </w:rPr>
        <w:t>a</w:t>
      </w:r>
      <w:r w:rsidR="00BD02E2">
        <w:rPr>
          <w:rFonts w:ascii="Times New Roman" w:hAnsi="Times New Roman" w:cs="Times New Roman"/>
          <w:lang w:val="en-US"/>
        </w:rPr>
        <w:t xml:space="preserve">n emerging </w:t>
      </w:r>
      <w:r w:rsidRPr="008E4449">
        <w:rPr>
          <w:rFonts w:ascii="Times New Roman" w:hAnsi="Times New Roman" w:cs="Times New Roman"/>
          <w:lang w:val="en-US"/>
        </w:rPr>
        <w:t>distinguishing cha</w:t>
      </w:r>
      <w:r w:rsidR="00787F04" w:rsidRPr="00787F04">
        <w:rPr>
          <w:rFonts w:ascii="Times New Roman" w:hAnsi="Times New Roman" w:cs="Times New Roman"/>
          <w:lang w:val="en-US"/>
        </w:rPr>
        <w:t xml:space="preserve">racteristic </w:t>
      </w:r>
      <w:r w:rsidR="00BD02E2">
        <w:rPr>
          <w:rFonts w:ascii="Times New Roman" w:hAnsi="Times New Roman" w:cs="Times New Roman"/>
          <w:lang w:val="en-US"/>
        </w:rPr>
        <w:t>being to</w:t>
      </w:r>
      <w:r w:rsidRPr="008E4449">
        <w:rPr>
          <w:rFonts w:ascii="Times New Roman" w:hAnsi="Times New Roman" w:cs="Times New Roman"/>
          <w:lang w:val="en-US"/>
        </w:rPr>
        <w:t xml:space="preserve"> meet long-te</w:t>
      </w:r>
      <w:r w:rsidR="002223A8">
        <w:rPr>
          <w:rFonts w:ascii="Times New Roman" w:hAnsi="Times New Roman" w:cs="Times New Roman"/>
          <w:lang w:val="en-US"/>
        </w:rPr>
        <w:t>rm investor information needs, a</w:t>
      </w:r>
      <w:r w:rsidRPr="008E4449">
        <w:rPr>
          <w:rFonts w:ascii="Times New Roman" w:hAnsi="Times New Roman" w:cs="Times New Roman"/>
          <w:lang w:val="en-US"/>
        </w:rPr>
        <w:t xml:space="preserve">ttracting large numbers of organizations to adopt </w:t>
      </w:r>
      <w:r w:rsidR="00121D10">
        <w:rPr>
          <w:rFonts w:ascii="Times New Roman" w:hAnsi="Times New Roman" w:cs="Times New Roman"/>
          <w:lang w:val="en-US"/>
        </w:rPr>
        <w:t>integrated reporting</w:t>
      </w:r>
      <w:r w:rsidRPr="008E4449">
        <w:rPr>
          <w:rFonts w:ascii="Times New Roman" w:hAnsi="Times New Roman" w:cs="Times New Roman"/>
          <w:lang w:val="en-US"/>
        </w:rPr>
        <w:t xml:space="preserve"> </w:t>
      </w:r>
      <w:r w:rsidR="00BD02E2">
        <w:rPr>
          <w:rFonts w:ascii="Times New Roman" w:hAnsi="Times New Roman" w:cs="Times New Roman"/>
          <w:lang w:val="en-US"/>
        </w:rPr>
        <w:t xml:space="preserve">required the IIRC to </w:t>
      </w:r>
      <w:r w:rsidRPr="008E4449">
        <w:rPr>
          <w:rFonts w:ascii="Times New Roman" w:hAnsi="Times New Roman" w:cs="Times New Roman"/>
          <w:lang w:val="en-US"/>
        </w:rPr>
        <w:t>demonstrat</w:t>
      </w:r>
      <w:r w:rsidR="00BD02E2">
        <w:rPr>
          <w:rFonts w:ascii="Times New Roman" w:hAnsi="Times New Roman" w:cs="Times New Roman"/>
          <w:lang w:val="en-US"/>
        </w:rPr>
        <w:t>e</w:t>
      </w:r>
      <w:r w:rsidRPr="008E4449">
        <w:rPr>
          <w:rFonts w:ascii="Times New Roman" w:hAnsi="Times New Roman" w:cs="Times New Roman"/>
          <w:lang w:val="en-US"/>
        </w:rPr>
        <w:t xml:space="preserve"> that long-term investors</w:t>
      </w:r>
      <w:r w:rsidR="003843B1">
        <w:rPr>
          <w:rFonts w:ascii="Times New Roman" w:hAnsi="Times New Roman" w:cs="Times New Roman"/>
          <w:lang w:val="en-US"/>
        </w:rPr>
        <w:t xml:space="preserve"> were not only numerous</w:t>
      </w:r>
      <w:r w:rsidR="00BD02E2">
        <w:rPr>
          <w:rFonts w:ascii="Times New Roman" w:hAnsi="Times New Roman" w:cs="Times New Roman"/>
          <w:lang w:val="en-US"/>
        </w:rPr>
        <w:t xml:space="preserve"> </w:t>
      </w:r>
      <w:r w:rsidR="003843B1">
        <w:rPr>
          <w:rFonts w:ascii="Times New Roman" w:hAnsi="Times New Roman" w:cs="Times New Roman"/>
          <w:lang w:val="en-US"/>
        </w:rPr>
        <w:t>but were also</w:t>
      </w:r>
      <w:r w:rsidRPr="008E4449">
        <w:rPr>
          <w:rFonts w:ascii="Times New Roman" w:hAnsi="Times New Roman" w:cs="Times New Roman"/>
          <w:lang w:val="en-US"/>
        </w:rPr>
        <w:t xml:space="preserve"> demanding </w:t>
      </w:r>
      <w:r w:rsidR="00645ABE">
        <w:rPr>
          <w:rFonts w:ascii="Times New Roman" w:hAnsi="Times New Roman" w:cs="Times New Roman"/>
          <w:lang w:val="en-US"/>
        </w:rPr>
        <w:t xml:space="preserve">the type of </w:t>
      </w:r>
      <w:r w:rsidRPr="008E4449">
        <w:rPr>
          <w:rFonts w:ascii="Times New Roman" w:hAnsi="Times New Roman" w:cs="Times New Roman"/>
          <w:lang w:val="en-US"/>
        </w:rPr>
        <w:t xml:space="preserve">information being promised by </w:t>
      </w:r>
      <w:r w:rsidR="00121D10">
        <w:rPr>
          <w:rFonts w:ascii="Times New Roman" w:hAnsi="Times New Roman" w:cs="Times New Roman"/>
          <w:lang w:val="en-US"/>
        </w:rPr>
        <w:t>integrated reporting</w:t>
      </w:r>
      <w:r w:rsidRPr="008E4449">
        <w:rPr>
          <w:rFonts w:ascii="Times New Roman" w:hAnsi="Times New Roman" w:cs="Times New Roman"/>
          <w:lang w:val="en-US"/>
        </w:rPr>
        <w:t xml:space="preserve">. </w:t>
      </w:r>
      <w:r w:rsidR="00213026">
        <w:rPr>
          <w:rFonts w:ascii="Times New Roman" w:hAnsi="Times New Roman" w:cs="Times New Roman"/>
          <w:lang w:val="en-US"/>
        </w:rPr>
        <w:t xml:space="preserve">This was </w:t>
      </w:r>
      <w:r w:rsidR="00BD02E2">
        <w:rPr>
          <w:rFonts w:ascii="Times New Roman" w:hAnsi="Times New Roman" w:cs="Times New Roman"/>
          <w:lang w:val="en-US"/>
        </w:rPr>
        <w:t>particularly so because</w:t>
      </w:r>
      <w:r w:rsidR="00213026">
        <w:rPr>
          <w:rFonts w:ascii="Times New Roman" w:hAnsi="Times New Roman" w:cs="Times New Roman"/>
          <w:lang w:val="en-US"/>
        </w:rPr>
        <w:t xml:space="preserve"> the IIRC </w:t>
      </w:r>
      <w:r w:rsidR="003843B1">
        <w:rPr>
          <w:rFonts w:ascii="Times New Roman" w:hAnsi="Times New Roman" w:cs="Times New Roman"/>
          <w:lang w:val="en-US"/>
        </w:rPr>
        <w:t xml:space="preserve">had </w:t>
      </w:r>
      <w:r w:rsidR="00213026">
        <w:rPr>
          <w:rFonts w:ascii="Times New Roman" w:hAnsi="Times New Roman" w:cs="Times New Roman"/>
          <w:lang w:val="en-US"/>
        </w:rPr>
        <w:t xml:space="preserve">continually promoted </w:t>
      </w:r>
      <w:r w:rsidR="006A79BD">
        <w:rPr>
          <w:rFonts w:ascii="Times New Roman" w:hAnsi="Times New Roman" w:cs="Times New Roman"/>
          <w:lang w:val="en-US"/>
        </w:rPr>
        <w:t>itself as a “market-led and evidence-based organization”</w:t>
      </w:r>
      <w:r w:rsidR="006A79BD">
        <w:rPr>
          <w:rStyle w:val="FootnoteReference"/>
          <w:rFonts w:ascii="Times New Roman" w:hAnsi="Times New Roman" w:cs="Times New Roman"/>
          <w:lang w:val="en-US"/>
        </w:rPr>
        <w:footnoteReference w:id="23"/>
      </w:r>
      <w:r w:rsidR="006A79BD">
        <w:rPr>
          <w:rFonts w:ascii="Times New Roman" w:hAnsi="Times New Roman" w:cs="Times New Roman"/>
          <w:lang w:val="en-US"/>
        </w:rPr>
        <w:t xml:space="preserve"> and</w:t>
      </w:r>
      <w:r w:rsidR="003843B1">
        <w:rPr>
          <w:rFonts w:ascii="Times New Roman" w:hAnsi="Times New Roman" w:cs="Times New Roman"/>
          <w:lang w:val="en-US"/>
        </w:rPr>
        <w:t xml:space="preserve"> </w:t>
      </w:r>
      <w:r w:rsidR="006D5CAC">
        <w:rPr>
          <w:rFonts w:ascii="Times New Roman" w:hAnsi="Times New Roman" w:cs="Times New Roman"/>
          <w:lang w:val="en-US"/>
        </w:rPr>
        <w:t xml:space="preserve">had </w:t>
      </w:r>
      <w:r w:rsidR="003843B1">
        <w:rPr>
          <w:rFonts w:ascii="Times New Roman" w:hAnsi="Times New Roman" w:cs="Times New Roman"/>
          <w:lang w:val="en-US"/>
        </w:rPr>
        <w:t>represented</w:t>
      </w:r>
      <w:r w:rsidR="006A79BD">
        <w:rPr>
          <w:rFonts w:ascii="Times New Roman" w:hAnsi="Times New Roman" w:cs="Times New Roman"/>
          <w:lang w:val="en-US"/>
        </w:rPr>
        <w:t xml:space="preserve"> </w:t>
      </w:r>
      <w:r w:rsidR="00121D10">
        <w:rPr>
          <w:rFonts w:ascii="Times New Roman" w:hAnsi="Times New Roman" w:cs="Times New Roman"/>
          <w:lang w:val="en-US"/>
        </w:rPr>
        <w:t>integrated reporting</w:t>
      </w:r>
      <w:r w:rsidR="00213026">
        <w:rPr>
          <w:rFonts w:ascii="Times New Roman" w:hAnsi="Times New Roman" w:cs="Times New Roman"/>
          <w:lang w:val="en-US"/>
        </w:rPr>
        <w:t xml:space="preserve"> as a market-led phenomenon</w:t>
      </w:r>
      <w:r w:rsidR="00D25B4C">
        <w:rPr>
          <w:rFonts w:ascii="Times New Roman" w:hAnsi="Times New Roman" w:cs="Times New Roman"/>
          <w:lang w:val="en-US"/>
        </w:rPr>
        <w:t>:</w:t>
      </w:r>
      <w:r w:rsidR="00213026">
        <w:rPr>
          <w:rFonts w:ascii="Times New Roman" w:hAnsi="Times New Roman" w:cs="Times New Roman"/>
          <w:lang w:val="en-US"/>
        </w:rPr>
        <w:t xml:space="preserve"> </w:t>
      </w:r>
    </w:p>
    <w:p w14:paraId="49D294B1" w14:textId="008469A5" w:rsidR="003D1972" w:rsidRPr="00686181" w:rsidRDefault="00A626DF" w:rsidP="00686181">
      <w:pPr>
        <w:spacing w:line="240" w:lineRule="auto"/>
        <w:ind w:left="708"/>
        <w:jc w:val="both"/>
        <w:rPr>
          <w:rFonts w:ascii="Times New Roman" w:hAnsi="Times New Roman" w:cs="Times New Roman"/>
          <w:color w:val="333333"/>
          <w:sz w:val="20"/>
          <w:szCs w:val="20"/>
          <w:lang w:val="en-US"/>
        </w:rPr>
      </w:pPr>
      <w:r w:rsidRPr="00686181">
        <w:rPr>
          <w:rFonts w:ascii="Times New Roman" w:hAnsi="Times New Roman" w:cs="Times New Roman"/>
          <w:sz w:val="20"/>
          <w:szCs w:val="20"/>
          <w:lang w:val="en-GB"/>
        </w:rPr>
        <w:t>The IIRC are acutely aware, that for tangible change to occur it must be market-led and businesses, investors, accounting bodies and trade associations need to forge the way</w:t>
      </w:r>
      <w:r w:rsidRPr="00686181">
        <w:rPr>
          <w:rStyle w:val="FootnoteReference"/>
          <w:rFonts w:ascii="Times New Roman" w:hAnsi="Times New Roman" w:cs="Times New Roman"/>
          <w:sz w:val="20"/>
          <w:szCs w:val="20"/>
          <w:lang w:val="en-GB"/>
        </w:rPr>
        <w:footnoteReference w:id="24"/>
      </w:r>
      <w:r w:rsidR="00042484" w:rsidRPr="00686181">
        <w:rPr>
          <w:rFonts w:ascii="Times New Roman" w:hAnsi="Times New Roman" w:cs="Times New Roman"/>
          <w:sz w:val="20"/>
          <w:szCs w:val="20"/>
          <w:lang w:val="en-GB"/>
        </w:rPr>
        <w:t xml:space="preserve"> … </w:t>
      </w:r>
      <w:r w:rsidRPr="00686181">
        <w:rPr>
          <w:rFonts w:ascii="Times New Roman" w:hAnsi="Times New Roman" w:cs="Times New Roman"/>
          <w:color w:val="333333"/>
          <w:sz w:val="20"/>
          <w:szCs w:val="20"/>
          <w:lang w:val="en-US"/>
        </w:rPr>
        <w:t>Integrated Reporting is a market- led initiative, driven by business and investor needs to gain greater insights into how a company’s strategy creates and preserves value over the short, medium and long term</w:t>
      </w:r>
      <w:r w:rsidR="00D25B4C">
        <w:rPr>
          <w:rFonts w:ascii="Times New Roman" w:hAnsi="Times New Roman" w:cs="Times New Roman"/>
          <w:color w:val="333333"/>
          <w:sz w:val="20"/>
          <w:szCs w:val="20"/>
          <w:lang w:val="en-US"/>
        </w:rPr>
        <w:t>.</w:t>
      </w:r>
      <w:r w:rsidRPr="00686181">
        <w:rPr>
          <w:rStyle w:val="FootnoteReference"/>
          <w:rFonts w:ascii="Times New Roman" w:hAnsi="Times New Roman" w:cs="Times New Roman"/>
          <w:color w:val="333333"/>
          <w:sz w:val="20"/>
          <w:szCs w:val="20"/>
          <w:lang w:val="en-US"/>
        </w:rPr>
        <w:footnoteReference w:id="25"/>
      </w:r>
      <w:r w:rsidR="00042484" w:rsidRPr="00042484">
        <w:rPr>
          <w:rFonts w:ascii="Times New Roman" w:hAnsi="Times New Roman" w:cs="Times New Roman"/>
          <w:color w:val="333333"/>
          <w:sz w:val="20"/>
          <w:szCs w:val="20"/>
          <w:lang w:val="en-US"/>
        </w:rPr>
        <w:t xml:space="preserve"> (</w:t>
      </w:r>
      <w:r w:rsidR="00042484" w:rsidRPr="006A79BD">
        <w:rPr>
          <w:rFonts w:ascii="Times New Roman" w:hAnsi="Times New Roman" w:cs="Times New Roman"/>
          <w:color w:val="333333"/>
          <w:sz w:val="20"/>
          <w:szCs w:val="20"/>
          <w:lang w:val="en-US"/>
        </w:rPr>
        <w:t xml:space="preserve">Paul </w:t>
      </w:r>
      <w:proofErr w:type="spellStart"/>
      <w:r w:rsidR="00042484" w:rsidRPr="006A79BD">
        <w:rPr>
          <w:rFonts w:ascii="Times New Roman" w:hAnsi="Times New Roman" w:cs="Times New Roman"/>
          <w:color w:val="333333"/>
          <w:sz w:val="20"/>
          <w:szCs w:val="20"/>
          <w:lang w:val="en-US"/>
        </w:rPr>
        <w:t>Druckman</w:t>
      </w:r>
      <w:proofErr w:type="spellEnd"/>
      <w:r w:rsidR="00042484" w:rsidRPr="006A79BD">
        <w:rPr>
          <w:rFonts w:ascii="Times New Roman" w:hAnsi="Times New Roman" w:cs="Times New Roman"/>
          <w:color w:val="333333"/>
          <w:sz w:val="20"/>
          <w:szCs w:val="20"/>
          <w:lang w:val="en-US"/>
        </w:rPr>
        <w:t>, IIRC CEO)</w:t>
      </w:r>
    </w:p>
    <w:p w14:paraId="38A1A449" w14:textId="0CC8211E" w:rsidR="002E2B25" w:rsidRPr="008E4449" w:rsidRDefault="00213026" w:rsidP="008E4449">
      <w:pPr>
        <w:spacing w:line="360" w:lineRule="auto"/>
        <w:ind w:firstLine="360"/>
        <w:jc w:val="both"/>
        <w:rPr>
          <w:rFonts w:ascii="Times New Roman" w:hAnsi="Times New Roman" w:cs="Times New Roman"/>
          <w:b/>
          <w:i/>
          <w:lang w:val="en-US"/>
        </w:rPr>
      </w:pPr>
      <w:r>
        <w:rPr>
          <w:rFonts w:ascii="Times New Roman" w:hAnsi="Times New Roman" w:cs="Times New Roman"/>
          <w:lang w:val="en-US"/>
        </w:rPr>
        <w:t>Hence, a</w:t>
      </w:r>
      <w:r w:rsidR="002E2B25" w:rsidRPr="008E4449">
        <w:rPr>
          <w:rFonts w:ascii="Times New Roman" w:hAnsi="Times New Roman" w:cs="Times New Roman"/>
          <w:lang w:val="en-US"/>
        </w:rPr>
        <w:t xml:space="preserve"> further challenge to the d</w:t>
      </w:r>
      <w:r w:rsidR="00787F04" w:rsidRPr="00787F04">
        <w:rPr>
          <w:rFonts w:ascii="Times New Roman" w:hAnsi="Times New Roman" w:cs="Times New Roman"/>
          <w:lang w:val="en-US"/>
        </w:rPr>
        <w:t xml:space="preserve">evelopment and endurance of </w:t>
      </w:r>
      <w:r w:rsidR="00121D10">
        <w:rPr>
          <w:rFonts w:ascii="Times New Roman" w:hAnsi="Times New Roman" w:cs="Times New Roman"/>
          <w:lang w:val="en-US"/>
        </w:rPr>
        <w:t>integrated reporting</w:t>
      </w:r>
      <w:r w:rsidR="002E2B25" w:rsidRPr="008E4449">
        <w:rPr>
          <w:rFonts w:ascii="Times New Roman" w:hAnsi="Times New Roman" w:cs="Times New Roman"/>
          <w:lang w:val="en-US"/>
        </w:rPr>
        <w:t xml:space="preserve"> </w:t>
      </w:r>
      <w:r w:rsidR="002223A8" w:rsidRPr="002223A8">
        <w:rPr>
          <w:rFonts w:ascii="Times New Roman" w:hAnsi="Times New Roman" w:cs="Times New Roman"/>
          <w:lang w:val="en-US"/>
        </w:rPr>
        <w:t xml:space="preserve">involved </w:t>
      </w:r>
      <w:r w:rsidR="002E2B25" w:rsidRPr="002223A8">
        <w:rPr>
          <w:rFonts w:ascii="Times New Roman" w:hAnsi="Times New Roman" w:cs="Times New Roman"/>
          <w:lang w:val="en-US"/>
        </w:rPr>
        <w:t xml:space="preserve">constructing </w:t>
      </w:r>
      <w:r w:rsidR="000F181F">
        <w:rPr>
          <w:rFonts w:ascii="Times New Roman" w:hAnsi="Times New Roman" w:cs="Times New Roman"/>
          <w:lang w:val="en-US"/>
        </w:rPr>
        <w:t xml:space="preserve">some form of </w:t>
      </w:r>
      <w:r w:rsidR="002E2B25" w:rsidRPr="002223A8">
        <w:rPr>
          <w:rFonts w:ascii="Times New Roman" w:hAnsi="Times New Roman" w:cs="Times New Roman"/>
          <w:lang w:val="en-US"/>
        </w:rPr>
        <w:t>long-term investor demand</w:t>
      </w:r>
      <w:r w:rsidR="006D5CAC">
        <w:rPr>
          <w:rFonts w:ascii="Times New Roman" w:hAnsi="Times New Roman" w:cs="Times New Roman"/>
          <w:lang w:val="en-US"/>
        </w:rPr>
        <w:t>:</w:t>
      </w:r>
    </w:p>
    <w:p w14:paraId="385B8645" w14:textId="4E4A3B59" w:rsidR="00422BEF" w:rsidRDefault="00422BEF" w:rsidP="00BB21C4">
      <w:pPr>
        <w:spacing w:line="240" w:lineRule="auto"/>
        <w:ind w:left="708"/>
        <w:jc w:val="both"/>
        <w:rPr>
          <w:rFonts w:ascii="Times New Roman" w:hAnsi="Times New Roman" w:cs="Times New Roman"/>
          <w:color w:val="000000"/>
          <w:sz w:val="20"/>
          <w:szCs w:val="20"/>
          <w:lang w:val="en"/>
        </w:rPr>
      </w:pPr>
      <w:r w:rsidRPr="00DD1E36">
        <w:rPr>
          <w:rFonts w:ascii="Times New Roman" w:hAnsi="Times New Roman" w:cs="Times New Roman"/>
          <w:color w:val="000000"/>
          <w:sz w:val="20"/>
          <w:szCs w:val="20"/>
          <w:lang w:val="en"/>
        </w:rPr>
        <w:t xml:space="preserve">Ultimately, </w:t>
      </w:r>
      <w:r>
        <w:rPr>
          <w:rFonts w:ascii="Times New Roman" w:hAnsi="Times New Roman" w:cs="Times New Roman"/>
          <w:color w:val="000000"/>
          <w:sz w:val="20"/>
          <w:szCs w:val="20"/>
          <w:lang w:val="en"/>
        </w:rPr>
        <w:t>Integrated Reporting</w:t>
      </w:r>
      <w:r w:rsidRPr="00DD1E36">
        <w:rPr>
          <w:rFonts w:ascii="Times New Roman" w:hAnsi="Times New Roman" w:cs="Times New Roman"/>
          <w:color w:val="000000"/>
          <w:sz w:val="20"/>
          <w:szCs w:val="20"/>
          <w:lang w:val="en"/>
        </w:rPr>
        <w:t xml:space="preserve"> should bring better investment decisions, otherwise it is a waste of ti</w:t>
      </w:r>
      <w:r>
        <w:rPr>
          <w:rFonts w:ascii="Times New Roman" w:hAnsi="Times New Roman" w:cs="Times New Roman"/>
          <w:color w:val="000000"/>
          <w:sz w:val="20"/>
          <w:szCs w:val="20"/>
          <w:lang w:val="en"/>
        </w:rPr>
        <w:t>m</w:t>
      </w:r>
      <w:r w:rsidRPr="00DD1E36">
        <w:rPr>
          <w:rFonts w:ascii="Times New Roman" w:hAnsi="Times New Roman" w:cs="Times New Roman"/>
          <w:color w:val="000000"/>
          <w:sz w:val="20"/>
          <w:szCs w:val="20"/>
          <w:lang w:val="en"/>
        </w:rPr>
        <w:t xml:space="preserve">e. (David Matthews, KPMG, </w:t>
      </w:r>
      <w:r w:rsidR="003E4079">
        <w:rPr>
          <w:rFonts w:ascii="Times New Roman" w:hAnsi="Times New Roman" w:cs="Times New Roman"/>
          <w:color w:val="000000"/>
          <w:sz w:val="20"/>
          <w:szCs w:val="20"/>
          <w:lang w:val="en"/>
        </w:rPr>
        <w:t>quo</w:t>
      </w:r>
      <w:r w:rsidRPr="00DD1E36">
        <w:rPr>
          <w:rFonts w:ascii="Times New Roman" w:hAnsi="Times New Roman" w:cs="Times New Roman"/>
          <w:color w:val="000000"/>
          <w:sz w:val="20"/>
          <w:szCs w:val="20"/>
          <w:lang w:val="en"/>
        </w:rPr>
        <w:t xml:space="preserve">ted in </w:t>
      </w:r>
      <w:r w:rsidRPr="0082281F">
        <w:rPr>
          <w:rFonts w:ascii="Times New Roman" w:hAnsi="Times New Roman" w:cs="Times New Roman"/>
          <w:i/>
          <w:color w:val="000000"/>
          <w:sz w:val="20"/>
          <w:szCs w:val="20"/>
          <w:lang w:val="en"/>
        </w:rPr>
        <w:t>The Financial Times</w:t>
      </w:r>
      <w:r w:rsidRPr="00DD1E36">
        <w:rPr>
          <w:rFonts w:ascii="Times New Roman" w:hAnsi="Times New Roman" w:cs="Times New Roman"/>
          <w:color w:val="000000"/>
          <w:sz w:val="20"/>
          <w:szCs w:val="20"/>
          <w:lang w:val="en"/>
        </w:rPr>
        <w:t>, Nov</w:t>
      </w:r>
      <w:r w:rsidR="00756DC7">
        <w:rPr>
          <w:rFonts w:ascii="Times New Roman" w:hAnsi="Times New Roman" w:cs="Times New Roman"/>
          <w:color w:val="000000"/>
          <w:sz w:val="20"/>
          <w:szCs w:val="20"/>
          <w:lang w:val="en"/>
        </w:rPr>
        <w:t>ember</w:t>
      </w:r>
      <w:r w:rsidRPr="00DD1E36">
        <w:rPr>
          <w:rFonts w:ascii="Times New Roman" w:hAnsi="Times New Roman" w:cs="Times New Roman"/>
          <w:color w:val="000000"/>
          <w:sz w:val="20"/>
          <w:szCs w:val="20"/>
          <w:lang w:val="en"/>
        </w:rPr>
        <w:t xml:space="preserve"> 20</w:t>
      </w:r>
      <w:r w:rsidR="00756DC7">
        <w:rPr>
          <w:rFonts w:ascii="Times New Roman" w:hAnsi="Times New Roman" w:cs="Times New Roman"/>
          <w:color w:val="000000"/>
          <w:sz w:val="20"/>
          <w:szCs w:val="20"/>
          <w:lang w:val="en"/>
        </w:rPr>
        <w:t>th</w:t>
      </w:r>
      <w:r w:rsidRPr="00DD1E36">
        <w:rPr>
          <w:rFonts w:ascii="Times New Roman" w:hAnsi="Times New Roman" w:cs="Times New Roman"/>
          <w:color w:val="000000"/>
          <w:sz w:val="20"/>
          <w:szCs w:val="20"/>
          <w:lang w:val="en"/>
        </w:rPr>
        <w:t>, 2011)</w:t>
      </w:r>
    </w:p>
    <w:p w14:paraId="2FF3770A" w14:textId="69A0C0E0" w:rsidR="00422BEF" w:rsidRPr="00DD1E36" w:rsidRDefault="00422BEF" w:rsidP="00422BEF">
      <w:pPr>
        <w:shd w:val="clear" w:color="auto" w:fill="FFFFFF"/>
        <w:spacing w:before="100" w:beforeAutospacing="1" w:after="100" w:afterAutospacing="1" w:line="360" w:lineRule="auto"/>
        <w:ind w:firstLine="426"/>
        <w:jc w:val="both"/>
        <w:rPr>
          <w:rFonts w:ascii="Times New Roman" w:eastAsia="Times New Roman" w:hAnsi="Times New Roman" w:cs="Times New Roman"/>
          <w:lang w:val="en-US"/>
        </w:rPr>
      </w:pPr>
      <w:r>
        <w:rPr>
          <w:rFonts w:ascii="Times New Roman" w:hAnsi="Times New Roman" w:cs="Times New Roman"/>
          <w:lang w:val="en"/>
        </w:rPr>
        <w:t>As noted above</w:t>
      </w:r>
      <w:r w:rsidRPr="00DD1E36">
        <w:rPr>
          <w:rFonts w:ascii="Times New Roman" w:hAnsi="Times New Roman" w:cs="Times New Roman"/>
          <w:lang w:val="en"/>
        </w:rPr>
        <w:t xml:space="preserve">, the </w:t>
      </w:r>
      <w:r w:rsidRPr="00DD1E36">
        <w:rPr>
          <w:rFonts w:ascii="Times New Roman" w:hAnsi="Times New Roman" w:cs="Times New Roman"/>
          <w:lang w:val="en-US"/>
        </w:rPr>
        <w:t xml:space="preserve">enlightened shareholder logic underpinning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t>
      </w:r>
      <w:r w:rsidR="00BD02E2">
        <w:rPr>
          <w:rFonts w:ascii="Times New Roman" w:hAnsi="Times New Roman" w:cs="Times New Roman"/>
          <w:lang w:val="en-US"/>
        </w:rPr>
        <w:t xml:space="preserve">had </w:t>
      </w:r>
      <w:r w:rsidRPr="00DD1E36">
        <w:rPr>
          <w:rFonts w:ascii="Times New Roman" w:hAnsi="Times New Roman" w:cs="Times New Roman"/>
          <w:lang w:val="en-US"/>
        </w:rPr>
        <w:t>bec</w:t>
      </w:r>
      <w:r w:rsidR="00BD02E2">
        <w:rPr>
          <w:rFonts w:ascii="Times New Roman" w:hAnsi="Times New Roman" w:cs="Times New Roman"/>
          <w:lang w:val="en-US"/>
        </w:rPr>
        <w:t>o</w:t>
      </w:r>
      <w:r w:rsidRPr="00DD1E36">
        <w:rPr>
          <w:rFonts w:ascii="Times New Roman" w:hAnsi="Times New Roman" w:cs="Times New Roman"/>
          <w:lang w:val="en-US"/>
        </w:rPr>
        <w:t xml:space="preserve">me more pronounced in the period </w:t>
      </w:r>
      <w:r>
        <w:rPr>
          <w:rFonts w:ascii="Times New Roman" w:hAnsi="Times New Roman" w:cs="Times New Roman"/>
          <w:lang w:val="en-US"/>
        </w:rPr>
        <w:t xml:space="preserve">following the </w:t>
      </w:r>
      <w:r w:rsidR="003E4079">
        <w:rPr>
          <w:rFonts w:ascii="Times New Roman" w:hAnsi="Times New Roman" w:cs="Times New Roman"/>
          <w:lang w:val="en-US"/>
        </w:rPr>
        <w:t xml:space="preserve">2011 </w:t>
      </w:r>
      <w:r>
        <w:rPr>
          <w:rFonts w:ascii="Times New Roman" w:hAnsi="Times New Roman" w:cs="Times New Roman"/>
          <w:lang w:val="en-US"/>
        </w:rPr>
        <w:t>Discussion Paper’s publication</w:t>
      </w:r>
      <w:r w:rsidRPr="00DD1E36">
        <w:rPr>
          <w:rFonts w:ascii="Times New Roman" w:hAnsi="Times New Roman" w:cs="Times New Roman"/>
          <w:lang w:val="en-US"/>
        </w:rPr>
        <w:t xml:space="preserve">. Its </w:t>
      </w:r>
      <w:r>
        <w:rPr>
          <w:rFonts w:ascii="Times New Roman" w:hAnsi="Times New Roman" w:cs="Times New Roman"/>
          <w:lang w:val="en-US"/>
        </w:rPr>
        <w:t xml:space="preserve">emerging dominance </w:t>
      </w:r>
      <w:r w:rsidR="00BD02E2">
        <w:rPr>
          <w:rFonts w:ascii="Times New Roman" w:hAnsi="Times New Roman" w:cs="Times New Roman"/>
          <w:lang w:val="en-US"/>
        </w:rPr>
        <w:t>was very</w:t>
      </w:r>
      <w:r w:rsidRPr="00DD1E36">
        <w:rPr>
          <w:rFonts w:ascii="Times New Roman" w:hAnsi="Times New Roman" w:cs="Times New Roman"/>
          <w:lang w:val="en-US"/>
        </w:rPr>
        <w:t xml:space="preserve"> evident in the IIRC’s reaction to respondents’ criticism of </w:t>
      </w:r>
      <w:r>
        <w:rPr>
          <w:rFonts w:ascii="Times New Roman" w:hAnsi="Times New Roman" w:cs="Times New Roman"/>
          <w:lang w:val="en-US"/>
        </w:rPr>
        <w:t>the</w:t>
      </w:r>
      <w:r w:rsidRPr="00DD1E36">
        <w:rPr>
          <w:rFonts w:ascii="Times New Roman" w:hAnsi="Times New Roman" w:cs="Times New Roman"/>
          <w:lang w:val="en-US"/>
        </w:rPr>
        <w:t xml:space="preserve"> </w:t>
      </w:r>
      <w:r>
        <w:rPr>
          <w:rFonts w:ascii="Times New Roman" w:hAnsi="Times New Roman" w:cs="Times New Roman"/>
          <w:lang w:val="en-US"/>
        </w:rPr>
        <w:t>Discussion Paper</w:t>
      </w:r>
      <w:r w:rsidR="00E94381">
        <w:rPr>
          <w:rFonts w:ascii="Times New Roman" w:hAnsi="Times New Roman" w:cs="Times New Roman"/>
          <w:lang w:val="en-US"/>
        </w:rPr>
        <w:t>’s</w:t>
      </w:r>
      <w:r>
        <w:rPr>
          <w:rFonts w:ascii="Times New Roman" w:hAnsi="Times New Roman" w:cs="Times New Roman"/>
          <w:lang w:val="en-US"/>
        </w:rPr>
        <w:t xml:space="preserve"> proposal that the </w:t>
      </w:r>
      <w:r w:rsidR="0082281F">
        <w:rPr>
          <w:rFonts w:ascii="Times New Roman" w:hAnsi="Times New Roman" w:cs="Times New Roman"/>
          <w:lang w:val="en-US"/>
        </w:rPr>
        <w:t xml:space="preserve">initial </w:t>
      </w:r>
      <w:r w:rsidRPr="00DD1E36">
        <w:rPr>
          <w:rFonts w:ascii="Times New Roman" w:hAnsi="Times New Roman" w:cs="Times New Roman"/>
          <w:lang w:val="en-US"/>
        </w:rPr>
        <w:t xml:space="preserve">primary focus </w:t>
      </w:r>
      <w:r>
        <w:rPr>
          <w:rFonts w:ascii="Times New Roman" w:hAnsi="Times New Roman" w:cs="Times New Roman"/>
          <w:lang w:val="en-US"/>
        </w:rPr>
        <w:t xml:space="preserve">of </w:t>
      </w:r>
      <w:r w:rsidR="00121D10">
        <w:rPr>
          <w:rFonts w:ascii="Times New Roman" w:hAnsi="Times New Roman" w:cs="Times New Roman"/>
          <w:lang w:val="en-US"/>
        </w:rPr>
        <w:t>integrated reporting</w:t>
      </w:r>
      <w:r>
        <w:rPr>
          <w:rFonts w:ascii="Times New Roman" w:hAnsi="Times New Roman" w:cs="Times New Roman"/>
          <w:lang w:val="en-US"/>
        </w:rPr>
        <w:t xml:space="preserve"> should be </w:t>
      </w:r>
      <w:r w:rsidRPr="00DD1E36">
        <w:rPr>
          <w:rFonts w:ascii="Times New Roman" w:hAnsi="Times New Roman" w:cs="Times New Roman"/>
          <w:lang w:val="en-US"/>
        </w:rPr>
        <w:t>on</w:t>
      </w:r>
      <w:r>
        <w:rPr>
          <w:rFonts w:ascii="Times New Roman" w:hAnsi="Times New Roman" w:cs="Times New Roman"/>
          <w:lang w:val="en-US"/>
        </w:rPr>
        <w:t xml:space="preserve"> (long</w:t>
      </w:r>
      <w:r w:rsidR="00DE0379">
        <w:rPr>
          <w:rFonts w:ascii="Times New Roman" w:hAnsi="Times New Roman" w:cs="Times New Roman"/>
          <w:lang w:val="en-US"/>
        </w:rPr>
        <w:t>-</w:t>
      </w:r>
      <w:r>
        <w:rPr>
          <w:rFonts w:ascii="Times New Roman" w:hAnsi="Times New Roman" w:cs="Times New Roman"/>
          <w:lang w:val="en-US"/>
        </w:rPr>
        <w:t>term)</w:t>
      </w:r>
      <w:r w:rsidRPr="00DD1E36">
        <w:rPr>
          <w:rFonts w:ascii="Times New Roman" w:hAnsi="Times New Roman" w:cs="Times New Roman"/>
          <w:lang w:val="en-US"/>
        </w:rPr>
        <w:t xml:space="preserve"> investors</w:t>
      </w:r>
      <w:r>
        <w:rPr>
          <w:rFonts w:ascii="Times New Roman" w:hAnsi="Times New Roman" w:cs="Times New Roman"/>
          <w:lang w:val="en-US"/>
        </w:rPr>
        <w:t>.</w:t>
      </w:r>
      <w:r w:rsidRPr="00DD1E36">
        <w:rPr>
          <w:rFonts w:ascii="Times New Roman" w:hAnsi="Times New Roman" w:cs="Times New Roman"/>
          <w:lang w:val="en-US"/>
        </w:rPr>
        <w:t xml:space="preserve"> </w:t>
      </w:r>
      <w:r>
        <w:rPr>
          <w:rFonts w:ascii="Times New Roman" w:hAnsi="Times New Roman" w:cs="Times New Roman"/>
          <w:lang w:val="en-US"/>
        </w:rPr>
        <w:t>The IIRC</w:t>
      </w:r>
      <w:r w:rsidR="000F181F">
        <w:rPr>
          <w:rFonts w:ascii="Times New Roman" w:hAnsi="Times New Roman" w:cs="Times New Roman"/>
          <w:lang w:val="en-US"/>
        </w:rPr>
        <w:t xml:space="preserve"> contended </w:t>
      </w:r>
      <w:r>
        <w:rPr>
          <w:rFonts w:ascii="Times New Roman" w:hAnsi="Times New Roman" w:cs="Times New Roman"/>
          <w:lang w:val="en-US"/>
        </w:rPr>
        <w:t xml:space="preserve">that if the primary focus of </w:t>
      </w:r>
      <w:r w:rsidR="00121D10">
        <w:rPr>
          <w:rFonts w:ascii="Times New Roman" w:hAnsi="Times New Roman" w:cs="Times New Roman"/>
          <w:lang w:val="en-US"/>
        </w:rPr>
        <w:t>integrated reporting</w:t>
      </w:r>
      <w:r w:rsidR="005B1165">
        <w:rPr>
          <w:rFonts w:ascii="Times New Roman" w:hAnsi="Times New Roman" w:cs="Times New Roman"/>
          <w:lang w:val="en-US"/>
        </w:rPr>
        <w:t xml:space="preserve"> </w:t>
      </w:r>
      <w:r w:rsidRPr="00DD1E36">
        <w:rPr>
          <w:rFonts w:ascii="Times New Roman" w:hAnsi="Times New Roman" w:cs="Times New Roman"/>
          <w:lang w:val="en-US"/>
        </w:rPr>
        <w:t xml:space="preserve">was not on investors’ needs, then other stakeholders were unlikely to derive </w:t>
      </w:r>
      <w:r w:rsidRPr="00DD1E36">
        <w:rPr>
          <w:rFonts w:ascii="Times New Roman" w:hAnsi="Times New Roman" w:cs="Times New Roman"/>
          <w:i/>
          <w:lang w:val="en-US"/>
        </w:rPr>
        <w:t>any</w:t>
      </w:r>
      <w:r w:rsidRPr="00DD1E36">
        <w:rPr>
          <w:rFonts w:ascii="Times New Roman" w:hAnsi="Times New Roman" w:cs="Times New Roman"/>
          <w:lang w:val="en-US"/>
        </w:rPr>
        <w:t xml:space="preserve"> benefits:</w:t>
      </w:r>
    </w:p>
    <w:p w14:paraId="2A2A90E0" w14:textId="40CCB4F9" w:rsidR="00422BEF" w:rsidRPr="00DD1E36" w:rsidRDefault="00422BEF" w:rsidP="00422BEF">
      <w:pPr>
        <w:autoSpaceDE w:val="0"/>
        <w:autoSpaceDN w:val="0"/>
        <w:adjustRightInd w:val="0"/>
        <w:spacing w:after="0" w:line="240" w:lineRule="auto"/>
        <w:ind w:left="708"/>
        <w:jc w:val="both"/>
        <w:rPr>
          <w:rFonts w:ascii="Times New Roman" w:hAnsi="Times New Roman" w:cs="Times New Roman"/>
          <w:lang w:val="en-US"/>
        </w:rPr>
      </w:pPr>
      <w:r w:rsidRPr="00DD1E36">
        <w:rPr>
          <w:rFonts w:ascii="Times New Roman" w:hAnsi="Times New Roman" w:cs="Times New Roman"/>
          <w:sz w:val="20"/>
          <w:szCs w:val="20"/>
          <w:lang w:val="en-US"/>
        </w:rPr>
        <w:lastRenderedPageBreak/>
        <w:t>The ultimate objectives of other stakeholders are unlikely to be served by corporate reporting that does not allow investors to make better informed investment decisions</w:t>
      </w:r>
      <w:r w:rsidR="00EA42D1">
        <w:rPr>
          <w:rFonts w:ascii="Times New Roman" w:hAnsi="Times New Roman" w:cs="Times New Roman"/>
          <w:lang w:val="en-US"/>
        </w:rPr>
        <w:t>.</w:t>
      </w:r>
      <w:r w:rsidR="00EA42D1">
        <w:rPr>
          <w:rStyle w:val="FootnoteReference"/>
          <w:rFonts w:ascii="Times New Roman" w:hAnsi="Times New Roman" w:cs="Times New Roman"/>
          <w:lang w:val="en-US"/>
        </w:rPr>
        <w:footnoteReference w:id="26"/>
      </w:r>
    </w:p>
    <w:p w14:paraId="3E04BDD6" w14:textId="77777777" w:rsidR="00422BEF" w:rsidRPr="00DD1E36" w:rsidRDefault="00422BEF" w:rsidP="00422BEF">
      <w:pPr>
        <w:spacing w:line="360" w:lineRule="auto"/>
        <w:ind w:firstLine="708"/>
        <w:jc w:val="both"/>
        <w:rPr>
          <w:rFonts w:ascii="Times New Roman" w:hAnsi="Times New Roman" w:cs="Times New Roman"/>
          <w:lang w:val="en-US"/>
        </w:rPr>
      </w:pPr>
    </w:p>
    <w:p w14:paraId="34782CB2" w14:textId="1046DD91" w:rsidR="005645EC" w:rsidRDefault="00025E46" w:rsidP="00422BEF">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The </w:t>
      </w:r>
      <w:r w:rsidR="005B1165">
        <w:rPr>
          <w:rFonts w:ascii="Times New Roman" w:hAnsi="Times New Roman" w:cs="Times New Roman"/>
          <w:lang w:val="en-US"/>
        </w:rPr>
        <w:t xml:space="preserve">claimed </w:t>
      </w:r>
      <w:r w:rsidR="00D513C6">
        <w:rPr>
          <w:rFonts w:ascii="Times New Roman" w:hAnsi="Times New Roman" w:cs="Times New Roman"/>
          <w:lang w:val="en-US"/>
        </w:rPr>
        <w:t xml:space="preserve">market-led </w:t>
      </w:r>
      <w:r>
        <w:rPr>
          <w:rFonts w:ascii="Times New Roman" w:hAnsi="Times New Roman" w:cs="Times New Roman"/>
          <w:lang w:val="en-US"/>
        </w:rPr>
        <w:t xml:space="preserve">nature of </w:t>
      </w:r>
      <w:r w:rsidR="00121D10">
        <w:rPr>
          <w:rFonts w:ascii="Times New Roman" w:hAnsi="Times New Roman" w:cs="Times New Roman"/>
          <w:lang w:val="en-US"/>
        </w:rPr>
        <w:t>integrated reporting</w:t>
      </w:r>
      <w:r w:rsidR="00E47F1D">
        <w:rPr>
          <w:rFonts w:ascii="Times New Roman" w:hAnsi="Times New Roman" w:cs="Times New Roman"/>
          <w:lang w:val="en-US"/>
        </w:rPr>
        <w:t xml:space="preserve"> </w:t>
      </w:r>
      <w:r w:rsidR="005645EC">
        <w:rPr>
          <w:rFonts w:ascii="Times New Roman" w:hAnsi="Times New Roman" w:cs="Times New Roman"/>
          <w:lang w:val="en-US"/>
        </w:rPr>
        <w:t>focused on telling a story of value-creation</w:t>
      </w:r>
      <w:r w:rsidR="008A58D1">
        <w:rPr>
          <w:rFonts w:ascii="Times New Roman" w:hAnsi="Times New Roman" w:cs="Times New Roman"/>
          <w:lang w:val="en-US"/>
        </w:rPr>
        <w:t>:</w:t>
      </w:r>
    </w:p>
    <w:p w14:paraId="7DCC9AB2" w14:textId="03F8B9BB" w:rsidR="00AC4E10" w:rsidRPr="00686181" w:rsidRDefault="008A58D1" w:rsidP="00686181">
      <w:pPr>
        <w:spacing w:line="240" w:lineRule="auto"/>
        <w:ind w:left="708"/>
        <w:jc w:val="both"/>
        <w:rPr>
          <w:rFonts w:ascii="Times New Roman" w:hAnsi="Times New Roman" w:cs="Times New Roman"/>
          <w:sz w:val="20"/>
          <w:szCs w:val="20"/>
          <w:lang w:val="en"/>
        </w:rPr>
      </w:pPr>
      <w:r>
        <w:rPr>
          <w:rFonts w:ascii="Times New Roman" w:hAnsi="Times New Roman" w:cs="Times New Roman"/>
          <w:sz w:val="20"/>
          <w:szCs w:val="20"/>
          <w:lang w:val="en"/>
        </w:rPr>
        <w:t xml:space="preserve">… </w:t>
      </w:r>
      <w:r w:rsidR="005645EC" w:rsidRPr="00686181">
        <w:rPr>
          <w:rFonts w:ascii="Times New Roman" w:hAnsi="Times New Roman" w:cs="Times New Roman"/>
          <w:sz w:val="20"/>
          <w:szCs w:val="20"/>
          <w:lang w:val="en"/>
        </w:rPr>
        <w:t>IR</w:t>
      </w:r>
      <w:r w:rsidR="00747F12">
        <w:rPr>
          <w:rFonts w:ascii="Times New Roman" w:hAnsi="Times New Roman" w:cs="Times New Roman"/>
          <w:sz w:val="20"/>
          <w:szCs w:val="20"/>
          <w:lang w:val="en"/>
        </w:rPr>
        <w:t xml:space="preserve"> [integrated reporting</w:t>
      </w:r>
      <w:r>
        <w:rPr>
          <w:rFonts w:ascii="Times New Roman" w:hAnsi="Times New Roman" w:cs="Times New Roman"/>
          <w:sz w:val="20"/>
          <w:szCs w:val="20"/>
          <w:lang w:val="en"/>
        </w:rPr>
        <w:t>] …</w:t>
      </w:r>
      <w:r w:rsidR="005645EC" w:rsidRPr="00686181">
        <w:rPr>
          <w:rFonts w:ascii="Times New Roman" w:hAnsi="Times New Roman" w:cs="Times New Roman"/>
          <w:sz w:val="20"/>
          <w:szCs w:val="20"/>
          <w:lang w:val="en"/>
        </w:rPr>
        <w:t xml:space="preserve"> is the company telling its story. What is its value-creation story? Why is it going to have some value over time? Business</w:t>
      </w:r>
      <w:r w:rsidR="005468C2" w:rsidRPr="00CD0156">
        <w:rPr>
          <w:rFonts w:ascii="Times New Roman" w:hAnsi="Times New Roman" w:cs="Times New Roman"/>
          <w:sz w:val="20"/>
          <w:szCs w:val="20"/>
          <w:lang w:val="en"/>
        </w:rPr>
        <w:t>es should be telling that story</w:t>
      </w:r>
      <w:r w:rsidR="005468C2">
        <w:rPr>
          <w:rFonts w:ascii="Times New Roman" w:hAnsi="Times New Roman" w:cs="Times New Roman"/>
          <w:sz w:val="20"/>
          <w:szCs w:val="20"/>
          <w:lang w:val="en"/>
        </w:rPr>
        <w:t xml:space="preserve"> </w:t>
      </w:r>
      <w:r w:rsidR="005645EC" w:rsidRPr="00686181">
        <w:rPr>
          <w:rFonts w:ascii="Times New Roman" w:hAnsi="Times New Roman" w:cs="Times New Roman"/>
          <w:sz w:val="20"/>
          <w:szCs w:val="20"/>
          <w:lang w:val="en"/>
        </w:rPr>
        <w:t>... If you are telling a story you shouldn’t be stuck in jargon and the compliance nature of reporting.</w:t>
      </w:r>
      <w:r w:rsidR="00AC4E10" w:rsidRPr="00AC4E10">
        <w:rPr>
          <w:rFonts w:ascii="Times New Roman" w:hAnsi="Times New Roman" w:cs="Times New Roman"/>
          <w:sz w:val="20"/>
          <w:szCs w:val="20"/>
          <w:lang w:val="en"/>
        </w:rPr>
        <w:t>.</w:t>
      </w:r>
      <w:r w:rsidR="005645EC" w:rsidRPr="00686181">
        <w:rPr>
          <w:rFonts w:ascii="Times New Roman" w:hAnsi="Times New Roman" w:cs="Times New Roman"/>
          <w:sz w:val="20"/>
          <w:szCs w:val="20"/>
          <w:lang w:val="en"/>
        </w:rPr>
        <w:t xml:space="preserve"> </w:t>
      </w:r>
      <w:r w:rsidR="007B6FBC" w:rsidRPr="00686181">
        <w:rPr>
          <w:rFonts w:ascii="Times New Roman" w:hAnsi="Times New Roman" w:cs="Times New Roman"/>
          <w:sz w:val="20"/>
          <w:szCs w:val="20"/>
          <w:lang w:val="en"/>
        </w:rPr>
        <w:t xml:space="preserve">(Paul </w:t>
      </w:r>
      <w:proofErr w:type="spellStart"/>
      <w:r w:rsidR="007B6FBC" w:rsidRPr="00686181">
        <w:rPr>
          <w:rFonts w:ascii="Times New Roman" w:hAnsi="Times New Roman" w:cs="Times New Roman"/>
          <w:sz w:val="20"/>
          <w:szCs w:val="20"/>
          <w:lang w:val="en"/>
        </w:rPr>
        <w:t>Druckman</w:t>
      </w:r>
      <w:proofErr w:type="spellEnd"/>
      <w:r w:rsidR="007B6FBC" w:rsidRPr="00686181">
        <w:rPr>
          <w:rFonts w:ascii="Times New Roman" w:hAnsi="Times New Roman" w:cs="Times New Roman"/>
          <w:sz w:val="20"/>
          <w:szCs w:val="20"/>
          <w:lang w:val="en"/>
        </w:rPr>
        <w:t>, IIRC CEO)</w:t>
      </w:r>
      <w:r w:rsidR="00FA14F3" w:rsidRPr="00FA14F3">
        <w:rPr>
          <w:rStyle w:val="FootnoteReference"/>
          <w:rFonts w:ascii="Times New Roman" w:hAnsi="Times New Roman" w:cs="Times New Roman"/>
          <w:sz w:val="20"/>
          <w:szCs w:val="20"/>
          <w:lang w:val="en"/>
        </w:rPr>
        <w:t xml:space="preserve"> </w:t>
      </w:r>
      <w:r w:rsidR="00FA14F3" w:rsidRPr="00B145E8">
        <w:rPr>
          <w:rStyle w:val="FootnoteReference"/>
          <w:rFonts w:ascii="Times New Roman" w:hAnsi="Times New Roman" w:cs="Times New Roman"/>
          <w:sz w:val="20"/>
          <w:szCs w:val="20"/>
          <w:lang w:val="en"/>
        </w:rPr>
        <w:footnoteReference w:id="27"/>
      </w:r>
    </w:p>
    <w:p w14:paraId="733D8CBD" w14:textId="60B233B1" w:rsidR="00FA14F3" w:rsidRDefault="00422BEF" w:rsidP="00686181">
      <w:pPr>
        <w:autoSpaceDE w:val="0"/>
        <w:autoSpaceDN w:val="0"/>
        <w:adjustRightInd w:val="0"/>
        <w:spacing w:after="0" w:line="360" w:lineRule="auto"/>
        <w:ind w:firstLine="708"/>
        <w:jc w:val="both"/>
        <w:rPr>
          <w:rFonts w:ascii="Times New Roman" w:hAnsi="Times New Roman" w:cs="Times New Roman"/>
          <w:lang w:val="en-US"/>
        </w:rPr>
      </w:pPr>
      <w:r w:rsidRPr="00DD1E36">
        <w:rPr>
          <w:rFonts w:ascii="Times New Roman" w:hAnsi="Times New Roman" w:cs="Times New Roman"/>
          <w:lang w:val="en-US"/>
        </w:rPr>
        <w:t>Yet uncertainties surrounded th</w:t>
      </w:r>
      <w:r w:rsidR="00AC4E10">
        <w:rPr>
          <w:rFonts w:ascii="Times New Roman" w:hAnsi="Times New Roman" w:cs="Times New Roman"/>
          <w:lang w:val="en-US"/>
        </w:rPr>
        <w:t>e</w:t>
      </w:r>
      <w:r w:rsidRPr="00DD1E36">
        <w:rPr>
          <w:rFonts w:ascii="Times New Roman" w:hAnsi="Times New Roman" w:cs="Times New Roman"/>
          <w:lang w:val="en-US"/>
        </w:rPr>
        <w:t xml:space="preserve"> market-led claim and associated long</w:t>
      </w:r>
      <w:r w:rsidR="00A53E6F">
        <w:rPr>
          <w:rFonts w:ascii="Times New Roman" w:hAnsi="Times New Roman" w:cs="Times New Roman"/>
          <w:lang w:val="en-US"/>
        </w:rPr>
        <w:t>-</w:t>
      </w:r>
      <w:r w:rsidRPr="00DD1E36">
        <w:rPr>
          <w:rFonts w:ascii="Times New Roman" w:hAnsi="Times New Roman" w:cs="Times New Roman"/>
          <w:lang w:val="en-US"/>
        </w:rPr>
        <w:t xml:space="preserve">term investor focus. First, </w:t>
      </w:r>
      <w:r w:rsidR="00CA43D6">
        <w:rPr>
          <w:rFonts w:ascii="Times New Roman" w:hAnsi="Times New Roman" w:cs="Times New Roman"/>
          <w:lang w:val="en-US"/>
        </w:rPr>
        <w:t xml:space="preserve">there did not appear to be an abundance of </w:t>
      </w:r>
      <w:r w:rsidR="00BD02E2">
        <w:rPr>
          <w:rFonts w:ascii="Times New Roman" w:hAnsi="Times New Roman" w:cs="Times New Roman"/>
          <w:lang w:val="en-US"/>
        </w:rPr>
        <w:t xml:space="preserve">the </w:t>
      </w:r>
      <w:r w:rsidRPr="00DD1E36">
        <w:rPr>
          <w:rFonts w:ascii="Times New Roman" w:hAnsi="Times New Roman" w:cs="Times New Roman"/>
          <w:lang w:val="en-US"/>
        </w:rPr>
        <w:t>long</w:t>
      </w:r>
      <w:r w:rsidR="00A53E6F">
        <w:rPr>
          <w:rFonts w:ascii="Times New Roman" w:hAnsi="Times New Roman" w:cs="Times New Roman"/>
          <w:lang w:val="en-US"/>
        </w:rPr>
        <w:t>-</w:t>
      </w:r>
      <w:r w:rsidRPr="00DD1E36">
        <w:rPr>
          <w:rFonts w:ascii="Times New Roman" w:hAnsi="Times New Roman" w:cs="Times New Roman"/>
          <w:lang w:val="en-US"/>
        </w:rPr>
        <w:t>term investors</w:t>
      </w:r>
      <w:r w:rsidR="00BD02E2">
        <w:rPr>
          <w:rFonts w:ascii="Times New Roman" w:hAnsi="Times New Roman" w:cs="Times New Roman"/>
          <w:lang w:val="en-US"/>
        </w:rPr>
        <w:t xml:space="preserve"> </w:t>
      </w:r>
      <w:r w:rsidR="00CA43D6">
        <w:rPr>
          <w:rFonts w:ascii="Times New Roman" w:hAnsi="Times New Roman" w:cs="Times New Roman"/>
          <w:lang w:val="en-US"/>
        </w:rPr>
        <w:t>so heralded</w:t>
      </w:r>
      <w:r w:rsidRPr="00DD1E36">
        <w:rPr>
          <w:rFonts w:ascii="Times New Roman" w:hAnsi="Times New Roman" w:cs="Times New Roman"/>
          <w:lang w:val="en-US"/>
        </w:rPr>
        <w:t xml:space="preserve"> by the IIRC</w:t>
      </w:r>
      <w:r w:rsidR="00CA43D6">
        <w:rPr>
          <w:rFonts w:ascii="Times New Roman" w:hAnsi="Times New Roman" w:cs="Times New Roman"/>
          <w:lang w:val="en-US"/>
        </w:rPr>
        <w:t xml:space="preserve"> </w:t>
      </w:r>
      <w:r w:rsidR="00834F8D">
        <w:rPr>
          <w:rFonts w:ascii="Times New Roman" w:hAnsi="Times New Roman" w:cs="Times New Roman"/>
          <w:lang w:val="en-US"/>
        </w:rPr>
        <w:t>(</w:t>
      </w:r>
      <w:r w:rsidR="003F2976">
        <w:rPr>
          <w:rFonts w:ascii="Times New Roman" w:hAnsi="Times New Roman" w:cs="Times New Roman"/>
          <w:lang w:val="en-US"/>
        </w:rPr>
        <w:t xml:space="preserve">see, </w:t>
      </w:r>
      <w:r w:rsidR="00834F8D">
        <w:rPr>
          <w:rFonts w:ascii="Times New Roman" w:hAnsi="Times New Roman" w:cs="Times New Roman"/>
          <w:lang w:val="en-US"/>
        </w:rPr>
        <w:t xml:space="preserve">Barton, 2011; </w:t>
      </w:r>
      <w:r w:rsidR="00AE320A">
        <w:rPr>
          <w:rFonts w:ascii="Times New Roman" w:hAnsi="Times New Roman" w:cs="Times New Roman"/>
          <w:lang w:val="en-US"/>
        </w:rPr>
        <w:t>EVCA, 2013; Kay, 2012</w:t>
      </w:r>
      <w:r w:rsidR="003F2976">
        <w:rPr>
          <w:rFonts w:ascii="Times New Roman" w:hAnsi="Times New Roman" w:cs="Times New Roman"/>
          <w:lang w:val="en-US"/>
        </w:rPr>
        <w:t>)</w:t>
      </w:r>
      <w:r w:rsidRPr="00DD1E36">
        <w:rPr>
          <w:rFonts w:ascii="Times New Roman" w:hAnsi="Times New Roman" w:cs="Times New Roman"/>
          <w:lang w:val="en-US"/>
        </w:rPr>
        <w:t xml:space="preserve"> and second, </w:t>
      </w:r>
      <w:r w:rsidR="00CA43D6">
        <w:rPr>
          <w:rFonts w:ascii="Times New Roman" w:hAnsi="Times New Roman" w:cs="Times New Roman"/>
          <w:lang w:val="en-US"/>
        </w:rPr>
        <w:t>there were major doubts as to whether</w:t>
      </w:r>
      <w:r w:rsidRPr="00DD1E36">
        <w:rPr>
          <w:rFonts w:ascii="Times New Roman" w:hAnsi="Times New Roman" w:cs="Times New Roman"/>
          <w:lang w:val="en-US"/>
        </w:rPr>
        <w:t xml:space="preserve"> investor</w:t>
      </w:r>
      <w:r w:rsidR="00CA43D6">
        <w:rPr>
          <w:rFonts w:ascii="Times New Roman" w:hAnsi="Times New Roman" w:cs="Times New Roman"/>
          <w:lang w:val="en-US"/>
        </w:rPr>
        <w:t xml:space="preserve">s generally </w:t>
      </w:r>
      <w:r w:rsidRPr="00DD1E36">
        <w:rPr>
          <w:rFonts w:ascii="Times New Roman" w:hAnsi="Times New Roman" w:cs="Times New Roman"/>
          <w:lang w:val="en-US"/>
        </w:rPr>
        <w:t xml:space="preserve">required </w:t>
      </w:r>
      <w:r w:rsidR="00121D10">
        <w:rPr>
          <w:rFonts w:ascii="Times New Roman" w:hAnsi="Times New Roman" w:cs="Times New Roman"/>
          <w:lang w:val="en-US"/>
        </w:rPr>
        <w:t>integrated reporting</w:t>
      </w:r>
      <w:r w:rsidR="00756DC7">
        <w:rPr>
          <w:rFonts w:ascii="Times New Roman" w:hAnsi="Times New Roman" w:cs="Times New Roman"/>
          <w:lang w:val="en-US"/>
        </w:rPr>
        <w:t xml:space="preserve"> (ACCA, 2013)</w:t>
      </w:r>
      <w:r w:rsidRPr="00DD1E36">
        <w:rPr>
          <w:rFonts w:ascii="Times New Roman" w:hAnsi="Times New Roman" w:cs="Times New Roman"/>
          <w:lang w:val="en-US"/>
        </w:rPr>
        <w:t xml:space="preserve">. </w:t>
      </w:r>
      <w:r w:rsidR="00F57F66">
        <w:rPr>
          <w:rFonts w:ascii="Times New Roman" w:hAnsi="Times New Roman" w:cs="Times New Roman"/>
          <w:lang w:val="en-US"/>
        </w:rPr>
        <w:t>Some respondents to the Draft Framework</w:t>
      </w:r>
      <w:r w:rsidR="00623D50">
        <w:rPr>
          <w:rFonts w:ascii="Times New Roman" w:hAnsi="Times New Roman" w:cs="Times New Roman"/>
          <w:lang w:val="en-US"/>
        </w:rPr>
        <w:t xml:space="preserve"> </w:t>
      </w:r>
      <w:r w:rsidR="00CA43D6">
        <w:rPr>
          <w:rFonts w:ascii="Times New Roman" w:hAnsi="Times New Roman" w:cs="Times New Roman"/>
          <w:lang w:val="en-US"/>
        </w:rPr>
        <w:t>expressed evident concerns regarding the scale and nature of investor demand</w:t>
      </w:r>
      <w:r w:rsidR="00F57F66">
        <w:rPr>
          <w:rFonts w:ascii="Times New Roman" w:hAnsi="Times New Roman" w:cs="Times New Roman"/>
          <w:lang w:val="en-US"/>
        </w:rPr>
        <w:t>:</w:t>
      </w:r>
    </w:p>
    <w:p w14:paraId="18BBBB54" w14:textId="77777777" w:rsidR="00F57F66" w:rsidRDefault="00F57F66" w:rsidP="00686181">
      <w:pPr>
        <w:autoSpaceDE w:val="0"/>
        <w:autoSpaceDN w:val="0"/>
        <w:adjustRightInd w:val="0"/>
        <w:spacing w:after="0" w:line="360" w:lineRule="auto"/>
        <w:rPr>
          <w:rFonts w:ascii="Times New Roman" w:hAnsi="Times New Roman" w:cs="Times New Roman"/>
          <w:lang w:val="en-US"/>
        </w:rPr>
      </w:pPr>
    </w:p>
    <w:p w14:paraId="3F200943" w14:textId="5E52A93D" w:rsidR="00F57F66" w:rsidRPr="00686181" w:rsidRDefault="00F57F66" w:rsidP="00686181">
      <w:pPr>
        <w:autoSpaceDE w:val="0"/>
        <w:autoSpaceDN w:val="0"/>
        <w:adjustRightInd w:val="0"/>
        <w:spacing w:after="0" w:line="240" w:lineRule="auto"/>
        <w:ind w:left="708"/>
        <w:jc w:val="both"/>
        <w:rPr>
          <w:rFonts w:ascii="Times New Roman" w:hAnsi="Times New Roman" w:cs="Times New Roman"/>
          <w:sz w:val="20"/>
          <w:szCs w:val="20"/>
          <w:lang w:val="en-GB"/>
        </w:rPr>
      </w:pPr>
      <w:r w:rsidRPr="00686181">
        <w:rPr>
          <w:rFonts w:ascii="Times New Roman" w:hAnsi="Times New Roman" w:cs="Times New Roman"/>
          <w:sz w:val="20"/>
          <w:szCs w:val="20"/>
          <w:lang w:val="en-GB"/>
        </w:rPr>
        <w:t xml:space="preserve">While we agree there should be benefits to an integrated approach to reporting, we see little evidence, at least in Canada, that providers of financial capital are demanding an integrated report. In our view, there will need to be clearly demonstrated capital allocation benefits to encourage widespread voluntary adoption. (CPA Canada, </w:t>
      </w:r>
      <w:r w:rsidR="00AC4E10" w:rsidRPr="00AC4E10">
        <w:rPr>
          <w:rFonts w:ascii="Times New Roman" w:hAnsi="Times New Roman" w:cs="Times New Roman"/>
          <w:sz w:val="20"/>
          <w:szCs w:val="20"/>
          <w:lang w:val="en-GB"/>
        </w:rPr>
        <w:t xml:space="preserve">Response to </w:t>
      </w:r>
      <w:r w:rsidR="00AC4E10">
        <w:rPr>
          <w:rFonts w:ascii="Times New Roman" w:hAnsi="Times New Roman" w:cs="Times New Roman"/>
          <w:sz w:val="20"/>
          <w:szCs w:val="20"/>
          <w:lang w:val="en-GB"/>
        </w:rPr>
        <w:t>integrated reporting</w:t>
      </w:r>
      <w:r w:rsidR="00747F12">
        <w:rPr>
          <w:rFonts w:ascii="Times New Roman" w:hAnsi="Times New Roman" w:cs="Times New Roman"/>
          <w:sz w:val="20"/>
          <w:szCs w:val="20"/>
          <w:lang w:val="en-GB"/>
        </w:rPr>
        <w:t xml:space="preserve"> consultation draft</w:t>
      </w:r>
      <w:r w:rsidR="005468C2">
        <w:rPr>
          <w:rFonts w:ascii="Times New Roman" w:hAnsi="Times New Roman" w:cs="Times New Roman"/>
          <w:sz w:val="20"/>
          <w:szCs w:val="20"/>
          <w:lang w:val="en-GB"/>
        </w:rPr>
        <w:t xml:space="preserve"> framework</w:t>
      </w:r>
      <w:r w:rsidRPr="00686181">
        <w:rPr>
          <w:rFonts w:ascii="Times New Roman" w:hAnsi="Times New Roman" w:cs="Times New Roman"/>
          <w:sz w:val="20"/>
          <w:szCs w:val="20"/>
          <w:lang w:val="en-GB"/>
        </w:rPr>
        <w:t>).</w:t>
      </w:r>
      <w:r w:rsidR="00747F12">
        <w:rPr>
          <w:rStyle w:val="FootnoteReference"/>
          <w:rFonts w:ascii="Times New Roman" w:hAnsi="Times New Roman" w:cs="Times New Roman"/>
          <w:sz w:val="20"/>
          <w:szCs w:val="20"/>
          <w:lang w:val="en-GB"/>
        </w:rPr>
        <w:footnoteReference w:id="28"/>
      </w:r>
    </w:p>
    <w:p w14:paraId="60D4B933" w14:textId="77777777" w:rsidR="008C7949" w:rsidRDefault="008C7949" w:rsidP="00686181">
      <w:pPr>
        <w:autoSpaceDE w:val="0"/>
        <w:autoSpaceDN w:val="0"/>
        <w:adjustRightInd w:val="0"/>
        <w:spacing w:after="0" w:line="240" w:lineRule="auto"/>
        <w:jc w:val="both"/>
        <w:rPr>
          <w:rFonts w:ascii="Futura" w:hAnsi="Futura" w:cs="Futura"/>
          <w:sz w:val="18"/>
          <w:szCs w:val="18"/>
          <w:lang w:val="en-GB"/>
        </w:rPr>
      </w:pPr>
    </w:p>
    <w:p w14:paraId="06AD97AC" w14:textId="7C0A8A90" w:rsidR="00F57F66" w:rsidRDefault="00F57F66" w:rsidP="00686181">
      <w:pPr>
        <w:autoSpaceDE w:val="0"/>
        <w:autoSpaceDN w:val="0"/>
        <w:adjustRightInd w:val="0"/>
        <w:spacing w:after="0" w:line="240" w:lineRule="auto"/>
        <w:ind w:left="708"/>
        <w:jc w:val="both"/>
        <w:rPr>
          <w:rFonts w:ascii="Times New Roman" w:hAnsi="Times New Roman" w:cs="Times New Roman"/>
          <w:sz w:val="20"/>
          <w:szCs w:val="20"/>
          <w:lang w:val="en-GB"/>
        </w:rPr>
      </w:pPr>
      <w:r w:rsidRPr="00686181">
        <w:rPr>
          <w:rFonts w:ascii="Times New Roman" w:hAnsi="Times New Roman" w:cs="Times New Roman"/>
          <w:sz w:val="20"/>
          <w:szCs w:val="20"/>
          <w:lang w:val="en-GB"/>
        </w:rPr>
        <w:t>Despite the momentum gained by IIRC over the past two years, we are uncertain whether all providers of financial capital are completely convinced by the business case for integrated reporting. For that reason, we believe that the IIRC should continue to articulate the benefits of integrated reporting and gather empirical evidence which demonstrates that integrated reporting is what providers of financial capital want or need.</w:t>
      </w:r>
      <w:r w:rsidR="00AC4E10" w:rsidRPr="00AC4E10">
        <w:rPr>
          <w:rFonts w:ascii="Times New Roman" w:hAnsi="Times New Roman" w:cs="Times New Roman"/>
          <w:sz w:val="20"/>
          <w:szCs w:val="20"/>
          <w:lang w:val="en-GB"/>
        </w:rPr>
        <w:t xml:space="preserve"> (Ernst and Young</w:t>
      </w:r>
      <w:r w:rsidR="00CA43D6">
        <w:rPr>
          <w:rFonts w:ascii="Times New Roman" w:hAnsi="Times New Roman" w:cs="Times New Roman"/>
          <w:sz w:val="20"/>
          <w:szCs w:val="20"/>
          <w:lang w:val="en-GB"/>
        </w:rPr>
        <w:t>,</w:t>
      </w:r>
      <w:r w:rsidR="00AC4E10" w:rsidRPr="00AC4E10">
        <w:rPr>
          <w:rFonts w:ascii="Times New Roman" w:hAnsi="Times New Roman" w:cs="Times New Roman"/>
          <w:sz w:val="20"/>
          <w:szCs w:val="20"/>
          <w:lang w:val="en-GB"/>
        </w:rPr>
        <w:t xml:space="preserve"> Response to </w:t>
      </w:r>
      <w:r w:rsidR="00AC4E10">
        <w:rPr>
          <w:rFonts w:ascii="Times New Roman" w:hAnsi="Times New Roman" w:cs="Times New Roman"/>
          <w:sz w:val="20"/>
          <w:szCs w:val="20"/>
          <w:lang w:val="en-GB"/>
        </w:rPr>
        <w:t>the integrated reporting</w:t>
      </w:r>
      <w:r w:rsidR="00747F12">
        <w:rPr>
          <w:rFonts w:ascii="Times New Roman" w:hAnsi="Times New Roman" w:cs="Times New Roman"/>
          <w:sz w:val="20"/>
          <w:szCs w:val="20"/>
          <w:lang w:val="en-GB"/>
        </w:rPr>
        <w:t xml:space="preserve"> consultation draft</w:t>
      </w:r>
      <w:r w:rsidR="005468C2">
        <w:rPr>
          <w:rFonts w:ascii="Times New Roman" w:hAnsi="Times New Roman" w:cs="Times New Roman"/>
          <w:sz w:val="20"/>
          <w:szCs w:val="20"/>
          <w:lang w:val="en-GB"/>
        </w:rPr>
        <w:t xml:space="preserve"> framework</w:t>
      </w:r>
      <w:r w:rsidR="008C7949" w:rsidRPr="00686181">
        <w:rPr>
          <w:rFonts w:ascii="Times New Roman" w:hAnsi="Times New Roman" w:cs="Times New Roman"/>
          <w:sz w:val="20"/>
          <w:szCs w:val="20"/>
          <w:lang w:val="en-GB"/>
        </w:rPr>
        <w:t>)</w:t>
      </w:r>
      <w:r w:rsidR="00786078">
        <w:rPr>
          <w:rFonts w:ascii="Times New Roman" w:hAnsi="Times New Roman" w:cs="Times New Roman"/>
          <w:sz w:val="20"/>
          <w:szCs w:val="20"/>
          <w:lang w:val="en-GB"/>
        </w:rPr>
        <w:t>.</w:t>
      </w:r>
      <w:r w:rsidR="00747F12">
        <w:rPr>
          <w:rStyle w:val="FootnoteReference"/>
          <w:rFonts w:ascii="Times New Roman" w:hAnsi="Times New Roman" w:cs="Times New Roman"/>
          <w:sz w:val="20"/>
          <w:szCs w:val="20"/>
          <w:lang w:val="en-GB"/>
        </w:rPr>
        <w:footnoteReference w:id="29"/>
      </w:r>
    </w:p>
    <w:p w14:paraId="3F468977" w14:textId="36C54BB3" w:rsidR="00623D50" w:rsidRPr="00686181" w:rsidRDefault="00623D50" w:rsidP="00686181">
      <w:pPr>
        <w:autoSpaceDE w:val="0"/>
        <w:autoSpaceDN w:val="0"/>
        <w:adjustRightInd w:val="0"/>
        <w:spacing w:after="0" w:line="240" w:lineRule="auto"/>
        <w:rPr>
          <w:rFonts w:ascii="Times New Roman" w:hAnsi="Times New Roman" w:cs="Times New Roman"/>
          <w:sz w:val="20"/>
          <w:szCs w:val="20"/>
          <w:lang w:val="en-GB"/>
        </w:rPr>
      </w:pPr>
    </w:p>
    <w:p w14:paraId="41B93889" w14:textId="77777777" w:rsidR="008C7949" w:rsidRPr="00686181" w:rsidRDefault="008C7949" w:rsidP="00686181">
      <w:pPr>
        <w:autoSpaceDE w:val="0"/>
        <w:autoSpaceDN w:val="0"/>
        <w:adjustRightInd w:val="0"/>
        <w:spacing w:after="0" w:line="240" w:lineRule="auto"/>
        <w:ind w:left="708"/>
        <w:rPr>
          <w:rFonts w:ascii="Arial" w:hAnsi="Arial" w:cs="Arial"/>
          <w:sz w:val="19"/>
          <w:szCs w:val="19"/>
          <w:lang w:val="en-GB"/>
        </w:rPr>
      </w:pPr>
    </w:p>
    <w:p w14:paraId="70FF69D8" w14:textId="3C57F972" w:rsidR="00E53088" w:rsidRDefault="00422BEF">
      <w:pPr>
        <w:spacing w:line="360" w:lineRule="auto"/>
        <w:ind w:firstLine="708"/>
        <w:jc w:val="both"/>
        <w:rPr>
          <w:rFonts w:ascii="Times New Roman" w:hAnsi="Times New Roman" w:cs="Times New Roman"/>
          <w:lang w:val="en-US"/>
        </w:rPr>
      </w:pPr>
      <w:r w:rsidRPr="00DD1E36">
        <w:rPr>
          <w:rFonts w:ascii="Times New Roman" w:hAnsi="Times New Roman" w:cs="Times New Roman"/>
          <w:lang w:val="en-US"/>
        </w:rPr>
        <w:t xml:space="preserve">In essence, while the IIRC had </w:t>
      </w:r>
      <w:r w:rsidR="000F181F">
        <w:rPr>
          <w:rFonts w:ascii="Times New Roman" w:hAnsi="Times New Roman" w:cs="Times New Roman"/>
          <w:lang w:val="en-US"/>
        </w:rPr>
        <w:t xml:space="preserve">initially </w:t>
      </w:r>
      <w:r w:rsidRPr="00DD1E36">
        <w:rPr>
          <w:rFonts w:ascii="Times New Roman" w:hAnsi="Times New Roman" w:cs="Times New Roman"/>
          <w:lang w:val="en-US"/>
        </w:rPr>
        <w:t>articula</w:t>
      </w:r>
      <w:r>
        <w:rPr>
          <w:rFonts w:ascii="Times New Roman" w:hAnsi="Times New Roman" w:cs="Times New Roman"/>
          <w:lang w:val="en-US"/>
        </w:rPr>
        <w:t>ted numerous</w:t>
      </w:r>
      <w:r w:rsidR="005B1165">
        <w:rPr>
          <w:rFonts w:ascii="Times New Roman" w:hAnsi="Times New Roman" w:cs="Times New Roman"/>
          <w:lang w:val="en-US"/>
        </w:rPr>
        <w:t xml:space="preserve"> </w:t>
      </w:r>
      <w:r w:rsidRPr="00DD1E36">
        <w:rPr>
          <w:rFonts w:ascii="Times New Roman" w:hAnsi="Times New Roman" w:cs="Times New Roman"/>
          <w:lang w:val="en-US"/>
        </w:rPr>
        <w:t>problems</w:t>
      </w:r>
      <w:r w:rsidR="00D06FF9">
        <w:rPr>
          <w:rFonts w:ascii="Times New Roman" w:hAnsi="Times New Roman" w:cs="Times New Roman"/>
          <w:lang w:val="en-US"/>
        </w:rPr>
        <w:t xml:space="preserve"> with current reporting frameworks</w:t>
      </w:r>
      <w:r w:rsidR="000F181F">
        <w:rPr>
          <w:rFonts w:ascii="Times New Roman" w:hAnsi="Times New Roman" w:cs="Times New Roman"/>
          <w:lang w:val="en-US"/>
        </w:rPr>
        <w:t>,</w:t>
      </w:r>
      <w:r w:rsidR="00CD4E9E">
        <w:rPr>
          <w:rFonts w:ascii="Times New Roman" w:hAnsi="Times New Roman" w:cs="Times New Roman"/>
          <w:lang w:val="en-US"/>
        </w:rPr>
        <w:t xml:space="preserve"> </w:t>
      </w:r>
      <w:r w:rsidRPr="00DD1E36">
        <w:rPr>
          <w:rFonts w:ascii="Times New Roman" w:hAnsi="Times New Roman" w:cs="Times New Roman"/>
          <w:lang w:val="en-US"/>
        </w:rPr>
        <w:t xml:space="preserve">their </w:t>
      </w:r>
      <w:r>
        <w:rPr>
          <w:rFonts w:ascii="Times New Roman" w:hAnsi="Times New Roman" w:cs="Times New Roman"/>
          <w:lang w:val="en-US"/>
        </w:rPr>
        <w:t xml:space="preserve">proposed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solution </w:t>
      </w:r>
      <w:r w:rsidR="00700ADE">
        <w:rPr>
          <w:rFonts w:ascii="Times New Roman" w:hAnsi="Times New Roman" w:cs="Times New Roman"/>
          <w:lang w:val="en-US"/>
        </w:rPr>
        <w:t xml:space="preserve">now </w:t>
      </w:r>
      <w:r w:rsidRPr="00DD1E36">
        <w:rPr>
          <w:rFonts w:ascii="Times New Roman" w:hAnsi="Times New Roman" w:cs="Times New Roman"/>
          <w:lang w:val="en-US"/>
        </w:rPr>
        <w:t xml:space="preserve">needed to be sold to the group </w:t>
      </w:r>
      <w:r>
        <w:rPr>
          <w:rFonts w:ascii="Times New Roman" w:hAnsi="Times New Roman" w:cs="Times New Roman"/>
          <w:lang w:val="en-US"/>
        </w:rPr>
        <w:t xml:space="preserve">that </w:t>
      </w:r>
      <w:r w:rsidRPr="00DD1E36">
        <w:rPr>
          <w:rFonts w:ascii="Times New Roman" w:hAnsi="Times New Roman" w:cs="Times New Roman"/>
          <w:lang w:val="en-US"/>
        </w:rPr>
        <w:t xml:space="preserve">the IIRC </w:t>
      </w:r>
      <w:r w:rsidR="00BB21C4">
        <w:rPr>
          <w:rFonts w:ascii="Times New Roman" w:hAnsi="Times New Roman" w:cs="Times New Roman"/>
          <w:lang w:val="en-US"/>
        </w:rPr>
        <w:t>hoped</w:t>
      </w:r>
      <w:r w:rsidRPr="00DD1E36">
        <w:rPr>
          <w:rFonts w:ascii="Times New Roman" w:hAnsi="Times New Roman" w:cs="Times New Roman"/>
          <w:lang w:val="en-US"/>
        </w:rPr>
        <w:t xml:space="preserve"> would secure </w:t>
      </w:r>
      <w:r>
        <w:rPr>
          <w:rFonts w:ascii="Times New Roman" w:hAnsi="Times New Roman" w:cs="Times New Roman"/>
          <w:lang w:val="en-US"/>
        </w:rPr>
        <w:t xml:space="preserve">the </w:t>
      </w:r>
      <w:r w:rsidRPr="00DD1E36">
        <w:rPr>
          <w:rFonts w:ascii="Times New Roman" w:hAnsi="Times New Roman" w:cs="Times New Roman"/>
          <w:lang w:val="en-US"/>
        </w:rPr>
        <w:t>future</w:t>
      </w:r>
      <w:r>
        <w:rPr>
          <w:rFonts w:ascii="Times New Roman" w:hAnsi="Times New Roman" w:cs="Times New Roman"/>
          <w:lang w:val="en-US"/>
        </w:rPr>
        <w:t xml:space="preserve"> for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t>
      </w:r>
      <w:r>
        <w:rPr>
          <w:rFonts w:ascii="Times New Roman" w:hAnsi="Times New Roman" w:cs="Times New Roman"/>
          <w:lang w:val="en-US"/>
        </w:rPr>
        <w:t xml:space="preserve">namely, </w:t>
      </w:r>
      <w:r w:rsidRPr="00DD1E36">
        <w:rPr>
          <w:rFonts w:ascii="Times New Roman" w:hAnsi="Times New Roman" w:cs="Times New Roman"/>
          <w:lang w:val="en-US"/>
        </w:rPr>
        <w:t xml:space="preserve">investors. </w:t>
      </w:r>
      <w:r>
        <w:rPr>
          <w:rFonts w:ascii="Times New Roman" w:hAnsi="Times New Roman" w:cs="Times New Roman"/>
          <w:lang w:val="en-US"/>
        </w:rPr>
        <w:t>However, for the IIRC, it was critical that</w:t>
      </w:r>
      <w:r w:rsidR="0082281F">
        <w:rPr>
          <w:rFonts w:ascii="Times New Roman" w:hAnsi="Times New Roman" w:cs="Times New Roman"/>
          <w:lang w:val="en-US"/>
        </w:rPr>
        <w:t xml:space="preserve"> a</w:t>
      </w:r>
      <w:r w:rsidRPr="00DD1E36">
        <w:rPr>
          <w:rFonts w:ascii="Times New Roman" w:hAnsi="Times New Roman" w:cs="Times New Roman"/>
          <w:lang w:val="en-US"/>
        </w:rPr>
        <w:t xml:space="preserve"> </w:t>
      </w:r>
      <w:r w:rsidR="00291609">
        <w:rPr>
          <w:rFonts w:ascii="Times New Roman" w:hAnsi="Times New Roman" w:cs="Times New Roman"/>
          <w:lang w:val="en-US"/>
        </w:rPr>
        <w:t xml:space="preserve">particular </w:t>
      </w:r>
      <w:r w:rsidRPr="00DD1E36">
        <w:rPr>
          <w:rFonts w:ascii="Times New Roman" w:hAnsi="Times New Roman" w:cs="Times New Roman"/>
          <w:lang w:val="en-US"/>
        </w:rPr>
        <w:t xml:space="preserve">type of investor </w:t>
      </w:r>
      <w:r w:rsidR="0082281F">
        <w:rPr>
          <w:rFonts w:ascii="Times New Roman" w:hAnsi="Times New Roman" w:cs="Times New Roman"/>
          <w:lang w:val="en-US"/>
        </w:rPr>
        <w:t xml:space="preserve">was </w:t>
      </w:r>
      <w:r w:rsidR="003843B1">
        <w:rPr>
          <w:rFonts w:ascii="Times New Roman" w:hAnsi="Times New Roman" w:cs="Times New Roman"/>
          <w:lang w:val="en-US"/>
        </w:rPr>
        <w:t>mobiliz</w:t>
      </w:r>
      <w:r w:rsidR="00794753">
        <w:rPr>
          <w:rFonts w:ascii="Times New Roman" w:hAnsi="Times New Roman" w:cs="Times New Roman"/>
          <w:lang w:val="en-US"/>
        </w:rPr>
        <w:t>e</w:t>
      </w:r>
      <w:r w:rsidR="00A650DC">
        <w:rPr>
          <w:rFonts w:ascii="Times New Roman" w:hAnsi="Times New Roman" w:cs="Times New Roman"/>
          <w:lang w:val="en-US"/>
        </w:rPr>
        <w:t xml:space="preserve">d </w:t>
      </w:r>
      <w:r w:rsidR="00967CE6">
        <w:rPr>
          <w:rFonts w:ascii="Times New Roman" w:hAnsi="Times New Roman" w:cs="Times New Roman"/>
          <w:lang w:val="en-US"/>
        </w:rPr>
        <w:t>(see also, Young, 2006)</w:t>
      </w:r>
      <w:r w:rsidRPr="00DD1E36">
        <w:rPr>
          <w:rFonts w:ascii="Times New Roman" w:hAnsi="Times New Roman" w:cs="Times New Roman"/>
          <w:lang w:val="en-US"/>
        </w:rPr>
        <w:t>; one</w:t>
      </w:r>
      <w:r w:rsidR="000F181F">
        <w:rPr>
          <w:rFonts w:ascii="Times New Roman" w:hAnsi="Times New Roman" w:cs="Times New Roman"/>
          <w:lang w:val="en-US"/>
        </w:rPr>
        <w:t xml:space="preserve"> </w:t>
      </w:r>
      <w:r w:rsidRPr="00DD1E36">
        <w:rPr>
          <w:rFonts w:ascii="Times New Roman" w:hAnsi="Times New Roman" w:cs="Times New Roman"/>
          <w:lang w:val="en-US"/>
        </w:rPr>
        <w:t>concerned with long</w:t>
      </w:r>
      <w:r w:rsidR="00E94381">
        <w:rPr>
          <w:rFonts w:ascii="Times New Roman" w:hAnsi="Times New Roman" w:cs="Times New Roman"/>
          <w:lang w:val="en-US"/>
        </w:rPr>
        <w:t>-</w:t>
      </w:r>
      <w:r w:rsidRPr="00DD1E36">
        <w:rPr>
          <w:rFonts w:ascii="Times New Roman" w:hAnsi="Times New Roman" w:cs="Times New Roman"/>
          <w:lang w:val="en-US"/>
        </w:rPr>
        <w:t>ter</w:t>
      </w:r>
      <w:r w:rsidR="005B1165">
        <w:rPr>
          <w:rFonts w:ascii="Times New Roman" w:hAnsi="Times New Roman" w:cs="Times New Roman"/>
          <w:lang w:val="en-US"/>
        </w:rPr>
        <w:t>m performance and business sustainability</w:t>
      </w:r>
      <w:r w:rsidRPr="00DD1E36">
        <w:rPr>
          <w:rFonts w:ascii="Times New Roman" w:hAnsi="Times New Roman" w:cs="Times New Roman"/>
          <w:lang w:val="en-US"/>
        </w:rPr>
        <w:t>.</w:t>
      </w:r>
      <w:r>
        <w:rPr>
          <w:rFonts w:ascii="Times New Roman" w:hAnsi="Times New Roman" w:cs="Times New Roman"/>
          <w:lang w:val="en-US"/>
        </w:rPr>
        <w:t xml:space="preserve"> </w:t>
      </w:r>
      <w:r w:rsidR="00E47F1D">
        <w:rPr>
          <w:rFonts w:ascii="Times New Roman" w:hAnsi="Times New Roman" w:cs="Times New Roman"/>
          <w:lang w:val="en-US"/>
        </w:rPr>
        <w:t>T</w:t>
      </w:r>
      <w:r>
        <w:rPr>
          <w:rFonts w:ascii="Times New Roman" w:hAnsi="Times New Roman" w:cs="Times New Roman"/>
          <w:lang w:val="en-US"/>
        </w:rPr>
        <w:t xml:space="preserve">he success of the </w:t>
      </w:r>
      <w:r w:rsidR="00121D10">
        <w:rPr>
          <w:rFonts w:ascii="Times New Roman" w:hAnsi="Times New Roman" w:cs="Times New Roman"/>
          <w:lang w:val="en-US"/>
        </w:rPr>
        <w:t>integrated reporting</w:t>
      </w:r>
      <w:r>
        <w:rPr>
          <w:rFonts w:ascii="Times New Roman" w:hAnsi="Times New Roman" w:cs="Times New Roman"/>
          <w:lang w:val="en-US"/>
        </w:rPr>
        <w:t xml:space="preserve"> project </w:t>
      </w:r>
      <w:r w:rsidR="00E47F1D">
        <w:rPr>
          <w:rFonts w:ascii="Times New Roman" w:hAnsi="Times New Roman" w:cs="Times New Roman"/>
          <w:lang w:val="en-US"/>
        </w:rPr>
        <w:t xml:space="preserve">therefore </w:t>
      </w:r>
      <w:r>
        <w:rPr>
          <w:rFonts w:ascii="Times New Roman" w:hAnsi="Times New Roman" w:cs="Times New Roman"/>
          <w:lang w:val="en-US"/>
        </w:rPr>
        <w:t xml:space="preserve">became framed in a way that depended </w:t>
      </w:r>
      <w:r w:rsidR="00A53E6F">
        <w:rPr>
          <w:rFonts w:ascii="Times New Roman" w:hAnsi="Times New Roman" w:cs="Times New Roman"/>
          <w:lang w:val="en-US"/>
        </w:rPr>
        <w:t>up</w:t>
      </w:r>
      <w:r>
        <w:rPr>
          <w:rFonts w:ascii="Times New Roman" w:hAnsi="Times New Roman" w:cs="Times New Roman"/>
          <w:lang w:val="en-US"/>
        </w:rPr>
        <w:t xml:space="preserve">on instigating institutional change in </w:t>
      </w:r>
      <w:r w:rsidR="00AC254E">
        <w:rPr>
          <w:rFonts w:ascii="Times New Roman" w:hAnsi="Times New Roman" w:cs="Times New Roman"/>
          <w:lang w:val="en-US"/>
        </w:rPr>
        <w:t xml:space="preserve">an </w:t>
      </w:r>
      <w:r>
        <w:rPr>
          <w:rFonts w:ascii="Times New Roman" w:hAnsi="Times New Roman" w:cs="Times New Roman"/>
          <w:lang w:val="en-US"/>
        </w:rPr>
        <w:t xml:space="preserve">adjacent field of </w:t>
      </w:r>
      <w:r w:rsidR="00AC254E">
        <w:rPr>
          <w:rFonts w:ascii="Times New Roman" w:hAnsi="Times New Roman" w:cs="Times New Roman"/>
          <w:lang w:val="en-US"/>
        </w:rPr>
        <w:t>activity</w:t>
      </w:r>
      <w:r w:rsidR="00AA2952">
        <w:rPr>
          <w:rFonts w:ascii="Times New Roman" w:hAnsi="Times New Roman" w:cs="Times New Roman"/>
          <w:lang w:val="en-US"/>
        </w:rPr>
        <w:t xml:space="preserve"> – the field of mainstream investment</w:t>
      </w:r>
      <w:r w:rsidR="00D06FF9">
        <w:rPr>
          <w:rFonts w:ascii="Times New Roman" w:hAnsi="Times New Roman" w:cs="Times New Roman"/>
          <w:lang w:val="en-US"/>
        </w:rPr>
        <w:t>. In short, m</w:t>
      </w:r>
      <w:r>
        <w:rPr>
          <w:rFonts w:ascii="Times New Roman" w:hAnsi="Times New Roman" w:cs="Times New Roman"/>
          <w:lang w:val="en-US"/>
        </w:rPr>
        <w:t xml:space="preserve">ainstream investors </w:t>
      </w:r>
      <w:r w:rsidR="00D06FF9">
        <w:rPr>
          <w:rFonts w:ascii="Times New Roman" w:hAnsi="Times New Roman" w:cs="Times New Roman"/>
          <w:lang w:val="en-US"/>
        </w:rPr>
        <w:t xml:space="preserve">had to be persuaded or mobilized </w:t>
      </w:r>
      <w:r>
        <w:rPr>
          <w:rFonts w:ascii="Times New Roman" w:hAnsi="Times New Roman" w:cs="Times New Roman"/>
          <w:lang w:val="en-US"/>
        </w:rPr>
        <w:t xml:space="preserve">to </w:t>
      </w:r>
      <w:r w:rsidR="00610ACE">
        <w:rPr>
          <w:rFonts w:ascii="Times New Roman" w:hAnsi="Times New Roman" w:cs="Times New Roman"/>
          <w:lang w:val="en-US"/>
        </w:rPr>
        <w:t>prioritiz</w:t>
      </w:r>
      <w:r w:rsidR="000F181F">
        <w:rPr>
          <w:rFonts w:ascii="Times New Roman" w:hAnsi="Times New Roman" w:cs="Times New Roman"/>
          <w:lang w:val="en-US"/>
        </w:rPr>
        <w:t>e</w:t>
      </w:r>
      <w:r w:rsidR="00610ACE">
        <w:rPr>
          <w:rFonts w:ascii="Times New Roman" w:hAnsi="Times New Roman" w:cs="Times New Roman"/>
          <w:lang w:val="en-US"/>
        </w:rPr>
        <w:t xml:space="preserve"> </w:t>
      </w:r>
      <w:r w:rsidR="00700ADE">
        <w:rPr>
          <w:rFonts w:ascii="Times New Roman" w:hAnsi="Times New Roman" w:cs="Times New Roman"/>
          <w:lang w:val="en-US"/>
        </w:rPr>
        <w:t>a more long</w:t>
      </w:r>
      <w:r w:rsidR="00A53E6F">
        <w:rPr>
          <w:rFonts w:ascii="Times New Roman" w:hAnsi="Times New Roman" w:cs="Times New Roman"/>
          <w:lang w:val="en-US"/>
        </w:rPr>
        <w:t>-</w:t>
      </w:r>
      <w:r w:rsidR="00700ADE">
        <w:rPr>
          <w:rFonts w:ascii="Times New Roman" w:hAnsi="Times New Roman" w:cs="Times New Roman"/>
          <w:lang w:val="en-US"/>
        </w:rPr>
        <w:t xml:space="preserve">term </w:t>
      </w:r>
      <w:r w:rsidR="00560A9F">
        <w:rPr>
          <w:rFonts w:ascii="Times New Roman" w:hAnsi="Times New Roman" w:cs="Times New Roman"/>
          <w:lang w:val="en-US"/>
        </w:rPr>
        <w:t xml:space="preserve">enlightened </w:t>
      </w:r>
      <w:r w:rsidR="00700ADE">
        <w:rPr>
          <w:rFonts w:ascii="Times New Roman" w:hAnsi="Times New Roman" w:cs="Times New Roman"/>
          <w:lang w:val="en-US"/>
        </w:rPr>
        <w:t>focus</w:t>
      </w:r>
      <w:r>
        <w:rPr>
          <w:rFonts w:ascii="Times New Roman" w:hAnsi="Times New Roman" w:cs="Times New Roman"/>
          <w:lang w:val="en-US"/>
        </w:rPr>
        <w:t xml:space="preserve"> and</w:t>
      </w:r>
      <w:r w:rsidR="00B6654F">
        <w:rPr>
          <w:rFonts w:ascii="Times New Roman" w:hAnsi="Times New Roman" w:cs="Times New Roman"/>
          <w:lang w:val="en-US"/>
        </w:rPr>
        <w:t>,</w:t>
      </w:r>
      <w:r>
        <w:rPr>
          <w:rFonts w:ascii="Times New Roman" w:hAnsi="Times New Roman" w:cs="Times New Roman"/>
          <w:lang w:val="en-US"/>
        </w:rPr>
        <w:t xml:space="preserve"> </w:t>
      </w:r>
      <w:r w:rsidR="00700ADE">
        <w:rPr>
          <w:rFonts w:ascii="Times New Roman" w:hAnsi="Times New Roman" w:cs="Times New Roman"/>
          <w:lang w:val="en-US"/>
        </w:rPr>
        <w:t>thereby</w:t>
      </w:r>
      <w:r w:rsidR="00B6654F">
        <w:rPr>
          <w:rFonts w:ascii="Times New Roman" w:hAnsi="Times New Roman" w:cs="Times New Roman"/>
          <w:lang w:val="en-US"/>
        </w:rPr>
        <w:t>,</w:t>
      </w:r>
      <w:r w:rsidR="00700ADE">
        <w:rPr>
          <w:rFonts w:ascii="Times New Roman" w:hAnsi="Times New Roman" w:cs="Times New Roman"/>
          <w:lang w:val="en-US"/>
        </w:rPr>
        <w:t xml:space="preserve"> </w:t>
      </w:r>
      <w:r w:rsidR="00B6654F">
        <w:rPr>
          <w:rFonts w:ascii="Times New Roman" w:hAnsi="Times New Roman" w:cs="Times New Roman"/>
          <w:lang w:val="en-US"/>
        </w:rPr>
        <w:t xml:space="preserve">stimulate </w:t>
      </w:r>
      <w:r w:rsidR="00291609">
        <w:rPr>
          <w:rFonts w:ascii="Times New Roman" w:hAnsi="Times New Roman" w:cs="Times New Roman"/>
          <w:lang w:val="en-US"/>
        </w:rPr>
        <w:t>demand</w:t>
      </w:r>
      <w:r>
        <w:rPr>
          <w:rFonts w:ascii="Times New Roman" w:hAnsi="Times New Roman" w:cs="Times New Roman"/>
          <w:lang w:val="en-US"/>
        </w:rPr>
        <w:t xml:space="preserve"> </w:t>
      </w:r>
      <w:r w:rsidR="00B6654F">
        <w:rPr>
          <w:rFonts w:ascii="Times New Roman" w:hAnsi="Times New Roman" w:cs="Times New Roman"/>
          <w:lang w:val="en-US"/>
        </w:rPr>
        <w:t xml:space="preserve">for </w:t>
      </w:r>
      <w:r w:rsidR="00121D10">
        <w:rPr>
          <w:rFonts w:ascii="Times New Roman" w:hAnsi="Times New Roman" w:cs="Times New Roman"/>
          <w:lang w:val="en-US"/>
        </w:rPr>
        <w:t>integrated reporting</w:t>
      </w:r>
      <w:r w:rsidR="006D5CAC">
        <w:rPr>
          <w:rFonts w:ascii="Times New Roman" w:hAnsi="Times New Roman" w:cs="Times New Roman"/>
          <w:lang w:val="en-US"/>
        </w:rPr>
        <w:t>.</w:t>
      </w:r>
    </w:p>
    <w:p w14:paraId="118C7789" w14:textId="77777777" w:rsidR="00E53088" w:rsidRDefault="00E53088">
      <w:pPr>
        <w:spacing w:line="360" w:lineRule="auto"/>
        <w:ind w:firstLine="708"/>
        <w:jc w:val="both"/>
        <w:rPr>
          <w:rFonts w:ascii="Times New Roman" w:hAnsi="Times New Roman" w:cs="Times New Roman"/>
          <w:lang w:val="en-US"/>
        </w:rPr>
      </w:pPr>
    </w:p>
    <w:p w14:paraId="00CD5504" w14:textId="16095D10" w:rsidR="00422BEF" w:rsidRPr="005E7227" w:rsidRDefault="005E7227" w:rsidP="00422BEF">
      <w:pPr>
        <w:spacing w:line="360" w:lineRule="auto"/>
        <w:ind w:left="708" w:hanging="708"/>
        <w:jc w:val="both"/>
        <w:rPr>
          <w:rFonts w:ascii="Times New Roman" w:hAnsi="Times New Roman" w:cs="Times New Roman"/>
          <w:i/>
          <w:lang w:val="en-US"/>
        </w:rPr>
      </w:pPr>
      <w:r>
        <w:rPr>
          <w:rFonts w:ascii="Times New Roman" w:hAnsi="Times New Roman" w:cs="Times New Roman"/>
          <w:i/>
          <w:lang w:val="en-US"/>
        </w:rPr>
        <w:lastRenderedPageBreak/>
        <w:t>4.5</w:t>
      </w:r>
      <w:r w:rsidR="003E4079" w:rsidRPr="005E7227">
        <w:rPr>
          <w:rFonts w:ascii="Times New Roman" w:hAnsi="Times New Roman" w:cs="Times New Roman"/>
          <w:i/>
          <w:lang w:val="en-US"/>
        </w:rPr>
        <w:t>.1</w:t>
      </w:r>
      <w:r w:rsidR="003E4079" w:rsidRPr="005E7227">
        <w:rPr>
          <w:rFonts w:ascii="Times New Roman" w:hAnsi="Times New Roman" w:cs="Times New Roman"/>
          <w:i/>
          <w:lang w:val="en-US"/>
        </w:rPr>
        <w:tab/>
      </w:r>
      <w:r w:rsidR="00D63B32">
        <w:rPr>
          <w:rFonts w:ascii="Times New Roman" w:hAnsi="Times New Roman" w:cs="Times New Roman"/>
          <w:i/>
          <w:lang w:val="en-US"/>
        </w:rPr>
        <w:t>Mobiliz</w:t>
      </w:r>
      <w:r w:rsidR="00B229D7">
        <w:rPr>
          <w:rFonts w:ascii="Times New Roman" w:hAnsi="Times New Roman" w:cs="Times New Roman"/>
          <w:i/>
          <w:lang w:val="en-US"/>
        </w:rPr>
        <w:t>ing</w:t>
      </w:r>
      <w:r w:rsidR="0029290B">
        <w:rPr>
          <w:rFonts w:ascii="Times New Roman" w:hAnsi="Times New Roman" w:cs="Times New Roman"/>
          <w:i/>
          <w:lang w:val="en-US"/>
        </w:rPr>
        <w:t xml:space="preserve"> </w:t>
      </w:r>
      <w:r w:rsidR="00422BEF" w:rsidRPr="005E7227">
        <w:rPr>
          <w:rFonts w:ascii="Times New Roman" w:hAnsi="Times New Roman" w:cs="Times New Roman"/>
          <w:i/>
          <w:lang w:val="en-US"/>
        </w:rPr>
        <w:t xml:space="preserve">the enlightened </w:t>
      </w:r>
      <w:r w:rsidR="00560A9F">
        <w:rPr>
          <w:rFonts w:ascii="Times New Roman" w:hAnsi="Times New Roman" w:cs="Times New Roman"/>
          <w:i/>
          <w:lang w:val="en-US"/>
        </w:rPr>
        <w:t xml:space="preserve">investor </w:t>
      </w:r>
      <w:r w:rsidR="00422BEF" w:rsidRPr="005E7227">
        <w:rPr>
          <w:rFonts w:ascii="Times New Roman" w:hAnsi="Times New Roman" w:cs="Times New Roman"/>
          <w:i/>
          <w:lang w:val="en-US"/>
        </w:rPr>
        <w:t xml:space="preserve">– seeking institutional change in the field of </w:t>
      </w:r>
      <w:r w:rsidR="00F2309A">
        <w:rPr>
          <w:rFonts w:ascii="Times New Roman" w:hAnsi="Times New Roman" w:cs="Times New Roman"/>
          <w:i/>
          <w:lang w:val="en-US"/>
        </w:rPr>
        <w:t xml:space="preserve">mainstream </w:t>
      </w:r>
      <w:r w:rsidR="00422BEF" w:rsidRPr="005E7227">
        <w:rPr>
          <w:rFonts w:ascii="Times New Roman" w:hAnsi="Times New Roman" w:cs="Times New Roman"/>
          <w:i/>
          <w:lang w:val="en-US"/>
        </w:rPr>
        <w:t>investment</w:t>
      </w:r>
    </w:p>
    <w:p w14:paraId="2931541E" w14:textId="0043EFB4" w:rsidR="00347699" w:rsidRPr="00DD1E36" w:rsidRDefault="00422BEF" w:rsidP="00686181">
      <w:pPr>
        <w:spacing w:line="360" w:lineRule="auto"/>
        <w:ind w:firstLine="708"/>
        <w:jc w:val="both"/>
        <w:rPr>
          <w:rFonts w:ascii="Times New Roman" w:hAnsi="Times New Roman" w:cs="Times New Roman"/>
          <w:lang w:val="en-US"/>
        </w:rPr>
      </w:pPr>
      <w:r w:rsidRPr="00DD1E36">
        <w:rPr>
          <w:rFonts w:ascii="Times New Roman" w:hAnsi="Times New Roman" w:cs="Times New Roman"/>
          <w:lang w:val="en-US"/>
        </w:rPr>
        <w:t xml:space="preserve">The quest to seek out and convert the mainstream investment community </w:t>
      </w:r>
      <w:r w:rsidR="009D55D3">
        <w:rPr>
          <w:rFonts w:ascii="Times New Roman" w:hAnsi="Times New Roman" w:cs="Times New Roman"/>
          <w:lang w:val="en-US"/>
        </w:rPr>
        <w:t xml:space="preserve">motivated </w:t>
      </w:r>
      <w:r w:rsidRPr="00DD1E36">
        <w:rPr>
          <w:rFonts w:ascii="Times New Roman" w:hAnsi="Times New Roman" w:cs="Times New Roman"/>
          <w:lang w:val="en-US"/>
        </w:rPr>
        <w:t xml:space="preserve">the </w:t>
      </w:r>
      <w:r w:rsidR="00D83846">
        <w:rPr>
          <w:rFonts w:ascii="Times New Roman" w:hAnsi="Times New Roman" w:cs="Times New Roman"/>
          <w:lang w:val="en-US"/>
        </w:rPr>
        <w:t xml:space="preserve">IIRC’s </w:t>
      </w:r>
      <w:r w:rsidR="00291609" w:rsidRPr="00DD1E36">
        <w:rPr>
          <w:rFonts w:ascii="Times New Roman" w:hAnsi="Times New Roman" w:cs="Times New Roman"/>
          <w:lang w:val="en-US"/>
        </w:rPr>
        <w:t>March 2012</w:t>
      </w:r>
      <w:r w:rsidR="00291609">
        <w:rPr>
          <w:rFonts w:ascii="Times New Roman" w:hAnsi="Times New Roman" w:cs="Times New Roman"/>
          <w:lang w:val="en-US"/>
        </w:rPr>
        <w:t xml:space="preserve"> </w:t>
      </w:r>
      <w:r w:rsidRPr="00DD1E36">
        <w:rPr>
          <w:rFonts w:ascii="Times New Roman" w:hAnsi="Times New Roman" w:cs="Times New Roman"/>
          <w:lang w:val="en-US"/>
        </w:rPr>
        <w:t xml:space="preserve">formation of a Pilot </w:t>
      </w:r>
      <w:proofErr w:type="spellStart"/>
      <w:r w:rsidRPr="00DD1E36">
        <w:rPr>
          <w:rFonts w:ascii="Times New Roman" w:hAnsi="Times New Roman" w:cs="Times New Roman"/>
          <w:lang w:val="en-US"/>
        </w:rPr>
        <w:t>Programme</w:t>
      </w:r>
      <w:proofErr w:type="spellEnd"/>
      <w:r w:rsidRPr="00DD1E36">
        <w:rPr>
          <w:rFonts w:ascii="Times New Roman" w:hAnsi="Times New Roman" w:cs="Times New Roman"/>
          <w:lang w:val="en-US"/>
        </w:rPr>
        <w:t xml:space="preserve"> Investor Network</w:t>
      </w:r>
      <w:r w:rsidR="003F2976">
        <w:rPr>
          <w:rFonts w:ascii="Times New Roman" w:hAnsi="Times New Roman" w:cs="Times New Roman"/>
          <w:lang w:val="en-US"/>
        </w:rPr>
        <w:t xml:space="preserve"> </w:t>
      </w:r>
      <w:r w:rsidR="006D776E">
        <w:rPr>
          <w:rFonts w:ascii="Times New Roman" w:hAnsi="Times New Roman" w:cs="Times New Roman"/>
          <w:lang w:val="en-US"/>
        </w:rPr>
        <w:t>(herein ‘Investor Network</w:t>
      </w:r>
      <w:r w:rsidR="00560A9F">
        <w:rPr>
          <w:rFonts w:ascii="Times New Roman" w:hAnsi="Times New Roman" w:cs="Times New Roman"/>
          <w:lang w:val="en-US"/>
        </w:rPr>
        <w:t>’</w:t>
      </w:r>
      <w:r w:rsidR="006D776E">
        <w:rPr>
          <w:rFonts w:ascii="Times New Roman" w:hAnsi="Times New Roman" w:cs="Times New Roman"/>
          <w:lang w:val="en-US"/>
        </w:rPr>
        <w:t xml:space="preserve">) </w:t>
      </w:r>
      <w:r w:rsidR="003F2976">
        <w:rPr>
          <w:rFonts w:ascii="Times New Roman" w:hAnsi="Times New Roman" w:cs="Times New Roman"/>
          <w:lang w:val="en-US"/>
        </w:rPr>
        <w:t xml:space="preserve">to add to the Business Network Pilot </w:t>
      </w:r>
      <w:proofErr w:type="spellStart"/>
      <w:r w:rsidR="003F2976">
        <w:rPr>
          <w:rFonts w:ascii="Times New Roman" w:hAnsi="Times New Roman" w:cs="Times New Roman"/>
          <w:lang w:val="en-US"/>
        </w:rPr>
        <w:t>Programme</w:t>
      </w:r>
      <w:proofErr w:type="spellEnd"/>
      <w:r w:rsidR="003F2976">
        <w:rPr>
          <w:rFonts w:ascii="Times New Roman" w:hAnsi="Times New Roman" w:cs="Times New Roman"/>
          <w:lang w:val="en-US"/>
        </w:rPr>
        <w:t>. This</w:t>
      </w:r>
      <w:r w:rsidR="003302A6">
        <w:rPr>
          <w:rFonts w:ascii="Times New Roman" w:hAnsi="Times New Roman" w:cs="Times New Roman"/>
          <w:lang w:val="en-US"/>
        </w:rPr>
        <w:t xml:space="preserve"> </w:t>
      </w:r>
      <w:r w:rsidRPr="00DD1E36">
        <w:rPr>
          <w:rFonts w:ascii="Times New Roman" w:hAnsi="Times New Roman" w:cs="Times New Roman"/>
          <w:lang w:val="en-US"/>
        </w:rPr>
        <w:t>was initially comprised of over 35 global investor organizations</w:t>
      </w:r>
      <w:r w:rsidR="003F2976">
        <w:rPr>
          <w:rFonts w:ascii="Times New Roman" w:hAnsi="Times New Roman" w:cs="Times New Roman"/>
          <w:lang w:val="en-GB"/>
        </w:rPr>
        <w:t xml:space="preserve"> including Goldman Sachs UK, the London Pension Funds Authority (LPFA), and N</w:t>
      </w:r>
      <w:r w:rsidR="00756DC7">
        <w:rPr>
          <w:rFonts w:ascii="Times New Roman" w:hAnsi="Times New Roman" w:cs="Times New Roman"/>
          <w:lang w:val="en-GB"/>
        </w:rPr>
        <w:t>atixis Asset Management, France</w:t>
      </w:r>
      <w:r w:rsidR="005A09AF">
        <w:rPr>
          <w:rFonts w:ascii="Times New Roman" w:hAnsi="Times New Roman" w:cs="Times New Roman"/>
          <w:lang w:val="en-GB"/>
        </w:rPr>
        <w:t>.</w:t>
      </w:r>
      <w:r w:rsidR="00347699" w:rsidRPr="00DD1E36">
        <w:rPr>
          <w:rFonts w:ascii="Times New Roman" w:hAnsi="Times New Roman" w:cs="Times New Roman"/>
          <w:lang w:val="en-US"/>
        </w:rPr>
        <w:t xml:space="preserve"> </w:t>
      </w:r>
      <w:r w:rsidR="005A09AF" w:rsidRPr="0082281F">
        <w:rPr>
          <w:rFonts w:ascii="Times New Roman" w:hAnsi="Times New Roman" w:cs="Times New Roman"/>
          <w:lang w:val="en-US"/>
        </w:rPr>
        <w:t xml:space="preserve">The chair of the Investor Network, </w:t>
      </w:r>
      <w:r w:rsidR="005A09AF" w:rsidRPr="0082281F">
        <w:rPr>
          <w:rStyle w:val="Emphasis"/>
          <w:rFonts w:ascii="Times New Roman" w:hAnsi="Times New Roman" w:cs="Times New Roman"/>
          <w:b w:val="0"/>
          <w:lang w:val="en-US"/>
        </w:rPr>
        <w:t>Colin</w:t>
      </w:r>
      <w:r w:rsidR="005A09AF" w:rsidRPr="0082281F">
        <w:rPr>
          <w:rStyle w:val="st1"/>
          <w:rFonts w:ascii="Times New Roman" w:hAnsi="Times New Roman" w:cs="Times New Roman"/>
          <w:b/>
          <w:lang w:val="en-US"/>
        </w:rPr>
        <w:t xml:space="preserve"> </w:t>
      </w:r>
      <w:r w:rsidR="005A09AF" w:rsidRPr="0082281F">
        <w:rPr>
          <w:rStyle w:val="st1"/>
          <w:rFonts w:ascii="Times New Roman" w:hAnsi="Times New Roman" w:cs="Times New Roman"/>
          <w:lang w:val="en-US"/>
        </w:rPr>
        <w:t xml:space="preserve">Melvin, CEO of Hermes </w:t>
      </w:r>
      <w:r w:rsidR="005A09AF" w:rsidRPr="0082281F">
        <w:rPr>
          <w:rStyle w:val="Strong"/>
          <w:rFonts w:ascii="Times New Roman" w:hAnsi="Times New Roman" w:cs="Times New Roman"/>
          <w:b w:val="0"/>
          <w:lang w:val="en-US"/>
        </w:rPr>
        <w:t>Equity Ownership Services</w:t>
      </w:r>
      <w:r w:rsidR="005A09AF">
        <w:rPr>
          <w:rStyle w:val="Strong"/>
          <w:rFonts w:ascii="Times New Roman" w:hAnsi="Times New Roman" w:cs="Times New Roman"/>
          <w:b w:val="0"/>
          <w:lang w:val="en-US"/>
        </w:rPr>
        <w:t>,</w:t>
      </w:r>
      <w:r w:rsidR="005A09AF" w:rsidRPr="0082281F">
        <w:rPr>
          <w:rFonts w:ascii="Times New Roman" w:hAnsi="Times New Roman" w:cs="Times New Roman"/>
          <w:b/>
          <w:lang w:val="en-US"/>
        </w:rPr>
        <w:t xml:space="preserve"> </w:t>
      </w:r>
      <w:r w:rsidR="007D6649">
        <w:rPr>
          <w:rFonts w:ascii="Times New Roman" w:hAnsi="Times New Roman" w:cs="Times New Roman"/>
          <w:lang w:val="en-US"/>
        </w:rPr>
        <w:t xml:space="preserve">emphasized </w:t>
      </w:r>
      <w:r w:rsidR="00347699" w:rsidRPr="00DD1E36">
        <w:rPr>
          <w:rFonts w:ascii="Times New Roman" w:hAnsi="Times New Roman" w:cs="Times New Roman"/>
          <w:lang w:val="en-US"/>
        </w:rPr>
        <w:t xml:space="preserve">the need to stimulate interest and demand among this primary user group. He </w:t>
      </w:r>
      <w:r w:rsidR="007D6649">
        <w:rPr>
          <w:rFonts w:ascii="Times New Roman" w:hAnsi="Times New Roman" w:cs="Times New Roman"/>
          <w:lang w:val="en-US"/>
        </w:rPr>
        <w:t xml:space="preserve">called for </w:t>
      </w:r>
      <w:r w:rsidR="00347699" w:rsidRPr="00DD1E36">
        <w:rPr>
          <w:rFonts w:ascii="Times New Roman" w:hAnsi="Times New Roman" w:cs="Times New Roman"/>
          <w:lang w:val="en-US"/>
        </w:rPr>
        <w:t>a campaign aimed at changing</w:t>
      </w:r>
      <w:r w:rsidR="00F123F6">
        <w:rPr>
          <w:rFonts w:ascii="Times New Roman" w:hAnsi="Times New Roman" w:cs="Times New Roman"/>
          <w:lang w:val="en-US"/>
        </w:rPr>
        <w:t xml:space="preserve"> the investment community’s </w:t>
      </w:r>
      <w:r w:rsidR="00347699" w:rsidRPr="00DD1E36">
        <w:rPr>
          <w:rFonts w:ascii="Times New Roman" w:hAnsi="Times New Roman" w:cs="Times New Roman"/>
          <w:lang w:val="en-US"/>
        </w:rPr>
        <w:t xml:space="preserve">traditional </w:t>
      </w:r>
      <w:proofErr w:type="spellStart"/>
      <w:r w:rsidR="00347699" w:rsidRPr="00DD1E36">
        <w:rPr>
          <w:rFonts w:ascii="Times New Roman" w:hAnsi="Times New Roman" w:cs="Times New Roman"/>
          <w:lang w:val="en-US"/>
        </w:rPr>
        <w:t>behaviour</w:t>
      </w:r>
      <w:r w:rsidR="00B6654F">
        <w:rPr>
          <w:rFonts w:ascii="Times New Roman" w:hAnsi="Times New Roman" w:cs="Times New Roman"/>
          <w:lang w:val="en-US"/>
        </w:rPr>
        <w:t>s</w:t>
      </w:r>
      <w:proofErr w:type="spellEnd"/>
      <w:r w:rsidR="00347699" w:rsidRPr="00DD1E36">
        <w:rPr>
          <w:rFonts w:ascii="Times New Roman" w:hAnsi="Times New Roman" w:cs="Times New Roman"/>
          <w:lang w:val="en-US"/>
        </w:rPr>
        <w:t xml:space="preserve"> to get them to focus more on the longer term:</w:t>
      </w:r>
    </w:p>
    <w:p w14:paraId="04C4424E" w14:textId="29A499BB" w:rsidR="00347699" w:rsidRDefault="00347699" w:rsidP="00686181">
      <w:pPr>
        <w:shd w:val="clear" w:color="auto" w:fill="FFFFFF"/>
        <w:spacing w:after="0" w:line="240" w:lineRule="auto"/>
        <w:ind w:left="708"/>
        <w:jc w:val="both"/>
        <w:rPr>
          <w:rFonts w:ascii="Times New Roman" w:eastAsia="Times New Roman" w:hAnsi="Times New Roman" w:cs="Times New Roman"/>
          <w:iCs/>
          <w:sz w:val="20"/>
          <w:szCs w:val="20"/>
          <w:lang w:val="en-US" w:eastAsia="nl-NL"/>
          <w14:textOutline w14:w="9525" w14:cap="rnd" w14:cmpd="sng" w14:algn="ctr">
            <w14:noFill/>
            <w14:prstDash w14:val="solid"/>
            <w14:bevel/>
          </w14:textOutline>
        </w:rPr>
      </w:pPr>
      <w:r w:rsidRPr="00DD1E36">
        <w:rPr>
          <w:rFonts w:ascii="Times New Roman" w:eastAsia="Times New Roman" w:hAnsi="Times New Roman" w:cs="Times New Roman"/>
          <w:iCs/>
          <w:sz w:val="20"/>
          <w:szCs w:val="20"/>
          <w:lang w:val="en-US" w:eastAsia="nl-NL"/>
          <w14:textOutline w14:w="9525" w14:cap="rnd" w14:cmpd="sng" w14:algn="ctr">
            <w14:noFill/>
            <w14:prstDash w14:val="solid"/>
            <w14:bevel/>
          </w14:textOutline>
        </w:rPr>
        <w:t xml:space="preserve">Promoting Integrated Reporting is a step in the right direction, </w:t>
      </w:r>
      <w:r w:rsidRPr="00DD1E36">
        <w:rPr>
          <w:rFonts w:ascii="Times New Roman" w:eastAsia="Times New Roman" w:hAnsi="Times New Roman" w:cs="Times New Roman"/>
          <w:i/>
          <w:iCs/>
          <w:sz w:val="20"/>
          <w:szCs w:val="20"/>
          <w:lang w:val="en-US" w:eastAsia="nl-NL"/>
          <w14:textOutline w14:w="9525" w14:cap="rnd" w14:cmpd="sng" w14:algn="ctr">
            <w14:noFill/>
            <w14:prstDash w14:val="solid"/>
            <w14:bevel/>
          </w14:textOutline>
        </w:rPr>
        <w:t>but it won’t be sufficient unless there is investor demand</w:t>
      </w:r>
      <w:r w:rsidRPr="00DD1E36">
        <w:rPr>
          <w:rFonts w:ascii="Times New Roman" w:eastAsia="Times New Roman" w:hAnsi="Times New Roman" w:cs="Times New Roman"/>
          <w:iCs/>
          <w:sz w:val="20"/>
          <w:szCs w:val="20"/>
          <w:lang w:val="en-US" w:eastAsia="nl-NL"/>
          <w14:textOutline w14:w="9525" w14:cap="rnd" w14:cmpd="sng" w14:algn="ctr">
            <w14:noFill/>
            <w14:prstDash w14:val="solid"/>
            <w14:bevel/>
          </w14:textOutline>
        </w:rPr>
        <w:t xml:space="preserve">. The Investor Network will be important to establish dialogue between investors. We need to work with leaders in the investment industry who are </w:t>
      </w:r>
      <w:r w:rsidRPr="00DD1E36">
        <w:rPr>
          <w:rFonts w:ascii="Times New Roman" w:eastAsia="Times New Roman" w:hAnsi="Times New Roman" w:cs="Times New Roman"/>
          <w:i/>
          <w:iCs/>
          <w:sz w:val="20"/>
          <w:szCs w:val="20"/>
          <w:lang w:val="en-US" w:eastAsia="nl-NL"/>
          <w14:textOutline w14:w="9525" w14:cap="rnd" w14:cmpd="sng" w14:algn="ctr">
            <w14:noFill/>
            <w14:prstDash w14:val="solid"/>
            <w14:bevel/>
          </w14:textOutline>
        </w:rPr>
        <w:t xml:space="preserve">driving change in the traditional approaches and </w:t>
      </w:r>
      <w:proofErr w:type="spellStart"/>
      <w:r w:rsidRPr="00DD1E36">
        <w:rPr>
          <w:rFonts w:ascii="Times New Roman" w:eastAsia="Times New Roman" w:hAnsi="Times New Roman" w:cs="Times New Roman"/>
          <w:i/>
          <w:iCs/>
          <w:sz w:val="20"/>
          <w:szCs w:val="20"/>
          <w:lang w:val="en-US" w:eastAsia="nl-NL"/>
          <w14:textOutline w14:w="9525" w14:cap="rnd" w14:cmpd="sng" w14:algn="ctr">
            <w14:noFill/>
            <w14:prstDash w14:val="solid"/>
            <w14:bevel/>
          </w14:textOutline>
        </w:rPr>
        <w:t>behaviours</w:t>
      </w:r>
      <w:proofErr w:type="spellEnd"/>
      <w:r w:rsidRPr="00DD1E36">
        <w:rPr>
          <w:rFonts w:ascii="Times New Roman" w:eastAsia="Times New Roman" w:hAnsi="Times New Roman" w:cs="Times New Roman"/>
          <w:i/>
          <w:iCs/>
          <w:sz w:val="20"/>
          <w:szCs w:val="20"/>
          <w:lang w:val="en-US" w:eastAsia="nl-NL"/>
          <w14:textOutline w14:w="9525" w14:cap="rnd" w14:cmpd="sng" w14:algn="ctr">
            <w14:noFill/>
            <w14:prstDash w14:val="solid"/>
            <w14:bevel/>
          </w14:textOutline>
        </w:rPr>
        <w:t xml:space="preserve"> of fund managers … </w:t>
      </w:r>
      <w:r w:rsidRPr="00DD1E36">
        <w:rPr>
          <w:rFonts w:ascii="Times New Roman" w:eastAsia="Times New Roman" w:hAnsi="Times New Roman" w:cs="Times New Roman"/>
          <w:iCs/>
          <w:sz w:val="20"/>
          <w:szCs w:val="20"/>
          <w:lang w:val="en-US" w:eastAsia="nl-NL"/>
          <w14:textOutline w14:w="9525" w14:cap="rnd" w14:cmpd="sng" w14:algn="ctr">
            <w14:noFill/>
            <w14:prstDash w14:val="solid"/>
            <w14:bevel/>
          </w14:textOutline>
        </w:rPr>
        <w:t xml:space="preserve">We plan to </w:t>
      </w:r>
      <w:r w:rsidR="003843B1">
        <w:rPr>
          <w:rFonts w:ascii="Times New Roman" w:eastAsia="Times New Roman" w:hAnsi="Times New Roman" w:cs="Times New Roman"/>
          <w:i/>
          <w:iCs/>
          <w:sz w:val="20"/>
          <w:szCs w:val="20"/>
          <w:lang w:val="en-US" w:eastAsia="nl-NL"/>
          <w14:textOutline w14:w="9525" w14:cap="rnd" w14:cmpd="sng" w14:algn="ctr">
            <w14:noFill/>
            <w14:prstDash w14:val="solid"/>
            <w14:bevel/>
          </w14:textOutline>
        </w:rPr>
        <w:t>mobiliz</w:t>
      </w:r>
      <w:r w:rsidRPr="00DD1E36">
        <w:rPr>
          <w:rFonts w:ascii="Times New Roman" w:eastAsia="Times New Roman" w:hAnsi="Times New Roman" w:cs="Times New Roman"/>
          <w:i/>
          <w:iCs/>
          <w:sz w:val="20"/>
          <w:szCs w:val="20"/>
          <w:lang w:val="en-US" w:eastAsia="nl-NL"/>
          <w14:textOutline w14:w="9525" w14:cap="rnd" w14:cmpd="sng" w14:algn="ctr">
            <w14:noFill/>
            <w14:prstDash w14:val="solid"/>
            <w14:bevel/>
          </w14:textOutline>
        </w:rPr>
        <w:t>e portfolio managers’</w:t>
      </w:r>
      <w:r w:rsidRPr="00DD1E36">
        <w:rPr>
          <w:rFonts w:ascii="Times New Roman" w:eastAsia="Times New Roman" w:hAnsi="Times New Roman" w:cs="Times New Roman"/>
          <w:iCs/>
          <w:sz w:val="20"/>
          <w:szCs w:val="20"/>
          <w:lang w:val="en-US" w:eastAsia="nl-NL"/>
          <w14:textOutline w14:w="9525" w14:cap="rnd" w14:cmpd="sng" w14:algn="ctr">
            <w14:noFill/>
            <w14:prstDash w14:val="solid"/>
            <w14:bevel/>
          </w14:textOutline>
        </w:rPr>
        <w:t xml:space="preserve"> involvement. </w:t>
      </w:r>
      <w:r w:rsidRPr="00DD1E36">
        <w:rPr>
          <w:rFonts w:ascii="Times New Roman" w:eastAsia="Times New Roman" w:hAnsi="Times New Roman" w:cs="Times New Roman"/>
          <w:i/>
          <w:iCs/>
          <w:sz w:val="20"/>
          <w:szCs w:val="20"/>
          <w:lang w:val="en-US" w:eastAsia="nl-NL"/>
          <w14:textOutline w14:w="9525" w14:cap="rnd" w14:cmpd="sng" w14:algn="ctr">
            <w14:noFill/>
            <w14:prstDash w14:val="solid"/>
            <w14:bevel/>
          </w14:textOutline>
        </w:rPr>
        <w:t>We aim to find out what they want and need, while encouraging the investment industry to take a long term perspective</w:t>
      </w:r>
      <w:r w:rsidRPr="00DD1E36">
        <w:rPr>
          <w:rFonts w:ascii="Times New Roman" w:eastAsia="Times New Roman" w:hAnsi="Times New Roman" w:cs="Times New Roman"/>
          <w:iCs/>
          <w:sz w:val="20"/>
          <w:szCs w:val="20"/>
          <w:lang w:val="en-US" w:eastAsia="nl-NL"/>
          <w14:textOutline w14:w="9525" w14:cap="rnd" w14:cmpd="sng" w14:algn="ctr">
            <w14:noFill/>
            <w14:prstDash w14:val="solid"/>
            <w14:bevel/>
          </w14:textOutline>
        </w:rPr>
        <w:t>. We will raise awareness of how they can help ensure Integrated Reporting supports investment decision-making. Investors with a longer term perspective will find information disclosed through Integrated Reporting useful if it looks at issues t</w:t>
      </w:r>
      <w:r w:rsidR="00C87DC5">
        <w:rPr>
          <w:rFonts w:ascii="Times New Roman" w:eastAsia="Times New Roman" w:hAnsi="Times New Roman" w:cs="Times New Roman"/>
          <w:iCs/>
          <w:sz w:val="20"/>
          <w:szCs w:val="20"/>
          <w:lang w:val="en-US" w:eastAsia="nl-NL"/>
          <w14:textOutline w14:w="9525" w14:cap="rnd" w14:cmpd="sng" w14:algn="ctr">
            <w14:noFill/>
            <w14:prstDash w14:val="solid"/>
            <w14:bevel/>
          </w14:textOutline>
        </w:rPr>
        <w:t xml:space="preserve">hat are material, or could </w:t>
      </w:r>
      <w:r w:rsidR="006D5CAC">
        <w:rPr>
          <w:rFonts w:ascii="Times New Roman" w:eastAsia="Times New Roman" w:hAnsi="Times New Roman" w:cs="Times New Roman"/>
          <w:iCs/>
          <w:sz w:val="20"/>
          <w:szCs w:val="20"/>
          <w:lang w:val="en-US" w:eastAsia="nl-NL"/>
          <w14:textOutline w14:w="9525" w14:cap="rnd" w14:cmpd="sng" w14:algn="ctr">
            <w14:noFill/>
            <w14:prstDash w14:val="solid"/>
            <w14:bevel/>
          </w14:textOutline>
        </w:rPr>
        <w:t xml:space="preserve">become </w:t>
      </w:r>
      <w:r w:rsidRPr="00DD1E36">
        <w:rPr>
          <w:rFonts w:ascii="Times New Roman" w:eastAsia="Times New Roman" w:hAnsi="Times New Roman" w:cs="Times New Roman"/>
          <w:iCs/>
          <w:sz w:val="20"/>
          <w:szCs w:val="20"/>
          <w:lang w:val="en-US" w:eastAsia="nl-NL"/>
          <w14:textOutline w14:w="9525" w14:cap="rnd" w14:cmpd="sng" w14:algn="ctr">
            <w14:noFill/>
            <w14:prstDash w14:val="solid"/>
            <w14:bevel/>
          </w14:textOutline>
        </w:rPr>
        <w:t>so (emphasis added).</w:t>
      </w:r>
    </w:p>
    <w:p w14:paraId="0A050A0D" w14:textId="77777777" w:rsidR="005A09AF" w:rsidRPr="00686181" w:rsidRDefault="005A09AF" w:rsidP="00686181">
      <w:pPr>
        <w:shd w:val="clear" w:color="auto" w:fill="FFFFFF"/>
        <w:spacing w:after="0" w:line="240" w:lineRule="auto"/>
        <w:ind w:left="708"/>
        <w:jc w:val="both"/>
        <w:rPr>
          <w:rFonts w:ascii="Times New Roman" w:eastAsia="Times New Roman" w:hAnsi="Times New Roman" w:cs="Times New Roman"/>
          <w:i/>
          <w:iCs/>
          <w:sz w:val="20"/>
          <w:szCs w:val="20"/>
          <w:lang w:val="en-US" w:eastAsia="nl-NL"/>
          <w14:textOutline w14:w="9525" w14:cap="rnd" w14:cmpd="sng" w14:algn="ctr">
            <w14:noFill/>
            <w14:prstDash w14:val="solid"/>
            <w14:bevel/>
          </w14:textOutline>
        </w:rPr>
      </w:pPr>
    </w:p>
    <w:p w14:paraId="60433B0A" w14:textId="74D633E5" w:rsidR="00422BEF" w:rsidRPr="00DD1E36" w:rsidRDefault="00422BEF" w:rsidP="00347699">
      <w:pPr>
        <w:spacing w:line="360" w:lineRule="auto"/>
        <w:ind w:firstLine="708"/>
        <w:jc w:val="both"/>
        <w:rPr>
          <w:rFonts w:ascii="Times New Roman" w:hAnsi="Times New Roman" w:cs="Times New Roman"/>
          <w:lang w:val="en-US"/>
        </w:rPr>
      </w:pPr>
      <w:r w:rsidRPr="00DD1E36">
        <w:rPr>
          <w:rFonts w:ascii="Times New Roman" w:hAnsi="Times New Roman" w:cs="Times New Roman"/>
          <w:lang w:val="en-US"/>
        </w:rPr>
        <w:t xml:space="preserve">A specification of the benefits of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to investors was posted on the IIRC website</w:t>
      </w:r>
      <w:r w:rsidR="00A53E6F">
        <w:rPr>
          <w:rFonts w:ascii="Times New Roman" w:hAnsi="Times New Roman" w:cs="Times New Roman"/>
          <w:lang w:val="en-US"/>
        </w:rPr>
        <w:t>,</w:t>
      </w:r>
      <w:r w:rsidRPr="00DD1E36">
        <w:rPr>
          <w:rFonts w:ascii="Times New Roman" w:hAnsi="Times New Roman" w:cs="Times New Roman"/>
          <w:lang w:val="en-US"/>
        </w:rPr>
        <w:t xml:space="preserve"> </w:t>
      </w:r>
      <w:r>
        <w:rPr>
          <w:rFonts w:ascii="Times New Roman" w:hAnsi="Times New Roman" w:cs="Times New Roman"/>
          <w:lang w:val="en-US"/>
        </w:rPr>
        <w:t>claim</w:t>
      </w:r>
      <w:r w:rsidR="008A58D1">
        <w:rPr>
          <w:rFonts w:ascii="Times New Roman" w:hAnsi="Times New Roman" w:cs="Times New Roman"/>
          <w:lang w:val="en-US"/>
        </w:rPr>
        <w:t>ing</w:t>
      </w:r>
      <w:r>
        <w:rPr>
          <w:rFonts w:ascii="Times New Roman" w:hAnsi="Times New Roman" w:cs="Times New Roman"/>
          <w:lang w:val="en-US"/>
        </w:rPr>
        <w:t xml:space="preserve"> that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would provide </w:t>
      </w:r>
      <w:r w:rsidR="000F3DF0">
        <w:rPr>
          <w:rFonts w:ascii="Times New Roman" w:hAnsi="Times New Roman" w:cs="Times New Roman"/>
          <w:lang w:val="en-US"/>
        </w:rPr>
        <w:t>‘</w:t>
      </w:r>
      <w:r w:rsidRPr="00DD1E36">
        <w:rPr>
          <w:rFonts w:ascii="Times New Roman" w:hAnsi="Times New Roman" w:cs="Times New Roman"/>
          <w:lang w:val="en-US"/>
        </w:rPr>
        <w:t>clear, concise information about the value of an organization</w:t>
      </w:r>
      <w:r w:rsidR="000F3DF0">
        <w:rPr>
          <w:rFonts w:ascii="Times New Roman" w:hAnsi="Times New Roman" w:cs="Times New Roman"/>
          <w:lang w:val="en-US"/>
        </w:rPr>
        <w:t>’</w:t>
      </w:r>
      <w:r>
        <w:rPr>
          <w:rFonts w:ascii="Times New Roman" w:hAnsi="Times New Roman" w:cs="Times New Roman"/>
          <w:lang w:val="en-US"/>
        </w:rPr>
        <w:t xml:space="preserve"> </w:t>
      </w:r>
      <w:r w:rsidRPr="00DD1E36">
        <w:rPr>
          <w:rFonts w:ascii="Times New Roman" w:hAnsi="Times New Roman" w:cs="Times New Roman"/>
          <w:lang w:val="en-US"/>
        </w:rPr>
        <w:t xml:space="preserve">and allow for the comparison of </w:t>
      </w:r>
      <w:r w:rsidR="000F3DF0">
        <w:rPr>
          <w:rFonts w:ascii="Times New Roman" w:hAnsi="Times New Roman" w:cs="Times New Roman"/>
          <w:lang w:val="en-US"/>
        </w:rPr>
        <w:t>‘</w:t>
      </w:r>
      <w:r w:rsidRPr="00DD1E36">
        <w:rPr>
          <w:rFonts w:ascii="Times New Roman" w:hAnsi="Times New Roman" w:cs="Times New Roman"/>
          <w:lang w:val="en-US"/>
        </w:rPr>
        <w:t>high level information</w:t>
      </w:r>
      <w:r w:rsidR="000F3DF0">
        <w:rPr>
          <w:rFonts w:ascii="Times New Roman" w:hAnsi="Times New Roman" w:cs="Times New Roman"/>
          <w:lang w:val="en-US"/>
        </w:rPr>
        <w:t>’</w:t>
      </w:r>
      <w:r w:rsidRPr="00DD1E36">
        <w:rPr>
          <w:rFonts w:ascii="Times New Roman" w:hAnsi="Times New Roman" w:cs="Times New Roman"/>
          <w:lang w:val="en-US"/>
        </w:rPr>
        <w:t xml:space="preserve"> both </w:t>
      </w:r>
      <w:r w:rsidR="000F3DF0">
        <w:rPr>
          <w:rFonts w:ascii="Times New Roman" w:hAnsi="Times New Roman" w:cs="Times New Roman"/>
          <w:lang w:val="en-US"/>
        </w:rPr>
        <w:t>‘</w:t>
      </w:r>
      <w:r w:rsidRPr="00DD1E36">
        <w:rPr>
          <w:rFonts w:ascii="Times New Roman" w:hAnsi="Times New Roman" w:cs="Times New Roman"/>
          <w:lang w:val="en-US"/>
        </w:rPr>
        <w:t xml:space="preserve">across </w:t>
      </w:r>
      <w:r w:rsidR="0091232F">
        <w:rPr>
          <w:rFonts w:ascii="Times New Roman" w:hAnsi="Times New Roman" w:cs="Times New Roman"/>
          <w:lang w:val="en-US"/>
        </w:rPr>
        <w:t>organization</w:t>
      </w:r>
      <w:r w:rsidRPr="00DD1E36">
        <w:rPr>
          <w:rFonts w:ascii="Times New Roman" w:hAnsi="Times New Roman" w:cs="Times New Roman"/>
          <w:lang w:val="en-US"/>
        </w:rPr>
        <w:t>s and internationally</w:t>
      </w:r>
      <w:r w:rsidR="000F3DF0">
        <w:rPr>
          <w:rFonts w:ascii="Times New Roman" w:hAnsi="Times New Roman" w:cs="Times New Roman"/>
          <w:lang w:val="en-US"/>
        </w:rPr>
        <w:t>’</w:t>
      </w:r>
      <w:r w:rsidRPr="00DD1E36">
        <w:rPr>
          <w:rFonts w:ascii="Times New Roman" w:hAnsi="Times New Roman" w:cs="Times New Roman"/>
          <w:lang w:val="en-US"/>
        </w:rPr>
        <w:t xml:space="preserve">. Investors would be able to </w:t>
      </w:r>
      <w:r w:rsidR="000F3DF0">
        <w:rPr>
          <w:rFonts w:ascii="Times New Roman" w:hAnsi="Times New Roman" w:cs="Times New Roman"/>
          <w:lang w:val="en-US"/>
        </w:rPr>
        <w:t>‘</w:t>
      </w:r>
      <w:r w:rsidRPr="00DD1E36">
        <w:rPr>
          <w:rFonts w:ascii="Times New Roman" w:hAnsi="Times New Roman" w:cs="Times New Roman"/>
          <w:lang w:val="en-US"/>
        </w:rPr>
        <w:t>assess the short, medium and long term impact of [key] risks and opportunities across their investment portfolio</w:t>
      </w:r>
      <w:r w:rsidR="000F3DF0">
        <w:rPr>
          <w:rFonts w:ascii="Times New Roman" w:hAnsi="Times New Roman" w:cs="Times New Roman"/>
          <w:lang w:val="en-US"/>
        </w:rPr>
        <w:t>’</w:t>
      </w:r>
      <w:r w:rsidRPr="00DD1E36">
        <w:rPr>
          <w:rFonts w:ascii="Times New Roman" w:hAnsi="Times New Roman" w:cs="Times New Roman"/>
          <w:lang w:val="en-US"/>
        </w:rPr>
        <w:t xml:space="preserve"> and reduce their costs as fewer resources would be required for research. Ultimately,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would facilitate better decision</w:t>
      </w:r>
      <w:r w:rsidR="00E94381">
        <w:rPr>
          <w:rFonts w:ascii="Times New Roman" w:hAnsi="Times New Roman" w:cs="Times New Roman"/>
          <w:lang w:val="en-US"/>
        </w:rPr>
        <w:t>-</w:t>
      </w:r>
      <w:r w:rsidRPr="00DD1E36">
        <w:rPr>
          <w:rFonts w:ascii="Times New Roman" w:hAnsi="Times New Roman" w:cs="Times New Roman"/>
          <w:lang w:val="en-US"/>
        </w:rPr>
        <w:t xml:space="preserve">making in the form of </w:t>
      </w:r>
      <w:r w:rsidR="000F3DF0">
        <w:rPr>
          <w:rFonts w:ascii="Times New Roman" w:hAnsi="Times New Roman" w:cs="Times New Roman"/>
          <w:lang w:val="en-US"/>
        </w:rPr>
        <w:t>‘</w:t>
      </w:r>
      <w:r w:rsidRPr="00DD1E36">
        <w:rPr>
          <w:rFonts w:ascii="Times New Roman" w:hAnsi="Times New Roman" w:cs="Times New Roman"/>
          <w:lang w:val="en-US"/>
        </w:rPr>
        <w:t>[m]ore effective capital allocation decisions leading to better long-term investment returns</w:t>
      </w:r>
      <w:r w:rsidR="000F3DF0">
        <w:rPr>
          <w:rFonts w:ascii="Times New Roman" w:hAnsi="Times New Roman" w:cs="Times New Roman"/>
          <w:lang w:val="en-US"/>
        </w:rPr>
        <w:t>’</w:t>
      </w:r>
      <w:r w:rsidRPr="00DD1E36">
        <w:rPr>
          <w:rFonts w:ascii="Times New Roman" w:hAnsi="Times New Roman" w:cs="Times New Roman"/>
          <w:lang w:val="en-US"/>
        </w:rPr>
        <w:t xml:space="preserve">. </w:t>
      </w:r>
    </w:p>
    <w:p w14:paraId="337012D9" w14:textId="580AB468" w:rsidR="00422BEF" w:rsidRPr="00DD1E36" w:rsidRDefault="00422BEF" w:rsidP="00422BEF">
      <w:pPr>
        <w:spacing w:line="360" w:lineRule="auto"/>
        <w:ind w:firstLine="708"/>
        <w:jc w:val="both"/>
        <w:rPr>
          <w:rFonts w:ascii="Times New Roman" w:hAnsi="Times New Roman" w:cs="Times New Roman"/>
          <w:lang w:val="en-US"/>
        </w:rPr>
      </w:pPr>
      <w:r w:rsidRPr="00DD1E36">
        <w:rPr>
          <w:rFonts w:ascii="Times New Roman" w:hAnsi="Times New Roman" w:cs="Times New Roman"/>
          <w:lang w:val="en-US"/>
        </w:rPr>
        <w:t>Members of the</w:t>
      </w:r>
      <w:r w:rsidR="00733B49">
        <w:rPr>
          <w:rFonts w:ascii="Times New Roman" w:hAnsi="Times New Roman" w:cs="Times New Roman"/>
          <w:lang w:val="en-US"/>
        </w:rPr>
        <w:t xml:space="preserve"> </w:t>
      </w:r>
      <w:r w:rsidRPr="00DD1E36">
        <w:rPr>
          <w:rFonts w:ascii="Times New Roman" w:hAnsi="Times New Roman" w:cs="Times New Roman"/>
          <w:lang w:val="en-US"/>
        </w:rPr>
        <w:t>Investor Network were</w:t>
      </w:r>
      <w:r w:rsidR="005A09AF">
        <w:rPr>
          <w:rFonts w:ascii="Times New Roman" w:hAnsi="Times New Roman" w:cs="Times New Roman"/>
          <w:lang w:val="en-US"/>
        </w:rPr>
        <w:t xml:space="preserve"> asked</w:t>
      </w:r>
      <w:r w:rsidRPr="00DD1E36">
        <w:rPr>
          <w:rFonts w:ascii="Times New Roman" w:hAnsi="Times New Roman" w:cs="Times New Roman"/>
          <w:lang w:val="en-US"/>
        </w:rPr>
        <w:t xml:space="preserve"> to create momentum f</w:t>
      </w:r>
      <w:r w:rsidR="0082281F">
        <w:rPr>
          <w:rFonts w:ascii="Times New Roman" w:hAnsi="Times New Roman" w:cs="Times New Roman"/>
          <w:lang w:val="en-US"/>
        </w:rPr>
        <w:t xml:space="preserve">or </w:t>
      </w:r>
      <w:r w:rsidR="00121D10">
        <w:rPr>
          <w:rFonts w:ascii="Times New Roman" w:hAnsi="Times New Roman" w:cs="Times New Roman"/>
          <w:lang w:val="en-US"/>
        </w:rPr>
        <w:t>integrated reporting</w:t>
      </w:r>
      <w:r w:rsidR="0082281F">
        <w:rPr>
          <w:rFonts w:ascii="Times New Roman" w:hAnsi="Times New Roman" w:cs="Times New Roman"/>
          <w:lang w:val="en-US"/>
        </w:rPr>
        <w:t xml:space="preserve"> by publically advocating </w:t>
      </w:r>
      <w:r w:rsidRPr="00DD1E36">
        <w:rPr>
          <w:rFonts w:ascii="Times New Roman" w:hAnsi="Times New Roman" w:cs="Times New Roman"/>
          <w:lang w:val="en-US"/>
        </w:rPr>
        <w:t xml:space="preserve">its practice and </w:t>
      </w:r>
      <w:r>
        <w:rPr>
          <w:rFonts w:ascii="Times New Roman" w:hAnsi="Times New Roman" w:cs="Times New Roman"/>
          <w:lang w:val="en-US"/>
        </w:rPr>
        <w:t xml:space="preserve">by </w:t>
      </w:r>
      <w:r w:rsidR="00733B49" w:rsidRPr="00DD1E36">
        <w:rPr>
          <w:rFonts w:ascii="Times New Roman" w:hAnsi="Times New Roman" w:cs="Times New Roman"/>
          <w:lang w:val="en-US"/>
        </w:rPr>
        <w:t>adv</w:t>
      </w:r>
      <w:r w:rsidR="00733B49">
        <w:rPr>
          <w:rFonts w:ascii="Times New Roman" w:hAnsi="Times New Roman" w:cs="Times New Roman"/>
          <w:lang w:val="en-US"/>
        </w:rPr>
        <w:t>ising</w:t>
      </w:r>
      <w:r w:rsidRPr="00DD1E36">
        <w:rPr>
          <w:rFonts w:ascii="Times New Roman" w:hAnsi="Times New Roman" w:cs="Times New Roman"/>
          <w:lang w:val="en-US"/>
        </w:rPr>
        <w:t xml:space="preserve"> </w:t>
      </w:r>
      <w:r>
        <w:rPr>
          <w:rFonts w:ascii="Times New Roman" w:hAnsi="Times New Roman" w:cs="Times New Roman"/>
          <w:lang w:val="en-US"/>
        </w:rPr>
        <w:t xml:space="preserve">the IIRC </w:t>
      </w:r>
      <w:r w:rsidRPr="00DD1E36">
        <w:rPr>
          <w:rFonts w:ascii="Times New Roman" w:hAnsi="Times New Roman" w:cs="Times New Roman"/>
          <w:lang w:val="en-US"/>
        </w:rPr>
        <w:t xml:space="preserve">on how best to engage with the investor community in order to enable </w:t>
      </w:r>
      <w:r>
        <w:rPr>
          <w:rFonts w:ascii="Times New Roman" w:hAnsi="Times New Roman" w:cs="Times New Roman"/>
          <w:lang w:val="en-US"/>
        </w:rPr>
        <w:t xml:space="preserve">it </w:t>
      </w:r>
      <w:r w:rsidRPr="00DD1E36">
        <w:rPr>
          <w:rFonts w:ascii="Times New Roman" w:hAnsi="Times New Roman" w:cs="Times New Roman"/>
          <w:lang w:val="en-US"/>
        </w:rPr>
        <w:t>to develop and demonstrate investor demand</w:t>
      </w:r>
      <w:r w:rsidR="007D6649">
        <w:rPr>
          <w:rFonts w:ascii="Times New Roman" w:hAnsi="Times New Roman" w:cs="Times New Roman"/>
          <w:lang w:val="en-US"/>
        </w:rPr>
        <w:t>.</w:t>
      </w:r>
      <w:r w:rsidRPr="00DD1E36">
        <w:rPr>
          <w:rFonts w:ascii="Times New Roman" w:hAnsi="Times New Roman" w:cs="Times New Roman"/>
          <w:lang w:val="en-US"/>
        </w:rPr>
        <w:t xml:space="preserve"> </w:t>
      </w:r>
      <w:r w:rsidR="002E0811">
        <w:rPr>
          <w:rFonts w:ascii="Times New Roman" w:hAnsi="Times New Roman" w:cs="Times New Roman"/>
          <w:lang w:val="en-US"/>
        </w:rPr>
        <w:t>Essentially, the IIRC’s boundary work now required integrated reporting to be continually aligned with a focus on trustworthy, long-term investment decision-making</w:t>
      </w:r>
      <w:r w:rsidR="006D776E">
        <w:rPr>
          <w:rFonts w:ascii="Times New Roman" w:hAnsi="Times New Roman" w:cs="Times New Roman"/>
          <w:lang w:val="en-US"/>
        </w:rPr>
        <w:t>.  Indeed, a</w:t>
      </w:r>
      <w:r w:rsidRPr="00DD1E36">
        <w:rPr>
          <w:rFonts w:ascii="Times New Roman" w:hAnsi="Times New Roman" w:cs="Times New Roman"/>
          <w:lang w:val="en-US"/>
        </w:rPr>
        <w:t xml:space="preserve">s the </w:t>
      </w:r>
      <w:r w:rsidR="006D776E" w:rsidRPr="00DD1E36">
        <w:rPr>
          <w:rFonts w:ascii="Times New Roman" w:hAnsi="Times New Roman" w:cs="Times New Roman"/>
          <w:lang w:val="en-US"/>
        </w:rPr>
        <w:t xml:space="preserve">Investor </w:t>
      </w:r>
      <w:r w:rsidRPr="00DD1E36">
        <w:rPr>
          <w:rFonts w:ascii="Times New Roman" w:hAnsi="Times New Roman" w:cs="Times New Roman"/>
          <w:lang w:val="en-US"/>
        </w:rPr>
        <w:t xml:space="preserve">Network evolved, </w:t>
      </w:r>
      <w:proofErr w:type="spellStart"/>
      <w:r w:rsidRPr="00DD1E36">
        <w:rPr>
          <w:rFonts w:ascii="Times New Roman" w:hAnsi="Times New Roman" w:cs="Times New Roman"/>
          <w:lang w:val="en-US"/>
        </w:rPr>
        <w:t>Druckman’s</w:t>
      </w:r>
      <w:proofErr w:type="spellEnd"/>
      <w:r w:rsidRPr="00DD1E36">
        <w:rPr>
          <w:rFonts w:ascii="Times New Roman" w:hAnsi="Times New Roman" w:cs="Times New Roman"/>
          <w:lang w:val="en-US"/>
        </w:rPr>
        <w:t xml:space="preserve"> media contributions consistently connected this (long</w:t>
      </w:r>
      <w:r w:rsidR="00733B49">
        <w:rPr>
          <w:rFonts w:ascii="Times New Roman" w:hAnsi="Times New Roman" w:cs="Times New Roman"/>
          <w:lang w:val="en-US"/>
        </w:rPr>
        <w:t>-</w:t>
      </w:r>
      <w:r w:rsidRPr="00DD1E36">
        <w:rPr>
          <w:rFonts w:ascii="Times New Roman" w:hAnsi="Times New Roman" w:cs="Times New Roman"/>
          <w:lang w:val="en-US"/>
        </w:rPr>
        <w:t>term) investor focus</w:t>
      </w:r>
      <w:r>
        <w:rPr>
          <w:rFonts w:ascii="Times New Roman" w:hAnsi="Times New Roman" w:cs="Times New Roman"/>
          <w:lang w:val="en-US"/>
        </w:rPr>
        <w:t xml:space="preserve"> with</w:t>
      </w:r>
      <w:r w:rsidRPr="00DD1E36">
        <w:rPr>
          <w:rFonts w:ascii="Times New Roman" w:hAnsi="Times New Roman" w:cs="Times New Roman"/>
          <w:lang w:val="en-US"/>
        </w:rPr>
        <w:t xml:space="preserve"> broader societal concerns such as quests to combat market instability and distorted business decision</w:t>
      </w:r>
      <w:r w:rsidR="00536223">
        <w:rPr>
          <w:rFonts w:ascii="Times New Roman" w:hAnsi="Times New Roman" w:cs="Times New Roman"/>
          <w:lang w:val="en-US"/>
        </w:rPr>
        <w:t>-</w:t>
      </w:r>
      <w:r w:rsidRPr="00DD1E36">
        <w:rPr>
          <w:rFonts w:ascii="Times New Roman" w:hAnsi="Times New Roman" w:cs="Times New Roman"/>
          <w:lang w:val="en-US"/>
        </w:rPr>
        <w:t>making</w:t>
      </w:r>
      <w:r w:rsidR="009D55D3">
        <w:rPr>
          <w:rFonts w:ascii="Times New Roman" w:hAnsi="Times New Roman" w:cs="Times New Roman"/>
          <w:lang w:val="en-US"/>
        </w:rPr>
        <w:t>.</w:t>
      </w:r>
      <w:r w:rsidRPr="00DD1E36">
        <w:rPr>
          <w:rFonts w:ascii="Times New Roman" w:hAnsi="Times New Roman" w:cs="Times New Roman"/>
          <w:lang w:val="en-US"/>
        </w:rPr>
        <w:t xml:space="preserve">: </w:t>
      </w:r>
    </w:p>
    <w:p w14:paraId="313DACA2" w14:textId="56F06CC2" w:rsidR="0093545A" w:rsidRDefault="00422BEF" w:rsidP="00686181">
      <w:pPr>
        <w:spacing w:line="240" w:lineRule="auto"/>
        <w:ind w:left="708"/>
        <w:jc w:val="both"/>
        <w:rPr>
          <w:rFonts w:ascii="Times New Roman" w:hAnsi="Times New Roman" w:cs="Times New Roman"/>
          <w:lang w:val="en-US"/>
        </w:rPr>
      </w:pPr>
      <w:r w:rsidRPr="003E4079">
        <w:rPr>
          <w:rFonts w:ascii="Times New Roman" w:eastAsia="Times New Roman" w:hAnsi="Times New Roman" w:cs="Times New Roman"/>
          <w:sz w:val="20"/>
          <w:szCs w:val="20"/>
          <w:lang w:val="en" w:eastAsia="nl-NL"/>
        </w:rPr>
        <w:t xml:space="preserve">The benefits of IR for businesses are plentiful – it focuses the </w:t>
      </w:r>
      <w:r w:rsidR="0091232F">
        <w:rPr>
          <w:rFonts w:ascii="Times New Roman" w:eastAsia="Times New Roman" w:hAnsi="Times New Roman" w:cs="Times New Roman"/>
          <w:sz w:val="20"/>
          <w:szCs w:val="20"/>
          <w:lang w:val="en" w:eastAsia="nl-NL"/>
        </w:rPr>
        <w:t>organization</w:t>
      </w:r>
      <w:r w:rsidRPr="003E4079">
        <w:rPr>
          <w:rFonts w:ascii="Times New Roman" w:eastAsia="Times New Roman" w:hAnsi="Times New Roman" w:cs="Times New Roman"/>
          <w:sz w:val="20"/>
          <w:szCs w:val="20"/>
          <w:lang w:val="en" w:eastAsia="nl-NL"/>
        </w:rPr>
        <w:t xml:space="preserve"> on its future orientation and creating value through the business model. </w:t>
      </w:r>
      <w:r w:rsidRPr="005E7227">
        <w:rPr>
          <w:rFonts w:ascii="Times New Roman" w:eastAsia="Times New Roman" w:hAnsi="Times New Roman" w:cs="Times New Roman"/>
          <w:sz w:val="20"/>
          <w:szCs w:val="20"/>
          <w:lang w:val="en" w:eastAsia="nl-NL"/>
        </w:rPr>
        <w:t>However, the main audience for IR is the investor</w:t>
      </w:r>
      <w:r w:rsidRPr="003E4079">
        <w:rPr>
          <w:rFonts w:ascii="Times New Roman" w:eastAsia="Times New Roman" w:hAnsi="Times New Roman" w:cs="Times New Roman"/>
          <w:sz w:val="20"/>
          <w:szCs w:val="20"/>
          <w:lang w:val="en" w:eastAsia="nl-NL"/>
        </w:rPr>
        <w:t xml:space="preserve">. In recent times, investor decision-making has become short-term and fast-paced. The average time that US institutional investors hold stock in a particular company has fallen from seven years to seven months in the space of a generation. This has led to market instability and has a distorting effect on business decision-making … </w:t>
      </w:r>
      <w:r w:rsidRPr="005E7227">
        <w:rPr>
          <w:rFonts w:ascii="Times New Roman" w:eastAsia="Times New Roman" w:hAnsi="Times New Roman" w:cs="Times New Roman"/>
          <w:sz w:val="20"/>
          <w:szCs w:val="20"/>
          <w:lang w:val="en" w:eastAsia="nl-NL"/>
        </w:rPr>
        <w:t xml:space="preserve">The instigation of IR would be a powerful tool for investors and would install a </w:t>
      </w:r>
      <w:r w:rsidRPr="005E7227">
        <w:rPr>
          <w:rFonts w:ascii="Times New Roman" w:eastAsia="Times New Roman" w:hAnsi="Times New Roman" w:cs="Times New Roman"/>
          <w:sz w:val="20"/>
          <w:szCs w:val="20"/>
          <w:lang w:val="en" w:eastAsia="nl-NL"/>
        </w:rPr>
        <w:lastRenderedPageBreak/>
        <w:t>culture of transparency, reliability and stability so that investors can begin to trust their money to longer term investments</w:t>
      </w:r>
      <w:r w:rsidR="007F2DB1" w:rsidRPr="003E4079">
        <w:rPr>
          <w:rFonts w:ascii="Times New Roman" w:eastAsia="Times New Roman" w:hAnsi="Times New Roman" w:cs="Times New Roman"/>
          <w:sz w:val="20"/>
          <w:szCs w:val="20"/>
          <w:lang w:val="en" w:eastAsia="nl-NL"/>
        </w:rPr>
        <w:t>.</w:t>
      </w:r>
      <w:r w:rsidR="00972185" w:rsidRPr="003E4079">
        <w:rPr>
          <w:rStyle w:val="FootnoteReference"/>
          <w:rFonts w:ascii="Times New Roman" w:eastAsia="Times New Roman" w:hAnsi="Times New Roman" w:cs="Times New Roman"/>
          <w:sz w:val="20"/>
          <w:szCs w:val="20"/>
          <w:lang w:val="en" w:eastAsia="nl-NL"/>
        </w:rPr>
        <w:footnoteReference w:id="30"/>
      </w:r>
    </w:p>
    <w:p w14:paraId="08DB4271" w14:textId="0FF19B5E" w:rsidR="00CF3A6F" w:rsidRPr="00686181" w:rsidRDefault="00422BEF" w:rsidP="00686181">
      <w:pPr>
        <w:pStyle w:val="FootnoteText"/>
        <w:spacing w:line="360" w:lineRule="auto"/>
        <w:ind w:firstLine="708"/>
        <w:jc w:val="both"/>
        <w:rPr>
          <w:sz w:val="22"/>
          <w:szCs w:val="22"/>
          <w:lang w:val="en-US"/>
        </w:rPr>
      </w:pPr>
      <w:r w:rsidRPr="00686181">
        <w:rPr>
          <w:rFonts w:ascii="Times New Roman" w:hAnsi="Times New Roman" w:cs="Times New Roman"/>
          <w:sz w:val="22"/>
          <w:szCs w:val="22"/>
          <w:lang w:val="en-US"/>
        </w:rPr>
        <w:t xml:space="preserve">There was, however, a continuing level of mixed evidence of the extent of </w:t>
      </w:r>
      <w:r w:rsidR="0093545A" w:rsidRPr="00686181">
        <w:rPr>
          <w:rFonts w:ascii="Times New Roman" w:hAnsi="Times New Roman" w:cs="Times New Roman"/>
          <w:sz w:val="22"/>
          <w:szCs w:val="22"/>
          <w:lang w:val="en-US"/>
        </w:rPr>
        <w:t xml:space="preserve">substantive </w:t>
      </w:r>
      <w:r w:rsidRPr="00686181">
        <w:rPr>
          <w:rFonts w:ascii="Times New Roman" w:hAnsi="Times New Roman" w:cs="Times New Roman"/>
          <w:sz w:val="22"/>
          <w:szCs w:val="22"/>
          <w:lang w:val="en-US"/>
        </w:rPr>
        <w:t xml:space="preserve">investor interest in the </w:t>
      </w:r>
      <w:r w:rsidR="00B6654F">
        <w:rPr>
          <w:rFonts w:ascii="Times New Roman" w:hAnsi="Times New Roman" w:cs="Times New Roman"/>
          <w:sz w:val="22"/>
          <w:szCs w:val="22"/>
          <w:lang w:val="en-US"/>
        </w:rPr>
        <w:t xml:space="preserve">‘idea’ of </w:t>
      </w:r>
      <w:r w:rsidR="00121D10" w:rsidRPr="00686181">
        <w:rPr>
          <w:rFonts w:ascii="Times New Roman" w:hAnsi="Times New Roman" w:cs="Times New Roman"/>
          <w:sz w:val="22"/>
          <w:szCs w:val="22"/>
          <w:lang w:val="en-US"/>
        </w:rPr>
        <w:t>integrated reporting</w:t>
      </w:r>
      <w:r w:rsidRPr="00686181">
        <w:rPr>
          <w:rFonts w:ascii="Times New Roman" w:hAnsi="Times New Roman" w:cs="Times New Roman"/>
          <w:sz w:val="22"/>
          <w:szCs w:val="22"/>
          <w:lang w:val="en-US"/>
        </w:rPr>
        <w:t xml:space="preserve">. Even </w:t>
      </w:r>
      <w:r w:rsidR="0093545A" w:rsidRPr="00686181">
        <w:rPr>
          <w:rFonts w:ascii="Times New Roman" w:hAnsi="Times New Roman" w:cs="Times New Roman"/>
          <w:sz w:val="22"/>
          <w:szCs w:val="22"/>
          <w:lang w:val="en-US"/>
        </w:rPr>
        <w:t xml:space="preserve">members of </w:t>
      </w:r>
      <w:r w:rsidRPr="00686181">
        <w:rPr>
          <w:rFonts w:ascii="Times New Roman" w:hAnsi="Times New Roman" w:cs="Times New Roman"/>
          <w:sz w:val="22"/>
          <w:szCs w:val="22"/>
          <w:lang w:val="en-US"/>
        </w:rPr>
        <w:t>the Investor Network seemed initially un</w:t>
      </w:r>
      <w:r w:rsidR="00347699">
        <w:rPr>
          <w:rFonts w:ascii="Times New Roman" w:hAnsi="Times New Roman" w:cs="Times New Roman"/>
          <w:sz w:val="22"/>
          <w:szCs w:val="22"/>
          <w:lang w:val="en-US"/>
        </w:rPr>
        <w:t>sure</w:t>
      </w:r>
      <w:r w:rsidR="00BB21C4" w:rsidRPr="00686181">
        <w:rPr>
          <w:rFonts w:ascii="Times New Roman" w:hAnsi="Times New Roman" w:cs="Times New Roman"/>
          <w:sz w:val="22"/>
          <w:szCs w:val="22"/>
          <w:lang w:val="en-US"/>
        </w:rPr>
        <w:t>, evidence</w:t>
      </w:r>
      <w:r w:rsidR="00756DC7" w:rsidRPr="00686181">
        <w:rPr>
          <w:rFonts w:ascii="Times New Roman" w:hAnsi="Times New Roman" w:cs="Times New Roman"/>
          <w:sz w:val="22"/>
          <w:szCs w:val="22"/>
          <w:lang w:val="en-US"/>
        </w:rPr>
        <w:t>d</w:t>
      </w:r>
      <w:r w:rsidR="00BB21C4" w:rsidRPr="00686181">
        <w:rPr>
          <w:rFonts w:ascii="Times New Roman" w:hAnsi="Times New Roman" w:cs="Times New Roman"/>
          <w:sz w:val="22"/>
          <w:szCs w:val="22"/>
          <w:lang w:val="en-US"/>
        </w:rPr>
        <w:t xml:space="preserve"> by </w:t>
      </w:r>
      <w:r w:rsidR="0093545A" w:rsidRPr="00686181">
        <w:rPr>
          <w:rFonts w:ascii="Times New Roman" w:hAnsi="Times New Roman" w:cs="Times New Roman"/>
          <w:sz w:val="22"/>
          <w:szCs w:val="22"/>
          <w:lang w:val="en-US"/>
        </w:rPr>
        <w:t xml:space="preserve">a </w:t>
      </w:r>
      <w:r w:rsidRPr="00686181">
        <w:rPr>
          <w:rFonts w:ascii="Times New Roman" w:hAnsi="Times New Roman" w:cs="Times New Roman"/>
          <w:sz w:val="22"/>
          <w:szCs w:val="22"/>
          <w:lang w:val="en-US"/>
        </w:rPr>
        <w:t xml:space="preserve">critical, albeit constructive, review </w:t>
      </w:r>
      <w:r w:rsidR="006D776E">
        <w:rPr>
          <w:rFonts w:ascii="Times New Roman" w:hAnsi="Times New Roman" w:cs="Times New Roman"/>
          <w:sz w:val="22"/>
          <w:szCs w:val="22"/>
          <w:lang w:val="en-US"/>
        </w:rPr>
        <w:t xml:space="preserve">it had done </w:t>
      </w:r>
      <w:r w:rsidRPr="00686181">
        <w:rPr>
          <w:rFonts w:ascii="Times New Roman" w:hAnsi="Times New Roman" w:cs="Times New Roman"/>
          <w:sz w:val="22"/>
          <w:szCs w:val="22"/>
          <w:lang w:val="en-US"/>
        </w:rPr>
        <w:t xml:space="preserve">of reporting by 19 businesses </w:t>
      </w:r>
      <w:r w:rsidR="00CA3D4A" w:rsidRPr="00686181">
        <w:rPr>
          <w:rFonts w:ascii="Times New Roman" w:hAnsi="Times New Roman" w:cs="Times New Roman"/>
          <w:sz w:val="22"/>
          <w:szCs w:val="22"/>
          <w:lang w:val="en-US"/>
        </w:rPr>
        <w:t xml:space="preserve">who had commenced with </w:t>
      </w:r>
      <w:r w:rsidR="00121D10" w:rsidRPr="00686181">
        <w:rPr>
          <w:rFonts w:ascii="Times New Roman" w:hAnsi="Times New Roman" w:cs="Times New Roman"/>
          <w:sz w:val="22"/>
          <w:szCs w:val="22"/>
          <w:lang w:val="en-US"/>
        </w:rPr>
        <w:t>integrated reporting</w:t>
      </w:r>
      <w:r w:rsidR="00CA3D4A" w:rsidRPr="00686181">
        <w:rPr>
          <w:rFonts w:ascii="Times New Roman" w:hAnsi="Times New Roman" w:cs="Times New Roman"/>
          <w:sz w:val="22"/>
          <w:szCs w:val="22"/>
          <w:lang w:val="en-US"/>
        </w:rPr>
        <w:t xml:space="preserve"> </w:t>
      </w:r>
      <w:r w:rsidRPr="00686181">
        <w:rPr>
          <w:rFonts w:ascii="Times New Roman" w:hAnsi="Times New Roman" w:cs="Times New Roman"/>
          <w:sz w:val="22"/>
          <w:szCs w:val="22"/>
          <w:lang w:val="en-US"/>
        </w:rPr>
        <w:t xml:space="preserve">as part of the </w:t>
      </w:r>
      <w:r w:rsidR="005E7227" w:rsidRPr="00686181">
        <w:rPr>
          <w:rFonts w:ascii="Times New Roman" w:hAnsi="Times New Roman" w:cs="Times New Roman"/>
          <w:sz w:val="22"/>
          <w:szCs w:val="22"/>
          <w:lang w:val="en-US"/>
        </w:rPr>
        <w:t xml:space="preserve">Pilot </w:t>
      </w:r>
      <w:proofErr w:type="spellStart"/>
      <w:r w:rsidR="005E7227" w:rsidRPr="00686181">
        <w:rPr>
          <w:rFonts w:ascii="Times New Roman" w:hAnsi="Times New Roman" w:cs="Times New Roman"/>
          <w:sz w:val="22"/>
          <w:szCs w:val="22"/>
          <w:lang w:val="en-US"/>
        </w:rPr>
        <w:t>Programme</w:t>
      </w:r>
      <w:proofErr w:type="spellEnd"/>
      <w:r w:rsidR="001257AE" w:rsidRPr="00686181">
        <w:rPr>
          <w:rStyle w:val="FootnoteReference"/>
          <w:rFonts w:ascii="Times New Roman" w:hAnsi="Times New Roman" w:cs="Times New Roman"/>
          <w:sz w:val="22"/>
          <w:szCs w:val="22"/>
          <w:lang w:val="en-US"/>
        </w:rPr>
        <w:footnoteReference w:id="31"/>
      </w:r>
      <w:r w:rsidR="005E7227" w:rsidRPr="00686181">
        <w:rPr>
          <w:rFonts w:ascii="Times New Roman" w:hAnsi="Times New Roman" w:cs="Times New Roman"/>
          <w:sz w:val="22"/>
          <w:szCs w:val="22"/>
          <w:lang w:val="en-US"/>
        </w:rPr>
        <w:t>.</w:t>
      </w:r>
      <w:r w:rsidR="00BB21C4" w:rsidRPr="00686181">
        <w:rPr>
          <w:rFonts w:ascii="Times New Roman" w:hAnsi="Times New Roman" w:cs="Times New Roman"/>
          <w:sz w:val="22"/>
          <w:szCs w:val="22"/>
          <w:lang w:val="en-US"/>
        </w:rPr>
        <w:t xml:space="preserve"> </w:t>
      </w:r>
      <w:r w:rsidR="00CF3A6F" w:rsidRPr="00686181">
        <w:rPr>
          <w:rFonts w:ascii="Times New Roman" w:hAnsi="Times New Roman" w:cs="Times New Roman"/>
          <w:sz w:val="22"/>
          <w:szCs w:val="22"/>
          <w:lang w:val="en-US"/>
        </w:rPr>
        <w:t xml:space="preserve">Some of the key criticisms </w:t>
      </w:r>
      <w:r w:rsidR="003D1972">
        <w:rPr>
          <w:rFonts w:ascii="Times New Roman" w:hAnsi="Times New Roman" w:cs="Times New Roman"/>
          <w:sz w:val="22"/>
          <w:szCs w:val="22"/>
          <w:lang w:val="en-US"/>
        </w:rPr>
        <w:t>highlighted</w:t>
      </w:r>
      <w:r w:rsidR="006D5CAC">
        <w:rPr>
          <w:rFonts w:ascii="Times New Roman" w:hAnsi="Times New Roman" w:cs="Times New Roman"/>
          <w:sz w:val="22"/>
          <w:szCs w:val="22"/>
          <w:lang w:val="en-US"/>
        </w:rPr>
        <w:t xml:space="preserve"> included:</w:t>
      </w:r>
      <w:r w:rsidR="003D1972">
        <w:rPr>
          <w:rFonts w:ascii="Times New Roman" w:hAnsi="Times New Roman" w:cs="Times New Roman"/>
          <w:sz w:val="22"/>
          <w:szCs w:val="22"/>
          <w:lang w:val="en-US"/>
        </w:rPr>
        <w:t xml:space="preserve"> </w:t>
      </w:r>
      <w:r w:rsidR="00CF3A6F" w:rsidRPr="00686181">
        <w:rPr>
          <w:rFonts w:ascii="Times New Roman" w:hAnsi="Times New Roman" w:cs="Times New Roman"/>
          <w:sz w:val="22"/>
          <w:szCs w:val="22"/>
          <w:lang w:val="en-US"/>
        </w:rPr>
        <w:t xml:space="preserve">the poor connectivity of information in integrated reports; the illogical flow of information; insufficient governance information; and the lack of materiality assessment processes. </w:t>
      </w:r>
    </w:p>
    <w:p w14:paraId="12BB0034" w14:textId="42E224C3" w:rsidR="00422BEF" w:rsidRPr="00DD1E36" w:rsidRDefault="00422BEF" w:rsidP="00BB21C4">
      <w:pPr>
        <w:spacing w:line="360" w:lineRule="auto"/>
        <w:ind w:firstLine="708"/>
        <w:jc w:val="both"/>
        <w:rPr>
          <w:rFonts w:ascii="Times New Roman" w:hAnsi="Times New Roman" w:cs="Times New Roman"/>
          <w:lang w:val="en-US"/>
        </w:rPr>
      </w:pPr>
      <w:r w:rsidRPr="00DD1E36">
        <w:rPr>
          <w:rFonts w:ascii="Times New Roman" w:hAnsi="Times New Roman" w:cs="Times New Roman"/>
          <w:lang w:val="en-US"/>
        </w:rPr>
        <w:t>Despite th</w:t>
      </w:r>
      <w:r w:rsidR="00347699">
        <w:rPr>
          <w:rFonts w:ascii="Times New Roman" w:hAnsi="Times New Roman" w:cs="Times New Roman"/>
          <w:lang w:val="en-US"/>
        </w:rPr>
        <w:t>e</w:t>
      </w:r>
      <w:r w:rsidR="006D5CAC">
        <w:rPr>
          <w:rFonts w:ascii="Times New Roman" w:hAnsi="Times New Roman" w:cs="Times New Roman"/>
          <w:lang w:val="en-US"/>
        </w:rPr>
        <w:t>se</w:t>
      </w:r>
      <w:r w:rsidRPr="00DD1E36">
        <w:rPr>
          <w:rFonts w:ascii="Times New Roman" w:hAnsi="Times New Roman" w:cs="Times New Roman"/>
          <w:lang w:val="en-US"/>
        </w:rPr>
        <w:t xml:space="preserve"> critic</w:t>
      </w:r>
      <w:r w:rsidR="002D5182">
        <w:rPr>
          <w:rFonts w:ascii="Times New Roman" w:hAnsi="Times New Roman" w:cs="Times New Roman"/>
          <w:lang w:val="en-US"/>
        </w:rPr>
        <w:t>ism</w:t>
      </w:r>
      <w:r w:rsidR="00347699">
        <w:rPr>
          <w:rFonts w:ascii="Times New Roman" w:hAnsi="Times New Roman" w:cs="Times New Roman"/>
          <w:lang w:val="en-US"/>
        </w:rPr>
        <w:t>s</w:t>
      </w:r>
      <w:r w:rsidR="00BB21C4">
        <w:rPr>
          <w:rFonts w:ascii="Times New Roman" w:hAnsi="Times New Roman" w:cs="Times New Roman"/>
          <w:lang w:val="en-US"/>
        </w:rPr>
        <w:t>, the investment community appeared</w:t>
      </w:r>
      <w:r w:rsidRPr="00DD1E36">
        <w:rPr>
          <w:rFonts w:ascii="Times New Roman" w:hAnsi="Times New Roman" w:cs="Times New Roman"/>
          <w:lang w:val="en-US"/>
        </w:rPr>
        <w:t xml:space="preserve"> open to the </w:t>
      </w:r>
      <w:r w:rsidRPr="004158E0">
        <w:rPr>
          <w:rFonts w:ascii="Times New Roman" w:hAnsi="Times New Roman" w:cs="Times New Roman"/>
          <w:i/>
          <w:lang w:val="en-US"/>
        </w:rPr>
        <w:t>potential</w:t>
      </w:r>
      <w:r>
        <w:rPr>
          <w:rFonts w:ascii="Times New Roman" w:hAnsi="Times New Roman" w:cs="Times New Roman"/>
          <w:lang w:val="en-US"/>
        </w:rPr>
        <w:t xml:space="preserve"> of</w:t>
      </w:r>
      <w:r w:rsidRPr="00DD1E36">
        <w:rPr>
          <w:rFonts w:ascii="Times New Roman" w:hAnsi="Times New Roman" w:cs="Times New Roman"/>
          <w:lang w:val="en-US"/>
        </w:rPr>
        <w:t xml:space="preserve"> </w:t>
      </w:r>
      <w:r>
        <w:rPr>
          <w:rFonts w:ascii="Times New Roman" w:hAnsi="Times New Roman" w:cs="Times New Roman"/>
          <w:lang w:val="en-US"/>
        </w:rPr>
        <w:t xml:space="preserve">the </w:t>
      </w:r>
      <w:r w:rsidR="00B6654F">
        <w:rPr>
          <w:rFonts w:ascii="Times New Roman" w:hAnsi="Times New Roman" w:cs="Times New Roman"/>
          <w:lang w:val="en-US"/>
        </w:rPr>
        <w:t>‘</w:t>
      </w:r>
      <w:r w:rsidR="006D776E">
        <w:rPr>
          <w:rFonts w:ascii="Times New Roman" w:hAnsi="Times New Roman" w:cs="Times New Roman"/>
          <w:lang w:val="en-US"/>
        </w:rPr>
        <w:t>idea</w:t>
      </w:r>
      <w:r w:rsidR="00B6654F">
        <w:rPr>
          <w:rFonts w:ascii="Times New Roman" w:hAnsi="Times New Roman" w:cs="Times New Roman"/>
          <w:lang w:val="en-US"/>
        </w:rPr>
        <w:t>’</w:t>
      </w:r>
      <w:r w:rsidR="006D776E">
        <w:rPr>
          <w:rFonts w:ascii="Times New Roman" w:hAnsi="Times New Roman" w:cs="Times New Roman"/>
          <w:lang w:val="en-US"/>
        </w:rPr>
        <w:t xml:space="preserve"> of </w:t>
      </w:r>
      <w:r w:rsidR="00121D10">
        <w:rPr>
          <w:rFonts w:ascii="Times New Roman" w:hAnsi="Times New Roman" w:cs="Times New Roman"/>
          <w:lang w:val="en-US"/>
        </w:rPr>
        <w:t>integrated reporting</w:t>
      </w:r>
      <w:r w:rsidRPr="00DD1E36">
        <w:rPr>
          <w:rFonts w:ascii="Times New Roman" w:hAnsi="Times New Roman" w:cs="Times New Roman"/>
          <w:lang w:val="en-US"/>
        </w:rPr>
        <w:t>. For example, an ACCA survey of 300 Irish and UK investors</w:t>
      </w:r>
      <w:r w:rsidR="009509CA">
        <w:rPr>
          <w:rFonts w:ascii="Times New Roman" w:hAnsi="Times New Roman" w:cs="Times New Roman"/>
          <w:lang w:val="en-US"/>
        </w:rPr>
        <w:t xml:space="preserve"> published in June 2013</w:t>
      </w:r>
      <w:r w:rsidRPr="00DD1E36">
        <w:rPr>
          <w:rFonts w:ascii="Times New Roman" w:hAnsi="Times New Roman" w:cs="Times New Roman"/>
          <w:lang w:val="en-US"/>
        </w:rPr>
        <w:t xml:space="preserve"> found that 90 per cent of those surveyed felt that </w:t>
      </w:r>
      <w:r w:rsidR="000F3DF0">
        <w:rPr>
          <w:rFonts w:ascii="Times New Roman" w:hAnsi="Times New Roman" w:cs="Times New Roman"/>
          <w:lang w:val="en-US"/>
        </w:rPr>
        <w:t>‘</w:t>
      </w:r>
      <w:r w:rsidRPr="00DD1E36">
        <w:rPr>
          <w:rFonts w:ascii="Times New Roman" w:hAnsi="Times New Roman" w:cs="Times New Roman"/>
          <w:lang w:val="en-US"/>
        </w:rPr>
        <w:t xml:space="preserve">it would be valuable for companies to combine financial and non-financial information into an </w:t>
      </w:r>
      <w:r>
        <w:rPr>
          <w:rFonts w:ascii="Times New Roman" w:hAnsi="Times New Roman" w:cs="Times New Roman"/>
          <w:lang w:val="en-US"/>
        </w:rPr>
        <w:t>Integrated Reporting</w:t>
      </w:r>
      <w:r w:rsidRPr="00DD1E36">
        <w:rPr>
          <w:rFonts w:ascii="Times New Roman" w:hAnsi="Times New Roman" w:cs="Times New Roman"/>
          <w:lang w:val="en-US"/>
        </w:rPr>
        <w:t xml:space="preserve"> model</w:t>
      </w:r>
      <w:r w:rsidR="000F3DF0">
        <w:rPr>
          <w:rFonts w:ascii="Times New Roman" w:hAnsi="Times New Roman" w:cs="Times New Roman"/>
          <w:lang w:val="en-US"/>
        </w:rPr>
        <w:t>’</w:t>
      </w:r>
      <w:r w:rsidR="00A004FC">
        <w:rPr>
          <w:rFonts w:ascii="Times New Roman" w:hAnsi="Times New Roman" w:cs="Times New Roman"/>
          <w:lang w:val="en-US"/>
        </w:rPr>
        <w:t xml:space="preserve"> (ACCA, 2013</w:t>
      </w:r>
      <w:r w:rsidR="009509CA">
        <w:rPr>
          <w:rFonts w:ascii="Times New Roman" w:hAnsi="Times New Roman" w:cs="Times New Roman"/>
          <w:lang w:val="en-US"/>
        </w:rPr>
        <w:t xml:space="preserve">: </w:t>
      </w:r>
      <w:r w:rsidRPr="00DD1E36">
        <w:rPr>
          <w:rFonts w:ascii="Times New Roman" w:hAnsi="Times New Roman" w:cs="Times New Roman"/>
          <w:lang w:val="en-US"/>
        </w:rPr>
        <w:t xml:space="preserve">20). However, what </w:t>
      </w:r>
      <w:r w:rsidR="00121D10">
        <w:rPr>
          <w:rFonts w:ascii="Times New Roman" w:hAnsi="Times New Roman" w:cs="Times New Roman"/>
          <w:lang w:val="en-US"/>
        </w:rPr>
        <w:t>integrated reporting</w:t>
      </w:r>
      <w:r w:rsidRPr="00DD1E36">
        <w:rPr>
          <w:rFonts w:ascii="Times New Roman" w:hAnsi="Times New Roman" w:cs="Times New Roman"/>
          <w:lang w:val="en-US"/>
        </w:rPr>
        <w:t xml:space="preserve"> would look like remained a mystery for many respondents, with 43% expressing concern that it would be too complex and 39% unsure as to what it was meant to achieve. As one respondent to the survey stated: </w:t>
      </w:r>
    </w:p>
    <w:p w14:paraId="2B03754D" w14:textId="231E9286" w:rsidR="00422BEF" w:rsidRPr="00DD1E36" w:rsidRDefault="00422BEF" w:rsidP="00422BEF">
      <w:pPr>
        <w:spacing w:line="240" w:lineRule="auto"/>
        <w:ind w:left="708"/>
        <w:jc w:val="both"/>
        <w:rPr>
          <w:rFonts w:ascii="Times New Roman" w:hAnsi="Times New Roman" w:cs="Times New Roman"/>
          <w:sz w:val="20"/>
          <w:szCs w:val="20"/>
          <w:lang w:val="en-US"/>
        </w:rPr>
      </w:pPr>
      <w:r w:rsidRPr="00DD1E36">
        <w:rPr>
          <w:rFonts w:ascii="Times New Roman" w:hAnsi="Times New Roman" w:cs="Times New Roman"/>
          <w:sz w:val="20"/>
          <w:szCs w:val="20"/>
          <w:lang w:val="en-US"/>
        </w:rPr>
        <w:t>I think everybody agrees that [</w:t>
      </w:r>
      <w:r w:rsidR="00121D10">
        <w:rPr>
          <w:rFonts w:ascii="Times New Roman" w:hAnsi="Times New Roman" w:cs="Times New Roman"/>
          <w:sz w:val="20"/>
          <w:szCs w:val="20"/>
          <w:lang w:val="en-US"/>
        </w:rPr>
        <w:t>integrated reporting</w:t>
      </w:r>
      <w:r w:rsidRPr="00DD1E36">
        <w:rPr>
          <w:rFonts w:ascii="Times New Roman" w:hAnsi="Times New Roman" w:cs="Times New Roman"/>
          <w:sz w:val="20"/>
          <w:szCs w:val="20"/>
          <w:lang w:val="en-US"/>
        </w:rPr>
        <w:t>] would aid the creation of an overall picture of the business and its prospects …[b]</w:t>
      </w:r>
      <w:proofErr w:type="spellStart"/>
      <w:r w:rsidRPr="00DD1E36">
        <w:rPr>
          <w:rFonts w:ascii="Times New Roman" w:hAnsi="Times New Roman" w:cs="Times New Roman"/>
          <w:sz w:val="20"/>
          <w:szCs w:val="20"/>
          <w:lang w:val="en-US"/>
        </w:rPr>
        <w:t>ut</w:t>
      </w:r>
      <w:proofErr w:type="spellEnd"/>
      <w:r w:rsidRPr="00DD1E36">
        <w:rPr>
          <w:rFonts w:ascii="Times New Roman" w:hAnsi="Times New Roman" w:cs="Times New Roman"/>
          <w:sz w:val="20"/>
          <w:szCs w:val="20"/>
          <w:lang w:val="en-US"/>
        </w:rPr>
        <w:t xml:space="preserve"> in practical terms there is much less consensus in terms of what we actually mean, what it would look like, how different it would be and how</w:t>
      </w:r>
      <w:r w:rsidR="009509CA">
        <w:rPr>
          <w:rFonts w:ascii="Times New Roman" w:hAnsi="Times New Roman" w:cs="Times New Roman"/>
          <w:sz w:val="20"/>
          <w:szCs w:val="20"/>
          <w:lang w:val="en-US"/>
        </w:rPr>
        <w:t xml:space="preserve"> it would be better (ACCA, 2013: </w:t>
      </w:r>
      <w:r w:rsidRPr="00DD1E36">
        <w:rPr>
          <w:rFonts w:ascii="Times New Roman" w:hAnsi="Times New Roman" w:cs="Times New Roman"/>
          <w:sz w:val="20"/>
          <w:szCs w:val="20"/>
          <w:lang w:val="en-US"/>
        </w:rPr>
        <w:t>21).</w:t>
      </w:r>
    </w:p>
    <w:p w14:paraId="4EC07FCA" w14:textId="77777777" w:rsidR="00422BEF" w:rsidRPr="00DD1E36" w:rsidRDefault="00422BEF" w:rsidP="00422BEF">
      <w:pPr>
        <w:autoSpaceDE w:val="0"/>
        <w:autoSpaceDN w:val="0"/>
        <w:adjustRightInd w:val="0"/>
        <w:spacing w:after="0" w:line="360" w:lineRule="auto"/>
        <w:jc w:val="both"/>
        <w:rPr>
          <w:rFonts w:ascii="Times New Roman" w:hAnsi="Times New Roman" w:cs="Times New Roman"/>
          <w:lang w:val="en-US"/>
        </w:rPr>
      </w:pPr>
    </w:p>
    <w:p w14:paraId="078DEA23" w14:textId="489DF2F8" w:rsidR="00F470B4" w:rsidRDefault="00422BEF" w:rsidP="00422BEF">
      <w:pPr>
        <w:autoSpaceDE w:val="0"/>
        <w:autoSpaceDN w:val="0"/>
        <w:adjustRightInd w:val="0"/>
        <w:spacing w:after="0" w:line="360" w:lineRule="auto"/>
        <w:ind w:firstLine="708"/>
        <w:jc w:val="both"/>
        <w:rPr>
          <w:rFonts w:ascii="Times New Roman" w:hAnsi="Times New Roman" w:cs="Times New Roman"/>
          <w:color w:val="000000"/>
          <w:lang w:val="en-US"/>
        </w:rPr>
      </w:pPr>
      <w:r w:rsidRPr="00DD1E36">
        <w:rPr>
          <w:rFonts w:ascii="Times New Roman" w:hAnsi="Times New Roman" w:cs="Times New Roman"/>
          <w:lang w:val="en-US"/>
        </w:rPr>
        <w:t xml:space="preserve">While the Investor Network sought to create and stimulate </w:t>
      </w:r>
      <w:r w:rsidR="007402D4">
        <w:rPr>
          <w:rFonts w:ascii="Times New Roman" w:hAnsi="Times New Roman" w:cs="Times New Roman"/>
          <w:lang w:val="en-US"/>
        </w:rPr>
        <w:t xml:space="preserve">mainstream </w:t>
      </w:r>
      <w:r>
        <w:rPr>
          <w:rFonts w:ascii="Times New Roman" w:hAnsi="Times New Roman" w:cs="Times New Roman"/>
          <w:lang w:val="en-US"/>
        </w:rPr>
        <w:t xml:space="preserve">investor interest in </w:t>
      </w:r>
      <w:r w:rsidR="00121D10">
        <w:rPr>
          <w:rFonts w:ascii="Times New Roman" w:hAnsi="Times New Roman" w:cs="Times New Roman"/>
          <w:lang w:val="en-US"/>
        </w:rPr>
        <w:t>integrated reporting</w:t>
      </w:r>
      <w:r>
        <w:rPr>
          <w:rFonts w:ascii="Times New Roman" w:hAnsi="Times New Roman" w:cs="Times New Roman"/>
          <w:lang w:val="en-US"/>
        </w:rPr>
        <w:t xml:space="preserve">, this </w:t>
      </w:r>
      <w:r w:rsidR="003D1972">
        <w:rPr>
          <w:rFonts w:ascii="Times New Roman" w:hAnsi="Times New Roman" w:cs="Times New Roman"/>
          <w:lang w:val="en-US"/>
        </w:rPr>
        <w:t xml:space="preserve">initially </w:t>
      </w:r>
      <w:r w:rsidR="0056605C">
        <w:rPr>
          <w:rFonts w:ascii="Times New Roman" w:hAnsi="Times New Roman" w:cs="Times New Roman"/>
          <w:lang w:val="en-US"/>
        </w:rPr>
        <w:t>proved to be a</w:t>
      </w:r>
      <w:r>
        <w:rPr>
          <w:rFonts w:ascii="Times New Roman" w:hAnsi="Times New Roman" w:cs="Times New Roman"/>
          <w:lang w:val="en-US"/>
        </w:rPr>
        <w:t xml:space="preserve"> tough task</w:t>
      </w:r>
      <w:r w:rsidR="0056605C">
        <w:rPr>
          <w:rFonts w:ascii="Times New Roman" w:hAnsi="Times New Roman" w:cs="Times New Roman"/>
          <w:lang w:val="en-US"/>
        </w:rPr>
        <w:t xml:space="preserve">, with </w:t>
      </w:r>
      <w:r>
        <w:rPr>
          <w:rFonts w:ascii="Times New Roman" w:hAnsi="Times New Roman" w:cs="Times New Roman"/>
          <w:lang w:val="en-US"/>
        </w:rPr>
        <w:t xml:space="preserve">only </w:t>
      </w:r>
      <w:r w:rsidR="009D55D3">
        <w:rPr>
          <w:rFonts w:ascii="Times New Roman" w:hAnsi="Times New Roman" w:cs="Times New Roman"/>
          <w:lang w:val="en-US"/>
        </w:rPr>
        <w:t xml:space="preserve">a </w:t>
      </w:r>
      <w:r w:rsidR="00484752">
        <w:rPr>
          <w:rFonts w:ascii="Times New Roman" w:hAnsi="Times New Roman" w:cs="Times New Roman"/>
          <w:lang w:val="en-US"/>
        </w:rPr>
        <w:t xml:space="preserve">small minority </w:t>
      </w:r>
      <w:r w:rsidR="007402D4">
        <w:rPr>
          <w:rFonts w:ascii="Times New Roman" w:hAnsi="Times New Roman" w:cs="Times New Roman"/>
          <w:lang w:val="en-US"/>
        </w:rPr>
        <w:t xml:space="preserve">of </w:t>
      </w:r>
      <w:r w:rsidRPr="00DD1E36">
        <w:rPr>
          <w:rFonts w:ascii="Times New Roman" w:hAnsi="Times New Roman" w:cs="Times New Roman"/>
          <w:lang w:val="en-US"/>
        </w:rPr>
        <w:t>stakeholder respondents to the D</w:t>
      </w:r>
      <w:r>
        <w:rPr>
          <w:rFonts w:ascii="Times New Roman" w:hAnsi="Times New Roman" w:cs="Times New Roman"/>
          <w:lang w:val="en-US"/>
        </w:rPr>
        <w:t>iscussion Paper</w:t>
      </w:r>
      <w:r w:rsidRPr="00DD1E36">
        <w:rPr>
          <w:rFonts w:ascii="Times New Roman" w:hAnsi="Times New Roman" w:cs="Times New Roman"/>
          <w:lang w:val="en-US"/>
        </w:rPr>
        <w:t xml:space="preserve"> c</w:t>
      </w:r>
      <w:r w:rsidR="0056605C">
        <w:rPr>
          <w:rFonts w:ascii="Times New Roman" w:hAnsi="Times New Roman" w:cs="Times New Roman"/>
          <w:lang w:val="en-US"/>
        </w:rPr>
        <w:t>oming</w:t>
      </w:r>
      <w:r w:rsidRPr="00DD1E36">
        <w:rPr>
          <w:rFonts w:ascii="Times New Roman" w:hAnsi="Times New Roman" w:cs="Times New Roman"/>
          <w:lang w:val="en-US"/>
        </w:rPr>
        <w:t xml:space="preserve"> from investors/investor groups. </w:t>
      </w:r>
      <w:r>
        <w:rPr>
          <w:rFonts w:ascii="Times New Roman" w:hAnsi="Times New Roman" w:cs="Times New Roman"/>
          <w:lang w:val="en-US"/>
        </w:rPr>
        <w:t xml:space="preserve">Some respondents from bodies potentially required to produce integrated reports warned </w:t>
      </w:r>
      <w:r w:rsidR="000F3DF0">
        <w:rPr>
          <w:rFonts w:ascii="Times New Roman" w:hAnsi="Times New Roman" w:cs="Times New Roman"/>
          <w:lang w:val="en-US"/>
        </w:rPr>
        <w:t>‘</w:t>
      </w:r>
      <w:r w:rsidRPr="00DD1E36">
        <w:rPr>
          <w:rFonts w:ascii="Times New Roman" w:hAnsi="Times New Roman" w:cs="Times New Roman"/>
          <w:color w:val="000000"/>
          <w:lang w:val="en-US"/>
        </w:rPr>
        <w:t xml:space="preserve">that the IIRC may have overestimated investor demand and noted, among other things, that success would depend on </w:t>
      </w:r>
      <w:r w:rsidRPr="00425DE1">
        <w:rPr>
          <w:rFonts w:ascii="Times New Roman" w:hAnsi="Times New Roman" w:cs="Times New Roman"/>
          <w:color w:val="000000"/>
          <w:lang w:val="en-US"/>
        </w:rPr>
        <w:t xml:space="preserve">widespread acceptance which, in turn, would rely on </w:t>
      </w:r>
      <w:r w:rsidR="00BB21C4" w:rsidRPr="004158E0">
        <w:rPr>
          <w:rFonts w:ascii="Times New Roman" w:hAnsi="Times New Roman" w:cs="Times New Roman"/>
          <w:color w:val="000000"/>
          <w:lang w:val="en-US"/>
        </w:rPr>
        <w:t>strong regulatory demand</w:t>
      </w:r>
      <w:r w:rsidR="000F3DF0" w:rsidRPr="004158E0">
        <w:rPr>
          <w:rFonts w:ascii="Times New Roman" w:hAnsi="Times New Roman" w:cs="Times New Roman"/>
          <w:color w:val="000000"/>
          <w:lang w:val="en-US"/>
        </w:rPr>
        <w:t>’</w:t>
      </w:r>
      <w:r w:rsidR="0056605C" w:rsidRPr="004158E0">
        <w:rPr>
          <w:rFonts w:ascii="Times New Roman" w:hAnsi="Times New Roman" w:cs="Times New Roman"/>
          <w:color w:val="000000"/>
          <w:lang w:val="en-US"/>
        </w:rPr>
        <w:t>.</w:t>
      </w:r>
      <w:r w:rsidR="00BB21C4" w:rsidRPr="004158E0">
        <w:rPr>
          <w:rFonts w:ascii="Times New Roman" w:hAnsi="Times New Roman" w:cs="Times New Roman"/>
          <w:color w:val="000000"/>
          <w:lang w:val="en-US"/>
        </w:rPr>
        <w:t xml:space="preserve"> </w:t>
      </w:r>
    </w:p>
    <w:p w14:paraId="06CB0551" w14:textId="77777777" w:rsidR="005A09AF" w:rsidRDefault="005A09AF" w:rsidP="00422BEF">
      <w:pPr>
        <w:autoSpaceDE w:val="0"/>
        <w:autoSpaceDN w:val="0"/>
        <w:adjustRightInd w:val="0"/>
        <w:spacing w:after="0" w:line="360" w:lineRule="auto"/>
        <w:ind w:firstLine="708"/>
        <w:jc w:val="both"/>
        <w:rPr>
          <w:rFonts w:ascii="Times New Roman" w:hAnsi="Times New Roman" w:cs="Times New Roman"/>
          <w:color w:val="000000"/>
          <w:lang w:val="en-US"/>
        </w:rPr>
      </w:pPr>
    </w:p>
    <w:p w14:paraId="49F35A59" w14:textId="59A2CDC4" w:rsidR="00422BEF" w:rsidRDefault="00F470B4" w:rsidP="00422BEF">
      <w:pPr>
        <w:autoSpaceDE w:val="0"/>
        <w:autoSpaceDN w:val="0"/>
        <w:adjustRightInd w:val="0"/>
        <w:spacing w:after="0" w:line="360" w:lineRule="auto"/>
        <w:ind w:firstLine="708"/>
        <w:jc w:val="both"/>
        <w:rPr>
          <w:rFonts w:ascii="Times New Roman" w:hAnsi="Times New Roman" w:cs="Times New Roman"/>
          <w:lang w:val="en-US"/>
        </w:rPr>
      </w:pPr>
      <w:r>
        <w:rPr>
          <w:rFonts w:ascii="Times New Roman" w:hAnsi="Times New Roman" w:cs="Times New Roman"/>
          <w:lang w:val="en-US"/>
        </w:rPr>
        <w:t>D</w:t>
      </w:r>
      <w:r w:rsidR="00422BEF">
        <w:rPr>
          <w:rFonts w:ascii="Times New Roman" w:hAnsi="Times New Roman" w:cs="Times New Roman"/>
          <w:lang w:val="en-US"/>
        </w:rPr>
        <w:t>espite the</w:t>
      </w:r>
      <w:r w:rsidR="002506B0">
        <w:rPr>
          <w:rFonts w:ascii="Times New Roman" w:hAnsi="Times New Roman" w:cs="Times New Roman"/>
          <w:lang w:val="en-US"/>
        </w:rPr>
        <w:t xml:space="preserve"> existence of the </w:t>
      </w:r>
      <w:r w:rsidR="00422BEF">
        <w:rPr>
          <w:rFonts w:ascii="Times New Roman" w:hAnsi="Times New Roman" w:cs="Times New Roman"/>
          <w:lang w:val="en-US"/>
        </w:rPr>
        <w:t>Investor Network, the</w:t>
      </w:r>
      <w:r w:rsidR="00422BEF" w:rsidRPr="00DD1E36">
        <w:rPr>
          <w:rFonts w:ascii="Times New Roman" w:hAnsi="Times New Roman" w:cs="Times New Roman"/>
          <w:lang w:val="en-US"/>
        </w:rPr>
        <w:t xml:space="preserve"> lack of investor engagement </w:t>
      </w:r>
      <w:r w:rsidR="00422BEF">
        <w:rPr>
          <w:rFonts w:ascii="Times New Roman" w:hAnsi="Times New Roman" w:cs="Times New Roman"/>
          <w:lang w:val="en-US"/>
        </w:rPr>
        <w:t xml:space="preserve">in the framework drafting process persisted up to and after </w:t>
      </w:r>
      <w:r w:rsidR="002506B0">
        <w:rPr>
          <w:rFonts w:ascii="Times New Roman" w:hAnsi="Times New Roman" w:cs="Times New Roman"/>
          <w:lang w:val="en-US"/>
        </w:rPr>
        <w:t xml:space="preserve">the draft framework was </w:t>
      </w:r>
      <w:r w:rsidR="00422BEF" w:rsidRPr="00DD1E36">
        <w:rPr>
          <w:rFonts w:ascii="Times New Roman" w:hAnsi="Times New Roman" w:cs="Times New Roman"/>
          <w:lang w:val="en-US"/>
        </w:rPr>
        <w:t xml:space="preserve">launched in April 2013. </w:t>
      </w:r>
      <w:r w:rsidR="00422BEF">
        <w:rPr>
          <w:rFonts w:ascii="Times New Roman" w:hAnsi="Times New Roman" w:cs="Times New Roman"/>
          <w:lang w:val="en-US"/>
        </w:rPr>
        <w:t xml:space="preserve">For example, a study of </w:t>
      </w:r>
      <w:r w:rsidR="002506B0">
        <w:rPr>
          <w:rFonts w:ascii="Times New Roman" w:hAnsi="Times New Roman" w:cs="Times New Roman"/>
          <w:lang w:val="en-US"/>
        </w:rPr>
        <w:t xml:space="preserve">the </w:t>
      </w:r>
      <w:r w:rsidR="00852EF8">
        <w:rPr>
          <w:rFonts w:ascii="Times New Roman" w:hAnsi="Times New Roman" w:cs="Times New Roman"/>
          <w:lang w:val="en-US"/>
        </w:rPr>
        <w:t xml:space="preserve">359 </w:t>
      </w:r>
      <w:r w:rsidR="00422BEF">
        <w:rPr>
          <w:rFonts w:ascii="Times New Roman" w:hAnsi="Times New Roman" w:cs="Times New Roman"/>
          <w:lang w:val="en-US"/>
        </w:rPr>
        <w:t>responses to th</w:t>
      </w:r>
      <w:r w:rsidR="0056605C">
        <w:rPr>
          <w:rFonts w:ascii="Times New Roman" w:hAnsi="Times New Roman" w:cs="Times New Roman"/>
          <w:lang w:val="en-US"/>
        </w:rPr>
        <w:t>e</w:t>
      </w:r>
      <w:r w:rsidR="00422BEF">
        <w:rPr>
          <w:rFonts w:ascii="Times New Roman" w:hAnsi="Times New Roman" w:cs="Times New Roman"/>
          <w:lang w:val="en-US"/>
        </w:rPr>
        <w:t xml:space="preserve"> </w:t>
      </w:r>
      <w:r w:rsidR="00422BEF" w:rsidRPr="00DD1E36">
        <w:rPr>
          <w:rFonts w:ascii="Times New Roman" w:hAnsi="Times New Roman" w:cs="Times New Roman"/>
          <w:lang w:val="en-US"/>
        </w:rPr>
        <w:t xml:space="preserve">draft </w:t>
      </w:r>
      <w:r w:rsidR="0056605C">
        <w:rPr>
          <w:rFonts w:ascii="Times New Roman" w:hAnsi="Times New Roman" w:cs="Times New Roman"/>
          <w:lang w:val="en-US"/>
        </w:rPr>
        <w:t xml:space="preserve">framework </w:t>
      </w:r>
      <w:r w:rsidR="0026137B">
        <w:rPr>
          <w:rFonts w:ascii="Times New Roman" w:hAnsi="Times New Roman" w:cs="Times New Roman"/>
          <w:lang w:val="en-US"/>
        </w:rPr>
        <w:t xml:space="preserve">published </w:t>
      </w:r>
      <w:r w:rsidR="00422BEF" w:rsidRPr="00DD1E36">
        <w:rPr>
          <w:rFonts w:ascii="Times New Roman" w:hAnsi="Times New Roman" w:cs="Times New Roman"/>
          <w:lang w:val="en-US"/>
        </w:rPr>
        <w:t xml:space="preserve">by the Albert Luthuli Centre for Responsible Leadership </w:t>
      </w:r>
      <w:r w:rsidR="0026137B">
        <w:rPr>
          <w:rFonts w:ascii="Times New Roman" w:hAnsi="Times New Roman" w:cs="Times New Roman"/>
          <w:lang w:val="en-US"/>
        </w:rPr>
        <w:t>at the University of Pretoria</w:t>
      </w:r>
      <w:r w:rsidR="003302A6">
        <w:rPr>
          <w:rFonts w:ascii="Times New Roman" w:hAnsi="Times New Roman" w:cs="Times New Roman"/>
          <w:lang w:val="en-US"/>
        </w:rPr>
        <w:t xml:space="preserve"> </w:t>
      </w:r>
      <w:r w:rsidR="00422BEF">
        <w:rPr>
          <w:rFonts w:ascii="Times New Roman" w:hAnsi="Times New Roman" w:cs="Times New Roman"/>
          <w:lang w:val="en-US"/>
        </w:rPr>
        <w:t xml:space="preserve">claimed </w:t>
      </w:r>
      <w:r w:rsidR="00422BEF" w:rsidRPr="00DD1E36">
        <w:rPr>
          <w:rFonts w:ascii="Times New Roman" w:hAnsi="Times New Roman" w:cs="Times New Roman"/>
          <w:lang w:val="en-US"/>
        </w:rPr>
        <w:t xml:space="preserve">that investor apathy </w:t>
      </w:r>
      <w:r w:rsidR="00852EF8">
        <w:rPr>
          <w:rFonts w:ascii="Times New Roman" w:hAnsi="Times New Roman" w:cs="Times New Roman"/>
          <w:lang w:val="en-US"/>
        </w:rPr>
        <w:t xml:space="preserve">surrounding the framework development </w:t>
      </w:r>
      <w:r w:rsidR="003A4C78">
        <w:rPr>
          <w:rFonts w:ascii="Times New Roman" w:hAnsi="Times New Roman" w:cs="Times New Roman"/>
          <w:lang w:val="en-US"/>
        </w:rPr>
        <w:t xml:space="preserve">had persisted, with the </w:t>
      </w:r>
      <w:r w:rsidR="00422BEF" w:rsidRPr="00DD1E36">
        <w:rPr>
          <w:rFonts w:ascii="Times New Roman" w:hAnsi="Times New Roman" w:cs="Times New Roman"/>
          <w:lang w:val="en-US"/>
        </w:rPr>
        <w:t>study highlight</w:t>
      </w:r>
      <w:r w:rsidR="00422BEF">
        <w:rPr>
          <w:rFonts w:ascii="Times New Roman" w:hAnsi="Times New Roman" w:cs="Times New Roman"/>
          <w:lang w:val="en-US"/>
        </w:rPr>
        <w:t>ing</w:t>
      </w:r>
      <w:r w:rsidR="00422BEF" w:rsidRPr="00DD1E36">
        <w:rPr>
          <w:rFonts w:ascii="Times New Roman" w:hAnsi="Times New Roman" w:cs="Times New Roman"/>
          <w:lang w:val="en-US"/>
        </w:rPr>
        <w:t xml:space="preserve"> </w:t>
      </w:r>
      <w:r w:rsidR="000F3DF0">
        <w:rPr>
          <w:rFonts w:ascii="Times New Roman" w:hAnsi="Times New Roman" w:cs="Times New Roman"/>
          <w:lang w:val="en-US"/>
        </w:rPr>
        <w:t>‘</w:t>
      </w:r>
      <w:r w:rsidR="00422BEF" w:rsidRPr="00DD1E36">
        <w:rPr>
          <w:rFonts w:ascii="Times New Roman" w:hAnsi="Times New Roman" w:cs="Times New Roman"/>
          <w:lang w:val="en-US"/>
        </w:rPr>
        <w:t xml:space="preserve">low levels of </w:t>
      </w:r>
      <w:r w:rsidR="00422BEF" w:rsidRPr="00DD1E36">
        <w:rPr>
          <w:rFonts w:ascii="Times New Roman" w:hAnsi="Times New Roman" w:cs="Times New Roman"/>
          <w:lang w:val="en-US"/>
        </w:rPr>
        <w:lastRenderedPageBreak/>
        <w:t>substantive response and high ‘no comment</w:t>
      </w:r>
      <w:r w:rsidR="00733B49">
        <w:rPr>
          <w:rFonts w:ascii="Times New Roman" w:hAnsi="Times New Roman" w:cs="Times New Roman"/>
          <w:lang w:val="en-US"/>
        </w:rPr>
        <w:t>’</w:t>
      </w:r>
      <w:r w:rsidR="00422BEF" w:rsidRPr="00DD1E36">
        <w:rPr>
          <w:rFonts w:ascii="Times New Roman" w:hAnsi="Times New Roman" w:cs="Times New Roman"/>
          <w:lang w:val="en-US"/>
        </w:rPr>
        <w:t xml:space="preserve"> levels</w:t>
      </w:r>
      <w:r w:rsidR="000F3DF0">
        <w:rPr>
          <w:rFonts w:ascii="Times New Roman" w:hAnsi="Times New Roman" w:cs="Times New Roman"/>
          <w:lang w:val="en-US"/>
        </w:rPr>
        <w:t>’</w:t>
      </w:r>
      <w:r w:rsidR="00422BEF" w:rsidRPr="00DD1E36">
        <w:rPr>
          <w:rFonts w:ascii="Times New Roman" w:hAnsi="Times New Roman" w:cs="Times New Roman"/>
          <w:lang w:val="en-US"/>
        </w:rPr>
        <w:t xml:space="preserve"> from investors, something they felt should be of concern given the focus on providers of financial capital as the primary audience for IR</w:t>
      </w:r>
      <w:r w:rsidR="0026137B">
        <w:rPr>
          <w:rStyle w:val="FootnoteReference"/>
          <w:rFonts w:ascii="Times New Roman" w:hAnsi="Times New Roman" w:cs="Times New Roman"/>
          <w:lang w:val="en-US"/>
        </w:rPr>
        <w:footnoteReference w:id="32"/>
      </w:r>
      <w:r w:rsidR="00422BEF" w:rsidRPr="00DD1E36">
        <w:rPr>
          <w:rFonts w:ascii="Times New Roman" w:hAnsi="Times New Roman" w:cs="Times New Roman"/>
          <w:lang w:val="en-US"/>
        </w:rPr>
        <w:t>.</w:t>
      </w:r>
    </w:p>
    <w:p w14:paraId="17DDECBD" w14:textId="77777777" w:rsidR="00852EF8" w:rsidRPr="00DD1E36" w:rsidRDefault="00852EF8" w:rsidP="00422BEF">
      <w:pPr>
        <w:autoSpaceDE w:val="0"/>
        <w:autoSpaceDN w:val="0"/>
        <w:adjustRightInd w:val="0"/>
        <w:spacing w:after="0" w:line="360" w:lineRule="auto"/>
        <w:ind w:firstLine="708"/>
        <w:jc w:val="both"/>
        <w:rPr>
          <w:rFonts w:ascii="Times New Roman" w:hAnsi="Times New Roman" w:cs="Times New Roman"/>
          <w:lang w:val="en-US"/>
        </w:rPr>
      </w:pPr>
    </w:p>
    <w:p w14:paraId="6E2C82FD" w14:textId="12A1D772" w:rsidR="00A572D5" w:rsidRDefault="002D5182" w:rsidP="00686181">
      <w:pPr>
        <w:pStyle w:val="Default"/>
        <w:spacing w:after="280" w:line="360" w:lineRule="auto"/>
        <w:ind w:firstLine="708"/>
        <w:jc w:val="both"/>
      </w:pPr>
      <w:r>
        <w:rPr>
          <w:rFonts w:ascii="Times New Roman" w:hAnsi="Times New Roman" w:cs="Times New Roman"/>
          <w:sz w:val="22"/>
          <w:szCs w:val="22"/>
        </w:rPr>
        <w:t xml:space="preserve">Notwithstanding </w:t>
      </w:r>
      <w:r w:rsidR="00422BEF" w:rsidRPr="00484752">
        <w:rPr>
          <w:rFonts w:ascii="Times New Roman" w:hAnsi="Times New Roman" w:cs="Times New Roman"/>
          <w:sz w:val="22"/>
          <w:szCs w:val="22"/>
        </w:rPr>
        <w:t xml:space="preserve">this apparent </w:t>
      </w:r>
      <w:r w:rsidR="00852EF8">
        <w:rPr>
          <w:rFonts w:ascii="Times New Roman" w:hAnsi="Times New Roman" w:cs="Times New Roman"/>
          <w:sz w:val="22"/>
          <w:szCs w:val="22"/>
        </w:rPr>
        <w:t xml:space="preserve">investor </w:t>
      </w:r>
      <w:r w:rsidR="00422BEF" w:rsidRPr="00484752">
        <w:rPr>
          <w:rFonts w:ascii="Times New Roman" w:hAnsi="Times New Roman" w:cs="Times New Roman"/>
          <w:sz w:val="22"/>
          <w:szCs w:val="22"/>
        </w:rPr>
        <w:t xml:space="preserve">disinterest in the framework drafting process, </w:t>
      </w:r>
      <w:r w:rsidR="00852EF8">
        <w:rPr>
          <w:rFonts w:ascii="Times New Roman" w:hAnsi="Times New Roman" w:cs="Times New Roman"/>
          <w:sz w:val="22"/>
          <w:szCs w:val="22"/>
        </w:rPr>
        <w:t xml:space="preserve">IIRC </w:t>
      </w:r>
      <w:r w:rsidR="00422BEF" w:rsidRPr="00484752">
        <w:rPr>
          <w:rFonts w:ascii="Times New Roman" w:hAnsi="Times New Roman" w:cs="Times New Roman"/>
          <w:sz w:val="22"/>
          <w:szCs w:val="22"/>
        </w:rPr>
        <w:t xml:space="preserve">efforts to </w:t>
      </w:r>
      <w:r w:rsidR="00852EF8">
        <w:rPr>
          <w:rFonts w:ascii="Times New Roman" w:hAnsi="Times New Roman" w:cs="Times New Roman"/>
          <w:sz w:val="22"/>
          <w:szCs w:val="22"/>
        </w:rPr>
        <w:t xml:space="preserve">convert </w:t>
      </w:r>
      <w:r w:rsidR="00422BEF" w:rsidRPr="00484752">
        <w:rPr>
          <w:rFonts w:ascii="Times New Roman" w:hAnsi="Times New Roman" w:cs="Times New Roman"/>
          <w:sz w:val="22"/>
          <w:szCs w:val="22"/>
        </w:rPr>
        <w:t>investor</w:t>
      </w:r>
      <w:r w:rsidR="00852EF8">
        <w:rPr>
          <w:rFonts w:ascii="Times New Roman" w:hAnsi="Times New Roman" w:cs="Times New Roman"/>
          <w:sz w:val="22"/>
          <w:szCs w:val="22"/>
        </w:rPr>
        <w:t>s towards longer time horizons</w:t>
      </w:r>
      <w:r w:rsidR="00422BEF" w:rsidRPr="00484752">
        <w:rPr>
          <w:rFonts w:ascii="Times New Roman" w:hAnsi="Times New Roman" w:cs="Times New Roman"/>
          <w:sz w:val="22"/>
          <w:szCs w:val="22"/>
        </w:rPr>
        <w:t xml:space="preserve"> were reinforced by broader, high</w:t>
      </w:r>
      <w:r w:rsidR="00B9474B">
        <w:rPr>
          <w:rFonts w:ascii="Times New Roman" w:hAnsi="Times New Roman" w:cs="Times New Roman"/>
          <w:sz w:val="22"/>
          <w:szCs w:val="22"/>
        </w:rPr>
        <w:t>-</w:t>
      </w:r>
      <w:r w:rsidR="00422BEF" w:rsidRPr="00484752">
        <w:rPr>
          <w:rFonts w:ascii="Times New Roman" w:hAnsi="Times New Roman" w:cs="Times New Roman"/>
          <w:sz w:val="22"/>
          <w:szCs w:val="22"/>
        </w:rPr>
        <w:t>level efforts in other domains</w:t>
      </w:r>
      <w:r w:rsidR="0026137B">
        <w:rPr>
          <w:rFonts w:ascii="Times New Roman" w:hAnsi="Times New Roman" w:cs="Times New Roman"/>
          <w:sz w:val="22"/>
          <w:szCs w:val="22"/>
        </w:rPr>
        <w:t>, especially in the UK where the IIRC was headquartered</w:t>
      </w:r>
      <w:r w:rsidR="00422BEF" w:rsidRPr="00484752">
        <w:rPr>
          <w:rFonts w:ascii="Times New Roman" w:hAnsi="Times New Roman" w:cs="Times New Roman"/>
          <w:sz w:val="22"/>
          <w:szCs w:val="22"/>
        </w:rPr>
        <w:t xml:space="preserve">. For example, in the wake of the </w:t>
      </w:r>
      <w:r w:rsidR="006C1B7F">
        <w:rPr>
          <w:rFonts w:ascii="Times New Roman" w:hAnsi="Times New Roman" w:cs="Times New Roman"/>
          <w:sz w:val="22"/>
          <w:szCs w:val="22"/>
        </w:rPr>
        <w:t>g</w:t>
      </w:r>
      <w:r w:rsidR="00422BEF" w:rsidRPr="00484752">
        <w:rPr>
          <w:rFonts w:ascii="Times New Roman" w:hAnsi="Times New Roman" w:cs="Times New Roman"/>
          <w:sz w:val="22"/>
          <w:szCs w:val="22"/>
        </w:rPr>
        <w:t xml:space="preserve">lobal </w:t>
      </w:r>
      <w:r w:rsidR="006C1B7F">
        <w:rPr>
          <w:rFonts w:ascii="Times New Roman" w:hAnsi="Times New Roman" w:cs="Times New Roman"/>
          <w:sz w:val="22"/>
          <w:szCs w:val="22"/>
        </w:rPr>
        <w:t>f</w:t>
      </w:r>
      <w:r w:rsidR="00422BEF" w:rsidRPr="00484752">
        <w:rPr>
          <w:rFonts w:ascii="Times New Roman" w:hAnsi="Times New Roman" w:cs="Times New Roman"/>
          <w:sz w:val="22"/>
          <w:szCs w:val="22"/>
        </w:rPr>
        <w:t xml:space="preserve">inancial </w:t>
      </w:r>
      <w:r w:rsidR="006C1B7F">
        <w:rPr>
          <w:rFonts w:ascii="Times New Roman" w:hAnsi="Times New Roman" w:cs="Times New Roman"/>
          <w:sz w:val="22"/>
          <w:szCs w:val="22"/>
        </w:rPr>
        <w:t>c</w:t>
      </w:r>
      <w:r w:rsidR="00422BEF" w:rsidRPr="00484752">
        <w:rPr>
          <w:rFonts w:ascii="Times New Roman" w:hAnsi="Times New Roman" w:cs="Times New Roman"/>
          <w:sz w:val="22"/>
          <w:szCs w:val="22"/>
        </w:rPr>
        <w:t>risis, mainstream investors were experiencing increasing political pressure to show greater concern for the long</w:t>
      </w:r>
      <w:r w:rsidR="00B9474B">
        <w:rPr>
          <w:rFonts w:ascii="Times New Roman" w:hAnsi="Times New Roman" w:cs="Times New Roman"/>
          <w:sz w:val="22"/>
          <w:szCs w:val="22"/>
        </w:rPr>
        <w:t>-</w:t>
      </w:r>
      <w:r w:rsidR="00422BEF" w:rsidRPr="00484752">
        <w:rPr>
          <w:rFonts w:ascii="Times New Roman" w:hAnsi="Times New Roman" w:cs="Times New Roman"/>
          <w:sz w:val="22"/>
          <w:szCs w:val="22"/>
        </w:rPr>
        <w:t xml:space="preserve">term. The publication in the UK </w:t>
      </w:r>
      <w:r w:rsidR="00D83846" w:rsidRPr="00484752">
        <w:rPr>
          <w:rFonts w:ascii="Times New Roman" w:hAnsi="Times New Roman" w:cs="Times New Roman"/>
          <w:sz w:val="22"/>
          <w:szCs w:val="22"/>
        </w:rPr>
        <w:t xml:space="preserve">in 2012 </w:t>
      </w:r>
      <w:r w:rsidR="003302A6">
        <w:rPr>
          <w:rFonts w:ascii="Times New Roman" w:hAnsi="Times New Roman" w:cs="Times New Roman"/>
          <w:sz w:val="22"/>
          <w:szCs w:val="22"/>
        </w:rPr>
        <w:t xml:space="preserve">of </w:t>
      </w:r>
      <w:r w:rsidR="00422BEF" w:rsidRPr="00484752">
        <w:rPr>
          <w:rFonts w:ascii="Times New Roman" w:hAnsi="Times New Roman" w:cs="Times New Roman"/>
          <w:i/>
          <w:sz w:val="22"/>
          <w:szCs w:val="22"/>
        </w:rPr>
        <w:t xml:space="preserve">The Kay Review of UK Equity Markets and Long-Term Decision Making </w:t>
      </w:r>
      <w:r w:rsidR="00D4486D" w:rsidRPr="00D4486D">
        <w:rPr>
          <w:rFonts w:ascii="Times New Roman" w:hAnsi="Times New Roman" w:cs="Times New Roman"/>
          <w:sz w:val="22"/>
          <w:szCs w:val="22"/>
        </w:rPr>
        <w:t>(Kay, 2012)</w:t>
      </w:r>
      <w:r w:rsidR="00D4486D">
        <w:rPr>
          <w:rFonts w:ascii="Times New Roman" w:hAnsi="Times New Roman" w:cs="Times New Roman"/>
          <w:i/>
          <w:sz w:val="22"/>
          <w:szCs w:val="22"/>
        </w:rPr>
        <w:t xml:space="preserve"> </w:t>
      </w:r>
      <w:r w:rsidR="00422BEF" w:rsidRPr="00484752">
        <w:rPr>
          <w:rFonts w:ascii="Times New Roman" w:hAnsi="Times New Roman" w:cs="Times New Roman"/>
          <w:sz w:val="22"/>
          <w:szCs w:val="22"/>
        </w:rPr>
        <w:t>substantiated this interest and pressure</w:t>
      </w:r>
      <w:r w:rsidR="00484752" w:rsidRPr="00484752">
        <w:rPr>
          <w:rFonts w:ascii="Times New Roman" w:hAnsi="Times New Roman" w:cs="Times New Roman"/>
          <w:sz w:val="22"/>
          <w:szCs w:val="22"/>
        </w:rPr>
        <w:t xml:space="preserve"> by calling for a shift in the culture of investment in the UK to address misaligned incentives, restore trust and confidence in the investment chain, and tackle the short-termism which the report claimed often impeded the creation of sustainable value by British companies.</w:t>
      </w:r>
      <w:r w:rsidR="00484752" w:rsidRPr="00484752">
        <w:rPr>
          <w:rFonts w:ascii="Arial" w:hAnsi="Arial" w:cs="Arial"/>
          <w:sz w:val="22"/>
          <w:szCs w:val="22"/>
        </w:rPr>
        <w:t xml:space="preserve"> </w:t>
      </w:r>
      <w:r w:rsidR="00422BEF" w:rsidRPr="00484752">
        <w:rPr>
          <w:rFonts w:ascii="Times New Roman" w:hAnsi="Times New Roman" w:cs="Times New Roman"/>
          <w:sz w:val="22"/>
          <w:szCs w:val="22"/>
        </w:rPr>
        <w:t xml:space="preserve">Moreover, in December 2013, the same month as the final </w:t>
      </w:r>
      <w:r w:rsidR="00121D10">
        <w:rPr>
          <w:rFonts w:ascii="Times New Roman" w:hAnsi="Times New Roman" w:cs="Times New Roman"/>
          <w:sz w:val="22"/>
          <w:szCs w:val="22"/>
        </w:rPr>
        <w:t>integrated reporting</w:t>
      </w:r>
      <w:r w:rsidR="00422BEF" w:rsidRPr="00484752">
        <w:rPr>
          <w:rFonts w:ascii="Times New Roman" w:hAnsi="Times New Roman" w:cs="Times New Roman"/>
          <w:sz w:val="22"/>
          <w:szCs w:val="22"/>
        </w:rPr>
        <w:t xml:space="preserve"> framework was released, the UK Investment Management Association (IMA) launched an Investor Network to promote long</w:t>
      </w:r>
      <w:r w:rsidR="00733B49">
        <w:rPr>
          <w:rFonts w:ascii="Times New Roman" w:hAnsi="Times New Roman" w:cs="Times New Roman"/>
          <w:sz w:val="22"/>
          <w:szCs w:val="22"/>
        </w:rPr>
        <w:t>-</w:t>
      </w:r>
      <w:r w:rsidR="00422BEF" w:rsidRPr="00484752">
        <w:rPr>
          <w:rFonts w:ascii="Times New Roman" w:hAnsi="Times New Roman" w:cs="Times New Roman"/>
          <w:sz w:val="22"/>
          <w:szCs w:val="22"/>
        </w:rPr>
        <w:t>term investment decision</w:t>
      </w:r>
      <w:r w:rsidR="00B9474B">
        <w:rPr>
          <w:rFonts w:ascii="Times New Roman" w:hAnsi="Times New Roman" w:cs="Times New Roman"/>
          <w:sz w:val="22"/>
          <w:szCs w:val="22"/>
        </w:rPr>
        <w:t>-</w:t>
      </w:r>
      <w:r w:rsidR="00422BEF" w:rsidRPr="00484752">
        <w:rPr>
          <w:rFonts w:ascii="Times New Roman" w:hAnsi="Times New Roman" w:cs="Times New Roman"/>
          <w:sz w:val="22"/>
          <w:szCs w:val="22"/>
        </w:rPr>
        <w:t xml:space="preserve">making aimed at ensuring that, </w:t>
      </w:r>
      <w:r w:rsidR="00422BEF" w:rsidRPr="00484752">
        <w:rPr>
          <w:rFonts w:ascii="Times New Roman" w:hAnsi="Times New Roman" w:cs="Times New Roman"/>
          <w:i/>
          <w:sz w:val="22"/>
          <w:szCs w:val="22"/>
        </w:rPr>
        <w:t>inter alia</w:t>
      </w:r>
      <w:r w:rsidR="00422BEF" w:rsidRPr="00484752">
        <w:rPr>
          <w:rFonts w:ascii="Times New Roman" w:hAnsi="Times New Roman" w:cs="Times New Roman"/>
          <w:sz w:val="22"/>
          <w:szCs w:val="22"/>
        </w:rPr>
        <w:t xml:space="preserve">, </w:t>
      </w:r>
      <w:r w:rsidR="000F3DF0">
        <w:rPr>
          <w:rFonts w:ascii="Times New Roman" w:hAnsi="Times New Roman" w:cs="Times New Roman"/>
          <w:sz w:val="22"/>
          <w:szCs w:val="22"/>
        </w:rPr>
        <w:t>‘</w:t>
      </w:r>
      <w:r w:rsidR="00422BEF" w:rsidRPr="00484752">
        <w:rPr>
          <w:rFonts w:ascii="Times New Roman" w:hAnsi="Times New Roman" w:cs="Times New Roman"/>
          <w:sz w:val="22"/>
          <w:szCs w:val="22"/>
        </w:rPr>
        <w:t>the voice of serious and trusted long-term investors</w:t>
      </w:r>
      <w:r w:rsidR="00B67152">
        <w:rPr>
          <w:rFonts w:ascii="Times New Roman" w:hAnsi="Times New Roman" w:cs="Times New Roman"/>
          <w:sz w:val="22"/>
          <w:szCs w:val="22"/>
        </w:rPr>
        <w:t xml:space="preserve"> </w:t>
      </w:r>
      <w:r w:rsidR="00422BEF" w:rsidRPr="00484752">
        <w:rPr>
          <w:rFonts w:ascii="Times New Roman" w:hAnsi="Times New Roman" w:cs="Times New Roman"/>
          <w:sz w:val="22"/>
          <w:szCs w:val="22"/>
        </w:rPr>
        <w:t>[w]</w:t>
      </w:r>
      <w:proofErr w:type="spellStart"/>
      <w:r w:rsidR="00422BEF" w:rsidRPr="00484752">
        <w:rPr>
          <w:rFonts w:ascii="Times New Roman" w:hAnsi="Times New Roman" w:cs="Times New Roman"/>
          <w:sz w:val="22"/>
          <w:szCs w:val="22"/>
        </w:rPr>
        <w:t>ould</w:t>
      </w:r>
      <w:proofErr w:type="spellEnd"/>
      <w:r w:rsidR="00422BEF" w:rsidRPr="00484752">
        <w:rPr>
          <w:rFonts w:ascii="Times New Roman" w:hAnsi="Times New Roman" w:cs="Times New Roman"/>
          <w:sz w:val="22"/>
          <w:szCs w:val="22"/>
        </w:rPr>
        <w:t xml:space="preserve"> be elevated further relative to noisy speculators, overly influential investment banks, and </w:t>
      </w:r>
      <w:r w:rsidR="00852EF8">
        <w:rPr>
          <w:rFonts w:ascii="Times New Roman" w:hAnsi="Times New Roman" w:cs="Times New Roman"/>
          <w:sz w:val="22"/>
          <w:szCs w:val="22"/>
        </w:rPr>
        <w:t xml:space="preserve">[the] </w:t>
      </w:r>
      <w:r w:rsidR="00422BEF" w:rsidRPr="00484752">
        <w:rPr>
          <w:rFonts w:ascii="Times New Roman" w:hAnsi="Times New Roman" w:cs="Times New Roman"/>
          <w:sz w:val="22"/>
          <w:szCs w:val="22"/>
        </w:rPr>
        <w:t>media babble that ha[d] dominated perceptions of the City</w:t>
      </w:r>
      <w:r w:rsidR="000F3DF0">
        <w:rPr>
          <w:rFonts w:ascii="Times New Roman" w:hAnsi="Times New Roman" w:cs="Times New Roman"/>
          <w:sz w:val="22"/>
          <w:szCs w:val="22"/>
        </w:rPr>
        <w:t>’</w:t>
      </w:r>
      <w:r w:rsidR="003302A6">
        <w:rPr>
          <w:rFonts w:ascii="Times New Roman" w:hAnsi="Times New Roman" w:cs="Times New Roman"/>
          <w:sz w:val="22"/>
          <w:szCs w:val="22"/>
        </w:rPr>
        <w:t xml:space="preserve"> (IMA, 2013: </w:t>
      </w:r>
      <w:r w:rsidR="00422BEF" w:rsidRPr="00484752">
        <w:rPr>
          <w:rFonts w:ascii="Times New Roman" w:hAnsi="Times New Roman" w:cs="Times New Roman"/>
          <w:sz w:val="22"/>
          <w:szCs w:val="22"/>
        </w:rPr>
        <w:t xml:space="preserve">3). Influential consulting groups such as McKinsey also published high profile reports, as well as papers in </w:t>
      </w:r>
      <w:r w:rsidR="00C87DC5">
        <w:rPr>
          <w:rFonts w:ascii="Times New Roman" w:hAnsi="Times New Roman" w:cs="Times New Roman"/>
          <w:sz w:val="22"/>
          <w:szCs w:val="22"/>
        </w:rPr>
        <w:t xml:space="preserve">leading </w:t>
      </w:r>
      <w:r w:rsidR="00422BEF" w:rsidRPr="00484752">
        <w:rPr>
          <w:rFonts w:ascii="Times New Roman" w:hAnsi="Times New Roman" w:cs="Times New Roman"/>
          <w:sz w:val="22"/>
          <w:szCs w:val="22"/>
        </w:rPr>
        <w:t xml:space="preserve">business journals </w:t>
      </w:r>
      <w:r w:rsidR="00C87DC5">
        <w:rPr>
          <w:rFonts w:ascii="Times New Roman" w:hAnsi="Times New Roman" w:cs="Times New Roman"/>
          <w:sz w:val="22"/>
          <w:szCs w:val="22"/>
        </w:rPr>
        <w:t>such as</w:t>
      </w:r>
      <w:r w:rsidR="00422BEF" w:rsidRPr="00484752">
        <w:rPr>
          <w:rFonts w:ascii="Times New Roman" w:hAnsi="Times New Roman" w:cs="Times New Roman"/>
          <w:sz w:val="22"/>
          <w:szCs w:val="22"/>
        </w:rPr>
        <w:t xml:space="preserve"> the </w:t>
      </w:r>
      <w:r w:rsidR="00422BEF" w:rsidRPr="00484752">
        <w:rPr>
          <w:rFonts w:ascii="Times New Roman" w:hAnsi="Times New Roman" w:cs="Times New Roman"/>
          <w:i/>
          <w:sz w:val="22"/>
          <w:szCs w:val="22"/>
        </w:rPr>
        <w:t>Harvard Business Review,</w:t>
      </w:r>
      <w:r w:rsidR="00422BEF" w:rsidRPr="00484752">
        <w:rPr>
          <w:rFonts w:ascii="Times New Roman" w:hAnsi="Times New Roman" w:cs="Times New Roman"/>
          <w:sz w:val="22"/>
          <w:szCs w:val="22"/>
        </w:rPr>
        <w:t xml:space="preserve"> seeking to ‘focus … capital on the long term’</w:t>
      </w:r>
      <w:r w:rsidR="007C24D4">
        <w:rPr>
          <w:rFonts w:ascii="Times New Roman" w:hAnsi="Times New Roman" w:cs="Times New Roman"/>
          <w:sz w:val="22"/>
          <w:szCs w:val="22"/>
        </w:rPr>
        <w:t xml:space="preserve"> (Barton, 2011)</w:t>
      </w:r>
      <w:r w:rsidR="00422BEF" w:rsidRPr="00484752">
        <w:rPr>
          <w:rFonts w:ascii="Times New Roman" w:hAnsi="Times New Roman" w:cs="Times New Roman"/>
          <w:sz w:val="22"/>
          <w:szCs w:val="22"/>
        </w:rPr>
        <w:t xml:space="preserve">. However, these consulting groups </w:t>
      </w:r>
      <w:r w:rsidR="006D776E">
        <w:rPr>
          <w:rFonts w:ascii="Times New Roman" w:hAnsi="Times New Roman" w:cs="Times New Roman"/>
          <w:sz w:val="22"/>
          <w:szCs w:val="22"/>
        </w:rPr>
        <w:t xml:space="preserve">also </w:t>
      </w:r>
      <w:r w:rsidR="00422BEF" w:rsidRPr="00484752">
        <w:rPr>
          <w:rFonts w:ascii="Times New Roman" w:hAnsi="Times New Roman" w:cs="Times New Roman"/>
          <w:sz w:val="22"/>
          <w:szCs w:val="22"/>
        </w:rPr>
        <w:t>simultaneously issued research indicating how board members felt that short</w:t>
      </w:r>
      <w:r w:rsidR="00733B49">
        <w:rPr>
          <w:rFonts w:ascii="Times New Roman" w:hAnsi="Times New Roman" w:cs="Times New Roman"/>
          <w:sz w:val="22"/>
          <w:szCs w:val="22"/>
        </w:rPr>
        <w:t>-</w:t>
      </w:r>
      <w:r w:rsidR="00422BEF" w:rsidRPr="00484752">
        <w:rPr>
          <w:rFonts w:ascii="Times New Roman" w:hAnsi="Times New Roman" w:cs="Times New Roman"/>
          <w:sz w:val="22"/>
          <w:szCs w:val="22"/>
        </w:rPr>
        <w:t>term pressures were actually increasing despite their desire for longer time horiz</w:t>
      </w:r>
      <w:r w:rsidR="007C24D4">
        <w:rPr>
          <w:rFonts w:ascii="Times New Roman" w:hAnsi="Times New Roman" w:cs="Times New Roman"/>
          <w:sz w:val="22"/>
          <w:szCs w:val="22"/>
        </w:rPr>
        <w:t>ons in running their companies</w:t>
      </w:r>
      <w:r w:rsidR="007C24D4">
        <w:rPr>
          <w:rStyle w:val="FootnoteReference"/>
          <w:rFonts w:ascii="Times New Roman" w:hAnsi="Times New Roman" w:cs="Times New Roman"/>
          <w:sz w:val="22"/>
          <w:szCs w:val="22"/>
        </w:rPr>
        <w:footnoteReference w:id="33"/>
      </w:r>
      <w:r w:rsidR="007C24D4">
        <w:rPr>
          <w:rFonts w:ascii="Times New Roman" w:hAnsi="Times New Roman" w:cs="Times New Roman"/>
          <w:sz w:val="22"/>
          <w:szCs w:val="22"/>
        </w:rPr>
        <w:t>.</w:t>
      </w:r>
    </w:p>
    <w:p w14:paraId="7DE782A5" w14:textId="014D4462" w:rsidR="004D432F" w:rsidRPr="00733B49" w:rsidRDefault="004E0E8C" w:rsidP="004D432F">
      <w:pPr>
        <w:autoSpaceDE w:val="0"/>
        <w:autoSpaceDN w:val="0"/>
        <w:adjustRightInd w:val="0"/>
        <w:spacing w:after="0" w:line="360" w:lineRule="auto"/>
        <w:ind w:firstLine="708"/>
        <w:jc w:val="both"/>
        <w:rPr>
          <w:rFonts w:ascii="Arial" w:hAnsi="Arial" w:cs="Arial"/>
          <w:b/>
          <w:sz w:val="19"/>
          <w:szCs w:val="19"/>
          <w:lang w:val="en-US"/>
        </w:rPr>
      </w:pPr>
      <w:r>
        <w:rPr>
          <w:rFonts w:ascii="Times New Roman" w:hAnsi="Times New Roman" w:cs="Times New Roman"/>
          <w:lang w:val="en-US"/>
        </w:rPr>
        <w:t>While t</w:t>
      </w:r>
      <w:r w:rsidR="005B1165">
        <w:rPr>
          <w:rFonts w:ascii="Times New Roman" w:hAnsi="Times New Roman" w:cs="Times New Roman"/>
          <w:lang w:val="en-US"/>
        </w:rPr>
        <w:t>he IIRC continued to promote the</w:t>
      </w:r>
      <w:r>
        <w:rPr>
          <w:rFonts w:ascii="Times New Roman" w:hAnsi="Times New Roman" w:cs="Times New Roman"/>
          <w:lang w:val="en-US"/>
        </w:rPr>
        <w:t xml:space="preserve"> long</w:t>
      </w:r>
      <w:r w:rsidR="00F470B4">
        <w:rPr>
          <w:rFonts w:ascii="Times New Roman" w:hAnsi="Times New Roman" w:cs="Times New Roman"/>
          <w:lang w:val="en-US"/>
        </w:rPr>
        <w:t>-</w:t>
      </w:r>
      <w:r>
        <w:rPr>
          <w:rFonts w:ascii="Times New Roman" w:hAnsi="Times New Roman" w:cs="Times New Roman"/>
          <w:lang w:val="en-US"/>
        </w:rPr>
        <w:t xml:space="preserve">term </w:t>
      </w:r>
      <w:r w:rsidR="00672171">
        <w:rPr>
          <w:rFonts w:ascii="Times New Roman" w:hAnsi="Times New Roman" w:cs="Times New Roman"/>
          <w:lang w:val="en-US"/>
        </w:rPr>
        <w:t xml:space="preserve">enlightened </w:t>
      </w:r>
      <w:r>
        <w:rPr>
          <w:rFonts w:ascii="Times New Roman" w:hAnsi="Times New Roman" w:cs="Times New Roman"/>
          <w:lang w:val="en-US"/>
        </w:rPr>
        <w:t>investor focus</w:t>
      </w:r>
      <w:r w:rsidR="0075241F">
        <w:rPr>
          <w:rFonts w:ascii="Times New Roman" w:hAnsi="Times New Roman" w:cs="Times New Roman"/>
          <w:lang w:val="en-US"/>
        </w:rPr>
        <w:t xml:space="preserve"> of </w:t>
      </w:r>
      <w:r w:rsidR="00121D10">
        <w:rPr>
          <w:rFonts w:ascii="Times New Roman" w:hAnsi="Times New Roman" w:cs="Times New Roman"/>
          <w:lang w:val="en-US"/>
        </w:rPr>
        <w:t>integrated reporting</w:t>
      </w:r>
      <w:r>
        <w:rPr>
          <w:rFonts w:ascii="Times New Roman" w:hAnsi="Times New Roman" w:cs="Times New Roman"/>
          <w:lang w:val="en-US"/>
        </w:rPr>
        <w:t xml:space="preserve">, </w:t>
      </w:r>
      <w:r w:rsidR="0075241F">
        <w:rPr>
          <w:rFonts w:ascii="Times New Roman" w:hAnsi="Times New Roman" w:cs="Times New Roman"/>
          <w:lang w:val="en-US"/>
        </w:rPr>
        <w:t xml:space="preserve">concerns were expressed </w:t>
      </w:r>
      <w:r>
        <w:rPr>
          <w:rFonts w:ascii="Times New Roman" w:hAnsi="Times New Roman" w:cs="Times New Roman"/>
          <w:lang w:val="en-US"/>
        </w:rPr>
        <w:t xml:space="preserve">about this singular focus. </w:t>
      </w:r>
      <w:r w:rsidR="00A97B9F" w:rsidRPr="0038785F">
        <w:rPr>
          <w:rFonts w:ascii="Times New Roman" w:hAnsi="Times New Roman" w:cs="Times New Roman"/>
          <w:lang w:val="en-US"/>
        </w:rPr>
        <w:t xml:space="preserve">Commenting on </w:t>
      </w:r>
      <w:r w:rsidR="0038785F">
        <w:rPr>
          <w:rFonts w:ascii="Times New Roman" w:hAnsi="Times New Roman" w:cs="Times New Roman"/>
          <w:lang w:val="en-US"/>
        </w:rPr>
        <w:t xml:space="preserve">responses to </w:t>
      </w:r>
      <w:r w:rsidR="00A97B9F" w:rsidRPr="0038785F">
        <w:rPr>
          <w:rFonts w:ascii="Times New Roman" w:hAnsi="Times New Roman" w:cs="Times New Roman"/>
          <w:lang w:val="en-US"/>
        </w:rPr>
        <w:t>the</w:t>
      </w:r>
      <w:r w:rsidR="0038785F">
        <w:rPr>
          <w:rFonts w:ascii="Times New Roman" w:hAnsi="Times New Roman" w:cs="Times New Roman"/>
          <w:lang w:val="en-US"/>
        </w:rPr>
        <w:t xml:space="preserve"> draft</w:t>
      </w:r>
      <w:r w:rsidR="00422BEF" w:rsidRPr="0038785F">
        <w:rPr>
          <w:rFonts w:ascii="Times New Roman" w:hAnsi="Times New Roman" w:cs="Times New Roman"/>
          <w:lang w:val="en-US"/>
        </w:rPr>
        <w:t xml:space="preserve"> framework</w:t>
      </w:r>
      <w:r w:rsidR="002D5182">
        <w:rPr>
          <w:rFonts w:ascii="Times New Roman" w:hAnsi="Times New Roman" w:cs="Times New Roman"/>
          <w:lang w:val="en-US"/>
        </w:rPr>
        <w:t>,</w:t>
      </w:r>
      <w:r w:rsidR="0038785F">
        <w:rPr>
          <w:rFonts w:ascii="Times New Roman" w:hAnsi="Times New Roman" w:cs="Times New Roman"/>
          <w:lang w:val="en-US"/>
        </w:rPr>
        <w:t xml:space="preserve"> </w:t>
      </w:r>
      <w:r w:rsidR="00A97B9F" w:rsidRPr="0038785F">
        <w:rPr>
          <w:rFonts w:ascii="Times New Roman" w:hAnsi="Times New Roman" w:cs="Times New Roman"/>
          <w:lang w:val="en-US"/>
        </w:rPr>
        <w:t>the IIRC</w:t>
      </w:r>
      <w:r w:rsidR="00422BEF" w:rsidRPr="0038785F">
        <w:rPr>
          <w:rFonts w:ascii="Times New Roman" w:hAnsi="Times New Roman" w:cs="Times New Roman"/>
          <w:lang w:val="en-US"/>
        </w:rPr>
        <w:t xml:space="preserve"> acknowledged that there remained unrest among over a third of respondents</w:t>
      </w:r>
      <w:r w:rsidR="0038785F">
        <w:rPr>
          <w:rFonts w:ascii="Times New Roman" w:hAnsi="Times New Roman" w:cs="Times New Roman"/>
          <w:lang w:val="en-US"/>
        </w:rPr>
        <w:t xml:space="preserve">, </w:t>
      </w:r>
      <w:r w:rsidR="0038785F" w:rsidRPr="0038785F">
        <w:rPr>
          <w:rFonts w:ascii="Times New Roman" w:hAnsi="Times New Roman" w:cs="Times New Roman"/>
          <w:lang w:val="en-US"/>
        </w:rPr>
        <w:t xml:space="preserve">including </w:t>
      </w:r>
      <w:r w:rsidR="0038785F">
        <w:rPr>
          <w:rFonts w:ascii="Times New Roman" w:hAnsi="Times New Roman" w:cs="Times New Roman"/>
          <w:lang w:val="en-US"/>
        </w:rPr>
        <w:t xml:space="preserve">some </w:t>
      </w:r>
      <w:r w:rsidR="0038785F" w:rsidRPr="0038785F">
        <w:rPr>
          <w:rFonts w:ascii="Times New Roman" w:hAnsi="Times New Roman" w:cs="Times New Roman"/>
          <w:lang w:val="en-US"/>
        </w:rPr>
        <w:t>members of the accountancy profession</w:t>
      </w:r>
      <w:r w:rsidR="0038785F">
        <w:rPr>
          <w:rFonts w:ascii="Times New Roman" w:hAnsi="Times New Roman" w:cs="Times New Roman"/>
          <w:lang w:val="en-US"/>
        </w:rPr>
        <w:t>,</w:t>
      </w:r>
      <w:r w:rsidR="00422BEF" w:rsidRPr="0038785F">
        <w:rPr>
          <w:rFonts w:ascii="Times New Roman" w:hAnsi="Times New Roman" w:cs="Times New Roman"/>
          <w:lang w:val="en-US"/>
        </w:rPr>
        <w:t xml:space="preserve"> regarding </w:t>
      </w:r>
      <w:r w:rsidR="00121D10">
        <w:rPr>
          <w:rFonts w:ascii="Times New Roman" w:hAnsi="Times New Roman" w:cs="Times New Roman"/>
          <w:lang w:val="en-US"/>
        </w:rPr>
        <w:t>integrated reporting</w:t>
      </w:r>
      <w:r w:rsidR="00422BEF" w:rsidRPr="0038785F">
        <w:rPr>
          <w:rFonts w:ascii="Times New Roman" w:hAnsi="Times New Roman" w:cs="Times New Roman"/>
          <w:lang w:val="en-US"/>
        </w:rPr>
        <w:t>’s primary focus on</w:t>
      </w:r>
      <w:r w:rsidR="00924138" w:rsidRPr="0038785F">
        <w:rPr>
          <w:rFonts w:ascii="Times New Roman" w:hAnsi="Times New Roman" w:cs="Times New Roman"/>
          <w:lang w:val="en-US"/>
        </w:rPr>
        <w:t xml:space="preserve"> providers of financial capital.</w:t>
      </w:r>
      <w:r w:rsidR="000C3975">
        <w:rPr>
          <w:rFonts w:ascii="Times New Roman" w:hAnsi="Times New Roman" w:cs="Times New Roman"/>
          <w:lang w:val="en-US"/>
        </w:rPr>
        <w:t xml:space="preserve"> </w:t>
      </w:r>
      <w:r w:rsidR="00B4220F" w:rsidRPr="00B4220F">
        <w:rPr>
          <w:rFonts w:ascii="Times New Roman" w:hAnsi="Times New Roman" w:cs="Times New Roman"/>
          <w:lang w:val="en-US"/>
        </w:rPr>
        <w:t>When launching the final framework</w:t>
      </w:r>
      <w:r w:rsidR="00FB7CFB">
        <w:rPr>
          <w:rFonts w:ascii="Times New Roman" w:hAnsi="Times New Roman" w:cs="Times New Roman"/>
          <w:lang w:val="en-US"/>
        </w:rPr>
        <w:t xml:space="preserve"> in December 2013</w:t>
      </w:r>
      <w:r w:rsidR="002C04DE">
        <w:rPr>
          <w:rStyle w:val="FootnoteReference"/>
          <w:rFonts w:ascii="Times New Roman" w:hAnsi="Times New Roman" w:cs="Times New Roman"/>
          <w:lang w:val="en-US"/>
        </w:rPr>
        <w:footnoteReference w:id="34"/>
      </w:r>
      <w:r w:rsidR="00B4220F" w:rsidRPr="00B4220F">
        <w:rPr>
          <w:rFonts w:ascii="Times New Roman" w:hAnsi="Times New Roman" w:cs="Times New Roman"/>
          <w:lang w:val="en-US"/>
        </w:rPr>
        <w:t>, t</w:t>
      </w:r>
      <w:r w:rsidR="00422BEF" w:rsidRPr="00B4220F">
        <w:rPr>
          <w:rFonts w:ascii="Times New Roman" w:hAnsi="Times New Roman" w:cs="Times New Roman"/>
          <w:lang w:val="en-US"/>
        </w:rPr>
        <w:t xml:space="preserve">he </w:t>
      </w:r>
      <w:r w:rsidR="00422BEF" w:rsidRPr="00B4220F">
        <w:rPr>
          <w:rFonts w:ascii="Times New Roman" w:hAnsi="Times New Roman" w:cs="Times New Roman"/>
          <w:lang w:val="en-US"/>
        </w:rPr>
        <w:lastRenderedPageBreak/>
        <w:t>IIRC defended</w:t>
      </w:r>
      <w:r w:rsidR="00422BEF" w:rsidRPr="00DD1E36">
        <w:rPr>
          <w:rFonts w:ascii="Times New Roman" w:hAnsi="Times New Roman" w:cs="Times New Roman"/>
          <w:lang w:val="en-US"/>
        </w:rPr>
        <w:t xml:space="preserve"> its position by arguing that trying to aim at all stakeholders would be an impossible task</w:t>
      </w:r>
      <w:r w:rsidR="00B4220F">
        <w:rPr>
          <w:rFonts w:ascii="Times New Roman" w:hAnsi="Times New Roman" w:cs="Times New Roman"/>
          <w:lang w:val="en-US"/>
        </w:rPr>
        <w:t xml:space="preserve"> and highlighted how</w:t>
      </w:r>
      <w:r w:rsidR="00A97B9F">
        <w:rPr>
          <w:rFonts w:ascii="Times New Roman" w:hAnsi="Times New Roman" w:cs="Times New Roman"/>
          <w:lang w:val="en-US"/>
        </w:rPr>
        <w:t xml:space="preserve"> </w:t>
      </w:r>
      <w:r w:rsidR="0038785F">
        <w:rPr>
          <w:rFonts w:ascii="Times New Roman" w:hAnsi="Times New Roman" w:cs="Times New Roman"/>
          <w:lang w:val="en-US"/>
        </w:rPr>
        <w:t xml:space="preserve">the framework </w:t>
      </w:r>
      <w:r w:rsidR="00A97B9F">
        <w:rPr>
          <w:rFonts w:ascii="Times New Roman" w:hAnsi="Times New Roman" w:cs="Times New Roman"/>
          <w:lang w:val="en-US"/>
        </w:rPr>
        <w:t>a</w:t>
      </w:r>
      <w:r w:rsidR="0038785F">
        <w:rPr>
          <w:rFonts w:ascii="Times New Roman" w:hAnsi="Times New Roman" w:cs="Times New Roman"/>
          <w:lang w:val="en-US"/>
        </w:rPr>
        <w:t>dvised companies to</w:t>
      </w:r>
      <w:r w:rsidR="00A97B9F">
        <w:rPr>
          <w:rFonts w:ascii="Times New Roman" w:hAnsi="Times New Roman" w:cs="Times New Roman"/>
          <w:lang w:val="en-US"/>
        </w:rPr>
        <w:t xml:space="preserve"> focus on stakeholder responsiveness. </w:t>
      </w:r>
      <w:r w:rsidR="00422BEF">
        <w:rPr>
          <w:rFonts w:ascii="Times New Roman" w:hAnsi="Times New Roman" w:cs="Times New Roman"/>
          <w:lang w:val="en-US"/>
        </w:rPr>
        <w:t xml:space="preserve">It reiterated </w:t>
      </w:r>
      <w:r w:rsidR="00422BEF" w:rsidRPr="00DD1E36">
        <w:rPr>
          <w:rFonts w:ascii="Times New Roman" w:hAnsi="Times New Roman" w:cs="Times New Roman"/>
          <w:lang w:val="en-US"/>
        </w:rPr>
        <w:t xml:space="preserve">the directional and influencing role it sought to </w:t>
      </w:r>
      <w:r w:rsidR="00A97B9F">
        <w:rPr>
          <w:rFonts w:ascii="Times New Roman" w:hAnsi="Times New Roman" w:cs="Times New Roman"/>
          <w:lang w:val="en-US"/>
        </w:rPr>
        <w:t xml:space="preserve">have </w:t>
      </w:r>
      <w:r w:rsidR="00422BEF" w:rsidRPr="00DD1E36">
        <w:rPr>
          <w:rFonts w:ascii="Times New Roman" w:hAnsi="Times New Roman" w:cs="Times New Roman"/>
          <w:lang w:val="en-US"/>
        </w:rPr>
        <w:t>on the investment community by helping direct financial capital to sustainable businesses undertaking long</w:t>
      </w:r>
      <w:r w:rsidR="004945E8">
        <w:rPr>
          <w:rFonts w:ascii="Times New Roman" w:hAnsi="Times New Roman" w:cs="Times New Roman"/>
          <w:lang w:val="en-US"/>
        </w:rPr>
        <w:t>-</w:t>
      </w:r>
      <w:r w:rsidR="00422BEF" w:rsidRPr="00DD1E36">
        <w:rPr>
          <w:rFonts w:ascii="Times New Roman" w:hAnsi="Times New Roman" w:cs="Times New Roman"/>
          <w:lang w:val="en-US"/>
        </w:rPr>
        <w:t xml:space="preserve">term value creation within planetary limits and societal expectations. </w:t>
      </w:r>
      <w:r w:rsidR="007847C2">
        <w:rPr>
          <w:rFonts w:ascii="Times New Roman" w:hAnsi="Times New Roman" w:cs="Times New Roman"/>
          <w:lang w:val="en-US"/>
        </w:rPr>
        <w:t>Thus</w:t>
      </w:r>
      <w:r w:rsidR="004D432F" w:rsidRPr="00DD1E36">
        <w:rPr>
          <w:rFonts w:ascii="Times New Roman" w:hAnsi="Times New Roman" w:cs="Times New Roman"/>
          <w:lang w:val="en-US"/>
        </w:rPr>
        <w:t>, even after the final framework launch</w:t>
      </w:r>
      <w:r w:rsidR="004D432F">
        <w:rPr>
          <w:rFonts w:ascii="Times New Roman" w:hAnsi="Times New Roman" w:cs="Times New Roman"/>
          <w:lang w:val="en-US"/>
        </w:rPr>
        <w:t>,</w:t>
      </w:r>
      <w:r w:rsidR="004D432F" w:rsidRPr="00DD1E36">
        <w:rPr>
          <w:rFonts w:ascii="Times New Roman" w:hAnsi="Times New Roman" w:cs="Times New Roman"/>
          <w:lang w:val="en-US"/>
        </w:rPr>
        <w:t xml:space="preserve"> the future</w:t>
      </w:r>
      <w:r w:rsidR="004A778F">
        <w:rPr>
          <w:rFonts w:ascii="Times New Roman" w:hAnsi="Times New Roman" w:cs="Times New Roman"/>
          <w:lang w:val="en-US"/>
        </w:rPr>
        <w:t xml:space="preserve"> endurance</w:t>
      </w:r>
      <w:r w:rsidR="004D432F" w:rsidRPr="00DD1E36">
        <w:rPr>
          <w:rFonts w:ascii="Times New Roman" w:hAnsi="Times New Roman" w:cs="Times New Roman"/>
          <w:lang w:val="en-US"/>
        </w:rPr>
        <w:t xml:space="preserve"> </w:t>
      </w:r>
      <w:r w:rsidR="00815620">
        <w:rPr>
          <w:rFonts w:ascii="Times New Roman" w:hAnsi="Times New Roman" w:cs="Times New Roman"/>
          <w:lang w:val="en-US"/>
        </w:rPr>
        <w:t xml:space="preserve">of </w:t>
      </w:r>
      <w:r w:rsidR="00121D10">
        <w:rPr>
          <w:rFonts w:ascii="Times New Roman" w:hAnsi="Times New Roman" w:cs="Times New Roman"/>
          <w:lang w:val="en-US"/>
        </w:rPr>
        <w:t>integrated reporting</w:t>
      </w:r>
      <w:r w:rsidR="004A778F">
        <w:rPr>
          <w:rFonts w:ascii="Times New Roman" w:hAnsi="Times New Roman" w:cs="Times New Roman"/>
          <w:lang w:val="en-US"/>
        </w:rPr>
        <w:t xml:space="preserve"> </w:t>
      </w:r>
      <w:r w:rsidR="004D432F" w:rsidRPr="00DD1E36">
        <w:rPr>
          <w:rFonts w:ascii="Times New Roman" w:hAnsi="Times New Roman" w:cs="Times New Roman"/>
          <w:lang w:val="en-US"/>
        </w:rPr>
        <w:t>remain</w:t>
      </w:r>
      <w:r w:rsidR="004D432F">
        <w:rPr>
          <w:rFonts w:ascii="Times New Roman" w:hAnsi="Times New Roman" w:cs="Times New Roman"/>
          <w:lang w:val="en-US"/>
        </w:rPr>
        <w:t>ed</w:t>
      </w:r>
      <w:r w:rsidR="004D432F" w:rsidRPr="00DD1E36">
        <w:rPr>
          <w:rFonts w:ascii="Times New Roman" w:hAnsi="Times New Roman" w:cs="Times New Roman"/>
          <w:lang w:val="en-US"/>
        </w:rPr>
        <w:t xml:space="preserve"> contingent </w:t>
      </w:r>
      <w:r w:rsidR="004945E8">
        <w:rPr>
          <w:rFonts w:ascii="Times New Roman" w:hAnsi="Times New Roman" w:cs="Times New Roman"/>
          <w:lang w:val="en-US"/>
        </w:rPr>
        <w:t>up</w:t>
      </w:r>
      <w:r w:rsidR="004D432F" w:rsidRPr="00DD1E36">
        <w:rPr>
          <w:rFonts w:ascii="Times New Roman" w:hAnsi="Times New Roman" w:cs="Times New Roman"/>
          <w:lang w:val="en-US"/>
        </w:rPr>
        <w:t xml:space="preserve">on </w:t>
      </w:r>
      <w:r w:rsidR="004D432F">
        <w:rPr>
          <w:rFonts w:ascii="Times New Roman" w:hAnsi="Times New Roman" w:cs="Times New Roman"/>
          <w:lang w:val="en-US"/>
        </w:rPr>
        <w:t xml:space="preserve">the success of the IIRC’s ongoing </w:t>
      </w:r>
      <w:r w:rsidR="004D432F" w:rsidRPr="00DD1E36">
        <w:rPr>
          <w:rFonts w:ascii="Times New Roman" w:hAnsi="Times New Roman" w:cs="Times New Roman"/>
          <w:lang w:val="en-US"/>
        </w:rPr>
        <w:t xml:space="preserve">quest to </w:t>
      </w:r>
      <w:r w:rsidR="00AC6DE3">
        <w:rPr>
          <w:rFonts w:ascii="Times New Roman" w:hAnsi="Times New Roman" w:cs="Times New Roman"/>
          <w:lang w:val="en-US"/>
        </w:rPr>
        <w:t>mobiliz</w:t>
      </w:r>
      <w:r w:rsidR="00794753">
        <w:rPr>
          <w:rFonts w:ascii="Times New Roman" w:hAnsi="Times New Roman" w:cs="Times New Roman"/>
          <w:lang w:val="en-US"/>
        </w:rPr>
        <w:t>e</w:t>
      </w:r>
      <w:r w:rsidR="00531AB5">
        <w:rPr>
          <w:rFonts w:ascii="Times New Roman" w:hAnsi="Times New Roman" w:cs="Times New Roman"/>
          <w:lang w:val="en-US"/>
        </w:rPr>
        <w:t xml:space="preserve"> or create</w:t>
      </w:r>
      <w:r w:rsidR="004D432F">
        <w:rPr>
          <w:rFonts w:ascii="Times New Roman" w:hAnsi="Times New Roman" w:cs="Times New Roman"/>
          <w:lang w:val="en-US"/>
        </w:rPr>
        <w:t xml:space="preserve"> </w:t>
      </w:r>
      <w:r w:rsidR="004D432F" w:rsidRPr="00DD1E36">
        <w:rPr>
          <w:rFonts w:ascii="Times New Roman" w:hAnsi="Times New Roman" w:cs="Times New Roman"/>
          <w:lang w:val="en-US"/>
        </w:rPr>
        <w:t>the</w:t>
      </w:r>
      <w:r w:rsidR="00672171">
        <w:rPr>
          <w:rFonts w:ascii="Times New Roman" w:hAnsi="Times New Roman" w:cs="Times New Roman"/>
          <w:lang w:val="en-US"/>
        </w:rPr>
        <w:t xml:space="preserve"> </w:t>
      </w:r>
      <w:r w:rsidR="004D432F" w:rsidRPr="00DD1E36">
        <w:rPr>
          <w:rFonts w:ascii="Times New Roman" w:hAnsi="Times New Roman" w:cs="Times New Roman"/>
          <w:lang w:val="en-US"/>
        </w:rPr>
        <w:t>long</w:t>
      </w:r>
      <w:r w:rsidR="004D432F">
        <w:rPr>
          <w:rFonts w:ascii="Times New Roman" w:hAnsi="Times New Roman" w:cs="Times New Roman"/>
          <w:lang w:val="en-US"/>
        </w:rPr>
        <w:t>-</w:t>
      </w:r>
      <w:r w:rsidR="004D432F" w:rsidRPr="00DD1E36">
        <w:rPr>
          <w:rFonts w:ascii="Times New Roman" w:hAnsi="Times New Roman" w:cs="Times New Roman"/>
          <w:lang w:val="en-US"/>
        </w:rPr>
        <w:t xml:space="preserve">term </w:t>
      </w:r>
      <w:r w:rsidR="00BD36F4">
        <w:rPr>
          <w:rFonts w:ascii="Times New Roman" w:hAnsi="Times New Roman" w:cs="Times New Roman"/>
          <w:lang w:val="en-US"/>
        </w:rPr>
        <w:t xml:space="preserve">enlightened </w:t>
      </w:r>
      <w:r w:rsidR="004D432F">
        <w:rPr>
          <w:rFonts w:ascii="Times New Roman" w:hAnsi="Times New Roman" w:cs="Times New Roman"/>
          <w:lang w:val="en-US"/>
        </w:rPr>
        <w:t>investo</w:t>
      </w:r>
      <w:r w:rsidR="004D432F" w:rsidRPr="00DD1E36">
        <w:rPr>
          <w:rFonts w:ascii="Times New Roman" w:hAnsi="Times New Roman" w:cs="Times New Roman"/>
          <w:lang w:val="en-US"/>
        </w:rPr>
        <w:t>r.</w:t>
      </w:r>
      <w:r w:rsidR="004D432F">
        <w:rPr>
          <w:rFonts w:ascii="Times New Roman" w:hAnsi="Times New Roman" w:cs="Times New Roman"/>
          <w:lang w:val="en-US"/>
        </w:rPr>
        <w:t xml:space="preserve"> </w:t>
      </w:r>
    </w:p>
    <w:p w14:paraId="2EF07483" w14:textId="77777777" w:rsidR="00BD36F4" w:rsidRPr="00B243F1" w:rsidRDefault="00BD36F4" w:rsidP="00422BEF">
      <w:pPr>
        <w:rPr>
          <w:lang w:val="en-US"/>
        </w:rPr>
      </w:pPr>
    </w:p>
    <w:p w14:paraId="049047A7" w14:textId="5A15114D" w:rsidR="000C2A50" w:rsidRPr="00A932FF" w:rsidRDefault="00D96FCE" w:rsidP="00A932FF">
      <w:pPr>
        <w:pStyle w:val="ListParagraph"/>
        <w:numPr>
          <w:ilvl w:val="0"/>
          <w:numId w:val="21"/>
        </w:numPr>
        <w:rPr>
          <w:rFonts w:ascii="Times New Roman" w:eastAsia="Times New Roman" w:hAnsi="Times New Roman" w:cs="Times New Roman"/>
          <w:b/>
          <w:color w:val="000000"/>
          <w:lang w:val="en-US"/>
        </w:rPr>
      </w:pPr>
      <w:r w:rsidRPr="00A932FF">
        <w:rPr>
          <w:rFonts w:ascii="Times New Roman" w:hAnsi="Times New Roman" w:cs="Times New Roman"/>
          <w:b/>
          <w:lang w:val="en-US"/>
        </w:rPr>
        <w:t xml:space="preserve">Discussion and </w:t>
      </w:r>
      <w:r w:rsidRPr="00A932FF">
        <w:rPr>
          <w:rFonts w:ascii="Times New Roman" w:eastAsia="Times New Roman" w:hAnsi="Times New Roman" w:cs="Times New Roman"/>
          <w:b/>
          <w:color w:val="000000"/>
          <w:lang w:val="en-US"/>
        </w:rPr>
        <w:t>conclusions</w:t>
      </w:r>
    </w:p>
    <w:p w14:paraId="4272BF61" w14:textId="22F8A70B" w:rsidR="00F3242D" w:rsidRDefault="00425DE1">
      <w:pPr>
        <w:spacing w:line="360" w:lineRule="auto"/>
        <w:ind w:firstLine="708"/>
        <w:jc w:val="both"/>
        <w:rPr>
          <w:rFonts w:ascii="Times New Roman" w:hAnsi="Times New Roman" w:cs="Times New Roman"/>
          <w:lang w:val="en-US"/>
        </w:rPr>
      </w:pPr>
      <w:r>
        <w:rPr>
          <w:rFonts w:ascii="Times New Roman" w:eastAsia="Times New Roman" w:hAnsi="Times New Roman" w:cs="Times New Roman"/>
          <w:color w:val="000000"/>
          <w:lang w:val="en-US"/>
        </w:rPr>
        <w:t>T</w:t>
      </w:r>
      <w:r w:rsidR="00032468" w:rsidRPr="00BC39A5">
        <w:rPr>
          <w:rFonts w:ascii="Times New Roman" w:eastAsia="Times New Roman" w:hAnsi="Times New Roman" w:cs="Times New Roman"/>
          <w:color w:val="000000"/>
          <w:lang w:val="en-US"/>
        </w:rPr>
        <w:t xml:space="preserve">he </w:t>
      </w:r>
      <w:r w:rsidR="006441DF">
        <w:rPr>
          <w:rFonts w:ascii="Times New Roman" w:eastAsia="Times New Roman" w:hAnsi="Times New Roman" w:cs="Times New Roman"/>
          <w:color w:val="000000"/>
          <w:lang w:val="en-US"/>
        </w:rPr>
        <w:t>emergence</w:t>
      </w:r>
      <w:r w:rsidR="008245E1">
        <w:rPr>
          <w:rFonts w:ascii="Times New Roman" w:eastAsia="Times New Roman" w:hAnsi="Times New Roman" w:cs="Times New Roman"/>
          <w:color w:val="000000"/>
          <w:lang w:val="en-US"/>
        </w:rPr>
        <w:t xml:space="preserve"> </w:t>
      </w:r>
      <w:r w:rsidR="00032468" w:rsidRPr="00BC39A5">
        <w:rPr>
          <w:rFonts w:ascii="Times New Roman" w:eastAsia="Times New Roman" w:hAnsi="Times New Roman" w:cs="Times New Roman"/>
          <w:color w:val="000000"/>
          <w:lang w:val="en-US"/>
        </w:rPr>
        <w:t xml:space="preserve">of </w:t>
      </w:r>
      <w:r w:rsidR="008245E1">
        <w:rPr>
          <w:rFonts w:ascii="Times New Roman" w:eastAsia="Times New Roman" w:hAnsi="Times New Roman" w:cs="Times New Roman"/>
          <w:color w:val="000000"/>
          <w:lang w:val="en-US"/>
        </w:rPr>
        <w:t xml:space="preserve">the IIRC and its advocacy of integrated reporting has been a relatively </w:t>
      </w:r>
      <w:r w:rsidR="006441DF">
        <w:rPr>
          <w:rFonts w:ascii="Times New Roman" w:eastAsia="Times New Roman" w:hAnsi="Times New Roman" w:cs="Times New Roman"/>
          <w:color w:val="000000"/>
          <w:lang w:val="en-US"/>
        </w:rPr>
        <w:t xml:space="preserve">rapid </w:t>
      </w:r>
      <w:r w:rsidR="008245E1">
        <w:rPr>
          <w:rFonts w:ascii="Times New Roman" w:eastAsia="Times New Roman" w:hAnsi="Times New Roman" w:cs="Times New Roman"/>
          <w:color w:val="000000"/>
          <w:lang w:val="en-US"/>
        </w:rPr>
        <w:t xml:space="preserve">phenomenon. </w:t>
      </w:r>
      <w:r w:rsidR="006441DF">
        <w:rPr>
          <w:rFonts w:ascii="Times New Roman" w:eastAsia="Times New Roman" w:hAnsi="Times New Roman" w:cs="Times New Roman"/>
          <w:color w:val="000000"/>
          <w:lang w:val="en-US"/>
        </w:rPr>
        <w:t xml:space="preserve">The IIRC has referred to the period </w:t>
      </w:r>
      <w:r w:rsidR="00BA0DCB">
        <w:rPr>
          <w:rFonts w:ascii="Times New Roman" w:eastAsia="Times New Roman" w:hAnsi="Times New Roman" w:cs="Times New Roman"/>
          <w:color w:val="000000"/>
          <w:lang w:val="en-US"/>
        </w:rPr>
        <w:t>studied</w:t>
      </w:r>
      <w:r w:rsidR="006441DF">
        <w:rPr>
          <w:rFonts w:ascii="Times New Roman" w:eastAsia="Times New Roman" w:hAnsi="Times New Roman" w:cs="Times New Roman"/>
          <w:color w:val="000000"/>
          <w:lang w:val="en-US"/>
        </w:rPr>
        <w:t xml:space="preserve"> in this paper as</w:t>
      </w:r>
      <w:r w:rsidR="009F0E96">
        <w:rPr>
          <w:rFonts w:ascii="Times New Roman" w:eastAsia="Times New Roman" w:hAnsi="Times New Roman" w:cs="Times New Roman"/>
          <w:color w:val="000000"/>
          <w:lang w:val="en-US"/>
        </w:rPr>
        <w:t xml:space="preserve"> </w:t>
      </w:r>
      <w:r w:rsidR="007D6649">
        <w:rPr>
          <w:rFonts w:ascii="Times New Roman" w:eastAsia="Times New Roman" w:hAnsi="Times New Roman" w:cs="Times New Roman"/>
          <w:color w:val="000000"/>
          <w:lang w:val="en-US"/>
        </w:rPr>
        <w:t xml:space="preserve">a combination of </w:t>
      </w:r>
      <w:r w:rsidR="006441DF">
        <w:rPr>
          <w:rFonts w:ascii="Times New Roman" w:eastAsia="Times New Roman" w:hAnsi="Times New Roman" w:cs="Times New Roman"/>
          <w:color w:val="000000"/>
          <w:lang w:val="en-US"/>
        </w:rPr>
        <w:t xml:space="preserve">the ‘feasibility </w:t>
      </w:r>
      <w:r w:rsidR="009F0E96">
        <w:rPr>
          <w:rFonts w:ascii="Times New Roman" w:eastAsia="Times New Roman" w:hAnsi="Times New Roman" w:cs="Times New Roman"/>
          <w:color w:val="000000"/>
          <w:lang w:val="en-US"/>
        </w:rPr>
        <w:t xml:space="preserve">and creation </w:t>
      </w:r>
      <w:r w:rsidR="006441DF">
        <w:rPr>
          <w:rFonts w:ascii="Times New Roman" w:eastAsia="Times New Roman" w:hAnsi="Times New Roman" w:cs="Times New Roman"/>
          <w:color w:val="000000"/>
          <w:lang w:val="en-US"/>
        </w:rPr>
        <w:t>phase</w:t>
      </w:r>
      <w:r w:rsidR="009F0E96">
        <w:rPr>
          <w:rFonts w:ascii="Times New Roman" w:eastAsia="Times New Roman" w:hAnsi="Times New Roman" w:cs="Times New Roman"/>
          <w:color w:val="000000"/>
          <w:lang w:val="en-US"/>
        </w:rPr>
        <w:t>s</w:t>
      </w:r>
      <w:r w:rsidR="006441DF">
        <w:rPr>
          <w:rFonts w:ascii="Times New Roman" w:eastAsia="Times New Roman" w:hAnsi="Times New Roman" w:cs="Times New Roman"/>
          <w:color w:val="000000"/>
          <w:lang w:val="en-US"/>
        </w:rPr>
        <w:t>’</w:t>
      </w:r>
      <w:r w:rsidR="00A54945">
        <w:rPr>
          <w:rFonts w:ascii="Times New Roman" w:eastAsia="Times New Roman" w:hAnsi="Times New Roman" w:cs="Times New Roman"/>
          <w:color w:val="000000"/>
          <w:lang w:val="en-US"/>
        </w:rPr>
        <w:t xml:space="preserve"> in the integrated reporting </w:t>
      </w:r>
      <w:r w:rsidR="007F7B0A">
        <w:rPr>
          <w:rFonts w:ascii="Times New Roman" w:eastAsia="Times New Roman" w:hAnsi="Times New Roman" w:cs="Times New Roman"/>
          <w:color w:val="000000"/>
          <w:lang w:val="en-US"/>
        </w:rPr>
        <w:t>‘</w:t>
      </w:r>
      <w:r w:rsidR="00A54945">
        <w:rPr>
          <w:rFonts w:ascii="Times New Roman" w:eastAsia="Times New Roman" w:hAnsi="Times New Roman" w:cs="Times New Roman"/>
          <w:color w:val="000000"/>
          <w:lang w:val="en-US"/>
        </w:rPr>
        <w:t>adoption curve</w:t>
      </w:r>
      <w:r w:rsidR="007F7B0A">
        <w:rPr>
          <w:rFonts w:ascii="Times New Roman" w:eastAsia="Times New Roman" w:hAnsi="Times New Roman" w:cs="Times New Roman"/>
          <w:color w:val="000000"/>
          <w:lang w:val="en-US"/>
        </w:rPr>
        <w:t>’</w:t>
      </w:r>
      <w:r w:rsidR="00446B14">
        <w:rPr>
          <w:rStyle w:val="FootnoteReference"/>
          <w:rFonts w:ascii="Times New Roman" w:eastAsia="Times New Roman" w:hAnsi="Times New Roman" w:cs="Times New Roman"/>
          <w:color w:val="000000"/>
          <w:lang w:val="en-US"/>
        </w:rPr>
        <w:footnoteReference w:id="35"/>
      </w:r>
      <w:r w:rsidR="006441DF">
        <w:rPr>
          <w:rFonts w:ascii="Times New Roman" w:eastAsia="Times New Roman" w:hAnsi="Times New Roman" w:cs="Times New Roman"/>
          <w:color w:val="000000"/>
          <w:lang w:val="en-US"/>
        </w:rPr>
        <w:t xml:space="preserve">. Throughout </w:t>
      </w:r>
      <w:r w:rsidR="009F0E96">
        <w:rPr>
          <w:rFonts w:ascii="Times New Roman" w:eastAsia="Times New Roman" w:hAnsi="Times New Roman" w:cs="Times New Roman"/>
          <w:color w:val="000000"/>
          <w:lang w:val="en-US"/>
        </w:rPr>
        <w:t xml:space="preserve">these </w:t>
      </w:r>
      <w:r w:rsidR="006441DF">
        <w:rPr>
          <w:rFonts w:ascii="Times New Roman" w:eastAsia="Times New Roman" w:hAnsi="Times New Roman" w:cs="Times New Roman"/>
          <w:color w:val="000000"/>
          <w:lang w:val="en-US"/>
        </w:rPr>
        <w:t>phase</w:t>
      </w:r>
      <w:r w:rsidR="009F0E96">
        <w:rPr>
          <w:rFonts w:ascii="Times New Roman" w:eastAsia="Times New Roman" w:hAnsi="Times New Roman" w:cs="Times New Roman"/>
          <w:color w:val="000000"/>
          <w:lang w:val="en-US"/>
        </w:rPr>
        <w:t>s</w:t>
      </w:r>
      <w:r w:rsidR="006441DF">
        <w:rPr>
          <w:rFonts w:ascii="Times New Roman" w:eastAsia="Times New Roman" w:hAnsi="Times New Roman" w:cs="Times New Roman"/>
          <w:color w:val="000000"/>
          <w:lang w:val="en-US"/>
        </w:rPr>
        <w:t xml:space="preserve"> it has been </w:t>
      </w:r>
      <w:r w:rsidR="004B4A52">
        <w:rPr>
          <w:rFonts w:ascii="Times New Roman" w:eastAsia="Times New Roman" w:hAnsi="Times New Roman" w:cs="Times New Roman"/>
          <w:color w:val="000000"/>
          <w:lang w:val="en-US"/>
        </w:rPr>
        <w:t xml:space="preserve">difficult </w:t>
      </w:r>
      <w:r w:rsidR="000C2A50" w:rsidRPr="00BC39A5">
        <w:rPr>
          <w:rFonts w:ascii="Times New Roman" w:eastAsia="Times New Roman" w:hAnsi="Times New Roman" w:cs="Times New Roman"/>
          <w:color w:val="000000"/>
          <w:lang w:val="en-US"/>
        </w:rPr>
        <w:t>to find outward</w:t>
      </w:r>
      <w:r w:rsidR="00307F0A" w:rsidRPr="00BC39A5">
        <w:rPr>
          <w:rFonts w:ascii="Times New Roman" w:eastAsia="Times New Roman" w:hAnsi="Times New Roman" w:cs="Times New Roman"/>
          <w:color w:val="000000"/>
          <w:lang w:val="en-US"/>
        </w:rPr>
        <w:t xml:space="preserve">ly negative comments about </w:t>
      </w:r>
      <w:r w:rsidR="00121D10">
        <w:rPr>
          <w:rFonts w:ascii="Times New Roman" w:eastAsia="Times New Roman" w:hAnsi="Times New Roman" w:cs="Times New Roman"/>
          <w:color w:val="000000"/>
          <w:lang w:val="en-US"/>
        </w:rPr>
        <w:t>integrated reporting</w:t>
      </w:r>
      <w:r w:rsidR="005F2970">
        <w:rPr>
          <w:rFonts w:ascii="Times New Roman" w:eastAsia="Times New Roman" w:hAnsi="Times New Roman" w:cs="Times New Roman"/>
          <w:color w:val="000000"/>
          <w:lang w:val="en-US"/>
        </w:rPr>
        <w:t xml:space="preserve"> among </w:t>
      </w:r>
      <w:r w:rsidR="00F470B4">
        <w:rPr>
          <w:rFonts w:ascii="Times New Roman" w:eastAsia="Times New Roman" w:hAnsi="Times New Roman" w:cs="Times New Roman"/>
          <w:color w:val="000000"/>
          <w:lang w:val="en-US"/>
        </w:rPr>
        <w:t xml:space="preserve">major establishment </w:t>
      </w:r>
      <w:r w:rsidR="005F2970">
        <w:rPr>
          <w:rFonts w:ascii="Times New Roman" w:eastAsia="Times New Roman" w:hAnsi="Times New Roman" w:cs="Times New Roman"/>
          <w:color w:val="000000"/>
          <w:lang w:val="en-US"/>
        </w:rPr>
        <w:t xml:space="preserve">actors in the corporate reporting </w:t>
      </w:r>
      <w:r w:rsidR="00264D2A">
        <w:rPr>
          <w:rFonts w:ascii="Times New Roman" w:eastAsia="Times New Roman" w:hAnsi="Times New Roman" w:cs="Times New Roman"/>
          <w:color w:val="000000"/>
          <w:lang w:val="en-US"/>
        </w:rPr>
        <w:t>field</w:t>
      </w:r>
      <w:r w:rsidR="00307F0A" w:rsidRPr="00BC39A5">
        <w:rPr>
          <w:rFonts w:ascii="Times New Roman" w:eastAsia="Times New Roman" w:hAnsi="Times New Roman" w:cs="Times New Roman"/>
          <w:color w:val="000000"/>
          <w:lang w:val="en-US"/>
        </w:rPr>
        <w:t xml:space="preserve">. </w:t>
      </w:r>
      <w:r w:rsidR="004B5212">
        <w:rPr>
          <w:rFonts w:ascii="Times New Roman" w:eastAsia="Times New Roman" w:hAnsi="Times New Roman" w:cs="Times New Roman"/>
          <w:color w:val="000000"/>
          <w:lang w:val="en-US"/>
        </w:rPr>
        <w:t>I</w:t>
      </w:r>
      <w:r w:rsidR="00121D10">
        <w:rPr>
          <w:rFonts w:ascii="Times New Roman" w:eastAsia="Times New Roman" w:hAnsi="Times New Roman" w:cs="Times New Roman"/>
          <w:color w:val="000000"/>
          <w:lang w:val="en-US"/>
        </w:rPr>
        <w:t>ntegrated reporting</w:t>
      </w:r>
      <w:r w:rsidR="004A778F" w:rsidRPr="00BC39A5">
        <w:rPr>
          <w:rFonts w:ascii="Times New Roman" w:eastAsia="Times New Roman" w:hAnsi="Times New Roman" w:cs="Times New Roman"/>
          <w:color w:val="000000"/>
          <w:lang w:val="en-US"/>
        </w:rPr>
        <w:t xml:space="preserve"> </w:t>
      </w:r>
      <w:r w:rsidR="004B4A52">
        <w:rPr>
          <w:rFonts w:ascii="Times New Roman" w:eastAsia="Times New Roman" w:hAnsi="Times New Roman" w:cs="Times New Roman"/>
          <w:color w:val="000000"/>
          <w:lang w:val="en-US"/>
        </w:rPr>
        <w:t>has been</w:t>
      </w:r>
      <w:r w:rsidR="000C2A50" w:rsidRPr="00BC39A5">
        <w:rPr>
          <w:rFonts w:ascii="Times New Roman" w:eastAsia="Times New Roman" w:hAnsi="Times New Roman" w:cs="Times New Roman"/>
          <w:color w:val="000000"/>
          <w:lang w:val="en-US"/>
        </w:rPr>
        <w:t xml:space="preserve"> routinely discussed and advocated</w:t>
      </w:r>
      <w:r w:rsidR="00F470B4">
        <w:rPr>
          <w:rFonts w:ascii="Times New Roman" w:eastAsia="Times New Roman" w:hAnsi="Times New Roman" w:cs="Times New Roman"/>
          <w:color w:val="000000"/>
          <w:lang w:val="en-US"/>
        </w:rPr>
        <w:t xml:space="preserve"> by such actors</w:t>
      </w:r>
      <w:r w:rsidR="000C2A50" w:rsidRPr="00BC39A5">
        <w:rPr>
          <w:rFonts w:ascii="Times New Roman" w:eastAsia="Times New Roman" w:hAnsi="Times New Roman" w:cs="Times New Roman"/>
          <w:color w:val="000000"/>
          <w:lang w:val="en-US"/>
        </w:rPr>
        <w:t xml:space="preserve"> in positive terms as an innovation that needed to happen, </w:t>
      </w:r>
      <w:r w:rsidR="004A778F">
        <w:rPr>
          <w:rFonts w:ascii="Times New Roman" w:eastAsia="Times New Roman" w:hAnsi="Times New Roman" w:cs="Times New Roman"/>
          <w:color w:val="000000"/>
          <w:lang w:val="en-US"/>
        </w:rPr>
        <w:t xml:space="preserve">and </w:t>
      </w:r>
      <w:r w:rsidR="000C2A50" w:rsidRPr="00BC39A5">
        <w:rPr>
          <w:rFonts w:ascii="Times New Roman" w:eastAsia="Times New Roman" w:hAnsi="Times New Roman" w:cs="Times New Roman"/>
          <w:color w:val="000000"/>
          <w:lang w:val="en-US"/>
        </w:rPr>
        <w:t xml:space="preserve">as something that </w:t>
      </w:r>
      <w:r w:rsidR="006441DF">
        <w:rPr>
          <w:rFonts w:ascii="Times New Roman" w:eastAsia="Times New Roman" w:hAnsi="Times New Roman" w:cs="Times New Roman"/>
          <w:color w:val="000000"/>
          <w:lang w:val="en-US"/>
        </w:rPr>
        <w:t xml:space="preserve">will </w:t>
      </w:r>
      <w:r w:rsidR="000C2A50" w:rsidRPr="00BC39A5">
        <w:rPr>
          <w:rFonts w:ascii="Times New Roman" w:eastAsia="Times New Roman" w:hAnsi="Times New Roman" w:cs="Times New Roman"/>
          <w:color w:val="000000"/>
          <w:lang w:val="en-US"/>
        </w:rPr>
        <w:t>lead the way in terms of the future devel</w:t>
      </w:r>
      <w:r w:rsidR="00637E20">
        <w:rPr>
          <w:rFonts w:ascii="Times New Roman" w:eastAsia="Times New Roman" w:hAnsi="Times New Roman" w:cs="Times New Roman"/>
          <w:color w:val="000000"/>
          <w:lang w:val="en-US"/>
        </w:rPr>
        <w:t>opment of corporate repo</w:t>
      </w:r>
      <w:r w:rsidR="005F2970">
        <w:rPr>
          <w:rFonts w:ascii="Times New Roman" w:eastAsia="Times New Roman" w:hAnsi="Times New Roman" w:cs="Times New Roman"/>
          <w:color w:val="000000"/>
          <w:lang w:val="en-US"/>
        </w:rPr>
        <w:t xml:space="preserve">rting. </w:t>
      </w:r>
      <w:r w:rsidR="004B4A52">
        <w:rPr>
          <w:rFonts w:ascii="Times New Roman" w:eastAsia="Times New Roman" w:hAnsi="Times New Roman" w:cs="Times New Roman"/>
          <w:color w:val="000000"/>
          <w:lang w:val="en-US"/>
        </w:rPr>
        <w:t>O</w:t>
      </w:r>
      <w:r w:rsidR="000C2A50" w:rsidRPr="00BC39A5">
        <w:rPr>
          <w:rFonts w:ascii="Times New Roman" w:eastAsia="Times New Roman" w:hAnsi="Times New Roman" w:cs="Times New Roman"/>
          <w:color w:val="000000"/>
          <w:lang w:val="en-US"/>
        </w:rPr>
        <w:t>ver the next few years</w:t>
      </w:r>
      <w:r w:rsidR="006441DF">
        <w:rPr>
          <w:rFonts w:ascii="Times New Roman" w:eastAsia="Times New Roman" w:hAnsi="Times New Roman" w:cs="Times New Roman"/>
          <w:color w:val="000000"/>
          <w:lang w:val="en-US"/>
        </w:rPr>
        <w:t xml:space="preserve"> as the IIRC move</w:t>
      </w:r>
      <w:r w:rsidR="004B4A52">
        <w:rPr>
          <w:rFonts w:ascii="Times New Roman" w:eastAsia="Times New Roman" w:hAnsi="Times New Roman" w:cs="Times New Roman"/>
          <w:color w:val="000000"/>
          <w:lang w:val="en-US"/>
        </w:rPr>
        <w:t>s</w:t>
      </w:r>
      <w:r w:rsidR="006441DF">
        <w:rPr>
          <w:rFonts w:ascii="Times New Roman" w:eastAsia="Times New Roman" w:hAnsi="Times New Roman" w:cs="Times New Roman"/>
          <w:color w:val="000000"/>
          <w:lang w:val="en-US"/>
        </w:rPr>
        <w:t xml:space="preserve"> through what it ref</w:t>
      </w:r>
      <w:r w:rsidR="00A54945">
        <w:rPr>
          <w:rFonts w:ascii="Times New Roman" w:eastAsia="Times New Roman" w:hAnsi="Times New Roman" w:cs="Times New Roman"/>
          <w:color w:val="000000"/>
          <w:lang w:val="en-US"/>
        </w:rPr>
        <w:t>ers to as the</w:t>
      </w:r>
      <w:r w:rsidR="006441DF">
        <w:rPr>
          <w:rFonts w:ascii="Times New Roman" w:eastAsia="Times New Roman" w:hAnsi="Times New Roman" w:cs="Times New Roman"/>
          <w:color w:val="000000"/>
          <w:lang w:val="en-US"/>
        </w:rPr>
        <w:t xml:space="preserve"> ‘breakthrough phase’</w:t>
      </w:r>
      <w:r w:rsidR="000C2A50" w:rsidRPr="00BC39A5">
        <w:rPr>
          <w:rFonts w:ascii="Times New Roman" w:eastAsia="Times New Roman" w:hAnsi="Times New Roman" w:cs="Times New Roman"/>
          <w:color w:val="000000"/>
          <w:lang w:val="en-US"/>
        </w:rPr>
        <w:t xml:space="preserve">, </w:t>
      </w:r>
      <w:r w:rsidR="004B4A52">
        <w:rPr>
          <w:rFonts w:ascii="Times New Roman" w:eastAsia="Times New Roman" w:hAnsi="Times New Roman" w:cs="Times New Roman"/>
          <w:color w:val="000000"/>
          <w:lang w:val="en-US"/>
        </w:rPr>
        <w:t xml:space="preserve">integrated reporting is likely </w:t>
      </w:r>
      <w:r w:rsidR="000C2A50" w:rsidRPr="00BC39A5">
        <w:rPr>
          <w:rFonts w:ascii="Times New Roman" w:eastAsia="Times New Roman" w:hAnsi="Times New Roman" w:cs="Times New Roman"/>
          <w:color w:val="000000"/>
          <w:lang w:val="en-US"/>
        </w:rPr>
        <w:t>to have a</w:t>
      </w:r>
      <w:r w:rsidR="004A778F">
        <w:rPr>
          <w:rFonts w:ascii="Times New Roman" w:eastAsia="Times New Roman" w:hAnsi="Times New Roman" w:cs="Times New Roman"/>
          <w:color w:val="000000"/>
          <w:lang w:val="en-US"/>
        </w:rPr>
        <w:t>n</w:t>
      </w:r>
      <w:r w:rsidR="000C2A50" w:rsidRPr="00BC39A5">
        <w:rPr>
          <w:rFonts w:ascii="Times New Roman" w:eastAsia="Times New Roman" w:hAnsi="Times New Roman" w:cs="Times New Roman"/>
          <w:color w:val="000000"/>
          <w:lang w:val="en-US"/>
        </w:rPr>
        <w:t xml:space="preserve"> int</w:t>
      </w:r>
      <w:r w:rsidR="00CD0CD5">
        <w:rPr>
          <w:rFonts w:ascii="Times New Roman" w:eastAsia="Times New Roman" w:hAnsi="Times New Roman" w:cs="Times New Roman"/>
          <w:color w:val="000000"/>
          <w:lang w:val="en-US"/>
        </w:rPr>
        <w:t xml:space="preserve">riguing </w:t>
      </w:r>
      <w:r w:rsidR="00531AB5">
        <w:rPr>
          <w:rFonts w:ascii="Times New Roman" w:eastAsia="Times New Roman" w:hAnsi="Times New Roman" w:cs="Times New Roman"/>
          <w:color w:val="000000"/>
          <w:lang w:val="en-US"/>
        </w:rPr>
        <w:t>and unpredictable</w:t>
      </w:r>
      <w:r w:rsidR="000C2A50" w:rsidRPr="00BC39A5">
        <w:rPr>
          <w:rFonts w:ascii="Times New Roman" w:eastAsia="Times New Roman" w:hAnsi="Times New Roman" w:cs="Times New Roman"/>
          <w:color w:val="000000"/>
          <w:lang w:val="en-US"/>
        </w:rPr>
        <w:t xml:space="preserve"> future</w:t>
      </w:r>
      <w:r w:rsidR="006441DF">
        <w:rPr>
          <w:rFonts w:ascii="Times New Roman" w:eastAsia="Times New Roman" w:hAnsi="Times New Roman" w:cs="Times New Roman"/>
          <w:color w:val="000000"/>
          <w:lang w:val="en-US"/>
        </w:rPr>
        <w:t>.</w:t>
      </w:r>
      <w:r w:rsidR="000C2A50" w:rsidRPr="00BC39A5">
        <w:rPr>
          <w:rFonts w:ascii="Times New Roman" w:eastAsia="Times New Roman" w:hAnsi="Times New Roman" w:cs="Times New Roman"/>
          <w:color w:val="000000"/>
          <w:lang w:val="en-US"/>
        </w:rPr>
        <w:t xml:space="preserve"> </w:t>
      </w:r>
      <w:r w:rsidR="00A54945">
        <w:rPr>
          <w:rFonts w:ascii="Times New Roman" w:eastAsia="Times New Roman" w:hAnsi="Times New Roman" w:cs="Times New Roman"/>
          <w:color w:val="000000"/>
          <w:lang w:val="en-US"/>
        </w:rPr>
        <w:t xml:space="preserve">This </w:t>
      </w:r>
      <w:r w:rsidR="000C3975">
        <w:rPr>
          <w:rFonts w:ascii="Times New Roman" w:eastAsia="Times New Roman" w:hAnsi="Times New Roman" w:cs="Times New Roman"/>
          <w:color w:val="000000"/>
          <w:lang w:val="en-US"/>
        </w:rPr>
        <w:t xml:space="preserve">current </w:t>
      </w:r>
      <w:r w:rsidR="00A54945">
        <w:rPr>
          <w:rFonts w:ascii="Times New Roman" w:eastAsia="Times New Roman" w:hAnsi="Times New Roman" w:cs="Times New Roman"/>
          <w:color w:val="000000"/>
          <w:lang w:val="en-US"/>
        </w:rPr>
        <w:t xml:space="preserve">paper has </w:t>
      </w:r>
      <w:r w:rsidR="000C3975">
        <w:rPr>
          <w:rFonts w:ascii="Times New Roman" w:eastAsia="Times New Roman" w:hAnsi="Times New Roman" w:cs="Times New Roman"/>
          <w:color w:val="000000"/>
          <w:lang w:val="en-US"/>
        </w:rPr>
        <w:t xml:space="preserve">focused on </w:t>
      </w:r>
      <w:r w:rsidR="000C3975">
        <w:rPr>
          <w:rFonts w:ascii="Times New Roman" w:hAnsi="Times New Roman" w:cs="Times New Roman"/>
          <w:lang w:val="en-US"/>
        </w:rPr>
        <w:t xml:space="preserve">developing </w:t>
      </w:r>
      <w:r w:rsidR="009F0E96">
        <w:rPr>
          <w:rFonts w:ascii="Times New Roman" w:hAnsi="Times New Roman" w:cs="Times New Roman"/>
          <w:lang w:val="en-US"/>
        </w:rPr>
        <w:t xml:space="preserve">understanding of how and why the IIRC </w:t>
      </w:r>
      <w:r w:rsidR="00676080">
        <w:rPr>
          <w:rFonts w:ascii="Times New Roman" w:hAnsi="Times New Roman" w:cs="Times New Roman"/>
          <w:lang w:val="en-US"/>
        </w:rPr>
        <w:t>has evolved over this</w:t>
      </w:r>
      <w:r w:rsidR="009F0E96">
        <w:rPr>
          <w:rFonts w:ascii="Times New Roman" w:hAnsi="Times New Roman" w:cs="Times New Roman"/>
          <w:lang w:val="en-US"/>
        </w:rPr>
        <w:t xml:space="preserve"> short period from its ince</w:t>
      </w:r>
      <w:r w:rsidR="007D6649">
        <w:rPr>
          <w:rFonts w:ascii="Times New Roman" w:hAnsi="Times New Roman" w:cs="Times New Roman"/>
          <w:lang w:val="en-US"/>
        </w:rPr>
        <w:t>ption up until the launch of the</w:t>
      </w:r>
      <w:r w:rsidR="009F0E96">
        <w:rPr>
          <w:rFonts w:ascii="Times New Roman" w:hAnsi="Times New Roman" w:cs="Times New Roman"/>
          <w:lang w:val="en-US"/>
        </w:rPr>
        <w:t xml:space="preserve"> final integrated reporting framework. </w:t>
      </w:r>
    </w:p>
    <w:p w14:paraId="15F3F1AD" w14:textId="5E423703" w:rsidR="009F0E96" w:rsidRPr="00BC39A5" w:rsidRDefault="009F0E96" w:rsidP="000C3975">
      <w:pPr>
        <w:spacing w:line="360" w:lineRule="auto"/>
        <w:ind w:firstLine="708"/>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Our </w:t>
      </w:r>
      <w:r w:rsidRPr="00BC39A5">
        <w:rPr>
          <w:rFonts w:ascii="Times New Roman" w:eastAsia="Times New Roman" w:hAnsi="Times New Roman" w:cs="Times New Roman"/>
          <w:color w:val="000000"/>
          <w:lang w:val="en-US"/>
        </w:rPr>
        <w:t xml:space="preserve">analysis </w:t>
      </w:r>
      <w:r w:rsidR="000C3975">
        <w:rPr>
          <w:rFonts w:ascii="Times New Roman" w:eastAsia="Times New Roman" w:hAnsi="Times New Roman" w:cs="Times New Roman"/>
          <w:color w:val="000000"/>
          <w:lang w:val="en-US"/>
        </w:rPr>
        <w:t xml:space="preserve">has </w:t>
      </w:r>
      <w:r w:rsidR="004B4A52">
        <w:rPr>
          <w:rFonts w:ascii="Times New Roman" w:eastAsia="Times New Roman" w:hAnsi="Times New Roman" w:cs="Times New Roman"/>
          <w:color w:val="000000"/>
          <w:lang w:val="en-US"/>
        </w:rPr>
        <w:t>unveil</w:t>
      </w:r>
      <w:r w:rsidR="000C3975">
        <w:rPr>
          <w:rFonts w:ascii="Times New Roman" w:eastAsia="Times New Roman" w:hAnsi="Times New Roman" w:cs="Times New Roman"/>
          <w:color w:val="000000"/>
          <w:lang w:val="en-US"/>
        </w:rPr>
        <w:t>ed</w:t>
      </w:r>
      <w:r w:rsidR="004B4A52">
        <w:rPr>
          <w:rFonts w:ascii="Times New Roman" w:eastAsia="Times New Roman" w:hAnsi="Times New Roman" w:cs="Times New Roman"/>
          <w:color w:val="000000"/>
          <w:lang w:val="en-US"/>
        </w:rPr>
        <w:t xml:space="preserve"> how </w:t>
      </w:r>
      <w:r w:rsidRPr="00BC39A5">
        <w:rPr>
          <w:rFonts w:ascii="Times New Roman" w:eastAsia="Times New Roman" w:hAnsi="Times New Roman" w:cs="Times New Roman"/>
          <w:color w:val="000000"/>
          <w:lang w:val="en-US"/>
        </w:rPr>
        <w:t xml:space="preserve">an emerging </w:t>
      </w:r>
      <w:r>
        <w:rPr>
          <w:rFonts w:ascii="Times New Roman" w:eastAsia="Times New Roman" w:hAnsi="Times New Roman" w:cs="Times New Roman"/>
          <w:color w:val="000000"/>
          <w:lang w:val="en-US"/>
        </w:rPr>
        <w:t>sub-</w:t>
      </w:r>
      <w:r w:rsidRPr="00BC39A5">
        <w:rPr>
          <w:rFonts w:ascii="Times New Roman" w:eastAsia="Times New Roman" w:hAnsi="Times New Roman" w:cs="Times New Roman"/>
          <w:color w:val="000000"/>
          <w:lang w:val="en-US"/>
        </w:rPr>
        <w:t>f</w:t>
      </w:r>
      <w:r>
        <w:rPr>
          <w:rFonts w:ascii="Times New Roman" w:eastAsia="Times New Roman" w:hAnsi="Times New Roman" w:cs="Times New Roman"/>
          <w:color w:val="000000"/>
          <w:lang w:val="en-US"/>
        </w:rPr>
        <w:t>ield</w:t>
      </w:r>
      <w:r w:rsidRPr="00BC39A5">
        <w:rPr>
          <w:rFonts w:ascii="Times New Roman" w:eastAsia="Times New Roman" w:hAnsi="Times New Roman" w:cs="Times New Roman"/>
          <w:color w:val="000000"/>
          <w:lang w:val="en-US"/>
        </w:rPr>
        <w:t xml:space="preserve"> of corporate reporting practice bec</w:t>
      </w:r>
      <w:r w:rsidR="000C3975">
        <w:rPr>
          <w:rFonts w:ascii="Times New Roman" w:eastAsia="Times New Roman" w:hAnsi="Times New Roman" w:cs="Times New Roman"/>
          <w:color w:val="000000"/>
          <w:lang w:val="en-US"/>
        </w:rPr>
        <w:t>a</w:t>
      </w:r>
      <w:r w:rsidRPr="00BC39A5">
        <w:rPr>
          <w:rFonts w:ascii="Times New Roman" w:eastAsia="Times New Roman" w:hAnsi="Times New Roman" w:cs="Times New Roman"/>
          <w:color w:val="000000"/>
          <w:lang w:val="en-US"/>
        </w:rPr>
        <w:t xml:space="preserve">me populated by different professional groups and associated interests and the effect that such patterns of </w:t>
      </w:r>
      <w:proofErr w:type="spellStart"/>
      <w:r w:rsidRPr="00BC39A5">
        <w:rPr>
          <w:rFonts w:ascii="Times New Roman" w:eastAsia="Times New Roman" w:hAnsi="Times New Roman" w:cs="Times New Roman"/>
          <w:color w:val="000000"/>
          <w:lang w:val="en-US"/>
        </w:rPr>
        <w:t>behavio</w:t>
      </w:r>
      <w:r w:rsidR="00EC132D">
        <w:rPr>
          <w:rFonts w:ascii="Times New Roman" w:eastAsia="Times New Roman" w:hAnsi="Times New Roman" w:cs="Times New Roman"/>
          <w:color w:val="000000"/>
          <w:lang w:val="en-US"/>
        </w:rPr>
        <w:t>u</w:t>
      </w:r>
      <w:r w:rsidRPr="00BC39A5">
        <w:rPr>
          <w:rFonts w:ascii="Times New Roman" w:eastAsia="Times New Roman" w:hAnsi="Times New Roman" w:cs="Times New Roman"/>
          <w:color w:val="000000"/>
          <w:lang w:val="en-US"/>
        </w:rPr>
        <w:t>r</w:t>
      </w:r>
      <w:proofErr w:type="spellEnd"/>
      <w:r w:rsidRPr="00BC39A5">
        <w:rPr>
          <w:rFonts w:ascii="Times New Roman" w:eastAsia="Times New Roman" w:hAnsi="Times New Roman" w:cs="Times New Roman"/>
          <w:color w:val="000000"/>
          <w:lang w:val="en-US"/>
        </w:rPr>
        <w:t xml:space="preserve"> and development ha</w:t>
      </w:r>
      <w:r w:rsidR="000C3975">
        <w:rPr>
          <w:rFonts w:ascii="Times New Roman" w:eastAsia="Times New Roman" w:hAnsi="Times New Roman" w:cs="Times New Roman"/>
          <w:color w:val="000000"/>
          <w:lang w:val="en-US"/>
        </w:rPr>
        <w:t>d</w:t>
      </w:r>
      <w:r w:rsidRPr="00BC39A5">
        <w:rPr>
          <w:rFonts w:ascii="Times New Roman" w:eastAsia="Times New Roman" w:hAnsi="Times New Roman" w:cs="Times New Roman"/>
          <w:color w:val="000000"/>
          <w:lang w:val="en-US"/>
        </w:rPr>
        <w:t xml:space="preserve"> on the resulting form and underlying philosophy of (</w:t>
      </w:r>
      <w:r>
        <w:rPr>
          <w:rFonts w:ascii="Times New Roman" w:eastAsia="Times New Roman" w:hAnsi="Times New Roman" w:cs="Times New Roman"/>
          <w:color w:val="000000"/>
          <w:lang w:val="en-US"/>
        </w:rPr>
        <w:t>integrated reporting</w:t>
      </w:r>
      <w:r w:rsidRPr="00BC39A5">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Such analysis tell</w:t>
      </w:r>
      <w:r w:rsidR="000C3975">
        <w:rPr>
          <w:rFonts w:ascii="Times New Roman" w:eastAsia="Times New Roman" w:hAnsi="Times New Roman" w:cs="Times New Roman"/>
          <w:color w:val="000000"/>
          <w:lang w:val="en-US"/>
        </w:rPr>
        <w:t>s</w:t>
      </w:r>
      <w:r>
        <w:rPr>
          <w:rFonts w:ascii="Times New Roman" w:eastAsia="Times New Roman" w:hAnsi="Times New Roman" w:cs="Times New Roman"/>
          <w:color w:val="000000"/>
          <w:lang w:val="en-US"/>
        </w:rPr>
        <w:t xml:space="preserve"> </w:t>
      </w:r>
      <w:r w:rsidRPr="00BC39A5">
        <w:rPr>
          <w:rFonts w:ascii="Times New Roman" w:eastAsia="Times New Roman" w:hAnsi="Times New Roman" w:cs="Times New Roman"/>
          <w:color w:val="000000"/>
          <w:lang w:val="en-US"/>
        </w:rPr>
        <w:t xml:space="preserve">us much about what </w:t>
      </w:r>
      <w:r>
        <w:rPr>
          <w:rFonts w:ascii="Times New Roman" w:eastAsia="Times New Roman" w:hAnsi="Times New Roman" w:cs="Times New Roman"/>
          <w:color w:val="000000"/>
          <w:lang w:val="en-US"/>
        </w:rPr>
        <w:t>integrated reporting</w:t>
      </w:r>
      <w:r w:rsidRPr="00BC39A5">
        <w:rPr>
          <w:rFonts w:ascii="Times New Roman" w:eastAsia="Times New Roman" w:hAnsi="Times New Roman" w:cs="Times New Roman"/>
          <w:color w:val="000000"/>
          <w:lang w:val="en-US"/>
        </w:rPr>
        <w:t xml:space="preserve"> is, what it represents, </w:t>
      </w:r>
      <w:r w:rsidR="00F3242D">
        <w:rPr>
          <w:rFonts w:ascii="Times New Roman" w:eastAsia="Times New Roman" w:hAnsi="Times New Roman" w:cs="Times New Roman"/>
          <w:color w:val="000000"/>
          <w:lang w:val="en-US"/>
        </w:rPr>
        <w:t xml:space="preserve">what it excludes, </w:t>
      </w:r>
      <w:r w:rsidRPr="00BC39A5">
        <w:rPr>
          <w:rFonts w:ascii="Times New Roman" w:eastAsia="Times New Roman" w:hAnsi="Times New Roman" w:cs="Times New Roman"/>
          <w:color w:val="000000"/>
          <w:lang w:val="en-US"/>
        </w:rPr>
        <w:t>from where it draws its strengths, what have been its primary successes and key constraints</w:t>
      </w:r>
      <w:r>
        <w:rPr>
          <w:rFonts w:ascii="Times New Roman" w:eastAsia="Times New Roman" w:hAnsi="Times New Roman" w:cs="Times New Roman"/>
          <w:color w:val="000000"/>
          <w:lang w:val="en-US"/>
        </w:rPr>
        <w:t>,</w:t>
      </w:r>
      <w:r w:rsidRPr="00BC39A5">
        <w:rPr>
          <w:rFonts w:ascii="Times New Roman" w:eastAsia="Times New Roman" w:hAnsi="Times New Roman" w:cs="Times New Roman"/>
          <w:color w:val="000000"/>
          <w:lang w:val="en-US"/>
        </w:rPr>
        <w:t xml:space="preserve"> and what particular challenges it faces in the for</w:t>
      </w:r>
      <w:r>
        <w:rPr>
          <w:rFonts w:ascii="Times New Roman" w:eastAsia="Times New Roman" w:hAnsi="Times New Roman" w:cs="Times New Roman"/>
          <w:color w:val="000000"/>
          <w:lang w:val="en-US"/>
        </w:rPr>
        <w:t>e</w:t>
      </w:r>
      <w:r w:rsidRPr="00BC39A5">
        <w:rPr>
          <w:rFonts w:ascii="Times New Roman" w:eastAsia="Times New Roman" w:hAnsi="Times New Roman" w:cs="Times New Roman"/>
          <w:color w:val="000000"/>
          <w:lang w:val="en-US"/>
        </w:rPr>
        <w:t>seeable future.</w:t>
      </w:r>
      <w:r w:rsidR="00387341">
        <w:rPr>
          <w:rFonts w:ascii="Times New Roman" w:eastAsia="Times New Roman" w:hAnsi="Times New Roman" w:cs="Times New Roman"/>
          <w:color w:val="000000"/>
          <w:lang w:val="en-US"/>
        </w:rPr>
        <w:t xml:space="preserve"> </w:t>
      </w:r>
      <w:r w:rsidR="007D6649">
        <w:rPr>
          <w:rFonts w:ascii="Times New Roman" w:eastAsia="Times New Roman" w:hAnsi="Times New Roman" w:cs="Times New Roman"/>
          <w:color w:val="000000"/>
          <w:lang w:val="en-US"/>
        </w:rPr>
        <w:t xml:space="preserve">In </w:t>
      </w:r>
      <w:r w:rsidR="00676080">
        <w:rPr>
          <w:rFonts w:ascii="Times New Roman" w:eastAsia="Times New Roman" w:hAnsi="Times New Roman" w:cs="Times New Roman"/>
          <w:color w:val="000000"/>
          <w:lang w:val="en-US"/>
        </w:rPr>
        <w:t xml:space="preserve">conducting </w:t>
      </w:r>
      <w:r w:rsidR="000C3975">
        <w:rPr>
          <w:rFonts w:ascii="Times New Roman" w:eastAsia="Times New Roman" w:hAnsi="Times New Roman" w:cs="Times New Roman"/>
          <w:color w:val="000000"/>
          <w:lang w:val="en-US"/>
        </w:rPr>
        <w:t xml:space="preserve">such </w:t>
      </w:r>
      <w:r w:rsidR="00676080">
        <w:rPr>
          <w:rFonts w:ascii="Times New Roman" w:eastAsia="Times New Roman" w:hAnsi="Times New Roman" w:cs="Times New Roman"/>
          <w:color w:val="000000"/>
          <w:lang w:val="en-US"/>
        </w:rPr>
        <w:t>analysis, t</w:t>
      </w:r>
      <w:r w:rsidR="00387341">
        <w:rPr>
          <w:rFonts w:ascii="Times New Roman" w:eastAsia="Times New Roman" w:hAnsi="Times New Roman" w:cs="Times New Roman"/>
          <w:color w:val="000000"/>
          <w:lang w:val="en-US"/>
        </w:rPr>
        <w:t xml:space="preserve">he paper </w:t>
      </w:r>
      <w:r w:rsidR="00D57FC8">
        <w:rPr>
          <w:rFonts w:ascii="Times New Roman" w:eastAsia="Times New Roman" w:hAnsi="Times New Roman" w:cs="Times New Roman"/>
          <w:color w:val="000000"/>
          <w:lang w:val="en-US"/>
        </w:rPr>
        <w:t xml:space="preserve">makes three key contributions to the literature. First, it advances </w:t>
      </w:r>
      <w:r w:rsidR="00676080">
        <w:rPr>
          <w:rFonts w:ascii="Times New Roman" w:hAnsi="Times New Roman" w:cs="Times New Roman"/>
          <w:lang w:val="en-US"/>
        </w:rPr>
        <w:t>the evolving</w:t>
      </w:r>
      <w:r w:rsidR="00387341">
        <w:rPr>
          <w:rFonts w:ascii="Times New Roman" w:hAnsi="Times New Roman" w:cs="Times New Roman"/>
          <w:lang w:val="en-US"/>
        </w:rPr>
        <w:t xml:space="preserve"> stream of academic work investigating the emergence of integrated reporting through its</w:t>
      </w:r>
      <w:r w:rsidR="00676080">
        <w:rPr>
          <w:rFonts w:ascii="Times New Roman" w:hAnsi="Times New Roman" w:cs="Times New Roman"/>
          <w:lang w:val="en-US"/>
        </w:rPr>
        <w:t xml:space="preserve"> unique</w:t>
      </w:r>
      <w:r w:rsidR="00387341">
        <w:rPr>
          <w:rFonts w:ascii="Times New Roman" w:hAnsi="Times New Roman" w:cs="Times New Roman"/>
          <w:lang w:val="en-US"/>
        </w:rPr>
        <w:t xml:space="preserve"> focus </w:t>
      </w:r>
      <w:r w:rsidR="00387341" w:rsidRPr="00121D10">
        <w:rPr>
          <w:rFonts w:ascii="Times New Roman" w:hAnsi="Times New Roman" w:cs="Times New Roman"/>
          <w:lang w:val="en-US"/>
        </w:rPr>
        <w:t xml:space="preserve">on the institutional dynamics surrounding the </w:t>
      </w:r>
      <w:r w:rsidR="00387341">
        <w:rPr>
          <w:rFonts w:ascii="Times New Roman" w:hAnsi="Times New Roman" w:cs="Times New Roman"/>
          <w:lang w:val="en-US"/>
        </w:rPr>
        <w:t xml:space="preserve">emergence </w:t>
      </w:r>
      <w:r w:rsidR="00387341" w:rsidRPr="00121D10">
        <w:rPr>
          <w:rFonts w:ascii="Times New Roman" w:hAnsi="Times New Roman" w:cs="Times New Roman"/>
          <w:lang w:val="en-US"/>
        </w:rPr>
        <w:t>o</w:t>
      </w:r>
      <w:r w:rsidR="00387341">
        <w:rPr>
          <w:rFonts w:ascii="Times New Roman" w:hAnsi="Times New Roman" w:cs="Times New Roman"/>
          <w:lang w:val="en-US"/>
        </w:rPr>
        <w:t>f the IIRC</w:t>
      </w:r>
      <w:r w:rsidR="001F1821">
        <w:rPr>
          <w:rFonts w:ascii="Times New Roman" w:hAnsi="Times New Roman" w:cs="Times New Roman"/>
          <w:lang w:val="en-US"/>
        </w:rPr>
        <w:t xml:space="preserve"> (see also, </w:t>
      </w:r>
      <w:proofErr w:type="spellStart"/>
      <w:r w:rsidR="001F1821">
        <w:rPr>
          <w:rFonts w:ascii="Times New Roman" w:hAnsi="Times New Roman" w:cs="Times New Roman"/>
          <w:lang w:val="en-US"/>
        </w:rPr>
        <w:t>Rowbottom</w:t>
      </w:r>
      <w:proofErr w:type="spellEnd"/>
      <w:r w:rsidR="001F1821">
        <w:rPr>
          <w:rFonts w:ascii="Times New Roman" w:hAnsi="Times New Roman" w:cs="Times New Roman"/>
          <w:lang w:val="en-US"/>
        </w:rPr>
        <w:t xml:space="preserve"> and Locke, 201</w:t>
      </w:r>
      <w:r w:rsidR="00FE59B0">
        <w:rPr>
          <w:rFonts w:ascii="Times New Roman" w:hAnsi="Times New Roman" w:cs="Times New Roman"/>
          <w:lang w:val="en-US"/>
        </w:rPr>
        <w:t>6</w:t>
      </w:r>
      <w:r w:rsidR="001F1821">
        <w:rPr>
          <w:rFonts w:ascii="Times New Roman" w:hAnsi="Times New Roman" w:cs="Times New Roman"/>
          <w:lang w:val="en-US"/>
        </w:rPr>
        <w:t>)</w:t>
      </w:r>
      <w:r w:rsidR="00387341">
        <w:rPr>
          <w:rFonts w:ascii="Times New Roman" w:hAnsi="Times New Roman" w:cs="Times New Roman"/>
          <w:lang w:val="en-US"/>
        </w:rPr>
        <w:t xml:space="preserve">. </w:t>
      </w:r>
      <w:r w:rsidR="00D57FC8">
        <w:rPr>
          <w:rFonts w:ascii="Times New Roman" w:hAnsi="Times New Roman" w:cs="Times New Roman"/>
          <w:lang w:val="en-US"/>
        </w:rPr>
        <w:t xml:space="preserve">Second, it </w:t>
      </w:r>
      <w:r w:rsidR="00F3242D">
        <w:rPr>
          <w:rFonts w:ascii="Times New Roman" w:hAnsi="Times New Roman" w:cs="Times New Roman"/>
          <w:lang w:val="en-US"/>
        </w:rPr>
        <w:t xml:space="preserve">develops </w:t>
      </w:r>
      <w:r w:rsidR="005B1A03" w:rsidRPr="00121D10">
        <w:rPr>
          <w:rFonts w:ascii="Times New Roman" w:hAnsi="Times New Roman" w:cs="Times New Roman"/>
          <w:lang w:val="en-US"/>
        </w:rPr>
        <w:t xml:space="preserve">Suddaby and </w:t>
      </w:r>
      <w:proofErr w:type="spellStart"/>
      <w:r w:rsidR="005B1A03" w:rsidRPr="00121D10">
        <w:rPr>
          <w:rFonts w:ascii="Times New Roman" w:hAnsi="Times New Roman" w:cs="Times New Roman"/>
          <w:lang w:val="en-US"/>
        </w:rPr>
        <w:t>Viale’s</w:t>
      </w:r>
      <w:proofErr w:type="spellEnd"/>
      <w:r w:rsidR="005B1A03">
        <w:rPr>
          <w:rFonts w:ascii="Times New Roman" w:hAnsi="Times New Roman" w:cs="Times New Roman"/>
          <w:lang w:val="en-US"/>
        </w:rPr>
        <w:t xml:space="preserve"> (2011)</w:t>
      </w:r>
      <w:r w:rsidR="00F3242D">
        <w:rPr>
          <w:rFonts w:ascii="Times New Roman" w:hAnsi="Times New Roman" w:cs="Times New Roman"/>
          <w:lang w:val="en-US"/>
        </w:rPr>
        <w:t xml:space="preserve"> theorization</w:t>
      </w:r>
      <w:r w:rsidR="005B1A03" w:rsidRPr="00121D10">
        <w:rPr>
          <w:rFonts w:ascii="Times New Roman" w:hAnsi="Times New Roman" w:cs="Times New Roman"/>
          <w:lang w:val="en-US"/>
        </w:rPr>
        <w:t xml:space="preserve"> </w:t>
      </w:r>
      <w:r w:rsidR="00F3242D">
        <w:rPr>
          <w:rFonts w:ascii="Times New Roman" w:hAnsi="Times New Roman" w:cs="Times New Roman"/>
          <w:lang w:val="en-US"/>
        </w:rPr>
        <w:t xml:space="preserve">of how </w:t>
      </w:r>
      <w:r w:rsidR="005B1A03">
        <w:rPr>
          <w:rFonts w:ascii="Times New Roman" w:hAnsi="Times New Roman" w:cs="Times New Roman"/>
          <w:lang w:val="en-US"/>
        </w:rPr>
        <w:t>professionals re</w:t>
      </w:r>
      <w:r w:rsidR="00F3242D">
        <w:rPr>
          <w:rFonts w:ascii="Times New Roman" w:hAnsi="Times New Roman" w:cs="Times New Roman"/>
          <w:lang w:val="en-US"/>
        </w:rPr>
        <w:t xml:space="preserve">configure organizational fields, utilizing </w:t>
      </w:r>
      <w:proofErr w:type="spellStart"/>
      <w:r w:rsidR="00F3242D">
        <w:rPr>
          <w:rFonts w:ascii="Times New Roman" w:hAnsi="Times New Roman" w:cs="Times New Roman"/>
          <w:lang w:val="en-US"/>
        </w:rPr>
        <w:t>Gieryn’s</w:t>
      </w:r>
      <w:proofErr w:type="spellEnd"/>
      <w:r w:rsidR="00F3242D">
        <w:rPr>
          <w:rFonts w:ascii="Times New Roman" w:hAnsi="Times New Roman" w:cs="Times New Roman"/>
          <w:lang w:val="en-US"/>
        </w:rPr>
        <w:t xml:space="preserve"> (1983) notion of boundary work to construct a more flexible and less </w:t>
      </w:r>
      <w:r w:rsidR="00F3242D">
        <w:rPr>
          <w:rFonts w:ascii="Times New Roman" w:hAnsi="Times New Roman" w:cs="Times New Roman"/>
          <w:lang w:val="en-US"/>
        </w:rPr>
        <w:lastRenderedPageBreak/>
        <w:t xml:space="preserve">deterministic analytical framing of such </w:t>
      </w:r>
      <w:proofErr w:type="spellStart"/>
      <w:r w:rsidR="00F3242D">
        <w:rPr>
          <w:rFonts w:ascii="Times New Roman" w:hAnsi="Times New Roman" w:cs="Times New Roman"/>
          <w:lang w:val="en-US"/>
        </w:rPr>
        <w:t>institutionalisation</w:t>
      </w:r>
      <w:proofErr w:type="spellEnd"/>
      <w:r w:rsidR="00F3242D">
        <w:rPr>
          <w:rFonts w:ascii="Times New Roman" w:hAnsi="Times New Roman" w:cs="Times New Roman"/>
          <w:lang w:val="en-US"/>
        </w:rPr>
        <w:t xml:space="preserve"> projects. </w:t>
      </w:r>
      <w:r w:rsidR="005B1A03">
        <w:rPr>
          <w:rFonts w:ascii="Times New Roman" w:hAnsi="Times New Roman" w:cs="Times New Roman"/>
          <w:lang w:val="en-US"/>
        </w:rPr>
        <w:t xml:space="preserve"> </w:t>
      </w:r>
      <w:r w:rsidR="00D57FC8">
        <w:rPr>
          <w:rFonts w:ascii="Times New Roman" w:hAnsi="Times New Roman" w:cs="Times New Roman"/>
          <w:lang w:val="en-US"/>
        </w:rPr>
        <w:t xml:space="preserve">Third, </w:t>
      </w:r>
      <w:r w:rsidR="00F3242D">
        <w:rPr>
          <w:rFonts w:ascii="Times New Roman" w:eastAsia="Times New Roman" w:hAnsi="Times New Roman" w:cs="Times New Roman"/>
          <w:color w:val="000000"/>
          <w:lang w:val="en-US"/>
        </w:rPr>
        <w:t xml:space="preserve">it stresses </w:t>
      </w:r>
      <w:r w:rsidR="00D57FC8" w:rsidRPr="00EA6237">
        <w:rPr>
          <w:rFonts w:ascii="Times New Roman" w:eastAsia="Times New Roman" w:hAnsi="Times New Roman" w:cs="Times New Roman"/>
          <w:color w:val="000000"/>
          <w:lang w:val="en-US"/>
        </w:rPr>
        <w:t>the</w:t>
      </w:r>
      <w:r w:rsidR="000C3975">
        <w:rPr>
          <w:rFonts w:ascii="Times New Roman" w:eastAsia="Times New Roman" w:hAnsi="Times New Roman" w:cs="Times New Roman"/>
          <w:color w:val="000000"/>
          <w:lang w:val="en-US"/>
        </w:rPr>
        <w:t xml:space="preserve"> broader, fundamental</w:t>
      </w:r>
      <w:r w:rsidR="00D57FC8" w:rsidRPr="00EA6237">
        <w:rPr>
          <w:rFonts w:ascii="Times New Roman" w:eastAsia="Times New Roman" w:hAnsi="Times New Roman" w:cs="Times New Roman"/>
          <w:color w:val="000000"/>
          <w:lang w:val="en-US"/>
        </w:rPr>
        <w:t xml:space="preserve"> impo</w:t>
      </w:r>
      <w:r w:rsidR="00676080">
        <w:rPr>
          <w:rFonts w:ascii="Times New Roman" w:eastAsia="Times New Roman" w:hAnsi="Times New Roman" w:cs="Times New Roman"/>
          <w:color w:val="000000"/>
          <w:lang w:val="en-US"/>
        </w:rPr>
        <w:t>rtance of institutional analysis</w:t>
      </w:r>
      <w:r w:rsidR="00D57FC8" w:rsidRPr="00EA6237">
        <w:rPr>
          <w:rFonts w:ascii="Times New Roman" w:eastAsia="Times New Roman" w:hAnsi="Times New Roman" w:cs="Times New Roman"/>
          <w:color w:val="000000"/>
          <w:lang w:val="en-US"/>
        </w:rPr>
        <w:t xml:space="preserve"> considering connections </w:t>
      </w:r>
      <w:r w:rsidR="00D57FC8" w:rsidRPr="00EA6237">
        <w:rPr>
          <w:rFonts w:ascii="Times New Roman" w:eastAsia="Times New Roman" w:hAnsi="Times New Roman" w:cs="Times New Roman"/>
          <w:i/>
          <w:color w:val="000000"/>
          <w:lang w:val="en-US"/>
        </w:rPr>
        <w:t xml:space="preserve">across </w:t>
      </w:r>
      <w:r w:rsidR="00D57FC8" w:rsidRPr="00EA6237">
        <w:rPr>
          <w:rFonts w:ascii="Times New Roman" w:eastAsia="Times New Roman" w:hAnsi="Times New Roman" w:cs="Times New Roman"/>
          <w:color w:val="000000"/>
          <w:lang w:val="en-US"/>
        </w:rPr>
        <w:t>related organizational fields</w:t>
      </w:r>
      <w:r w:rsidR="00676080">
        <w:rPr>
          <w:rFonts w:ascii="Times New Roman" w:eastAsia="Times New Roman" w:hAnsi="Times New Roman" w:cs="Times New Roman"/>
          <w:color w:val="000000"/>
          <w:lang w:val="en-US"/>
        </w:rPr>
        <w:t xml:space="preserve"> when seeking to understand reconfiguration efforts</w:t>
      </w:r>
      <w:r w:rsidR="000C3975">
        <w:rPr>
          <w:rFonts w:ascii="Times New Roman" w:eastAsia="Times New Roman" w:hAnsi="Times New Roman" w:cs="Times New Roman"/>
          <w:color w:val="000000"/>
          <w:lang w:val="en-US"/>
        </w:rPr>
        <w:t xml:space="preserve"> </w:t>
      </w:r>
      <w:r w:rsidR="000C3975">
        <w:rPr>
          <w:rFonts w:ascii="Times New Roman" w:eastAsia="Times New Roman" w:hAnsi="Times New Roman" w:cs="Times New Roman"/>
          <w:i/>
          <w:color w:val="000000"/>
          <w:lang w:val="en-US"/>
        </w:rPr>
        <w:t xml:space="preserve">within </w:t>
      </w:r>
      <w:r w:rsidR="000C3975">
        <w:rPr>
          <w:rFonts w:ascii="Times New Roman" w:eastAsia="Times New Roman" w:hAnsi="Times New Roman" w:cs="Times New Roman"/>
          <w:color w:val="000000"/>
          <w:lang w:val="en-US"/>
        </w:rPr>
        <w:t>individual fields</w:t>
      </w:r>
      <w:r w:rsidR="00C71258">
        <w:rPr>
          <w:rFonts w:ascii="Times New Roman" w:hAnsi="Times New Roman" w:cs="Times New Roman"/>
          <w:lang w:val="en-US"/>
        </w:rPr>
        <w:t>.</w:t>
      </w:r>
    </w:p>
    <w:p w14:paraId="01B2FDE0" w14:textId="2E839078" w:rsidR="007F7B0A" w:rsidRPr="00BC39A5" w:rsidRDefault="00446611" w:rsidP="007F7B0A">
      <w:pPr>
        <w:spacing w:line="360" w:lineRule="auto"/>
        <w:ind w:firstLine="708"/>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The paper </w:t>
      </w:r>
      <w:r w:rsidR="007F7B0A" w:rsidRPr="00BC39A5">
        <w:rPr>
          <w:rFonts w:ascii="Times New Roman" w:eastAsia="Times New Roman" w:hAnsi="Times New Roman" w:cs="Times New Roman"/>
          <w:color w:val="000000"/>
          <w:lang w:val="en-US"/>
        </w:rPr>
        <w:t xml:space="preserve">identified four key elements to the IIRC’s strategy with respect to the promotion and development of </w:t>
      </w:r>
      <w:r w:rsidR="007F7B0A">
        <w:rPr>
          <w:rFonts w:ascii="Times New Roman" w:eastAsia="Times New Roman" w:hAnsi="Times New Roman" w:cs="Times New Roman"/>
          <w:color w:val="000000"/>
          <w:lang w:val="en-US"/>
        </w:rPr>
        <w:t xml:space="preserve">integrated reporting, which </w:t>
      </w:r>
      <w:r w:rsidR="00C96FEB">
        <w:rPr>
          <w:rFonts w:ascii="Times New Roman" w:eastAsia="Times New Roman" w:hAnsi="Times New Roman" w:cs="Times New Roman"/>
          <w:color w:val="000000"/>
          <w:lang w:val="en-US"/>
        </w:rPr>
        <w:t xml:space="preserve">were </w:t>
      </w:r>
      <w:r w:rsidR="00172F35">
        <w:rPr>
          <w:rFonts w:ascii="Times New Roman" w:eastAsia="Times New Roman" w:hAnsi="Times New Roman" w:cs="Times New Roman"/>
          <w:color w:val="000000"/>
          <w:lang w:val="en-US"/>
        </w:rPr>
        <w:t xml:space="preserve">frequently </w:t>
      </w:r>
      <w:r w:rsidR="007F7B0A">
        <w:rPr>
          <w:rFonts w:ascii="Times New Roman" w:eastAsia="Times New Roman" w:hAnsi="Times New Roman" w:cs="Times New Roman"/>
          <w:color w:val="000000"/>
          <w:lang w:val="en-US"/>
        </w:rPr>
        <w:t>underpinned by forms of boundary work</w:t>
      </w:r>
      <w:r w:rsidR="007F7B0A" w:rsidRPr="00BC39A5">
        <w:rPr>
          <w:rFonts w:ascii="Times New Roman" w:eastAsia="Times New Roman" w:hAnsi="Times New Roman" w:cs="Times New Roman"/>
          <w:color w:val="000000"/>
          <w:lang w:val="en-US"/>
        </w:rPr>
        <w:t xml:space="preserve">. The first element was the IIRC’s vivid attempt to </w:t>
      </w:r>
      <w:r w:rsidR="00F3242D">
        <w:rPr>
          <w:rFonts w:ascii="Times New Roman" w:eastAsia="Times New Roman" w:hAnsi="Times New Roman" w:cs="Times New Roman"/>
          <w:color w:val="000000"/>
          <w:lang w:val="en-US"/>
        </w:rPr>
        <w:t>mobiliz</w:t>
      </w:r>
      <w:r w:rsidR="00794753">
        <w:rPr>
          <w:rFonts w:ascii="Times New Roman" w:eastAsia="Times New Roman" w:hAnsi="Times New Roman" w:cs="Times New Roman"/>
          <w:color w:val="000000"/>
          <w:lang w:val="en-US"/>
        </w:rPr>
        <w:t>e</w:t>
      </w:r>
      <w:r w:rsidR="007F7B0A" w:rsidRPr="00BC39A5">
        <w:rPr>
          <w:rFonts w:ascii="Times New Roman" w:eastAsia="Times New Roman" w:hAnsi="Times New Roman" w:cs="Times New Roman"/>
          <w:color w:val="000000"/>
          <w:lang w:val="en-US"/>
        </w:rPr>
        <w:t xml:space="preserve"> interest in the idea of </w:t>
      </w:r>
      <w:r w:rsidR="007F7B0A">
        <w:rPr>
          <w:rFonts w:ascii="Times New Roman" w:eastAsia="Times New Roman" w:hAnsi="Times New Roman" w:cs="Times New Roman"/>
          <w:color w:val="000000"/>
          <w:lang w:val="en-US"/>
        </w:rPr>
        <w:t>integrated reporting</w:t>
      </w:r>
      <w:r w:rsidR="007F7B0A" w:rsidRPr="00BC39A5">
        <w:rPr>
          <w:rFonts w:ascii="Times New Roman" w:eastAsia="Times New Roman" w:hAnsi="Times New Roman" w:cs="Times New Roman"/>
          <w:color w:val="000000"/>
          <w:lang w:val="en-US"/>
        </w:rPr>
        <w:t xml:space="preserve"> and to populate the conceptual space in such a way that</w:t>
      </w:r>
      <w:r w:rsidR="007F7B0A">
        <w:rPr>
          <w:rFonts w:ascii="Times New Roman" w:eastAsia="Times New Roman" w:hAnsi="Times New Roman" w:cs="Times New Roman"/>
          <w:color w:val="000000"/>
          <w:lang w:val="en-US"/>
        </w:rPr>
        <w:t xml:space="preserve"> integrated reporting was contrasted with existing forms of corporate reporting</w:t>
      </w:r>
      <w:r w:rsidR="007F7B0A" w:rsidRPr="00BC39A5">
        <w:rPr>
          <w:rFonts w:ascii="Times New Roman" w:eastAsia="Times New Roman" w:hAnsi="Times New Roman" w:cs="Times New Roman"/>
          <w:color w:val="000000"/>
          <w:lang w:val="en-US"/>
        </w:rPr>
        <w:t xml:space="preserve"> </w:t>
      </w:r>
      <w:r w:rsidR="007F7B0A">
        <w:rPr>
          <w:rFonts w:ascii="Times New Roman" w:eastAsia="Times New Roman" w:hAnsi="Times New Roman" w:cs="Times New Roman"/>
          <w:color w:val="000000"/>
          <w:lang w:val="en-US"/>
        </w:rPr>
        <w:t xml:space="preserve">and </w:t>
      </w:r>
      <w:r w:rsidR="007F7B0A" w:rsidRPr="00BC39A5">
        <w:rPr>
          <w:rFonts w:ascii="Times New Roman" w:eastAsia="Times New Roman" w:hAnsi="Times New Roman" w:cs="Times New Roman"/>
          <w:color w:val="000000"/>
          <w:lang w:val="en-US"/>
        </w:rPr>
        <w:t>presented</w:t>
      </w:r>
      <w:r w:rsidR="007F7B0A">
        <w:rPr>
          <w:rFonts w:ascii="Times New Roman" w:eastAsia="Times New Roman" w:hAnsi="Times New Roman" w:cs="Times New Roman"/>
          <w:color w:val="000000"/>
          <w:lang w:val="en-US"/>
        </w:rPr>
        <w:t xml:space="preserve"> </w:t>
      </w:r>
      <w:r w:rsidR="007F7B0A" w:rsidRPr="00BC39A5">
        <w:rPr>
          <w:rFonts w:ascii="Times New Roman" w:eastAsia="Times New Roman" w:hAnsi="Times New Roman" w:cs="Times New Roman"/>
          <w:color w:val="000000"/>
          <w:lang w:val="en-US"/>
        </w:rPr>
        <w:t xml:space="preserve">as vital for the broader social good and a </w:t>
      </w:r>
      <w:r w:rsidR="007F7B0A">
        <w:rPr>
          <w:rFonts w:ascii="Times New Roman" w:eastAsia="Times New Roman" w:hAnsi="Times New Roman" w:cs="Times New Roman"/>
          <w:color w:val="000000"/>
          <w:lang w:val="en-US"/>
        </w:rPr>
        <w:t>‘</w:t>
      </w:r>
      <w:r w:rsidR="007F7B0A" w:rsidRPr="00BC39A5">
        <w:rPr>
          <w:rFonts w:ascii="Times New Roman" w:eastAsia="Times New Roman" w:hAnsi="Times New Roman" w:cs="Times New Roman"/>
          <w:color w:val="000000"/>
          <w:lang w:val="en-US"/>
        </w:rPr>
        <w:t>truly</w:t>
      </w:r>
      <w:r w:rsidR="007F7B0A">
        <w:rPr>
          <w:rFonts w:ascii="Times New Roman" w:eastAsia="Times New Roman" w:hAnsi="Times New Roman" w:cs="Times New Roman"/>
          <w:color w:val="000000"/>
          <w:lang w:val="en-US"/>
        </w:rPr>
        <w:t>’</w:t>
      </w:r>
      <w:r w:rsidR="007F7B0A" w:rsidRPr="00BC39A5">
        <w:rPr>
          <w:rFonts w:ascii="Times New Roman" w:eastAsia="Times New Roman" w:hAnsi="Times New Roman" w:cs="Times New Roman"/>
          <w:color w:val="000000"/>
          <w:lang w:val="en-US"/>
        </w:rPr>
        <w:t xml:space="preserve"> sustainable society</w:t>
      </w:r>
      <w:r w:rsidR="007F7B0A">
        <w:rPr>
          <w:rFonts w:ascii="Times New Roman" w:eastAsia="Times New Roman" w:hAnsi="Times New Roman" w:cs="Times New Roman"/>
          <w:color w:val="000000"/>
          <w:lang w:val="en-US"/>
        </w:rPr>
        <w:t xml:space="preserve">. This initial phase involved the selection of the ‘contrast case’ of financial reporting, against which the key characteristics assigned to integrated reporting were positioned. The boundary work of marginalization (Llewellyn, 1998) was </w:t>
      </w:r>
      <w:r w:rsidR="003E7CD1">
        <w:rPr>
          <w:rFonts w:ascii="Times New Roman" w:eastAsia="Times New Roman" w:hAnsi="Times New Roman" w:cs="Times New Roman"/>
          <w:color w:val="000000"/>
          <w:lang w:val="en-US"/>
        </w:rPr>
        <w:t>enrol</w:t>
      </w:r>
      <w:r w:rsidR="00EC132D">
        <w:rPr>
          <w:rFonts w:ascii="Times New Roman" w:eastAsia="Times New Roman" w:hAnsi="Times New Roman" w:cs="Times New Roman"/>
          <w:color w:val="000000"/>
          <w:lang w:val="en-US"/>
        </w:rPr>
        <w:t>l</w:t>
      </w:r>
      <w:r w:rsidR="007F7B0A">
        <w:rPr>
          <w:rFonts w:ascii="Times New Roman" w:eastAsia="Times New Roman" w:hAnsi="Times New Roman" w:cs="Times New Roman"/>
          <w:color w:val="000000"/>
          <w:lang w:val="en-US"/>
        </w:rPr>
        <w:t xml:space="preserve">ed to suggest that integrated reporting would ultimately replace financial reporting. This phase was replete with examples of professionals with significant social capital creating new, but vague, intellectual spaces for future population. Integrated reporting </w:t>
      </w:r>
      <w:r w:rsidR="007F7B0A" w:rsidRPr="00BC39A5">
        <w:rPr>
          <w:rFonts w:ascii="Times New Roman" w:eastAsia="Times New Roman" w:hAnsi="Times New Roman" w:cs="Times New Roman"/>
          <w:color w:val="000000"/>
          <w:lang w:val="en-US"/>
        </w:rPr>
        <w:t>was</w:t>
      </w:r>
      <w:r w:rsidR="001F1821">
        <w:rPr>
          <w:rFonts w:ascii="Times New Roman" w:eastAsia="Times New Roman" w:hAnsi="Times New Roman" w:cs="Times New Roman"/>
          <w:color w:val="000000"/>
          <w:lang w:val="en-US"/>
        </w:rPr>
        <w:t xml:space="preserve"> </w:t>
      </w:r>
      <w:r w:rsidR="007F7B0A" w:rsidRPr="00BC39A5">
        <w:rPr>
          <w:rFonts w:ascii="Times New Roman" w:eastAsia="Times New Roman" w:hAnsi="Times New Roman" w:cs="Times New Roman"/>
          <w:color w:val="000000"/>
          <w:lang w:val="en-US"/>
        </w:rPr>
        <w:t xml:space="preserve">a concept that had something for ‘everyone’ and something </w:t>
      </w:r>
      <w:r w:rsidR="000C3975">
        <w:rPr>
          <w:rFonts w:ascii="Times New Roman" w:eastAsia="Times New Roman" w:hAnsi="Times New Roman" w:cs="Times New Roman"/>
          <w:color w:val="000000"/>
          <w:lang w:val="en-US"/>
        </w:rPr>
        <w:t xml:space="preserve">of which </w:t>
      </w:r>
      <w:r w:rsidR="007F7B0A">
        <w:rPr>
          <w:rFonts w:ascii="Times New Roman" w:eastAsia="Times New Roman" w:hAnsi="Times New Roman" w:cs="Times New Roman"/>
          <w:color w:val="000000"/>
          <w:lang w:val="en-US"/>
        </w:rPr>
        <w:t>‘</w:t>
      </w:r>
      <w:r w:rsidR="007F7B0A" w:rsidRPr="00BC39A5">
        <w:rPr>
          <w:rFonts w:ascii="Times New Roman" w:eastAsia="Times New Roman" w:hAnsi="Times New Roman" w:cs="Times New Roman"/>
          <w:color w:val="000000"/>
          <w:lang w:val="en-US"/>
        </w:rPr>
        <w:t>everyone</w:t>
      </w:r>
      <w:r w:rsidR="007F7B0A">
        <w:rPr>
          <w:rFonts w:ascii="Times New Roman" w:eastAsia="Times New Roman" w:hAnsi="Times New Roman" w:cs="Times New Roman"/>
          <w:color w:val="000000"/>
          <w:lang w:val="en-US"/>
        </w:rPr>
        <w:t>’</w:t>
      </w:r>
      <w:r w:rsidR="007F7B0A" w:rsidRPr="00BC39A5">
        <w:rPr>
          <w:rFonts w:ascii="Times New Roman" w:eastAsia="Times New Roman" w:hAnsi="Times New Roman" w:cs="Times New Roman"/>
          <w:color w:val="000000"/>
          <w:lang w:val="en-US"/>
        </w:rPr>
        <w:t xml:space="preserve"> </w:t>
      </w:r>
      <w:r w:rsidR="007F7B0A">
        <w:rPr>
          <w:rFonts w:ascii="Times New Roman" w:eastAsia="Times New Roman" w:hAnsi="Times New Roman" w:cs="Times New Roman"/>
          <w:color w:val="000000"/>
          <w:lang w:val="en-US"/>
        </w:rPr>
        <w:t>apparently should</w:t>
      </w:r>
      <w:r w:rsidR="007F7B0A" w:rsidRPr="00BC39A5">
        <w:rPr>
          <w:rFonts w:ascii="Times New Roman" w:eastAsia="Times New Roman" w:hAnsi="Times New Roman" w:cs="Times New Roman"/>
          <w:color w:val="000000"/>
          <w:lang w:val="en-US"/>
        </w:rPr>
        <w:t xml:space="preserve"> be a par</w:t>
      </w:r>
      <w:r w:rsidR="000C3975">
        <w:rPr>
          <w:rFonts w:ascii="Times New Roman" w:eastAsia="Times New Roman" w:hAnsi="Times New Roman" w:cs="Times New Roman"/>
          <w:color w:val="000000"/>
          <w:lang w:val="en-US"/>
        </w:rPr>
        <w:t>t</w:t>
      </w:r>
      <w:r w:rsidR="007F7B0A" w:rsidRPr="00BC39A5">
        <w:rPr>
          <w:rFonts w:ascii="Times New Roman" w:eastAsia="Times New Roman" w:hAnsi="Times New Roman" w:cs="Times New Roman"/>
          <w:color w:val="000000"/>
          <w:lang w:val="en-US"/>
        </w:rPr>
        <w:t>. Th</w:t>
      </w:r>
      <w:r w:rsidR="00FE59B0">
        <w:rPr>
          <w:rFonts w:ascii="Times New Roman" w:eastAsia="Times New Roman" w:hAnsi="Times New Roman" w:cs="Times New Roman"/>
          <w:color w:val="000000"/>
          <w:lang w:val="en-US"/>
        </w:rPr>
        <w:t xml:space="preserve">ese claims </w:t>
      </w:r>
      <w:r w:rsidR="007F7B0A" w:rsidRPr="00BC39A5">
        <w:rPr>
          <w:rFonts w:ascii="Times New Roman" w:eastAsia="Times New Roman" w:hAnsi="Times New Roman" w:cs="Times New Roman"/>
          <w:color w:val="000000"/>
          <w:lang w:val="en-US"/>
        </w:rPr>
        <w:t>w</w:t>
      </w:r>
      <w:r w:rsidR="00FE59B0">
        <w:rPr>
          <w:rFonts w:ascii="Times New Roman" w:eastAsia="Times New Roman" w:hAnsi="Times New Roman" w:cs="Times New Roman"/>
          <w:color w:val="000000"/>
          <w:lang w:val="en-US"/>
        </w:rPr>
        <w:t>ere</w:t>
      </w:r>
      <w:r w:rsidR="007F7B0A" w:rsidRPr="00BC39A5">
        <w:rPr>
          <w:rFonts w:ascii="Times New Roman" w:eastAsia="Times New Roman" w:hAnsi="Times New Roman" w:cs="Times New Roman"/>
          <w:color w:val="000000"/>
          <w:lang w:val="en-US"/>
        </w:rPr>
        <w:t xml:space="preserve"> quickly </w:t>
      </w:r>
      <w:r w:rsidR="007F7B0A">
        <w:rPr>
          <w:rFonts w:ascii="Times New Roman" w:eastAsia="Times New Roman" w:hAnsi="Times New Roman" w:cs="Times New Roman"/>
          <w:color w:val="000000"/>
          <w:lang w:val="en-US"/>
        </w:rPr>
        <w:t>endorsed</w:t>
      </w:r>
      <w:r w:rsidR="007F7B0A" w:rsidRPr="00BC39A5">
        <w:rPr>
          <w:rFonts w:ascii="Times New Roman" w:eastAsia="Times New Roman" w:hAnsi="Times New Roman" w:cs="Times New Roman"/>
          <w:color w:val="000000"/>
          <w:lang w:val="en-US"/>
        </w:rPr>
        <w:t xml:space="preserve"> by the IIRC’s 2011 Discussion Paper which sought to put more flesh on the basic idea</w:t>
      </w:r>
      <w:r w:rsidR="007F7B0A">
        <w:rPr>
          <w:rFonts w:ascii="Times New Roman" w:eastAsia="Times New Roman" w:hAnsi="Times New Roman" w:cs="Times New Roman"/>
          <w:color w:val="000000"/>
          <w:lang w:val="en-US"/>
        </w:rPr>
        <w:t xml:space="preserve"> and further clarify the claimed contrasts through the adoption of a set of distinct concepts it was maintained were largely ignored within financial reporting. However, although t</w:t>
      </w:r>
      <w:r w:rsidR="007F7B0A" w:rsidRPr="00BC39A5">
        <w:rPr>
          <w:rFonts w:ascii="Times New Roman" w:eastAsia="Times New Roman" w:hAnsi="Times New Roman" w:cs="Times New Roman"/>
          <w:color w:val="000000"/>
          <w:lang w:val="en-US"/>
        </w:rPr>
        <w:t>his succeeded in making it clear that while</w:t>
      </w:r>
      <w:r w:rsidR="007F7B0A">
        <w:rPr>
          <w:rFonts w:ascii="Times New Roman" w:eastAsia="Times New Roman" w:hAnsi="Times New Roman" w:cs="Times New Roman"/>
          <w:color w:val="000000"/>
          <w:lang w:val="en-US"/>
        </w:rPr>
        <w:t>, for many,</w:t>
      </w:r>
      <w:r w:rsidR="007F7B0A" w:rsidRPr="00BC39A5">
        <w:rPr>
          <w:rFonts w:ascii="Times New Roman" w:eastAsia="Times New Roman" w:hAnsi="Times New Roman" w:cs="Times New Roman"/>
          <w:color w:val="000000"/>
          <w:lang w:val="en-US"/>
        </w:rPr>
        <w:t xml:space="preserve"> the broad idea of </w:t>
      </w:r>
      <w:r w:rsidR="007F7B0A">
        <w:rPr>
          <w:rFonts w:ascii="Times New Roman" w:eastAsia="Times New Roman" w:hAnsi="Times New Roman" w:cs="Times New Roman"/>
          <w:color w:val="000000"/>
          <w:lang w:val="en-US"/>
        </w:rPr>
        <w:t>integrated reporting</w:t>
      </w:r>
      <w:r w:rsidR="007F7B0A" w:rsidRPr="00BC39A5">
        <w:rPr>
          <w:rFonts w:ascii="Times New Roman" w:eastAsia="Times New Roman" w:hAnsi="Times New Roman" w:cs="Times New Roman"/>
          <w:color w:val="000000"/>
          <w:lang w:val="en-US"/>
        </w:rPr>
        <w:t xml:space="preserve"> was attractive and worth pursuing, its precise meaning and practical content was less obvious and uniform. In some respects, </w:t>
      </w:r>
      <w:r w:rsidR="007F7B0A">
        <w:rPr>
          <w:rFonts w:ascii="Times New Roman" w:eastAsia="Times New Roman" w:hAnsi="Times New Roman" w:cs="Times New Roman"/>
          <w:color w:val="000000"/>
          <w:lang w:val="en-US"/>
        </w:rPr>
        <w:t>integrated reporting</w:t>
      </w:r>
      <w:r w:rsidR="007F7B0A" w:rsidRPr="00BC39A5">
        <w:rPr>
          <w:rFonts w:ascii="Times New Roman" w:eastAsia="Times New Roman" w:hAnsi="Times New Roman" w:cs="Times New Roman"/>
          <w:color w:val="000000"/>
          <w:lang w:val="en-US"/>
        </w:rPr>
        <w:t xml:space="preserve"> was a generally </w:t>
      </w:r>
      <w:r w:rsidR="001F1821">
        <w:rPr>
          <w:rFonts w:ascii="Times New Roman" w:eastAsia="Times New Roman" w:hAnsi="Times New Roman" w:cs="Times New Roman"/>
          <w:color w:val="000000"/>
          <w:lang w:val="en-US"/>
        </w:rPr>
        <w:t xml:space="preserve">appealing </w:t>
      </w:r>
      <w:r w:rsidR="007F7B0A" w:rsidRPr="00BC39A5">
        <w:rPr>
          <w:rFonts w:ascii="Times New Roman" w:eastAsia="Times New Roman" w:hAnsi="Times New Roman" w:cs="Times New Roman"/>
          <w:color w:val="000000"/>
          <w:lang w:val="en-US"/>
        </w:rPr>
        <w:t>idea, not so much because it was attractive to everyone but because different parties and interest groups could all construct it in a way th</w:t>
      </w:r>
      <w:r w:rsidR="007F7B0A">
        <w:rPr>
          <w:rFonts w:ascii="Times New Roman" w:eastAsia="Times New Roman" w:hAnsi="Times New Roman" w:cs="Times New Roman"/>
          <w:color w:val="000000"/>
          <w:lang w:val="en-US"/>
        </w:rPr>
        <w:t xml:space="preserve">at made it attractive to them. </w:t>
      </w:r>
    </w:p>
    <w:p w14:paraId="4AC225D5" w14:textId="38C532CE" w:rsidR="007F7B0A" w:rsidRDefault="007F7B0A" w:rsidP="007F7B0A">
      <w:pPr>
        <w:spacing w:line="360" w:lineRule="auto"/>
        <w:ind w:firstLine="708"/>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w:t>
      </w:r>
      <w:r w:rsidRPr="00BC39A5">
        <w:rPr>
          <w:rFonts w:ascii="Times New Roman" w:eastAsia="Times New Roman" w:hAnsi="Times New Roman" w:cs="Times New Roman"/>
          <w:color w:val="000000"/>
          <w:lang w:val="en-US"/>
        </w:rPr>
        <w:t xml:space="preserve">he second </w:t>
      </w:r>
      <w:r w:rsidR="001F1821">
        <w:rPr>
          <w:rFonts w:ascii="Times New Roman" w:eastAsia="Times New Roman" w:hAnsi="Times New Roman" w:cs="Times New Roman"/>
          <w:color w:val="000000"/>
          <w:lang w:val="en-US"/>
        </w:rPr>
        <w:t>element</w:t>
      </w:r>
      <w:r w:rsidRPr="00BC39A5">
        <w:rPr>
          <w:rFonts w:ascii="Times New Roman" w:eastAsia="Times New Roman" w:hAnsi="Times New Roman" w:cs="Times New Roman"/>
          <w:color w:val="000000"/>
          <w:lang w:val="en-US"/>
        </w:rPr>
        <w:t xml:space="preserve"> of strategic development involved the IIRC in both better formulating and also defending the idea of </w:t>
      </w:r>
      <w:r>
        <w:rPr>
          <w:rFonts w:ascii="Times New Roman" w:eastAsia="Times New Roman" w:hAnsi="Times New Roman" w:cs="Times New Roman"/>
          <w:color w:val="000000"/>
          <w:lang w:val="en-US"/>
        </w:rPr>
        <w:t>integrated reporting. This involved</w:t>
      </w:r>
      <w:r w:rsidRPr="00BC39A5">
        <w:rPr>
          <w:rFonts w:ascii="Times New Roman" w:eastAsia="Times New Roman" w:hAnsi="Times New Roman" w:cs="Times New Roman"/>
          <w:color w:val="000000"/>
          <w:lang w:val="en-US"/>
        </w:rPr>
        <w:t xml:space="preserve"> a considerable degree of formalization of key concepts (including the notion of </w:t>
      </w:r>
      <w:r>
        <w:rPr>
          <w:rFonts w:ascii="Times New Roman" w:eastAsia="Times New Roman" w:hAnsi="Times New Roman" w:cs="Times New Roman"/>
          <w:color w:val="000000"/>
          <w:lang w:val="en-US"/>
        </w:rPr>
        <w:t xml:space="preserve">multiple </w:t>
      </w:r>
      <w:r w:rsidRPr="00BC39A5">
        <w:rPr>
          <w:rFonts w:ascii="Times New Roman" w:eastAsia="Times New Roman" w:hAnsi="Times New Roman" w:cs="Times New Roman"/>
          <w:color w:val="000000"/>
          <w:lang w:val="en-US"/>
        </w:rPr>
        <w:t>capitals and more specifically contemplating the relative significance of different forms of capital and their respective interests). This process of consolidation bore witness to a greater util</w:t>
      </w:r>
      <w:r>
        <w:rPr>
          <w:rFonts w:ascii="Times New Roman" w:eastAsia="Times New Roman" w:hAnsi="Times New Roman" w:cs="Times New Roman"/>
          <w:color w:val="000000"/>
          <w:lang w:val="en-US"/>
        </w:rPr>
        <w:t>iza</w:t>
      </w:r>
      <w:r w:rsidRPr="00BC39A5">
        <w:rPr>
          <w:rFonts w:ascii="Times New Roman" w:eastAsia="Times New Roman" w:hAnsi="Times New Roman" w:cs="Times New Roman"/>
          <w:color w:val="000000"/>
          <w:lang w:val="en-US"/>
        </w:rPr>
        <w:t>tion of various groupings of expertise</w:t>
      </w:r>
      <w:r w:rsidR="00531AB5">
        <w:rPr>
          <w:rFonts w:ascii="Times New Roman" w:eastAsia="Times New Roman" w:hAnsi="Times New Roman" w:cs="Times New Roman"/>
          <w:color w:val="000000"/>
          <w:lang w:val="en-US"/>
        </w:rPr>
        <w:t>.</w:t>
      </w:r>
      <w:r w:rsidRPr="00BC39A5">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Moreover, this clarification also </w:t>
      </w:r>
      <w:r w:rsidR="00F3242D">
        <w:rPr>
          <w:rFonts w:ascii="Times New Roman" w:eastAsia="Times New Roman" w:hAnsi="Times New Roman" w:cs="Times New Roman"/>
          <w:color w:val="000000"/>
          <w:lang w:val="en-US"/>
        </w:rPr>
        <w:t>mobiliz</w:t>
      </w:r>
      <w:r w:rsidR="00794753">
        <w:rPr>
          <w:rFonts w:ascii="Times New Roman" w:eastAsia="Times New Roman" w:hAnsi="Times New Roman" w:cs="Times New Roman"/>
          <w:color w:val="000000"/>
          <w:lang w:val="en-US"/>
        </w:rPr>
        <w:t>e</w:t>
      </w:r>
      <w:r>
        <w:rPr>
          <w:rFonts w:ascii="Times New Roman" w:eastAsia="Times New Roman" w:hAnsi="Times New Roman" w:cs="Times New Roman"/>
          <w:color w:val="000000"/>
          <w:lang w:val="en-US"/>
        </w:rPr>
        <w:t xml:space="preserve">d </w:t>
      </w:r>
      <w:r w:rsidR="000C3975">
        <w:rPr>
          <w:rFonts w:ascii="Times New Roman" w:eastAsia="Times New Roman" w:hAnsi="Times New Roman" w:cs="Times New Roman"/>
          <w:color w:val="000000"/>
          <w:lang w:val="en-US"/>
        </w:rPr>
        <w:t xml:space="preserve">IIRC </w:t>
      </w:r>
      <w:r>
        <w:rPr>
          <w:rFonts w:ascii="Times New Roman" w:eastAsia="Times New Roman" w:hAnsi="Times New Roman" w:cs="Times New Roman"/>
          <w:color w:val="000000"/>
          <w:lang w:val="en-US"/>
        </w:rPr>
        <w:t xml:space="preserve">boundary work identifying more explicit contrasts with sustainability reporting </w:t>
      </w:r>
      <w:r w:rsidR="000C3975">
        <w:rPr>
          <w:rFonts w:ascii="Times New Roman" w:eastAsia="Times New Roman" w:hAnsi="Times New Roman" w:cs="Times New Roman"/>
          <w:color w:val="000000"/>
          <w:lang w:val="en-US"/>
        </w:rPr>
        <w:t>so as to</w:t>
      </w:r>
      <w:r>
        <w:rPr>
          <w:rFonts w:ascii="Times New Roman" w:eastAsia="Times New Roman" w:hAnsi="Times New Roman" w:cs="Times New Roman"/>
          <w:color w:val="000000"/>
          <w:lang w:val="en-US"/>
        </w:rPr>
        <w:t xml:space="preserve"> construct a </w:t>
      </w:r>
      <w:r w:rsidR="000C3975">
        <w:rPr>
          <w:rFonts w:ascii="Times New Roman" w:eastAsia="Times New Roman" w:hAnsi="Times New Roman" w:cs="Times New Roman"/>
          <w:color w:val="000000"/>
          <w:lang w:val="en-US"/>
        </w:rPr>
        <w:t xml:space="preserve">clear </w:t>
      </w:r>
      <w:r>
        <w:rPr>
          <w:rFonts w:ascii="Times New Roman" w:eastAsia="Times New Roman" w:hAnsi="Times New Roman" w:cs="Times New Roman"/>
          <w:color w:val="000000"/>
          <w:lang w:val="en-US"/>
        </w:rPr>
        <w:t>distinction between integrated reporting and sustainability reporting.</w:t>
      </w:r>
    </w:p>
    <w:p w14:paraId="153243B6" w14:textId="1B75B470" w:rsidR="007F7B0A" w:rsidRDefault="007F7B0A" w:rsidP="007F7B0A">
      <w:pPr>
        <w:spacing w:line="360" w:lineRule="auto"/>
        <w:ind w:firstLine="708"/>
        <w:jc w:val="both"/>
        <w:rPr>
          <w:rFonts w:ascii="Times New Roman" w:eastAsia="Times New Roman" w:hAnsi="Times New Roman" w:cs="Times New Roman"/>
          <w:color w:val="000000"/>
          <w:lang w:val="en-US"/>
        </w:rPr>
      </w:pPr>
      <w:r w:rsidRPr="006808AB">
        <w:rPr>
          <w:rFonts w:ascii="Times New Roman" w:eastAsia="Times New Roman" w:hAnsi="Times New Roman" w:cs="Times New Roman"/>
          <w:color w:val="000000"/>
          <w:lang w:val="en-US"/>
        </w:rPr>
        <w:t>The third element of strategic development saw a shift in emphasis – moving from the clarification and consolidation of ideas to the concret</w:t>
      </w:r>
      <w:r>
        <w:rPr>
          <w:rFonts w:ascii="Times New Roman" w:eastAsia="Times New Roman" w:hAnsi="Times New Roman" w:cs="Times New Roman"/>
          <w:color w:val="000000"/>
          <w:lang w:val="en-US"/>
        </w:rPr>
        <w:t>izin</w:t>
      </w:r>
      <w:r w:rsidRPr="006808AB">
        <w:rPr>
          <w:rFonts w:ascii="Times New Roman" w:eastAsia="Times New Roman" w:hAnsi="Times New Roman" w:cs="Times New Roman"/>
          <w:color w:val="000000"/>
          <w:lang w:val="en-US"/>
        </w:rPr>
        <w:t xml:space="preserve">g of relationships, with a number of formal agreements and, in particular </w:t>
      </w:r>
      <w:r>
        <w:rPr>
          <w:rFonts w:ascii="Times New Roman" w:eastAsia="Times New Roman" w:hAnsi="Times New Roman" w:cs="Times New Roman"/>
          <w:color w:val="000000"/>
          <w:lang w:val="en-US"/>
        </w:rPr>
        <w:t>Memoranda</w:t>
      </w:r>
      <w:r w:rsidRPr="006808AB">
        <w:rPr>
          <w:rFonts w:ascii="Times New Roman" w:eastAsia="Times New Roman" w:hAnsi="Times New Roman" w:cs="Times New Roman"/>
          <w:color w:val="000000"/>
          <w:lang w:val="en-US"/>
        </w:rPr>
        <w:t xml:space="preserve"> of </w:t>
      </w:r>
      <w:r>
        <w:rPr>
          <w:rFonts w:ascii="Times New Roman" w:eastAsia="Times New Roman" w:hAnsi="Times New Roman" w:cs="Times New Roman"/>
          <w:color w:val="000000"/>
          <w:lang w:val="en-US"/>
        </w:rPr>
        <w:t>U</w:t>
      </w:r>
      <w:r w:rsidRPr="006808AB">
        <w:rPr>
          <w:rFonts w:ascii="Times New Roman" w:eastAsia="Times New Roman" w:hAnsi="Times New Roman" w:cs="Times New Roman"/>
          <w:color w:val="000000"/>
          <w:lang w:val="en-US"/>
        </w:rPr>
        <w:t xml:space="preserve">nderstanding between the IIRC and significant bodies and players in </w:t>
      </w:r>
      <w:r>
        <w:rPr>
          <w:rFonts w:ascii="Times New Roman" w:eastAsia="Times New Roman" w:hAnsi="Times New Roman" w:cs="Times New Roman"/>
          <w:color w:val="000000"/>
          <w:lang w:val="en-US"/>
        </w:rPr>
        <w:t xml:space="preserve">the </w:t>
      </w:r>
      <w:r w:rsidRPr="00FC6DF4">
        <w:rPr>
          <w:rFonts w:ascii="Times New Roman" w:eastAsia="Times New Roman" w:hAnsi="Times New Roman" w:cs="Times New Roman"/>
          <w:color w:val="000000"/>
          <w:lang w:val="en-US"/>
        </w:rPr>
        <w:t>corporate reporting field</w:t>
      </w:r>
      <w:r w:rsidRPr="006808AB">
        <w:rPr>
          <w:rFonts w:ascii="Times New Roman" w:eastAsia="Times New Roman" w:hAnsi="Times New Roman" w:cs="Times New Roman"/>
          <w:color w:val="000000"/>
          <w:lang w:val="en-US"/>
        </w:rPr>
        <w:t xml:space="preserve">. Such formal institutionalizing steps included a considerable degree of interlinkages of, and cross-representation on, executive boards and governing </w:t>
      </w:r>
      <w:r w:rsidRPr="006808AB">
        <w:rPr>
          <w:rFonts w:ascii="Times New Roman" w:eastAsia="Times New Roman" w:hAnsi="Times New Roman" w:cs="Times New Roman"/>
          <w:color w:val="000000"/>
          <w:lang w:val="en-US"/>
        </w:rPr>
        <w:lastRenderedPageBreak/>
        <w:t xml:space="preserve">council positions. They also demonstrated, especially in the wording of formal documents, </w:t>
      </w:r>
      <w:r w:rsidR="00974FBE">
        <w:rPr>
          <w:rFonts w:ascii="Times New Roman" w:eastAsia="Times New Roman" w:hAnsi="Times New Roman" w:cs="Times New Roman"/>
          <w:color w:val="000000"/>
          <w:lang w:val="en-US"/>
        </w:rPr>
        <w:t xml:space="preserve">a </w:t>
      </w:r>
      <w:r w:rsidRPr="006808AB">
        <w:rPr>
          <w:rFonts w:ascii="Times New Roman" w:eastAsia="Times New Roman" w:hAnsi="Times New Roman" w:cs="Times New Roman"/>
          <w:color w:val="000000"/>
          <w:lang w:val="en-US"/>
        </w:rPr>
        <w:t>careful consideration of, and respect for, particular domains of interest and existing spheres of influence and professional</w:t>
      </w:r>
      <w:r w:rsidRPr="00BC39A5">
        <w:rPr>
          <w:rFonts w:ascii="Times New Roman" w:eastAsia="Times New Roman" w:hAnsi="Times New Roman" w:cs="Times New Roman"/>
          <w:color w:val="000000"/>
          <w:lang w:val="en-US"/>
        </w:rPr>
        <w:t xml:space="preserve"> legitimacy. </w:t>
      </w:r>
      <w:r>
        <w:rPr>
          <w:rFonts w:ascii="Times New Roman" w:eastAsia="Times New Roman" w:hAnsi="Times New Roman" w:cs="Times New Roman"/>
          <w:color w:val="000000"/>
          <w:lang w:val="en-US"/>
        </w:rPr>
        <w:t xml:space="preserve">This process essentially downplayed any potential </w:t>
      </w:r>
      <w:r w:rsidR="00440D15">
        <w:rPr>
          <w:rFonts w:ascii="Times New Roman" w:eastAsia="Times New Roman" w:hAnsi="Times New Roman" w:cs="Times New Roman"/>
          <w:color w:val="000000"/>
          <w:lang w:val="en-US"/>
        </w:rPr>
        <w:t>differences</w:t>
      </w:r>
      <w:r>
        <w:rPr>
          <w:rFonts w:ascii="Times New Roman" w:eastAsia="Times New Roman" w:hAnsi="Times New Roman" w:cs="Times New Roman"/>
          <w:color w:val="000000"/>
          <w:lang w:val="en-US"/>
        </w:rPr>
        <w:t xml:space="preserve"> between the IIRC’s aims and those of the other reporting bodies in the corporate reporting field. These bodies were viewed as a collective that needed to be </w:t>
      </w:r>
      <w:r w:rsidR="00F3242D">
        <w:rPr>
          <w:rFonts w:ascii="Times New Roman" w:eastAsia="Times New Roman" w:hAnsi="Times New Roman" w:cs="Times New Roman"/>
          <w:color w:val="000000"/>
          <w:lang w:val="en-US"/>
        </w:rPr>
        <w:t>mobiliz</w:t>
      </w:r>
      <w:r w:rsidR="00794753">
        <w:rPr>
          <w:rFonts w:ascii="Times New Roman" w:eastAsia="Times New Roman" w:hAnsi="Times New Roman" w:cs="Times New Roman"/>
          <w:color w:val="000000"/>
          <w:lang w:val="en-US"/>
        </w:rPr>
        <w:t>e</w:t>
      </w:r>
      <w:r>
        <w:rPr>
          <w:rFonts w:ascii="Times New Roman" w:eastAsia="Times New Roman" w:hAnsi="Times New Roman" w:cs="Times New Roman"/>
          <w:color w:val="000000"/>
          <w:lang w:val="en-US"/>
        </w:rPr>
        <w:t xml:space="preserve">d behind integrated reporting through the medium of the IIRC in order to avoid fragmentation. Moreover, in order to enable this sense of collective </w:t>
      </w:r>
      <w:proofErr w:type="spellStart"/>
      <w:r>
        <w:rPr>
          <w:rFonts w:ascii="Times New Roman" w:eastAsia="Times New Roman" w:hAnsi="Times New Roman" w:cs="Times New Roman"/>
          <w:color w:val="000000"/>
          <w:lang w:val="en-US"/>
        </w:rPr>
        <w:t>endeavour</w:t>
      </w:r>
      <w:proofErr w:type="spellEnd"/>
      <w:r>
        <w:rPr>
          <w:rFonts w:ascii="Times New Roman" w:eastAsia="Times New Roman" w:hAnsi="Times New Roman" w:cs="Times New Roman"/>
          <w:color w:val="000000"/>
          <w:lang w:val="en-US"/>
        </w:rPr>
        <w:t>, the prior boundary work</w:t>
      </w:r>
      <w:r w:rsidR="00974FBE">
        <w:rPr>
          <w:rFonts w:ascii="Times New Roman" w:eastAsia="Times New Roman" w:hAnsi="Times New Roman" w:cs="Times New Roman"/>
          <w:color w:val="000000"/>
          <w:lang w:val="en-US"/>
        </w:rPr>
        <w:t xml:space="preserve"> that the IIRC had undertaken to </w:t>
      </w:r>
      <w:r>
        <w:rPr>
          <w:rFonts w:ascii="Times New Roman" w:eastAsia="Times New Roman" w:hAnsi="Times New Roman" w:cs="Times New Roman"/>
          <w:color w:val="000000"/>
          <w:lang w:val="en-US"/>
        </w:rPr>
        <w:t>distinguish integrated reporting from other reporting models was toned down</w:t>
      </w:r>
      <w:r w:rsidR="00C27063">
        <w:rPr>
          <w:rFonts w:ascii="Times New Roman" w:eastAsia="Times New Roman" w:hAnsi="Times New Roman" w:cs="Times New Roman"/>
          <w:color w:val="000000"/>
          <w:lang w:val="en-US"/>
        </w:rPr>
        <w:t xml:space="preserve"> considerably</w:t>
      </w:r>
      <w:r>
        <w:rPr>
          <w:rFonts w:ascii="Times New Roman" w:eastAsia="Times New Roman" w:hAnsi="Times New Roman" w:cs="Times New Roman"/>
          <w:color w:val="000000"/>
          <w:lang w:val="en-US"/>
        </w:rPr>
        <w:t>. For example, the rhetoric marginalizing financial reporting softened</w:t>
      </w:r>
      <w:r w:rsidR="007847C2">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and </w:t>
      </w:r>
      <w:r w:rsidR="001F1821">
        <w:rPr>
          <w:rFonts w:ascii="Times New Roman" w:eastAsia="Times New Roman" w:hAnsi="Times New Roman" w:cs="Times New Roman"/>
          <w:color w:val="000000"/>
          <w:lang w:val="en-US"/>
        </w:rPr>
        <w:t xml:space="preserve">the </w:t>
      </w:r>
      <w:r>
        <w:rPr>
          <w:rFonts w:ascii="Times New Roman" w:eastAsia="Times New Roman" w:hAnsi="Times New Roman" w:cs="Times New Roman"/>
          <w:color w:val="000000"/>
          <w:lang w:val="en-US"/>
        </w:rPr>
        <w:t xml:space="preserve">claims that integrated reporting would ultimately </w:t>
      </w:r>
      <w:r w:rsidRPr="00686181">
        <w:rPr>
          <w:rFonts w:ascii="Times New Roman" w:eastAsia="Times New Roman" w:hAnsi="Times New Roman" w:cs="Times New Roman"/>
          <w:color w:val="000000"/>
          <w:lang w:val="en-US"/>
        </w:rPr>
        <w:t>replace other</w:t>
      </w:r>
      <w:r>
        <w:rPr>
          <w:rFonts w:ascii="Times New Roman" w:eastAsia="Times New Roman" w:hAnsi="Times New Roman" w:cs="Times New Roman"/>
          <w:color w:val="000000"/>
          <w:lang w:val="en-US"/>
        </w:rPr>
        <w:t xml:space="preserve"> reporting forms disappeared entirely. </w:t>
      </w:r>
    </w:p>
    <w:p w14:paraId="369D0F5F" w14:textId="61999700" w:rsidR="00440D15" w:rsidRDefault="007F7B0A">
      <w:pPr>
        <w:spacing w:line="360" w:lineRule="auto"/>
        <w:ind w:firstLine="708"/>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The fourth element</w:t>
      </w:r>
      <w:r w:rsidR="004B4A52">
        <w:rPr>
          <w:rFonts w:ascii="Times New Roman" w:eastAsia="Times New Roman" w:hAnsi="Times New Roman" w:cs="Times New Roman"/>
          <w:color w:val="000000"/>
          <w:lang w:val="en-US"/>
        </w:rPr>
        <w:t xml:space="preserve"> of strategic development</w:t>
      </w:r>
      <w:r>
        <w:rPr>
          <w:rFonts w:ascii="Times New Roman" w:eastAsia="Times New Roman" w:hAnsi="Times New Roman" w:cs="Times New Roman"/>
          <w:color w:val="000000"/>
          <w:lang w:val="en-US"/>
        </w:rPr>
        <w:t xml:space="preserve"> involved efforts to motivate and mobili</w:t>
      </w:r>
      <w:r w:rsidR="00F3242D">
        <w:rPr>
          <w:rFonts w:ascii="Times New Roman" w:eastAsia="Times New Roman" w:hAnsi="Times New Roman" w:cs="Times New Roman"/>
          <w:color w:val="000000"/>
          <w:lang w:val="en-US"/>
        </w:rPr>
        <w:t>z</w:t>
      </w:r>
      <w:r w:rsidR="004B4A52">
        <w:rPr>
          <w:rFonts w:ascii="Times New Roman" w:eastAsia="Times New Roman" w:hAnsi="Times New Roman" w:cs="Times New Roman"/>
          <w:color w:val="000000"/>
          <w:lang w:val="en-US"/>
        </w:rPr>
        <w:t>e long term investors behind integrated reporting</w:t>
      </w:r>
      <w:r>
        <w:rPr>
          <w:rFonts w:ascii="Times New Roman" w:eastAsia="Times New Roman" w:hAnsi="Times New Roman" w:cs="Times New Roman"/>
          <w:color w:val="000000"/>
          <w:lang w:val="en-US"/>
        </w:rPr>
        <w:t xml:space="preserve">.  </w:t>
      </w:r>
      <w:r w:rsidRPr="002A2963">
        <w:rPr>
          <w:rFonts w:ascii="Times New Roman" w:eastAsia="Times New Roman" w:hAnsi="Times New Roman" w:cs="Times New Roman"/>
          <w:color w:val="000000"/>
          <w:lang w:val="en-US"/>
        </w:rPr>
        <w:t xml:space="preserve">The apparent trade-off between boundary building around the practice of integrated reporting and the need to </w:t>
      </w:r>
      <w:r w:rsidR="00F3242D">
        <w:rPr>
          <w:rFonts w:ascii="Times New Roman" w:eastAsia="Times New Roman" w:hAnsi="Times New Roman" w:cs="Times New Roman"/>
          <w:color w:val="000000"/>
          <w:lang w:val="en-US"/>
        </w:rPr>
        <w:t>mobiliz</w:t>
      </w:r>
      <w:r w:rsidR="00794753">
        <w:rPr>
          <w:rFonts w:ascii="Times New Roman" w:eastAsia="Times New Roman" w:hAnsi="Times New Roman" w:cs="Times New Roman"/>
          <w:color w:val="000000"/>
          <w:lang w:val="en-US"/>
        </w:rPr>
        <w:t>e</w:t>
      </w:r>
      <w:r w:rsidRPr="008245E1">
        <w:rPr>
          <w:rFonts w:ascii="Times New Roman" w:eastAsia="Times New Roman" w:hAnsi="Times New Roman" w:cs="Times New Roman"/>
          <w:color w:val="000000"/>
          <w:lang w:val="en-US"/>
        </w:rPr>
        <w:t xml:space="preserve"> a collective</w:t>
      </w:r>
      <w:r>
        <w:rPr>
          <w:rFonts w:ascii="Times New Roman" w:eastAsia="Times New Roman" w:hAnsi="Times New Roman" w:cs="Times New Roman"/>
          <w:color w:val="000000"/>
          <w:lang w:val="en-US"/>
        </w:rPr>
        <w:t xml:space="preserve"> commitment in support of it influenced the gradual narrowing of the target user of integrated reporting</w:t>
      </w:r>
      <w:r w:rsidR="00440D15">
        <w:rPr>
          <w:rFonts w:ascii="Times New Roman" w:eastAsia="Times New Roman" w:hAnsi="Times New Roman" w:cs="Times New Roman"/>
          <w:color w:val="000000"/>
          <w:lang w:val="en-US"/>
        </w:rPr>
        <w:t>, with</w:t>
      </w:r>
      <w:r>
        <w:rPr>
          <w:rFonts w:ascii="Times New Roman" w:eastAsia="Times New Roman" w:hAnsi="Times New Roman" w:cs="Times New Roman"/>
          <w:color w:val="000000"/>
          <w:lang w:val="en-US"/>
        </w:rPr>
        <w:t xml:space="preserve"> th</w:t>
      </w:r>
      <w:r w:rsidR="00F3242D">
        <w:rPr>
          <w:rFonts w:ascii="Times New Roman" w:eastAsia="Times New Roman" w:hAnsi="Times New Roman" w:cs="Times New Roman"/>
          <w:color w:val="000000"/>
          <w:lang w:val="en-US"/>
        </w:rPr>
        <w:t>e IIRC proceed</w:t>
      </w:r>
      <w:r w:rsidR="00440D15">
        <w:rPr>
          <w:rFonts w:ascii="Times New Roman" w:eastAsia="Times New Roman" w:hAnsi="Times New Roman" w:cs="Times New Roman"/>
          <w:color w:val="000000"/>
          <w:lang w:val="en-US"/>
        </w:rPr>
        <w:t>ing</w:t>
      </w:r>
      <w:r w:rsidR="00F3242D">
        <w:rPr>
          <w:rFonts w:ascii="Times New Roman" w:eastAsia="Times New Roman" w:hAnsi="Times New Roman" w:cs="Times New Roman"/>
          <w:color w:val="000000"/>
          <w:lang w:val="en-US"/>
        </w:rPr>
        <w:t xml:space="preserve"> to prioritiz</w:t>
      </w:r>
      <w:r>
        <w:rPr>
          <w:rFonts w:ascii="Times New Roman" w:eastAsia="Times New Roman" w:hAnsi="Times New Roman" w:cs="Times New Roman"/>
          <w:color w:val="000000"/>
          <w:lang w:val="en-US"/>
        </w:rPr>
        <w:t xml:space="preserve">e long term investor needs. </w:t>
      </w:r>
      <w:r w:rsidRPr="000F474E">
        <w:rPr>
          <w:rFonts w:ascii="Times New Roman" w:eastAsia="Times New Roman" w:hAnsi="Times New Roman" w:cs="Times New Roman"/>
          <w:color w:val="000000"/>
          <w:lang w:val="en-US"/>
        </w:rPr>
        <w:t xml:space="preserve">It is </w:t>
      </w:r>
      <w:r>
        <w:rPr>
          <w:rFonts w:ascii="Times New Roman" w:eastAsia="Times New Roman" w:hAnsi="Times New Roman" w:cs="Times New Roman"/>
          <w:color w:val="000000"/>
          <w:lang w:val="en-US"/>
        </w:rPr>
        <w:t xml:space="preserve">evident </w:t>
      </w:r>
      <w:r w:rsidRPr="000F474E">
        <w:rPr>
          <w:rFonts w:ascii="Times New Roman" w:eastAsia="Times New Roman" w:hAnsi="Times New Roman" w:cs="Times New Roman"/>
          <w:color w:val="000000"/>
          <w:lang w:val="en-US"/>
        </w:rPr>
        <w:t xml:space="preserve">from the way in which </w:t>
      </w:r>
      <w:r>
        <w:rPr>
          <w:rFonts w:ascii="Times New Roman" w:eastAsia="Times New Roman" w:hAnsi="Times New Roman" w:cs="Times New Roman"/>
          <w:color w:val="000000"/>
          <w:lang w:val="en-US"/>
        </w:rPr>
        <w:t>integrated reporting</w:t>
      </w:r>
      <w:r w:rsidRPr="000F474E">
        <w:rPr>
          <w:rFonts w:ascii="Times New Roman" w:eastAsia="Times New Roman" w:hAnsi="Times New Roman" w:cs="Times New Roman"/>
          <w:color w:val="000000"/>
          <w:lang w:val="en-US"/>
        </w:rPr>
        <w:t xml:space="preserve"> and </w:t>
      </w:r>
      <w:r>
        <w:rPr>
          <w:rFonts w:ascii="Times New Roman" w:eastAsia="Times New Roman" w:hAnsi="Times New Roman" w:cs="Times New Roman"/>
          <w:color w:val="000000"/>
          <w:lang w:val="en-US"/>
        </w:rPr>
        <w:t xml:space="preserve">its </w:t>
      </w:r>
      <w:r w:rsidRPr="000F474E">
        <w:rPr>
          <w:rFonts w:ascii="Times New Roman" w:eastAsia="Times New Roman" w:hAnsi="Times New Roman" w:cs="Times New Roman"/>
          <w:color w:val="000000"/>
          <w:lang w:val="en-US"/>
        </w:rPr>
        <w:t>associated conceptual framings have develop</w:t>
      </w:r>
      <w:r w:rsidR="00FE59B0">
        <w:rPr>
          <w:rFonts w:ascii="Times New Roman" w:eastAsia="Times New Roman" w:hAnsi="Times New Roman" w:cs="Times New Roman"/>
          <w:color w:val="000000"/>
          <w:lang w:val="en-US"/>
        </w:rPr>
        <w:t>ed</w:t>
      </w:r>
      <w:r w:rsidRPr="000F474E">
        <w:rPr>
          <w:rFonts w:ascii="Times New Roman" w:eastAsia="Times New Roman" w:hAnsi="Times New Roman" w:cs="Times New Roman"/>
          <w:color w:val="000000"/>
          <w:lang w:val="en-US"/>
        </w:rPr>
        <w:t xml:space="preserve"> that, despite the talk of different capitals, the central capital provider and focus of concern with regard to the primary intended audience of the reports produced under </w:t>
      </w:r>
      <w:r>
        <w:rPr>
          <w:rFonts w:ascii="Times New Roman" w:eastAsia="Times New Roman" w:hAnsi="Times New Roman" w:cs="Times New Roman"/>
          <w:color w:val="000000"/>
          <w:lang w:val="en-US"/>
        </w:rPr>
        <w:t>integrated reporting</w:t>
      </w:r>
      <w:r w:rsidRPr="000F474E">
        <w:rPr>
          <w:rFonts w:ascii="Times New Roman" w:eastAsia="Times New Roman" w:hAnsi="Times New Roman" w:cs="Times New Roman"/>
          <w:color w:val="000000"/>
          <w:lang w:val="en-US"/>
        </w:rPr>
        <w:t xml:space="preserve"> is financial capital. </w:t>
      </w:r>
      <w:r w:rsidR="00440D15">
        <w:rPr>
          <w:rFonts w:ascii="Times New Roman" w:eastAsia="Times New Roman" w:hAnsi="Times New Roman" w:cs="Times New Roman"/>
          <w:color w:val="000000"/>
          <w:lang w:val="en-US"/>
        </w:rPr>
        <w:t xml:space="preserve"> T</w:t>
      </w:r>
      <w:r w:rsidRPr="000F474E">
        <w:rPr>
          <w:rFonts w:ascii="Times New Roman" w:eastAsia="Times New Roman" w:hAnsi="Times New Roman" w:cs="Times New Roman"/>
          <w:color w:val="000000"/>
          <w:lang w:val="en-US"/>
        </w:rPr>
        <w:t>his is something that the IIRC has advocated with increasing clarity in the face of expressions of con</w:t>
      </w:r>
      <w:r w:rsidRPr="00F70D69">
        <w:rPr>
          <w:rFonts w:ascii="Times New Roman" w:eastAsia="Times New Roman" w:hAnsi="Times New Roman" w:cs="Times New Roman"/>
          <w:color w:val="000000"/>
          <w:lang w:val="en-US"/>
        </w:rPr>
        <w:t>cern from various stakeholders</w:t>
      </w:r>
      <w:r w:rsidR="00440D15">
        <w:rPr>
          <w:rFonts w:ascii="Times New Roman" w:eastAsia="Times New Roman" w:hAnsi="Times New Roman" w:cs="Times New Roman"/>
          <w:color w:val="000000"/>
          <w:lang w:val="en-US"/>
        </w:rPr>
        <w:t>.  Such concerns have stressed that</w:t>
      </w:r>
      <w:r w:rsidRPr="00F70D69">
        <w:rPr>
          <w:rFonts w:ascii="Times New Roman" w:eastAsia="Times New Roman" w:hAnsi="Times New Roman" w:cs="Times New Roman"/>
          <w:color w:val="000000"/>
          <w:lang w:val="en-US"/>
        </w:rPr>
        <w:t xml:space="preserve"> the longer-</w:t>
      </w:r>
      <w:r w:rsidRPr="00D174CE">
        <w:rPr>
          <w:rFonts w:ascii="Times New Roman" w:eastAsia="Times New Roman" w:hAnsi="Times New Roman" w:cs="Times New Roman"/>
          <w:color w:val="000000"/>
          <w:lang w:val="en-US"/>
        </w:rPr>
        <w:t xml:space="preserve">term sustainability and ‘game changing’ capacities of </w:t>
      </w:r>
      <w:r>
        <w:rPr>
          <w:rFonts w:ascii="Times New Roman" w:eastAsia="Times New Roman" w:hAnsi="Times New Roman" w:cs="Times New Roman"/>
          <w:color w:val="000000"/>
          <w:lang w:val="en-US"/>
        </w:rPr>
        <w:t>integrated reporting</w:t>
      </w:r>
      <w:r w:rsidRPr="00D174CE">
        <w:rPr>
          <w:rFonts w:ascii="Times New Roman" w:eastAsia="Times New Roman" w:hAnsi="Times New Roman" w:cs="Times New Roman"/>
          <w:color w:val="000000"/>
          <w:lang w:val="en-US"/>
        </w:rPr>
        <w:t xml:space="preserve"> </w:t>
      </w:r>
      <w:r w:rsidR="00440D15">
        <w:rPr>
          <w:rFonts w:ascii="Times New Roman" w:eastAsia="Times New Roman" w:hAnsi="Times New Roman" w:cs="Times New Roman"/>
          <w:color w:val="000000"/>
          <w:lang w:val="en-US"/>
        </w:rPr>
        <w:t>will</w:t>
      </w:r>
      <w:r w:rsidR="00440D15" w:rsidRPr="00D174CE">
        <w:rPr>
          <w:rFonts w:ascii="Times New Roman" w:eastAsia="Times New Roman" w:hAnsi="Times New Roman" w:cs="Times New Roman"/>
          <w:color w:val="000000"/>
          <w:lang w:val="en-US"/>
        </w:rPr>
        <w:t xml:space="preserve"> </w:t>
      </w:r>
      <w:r w:rsidRPr="00D174CE">
        <w:rPr>
          <w:rFonts w:ascii="Times New Roman" w:eastAsia="Times New Roman" w:hAnsi="Times New Roman" w:cs="Times New Roman"/>
          <w:color w:val="000000"/>
          <w:lang w:val="en-US"/>
        </w:rPr>
        <w:t>i</w:t>
      </w:r>
      <w:r w:rsidR="00F3242D">
        <w:rPr>
          <w:rFonts w:ascii="Times New Roman" w:eastAsia="Times New Roman" w:hAnsi="Times New Roman" w:cs="Times New Roman"/>
          <w:color w:val="000000"/>
          <w:lang w:val="en-US"/>
        </w:rPr>
        <w:t>nevitably be in doubt/</w:t>
      </w:r>
      <w:r w:rsidRPr="00D174CE">
        <w:rPr>
          <w:rFonts w:ascii="Times New Roman" w:eastAsia="Times New Roman" w:hAnsi="Times New Roman" w:cs="Times New Roman"/>
          <w:color w:val="000000"/>
          <w:lang w:val="en-US"/>
        </w:rPr>
        <w:t xml:space="preserve">constrained if </w:t>
      </w:r>
      <w:r>
        <w:rPr>
          <w:rFonts w:ascii="Times New Roman" w:eastAsia="Times New Roman" w:hAnsi="Times New Roman" w:cs="Times New Roman"/>
          <w:color w:val="000000"/>
          <w:lang w:val="en-US"/>
        </w:rPr>
        <w:t>integrated reporting</w:t>
      </w:r>
      <w:r w:rsidRPr="00D174CE">
        <w:rPr>
          <w:rFonts w:ascii="Times New Roman" w:eastAsia="Times New Roman" w:hAnsi="Times New Roman" w:cs="Times New Roman"/>
          <w:color w:val="000000"/>
          <w:lang w:val="en-US"/>
        </w:rPr>
        <w:t xml:space="preserve"> is seen to be captured by the interests and demands of a stakeholder group that </w:t>
      </w:r>
      <w:r w:rsidR="00FE59B0">
        <w:rPr>
          <w:rFonts w:ascii="Times New Roman" w:eastAsia="Times New Roman" w:hAnsi="Times New Roman" w:cs="Times New Roman"/>
          <w:color w:val="000000"/>
          <w:lang w:val="en-US"/>
        </w:rPr>
        <w:t>some</w:t>
      </w:r>
      <w:r>
        <w:rPr>
          <w:rFonts w:ascii="Times New Roman" w:eastAsia="Times New Roman" w:hAnsi="Times New Roman" w:cs="Times New Roman"/>
          <w:color w:val="000000"/>
          <w:lang w:val="en-US"/>
        </w:rPr>
        <w:t xml:space="preserve"> claim </w:t>
      </w:r>
      <w:r w:rsidRPr="000F474E">
        <w:rPr>
          <w:rFonts w:ascii="Times New Roman" w:eastAsia="Times New Roman" w:hAnsi="Times New Roman" w:cs="Times New Roman"/>
          <w:color w:val="000000"/>
          <w:lang w:val="en-US"/>
        </w:rPr>
        <w:t xml:space="preserve">has a good degree of responsibility for the current (unsatisfactory) shape of corporate reporting. </w:t>
      </w:r>
    </w:p>
    <w:p w14:paraId="06ECD46D" w14:textId="150959BF" w:rsidR="00440D15" w:rsidRDefault="007F7B0A">
      <w:pPr>
        <w:spacing w:line="360" w:lineRule="auto"/>
        <w:ind w:firstLine="708"/>
        <w:jc w:val="both"/>
        <w:rPr>
          <w:rFonts w:ascii="Times New Roman" w:eastAsia="Times New Roman" w:hAnsi="Times New Roman" w:cs="Times New Roman"/>
          <w:color w:val="000000"/>
          <w:lang w:val="en-US"/>
        </w:rPr>
      </w:pPr>
      <w:r w:rsidRPr="000F474E">
        <w:rPr>
          <w:rFonts w:ascii="Times New Roman" w:eastAsia="Times New Roman" w:hAnsi="Times New Roman" w:cs="Times New Roman"/>
          <w:color w:val="000000"/>
          <w:lang w:val="en-US"/>
        </w:rPr>
        <w:t xml:space="preserve">The IIRC’s response to such criticisms and concerns has been to emphasize that </w:t>
      </w:r>
      <w:r w:rsidR="00440D15">
        <w:rPr>
          <w:rFonts w:ascii="Times New Roman" w:eastAsia="Times New Roman" w:hAnsi="Times New Roman" w:cs="Times New Roman"/>
          <w:color w:val="000000"/>
          <w:lang w:val="en-US"/>
        </w:rPr>
        <w:t>it is</w:t>
      </w:r>
      <w:r w:rsidRPr="000F474E">
        <w:rPr>
          <w:rFonts w:ascii="Times New Roman" w:eastAsia="Times New Roman" w:hAnsi="Times New Roman" w:cs="Times New Roman"/>
          <w:color w:val="000000"/>
          <w:lang w:val="en-US"/>
        </w:rPr>
        <w:t xml:space="preserve"> talking of a different representation of financial capital; one driven by a broad-based recognition and acceptance of the values underpinning </w:t>
      </w:r>
      <w:r>
        <w:rPr>
          <w:rFonts w:ascii="Times New Roman" w:eastAsia="Times New Roman" w:hAnsi="Times New Roman" w:cs="Times New Roman"/>
          <w:color w:val="000000"/>
          <w:lang w:val="en-US"/>
        </w:rPr>
        <w:t>integrated reporting</w:t>
      </w:r>
      <w:r w:rsidRPr="000F474E">
        <w:rPr>
          <w:rFonts w:ascii="Times New Roman" w:eastAsia="Times New Roman" w:hAnsi="Times New Roman" w:cs="Times New Roman"/>
          <w:color w:val="000000"/>
          <w:lang w:val="en-US"/>
        </w:rPr>
        <w:t xml:space="preserve"> with respect to capital interdependencies and the importance of longer</w:t>
      </w:r>
      <w:r w:rsidRPr="00F70D69">
        <w:rPr>
          <w:rFonts w:ascii="Times New Roman" w:eastAsia="Times New Roman" w:hAnsi="Times New Roman" w:cs="Times New Roman"/>
          <w:color w:val="000000"/>
          <w:lang w:val="en-US"/>
        </w:rPr>
        <w:t xml:space="preserve">-term economic, social and environmental development over short-term financial </w:t>
      </w:r>
      <w:r w:rsidRPr="004B4A52">
        <w:rPr>
          <w:rFonts w:ascii="Times New Roman" w:eastAsia="Times New Roman" w:hAnsi="Times New Roman" w:cs="Times New Roman"/>
          <w:color w:val="000000"/>
          <w:lang w:val="en-US"/>
        </w:rPr>
        <w:t>gain. This is a crucial element of the boundary</w:t>
      </w:r>
      <w:r w:rsidR="001F1821">
        <w:rPr>
          <w:rFonts w:ascii="Times New Roman" w:eastAsia="Times New Roman" w:hAnsi="Times New Roman" w:cs="Times New Roman"/>
          <w:color w:val="000000"/>
          <w:lang w:val="en-US"/>
        </w:rPr>
        <w:t xml:space="preserve"> work adopted by</w:t>
      </w:r>
      <w:r w:rsidRPr="00F70D69">
        <w:rPr>
          <w:rFonts w:ascii="Times New Roman" w:eastAsia="Times New Roman" w:hAnsi="Times New Roman" w:cs="Times New Roman"/>
          <w:color w:val="000000"/>
          <w:lang w:val="en-US"/>
        </w:rPr>
        <w:t xml:space="preserve"> the IIRC and, as such, the task facing the IIRC </w:t>
      </w:r>
      <w:r w:rsidR="00440D15">
        <w:rPr>
          <w:rFonts w:ascii="Times New Roman" w:eastAsia="Times New Roman" w:hAnsi="Times New Roman" w:cs="Times New Roman"/>
          <w:color w:val="000000"/>
          <w:lang w:val="en-US"/>
        </w:rPr>
        <w:t xml:space="preserve">has become </w:t>
      </w:r>
      <w:r w:rsidRPr="00F70D69">
        <w:rPr>
          <w:rFonts w:ascii="Times New Roman" w:eastAsia="Times New Roman" w:hAnsi="Times New Roman" w:cs="Times New Roman"/>
          <w:color w:val="000000"/>
          <w:lang w:val="en-US"/>
        </w:rPr>
        <w:t xml:space="preserve">not only </w:t>
      </w:r>
      <w:r w:rsidR="00440D15">
        <w:rPr>
          <w:rFonts w:ascii="Times New Roman" w:eastAsia="Times New Roman" w:hAnsi="Times New Roman" w:cs="Times New Roman"/>
          <w:color w:val="000000"/>
          <w:lang w:val="en-US"/>
        </w:rPr>
        <w:t xml:space="preserve">one of </w:t>
      </w:r>
      <w:r w:rsidRPr="00F70D69">
        <w:rPr>
          <w:rFonts w:ascii="Times New Roman" w:eastAsia="Times New Roman" w:hAnsi="Times New Roman" w:cs="Times New Roman"/>
          <w:color w:val="000000"/>
          <w:lang w:val="en-US"/>
        </w:rPr>
        <w:t>construct</w:t>
      </w:r>
      <w:r w:rsidR="00440D15">
        <w:rPr>
          <w:rFonts w:ascii="Times New Roman" w:eastAsia="Times New Roman" w:hAnsi="Times New Roman" w:cs="Times New Roman"/>
          <w:color w:val="000000"/>
          <w:lang w:val="en-US"/>
        </w:rPr>
        <w:t>ing</w:t>
      </w:r>
      <w:r w:rsidRPr="00F70D69">
        <w:rPr>
          <w:rFonts w:ascii="Times New Roman" w:eastAsia="Times New Roman" w:hAnsi="Times New Roman" w:cs="Times New Roman"/>
          <w:color w:val="000000"/>
          <w:lang w:val="en-US"/>
        </w:rPr>
        <w:t xml:space="preserve"> a new form of reporting but also </w:t>
      </w:r>
      <w:r w:rsidR="00440D15">
        <w:rPr>
          <w:rFonts w:ascii="Times New Roman" w:eastAsia="Times New Roman" w:hAnsi="Times New Roman" w:cs="Times New Roman"/>
          <w:color w:val="000000"/>
          <w:lang w:val="en-US"/>
        </w:rPr>
        <w:t>of</w:t>
      </w:r>
      <w:r w:rsidRPr="00F70D69">
        <w:rPr>
          <w:rFonts w:ascii="Times New Roman" w:eastAsia="Times New Roman" w:hAnsi="Times New Roman" w:cs="Times New Roman"/>
          <w:color w:val="000000"/>
          <w:lang w:val="en-US"/>
        </w:rPr>
        <w:t xml:space="preserve"> </w:t>
      </w:r>
      <w:r w:rsidR="00440D15">
        <w:rPr>
          <w:rFonts w:ascii="Times New Roman" w:eastAsia="Times New Roman" w:hAnsi="Times New Roman" w:cs="Times New Roman"/>
          <w:color w:val="000000"/>
          <w:lang w:val="en-US"/>
        </w:rPr>
        <w:t>constructing</w:t>
      </w:r>
      <w:r w:rsidRPr="00F70D69">
        <w:rPr>
          <w:rFonts w:ascii="Times New Roman" w:eastAsia="Times New Roman" w:hAnsi="Times New Roman" w:cs="Times New Roman"/>
          <w:color w:val="000000"/>
          <w:lang w:val="en-US"/>
        </w:rPr>
        <w:t xml:space="preserve"> and </w:t>
      </w:r>
      <w:r w:rsidR="00F3242D">
        <w:rPr>
          <w:rFonts w:ascii="Times New Roman" w:eastAsia="Times New Roman" w:hAnsi="Times New Roman" w:cs="Times New Roman"/>
          <w:color w:val="000000"/>
          <w:lang w:val="en-US"/>
        </w:rPr>
        <w:t>mobiliz</w:t>
      </w:r>
      <w:r w:rsidR="00440D15">
        <w:rPr>
          <w:rFonts w:ascii="Times New Roman" w:eastAsia="Times New Roman" w:hAnsi="Times New Roman" w:cs="Times New Roman"/>
          <w:color w:val="000000"/>
          <w:lang w:val="en-US"/>
        </w:rPr>
        <w:t>ing</w:t>
      </w:r>
      <w:r w:rsidRPr="00D174CE">
        <w:rPr>
          <w:rFonts w:ascii="Times New Roman" w:eastAsia="Times New Roman" w:hAnsi="Times New Roman" w:cs="Times New Roman"/>
          <w:color w:val="000000"/>
          <w:lang w:val="en-US"/>
        </w:rPr>
        <w:t xml:space="preserve"> the </w:t>
      </w:r>
      <w:r w:rsidR="00440D15">
        <w:rPr>
          <w:rFonts w:ascii="Times New Roman" w:eastAsia="Times New Roman" w:hAnsi="Times New Roman" w:cs="Times New Roman"/>
          <w:color w:val="000000"/>
          <w:lang w:val="en-US"/>
        </w:rPr>
        <w:t xml:space="preserve">notion of a </w:t>
      </w:r>
      <w:r w:rsidRPr="00B32829">
        <w:rPr>
          <w:rFonts w:ascii="Times New Roman" w:eastAsia="Times New Roman" w:hAnsi="Times New Roman" w:cs="Times New Roman"/>
          <w:color w:val="000000"/>
          <w:lang w:val="en-US"/>
        </w:rPr>
        <w:t>long-term</w:t>
      </w:r>
      <w:r w:rsidR="00440D15">
        <w:rPr>
          <w:rFonts w:ascii="Times New Roman" w:eastAsia="Times New Roman" w:hAnsi="Times New Roman" w:cs="Times New Roman"/>
          <w:color w:val="000000"/>
          <w:lang w:val="en-US"/>
        </w:rPr>
        <w:t xml:space="preserve"> (‘sophisticated’)</w:t>
      </w:r>
      <w:r w:rsidRPr="00B60B49">
        <w:rPr>
          <w:rFonts w:ascii="Times New Roman" w:eastAsia="Times New Roman" w:hAnsi="Times New Roman" w:cs="Times New Roman"/>
          <w:color w:val="000000"/>
          <w:lang w:val="en-US"/>
        </w:rPr>
        <w:t xml:space="preserve"> investor</w:t>
      </w:r>
      <w:r w:rsidR="00F3242D">
        <w:rPr>
          <w:rFonts w:ascii="Times New Roman" w:eastAsia="Times New Roman" w:hAnsi="Times New Roman" w:cs="Times New Roman"/>
          <w:color w:val="000000"/>
          <w:lang w:val="en-US"/>
        </w:rPr>
        <w:t xml:space="preserve"> that is </w:t>
      </w:r>
      <w:r w:rsidR="00492754">
        <w:rPr>
          <w:rFonts w:ascii="Times New Roman" w:eastAsia="Times New Roman" w:hAnsi="Times New Roman" w:cs="Times New Roman"/>
          <w:color w:val="000000"/>
          <w:lang w:val="en-US"/>
        </w:rPr>
        <w:t>in need of integrated reporting</w:t>
      </w:r>
      <w:r w:rsidRPr="00B60B49">
        <w:rPr>
          <w:rFonts w:ascii="Times New Roman" w:eastAsia="Times New Roman" w:hAnsi="Times New Roman" w:cs="Times New Roman"/>
          <w:color w:val="000000"/>
          <w:lang w:val="en-US"/>
        </w:rPr>
        <w:t xml:space="preserve">. </w:t>
      </w:r>
      <w:r w:rsidR="00AA5D1B">
        <w:rPr>
          <w:rFonts w:ascii="Times New Roman" w:eastAsia="Times New Roman" w:hAnsi="Times New Roman" w:cs="Times New Roman"/>
          <w:color w:val="000000"/>
          <w:lang w:val="en-US"/>
        </w:rPr>
        <w:t xml:space="preserve">This, however, </w:t>
      </w:r>
      <w:r w:rsidRPr="00B60B49">
        <w:rPr>
          <w:rFonts w:ascii="Times New Roman" w:eastAsia="Times New Roman" w:hAnsi="Times New Roman" w:cs="Times New Roman"/>
          <w:color w:val="000000"/>
          <w:lang w:val="en-US"/>
        </w:rPr>
        <w:t xml:space="preserve">requires a significant shift in what has, for a </w:t>
      </w:r>
      <w:r w:rsidR="00AA5D1B">
        <w:rPr>
          <w:rFonts w:ascii="Times New Roman" w:eastAsia="Times New Roman" w:hAnsi="Times New Roman" w:cs="Times New Roman"/>
          <w:color w:val="000000"/>
          <w:lang w:val="en-US"/>
        </w:rPr>
        <w:t xml:space="preserve">very </w:t>
      </w:r>
      <w:r w:rsidRPr="00B60B49">
        <w:rPr>
          <w:rFonts w:ascii="Times New Roman" w:eastAsia="Times New Roman" w:hAnsi="Times New Roman" w:cs="Times New Roman"/>
          <w:color w:val="000000"/>
          <w:lang w:val="en-US"/>
        </w:rPr>
        <w:t xml:space="preserve">long time, been a system of financial capital </w:t>
      </w:r>
      <w:r w:rsidRPr="00F46A54">
        <w:rPr>
          <w:rFonts w:ascii="Times New Roman" w:eastAsia="Times New Roman" w:hAnsi="Times New Roman" w:cs="Times New Roman"/>
          <w:color w:val="000000"/>
          <w:lang w:val="en-US"/>
        </w:rPr>
        <w:t xml:space="preserve">provision that </w:t>
      </w:r>
      <w:r w:rsidR="00440D15">
        <w:rPr>
          <w:rFonts w:ascii="Times New Roman" w:eastAsia="Times New Roman" w:hAnsi="Times New Roman" w:cs="Times New Roman"/>
          <w:color w:val="000000"/>
          <w:lang w:val="en-US"/>
        </w:rPr>
        <w:t xml:space="preserve">has </w:t>
      </w:r>
      <w:r w:rsidRPr="00F46A54">
        <w:rPr>
          <w:rFonts w:ascii="Times New Roman" w:eastAsia="Times New Roman" w:hAnsi="Times New Roman" w:cs="Times New Roman"/>
          <w:color w:val="000000"/>
          <w:lang w:val="en-US"/>
        </w:rPr>
        <w:t>prioritize</w:t>
      </w:r>
      <w:r w:rsidR="00440D15">
        <w:rPr>
          <w:rFonts w:ascii="Times New Roman" w:eastAsia="Times New Roman" w:hAnsi="Times New Roman" w:cs="Times New Roman"/>
          <w:color w:val="000000"/>
          <w:lang w:val="en-US"/>
        </w:rPr>
        <w:t>d</w:t>
      </w:r>
      <w:r w:rsidRPr="00F46A54">
        <w:rPr>
          <w:rFonts w:ascii="Times New Roman" w:eastAsia="Times New Roman" w:hAnsi="Times New Roman" w:cs="Times New Roman"/>
          <w:color w:val="000000"/>
          <w:lang w:val="en-US"/>
        </w:rPr>
        <w:t xml:space="preserve"> the short-term over the longer-term. </w:t>
      </w:r>
    </w:p>
    <w:p w14:paraId="33774586" w14:textId="2F3213C4" w:rsidR="007F7B0A" w:rsidRDefault="007F7B0A">
      <w:pPr>
        <w:spacing w:line="360" w:lineRule="auto"/>
        <w:ind w:firstLine="708"/>
        <w:jc w:val="both"/>
        <w:rPr>
          <w:rFonts w:ascii="Times New Roman" w:eastAsia="Times New Roman" w:hAnsi="Times New Roman" w:cs="Times New Roman"/>
          <w:color w:val="000000"/>
          <w:lang w:val="en-US"/>
        </w:rPr>
      </w:pPr>
      <w:r w:rsidRPr="00F46A54">
        <w:rPr>
          <w:rFonts w:ascii="Times New Roman" w:eastAsia="Times New Roman" w:hAnsi="Times New Roman" w:cs="Times New Roman"/>
          <w:color w:val="000000"/>
          <w:lang w:val="en-US"/>
        </w:rPr>
        <w:t>This is a fundamental issue confro</w:t>
      </w:r>
      <w:r w:rsidR="004B4A52">
        <w:rPr>
          <w:rFonts w:ascii="Times New Roman" w:eastAsia="Times New Roman" w:hAnsi="Times New Roman" w:cs="Times New Roman"/>
          <w:color w:val="000000"/>
          <w:lang w:val="en-US"/>
        </w:rPr>
        <w:t>nting the IIRC</w:t>
      </w:r>
      <w:r w:rsidRPr="00490BE3">
        <w:rPr>
          <w:rFonts w:ascii="Times New Roman" w:eastAsia="Times New Roman" w:hAnsi="Times New Roman" w:cs="Times New Roman"/>
          <w:color w:val="000000"/>
          <w:lang w:val="en-US"/>
        </w:rPr>
        <w:t xml:space="preserve">. </w:t>
      </w:r>
      <w:r w:rsidR="00440D15">
        <w:rPr>
          <w:rFonts w:ascii="Times New Roman" w:hAnsi="Times New Roman" w:cs="Times New Roman"/>
          <w:lang w:val="en-US"/>
        </w:rPr>
        <w:t>Its</w:t>
      </w:r>
      <w:r w:rsidRPr="008E4449">
        <w:rPr>
          <w:rFonts w:ascii="Times New Roman" w:hAnsi="Times New Roman" w:cs="Times New Roman"/>
          <w:lang w:val="en-US"/>
        </w:rPr>
        <w:t xml:space="preserve"> line of argument has consistently been that the development of </w:t>
      </w:r>
      <w:r>
        <w:rPr>
          <w:rFonts w:ascii="Times New Roman" w:hAnsi="Times New Roman" w:cs="Times New Roman"/>
          <w:lang w:val="en-US"/>
        </w:rPr>
        <w:t>integrated reporting</w:t>
      </w:r>
      <w:r w:rsidRPr="008E4449">
        <w:rPr>
          <w:rFonts w:ascii="Times New Roman" w:hAnsi="Times New Roman" w:cs="Times New Roman"/>
          <w:lang w:val="en-US"/>
        </w:rPr>
        <w:t xml:space="preserve"> has been </w:t>
      </w:r>
      <w:r>
        <w:rPr>
          <w:rFonts w:ascii="Times New Roman" w:hAnsi="Times New Roman" w:cs="Times New Roman"/>
          <w:lang w:val="en-US"/>
        </w:rPr>
        <w:t xml:space="preserve">a </w:t>
      </w:r>
      <w:r w:rsidRPr="008E4449">
        <w:rPr>
          <w:rFonts w:ascii="Times New Roman" w:hAnsi="Times New Roman" w:cs="Times New Roman"/>
          <w:lang w:val="en-US"/>
        </w:rPr>
        <w:t xml:space="preserve">response to market demand. However, the longer and harder it </w:t>
      </w:r>
      <w:r w:rsidRPr="00B60B49">
        <w:rPr>
          <w:rFonts w:ascii="Times New Roman" w:hAnsi="Times New Roman" w:cs="Times New Roman"/>
          <w:lang w:val="en-US"/>
        </w:rPr>
        <w:t>ha</w:t>
      </w:r>
      <w:r>
        <w:rPr>
          <w:rFonts w:ascii="Times New Roman" w:hAnsi="Times New Roman" w:cs="Times New Roman"/>
          <w:lang w:val="en-US"/>
        </w:rPr>
        <w:t>s</w:t>
      </w:r>
      <w:r w:rsidRPr="008E4449">
        <w:rPr>
          <w:rFonts w:ascii="Times New Roman" w:hAnsi="Times New Roman" w:cs="Times New Roman"/>
          <w:lang w:val="en-US"/>
        </w:rPr>
        <w:t xml:space="preserve"> to push the notion of </w:t>
      </w:r>
      <w:r w:rsidR="00AA5D1B">
        <w:rPr>
          <w:rFonts w:ascii="Times New Roman" w:hAnsi="Times New Roman" w:cs="Times New Roman"/>
          <w:lang w:val="en-US"/>
        </w:rPr>
        <w:t>the long-term investor and his/her</w:t>
      </w:r>
      <w:r w:rsidRPr="008E4449">
        <w:rPr>
          <w:rFonts w:ascii="Times New Roman" w:hAnsi="Times New Roman" w:cs="Times New Roman"/>
          <w:lang w:val="en-US"/>
        </w:rPr>
        <w:t xml:space="preserve"> desire for </w:t>
      </w:r>
      <w:r>
        <w:rPr>
          <w:rFonts w:ascii="Times New Roman" w:hAnsi="Times New Roman" w:cs="Times New Roman"/>
          <w:lang w:val="en-US"/>
        </w:rPr>
        <w:t xml:space="preserve">integrated </w:t>
      </w:r>
      <w:r>
        <w:rPr>
          <w:rFonts w:ascii="Times New Roman" w:hAnsi="Times New Roman" w:cs="Times New Roman"/>
          <w:lang w:val="en-US"/>
        </w:rPr>
        <w:lastRenderedPageBreak/>
        <w:t>reporting</w:t>
      </w:r>
      <w:r w:rsidR="00AA5D1B">
        <w:rPr>
          <w:rFonts w:ascii="Times New Roman" w:hAnsi="Times New Roman" w:cs="Times New Roman"/>
          <w:lang w:val="en-US"/>
        </w:rPr>
        <w:t>, the more the IIRC’s</w:t>
      </w:r>
      <w:r w:rsidRPr="008E4449">
        <w:rPr>
          <w:rFonts w:ascii="Times New Roman" w:hAnsi="Times New Roman" w:cs="Times New Roman"/>
          <w:lang w:val="en-US"/>
        </w:rPr>
        <w:t xml:space="preserve"> entire project</w:t>
      </w:r>
      <w:r w:rsidR="00AA5D1B">
        <w:rPr>
          <w:rFonts w:ascii="Times New Roman" w:hAnsi="Times New Roman" w:cs="Times New Roman"/>
          <w:lang w:val="en-US"/>
        </w:rPr>
        <w:t xml:space="preserve"> risks</w:t>
      </w:r>
      <w:r w:rsidRPr="008E4449">
        <w:rPr>
          <w:rFonts w:ascii="Times New Roman" w:hAnsi="Times New Roman" w:cs="Times New Roman"/>
          <w:lang w:val="en-US"/>
        </w:rPr>
        <w:t xml:space="preserve"> </w:t>
      </w:r>
      <w:r w:rsidR="00AA5D1B">
        <w:rPr>
          <w:rFonts w:ascii="Times New Roman" w:hAnsi="Times New Roman" w:cs="Times New Roman"/>
          <w:lang w:val="en-US"/>
        </w:rPr>
        <w:t>resembling</w:t>
      </w:r>
      <w:r w:rsidRPr="008E4449">
        <w:rPr>
          <w:rFonts w:ascii="Times New Roman" w:hAnsi="Times New Roman" w:cs="Times New Roman"/>
          <w:lang w:val="en-US"/>
        </w:rPr>
        <w:t xml:space="preserve"> the findings of Young (2006), who showed how financial accounting standard setters constructed various profiles of user needs </w:t>
      </w:r>
      <w:r w:rsidRPr="000F474E">
        <w:rPr>
          <w:rFonts w:ascii="Times New Roman" w:eastAsia="Times New Roman" w:hAnsi="Times New Roman" w:cs="Times New Roman"/>
          <w:color w:val="000000"/>
          <w:lang w:val="en-US"/>
        </w:rPr>
        <w:t>as a resource to justify or dismiss particular accounting disclosures or practices</w:t>
      </w:r>
      <w:r w:rsidR="00AA5D1B">
        <w:rPr>
          <w:rFonts w:ascii="Times New Roman" w:eastAsia="Times New Roman" w:hAnsi="Times New Roman" w:cs="Times New Roman"/>
          <w:color w:val="000000"/>
          <w:lang w:val="en-US"/>
        </w:rPr>
        <w:t>.</w:t>
      </w:r>
      <w:r w:rsidRPr="008E4449">
        <w:rPr>
          <w:rFonts w:ascii="Times New Roman" w:hAnsi="Times New Roman" w:cs="Times New Roman"/>
          <w:lang w:val="en-US"/>
        </w:rPr>
        <w:t xml:space="preserve"> </w:t>
      </w:r>
      <w:r w:rsidR="00AA5D1B">
        <w:rPr>
          <w:rFonts w:ascii="Times New Roman" w:hAnsi="Times New Roman" w:cs="Times New Roman"/>
          <w:lang w:val="en-US"/>
        </w:rPr>
        <w:t xml:space="preserve">In Young’s (2006) case, standard setters had very limited contact with ‘flesh and blood’ users. </w:t>
      </w:r>
      <w:r w:rsidR="001F1821" w:rsidRPr="004B4A52">
        <w:rPr>
          <w:rFonts w:ascii="Times New Roman" w:hAnsi="Times New Roman" w:cs="Times New Roman"/>
          <w:lang w:val="en-US"/>
        </w:rPr>
        <w:t>T</w:t>
      </w:r>
      <w:r w:rsidR="00AA5D1B" w:rsidRPr="00AA5D1B">
        <w:rPr>
          <w:rFonts w:ascii="Times New Roman" w:hAnsi="Times New Roman" w:cs="Times New Roman"/>
          <w:lang w:val="en-US"/>
        </w:rPr>
        <w:t>he IIRC</w:t>
      </w:r>
      <w:r w:rsidR="00AA5D1B">
        <w:rPr>
          <w:rFonts w:ascii="Times New Roman" w:hAnsi="Times New Roman" w:cs="Times New Roman"/>
          <w:lang w:val="en-US"/>
        </w:rPr>
        <w:t xml:space="preserve"> </w:t>
      </w:r>
      <w:r w:rsidR="00FE59B0">
        <w:rPr>
          <w:rFonts w:ascii="Times New Roman" w:hAnsi="Times New Roman" w:cs="Times New Roman"/>
          <w:lang w:val="en-US"/>
        </w:rPr>
        <w:t xml:space="preserve">has </w:t>
      </w:r>
      <w:r w:rsidRPr="00686181">
        <w:rPr>
          <w:rFonts w:ascii="Times New Roman" w:hAnsi="Times New Roman" w:cs="Times New Roman"/>
          <w:lang w:val="en-US"/>
        </w:rPr>
        <w:t>engag</w:t>
      </w:r>
      <w:r w:rsidR="00FE59B0">
        <w:rPr>
          <w:rFonts w:ascii="Times New Roman" w:hAnsi="Times New Roman" w:cs="Times New Roman"/>
          <w:lang w:val="en-US"/>
        </w:rPr>
        <w:t>ed</w:t>
      </w:r>
      <w:r w:rsidRPr="00686181">
        <w:rPr>
          <w:rFonts w:ascii="Times New Roman" w:hAnsi="Times New Roman" w:cs="Times New Roman"/>
          <w:lang w:val="en-US"/>
        </w:rPr>
        <w:t xml:space="preserve"> much more actively with potential investor proponents through its inves</w:t>
      </w:r>
      <w:r w:rsidR="004B4A52" w:rsidRPr="00686181">
        <w:rPr>
          <w:rFonts w:ascii="Times New Roman" w:hAnsi="Times New Roman" w:cs="Times New Roman"/>
          <w:lang w:val="en-US"/>
        </w:rPr>
        <w:t xml:space="preserve">tor network </w:t>
      </w:r>
      <w:r w:rsidR="00AA5D1B">
        <w:rPr>
          <w:rFonts w:ascii="Times New Roman" w:hAnsi="Times New Roman" w:cs="Times New Roman"/>
          <w:lang w:val="en-US"/>
        </w:rPr>
        <w:t xml:space="preserve">but, to succeed, such networks have to generate in significant numbers the ‘flesh and blood’ </w:t>
      </w:r>
      <w:r w:rsidR="004B4A52" w:rsidRPr="00953650">
        <w:rPr>
          <w:rFonts w:ascii="Times New Roman" w:hAnsi="Times New Roman" w:cs="Times New Roman"/>
          <w:i/>
          <w:lang w:val="en-US"/>
        </w:rPr>
        <w:t>long term</w:t>
      </w:r>
      <w:r w:rsidR="004B4A52" w:rsidRPr="004B4A52">
        <w:rPr>
          <w:rFonts w:ascii="Times New Roman" w:hAnsi="Times New Roman" w:cs="Times New Roman"/>
          <w:lang w:val="en-US"/>
        </w:rPr>
        <w:t xml:space="preserve"> investor</w:t>
      </w:r>
      <w:r w:rsidR="00AB52D9">
        <w:rPr>
          <w:rFonts w:ascii="Times New Roman" w:hAnsi="Times New Roman" w:cs="Times New Roman"/>
          <w:lang w:val="en-US"/>
        </w:rPr>
        <w:t>s</w:t>
      </w:r>
      <w:r w:rsidR="004B4A52" w:rsidRPr="004B4A52">
        <w:rPr>
          <w:rFonts w:ascii="Times New Roman" w:hAnsi="Times New Roman" w:cs="Times New Roman"/>
          <w:lang w:val="en-US"/>
        </w:rPr>
        <w:t xml:space="preserve"> </w:t>
      </w:r>
      <w:r w:rsidR="00AA5D1B">
        <w:rPr>
          <w:rFonts w:ascii="Times New Roman" w:hAnsi="Times New Roman" w:cs="Times New Roman"/>
          <w:lang w:val="en-US"/>
        </w:rPr>
        <w:t xml:space="preserve">that will stand </w:t>
      </w:r>
      <w:r w:rsidR="004B4A52" w:rsidRPr="004B4A52">
        <w:rPr>
          <w:rFonts w:ascii="Times New Roman" w:hAnsi="Times New Roman" w:cs="Times New Roman"/>
          <w:lang w:val="en-US"/>
        </w:rPr>
        <w:t xml:space="preserve">behind </w:t>
      </w:r>
      <w:r w:rsidR="00AA5D1B">
        <w:rPr>
          <w:rFonts w:ascii="Times New Roman" w:hAnsi="Times New Roman" w:cs="Times New Roman"/>
          <w:lang w:val="en-US"/>
        </w:rPr>
        <w:t xml:space="preserve">its construction of </w:t>
      </w:r>
      <w:r w:rsidR="004B4A52" w:rsidRPr="004B4A52">
        <w:rPr>
          <w:rFonts w:ascii="Times New Roman" w:hAnsi="Times New Roman" w:cs="Times New Roman"/>
          <w:lang w:val="en-US"/>
        </w:rPr>
        <w:t>integrated reporting.</w:t>
      </w:r>
    </w:p>
    <w:p w14:paraId="552B3B38" w14:textId="46F98C1C" w:rsidR="00BC2B3F" w:rsidRDefault="00B54E25" w:rsidP="005F028E">
      <w:pPr>
        <w:pStyle w:val="CommentText"/>
        <w:spacing w:line="360" w:lineRule="auto"/>
        <w:ind w:firstLine="708"/>
        <w:jc w:val="both"/>
        <w:rPr>
          <w:rFonts w:ascii="Times New Roman" w:hAnsi="Times New Roman" w:cs="Times New Roman"/>
          <w:sz w:val="22"/>
          <w:szCs w:val="22"/>
        </w:rPr>
      </w:pPr>
      <w:r w:rsidRPr="008E4449">
        <w:rPr>
          <w:rFonts w:ascii="Times New Roman" w:hAnsi="Times New Roman" w:cs="Times New Roman"/>
          <w:sz w:val="22"/>
          <w:szCs w:val="22"/>
          <w:lang w:val="en-US"/>
        </w:rPr>
        <w:t xml:space="preserve">Suddaby and </w:t>
      </w:r>
      <w:proofErr w:type="spellStart"/>
      <w:r w:rsidRPr="008E4449">
        <w:rPr>
          <w:rFonts w:ascii="Times New Roman" w:hAnsi="Times New Roman" w:cs="Times New Roman"/>
          <w:sz w:val="22"/>
          <w:szCs w:val="22"/>
          <w:lang w:val="en-US"/>
        </w:rPr>
        <w:t>Viale</w:t>
      </w:r>
      <w:proofErr w:type="spellEnd"/>
      <w:r w:rsidRPr="008E4449">
        <w:rPr>
          <w:rFonts w:ascii="Times New Roman" w:hAnsi="Times New Roman" w:cs="Times New Roman"/>
          <w:sz w:val="22"/>
          <w:szCs w:val="22"/>
          <w:lang w:val="en-US"/>
        </w:rPr>
        <w:t xml:space="preserve"> (2011) </w:t>
      </w:r>
      <w:r w:rsidR="00AA5D1B">
        <w:rPr>
          <w:rFonts w:ascii="Times New Roman" w:hAnsi="Times New Roman" w:cs="Times New Roman"/>
          <w:sz w:val="22"/>
          <w:szCs w:val="22"/>
          <w:lang w:val="en-US"/>
        </w:rPr>
        <w:t>theoriz</w:t>
      </w:r>
      <w:r w:rsidR="00FC33CB">
        <w:rPr>
          <w:rFonts w:ascii="Times New Roman" w:hAnsi="Times New Roman" w:cs="Times New Roman"/>
          <w:sz w:val="22"/>
          <w:szCs w:val="22"/>
          <w:lang w:val="en-US"/>
        </w:rPr>
        <w:t>e</w:t>
      </w:r>
      <w:r w:rsidR="00440D15">
        <w:rPr>
          <w:rFonts w:ascii="Times New Roman" w:hAnsi="Times New Roman" w:cs="Times New Roman"/>
          <w:sz w:val="22"/>
          <w:szCs w:val="22"/>
          <w:lang w:val="en-US"/>
        </w:rPr>
        <w:t>d</w:t>
      </w:r>
      <w:r w:rsidRPr="008E4449">
        <w:rPr>
          <w:rFonts w:ascii="Times New Roman" w:hAnsi="Times New Roman" w:cs="Times New Roman"/>
          <w:sz w:val="22"/>
          <w:szCs w:val="22"/>
          <w:lang w:val="en-US"/>
        </w:rPr>
        <w:t xml:space="preserve"> that field-level change can be understood as a sequence of reciprocal and mutual projects between professions and other powerful bodies.</w:t>
      </w:r>
      <w:r w:rsidR="00DE2E1B" w:rsidRPr="008E4449">
        <w:rPr>
          <w:rFonts w:ascii="Times New Roman" w:hAnsi="Times New Roman" w:cs="Times New Roman"/>
          <w:sz w:val="22"/>
          <w:szCs w:val="22"/>
          <w:lang w:val="en-US"/>
        </w:rPr>
        <w:t xml:space="preserve"> </w:t>
      </w:r>
      <w:r w:rsidR="00466312" w:rsidRPr="008E4449">
        <w:rPr>
          <w:rFonts w:ascii="Times New Roman" w:hAnsi="Times New Roman" w:cs="Times New Roman"/>
          <w:sz w:val="22"/>
          <w:szCs w:val="22"/>
          <w:lang w:val="en-US"/>
        </w:rPr>
        <w:t>O</w:t>
      </w:r>
      <w:r w:rsidRPr="008E4449">
        <w:rPr>
          <w:rFonts w:ascii="Times New Roman" w:hAnsi="Times New Roman" w:cs="Times New Roman"/>
          <w:sz w:val="22"/>
          <w:szCs w:val="22"/>
          <w:lang w:val="en-US"/>
        </w:rPr>
        <w:t>ur analysis of these early efforts by the IIRC to institutionali</w:t>
      </w:r>
      <w:r w:rsidR="00CC1DCC" w:rsidRPr="008E4449">
        <w:rPr>
          <w:rFonts w:ascii="Times New Roman" w:hAnsi="Times New Roman" w:cs="Times New Roman"/>
          <w:sz w:val="22"/>
          <w:szCs w:val="22"/>
          <w:lang w:val="en-US"/>
        </w:rPr>
        <w:t xml:space="preserve">ze its version of </w:t>
      </w:r>
      <w:r w:rsidR="00121D10">
        <w:rPr>
          <w:rFonts w:ascii="Times New Roman" w:hAnsi="Times New Roman" w:cs="Times New Roman"/>
          <w:sz w:val="22"/>
          <w:szCs w:val="22"/>
          <w:lang w:val="en-US"/>
        </w:rPr>
        <w:t>integrated reporting</w:t>
      </w:r>
      <w:r w:rsidR="00CC1DCC" w:rsidRPr="008E4449">
        <w:rPr>
          <w:rFonts w:ascii="Times New Roman" w:hAnsi="Times New Roman" w:cs="Times New Roman"/>
          <w:sz w:val="22"/>
          <w:szCs w:val="22"/>
          <w:lang w:val="en-US"/>
        </w:rPr>
        <w:t xml:space="preserve"> illuminates</w:t>
      </w:r>
      <w:r w:rsidRPr="008E4449">
        <w:rPr>
          <w:rFonts w:ascii="Times New Roman" w:hAnsi="Times New Roman" w:cs="Times New Roman"/>
          <w:sz w:val="22"/>
          <w:szCs w:val="22"/>
          <w:lang w:val="en-US"/>
        </w:rPr>
        <w:t xml:space="preserve"> a number of specific refinements </w:t>
      </w:r>
      <w:r w:rsidR="00440D15">
        <w:rPr>
          <w:rFonts w:ascii="Times New Roman" w:hAnsi="Times New Roman" w:cs="Times New Roman"/>
          <w:sz w:val="22"/>
          <w:szCs w:val="22"/>
          <w:lang w:val="en-US"/>
        </w:rPr>
        <w:t xml:space="preserve">that need to be made </w:t>
      </w:r>
      <w:r w:rsidRPr="008E4449">
        <w:rPr>
          <w:rFonts w:ascii="Times New Roman" w:hAnsi="Times New Roman" w:cs="Times New Roman"/>
          <w:sz w:val="22"/>
          <w:szCs w:val="22"/>
          <w:lang w:val="en-US"/>
        </w:rPr>
        <w:t xml:space="preserve">to Suddaby and </w:t>
      </w:r>
      <w:proofErr w:type="spellStart"/>
      <w:r w:rsidRPr="008E4449">
        <w:rPr>
          <w:rFonts w:ascii="Times New Roman" w:hAnsi="Times New Roman" w:cs="Times New Roman"/>
          <w:sz w:val="22"/>
          <w:szCs w:val="22"/>
          <w:lang w:val="en-US"/>
        </w:rPr>
        <w:t>Viale’s</w:t>
      </w:r>
      <w:proofErr w:type="spellEnd"/>
      <w:r w:rsidRPr="008E4449">
        <w:rPr>
          <w:rFonts w:ascii="Times New Roman" w:hAnsi="Times New Roman" w:cs="Times New Roman"/>
          <w:sz w:val="22"/>
          <w:szCs w:val="22"/>
          <w:lang w:val="en-US"/>
        </w:rPr>
        <w:t xml:space="preserve"> </w:t>
      </w:r>
      <w:r w:rsidR="00AA5D1B">
        <w:rPr>
          <w:rFonts w:ascii="Times New Roman" w:hAnsi="Times New Roman" w:cs="Times New Roman"/>
          <w:sz w:val="22"/>
          <w:szCs w:val="22"/>
          <w:lang w:val="en-US"/>
        </w:rPr>
        <w:t>theor</w:t>
      </w:r>
      <w:r w:rsidR="00440D15">
        <w:rPr>
          <w:rFonts w:ascii="Times New Roman" w:hAnsi="Times New Roman" w:cs="Times New Roman"/>
          <w:sz w:val="22"/>
          <w:szCs w:val="22"/>
          <w:lang w:val="en-US"/>
        </w:rPr>
        <w:t xml:space="preserve">etical framing </w:t>
      </w:r>
      <w:r w:rsidRPr="008E4449">
        <w:rPr>
          <w:rFonts w:ascii="Times New Roman" w:hAnsi="Times New Roman" w:cs="Times New Roman"/>
          <w:sz w:val="22"/>
          <w:szCs w:val="22"/>
          <w:lang w:val="en-US"/>
        </w:rPr>
        <w:t xml:space="preserve">of processes of field-level change. </w:t>
      </w:r>
      <w:r w:rsidR="00412B54" w:rsidRPr="008E4449">
        <w:rPr>
          <w:rFonts w:ascii="Times New Roman" w:hAnsi="Times New Roman" w:cs="Times New Roman"/>
          <w:sz w:val="22"/>
          <w:szCs w:val="22"/>
          <w:lang w:val="en-US"/>
        </w:rPr>
        <w:t xml:space="preserve">Suddaby and </w:t>
      </w:r>
      <w:proofErr w:type="spellStart"/>
      <w:r w:rsidR="00412B54" w:rsidRPr="008E4449">
        <w:rPr>
          <w:rFonts w:ascii="Times New Roman" w:hAnsi="Times New Roman" w:cs="Times New Roman"/>
          <w:sz w:val="22"/>
          <w:szCs w:val="22"/>
          <w:lang w:val="en-US"/>
        </w:rPr>
        <w:t>Viale</w:t>
      </w:r>
      <w:proofErr w:type="spellEnd"/>
      <w:r w:rsidR="00412B54" w:rsidRPr="008E4449">
        <w:rPr>
          <w:rFonts w:ascii="Times New Roman" w:hAnsi="Times New Roman" w:cs="Times New Roman"/>
          <w:sz w:val="22"/>
          <w:szCs w:val="22"/>
          <w:lang w:val="en-US"/>
        </w:rPr>
        <w:t xml:space="preserve"> </w:t>
      </w:r>
      <w:r w:rsidR="002F521E">
        <w:rPr>
          <w:rFonts w:ascii="Times New Roman" w:hAnsi="Times New Roman" w:cs="Times New Roman"/>
          <w:sz w:val="22"/>
          <w:szCs w:val="22"/>
          <w:lang w:val="en-US"/>
        </w:rPr>
        <w:t xml:space="preserve">provided a sequential </w:t>
      </w:r>
      <w:r w:rsidR="00412B54" w:rsidRPr="008E4449">
        <w:rPr>
          <w:rFonts w:ascii="Times New Roman" w:hAnsi="Times New Roman" w:cs="Times New Roman"/>
          <w:sz w:val="22"/>
          <w:szCs w:val="22"/>
        </w:rPr>
        <w:t>categori</w:t>
      </w:r>
      <w:r w:rsidR="002F521E">
        <w:rPr>
          <w:rFonts w:ascii="Times New Roman" w:hAnsi="Times New Roman" w:cs="Times New Roman"/>
          <w:sz w:val="22"/>
          <w:szCs w:val="22"/>
        </w:rPr>
        <w:t>zation of</w:t>
      </w:r>
      <w:r w:rsidR="00412B54" w:rsidRPr="008E4449">
        <w:rPr>
          <w:rFonts w:ascii="Times New Roman" w:hAnsi="Times New Roman" w:cs="Times New Roman"/>
          <w:sz w:val="22"/>
          <w:szCs w:val="22"/>
        </w:rPr>
        <w:t xml:space="preserve"> the different stages in field-change change processes</w:t>
      </w:r>
      <w:r w:rsidR="002F521E">
        <w:rPr>
          <w:rFonts w:ascii="Times New Roman" w:hAnsi="Times New Roman" w:cs="Times New Roman"/>
          <w:sz w:val="22"/>
          <w:szCs w:val="22"/>
        </w:rPr>
        <w:t>.  W</w:t>
      </w:r>
      <w:r w:rsidR="00412B54" w:rsidRPr="008E4449">
        <w:rPr>
          <w:rFonts w:ascii="Times New Roman" w:hAnsi="Times New Roman" w:cs="Times New Roman"/>
          <w:sz w:val="22"/>
          <w:szCs w:val="22"/>
        </w:rPr>
        <w:t xml:space="preserve">e </w:t>
      </w:r>
      <w:r w:rsidR="002F521E">
        <w:rPr>
          <w:rFonts w:ascii="Times New Roman" w:hAnsi="Times New Roman" w:cs="Times New Roman"/>
          <w:sz w:val="22"/>
          <w:szCs w:val="22"/>
        </w:rPr>
        <w:t xml:space="preserve">substantially develop this </w:t>
      </w:r>
      <w:r w:rsidR="00412B54" w:rsidRPr="008E4449">
        <w:rPr>
          <w:rFonts w:ascii="Times New Roman" w:hAnsi="Times New Roman" w:cs="Times New Roman"/>
          <w:sz w:val="22"/>
          <w:szCs w:val="22"/>
        </w:rPr>
        <w:t xml:space="preserve">by emphasising </w:t>
      </w:r>
      <w:r w:rsidR="00412B54" w:rsidRPr="00412B54">
        <w:rPr>
          <w:rFonts w:ascii="Times New Roman" w:hAnsi="Times New Roman" w:cs="Times New Roman"/>
          <w:sz w:val="22"/>
          <w:szCs w:val="22"/>
        </w:rPr>
        <w:t>more expl</w:t>
      </w:r>
      <w:r w:rsidR="00412B54">
        <w:rPr>
          <w:rFonts w:ascii="Times New Roman" w:hAnsi="Times New Roman" w:cs="Times New Roman"/>
          <w:sz w:val="22"/>
          <w:szCs w:val="22"/>
        </w:rPr>
        <w:t>ici</w:t>
      </w:r>
      <w:r w:rsidR="00412B54" w:rsidRPr="008E4449">
        <w:rPr>
          <w:rFonts w:ascii="Times New Roman" w:hAnsi="Times New Roman" w:cs="Times New Roman"/>
          <w:sz w:val="22"/>
          <w:szCs w:val="22"/>
        </w:rPr>
        <w:t>tly the n</w:t>
      </w:r>
      <w:r w:rsidR="00412B54" w:rsidRPr="00412B54">
        <w:rPr>
          <w:rFonts w:ascii="Times New Roman" w:hAnsi="Times New Roman" w:cs="Times New Roman"/>
          <w:sz w:val="22"/>
          <w:szCs w:val="22"/>
        </w:rPr>
        <w:t xml:space="preserve">ature of the </w:t>
      </w:r>
      <w:r w:rsidR="00412B54" w:rsidRPr="002C1E5F">
        <w:rPr>
          <w:rFonts w:ascii="Times New Roman" w:hAnsi="Times New Roman" w:cs="Times New Roman"/>
          <w:i/>
          <w:sz w:val="22"/>
          <w:szCs w:val="22"/>
        </w:rPr>
        <w:t xml:space="preserve">dynamics </w:t>
      </w:r>
      <w:r w:rsidR="00412B54" w:rsidRPr="00412B54">
        <w:rPr>
          <w:rFonts w:ascii="Times New Roman" w:hAnsi="Times New Roman" w:cs="Times New Roman"/>
          <w:sz w:val="22"/>
          <w:szCs w:val="22"/>
        </w:rPr>
        <w:t>of change</w:t>
      </w:r>
      <w:r w:rsidR="00412B54" w:rsidRPr="008E4449">
        <w:rPr>
          <w:rFonts w:ascii="Times New Roman" w:hAnsi="Times New Roman" w:cs="Times New Roman"/>
          <w:sz w:val="22"/>
          <w:szCs w:val="22"/>
        </w:rPr>
        <w:t xml:space="preserve">, in particular the role of </w:t>
      </w:r>
      <w:r w:rsidR="007F7B0A">
        <w:rPr>
          <w:rFonts w:ascii="Times New Roman" w:hAnsi="Times New Roman" w:cs="Times New Roman"/>
          <w:sz w:val="22"/>
          <w:szCs w:val="22"/>
        </w:rPr>
        <w:t xml:space="preserve">different forms of </w:t>
      </w:r>
      <w:r w:rsidR="00412B54" w:rsidRPr="008E4449">
        <w:rPr>
          <w:rFonts w:ascii="Times New Roman" w:hAnsi="Times New Roman" w:cs="Times New Roman"/>
          <w:sz w:val="22"/>
          <w:szCs w:val="22"/>
        </w:rPr>
        <w:t xml:space="preserve">boundary work. </w:t>
      </w:r>
      <w:r w:rsidR="002F521E">
        <w:rPr>
          <w:rFonts w:ascii="Times New Roman" w:hAnsi="Times New Roman" w:cs="Times New Roman"/>
          <w:sz w:val="22"/>
          <w:szCs w:val="22"/>
        </w:rPr>
        <w:t>Collectively, this provides a more flexible and less deterministic representation of processes of field-level change.</w:t>
      </w:r>
    </w:p>
    <w:p w14:paraId="07F408A2" w14:textId="5C0BB2C3" w:rsidR="00B54E25" w:rsidRPr="005F028E" w:rsidRDefault="00B54E25" w:rsidP="005F028E">
      <w:pPr>
        <w:pStyle w:val="CommentText"/>
        <w:spacing w:line="360" w:lineRule="auto"/>
        <w:ind w:firstLine="708"/>
        <w:jc w:val="both"/>
        <w:rPr>
          <w:sz w:val="22"/>
          <w:szCs w:val="22"/>
        </w:rPr>
      </w:pPr>
      <w:r w:rsidRPr="008E4449">
        <w:rPr>
          <w:rFonts w:ascii="Times New Roman" w:hAnsi="Times New Roman" w:cs="Times New Roman"/>
          <w:sz w:val="22"/>
          <w:szCs w:val="22"/>
          <w:lang w:val="en-US"/>
        </w:rPr>
        <w:t xml:space="preserve">In contrast to Suddaby and </w:t>
      </w:r>
      <w:proofErr w:type="spellStart"/>
      <w:r w:rsidRPr="008E4449">
        <w:rPr>
          <w:rFonts w:ascii="Times New Roman" w:hAnsi="Times New Roman" w:cs="Times New Roman"/>
          <w:sz w:val="22"/>
          <w:szCs w:val="22"/>
          <w:lang w:val="en-US"/>
        </w:rPr>
        <w:t>Viale’s</w:t>
      </w:r>
      <w:proofErr w:type="spellEnd"/>
      <w:r w:rsidRPr="008E4449">
        <w:rPr>
          <w:rFonts w:ascii="Times New Roman" w:hAnsi="Times New Roman" w:cs="Times New Roman"/>
          <w:sz w:val="22"/>
          <w:szCs w:val="22"/>
          <w:lang w:val="en-US"/>
        </w:rPr>
        <w:t xml:space="preserve"> (2011) assertion that individual professions tend to expand their jurisdiction by colonizing other profe</w:t>
      </w:r>
      <w:r w:rsidR="002C1E5F">
        <w:rPr>
          <w:rFonts w:ascii="Times New Roman" w:hAnsi="Times New Roman" w:cs="Times New Roman"/>
          <w:sz w:val="22"/>
          <w:szCs w:val="22"/>
          <w:lang w:val="en-US"/>
        </w:rPr>
        <w:t>ssions, our analysis illustrates</w:t>
      </w:r>
      <w:r w:rsidRPr="008E4449">
        <w:rPr>
          <w:rFonts w:ascii="Times New Roman" w:hAnsi="Times New Roman" w:cs="Times New Roman"/>
          <w:sz w:val="22"/>
          <w:szCs w:val="22"/>
          <w:lang w:val="en-US"/>
        </w:rPr>
        <w:t xml:space="preserve"> how, as the new practice of </w:t>
      </w:r>
      <w:r w:rsidR="00121D10">
        <w:rPr>
          <w:rFonts w:ascii="Times New Roman" w:hAnsi="Times New Roman" w:cs="Times New Roman"/>
          <w:sz w:val="22"/>
          <w:szCs w:val="22"/>
          <w:lang w:val="en-US"/>
        </w:rPr>
        <w:t>integrated reporting</w:t>
      </w:r>
      <w:r w:rsidRPr="008E4449">
        <w:rPr>
          <w:rFonts w:ascii="Times New Roman" w:hAnsi="Times New Roman" w:cs="Times New Roman"/>
          <w:sz w:val="22"/>
          <w:szCs w:val="22"/>
          <w:lang w:val="en-US"/>
        </w:rPr>
        <w:t xml:space="preserve"> was propelled by a coalition of professionals, attempts to</w:t>
      </w:r>
      <w:r w:rsidRPr="008E4449">
        <w:rPr>
          <w:rFonts w:ascii="Times New Roman" w:hAnsi="Times New Roman" w:cs="Times New Roman"/>
          <w:i/>
          <w:sz w:val="22"/>
          <w:szCs w:val="22"/>
          <w:lang w:val="en-US"/>
        </w:rPr>
        <w:t xml:space="preserve"> reduce</w:t>
      </w:r>
      <w:r w:rsidRPr="008E4449">
        <w:rPr>
          <w:rFonts w:ascii="Times New Roman" w:hAnsi="Times New Roman" w:cs="Times New Roman"/>
          <w:sz w:val="22"/>
          <w:szCs w:val="22"/>
          <w:lang w:val="en-US"/>
        </w:rPr>
        <w:t xml:space="preserve"> perceived threats of colonization were seen as necessary to secure ongoing coalition support. In the case of </w:t>
      </w:r>
      <w:r w:rsidR="00121D10">
        <w:rPr>
          <w:rFonts w:ascii="Times New Roman" w:hAnsi="Times New Roman" w:cs="Times New Roman"/>
          <w:sz w:val="22"/>
          <w:szCs w:val="22"/>
          <w:lang w:val="en-US"/>
        </w:rPr>
        <w:t>integrated reporting</w:t>
      </w:r>
      <w:r w:rsidRPr="008E4449">
        <w:rPr>
          <w:rFonts w:ascii="Times New Roman" w:hAnsi="Times New Roman" w:cs="Times New Roman"/>
          <w:sz w:val="22"/>
          <w:szCs w:val="22"/>
          <w:lang w:val="en-US"/>
        </w:rPr>
        <w:t xml:space="preserve">, key professional groups in </w:t>
      </w:r>
      <w:r w:rsidR="00DE1941" w:rsidRPr="008E4449">
        <w:rPr>
          <w:rFonts w:ascii="Times New Roman" w:hAnsi="Times New Roman" w:cs="Times New Roman"/>
          <w:sz w:val="22"/>
          <w:szCs w:val="22"/>
          <w:lang w:val="en-US"/>
        </w:rPr>
        <w:t xml:space="preserve">the </w:t>
      </w:r>
      <w:r w:rsidRPr="008E4449">
        <w:rPr>
          <w:rFonts w:ascii="Times New Roman" w:hAnsi="Times New Roman" w:cs="Times New Roman"/>
          <w:sz w:val="22"/>
          <w:szCs w:val="22"/>
          <w:lang w:val="en-US"/>
        </w:rPr>
        <w:t xml:space="preserve">corporate reporting field sought first </w:t>
      </w:r>
      <w:r w:rsidR="002F521E">
        <w:rPr>
          <w:rFonts w:ascii="Times New Roman" w:hAnsi="Times New Roman" w:cs="Times New Roman"/>
          <w:sz w:val="22"/>
          <w:szCs w:val="22"/>
          <w:lang w:val="en-US"/>
        </w:rPr>
        <w:t xml:space="preserve">to </w:t>
      </w:r>
      <w:r w:rsidRPr="008E4449">
        <w:rPr>
          <w:rFonts w:ascii="Times New Roman" w:hAnsi="Times New Roman" w:cs="Times New Roman"/>
          <w:sz w:val="22"/>
          <w:szCs w:val="22"/>
          <w:lang w:val="en-US"/>
        </w:rPr>
        <w:t xml:space="preserve">create a formal sense of mutuality and reciprocity among themselves, before formalizing the commitments that Suddaby and </w:t>
      </w:r>
      <w:proofErr w:type="spellStart"/>
      <w:r w:rsidRPr="008E4449">
        <w:rPr>
          <w:rFonts w:ascii="Times New Roman" w:hAnsi="Times New Roman" w:cs="Times New Roman"/>
          <w:sz w:val="22"/>
          <w:szCs w:val="22"/>
          <w:lang w:val="en-US"/>
        </w:rPr>
        <w:t>Viale</w:t>
      </w:r>
      <w:proofErr w:type="spellEnd"/>
      <w:r w:rsidRPr="008E4449">
        <w:rPr>
          <w:rFonts w:ascii="Times New Roman" w:hAnsi="Times New Roman" w:cs="Times New Roman"/>
          <w:sz w:val="22"/>
          <w:szCs w:val="22"/>
          <w:lang w:val="en-US"/>
        </w:rPr>
        <w:t xml:space="preserve"> suggest are essential with other powerful bodies outside or peripheral to the field. Such linkages </w:t>
      </w:r>
      <w:r w:rsidR="002F521E">
        <w:rPr>
          <w:rFonts w:ascii="Times New Roman" w:hAnsi="Times New Roman" w:cs="Times New Roman"/>
          <w:sz w:val="22"/>
          <w:szCs w:val="22"/>
          <w:lang w:val="en-US"/>
        </w:rPr>
        <w:t xml:space="preserve">looked </w:t>
      </w:r>
      <w:r w:rsidRPr="008E4449">
        <w:rPr>
          <w:rFonts w:ascii="Times New Roman" w:hAnsi="Times New Roman" w:cs="Times New Roman"/>
          <w:sz w:val="22"/>
          <w:szCs w:val="22"/>
          <w:lang w:val="en-US"/>
        </w:rPr>
        <w:t xml:space="preserve">to have been necessary in the case of </w:t>
      </w:r>
      <w:r w:rsidR="00121D10">
        <w:rPr>
          <w:rFonts w:ascii="Times New Roman" w:hAnsi="Times New Roman" w:cs="Times New Roman"/>
          <w:sz w:val="22"/>
          <w:szCs w:val="22"/>
          <w:lang w:val="en-US"/>
        </w:rPr>
        <w:t>integrated reporting</w:t>
      </w:r>
      <w:r w:rsidRPr="008E4449">
        <w:rPr>
          <w:rFonts w:ascii="Times New Roman" w:hAnsi="Times New Roman" w:cs="Times New Roman"/>
          <w:sz w:val="22"/>
          <w:szCs w:val="22"/>
          <w:lang w:val="en-US"/>
        </w:rPr>
        <w:t xml:space="preserve"> in order to maintain support and cohesion and to avoid creating the impression that any one professional grouping would control the emerging </w:t>
      </w:r>
      <w:r w:rsidR="00121D10">
        <w:rPr>
          <w:rFonts w:ascii="Times New Roman" w:hAnsi="Times New Roman" w:cs="Times New Roman"/>
          <w:sz w:val="22"/>
          <w:szCs w:val="22"/>
          <w:lang w:val="en-US"/>
        </w:rPr>
        <w:t>integrated reporting</w:t>
      </w:r>
      <w:r w:rsidRPr="008E4449">
        <w:rPr>
          <w:rFonts w:ascii="Times New Roman" w:hAnsi="Times New Roman" w:cs="Times New Roman"/>
          <w:sz w:val="22"/>
          <w:szCs w:val="22"/>
          <w:lang w:val="en-US"/>
        </w:rPr>
        <w:t xml:space="preserve"> </w:t>
      </w:r>
      <w:r w:rsidR="00DE1941" w:rsidRPr="008E4449">
        <w:rPr>
          <w:rFonts w:ascii="Times New Roman" w:hAnsi="Times New Roman" w:cs="Times New Roman"/>
          <w:sz w:val="22"/>
          <w:szCs w:val="22"/>
          <w:lang w:val="en-US"/>
        </w:rPr>
        <w:t>space</w:t>
      </w:r>
      <w:r w:rsidRPr="008E4449">
        <w:rPr>
          <w:rFonts w:ascii="Times New Roman" w:hAnsi="Times New Roman" w:cs="Times New Roman"/>
          <w:sz w:val="22"/>
          <w:szCs w:val="22"/>
          <w:lang w:val="en-US"/>
        </w:rPr>
        <w:t xml:space="preserve">. </w:t>
      </w:r>
      <w:r w:rsidR="007847C2">
        <w:rPr>
          <w:rFonts w:ascii="Times New Roman" w:hAnsi="Times New Roman" w:cs="Times New Roman"/>
          <w:sz w:val="22"/>
          <w:szCs w:val="22"/>
          <w:lang w:val="en-US"/>
        </w:rPr>
        <w:t>As a result</w:t>
      </w:r>
      <w:r w:rsidR="001F02BD" w:rsidRPr="008E4449">
        <w:rPr>
          <w:rFonts w:ascii="Times New Roman" w:hAnsi="Times New Roman" w:cs="Times New Roman"/>
          <w:sz w:val="22"/>
          <w:szCs w:val="22"/>
          <w:lang w:val="en-US"/>
        </w:rPr>
        <w:t>,</w:t>
      </w:r>
      <w:r w:rsidR="002F521E">
        <w:rPr>
          <w:rFonts w:ascii="Times New Roman" w:hAnsi="Times New Roman" w:cs="Times New Roman"/>
          <w:sz w:val="22"/>
          <w:szCs w:val="22"/>
          <w:lang w:val="en-US"/>
        </w:rPr>
        <w:t xml:space="preserve"> </w:t>
      </w:r>
      <w:r w:rsidR="001F02BD" w:rsidRPr="008E4449">
        <w:rPr>
          <w:rFonts w:ascii="Times New Roman" w:hAnsi="Times New Roman" w:cs="Times New Roman"/>
          <w:sz w:val="22"/>
          <w:szCs w:val="22"/>
          <w:lang w:val="en-US"/>
        </w:rPr>
        <w:t>t</w:t>
      </w:r>
      <w:r w:rsidR="00841BE0" w:rsidRPr="008E4449">
        <w:rPr>
          <w:rFonts w:ascii="Times New Roman" w:hAnsi="Times New Roman" w:cs="Times New Roman"/>
          <w:sz w:val="22"/>
          <w:szCs w:val="22"/>
          <w:lang w:val="en-US"/>
        </w:rPr>
        <w:t xml:space="preserve">here was a clear tension between the initial boundary work aimed at distinguishing </w:t>
      </w:r>
      <w:r w:rsidR="00121D10">
        <w:rPr>
          <w:rFonts w:ascii="Times New Roman" w:hAnsi="Times New Roman" w:cs="Times New Roman"/>
          <w:sz w:val="22"/>
          <w:szCs w:val="22"/>
          <w:lang w:val="en-US"/>
        </w:rPr>
        <w:t>integrated reporting</w:t>
      </w:r>
      <w:r w:rsidR="00841BE0" w:rsidRPr="008E4449">
        <w:rPr>
          <w:rFonts w:ascii="Times New Roman" w:hAnsi="Times New Roman" w:cs="Times New Roman"/>
          <w:sz w:val="22"/>
          <w:szCs w:val="22"/>
          <w:lang w:val="en-US"/>
        </w:rPr>
        <w:t xml:space="preserve"> from other forms</w:t>
      </w:r>
      <w:r w:rsidR="00115152" w:rsidRPr="008E4449">
        <w:rPr>
          <w:rFonts w:ascii="Times New Roman" w:hAnsi="Times New Roman" w:cs="Times New Roman"/>
          <w:sz w:val="22"/>
          <w:szCs w:val="22"/>
          <w:lang w:val="en-US"/>
        </w:rPr>
        <w:t xml:space="preserve"> </w:t>
      </w:r>
      <w:r w:rsidR="00841BE0" w:rsidRPr="008E4449">
        <w:rPr>
          <w:rFonts w:ascii="Times New Roman" w:hAnsi="Times New Roman" w:cs="Times New Roman"/>
          <w:sz w:val="22"/>
          <w:szCs w:val="22"/>
          <w:lang w:val="en-US"/>
        </w:rPr>
        <w:t xml:space="preserve">of corporate reporting and the need to avoid fragmentation among the various actors whose corporate reporting models were being </w:t>
      </w:r>
      <w:r w:rsidR="00344910" w:rsidRPr="008E4449">
        <w:rPr>
          <w:rFonts w:ascii="Times New Roman" w:hAnsi="Times New Roman" w:cs="Times New Roman"/>
          <w:sz w:val="22"/>
          <w:szCs w:val="22"/>
          <w:lang w:val="en-US"/>
        </w:rPr>
        <w:t xml:space="preserve">simultaneously </w:t>
      </w:r>
      <w:r w:rsidR="00841BE0" w:rsidRPr="008E4449">
        <w:rPr>
          <w:rFonts w:ascii="Times New Roman" w:hAnsi="Times New Roman" w:cs="Times New Roman"/>
          <w:sz w:val="22"/>
          <w:szCs w:val="22"/>
          <w:lang w:val="en-US"/>
        </w:rPr>
        <w:t xml:space="preserve">challenged. </w:t>
      </w:r>
      <w:r w:rsidRPr="008E4449">
        <w:rPr>
          <w:rFonts w:ascii="Times New Roman" w:hAnsi="Times New Roman" w:cs="Times New Roman"/>
          <w:sz w:val="22"/>
          <w:szCs w:val="22"/>
          <w:lang w:val="en-US"/>
        </w:rPr>
        <w:t xml:space="preserve">Moreover, while new practice areas are often </w:t>
      </w:r>
      <w:r w:rsidR="00AA5D1B">
        <w:rPr>
          <w:rFonts w:ascii="Times New Roman" w:hAnsi="Times New Roman" w:cs="Times New Roman"/>
          <w:sz w:val="22"/>
          <w:szCs w:val="22"/>
          <w:lang w:val="en-US"/>
        </w:rPr>
        <w:t>theoriz</w:t>
      </w:r>
      <w:r w:rsidR="00CD0156">
        <w:rPr>
          <w:rFonts w:ascii="Times New Roman" w:hAnsi="Times New Roman" w:cs="Times New Roman"/>
          <w:sz w:val="22"/>
          <w:szCs w:val="22"/>
          <w:lang w:val="en-US"/>
        </w:rPr>
        <w:t>e</w:t>
      </w:r>
      <w:r w:rsidRPr="008E4449">
        <w:rPr>
          <w:rFonts w:ascii="Times New Roman" w:hAnsi="Times New Roman" w:cs="Times New Roman"/>
          <w:sz w:val="22"/>
          <w:szCs w:val="22"/>
          <w:lang w:val="en-US"/>
        </w:rPr>
        <w:t>d as emerging due to professionals expanding, redefining or renewing their knowledge base (O’Dwyer, 2011; O’Dwyer et al., 2011; Power, 1997, 2003</w:t>
      </w:r>
      <w:r w:rsidR="004429DF" w:rsidRPr="008E4449">
        <w:rPr>
          <w:rFonts w:ascii="Times New Roman" w:hAnsi="Times New Roman" w:cs="Times New Roman"/>
          <w:sz w:val="22"/>
          <w:szCs w:val="22"/>
          <w:lang w:val="en-US"/>
        </w:rPr>
        <w:t>; Reed, 1996</w:t>
      </w:r>
      <w:r w:rsidRPr="008E4449">
        <w:rPr>
          <w:rFonts w:ascii="Times New Roman" w:hAnsi="Times New Roman" w:cs="Times New Roman"/>
          <w:sz w:val="22"/>
          <w:szCs w:val="22"/>
          <w:lang w:val="en-US"/>
        </w:rPr>
        <w:t xml:space="preserve">), our analysis </w:t>
      </w:r>
      <w:r w:rsidR="002F521E">
        <w:rPr>
          <w:rFonts w:ascii="Times New Roman" w:hAnsi="Times New Roman" w:cs="Times New Roman"/>
          <w:sz w:val="22"/>
          <w:szCs w:val="22"/>
          <w:lang w:val="en-US"/>
        </w:rPr>
        <w:t>demonstrates</w:t>
      </w:r>
      <w:r w:rsidR="002F521E" w:rsidRPr="008E4449">
        <w:rPr>
          <w:rFonts w:ascii="Times New Roman" w:hAnsi="Times New Roman" w:cs="Times New Roman"/>
          <w:sz w:val="22"/>
          <w:szCs w:val="22"/>
          <w:lang w:val="en-US"/>
        </w:rPr>
        <w:t xml:space="preserve"> </w:t>
      </w:r>
      <w:r w:rsidRPr="008E4449">
        <w:rPr>
          <w:rFonts w:ascii="Times New Roman" w:hAnsi="Times New Roman" w:cs="Times New Roman"/>
          <w:sz w:val="22"/>
          <w:szCs w:val="22"/>
          <w:lang w:val="en-US"/>
        </w:rPr>
        <w:t xml:space="preserve">that professionals in </w:t>
      </w:r>
      <w:r w:rsidR="00DE1941" w:rsidRPr="008E4449">
        <w:rPr>
          <w:rFonts w:ascii="Times New Roman" w:hAnsi="Times New Roman" w:cs="Times New Roman"/>
          <w:sz w:val="22"/>
          <w:szCs w:val="22"/>
          <w:lang w:val="en-US"/>
        </w:rPr>
        <w:t xml:space="preserve">the </w:t>
      </w:r>
      <w:r w:rsidRPr="008E4449">
        <w:rPr>
          <w:rFonts w:ascii="Times New Roman" w:hAnsi="Times New Roman" w:cs="Times New Roman"/>
          <w:sz w:val="22"/>
          <w:szCs w:val="22"/>
          <w:lang w:val="en-US"/>
        </w:rPr>
        <w:t>corporate reporting field chose to re-emphasi</w:t>
      </w:r>
      <w:r w:rsidR="00115152" w:rsidRPr="008E4449">
        <w:rPr>
          <w:rFonts w:ascii="Times New Roman" w:hAnsi="Times New Roman" w:cs="Times New Roman"/>
          <w:sz w:val="22"/>
          <w:szCs w:val="22"/>
          <w:lang w:val="en-US"/>
        </w:rPr>
        <w:t>z</w:t>
      </w:r>
      <w:r w:rsidRPr="008E4449">
        <w:rPr>
          <w:rFonts w:ascii="Times New Roman" w:hAnsi="Times New Roman" w:cs="Times New Roman"/>
          <w:sz w:val="22"/>
          <w:szCs w:val="22"/>
          <w:lang w:val="en-US"/>
        </w:rPr>
        <w:t xml:space="preserve">e their existing areas of expertise and sought to ensure that the shape of </w:t>
      </w:r>
      <w:r w:rsidR="00121D10">
        <w:rPr>
          <w:rFonts w:ascii="Times New Roman" w:hAnsi="Times New Roman" w:cs="Times New Roman"/>
          <w:sz w:val="22"/>
          <w:szCs w:val="22"/>
          <w:lang w:val="en-US"/>
        </w:rPr>
        <w:t>integrated reporting</w:t>
      </w:r>
      <w:r w:rsidRPr="008E4449">
        <w:rPr>
          <w:rFonts w:ascii="Times New Roman" w:hAnsi="Times New Roman" w:cs="Times New Roman"/>
          <w:sz w:val="22"/>
          <w:szCs w:val="22"/>
          <w:lang w:val="en-US"/>
        </w:rPr>
        <w:t xml:space="preserve"> </w:t>
      </w:r>
      <w:r w:rsidR="00D174CE" w:rsidRPr="008E4449">
        <w:rPr>
          <w:rFonts w:ascii="Times New Roman" w:hAnsi="Times New Roman" w:cs="Times New Roman"/>
          <w:sz w:val="22"/>
          <w:szCs w:val="22"/>
          <w:lang w:val="en-US"/>
        </w:rPr>
        <w:t xml:space="preserve">both </w:t>
      </w:r>
      <w:r w:rsidRPr="008E4449">
        <w:rPr>
          <w:rFonts w:ascii="Times New Roman" w:hAnsi="Times New Roman" w:cs="Times New Roman"/>
          <w:sz w:val="22"/>
          <w:szCs w:val="22"/>
          <w:lang w:val="en-US"/>
        </w:rPr>
        <w:t>incorporated this expertise (see also, O’Dwyer, 2011)</w:t>
      </w:r>
      <w:r w:rsidR="00D174CE" w:rsidRPr="008E4449">
        <w:rPr>
          <w:rFonts w:ascii="Times New Roman" w:eastAsia="Times New Roman" w:hAnsi="Times New Roman" w:cs="Times New Roman"/>
          <w:color w:val="000000"/>
          <w:sz w:val="22"/>
          <w:szCs w:val="22"/>
          <w:lang w:val="en-US"/>
        </w:rPr>
        <w:t xml:space="preserve"> and was sufficiently focused </w:t>
      </w:r>
      <w:r w:rsidR="00B60B49" w:rsidRPr="008E4449">
        <w:rPr>
          <w:rFonts w:ascii="Times New Roman" w:eastAsia="Times New Roman" w:hAnsi="Times New Roman" w:cs="Times New Roman"/>
          <w:color w:val="000000"/>
          <w:sz w:val="22"/>
          <w:szCs w:val="22"/>
          <w:lang w:val="en-US"/>
        </w:rPr>
        <w:t xml:space="preserve">so </w:t>
      </w:r>
      <w:r w:rsidR="00D174CE" w:rsidRPr="008E4449">
        <w:rPr>
          <w:rFonts w:ascii="Times New Roman" w:eastAsia="Times New Roman" w:hAnsi="Times New Roman" w:cs="Times New Roman"/>
          <w:color w:val="000000"/>
          <w:sz w:val="22"/>
          <w:szCs w:val="22"/>
          <w:lang w:val="en-US"/>
        </w:rPr>
        <w:t xml:space="preserve">as not to undermine </w:t>
      </w:r>
      <w:r w:rsidR="002F521E">
        <w:rPr>
          <w:rFonts w:ascii="Times New Roman" w:eastAsia="Times New Roman" w:hAnsi="Times New Roman" w:cs="Times New Roman"/>
          <w:color w:val="000000"/>
          <w:sz w:val="22"/>
          <w:szCs w:val="22"/>
          <w:lang w:val="en-US"/>
        </w:rPr>
        <w:t>such</w:t>
      </w:r>
      <w:r w:rsidR="00FE59B0">
        <w:rPr>
          <w:rFonts w:ascii="Times New Roman" w:eastAsia="Times New Roman" w:hAnsi="Times New Roman" w:cs="Times New Roman"/>
          <w:color w:val="000000"/>
          <w:sz w:val="22"/>
          <w:szCs w:val="22"/>
          <w:lang w:val="en-US"/>
        </w:rPr>
        <w:t xml:space="preserve"> </w:t>
      </w:r>
      <w:r w:rsidR="00D174CE" w:rsidRPr="008E4449">
        <w:rPr>
          <w:rFonts w:ascii="Times New Roman" w:eastAsia="Times New Roman" w:hAnsi="Times New Roman" w:cs="Times New Roman"/>
          <w:color w:val="000000"/>
          <w:sz w:val="22"/>
          <w:szCs w:val="22"/>
          <w:lang w:val="en-US"/>
        </w:rPr>
        <w:t>expertise.</w:t>
      </w:r>
    </w:p>
    <w:p w14:paraId="49B4419A" w14:textId="47D5D794" w:rsidR="00CC1DCC" w:rsidRDefault="000C2A50" w:rsidP="00CC1DCC">
      <w:pPr>
        <w:spacing w:line="360" w:lineRule="auto"/>
        <w:ind w:firstLine="708"/>
        <w:jc w:val="both"/>
        <w:rPr>
          <w:rFonts w:ascii="Times New Roman" w:eastAsia="Times New Roman" w:hAnsi="Times New Roman" w:cs="Times New Roman"/>
          <w:color w:val="000000"/>
          <w:lang w:val="en-US"/>
        </w:rPr>
      </w:pPr>
      <w:r w:rsidRPr="00BC39A5">
        <w:rPr>
          <w:rFonts w:ascii="Times New Roman" w:eastAsia="Times New Roman" w:hAnsi="Times New Roman" w:cs="Times New Roman"/>
          <w:color w:val="000000"/>
          <w:lang w:val="en-US"/>
        </w:rPr>
        <w:lastRenderedPageBreak/>
        <w:t xml:space="preserve">The typical representation of </w:t>
      </w:r>
      <w:r w:rsidR="00121D10">
        <w:rPr>
          <w:rFonts w:ascii="Times New Roman" w:eastAsia="Times New Roman" w:hAnsi="Times New Roman" w:cs="Times New Roman"/>
          <w:color w:val="000000"/>
          <w:lang w:val="en-US"/>
        </w:rPr>
        <w:t>integrated reporting</w:t>
      </w:r>
      <w:r w:rsidRPr="00BC39A5">
        <w:rPr>
          <w:rFonts w:ascii="Times New Roman" w:eastAsia="Times New Roman" w:hAnsi="Times New Roman" w:cs="Times New Roman"/>
          <w:color w:val="000000"/>
          <w:lang w:val="en-US"/>
        </w:rPr>
        <w:t xml:space="preserve"> is of a practice that will have a catalytic effect in delivering more sustainable and long-term oriented corporate strategies, practices and capital markets. At present, it is an unproven claim that </w:t>
      </w:r>
      <w:r w:rsidR="00121D10">
        <w:rPr>
          <w:rFonts w:ascii="Times New Roman" w:eastAsia="Times New Roman" w:hAnsi="Times New Roman" w:cs="Times New Roman"/>
          <w:color w:val="000000"/>
          <w:lang w:val="en-US"/>
        </w:rPr>
        <w:t>integrated reporting</w:t>
      </w:r>
      <w:r w:rsidRPr="00BC39A5">
        <w:rPr>
          <w:rFonts w:ascii="Times New Roman" w:eastAsia="Times New Roman" w:hAnsi="Times New Roman" w:cs="Times New Roman"/>
          <w:color w:val="000000"/>
          <w:lang w:val="en-US"/>
        </w:rPr>
        <w:t xml:space="preserve"> will serve to direct financial capital to long-term, sustainable businesses</w:t>
      </w:r>
      <w:r w:rsidR="00FC33CB">
        <w:rPr>
          <w:rFonts w:ascii="Times New Roman" w:eastAsia="Times New Roman" w:hAnsi="Times New Roman" w:cs="Times New Roman"/>
          <w:color w:val="000000"/>
          <w:lang w:val="en-US"/>
        </w:rPr>
        <w:t>.</w:t>
      </w:r>
      <w:r w:rsidRPr="00BC39A5">
        <w:rPr>
          <w:rFonts w:ascii="Times New Roman" w:eastAsia="Times New Roman" w:hAnsi="Times New Roman" w:cs="Times New Roman"/>
          <w:color w:val="000000"/>
          <w:lang w:val="en-US"/>
        </w:rPr>
        <w:t xml:space="preserve"> It </w:t>
      </w:r>
      <w:r w:rsidR="0037202D">
        <w:rPr>
          <w:rFonts w:ascii="Times New Roman" w:eastAsia="Times New Roman" w:hAnsi="Times New Roman" w:cs="Times New Roman"/>
          <w:color w:val="000000"/>
          <w:lang w:val="en-US"/>
        </w:rPr>
        <w:t xml:space="preserve">remains largely </w:t>
      </w:r>
      <w:r w:rsidRPr="00BC39A5">
        <w:rPr>
          <w:rFonts w:ascii="Times New Roman" w:eastAsia="Times New Roman" w:hAnsi="Times New Roman" w:cs="Times New Roman"/>
          <w:color w:val="000000"/>
          <w:lang w:val="en-US"/>
        </w:rPr>
        <w:t>a belief statement, a testable p</w:t>
      </w:r>
      <w:r w:rsidR="000724CB" w:rsidRPr="00BC39A5">
        <w:rPr>
          <w:rFonts w:ascii="Times New Roman" w:eastAsia="Times New Roman" w:hAnsi="Times New Roman" w:cs="Times New Roman"/>
          <w:color w:val="000000"/>
          <w:lang w:val="en-US"/>
        </w:rPr>
        <w:t>roposition not a proven fact</w:t>
      </w:r>
      <w:r w:rsidR="00731BE8">
        <w:rPr>
          <w:rFonts w:ascii="Times New Roman" w:eastAsia="Times New Roman" w:hAnsi="Times New Roman" w:cs="Times New Roman"/>
          <w:color w:val="000000"/>
          <w:lang w:val="en-US"/>
        </w:rPr>
        <w:t xml:space="preserve"> despite the </w:t>
      </w:r>
      <w:r w:rsidR="00193F03">
        <w:rPr>
          <w:rFonts w:ascii="Times New Roman" w:eastAsia="Times New Roman" w:hAnsi="Times New Roman" w:cs="Times New Roman"/>
          <w:color w:val="000000"/>
          <w:lang w:val="en-US"/>
        </w:rPr>
        <w:t xml:space="preserve">proliferation </w:t>
      </w:r>
      <w:r w:rsidR="00731BE8">
        <w:rPr>
          <w:rFonts w:ascii="Times New Roman" w:eastAsia="Times New Roman" w:hAnsi="Times New Roman" w:cs="Times New Roman"/>
          <w:color w:val="000000"/>
          <w:lang w:val="en-US"/>
        </w:rPr>
        <w:t xml:space="preserve">of positive views from early </w:t>
      </w:r>
      <w:r w:rsidR="00121D10">
        <w:rPr>
          <w:rFonts w:ascii="Times New Roman" w:eastAsia="Times New Roman" w:hAnsi="Times New Roman" w:cs="Times New Roman"/>
          <w:color w:val="000000"/>
          <w:lang w:val="en-US"/>
        </w:rPr>
        <w:t>integrated reporting</w:t>
      </w:r>
      <w:r w:rsidR="00731BE8">
        <w:rPr>
          <w:rFonts w:ascii="Times New Roman" w:eastAsia="Times New Roman" w:hAnsi="Times New Roman" w:cs="Times New Roman"/>
          <w:color w:val="000000"/>
          <w:lang w:val="en-US"/>
        </w:rPr>
        <w:t xml:space="preserve"> adopters (see, Black Sun</w:t>
      </w:r>
      <w:r w:rsidR="001901DE">
        <w:rPr>
          <w:rFonts w:ascii="Times New Roman" w:eastAsia="Times New Roman" w:hAnsi="Times New Roman" w:cs="Times New Roman"/>
          <w:color w:val="000000"/>
          <w:lang w:val="en-US"/>
        </w:rPr>
        <w:t xml:space="preserve"> and IIRC</w:t>
      </w:r>
      <w:r w:rsidR="00731BE8">
        <w:rPr>
          <w:rFonts w:ascii="Times New Roman" w:eastAsia="Times New Roman" w:hAnsi="Times New Roman" w:cs="Times New Roman"/>
          <w:color w:val="000000"/>
          <w:lang w:val="en-US"/>
        </w:rPr>
        <w:t xml:space="preserve">, 2014) </w:t>
      </w:r>
      <w:r w:rsidR="00193F03">
        <w:rPr>
          <w:rFonts w:ascii="Times New Roman" w:eastAsia="Times New Roman" w:hAnsi="Times New Roman" w:cs="Times New Roman"/>
          <w:color w:val="000000"/>
          <w:lang w:val="en-US"/>
        </w:rPr>
        <w:t>and some working p</w:t>
      </w:r>
      <w:r w:rsidR="00731BE8">
        <w:rPr>
          <w:rFonts w:ascii="Times New Roman" w:eastAsia="Times New Roman" w:hAnsi="Times New Roman" w:cs="Times New Roman"/>
          <w:color w:val="000000"/>
          <w:lang w:val="en-US"/>
        </w:rPr>
        <w:t xml:space="preserve">apers </w:t>
      </w:r>
      <w:r w:rsidR="00193F03">
        <w:rPr>
          <w:rFonts w:ascii="Times New Roman" w:eastAsia="Times New Roman" w:hAnsi="Times New Roman" w:cs="Times New Roman"/>
          <w:color w:val="000000"/>
          <w:lang w:val="en-US"/>
        </w:rPr>
        <w:t>showing evidence of an association between firm</w:t>
      </w:r>
      <w:r w:rsidR="00731BE8">
        <w:rPr>
          <w:rFonts w:ascii="Times New Roman" w:eastAsia="Times New Roman" w:hAnsi="Times New Roman" w:cs="Times New Roman"/>
          <w:color w:val="000000"/>
          <w:lang w:val="en-US"/>
        </w:rPr>
        <w:t xml:space="preserve">s </w:t>
      </w:r>
      <w:r w:rsidR="00312BFE">
        <w:rPr>
          <w:rFonts w:ascii="Times New Roman" w:eastAsia="Times New Roman" w:hAnsi="Times New Roman" w:cs="Times New Roman"/>
          <w:color w:val="000000"/>
          <w:lang w:val="en-US"/>
        </w:rPr>
        <w:t xml:space="preserve">engaging in </w:t>
      </w:r>
      <w:r w:rsidR="006F01AC">
        <w:rPr>
          <w:rFonts w:ascii="Times New Roman" w:eastAsia="Times New Roman" w:hAnsi="Times New Roman" w:cs="Times New Roman"/>
          <w:color w:val="000000"/>
          <w:lang w:val="en-US"/>
        </w:rPr>
        <w:t xml:space="preserve">different </w:t>
      </w:r>
      <w:r w:rsidR="00DB2375">
        <w:rPr>
          <w:rFonts w:ascii="Times New Roman" w:eastAsia="Times New Roman" w:hAnsi="Times New Roman" w:cs="Times New Roman"/>
          <w:color w:val="000000"/>
          <w:lang w:val="en-US"/>
        </w:rPr>
        <w:t xml:space="preserve">forms of </w:t>
      </w:r>
      <w:r w:rsidR="00121D10">
        <w:rPr>
          <w:rFonts w:ascii="Times New Roman" w:eastAsia="Times New Roman" w:hAnsi="Times New Roman" w:cs="Times New Roman"/>
          <w:color w:val="000000"/>
          <w:lang w:val="en-US"/>
        </w:rPr>
        <w:t>integrated reporting</w:t>
      </w:r>
      <w:r w:rsidR="002C1E5F">
        <w:rPr>
          <w:rFonts w:ascii="Times New Roman" w:eastAsia="Times New Roman" w:hAnsi="Times New Roman" w:cs="Times New Roman"/>
          <w:color w:val="000000"/>
          <w:lang w:val="en-US"/>
        </w:rPr>
        <w:t xml:space="preserve"> </w:t>
      </w:r>
      <w:r w:rsidR="00731BE8">
        <w:rPr>
          <w:rFonts w:ascii="Times New Roman" w:eastAsia="Times New Roman" w:hAnsi="Times New Roman" w:cs="Times New Roman"/>
          <w:color w:val="000000"/>
          <w:lang w:val="en-US"/>
        </w:rPr>
        <w:t>and a more long term oriented investor base (</w:t>
      </w:r>
      <w:proofErr w:type="spellStart"/>
      <w:r w:rsidR="00731BE8">
        <w:rPr>
          <w:rFonts w:ascii="Times New Roman" w:eastAsia="Times New Roman" w:hAnsi="Times New Roman" w:cs="Times New Roman"/>
          <w:color w:val="000000"/>
          <w:lang w:val="en-US"/>
        </w:rPr>
        <w:t>Serafeim</w:t>
      </w:r>
      <w:proofErr w:type="spellEnd"/>
      <w:r w:rsidR="00731BE8">
        <w:rPr>
          <w:rFonts w:ascii="Times New Roman" w:eastAsia="Times New Roman" w:hAnsi="Times New Roman" w:cs="Times New Roman"/>
          <w:color w:val="000000"/>
          <w:lang w:val="en-US"/>
        </w:rPr>
        <w:t>, 201</w:t>
      </w:r>
      <w:r w:rsidR="00A85C2C">
        <w:rPr>
          <w:rFonts w:ascii="Times New Roman" w:eastAsia="Times New Roman" w:hAnsi="Times New Roman" w:cs="Times New Roman"/>
          <w:color w:val="000000"/>
          <w:lang w:val="en-US"/>
        </w:rPr>
        <w:t>5</w:t>
      </w:r>
      <w:r w:rsidR="00731BE8">
        <w:rPr>
          <w:rFonts w:ascii="Times New Roman" w:eastAsia="Times New Roman" w:hAnsi="Times New Roman" w:cs="Times New Roman"/>
          <w:color w:val="000000"/>
          <w:lang w:val="en-US"/>
        </w:rPr>
        <w:t>)</w:t>
      </w:r>
      <w:r w:rsidR="000724CB" w:rsidRPr="00BC39A5">
        <w:rPr>
          <w:rFonts w:ascii="Times New Roman" w:eastAsia="Times New Roman" w:hAnsi="Times New Roman" w:cs="Times New Roman"/>
          <w:color w:val="000000"/>
          <w:lang w:val="en-US"/>
        </w:rPr>
        <w:t xml:space="preserve">. </w:t>
      </w:r>
      <w:r w:rsidRPr="00BC39A5">
        <w:rPr>
          <w:rFonts w:ascii="Times New Roman" w:eastAsia="Times New Roman" w:hAnsi="Times New Roman" w:cs="Times New Roman"/>
          <w:color w:val="000000"/>
          <w:lang w:val="en-US"/>
        </w:rPr>
        <w:t>Further</w:t>
      </w:r>
      <w:r w:rsidR="000724CB" w:rsidRPr="00BC39A5">
        <w:rPr>
          <w:rFonts w:ascii="Times New Roman" w:eastAsia="Times New Roman" w:hAnsi="Times New Roman" w:cs="Times New Roman"/>
          <w:color w:val="000000"/>
          <w:lang w:val="en-US"/>
        </w:rPr>
        <w:t>more</w:t>
      </w:r>
      <w:r w:rsidRPr="00BC39A5">
        <w:rPr>
          <w:rFonts w:ascii="Times New Roman" w:eastAsia="Times New Roman" w:hAnsi="Times New Roman" w:cs="Times New Roman"/>
          <w:color w:val="000000"/>
          <w:lang w:val="en-US"/>
        </w:rPr>
        <w:t xml:space="preserve">, </w:t>
      </w:r>
      <w:r w:rsidR="009F79DD">
        <w:rPr>
          <w:rFonts w:ascii="Times New Roman" w:eastAsia="Times New Roman" w:hAnsi="Times New Roman" w:cs="Times New Roman"/>
          <w:color w:val="000000"/>
          <w:lang w:val="en-US"/>
        </w:rPr>
        <w:t xml:space="preserve">it would appear that </w:t>
      </w:r>
      <w:r w:rsidRPr="00BC39A5">
        <w:rPr>
          <w:rFonts w:ascii="Times New Roman" w:eastAsia="Times New Roman" w:hAnsi="Times New Roman" w:cs="Times New Roman"/>
          <w:color w:val="000000"/>
          <w:lang w:val="en-US"/>
        </w:rPr>
        <w:t xml:space="preserve">the vitality and success of </w:t>
      </w:r>
      <w:r w:rsidR="00121D10">
        <w:rPr>
          <w:rFonts w:ascii="Times New Roman" w:eastAsia="Times New Roman" w:hAnsi="Times New Roman" w:cs="Times New Roman"/>
          <w:color w:val="000000"/>
          <w:lang w:val="en-US"/>
        </w:rPr>
        <w:t>integrated reporting</w:t>
      </w:r>
      <w:r w:rsidRPr="00BC39A5">
        <w:rPr>
          <w:rFonts w:ascii="Times New Roman" w:eastAsia="Times New Roman" w:hAnsi="Times New Roman" w:cs="Times New Roman"/>
          <w:color w:val="000000"/>
          <w:lang w:val="en-US"/>
        </w:rPr>
        <w:t xml:space="preserve"> essentially depends on pre-establishing such perspectives on</w:t>
      </w:r>
      <w:r w:rsidR="006C1B7F">
        <w:rPr>
          <w:rFonts w:ascii="Times New Roman" w:eastAsia="Times New Roman" w:hAnsi="Times New Roman" w:cs="Times New Roman"/>
          <w:color w:val="000000"/>
          <w:lang w:val="en-US"/>
        </w:rPr>
        <w:t>,</w:t>
      </w:r>
      <w:r w:rsidRPr="00BC39A5">
        <w:rPr>
          <w:rFonts w:ascii="Times New Roman" w:eastAsia="Times New Roman" w:hAnsi="Times New Roman" w:cs="Times New Roman"/>
          <w:color w:val="000000"/>
          <w:lang w:val="en-US"/>
        </w:rPr>
        <w:t xml:space="preserve"> and commitments to</w:t>
      </w:r>
      <w:r w:rsidR="006C1B7F">
        <w:rPr>
          <w:rFonts w:ascii="Times New Roman" w:eastAsia="Times New Roman" w:hAnsi="Times New Roman" w:cs="Times New Roman"/>
          <w:color w:val="000000"/>
          <w:lang w:val="en-US"/>
        </w:rPr>
        <w:t>,</w:t>
      </w:r>
      <w:r w:rsidRPr="00BC39A5">
        <w:rPr>
          <w:rFonts w:ascii="Times New Roman" w:eastAsia="Times New Roman" w:hAnsi="Times New Roman" w:cs="Times New Roman"/>
          <w:color w:val="000000"/>
          <w:lang w:val="en-US"/>
        </w:rPr>
        <w:t xml:space="preserve"> sustainability among key financial capital providers. Failure here will</w:t>
      </w:r>
      <w:r w:rsidR="002C1E5F">
        <w:rPr>
          <w:rFonts w:ascii="Times New Roman" w:eastAsia="Times New Roman" w:hAnsi="Times New Roman" w:cs="Times New Roman"/>
          <w:color w:val="000000"/>
          <w:lang w:val="en-US"/>
        </w:rPr>
        <w:t xml:space="preserve"> mean that any resulting </w:t>
      </w:r>
      <w:r w:rsidR="00121D10">
        <w:rPr>
          <w:rFonts w:ascii="Times New Roman" w:eastAsia="Times New Roman" w:hAnsi="Times New Roman" w:cs="Times New Roman"/>
          <w:color w:val="000000"/>
          <w:lang w:val="en-US"/>
        </w:rPr>
        <w:t>integrated reporting</w:t>
      </w:r>
      <w:r w:rsidR="002C1E5F">
        <w:rPr>
          <w:rFonts w:ascii="Times New Roman" w:eastAsia="Times New Roman" w:hAnsi="Times New Roman" w:cs="Times New Roman"/>
          <w:color w:val="000000"/>
          <w:lang w:val="en-US"/>
        </w:rPr>
        <w:t xml:space="preserve"> may</w:t>
      </w:r>
      <w:r w:rsidRPr="00BC39A5">
        <w:rPr>
          <w:rFonts w:ascii="Times New Roman" w:eastAsia="Times New Roman" w:hAnsi="Times New Roman" w:cs="Times New Roman"/>
          <w:color w:val="000000"/>
          <w:lang w:val="en-US"/>
        </w:rPr>
        <w:t xml:space="preserve"> inevitably be captured by the existing, </w:t>
      </w:r>
      <w:r w:rsidR="006C1B7F">
        <w:rPr>
          <w:rFonts w:ascii="Times New Roman" w:eastAsia="Times New Roman" w:hAnsi="Times New Roman" w:cs="Times New Roman"/>
          <w:color w:val="000000"/>
          <w:lang w:val="en-US"/>
        </w:rPr>
        <w:t xml:space="preserve">more </w:t>
      </w:r>
      <w:r w:rsidRPr="00BC39A5">
        <w:rPr>
          <w:rFonts w:ascii="Times New Roman" w:eastAsia="Times New Roman" w:hAnsi="Times New Roman" w:cs="Times New Roman"/>
          <w:color w:val="000000"/>
          <w:lang w:val="en-US"/>
        </w:rPr>
        <w:t>narrowly specified interests of financial capital</w:t>
      </w:r>
      <w:r w:rsidR="001F02BD">
        <w:rPr>
          <w:rFonts w:ascii="Times New Roman" w:eastAsia="Times New Roman" w:hAnsi="Times New Roman" w:cs="Times New Roman"/>
          <w:color w:val="000000"/>
          <w:lang w:val="en-US"/>
        </w:rPr>
        <w:t xml:space="preserve">, a process some claim is already </w:t>
      </w:r>
      <w:r w:rsidR="006B1975" w:rsidRPr="00873A5B">
        <w:rPr>
          <w:rFonts w:ascii="Times New Roman" w:eastAsia="Times New Roman" w:hAnsi="Times New Roman" w:cs="Times New Roman"/>
          <w:color w:val="000000"/>
          <w:lang w:val="en-US"/>
        </w:rPr>
        <w:t xml:space="preserve">well </w:t>
      </w:r>
      <w:r w:rsidR="001F02BD" w:rsidRPr="00873A5B">
        <w:rPr>
          <w:rFonts w:ascii="Times New Roman" w:eastAsia="Times New Roman" w:hAnsi="Times New Roman" w:cs="Times New Roman"/>
          <w:color w:val="000000"/>
          <w:lang w:val="en-US"/>
        </w:rPr>
        <w:t>under way (</w:t>
      </w:r>
      <w:r w:rsidR="00D57470" w:rsidRPr="00873A5B">
        <w:rPr>
          <w:rFonts w:ascii="Times New Roman" w:eastAsia="Times New Roman" w:hAnsi="Times New Roman" w:cs="Times New Roman"/>
          <w:color w:val="000000"/>
          <w:lang w:val="en-US"/>
        </w:rPr>
        <w:t>Flower</w:t>
      </w:r>
      <w:r w:rsidR="001F02BD" w:rsidRPr="00873A5B">
        <w:rPr>
          <w:rFonts w:ascii="Times New Roman" w:eastAsia="Times New Roman" w:hAnsi="Times New Roman" w:cs="Times New Roman"/>
          <w:color w:val="000000"/>
          <w:lang w:val="en-US"/>
        </w:rPr>
        <w:t xml:space="preserve">, </w:t>
      </w:r>
      <w:r w:rsidR="00873A5B" w:rsidRPr="00686181">
        <w:rPr>
          <w:rFonts w:ascii="Times New Roman" w:eastAsia="Times New Roman" w:hAnsi="Times New Roman" w:cs="Times New Roman"/>
          <w:color w:val="000000"/>
          <w:lang w:val="en-US"/>
        </w:rPr>
        <w:t>2015</w:t>
      </w:r>
      <w:r w:rsidR="00873A5B">
        <w:rPr>
          <w:rFonts w:ascii="Times New Roman" w:eastAsia="Times New Roman" w:hAnsi="Times New Roman" w:cs="Times New Roman"/>
          <w:color w:val="000000"/>
          <w:lang w:val="en-US"/>
        </w:rPr>
        <w:t>;</w:t>
      </w:r>
      <w:r w:rsidR="001F02BD" w:rsidRPr="00873A5B">
        <w:rPr>
          <w:rFonts w:ascii="Times New Roman" w:eastAsia="Times New Roman" w:hAnsi="Times New Roman" w:cs="Times New Roman"/>
          <w:color w:val="000000"/>
          <w:lang w:val="en-US"/>
        </w:rPr>
        <w:t xml:space="preserve"> Thomson,</w:t>
      </w:r>
      <w:r w:rsidR="00873A5B" w:rsidRPr="00686181">
        <w:rPr>
          <w:rFonts w:ascii="Times New Roman" w:eastAsia="Times New Roman" w:hAnsi="Times New Roman" w:cs="Times New Roman"/>
          <w:color w:val="000000"/>
          <w:lang w:val="en-US"/>
        </w:rPr>
        <w:t xml:space="preserve"> 2015</w:t>
      </w:r>
      <w:r w:rsidR="001F02BD" w:rsidRPr="00873A5B">
        <w:rPr>
          <w:rFonts w:ascii="Times New Roman" w:eastAsia="Times New Roman" w:hAnsi="Times New Roman" w:cs="Times New Roman"/>
          <w:color w:val="000000"/>
          <w:lang w:val="en-US"/>
        </w:rPr>
        <w:t>)</w:t>
      </w:r>
      <w:r w:rsidR="00DE2E1B" w:rsidRPr="00873A5B">
        <w:rPr>
          <w:rFonts w:ascii="Times New Roman" w:eastAsia="Times New Roman" w:hAnsi="Times New Roman" w:cs="Times New Roman"/>
          <w:color w:val="000000"/>
          <w:lang w:val="en-US"/>
        </w:rPr>
        <w:t>.</w:t>
      </w:r>
    </w:p>
    <w:p w14:paraId="714F4BCF" w14:textId="71BC2274" w:rsidR="002128FF" w:rsidRPr="00DF3DEB" w:rsidRDefault="000C2A50" w:rsidP="008E4449">
      <w:pPr>
        <w:spacing w:line="360" w:lineRule="auto"/>
        <w:ind w:firstLine="708"/>
        <w:jc w:val="both"/>
        <w:rPr>
          <w:rFonts w:ascii="Times New Roman" w:hAnsi="Times New Roman" w:cs="Times New Roman"/>
          <w:sz w:val="20"/>
          <w:szCs w:val="20"/>
          <w:lang w:val="en-US"/>
        </w:rPr>
      </w:pPr>
      <w:r w:rsidRPr="00BC39A5">
        <w:rPr>
          <w:rFonts w:ascii="Times New Roman" w:eastAsia="Times New Roman" w:hAnsi="Times New Roman" w:cs="Times New Roman"/>
          <w:color w:val="000000"/>
          <w:lang w:val="en-US"/>
        </w:rPr>
        <w:t xml:space="preserve">The IIRC has been </w:t>
      </w:r>
      <w:r w:rsidR="009F79DD">
        <w:rPr>
          <w:rFonts w:ascii="Times New Roman" w:eastAsia="Times New Roman" w:hAnsi="Times New Roman" w:cs="Times New Roman"/>
          <w:color w:val="000000"/>
          <w:lang w:val="en-US"/>
        </w:rPr>
        <w:t xml:space="preserve">swift </w:t>
      </w:r>
      <w:r w:rsidRPr="00BC39A5">
        <w:rPr>
          <w:rFonts w:ascii="Times New Roman" w:eastAsia="Times New Roman" w:hAnsi="Times New Roman" w:cs="Times New Roman"/>
          <w:color w:val="000000"/>
          <w:lang w:val="en-US"/>
        </w:rPr>
        <w:t xml:space="preserve">in establishing itself as a globally recognized body leading </w:t>
      </w:r>
      <w:r w:rsidR="007F340F">
        <w:rPr>
          <w:rFonts w:ascii="Times New Roman" w:eastAsia="Times New Roman" w:hAnsi="Times New Roman" w:cs="Times New Roman"/>
          <w:color w:val="000000"/>
          <w:lang w:val="en-US"/>
        </w:rPr>
        <w:t xml:space="preserve">development of </w:t>
      </w:r>
      <w:r w:rsidRPr="00BC39A5">
        <w:rPr>
          <w:rFonts w:ascii="Times New Roman" w:eastAsia="Times New Roman" w:hAnsi="Times New Roman" w:cs="Times New Roman"/>
          <w:color w:val="000000"/>
          <w:lang w:val="en-US"/>
        </w:rPr>
        <w:t>this new reporting initiative</w:t>
      </w:r>
      <w:r w:rsidR="007F340F">
        <w:rPr>
          <w:rFonts w:ascii="Times New Roman" w:eastAsia="Times New Roman" w:hAnsi="Times New Roman" w:cs="Times New Roman"/>
          <w:color w:val="000000"/>
          <w:lang w:val="en-US"/>
        </w:rPr>
        <w:t>.</w:t>
      </w:r>
      <w:r w:rsidRPr="00BC39A5">
        <w:rPr>
          <w:rFonts w:ascii="Times New Roman" w:eastAsia="Times New Roman" w:hAnsi="Times New Roman" w:cs="Times New Roman"/>
          <w:color w:val="000000"/>
          <w:lang w:val="en-US"/>
        </w:rPr>
        <w:t xml:space="preserve"> </w:t>
      </w:r>
      <w:r w:rsidR="007F340F">
        <w:rPr>
          <w:rFonts w:ascii="Times New Roman" w:eastAsia="Times New Roman" w:hAnsi="Times New Roman" w:cs="Times New Roman"/>
          <w:color w:val="000000"/>
          <w:lang w:val="en-US"/>
        </w:rPr>
        <w:t>T</w:t>
      </w:r>
      <w:r w:rsidRPr="00BC39A5">
        <w:rPr>
          <w:rFonts w:ascii="Times New Roman" w:eastAsia="Times New Roman" w:hAnsi="Times New Roman" w:cs="Times New Roman"/>
          <w:color w:val="000000"/>
          <w:lang w:val="en-US"/>
        </w:rPr>
        <w:t>he signing up of so many supportive</w:t>
      </w:r>
      <w:r w:rsidR="007F340F">
        <w:rPr>
          <w:rFonts w:ascii="Times New Roman" w:eastAsia="Times New Roman" w:hAnsi="Times New Roman" w:cs="Times New Roman"/>
          <w:color w:val="000000"/>
          <w:lang w:val="en-US"/>
        </w:rPr>
        <w:t xml:space="preserve"> and powerful</w:t>
      </w:r>
      <w:r w:rsidRPr="00BC39A5">
        <w:rPr>
          <w:rFonts w:ascii="Times New Roman" w:eastAsia="Times New Roman" w:hAnsi="Times New Roman" w:cs="Times New Roman"/>
          <w:color w:val="000000"/>
          <w:lang w:val="en-US"/>
        </w:rPr>
        <w:t xml:space="preserve"> </w:t>
      </w:r>
      <w:r w:rsidR="000724CB" w:rsidRPr="00BC39A5">
        <w:rPr>
          <w:rFonts w:ascii="Times New Roman" w:eastAsia="Times New Roman" w:hAnsi="Times New Roman" w:cs="Times New Roman"/>
          <w:color w:val="000000"/>
          <w:lang w:val="en-US"/>
        </w:rPr>
        <w:t>actors</w:t>
      </w:r>
      <w:r w:rsidRPr="00BC39A5">
        <w:rPr>
          <w:rFonts w:ascii="Times New Roman" w:eastAsia="Times New Roman" w:hAnsi="Times New Roman" w:cs="Times New Roman"/>
          <w:color w:val="000000"/>
          <w:lang w:val="en-US"/>
        </w:rPr>
        <w:t xml:space="preserve"> (through the various </w:t>
      </w:r>
      <w:r w:rsidR="00BC2B3F">
        <w:rPr>
          <w:rFonts w:ascii="Times New Roman" w:eastAsia="Times New Roman" w:hAnsi="Times New Roman" w:cs="Times New Roman"/>
          <w:color w:val="000000"/>
          <w:lang w:val="en-US"/>
        </w:rPr>
        <w:t>Memoranda of Understanding</w:t>
      </w:r>
      <w:r w:rsidRPr="00BC39A5">
        <w:rPr>
          <w:rFonts w:ascii="Times New Roman" w:eastAsia="Times New Roman" w:hAnsi="Times New Roman" w:cs="Times New Roman"/>
          <w:color w:val="000000"/>
          <w:lang w:val="en-US"/>
        </w:rPr>
        <w:t xml:space="preserve">) </w:t>
      </w:r>
      <w:r w:rsidR="00BC2B3F">
        <w:rPr>
          <w:rFonts w:ascii="Times New Roman" w:eastAsia="Times New Roman" w:hAnsi="Times New Roman" w:cs="Times New Roman"/>
          <w:color w:val="000000"/>
          <w:lang w:val="en-US"/>
        </w:rPr>
        <w:t>may have given</w:t>
      </w:r>
      <w:r w:rsidRPr="00BC39A5">
        <w:rPr>
          <w:rFonts w:ascii="Times New Roman" w:eastAsia="Times New Roman" w:hAnsi="Times New Roman" w:cs="Times New Roman"/>
          <w:color w:val="000000"/>
          <w:lang w:val="en-US"/>
        </w:rPr>
        <w:t xml:space="preserve"> </w:t>
      </w:r>
      <w:r w:rsidR="00121D10">
        <w:rPr>
          <w:rFonts w:ascii="Times New Roman" w:eastAsia="Times New Roman" w:hAnsi="Times New Roman" w:cs="Times New Roman"/>
          <w:color w:val="000000"/>
          <w:lang w:val="en-US"/>
        </w:rPr>
        <w:t>integrated reporting</w:t>
      </w:r>
      <w:r w:rsidRPr="00BC39A5">
        <w:rPr>
          <w:rFonts w:ascii="Times New Roman" w:eastAsia="Times New Roman" w:hAnsi="Times New Roman" w:cs="Times New Roman"/>
          <w:color w:val="000000"/>
          <w:lang w:val="en-US"/>
        </w:rPr>
        <w:t xml:space="preserve"> a sense of institutional commitment t</w:t>
      </w:r>
      <w:r w:rsidR="000724CB" w:rsidRPr="00BC39A5">
        <w:rPr>
          <w:rFonts w:ascii="Times New Roman" w:eastAsia="Times New Roman" w:hAnsi="Times New Roman" w:cs="Times New Roman"/>
          <w:color w:val="000000"/>
          <w:lang w:val="en-US"/>
        </w:rPr>
        <w:t>hat could help significantly in riding</w:t>
      </w:r>
      <w:r w:rsidRPr="00BC39A5">
        <w:rPr>
          <w:rFonts w:ascii="Times New Roman" w:eastAsia="Times New Roman" w:hAnsi="Times New Roman" w:cs="Times New Roman"/>
          <w:color w:val="000000"/>
          <w:lang w:val="en-US"/>
        </w:rPr>
        <w:t xml:space="preserve"> the wave of teething troubles </w:t>
      </w:r>
      <w:r w:rsidR="007F340F">
        <w:rPr>
          <w:rFonts w:ascii="Times New Roman" w:eastAsia="Times New Roman" w:hAnsi="Times New Roman" w:cs="Times New Roman"/>
          <w:color w:val="000000"/>
          <w:lang w:val="en-US"/>
        </w:rPr>
        <w:t xml:space="preserve">of </w:t>
      </w:r>
      <w:r w:rsidRPr="00BC39A5">
        <w:rPr>
          <w:rFonts w:ascii="Times New Roman" w:eastAsia="Times New Roman" w:hAnsi="Times New Roman" w:cs="Times New Roman"/>
          <w:color w:val="000000"/>
          <w:lang w:val="en-US"/>
        </w:rPr>
        <w:t xml:space="preserve">unmatched expectations that early </w:t>
      </w:r>
      <w:r w:rsidR="00121D10">
        <w:rPr>
          <w:rFonts w:ascii="Times New Roman" w:eastAsia="Times New Roman" w:hAnsi="Times New Roman" w:cs="Times New Roman"/>
          <w:color w:val="000000"/>
          <w:lang w:val="en-US"/>
        </w:rPr>
        <w:t xml:space="preserve">integrated </w:t>
      </w:r>
      <w:r w:rsidRPr="00BC39A5">
        <w:rPr>
          <w:rFonts w:ascii="Times New Roman" w:eastAsia="Times New Roman" w:hAnsi="Times New Roman" w:cs="Times New Roman"/>
          <w:color w:val="000000"/>
          <w:lang w:val="en-US"/>
        </w:rPr>
        <w:t xml:space="preserve">reporting practice </w:t>
      </w:r>
      <w:r w:rsidR="007F340F">
        <w:rPr>
          <w:rFonts w:ascii="Times New Roman" w:eastAsia="Times New Roman" w:hAnsi="Times New Roman" w:cs="Times New Roman"/>
          <w:color w:val="000000"/>
          <w:lang w:val="en-US"/>
        </w:rPr>
        <w:t xml:space="preserve">may </w:t>
      </w:r>
      <w:r w:rsidRPr="00BC39A5">
        <w:rPr>
          <w:rFonts w:ascii="Times New Roman" w:eastAsia="Times New Roman" w:hAnsi="Times New Roman" w:cs="Times New Roman"/>
          <w:color w:val="000000"/>
          <w:lang w:val="en-US"/>
        </w:rPr>
        <w:t xml:space="preserve">encounter. It could also be said that coming after the outbreak of the </w:t>
      </w:r>
      <w:r w:rsidR="00C74F19">
        <w:rPr>
          <w:rFonts w:ascii="Times New Roman" w:eastAsia="Times New Roman" w:hAnsi="Times New Roman" w:cs="Times New Roman"/>
          <w:color w:val="000000"/>
          <w:lang w:val="en-US"/>
        </w:rPr>
        <w:t>g</w:t>
      </w:r>
      <w:r w:rsidRPr="00BC39A5">
        <w:rPr>
          <w:rFonts w:ascii="Times New Roman" w:eastAsia="Times New Roman" w:hAnsi="Times New Roman" w:cs="Times New Roman"/>
          <w:color w:val="000000"/>
          <w:lang w:val="en-US"/>
        </w:rPr>
        <w:t xml:space="preserve">lobal </w:t>
      </w:r>
      <w:r w:rsidR="00C74F19">
        <w:rPr>
          <w:rFonts w:ascii="Times New Roman" w:eastAsia="Times New Roman" w:hAnsi="Times New Roman" w:cs="Times New Roman"/>
          <w:color w:val="000000"/>
          <w:lang w:val="en-US"/>
        </w:rPr>
        <w:t>f</w:t>
      </w:r>
      <w:r w:rsidRPr="00BC39A5">
        <w:rPr>
          <w:rFonts w:ascii="Times New Roman" w:eastAsia="Times New Roman" w:hAnsi="Times New Roman" w:cs="Times New Roman"/>
          <w:color w:val="000000"/>
          <w:lang w:val="en-US"/>
        </w:rPr>
        <w:t xml:space="preserve">inancial </w:t>
      </w:r>
      <w:r w:rsidR="00C74F19">
        <w:rPr>
          <w:rFonts w:ascii="Times New Roman" w:eastAsia="Times New Roman" w:hAnsi="Times New Roman" w:cs="Times New Roman"/>
          <w:color w:val="000000"/>
          <w:lang w:val="en-US"/>
        </w:rPr>
        <w:t>c</w:t>
      </w:r>
      <w:r w:rsidRPr="00BC39A5">
        <w:rPr>
          <w:rFonts w:ascii="Times New Roman" w:eastAsia="Times New Roman" w:hAnsi="Times New Roman" w:cs="Times New Roman"/>
          <w:color w:val="000000"/>
          <w:lang w:val="en-US"/>
        </w:rPr>
        <w:t xml:space="preserve">risis and all the questions that this has raised in terms of the accountability </w:t>
      </w:r>
      <w:r w:rsidR="00FE59B0">
        <w:rPr>
          <w:rFonts w:ascii="Times New Roman" w:eastAsia="Times New Roman" w:hAnsi="Times New Roman" w:cs="Times New Roman"/>
          <w:color w:val="000000"/>
          <w:lang w:val="en-US"/>
        </w:rPr>
        <w:t xml:space="preserve">of </w:t>
      </w:r>
      <w:r w:rsidRPr="00BC39A5">
        <w:rPr>
          <w:rFonts w:ascii="Times New Roman" w:eastAsia="Times New Roman" w:hAnsi="Times New Roman" w:cs="Times New Roman"/>
          <w:color w:val="000000"/>
          <w:lang w:val="en-US"/>
        </w:rPr>
        <w:t xml:space="preserve"> governance systems and the overall transparency and useful</w:t>
      </w:r>
      <w:r w:rsidR="005F2970">
        <w:rPr>
          <w:rFonts w:ascii="Times New Roman" w:eastAsia="Times New Roman" w:hAnsi="Times New Roman" w:cs="Times New Roman"/>
          <w:color w:val="000000"/>
          <w:lang w:val="en-US"/>
        </w:rPr>
        <w:t>ness</w:t>
      </w:r>
      <w:r w:rsidRPr="00BC39A5">
        <w:rPr>
          <w:rFonts w:ascii="Times New Roman" w:eastAsia="Times New Roman" w:hAnsi="Times New Roman" w:cs="Times New Roman"/>
          <w:color w:val="000000"/>
          <w:lang w:val="en-US"/>
        </w:rPr>
        <w:t xml:space="preserve"> of audited corporate reports, </w:t>
      </w:r>
      <w:r w:rsidR="00121D10">
        <w:rPr>
          <w:rFonts w:ascii="Times New Roman" w:eastAsia="Times New Roman" w:hAnsi="Times New Roman" w:cs="Times New Roman"/>
          <w:color w:val="000000"/>
          <w:lang w:val="en-US"/>
        </w:rPr>
        <w:t>integrated reporting</w:t>
      </w:r>
      <w:r w:rsidRPr="00BC39A5">
        <w:rPr>
          <w:rFonts w:ascii="Times New Roman" w:eastAsia="Times New Roman" w:hAnsi="Times New Roman" w:cs="Times New Roman"/>
          <w:color w:val="000000"/>
          <w:lang w:val="en-US"/>
        </w:rPr>
        <w:t xml:space="preserve"> has exceedingly strong advantages of timing, of being in the ‘ri</w:t>
      </w:r>
      <w:r w:rsidR="000724CB" w:rsidRPr="00BC39A5">
        <w:rPr>
          <w:rFonts w:ascii="Times New Roman" w:eastAsia="Times New Roman" w:hAnsi="Times New Roman" w:cs="Times New Roman"/>
          <w:color w:val="000000"/>
          <w:lang w:val="en-US"/>
        </w:rPr>
        <w:t>ght’ place at the ‘right’ time</w:t>
      </w:r>
      <w:r w:rsidR="007F340F">
        <w:rPr>
          <w:rFonts w:ascii="Times New Roman" w:eastAsia="Times New Roman" w:hAnsi="Times New Roman" w:cs="Times New Roman"/>
          <w:color w:val="000000"/>
          <w:lang w:val="en-US"/>
        </w:rPr>
        <w:t>. This is</w:t>
      </w:r>
      <w:r w:rsidR="000724CB" w:rsidRPr="00BC39A5">
        <w:rPr>
          <w:rFonts w:ascii="Times New Roman" w:eastAsia="Times New Roman" w:hAnsi="Times New Roman" w:cs="Times New Roman"/>
          <w:color w:val="000000"/>
          <w:lang w:val="en-US"/>
        </w:rPr>
        <w:t xml:space="preserve"> evident in both political and industry driven initiatives seeking to encourage more long</w:t>
      </w:r>
      <w:r w:rsidR="007F340F">
        <w:rPr>
          <w:rFonts w:ascii="Times New Roman" w:eastAsia="Times New Roman" w:hAnsi="Times New Roman" w:cs="Times New Roman"/>
          <w:color w:val="000000"/>
          <w:lang w:val="en-US"/>
        </w:rPr>
        <w:t>-</w:t>
      </w:r>
      <w:r w:rsidR="000724CB" w:rsidRPr="00BC39A5">
        <w:rPr>
          <w:rFonts w:ascii="Times New Roman" w:eastAsia="Times New Roman" w:hAnsi="Times New Roman" w:cs="Times New Roman"/>
          <w:color w:val="000000"/>
          <w:lang w:val="en-US"/>
        </w:rPr>
        <w:t xml:space="preserve">term investment horizons. </w:t>
      </w:r>
      <w:r w:rsidR="007F340F">
        <w:rPr>
          <w:rFonts w:ascii="Times New Roman" w:eastAsia="Times New Roman" w:hAnsi="Times New Roman" w:cs="Times New Roman"/>
          <w:color w:val="000000"/>
          <w:lang w:val="en-US"/>
        </w:rPr>
        <w:t>A</w:t>
      </w:r>
      <w:r w:rsidR="007F340F" w:rsidRPr="00BC39A5">
        <w:rPr>
          <w:rFonts w:ascii="Times New Roman" w:eastAsia="Times New Roman" w:hAnsi="Times New Roman" w:cs="Times New Roman"/>
          <w:color w:val="000000"/>
          <w:lang w:val="en-US"/>
        </w:rPr>
        <w:t xml:space="preserve"> </w:t>
      </w:r>
      <w:r w:rsidRPr="00BC39A5">
        <w:rPr>
          <w:rFonts w:ascii="Times New Roman" w:eastAsia="Times New Roman" w:hAnsi="Times New Roman" w:cs="Times New Roman"/>
          <w:color w:val="000000"/>
          <w:lang w:val="en-US"/>
        </w:rPr>
        <w:t>danger, however, is that the winds of time can blow with great and contra</w:t>
      </w:r>
      <w:r w:rsidR="00EA3116" w:rsidRPr="00BC39A5">
        <w:rPr>
          <w:rFonts w:ascii="Times New Roman" w:eastAsia="Times New Roman" w:hAnsi="Times New Roman" w:cs="Times New Roman"/>
          <w:color w:val="000000"/>
          <w:lang w:val="en-US"/>
        </w:rPr>
        <w:t xml:space="preserve">ry force. </w:t>
      </w:r>
      <w:r w:rsidRPr="00BC39A5">
        <w:rPr>
          <w:rFonts w:ascii="Times New Roman" w:eastAsia="Times New Roman" w:hAnsi="Times New Roman" w:cs="Times New Roman"/>
          <w:color w:val="000000"/>
          <w:lang w:val="en-US"/>
        </w:rPr>
        <w:t xml:space="preserve">The 1975 </w:t>
      </w:r>
      <w:r w:rsidR="00EA3116" w:rsidRPr="00BC39A5">
        <w:rPr>
          <w:rFonts w:ascii="Times New Roman" w:eastAsia="Times New Roman" w:hAnsi="Times New Roman" w:cs="Times New Roman"/>
          <w:color w:val="000000"/>
          <w:lang w:val="en-US"/>
        </w:rPr>
        <w:t xml:space="preserve">UK </w:t>
      </w:r>
      <w:r w:rsidRPr="00DF3DEB">
        <w:rPr>
          <w:rFonts w:ascii="Times New Roman" w:eastAsia="Times New Roman" w:hAnsi="Times New Roman" w:cs="Times New Roman"/>
          <w:i/>
          <w:color w:val="000000"/>
          <w:lang w:val="en-US"/>
        </w:rPr>
        <w:t xml:space="preserve">Corporate Report </w:t>
      </w:r>
      <w:r w:rsidRPr="00BC39A5">
        <w:rPr>
          <w:rFonts w:ascii="Times New Roman" w:eastAsia="Times New Roman" w:hAnsi="Times New Roman" w:cs="Times New Roman"/>
          <w:color w:val="000000"/>
          <w:lang w:val="en-US"/>
        </w:rPr>
        <w:t xml:space="preserve">and its transferring of the concept of profit into one of the value added by different primary stakeholder </w:t>
      </w:r>
      <w:r w:rsidRPr="00CE3EDB">
        <w:rPr>
          <w:rFonts w:ascii="Times New Roman" w:eastAsia="Times New Roman" w:hAnsi="Times New Roman" w:cs="Times New Roman"/>
          <w:color w:val="000000"/>
          <w:lang w:val="en-US"/>
        </w:rPr>
        <w:t>groups</w:t>
      </w:r>
      <w:r w:rsidR="00D96FCE" w:rsidRPr="00CE3EDB">
        <w:rPr>
          <w:rFonts w:ascii="Times New Roman" w:eastAsia="Times New Roman" w:hAnsi="Times New Roman" w:cs="Times New Roman"/>
          <w:color w:val="000000"/>
          <w:lang w:val="en-US"/>
        </w:rPr>
        <w:t xml:space="preserve"> (</w:t>
      </w:r>
      <w:r w:rsidR="008E7D1F" w:rsidRPr="00CE3EDB">
        <w:rPr>
          <w:rFonts w:ascii="Times New Roman" w:eastAsia="Times New Roman" w:hAnsi="Times New Roman" w:cs="Times New Roman"/>
          <w:color w:val="000000"/>
          <w:lang w:val="en-US"/>
        </w:rPr>
        <w:t xml:space="preserve">see, </w:t>
      </w:r>
      <w:r w:rsidR="001E5528" w:rsidRPr="00CE3EDB">
        <w:rPr>
          <w:rFonts w:ascii="Times New Roman" w:eastAsia="Times New Roman" w:hAnsi="Times New Roman" w:cs="Times New Roman"/>
          <w:color w:val="000000"/>
          <w:lang w:val="en-US"/>
        </w:rPr>
        <w:t xml:space="preserve">ASSC, 1975; </w:t>
      </w:r>
      <w:proofErr w:type="spellStart"/>
      <w:r w:rsidR="009223DE">
        <w:rPr>
          <w:rFonts w:ascii="Times New Roman" w:eastAsia="Times New Roman" w:hAnsi="Times New Roman" w:cs="Times New Roman"/>
          <w:color w:val="000000"/>
          <w:lang w:val="en-US"/>
        </w:rPr>
        <w:t>Burchell</w:t>
      </w:r>
      <w:proofErr w:type="spellEnd"/>
      <w:r w:rsidR="009223DE">
        <w:rPr>
          <w:rFonts w:ascii="Times New Roman" w:eastAsia="Times New Roman" w:hAnsi="Times New Roman" w:cs="Times New Roman"/>
          <w:color w:val="000000"/>
          <w:lang w:val="en-US"/>
        </w:rPr>
        <w:t xml:space="preserve"> et al., 1985; </w:t>
      </w:r>
      <w:r w:rsidR="008E7D1F" w:rsidRPr="00CE3EDB">
        <w:rPr>
          <w:rFonts w:ascii="Times New Roman" w:eastAsia="Times New Roman" w:hAnsi="Times New Roman" w:cs="Times New Roman"/>
          <w:color w:val="000000"/>
          <w:lang w:val="en-US"/>
        </w:rPr>
        <w:t>Gray et al., 1987</w:t>
      </w:r>
      <w:r w:rsidR="00FF2F21">
        <w:rPr>
          <w:rFonts w:ascii="Times New Roman" w:eastAsia="Times New Roman" w:hAnsi="Times New Roman" w:cs="Times New Roman"/>
          <w:color w:val="000000"/>
          <w:lang w:val="en-US"/>
        </w:rPr>
        <w:t xml:space="preserve">; Haller and Van </w:t>
      </w:r>
      <w:proofErr w:type="spellStart"/>
      <w:r w:rsidR="00FF2F21">
        <w:rPr>
          <w:rFonts w:ascii="Times New Roman" w:eastAsia="Times New Roman" w:hAnsi="Times New Roman" w:cs="Times New Roman"/>
          <w:color w:val="000000"/>
          <w:lang w:val="en-US"/>
        </w:rPr>
        <w:t>Staden</w:t>
      </w:r>
      <w:proofErr w:type="spellEnd"/>
      <w:r w:rsidR="00FF2F21">
        <w:rPr>
          <w:rFonts w:ascii="Times New Roman" w:eastAsia="Times New Roman" w:hAnsi="Times New Roman" w:cs="Times New Roman"/>
          <w:color w:val="000000"/>
          <w:lang w:val="en-US"/>
        </w:rPr>
        <w:t>, 2014</w:t>
      </w:r>
      <w:r w:rsidR="00D96FCE" w:rsidRPr="00CE3EDB">
        <w:rPr>
          <w:rFonts w:ascii="Times New Roman" w:eastAsia="Times New Roman" w:hAnsi="Times New Roman" w:cs="Times New Roman"/>
          <w:color w:val="000000"/>
          <w:lang w:val="en-US"/>
        </w:rPr>
        <w:t>)</w:t>
      </w:r>
      <w:r w:rsidR="00C74F19">
        <w:rPr>
          <w:rFonts w:ascii="Times New Roman" w:eastAsia="Times New Roman" w:hAnsi="Times New Roman" w:cs="Times New Roman"/>
          <w:color w:val="000000"/>
          <w:lang w:val="en-US"/>
        </w:rPr>
        <w:t xml:space="preserve"> - </w:t>
      </w:r>
      <w:r w:rsidRPr="00CE3EDB">
        <w:rPr>
          <w:rFonts w:ascii="Times New Roman" w:eastAsia="Times New Roman" w:hAnsi="Times New Roman" w:cs="Times New Roman"/>
          <w:color w:val="000000"/>
          <w:lang w:val="en-US"/>
        </w:rPr>
        <w:t>an initiative only belat</w:t>
      </w:r>
      <w:r w:rsidR="008517F7" w:rsidRPr="00CE3EDB">
        <w:rPr>
          <w:rFonts w:ascii="Times New Roman" w:eastAsia="Times New Roman" w:hAnsi="Times New Roman" w:cs="Times New Roman"/>
          <w:color w:val="000000"/>
          <w:lang w:val="en-US"/>
        </w:rPr>
        <w:t>edly recognized by the IIRC</w:t>
      </w:r>
      <w:r w:rsidR="008517F7" w:rsidRPr="00CE3EDB">
        <w:rPr>
          <w:rStyle w:val="FootnoteReference"/>
          <w:rFonts w:ascii="Times New Roman" w:eastAsia="Times New Roman" w:hAnsi="Times New Roman" w:cs="Times New Roman"/>
          <w:color w:val="000000"/>
          <w:lang w:val="en-US"/>
        </w:rPr>
        <w:footnoteReference w:id="36"/>
      </w:r>
      <w:r w:rsidR="008517F7" w:rsidRPr="00CE3EDB">
        <w:rPr>
          <w:rFonts w:ascii="Times New Roman" w:eastAsia="Times New Roman" w:hAnsi="Times New Roman" w:cs="Times New Roman"/>
          <w:color w:val="000000"/>
          <w:lang w:val="en-US"/>
        </w:rPr>
        <w:t xml:space="preserve"> </w:t>
      </w:r>
      <w:r w:rsidRPr="00CE3EDB">
        <w:rPr>
          <w:rFonts w:ascii="Times New Roman" w:eastAsia="Times New Roman" w:hAnsi="Times New Roman" w:cs="Times New Roman"/>
          <w:color w:val="000000"/>
          <w:lang w:val="en-US"/>
        </w:rPr>
        <w:t>but one</w:t>
      </w:r>
      <w:r w:rsidRPr="00BC39A5">
        <w:rPr>
          <w:rFonts w:ascii="Times New Roman" w:eastAsia="Times New Roman" w:hAnsi="Times New Roman" w:cs="Times New Roman"/>
          <w:color w:val="000000"/>
          <w:lang w:val="en-US"/>
        </w:rPr>
        <w:t xml:space="preserve"> that has significant parallels to </w:t>
      </w:r>
      <w:r w:rsidR="00121D10">
        <w:rPr>
          <w:rFonts w:ascii="Times New Roman" w:eastAsia="Times New Roman" w:hAnsi="Times New Roman" w:cs="Times New Roman"/>
          <w:color w:val="000000"/>
          <w:lang w:val="en-US"/>
        </w:rPr>
        <w:t>integrated reporting</w:t>
      </w:r>
      <w:r w:rsidRPr="00BC39A5">
        <w:rPr>
          <w:rFonts w:ascii="Times New Roman" w:eastAsia="Times New Roman" w:hAnsi="Times New Roman" w:cs="Times New Roman"/>
          <w:color w:val="000000"/>
          <w:lang w:val="en-US"/>
        </w:rPr>
        <w:t xml:space="preserve"> metaphorically</w:t>
      </w:r>
      <w:r w:rsidR="00FE59B0">
        <w:rPr>
          <w:rFonts w:ascii="Times New Roman" w:eastAsia="Times New Roman" w:hAnsi="Times New Roman" w:cs="Times New Roman"/>
          <w:color w:val="000000"/>
          <w:lang w:val="en-US"/>
        </w:rPr>
        <w:t xml:space="preserve"> </w:t>
      </w:r>
      <w:r w:rsidR="00C74F19">
        <w:rPr>
          <w:rFonts w:ascii="Times New Roman" w:eastAsia="Times New Roman" w:hAnsi="Times New Roman" w:cs="Times New Roman"/>
          <w:color w:val="000000"/>
          <w:lang w:val="en-US"/>
        </w:rPr>
        <w:t xml:space="preserve">- </w:t>
      </w:r>
      <w:r w:rsidR="002128FF">
        <w:rPr>
          <w:rFonts w:ascii="Times New Roman" w:eastAsia="Times New Roman" w:hAnsi="Times New Roman" w:cs="Times New Roman"/>
          <w:color w:val="000000"/>
          <w:lang w:val="en-US"/>
        </w:rPr>
        <w:t>withered in th</w:t>
      </w:r>
      <w:r w:rsidR="005E7227">
        <w:rPr>
          <w:rFonts w:ascii="Times New Roman" w:eastAsia="Times New Roman" w:hAnsi="Times New Roman" w:cs="Times New Roman"/>
          <w:color w:val="000000"/>
          <w:lang w:val="en-US"/>
        </w:rPr>
        <w:t xml:space="preserve">e face of </w:t>
      </w:r>
      <w:r w:rsidRPr="00BC39A5">
        <w:rPr>
          <w:rFonts w:ascii="Times New Roman" w:eastAsia="Times New Roman" w:hAnsi="Times New Roman" w:cs="Times New Roman"/>
          <w:color w:val="000000"/>
          <w:lang w:val="en-US"/>
        </w:rPr>
        <w:t>rapid</w:t>
      </w:r>
      <w:r w:rsidR="005E7227">
        <w:rPr>
          <w:rFonts w:ascii="Times New Roman" w:eastAsia="Times New Roman" w:hAnsi="Times New Roman" w:cs="Times New Roman"/>
          <w:color w:val="000000"/>
          <w:lang w:val="en-US"/>
        </w:rPr>
        <w:t>ly</w:t>
      </w:r>
      <w:r w:rsidRPr="00BC39A5">
        <w:rPr>
          <w:rFonts w:ascii="Times New Roman" w:eastAsia="Times New Roman" w:hAnsi="Times New Roman" w:cs="Times New Roman"/>
          <w:color w:val="000000"/>
          <w:lang w:val="en-US"/>
        </w:rPr>
        <w:t xml:space="preserve"> ris</w:t>
      </w:r>
      <w:r w:rsidR="005E7227">
        <w:rPr>
          <w:rFonts w:ascii="Times New Roman" w:eastAsia="Times New Roman" w:hAnsi="Times New Roman" w:cs="Times New Roman"/>
          <w:color w:val="000000"/>
          <w:lang w:val="en-US"/>
        </w:rPr>
        <w:t>ing</w:t>
      </w:r>
      <w:r w:rsidRPr="00BC39A5">
        <w:rPr>
          <w:rFonts w:ascii="Times New Roman" w:eastAsia="Times New Roman" w:hAnsi="Times New Roman" w:cs="Times New Roman"/>
          <w:color w:val="000000"/>
          <w:lang w:val="en-US"/>
        </w:rPr>
        <w:t xml:space="preserve"> levels of inflation and the resulting experiment with current cost accounting </w:t>
      </w:r>
      <w:r w:rsidR="005E7227">
        <w:rPr>
          <w:rFonts w:ascii="Times New Roman" w:eastAsia="Times New Roman" w:hAnsi="Times New Roman" w:cs="Times New Roman"/>
          <w:color w:val="000000"/>
          <w:lang w:val="en-US"/>
        </w:rPr>
        <w:t xml:space="preserve">(leading to the UK accounting </w:t>
      </w:r>
      <w:r w:rsidR="00EA3116" w:rsidRPr="00BC39A5">
        <w:rPr>
          <w:rFonts w:ascii="Times New Roman" w:eastAsia="Times New Roman" w:hAnsi="Times New Roman" w:cs="Times New Roman"/>
          <w:color w:val="000000"/>
          <w:lang w:val="en-US"/>
        </w:rPr>
        <w:t>standard</w:t>
      </w:r>
      <w:r w:rsidR="00C74F19">
        <w:rPr>
          <w:rFonts w:ascii="Times New Roman" w:eastAsia="Times New Roman" w:hAnsi="Times New Roman" w:cs="Times New Roman"/>
          <w:color w:val="000000"/>
          <w:lang w:val="en-US"/>
        </w:rPr>
        <w:t>,</w:t>
      </w:r>
      <w:r w:rsidR="00EA3116" w:rsidRPr="00BC39A5">
        <w:rPr>
          <w:rFonts w:ascii="Times New Roman" w:eastAsia="Times New Roman" w:hAnsi="Times New Roman" w:cs="Times New Roman"/>
          <w:color w:val="000000"/>
          <w:lang w:val="en-US"/>
        </w:rPr>
        <w:t xml:space="preserve"> </w:t>
      </w:r>
      <w:r w:rsidRPr="00BC39A5">
        <w:rPr>
          <w:rFonts w:ascii="Times New Roman" w:eastAsia="Times New Roman" w:hAnsi="Times New Roman" w:cs="Times New Roman"/>
          <w:color w:val="000000"/>
          <w:lang w:val="en-US"/>
        </w:rPr>
        <w:t>SSAP16</w:t>
      </w:r>
      <w:r w:rsidR="005E7227">
        <w:rPr>
          <w:rFonts w:ascii="Times New Roman" w:eastAsia="Times New Roman" w:hAnsi="Times New Roman" w:cs="Times New Roman"/>
          <w:color w:val="000000"/>
          <w:lang w:val="en-US"/>
        </w:rPr>
        <w:t>)</w:t>
      </w:r>
      <w:r w:rsidR="0098793A">
        <w:rPr>
          <w:rFonts w:ascii="Times New Roman" w:eastAsia="Times New Roman" w:hAnsi="Times New Roman" w:cs="Times New Roman"/>
          <w:color w:val="000000"/>
          <w:lang w:val="en-US"/>
        </w:rPr>
        <w:t xml:space="preserve"> (see, Gray, 2012</w:t>
      </w:r>
      <w:r w:rsidR="002B083A">
        <w:rPr>
          <w:rFonts w:ascii="Times New Roman" w:eastAsia="Times New Roman" w:hAnsi="Times New Roman" w:cs="Times New Roman"/>
          <w:color w:val="000000"/>
          <w:lang w:val="en-US"/>
        </w:rPr>
        <w:t xml:space="preserve">: </w:t>
      </w:r>
      <w:r w:rsidR="0098793A">
        <w:rPr>
          <w:rFonts w:ascii="Times New Roman" w:eastAsia="Times New Roman" w:hAnsi="Times New Roman" w:cs="Times New Roman"/>
          <w:color w:val="000000"/>
          <w:lang w:val="en-US"/>
        </w:rPr>
        <w:t>2)</w:t>
      </w:r>
      <w:r w:rsidRPr="00BC39A5">
        <w:rPr>
          <w:rFonts w:ascii="Times New Roman" w:eastAsia="Times New Roman" w:hAnsi="Times New Roman" w:cs="Times New Roman"/>
          <w:color w:val="000000"/>
          <w:lang w:val="en-US"/>
        </w:rPr>
        <w:t xml:space="preserve">. It remains to be seen whether any conceptual, financial or social and environmental storm </w:t>
      </w:r>
      <w:r w:rsidR="009223DE">
        <w:rPr>
          <w:rFonts w:ascii="Times New Roman" w:eastAsia="Times New Roman" w:hAnsi="Times New Roman" w:cs="Times New Roman"/>
          <w:color w:val="000000"/>
          <w:lang w:val="en-US"/>
        </w:rPr>
        <w:t xml:space="preserve">will </w:t>
      </w:r>
      <w:r w:rsidRPr="00BC39A5">
        <w:rPr>
          <w:rFonts w:ascii="Times New Roman" w:eastAsia="Times New Roman" w:hAnsi="Times New Roman" w:cs="Times New Roman"/>
          <w:color w:val="000000"/>
          <w:lang w:val="en-US"/>
        </w:rPr>
        <w:t xml:space="preserve">hinder the development of </w:t>
      </w:r>
      <w:r w:rsidR="00121D10">
        <w:rPr>
          <w:rFonts w:ascii="Times New Roman" w:eastAsia="Times New Roman" w:hAnsi="Times New Roman" w:cs="Times New Roman"/>
          <w:color w:val="000000"/>
          <w:lang w:val="en-US"/>
        </w:rPr>
        <w:t>integrated reporting</w:t>
      </w:r>
      <w:r w:rsidR="00A07571">
        <w:rPr>
          <w:rFonts w:ascii="Times New Roman" w:eastAsia="Times New Roman" w:hAnsi="Times New Roman" w:cs="Times New Roman"/>
          <w:color w:val="000000"/>
          <w:lang w:val="en-US"/>
        </w:rPr>
        <w:t>.</w:t>
      </w:r>
      <w:r w:rsidRPr="00BC39A5">
        <w:rPr>
          <w:rFonts w:ascii="Times New Roman" w:eastAsia="Times New Roman" w:hAnsi="Times New Roman" w:cs="Times New Roman"/>
          <w:color w:val="000000"/>
          <w:lang w:val="en-US"/>
        </w:rPr>
        <w:t xml:space="preserve"> </w:t>
      </w:r>
    </w:p>
    <w:p w14:paraId="263C7615" w14:textId="17ED792F" w:rsidR="00DF3DEB" w:rsidRPr="00BC39A5" w:rsidRDefault="00A07571" w:rsidP="00DF3DEB">
      <w:pPr>
        <w:spacing w:line="360" w:lineRule="auto"/>
        <w:ind w:firstLine="708"/>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w:t>
      </w:r>
      <w:r w:rsidR="000C2A50" w:rsidRPr="0009098E">
        <w:rPr>
          <w:rFonts w:ascii="Times New Roman" w:eastAsia="Times New Roman" w:hAnsi="Times New Roman" w:cs="Times New Roman"/>
          <w:color w:val="000000"/>
          <w:lang w:val="en-US"/>
        </w:rPr>
        <w:t xml:space="preserve">here are </w:t>
      </w:r>
      <w:r>
        <w:rPr>
          <w:rFonts w:ascii="Times New Roman" w:eastAsia="Times New Roman" w:hAnsi="Times New Roman" w:cs="Times New Roman"/>
          <w:color w:val="000000"/>
          <w:lang w:val="en-US"/>
        </w:rPr>
        <w:t xml:space="preserve">also </w:t>
      </w:r>
      <w:r w:rsidR="00F857A4">
        <w:rPr>
          <w:rFonts w:ascii="Times New Roman" w:eastAsia="Times New Roman" w:hAnsi="Times New Roman" w:cs="Times New Roman"/>
          <w:color w:val="000000"/>
          <w:lang w:val="en-US"/>
        </w:rPr>
        <w:t xml:space="preserve">issues </w:t>
      </w:r>
      <w:r w:rsidR="000C2A50" w:rsidRPr="0009098E">
        <w:rPr>
          <w:rFonts w:ascii="Times New Roman" w:eastAsia="Times New Roman" w:hAnsi="Times New Roman" w:cs="Times New Roman"/>
          <w:color w:val="000000"/>
          <w:lang w:val="en-US"/>
        </w:rPr>
        <w:t>to contemplate with respect to the form of independent, external assurance that will</w:t>
      </w:r>
      <w:r>
        <w:rPr>
          <w:rFonts w:ascii="Times New Roman" w:eastAsia="Times New Roman" w:hAnsi="Times New Roman" w:cs="Times New Roman"/>
          <w:color w:val="000000"/>
          <w:lang w:val="en-US"/>
        </w:rPr>
        <w:t xml:space="preserve"> need to</w:t>
      </w:r>
      <w:r w:rsidR="000C2A50" w:rsidRPr="0009098E">
        <w:rPr>
          <w:rFonts w:ascii="Times New Roman" w:eastAsia="Times New Roman" w:hAnsi="Times New Roman" w:cs="Times New Roman"/>
          <w:color w:val="000000"/>
          <w:lang w:val="en-US"/>
        </w:rPr>
        <w:t xml:space="preserve"> accompany</w:t>
      </w:r>
      <w:r w:rsidR="00C275F2" w:rsidRPr="0009098E">
        <w:rPr>
          <w:rFonts w:ascii="Times New Roman" w:eastAsia="Times New Roman" w:hAnsi="Times New Roman" w:cs="Times New Roman"/>
          <w:color w:val="000000"/>
          <w:lang w:val="en-US"/>
        </w:rPr>
        <w:t xml:space="preserve"> published integrated reports</w:t>
      </w:r>
      <w:r w:rsidR="00076535">
        <w:rPr>
          <w:rFonts w:ascii="Times New Roman" w:eastAsia="Times New Roman" w:hAnsi="Times New Roman" w:cs="Times New Roman"/>
          <w:color w:val="000000"/>
          <w:lang w:val="en-US"/>
        </w:rPr>
        <w:t xml:space="preserve"> and</w:t>
      </w:r>
      <w:r w:rsidR="006C1B7F">
        <w:rPr>
          <w:rFonts w:ascii="Times New Roman" w:eastAsia="Times New Roman" w:hAnsi="Times New Roman" w:cs="Times New Roman"/>
          <w:color w:val="000000"/>
          <w:lang w:val="en-US"/>
        </w:rPr>
        <w:t>,</w:t>
      </w:r>
      <w:r w:rsidR="00076535">
        <w:rPr>
          <w:rFonts w:ascii="Times New Roman" w:eastAsia="Times New Roman" w:hAnsi="Times New Roman" w:cs="Times New Roman"/>
          <w:color w:val="000000"/>
          <w:lang w:val="en-US"/>
        </w:rPr>
        <w:t xml:space="preserve"> subsequent to the publication of the final framework</w:t>
      </w:r>
      <w:r w:rsidR="006C1B7F">
        <w:rPr>
          <w:rFonts w:ascii="Times New Roman" w:eastAsia="Times New Roman" w:hAnsi="Times New Roman" w:cs="Times New Roman"/>
          <w:color w:val="000000"/>
          <w:lang w:val="en-US"/>
        </w:rPr>
        <w:t>,</w:t>
      </w:r>
      <w:r w:rsidR="00076535">
        <w:rPr>
          <w:rFonts w:ascii="Times New Roman" w:eastAsia="Times New Roman" w:hAnsi="Times New Roman" w:cs="Times New Roman"/>
          <w:color w:val="000000"/>
          <w:lang w:val="en-US"/>
        </w:rPr>
        <w:t xml:space="preserve"> the IIRC has proceeded at pace to address this issue</w:t>
      </w:r>
      <w:r w:rsidR="00076535">
        <w:rPr>
          <w:rStyle w:val="FootnoteReference"/>
          <w:rFonts w:ascii="Times New Roman" w:eastAsia="Times New Roman" w:hAnsi="Times New Roman" w:cs="Times New Roman"/>
          <w:color w:val="000000"/>
          <w:lang w:val="en-US"/>
        </w:rPr>
        <w:footnoteReference w:id="37"/>
      </w:r>
      <w:r w:rsidR="00076535">
        <w:rPr>
          <w:rFonts w:ascii="Times New Roman" w:eastAsia="Times New Roman" w:hAnsi="Times New Roman" w:cs="Times New Roman"/>
          <w:color w:val="000000"/>
          <w:lang w:val="en-US"/>
        </w:rPr>
        <w:t xml:space="preserve">. </w:t>
      </w:r>
      <w:r w:rsidR="000C2A50" w:rsidRPr="0009098E">
        <w:rPr>
          <w:rFonts w:ascii="Times New Roman" w:eastAsia="Times New Roman" w:hAnsi="Times New Roman" w:cs="Times New Roman"/>
          <w:color w:val="000000"/>
          <w:lang w:val="en-US"/>
        </w:rPr>
        <w:t xml:space="preserve">But again, it </w:t>
      </w:r>
      <w:r w:rsidR="004A4EDD">
        <w:rPr>
          <w:rFonts w:ascii="Times New Roman" w:eastAsia="Times New Roman" w:hAnsi="Times New Roman" w:cs="Times New Roman"/>
          <w:color w:val="000000"/>
          <w:lang w:val="en-US"/>
        </w:rPr>
        <w:t xml:space="preserve">should </w:t>
      </w:r>
      <w:r w:rsidR="000C2A50" w:rsidRPr="0009098E">
        <w:rPr>
          <w:rFonts w:ascii="Times New Roman" w:eastAsia="Times New Roman" w:hAnsi="Times New Roman" w:cs="Times New Roman"/>
          <w:color w:val="000000"/>
          <w:lang w:val="en-US"/>
        </w:rPr>
        <w:t xml:space="preserve">also be remembered that the accounting profession has been here before, </w:t>
      </w:r>
      <w:r w:rsidR="008F0C55" w:rsidRPr="0009098E">
        <w:rPr>
          <w:rFonts w:ascii="Times New Roman" w:eastAsia="Times New Roman" w:hAnsi="Times New Roman" w:cs="Times New Roman"/>
          <w:color w:val="000000"/>
          <w:lang w:val="en-US"/>
        </w:rPr>
        <w:t>with the development in the mid-</w:t>
      </w:r>
      <w:r w:rsidR="000C2A50" w:rsidRPr="0009098E">
        <w:rPr>
          <w:rFonts w:ascii="Times New Roman" w:eastAsia="Times New Roman" w:hAnsi="Times New Roman" w:cs="Times New Roman"/>
          <w:color w:val="000000"/>
          <w:lang w:val="en-US"/>
        </w:rPr>
        <w:lastRenderedPageBreak/>
        <w:t>1990s of business risk based</w:t>
      </w:r>
      <w:r w:rsidR="00E57E6F">
        <w:rPr>
          <w:rFonts w:ascii="Times New Roman" w:eastAsia="Times New Roman" w:hAnsi="Times New Roman" w:cs="Times New Roman"/>
          <w:color w:val="000000"/>
          <w:lang w:val="en-US"/>
        </w:rPr>
        <w:t xml:space="preserve"> approaches to auditing (BRA). </w:t>
      </w:r>
      <w:r w:rsidR="000C2A50" w:rsidRPr="0009098E">
        <w:rPr>
          <w:rFonts w:ascii="Times New Roman" w:eastAsia="Times New Roman" w:hAnsi="Times New Roman" w:cs="Times New Roman"/>
          <w:color w:val="000000"/>
          <w:lang w:val="en-US"/>
        </w:rPr>
        <w:t xml:space="preserve">While there are </w:t>
      </w:r>
      <w:r>
        <w:rPr>
          <w:rFonts w:ascii="Times New Roman" w:eastAsia="Times New Roman" w:hAnsi="Times New Roman" w:cs="Times New Roman"/>
          <w:color w:val="000000"/>
          <w:lang w:val="en-US"/>
        </w:rPr>
        <w:t>parallels</w:t>
      </w:r>
      <w:r w:rsidR="000C2A50" w:rsidRPr="0009098E">
        <w:rPr>
          <w:rFonts w:ascii="Times New Roman" w:eastAsia="Times New Roman" w:hAnsi="Times New Roman" w:cs="Times New Roman"/>
          <w:color w:val="000000"/>
          <w:lang w:val="en-US"/>
        </w:rPr>
        <w:t xml:space="preserve"> between a form of reporting which is focused on the long</w:t>
      </w:r>
      <w:r w:rsidR="00E733D3" w:rsidRPr="0009098E">
        <w:rPr>
          <w:rFonts w:ascii="Times New Roman" w:eastAsia="Times New Roman" w:hAnsi="Times New Roman" w:cs="Times New Roman"/>
          <w:color w:val="000000"/>
          <w:lang w:val="en-US"/>
        </w:rPr>
        <w:t>-</w:t>
      </w:r>
      <w:r w:rsidR="000C2A50" w:rsidRPr="0009098E">
        <w:rPr>
          <w:rFonts w:ascii="Times New Roman" w:eastAsia="Times New Roman" w:hAnsi="Times New Roman" w:cs="Times New Roman"/>
          <w:color w:val="000000"/>
          <w:lang w:val="en-US"/>
        </w:rPr>
        <w:t>term sustainability of the business and a form of auditing intent on assessing the degree</w:t>
      </w:r>
      <w:r w:rsidR="008F0C55" w:rsidRPr="0009098E">
        <w:rPr>
          <w:rFonts w:ascii="Times New Roman" w:eastAsia="Times New Roman" w:hAnsi="Times New Roman" w:cs="Times New Roman"/>
          <w:color w:val="000000"/>
          <w:lang w:val="en-US"/>
        </w:rPr>
        <w:t xml:space="preserve"> to which a business is meeting</w:t>
      </w:r>
      <w:r w:rsidR="000C2A50" w:rsidRPr="0009098E">
        <w:rPr>
          <w:rFonts w:ascii="Times New Roman" w:eastAsia="Times New Roman" w:hAnsi="Times New Roman" w:cs="Times New Roman"/>
          <w:color w:val="000000"/>
          <w:lang w:val="en-US"/>
        </w:rPr>
        <w:t xml:space="preserve"> its stated objectives, BRA itself proved not to be a sustainable audit approach</w:t>
      </w:r>
      <w:r>
        <w:rPr>
          <w:rFonts w:ascii="Times New Roman" w:eastAsia="Times New Roman" w:hAnsi="Times New Roman" w:cs="Times New Roman"/>
          <w:color w:val="000000"/>
          <w:lang w:val="en-US"/>
        </w:rPr>
        <w:t xml:space="preserve"> –</w:t>
      </w:r>
      <w:r w:rsidR="000C2A50" w:rsidRPr="0009098E">
        <w:rPr>
          <w:rFonts w:ascii="Times New Roman" w:eastAsia="Times New Roman" w:hAnsi="Times New Roman" w:cs="Times New Roman"/>
          <w:color w:val="000000"/>
          <w:lang w:val="en-US"/>
        </w:rPr>
        <w:t xml:space="preserve"> in the face of criticism from both the</w:t>
      </w:r>
      <w:r w:rsidR="000C2A50" w:rsidRPr="00BC39A5">
        <w:rPr>
          <w:rFonts w:ascii="Times New Roman" w:eastAsia="Times New Roman" w:hAnsi="Times New Roman" w:cs="Times New Roman"/>
          <w:color w:val="000000"/>
          <w:lang w:val="en-US"/>
        </w:rPr>
        <w:t xml:space="preserve"> prof</w:t>
      </w:r>
      <w:r w:rsidR="005F2970">
        <w:rPr>
          <w:rFonts w:ascii="Times New Roman" w:eastAsia="Times New Roman" w:hAnsi="Times New Roman" w:cs="Times New Roman"/>
          <w:color w:val="000000"/>
          <w:lang w:val="en-US"/>
        </w:rPr>
        <w:t>ession and its regulators (</w:t>
      </w:r>
      <w:r w:rsidR="000C2A50" w:rsidRPr="00BC39A5">
        <w:rPr>
          <w:rFonts w:ascii="Times New Roman" w:eastAsia="Times New Roman" w:hAnsi="Times New Roman" w:cs="Times New Roman"/>
          <w:color w:val="000000"/>
          <w:lang w:val="en-US"/>
        </w:rPr>
        <w:t>see</w:t>
      </w:r>
      <w:r w:rsidR="005F2970">
        <w:rPr>
          <w:rFonts w:ascii="Times New Roman" w:eastAsia="Times New Roman" w:hAnsi="Times New Roman" w:cs="Times New Roman"/>
          <w:color w:val="000000"/>
          <w:lang w:val="en-US"/>
        </w:rPr>
        <w:t>,</w:t>
      </w:r>
      <w:r w:rsidR="000C2A50" w:rsidRPr="00BC39A5">
        <w:rPr>
          <w:rFonts w:ascii="Times New Roman" w:eastAsia="Times New Roman" w:hAnsi="Times New Roman" w:cs="Times New Roman"/>
          <w:color w:val="000000"/>
          <w:lang w:val="en-US"/>
        </w:rPr>
        <w:t xml:space="preserve"> Curtis and Turley, 2007; </w:t>
      </w:r>
      <w:r w:rsidR="00BD36F4">
        <w:rPr>
          <w:rFonts w:ascii="Times New Roman" w:eastAsia="Times New Roman" w:hAnsi="Times New Roman" w:cs="Times New Roman"/>
          <w:color w:val="000000"/>
          <w:lang w:val="en-US"/>
        </w:rPr>
        <w:t xml:space="preserve">Curtis et al., 2016; </w:t>
      </w:r>
      <w:r w:rsidR="000C2A50" w:rsidRPr="00BC39A5">
        <w:rPr>
          <w:rFonts w:ascii="Times New Roman" w:eastAsia="Times New Roman" w:hAnsi="Times New Roman" w:cs="Times New Roman"/>
          <w:color w:val="000000"/>
          <w:lang w:val="en-US"/>
        </w:rPr>
        <w:t>Robson et al</w:t>
      </w:r>
      <w:r w:rsidR="003E547C">
        <w:rPr>
          <w:rFonts w:ascii="Times New Roman" w:eastAsia="Times New Roman" w:hAnsi="Times New Roman" w:cs="Times New Roman"/>
          <w:color w:val="000000"/>
          <w:lang w:val="en-US"/>
        </w:rPr>
        <w:t>.</w:t>
      </w:r>
      <w:r w:rsidR="000C2A50" w:rsidRPr="00BC39A5">
        <w:rPr>
          <w:rFonts w:ascii="Times New Roman" w:eastAsia="Times New Roman" w:hAnsi="Times New Roman" w:cs="Times New Roman"/>
          <w:color w:val="000000"/>
          <w:lang w:val="en-US"/>
        </w:rPr>
        <w:t>, 2007).</w:t>
      </w:r>
      <w:r w:rsidR="008F0C55" w:rsidRPr="00BC39A5">
        <w:rPr>
          <w:rFonts w:ascii="Times New Roman" w:eastAsia="Times New Roman" w:hAnsi="Times New Roman" w:cs="Times New Roman"/>
          <w:color w:val="000000"/>
          <w:lang w:val="en-US"/>
        </w:rPr>
        <w:t xml:space="preserve"> </w:t>
      </w:r>
    </w:p>
    <w:p w14:paraId="4457DF1D" w14:textId="4D0B6039" w:rsidR="00AA5D1B" w:rsidRDefault="00D370FF">
      <w:pPr>
        <w:spacing w:line="360" w:lineRule="auto"/>
        <w:ind w:firstLine="708"/>
        <w:jc w:val="both"/>
        <w:rPr>
          <w:rFonts w:ascii="Times New Roman" w:eastAsia="Times New Roman" w:hAnsi="Times New Roman" w:cs="Times New Roman"/>
          <w:color w:val="000000"/>
          <w:lang w:val="en-US"/>
        </w:rPr>
      </w:pPr>
      <w:r w:rsidRPr="00BC39A5">
        <w:rPr>
          <w:rFonts w:ascii="Times New Roman" w:eastAsia="Times New Roman" w:hAnsi="Times New Roman" w:cs="Times New Roman"/>
          <w:color w:val="000000"/>
          <w:lang w:val="en-US"/>
        </w:rPr>
        <w:t xml:space="preserve">The </w:t>
      </w:r>
      <w:r w:rsidR="00863707">
        <w:rPr>
          <w:rFonts w:ascii="Times New Roman" w:eastAsia="Times New Roman" w:hAnsi="Times New Roman" w:cs="Times New Roman"/>
          <w:color w:val="000000"/>
          <w:lang w:val="en-US"/>
        </w:rPr>
        <w:t>success of the IIRC and its version</w:t>
      </w:r>
      <w:r w:rsidR="00863707" w:rsidRPr="00BC39A5">
        <w:rPr>
          <w:rFonts w:ascii="Times New Roman" w:eastAsia="Times New Roman" w:hAnsi="Times New Roman" w:cs="Times New Roman"/>
          <w:color w:val="000000"/>
          <w:lang w:val="en-US"/>
        </w:rPr>
        <w:t xml:space="preserve"> </w:t>
      </w:r>
      <w:r w:rsidRPr="00BC39A5">
        <w:rPr>
          <w:rFonts w:ascii="Times New Roman" w:eastAsia="Times New Roman" w:hAnsi="Times New Roman" w:cs="Times New Roman"/>
          <w:color w:val="000000"/>
          <w:lang w:val="en-US"/>
        </w:rPr>
        <w:t xml:space="preserve">of </w:t>
      </w:r>
      <w:r w:rsidR="00121D10">
        <w:rPr>
          <w:rFonts w:ascii="Times New Roman" w:eastAsia="Times New Roman" w:hAnsi="Times New Roman" w:cs="Times New Roman"/>
          <w:color w:val="000000"/>
          <w:lang w:val="en-US"/>
        </w:rPr>
        <w:t>integrated reporting</w:t>
      </w:r>
      <w:r w:rsidRPr="00BC39A5">
        <w:rPr>
          <w:rFonts w:ascii="Times New Roman" w:eastAsia="Times New Roman" w:hAnsi="Times New Roman" w:cs="Times New Roman"/>
          <w:color w:val="000000"/>
          <w:lang w:val="en-US"/>
        </w:rPr>
        <w:t xml:space="preserve"> may ultimately </w:t>
      </w:r>
      <w:r w:rsidR="000C2A50" w:rsidRPr="00BC39A5">
        <w:rPr>
          <w:rFonts w:ascii="Times New Roman" w:eastAsia="Times New Roman" w:hAnsi="Times New Roman" w:cs="Times New Roman"/>
          <w:color w:val="000000"/>
          <w:lang w:val="en-US"/>
        </w:rPr>
        <w:t xml:space="preserve">depend </w:t>
      </w:r>
      <w:r w:rsidR="007279E1">
        <w:rPr>
          <w:rFonts w:ascii="Times New Roman" w:eastAsia="Times New Roman" w:hAnsi="Times New Roman" w:cs="Times New Roman"/>
          <w:color w:val="000000"/>
          <w:lang w:val="en-US"/>
        </w:rPr>
        <w:t>up</w:t>
      </w:r>
      <w:r w:rsidR="000C2A50" w:rsidRPr="00BC39A5">
        <w:rPr>
          <w:rFonts w:ascii="Times New Roman" w:eastAsia="Times New Roman" w:hAnsi="Times New Roman" w:cs="Times New Roman"/>
          <w:color w:val="000000"/>
          <w:lang w:val="en-US"/>
        </w:rPr>
        <w:t>on wh</w:t>
      </w:r>
      <w:r w:rsidR="00F250D5">
        <w:rPr>
          <w:rFonts w:ascii="Times New Roman" w:eastAsia="Times New Roman" w:hAnsi="Times New Roman" w:cs="Times New Roman"/>
          <w:color w:val="000000"/>
          <w:lang w:val="en-US"/>
        </w:rPr>
        <w:t>ich</w:t>
      </w:r>
      <w:r w:rsidR="000C2A50" w:rsidRPr="00BC39A5">
        <w:rPr>
          <w:rFonts w:ascii="Times New Roman" w:eastAsia="Times New Roman" w:hAnsi="Times New Roman" w:cs="Times New Roman"/>
          <w:color w:val="000000"/>
          <w:lang w:val="en-US"/>
        </w:rPr>
        <w:t xml:space="preserve"> professional groupings and specialisms serve to influence the </w:t>
      </w:r>
      <w:r w:rsidR="00F250D5">
        <w:rPr>
          <w:rFonts w:ascii="Times New Roman" w:eastAsia="Times New Roman" w:hAnsi="Times New Roman" w:cs="Times New Roman"/>
          <w:color w:val="000000"/>
          <w:lang w:val="en-US"/>
        </w:rPr>
        <w:t xml:space="preserve">construction </w:t>
      </w:r>
      <w:r w:rsidR="000C2A50" w:rsidRPr="00BC39A5">
        <w:rPr>
          <w:rFonts w:ascii="Times New Roman" w:eastAsia="Times New Roman" w:hAnsi="Times New Roman" w:cs="Times New Roman"/>
          <w:color w:val="000000"/>
          <w:lang w:val="en-US"/>
        </w:rPr>
        <w:t xml:space="preserve">of any such </w:t>
      </w:r>
      <w:r w:rsidR="006C1B7F">
        <w:rPr>
          <w:rFonts w:ascii="Times New Roman" w:eastAsia="Times New Roman" w:hAnsi="Times New Roman" w:cs="Times New Roman"/>
          <w:color w:val="000000"/>
          <w:lang w:val="en-US"/>
        </w:rPr>
        <w:t xml:space="preserve">‘integrated’ </w:t>
      </w:r>
      <w:r w:rsidR="000C2A50" w:rsidRPr="00BC39A5">
        <w:rPr>
          <w:rFonts w:ascii="Times New Roman" w:eastAsia="Times New Roman" w:hAnsi="Times New Roman" w:cs="Times New Roman"/>
          <w:color w:val="000000"/>
          <w:lang w:val="en-US"/>
        </w:rPr>
        <w:t>reports</w:t>
      </w:r>
      <w:r w:rsidR="002E5406">
        <w:rPr>
          <w:rFonts w:ascii="Times New Roman" w:eastAsia="Times New Roman" w:hAnsi="Times New Roman" w:cs="Times New Roman"/>
          <w:color w:val="000000"/>
          <w:lang w:val="en-US"/>
        </w:rPr>
        <w:t>.</w:t>
      </w:r>
      <w:r w:rsidR="000C2A50" w:rsidRPr="00BC39A5">
        <w:rPr>
          <w:rFonts w:ascii="Times New Roman" w:eastAsia="Times New Roman" w:hAnsi="Times New Roman" w:cs="Times New Roman"/>
          <w:color w:val="000000"/>
          <w:lang w:val="en-US"/>
        </w:rPr>
        <w:t xml:space="preserve">  We may </w:t>
      </w:r>
      <w:r w:rsidR="00E80242">
        <w:rPr>
          <w:rFonts w:ascii="Times New Roman" w:eastAsia="Times New Roman" w:hAnsi="Times New Roman" w:cs="Times New Roman"/>
          <w:color w:val="000000"/>
          <w:lang w:val="en-US"/>
        </w:rPr>
        <w:t xml:space="preserve">now </w:t>
      </w:r>
      <w:r w:rsidR="000C2A50" w:rsidRPr="00BC39A5">
        <w:rPr>
          <w:rFonts w:ascii="Times New Roman" w:eastAsia="Times New Roman" w:hAnsi="Times New Roman" w:cs="Times New Roman"/>
          <w:color w:val="000000"/>
          <w:lang w:val="en-US"/>
        </w:rPr>
        <w:t xml:space="preserve">have an </w:t>
      </w:r>
      <w:r w:rsidR="00121D10">
        <w:rPr>
          <w:rFonts w:ascii="Times New Roman" w:eastAsia="Times New Roman" w:hAnsi="Times New Roman" w:cs="Times New Roman"/>
          <w:color w:val="000000"/>
          <w:lang w:val="en-US"/>
        </w:rPr>
        <w:t>integrated reporting</w:t>
      </w:r>
      <w:r w:rsidR="000C2A50" w:rsidRPr="00BC39A5">
        <w:rPr>
          <w:rFonts w:ascii="Times New Roman" w:eastAsia="Times New Roman" w:hAnsi="Times New Roman" w:cs="Times New Roman"/>
          <w:color w:val="000000"/>
          <w:lang w:val="en-US"/>
        </w:rPr>
        <w:t xml:space="preserve"> framework but we, as yet, do not have an integrated </w:t>
      </w:r>
      <w:r w:rsidR="00121D10">
        <w:rPr>
          <w:rFonts w:ascii="Times New Roman" w:eastAsia="Times New Roman" w:hAnsi="Times New Roman" w:cs="Times New Roman"/>
          <w:color w:val="000000"/>
          <w:lang w:val="en-US"/>
        </w:rPr>
        <w:t>reporting</w:t>
      </w:r>
      <w:r w:rsidR="000C2A50" w:rsidRPr="00BC39A5">
        <w:rPr>
          <w:rFonts w:ascii="Times New Roman" w:eastAsia="Times New Roman" w:hAnsi="Times New Roman" w:cs="Times New Roman"/>
          <w:color w:val="000000"/>
          <w:lang w:val="en-US"/>
        </w:rPr>
        <w:t xml:space="preserve"> profession.</w:t>
      </w:r>
      <w:r w:rsidRPr="00BC39A5">
        <w:rPr>
          <w:rFonts w:ascii="Times New Roman" w:eastAsia="Times New Roman" w:hAnsi="Times New Roman" w:cs="Times New Roman"/>
          <w:color w:val="000000"/>
          <w:lang w:val="en-US"/>
        </w:rPr>
        <w:t xml:space="preserve"> </w:t>
      </w:r>
      <w:r w:rsidR="000C2A50" w:rsidRPr="00BC39A5">
        <w:rPr>
          <w:rFonts w:ascii="Times New Roman" w:eastAsia="Times New Roman" w:hAnsi="Times New Roman" w:cs="Times New Roman"/>
          <w:color w:val="000000"/>
          <w:lang w:val="en-US"/>
        </w:rPr>
        <w:t>In having been promoted more as an idea and a concept, the IIRC c</w:t>
      </w:r>
      <w:r w:rsidR="00F44CBB">
        <w:rPr>
          <w:rFonts w:ascii="Times New Roman" w:eastAsia="Times New Roman" w:hAnsi="Times New Roman" w:cs="Times New Roman"/>
          <w:color w:val="000000"/>
          <w:lang w:val="en-US"/>
        </w:rPr>
        <w:t>laimed</w:t>
      </w:r>
      <w:r w:rsidR="000C2A50" w:rsidRPr="00BC39A5">
        <w:rPr>
          <w:rFonts w:ascii="Times New Roman" w:eastAsia="Times New Roman" w:hAnsi="Times New Roman" w:cs="Times New Roman"/>
          <w:color w:val="000000"/>
          <w:lang w:val="en-US"/>
        </w:rPr>
        <w:t xml:space="preserve"> an institutional space </w:t>
      </w:r>
      <w:r w:rsidR="00F44CBB">
        <w:rPr>
          <w:rFonts w:ascii="Times New Roman" w:eastAsia="Times New Roman" w:hAnsi="Times New Roman" w:cs="Times New Roman"/>
          <w:color w:val="000000"/>
          <w:lang w:val="en-US"/>
        </w:rPr>
        <w:t xml:space="preserve">which was </w:t>
      </w:r>
      <w:r w:rsidR="000C2A50" w:rsidRPr="00BC39A5">
        <w:rPr>
          <w:rFonts w:ascii="Times New Roman" w:eastAsia="Times New Roman" w:hAnsi="Times New Roman" w:cs="Times New Roman"/>
          <w:color w:val="000000"/>
          <w:lang w:val="en-US"/>
        </w:rPr>
        <w:t>open to be filled by the contributions and perspectives of competing, not integrated, se</w:t>
      </w:r>
      <w:r w:rsidRPr="00BC39A5">
        <w:rPr>
          <w:rFonts w:ascii="Times New Roman" w:eastAsia="Times New Roman" w:hAnsi="Times New Roman" w:cs="Times New Roman"/>
          <w:color w:val="000000"/>
          <w:lang w:val="en-US"/>
        </w:rPr>
        <w:t xml:space="preserve">ts of </w:t>
      </w:r>
      <w:r w:rsidR="004A4EDD">
        <w:rPr>
          <w:rFonts w:ascii="Times New Roman" w:eastAsia="Times New Roman" w:hAnsi="Times New Roman" w:cs="Times New Roman"/>
          <w:color w:val="000000"/>
          <w:lang w:val="en-US"/>
        </w:rPr>
        <w:t xml:space="preserve">corporate </w:t>
      </w:r>
      <w:r w:rsidRPr="00BC39A5">
        <w:rPr>
          <w:rFonts w:ascii="Times New Roman" w:eastAsia="Times New Roman" w:hAnsi="Times New Roman" w:cs="Times New Roman"/>
          <w:color w:val="000000"/>
          <w:lang w:val="en-US"/>
        </w:rPr>
        <w:t xml:space="preserve">reporting professionals. </w:t>
      </w:r>
      <w:r w:rsidR="000C2A50" w:rsidRPr="00BC39A5">
        <w:rPr>
          <w:rFonts w:ascii="Times New Roman" w:eastAsia="Times New Roman" w:hAnsi="Times New Roman" w:cs="Times New Roman"/>
          <w:color w:val="000000"/>
          <w:lang w:val="en-US"/>
        </w:rPr>
        <w:t>Its success to date has been ro</w:t>
      </w:r>
      <w:r w:rsidR="00F857A4">
        <w:rPr>
          <w:rFonts w:ascii="Times New Roman" w:eastAsia="Times New Roman" w:hAnsi="Times New Roman" w:cs="Times New Roman"/>
          <w:color w:val="000000"/>
          <w:lang w:val="en-US"/>
        </w:rPr>
        <w:t>o</w:t>
      </w:r>
      <w:r w:rsidR="000C2A50" w:rsidRPr="00BC39A5">
        <w:rPr>
          <w:rFonts w:ascii="Times New Roman" w:eastAsia="Times New Roman" w:hAnsi="Times New Roman" w:cs="Times New Roman"/>
          <w:color w:val="000000"/>
          <w:lang w:val="en-US"/>
        </w:rPr>
        <w:t xml:space="preserve">ted in </w:t>
      </w:r>
      <w:r w:rsidR="00F250D5">
        <w:rPr>
          <w:rFonts w:ascii="Times New Roman" w:eastAsia="Times New Roman" w:hAnsi="Times New Roman" w:cs="Times New Roman"/>
          <w:color w:val="000000"/>
          <w:lang w:val="en-US"/>
        </w:rPr>
        <w:t xml:space="preserve">appearing to </w:t>
      </w:r>
      <w:r w:rsidR="000C2A50" w:rsidRPr="00BC39A5">
        <w:rPr>
          <w:rFonts w:ascii="Times New Roman" w:eastAsia="Times New Roman" w:hAnsi="Times New Roman" w:cs="Times New Roman"/>
          <w:color w:val="000000"/>
          <w:lang w:val="en-US"/>
        </w:rPr>
        <w:t xml:space="preserve">offer something to </w:t>
      </w:r>
      <w:r w:rsidRPr="00BC39A5">
        <w:rPr>
          <w:rFonts w:ascii="Times New Roman" w:eastAsia="Times New Roman" w:hAnsi="Times New Roman" w:cs="Times New Roman"/>
          <w:color w:val="000000"/>
          <w:lang w:val="en-US"/>
        </w:rPr>
        <w:t>‘</w:t>
      </w:r>
      <w:r w:rsidR="000C2A50" w:rsidRPr="00BC39A5">
        <w:rPr>
          <w:rFonts w:ascii="Times New Roman" w:eastAsia="Times New Roman" w:hAnsi="Times New Roman" w:cs="Times New Roman"/>
          <w:color w:val="000000"/>
          <w:lang w:val="en-US"/>
        </w:rPr>
        <w:t>everyone</w:t>
      </w:r>
      <w:r w:rsidRPr="00BC39A5">
        <w:rPr>
          <w:rFonts w:ascii="Times New Roman" w:eastAsia="Times New Roman" w:hAnsi="Times New Roman" w:cs="Times New Roman"/>
          <w:color w:val="000000"/>
          <w:lang w:val="en-US"/>
        </w:rPr>
        <w:t>’</w:t>
      </w:r>
      <w:r w:rsidR="00F250D5">
        <w:rPr>
          <w:rFonts w:ascii="Times New Roman" w:eastAsia="Times New Roman" w:hAnsi="Times New Roman" w:cs="Times New Roman"/>
          <w:color w:val="000000"/>
          <w:lang w:val="en-US"/>
        </w:rPr>
        <w:t xml:space="preserve"> or, subsequently, </w:t>
      </w:r>
      <w:r w:rsidR="0059199B">
        <w:rPr>
          <w:rFonts w:ascii="Times New Roman" w:eastAsia="Times New Roman" w:hAnsi="Times New Roman" w:cs="Times New Roman"/>
          <w:color w:val="000000"/>
          <w:lang w:val="en-US"/>
        </w:rPr>
        <w:t xml:space="preserve">appealing </w:t>
      </w:r>
      <w:r w:rsidR="00F250D5">
        <w:rPr>
          <w:rFonts w:ascii="Times New Roman" w:eastAsia="Times New Roman" w:hAnsi="Times New Roman" w:cs="Times New Roman"/>
          <w:color w:val="000000"/>
          <w:lang w:val="en-US"/>
        </w:rPr>
        <w:t xml:space="preserve">to a new, enlightened </w:t>
      </w:r>
      <w:r w:rsidR="007279E1">
        <w:rPr>
          <w:rFonts w:ascii="Times New Roman" w:eastAsia="Times New Roman" w:hAnsi="Times New Roman" w:cs="Times New Roman"/>
          <w:color w:val="000000"/>
          <w:lang w:val="en-US"/>
        </w:rPr>
        <w:t xml:space="preserve">long-term </w:t>
      </w:r>
      <w:r w:rsidR="00F250D5">
        <w:rPr>
          <w:rFonts w:ascii="Times New Roman" w:eastAsia="Times New Roman" w:hAnsi="Times New Roman" w:cs="Times New Roman"/>
          <w:color w:val="000000"/>
          <w:lang w:val="en-US"/>
        </w:rPr>
        <w:t xml:space="preserve">investor that </w:t>
      </w:r>
      <w:r w:rsidR="007279E1">
        <w:rPr>
          <w:rFonts w:ascii="Times New Roman" w:eastAsia="Times New Roman" w:hAnsi="Times New Roman" w:cs="Times New Roman"/>
          <w:color w:val="000000"/>
          <w:lang w:val="en-US"/>
        </w:rPr>
        <w:t>the IIRC hopes</w:t>
      </w:r>
      <w:r w:rsidR="0059199B">
        <w:rPr>
          <w:rFonts w:ascii="Times New Roman" w:eastAsia="Times New Roman" w:hAnsi="Times New Roman" w:cs="Times New Roman"/>
          <w:color w:val="000000"/>
          <w:lang w:val="en-US"/>
        </w:rPr>
        <w:t xml:space="preserve"> </w:t>
      </w:r>
      <w:r w:rsidR="00F250D5">
        <w:rPr>
          <w:rFonts w:ascii="Times New Roman" w:eastAsia="Times New Roman" w:hAnsi="Times New Roman" w:cs="Times New Roman"/>
          <w:color w:val="000000"/>
          <w:lang w:val="en-US"/>
        </w:rPr>
        <w:t xml:space="preserve">many </w:t>
      </w:r>
      <w:r w:rsidR="002C1E5F">
        <w:rPr>
          <w:rFonts w:ascii="Times New Roman" w:eastAsia="Times New Roman" w:hAnsi="Times New Roman" w:cs="Times New Roman"/>
          <w:color w:val="000000"/>
          <w:lang w:val="en-US"/>
        </w:rPr>
        <w:t>will</w:t>
      </w:r>
      <w:r w:rsidR="0059199B">
        <w:rPr>
          <w:rFonts w:ascii="Times New Roman" w:eastAsia="Times New Roman" w:hAnsi="Times New Roman" w:cs="Times New Roman"/>
          <w:color w:val="000000"/>
          <w:lang w:val="en-US"/>
        </w:rPr>
        <w:t xml:space="preserve"> regard as </w:t>
      </w:r>
      <w:r w:rsidR="00F250D5">
        <w:rPr>
          <w:rFonts w:ascii="Times New Roman" w:eastAsia="Times New Roman" w:hAnsi="Times New Roman" w:cs="Times New Roman"/>
          <w:color w:val="000000"/>
          <w:lang w:val="en-US"/>
        </w:rPr>
        <w:t>preferable to today’s dominant short-termism</w:t>
      </w:r>
      <w:r w:rsidRPr="00BC39A5">
        <w:rPr>
          <w:rFonts w:ascii="Times New Roman" w:eastAsia="Times New Roman" w:hAnsi="Times New Roman" w:cs="Times New Roman"/>
          <w:color w:val="000000"/>
          <w:lang w:val="en-US"/>
        </w:rPr>
        <w:t xml:space="preserve">. </w:t>
      </w:r>
      <w:r w:rsidR="000C2A50" w:rsidRPr="00BC39A5">
        <w:rPr>
          <w:rFonts w:ascii="Times New Roman" w:eastAsia="Times New Roman" w:hAnsi="Times New Roman" w:cs="Times New Roman"/>
          <w:color w:val="000000"/>
          <w:lang w:val="en-US"/>
        </w:rPr>
        <w:t xml:space="preserve">Who wins out or loses in any resulting battle for professional influence and ascendency </w:t>
      </w:r>
      <w:r w:rsidR="0059199B">
        <w:rPr>
          <w:rFonts w:ascii="Times New Roman" w:eastAsia="Times New Roman" w:hAnsi="Times New Roman" w:cs="Times New Roman"/>
          <w:color w:val="000000"/>
          <w:lang w:val="en-US"/>
        </w:rPr>
        <w:t xml:space="preserve">in this developing field </w:t>
      </w:r>
      <w:r w:rsidR="000C2A50" w:rsidRPr="00BC39A5">
        <w:rPr>
          <w:rFonts w:ascii="Times New Roman" w:eastAsia="Times New Roman" w:hAnsi="Times New Roman" w:cs="Times New Roman"/>
          <w:color w:val="000000"/>
          <w:lang w:val="en-US"/>
        </w:rPr>
        <w:t>will, ultimately</w:t>
      </w:r>
      <w:r w:rsidR="00863707">
        <w:rPr>
          <w:rFonts w:ascii="Times New Roman" w:eastAsia="Times New Roman" w:hAnsi="Times New Roman" w:cs="Times New Roman"/>
          <w:color w:val="000000"/>
          <w:lang w:val="en-US"/>
        </w:rPr>
        <w:t>,</w:t>
      </w:r>
      <w:r w:rsidR="000C2A50" w:rsidRPr="00BC39A5">
        <w:rPr>
          <w:rFonts w:ascii="Times New Roman" w:eastAsia="Times New Roman" w:hAnsi="Times New Roman" w:cs="Times New Roman"/>
          <w:color w:val="000000"/>
          <w:lang w:val="en-US"/>
        </w:rPr>
        <w:t xml:space="preserve"> </w:t>
      </w:r>
      <w:r w:rsidR="0059199B">
        <w:rPr>
          <w:rFonts w:ascii="Times New Roman" w:eastAsia="Times New Roman" w:hAnsi="Times New Roman" w:cs="Times New Roman"/>
          <w:color w:val="000000"/>
          <w:lang w:val="en-US"/>
        </w:rPr>
        <w:t xml:space="preserve">largely </w:t>
      </w:r>
      <w:r w:rsidR="000C2A50" w:rsidRPr="00BC39A5">
        <w:rPr>
          <w:rFonts w:ascii="Times New Roman" w:eastAsia="Times New Roman" w:hAnsi="Times New Roman" w:cs="Times New Roman"/>
          <w:color w:val="000000"/>
          <w:lang w:val="en-US"/>
        </w:rPr>
        <w:t xml:space="preserve">be responsible for writing and constructing the rise or fall of </w:t>
      </w:r>
      <w:r w:rsidR="00121D10">
        <w:rPr>
          <w:rFonts w:ascii="Times New Roman" w:eastAsia="Times New Roman" w:hAnsi="Times New Roman" w:cs="Times New Roman"/>
          <w:color w:val="000000"/>
          <w:lang w:val="en-US"/>
        </w:rPr>
        <w:t>integrated reporting</w:t>
      </w:r>
      <w:r w:rsidR="000C2A50" w:rsidRPr="00BC39A5">
        <w:rPr>
          <w:rFonts w:ascii="Times New Roman" w:eastAsia="Times New Roman" w:hAnsi="Times New Roman" w:cs="Times New Roman"/>
          <w:color w:val="000000"/>
          <w:lang w:val="en-US"/>
        </w:rPr>
        <w:t xml:space="preserve">.  Whether the IIRC can inspire, harness and control </w:t>
      </w:r>
      <w:r w:rsidR="0059199B">
        <w:rPr>
          <w:rFonts w:ascii="Times New Roman" w:eastAsia="Times New Roman" w:hAnsi="Times New Roman" w:cs="Times New Roman"/>
          <w:color w:val="000000"/>
          <w:lang w:val="en-US"/>
        </w:rPr>
        <w:t xml:space="preserve">different </w:t>
      </w:r>
      <w:r w:rsidR="000C2A50" w:rsidRPr="00BC39A5">
        <w:rPr>
          <w:rFonts w:ascii="Times New Roman" w:eastAsia="Times New Roman" w:hAnsi="Times New Roman" w:cs="Times New Roman"/>
          <w:color w:val="000000"/>
          <w:lang w:val="en-US"/>
        </w:rPr>
        <w:t xml:space="preserve">interest groups is a </w:t>
      </w:r>
      <w:r w:rsidR="0059199B">
        <w:rPr>
          <w:rFonts w:ascii="Times New Roman" w:eastAsia="Times New Roman" w:hAnsi="Times New Roman" w:cs="Times New Roman"/>
          <w:color w:val="000000"/>
          <w:lang w:val="en-US"/>
        </w:rPr>
        <w:t xml:space="preserve">challenging policy task and a </w:t>
      </w:r>
      <w:r w:rsidR="000C2A50" w:rsidRPr="00BC39A5">
        <w:rPr>
          <w:rFonts w:ascii="Times New Roman" w:eastAsia="Times New Roman" w:hAnsi="Times New Roman" w:cs="Times New Roman"/>
          <w:color w:val="000000"/>
          <w:lang w:val="en-US"/>
        </w:rPr>
        <w:t>research question</w:t>
      </w:r>
      <w:r w:rsidR="0059199B">
        <w:rPr>
          <w:rFonts w:ascii="Times New Roman" w:eastAsia="Times New Roman" w:hAnsi="Times New Roman" w:cs="Times New Roman"/>
          <w:color w:val="000000"/>
          <w:lang w:val="en-US"/>
        </w:rPr>
        <w:t xml:space="preserve"> worthy of a sustained and integrated level of study on the part of academic accounting researchers. </w:t>
      </w:r>
      <w:r w:rsidR="00256459">
        <w:rPr>
          <w:rFonts w:ascii="Times New Roman" w:eastAsia="Times New Roman" w:hAnsi="Times New Roman" w:cs="Times New Roman"/>
          <w:color w:val="000000"/>
          <w:lang w:val="en-US"/>
        </w:rPr>
        <w:t>Future research could also explore how the IIRC project, given its explicit focus on medium to long term performance, relates to broader political and societal trends emb</w:t>
      </w:r>
      <w:r w:rsidR="005F4053">
        <w:rPr>
          <w:rFonts w:ascii="Times New Roman" w:eastAsia="Times New Roman" w:hAnsi="Times New Roman" w:cs="Times New Roman"/>
          <w:color w:val="000000"/>
          <w:lang w:val="en-US"/>
        </w:rPr>
        <w:t>racing</w:t>
      </w:r>
      <w:r w:rsidR="00256459">
        <w:rPr>
          <w:rFonts w:ascii="Times New Roman" w:eastAsia="Times New Roman" w:hAnsi="Times New Roman" w:cs="Times New Roman"/>
          <w:color w:val="000000"/>
          <w:lang w:val="en-US"/>
        </w:rPr>
        <w:t xml:space="preserve"> neoliberalism</w:t>
      </w:r>
      <w:r w:rsidR="005F4053">
        <w:rPr>
          <w:rFonts w:ascii="Times New Roman" w:eastAsia="Times New Roman" w:hAnsi="Times New Roman" w:cs="Times New Roman"/>
          <w:color w:val="000000"/>
          <w:lang w:val="en-US"/>
        </w:rPr>
        <w:t xml:space="preserve"> and </w:t>
      </w:r>
      <w:proofErr w:type="spellStart"/>
      <w:r w:rsidR="005F4053">
        <w:rPr>
          <w:rFonts w:ascii="Times New Roman" w:eastAsia="Times New Roman" w:hAnsi="Times New Roman" w:cs="Times New Roman"/>
          <w:color w:val="000000"/>
          <w:lang w:val="en-US"/>
        </w:rPr>
        <w:t>fina</w:t>
      </w:r>
      <w:r w:rsidR="00256459">
        <w:rPr>
          <w:rFonts w:ascii="Times New Roman" w:eastAsia="Times New Roman" w:hAnsi="Times New Roman" w:cs="Times New Roman"/>
          <w:color w:val="000000"/>
          <w:lang w:val="en-US"/>
        </w:rPr>
        <w:t>nciali</w:t>
      </w:r>
      <w:r w:rsidR="005F4053">
        <w:rPr>
          <w:rFonts w:ascii="Times New Roman" w:eastAsia="Times New Roman" w:hAnsi="Times New Roman" w:cs="Times New Roman"/>
          <w:color w:val="000000"/>
          <w:lang w:val="en-US"/>
        </w:rPr>
        <w:t>zation</w:t>
      </w:r>
      <w:proofErr w:type="spellEnd"/>
      <w:r w:rsidR="00F44CBB">
        <w:rPr>
          <w:rFonts w:ascii="Times New Roman" w:eastAsia="Times New Roman" w:hAnsi="Times New Roman" w:cs="Times New Roman"/>
          <w:color w:val="000000"/>
          <w:lang w:val="en-US"/>
        </w:rPr>
        <w:t>.</w:t>
      </w:r>
      <w:r w:rsidR="005F4053">
        <w:rPr>
          <w:rFonts w:ascii="Times New Roman" w:eastAsia="Times New Roman" w:hAnsi="Times New Roman" w:cs="Times New Roman"/>
          <w:color w:val="000000"/>
          <w:lang w:val="en-US"/>
        </w:rPr>
        <w:t xml:space="preserve"> </w:t>
      </w:r>
      <w:r w:rsidR="008E7D42">
        <w:rPr>
          <w:rFonts w:ascii="Times New Roman" w:eastAsia="Times New Roman" w:hAnsi="Times New Roman" w:cs="Times New Roman"/>
          <w:color w:val="000000"/>
          <w:lang w:val="en-US"/>
        </w:rPr>
        <w:t xml:space="preserve">For example, the IIRC’s narrowing of the primary user group of integrated reporting </w:t>
      </w:r>
      <w:r w:rsidR="008C4066">
        <w:rPr>
          <w:rFonts w:ascii="Times New Roman" w:eastAsia="Times New Roman" w:hAnsi="Times New Roman" w:cs="Times New Roman"/>
          <w:color w:val="000000"/>
          <w:lang w:val="en-US"/>
        </w:rPr>
        <w:t xml:space="preserve">to providers of financial capital </w:t>
      </w:r>
      <w:r w:rsidR="008E7D42">
        <w:rPr>
          <w:rFonts w:ascii="Times New Roman" w:eastAsia="Times New Roman" w:hAnsi="Times New Roman" w:cs="Times New Roman"/>
          <w:color w:val="000000"/>
          <w:lang w:val="en-US"/>
        </w:rPr>
        <w:t>is similar to the narrowing that occurred in the development of the Conc</w:t>
      </w:r>
      <w:r w:rsidR="009F79DD">
        <w:rPr>
          <w:rFonts w:ascii="Times New Roman" w:eastAsia="Times New Roman" w:hAnsi="Times New Roman" w:cs="Times New Roman"/>
          <w:color w:val="000000"/>
          <w:lang w:val="en-US"/>
        </w:rPr>
        <w:t>eptual Framework for financial r</w:t>
      </w:r>
      <w:r w:rsidR="008E7D42">
        <w:rPr>
          <w:rFonts w:ascii="Times New Roman" w:eastAsia="Times New Roman" w:hAnsi="Times New Roman" w:cs="Times New Roman"/>
          <w:color w:val="000000"/>
          <w:lang w:val="en-US"/>
        </w:rPr>
        <w:t xml:space="preserve">eporting, a </w:t>
      </w:r>
      <w:r w:rsidR="008C4066">
        <w:rPr>
          <w:rFonts w:ascii="Times New Roman" w:eastAsia="Times New Roman" w:hAnsi="Times New Roman" w:cs="Times New Roman"/>
          <w:color w:val="000000"/>
          <w:lang w:val="en-US"/>
        </w:rPr>
        <w:t xml:space="preserve">contraction </w:t>
      </w:r>
      <w:r w:rsidR="008E7D42">
        <w:rPr>
          <w:rFonts w:ascii="Times New Roman" w:eastAsia="Times New Roman" w:hAnsi="Times New Roman" w:cs="Times New Roman"/>
          <w:color w:val="000000"/>
          <w:lang w:val="en-US"/>
        </w:rPr>
        <w:t>some have claimed is “symbolic of th</w:t>
      </w:r>
      <w:r w:rsidR="008C4066">
        <w:rPr>
          <w:rFonts w:ascii="Times New Roman" w:eastAsia="Times New Roman" w:hAnsi="Times New Roman" w:cs="Times New Roman"/>
          <w:color w:val="000000"/>
          <w:lang w:val="en-US"/>
        </w:rPr>
        <w:t>e</w:t>
      </w:r>
      <w:r w:rsidR="00EB4BE8">
        <w:rPr>
          <w:rFonts w:ascii="Times New Roman" w:eastAsia="Times New Roman" w:hAnsi="Times New Roman" w:cs="Times New Roman"/>
          <w:color w:val="000000"/>
          <w:lang w:val="en-US"/>
        </w:rPr>
        <w:t xml:space="preserve"> success of </w:t>
      </w:r>
      <w:proofErr w:type="spellStart"/>
      <w:r w:rsidR="00EB4BE8">
        <w:rPr>
          <w:rFonts w:ascii="Times New Roman" w:eastAsia="Times New Roman" w:hAnsi="Times New Roman" w:cs="Times New Roman"/>
          <w:color w:val="000000"/>
          <w:lang w:val="en-US"/>
        </w:rPr>
        <w:t>financializ</w:t>
      </w:r>
      <w:r w:rsidR="008E7D42">
        <w:rPr>
          <w:rFonts w:ascii="Times New Roman" w:eastAsia="Times New Roman" w:hAnsi="Times New Roman" w:cs="Times New Roman"/>
          <w:color w:val="000000"/>
          <w:lang w:val="en-US"/>
        </w:rPr>
        <w:t>ation</w:t>
      </w:r>
      <w:proofErr w:type="spellEnd"/>
      <w:r w:rsidR="008E7D42">
        <w:rPr>
          <w:rFonts w:ascii="Times New Roman" w:eastAsia="Times New Roman" w:hAnsi="Times New Roman" w:cs="Times New Roman"/>
          <w:color w:val="000000"/>
          <w:lang w:val="en-US"/>
        </w:rPr>
        <w:t>, wherein financial markets become a proxy for the public interest</w:t>
      </w:r>
      <w:r w:rsidR="00076535">
        <w:rPr>
          <w:rFonts w:ascii="Times New Roman" w:eastAsia="Times New Roman" w:hAnsi="Times New Roman" w:cs="Times New Roman"/>
          <w:color w:val="000000"/>
          <w:lang w:val="en-US"/>
        </w:rPr>
        <w:t>” (Zhang and Andrew, 2014</w:t>
      </w:r>
      <w:r w:rsidR="00FC33CB">
        <w:rPr>
          <w:rFonts w:ascii="Times New Roman" w:eastAsia="Times New Roman" w:hAnsi="Times New Roman" w:cs="Times New Roman"/>
          <w:color w:val="000000"/>
          <w:lang w:val="en-US"/>
        </w:rPr>
        <w:t xml:space="preserve">: </w:t>
      </w:r>
      <w:r w:rsidR="008C4066">
        <w:rPr>
          <w:rFonts w:ascii="Times New Roman" w:eastAsia="Times New Roman" w:hAnsi="Times New Roman" w:cs="Times New Roman"/>
          <w:color w:val="000000"/>
          <w:lang w:val="en-US"/>
        </w:rPr>
        <w:t>21</w:t>
      </w:r>
      <w:r w:rsidR="008E7D42">
        <w:rPr>
          <w:rFonts w:ascii="Times New Roman" w:eastAsia="Times New Roman" w:hAnsi="Times New Roman" w:cs="Times New Roman"/>
          <w:color w:val="000000"/>
          <w:lang w:val="en-US"/>
        </w:rPr>
        <w:t xml:space="preserve">). </w:t>
      </w:r>
      <w:r w:rsidR="005F4053">
        <w:rPr>
          <w:rFonts w:ascii="Times New Roman" w:eastAsia="Times New Roman" w:hAnsi="Times New Roman" w:cs="Times New Roman"/>
          <w:color w:val="000000"/>
          <w:lang w:val="en-US"/>
        </w:rPr>
        <w:t>This would help us to obtain more fine</w:t>
      </w:r>
      <w:r w:rsidR="00E42FBD">
        <w:rPr>
          <w:rFonts w:ascii="Times New Roman" w:eastAsia="Times New Roman" w:hAnsi="Times New Roman" w:cs="Times New Roman"/>
          <w:color w:val="000000"/>
          <w:lang w:val="en-US"/>
        </w:rPr>
        <w:t>-</w:t>
      </w:r>
      <w:r w:rsidR="005F4053">
        <w:rPr>
          <w:rFonts w:ascii="Times New Roman" w:eastAsia="Times New Roman" w:hAnsi="Times New Roman" w:cs="Times New Roman"/>
          <w:color w:val="000000"/>
          <w:lang w:val="en-US"/>
        </w:rPr>
        <w:t>g</w:t>
      </w:r>
      <w:r w:rsidR="00256459">
        <w:rPr>
          <w:rFonts w:ascii="Times New Roman" w:eastAsia="Times New Roman" w:hAnsi="Times New Roman" w:cs="Times New Roman"/>
          <w:color w:val="000000"/>
          <w:lang w:val="en-US"/>
        </w:rPr>
        <w:t>rained analyses of the nature of</w:t>
      </w:r>
      <w:r w:rsidR="003616EA">
        <w:rPr>
          <w:rFonts w:ascii="Times New Roman" w:eastAsia="Times New Roman" w:hAnsi="Times New Roman" w:cs="Times New Roman"/>
          <w:color w:val="000000"/>
          <w:lang w:val="en-US"/>
        </w:rPr>
        <w:t>,</w:t>
      </w:r>
      <w:r w:rsidR="00256459">
        <w:rPr>
          <w:rFonts w:ascii="Times New Roman" w:eastAsia="Times New Roman" w:hAnsi="Times New Roman" w:cs="Times New Roman"/>
          <w:color w:val="000000"/>
          <w:lang w:val="en-US"/>
        </w:rPr>
        <w:t xml:space="preserve"> and influ</w:t>
      </w:r>
      <w:r w:rsidR="00E42FBD">
        <w:rPr>
          <w:rFonts w:ascii="Times New Roman" w:eastAsia="Times New Roman" w:hAnsi="Times New Roman" w:cs="Times New Roman"/>
          <w:color w:val="000000"/>
          <w:lang w:val="en-US"/>
        </w:rPr>
        <w:t>e</w:t>
      </w:r>
      <w:r w:rsidR="00256459">
        <w:rPr>
          <w:rFonts w:ascii="Times New Roman" w:eastAsia="Times New Roman" w:hAnsi="Times New Roman" w:cs="Times New Roman"/>
          <w:color w:val="000000"/>
          <w:lang w:val="en-US"/>
        </w:rPr>
        <w:t>nces on</w:t>
      </w:r>
      <w:r w:rsidR="003616EA">
        <w:rPr>
          <w:rFonts w:ascii="Times New Roman" w:eastAsia="Times New Roman" w:hAnsi="Times New Roman" w:cs="Times New Roman"/>
          <w:color w:val="000000"/>
          <w:lang w:val="en-US"/>
        </w:rPr>
        <w:t>,</w:t>
      </w:r>
      <w:r w:rsidR="00256459">
        <w:rPr>
          <w:rFonts w:ascii="Times New Roman" w:eastAsia="Times New Roman" w:hAnsi="Times New Roman" w:cs="Times New Roman"/>
          <w:color w:val="000000"/>
          <w:lang w:val="en-US"/>
        </w:rPr>
        <w:t xml:space="preserve"> </w:t>
      </w:r>
      <w:r w:rsidR="005F4053">
        <w:rPr>
          <w:rFonts w:ascii="Times New Roman" w:eastAsia="Times New Roman" w:hAnsi="Times New Roman" w:cs="Times New Roman"/>
          <w:color w:val="000000"/>
          <w:lang w:val="en-US"/>
        </w:rPr>
        <w:t>t</w:t>
      </w:r>
      <w:r w:rsidR="00256459">
        <w:rPr>
          <w:rFonts w:ascii="Times New Roman" w:eastAsia="Times New Roman" w:hAnsi="Times New Roman" w:cs="Times New Roman"/>
          <w:color w:val="000000"/>
          <w:lang w:val="en-US"/>
        </w:rPr>
        <w:t xml:space="preserve">he shift </w:t>
      </w:r>
      <w:r w:rsidR="005F4053">
        <w:rPr>
          <w:rFonts w:ascii="Times New Roman" w:eastAsia="Times New Roman" w:hAnsi="Times New Roman" w:cs="Times New Roman"/>
          <w:color w:val="000000"/>
          <w:lang w:val="en-US"/>
        </w:rPr>
        <w:t xml:space="preserve">in </w:t>
      </w:r>
      <w:r w:rsidR="00256459">
        <w:rPr>
          <w:rFonts w:ascii="Times New Roman" w:eastAsia="Times New Roman" w:hAnsi="Times New Roman" w:cs="Times New Roman"/>
          <w:color w:val="000000"/>
          <w:lang w:val="en-US"/>
        </w:rPr>
        <w:t>the IIRC’s</w:t>
      </w:r>
      <w:r w:rsidR="005F4053">
        <w:rPr>
          <w:rFonts w:ascii="Times New Roman" w:eastAsia="Times New Roman" w:hAnsi="Times New Roman" w:cs="Times New Roman"/>
          <w:color w:val="000000"/>
          <w:lang w:val="en-US"/>
        </w:rPr>
        <w:t xml:space="preserve"> initial</w:t>
      </w:r>
      <w:r w:rsidR="00256459">
        <w:rPr>
          <w:rFonts w:ascii="Times New Roman" w:eastAsia="Times New Roman" w:hAnsi="Times New Roman" w:cs="Times New Roman"/>
          <w:color w:val="000000"/>
          <w:lang w:val="en-US"/>
        </w:rPr>
        <w:t xml:space="preserve"> focus from </w:t>
      </w:r>
      <w:r w:rsidR="005F4053">
        <w:rPr>
          <w:rFonts w:ascii="Times New Roman" w:eastAsia="Times New Roman" w:hAnsi="Times New Roman" w:cs="Times New Roman"/>
          <w:color w:val="000000"/>
          <w:lang w:val="en-US"/>
        </w:rPr>
        <w:t>a broad</w:t>
      </w:r>
      <w:r w:rsidR="00256459">
        <w:rPr>
          <w:rFonts w:ascii="Times New Roman" w:eastAsia="Times New Roman" w:hAnsi="Times New Roman" w:cs="Times New Roman"/>
          <w:color w:val="000000"/>
          <w:lang w:val="en-US"/>
        </w:rPr>
        <w:t xml:space="preserve"> se</w:t>
      </w:r>
      <w:r w:rsidR="005F4053">
        <w:rPr>
          <w:rFonts w:ascii="Times New Roman" w:eastAsia="Times New Roman" w:hAnsi="Times New Roman" w:cs="Times New Roman"/>
          <w:color w:val="000000"/>
          <w:lang w:val="en-US"/>
        </w:rPr>
        <w:t>t</w:t>
      </w:r>
      <w:r w:rsidR="00256459">
        <w:rPr>
          <w:rFonts w:ascii="Times New Roman" w:eastAsia="Times New Roman" w:hAnsi="Times New Roman" w:cs="Times New Roman"/>
          <w:color w:val="000000"/>
          <w:lang w:val="en-US"/>
        </w:rPr>
        <w:t xml:space="preserve"> of capital</w:t>
      </w:r>
      <w:r w:rsidR="005F4053">
        <w:rPr>
          <w:rFonts w:ascii="Times New Roman" w:eastAsia="Times New Roman" w:hAnsi="Times New Roman" w:cs="Times New Roman"/>
          <w:color w:val="000000"/>
          <w:lang w:val="en-US"/>
        </w:rPr>
        <w:t xml:space="preserve"> providers to a focu</w:t>
      </w:r>
      <w:r w:rsidR="00E42FBD">
        <w:rPr>
          <w:rFonts w:ascii="Times New Roman" w:eastAsia="Times New Roman" w:hAnsi="Times New Roman" w:cs="Times New Roman"/>
          <w:color w:val="000000"/>
          <w:lang w:val="en-US"/>
        </w:rPr>
        <w:t>s on financial capital providers alone</w:t>
      </w:r>
      <w:r w:rsidR="00256459">
        <w:rPr>
          <w:rFonts w:ascii="Times New Roman" w:eastAsia="Times New Roman" w:hAnsi="Times New Roman" w:cs="Times New Roman"/>
          <w:color w:val="000000"/>
          <w:lang w:val="en-US"/>
        </w:rPr>
        <w:t xml:space="preserve">. </w:t>
      </w:r>
      <w:r w:rsidR="00AA5D1B">
        <w:rPr>
          <w:rFonts w:ascii="Times New Roman" w:eastAsia="Times New Roman" w:hAnsi="Times New Roman" w:cs="Times New Roman"/>
          <w:color w:val="000000"/>
          <w:lang w:val="en-US"/>
        </w:rPr>
        <w:t>Given the level of experimentation with integrated reporting that is now prevalent within individual firms, future field-based work can be expected to focus on the results of such experimentation.  But it remains of critical importance that research also focuses on the decision processes that have led companies (and associated key stakeholders and professionals) to embrace, exclude or ignore different forms of (integrated) reporting and their related understandings of the respective nature and significance of such reporting.</w:t>
      </w:r>
      <w:r w:rsidR="00B07F6E">
        <w:rPr>
          <w:rFonts w:ascii="Times New Roman" w:eastAsia="Times New Roman" w:hAnsi="Times New Roman" w:cs="Times New Roman"/>
          <w:color w:val="000000"/>
          <w:lang w:val="en-US"/>
        </w:rPr>
        <w:t xml:space="preserve"> </w:t>
      </w:r>
      <w:r w:rsidR="00EC132D">
        <w:rPr>
          <w:rFonts w:ascii="Times New Roman" w:eastAsia="Times New Roman" w:hAnsi="Times New Roman" w:cs="Times New Roman"/>
          <w:color w:val="000000"/>
          <w:lang w:val="en-US"/>
        </w:rPr>
        <w:t xml:space="preserve">Such criticality exists because ultimately accounting research is more than a field-specific empirical endeavor but a discipline of rich potential in terms of developing broader institutional and socially informed theories of corporate and professional </w:t>
      </w:r>
      <w:proofErr w:type="spellStart"/>
      <w:r w:rsidR="00EC132D">
        <w:rPr>
          <w:rFonts w:ascii="Times New Roman" w:eastAsia="Times New Roman" w:hAnsi="Times New Roman" w:cs="Times New Roman"/>
          <w:color w:val="000000"/>
          <w:lang w:val="en-US"/>
        </w:rPr>
        <w:t>behaviour</w:t>
      </w:r>
      <w:proofErr w:type="spellEnd"/>
      <w:r w:rsidR="00EC132D">
        <w:rPr>
          <w:rFonts w:ascii="Times New Roman" w:eastAsia="Times New Roman" w:hAnsi="Times New Roman" w:cs="Times New Roman"/>
          <w:color w:val="000000"/>
          <w:lang w:val="en-US"/>
        </w:rPr>
        <w:t xml:space="preserve">.  </w:t>
      </w:r>
    </w:p>
    <w:p w14:paraId="09AEC5EB" w14:textId="77777777" w:rsidR="002C42E2" w:rsidRDefault="002C42E2" w:rsidP="007279E1">
      <w:pPr>
        <w:rPr>
          <w:rFonts w:ascii="Times New Roman" w:hAnsi="Times New Roman" w:cs="Times New Roman"/>
          <w:b/>
          <w:lang w:val="en-US"/>
        </w:rPr>
      </w:pPr>
    </w:p>
    <w:p w14:paraId="10EB6B5E" w14:textId="77777777" w:rsidR="002C42E2" w:rsidRDefault="002C42E2" w:rsidP="007279E1">
      <w:pPr>
        <w:rPr>
          <w:rFonts w:ascii="Times New Roman" w:hAnsi="Times New Roman" w:cs="Times New Roman"/>
          <w:b/>
          <w:lang w:val="en-US"/>
        </w:rPr>
      </w:pPr>
    </w:p>
    <w:p w14:paraId="3282A1F5" w14:textId="77777777" w:rsidR="002C42E2" w:rsidRDefault="002C42E2" w:rsidP="007279E1">
      <w:pPr>
        <w:rPr>
          <w:rFonts w:ascii="Times New Roman" w:hAnsi="Times New Roman" w:cs="Times New Roman"/>
          <w:b/>
          <w:lang w:val="en-US"/>
        </w:rPr>
      </w:pPr>
    </w:p>
    <w:p w14:paraId="695967F2" w14:textId="02F94936" w:rsidR="0079324C" w:rsidRPr="000D3967" w:rsidRDefault="0079324C" w:rsidP="007279E1">
      <w:pPr>
        <w:rPr>
          <w:rFonts w:ascii="Times New Roman" w:hAnsi="Times New Roman" w:cs="Times New Roman"/>
          <w:b/>
          <w:lang w:val="en-US"/>
        </w:rPr>
      </w:pPr>
      <w:r w:rsidRPr="000D3967">
        <w:rPr>
          <w:rFonts w:ascii="Times New Roman" w:hAnsi="Times New Roman" w:cs="Times New Roman"/>
          <w:b/>
          <w:lang w:val="en-US"/>
        </w:rPr>
        <w:t>References</w:t>
      </w:r>
    </w:p>
    <w:p w14:paraId="538E57D6" w14:textId="0D4017EE" w:rsidR="007847C2" w:rsidRDefault="0079324C" w:rsidP="00111E78">
      <w:pPr>
        <w:autoSpaceDE w:val="0"/>
        <w:autoSpaceDN w:val="0"/>
        <w:adjustRightInd w:val="0"/>
        <w:spacing w:after="0" w:line="240" w:lineRule="auto"/>
        <w:jc w:val="both"/>
        <w:rPr>
          <w:rFonts w:ascii="Times New Roman" w:hAnsi="Times New Roman" w:cs="Times New Roman"/>
          <w:lang w:val="en-US"/>
        </w:rPr>
      </w:pPr>
      <w:r w:rsidRPr="00CD0156">
        <w:rPr>
          <w:rFonts w:ascii="Times New Roman" w:hAnsi="Times New Roman" w:cs="Times New Roman"/>
          <w:lang w:val="en-US"/>
        </w:rPr>
        <w:t xml:space="preserve">Abbott, A. (1988). </w:t>
      </w:r>
      <w:r w:rsidRPr="00822759">
        <w:rPr>
          <w:rFonts w:ascii="Times New Roman" w:hAnsi="Times New Roman" w:cs="Times New Roman"/>
          <w:i/>
          <w:iCs/>
          <w:lang w:val="en-US"/>
        </w:rPr>
        <w:t xml:space="preserve">The system of professions: An essay on the division of expert </w:t>
      </w:r>
      <w:proofErr w:type="spellStart"/>
      <w:r w:rsidRPr="00822759">
        <w:rPr>
          <w:rFonts w:ascii="Times New Roman" w:hAnsi="Times New Roman" w:cs="Times New Roman"/>
          <w:i/>
          <w:iCs/>
          <w:lang w:val="en-US"/>
        </w:rPr>
        <w:t>labour</w:t>
      </w:r>
      <w:proofErr w:type="spellEnd"/>
      <w:r w:rsidRPr="00822759">
        <w:rPr>
          <w:rFonts w:ascii="Times New Roman" w:hAnsi="Times New Roman" w:cs="Times New Roman"/>
          <w:lang w:val="en-US"/>
        </w:rPr>
        <w:t>. Chicago: Chicago University Press.</w:t>
      </w:r>
    </w:p>
    <w:p w14:paraId="6C7D943D" w14:textId="77777777" w:rsidR="00EB4BE8" w:rsidRDefault="00EB4BE8" w:rsidP="00111E78">
      <w:pPr>
        <w:autoSpaceDE w:val="0"/>
        <w:autoSpaceDN w:val="0"/>
        <w:adjustRightInd w:val="0"/>
        <w:spacing w:after="0" w:line="240" w:lineRule="auto"/>
        <w:jc w:val="both"/>
        <w:rPr>
          <w:rFonts w:ascii="Times New Roman" w:hAnsi="Times New Roman" w:cs="Times New Roman"/>
          <w:lang w:val="en-US"/>
        </w:rPr>
      </w:pPr>
    </w:p>
    <w:p w14:paraId="08FE79B8" w14:textId="28D59614" w:rsidR="009113EC" w:rsidRPr="00686181" w:rsidRDefault="006557A5" w:rsidP="00686181">
      <w:pPr>
        <w:autoSpaceDE w:val="0"/>
        <w:autoSpaceDN w:val="0"/>
        <w:adjustRightInd w:val="0"/>
        <w:spacing w:after="0" w:line="240" w:lineRule="auto"/>
        <w:jc w:val="both"/>
        <w:rPr>
          <w:rFonts w:ascii="Times New Roman" w:hAnsi="Times New Roman" w:cs="Times New Roman"/>
          <w:lang w:val="en"/>
        </w:rPr>
      </w:pPr>
      <w:r w:rsidRPr="00CD0156">
        <w:rPr>
          <w:rFonts w:ascii="Times New Roman" w:hAnsi="Times New Roman" w:cs="Times New Roman"/>
          <w:lang w:val="en-GB"/>
        </w:rPr>
        <w:t>Andon, P., Free, C.</w:t>
      </w:r>
      <w:r w:rsidR="009113EC" w:rsidRPr="00686181">
        <w:rPr>
          <w:rFonts w:ascii="Times New Roman" w:hAnsi="Times New Roman" w:cs="Times New Roman"/>
          <w:lang w:val="en-GB"/>
        </w:rPr>
        <w:t xml:space="preserve"> and O’Dwyer, B. (2015). ‘Annexing new audit spaces: challenges and adaptations.’ </w:t>
      </w:r>
      <w:r w:rsidR="009113EC" w:rsidRPr="00686181">
        <w:rPr>
          <w:rFonts w:ascii="Times New Roman" w:hAnsi="Times New Roman" w:cs="Times New Roman"/>
          <w:i/>
          <w:lang w:val="en-IE"/>
        </w:rPr>
        <w:t xml:space="preserve">Accounting, Auditing and Accountability Journal. </w:t>
      </w:r>
      <w:r w:rsidR="009113EC" w:rsidRPr="00686181">
        <w:rPr>
          <w:rFonts w:ascii="Times New Roman" w:hAnsi="Times New Roman" w:cs="Times New Roman"/>
          <w:lang w:val="en-IE"/>
        </w:rPr>
        <w:t>Forthcoming.</w:t>
      </w:r>
    </w:p>
    <w:p w14:paraId="5D65C268" w14:textId="77777777" w:rsidR="0079324C" w:rsidRDefault="0079324C" w:rsidP="00111E78">
      <w:pPr>
        <w:autoSpaceDE w:val="0"/>
        <w:autoSpaceDN w:val="0"/>
        <w:adjustRightInd w:val="0"/>
        <w:spacing w:after="0" w:line="240" w:lineRule="auto"/>
        <w:jc w:val="both"/>
        <w:rPr>
          <w:rFonts w:ascii="Times New Roman" w:hAnsi="Times New Roman" w:cs="Times New Roman"/>
          <w:lang w:val="en-US"/>
        </w:rPr>
      </w:pPr>
    </w:p>
    <w:p w14:paraId="23DFEA72" w14:textId="4CB5ED9A" w:rsidR="0079324C" w:rsidRDefault="0079324C" w:rsidP="00111E78">
      <w:pPr>
        <w:autoSpaceDE w:val="0"/>
        <w:autoSpaceDN w:val="0"/>
        <w:adjustRightInd w:val="0"/>
        <w:spacing w:after="0" w:line="240" w:lineRule="auto"/>
        <w:jc w:val="both"/>
        <w:rPr>
          <w:rFonts w:ascii="Times New Roman" w:hAnsi="Times New Roman" w:cs="Times New Roman"/>
          <w:color w:val="231F20"/>
          <w:lang w:val="en-US"/>
        </w:rPr>
      </w:pPr>
      <w:r w:rsidRPr="00500E89">
        <w:rPr>
          <w:rFonts w:ascii="Times New Roman" w:hAnsi="Times New Roman" w:cs="Times New Roman"/>
          <w:color w:val="231F20"/>
          <w:lang w:val="en-US"/>
        </w:rPr>
        <w:t xml:space="preserve">ACCA (2012). </w:t>
      </w:r>
      <w:r w:rsidRPr="00500E89">
        <w:rPr>
          <w:rFonts w:ascii="Times New Roman" w:hAnsi="Times New Roman" w:cs="Times New Roman"/>
          <w:i/>
          <w:color w:val="231F20"/>
          <w:lang w:val="en-US"/>
        </w:rPr>
        <w:t>Reporting pre- and post-King III: what’s the difference?</w:t>
      </w:r>
      <w:r>
        <w:rPr>
          <w:rFonts w:ascii="Times New Roman" w:hAnsi="Times New Roman" w:cs="Times New Roman"/>
          <w:color w:val="231F20"/>
          <w:lang w:val="en-US"/>
        </w:rPr>
        <w:t>.</w:t>
      </w:r>
      <w:r w:rsidR="009509CA">
        <w:rPr>
          <w:rFonts w:ascii="Times New Roman" w:hAnsi="Times New Roman" w:cs="Times New Roman"/>
          <w:color w:val="231F20"/>
          <w:lang w:val="en-US"/>
        </w:rPr>
        <w:t xml:space="preserve"> London: ACCA.</w:t>
      </w:r>
      <w:r>
        <w:rPr>
          <w:rFonts w:ascii="Times New Roman" w:hAnsi="Times New Roman" w:cs="Times New Roman"/>
          <w:color w:val="231F20"/>
          <w:lang w:val="en-US"/>
        </w:rPr>
        <w:t xml:space="preserve"> Available at </w:t>
      </w:r>
      <w:hyperlink r:id="rId12" w:history="1">
        <w:r w:rsidR="00111E78" w:rsidRPr="00111E78">
          <w:rPr>
            <w:rStyle w:val="Hyperlink"/>
            <w:rFonts w:ascii="Times New Roman" w:hAnsi="Times New Roman" w:cs="Times New Roman"/>
            <w:color w:val="000000" w:themeColor="text1"/>
            <w:lang w:val="en-US"/>
          </w:rPr>
          <w:t>http://www.accaglobal.com/content/dam/acca/global/PDF-technical/integrated-reporting/tech-tp-wtd.pdf</w:t>
        </w:r>
      </w:hyperlink>
      <w:r w:rsidR="00111E78" w:rsidRPr="00111E78">
        <w:rPr>
          <w:rFonts w:ascii="Times New Roman" w:hAnsi="Times New Roman" w:cs="Times New Roman"/>
          <w:color w:val="000000" w:themeColor="text1"/>
          <w:lang w:val="en-US"/>
        </w:rPr>
        <w:t xml:space="preserve">. </w:t>
      </w:r>
      <w:r w:rsidRPr="00500E89">
        <w:rPr>
          <w:rFonts w:ascii="Times New Roman" w:hAnsi="Times New Roman" w:cs="Times New Roman"/>
          <w:color w:val="231F20"/>
          <w:lang w:val="en-US"/>
        </w:rPr>
        <w:t>Accessed January 31, 2014.</w:t>
      </w:r>
    </w:p>
    <w:p w14:paraId="396E8EC1" w14:textId="77777777" w:rsidR="00A004FC" w:rsidRDefault="00A004FC" w:rsidP="00111E78">
      <w:pPr>
        <w:autoSpaceDE w:val="0"/>
        <w:autoSpaceDN w:val="0"/>
        <w:adjustRightInd w:val="0"/>
        <w:spacing w:after="0" w:line="240" w:lineRule="auto"/>
        <w:jc w:val="both"/>
        <w:rPr>
          <w:rFonts w:ascii="Times New Roman" w:hAnsi="Times New Roman" w:cs="Times New Roman"/>
          <w:color w:val="231F20"/>
          <w:lang w:val="en-US"/>
        </w:rPr>
      </w:pPr>
    </w:p>
    <w:p w14:paraId="60EF82D9" w14:textId="27976A24" w:rsidR="00A004FC" w:rsidRDefault="00A004FC" w:rsidP="00111E78">
      <w:pPr>
        <w:autoSpaceDE w:val="0"/>
        <w:autoSpaceDN w:val="0"/>
        <w:adjustRightInd w:val="0"/>
        <w:spacing w:after="0" w:line="240" w:lineRule="auto"/>
        <w:jc w:val="both"/>
        <w:rPr>
          <w:rFonts w:ascii="Times New Roman" w:hAnsi="Times New Roman" w:cs="Times New Roman"/>
          <w:color w:val="231F20"/>
          <w:lang w:val="en-US"/>
        </w:rPr>
      </w:pPr>
      <w:r>
        <w:rPr>
          <w:rFonts w:ascii="Times New Roman" w:hAnsi="Times New Roman" w:cs="Times New Roman"/>
          <w:color w:val="231F20"/>
          <w:lang w:val="en-US"/>
        </w:rPr>
        <w:t xml:space="preserve">ACCA (2013). </w:t>
      </w:r>
      <w:r w:rsidRPr="00A004FC">
        <w:rPr>
          <w:rFonts w:ascii="Times New Roman" w:hAnsi="Times New Roman" w:cs="Times New Roman"/>
          <w:i/>
          <w:color w:val="231F20"/>
          <w:lang w:val="en-US"/>
        </w:rPr>
        <w:t>Understanding investors: direction for corporate reporting</w:t>
      </w:r>
      <w:r>
        <w:rPr>
          <w:rFonts w:ascii="Times New Roman" w:hAnsi="Times New Roman" w:cs="Times New Roman"/>
          <w:color w:val="231F20"/>
          <w:lang w:val="en-US"/>
        </w:rPr>
        <w:t>. London: ACCA.</w:t>
      </w:r>
    </w:p>
    <w:p w14:paraId="6167488B" w14:textId="47490208" w:rsidR="00A004FC" w:rsidRDefault="009509CA" w:rsidP="00111E78">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lang w:val="en-US"/>
        </w:rPr>
        <w:t>Available at</w:t>
      </w:r>
      <w:r w:rsidR="00A004FC" w:rsidRPr="009509CA">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hyperlink r:id="rId13" w:history="1">
        <w:r w:rsidRPr="009509CA">
          <w:rPr>
            <w:rStyle w:val="Hyperlink"/>
            <w:rFonts w:ascii="Times New Roman" w:hAnsi="Times New Roman" w:cs="Times New Roman"/>
            <w:color w:val="000000" w:themeColor="text1"/>
            <w:lang w:val="en-US"/>
          </w:rPr>
          <w:t>http://www.accaglobal.com/content/dam/acca/global/PDF-technical/integrated-reporting/tech-tp-wtd.pdf</w:t>
        </w:r>
      </w:hyperlink>
      <w:r w:rsidRPr="009509CA">
        <w:rPr>
          <w:rFonts w:ascii="Times New Roman" w:hAnsi="Times New Roman" w:cs="Times New Roman"/>
          <w:color w:val="000000" w:themeColor="text1"/>
          <w:lang w:val="en-US"/>
        </w:rPr>
        <w:t xml:space="preserve">. </w:t>
      </w:r>
      <w:r w:rsidR="00A004FC" w:rsidRPr="009509CA">
        <w:rPr>
          <w:rFonts w:ascii="Times New Roman" w:hAnsi="Times New Roman" w:cs="Times New Roman"/>
          <w:color w:val="000000" w:themeColor="text1"/>
          <w:lang w:val="en-US"/>
        </w:rPr>
        <w:t>Accessed on January 31</w:t>
      </w:r>
      <w:r>
        <w:rPr>
          <w:rFonts w:ascii="Times New Roman" w:hAnsi="Times New Roman" w:cs="Times New Roman"/>
          <w:color w:val="000000" w:themeColor="text1"/>
          <w:lang w:val="en-US"/>
        </w:rPr>
        <w:t>, 2014</w:t>
      </w:r>
      <w:r w:rsidR="00A004FC" w:rsidRPr="009509CA">
        <w:rPr>
          <w:rFonts w:ascii="Times New Roman" w:hAnsi="Times New Roman" w:cs="Times New Roman"/>
          <w:color w:val="000000" w:themeColor="text1"/>
          <w:lang w:val="en-US"/>
        </w:rPr>
        <w:t>.</w:t>
      </w:r>
    </w:p>
    <w:p w14:paraId="7C9F5EA2" w14:textId="77777777" w:rsidR="009113EC" w:rsidRPr="009509CA" w:rsidRDefault="009113EC" w:rsidP="00111E78">
      <w:pPr>
        <w:autoSpaceDE w:val="0"/>
        <w:autoSpaceDN w:val="0"/>
        <w:adjustRightInd w:val="0"/>
        <w:spacing w:after="0" w:line="240" w:lineRule="auto"/>
        <w:jc w:val="both"/>
        <w:rPr>
          <w:rFonts w:ascii="Times New Roman" w:hAnsi="Times New Roman" w:cs="Times New Roman"/>
          <w:color w:val="000000" w:themeColor="text1"/>
          <w:lang w:val="en-US"/>
        </w:rPr>
      </w:pPr>
    </w:p>
    <w:p w14:paraId="75C4EA82" w14:textId="77777777" w:rsidR="0079324C" w:rsidRDefault="0079324C" w:rsidP="00111E78">
      <w:pPr>
        <w:autoSpaceDE w:val="0"/>
        <w:autoSpaceDN w:val="0"/>
        <w:adjustRightInd w:val="0"/>
        <w:spacing w:after="0" w:line="240" w:lineRule="auto"/>
        <w:jc w:val="both"/>
        <w:rPr>
          <w:rFonts w:ascii="Times New Roman" w:hAnsi="Times New Roman" w:cs="Times New Roman"/>
          <w:color w:val="231F20"/>
          <w:lang w:val="en-US"/>
        </w:rPr>
      </w:pPr>
      <w:r w:rsidRPr="00527414">
        <w:rPr>
          <w:rFonts w:ascii="Times New Roman" w:hAnsi="Times New Roman" w:cs="Times New Roman"/>
          <w:color w:val="231F20"/>
          <w:lang w:val="en-US"/>
        </w:rPr>
        <w:t xml:space="preserve">ASSC (Accounting Standards Steering Committee) (1975), </w:t>
      </w:r>
      <w:r w:rsidRPr="00527414">
        <w:rPr>
          <w:rFonts w:ascii="Times New Roman" w:hAnsi="Times New Roman" w:cs="Times New Roman"/>
          <w:i/>
          <w:color w:val="231F20"/>
          <w:lang w:val="en-US"/>
        </w:rPr>
        <w:t>The Corporate Report</w:t>
      </w:r>
      <w:r>
        <w:rPr>
          <w:rFonts w:ascii="Times New Roman" w:hAnsi="Times New Roman" w:cs="Times New Roman"/>
          <w:color w:val="231F20"/>
          <w:lang w:val="en-US"/>
        </w:rPr>
        <w:t>, D</w:t>
      </w:r>
      <w:r w:rsidRPr="00527414">
        <w:rPr>
          <w:rFonts w:ascii="Times New Roman" w:hAnsi="Times New Roman" w:cs="Times New Roman"/>
          <w:color w:val="231F20"/>
          <w:lang w:val="en-US"/>
        </w:rPr>
        <w:t>iscuss</w:t>
      </w:r>
      <w:r>
        <w:rPr>
          <w:rFonts w:ascii="Times New Roman" w:hAnsi="Times New Roman" w:cs="Times New Roman"/>
          <w:color w:val="231F20"/>
          <w:lang w:val="en-US"/>
        </w:rPr>
        <w:t xml:space="preserve">ion paper, London: ASSC. </w:t>
      </w:r>
    </w:p>
    <w:p w14:paraId="1E6575F0" w14:textId="77777777" w:rsidR="0079324C" w:rsidRPr="00500E89" w:rsidRDefault="0079324C" w:rsidP="00111E78">
      <w:pPr>
        <w:autoSpaceDE w:val="0"/>
        <w:autoSpaceDN w:val="0"/>
        <w:adjustRightInd w:val="0"/>
        <w:spacing w:after="0" w:line="240" w:lineRule="auto"/>
        <w:jc w:val="both"/>
        <w:rPr>
          <w:rFonts w:ascii="Times New Roman" w:hAnsi="Times New Roman" w:cs="Times New Roman"/>
          <w:color w:val="231F20"/>
          <w:lang w:val="en-US"/>
        </w:rPr>
      </w:pPr>
    </w:p>
    <w:p w14:paraId="356A43A4" w14:textId="77777777" w:rsidR="0079324C" w:rsidRPr="0079324C" w:rsidRDefault="0079324C" w:rsidP="00111E78">
      <w:pPr>
        <w:jc w:val="both"/>
        <w:rPr>
          <w:rFonts w:ascii="Times New Roman" w:hAnsi="Times New Roman" w:cs="Times New Roman"/>
          <w:lang w:val="en-US"/>
        </w:rPr>
      </w:pPr>
      <w:r w:rsidRPr="000D3967">
        <w:rPr>
          <w:rFonts w:ascii="Times New Roman" w:hAnsi="Times New Roman" w:cs="Times New Roman"/>
          <w:lang w:val="en-US"/>
        </w:rPr>
        <w:t xml:space="preserve">Ahrens, T. and Chapman, C. (2006). ‘Doing qualitative field research in management accounting: </w:t>
      </w:r>
      <w:r w:rsidRPr="0079324C">
        <w:rPr>
          <w:rFonts w:ascii="Times New Roman" w:hAnsi="Times New Roman" w:cs="Times New Roman"/>
          <w:lang w:val="en-US"/>
        </w:rPr>
        <w:t xml:space="preserve">Positioning data to contribute to theory’, </w:t>
      </w:r>
      <w:r w:rsidRPr="0079324C">
        <w:rPr>
          <w:rFonts w:ascii="Times New Roman" w:hAnsi="Times New Roman" w:cs="Times New Roman"/>
          <w:i/>
          <w:iCs/>
          <w:lang w:val="en-US"/>
        </w:rPr>
        <w:t xml:space="preserve">Accounting, Organizations and Society, </w:t>
      </w:r>
      <w:r w:rsidRPr="0079324C">
        <w:rPr>
          <w:rFonts w:ascii="Times New Roman" w:hAnsi="Times New Roman" w:cs="Times New Roman"/>
          <w:iCs/>
          <w:lang w:val="en-US"/>
        </w:rPr>
        <w:t>31</w:t>
      </w:r>
      <w:r w:rsidRPr="0079324C">
        <w:rPr>
          <w:rFonts w:ascii="Times New Roman" w:hAnsi="Times New Roman" w:cs="Times New Roman"/>
          <w:lang w:val="en-US"/>
        </w:rPr>
        <w:t>: 819-841.</w:t>
      </w:r>
    </w:p>
    <w:p w14:paraId="48B1C10C" w14:textId="32D55371" w:rsidR="0079324C" w:rsidRPr="0079324C" w:rsidRDefault="0079324C" w:rsidP="00111E78">
      <w:pPr>
        <w:pStyle w:val="Default"/>
        <w:jc w:val="both"/>
        <w:rPr>
          <w:rFonts w:ascii="Times New Roman" w:hAnsi="Times New Roman" w:cs="Times New Roman"/>
          <w:sz w:val="22"/>
          <w:szCs w:val="22"/>
        </w:rPr>
      </w:pPr>
      <w:r w:rsidRPr="0079324C">
        <w:rPr>
          <w:rFonts w:ascii="Times New Roman" w:hAnsi="Times New Roman" w:cs="Times New Roman"/>
          <w:sz w:val="22"/>
          <w:szCs w:val="22"/>
        </w:rPr>
        <w:t xml:space="preserve">Barrett, M. and </w:t>
      </w:r>
      <w:proofErr w:type="spellStart"/>
      <w:r w:rsidRPr="0079324C">
        <w:rPr>
          <w:rFonts w:ascii="Times New Roman" w:hAnsi="Times New Roman" w:cs="Times New Roman"/>
          <w:sz w:val="22"/>
          <w:szCs w:val="22"/>
        </w:rPr>
        <w:t>Gendron</w:t>
      </w:r>
      <w:proofErr w:type="spellEnd"/>
      <w:r w:rsidR="00A004FC">
        <w:rPr>
          <w:rFonts w:ascii="Times New Roman" w:hAnsi="Times New Roman" w:cs="Times New Roman"/>
          <w:sz w:val="22"/>
          <w:szCs w:val="22"/>
        </w:rPr>
        <w:t>, Y. (2006). ‘</w:t>
      </w:r>
      <w:proofErr w:type="spellStart"/>
      <w:r w:rsidR="00A004FC">
        <w:rPr>
          <w:rFonts w:ascii="Times New Roman" w:hAnsi="Times New Roman" w:cs="Times New Roman"/>
          <w:sz w:val="22"/>
          <w:szCs w:val="22"/>
        </w:rPr>
        <w:t>WebTrust</w:t>
      </w:r>
      <w:proofErr w:type="spellEnd"/>
      <w:r w:rsidR="00A004FC">
        <w:rPr>
          <w:rFonts w:ascii="Times New Roman" w:hAnsi="Times New Roman" w:cs="Times New Roman"/>
          <w:sz w:val="22"/>
          <w:szCs w:val="22"/>
        </w:rPr>
        <w:t xml:space="preserve"> and the ‘commercialistic auditor’:</w:t>
      </w:r>
      <w:r w:rsidRPr="0079324C">
        <w:rPr>
          <w:rFonts w:ascii="Times New Roman" w:hAnsi="Times New Roman" w:cs="Times New Roman"/>
          <w:sz w:val="22"/>
          <w:szCs w:val="22"/>
        </w:rPr>
        <w:t xml:space="preserve"> The unrealized vision of developing auditor trustworthiness in cyberspace’. </w:t>
      </w:r>
      <w:r w:rsidRPr="0079324C">
        <w:rPr>
          <w:rFonts w:ascii="Times New Roman" w:hAnsi="Times New Roman" w:cs="Times New Roman"/>
          <w:i/>
          <w:iCs/>
          <w:sz w:val="22"/>
          <w:szCs w:val="22"/>
        </w:rPr>
        <w:t>Accounting, Auditing &amp; Accountability Journal</w:t>
      </w:r>
      <w:r w:rsidRPr="0079324C">
        <w:rPr>
          <w:rFonts w:ascii="Times New Roman" w:hAnsi="Times New Roman" w:cs="Times New Roman"/>
          <w:sz w:val="22"/>
          <w:szCs w:val="22"/>
        </w:rPr>
        <w:t xml:space="preserve">, 19(5): 631-662. </w:t>
      </w:r>
    </w:p>
    <w:p w14:paraId="6647B45C" w14:textId="77777777" w:rsidR="0079324C" w:rsidRPr="0079324C" w:rsidRDefault="0079324C" w:rsidP="00A004FC">
      <w:pPr>
        <w:pStyle w:val="Default"/>
        <w:jc w:val="both"/>
        <w:rPr>
          <w:rFonts w:ascii="Times New Roman" w:hAnsi="Times New Roman" w:cs="Times New Roman"/>
          <w:sz w:val="22"/>
          <w:szCs w:val="22"/>
        </w:rPr>
      </w:pPr>
    </w:p>
    <w:p w14:paraId="67DF26CE" w14:textId="77777777" w:rsidR="0079324C" w:rsidRPr="0079324C" w:rsidRDefault="0079324C" w:rsidP="00A004FC">
      <w:pPr>
        <w:pStyle w:val="Default"/>
        <w:jc w:val="both"/>
        <w:rPr>
          <w:rFonts w:ascii="Times New Roman" w:hAnsi="Times New Roman" w:cs="Times New Roman"/>
          <w:sz w:val="22"/>
          <w:szCs w:val="22"/>
        </w:rPr>
      </w:pPr>
      <w:r w:rsidRPr="0079324C">
        <w:rPr>
          <w:rFonts w:ascii="Times New Roman" w:hAnsi="Times New Roman" w:cs="Times New Roman"/>
          <w:sz w:val="22"/>
          <w:szCs w:val="22"/>
        </w:rPr>
        <w:t xml:space="preserve">Barton, D. (2011). ‘Capitalism for the long term’, </w:t>
      </w:r>
      <w:r w:rsidRPr="0079324C">
        <w:rPr>
          <w:rFonts w:ascii="Times New Roman" w:hAnsi="Times New Roman" w:cs="Times New Roman"/>
          <w:i/>
          <w:sz w:val="22"/>
          <w:szCs w:val="22"/>
        </w:rPr>
        <w:t>Harvard Business Review</w:t>
      </w:r>
      <w:r w:rsidRPr="0079324C">
        <w:rPr>
          <w:rFonts w:ascii="Times New Roman" w:hAnsi="Times New Roman" w:cs="Times New Roman"/>
          <w:sz w:val="22"/>
          <w:szCs w:val="22"/>
        </w:rPr>
        <w:t>, March.</w:t>
      </w:r>
    </w:p>
    <w:p w14:paraId="76E09090" w14:textId="77777777" w:rsidR="0079324C" w:rsidRPr="0079324C" w:rsidRDefault="0079324C" w:rsidP="00A004FC">
      <w:pPr>
        <w:pStyle w:val="Default"/>
        <w:jc w:val="both"/>
        <w:rPr>
          <w:rFonts w:ascii="Times New Roman" w:hAnsi="Times New Roman" w:cs="Times New Roman"/>
          <w:sz w:val="22"/>
          <w:szCs w:val="22"/>
        </w:rPr>
      </w:pPr>
    </w:p>
    <w:p w14:paraId="2016DB73" w14:textId="3AAFC0ED" w:rsidR="0079324C" w:rsidRDefault="0079324C" w:rsidP="00A004FC">
      <w:pPr>
        <w:autoSpaceDE w:val="0"/>
        <w:autoSpaceDN w:val="0"/>
        <w:adjustRightInd w:val="0"/>
        <w:spacing w:after="0" w:line="240" w:lineRule="auto"/>
        <w:jc w:val="both"/>
        <w:rPr>
          <w:rFonts w:ascii="Times New Roman" w:hAnsi="Times New Roman" w:cs="Times New Roman"/>
          <w:lang w:val="en-US"/>
        </w:rPr>
      </w:pPr>
      <w:proofErr w:type="spellStart"/>
      <w:r w:rsidRPr="00527414">
        <w:rPr>
          <w:rFonts w:ascii="Times New Roman" w:hAnsi="Times New Roman" w:cs="Times New Roman"/>
          <w:lang w:val="en-US"/>
        </w:rPr>
        <w:t>Bebbington</w:t>
      </w:r>
      <w:proofErr w:type="spellEnd"/>
      <w:r w:rsidRPr="00527414">
        <w:rPr>
          <w:rFonts w:ascii="Times New Roman" w:hAnsi="Times New Roman" w:cs="Times New Roman"/>
          <w:lang w:val="en-US"/>
        </w:rPr>
        <w:t xml:space="preserve">, J., </w:t>
      </w:r>
      <w:proofErr w:type="spellStart"/>
      <w:r w:rsidRPr="00527414">
        <w:rPr>
          <w:rFonts w:ascii="Times New Roman" w:hAnsi="Times New Roman" w:cs="Times New Roman"/>
          <w:lang w:val="en-US"/>
        </w:rPr>
        <w:t>Unerman</w:t>
      </w:r>
      <w:proofErr w:type="spellEnd"/>
      <w:r w:rsidRPr="00527414">
        <w:rPr>
          <w:rFonts w:ascii="Times New Roman" w:hAnsi="Times New Roman" w:cs="Times New Roman"/>
          <w:lang w:val="en-US"/>
        </w:rPr>
        <w:t xml:space="preserve">, J. and O’Dwyer, B. (2014). </w:t>
      </w:r>
      <w:r w:rsidRPr="00527414">
        <w:rPr>
          <w:rFonts w:ascii="Times New Roman" w:hAnsi="Times New Roman" w:cs="Times New Roman"/>
          <w:i/>
          <w:lang w:val="en-US"/>
        </w:rPr>
        <w:t>Sustainability Accounting and Accountability</w:t>
      </w:r>
      <w:r w:rsidRPr="00527414">
        <w:rPr>
          <w:rFonts w:ascii="Times New Roman" w:hAnsi="Times New Roman" w:cs="Times New Roman"/>
          <w:lang w:val="en-US"/>
        </w:rPr>
        <w:t xml:space="preserve">. Abingdon: Routledge. </w:t>
      </w:r>
    </w:p>
    <w:p w14:paraId="4C30BF8A" w14:textId="77777777" w:rsidR="001901DE" w:rsidRDefault="001901DE" w:rsidP="00A004FC">
      <w:pPr>
        <w:autoSpaceDE w:val="0"/>
        <w:autoSpaceDN w:val="0"/>
        <w:adjustRightInd w:val="0"/>
        <w:spacing w:after="0" w:line="240" w:lineRule="auto"/>
        <w:jc w:val="both"/>
        <w:rPr>
          <w:rFonts w:ascii="Times New Roman" w:hAnsi="Times New Roman" w:cs="Times New Roman"/>
          <w:lang w:val="en-US"/>
        </w:rPr>
      </w:pPr>
    </w:p>
    <w:p w14:paraId="05310008" w14:textId="6EE2AD78" w:rsidR="001901DE" w:rsidRDefault="001901DE" w:rsidP="00A004FC">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Black Sun and IIRC (2014). ‘Realizing the benefits: The impact of Integrated Reporting’, Black Sun plc. </w:t>
      </w:r>
      <w:r w:rsidR="007B7301">
        <w:rPr>
          <w:rFonts w:ascii="Times New Roman" w:hAnsi="Times New Roman" w:cs="Times New Roman"/>
          <w:lang w:val="en-US"/>
        </w:rPr>
        <w:t>a</w:t>
      </w:r>
      <w:r>
        <w:rPr>
          <w:rFonts w:ascii="Times New Roman" w:hAnsi="Times New Roman" w:cs="Times New Roman"/>
          <w:lang w:val="en-US"/>
        </w:rPr>
        <w:t>nd IIRC.</w:t>
      </w:r>
    </w:p>
    <w:p w14:paraId="2168C258" w14:textId="77777777" w:rsidR="00A7662E" w:rsidRDefault="00A7662E" w:rsidP="00A004FC">
      <w:pPr>
        <w:autoSpaceDE w:val="0"/>
        <w:autoSpaceDN w:val="0"/>
        <w:adjustRightInd w:val="0"/>
        <w:spacing w:after="0" w:line="240" w:lineRule="auto"/>
        <w:jc w:val="both"/>
        <w:rPr>
          <w:rFonts w:ascii="Times New Roman" w:hAnsi="Times New Roman" w:cs="Times New Roman"/>
          <w:lang w:val="en-US"/>
        </w:rPr>
      </w:pPr>
    </w:p>
    <w:p w14:paraId="2099D793" w14:textId="55804340" w:rsidR="00A7662E" w:rsidRDefault="00A7662E" w:rsidP="005F3123">
      <w:pPr>
        <w:pStyle w:val="EndNoteBibliography"/>
        <w:spacing w:after="120"/>
        <w:rPr>
          <w:rFonts w:ascii="Arial" w:hAnsi="Arial" w:cs="Arial"/>
          <w:sz w:val="18"/>
          <w:szCs w:val="18"/>
          <w:lang w:val="en"/>
        </w:rPr>
      </w:pPr>
      <w:r w:rsidRPr="005F3123">
        <w:rPr>
          <w:rFonts w:ascii="Times New Roman" w:hAnsi="Times New Roman" w:cs="Times New Roman"/>
          <w:noProof/>
          <w:sz w:val="22"/>
          <w:szCs w:val="22"/>
        </w:rPr>
        <w:t xml:space="preserve">Brown, J. and Dillard, J. (2014), “Integrated Reporting: On the Need for Broadening Out and Opening Up”, </w:t>
      </w:r>
      <w:r w:rsidRPr="005F3123">
        <w:rPr>
          <w:rFonts w:ascii="Times New Roman" w:hAnsi="Times New Roman" w:cs="Times New Roman"/>
          <w:i/>
          <w:noProof/>
          <w:sz w:val="22"/>
          <w:szCs w:val="22"/>
        </w:rPr>
        <w:t>Accounting, Auditing &amp; Accountability Journal</w:t>
      </w:r>
      <w:r w:rsidR="005F3123" w:rsidRPr="005F3123">
        <w:rPr>
          <w:rFonts w:ascii="Times New Roman" w:hAnsi="Times New Roman" w:cs="Times New Roman"/>
          <w:noProof/>
          <w:sz w:val="22"/>
          <w:szCs w:val="22"/>
        </w:rPr>
        <w:t xml:space="preserve">, 27(7): </w:t>
      </w:r>
      <w:r w:rsidR="005F3123" w:rsidRPr="005F3123">
        <w:rPr>
          <w:rFonts w:ascii="Times New Roman" w:hAnsi="Times New Roman" w:cs="Times New Roman"/>
          <w:sz w:val="22"/>
          <w:szCs w:val="22"/>
          <w:lang w:val="en"/>
        </w:rPr>
        <w:t>1120</w:t>
      </w:r>
      <w:r w:rsidR="005711B4">
        <w:rPr>
          <w:rFonts w:ascii="Times New Roman" w:hAnsi="Times New Roman" w:cs="Times New Roman"/>
          <w:sz w:val="22"/>
          <w:szCs w:val="22"/>
          <w:lang w:val="en"/>
        </w:rPr>
        <w:t>-</w:t>
      </w:r>
      <w:r w:rsidR="005F3123" w:rsidRPr="005F3123">
        <w:rPr>
          <w:rFonts w:ascii="Times New Roman" w:hAnsi="Times New Roman" w:cs="Times New Roman"/>
          <w:sz w:val="22"/>
          <w:szCs w:val="22"/>
          <w:lang w:val="en"/>
        </w:rPr>
        <w:t>1156</w:t>
      </w:r>
      <w:r w:rsidR="005F3123" w:rsidRPr="005F3123">
        <w:rPr>
          <w:rFonts w:ascii="Arial" w:hAnsi="Arial" w:cs="Arial"/>
          <w:sz w:val="18"/>
          <w:szCs w:val="18"/>
          <w:lang w:val="en"/>
        </w:rPr>
        <w:t>.</w:t>
      </w:r>
    </w:p>
    <w:p w14:paraId="20652CD6" w14:textId="7292A2D0" w:rsidR="00E14D8D" w:rsidRPr="00686181" w:rsidRDefault="00E14D8D" w:rsidP="00E14D8D">
      <w:pPr>
        <w:autoSpaceDE w:val="0"/>
        <w:autoSpaceDN w:val="0"/>
        <w:adjustRightInd w:val="0"/>
        <w:spacing w:after="0" w:line="240" w:lineRule="auto"/>
        <w:jc w:val="both"/>
        <w:rPr>
          <w:rFonts w:ascii="Times New Roman" w:eastAsia="AdvTimes" w:hAnsi="Times New Roman" w:cs="Times New Roman"/>
          <w:lang w:val="en-GB"/>
        </w:rPr>
      </w:pPr>
      <w:proofErr w:type="spellStart"/>
      <w:r>
        <w:rPr>
          <w:rFonts w:ascii="Times New Roman" w:eastAsia="AdvTimes" w:hAnsi="Times New Roman" w:cs="Times New Roman"/>
          <w:lang w:val="en-GB"/>
        </w:rPr>
        <w:t>Burchell</w:t>
      </w:r>
      <w:proofErr w:type="spellEnd"/>
      <w:r>
        <w:rPr>
          <w:rFonts w:ascii="Times New Roman" w:eastAsia="AdvTimes" w:hAnsi="Times New Roman" w:cs="Times New Roman"/>
          <w:lang w:val="en-GB"/>
        </w:rPr>
        <w:t xml:space="preserve">, S., </w:t>
      </w:r>
      <w:proofErr w:type="spellStart"/>
      <w:r>
        <w:rPr>
          <w:rFonts w:ascii="Times New Roman" w:eastAsia="AdvTimes" w:hAnsi="Times New Roman" w:cs="Times New Roman"/>
          <w:lang w:val="en-GB"/>
        </w:rPr>
        <w:t>Clubb</w:t>
      </w:r>
      <w:proofErr w:type="spellEnd"/>
      <w:r>
        <w:rPr>
          <w:rFonts w:ascii="Times New Roman" w:eastAsia="AdvTimes" w:hAnsi="Times New Roman" w:cs="Times New Roman"/>
          <w:lang w:val="en-GB"/>
        </w:rPr>
        <w:t>, C. and</w:t>
      </w:r>
      <w:r w:rsidRPr="00686181">
        <w:rPr>
          <w:rFonts w:ascii="Times New Roman" w:eastAsia="AdvTimes" w:hAnsi="Times New Roman" w:cs="Times New Roman"/>
          <w:lang w:val="en-GB"/>
        </w:rPr>
        <w:t xml:space="preserve"> Hopwood, A. (1985). </w:t>
      </w:r>
      <w:r>
        <w:rPr>
          <w:rFonts w:ascii="Times New Roman" w:eastAsia="AdvTimes" w:hAnsi="Times New Roman" w:cs="Times New Roman"/>
          <w:lang w:val="en-GB"/>
        </w:rPr>
        <w:t>‘</w:t>
      </w:r>
      <w:r w:rsidRPr="00686181">
        <w:rPr>
          <w:rFonts w:ascii="Times New Roman" w:eastAsia="AdvTimes" w:hAnsi="Times New Roman" w:cs="Times New Roman"/>
          <w:lang w:val="en-GB"/>
        </w:rPr>
        <w:t>Accounting in its social context: towards a history of value added in the United Kingdom</w:t>
      </w:r>
      <w:r>
        <w:rPr>
          <w:rFonts w:ascii="Times New Roman" w:eastAsia="AdvTimes" w:hAnsi="Times New Roman" w:cs="Times New Roman"/>
          <w:lang w:val="en-GB"/>
        </w:rPr>
        <w:t>’</w:t>
      </w:r>
      <w:r w:rsidRPr="00686181">
        <w:rPr>
          <w:rFonts w:ascii="Times New Roman" w:eastAsia="AdvTimes" w:hAnsi="Times New Roman" w:cs="Times New Roman"/>
          <w:lang w:val="en-GB"/>
        </w:rPr>
        <w:t xml:space="preserve">. </w:t>
      </w:r>
      <w:r w:rsidRPr="00686181">
        <w:rPr>
          <w:rFonts w:ascii="Times New Roman" w:eastAsia="AdvTimes" w:hAnsi="Times New Roman" w:cs="Times New Roman"/>
          <w:i/>
          <w:lang w:val="en-GB"/>
        </w:rPr>
        <w:t>Accounting, Organizations and Society</w:t>
      </w:r>
      <w:r w:rsidRPr="00686181">
        <w:rPr>
          <w:rFonts w:ascii="Times New Roman" w:eastAsia="AdvTimes" w:hAnsi="Times New Roman" w:cs="Times New Roman"/>
          <w:lang w:val="en-GB"/>
        </w:rPr>
        <w:t>, 10(4): 381–413.</w:t>
      </w:r>
    </w:p>
    <w:p w14:paraId="4AF47E30" w14:textId="77777777" w:rsidR="00A7662E" w:rsidRDefault="00A7662E" w:rsidP="00A004FC">
      <w:pPr>
        <w:autoSpaceDE w:val="0"/>
        <w:autoSpaceDN w:val="0"/>
        <w:adjustRightInd w:val="0"/>
        <w:spacing w:after="0" w:line="240" w:lineRule="auto"/>
        <w:jc w:val="both"/>
        <w:rPr>
          <w:rFonts w:ascii="Times New Roman" w:hAnsi="Times New Roman" w:cs="Times New Roman"/>
          <w:lang w:val="en-US"/>
        </w:rPr>
      </w:pPr>
    </w:p>
    <w:p w14:paraId="40119D8E" w14:textId="27E5FE5E" w:rsidR="00295E05" w:rsidRDefault="00295E05" w:rsidP="00A004FC">
      <w:pPr>
        <w:autoSpaceDE w:val="0"/>
        <w:autoSpaceDN w:val="0"/>
        <w:adjustRightInd w:val="0"/>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Burri</w:t>
      </w:r>
      <w:proofErr w:type="spellEnd"/>
      <w:r>
        <w:rPr>
          <w:rFonts w:ascii="Times New Roman" w:hAnsi="Times New Roman" w:cs="Times New Roman"/>
          <w:lang w:val="en-US"/>
        </w:rPr>
        <w:t>, R.V. (2008). ‘Doing distinctions: Boundary work and symbolic capital in Radiology’</w:t>
      </w:r>
      <w:r w:rsidRPr="00295E05">
        <w:rPr>
          <w:rFonts w:ascii="Times New Roman" w:hAnsi="Times New Roman" w:cs="Times New Roman"/>
          <w:i/>
          <w:lang w:val="en-US"/>
        </w:rPr>
        <w:t>. Social Studies of Science</w:t>
      </w:r>
      <w:r>
        <w:rPr>
          <w:rFonts w:ascii="Times New Roman" w:hAnsi="Times New Roman" w:cs="Times New Roman"/>
          <w:lang w:val="en-US"/>
        </w:rPr>
        <w:t>, 38(1): 35-62.</w:t>
      </w:r>
    </w:p>
    <w:p w14:paraId="4CE9F5C9" w14:textId="77777777" w:rsidR="000538C3" w:rsidRDefault="000538C3" w:rsidP="00A004FC">
      <w:pPr>
        <w:autoSpaceDE w:val="0"/>
        <w:autoSpaceDN w:val="0"/>
        <w:adjustRightInd w:val="0"/>
        <w:spacing w:after="0" w:line="240" w:lineRule="auto"/>
        <w:jc w:val="both"/>
        <w:rPr>
          <w:rFonts w:ascii="Times New Roman" w:hAnsi="Times New Roman" w:cs="Times New Roman"/>
          <w:lang w:val="en-US"/>
        </w:rPr>
      </w:pPr>
    </w:p>
    <w:p w14:paraId="46870001" w14:textId="01CD8A68" w:rsidR="000538C3" w:rsidRPr="00527414" w:rsidRDefault="000538C3" w:rsidP="00A004FC">
      <w:pPr>
        <w:autoSpaceDE w:val="0"/>
        <w:autoSpaceDN w:val="0"/>
        <w:adjustRightInd w:val="0"/>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Chiwamit</w:t>
      </w:r>
      <w:proofErr w:type="spellEnd"/>
      <w:r>
        <w:rPr>
          <w:rFonts w:ascii="Times New Roman" w:hAnsi="Times New Roman" w:cs="Times New Roman"/>
          <w:lang w:val="en-US"/>
        </w:rPr>
        <w:t xml:space="preserve">, P., Modell, S. and Lei Yang, C. (2014), ‘The societal relevance of management accounting innovations: economic  value added and institutional work in the fields of Chinese and Thai state-owned enterprises’, </w:t>
      </w:r>
      <w:r w:rsidRPr="00686181">
        <w:rPr>
          <w:rFonts w:ascii="Times New Roman" w:hAnsi="Times New Roman" w:cs="Times New Roman"/>
          <w:i/>
          <w:lang w:val="en-US"/>
        </w:rPr>
        <w:t>Accounting and Business Research,</w:t>
      </w:r>
      <w:r>
        <w:rPr>
          <w:rFonts w:ascii="Times New Roman" w:hAnsi="Times New Roman" w:cs="Times New Roman"/>
          <w:lang w:val="en-US"/>
        </w:rPr>
        <w:t xml:space="preserve"> 44(2): 144-180.</w:t>
      </w:r>
    </w:p>
    <w:p w14:paraId="27ED9D6D" w14:textId="77777777" w:rsidR="0079324C" w:rsidRPr="000D3967" w:rsidRDefault="0079324C" w:rsidP="00A004FC">
      <w:pPr>
        <w:spacing w:after="0" w:line="240" w:lineRule="auto"/>
        <w:jc w:val="both"/>
        <w:rPr>
          <w:rFonts w:ascii="Times New Roman" w:hAnsi="Times New Roman" w:cs="Times New Roman"/>
          <w:iCs/>
          <w:lang w:val="en-US"/>
        </w:rPr>
      </w:pPr>
    </w:p>
    <w:p w14:paraId="61BD1F7C" w14:textId="77777777" w:rsidR="0079324C" w:rsidRDefault="0079324C" w:rsidP="00A004FC">
      <w:pPr>
        <w:autoSpaceDE w:val="0"/>
        <w:autoSpaceDN w:val="0"/>
        <w:adjustRightInd w:val="0"/>
        <w:spacing w:after="0" w:line="240" w:lineRule="auto"/>
        <w:jc w:val="both"/>
        <w:rPr>
          <w:rFonts w:ascii="Times New Roman" w:hAnsi="Times New Roman" w:cs="Times New Roman"/>
          <w:lang w:val="en-US"/>
        </w:rPr>
      </w:pPr>
      <w:r w:rsidRPr="000D3967">
        <w:rPr>
          <w:rFonts w:ascii="Times New Roman" w:hAnsi="Times New Roman" w:cs="Times New Roman"/>
          <w:lang w:val="en-US"/>
        </w:rPr>
        <w:t xml:space="preserve">Cooper, D.J. and Morgan, W. (2013). ‘Meeting the evolving corporate reporting needs of government and society: arguments for a deliberative approach to accounting rule making’. </w:t>
      </w:r>
      <w:r w:rsidRPr="000D3967">
        <w:rPr>
          <w:rFonts w:ascii="Times New Roman" w:hAnsi="Times New Roman" w:cs="Times New Roman"/>
          <w:i/>
          <w:lang w:val="en-US"/>
        </w:rPr>
        <w:t>Accounting and Business Research</w:t>
      </w:r>
      <w:r w:rsidRPr="000D3967">
        <w:rPr>
          <w:rFonts w:ascii="Times New Roman" w:hAnsi="Times New Roman" w:cs="Times New Roman"/>
          <w:lang w:val="en-US"/>
        </w:rPr>
        <w:t>, 43(4): 418-441.</w:t>
      </w:r>
    </w:p>
    <w:p w14:paraId="40B1849C" w14:textId="77777777" w:rsidR="00071CA2" w:rsidRDefault="00071CA2" w:rsidP="00A004FC">
      <w:pPr>
        <w:autoSpaceDE w:val="0"/>
        <w:autoSpaceDN w:val="0"/>
        <w:adjustRightInd w:val="0"/>
        <w:spacing w:after="0" w:line="240" w:lineRule="auto"/>
        <w:jc w:val="both"/>
        <w:rPr>
          <w:rFonts w:ascii="Times New Roman" w:hAnsi="Times New Roman" w:cs="Times New Roman"/>
          <w:lang w:val="en-US"/>
        </w:rPr>
      </w:pPr>
    </w:p>
    <w:p w14:paraId="2F6DBD6D" w14:textId="553D2530" w:rsidR="0079324C" w:rsidRPr="00071CA2" w:rsidRDefault="00071CA2" w:rsidP="00071CA2">
      <w:pPr>
        <w:pStyle w:val="Referencetext"/>
        <w:spacing w:line="240" w:lineRule="auto"/>
        <w:ind w:left="0" w:firstLine="0"/>
        <w:rPr>
          <w:sz w:val="22"/>
          <w:szCs w:val="22"/>
        </w:rPr>
      </w:pPr>
      <w:r w:rsidRPr="000D3967">
        <w:rPr>
          <w:sz w:val="22"/>
          <w:szCs w:val="22"/>
        </w:rPr>
        <w:lastRenderedPageBreak/>
        <w:t xml:space="preserve">Cooper, S.M. and Owen, D.L. (2007). ‘Corporate social reporting and stakeholder accountability: the missing link’. </w:t>
      </w:r>
      <w:r w:rsidRPr="000D3967">
        <w:rPr>
          <w:i/>
          <w:sz w:val="22"/>
          <w:szCs w:val="22"/>
        </w:rPr>
        <w:t xml:space="preserve">Accounting, Organizations and Society, </w:t>
      </w:r>
      <w:r w:rsidRPr="000D3967">
        <w:rPr>
          <w:sz w:val="22"/>
          <w:szCs w:val="22"/>
        </w:rPr>
        <w:t>32(7-8):</w:t>
      </w:r>
      <w:r w:rsidRPr="000D3967">
        <w:rPr>
          <w:i/>
          <w:sz w:val="22"/>
          <w:szCs w:val="22"/>
        </w:rPr>
        <w:t xml:space="preserve"> </w:t>
      </w:r>
      <w:r w:rsidRPr="000D3967">
        <w:rPr>
          <w:sz w:val="22"/>
          <w:szCs w:val="22"/>
        </w:rPr>
        <w:t>649-667.</w:t>
      </w:r>
    </w:p>
    <w:p w14:paraId="0D028245" w14:textId="77777777" w:rsidR="0079324C" w:rsidRDefault="0079324C" w:rsidP="00A004FC">
      <w:pPr>
        <w:jc w:val="both"/>
        <w:rPr>
          <w:rFonts w:ascii="Times New Roman" w:hAnsi="Times New Roman" w:cs="Times New Roman"/>
          <w:color w:val="000000"/>
          <w:lang w:val="en-US"/>
        </w:rPr>
      </w:pPr>
      <w:r w:rsidRPr="000D3967">
        <w:rPr>
          <w:rFonts w:ascii="Times New Roman" w:hAnsi="Times New Roman" w:cs="Times New Roman"/>
          <w:color w:val="000000"/>
          <w:lang w:val="en-US"/>
        </w:rPr>
        <w:t xml:space="preserve">Currie, G., Lockett, A., Finn, R., Martin, G., and Waring, J. (2012). ‘Institutional work to maintain professional power: Recreating the model of medical professionalism’. </w:t>
      </w:r>
      <w:r w:rsidRPr="000D3967">
        <w:rPr>
          <w:rFonts w:ascii="Times New Roman" w:hAnsi="Times New Roman" w:cs="Times New Roman"/>
          <w:i/>
          <w:iCs/>
          <w:color w:val="000000"/>
          <w:lang w:val="en-US"/>
        </w:rPr>
        <w:t>Organization Studies</w:t>
      </w:r>
      <w:r w:rsidRPr="000D3967">
        <w:rPr>
          <w:rFonts w:ascii="Times New Roman" w:hAnsi="Times New Roman" w:cs="Times New Roman"/>
          <w:color w:val="000000"/>
          <w:lang w:val="en-US"/>
        </w:rPr>
        <w:t xml:space="preserve">, </w:t>
      </w:r>
      <w:r w:rsidRPr="000D3967">
        <w:rPr>
          <w:rFonts w:ascii="Times New Roman" w:hAnsi="Times New Roman" w:cs="Times New Roman"/>
          <w:iCs/>
          <w:color w:val="000000"/>
          <w:lang w:val="en-US"/>
        </w:rPr>
        <w:t>33</w:t>
      </w:r>
      <w:r w:rsidRPr="000D3967">
        <w:rPr>
          <w:rFonts w:ascii="Times New Roman" w:hAnsi="Times New Roman" w:cs="Times New Roman"/>
          <w:color w:val="000000"/>
          <w:lang w:val="en-US"/>
        </w:rPr>
        <w:t>: 937–962.</w:t>
      </w:r>
    </w:p>
    <w:p w14:paraId="1B59932B" w14:textId="136C4995" w:rsidR="00071CA2" w:rsidRDefault="00071CA2" w:rsidP="00A004FC">
      <w:pPr>
        <w:jc w:val="both"/>
        <w:rPr>
          <w:rFonts w:ascii="Times New Roman" w:hAnsi="Times New Roman" w:cs="Times New Roman"/>
          <w:lang w:val="en-GB"/>
        </w:rPr>
      </w:pPr>
      <w:r w:rsidRPr="000D3967">
        <w:rPr>
          <w:rFonts w:ascii="Times New Roman" w:hAnsi="Times New Roman" w:cs="Times New Roman"/>
          <w:lang w:val="en-GB"/>
        </w:rPr>
        <w:t>Curtis, E. and Turley, S. (2007). ‘</w:t>
      </w:r>
      <w:r>
        <w:rPr>
          <w:rFonts w:ascii="Times New Roman" w:hAnsi="Times New Roman" w:cs="Times New Roman"/>
          <w:lang w:val="en-GB"/>
        </w:rPr>
        <w:t xml:space="preserve">The business risk audit - </w:t>
      </w:r>
      <w:r w:rsidRPr="000D3967">
        <w:rPr>
          <w:rFonts w:ascii="Times New Roman" w:hAnsi="Times New Roman" w:cs="Times New Roman"/>
          <w:lang w:val="en-GB"/>
        </w:rPr>
        <w:t xml:space="preserve">a longitudinal case study of an audit engagement’. </w:t>
      </w:r>
      <w:r w:rsidRPr="000D3967">
        <w:rPr>
          <w:rFonts w:ascii="Times New Roman" w:hAnsi="Times New Roman" w:cs="Times New Roman"/>
          <w:i/>
          <w:iCs/>
          <w:lang w:val="en-GB"/>
        </w:rPr>
        <w:t>Accounting, Organizations and Society</w:t>
      </w:r>
      <w:r w:rsidRPr="000D3967">
        <w:rPr>
          <w:rFonts w:ascii="Times New Roman" w:hAnsi="Times New Roman" w:cs="Times New Roman"/>
          <w:lang w:val="en-GB"/>
        </w:rPr>
        <w:t xml:space="preserve">, </w:t>
      </w:r>
      <w:r w:rsidRPr="000D3967">
        <w:rPr>
          <w:rFonts w:ascii="Times New Roman" w:hAnsi="Times New Roman" w:cs="Times New Roman"/>
          <w:iCs/>
          <w:lang w:val="en-GB"/>
        </w:rPr>
        <w:t>32</w:t>
      </w:r>
      <w:r w:rsidRPr="000D3967">
        <w:rPr>
          <w:rFonts w:ascii="Times New Roman" w:hAnsi="Times New Roman" w:cs="Times New Roman"/>
          <w:lang w:val="en-GB"/>
        </w:rPr>
        <w:t xml:space="preserve">(4-5): 439-461. </w:t>
      </w:r>
    </w:p>
    <w:p w14:paraId="44126A36" w14:textId="43008DB6" w:rsidR="009D7D9F" w:rsidRDefault="009D7D9F" w:rsidP="00A004FC">
      <w:pPr>
        <w:jc w:val="both"/>
        <w:rPr>
          <w:rFonts w:ascii="Times New Roman" w:hAnsi="Times New Roman" w:cs="Times New Roman"/>
          <w:lang w:val="en-GB"/>
        </w:rPr>
      </w:pPr>
      <w:r>
        <w:rPr>
          <w:rFonts w:ascii="Times New Roman" w:hAnsi="Times New Roman" w:cs="Times New Roman"/>
          <w:lang w:val="en-GB"/>
        </w:rPr>
        <w:t xml:space="preserve">Curtis, E., Humphrey, C. and Turley, S. (2016). ‘Standards of innovation in auditing’, </w:t>
      </w:r>
      <w:r w:rsidRPr="00953650">
        <w:rPr>
          <w:rFonts w:ascii="Times New Roman" w:hAnsi="Times New Roman" w:cs="Times New Roman"/>
          <w:i/>
          <w:lang w:val="en-GB"/>
        </w:rPr>
        <w:t>Auditing: A Journal of Theory and Practice</w:t>
      </w:r>
      <w:r>
        <w:rPr>
          <w:rFonts w:ascii="Times New Roman" w:hAnsi="Times New Roman" w:cs="Times New Roman"/>
          <w:lang w:val="en-GB"/>
        </w:rPr>
        <w:t>, Forthcoming.</w:t>
      </w:r>
    </w:p>
    <w:p w14:paraId="78D6A235" w14:textId="4F75868F" w:rsidR="00172F35" w:rsidRPr="00071CA2" w:rsidRDefault="00172F35" w:rsidP="00A004FC">
      <w:pPr>
        <w:jc w:val="both"/>
        <w:rPr>
          <w:rFonts w:ascii="Times New Roman" w:hAnsi="Times New Roman" w:cs="Times New Roman"/>
          <w:lang w:val="en-GB"/>
        </w:rPr>
      </w:pPr>
      <w:r>
        <w:rPr>
          <w:rFonts w:ascii="Times New Roman" w:hAnsi="Times New Roman" w:cs="Times New Roman"/>
          <w:lang w:val="en-GB"/>
        </w:rPr>
        <w:t xml:space="preserve">Deloitte Global Services Limited (2011), </w:t>
      </w:r>
      <w:r w:rsidRPr="00686181">
        <w:rPr>
          <w:rFonts w:ascii="Times New Roman" w:hAnsi="Times New Roman" w:cs="Times New Roman"/>
          <w:i/>
          <w:lang w:val="en-GB"/>
        </w:rPr>
        <w:t>Integrated Reporting; A better view?,</w:t>
      </w:r>
      <w:r>
        <w:rPr>
          <w:rFonts w:ascii="Times New Roman" w:hAnsi="Times New Roman" w:cs="Times New Roman"/>
          <w:lang w:val="en-GB"/>
        </w:rPr>
        <w:t xml:space="preserve"> Deloitte Global Services Limite</w:t>
      </w:r>
      <w:r w:rsidR="002761E8">
        <w:rPr>
          <w:rFonts w:ascii="Times New Roman" w:hAnsi="Times New Roman" w:cs="Times New Roman"/>
          <w:lang w:val="en-GB"/>
        </w:rPr>
        <w:t xml:space="preserve">d, </w:t>
      </w:r>
      <w:r>
        <w:rPr>
          <w:rFonts w:ascii="Times New Roman" w:hAnsi="Times New Roman" w:cs="Times New Roman"/>
          <w:lang w:val="en-GB"/>
        </w:rPr>
        <w:t xml:space="preserve">London, </w:t>
      </w:r>
      <w:r w:rsidR="002761E8">
        <w:rPr>
          <w:rFonts w:ascii="Times New Roman" w:hAnsi="Times New Roman" w:cs="Times New Roman"/>
          <w:lang w:val="en-GB"/>
        </w:rPr>
        <w:t>UK.</w:t>
      </w:r>
    </w:p>
    <w:p w14:paraId="6E166CD8" w14:textId="77777777" w:rsidR="0079324C" w:rsidRDefault="0079324C" w:rsidP="00A004FC">
      <w:pPr>
        <w:jc w:val="both"/>
        <w:rPr>
          <w:rFonts w:ascii="Times New Roman" w:hAnsi="Times New Roman" w:cs="Times New Roman"/>
          <w:lang w:val="en-US"/>
        </w:rPr>
      </w:pPr>
      <w:r w:rsidRPr="000D3967">
        <w:rPr>
          <w:rFonts w:ascii="Times New Roman" w:hAnsi="Times New Roman" w:cs="Times New Roman"/>
          <w:lang w:val="en-US"/>
        </w:rPr>
        <w:t xml:space="preserve">Denzin, N.K. and Lincoln, Y.S. (2003), </w:t>
      </w:r>
      <w:r w:rsidRPr="000D3967">
        <w:rPr>
          <w:rFonts w:ascii="Times New Roman" w:hAnsi="Times New Roman" w:cs="Times New Roman"/>
          <w:i/>
          <w:lang w:val="en-US"/>
        </w:rPr>
        <w:t>Collecting and interpreting qualitative materials</w:t>
      </w:r>
      <w:r w:rsidRPr="000D3967">
        <w:rPr>
          <w:rFonts w:ascii="Times New Roman" w:hAnsi="Times New Roman" w:cs="Times New Roman"/>
          <w:lang w:val="en-US"/>
        </w:rPr>
        <w:t>. Sage, Thousand Oaks, California.</w:t>
      </w:r>
    </w:p>
    <w:p w14:paraId="38900809" w14:textId="30D1FC2B" w:rsidR="003E547C" w:rsidRPr="003E547C" w:rsidRDefault="003E547C" w:rsidP="003E547C">
      <w:pPr>
        <w:autoSpaceDE w:val="0"/>
        <w:autoSpaceDN w:val="0"/>
        <w:adjustRightInd w:val="0"/>
        <w:spacing w:after="0" w:line="240" w:lineRule="auto"/>
        <w:jc w:val="both"/>
        <w:rPr>
          <w:rFonts w:ascii="Times New Roman" w:hAnsi="Times New Roman" w:cs="Times New Roman"/>
          <w:color w:val="000000"/>
          <w:lang w:val="en"/>
        </w:rPr>
      </w:pPr>
      <w:proofErr w:type="spellStart"/>
      <w:r w:rsidRPr="003E547C">
        <w:rPr>
          <w:rFonts w:ascii="Times New Roman" w:hAnsi="Times New Roman" w:cs="Times New Roman"/>
          <w:lang w:val="en-US"/>
        </w:rPr>
        <w:t>Dey</w:t>
      </w:r>
      <w:proofErr w:type="spellEnd"/>
      <w:r w:rsidRPr="003E547C">
        <w:rPr>
          <w:rFonts w:ascii="Times New Roman" w:hAnsi="Times New Roman" w:cs="Times New Roman"/>
          <w:lang w:val="en-US"/>
        </w:rPr>
        <w:t>, C. and Burns. J. (2010). ‘</w:t>
      </w:r>
      <w:r w:rsidRPr="003E547C">
        <w:rPr>
          <w:rFonts w:ascii="Times New Roman" w:hAnsi="Times New Roman" w:cs="Times New Roman"/>
          <w:color w:val="000000"/>
          <w:lang w:val="en"/>
        </w:rPr>
        <w:t xml:space="preserve">Integrated reporting at Novo Nordisk’, in </w:t>
      </w:r>
      <w:r w:rsidRPr="003E547C">
        <w:rPr>
          <w:rFonts w:ascii="Times New Roman" w:hAnsi="Times New Roman" w:cs="Times New Roman"/>
          <w:lang w:val="en-US"/>
        </w:rPr>
        <w:t xml:space="preserve">Hopwood, A., </w:t>
      </w:r>
      <w:proofErr w:type="spellStart"/>
      <w:r w:rsidRPr="003E547C">
        <w:rPr>
          <w:rFonts w:ascii="Times New Roman" w:hAnsi="Times New Roman" w:cs="Times New Roman"/>
          <w:lang w:val="en-US"/>
        </w:rPr>
        <w:t>Unerman</w:t>
      </w:r>
      <w:proofErr w:type="spellEnd"/>
      <w:r w:rsidRPr="003E547C">
        <w:rPr>
          <w:rFonts w:ascii="Times New Roman" w:hAnsi="Times New Roman" w:cs="Times New Roman"/>
          <w:lang w:val="en-US"/>
        </w:rPr>
        <w:t xml:space="preserve">, J. and Fries, J. (Eds.) </w:t>
      </w:r>
      <w:r w:rsidRPr="003E547C">
        <w:rPr>
          <w:rFonts w:ascii="Times New Roman" w:hAnsi="Times New Roman" w:cs="Times New Roman"/>
          <w:i/>
          <w:lang w:val="en-US"/>
        </w:rPr>
        <w:t>Accounting for Sustainability: Practical Insights</w:t>
      </w:r>
      <w:r w:rsidRPr="003E547C">
        <w:rPr>
          <w:rFonts w:ascii="Times New Roman" w:hAnsi="Times New Roman" w:cs="Times New Roman"/>
          <w:lang w:val="en-US"/>
        </w:rPr>
        <w:t xml:space="preserve">. Abingdon: </w:t>
      </w:r>
      <w:proofErr w:type="spellStart"/>
      <w:r w:rsidRPr="003E547C">
        <w:rPr>
          <w:rFonts w:ascii="Times New Roman" w:hAnsi="Times New Roman" w:cs="Times New Roman"/>
          <w:lang w:val="en-US"/>
        </w:rPr>
        <w:t>Earthscan</w:t>
      </w:r>
      <w:proofErr w:type="spellEnd"/>
      <w:r w:rsidRPr="003E547C">
        <w:rPr>
          <w:rFonts w:ascii="Times New Roman" w:hAnsi="Times New Roman" w:cs="Times New Roman"/>
          <w:lang w:val="en-US"/>
        </w:rPr>
        <w:t xml:space="preserve">: </w:t>
      </w:r>
      <w:r w:rsidRPr="003E547C">
        <w:rPr>
          <w:rFonts w:ascii="Times New Roman" w:hAnsi="Times New Roman" w:cs="Times New Roman"/>
          <w:color w:val="000000"/>
          <w:lang w:val="en"/>
        </w:rPr>
        <w:t>197-214.</w:t>
      </w:r>
    </w:p>
    <w:p w14:paraId="02C3D2F8" w14:textId="77777777" w:rsidR="003E547C" w:rsidRDefault="003E547C" w:rsidP="003E547C">
      <w:pPr>
        <w:autoSpaceDE w:val="0"/>
        <w:autoSpaceDN w:val="0"/>
        <w:adjustRightInd w:val="0"/>
        <w:spacing w:after="0" w:line="240" w:lineRule="auto"/>
        <w:jc w:val="both"/>
        <w:rPr>
          <w:rFonts w:ascii="Times New Roman" w:hAnsi="Times New Roman" w:cs="Times New Roman"/>
          <w:lang w:val="en-US"/>
        </w:rPr>
      </w:pPr>
    </w:p>
    <w:p w14:paraId="6D5A97BF" w14:textId="77777777" w:rsidR="0079324C" w:rsidRPr="00500E89" w:rsidRDefault="0079324C" w:rsidP="00A004FC">
      <w:pPr>
        <w:autoSpaceDE w:val="0"/>
        <w:autoSpaceDN w:val="0"/>
        <w:adjustRightInd w:val="0"/>
        <w:spacing w:after="0" w:line="240" w:lineRule="auto"/>
        <w:jc w:val="both"/>
        <w:rPr>
          <w:rFonts w:ascii="Times New Roman" w:hAnsi="Times New Roman" w:cs="Times New Roman"/>
          <w:color w:val="231F20"/>
          <w:lang w:val="en-US"/>
        </w:rPr>
      </w:pPr>
      <w:r w:rsidRPr="00500E89">
        <w:rPr>
          <w:rFonts w:ascii="Times New Roman" w:hAnsi="Times New Roman" w:cs="Times New Roman"/>
          <w:color w:val="231F20"/>
          <w:lang w:val="en-US"/>
        </w:rPr>
        <w:t xml:space="preserve">Eccles, R. G. and </w:t>
      </w:r>
      <w:proofErr w:type="spellStart"/>
      <w:r w:rsidRPr="00500E89">
        <w:rPr>
          <w:rFonts w:ascii="Times New Roman" w:hAnsi="Times New Roman" w:cs="Times New Roman"/>
          <w:color w:val="231F20"/>
          <w:lang w:val="en-US"/>
        </w:rPr>
        <w:t>Krzus</w:t>
      </w:r>
      <w:proofErr w:type="spellEnd"/>
      <w:r w:rsidRPr="00500E89">
        <w:rPr>
          <w:rFonts w:ascii="Times New Roman" w:hAnsi="Times New Roman" w:cs="Times New Roman"/>
          <w:color w:val="231F20"/>
          <w:lang w:val="en-US"/>
        </w:rPr>
        <w:t xml:space="preserve">, M. P. (2010). </w:t>
      </w:r>
      <w:r w:rsidRPr="00500E89">
        <w:rPr>
          <w:rFonts w:ascii="Times New Roman" w:hAnsi="Times New Roman" w:cs="Times New Roman"/>
          <w:i/>
          <w:color w:val="231F20"/>
          <w:lang w:val="en-US"/>
        </w:rPr>
        <w:t>One Report: Integrated Reporting for a Sustainable Strategy</w:t>
      </w:r>
      <w:r w:rsidRPr="00500E89">
        <w:rPr>
          <w:rFonts w:ascii="Times New Roman" w:hAnsi="Times New Roman" w:cs="Times New Roman"/>
          <w:color w:val="231F20"/>
          <w:lang w:val="en-US"/>
        </w:rPr>
        <w:t>. Hoboken, NJ: John Wiley &amp; Sons.</w:t>
      </w:r>
    </w:p>
    <w:p w14:paraId="477C6F33" w14:textId="77777777" w:rsidR="0079324C" w:rsidRPr="00500E89" w:rsidRDefault="0079324C" w:rsidP="00A004FC">
      <w:pPr>
        <w:autoSpaceDE w:val="0"/>
        <w:autoSpaceDN w:val="0"/>
        <w:adjustRightInd w:val="0"/>
        <w:spacing w:after="0" w:line="240" w:lineRule="auto"/>
        <w:jc w:val="both"/>
        <w:rPr>
          <w:rFonts w:ascii="AdvPS6F00" w:hAnsi="AdvPS6F00" w:cs="AdvPS6F00"/>
          <w:color w:val="231F20"/>
          <w:sz w:val="16"/>
          <w:szCs w:val="16"/>
          <w:lang w:val="en-US"/>
        </w:rPr>
      </w:pPr>
    </w:p>
    <w:p w14:paraId="0BC2D843" w14:textId="77777777" w:rsidR="0079324C" w:rsidRPr="000D3967" w:rsidRDefault="0079324C" w:rsidP="00A004FC">
      <w:pPr>
        <w:jc w:val="both"/>
        <w:rPr>
          <w:rFonts w:ascii="Times New Roman" w:hAnsi="Times New Roman" w:cs="Times New Roman"/>
          <w:lang w:val="en-US"/>
        </w:rPr>
      </w:pPr>
      <w:r w:rsidRPr="000D3967">
        <w:rPr>
          <w:rFonts w:ascii="Times New Roman" w:hAnsi="Times New Roman" w:cs="Times New Roman"/>
          <w:lang w:val="en-US"/>
        </w:rPr>
        <w:t xml:space="preserve">Edward Green Jr., S. and Li, Y. (2011). ‘Rhetorical institutionalism: Language, agency, and structure in institutional theory since Alvesson 1993’. </w:t>
      </w:r>
      <w:r w:rsidRPr="000D3967">
        <w:rPr>
          <w:rFonts w:ascii="Times New Roman" w:hAnsi="Times New Roman" w:cs="Times New Roman"/>
          <w:i/>
          <w:lang w:val="en-US"/>
        </w:rPr>
        <w:t>Journal of Management Studies</w:t>
      </w:r>
      <w:r w:rsidRPr="000D3967">
        <w:rPr>
          <w:rFonts w:ascii="Times New Roman" w:hAnsi="Times New Roman" w:cs="Times New Roman"/>
          <w:lang w:val="en-US"/>
        </w:rPr>
        <w:t>, 48(7): 1662-1697.</w:t>
      </w:r>
    </w:p>
    <w:p w14:paraId="4CEF48EC" w14:textId="77777777" w:rsidR="0079324C" w:rsidRDefault="0079324C" w:rsidP="00A004FC">
      <w:pPr>
        <w:spacing w:after="0" w:line="240" w:lineRule="auto"/>
        <w:jc w:val="both"/>
        <w:rPr>
          <w:rFonts w:ascii="Times New Roman" w:eastAsia="SimSun" w:hAnsi="Times New Roman" w:cs="Times New Roman"/>
          <w:iCs/>
          <w:lang w:val="en-GB" w:eastAsia="zh-CN"/>
        </w:rPr>
      </w:pPr>
      <w:proofErr w:type="spellStart"/>
      <w:r w:rsidRPr="000D3967">
        <w:rPr>
          <w:rFonts w:ascii="Times New Roman" w:eastAsia="SimSun" w:hAnsi="Times New Roman" w:cs="Times New Roman"/>
          <w:iCs/>
          <w:lang w:val="en-GB" w:eastAsia="zh-CN"/>
        </w:rPr>
        <w:t>Etzion</w:t>
      </w:r>
      <w:proofErr w:type="spellEnd"/>
      <w:r w:rsidRPr="000D3967">
        <w:rPr>
          <w:rFonts w:ascii="Times New Roman" w:eastAsia="SimSun" w:hAnsi="Times New Roman" w:cs="Times New Roman"/>
          <w:iCs/>
          <w:lang w:val="en-GB" w:eastAsia="zh-CN"/>
        </w:rPr>
        <w:t xml:space="preserve">, D. and Ferraro, F. (2010). ‘The role of analogy in the institutionalization of sustainability reporting’. </w:t>
      </w:r>
      <w:r w:rsidRPr="000D3967">
        <w:rPr>
          <w:rFonts w:ascii="Times New Roman" w:eastAsia="SimSun" w:hAnsi="Times New Roman" w:cs="Times New Roman"/>
          <w:i/>
          <w:iCs/>
          <w:lang w:val="en-GB" w:eastAsia="zh-CN"/>
        </w:rPr>
        <w:t>Organization Science</w:t>
      </w:r>
      <w:r w:rsidRPr="000D3967">
        <w:rPr>
          <w:rFonts w:ascii="Times New Roman" w:eastAsia="SimSun" w:hAnsi="Times New Roman" w:cs="Times New Roman"/>
          <w:iCs/>
          <w:lang w:val="en-GB" w:eastAsia="zh-CN"/>
        </w:rPr>
        <w:t xml:space="preserve">, 21(5): 1092-1107. </w:t>
      </w:r>
    </w:p>
    <w:p w14:paraId="12CD639F" w14:textId="77777777" w:rsidR="0079324C" w:rsidRDefault="0079324C" w:rsidP="00A004FC">
      <w:pPr>
        <w:spacing w:after="0" w:line="240" w:lineRule="auto"/>
        <w:jc w:val="both"/>
        <w:rPr>
          <w:rFonts w:ascii="Times New Roman" w:eastAsia="SimSun" w:hAnsi="Times New Roman" w:cs="Times New Roman"/>
          <w:iCs/>
          <w:lang w:val="en-GB" w:eastAsia="zh-CN"/>
        </w:rPr>
      </w:pPr>
    </w:p>
    <w:p w14:paraId="6C739517" w14:textId="77777777" w:rsidR="0079324C" w:rsidRPr="000D3967" w:rsidRDefault="0079324C" w:rsidP="00A004FC">
      <w:pPr>
        <w:spacing w:after="0" w:line="240" w:lineRule="auto"/>
        <w:jc w:val="both"/>
        <w:rPr>
          <w:rFonts w:ascii="Times New Roman" w:eastAsia="SimSun" w:hAnsi="Times New Roman" w:cs="Times New Roman"/>
          <w:iCs/>
          <w:lang w:val="en-GB" w:eastAsia="zh-CN"/>
        </w:rPr>
      </w:pPr>
      <w:r>
        <w:rPr>
          <w:rFonts w:ascii="Times New Roman" w:eastAsia="SimSun" w:hAnsi="Times New Roman" w:cs="Times New Roman"/>
          <w:iCs/>
          <w:lang w:val="en-GB" w:eastAsia="zh-CN"/>
        </w:rPr>
        <w:t xml:space="preserve">EVCA (2013). </w:t>
      </w:r>
      <w:r w:rsidRPr="009A1F64">
        <w:rPr>
          <w:rFonts w:ascii="Times New Roman" w:eastAsia="SimSun" w:hAnsi="Times New Roman" w:cs="Times New Roman"/>
          <w:i/>
          <w:iCs/>
          <w:lang w:val="en-GB" w:eastAsia="zh-CN"/>
        </w:rPr>
        <w:t>Long term investing: The route to sustained growth</w:t>
      </w:r>
      <w:r>
        <w:rPr>
          <w:rFonts w:ascii="Times New Roman" w:eastAsia="SimSun" w:hAnsi="Times New Roman" w:cs="Times New Roman"/>
          <w:iCs/>
          <w:lang w:val="en-GB" w:eastAsia="zh-CN"/>
        </w:rPr>
        <w:t>. Brussels: European Private Equity and Venture Capital Association.</w:t>
      </w:r>
    </w:p>
    <w:p w14:paraId="292B7464" w14:textId="77777777" w:rsidR="0079324C" w:rsidRPr="000D3967" w:rsidRDefault="0079324C" w:rsidP="00A004FC">
      <w:pPr>
        <w:spacing w:after="0" w:line="240" w:lineRule="auto"/>
        <w:jc w:val="both"/>
        <w:rPr>
          <w:rFonts w:ascii="Times New Roman" w:eastAsia="SimSun" w:hAnsi="Times New Roman" w:cs="Times New Roman"/>
          <w:iCs/>
          <w:lang w:val="en-GB" w:eastAsia="zh-CN"/>
        </w:rPr>
      </w:pPr>
    </w:p>
    <w:p w14:paraId="031CDC80" w14:textId="77777777" w:rsidR="0079324C" w:rsidRDefault="0079324C" w:rsidP="00A004FC">
      <w:pPr>
        <w:spacing w:line="240" w:lineRule="auto"/>
        <w:jc w:val="both"/>
        <w:rPr>
          <w:rFonts w:ascii="Times New Roman" w:hAnsi="Times New Roman" w:cs="Times New Roman"/>
          <w:lang w:val="en-GB"/>
        </w:rPr>
      </w:pPr>
      <w:proofErr w:type="spellStart"/>
      <w:r w:rsidRPr="00E357AF">
        <w:rPr>
          <w:rFonts w:ascii="Times New Roman" w:hAnsi="Times New Roman" w:cs="Times New Roman"/>
          <w:lang w:val="en-GB"/>
        </w:rPr>
        <w:t>Fligstein</w:t>
      </w:r>
      <w:proofErr w:type="spellEnd"/>
      <w:r w:rsidRPr="00E357AF">
        <w:rPr>
          <w:rFonts w:ascii="Times New Roman" w:hAnsi="Times New Roman" w:cs="Times New Roman"/>
          <w:lang w:val="en-GB"/>
        </w:rPr>
        <w:t xml:space="preserve">, N. (1996). ‘A political-cultural approach to market institutions’. </w:t>
      </w:r>
      <w:r w:rsidRPr="00E357AF">
        <w:rPr>
          <w:rFonts w:ascii="Times New Roman" w:hAnsi="Times New Roman" w:cs="Times New Roman"/>
          <w:i/>
          <w:lang w:val="en-GB"/>
        </w:rPr>
        <w:t>American Sociological Review,</w:t>
      </w:r>
      <w:r w:rsidRPr="00E357AF">
        <w:rPr>
          <w:rFonts w:ascii="Times New Roman" w:hAnsi="Times New Roman" w:cs="Times New Roman"/>
          <w:lang w:val="en-GB"/>
        </w:rPr>
        <w:t xml:space="preserve"> 61: 656-673.</w:t>
      </w:r>
      <w:r w:rsidRPr="000D3967">
        <w:rPr>
          <w:rFonts w:ascii="Times New Roman" w:hAnsi="Times New Roman" w:cs="Times New Roman"/>
          <w:lang w:val="en-GB"/>
        </w:rPr>
        <w:t xml:space="preserve"> </w:t>
      </w:r>
    </w:p>
    <w:p w14:paraId="31FD5030" w14:textId="0B5BA81E" w:rsidR="00D57470" w:rsidRPr="00D57470" w:rsidRDefault="00D57470" w:rsidP="00D57470">
      <w:pPr>
        <w:tabs>
          <w:tab w:val="left" w:pos="5988"/>
        </w:tabs>
        <w:spacing w:line="240" w:lineRule="auto"/>
        <w:jc w:val="both"/>
        <w:rPr>
          <w:rFonts w:ascii="Times New Roman" w:hAnsi="Times New Roman" w:cs="Times New Roman"/>
          <w:lang w:val="en-US"/>
        </w:rPr>
      </w:pPr>
      <w:r w:rsidRPr="00D57470">
        <w:rPr>
          <w:rFonts w:ascii="Times New Roman" w:hAnsi="Times New Roman" w:cs="Times New Roman"/>
          <w:lang w:val="en-US"/>
        </w:rPr>
        <w:t>Flower J.</w:t>
      </w:r>
      <w:r>
        <w:rPr>
          <w:rFonts w:ascii="Times New Roman" w:hAnsi="Times New Roman" w:cs="Times New Roman"/>
          <w:lang w:val="en-US"/>
        </w:rPr>
        <w:t xml:space="preserve"> (</w:t>
      </w:r>
      <w:r w:rsidR="005D6434">
        <w:rPr>
          <w:rFonts w:ascii="Times New Roman" w:hAnsi="Times New Roman" w:cs="Times New Roman"/>
          <w:lang w:val="en-US"/>
        </w:rPr>
        <w:t>2015</w:t>
      </w:r>
      <w:r>
        <w:rPr>
          <w:rFonts w:ascii="Times New Roman" w:hAnsi="Times New Roman" w:cs="Times New Roman"/>
          <w:lang w:val="en-US"/>
        </w:rPr>
        <w:t>).</w:t>
      </w:r>
      <w:r w:rsidRPr="00D57470">
        <w:rPr>
          <w:rFonts w:ascii="Times New Roman" w:hAnsi="Times New Roman" w:cs="Times New Roman"/>
          <w:lang w:val="en-US"/>
        </w:rPr>
        <w:t xml:space="preserve"> ‘The international integrated reporting council: a story of failure’. </w:t>
      </w:r>
      <w:r w:rsidRPr="00D57470">
        <w:rPr>
          <w:rFonts w:ascii="Times New Roman" w:hAnsi="Times New Roman" w:cs="Times New Roman"/>
          <w:i/>
          <w:lang w:val="en-US"/>
        </w:rPr>
        <w:t>Critical Perspectives on Accounting</w:t>
      </w:r>
      <w:r w:rsidRPr="00D57470">
        <w:rPr>
          <w:rFonts w:ascii="Times New Roman" w:hAnsi="Times New Roman" w:cs="Times New Roman"/>
          <w:lang w:val="en-US"/>
        </w:rPr>
        <w:t xml:space="preserve">, </w:t>
      </w:r>
      <w:r w:rsidR="005D6434">
        <w:rPr>
          <w:rFonts w:ascii="Times New Roman" w:hAnsi="Times New Roman" w:cs="Times New Roman"/>
          <w:lang w:val="en-US"/>
        </w:rPr>
        <w:t>27: 1-17.</w:t>
      </w:r>
      <w:r w:rsidRPr="00D57470">
        <w:rPr>
          <w:rFonts w:ascii="Times New Roman" w:hAnsi="Times New Roman" w:cs="Times New Roman"/>
          <w:lang w:val="en-US"/>
        </w:rPr>
        <w:tab/>
      </w:r>
    </w:p>
    <w:p w14:paraId="0543C883" w14:textId="77777777" w:rsidR="0079324C" w:rsidRPr="00C0510F" w:rsidRDefault="0079324C" w:rsidP="00A004FC">
      <w:pPr>
        <w:spacing w:line="240" w:lineRule="auto"/>
        <w:jc w:val="both"/>
        <w:rPr>
          <w:rFonts w:ascii="Times New Roman" w:hAnsi="Times New Roman" w:cs="Times New Roman"/>
          <w:lang w:val="en-US"/>
        </w:rPr>
      </w:pPr>
      <w:r w:rsidRPr="00C0510F">
        <w:rPr>
          <w:rFonts w:ascii="Times New Roman" w:hAnsi="Times New Roman" w:cs="Times New Roman"/>
          <w:lang w:val="en-US"/>
        </w:rPr>
        <w:t xml:space="preserve">Fogarty, T.J., Radcliffe, V.S. and Campbell, D.R. (2006), ‘Accountancy Before the Fall: The AICPA Vision Project and Related Professional Enterprises’ </w:t>
      </w:r>
      <w:r w:rsidRPr="0079324C">
        <w:rPr>
          <w:rStyle w:val="Emphasis"/>
          <w:rFonts w:ascii="Times New Roman" w:hAnsi="Times New Roman" w:cs="Times New Roman"/>
          <w:b w:val="0"/>
          <w:i/>
          <w:lang w:val="en-US"/>
        </w:rPr>
        <w:t>Accounting, Organizations and Society</w:t>
      </w:r>
      <w:r w:rsidRPr="0079324C">
        <w:rPr>
          <w:rStyle w:val="Emphasis"/>
          <w:rFonts w:ascii="Times New Roman" w:hAnsi="Times New Roman" w:cs="Times New Roman"/>
          <w:b w:val="0"/>
          <w:lang w:val="en-US"/>
        </w:rPr>
        <w:t>,</w:t>
      </w:r>
      <w:r w:rsidRPr="00C0510F">
        <w:rPr>
          <w:rStyle w:val="Emphasis"/>
          <w:rFonts w:ascii="Times New Roman" w:hAnsi="Times New Roman" w:cs="Times New Roman"/>
          <w:lang w:val="en-US"/>
        </w:rPr>
        <w:t xml:space="preserve"> </w:t>
      </w:r>
      <w:r w:rsidRPr="00C0510F">
        <w:rPr>
          <w:rFonts w:ascii="Times New Roman" w:hAnsi="Times New Roman" w:cs="Times New Roman"/>
          <w:lang w:val="en-US"/>
        </w:rPr>
        <w:t>31(1): 1-25.</w:t>
      </w:r>
    </w:p>
    <w:p w14:paraId="146FEAF0" w14:textId="77777777" w:rsidR="0079324C" w:rsidRDefault="0079324C" w:rsidP="00A004FC">
      <w:pPr>
        <w:spacing w:after="120"/>
        <w:jc w:val="both"/>
        <w:rPr>
          <w:rFonts w:ascii="Times New Roman" w:hAnsi="Times New Roman" w:cs="Times New Roman"/>
          <w:lang w:val="en-GB"/>
        </w:rPr>
      </w:pPr>
      <w:proofErr w:type="spellStart"/>
      <w:r w:rsidRPr="000D3967">
        <w:rPr>
          <w:rFonts w:ascii="Times New Roman" w:hAnsi="Times New Roman" w:cs="Times New Roman"/>
          <w:lang w:val="en-GB"/>
        </w:rPr>
        <w:t>Gendron</w:t>
      </w:r>
      <w:proofErr w:type="spellEnd"/>
      <w:r w:rsidRPr="000D3967">
        <w:rPr>
          <w:rFonts w:ascii="Times New Roman" w:hAnsi="Times New Roman" w:cs="Times New Roman"/>
          <w:lang w:val="en-GB"/>
        </w:rPr>
        <w:t xml:space="preserve">, Y. and Barrett, M. (2004). ‘Professionalization in action: Accountants’ attempt at building a network of support for the </w:t>
      </w:r>
      <w:proofErr w:type="spellStart"/>
      <w:r w:rsidRPr="000D3967">
        <w:rPr>
          <w:rFonts w:ascii="Times New Roman" w:hAnsi="Times New Roman" w:cs="Times New Roman"/>
          <w:lang w:val="en-GB"/>
        </w:rPr>
        <w:t>WebTrust</w:t>
      </w:r>
      <w:proofErr w:type="spellEnd"/>
      <w:r w:rsidRPr="000D3967">
        <w:rPr>
          <w:rFonts w:ascii="Times New Roman" w:hAnsi="Times New Roman" w:cs="Times New Roman"/>
          <w:lang w:val="en-GB"/>
        </w:rPr>
        <w:t xml:space="preserve"> seal of assurance’. </w:t>
      </w:r>
      <w:r w:rsidRPr="000D3967">
        <w:rPr>
          <w:rFonts w:ascii="Times New Roman" w:hAnsi="Times New Roman" w:cs="Times New Roman"/>
          <w:i/>
          <w:iCs/>
          <w:lang w:val="en-GB"/>
        </w:rPr>
        <w:t>Contemporary Accounting Research</w:t>
      </w:r>
      <w:r w:rsidRPr="000D3967">
        <w:rPr>
          <w:rFonts w:ascii="Times New Roman" w:hAnsi="Times New Roman" w:cs="Times New Roman"/>
          <w:lang w:val="en-GB"/>
        </w:rPr>
        <w:t xml:space="preserve">, </w:t>
      </w:r>
      <w:r w:rsidRPr="000D3967">
        <w:rPr>
          <w:rFonts w:ascii="Times New Roman" w:hAnsi="Times New Roman" w:cs="Times New Roman"/>
          <w:iCs/>
          <w:lang w:val="en-GB"/>
        </w:rPr>
        <w:t>21</w:t>
      </w:r>
      <w:r w:rsidRPr="000D3967">
        <w:rPr>
          <w:rFonts w:ascii="Times New Roman" w:hAnsi="Times New Roman" w:cs="Times New Roman"/>
          <w:lang w:val="en-GB"/>
        </w:rPr>
        <w:t>(3), 563-602.</w:t>
      </w:r>
    </w:p>
    <w:p w14:paraId="2D859B0A" w14:textId="77BBE59E" w:rsidR="00621A42" w:rsidRDefault="00621A42" w:rsidP="00A004FC">
      <w:pPr>
        <w:spacing w:after="120"/>
        <w:jc w:val="both"/>
        <w:rPr>
          <w:rFonts w:ascii="Times New Roman" w:hAnsi="Times New Roman" w:cs="Times New Roman"/>
          <w:lang w:val="en-GB"/>
        </w:rPr>
      </w:pPr>
      <w:proofErr w:type="spellStart"/>
      <w:r>
        <w:rPr>
          <w:rFonts w:ascii="Times New Roman" w:hAnsi="Times New Roman" w:cs="Times New Roman"/>
          <w:lang w:val="en-GB"/>
        </w:rPr>
        <w:t>Gieryn</w:t>
      </w:r>
      <w:proofErr w:type="spellEnd"/>
      <w:r>
        <w:rPr>
          <w:rFonts w:ascii="Times New Roman" w:hAnsi="Times New Roman" w:cs="Times New Roman"/>
          <w:lang w:val="en-GB"/>
        </w:rPr>
        <w:t xml:space="preserve">, T.F. (1983). ‘Boundary work and the demarcation of science from non-science: Strains and interests in professional ideologies of scientists’. </w:t>
      </w:r>
      <w:r w:rsidRPr="00621A42">
        <w:rPr>
          <w:rFonts w:ascii="Times New Roman" w:hAnsi="Times New Roman" w:cs="Times New Roman"/>
          <w:i/>
          <w:lang w:val="en-GB"/>
        </w:rPr>
        <w:t>American Sociological Review</w:t>
      </w:r>
      <w:r>
        <w:rPr>
          <w:rFonts w:ascii="Times New Roman" w:hAnsi="Times New Roman" w:cs="Times New Roman"/>
          <w:lang w:val="en-GB"/>
        </w:rPr>
        <w:t>, 48(6): 781-795.</w:t>
      </w:r>
    </w:p>
    <w:p w14:paraId="7E3B3195" w14:textId="5D08D8C1" w:rsidR="00621A42" w:rsidRDefault="00621A42" w:rsidP="00621A42">
      <w:pPr>
        <w:autoSpaceDE w:val="0"/>
        <w:autoSpaceDN w:val="0"/>
        <w:adjustRightInd w:val="0"/>
        <w:spacing w:after="0" w:line="240" w:lineRule="auto"/>
        <w:rPr>
          <w:rFonts w:ascii="Times New Roman" w:hAnsi="Times New Roman" w:cs="Times New Roman"/>
          <w:lang w:val="en-US"/>
        </w:rPr>
      </w:pPr>
      <w:proofErr w:type="spellStart"/>
      <w:r w:rsidRPr="00621A42">
        <w:rPr>
          <w:rFonts w:ascii="Times New Roman" w:hAnsi="Times New Roman" w:cs="Times New Roman"/>
          <w:lang w:val="en-US"/>
        </w:rPr>
        <w:t>Gieryn</w:t>
      </w:r>
      <w:proofErr w:type="spellEnd"/>
      <w:r w:rsidRPr="00621A42">
        <w:rPr>
          <w:rFonts w:ascii="Times New Roman" w:hAnsi="Times New Roman" w:cs="Times New Roman"/>
          <w:lang w:val="en-US"/>
        </w:rPr>
        <w:t xml:space="preserve">, T. F. (1999). </w:t>
      </w:r>
      <w:r w:rsidRPr="00621A42">
        <w:rPr>
          <w:rFonts w:ascii="Times New Roman" w:hAnsi="Times New Roman" w:cs="Times New Roman"/>
          <w:i/>
          <w:lang w:val="en-US"/>
        </w:rPr>
        <w:t>Cultural boundaries of science: Credibility on the line</w:t>
      </w:r>
      <w:r w:rsidRPr="00621A42">
        <w:rPr>
          <w:rFonts w:ascii="Times New Roman" w:hAnsi="Times New Roman" w:cs="Times New Roman"/>
          <w:lang w:val="en-US"/>
        </w:rPr>
        <w:t xml:space="preserve">. </w:t>
      </w:r>
      <w:r>
        <w:rPr>
          <w:rFonts w:ascii="Times New Roman" w:hAnsi="Times New Roman" w:cs="Times New Roman"/>
          <w:lang w:val="en-US"/>
        </w:rPr>
        <w:t>Chicago,</w:t>
      </w:r>
      <w:r w:rsidRPr="00621A42">
        <w:rPr>
          <w:rFonts w:ascii="Times New Roman" w:hAnsi="Times New Roman" w:cs="Times New Roman"/>
          <w:lang w:val="en-US"/>
        </w:rPr>
        <w:t xml:space="preserve"> University of Chicago Press.</w:t>
      </w:r>
    </w:p>
    <w:p w14:paraId="73B6B4A3" w14:textId="77777777" w:rsidR="00621A42" w:rsidRPr="00621A42" w:rsidRDefault="00621A42" w:rsidP="00621A42">
      <w:pPr>
        <w:autoSpaceDE w:val="0"/>
        <w:autoSpaceDN w:val="0"/>
        <w:adjustRightInd w:val="0"/>
        <w:spacing w:after="0" w:line="240" w:lineRule="auto"/>
        <w:rPr>
          <w:rFonts w:ascii="Times New Roman" w:hAnsi="Times New Roman" w:cs="Times New Roman"/>
          <w:lang w:val="en-US"/>
        </w:rPr>
      </w:pPr>
    </w:p>
    <w:p w14:paraId="2494BD24" w14:textId="77777777" w:rsidR="0079324C" w:rsidRDefault="0079324C" w:rsidP="00A004FC">
      <w:pPr>
        <w:autoSpaceDE w:val="0"/>
        <w:autoSpaceDN w:val="0"/>
        <w:adjustRightInd w:val="0"/>
        <w:jc w:val="both"/>
        <w:rPr>
          <w:rFonts w:ascii="Times New Roman" w:hAnsi="Times New Roman" w:cs="Times New Roman"/>
          <w:lang w:val="en-US"/>
        </w:rPr>
      </w:pPr>
      <w:r w:rsidRPr="000D3967">
        <w:rPr>
          <w:rFonts w:ascii="Times New Roman" w:hAnsi="Times New Roman" w:cs="Times New Roman"/>
          <w:lang w:val="en-US"/>
        </w:rPr>
        <w:lastRenderedPageBreak/>
        <w:t xml:space="preserve">Given, L.M. (2008). </w:t>
      </w:r>
      <w:r w:rsidRPr="000D3967">
        <w:rPr>
          <w:rFonts w:ascii="Times New Roman" w:hAnsi="Times New Roman" w:cs="Times New Roman"/>
          <w:i/>
          <w:lang w:val="en-US"/>
        </w:rPr>
        <w:t>The Sage Encyclopedia of Qualitative Research Methods.</w:t>
      </w:r>
      <w:r w:rsidRPr="000D3967">
        <w:rPr>
          <w:rFonts w:ascii="Times New Roman" w:hAnsi="Times New Roman" w:cs="Times New Roman"/>
          <w:lang w:val="en-US"/>
        </w:rPr>
        <w:t xml:space="preserve"> Thousand Oaks, California: Sage.</w:t>
      </w:r>
    </w:p>
    <w:p w14:paraId="5509909E" w14:textId="2E4F7E5F" w:rsidR="00295E05" w:rsidRPr="00C0510F" w:rsidRDefault="00295E05" w:rsidP="00295E05">
      <w:pPr>
        <w:spacing w:line="240" w:lineRule="auto"/>
        <w:jc w:val="both"/>
        <w:rPr>
          <w:rFonts w:ascii="Times New Roman" w:hAnsi="Times New Roman" w:cs="Times New Roman"/>
          <w:lang w:val="en-US"/>
        </w:rPr>
      </w:pPr>
      <w:proofErr w:type="spellStart"/>
      <w:r>
        <w:rPr>
          <w:rFonts w:ascii="Times New Roman" w:hAnsi="Times New Roman" w:cs="Times New Roman"/>
          <w:lang w:val="en-US"/>
        </w:rPr>
        <w:t>Gracia</w:t>
      </w:r>
      <w:proofErr w:type="spellEnd"/>
      <w:r>
        <w:rPr>
          <w:rFonts w:ascii="Times New Roman" w:hAnsi="Times New Roman" w:cs="Times New Roman"/>
          <w:lang w:val="en-US"/>
        </w:rPr>
        <w:t xml:space="preserve">, L. and Oats, L. (2012). Boundary work and tax regulation: A </w:t>
      </w:r>
      <w:proofErr w:type="spellStart"/>
      <w:r>
        <w:rPr>
          <w:rFonts w:ascii="Times New Roman" w:hAnsi="Times New Roman" w:cs="Times New Roman"/>
          <w:lang w:val="en-US"/>
        </w:rPr>
        <w:t>Bourdieusian</w:t>
      </w:r>
      <w:proofErr w:type="spellEnd"/>
      <w:r>
        <w:rPr>
          <w:rFonts w:ascii="Times New Roman" w:hAnsi="Times New Roman" w:cs="Times New Roman"/>
          <w:lang w:val="en-US"/>
        </w:rPr>
        <w:t xml:space="preserve"> view. </w:t>
      </w:r>
      <w:r w:rsidRPr="0079324C">
        <w:rPr>
          <w:rStyle w:val="Emphasis"/>
          <w:rFonts w:ascii="Times New Roman" w:hAnsi="Times New Roman" w:cs="Times New Roman"/>
          <w:b w:val="0"/>
          <w:i/>
          <w:lang w:val="en-US"/>
        </w:rPr>
        <w:t>Accounting, Organizations and Society</w:t>
      </w:r>
      <w:r w:rsidRPr="0079324C">
        <w:rPr>
          <w:rStyle w:val="Emphasis"/>
          <w:rFonts w:ascii="Times New Roman" w:hAnsi="Times New Roman" w:cs="Times New Roman"/>
          <w:b w:val="0"/>
          <w:lang w:val="en-US"/>
        </w:rPr>
        <w:t>,</w:t>
      </w:r>
      <w:r w:rsidRPr="00C0510F">
        <w:rPr>
          <w:rStyle w:val="Emphasis"/>
          <w:rFonts w:ascii="Times New Roman" w:hAnsi="Times New Roman" w:cs="Times New Roman"/>
          <w:lang w:val="en-US"/>
        </w:rPr>
        <w:t xml:space="preserve"> </w:t>
      </w:r>
      <w:r>
        <w:rPr>
          <w:rFonts w:ascii="Times New Roman" w:hAnsi="Times New Roman" w:cs="Times New Roman"/>
          <w:lang w:val="en-US"/>
        </w:rPr>
        <w:t>37: 304-321</w:t>
      </w:r>
      <w:r w:rsidRPr="00C0510F">
        <w:rPr>
          <w:rFonts w:ascii="Times New Roman" w:hAnsi="Times New Roman" w:cs="Times New Roman"/>
          <w:lang w:val="en-US"/>
        </w:rPr>
        <w:t>.</w:t>
      </w:r>
    </w:p>
    <w:p w14:paraId="7FFCB2B2" w14:textId="70109286" w:rsidR="0079324C" w:rsidRPr="000D3967" w:rsidRDefault="0079324C" w:rsidP="00A004FC">
      <w:pPr>
        <w:autoSpaceDE w:val="0"/>
        <w:autoSpaceDN w:val="0"/>
        <w:adjustRightInd w:val="0"/>
        <w:spacing w:after="0" w:line="240" w:lineRule="auto"/>
        <w:jc w:val="both"/>
        <w:rPr>
          <w:rFonts w:ascii="Times New Roman" w:hAnsi="Times New Roman" w:cs="Times New Roman"/>
          <w:lang w:val="en-US"/>
        </w:rPr>
      </w:pPr>
      <w:r w:rsidRPr="000D3967">
        <w:rPr>
          <w:rStyle w:val="person"/>
          <w:rFonts w:ascii="Times New Roman" w:hAnsi="Times New Roman" w:cs="Times New Roman"/>
          <w:lang w:val="en"/>
        </w:rPr>
        <w:t>Gray, R. H.</w:t>
      </w:r>
      <w:r w:rsidRPr="000D3967">
        <w:rPr>
          <w:rFonts w:ascii="Times New Roman" w:hAnsi="Times New Roman" w:cs="Times New Roman"/>
          <w:lang w:val="en"/>
        </w:rPr>
        <w:t xml:space="preserve"> (</w:t>
      </w:r>
      <w:r w:rsidRPr="000D3967">
        <w:rPr>
          <w:rStyle w:val="Date1"/>
          <w:rFonts w:ascii="Times New Roman" w:hAnsi="Times New Roman" w:cs="Times New Roman"/>
          <w:lang w:val="en"/>
        </w:rPr>
        <w:t>2012).</w:t>
      </w:r>
      <w:r w:rsidRPr="000D3967">
        <w:rPr>
          <w:rFonts w:ascii="Times New Roman" w:hAnsi="Times New Roman" w:cs="Times New Roman"/>
          <w:lang w:val="en"/>
        </w:rPr>
        <w:t xml:space="preserve"> ‘</w:t>
      </w:r>
      <w:r w:rsidRPr="000D3967">
        <w:rPr>
          <w:rStyle w:val="Title1"/>
          <w:rFonts w:ascii="Times New Roman" w:hAnsi="Times New Roman" w:cs="Times New Roman"/>
          <w:lang w:val="en"/>
        </w:rPr>
        <w:t>Integrated Reporting: Integrated with what and for whom?’</w:t>
      </w:r>
      <w:r w:rsidRPr="000D3967">
        <w:rPr>
          <w:rFonts w:ascii="Times New Roman" w:hAnsi="Times New Roman" w:cs="Times New Roman"/>
          <w:lang w:val="en"/>
        </w:rPr>
        <w:t xml:space="preserve"> </w:t>
      </w:r>
      <w:r w:rsidRPr="000D3967">
        <w:rPr>
          <w:rFonts w:ascii="Times New Roman" w:hAnsi="Times New Roman" w:cs="Times New Roman"/>
          <w:i/>
          <w:lang w:val="en"/>
        </w:rPr>
        <w:t>The Loop</w:t>
      </w:r>
      <w:r w:rsidR="009509CA">
        <w:rPr>
          <w:rFonts w:ascii="Times New Roman" w:hAnsi="Times New Roman" w:cs="Times New Roman"/>
          <w:lang w:val="en"/>
        </w:rPr>
        <w:t>, 5.</w:t>
      </w:r>
      <w:r w:rsidRPr="000D3967">
        <w:rPr>
          <w:rFonts w:ascii="Times New Roman" w:hAnsi="Times New Roman" w:cs="Times New Roman"/>
          <w:lang w:val="en"/>
        </w:rPr>
        <w:br/>
      </w:r>
    </w:p>
    <w:p w14:paraId="0F0B9AC8" w14:textId="425828AC" w:rsidR="0079324C" w:rsidRPr="0079324C" w:rsidRDefault="0079324C" w:rsidP="00A004FC">
      <w:pPr>
        <w:jc w:val="both"/>
        <w:rPr>
          <w:rFonts w:ascii="Times New Roman" w:hAnsi="Times New Roman" w:cs="Times New Roman"/>
          <w:lang w:val="en"/>
        </w:rPr>
      </w:pPr>
      <w:r w:rsidRPr="000D3967">
        <w:rPr>
          <w:rStyle w:val="person"/>
          <w:rFonts w:ascii="Times New Roman" w:hAnsi="Times New Roman" w:cs="Times New Roman"/>
          <w:lang w:val="en"/>
        </w:rPr>
        <w:t>Gray, R. H.</w:t>
      </w:r>
      <w:r w:rsidRPr="000D3967">
        <w:rPr>
          <w:rFonts w:ascii="Times New Roman" w:hAnsi="Times New Roman" w:cs="Times New Roman"/>
          <w:lang w:val="en"/>
        </w:rPr>
        <w:t xml:space="preserve">, Adams, C. and Owen, D. (2014). </w:t>
      </w:r>
      <w:r w:rsidRPr="000D3967">
        <w:rPr>
          <w:rStyle w:val="Title1"/>
          <w:rFonts w:ascii="Times New Roman" w:hAnsi="Times New Roman" w:cs="Times New Roman"/>
          <w:i/>
          <w:lang w:val="en"/>
        </w:rPr>
        <w:t>Accountability, Social Responsibility and Sustainability: Accounting for Society and the Environment</w:t>
      </w:r>
      <w:r w:rsidRPr="000D3967">
        <w:rPr>
          <w:rFonts w:ascii="Times New Roman" w:hAnsi="Times New Roman" w:cs="Times New Roman"/>
          <w:lang w:val="en"/>
        </w:rPr>
        <w:t>, London: Pearson Education.</w:t>
      </w:r>
    </w:p>
    <w:p w14:paraId="4B3D9FB5" w14:textId="77777777" w:rsidR="0079324C" w:rsidRDefault="0079324C" w:rsidP="00A004FC">
      <w:pPr>
        <w:autoSpaceDE w:val="0"/>
        <w:autoSpaceDN w:val="0"/>
        <w:adjustRightInd w:val="0"/>
        <w:spacing w:after="0" w:line="240" w:lineRule="auto"/>
        <w:jc w:val="both"/>
        <w:rPr>
          <w:rFonts w:ascii="Times New Roman" w:hAnsi="Times New Roman" w:cs="Times New Roman"/>
          <w:lang w:val="en-US"/>
        </w:rPr>
      </w:pPr>
      <w:r w:rsidRPr="000D3967">
        <w:rPr>
          <w:rFonts w:ascii="Times New Roman" w:hAnsi="Times New Roman" w:cs="Times New Roman"/>
          <w:lang w:val="en"/>
        </w:rPr>
        <w:t xml:space="preserve">Gray, R.H., </w:t>
      </w:r>
      <w:r w:rsidRPr="000D3967">
        <w:rPr>
          <w:rFonts w:ascii="Times New Roman" w:hAnsi="Times New Roman" w:cs="Times New Roman"/>
          <w:lang w:val="en-US"/>
        </w:rPr>
        <w:t>Owen, D.L. and Maunders, K.T. (1989).</w:t>
      </w:r>
      <w:r w:rsidRPr="000D3967">
        <w:rPr>
          <w:rFonts w:ascii="Times New Roman" w:hAnsi="Times New Roman" w:cs="Times New Roman"/>
          <w:i/>
          <w:iCs/>
          <w:lang w:val="en-US"/>
        </w:rPr>
        <w:t xml:space="preserve"> </w:t>
      </w:r>
      <w:r w:rsidRPr="000D3967">
        <w:rPr>
          <w:rFonts w:ascii="Times New Roman" w:hAnsi="Times New Roman" w:cs="Times New Roman"/>
          <w:lang w:val="en-US"/>
        </w:rPr>
        <w:t xml:space="preserve">Corporate Social Reporting: Emerging trends in accountability and the social contract’, </w:t>
      </w:r>
      <w:r w:rsidRPr="000D3967">
        <w:rPr>
          <w:rFonts w:ascii="Times New Roman" w:hAnsi="Times New Roman" w:cs="Times New Roman"/>
          <w:i/>
          <w:iCs/>
          <w:lang w:val="en-US"/>
        </w:rPr>
        <w:t xml:space="preserve">Accounting, Auditing and Accountability Journal. </w:t>
      </w:r>
      <w:r w:rsidRPr="000D3967">
        <w:rPr>
          <w:rFonts w:ascii="Times New Roman" w:hAnsi="Times New Roman" w:cs="Times New Roman"/>
          <w:lang w:val="en-US"/>
        </w:rPr>
        <w:t xml:space="preserve">1(1): 6-20. </w:t>
      </w:r>
    </w:p>
    <w:p w14:paraId="4B1D2D58" w14:textId="77777777" w:rsidR="0079324C" w:rsidRDefault="0079324C" w:rsidP="00A004FC">
      <w:pPr>
        <w:autoSpaceDE w:val="0"/>
        <w:autoSpaceDN w:val="0"/>
        <w:adjustRightInd w:val="0"/>
        <w:spacing w:after="0" w:line="240" w:lineRule="auto"/>
        <w:jc w:val="both"/>
        <w:rPr>
          <w:rFonts w:ascii="Times New Roman" w:hAnsi="Times New Roman" w:cs="Times New Roman"/>
          <w:lang w:val="en-US"/>
        </w:rPr>
      </w:pPr>
    </w:p>
    <w:p w14:paraId="67D933B7" w14:textId="77777777" w:rsidR="0079324C" w:rsidRPr="000D3967" w:rsidRDefault="0079324C" w:rsidP="00A004FC">
      <w:pPr>
        <w:autoSpaceDE w:val="0"/>
        <w:autoSpaceDN w:val="0"/>
        <w:adjustRightInd w:val="0"/>
        <w:spacing w:after="0" w:line="240" w:lineRule="auto"/>
        <w:jc w:val="both"/>
        <w:rPr>
          <w:rFonts w:ascii="Times New Roman" w:hAnsi="Times New Roman" w:cs="Times New Roman"/>
          <w:lang w:val="en-US"/>
        </w:rPr>
      </w:pPr>
      <w:r w:rsidRPr="000D3967">
        <w:rPr>
          <w:rFonts w:ascii="Times New Roman" w:hAnsi="Times New Roman" w:cs="Times New Roman"/>
          <w:lang w:val="en"/>
        </w:rPr>
        <w:t xml:space="preserve">Gray, R.H., </w:t>
      </w:r>
      <w:r w:rsidRPr="000D3967">
        <w:rPr>
          <w:rFonts w:ascii="Times New Roman" w:hAnsi="Times New Roman" w:cs="Times New Roman"/>
          <w:lang w:val="en-US"/>
        </w:rPr>
        <w:t>Owen, D.L. and Maunders, K.T. (1987).</w:t>
      </w:r>
      <w:r w:rsidRPr="000D3967">
        <w:rPr>
          <w:rFonts w:ascii="Times New Roman" w:hAnsi="Times New Roman" w:cs="Times New Roman"/>
          <w:i/>
          <w:iCs/>
          <w:lang w:val="en-US"/>
        </w:rPr>
        <w:t xml:space="preserve"> Corporate Social Reporting: Accounting and Accountability, </w:t>
      </w:r>
      <w:proofErr w:type="spellStart"/>
      <w:r w:rsidRPr="000D3967">
        <w:rPr>
          <w:rFonts w:ascii="Times New Roman" w:hAnsi="Times New Roman" w:cs="Times New Roman"/>
          <w:lang w:val="en-US"/>
        </w:rPr>
        <w:t>Hemel</w:t>
      </w:r>
      <w:proofErr w:type="spellEnd"/>
      <w:r w:rsidRPr="000D3967">
        <w:rPr>
          <w:rFonts w:ascii="Times New Roman" w:hAnsi="Times New Roman" w:cs="Times New Roman"/>
          <w:lang w:val="en-US"/>
        </w:rPr>
        <w:t xml:space="preserve"> Hempstead: Prentice Hall International.</w:t>
      </w:r>
    </w:p>
    <w:p w14:paraId="39616129" w14:textId="77777777" w:rsidR="0079324C" w:rsidRPr="000D3967" w:rsidRDefault="0079324C" w:rsidP="00A004FC">
      <w:pPr>
        <w:autoSpaceDE w:val="0"/>
        <w:autoSpaceDN w:val="0"/>
        <w:adjustRightInd w:val="0"/>
        <w:spacing w:after="0" w:line="240" w:lineRule="auto"/>
        <w:jc w:val="both"/>
        <w:rPr>
          <w:rFonts w:ascii="Times New Roman" w:hAnsi="Times New Roman" w:cs="Times New Roman"/>
          <w:lang w:val="en-US"/>
        </w:rPr>
      </w:pPr>
    </w:p>
    <w:p w14:paraId="25347686" w14:textId="564D4922" w:rsidR="0079324C" w:rsidRPr="000D3967" w:rsidRDefault="0079324C" w:rsidP="00A004FC">
      <w:pPr>
        <w:jc w:val="both"/>
        <w:rPr>
          <w:rFonts w:ascii="Times New Roman" w:hAnsi="Times New Roman" w:cs="Times New Roman"/>
          <w:color w:val="000000"/>
          <w:lang w:val="en-US"/>
        </w:rPr>
      </w:pPr>
      <w:r w:rsidRPr="000D3967">
        <w:rPr>
          <w:rFonts w:ascii="Times New Roman" w:hAnsi="Times New Roman" w:cs="Times New Roman"/>
          <w:color w:val="000000"/>
          <w:lang w:val="en-US"/>
        </w:rPr>
        <w:t xml:space="preserve">Greenwood, R., </w:t>
      </w:r>
      <w:proofErr w:type="spellStart"/>
      <w:r w:rsidRPr="000D3967">
        <w:rPr>
          <w:rFonts w:ascii="Times New Roman" w:hAnsi="Times New Roman" w:cs="Times New Roman"/>
          <w:color w:val="000000"/>
          <w:lang w:val="en-US"/>
        </w:rPr>
        <w:t>Hinings</w:t>
      </w:r>
      <w:proofErr w:type="spellEnd"/>
      <w:r w:rsidRPr="000D3967">
        <w:rPr>
          <w:rFonts w:ascii="Times New Roman" w:hAnsi="Times New Roman" w:cs="Times New Roman"/>
          <w:color w:val="000000"/>
          <w:lang w:val="en-US"/>
        </w:rPr>
        <w:t>, C. and Suddaby, R. (2002). ‘</w:t>
      </w:r>
      <w:r w:rsidR="0021664A">
        <w:rPr>
          <w:rFonts w:ascii="Times New Roman" w:hAnsi="Times New Roman" w:cs="Times New Roman"/>
          <w:color w:val="000000"/>
          <w:lang w:val="en-US"/>
        </w:rPr>
        <w:t>Theoriz</w:t>
      </w:r>
      <w:r w:rsidR="00CD0156">
        <w:rPr>
          <w:rFonts w:ascii="Times New Roman" w:hAnsi="Times New Roman" w:cs="Times New Roman"/>
          <w:color w:val="000000"/>
          <w:lang w:val="en-US"/>
        </w:rPr>
        <w:t>ing</w:t>
      </w:r>
      <w:r w:rsidRPr="000D3967">
        <w:rPr>
          <w:rFonts w:ascii="Times New Roman" w:hAnsi="Times New Roman" w:cs="Times New Roman"/>
          <w:color w:val="000000"/>
          <w:lang w:val="en-US"/>
        </w:rPr>
        <w:t xml:space="preserve"> change: The role of professional associations in the transformation of institutionalized fields’. </w:t>
      </w:r>
      <w:r w:rsidRPr="000D3967">
        <w:rPr>
          <w:rFonts w:ascii="Times New Roman" w:hAnsi="Times New Roman" w:cs="Times New Roman"/>
          <w:i/>
          <w:iCs/>
          <w:color w:val="000000"/>
          <w:lang w:val="en-US"/>
        </w:rPr>
        <w:t>Academy of Management Journal</w:t>
      </w:r>
      <w:r w:rsidRPr="000D3967">
        <w:rPr>
          <w:rFonts w:ascii="Times New Roman" w:hAnsi="Times New Roman" w:cs="Times New Roman"/>
          <w:color w:val="000000"/>
          <w:lang w:val="en-US"/>
        </w:rPr>
        <w:t xml:space="preserve">, </w:t>
      </w:r>
      <w:r w:rsidRPr="000D3967">
        <w:rPr>
          <w:rFonts w:ascii="Times New Roman" w:hAnsi="Times New Roman" w:cs="Times New Roman"/>
          <w:iCs/>
          <w:color w:val="000000"/>
          <w:lang w:val="en-US"/>
        </w:rPr>
        <w:t>45</w:t>
      </w:r>
      <w:r w:rsidRPr="000D3967">
        <w:rPr>
          <w:rFonts w:ascii="Times New Roman" w:hAnsi="Times New Roman" w:cs="Times New Roman"/>
          <w:color w:val="000000"/>
          <w:lang w:val="en-US"/>
        </w:rPr>
        <w:t>: 58–80.</w:t>
      </w:r>
    </w:p>
    <w:p w14:paraId="68B3C134" w14:textId="77777777" w:rsidR="0079324C" w:rsidRPr="000D3967" w:rsidRDefault="0079324C" w:rsidP="00A004FC">
      <w:pPr>
        <w:jc w:val="both"/>
        <w:rPr>
          <w:rFonts w:ascii="Times New Roman" w:hAnsi="Times New Roman" w:cs="Times New Roman"/>
          <w:color w:val="000000"/>
          <w:lang w:val="en-US"/>
        </w:rPr>
      </w:pPr>
      <w:r w:rsidRPr="000D3967">
        <w:rPr>
          <w:rFonts w:ascii="Times New Roman" w:hAnsi="Times New Roman" w:cs="Times New Roman"/>
          <w:color w:val="000000"/>
          <w:lang w:val="en-US"/>
        </w:rPr>
        <w:t xml:space="preserve">Greenwood, R., Oliver, C., Suddaby, R., &amp; </w:t>
      </w:r>
      <w:proofErr w:type="spellStart"/>
      <w:r w:rsidRPr="000D3967">
        <w:rPr>
          <w:rFonts w:ascii="Times New Roman" w:hAnsi="Times New Roman" w:cs="Times New Roman"/>
          <w:color w:val="000000"/>
          <w:lang w:val="en-US"/>
        </w:rPr>
        <w:t>Sahlin</w:t>
      </w:r>
      <w:proofErr w:type="spellEnd"/>
      <w:r w:rsidRPr="000D3967">
        <w:rPr>
          <w:rFonts w:ascii="Times New Roman" w:hAnsi="Times New Roman" w:cs="Times New Roman"/>
          <w:color w:val="000000"/>
          <w:lang w:val="en-US"/>
        </w:rPr>
        <w:t xml:space="preserve">, K. (Eds.). (2008). </w:t>
      </w:r>
      <w:r w:rsidRPr="000D3967">
        <w:rPr>
          <w:rFonts w:ascii="Times New Roman" w:hAnsi="Times New Roman" w:cs="Times New Roman"/>
          <w:i/>
          <w:iCs/>
          <w:color w:val="000000"/>
          <w:lang w:val="en-US"/>
        </w:rPr>
        <w:t>The Sage Handbook of Organizational Institutionalism</w:t>
      </w:r>
      <w:r w:rsidRPr="000D3967">
        <w:rPr>
          <w:rFonts w:ascii="Times New Roman" w:hAnsi="Times New Roman" w:cs="Times New Roman"/>
          <w:color w:val="000000"/>
          <w:lang w:val="en-US"/>
        </w:rPr>
        <w:t>. London: SAGE Publications.</w:t>
      </w:r>
    </w:p>
    <w:p w14:paraId="1219CDC5" w14:textId="77777777" w:rsidR="00FF2F21" w:rsidRDefault="0079324C" w:rsidP="008E4449">
      <w:pPr>
        <w:jc w:val="both"/>
        <w:rPr>
          <w:rFonts w:ascii="Times New Roman" w:hAnsi="Times New Roman" w:cs="Times New Roman"/>
          <w:color w:val="000000"/>
          <w:lang w:val="en-US"/>
        </w:rPr>
      </w:pPr>
      <w:r w:rsidRPr="000D3967">
        <w:rPr>
          <w:rFonts w:ascii="Times New Roman" w:hAnsi="Times New Roman" w:cs="Times New Roman"/>
          <w:color w:val="000000"/>
          <w:lang w:val="en-US"/>
        </w:rPr>
        <w:t>Greenwood, R. and Suddaby, R. (2005). ‘Institutional entrepreneurship in mature fields: The Big Five account</w:t>
      </w:r>
      <w:r w:rsidRPr="000D3967">
        <w:rPr>
          <w:rFonts w:ascii="Times New Roman" w:hAnsi="Times New Roman" w:cs="Times New Roman"/>
          <w:color w:val="000000"/>
          <w:lang w:val="en-US"/>
        </w:rPr>
        <w:softHyphen/>
        <w:t xml:space="preserve">ing firms’. </w:t>
      </w:r>
      <w:r w:rsidRPr="000D3967">
        <w:rPr>
          <w:rFonts w:ascii="Times New Roman" w:hAnsi="Times New Roman" w:cs="Times New Roman"/>
          <w:i/>
          <w:iCs/>
          <w:color w:val="000000"/>
          <w:lang w:val="en-US"/>
        </w:rPr>
        <w:t>Academy of Management Journal</w:t>
      </w:r>
      <w:r w:rsidRPr="000D3967">
        <w:rPr>
          <w:rFonts w:ascii="Times New Roman" w:hAnsi="Times New Roman" w:cs="Times New Roman"/>
          <w:color w:val="000000"/>
          <w:lang w:val="en-US"/>
        </w:rPr>
        <w:t xml:space="preserve">, </w:t>
      </w:r>
      <w:r w:rsidRPr="000D3967">
        <w:rPr>
          <w:rFonts w:ascii="Times New Roman" w:hAnsi="Times New Roman" w:cs="Times New Roman"/>
          <w:iCs/>
          <w:color w:val="000000"/>
          <w:lang w:val="en-US"/>
        </w:rPr>
        <w:t>49</w:t>
      </w:r>
      <w:r w:rsidRPr="000D3967">
        <w:rPr>
          <w:rFonts w:ascii="Times New Roman" w:hAnsi="Times New Roman" w:cs="Times New Roman"/>
          <w:color w:val="000000"/>
          <w:lang w:val="en-US"/>
        </w:rPr>
        <w:t>: 27–48</w:t>
      </w:r>
    </w:p>
    <w:p w14:paraId="49DB4181" w14:textId="34A0D20F" w:rsidR="00FF2F21" w:rsidRPr="008E4449" w:rsidRDefault="00FF2F21" w:rsidP="008E4449">
      <w:pPr>
        <w:jc w:val="both"/>
        <w:rPr>
          <w:rFonts w:ascii="Times New Roman" w:hAnsi="Times New Roman" w:cs="Times New Roman"/>
          <w:color w:val="000000"/>
          <w:lang w:val="en-US"/>
        </w:rPr>
      </w:pPr>
      <w:r w:rsidRPr="008E4449">
        <w:rPr>
          <w:rFonts w:ascii="Times New Roman" w:hAnsi="Times New Roman" w:cs="Times New Roman"/>
          <w:noProof/>
          <w:lang w:val="en-US"/>
        </w:rPr>
        <w:t>Haller, A. and van Staden, C. (2014), ‘The Value Added Statement – An Appropriate Instrument for Integrated Reporting</w:t>
      </w:r>
      <w:r w:rsidR="00CF5F44">
        <w:rPr>
          <w:rFonts w:ascii="Times New Roman" w:hAnsi="Times New Roman" w:cs="Times New Roman"/>
          <w:noProof/>
          <w:lang w:val="en-US"/>
        </w:rPr>
        <w:t>’,</w:t>
      </w:r>
      <w:r w:rsidRPr="008E4449">
        <w:rPr>
          <w:rFonts w:ascii="Times New Roman" w:hAnsi="Times New Roman" w:cs="Times New Roman"/>
          <w:noProof/>
          <w:lang w:val="en-US"/>
        </w:rPr>
        <w:t xml:space="preserve"> </w:t>
      </w:r>
      <w:r w:rsidRPr="008E4449">
        <w:rPr>
          <w:rFonts w:ascii="Times New Roman" w:hAnsi="Times New Roman" w:cs="Times New Roman"/>
          <w:i/>
          <w:noProof/>
          <w:lang w:val="en-US"/>
        </w:rPr>
        <w:t>Accounting, Auditing &amp; Accountability Journal</w:t>
      </w:r>
      <w:r w:rsidRPr="008E4449">
        <w:rPr>
          <w:rFonts w:ascii="Times New Roman" w:hAnsi="Times New Roman" w:cs="Times New Roman"/>
          <w:noProof/>
          <w:lang w:val="en-US"/>
        </w:rPr>
        <w:t xml:space="preserve">, </w:t>
      </w:r>
      <w:r>
        <w:rPr>
          <w:rFonts w:ascii="Times New Roman" w:hAnsi="Times New Roman" w:cs="Times New Roman"/>
          <w:noProof/>
          <w:lang w:val="en-US"/>
        </w:rPr>
        <w:t xml:space="preserve"> 27(7): 1190-1216.</w:t>
      </w:r>
    </w:p>
    <w:p w14:paraId="6DB0DCCF" w14:textId="77777777" w:rsidR="0079324C" w:rsidRDefault="0079324C" w:rsidP="00A004FC">
      <w:pPr>
        <w:autoSpaceDE w:val="0"/>
        <w:autoSpaceDN w:val="0"/>
        <w:adjustRightInd w:val="0"/>
        <w:spacing w:after="0" w:line="240" w:lineRule="auto"/>
        <w:jc w:val="both"/>
        <w:rPr>
          <w:rFonts w:ascii="Times New Roman" w:hAnsi="Times New Roman" w:cs="Times New Roman"/>
          <w:lang w:val="en-US"/>
        </w:rPr>
      </w:pPr>
      <w:r w:rsidRPr="000D3967">
        <w:rPr>
          <w:rFonts w:ascii="Times New Roman" w:hAnsi="Times New Roman" w:cs="Times New Roman"/>
          <w:lang w:val="en-US"/>
        </w:rPr>
        <w:t xml:space="preserve">Hardy, C. and Maguire, S. (2008). ‘Institutional entrepreneurship’. In R. Greenwood, C. Oliver, R. Suddaby, &amp; K. </w:t>
      </w:r>
      <w:proofErr w:type="spellStart"/>
      <w:r w:rsidRPr="000D3967">
        <w:rPr>
          <w:rFonts w:ascii="Times New Roman" w:hAnsi="Times New Roman" w:cs="Times New Roman"/>
          <w:lang w:val="en-US"/>
        </w:rPr>
        <w:t>Sahlin</w:t>
      </w:r>
      <w:proofErr w:type="spellEnd"/>
      <w:r w:rsidRPr="000D3967">
        <w:rPr>
          <w:rFonts w:ascii="Times New Roman" w:hAnsi="Times New Roman" w:cs="Times New Roman"/>
          <w:lang w:val="en-US"/>
        </w:rPr>
        <w:t xml:space="preserve">-Anderson  (Eds.), </w:t>
      </w:r>
      <w:r w:rsidRPr="000D3967">
        <w:rPr>
          <w:rFonts w:ascii="Times New Roman" w:hAnsi="Times New Roman" w:cs="Times New Roman"/>
          <w:i/>
          <w:iCs/>
          <w:lang w:val="en-US"/>
        </w:rPr>
        <w:t xml:space="preserve">Handbook of organizational institutionalism </w:t>
      </w:r>
      <w:r w:rsidRPr="000D3967">
        <w:rPr>
          <w:rFonts w:ascii="Times New Roman" w:hAnsi="Times New Roman" w:cs="Times New Roman"/>
          <w:lang w:val="en-US"/>
        </w:rPr>
        <w:t>(pp. 198–217). Thousand Oaks, CA: Sage.</w:t>
      </w:r>
    </w:p>
    <w:p w14:paraId="3B8FC460" w14:textId="77777777" w:rsidR="00A7662E" w:rsidRDefault="00A7662E" w:rsidP="00A004FC">
      <w:pPr>
        <w:autoSpaceDE w:val="0"/>
        <w:autoSpaceDN w:val="0"/>
        <w:adjustRightInd w:val="0"/>
        <w:spacing w:after="0" w:line="240" w:lineRule="auto"/>
        <w:jc w:val="both"/>
        <w:rPr>
          <w:rFonts w:ascii="Times New Roman" w:hAnsi="Times New Roman" w:cs="Times New Roman"/>
          <w:lang w:val="en-US"/>
        </w:rPr>
      </w:pPr>
    </w:p>
    <w:p w14:paraId="5A0B210F" w14:textId="20962D94" w:rsidR="00786D8A" w:rsidRDefault="00786D8A" w:rsidP="00A7662E">
      <w:pPr>
        <w:pStyle w:val="EndNoteBibliography"/>
        <w:spacing w:after="120"/>
        <w:rPr>
          <w:rFonts w:ascii="Times New Roman" w:hAnsi="Times New Roman" w:cs="Times New Roman"/>
          <w:noProof/>
          <w:sz w:val="22"/>
          <w:szCs w:val="22"/>
        </w:rPr>
      </w:pPr>
      <w:r w:rsidRPr="00686181">
        <w:rPr>
          <w:rFonts w:ascii="Times New Roman" w:hAnsi="Times New Roman" w:cs="Times New Roman"/>
          <w:noProof/>
          <w:sz w:val="22"/>
          <w:szCs w:val="22"/>
        </w:rPr>
        <w:t xml:space="preserve">Hayne, C. and Free, C. (2014) “Hybridized professional groups and institutional work: COSO and the rise of enterprise risk management”, </w:t>
      </w:r>
      <w:r w:rsidRPr="00686181">
        <w:rPr>
          <w:rFonts w:ascii="Times New Roman" w:hAnsi="Times New Roman" w:cs="Times New Roman"/>
          <w:i/>
          <w:iCs/>
          <w:noProof/>
          <w:sz w:val="22"/>
          <w:szCs w:val="22"/>
        </w:rPr>
        <w:t>Accounting, Organizations and Society</w:t>
      </w:r>
      <w:r w:rsidRPr="00686181">
        <w:rPr>
          <w:rFonts w:ascii="Times New Roman" w:hAnsi="Times New Roman" w:cs="Times New Roman"/>
          <w:noProof/>
          <w:sz w:val="22"/>
          <w:szCs w:val="22"/>
        </w:rPr>
        <w:t>, 39(5): 309-330</w:t>
      </w:r>
    </w:p>
    <w:p w14:paraId="2108BF7C" w14:textId="18A74937" w:rsidR="00A7662E" w:rsidRPr="00A7662E" w:rsidRDefault="00A7662E" w:rsidP="00A7662E">
      <w:pPr>
        <w:pStyle w:val="EndNoteBibliography"/>
        <w:spacing w:after="120"/>
        <w:rPr>
          <w:rFonts w:ascii="Times New Roman" w:hAnsi="Times New Roman" w:cs="Times New Roman"/>
          <w:noProof/>
          <w:sz w:val="22"/>
          <w:szCs w:val="22"/>
        </w:rPr>
      </w:pPr>
      <w:r w:rsidRPr="00A7662E">
        <w:rPr>
          <w:rFonts w:ascii="Times New Roman" w:hAnsi="Times New Roman" w:cs="Times New Roman"/>
          <w:noProof/>
          <w:sz w:val="22"/>
          <w:szCs w:val="22"/>
        </w:rPr>
        <w:t xml:space="preserve">Higgins, C., Stubbs, W. and Love, T. (2014), “Walking the talk(s): </w:t>
      </w:r>
      <w:r w:rsidR="0091232F">
        <w:rPr>
          <w:rFonts w:ascii="Times New Roman" w:hAnsi="Times New Roman" w:cs="Times New Roman"/>
          <w:noProof/>
          <w:sz w:val="22"/>
          <w:szCs w:val="22"/>
        </w:rPr>
        <w:t>Organization</w:t>
      </w:r>
      <w:r w:rsidRPr="00A7662E">
        <w:rPr>
          <w:rFonts w:ascii="Times New Roman" w:hAnsi="Times New Roman" w:cs="Times New Roman"/>
          <w:noProof/>
          <w:sz w:val="22"/>
          <w:szCs w:val="22"/>
        </w:rPr>
        <w:t xml:space="preserve">al narratives of integrated reporting”, </w:t>
      </w:r>
      <w:r w:rsidRPr="00A7662E">
        <w:rPr>
          <w:rFonts w:ascii="Times New Roman" w:hAnsi="Times New Roman" w:cs="Times New Roman"/>
          <w:i/>
          <w:noProof/>
          <w:sz w:val="22"/>
          <w:szCs w:val="22"/>
        </w:rPr>
        <w:t>Accounting, Auditing &amp; Accountability Journal</w:t>
      </w:r>
      <w:r w:rsidRPr="00A7662E">
        <w:rPr>
          <w:rFonts w:ascii="Times New Roman" w:hAnsi="Times New Roman" w:cs="Times New Roman"/>
          <w:noProof/>
          <w:sz w:val="22"/>
          <w:szCs w:val="22"/>
        </w:rPr>
        <w:t xml:space="preserve">, 27(7): </w:t>
      </w:r>
      <w:r w:rsidRPr="00A7662E">
        <w:rPr>
          <w:rFonts w:ascii="Times New Roman" w:hAnsi="Times New Roman" w:cs="Times New Roman"/>
          <w:sz w:val="22"/>
          <w:szCs w:val="22"/>
          <w:lang w:val="en"/>
        </w:rPr>
        <w:t>1090</w:t>
      </w:r>
      <w:r>
        <w:rPr>
          <w:rFonts w:ascii="Times New Roman" w:hAnsi="Times New Roman" w:cs="Times New Roman"/>
          <w:sz w:val="22"/>
          <w:szCs w:val="22"/>
          <w:lang w:val="en"/>
        </w:rPr>
        <w:t>-</w:t>
      </w:r>
      <w:r w:rsidRPr="00A7662E">
        <w:rPr>
          <w:rFonts w:ascii="Times New Roman" w:hAnsi="Times New Roman" w:cs="Times New Roman"/>
          <w:sz w:val="22"/>
          <w:szCs w:val="22"/>
          <w:lang w:val="en"/>
        </w:rPr>
        <w:t>1119.</w:t>
      </w:r>
    </w:p>
    <w:p w14:paraId="54A8C1A3" w14:textId="77777777" w:rsidR="0079324C" w:rsidRDefault="0079324C" w:rsidP="00A004FC">
      <w:pPr>
        <w:autoSpaceDE w:val="0"/>
        <w:autoSpaceDN w:val="0"/>
        <w:adjustRightInd w:val="0"/>
        <w:spacing w:after="0" w:line="240" w:lineRule="auto"/>
        <w:jc w:val="both"/>
        <w:rPr>
          <w:rFonts w:ascii="Times New Roman" w:hAnsi="Times New Roman" w:cs="Times New Roman"/>
          <w:lang w:val="en-US"/>
        </w:rPr>
      </w:pPr>
      <w:r w:rsidRPr="00471F26">
        <w:rPr>
          <w:rFonts w:ascii="Times New Roman" w:hAnsi="Times New Roman" w:cs="Times New Roman"/>
          <w:lang w:val="en-US"/>
        </w:rPr>
        <w:t xml:space="preserve">Hopwood, A., </w:t>
      </w:r>
      <w:proofErr w:type="spellStart"/>
      <w:r w:rsidRPr="00471F26">
        <w:rPr>
          <w:rFonts w:ascii="Times New Roman" w:hAnsi="Times New Roman" w:cs="Times New Roman"/>
          <w:lang w:val="en-US"/>
        </w:rPr>
        <w:t>Unerman</w:t>
      </w:r>
      <w:proofErr w:type="spellEnd"/>
      <w:r w:rsidRPr="00471F26">
        <w:rPr>
          <w:rFonts w:ascii="Times New Roman" w:hAnsi="Times New Roman" w:cs="Times New Roman"/>
          <w:lang w:val="en-US"/>
        </w:rPr>
        <w:t xml:space="preserve">, J. and Fries, J. (2010). </w:t>
      </w:r>
      <w:r w:rsidRPr="00471F26">
        <w:rPr>
          <w:rFonts w:ascii="Times New Roman" w:hAnsi="Times New Roman" w:cs="Times New Roman"/>
          <w:i/>
          <w:lang w:val="en-US"/>
        </w:rPr>
        <w:t>Accounting for Sustainability:</w:t>
      </w:r>
      <w:r>
        <w:rPr>
          <w:rFonts w:ascii="Times New Roman" w:hAnsi="Times New Roman" w:cs="Times New Roman"/>
          <w:i/>
          <w:lang w:val="en-US"/>
        </w:rPr>
        <w:t xml:space="preserve"> </w:t>
      </w:r>
      <w:r w:rsidRPr="00471F26">
        <w:rPr>
          <w:rFonts w:ascii="Times New Roman" w:hAnsi="Times New Roman" w:cs="Times New Roman"/>
          <w:i/>
          <w:lang w:val="en-US"/>
        </w:rPr>
        <w:t>Practical Insights</w:t>
      </w:r>
      <w:r w:rsidRPr="00471F26">
        <w:rPr>
          <w:rFonts w:ascii="Times New Roman" w:hAnsi="Times New Roman" w:cs="Times New Roman"/>
          <w:lang w:val="en-US"/>
        </w:rPr>
        <w:t xml:space="preserve">. Abingdon: </w:t>
      </w:r>
      <w:proofErr w:type="spellStart"/>
      <w:r w:rsidRPr="00471F26">
        <w:rPr>
          <w:rFonts w:ascii="Times New Roman" w:hAnsi="Times New Roman" w:cs="Times New Roman"/>
          <w:lang w:val="en-US"/>
        </w:rPr>
        <w:t>Earthscan</w:t>
      </w:r>
      <w:proofErr w:type="spellEnd"/>
      <w:r w:rsidRPr="00471F26">
        <w:rPr>
          <w:rFonts w:ascii="Times New Roman" w:hAnsi="Times New Roman" w:cs="Times New Roman"/>
          <w:lang w:val="en-US"/>
        </w:rPr>
        <w:t>.</w:t>
      </w:r>
    </w:p>
    <w:p w14:paraId="517EB73D" w14:textId="77777777" w:rsidR="00071CA2" w:rsidRDefault="00071CA2" w:rsidP="00A004FC">
      <w:pPr>
        <w:autoSpaceDE w:val="0"/>
        <w:autoSpaceDN w:val="0"/>
        <w:adjustRightInd w:val="0"/>
        <w:spacing w:after="0" w:line="240" w:lineRule="auto"/>
        <w:jc w:val="both"/>
        <w:rPr>
          <w:rFonts w:ascii="Times New Roman" w:hAnsi="Times New Roman" w:cs="Times New Roman"/>
          <w:lang w:val="en-US"/>
        </w:rPr>
      </w:pPr>
    </w:p>
    <w:p w14:paraId="0DBADB1B" w14:textId="400C1DF7" w:rsidR="004D35E7" w:rsidRDefault="00071CA2" w:rsidP="00071CA2">
      <w:pPr>
        <w:jc w:val="both"/>
        <w:rPr>
          <w:rFonts w:ascii="Times New Roman" w:hAnsi="Times New Roman" w:cs="Times New Roman"/>
          <w:color w:val="000000"/>
          <w:lang w:val="en-US"/>
        </w:rPr>
      </w:pPr>
      <w:r w:rsidRPr="000D3967">
        <w:rPr>
          <w:rFonts w:ascii="Times New Roman" w:hAnsi="Times New Roman" w:cs="Times New Roman"/>
          <w:color w:val="000000"/>
          <w:lang w:val="en-US"/>
        </w:rPr>
        <w:t xml:space="preserve">Hoffman, A. J. (1999). ‘Institutional evolution and change: Environmentalism and the US chemical industry’. </w:t>
      </w:r>
      <w:r w:rsidRPr="000D3967">
        <w:rPr>
          <w:rFonts w:ascii="Times New Roman" w:hAnsi="Times New Roman" w:cs="Times New Roman"/>
          <w:i/>
          <w:iCs/>
          <w:color w:val="000000"/>
          <w:lang w:val="en-US"/>
        </w:rPr>
        <w:t>Academy of Management Journal</w:t>
      </w:r>
      <w:r w:rsidRPr="000D3967">
        <w:rPr>
          <w:rFonts w:ascii="Times New Roman" w:hAnsi="Times New Roman" w:cs="Times New Roman"/>
          <w:color w:val="000000"/>
          <w:lang w:val="en-US"/>
        </w:rPr>
        <w:t xml:space="preserve">, </w:t>
      </w:r>
      <w:r w:rsidRPr="000D3967">
        <w:rPr>
          <w:rFonts w:ascii="Times New Roman" w:hAnsi="Times New Roman" w:cs="Times New Roman"/>
          <w:iCs/>
          <w:color w:val="000000"/>
          <w:lang w:val="en-US"/>
        </w:rPr>
        <w:t>42</w:t>
      </w:r>
      <w:r>
        <w:rPr>
          <w:rFonts w:ascii="Times New Roman" w:hAnsi="Times New Roman" w:cs="Times New Roman"/>
          <w:color w:val="000000"/>
          <w:lang w:val="en-US"/>
        </w:rPr>
        <w:t>: 351-371.</w:t>
      </w:r>
    </w:p>
    <w:p w14:paraId="54744D29" w14:textId="0B996B0E" w:rsidR="004D35E7" w:rsidRPr="00686181" w:rsidRDefault="004D35E7" w:rsidP="00071CA2">
      <w:pPr>
        <w:jc w:val="both"/>
        <w:rPr>
          <w:rFonts w:ascii="Times New Roman" w:hAnsi="Times New Roman" w:cs="Times New Roman"/>
          <w:i/>
          <w:color w:val="000000"/>
          <w:lang w:val="en-US"/>
        </w:rPr>
      </w:pPr>
      <w:r w:rsidRPr="00686181">
        <w:rPr>
          <w:rFonts w:ascii="Times New Roman" w:hAnsi="Times New Roman" w:cs="Times New Roman"/>
          <w:lang w:val="en-GB"/>
        </w:rPr>
        <w:t xml:space="preserve">International Integrated Reporting Committee (IIRC) </w:t>
      </w:r>
      <w:r w:rsidRPr="004D35E7">
        <w:rPr>
          <w:rFonts w:ascii="Times New Roman" w:hAnsi="Times New Roman" w:cs="Times New Roman"/>
          <w:color w:val="000000"/>
          <w:lang w:val="en-US"/>
        </w:rPr>
        <w:t xml:space="preserve">(2011), </w:t>
      </w:r>
      <w:r w:rsidRPr="00686181">
        <w:rPr>
          <w:rFonts w:ascii="Times New Roman" w:hAnsi="Times New Roman" w:cs="Times New Roman"/>
          <w:i/>
          <w:color w:val="000000"/>
          <w:lang w:val="en-US"/>
        </w:rPr>
        <w:t>Towards Integrated Reporting: Communicating Value in the 21</w:t>
      </w:r>
      <w:r w:rsidRPr="00686181">
        <w:rPr>
          <w:rFonts w:ascii="Times New Roman" w:hAnsi="Times New Roman" w:cs="Times New Roman"/>
          <w:i/>
          <w:color w:val="000000"/>
          <w:vertAlign w:val="superscript"/>
          <w:lang w:val="en-US"/>
        </w:rPr>
        <w:t>st</w:t>
      </w:r>
      <w:r w:rsidRPr="00686181">
        <w:rPr>
          <w:rFonts w:ascii="Times New Roman" w:hAnsi="Times New Roman" w:cs="Times New Roman"/>
          <w:i/>
          <w:color w:val="000000"/>
          <w:lang w:val="en-US"/>
        </w:rPr>
        <w:t xml:space="preserve"> century</w:t>
      </w:r>
      <w:r w:rsidRPr="004D35E7">
        <w:rPr>
          <w:rFonts w:ascii="Times New Roman" w:hAnsi="Times New Roman" w:cs="Times New Roman"/>
          <w:i/>
          <w:color w:val="000000"/>
          <w:lang w:val="en-US"/>
        </w:rPr>
        <w:t>,</w:t>
      </w:r>
      <w:r w:rsidRPr="00686181">
        <w:rPr>
          <w:rFonts w:ascii="Times New Roman" w:hAnsi="Times New Roman" w:cs="Times New Roman"/>
          <w:color w:val="000000"/>
          <w:lang w:val="en-US"/>
        </w:rPr>
        <w:t xml:space="preserve"> September</w:t>
      </w:r>
      <w:r w:rsidR="00D61149">
        <w:rPr>
          <w:rFonts w:ascii="Times New Roman" w:hAnsi="Times New Roman" w:cs="Times New Roman"/>
          <w:color w:val="000000"/>
          <w:lang w:val="en-US"/>
        </w:rPr>
        <w:t>, London:</w:t>
      </w:r>
      <w:r w:rsidRPr="004D35E7">
        <w:rPr>
          <w:rFonts w:ascii="Times New Roman" w:hAnsi="Times New Roman" w:cs="Times New Roman"/>
          <w:color w:val="000000"/>
          <w:lang w:val="en-US"/>
        </w:rPr>
        <w:t xml:space="preserve"> IIRC.</w:t>
      </w:r>
    </w:p>
    <w:p w14:paraId="395A5022" w14:textId="77777777" w:rsidR="0079324C" w:rsidRPr="000D3967" w:rsidRDefault="0079324C" w:rsidP="00A004FC">
      <w:pPr>
        <w:jc w:val="both"/>
        <w:rPr>
          <w:rFonts w:ascii="Times New Roman" w:hAnsi="Times New Roman" w:cs="Times New Roman"/>
          <w:color w:val="000000"/>
          <w:lang w:val="en-US"/>
        </w:rPr>
      </w:pPr>
      <w:r>
        <w:rPr>
          <w:rFonts w:ascii="Times New Roman" w:hAnsi="Times New Roman" w:cs="Times New Roman"/>
          <w:color w:val="000000"/>
          <w:lang w:val="en-US"/>
        </w:rPr>
        <w:t xml:space="preserve">Kay, J. (2012). </w:t>
      </w:r>
      <w:r w:rsidRPr="00D43663">
        <w:rPr>
          <w:rFonts w:ascii="Times New Roman" w:hAnsi="Times New Roman" w:cs="Times New Roman"/>
          <w:i/>
          <w:color w:val="000000"/>
          <w:lang w:val="en-US"/>
        </w:rPr>
        <w:t>The Kay review of UK equity markets and long term decision making</w:t>
      </w:r>
      <w:r>
        <w:rPr>
          <w:rFonts w:ascii="Times New Roman" w:hAnsi="Times New Roman" w:cs="Times New Roman"/>
          <w:color w:val="000000"/>
          <w:lang w:val="en-US"/>
        </w:rPr>
        <w:t>. London: Crown.</w:t>
      </w:r>
    </w:p>
    <w:p w14:paraId="58C0E7F7" w14:textId="77777777" w:rsidR="0079324C" w:rsidRDefault="0079324C" w:rsidP="00A004FC">
      <w:pPr>
        <w:autoSpaceDE w:val="0"/>
        <w:autoSpaceDN w:val="0"/>
        <w:adjustRightInd w:val="0"/>
        <w:spacing w:after="0" w:line="240" w:lineRule="auto"/>
        <w:jc w:val="both"/>
        <w:rPr>
          <w:rFonts w:ascii="Times New Roman" w:hAnsi="Times New Roman" w:cs="Times New Roman"/>
          <w:lang w:val="en-US"/>
        </w:rPr>
      </w:pPr>
      <w:r w:rsidRPr="000D3967">
        <w:rPr>
          <w:rFonts w:ascii="Times New Roman" w:hAnsi="Times New Roman" w:cs="Times New Roman"/>
          <w:lang w:val="en-US"/>
        </w:rPr>
        <w:t xml:space="preserve">Larson, M. S. (1979). </w:t>
      </w:r>
      <w:r w:rsidRPr="000D3967">
        <w:rPr>
          <w:rFonts w:ascii="Times New Roman" w:hAnsi="Times New Roman" w:cs="Times New Roman"/>
          <w:i/>
          <w:iCs/>
          <w:lang w:val="en-US"/>
        </w:rPr>
        <w:t>The rise of professionalism: A sociological analysis</w:t>
      </w:r>
      <w:r w:rsidRPr="000D3967">
        <w:rPr>
          <w:rFonts w:ascii="Times New Roman" w:hAnsi="Times New Roman" w:cs="Times New Roman"/>
          <w:lang w:val="en-US"/>
        </w:rPr>
        <w:t>. London: University of California Press.</w:t>
      </w:r>
    </w:p>
    <w:p w14:paraId="0D60DFB2" w14:textId="77777777" w:rsidR="00447F1C" w:rsidRPr="00936714" w:rsidRDefault="00447F1C" w:rsidP="00A004FC">
      <w:pPr>
        <w:autoSpaceDE w:val="0"/>
        <w:autoSpaceDN w:val="0"/>
        <w:adjustRightInd w:val="0"/>
        <w:spacing w:after="0" w:line="240" w:lineRule="auto"/>
        <w:jc w:val="both"/>
        <w:rPr>
          <w:rFonts w:ascii="Times New Roman" w:hAnsi="Times New Roman" w:cs="Times New Roman"/>
          <w:lang w:val="en-US"/>
        </w:rPr>
      </w:pPr>
    </w:p>
    <w:p w14:paraId="587273B3" w14:textId="5972CDEF" w:rsidR="00447F1C" w:rsidRPr="00686181" w:rsidRDefault="00447F1C" w:rsidP="00A004FC">
      <w:pPr>
        <w:autoSpaceDE w:val="0"/>
        <w:autoSpaceDN w:val="0"/>
        <w:adjustRightInd w:val="0"/>
        <w:spacing w:after="0" w:line="240" w:lineRule="auto"/>
        <w:jc w:val="both"/>
        <w:rPr>
          <w:rFonts w:ascii="Times New Roman" w:hAnsi="Times New Roman" w:cs="Times New Roman"/>
          <w:lang w:val="en-GB"/>
        </w:rPr>
      </w:pPr>
      <w:r w:rsidRPr="001C4F45">
        <w:rPr>
          <w:rFonts w:ascii="Times New Roman" w:hAnsi="Times New Roman" w:cs="Times New Roman"/>
          <w:color w:val="000000"/>
          <w:lang w:val="en-GB"/>
        </w:rPr>
        <w:t>Lawrence</w:t>
      </w:r>
      <w:r>
        <w:rPr>
          <w:rFonts w:ascii="Times New Roman" w:hAnsi="Times New Roman" w:cs="Times New Roman"/>
          <w:color w:val="000000"/>
          <w:lang w:val="en-GB"/>
        </w:rPr>
        <w:t>,</w:t>
      </w:r>
      <w:r w:rsidRPr="00936714">
        <w:rPr>
          <w:rFonts w:ascii="Times New Roman" w:hAnsi="Times New Roman" w:cs="Times New Roman"/>
          <w:color w:val="000000"/>
          <w:lang w:val="en-GB"/>
        </w:rPr>
        <w:t xml:space="preserve"> T</w:t>
      </w:r>
      <w:r>
        <w:rPr>
          <w:rFonts w:ascii="Times New Roman" w:hAnsi="Times New Roman" w:cs="Times New Roman"/>
          <w:color w:val="000000"/>
          <w:lang w:val="en-GB"/>
        </w:rPr>
        <w:t>.</w:t>
      </w:r>
      <w:r w:rsidRPr="00936714">
        <w:rPr>
          <w:rFonts w:ascii="Times New Roman" w:hAnsi="Times New Roman" w:cs="Times New Roman"/>
          <w:color w:val="000000"/>
          <w:lang w:val="en-GB"/>
        </w:rPr>
        <w:t>B</w:t>
      </w:r>
      <w:r>
        <w:rPr>
          <w:rFonts w:ascii="Times New Roman" w:hAnsi="Times New Roman" w:cs="Times New Roman"/>
          <w:color w:val="000000"/>
          <w:lang w:val="en-GB"/>
        </w:rPr>
        <w:t>.</w:t>
      </w:r>
      <w:r w:rsidRPr="00936714">
        <w:rPr>
          <w:rFonts w:ascii="Times New Roman" w:hAnsi="Times New Roman" w:cs="Times New Roman"/>
          <w:color w:val="000000"/>
          <w:lang w:val="en-GB"/>
        </w:rPr>
        <w:t xml:space="preserve"> (1999)</w:t>
      </w:r>
      <w:r>
        <w:rPr>
          <w:rFonts w:ascii="Times New Roman" w:hAnsi="Times New Roman" w:cs="Times New Roman"/>
          <w:color w:val="000000"/>
          <w:lang w:val="en-GB"/>
        </w:rPr>
        <w:t>. ‘</w:t>
      </w:r>
      <w:r w:rsidRPr="00686181">
        <w:rPr>
          <w:rFonts w:ascii="Times New Roman" w:hAnsi="Times New Roman" w:cs="Times New Roman"/>
          <w:color w:val="000000"/>
          <w:lang w:val="en-GB"/>
        </w:rPr>
        <w:t>Institutional strategy</w:t>
      </w:r>
      <w:r>
        <w:rPr>
          <w:rFonts w:ascii="Times New Roman" w:hAnsi="Times New Roman" w:cs="Times New Roman"/>
          <w:color w:val="000000"/>
          <w:lang w:val="en-GB"/>
        </w:rPr>
        <w:t>’</w:t>
      </w:r>
      <w:r w:rsidRPr="00686181">
        <w:rPr>
          <w:rFonts w:ascii="Times New Roman" w:hAnsi="Times New Roman" w:cs="Times New Roman"/>
          <w:color w:val="000000"/>
          <w:lang w:val="en-GB"/>
        </w:rPr>
        <w:t xml:space="preserve">. </w:t>
      </w:r>
      <w:r w:rsidRPr="00686181">
        <w:rPr>
          <w:rFonts w:ascii="Times New Roman" w:hAnsi="Times New Roman" w:cs="Times New Roman"/>
          <w:i/>
          <w:iCs/>
          <w:color w:val="000000"/>
          <w:lang w:val="en-GB"/>
        </w:rPr>
        <w:t xml:space="preserve">Journal of Management </w:t>
      </w:r>
      <w:r w:rsidRPr="00936714">
        <w:rPr>
          <w:rFonts w:ascii="Times New Roman" w:hAnsi="Times New Roman" w:cs="Times New Roman"/>
          <w:color w:val="000000"/>
          <w:lang w:val="en-GB"/>
        </w:rPr>
        <w:t>25</w:t>
      </w:r>
      <w:r>
        <w:rPr>
          <w:rFonts w:ascii="Times New Roman" w:hAnsi="Times New Roman" w:cs="Times New Roman"/>
          <w:color w:val="000000"/>
          <w:lang w:val="en-GB"/>
        </w:rPr>
        <w:t>(</w:t>
      </w:r>
      <w:r w:rsidRPr="00936714">
        <w:rPr>
          <w:rFonts w:ascii="Times New Roman" w:hAnsi="Times New Roman" w:cs="Times New Roman"/>
          <w:color w:val="000000"/>
          <w:lang w:val="en-GB"/>
        </w:rPr>
        <w:t>2</w:t>
      </w:r>
      <w:r>
        <w:rPr>
          <w:rFonts w:ascii="Times New Roman" w:hAnsi="Times New Roman" w:cs="Times New Roman"/>
          <w:color w:val="000000"/>
          <w:lang w:val="en-GB"/>
        </w:rPr>
        <w:t>)</w:t>
      </w:r>
      <w:r w:rsidRPr="00686181">
        <w:rPr>
          <w:rFonts w:ascii="Times New Roman" w:hAnsi="Times New Roman" w:cs="Times New Roman"/>
          <w:color w:val="000000"/>
          <w:lang w:val="en-GB"/>
        </w:rPr>
        <w:t>: 161–187.</w:t>
      </w:r>
    </w:p>
    <w:p w14:paraId="7B8FD0BC" w14:textId="77777777" w:rsidR="0079324C" w:rsidRPr="000D3967" w:rsidRDefault="0079324C" w:rsidP="00A004FC">
      <w:pPr>
        <w:autoSpaceDE w:val="0"/>
        <w:autoSpaceDN w:val="0"/>
        <w:adjustRightInd w:val="0"/>
        <w:spacing w:after="0" w:line="240" w:lineRule="auto"/>
        <w:jc w:val="both"/>
        <w:rPr>
          <w:rFonts w:ascii="Times New Roman" w:hAnsi="Times New Roman" w:cs="Times New Roman"/>
          <w:lang w:val="en-US"/>
        </w:rPr>
      </w:pPr>
    </w:p>
    <w:p w14:paraId="5747AC9D" w14:textId="6DFB8D11" w:rsidR="0079324C" w:rsidRPr="000D3967" w:rsidRDefault="0079324C" w:rsidP="00A004FC">
      <w:pPr>
        <w:jc w:val="both"/>
        <w:rPr>
          <w:rFonts w:ascii="Times New Roman" w:hAnsi="Times New Roman" w:cs="Times New Roman"/>
          <w:color w:val="000000"/>
          <w:lang w:val="en-US"/>
        </w:rPr>
      </w:pPr>
      <w:r w:rsidRPr="000D3967">
        <w:rPr>
          <w:rFonts w:ascii="Times New Roman" w:hAnsi="Times New Roman" w:cs="Times New Roman"/>
          <w:color w:val="000000"/>
          <w:lang w:val="en-US"/>
        </w:rPr>
        <w:t xml:space="preserve">Lawrence, T.B. and Suddaby, R. (2006). ‘Institutions and institutional work’. In S. R. Clegg, C. Hardy, T. B. Lawrence, and W. R. Nord (Eds.), </w:t>
      </w:r>
      <w:r w:rsidRPr="000D3967">
        <w:rPr>
          <w:rFonts w:ascii="Times New Roman" w:hAnsi="Times New Roman" w:cs="Times New Roman"/>
          <w:i/>
          <w:iCs/>
          <w:color w:val="000000"/>
          <w:lang w:val="en-US"/>
        </w:rPr>
        <w:t xml:space="preserve">Handbook of Organization Studies </w:t>
      </w:r>
      <w:r w:rsidRPr="000D3967">
        <w:rPr>
          <w:rFonts w:ascii="Times New Roman" w:hAnsi="Times New Roman" w:cs="Times New Roman"/>
          <w:color w:val="000000"/>
          <w:lang w:val="en-US"/>
        </w:rPr>
        <w:t>(2nd edition) (pp. 215–254). London: SAGE Publications.</w:t>
      </w:r>
    </w:p>
    <w:p w14:paraId="73B5E7A9" w14:textId="665FBEB5" w:rsidR="0079324C" w:rsidRPr="000D3967" w:rsidRDefault="0079324C" w:rsidP="00A004FC">
      <w:pPr>
        <w:jc w:val="both"/>
        <w:rPr>
          <w:rFonts w:ascii="Times New Roman" w:hAnsi="Times New Roman" w:cs="Times New Roman"/>
          <w:color w:val="000000"/>
          <w:lang w:val="en-US"/>
        </w:rPr>
      </w:pPr>
      <w:r w:rsidRPr="000D3967">
        <w:rPr>
          <w:rFonts w:ascii="Times New Roman" w:hAnsi="Times New Roman" w:cs="Times New Roman"/>
          <w:color w:val="000000"/>
          <w:lang w:val="en-US"/>
        </w:rPr>
        <w:t xml:space="preserve">Lawrence, T. B., Suddaby, R. and </w:t>
      </w:r>
      <w:proofErr w:type="spellStart"/>
      <w:r w:rsidRPr="000D3967">
        <w:rPr>
          <w:rFonts w:ascii="Times New Roman" w:hAnsi="Times New Roman" w:cs="Times New Roman"/>
          <w:color w:val="000000"/>
          <w:lang w:val="en-US"/>
        </w:rPr>
        <w:t>Leca</w:t>
      </w:r>
      <w:proofErr w:type="spellEnd"/>
      <w:r w:rsidRPr="000D3967">
        <w:rPr>
          <w:rFonts w:ascii="Times New Roman" w:hAnsi="Times New Roman" w:cs="Times New Roman"/>
          <w:color w:val="000000"/>
          <w:lang w:val="en-US"/>
        </w:rPr>
        <w:t xml:space="preserve">, B. (2009). ‘Introduction: </w:t>
      </w:r>
      <w:r w:rsidR="0021664A">
        <w:rPr>
          <w:rFonts w:ascii="Times New Roman" w:hAnsi="Times New Roman" w:cs="Times New Roman"/>
          <w:color w:val="000000"/>
          <w:lang w:val="en-US"/>
        </w:rPr>
        <w:t>Theoriz</w:t>
      </w:r>
      <w:r w:rsidR="00CD0156">
        <w:rPr>
          <w:rFonts w:ascii="Times New Roman" w:hAnsi="Times New Roman" w:cs="Times New Roman"/>
          <w:color w:val="000000"/>
          <w:lang w:val="en-US"/>
        </w:rPr>
        <w:t>ing</w:t>
      </w:r>
      <w:r w:rsidRPr="000D3967">
        <w:rPr>
          <w:rFonts w:ascii="Times New Roman" w:hAnsi="Times New Roman" w:cs="Times New Roman"/>
          <w:color w:val="000000"/>
          <w:lang w:val="en-US"/>
        </w:rPr>
        <w:t xml:space="preserve"> and studying institutional work’. </w:t>
      </w:r>
      <w:r w:rsidR="00A004FC">
        <w:rPr>
          <w:rFonts w:ascii="Times New Roman" w:hAnsi="Times New Roman" w:cs="Times New Roman"/>
          <w:color w:val="000000"/>
          <w:lang w:val="en-US"/>
        </w:rPr>
        <w:t>In T. B. Lawrence, R. Suddaby, and</w:t>
      </w:r>
      <w:r w:rsidRPr="000D3967">
        <w:rPr>
          <w:rFonts w:ascii="Times New Roman" w:hAnsi="Times New Roman" w:cs="Times New Roman"/>
          <w:color w:val="000000"/>
          <w:lang w:val="en-US"/>
        </w:rPr>
        <w:t xml:space="preserve"> B. </w:t>
      </w:r>
      <w:proofErr w:type="spellStart"/>
      <w:r w:rsidRPr="000D3967">
        <w:rPr>
          <w:rFonts w:ascii="Times New Roman" w:hAnsi="Times New Roman" w:cs="Times New Roman"/>
          <w:color w:val="000000"/>
          <w:lang w:val="en-US"/>
        </w:rPr>
        <w:t>Leca</w:t>
      </w:r>
      <w:proofErr w:type="spellEnd"/>
      <w:r w:rsidRPr="000D3967">
        <w:rPr>
          <w:rFonts w:ascii="Times New Roman" w:hAnsi="Times New Roman" w:cs="Times New Roman"/>
          <w:color w:val="000000"/>
          <w:lang w:val="en-US"/>
        </w:rPr>
        <w:t xml:space="preserve"> (Eds.), </w:t>
      </w:r>
      <w:r w:rsidRPr="000D3967">
        <w:rPr>
          <w:rFonts w:ascii="Times New Roman" w:hAnsi="Times New Roman" w:cs="Times New Roman"/>
          <w:i/>
          <w:iCs/>
          <w:color w:val="000000"/>
          <w:lang w:val="en-US"/>
        </w:rPr>
        <w:t xml:space="preserve">Institutional work: Actors and agency in institutional studies of organizations </w:t>
      </w:r>
      <w:r w:rsidRPr="000D3967">
        <w:rPr>
          <w:rFonts w:ascii="Times New Roman" w:hAnsi="Times New Roman" w:cs="Times New Roman"/>
          <w:color w:val="000000"/>
          <w:lang w:val="en-US"/>
        </w:rPr>
        <w:t>(pp. 1–27). Cambridge, UK: Cambridge University Press.</w:t>
      </w:r>
    </w:p>
    <w:p w14:paraId="24853C6D" w14:textId="77777777" w:rsidR="0079324C" w:rsidRPr="000D3967" w:rsidRDefault="0079324C" w:rsidP="00A004FC">
      <w:pPr>
        <w:jc w:val="both"/>
        <w:rPr>
          <w:rFonts w:ascii="Times New Roman" w:hAnsi="Times New Roman" w:cs="Times New Roman"/>
          <w:color w:val="000000"/>
          <w:lang w:val="en-US"/>
        </w:rPr>
      </w:pPr>
      <w:r w:rsidRPr="000D3967">
        <w:rPr>
          <w:rFonts w:ascii="Times New Roman" w:hAnsi="Times New Roman" w:cs="Times New Roman"/>
          <w:color w:val="000000"/>
          <w:lang w:val="en-US"/>
        </w:rPr>
        <w:t xml:space="preserve">Lawrence, T. B., Suddaby, R. and </w:t>
      </w:r>
      <w:proofErr w:type="spellStart"/>
      <w:r w:rsidRPr="000D3967">
        <w:rPr>
          <w:rFonts w:ascii="Times New Roman" w:hAnsi="Times New Roman" w:cs="Times New Roman"/>
          <w:color w:val="000000"/>
          <w:lang w:val="en-US"/>
        </w:rPr>
        <w:t>Leca</w:t>
      </w:r>
      <w:proofErr w:type="spellEnd"/>
      <w:r w:rsidRPr="000D3967">
        <w:rPr>
          <w:rFonts w:ascii="Times New Roman" w:hAnsi="Times New Roman" w:cs="Times New Roman"/>
          <w:color w:val="000000"/>
          <w:lang w:val="en-US"/>
        </w:rPr>
        <w:t xml:space="preserve">, B. (2011). ‘Institutional work: Refocusing institutional studies of organization’. </w:t>
      </w:r>
      <w:r w:rsidRPr="000D3967">
        <w:rPr>
          <w:rFonts w:ascii="Times New Roman" w:hAnsi="Times New Roman" w:cs="Times New Roman"/>
          <w:i/>
          <w:iCs/>
          <w:color w:val="000000"/>
          <w:lang w:val="en-US"/>
        </w:rPr>
        <w:t>Journal of Management Inquiry</w:t>
      </w:r>
      <w:r w:rsidRPr="000D3967">
        <w:rPr>
          <w:rFonts w:ascii="Times New Roman" w:hAnsi="Times New Roman" w:cs="Times New Roman"/>
          <w:color w:val="000000"/>
          <w:lang w:val="en-US"/>
        </w:rPr>
        <w:t xml:space="preserve">, </w:t>
      </w:r>
      <w:r w:rsidRPr="000D3967">
        <w:rPr>
          <w:rFonts w:ascii="Times New Roman" w:hAnsi="Times New Roman" w:cs="Times New Roman"/>
          <w:iCs/>
          <w:color w:val="000000"/>
          <w:lang w:val="en-US"/>
        </w:rPr>
        <w:t>20</w:t>
      </w:r>
      <w:r w:rsidRPr="000D3967">
        <w:rPr>
          <w:rFonts w:ascii="Times New Roman" w:hAnsi="Times New Roman" w:cs="Times New Roman"/>
          <w:color w:val="000000"/>
          <w:lang w:val="en-US"/>
        </w:rPr>
        <w:t>: 52–58.</w:t>
      </w:r>
    </w:p>
    <w:p w14:paraId="14DC68EB" w14:textId="77777777" w:rsidR="0079324C" w:rsidRPr="000D3967" w:rsidRDefault="0079324C" w:rsidP="00A004FC">
      <w:pPr>
        <w:jc w:val="both"/>
        <w:rPr>
          <w:rFonts w:ascii="Times New Roman" w:hAnsi="Times New Roman" w:cs="Times New Roman"/>
          <w:color w:val="000000"/>
          <w:lang w:val="en-US"/>
        </w:rPr>
      </w:pPr>
      <w:r>
        <w:rPr>
          <w:rFonts w:ascii="Times New Roman" w:hAnsi="Times New Roman" w:cs="Times New Roman"/>
          <w:color w:val="000000"/>
          <w:lang w:val="en-US"/>
        </w:rPr>
        <w:t xml:space="preserve">Levy, D.L., </w:t>
      </w:r>
      <w:proofErr w:type="spellStart"/>
      <w:r>
        <w:rPr>
          <w:rFonts w:ascii="Times New Roman" w:hAnsi="Times New Roman" w:cs="Times New Roman"/>
          <w:color w:val="000000"/>
          <w:lang w:val="en-US"/>
        </w:rPr>
        <w:t>Szejnwald</w:t>
      </w:r>
      <w:proofErr w:type="spellEnd"/>
      <w:r>
        <w:rPr>
          <w:rFonts w:ascii="Times New Roman" w:hAnsi="Times New Roman" w:cs="Times New Roman"/>
          <w:color w:val="000000"/>
          <w:lang w:val="en-US"/>
        </w:rPr>
        <w:t xml:space="preserve"> Brown, and De Jong, M. (2009). ‘The contested politics of corporate governance: The Case of the Global Reporting Initiative’. </w:t>
      </w:r>
      <w:r w:rsidRPr="00112691">
        <w:rPr>
          <w:rFonts w:ascii="Times New Roman" w:hAnsi="Times New Roman" w:cs="Times New Roman"/>
          <w:i/>
          <w:color w:val="000000"/>
          <w:lang w:val="en-US"/>
        </w:rPr>
        <w:t>Business &amp; Society</w:t>
      </w:r>
      <w:r>
        <w:rPr>
          <w:rFonts w:ascii="Times New Roman" w:hAnsi="Times New Roman" w:cs="Times New Roman"/>
          <w:color w:val="000000"/>
          <w:lang w:val="en-US"/>
        </w:rPr>
        <w:t>: 88-115.</w:t>
      </w:r>
    </w:p>
    <w:p w14:paraId="66B1BA7D" w14:textId="77777777" w:rsidR="0079324C" w:rsidRDefault="0079324C" w:rsidP="00A004FC">
      <w:pPr>
        <w:spacing w:line="240" w:lineRule="auto"/>
        <w:jc w:val="both"/>
        <w:rPr>
          <w:rFonts w:ascii="Times New Roman" w:hAnsi="Times New Roman" w:cs="Times New Roman"/>
          <w:lang w:val="en-US"/>
        </w:rPr>
      </w:pPr>
      <w:r w:rsidRPr="000D3967">
        <w:rPr>
          <w:rFonts w:ascii="Times New Roman" w:hAnsi="Times New Roman" w:cs="Times New Roman"/>
          <w:lang w:val="en-US"/>
        </w:rPr>
        <w:t xml:space="preserve">Loft, A., Humphrey, C. and Turley, S. (2006). ‘In pursuit of global regulation: Changing governance structures at the international federation of accountants (IFAC)’. </w:t>
      </w:r>
      <w:r w:rsidRPr="000D3967">
        <w:rPr>
          <w:rFonts w:ascii="Times New Roman" w:hAnsi="Times New Roman" w:cs="Times New Roman"/>
          <w:i/>
          <w:lang w:val="en-US"/>
        </w:rPr>
        <w:t>Accounting, Auditing &amp; Accountability Journal</w:t>
      </w:r>
      <w:r w:rsidRPr="000D3967">
        <w:rPr>
          <w:rFonts w:ascii="Times New Roman" w:hAnsi="Times New Roman" w:cs="Times New Roman"/>
          <w:lang w:val="en-US"/>
        </w:rPr>
        <w:t>, 19(3): 428-451.</w:t>
      </w:r>
    </w:p>
    <w:p w14:paraId="3D5C3756" w14:textId="6F19A1EE" w:rsidR="00295E05" w:rsidRDefault="00295E05" w:rsidP="00A004FC">
      <w:pPr>
        <w:spacing w:line="240" w:lineRule="auto"/>
        <w:jc w:val="both"/>
        <w:rPr>
          <w:rFonts w:ascii="Times New Roman" w:hAnsi="Times New Roman" w:cs="Times New Roman"/>
          <w:lang w:val="en-US"/>
        </w:rPr>
      </w:pPr>
      <w:r>
        <w:rPr>
          <w:rFonts w:ascii="Times New Roman" w:hAnsi="Times New Roman" w:cs="Times New Roman"/>
          <w:lang w:val="en-US"/>
        </w:rPr>
        <w:t xml:space="preserve">Llewellyn, S. (1998). Boundary work: costing and caring in the social services. </w:t>
      </w:r>
      <w:r w:rsidRPr="0079324C">
        <w:rPr>
          <w:rStyle w:val="Emphasis"/>
          <w:rFonts w:ascii="Times New Roman" w:hAnsi="Times New Roman" w:cs="Times New Roman"/>
          <w:b w:val="0"/>
          <w:i/>
          <w:lang w:val="en-US"/>
        </w:rPr>
        <w:t>Accounting, Organizations and Society</w:t>
      </w:r>
      <w:r w:rsidRPr="0079324C">
        <w:rPr>
          <w:rStyle w:val="Emphasis"/>
          <w:rFonts w:ascii="Times New Roman" w:hAnsi="Times New Roman" w:cs="Times New Roman"/>
          <w:b w:val="0"/>
          <w:lang w:val="en-US"/>
        </w:rPr>
        <w:t>,</w:t>
      </w:r>
      <w:r w:rsidRPr="00C0510F">
        <w:rPr>
          <w:rStyle w:val="Emphasis"/>
          <w:rFonts w:ascii="Times New Roman" w:hAnsi="Times New Roman" w:cs="Times New Roman"/>
          <w:lang w:val="en-US"/>
        </w:rPr>
        <w:t xml:space="preserve"> </w:t>
      </w:r>
      <w:r>
        <w:rPr>
          <w:rFonts w:ascii="Times New Roman" w:hAnsi="Times New Roman" w:cs="Times New Roman"/>
          <w:lang w:val="en-US"/>
        </w:rPr>
        <w:t>25(1): 23-47.</w:t>
      </w:r>
    </w:p>
    <w:p w14:paraId="19E92AD7" w14:textId="33B9F166" w:rsidR="00C77DEF" w:rsidRPr="00C77DEF" w:rsidRDefault="00C77DEF" w:rsidP="00C77DEF">
      <w:pPr>
        <w:spacing w:line="240" w:lineRule="auto"/>
        <w:jc w:val="both"/>
        <w:rPr>
          <w:rFonts w:ascii="Times New Roman" w:hAnsi="Times New Roman" w:cs="Times New Roman"/>
          <w:lang w:val="en-US"/>
        </w:rPr>
      </w:pPr>
      <w:r>
        <w:rPr>
          <w:rFonts w:ascii="Times New Roman" w:hAnsi="Times New Roman" w:cs="Times New Roman"/>
          <w:lang w:val="en-US"/>
        </w:rPr>
        <w:t>Maguire, S., Hardy, C., and</w:t>
      </w:r>
      <w:r w:rsidRPr="00C77DEF">
        <w:rPr>
          <w:rFonts w:ascii="Times New Roman" w:hAnsi="Times New Roman" w:cs="Times New Roman"/>
          <w:lang w:val="en-US"/>
        </w:rPr>
        <w:t xml:space="preserve"> Lawrence, T. (2004). </w:t>
      </w:r>
      <w:r>
        <w:rPr>
          <w:rFonts w:ascii="Times New Roman" w:hAnsi="Times New Roman" w:cs="Times New Roman"/>
          <w:lang w:val="en-US"/>
        </w:rPr>
        <w:t>‘</w:t>
      </w:r>
      <w:r w:rsidRPr="00C77DEF">
        <w:rPr>
          <w:rFonts w:ascii="Times New Roman" w:hAnsi="Times New Roman" w:cs="Times New Roman"/>
          <w:lang w:val="en-US"/>
        </w:rPr>
        <w:t>Institutional entrepreneurship in emerging fields: HIV/AIDs treatment advocacy in Canada</w:t>
      </w:r>
      <w:r>
        <w:rPr>
          <w:rFonts w:ascii="Times New Roman" w:hAnsi="Times New Roman" w:cs="Times New Roman"/>
          <w:lang w:val="en-US"/>
        </w:rPr>
        <w:t>’.</w:t>
      </w:r>
      <w:r w:rsidRPr="00C77DEF">
        <w:rPr>
          <w:rFonts w:ascii="Times New Roman" w:hAnsi="Times New Roman" w:cs="Times New Roman"/>
          <w:lang w:val="en-US"/>
        </w:rPr>
        <w:t xml:space="preserve"> </w:t>
      </w:r>
      <w:r w:rsidRPr="00C77DEF">
        <w:rPr>
          <w:rFonts w:ascii="Times New Roman" w:hAnsi="Times New Roman" w:cs="Times New Roman"/>
          <w:i/>
          <w:lang w:val="en-US"/>
        </w:rPr>
        <w:t>Academy of Management Journal</w:t>
      </w:r>
      <w:r w:rsidRPr="00C77DEF">
        <w:rPr>
          <w:rFonts w:ascii="Times New Roman" w:hAnsi="Times New Roman" w:cs="Times New Roman"/>
          <w:lang w:val="en-US"/>
        </w:rPr>
        <w:t xml:space="preserve">, 47(5): 657-679. </w:t>
      </w:r>
    </w:p>
    <w:p w14:paraId="4B4C3350" w14:textId="77777777" w:rsidR="0079324C" w:rsidRPr="000D3967" w:rsidRDefault="0079324C" w:rsidP="00A004FC">
      <w:pPr>
        <w:autoSpaceDE w:val="0"/>
        <w:autoSpaceDN w:val="0"/>
        <w:adjustRightInd w:val="0"/>
        <w:spacing w:after="0" w:line="240" w:lineRule="auto"/>
        <w:jc w:val="both"/>
        <w:rPr>
          <w:rFonts w:ascii="Times New Roman" w:hAnsi="Times New Roman" w:cs="Times New Roman"/>
          <w:color w:val="231F20"/>
          <w:lang w:val="en-US"/>
        </w:rPr>
      </w:pPr>
      <w:proofErr w:type="spellStart"/>
      <w:r w:rsidRPr="000D3967">
        <w:rPr>
          <w:rFonts w:ascii="Times New Roman" w:hAnsi="Times New Roman" w:cs="Times New Roman"/>
          <w:color w:val="231F20"/>
          <w:lang w:val="en-US"/>
        </w:rPr>
        <w:t>Malsch</w:t>
      </w:r>
      <w:proofErr w:type="spellEnd"/>
      <w:r w:rsidRPr="000D3967">
        <w:rPr>
          <w:rFonts w:ascii="Times New Roman" w:hAnsi="Times New Roman" w:cs="Times New Roman"/>
          <w:color w:val="231F20"/>
          <w:lang w:val="en-US"/>
        </w:rPr>
        <w:t xml:space="preserve">, B. (2013). ‘Politicizing the expertise of the accounting industry in the realm of corporate social responsibility’. </w:t>
      </w:r>
      <w:r w:rsidRPr="000D3967">
        <w:rPr>
          <w:rFonts w:ascii="Times New Roman" w:hAnsi="Times New Roman" w:cs="Times New Roman"/>
          <w:i/>
          <w:color w:val="231F20"/>
          <w:lang w:val="en-US"/>
        </w:rPr>
        <w:t>Accounting, Organizations and Society</w:t>
      </w:r>
      <w:r w:rsidRPr="000D3967">
        <w:rPr>
          <w:rFonts w:ascii="Times New Roman" w:hAnsi="Times New Roman" w:cs="Times New Roman"/>
          <w:color w:val="231F20"/>
          <w:lang w:val="en-US"/>
        </w:rPr>
        <w:t>, 38(2): 149–168.</w:t>
      </w:r>
    </w:p>
    <w:p w14:paraId="45595F1A" w14:textId="77777777" w:rsidR="0079324C" w:rsidRPr="000D3967" w:rsidRDefault="0079324C" w:rsidP="00A004FC">
      <w:pPr>
        <w:autoSpaceDE w:val="0"/>
        <w:autoSpaceDN w:val="0"/>
        <w:adjustRightInd w:val="0"/>
        <w:spacing w:after="0" w:line="240" w:lineRule="auto"/>
        <w:jc w:val="both"/>
        <w:rPr>
          <w:rFonts w:ascii="Times New Roman" w:hAnsi="Times New Roman" w:cs="Times New Roman"/>
          <w:color w:val="231F20"/>
          <w:lang w:val="en-US"/>
        </w:rPr>
      </w:pPr>
    </w:p>
    <w:p w14:paraId="10A23686" w14:textId="3DA91282" w:rsidR="0079324C" w:rsidRPr="000D3967" w:rsidRDefault="0079324C" w:rsidP="00A004FC">
      <w:pPr>
        <w:autoSpaceDE w:val="0"/>
        <w:autoSpaceDN w:val="0"/>
        <w:adjustRightInd w:val="0"/>
        <w:spacing w:after="0" w:line="240" w:lineRule="auto"/>
        <w:jc w:val="both"/>
        <w:rPr>
          <w:rFonts w:ascii="Times New Roman" w:eastAsia="SimSun" w:hAnsi="Times New Roman" w:cs="Times New Roman"/>
          <w:lang w:val="en-US" w:eastAsia="zh-CN"/>
        </w:rPr>
      </w:pPr>
      <w:proofErr w:type="spellStart"/>
      <w:r w:rsidRPr="000D3967">
        <w:rPr>
          <w:rFonts w:ascii="Times New Roman" w:hAnsi="Times New Roman" w:cs="Times New Roman"/>
          <w:lang w:val="en-US"/>
        </w:rPr>
        <w:t>Malsch</w:t>
      </w:r>
      <w:proofErr w:type="spellEnd"/>
      <w:r w:rsidRPr="000D3967">
        <w:rPr>
          <w:rFonts w:ascii="Times New Roman" w:hAnsi="Times New Roman" w:cs="Times New Roman"/>
          <w:lang w:val="en-US"/>
        </w:rPr>
        <w:t xml:space="preserve">, B. and </w:t>
      </w:r>
      <w:proofErr w:type="spellStart"/>
      <w:r w:rsidRPr="000D3967">
        <w:rPr>
          <w:rFonts w:ascii="Times New Roman" w:hAnsi="Times New Roman" w:cs="Times New Roman"/>
          <w:lang w:val="en-US"/>
        </w:rPr>
        <w:t>Gendron</w:t>
      </w:r>
      <w:proofErr w:type="spellEnd"/>
      <w:r w:rsidRPr="000D3967">
        <w:rPr>
          <w:rFonts w:ascii="Times New Roman" w:hAnsi="Times New Roman" w:cs="Times New Roman"/>
          <w:lang w:val="en-US"/>
        </w:rPr>
        <w:t xml:space="preserve">, Y. (2013). </w:t>
      </w:r>
      <w:proofErr w:type="spellStart"/>
      <w:r w:rsidRPr="000D3967">
        <w:rPr>
          <w:rFonts w:ascii="Times New Roman" w:hAnsi="Times New Roman" w:cs="Times New Roman"/>
          <w:lang w:val="en-US"/>
        </w:rPr>
        <w:t>‘Re</w:t>
      </w:r>
      <w:proofErr w:type="spellEnd"/>
      <w:r w:rsidRPr="000D3967">
        <w:rPr>
          <w:rFonts w:ascii="Times New Roman" w:hAnsi="Times New Roman" w:cs="Times New Roman"/>
          <w:lang w:val="en-US"/>
        </w:rPr>
        <w:t>-</w:t>
      </w:r>
      <w:r w:rsidR="0021664A">
        <w:rPr>
          <w:rFonts w:ascii="Times New Roman" w:hAnsi="Times New Roman" w:cs="Times New Roman"/>
          <w:lang w:val="en-US"/>
        </w:rPr>
        <w:t>theoriz</w:t>
      </w:r>
      <w:r w:rsidR="00CD0156">
        <w:rPr>
          <w:rFonts w:ascii="Times New Roman" w:hAnsi="Times New Roman" w:cs="Times New Roman"/>
          <w:lang w:val="en-US"/>
        </w:rPr>
        <w:t>ing</w:t>
      </w:r>
      <w:r w:rsidRPr="000D3967">
        <w:rPr>
          <w:rFonts w:ascii="Times New Roman" w:hAnsi="Times New Roman" w:cs="Times New Roman"/>
          <w:lang w:val="en-US"/>
        </w:rPr>
        <w:t xml:space="preserve"> change: Institutional experimentation and the struggle for domination in the field of public accounting’. </w:t>
      </w:r>
      <w:r w:rsidRPr="000D3967">
        <w:rPr>
          <w:rFonts w:ascii="Times New Roman" w:hAnsi="Times New Roman" w:cs="Times New Roman"/>
          <w:i/>
          <w:lang w:val="en-US"/>
        </w:rPr>
        <w:t xml:space="preserve">Journal of Management Studies, </w:t>
      </w:r>
      <w:r w:rsidRPr="000D3967">
        <w:rPr>
          <w:rFonts w:ascii="Times New Roman" w:hAnsi="Times New Roman" w:cs="Times New Roman"/>
          <w:lang w:val="en-US"/>
        </w:rPr>
        <w:t>50(5): 871-899.</w:t>
      </w:r>
    </w:p>
    <w:p w14:paraId="3A12707F" w14:textId="77777777" w:rsidR="0079324C" w:rsidRPr="000D3967" w:rsidRDefault="0079324C" w:rsidP="00A004FC">
      <w:pPr>
        <w:autoSpaceDE w:val="0"/>
        <w:autoSpaceDN w:val="0"/>
        <w:adjustRightInd w:val="0"/>
        <w:spacing w:after="0" w:line="240" w:lineRule="auto"/>
        <w:jc w:val="both"/>
        <w:rPr>
          <w:rFonts w:ascii="Times New Roman" w:eastAsia="SimSun" w:hAnsi="Times New Roman" w:cs="Times New Roman"/>
          <w:lang w:val="en-US" w:eastAsia="zh-CN"/>
        </w:rPr>
      </w:pPr>
    </w:p>
    <w:p w14:paraId="70728C5A" w14:textId="56D10066" w:rsidR="0079324C" w:rsidRDefault="0079324C" w:rsidP="00A004FC">
      <w:pPr>
        <w:spacing w:line="240" w:lineRule="auto"/>
        <w:jc w:val="both"/>
        <w:rPr>
          <w:rFonts w:ascii="Times New Roman" w:hAnsi="Times New Roman" w:cs="Times New Roman"/>
          <w:lang w:val="en-US"/>
        </w:rPr>
      </w:pPr>
      <w:proofErr w:type="spellStart"/>
      <w:r w:rsidRPr="000D3967">
        <w:rPr>
          <w:rFonts w:ascii="Times New Roman" w:hAnsi="Times New Roman" w:cs="Times New Roman"/>
          <w:lang w:val="en-US"/>
        </w:rPr>
        <w:t>Malsch</w:t>
      </w:r>
      <w:proofErr w:type="spellEnd"/>
      <w:r w:rsidRPr="000D3967">
        <w:rPr>
          <w:rFonts w:ascii="Times New Roman" w:hAnsi="Times New Roman" w:cs="Times New Roman"/>
          <w:lang w:val="en-US"/>
        </w:rPr>
        <w:t xml:space="preserve">, B. and </w:t>
      </w:r>
      <w:proofErr w:type="spellStart"/>
      <w:r w:rsidRPr="000D3967">
        <w:rPr>
          <w:rFonts w:ascii="Times New Roman" w:hAnsi="Times New Roman" w:cs="Times New Roman"/>
          <w:lang w:val="en-US"/>
        </w:rPr>
        <w:t>Gendron</w:t>
      </w:r>
      <w:proofErr w:type="spellEnd"/>
      <w:r w:rsidRPr="000D3967">
        <w:rPr>
          <w:rFonts w:ascii="Times New Roman" w:hAnsi="Times New Roman" w:cs="Times New Roman"/>
          <w:lang w:val="en-US"/>
        </w:rPr>
        <w:t xml:space="preserve">, Y. (2011). ‘Reining in auditors: On the dynamics of power surrounding an ‘innovation’ in the regulatory space’. </w:t>
      </w:r>
      <w:r w:rsidRPr="000D3967">
        <w:rPr>
          <w:rFonts w:ascii="Times New Roman" w:hAnsi="Times New Roman" w:cs="Times New Roman"/>
          <w:i/>
          <w:lang w:val="en-US"/>
        </w:rPr>
        <w:t>Accounting, Organizations and Society</w:t>
      </w:r>
      <w:r w:rsidRPr="000D3967">
        <w:rPr>
          <w:rFonts w:ascii="Times New Roman" w:hAnsi="Times New Roman" w:cs="Times New Roman"/>
          <w:lang w:val="en-US"/>
        </w:rPr>
        <w:t>, 36: 456-476</w:t>
      </w:r>
      <w:r w:rsidRPr="000D3967">
        <w:rPr>
          <w:rFonts w:ascii="Times New Roman" w:hAnsi="Times New Roman" w:cs="Times New Roman"/>
          <w:lang w:val="en-US"/>
        </w:rPr>
        <w:softHyphen/>
      </w:r>
      <w:r w:rsidR="00621A42">
        <w:rPr>
          <w:rFonts w:ascii="Times New Roman" w:hAnsi="Times New Roman" w:cs="Times New Roman"/>
          <w:lang w:val="en-US"/>
        </w:rPr>
        <w:t>.</w:t>
      </w:r>
    </w:p>
    <w:p w14:paraId="2B093208" w14:textId="061E75BE" w:rsidR="00621A42" w:rsidRPr="000D3967" w:rsidRDefault="00621A42" w:rsidP="00A004FC">
      <w:pPr>
        <w:spacing w:line="240" w:lineRule="auto"/>
        <w:jc w:val="both"/>
        <w:rPr>
          <w:rFonts w:ascii="Times New Roman" w:hAnsi="Times New Roman" w:cs="Times New Roman"/>
          <w:lang w:val="en-US"/>
        </w:rPr>
      </w:pPr>
      <w:r>
        <w:rPr>
          <w:rFonts w:ascii="Times New Roman" w:hAnsi="Times New Roman" w:cs="Times New Roman"/>
          <w:lang w:val="en-US"/>
        </w:rPr>
        <w:t xml:space="preserve">Mikes, A. (2011). From counting risk to making risk count: Boundary-work in risk management. </w:t>
      </w:r>
      <w:r w:rsidRPr="0079324C">
        <w:rPr>
          <w:rStyle w:val="Emphasis"/>
          <w:rFonts w:ascii="Times New Roman" w:hAnsi="Times New Roman" w:cs="Times New Roman"/>
          <w:b w:val="0"/>
          <w:i/>
          <w:lang w:val="en-US"/>
        </w:rPr>
        <w:t>Accounting, Organizations and Society</w:t>
      </w:r>
      <w:r w:rsidRPr="0079324C">
        <w:rPr>
          <w:rStyle w:val="Emphasis"/>
          <w:rFonts w:ascii="Times New Roman" w:hAnsi="Times New Roman" w:cs="Times New Roman"/>
          <w:b w:val="0"/>
          <w:lang w:val="en-US"/>
        </w:rPr>
        <w:t>,</w:t>
      </w:r>
      <w:r w:rsidRPr="00C0510F">
        <w:rPr>
          <w:rStyle w:val="Emphasis"/>
          <w:rFonts w:ascii="Times New Roman" w:hAnsi="Times New Roman" w:cs="Times New Roman"/>
          <w:lang w:val="en-US"/>
        </w:rPr>
        <w:t xml:space="preserve"> </w:t>
      </w:r>
      <w:r>
        <w:rPr>
          <w:rFonts w:ascii="Times New Roman" w:hAnsi="Times New Roman" w:cs="Times New Roman"/>
          <w:lang w:val="en-US"/>
        </w:rPr>
        <w:t>36: 226-245.</w:t>
      </w:r>
    </w:p>
    <w:p w14:paraId="757F5F30" w14:textId="77777777" w:rsidR="0079324C" w:rsidRPr="000D3967" w:rsidRDefault="0079324C" w:rsidP="00A004FC">
      <w:pPr>
        <w:autoSpaceDE w:val="0"/>
        <w:autoSpaceDN w:val="0"/>
        <w:adjustRightInd w:val="0"/>
        <w:spacing w:after="0" w:line="240" w:lineRule="auto"/>
        <w:jc w:val="both"/>
        <w:rPr>
          <w:rFonts w:ascii="Times New Roman" w:hAnsi="Times New Roman" w:cs="Times New Roman"/>
          <w:lang w:val="en-US"/>
        </w:rPr>
      </w:pPr>
      <w:r w:rsidRPr="000D3967">
        <w:rPr>
          <w:rFonts w:ascii="Times New Roman" w:hAnsi="Times New Roman" w:cs="Times New Roman"/>
          <w:lang w:val="en"/>
        </w:rPr>
        <w:t xml:space="preserve">Milne, M. and </w:t>
      </w:r>
      <w:r w:rsidRPr="000D3967">
        <w:rPr>
          <w:rStyle w:val="person"/>
          <w:rFonts w:ascii="Times New Roman" w:hAnsi="Times New Roman" w:cs="Times New Roman"/>
          <w:lang w:val="en"/>
        </w:rPr>
        <w:t>Gray, R.H</w:t>
      </w:r>
      <w:r w:rsidRPr="000D3967">
        <w:rPr>
          <w:rStyle w:val="Title1"/>
          <w:rFonts w:ascii="Times New Roman" w:hAnsi="Times New Roman" w:cs="Times New Roman"/>
          <w:lang w:val="en"/>
        </w:rPr>
        <w:t xml:space="preserve"> (2013). ‘W(h)</w:t>
      </w:r>
      <w:proofErr w:type="spellStart"/>
      <w:r w:rsidRPr="000D3967">
        <w:rPr>
          <w:rStyle w:val="Title1"/>
          <w:rFonts w:ascii="Times New Roman" w:hAnsi="Times New Roman" w:cs="Times New Roman"/>
          <w:lang w:val="en"/>
        </w:rPr>
        <w:t>ither</w:t>
      </w:r>
      <w:proofErr w:type="spellEnd"/>
      <w:r w:rsidRPr="000D3967">
        <w:rPr>
          <w:rStyle w:val="Title1"/>
          <w:rFonts w:ascii="Times New Roman" w:hAnsi="Times New Roman" w:cs="Times New Roman"/>
          <w:lang w:val="en"/>
        </w:rPr>
        <w:t xml:space="preserve"> Ecology?: The Triple Bottom Line, the Global Reporting Initiative, and Corporate Sustainability Reporting’, </w:t>
      </w:r>
      <w:r w:rsidRPr="000D3967">
        <w:rPr>
          <w:rStyle w:val="journal"/>
          <w:rFonts w:ascii="Times New Roman" w:hAnsi="Times New Roman" w:cs="Times New Roman"/>
          <w:i/>
          <w:lang w:val="en"/>
        </w:rPr>
        <w:t>Journal of Business Ethics</w:t>
      </w:r>
      <w:r w:rsidRPr="000D3967">
        <w:rPr>
          <w:rStyle w:val="journal"/>
          <w:rFonts w:ascii="Times New Roman" w:hAnsi="Times New Roman" w:cs="Times New Roman"/>
          <w:lang w:val="en"/>
        </w:rPr>
        <w:t>, 118: 13-29.</w:t>
      </w:r>
    </w:p>
    <w:p w14:paraId="3273B670" w14:textId="77777777" w:rsidR="0079324C" w:rsidRPr="000D3967" w:rsidRDefault="0079324C" w:rsidP="00A004FC">
      <w:pPr>
        <w:autoSpaceDE w:val="0"/>
        <w:autoSpaceDN w:val="0"/>
        <w:adjustRightInd w:val="0"/>
        <w:spacing w:after="0" w:line="240" w:lineRule="auto"/>
        <w:jc w:val="both"/>
        <w:rPr>
          <w:rFonts w:ascii="Times New Roman" w:hAnsi="Times New Roman" w:cs="Times New Roman"/>
          <w:lang w:val="en-US"/>
        </w:rPr>
      </w:pPr>
    </w:p>
    <w:p w14:paraId="1C2AC639" w14:textId="77777777" w:rsidR="0079324C" w:rsidRPr="000D3967" w:rsidRDefault="0079324C" w:rsidP="00A004FC">
      <w:pPr>
        <w:spacing w:after="0" w:line="240" w:lineRule="auto"/>
        <w:jc w:val="both"/>
        <w:rPr>
          <w:rFonts w:ascii="Times New Roman" w:eastAsia="SimSun" w:hAnsi="Times New Roman" w:cs="Times New Roman"/>
          <w:lang w:val="en-GB" w:eastAsia="zh-CN"/>
        </w:rPr>
      </w:pPr>
      <w:r w:rsidRPr="000D3967">
        <w:rPr>
          <w:rFonts w:ascii="Times New Roman" w:eastAsia="SimSun" w:hAnsi="Times New Roman" w:cs="Times New Roman"/>
          <w:lang w:val="en-GB" w:eastAsia="zh-CN"/>
        </w:rPr>
        <w:t xml:space="preserve">Murray, A., Sinclair, D., Power, D. and </w:t>
      </w:r>
      <w:proofErr w:type="spellStart"/>
      <w:r w:rsidRPr="000D3967">
        <w:rPr>
          <w:rFonts w:ascii="Times New Roman" w:eastAsia="SimSun" w:hAnsi="Times New Roman" w:cs="Times New Roman"/>
          <w:lang w:val="en-GB" w:eastAsia="zh-CN"/>
        </w:rPr>
        <w:t>Gray</w:t>
      </w:r>
      <w:proofErr w:type="spellEnd"/>
      <w:r w:rsidRPr="000D3967">
        <w:rPr>
          <w:rFonts w:ascii="Times New Roman" w:eastAsia="SimSun" w:hAnsi="Times New Roman" w:cs="Times New Roman"/>
          <w:lang w:val="en-GB" w:eastAsia="zh-CN"/>
        </w:rPr>
        <w:t xml:space="preserve">, R. (2006). ‘Do financial markets care about social and environmental disclosure? Further evidence and exploration from the UK’. </w:t>
      </w:r>
      <w:r w:rsidRPr="000D3967">
        <w:rPr>
          <w:rFonts w:ascii="Times New Roman" w:eastAsia="SimSun" w:hAnsi="Times New Roman" w:cs="Times New Roman"/>
          <w:i/>
          <w:iCs/>
          <w:lang w:val="en-GB" w:eastAsia="zh-CN"/>
        </w:rPr>
        <w:t>Accounting, Auditing &amp; Accountability Journal</w:t>
      </w:r>
      <w:r w:rsidRPr="000D3967">
        <w:rPr>
          <w:rFonts w:ascii="Times New Roman" w:eastAsia="SimSun" w:hAnsi="Times New Roman" w:cs="Times New Roman"/>
          <w:lang w:val="en-GB" w:eastAsia="zh-CN"/>
        </w:rPr>
        <w:t>, 19(2): 228-255.</w:t>
      </w:r>
    </w:p>
    <w:p w14:paraId="300342E3" w14:textId="77777777" w:rsidR="0079324C" w:rsidRPr="000D3967" w:rsidRDefault="0079324C" w:rsidP="00A004FC">
      <w:pPr>
        <w:spacing w:after="0" w:line="240" w:lineRule="auto"/>
        <w:jc w:val="both"/>
        <w:rPr>
          <w:rFonts w:ascii="Times New Roman" w:eastAsia="SimSun" w:hAnsi="Times New Roman" w:cs="Times New Roman"/>
          <w:lang w:val="en-GB" w:eastAsia="zh-CN"/>
        </w:rPr>
      </w:pPr>
    </w:p>
    <w:p w14:paraId="0829D190" w14:textId="2A39A259" w:rsidR="0079324C" w:rsidRPr="000D3967" w:rsidRDefault="0079324C" w:rsidP="00A004FC">
      <w:pPr>
        <w:jc w:val="both"/>
        <w:rPr>
          <w:rFonts w:ascii="Times New Roman" w:hAnsi="Times New Roman" w:cs="Times New Roman"/>
          <w:lang w:val="en-US"/>
        </w:rPr>
      </w:pPr>
      <w:proofErr w:type="spellStart"/>
      <w:r w:rsidRPr="000D3967">
        <w:rPr>
          <w:rFonts w:ascii="Times New Roman" w:hAnsi="Times New Roman" w:cs="Times New Roman"/>
          <w:lang w:val="en-US"/>
        </w:rPr>
        <w:t>Muzio</w:t>
      </w:r>
      <w:proofErr w:type="spellEnd"/>
      <w:r w:rsidRPr="000D3967">
        <w:rPr>
          <w:rFonts w:ascii="Times New Roman" w:hAnsi="Times New Roman" w:cs="Times New Roman"/>
          <w:lang w:val="en-US"/>
        </w:rPr>
        <w:t>, D., Brock, D.M and Suddaby, R. (2013). ‘Professions and Institutional chang</w:t>
      </w:r>
      <w:r w:rsidR="00A004FC">
        <w:rPr>
          <w:rFonts w:ascii="Times New Roman" w:hAnsi="Times New Roman" w:cs="Times New Roman"/>
          <w:lang w:val="en-US"/>
        </w:rPr>
        <w:t>e: Towards an Institutionalist Sociology of P</w:t>
      </w:r>
      <w:r w:rsidRPr="000D3967">
        <w:rPr>
          <w:rFonts w:ascii="Times New Roman" w:hAnsi="Times New Roman" w:cs="Times New Roman"/>
          <w:lang w:val="en-US"/>
        </w:rPr>
        <w:t xml:space="preserve">rofessions’. </w:t>
      </w:r>
      <w:r w:rsidRPr="000D3967">
        <w:rPr>
          <w:rFonts w:ascii="Times New Roman" w:hAnsi="Times New Roman" w:cs="Times New Roman"/>
          <w:i/>
          <w:lang w:val="en-US"/>
        </w:rPr>
        <w:t xml:space="preserve">Journal of Management Studies, </w:t>
      </w:r>
      <w:r w:rsidRPr="000D3967">
        <w:rPr>
          <w:rFonts w:ascii="Times New Roman" w:hAnsi="Times New Roman" w:cs="Times New Roman"/>
          <w:lang w:val="en-US"/>
        </w:rPr>
        <w:t>50(5): 699-721.</w:t>
      </w:r>
    </w:p>
    <w:p w14:paraId="475945A6" w14:textId="77777777" w:rsidR="0079324C" w:rsidRPr="000D3967" w:rsidRDefault="0079324C" w:rsidP="00A004FC">
      <w:pPr>
        <w:spacing w:after="0" w:line="240" w:lineRule="auto"/>
        <w:ind w:right="422"/>
        <w:jc w:val="both"/>
        <w:rPr>
          <w:rFonts w:ascii="Times New Roman" w:eastAsia="Cambria" w:hAnsi="Times New Roman" w:cs="Times New Roman"/>
          <w:spacing w:val="-9"/>
          <w:lang w:val="en-US"/>
        </w:rPr>
      </w:pPr>
      <w:r w:rsidRPr="000D3967">
        <w:rPr>
          <w:rFonts w:ascii="Times New Roman" w:eastAsia="Cambria" w:hAnsi="Times New Roman" w:cs="Times New Roman"/>
          <w:lang w:val="en-US"/>
        </w:rPr>
        <w:t>O</w:t>
      </w:r>
      <w:r w:rsidRPr="000D3967">
        <w:rPr>
          <w:rFonts w:ascii="Times New Roman" w:eastAsia="Cambria" w:hAnsi="Times New Roman" w:cs="Times New Roman"/>
          <w:spacing w:val="-1"/>
          <w:lang w:val="en-US"/>
        </w:rPr>
        <w:t>’</w:t>
      </w:r>
      <w:r w:rsidRPr="000D3967">
        <w:rPr>
          <w:rFonts w:ascii="Times New Roman" w:eastAsia="Cambria" w:hAnsi="Times New Roman" w:cs="Times New Roman"/>
          <w:lang w:val="en-US"/>
        </w:rPr>
        <w:t>D</w:t>
      </w:r>
      <w:r w:rsidRPr="000D3967">
        <w:rPr>
          <w:rFonts w:ascii="Times New Roman" w:eastAsia="Cambria" w:hAnsi="Times New Roman" w:cs="Times New Roman"/>
          <w:spacing w:val="-1"/>
          <w:lang w:val="en-US"/>
        </w:rPr>
        <w:t>wy</w:t>
      </w:r>
      <w:r w:rsidRPr="000D3967">
        <w:rPr>
          <w:rFonts w:ascii="Times New Roman" w:eastAsia="Cambria" w:hAnsi="Times New Roman" w:cs="Times New Roman"/>
          <w:spacing w:val="3"/>
          <w:lang w:val="en-US"/>
        </w:rPr>
        <w:t>e</w:t>
      </w:r>
      <w:r w:rsidRPr="000D3967">
        <w:rPr>
          <w:rFonts w:ascii="Times New Roman" w:eastAsia="Cambria" w:hAnsi="Times New Roman" w:cs="Times New Roman"/>
          <w:spacing w:val="-1"/>
          <w:lang w:val="en-US"/>
        </w:rPr>
        <w:t>r</w:t>
      </w:r>
      <w:r w:rsidRPr="000D3967">
        <w:rPr>
          <w:rFonts w:ascii="Times New Roman" w:eastAsia="Cambria" w:hAnsi="Times New Roman" w:cs="Times New Roman"/>
          <w:lang w:val="en-US"/>
        </w:rPr>
        <w:t>,</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lang w:val="en-US"/>
        </w:rPr>
        <w:t>B.</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lang w:val="en-US"/>
        </w:rPr>
        <w:t>(</w:t>
      </w:r>
      <w:r w:rsidRPr="000D3967">
        <w:rPr>
          <w:rFonts w:ascii="Times New Roman" w:eastAsia="Cambria" w:hAnsi="Times New Roman" w:cs="Times New Roman"/>
          <w:spacing w:val="-1"/>
          <w:lang w:val="en-US"/>
        </w:rPr>
        <w:t>20</w:t>
      </w:r>
      <w:r w:rsidRPr="000D3967">
        <w:rPr>
          <w:rFonts w:ascii="Times New Roman" w:eastAsia="Cambria" w:hAnsi="Times New Roman" w:cs="Times New Roman"/>
          <w:spacing w:val="1"/>
          <w:lang w:val="en-US"/>
        </w:rPr>
        <w:t>1</w:t>
      </w:r>
      <w:r w:rsidRPr="000D3967">
        <w:rPr>
          <w:rFonts w:ascii="Times New Roman" w:eastAsia="Cambria" w:hAnsi="Times New Roman" w:cs="Times New Roman"/>
          <w:spacing w:val="-1"/>
          <w:lang w:val="en-US"/>
        </w:rPr>
        <w:t>1</w:t>
      </w:r>
      <w:r w:rsidRPr="000D3967">
        <w:rPr>
          <w:rFonts w:ascii="Times New Roman" w:eastAsia="Cambria" w:hAnsi="Times New Roman" w:cs="Times New Roman"/>
          <w:lang w:val="en-US"/>
        </w:rPr>
        <w:t xml:space="preserve">). </w:t>
      </w:r>
      <w:r w:rsidRPr="000D3967">
        <w:rPr>
          <w:rFonts w:ascii="Times New Roman" w:eastAsia="Cambria" w:hAnsi="Times New Roman" w:cs="Times New Roman"/>
          <w:spacing w:val="2"/>
          <w:lang w:val="en-US"/>
        </w:rPr>
        <w:t>‘</w:t>
      </w:r>
      <w:r w:rsidRPr="000D3967">
        <w:rPr>
          <w:rFonts w:ascii="Times New Roman" w:eastAsia="Cambria" w:hAnsi="Times New Roman" w:cs="Times New Roman"/>
          <w:spacing w:val="-1"/>
          <w:lang w:val="en-US"/>
        </w:rPr>
        <w:t>T</w:t>
      </w:r>
      <w:r w:rsidRPr="000D3967">
        <w:rPr>
          <w:rFonts w:ascii="Times New Roman" w:eastAsia="Cambria" w:hAnsi="Times New Roman" w:cs="Times New Roman"/>
          <w:lang w:val="en-US"/>
        </w:rPr>
        <w:t>he Case of</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spacing w:val="1"/>
          <w:lang w:val="en-US"/>
        </w:rPr>
        <w:t>S</w:t>
      </w:r>
      <w:r w:rsidRPr="000D3967">
        <w:rPr>
          <w:rFonts w:ascii="Times New Roman" w:eastAsia="Cambria" w:hAnsi="Times New Roman" w:cs="Times New Roman"/>
          <w:lang w:val="en-US"/>
        </w:rPr>
        <w:t>usta</w:t>
      </w:r>
      <w:r w:rsidRPr="000D3967">
        <w:rPr>
          <w:rFonts w:ascii="Times New Roman" w:eastAsia="Cambria" w:hAnsi="Times New Roman" w:cs="Times New Roman"/>
          <w:spacing w:val="1"/>
          <w:lang w:val="en-US"/>
        </w:rPr>
        <w:t>i</w:t>
      </w:r>
      <w:r w:rsidRPr="000D3967">
        <w:rPr>
          <w:rFonts w:ascii="Times New Roman" w:eastAsia="Cambria" w:hAnsi="Times New Roman" w:cs="Times New Roman"/>
          <w:lang w:val="en-US"/>
        </w:rPr>
        <w:t>n</w:t>
      </w:r>
      <w:r w:rsidRPr="000D3967">
        <w:rPr>
          <w:rFonts w:ascii="Times New Roman" w:eastAsia="Cambria" w:hAnsi="Times New Roman" w:cs="Times New Roman"/>
          <w:spacing w:val="1"/>
          <w:lang w:val="en-US"/>
        </w:rPr>
        <w:t>a</w:t>
      </w:r>
      <w:r w:rsidRPr="000D3967">
        <w:rPr>
          <w:rFonts w:ascii="Times New Roman" w:eastAsia="Cambria" w:hAnsi="Times New Roman" w:cs="Times New Roman"/>
          <w:spacing w:val="-2"/>
          <w:lang w:val="en-US"/>
        </w:rPr>
        <w:t>b</w:t>
      </w:r>
      <w:r w:rsidRPr="000D3967">
        <w:rPr>
          <w:rFonts w:ascii="Times New Roman" w:eastAsia="Cambria" w:hAnsi="Times New Roman" w:cs="Times New Roman"/>
          <w:lang w:val="en-US"/>
        </w:rPr>
        <w:t>ili</w:t>
      </w:r>
      <w:r w:rsidRPr="000D3967">
        <w:rPr>
          <w:rFonts w:ascii="Times New Roman" w:eastAsia="Cambria" w:hAnsi="Times New Roman" w:cs="Times New Roman"/>
          <w:spacing w:val="1"/>
          <w:lang w:val="en-US"/>
        </w:rPr>
        <w:t>t</w:t>
      </w:r>
      <w:r w:rsidRPr="000D3967">
        <w:rPr>
          <w:rFonts w:ascii="Times New Roman" w:eastAsia="Cambria" w:hAnsi="Times New Roman" w:cs="Times New Roman"/>
          <w:lang w:val="en-US"/>
        </w:rPr>
        <w:t>y</w:t>
      </w:r>
      <w:r w:rsidRPr="000D3967">
        <w:rPr>
          <w:rFonts w:ascii="Times New Roman" w:eastAsia="Cambria" w:hAnsi="Times New Roman" w:cs="Times New Roman"/>
          <w:spacing w:val="-1"/>
          <w:lang w:val="en-US"/>
        </w:rPr>
        <w:t xml:space="preserve"> A</w:t>
      </w:r>
      <w:r w:rsidRPr="000D3967">
        <w:rPr>
          <w:rFonts w:ascii="Times New Roman" w:eastAsia="Cambria" w:hAnsi="Times New Roman" w:cs="Times New Roman"/>
          <w:lang w:val="en-US"/>
        </w:rPr>
        <w:t>ssu</w:t>
      </w:r>
      <w:r w:rsidRPr="000D3967">
        <w:rPr>
          <w:rFonts w:ascii="Times New Roman" w:eastAsia="Cambria" w:hAnsi="Times New Roman" w:cs="Times New Roman"/>
          <w:spacing w:val="-1"/>
          <w:lang w:val="en-US"/>
        </w:rPr>
        <w:t>r</w:t>
      </w:r>
      <w:r w:rsidRPr="000D3967">
        <w:rPr>
          <w:rFonts w:ascii="Times New Roman" w:eastAsia="Cambria" w:hAnsi="Times New Roman" w:cs="Times New Roman"/>
          <w:lang w:val="en-US"/>
        </w:rPr>
        <w:t>a</w:t>
      </w:r>
      <w:r w:rsidRPr="000D3967">
        <w:rPr>
          <w:rFonts w:ascii="Times New Roman" w:eastAsia="Cambria" w:hAnsi="Times New Roman" w:cs="Times New Roman"/>
          <w:spacing w:val="1"/>
          <w:lang w:val="en-US"/>
        </w:rPr>
        <w:t>n</w:t>
      </w:r>
      <w:r w:rsidRPr="000D3967">
        <w:rPr>
          <w:rFonts w:ascii="Times New Roman" w:eastAsia="Cambria" w:hAnsi="Times New Roman" w:cs="Times New Roman"/>
          <w:lang w:val="en-US"/>
        </w:rPr>
        <w:t>ce:</w:t>
      </w:r>
      <w:r w:rsidRPr="000D3967">
        <w:rPr>
          <w:rFonts w:ascii="Times New Roman" w:eastAsia="Cambria" w:hAnsi="Times New Roman" w:cs="Times New Roman"/>
          <w:spacing w:val="-1"/>
          <w:lang w:val="en-US"/>
        </w:rPr>
        <w:t xml:space="preserve"> C</w:t>
      </w:r>
      <w:r w:rsidRPr="000D3967">
        <w:rPr>
          <w:rFonts w:ascii="Times New Roman" w:eastAsia="Cambria" w:hAnsi="Times New Roman" w:cs="Times New Roman"/>
          <w:lang w:val="en-US"/>
        </w:rPr>
        <w:t>onstr</w:t>
      </w:r>
      <w:r w:rsidRPr="000D3967">
        <w:rPr>
          <w:rFonts w:ascii="Times New Roman" w:eastAsia="Cambria" w:hAnsi="Times New Roman" w:cs="Times New Roman"/>
          <w:spacing w:val="-1"/>
          <w:lang w:val="en-US"/>
        </w:rPr>
        <w:t>u</w:t>
      </w:r>
      <w:r w:rsidRPr="000D3967">
        <w:rPr>
          <w:rFonts w:ascii="Times New Roman" w:eastAsia="Cambria" w:hAnsi="Times New Roman" w:cs="Times New Roman"/>
          <w:lang w:val="en-US"/>
        </w:rPr>
        <w:t>cti</w:t>
      </w:r>
      <w:r w:rsidRPr="000D3967">
        <w:rPr>
          <w:rFonts w:ascii="Times New Roman" w:eastAsia="Cambria" w:hAnsi="Times New Roman" w:cs="Times New Roman"/>
          <w:spacing w:val="3"/>
          <w:lang w:val="en-US"/>
        </w:rPr>
        <w:t>n</w:t>
      </w:r>
      <w:r w:rsidRPr="000D3967">
        <w:rPr>
          <w:rFonts w:ascii="Times New Roman" w:eastAsia="Cambria" w:hAnsi="Times New Roman" w:cs="Times New Roman"/>
          <w:lang w:val="en-US"/>
        </w:rPr>
        <w:t>g</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lang w:val="en-US"/>
        </w:rPr>
        <w:t>a n</w:t>
      </w:r>
      <w:r w:rsidRPr="000D3967">
        <w:rPr>
          <w:rFonts w:ascii="Times New Roman" w:eastAsia="Cambria" w:hAnsi="Times New Roman" w:cs="Times New Roman"/>
          <w:spacing w:val="1"/>
          <w:lang w:val="en-US"/>
        </w:rPr>
        <w:t>e</w:t>
      </w:r>
      <w:r w:rsidRPr="000D3967">
        <w:rPr>
          <w:rFonts w:ascii="Times New Roman" w:eastAsia="Cambria" w:hAnsi="Times New Roman" w:cs="Times New Roman"/>
          <w:lang w:val="en-US"/>
        </w:rPr>
        <w:t>w</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lang w:val="en-US"/>
        </w:rPr>
        <w:t>assu</w:t>
      </w:r>
      <w:r w:rsidRPr="000D3967">
        <w:rPr>
          <w:rFonts w:ascii="Times New Roman" w:eastAsia="Cambria" w:hAnsi="Times New Roman" w:cs="Times New Roman"/>
          <w:spacing w:val="-1"/>
          <w:lang w:val="en-US"/>
        </w:rPr>
        <w:t>r</w:t>
      </w:r>
      <w:r w:rsidRPr="000D3967">
        <w:rPr>
          <w:rFonts w:ascii="Times New Roman" w:eastAsia="Cambria" w:hAnsi="Times New Roman" w:cs="Times New Roman"/>
          <w:lang w:val="en-US"/>
        </w:rPr>
        <w:t>a</w:t>
      </w:r>
      <w:r w:rsidRPr="000D3967">
        <w:rPr>
          <w:rFonts w:ascii="Times New Roman" w:eastAsia="Cambria" w:hAnsi="Times New Roman" w:cs="Times New Roman"/>
          <w:spacing w:val="1"/>
          <w:lang w:val="en-US"/>
        </w:rPr>
        <w:t>n</w:t>
      </w:r>
      <w:r w:rsidRPr="000D3967">
        <w:rPr>
          <w:rFonts w:ascii="Times New Roman" w:eastAsia="Cambria" w:hAnsi="Times New Roman" w:cs="Times New Roman"/>
          <w:lang w:val="en-US"/>
        </w:rPr>
        <w:t>ce se</w:t>
      </w:r>
      <w:r w:rsidRPr="000D3967">
        <w:rPr>
          <w:rFonts w:ascii="Times New Roman" w:eastAsia="Cambria" w:hAnsi="Times New Roman" w:cs="Times New Roman"/>
          <w:spacing w:val="-1"/>
          <w:lang w:val="en-US"/>
        </w:rPr>
        <w:t>rv</w:t>
      </w:r>
      <w:r w:rsidRPr="000D3967">
        <w:rPr>
          <w:rFonts w:ascii="Times New Roman" w:eastAsia="Cambria" w:hAnsi="Times New Roman" w:cs="Times New Roman"/>
          <w:lang w:val="en-US"/>
        </w:rPr>
        <w:t>ice</w:t>
      </w:r>
      <w:r w:rsidRPr="000D3967">
        <w:rPr>
          <w:rFonts w:ascii="Times New Roman" w:eastAsia="Cambria" w:hAnsi="Times New Roman" w:cs="Times New Roman"/>
          <w:spacing w:val="1"/>
          <w:lang w:val="en-US"/>
        </w:rPr>
        <w:t>’</w:t>
      </w:r>
      <w:r w:rsidRPr="000D3967">
        <w:rPr>
          <w:rFonts w:ascii="Times New Roman" w:eastAsia="Cambria" w:hAnsi="Times New Roman" w:cs="Times New Roman"/>
          <w:lang w:val="en-US"/>
        </w:rPr>
        <w:t>.</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i/>
          <w:lang w:val="en-US"/>
        </w:rPr>
        <w:t>Co</w:t>
      </w:r>
      <w:r w:rsidRPr="000D3967">
        <w:rPr>
          <w:rFonts w:ascii="Times New Roman" w:eastAsia="Cambria" w:hAnsi="Times New Roman" w:cs="Times New Roman"/>
          <w:i/>
          <w:spacing w:val="2"/>
          <w:lang w:val="en-US"/>
        </w:rPr>
        <w:t>n</w:t>
      </w:r>
      <w:r w:rsidRPr="000D3967">
        <w:rPr>
          <w:rFonts w:ascii="Times New Roman" w:eastAsia="Cambria" w:hAnsi="Times New Roman" w:cs="Times New Roman"/>
          <w:i/>
          <w:spacing w:val="-1"/>
          <w:lang w:val="en-US"/>
        </w:rPr>
        <w:t>t</w:t>
      </w:r>
      <w:r w:rsidRPr="000D3967">
        <w:rPr>
          <w:rFonts w:ascii="Times New Roman" w:eastAsia="Cambria" w:hAnsi="Times New Roman" w:cs="Times New Roman"/>
          <w:i/>
          <w:lang w:val="en-US"/>
        </w:rPr>
        <w:t>em</w:t>
      </w:r>
      <w:r w:rsidRPr="000D3967">
        <w:rPr>
          <w:rFonts w:ascii="Times New Roman" w:eastAsia="Cambria" w:hAnsi="Times New Roman" w:cs="Times New Roman"/>
          <w:i/>
          <w:spacing w:val="1"/>
          <w:lang w:val="en-US"/>
        </w:rPr>
        <w:t>p</w:t>
      </w:r>
      <w:r w:rsidRPr="000D3967">
        <w:rPr>
          <w:rFonts w:ascii="Times New Roman" w:eastAsia="Cambria" w:hAnsi="Times New Roman" w:cs="Times New Roman"/>
          <w:i/>
          <w:spacing w:val="-2"/>
          <w:lang w:val="en-US"/>
        </w:rPr>
        <w:t>o</w:t>
      </w:r>
      <w:r w:rsidRPr="000D3967">
        <w:rPr>
          <w:rFonts w:ascii="Times New Roman" w:eastAsia="Cambria" w:hAnsi="Times New Roman" w:cs="Times New Roman"/>
          <w:i/>
          <w:lang w:val="en-US"/>
        </w:rPr>
        <w:t>r</w:t>
      </w:r>
      <w:r w:rsidRPr="000D3967">
        <w:rPr>
          <w:rFonts w:ascii="Times New Roman" w:eastAsia="Cambria" w:hAnsi="Times New Roman" w:cs="Times New Roman"/>
          <w:i/>
          <w:spacing w:val="1"/>
          <w:lang w:val="en-US"/>
        </w:rPr>
        <w:t>a</w:t>
      </w:r>
      <w:r w:rsidRPr="000D3967">
        <w:rPr>
          <w:rFonts w:ascii="Times New Roman" w:eastAsia="Cambria" w:hAnsi="Times New Roman" w:cs="Times New Roman"/>
          <w:i/>
          <w:lang w:val="en-US"/>
        </w:rPr>
        <w:t>ry</w:t>
      </w:r>
      <w:r w:rsidRPr="000D3967">
        <w:rPr>
          <w:rFonts w:ascii="Times New Roman" w:eastAsia="Cambria" w:hAnsi="Times New Roman" w:cs="Times New Roman"/>
          <w:i/>
          <w:spacing w:val="-8"/>
          <w:lang w:val="en-US"/>
        </w:rPr>
        <w:t xml:space="preserve"> </w:t>
      </w:r>
      <w:r w:rsidRPr="000D3967">
        <w:rPr>
          <w:rFonts w:ascii="Times New Roman" w:eastAsia="Cambria" w:hAnsi="Times New Roman" w:cs="Times New Roman"/>
          <w:i/>
          <w:lang w:val="en-US"/>
        </w:rPr>
        <w:t>Ac</w:t>
      </w:r>
      <w:r w:rsidRPr="000D3967">
        <w:rPr>
          <w:rFonts w:ascii="Times New Roman" w:eastAsia="Cambria" w:hAnsi="Times New Roman" w:cs="Times New Roman"/>
          <w:i/>
          <w:spacing w:val="-1"/>
          <w:lang w:val="en-US"/>
        </w:rPr>
        <w:t>c</w:t>
      </w:r>
      <w:r w:rsidRPr="000D3967">
        <w:rPr>
          <w:rFonts w:ascii="Times New Roman" w:eastAsia="Cambria" w:hAnsi="Times New Roman" w:cs="Times New Roman"/>
          <w:i/>
          <w:spacing w:val="-2"/>
          <w:lang w:val="en-US"/>
        </w:rPr>
        <w:t>o</w:t>
      </w:r>
      <w:r w:rsidRPr="000D3967">
        <w:rPr>
          <w:rFonts w:ascii="Times New Roman" w:eastAsia="Cambria" w:hAnsi="Times New Roman" w:cs="Times New Roman"/>
          <w:i/>
          <w:spacing w:val="1"/>
          <w:lang w:val="en-US"/>
        </w:rPr>
        <w:t>u</w:t>
      </w:r>
      <w:r w:rsidRPr="000D3967">
        <w:rPr>
          <w:rFonts w:ascii="Times New Roman" w:eastAsia="Cambria" w:hAnsi="Times New Roman" w:cs="Times New Roman"/>
          <w:i/>
          <w:spacing w:val="-1"/>
          <w:lang w:val="en-US"/>
        </w:rPr>
        <w:t>n</w:t>
      </w:r>
      <w:r w:rsidRPr="000D3967">
        <w:rPr>
          <w:rFonts w:ascii="Times New Roman" w:eastAsia="Cambria" w:hAnsi="Times New Roman" w:cs="Times New Roman"/>
          <w:i/>
          <w:spacing w:val="1"/>
          <w:lang w:val="en-US"/>
        </w:rPr>
        <w:t>t</w:t>
      </w:r>
      <w:r w:rsidRPr="000D3967">
        <w:rPr>
          <w:rFonts w:ascii="Times New Roman" w:eastAsia="Cambria" w:hAnsi="Times New Roman" w:cs="Times New Roman"/>
          <w:i/>
          <w:lang w:val="en-US"/>
        </w:rPr>
        <w:t>i</w:t>
      </w:r>
      <w:r w:rsidRPr="000D3967">
        <w:rPr>
          <w:rFonts w:ascii="Times New Roman" w:eastAsia="Cambria" w:hAnsi="Times New Roman" w:cs="Times New Roman"/>
          <w:i/>
          <w:spacing w:val="1"/>
          <w:lang w:val="en-US"/>
        </w:rPr>
        <w:t>n</w:t>
      </w:r>
      <w:r w:rsidRPr="000D3967">
        <w:rPr>
          <w:rFonts w:ascii="Times New Roman" w:eastAsia="Cambria" w:hAnsi="Times New Roman" w:cs="Times New Roman"/>
          <w:i/>
          <w:lang w:val="en-US"/>
        </w:rPr>
        <w:t>g</w:t>
      </w:r>
      <w:r w:rsidRPr="000D3967">
        <w:rPr>
          <w:rFonts w:ascii="Times New Roman" w:eastAsia="Cambria" w:hAnsi="Times New Roman" w:cs="Times New Roman"/>
          <w:i/>
          <w:spacing w:val="-1"/>
          <w:lang w:val="en-US"/>
        </w:rPr>
        <w:t xml:space="preserve"> </w:t>
      </w:r>
      <w:r w:rsidRPr="000D3967">
        <w:rPr>
          <w:rFonts w:ascii="Times New Roman" w:eastAsia="Cambria" w:hAnsi="Times New Roman" w:cs="Times New Roman"/>
          <w:i/>
          <w:lang w:val="en-US"/>
        </w:rPr>
        <w:t>Rese</w:t>
      </w:r>
      <w:r w:rsidRPr="000D3967">
        <w:rPr>
          <w:rFonts w:ascii="Times New Roman" w:eastAsia="Cambria" w:hAnsi="Times New Roman" w:cs="Times New Roman"/>
          <w:i/>
          <w:spacing w:val="1"/>
          <w:lang w:val="en-US"/>
        </w:rPr>
        <w:t>a</w:t>
      </w:r>
      <w:r w:rsidRPr="000D3967">
        <w:rPr>
          <w:rFonts w:ascii="Times New Roman" w:eastAsia="Cambria" w:hAnsi="Times New Roman" w:cs="Times New Roman"/>
          <w:i/>
          <w:lang w:val="en-US"/>
        </w:rPr>
        <w:t>rc</w:t>
      </w:r>
      <w:r w:rsidRPr="000D3967">
        <w:rPr>
          <w:rFonts w:ascii="Times New Roman" w:eastAsia="Cambria" w:hAnsi="Times New Roman" w:cs="Times New Roman"/>
          <w:i/>
          <w:spacing w:val="2"/>
          <w:lang w:val="en-US"/>
        </w:rPr>
        <w:t>h</w:t>
      </w:r>
      <w:r w:rsidRPr="000D3967">
        <w:rPr>
          <w:rFonts w:ascii="Times New Roman" w:eastAsia="Cambria" w:hAnsi="Times New Roman" w:cs="Times New Roman"/>
          <w:lang w:val="en-US"/>
        </w:rPr>
        <w:t>.</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spacing w:val="-1"/>
          <w:lang w:val="en-US"/>
        </w:rPr>
        <w:t>2</w:t>
      </w:r>
      <w:r w:rsidRPr="000D3967">
        <w:rPr>
          <w:rFonts w:ascii="Times New Roman" w:eastAsia="Cambria" w:hAnsi="Times New Roman" w:cs="Times New Roman"/>
          <w:lang w:val="en-US"/>
        </w:rPr>
        <w:t>8</w:t>
      </w:r>
      <w:r w:rsidRPr="000D3967">
        <w:rPr>
          <w:rFonts w:ascii="Times New Roman" w:eastAsia="Cambria" w:hAnsi="Times New Roman" w:cs="Times New Roman"/>
          <w:spacing w:val="-4"/>
          <w:lang w:val="en-US"/>
        </w:rPr>
        <w:t>(</w:t>
      </w:r>
      <w:r w:rsidRPr="000D3967">
        <w:rPr>
          <w:rFonts w:ascii="Times New Roman" w:eastAsia="Cambria" w:hAnsi="Times New Roman" w:cs="Times New Roman"/>
          <w:spacing w:val="-1"/>
          <w:lang w:val="en-US"/>
        </w:rPr>
        <w:t>4</w:t>
      </w:r>
      <w:r w:rsidRPr="000D3967">
        <w:rPr>
          <w:rFonts w:ascii="Times New Roman" w:eastAsia="Cambria" w:hAnsi="Times New Roman" w:cs="Times New Roman"/>
          <w:lang w:val="en-US"/>
        </w:rPr>
        <w:t xml:space="preserve">): </w:t>
      </w:r>
      <w:r w:rsidRPr="000D3967">
        <w:rPr>
          <w:rFonts w:ascii="Times New Roman" w:eastAsia="Cambria" w:hAnsi="Times New Roman" w:cs="Times New Roman"/>
          <w:spacing w:val="-1"/>
          <w:lang w:val="en-US"/>
        </w:rPr>
        <w:t>123</w:t>
      </w:r>
      <w:r w:rsidRPr="000D3967">
        <w:rPr>
          <w:rFonts w:ascii="Times New Roman" w:eastAsia="Cambria" w:hAnsi="Times New Roman" w:cs="Times New Roman"/>
          <w:lang w:val="en-US"/>
        </w:rPr>
        <w:t>0-</w:t>
      </w:r>
      <w:r w:rsidRPr="000D3967">
        <w:rPr>
          <w:rFonts w:ascii="Times New Roman" w:eastAsia="Cambria" w:hAnsi="Times New Roman" w:cs="Times New Roman"/>
          <w:spacing w:val="-1"/>
          <w:lang w:val="en-US"/>
        </w:rPr>
        <w:t>1</w:t>
      </w:r>
      <w:r w:rsidRPr="000D3967">
        <w:rPr>
          <w:rFonts w:ascii="Times New Roman" w:eastAsia="Cambria" w:hAnsi="Times New Roman" w:cs="Times New Roman"/>
          <w:spacing w:val="1"/>
          <w:lang w:val="en-US"/>
        </w:rPr>
        <w:t>2</w:t>
      </w:r>
      <w:r w:rsidRPr="000D3967">
        <w:rPr>
          <w:rFonts w:ascii="Times New Roman" w:eastAsia="Cambria" w:hAnsi="Times New Roman" w:cs="Times New Roman"/>
          <w:spacing w:val="-1"/>
          <w:lang w:val="en-US"/>
        </w:rPr>
        <w:t>66</w:t>
      </w:r>
      <w:r w:rsidRPr="000D3967">
        <w:rPr>
          <w:rFonts w:ascii="Times New Roman" w:eastAsia="Cambria" w:hAnsi="Times New Roman" w:cs="Times New Roman"/>
          <w:lang w:val="en-US"/>
        </w:rPr>
        <w:t>.</w:t>
      </w:r>
      <w:r w:rsidRPr="000D3967">
        <w:rPr>
          <w:rFonts w:ascii="Times New Roman" w:eastAsia="Cambria" w:hAnsi="Times New Roman" w:cs="Times New Roman"/>
          <w:spacing w:val="-9"/>
          <w:lang w:val="en-US"/>
        </w:rPr>
        <w:t xml:space="preserve"> </w:t>
      </w:r>
    </w:p>
    <w:p w14:paraId="46D1BDF5" w14:textId="77777777" w:rsidR="0079324C" w:rsidRPr="000D3967" w:rsidRDefault="0079324C" w:rsidP="00A004FC">
      <w:pPr>
        <w:spacing w:after="0" w:line="240" w:lineRule="auto"/>
        <w:ind w:right="422"/>
        <w:jc w:val="both"/>
        <w:rPr>
          <w:rFonts w:ascii="Times New Roman" w:eastAsia="Cambria" w:hAnsi="Times New Roman" w:cs="Times New Roman"/>
          <w:lang w:val="en-US"/>
        </w:rPr>
      </w:pPr>
    </w:p>
    <w:p w14:paraId="777132DF" w14:textId="77777777" w:rsidR="0079324C" w:rsidRDefault="0079324C" w:rsidP="00A004FC">
      <w:pPr>
        <w:spacing w:after="0" w:line="240" w:lineRule="auto"/>
        <w:ind w:right="422"/>
        <w:jc w:val="both"/>
        <w:rPr>
          <w:rFonts w:ascii="Times New Roman" w:eastAsia="Cambria" w:hAnsi="Times New Roman" w:cs="Times New Roman"/>
          <w:spacing w:val="-5"/>
          <w:lang w:val="en-US"/>
        </w:rPr>
      </w:pPr>
      <w:r w:rsidRPr="000D3967">
        <w:rPr>
          <w:rFonts w:ascii="Times New Roman" w:eastAsia="Cambria" w:hAnsi="Times New Roman" w:cs="Times New Roman"/>
          <w:lang w:val="en-US"/>
        </w:rPr>
        <w:t>O</w:t>
      </w:r>
      <w:r w:rsidRPr="000D3967">
        <w:rPr>
          <w:rFonts w:ascii="Times New Roman" w:eastAsia="Cambria" w:hAnsi="Times New Roman" w:cs="Times New Roman"/>
          <w:spacing w:val="-1"/>
          <w:lang w:val="en-US"/>
        </w:rPr>
        <w:t>’</w:t>
      </w:r>
      <w:r w:rsidRPr="000D3967">
        <w:rPr>
          <w:rFonts w:ascii="Times New Roman" w:eastAsia="Cambria" w:hAnsi="Times New Roman" w:cs="Times New Roman"/>
          <w:lang w:val="en-US"/>
        </w:rPr>
        <w:t>D</w:t>
      </w:r>
      <w:r w:rsidRPr="000D3967">
        <w:rPr>
          <w:rFonts w:ascii="Times New Roman" w:eastAsia="Cambria" w:hAnsi="Times New Roman" w:cs="Times New Roman"/>
          <w:spacing w:val="-1"/>
          <w:lang w:val="en-US"/>
        </w:rPr>
        <w:t>wy</w:t>
      </w:r>
      <w:r w:rsidRPr="000D3967">
        <w:rPr>
          <w:rFonts w:ascii="Times New Roman" w:eastAsia="Cambria" w:hAnsi="Times New Roman" w:cs="Times New Roman"/>
          <w:spacing w:val="3"/>
          <w:lang w:val="en-US"/>
        </w:rPr>
        <w:t>e</w:t>
      </w:r>
      <w:r w:rsidRPr="000D3967">
        <w:rPr>
          <w:rFonts w:ascii="Times New Roman" w:eastAsia="Cambria" w:hAnsi="Times New Roman" w:cs="Times New Roman"/>
          <w:spacing w:val="-1"/>
          <w:lang w:val="en-US"/>
        </w:rPr>
        <w:t>r</w:t>
      </w:r>
      <w:r w:rsidRPr="000D3967">
        <w:rPr>
          <w:rFonts w:ascii="Times New Roman" w:eastAsia="Cambria" w:hAnsi="Times New Roman" w:cs="Times New Roman"/>
          <w:lang w:val="en-US"/>
        </w:rPr>
        <w:t>,</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lang w:val="en-US"/>
        </w:rPr>
        <w:t>B.</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spacing w:val="-1"/>
          <w:lang w:val="en-US"/>
        </w:rPr>
        <w:t>Ow</w:t>
      </w:r>
      <w:r w:rsidRPr="000D3967">
        <w:rPr>
          <w:rFonts w:ascii="Times New Roman" w:eastAsia="Cambria" w:hAnsi="Times New Roman" w:cs="Times New Roman"/>
          <w:lang w:val="en-US"/>
        </w:rPr>
        <w:t>e</w:t>
      </w:r>
      <w:r w:rsidRPr="000D3967">
        <w:rPr>
          <w:rFonts w:ascii="Times New Roman" w:eastAsia="Cambria" w:hAnsi="Times New Roman" w:cs="Times New Roman"/>
          <w:spacing w:val="3"/>
          <w:lang w:val="en-US"/>
        </w:rPr>
        <w:t>n</w:t>
      </w:r>
      <w:r w:rsidRPr="000D3967">
        <w:rPr>
          <w:rFonts w:ascii="Times New Roman" w:eastAsia="Cambria" w:hAnsi="Times New Roman" w:cs="Times New Roman"/>
          <w:lang w:val="en-US"/>
        </w:rPr>
        <w:t>,</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lang w:val="en-US"/>
        </w:rPr>
        <w:t>D., a</w:t>
      </w:r>
      <w:r w:rsidRPr="000D3967">
        <w:rPr>
          <w:rFonts w:ascii="Times New Roman" w:eastAsia="Cambria" w:hAnsi="Times New Roman" w:cs="Times New Roman"/>
          <w:spacing w:val="1"/>
          <w:lang w:val="en-US"/>
        </w:rPr>
        <w:t>n</w:t>
      </w:r>
      <w:r w:rsidRPr="000D3967">
        <w:rPr>
          <w:rFonts w:ascii="Times New Roman" w:eastAsia="Cambria" w:hAnsi="Times New Roman" w:cs="Times New Roman"/>
          <w:lang w:val="en-US"/>
        </w:rPr>
        <w:t>d</w:t>
      </w:r>
      <w:r w:rsidRPr="000D3967">
        <w:rPr>
          <w:rFonts w:ascii="Times New Roman" w:eastAsia="Cambria" w:hAnsi="Times New Roman" w:cs="Times New Roman"/>
          <w:spacing w:val="-1"/>
          <w:lang w:val="en-US"/>
        </w:rPr>
        <w:t xml:space="preserve"> </w:t>
      </w:r>
      <w:proofErr w:type="spellStart"/>
      <w:r w:rsidRPr="000D3967">
        <w:rPr>
          <w:rFonts w:ascii="Times New Roman" w:eastAsia="Cambria" w:hAnsi="Times New Roman" w:cs="Times New Roman"/>
          <w:lang w:val="en-US"/>
        </w:rPr>
        <w:t>U</w:t>
      </w:r>
      <w:r w:rsidRPr="000D3967">
        <w:rPr>
          <w:rFonts w:ascii="Times New Roman" w:eastAsia="Cambria" w:hAnsi="Times New Roman" w:cs="Times New Roman"/>
          <w:spacing w:val="1"/>
          <w:lang w:val="en-US"/>
        </w:rPr>
        <w:t>n</w:t>
      </w:r>
      <w:r w:rsidRPr="000D3967">
        <w:rPr>
          <w:rFonts w:ascii="Times New Roman" w:eastAsia="Cambria" w:hAnsi="Times New Roman" w:cs="Times New Roman"/>
          <w:lang w:val="en-US"/>
        </w:rPr>
        <w:t>er</w:t>
      </w:r>
      <w:r w:rsidRPr="000D3967">
        <w:rPr>
          <w:rFonts w:ascii="Times New Roman" w:eastAsia="Cambria" w:hAnsi="Times New Roman" w:cs="Times New Roman"/>
          <w:spacing w:val="-1"/>
          <w:lang w:val="en-US"/>
        </w:rPr>
        <w:t>m</w:t>
      </w:r>
      <w:r w:rsidRPr="000D3967">
        <w:rPr>
          <w:rFonts w:ascii="Times New Roman" w:eastAsia="Cambria" w:hAnsi="Times New Roman" w:cs="Times New Roman"/>
          <w:lang w:val="en-US"/>
        </w:rPr>
        <w:t>a</w:t>
      </w:r>
      <w:r w:rsidRPr="000D3967">
        <w:rPr>
          <w:rFonts w:ascii="Times New Roman" w:eastAsia="Cambria" w:hAnsi="Times New Roman" w:cs="Times New Roman"/>
          <w:spacing w:val="1"/>
          <w:lang w:val="en-US"/>
        </w:rPr>
        <w:t>n</w:t>
      </w:r>
      <w:proofErr w:type="spellEnd"/>
      <w:r w:rsidRPr="000D3967">
        <w:rPr>
          <w:rFonts w:ascii="Times New Roman" w:eastAsia="Cambria" w:hAnsi="Times New Roman" w:cs="Times New Roman"/>
          <w:lang w:val="en-US"/>
        </w:rPr>
        <w:t>,</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lang w:val="en-US"/>
        </w:rPr>
        <w:t>J</w:t>
      </w:r>
      <w:r w:rsidRPr="000D3967">
        <w:rPr>
          <w:rFonts w:ascii="Times New Roman" w:eastAsia="Cambria" w:hAnsi="Times New Roman" w:cs="Times New Roman"/>
          <w:spacing w:val="2"/>
          <w:lang w:val="en-US"/>
        </w:rPr>
        <w:t>.</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lang w:val="en-US"/>
        </w:rPr>
        <w:t>(</w:t>
      </w:r>
      <w:r w:rsidRPr="000D3967">
        <w:rPr>
          <w:rFonts w:ascii="Times New Roman" w:eastAsia="Cambria" w:hAnsi="Times New Roman" w:cs="Times New Roman"/>
          <w:spacing w:val="-1"/>
          <w:lang w:val="en-US"/>
        </w:rPr>
        <w:t>2011</w:t>
      </w:r>
      <w:r w:rsidRPr="000D3967">
        <w:rPr>
          <w:rFonts w:ascii="Times New Roman" w:eastAsia="Cambria" w:hAnsi="Times New Roman" w:cs="Times New Roman"/>
          <w:lang w:val="en-US"/>
        </w:rPr>
        <w:t xml:space="preserve">). </w:t>
      </w:r>
      <w:r w:rsidRPr="000D3967">
        <w:rPr>
          <w:rFonts w:ascii="Times New Roman" w:eastAsia="Cambria" w:hAnsi="Times New Roman" w:cs="Times New Roman"/>
          <w:spacing w:val="6"/>
          <w:lang w:val="en-US"/>
        </w:rPr>
        <w:t>‘</w:t>
      </w:r>
      <w:r w:rsidRPr="000D3967">
        <w:rPr>
          <w:rFonts w:ascii="Times New Roman" w:eastAsia="Cambria" w:hAnsi="Times New Roman" w:cs="Times New Roman"/>
          <w:spacing w:val="1"/>
          <w:lang w:val="en-US"/>
        </w:rPr>
        <w:t>S</w:t>
      </w:r>
      <w:r w:rsidRPr="000D3967">
        <w:rPr>
          <w:rFonts w:ascii="Times New Roman" w:eastAsia="Cambria" w:hAnsi="Times New Roman" w:cs="Times New Roman"/>
          <w:lang w:val="en-US"/>
        </w:rPr>
        <w:t>e</w:t>
      </w:r>
      <w:r w:rsidRPr="000D3967">
        <w:rPr>
          <w:rFonts w:ascii="Times New Roman" w:eastAsia="Cambria" w:hAnsi="Times New Roman" w:cs="Times New Roman"/>
          <w:spacing w:val="1"/>
          <w:lang w:val="en-US"/>
        </w:rPr>
        <w:t>e</w:t>
      </w:r>
      <w:r w:rsidRPr="000D3967">
        <w:rPr>
          <w:rFonts w:ascii="Times New Roman" w:eastAsia="Cambria" w:hAnsi="Times New Roman" w:cs="Times New Roman"/>
          <w:spacing w:val="-1"/>
          <w:lang w:val="en-US"/>
        </w:rPr>
        <w:t>k</w:t>
      </w:r>
      <w:r w:rsidRPr="000D3967">
        <w:rPr>
          <w:rFonts w:ascii="Times New Roman" w:eastAsia="Cambria" w:hAnsi="Times New Roman" w:cs="Times New Roman"/>
          <w:lang w:val="en-US"/>
        </w:rPr>
        <w:t>i</w:t>
      </w:r>
      <w:r w:rsidRPr="000D3967">
        <w:rPr>
          <w:rFonts w:ascii="Times New Roman" w:eastAsia="Cambria" w:hAnsi="Times New Roman" w:cs="Times New Roman"/>
          <w:spacing w:val="1"/>
          <w:lang w:val="en-US"/>
        </w:rPr>
        <w:t>n</w:t>
      </w:r>
      <w:r w:rsidRPr="000D3967">
        <w:rPr>
          <w:rFonts w:ascii="Times New Roman" w:eastAsia="Cambria" w:hAnsi="Times New Roman" w:cs="Times New Roman"/>
          <w:lang w:val="en-US"/>
        </w:rPr>
        <w:t>g</w:t>
      </w:r>
      <w:r w:rsidRPr="000D3967">
        <w:rPr>
          <w:rFonts w:ascii="Times New Roman" w:eastAsia="Cambria" w:hAnsi="Times New Roman" w:cs="Times New Roman"/>
          <w:spacing w:val="-5"/>
          <w:lang w:val="en-US"/>
        </w:rPr>
        <w:t xml:space="preserve"> </w:t>
      </w:r>
      <w:r w:rsidRPr="000D3967">
        <w:rPr>
          <w:rFonts w:ascii="Times New Roman" w:eastAsia="Cambria" w:hAnsi="Times New Roman" w:cs="Times New Roman"/>
          <w:spacing w:val="1"/>
          <w:lang w:val="en-US"/>
        </w:rPr>
        <w:t>L</w:t>
      </w:r>
      <w:r w:rsidRPr="000D3967">
        <w:rPr>
          <w:rFonts w:ascii="Times New Roman" w:eastAsia="Cambria" w:hAnsi="Times New Roman" w:cs="Times New Roman"/>
          <w:lang w:val="en-US"/>
        </w:rPr>
        <w:t>egit</w:t>
      </w:r>
      <w:r w:rsidRPr="000D3967">
        <w:rPr>
          <w:rFonts w:ascii="Times New Roman" w:eastAsia="Cambria" w:hAnsi="Times New Roman" w:cs="Times New Roman"/>
          <w:spacing w:val="1"/>
          <w:lang w:val="en-US"/>
        </w:rPr>
        <w:t>i</w:t>
      </w:r>
      <w:r w:rsidRPr="000D3967">
        <w:rPr>
          <w:rFonts w:ascii="Times New Roman" w:eastAsia="Cambria" w:hAnsi="Times New Roman" w:cs="Times New Roman"/>
          <w:lang w:val="en-US"/>
        </w:rPr>
        <w:t>m</w:t>
      </w:r>
      <w:r w:rsidRPr="000D3967">
        <w:rPr>
          <w:rFonts w:ascii="Times New Roman" w:eastAsia="Cambria" w:hAnsi="Times New Roman" w:cs="Times New Roman"/>
          <w:spacing w:val="-2"/>
          <w:lang w:val="en-US"/>
        </w:rPr>
        <w:t>a</w:t>
      </w:r>
      <w:r w:rsidRPr="000D3967">
        <w:rPr>
          <w:rFonts w:ascii="Times New Roman" w:eastAsia="Cambria" w:hAnsi="Times New Roman" w:cs="Times New Roman"/>
          <w:lang w:val="en-US"/>
        </w:rPr>
        <w:t>cy</w:t>
      </w:r>
      <w:r w:rsidRPr="000D3967">
        <w:rPr>
          <w:rFonts w:ascii="Times New Roman" w:eastAsia="Cambria" w:hAnsi="Times New Roman" w:cs="Times New Roman"/>
          <w:spacing w:val="-9"/>
          <w:lang w:val="en-US"/>
        </w:rPr>
        <w:t xml:space="preserve"> </w:t>
      </w:r>
      <w:r w:rsidRPr="000D3967">
        <w:rPr>
          <w:rFonts w:ascii="Times New Roman" w:eastAsia="Cambria" w:hAnsi="Times New Roman" w:cs="Times New Roman"/>
          <w:spacing w:val="-1"/>
          <w:lang w:val="en-US"/>
        </w:rPr>
        <w:t>f</w:t>
      </w:r>
      <w:r w:rsidRPr="000D3967">
        <w:rPr>
          <w:rFonts w:ascii="Times New Roman" w:eastAsia="Cambria" w:hAnsi="Times New Roman" w:cs="Times New Roman"/>
          <w:lang w:val="en-US"/>
        </w:rPr>
        <w:t>or New</w:t>
      </w:r>
      <w:r w:rsidRPr="000D3967">
        <w:rPr>
          <w:rFonts w:ascii="Times New Roman" w:eastAsia="Cambria" w:hAnsi="Times New Roman" w:cs="Times New Roman"/>
          <w:spacing w:val="-1"/>
          <w:lang w:val="en-US"/>
        </w:rPr>
        <w:t xml:space="preserve"> A</w:t>
      </w:r>
      <w:r w:rsidRPr="000D3967">
        <w:rPr>
          <w:rFonts w:ascii="Times New Roman" w:eastAsia="Cambria" w:hAnsi="Times New Roman" w:cs="Times New Roman"/>
          <w:lang w:val="en-US"/>
        </w:rPr>
        <w:t>ssu</w:t>
      </w:r>
      <w:r w:rsidRPr="000D3967">
        <w:rPr>
          <w:rFonts w:ascii="Times New Roman" w:eastAsia="Cambria" w:hAnsi="Times New Roman" w:cs="Times New Roman"/>
          <w:spacing w:val="-1"/>
          <w:lang w:val="en-US"/>
        </w:rPr>
        <w:t>r</w:t>
      </w:r>
      <w:r w:rsidRPr="000D3967">
        <w:rPr>
          <w:rFonts w:ascii="Times New Roman" w:eastAsia="Cambria" w:hAnsi="Times New Roman" w:cs="Times New Roman"/>
          <w:lang w:val="en-US"/>
        </w:rPr>
        <w:t>a</w:t>
      </w:r>
      <w:r w:rsidRPr="000D3967">
        <w:rPr>
          <w:rFonts w:ascii="Times New Roman" w:eastAsia="Cambria" w:hAnsi="Times New Roman" w:cs="Times New Roman"/>
          <w:spacing w:val="1"/>
          <w:lang w:val="en-US"/>
        </w:rPr>
        <w:t>n</w:t>
      </w:r>
      <w:r w:rsidRPr="000D3967">
        <w:rPr>
          <w:rFonts w:ascii="Times New Roman" w:eastAsia="Cambria" w:hAnsi="Times New Roman" w:cs="Times New Roman"/>
          <w:lang w:val="en-US"/>
        </w:rPr>
        <w:t xml:space="preserve">ce </w:t>
      </w:r>
      <w:r w:rsidRPr="000D3967">
        <w:rPr>
          <w:rFonts w:ascii="Times New Roman" w:eastAsia="Cambria" w:hAnsi="Times New Roman" w:cs="Times New Roman"/>
          <w:spacing w:val="1"/>
          <w:lang w:val="en-US"/>
        </w:rPr>
        <w:t>F</w:t>
      </w:r>
      <w:r w:rsidRPr="000D3967">
        <w:rPr>
          <w:rFonts w:ascii="Times New Roman" w:eastAsia="Cambria" w:hAnsi="Times New Roman" w:cs="Times New Roman"/>
          <w:lang w:val="en-US"/>
        </w:rPr>
        <w:t>o</w:t>
      </w:r>
      <w:r w:rsidRPr="000D3967">
        <w:rPr>
          <w:rFonts w:ascii="Times New Roman" w:eastAsia="Cambria" w:hAnsi="Times New Roman" w:cs="Times New Roman"/>
          <w:spacing w:val="-1"/>
          <w:lang w:val="en-US"/>
        </w:rPr>
        <w:t>r</w:t>
      </w:r>
      <w:r w:rsidRPr="000D3967">
        <w:rPr>
          <w:rFonts w:ascii="Times New Roman" w:eastAsia="Cambria" w:hAnsi="Times New Roman" w:cs="Times New Roman"/>
          <w:lang w:val="en-US"/>
        </w:rPr>
        <w:t>ms:</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spacing w:val="-1"/>
          <w:lang w:val="en-US"/>
        </w:rPr>
        <w:t>T</w:t>
      </w:r>
      <w:r w:rsidRPr="000D3967">
        <w:rPr>
          <w:rFonts w:ascii="Times New Roman" w:eastAsia="Cambria" w:hAnsi="Times New Roman" w:cs="Times New Roman"/>
          <w:lang w:val="en-US"/>
        </w:rPr>
        <w:t xml:space="preserve">he </w:t>
      </w:r>
      <w:r w:rsidRPr="000D3967">
        <w:rPr>
          <w:rFonts w:ascii="Times New Roman" w:eastAsia="Cambria" w:hAnsi="Times New Roman" w:cs="Times New Roman"/>
          <w:spacing w:val="-1"/>
          <w:lang w:val="en-US"/>
        </w:rPr>
        <w:t>C</w:t>
      </w:r>
      <w:r w:rsidRPr="000D3967">
        <w:rPr>
          <w:rFonts w:ascii="Times New Roman" w:eastAsia="Cambria" w:hAnsi="Times New Roman" w:cs="Times New Roman"/>
          <w:lang w:val="en-US"/>
        </w:rPr>
        <w:t>ase</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lang w:val="en-US"/>
        </w:rPr>
        <w:t>of</w:t>
      </w:r>
      <w:r w:rsidRPr="000D3967">
        <w:rPr>
          <w:rFonts w:ascii="Times New Roman" w:eastAsia="Cambria" w:hAnsi="Times New Roman" w:cs="Times New Roman"/>
          <w:spacing w:val="-1"/>
          <w:lang w:val="en-US"/>
        </w:rPr>
        <w:t xml:space="preserve"> A</w:t>
      </w:r>
      <w:r w:rsidRPr="000D3967">
        <w:rPr>
          <w:rFonts w:ascii="Times New Roman" w:eastAsia="Cambria" w:hAnsi="Times New Roman" w:cs="Times New Roman"/>
          <w:lang w:val="en-US"/>
        </w:rPr>
        <w:t>ssu</w:t>
      </w:r>
      <w:r w:rsidRPr="000D3967">
        <w:rPr>
          <w:rFonts w:ascii="Times New Roman" w:eastAsia="Cambria" w:hAnsi="Times New Roman" w:cs="Times New Roman"/>
          <w:spacing w:val="-1"/>
          <w:lang w:val="en-US"/>
        </w:rPr>
        <w:t>r</w:t>
      </w:r>
      <w:r w:rsidRPr="000D3967">
        <w:rPr>
          <w:rFonts w:ascii="Times New Roman" w:eastAsia="Cambria" w:hAnsi="Times New Roman" w:cs="Times New Roman"/>
          <w:lang w:val="en-US"/>
        </w:rPr>
        <w:t>a</w:t>
      </w:r>
      <w:r w:rsidRPr="000D3967">
        <w:rPr>
          <w:rFonts w:ascii="Times New Roman" w:eastAsia="Cambria" w:hAnsi="Times New Roman" w:cs="Times New Roman"/>
          <w:spacing w:val="1"/>
          <w:lang w:val="en-US"/>
        </w:rPr>
        <w:t>n</w:t>
      </w:r>
      <w:r w:rsidRPr="000D3967">
        <w:rPr>
          <w:rFonts w:ascii="Times New Roman" w:eastAsia="Cambria" w:hAnsi="Times New Roman" w:cs="Times New Roman"/>
          <w:lang w:val="en-US"/>
        </w:rPr>
        <w:t>ce</w:t>
      </w:r>
      <w:r w:rsidRPr="000D3967">
        <w:rPr>
          <w:rFonts w:ascii="Times New Roman" w:eastAsia="Cambria" w:hAnsi="Times New Roman" w:cs="Times New Roman"/>
          <w:spacing w:val="2"/>
          <w:lang w:val="en-US"/>
        </w:rPr>
        <w:t xml:space="preserve"> </w:t>
      </w:r>
      <w:r w:rsidRPr="000D3967">
        <w:rPr>
          <w:rFonts w:ascii="Times New Roman" w:eastAsia="Cambria" w:hAnsi="Times New Roman" w:cs="Times New Roman"/>
          <w:lang w:val="en-US"/>
        </w:rPr>
        <w:t xml:space="preserve">on </w:t>
      </w:r>
      <w:r w:rsidRPr="000D3967">
        <w:rPr>
          <w:rFonts w:ascii="Times New Roman" w:eastAsia="Cambria" w:hAnsi="Times New Roman" w:cs="Times New Roman"/>
          <w:spacing w:val="1"/>
          <w:lang w:val="en-US"/>
        </w:rPr>
        <w:t>S</w:t>
      </w:r>
      <w:r w:rsidRPr="000D3967">
        <w:rPr>
          <w:rFonts w:ascii="Times New Roman" w:eastAsia="Cambria" w:hAnsi="Times New Roman" w:cs="Times New Roman"/>
          <w:lang w:val="en-US"/>
        </w:rPr>
        <w:t>usta</w:t>
      </w:r>
      <w:r w:rsidRPr="000D3967">
        <w:rPr>
          <w:rFonts w:ascii="Times New Roman" w:eastAsia="Cambria" w:hAnsi="Times New Roman" w:cs="Times New Roman"/>
          <w:spacing w:val="1"/>
          <w:lang w:val="en-US"/>
        </w:rPr>
        <w:t>i</w:t>
      </w:r>
      <w:r w:rsidRPr="000D3967">
        <w:rPr>
          <w:rFonts w:ascii="Times New Roman" w:eastAsia="Cambria" w:hAnsi="Times New Roman" w:cs="Times New Roman"/>
          <w:lang w:val="en-US"/>
        </w:rPr>
        <w:t>n</w:t>
      </w:r>
      <w:r w:rsidRPr="000D3967">
        <w:rPr>
          <w:rFonts w:ascii="Times New Roman" w:eastAsia="Cambria" w:hAnsi="Times New Roman" w:cs="Times New Roman"/>
          <w:spacing w:val="1"/>
          <w:lang w:val="en-US"/>
        </w:rPr>
        <w:t>a</w:t>
      </w:r>
      <w:r w:rsidRPr="000D3967">
        <w:rPr>
          <w:rFonts w:ascii="Times New Roman" w:eastAsia="Cambria" w:hAnsi="Times New Roman" w:cs="Times New Roman"/>
          <w:spacing w:val="-2"/>
          <w:lang w:val="en-US"/>
        </w:rPr>
        <w:t>b</w:t>
      </w:r>
      <w:r w:rsidRPr="000D3967">
        <w:rPr>
          <w:rFonts w:ascii="Times New Roman" w:eastAsia="Cambria" w:hAnsi="Times New Roman" w:cs="Times New Roman"/>
          <w:lang w:val="en-US"/>
        </w:rPr>
        <w:t>ili</w:t>
      </w:r>
      <w:r w:rsidRPr="000D3967">
        <w:rPr>
          <w:rFonts w:ascii="Times New Roman" w:eastAsia="Cambria" w:hAnsi="Times New Roman" w:cs="Times New Roman"/>
          <w:spacing w:val="1"/>
          <w:lang w:val="en-US"/>
        </w:rPr>
        <w:t>t</w:t>
      </w:r>
      <w:r w:rsidRPr="000D3967">
        <w:rPr>
          <w:rFonts w:ascii="Times New Roman" w:eastAsia="Cambria" w:hAnsi="Times New Roman" w:cs="Times New Roman"/>
          <w:lang w:val="en-US"/>
        </w:rPr>
        <w:t>y</w:t>
      </w:r>
      <w:r w:rsidRPr="000D3967">
        <w:rPr>
          <w:rFonts w:ascii="Times New Roman" w:eastAsia="Cambria" w:hAnsi="Times New Roman" w:cs="Times New Roman"/>
          <w:spacing w:val="-1"/>
          <w:lang w:val="en-US"/>
        </w:rPr>
        <w:t xml:space="preserve"> </w:t>
      </w:r>
      <w:r w:rsidRPr="000D3967">
        <w:rPr>
          <w:rFonts w:ascii="Times New Roman" w:eastAsia="Cambria" w:hAnsi="Times New Roman" w:cs="Times New Roman"/>
          <w:lang w:val="en-US"/>
        </w:rPr>
        <w:t>Re</w:t>
      </w:r>
      <w:r w:rsidRPr="000D3967">
        <w:rPr>
          <w:rFonts w:ascii="Times New Roman" w:eastAsia="Cambria" w:hAnsi="Times New Roman" w:cs="Times New Roman"/>
          <w:spacing w:val="1"/>
          <w:lang w:val="en-US"/>
        </w:rPr>
        <w:t>p</w:t>
      </w:r>
      <w:r w:rsidRPr="000D3967">
        <w:rPr>
          <w:rFonts w:ascii="Times New Roman" w:eastAsia="Cambria" w:hAnsi="Times New Roman" w:cs="Times New Roman"/>
          <w:lang w:val="en-US"/>
        </w:rPr>
        <w:t>o</w:t>
      </w:r>
      <w:r w:rsidRPr="000D3967">
        <w:rPr>
          <w:rFonts w:ascii="Times New Roman" w:eastAsia="Cambria" w:hAnsi="Times New Roman" w:cs="Times New Roman"/>
          <w:spacing w:val="-1"/>
          <w:lang w:val="en-US"/>
        </w:rPr>
        <w:t>r</w:t>
      </w:r>
      <w:r w:rsidRPr="000D3967">
        <w:rPr>
          <w:rFonts w:ascii="Times New Roman" w:eastAsia="Cambria" w:hAnsi="Times New Roman" w:cs="Times New Roman"/>
          <w:lang w:val="en-US"/>
        </w:rPr>
        <w:t>t</w:t>
      </w:r>
      <w:r w:rsidRPr="000D3967">
        <w:rPr>
          <w:rFonts w:ascii="Times New Roman" w:eastAsia="Cambria" w:hAnsi="Times New Roman" w:cs="Times New Roman"/>
          <w:spacing w:val="1"/>
          <w:lang w:val="en-US"/>
        </w:rPr>
        <w:t>i</w:t>
      </w:r>
      <w:r w:rsidRPr="000D3967">
        <w:rPr>
          <w:rFonts w:ascii="Times New Roman" w:eastAsia="Cambria" w:hAnsi="Times New Roman" w:cs="Times New Roman"/>
          <w:lang w:val="en-US"/>
        </w:rPr>
        <w:t xml:space="preserve">ng’. </w:t>
      </w:r>
      <w:r w:rsidRPr="000D3967">
        <w:rPr>
          <w:rFonts w:ascii="Times New Roman" w:eastAsia="Cambria" w:hAnsi="Times New Roman" w:cs="Times New Roman"/>
          <w:i/>
          <w:lang w:val="en-US"/>
        </w:rPr>
        <w:t>Ac</w:t>
      </w:r>
      <w:r w:rsidRPr="000D3967">
        <w:rPr>
          <w:rFonts w:ascii="Times New Roman" w:eastAsia="Cambria" w:hAnsi="Times New Roman" w:cs="Times New Roman"/>
          <w:i/>
          <w:spacing w:val="-1"/>
          <w:lang w:val="en-US"/>
        </w:rPr>
        <w:t>c</w:t>
      </w:r>
      <w:r w:rsidRPr="000D3967">
        <w:rPr>
          <w:rFonts w:ascii="Times New Roman" w:eastAsia="Cambria" w:hAnsi="Times New Roman" w:cs="Times New Roman"/>
          <w:i/>
          <w:lang w:val="en-US"/>
        </w:rPr>
        <w:t>o</w:t>
      </w:r>
      <w:r w:rsidRPr="000D3967">
        <w:rPr>
          <w:rFonts w:ascii="Times New Roman" w:eastAsia="Cambria" w:hAnsi="Times New Roman" w:cs="Times New Roman"/>
          <w:i/>
          <w:spacing w:val="2"/>
          <w:lang w:val="en-US"/>
        </w:rPr>
        <w:t>u</w:t>
      </w:r>
      <w:r w:rsidRPr="000D3967">
        <w:rPr>
          <w:rFonts w:ascii="Times New Roman" w:eastAsia="Cambria" w:hAnsi="Times New Roman" w:cs="Times New Roman"/>
          <w:i/>
          <w:spacing w:val="1"/>
          <w:lang w:val="en-US"/>
        </w:rPr>
        <w:t>nt</w:t>
      </w:r>
      <w:r w:rsidRPr="000D3967">
        <w:rPr>
          <w:rFonts w:ascii="Times New Roman" w:eastAsia="Cambria" w:hAnsi="Times New Roman" w:cs="Times New Roman"/>
          <w:i/>
          <w:spacing w:val="-3"/>
          <w:lang w:val="en-US"/>
        </w:rPr>
        <w:t>i</w:t>
      </w:r>
      <w:r w:rsidRPr="000D3967">
        <w:rPr>
          <w:rFonts w:ascii="Times New Roman" w:eastAsia="Cambria" w:hAnsi="Times New Roman" w:cs="Times New Roman"/>
          <w:i/>
          <w:spacing w:val="1"/>
          <w:lang w:val="en-US"/>
        </w:rPr>
        <w:t>n</w:t>
      </w:r>
      <w:r w:rsidRPr="000D3967">
        <w:rPr>
          <w:rFonts w:ascii="Times New Roman" w:eastAsia="Cambria" w:hAnsi="Times New Roman" w:cs="Times New Roman"/>
          <w:i/>
          <w:lang w:val="en-US"/>
        </w:rPr>
        <w:t>g,</w:t>
      </w:r>
      <w:r w:rsidRPr="000D3967">
        <w:rPr>
          <w:rFonts w:ascii="Times New Roman" w:eastAsia="Cambria" w:hAnsi="Times New Roman" w:cs="Times New Roman"/>
          <w:i/>
          <w:spacing w:val="-3"/>
          <w:lang w:val="en-US"/>
        </w:rPr>
        <w:t xml:space="preserve"> </w:t>
      </w:r>
      <w:r w:rsidRPr="000D3967">
        <w:rPr>
          <w:rFonts w:ascii="Times New Roman" w:eastAsia="Cambria" w:hAnsi="Times New Roman" w:cs="Times New Roman"/>
          <w:i/>
          <w:lang w:val="en-US"/>
        </w:rPr>
        <w:t>O</w:t>
      </w:r>
      <w:r w:rsidRPr="000D3967">
        <w:rPr>
          <w:rFonts w:ascii="Times New Roman" w:eastAsia="Cambria" w:hAnsi="Times New Roman" w:cs="Times New Roman"/>
          <w:i/>
          <w:spacing w:val="1"/>
          <w:lang w:val="en-US"/>
        </w:rPr>
        <w:t>r</w:t>
      </w:r>
      <w:r w:rsidRPr="000D3967">
        <w:rPr>
          <w:rFonts w:ascii="Times New Roman" w:eastAsia="Cambria" w:hAnsi="Times New Roman" w:cs="Times New Roman"/>
          <w:i/>
          <w:lang w:val="en-US"/>
        </w:rPr>
        <w:t>ga</w:t>
      </w:r>
      <w:r w:rsidRPr="000D3967">
        <w:rPr>
          <w:rFonts w:ascii="Times New Roman" w:eastAsia="Cambria" w:hAnsi="Times New Roman" w:cs="Times New Roman"/>
          <w:i/>
          <w:spacing w:val="1"/>
          <w:lang w:val="en-US"/>
        </w:rPr>
        <w:t>n</w:t>
      </w:r>
      <w:r w:rsidRPr="000D3967">
        <w:rPr>
          <w:rFonts w:ascii="Times New Roman" w:eastAsia="Cambria" w:hAnsi="Times New Roman" w:cs="Times New Roman"/>
          <w:i/>
          <w:lang w:val="en-US"/>
        </w:rPr>
        <w:t>i</w:t>
      </w:r>
      <w:r w:rsidRPr="000D3967">
        <w:rPr>
          <w:rFonts w:ascii="Times New Roman" w:eastAsia="Cambria" w:hAnsi="Times New Roman" w:cs="Times New Roman"/>
          <w:i/>
          <w:spacing w:val="-3"/>
          <w:lang w:val="en-US"/>
        </w:rPr>
        <w:t>z</w:t>
      </w:r>
      <w:r w:rsidRPr="000D3967">
        <w:rPr>
          <w:rFonts w:ascii="Times New Roman" w:eastAsia="Cambria" w:hAnsi="Times New Roman" w:cs="Times New Roman"/>
          <w:i/>
          <w:spacing w:val="1"/>
          <w:lang w:val="en-US"/>
        </w:rPr>
        <w:t>at</w:t>
      </w:r>
      <w:r w:rsidRPr="000D3967">
        <w:rPr>
          <w:rFonts w:ascii="Times New Roman" w:eastAsia="Cambria" w:hAnsi="Times New Roman" w:cs="Times New Roman"/>
          <w:i/>
          <w:lang w:val="en-US"/>
        </w:rPr>
        <w:t>i</w:t>
      </w:r>
      <w:r w:rsidRPr="000D3967">
        <w:rPr>
          <w:rFonts w:ascii="Times New Roman" w:eastAsia="Cambria" w:hAnsi="Times New Roman" w:cs="Times New Roman"/>
          <w:i/>
          <w:spacing w:val="-2"/>
          <w:lang w:val="en-US"/>
        </w:rPr>
        <w:t>o</w:t>
      </w:r>
      <w:r w:rsidRPr="000D3967">
        <w:rPr>
          <w:rFonts w:ascii="Times New Roman" w:eastAsia="Cambria" w:hAnsi="Times New Roman" w:cs="Times New Roman"/>
          <w:i/>
          <w:spacing w:val="1"/>
          <w:lang w:val="en-US"/>
        </w:rPr>
        <w:t>n</w:t>
      </w:r>
      <w:r w:rsidRPr="000D3967">
        <w:rPr>
          <w:rFonts w:ascii="Times New Roman" w:eastAsia="Cambria" w:hAnsi="Times New Roman" w:cs="Times New Roman"/>
          <w:i/>
          <w:lang w:val="en-US"/>
        </w:rPr>
        <w:t>s</w:t>
      </w:r>
      <w:r w:rsidRPr="000D3967">
        <w:rPr>
          <w:rFonts w:ascii="Times New Roman" w:eastAsia="Cambria" w:hAnsi="Times New Roman" w:cs="Times New Roman"/>
          <w:i/>
          <w:spacing w:val="-7"/>
          <w:lang w:val="en-US"/>
        </w:rPr>
        <w:t xml:space="preserve"> </w:t>
      </w:r>
      <w:r w:rsidRPr="000D3967">
        <w:rPr>
          <w:rFonts w:ascii="Times New Roman" w:eastAsia="Cambria" w:hAnsi="Times New Roman" w:cs="Times New Roman"/>
          <w:i/>
          <w:lang w:val="en-US"/>
        </w:rPr>
        <w:t>a</w:t>
      </w:r>
      <w:r w:rsidRPr="000D3967">
        <w:rPr>
          <w:rFonts w:ascii="Times New Roman" w:eastAsia="Cambria" w:hAnsi="Times New Roman" w:cs="Times New Roman"/>
          <w:i/>
          <w:spacing w:val="1"/>
          <w:lang w:val="en-US"/>
        </w:rPr>
        <w:t>n</w:t>
      </w:r>
      <w:r w:rsidRPr="000D3967">
        <w:rPr>
          <w:rFonts w:ascii="Times New Roman" w:eastAsia="Cambria" w:hAnsi="Times New Roman" w:cs="Times New Roman"/>
          <w:i/>
          <w:lang w:val="en-US"/>
        </w:rPr>
        <w:t>d</w:t>
      </w:r>
      <w:r w:rsidRPr="000D3967">
        <w:rPr>
          <w:rFonts w:ascii="Times New Roman" w:eastAsia="Cambria" w:hAnsi="Times New Roman" w:cs="Times New Roman"/>
          <w:i/>
          <w:spacing w:val="-2"/>
          <w:lang w:val="en-US"/>
        </w:rPr>
        <w:t xml:space="preserve"> </w:t>
      </w:r>
      <w:r w:rsidRPr="000D3967">
        <w:rPr>
          <w:rFonts w:ascii="Times New Roman" w:eastAsia="Cambria" w:hAnsi="Times New Roman" w:cs="Times New Roman"/>
          <w:i/>
          <w:lang w:val="en-US"/>
        </w:rPr>
        <w:t>Socie</w:t>
      </w:r>
      <w:r w:rsidRPr="000D3967">
        <w:rPr>
          <w:rFonts w:ascii="Times New Roman" w:eastAsia="Cambria" w:hAnsi="Times New Roman" w:cs="Times New Roman"/>
          <w:i/>
          <w:spacing w:val="1"/>
          <w:lang w:val="en-US"/>
        </w:rPr>
        <w:t>t</w:t>
      </w:r>
      <w:r w:rsidRPr="000D3967">
        <w:rPr>
          <w:rFonts w:ascii="Times New Roman" w:eastAsia="Cambria" w:hAnsi="Times New Roman" w:cs="Times New Roman"/>
          <w:i/>
          <w:lang w:val="en-US"/>
        </w:rPr>
        <w:t>y</w:t>
      </w:r>
      <w:r w:rsidRPr="000D3967">
        <w:rPr>
          <w:rFonts w:ascii="Times New Roman" w:eastAsia="Cambria" w:hAnsi="Times New Roman" w:cs="Times New Roman"/>
          <w:lang w:val="en-US"/>
        </w:rPr>
        <w:t>, 36</w:t>
      </w:r>
      <w:r w:rsidRPr="000D3967">
        <w:rPr>
          <w:rFonts w:ascii="Times New Roman" w:eastAsia="Cambria" w:hAnsi="Times New Roman" w:cs="Times New Roman"/>
          <w:spacing w:val="-4"/>
          <w:lang w:val="en-US"/>
        </w:rPr>
        <w:t>(</w:t>
      </w:r>
      <w:r w:rsidRPr="000D3967">
        <w:rPr>
          <w:rFonts w:ascii="Times New Roman" w:eastAsia="Cambria" w:hAnsi="Times New Roman" w:cs="Times New Roman"/>
          <w:lang w:val="en-US"/>
        </w:rPr>
        <w:t xml:space="preserve">1): </w:t>
      </w:r>
      <w:r w:rsidRPr="000D3967">
        <w:rPr>
          <w:rFonts w:ascii="Times New Roman" w:eastAsia="Cambria" w:hAnsi="Times New Roman" w:cs="Times New Roman"/>
          <w:spacing w:val="-1"/>
          <w:lang w:val="en-US"/>
        </w:rPr>
        <w:t>3</w:t>
      </w:r>
      <w:r w:rsidRPr="000D3967">
        <w:rPr>
          <w:rFonts w:ascii="Times New Roman" w:eastAsia="Cambria" w:hAnsi="Times New Roman" w:cs="Times New Roman"/>
          <w:lang w:val="en-US"/>
        </w:rPr>
        <w:t>1-</w:t>
      </w:r>
      <w:r w:rsidRPr="000D3967">
        <w:rPr>
          <w:rFonts w:ascii="Times New Roman" w:eastAsia="Cambria" w:hAnsi="Times New Roman" w:cs="Times New Roman"/>
          <w:spacing w:val="-1"/>
          <w:lang w:val="en-US"/>
        </w:rPr>
        <w:t>52</w:t>
      </w:r>
      <w:r w:rsidRPr="000D3967">
        <w:rPr>
          <w:rFonts w:ascii="Times New Roman" w:eastAsia="Cambria" w:hAnsi="Times New Roman" w:cs="Times New Roman"/>
          <w:lang w:val="en-US"/>
        </w:rPr>
        <w:t>.</w:t>
      </w:r>
      <w:r w:rsidRPr="000D3967">
        <w:rPr>
          <w:rFonts w:ascii="Times New Roman" w:eastAsia="Cambria" w:hAnsi="Times New Roman" w:cs="Times New Roman"/>
          <w:spacing w:val="-5"/>
          <w:lang w:val="en-US"/>
        </w:rPr>
        <w:t xml:space="preserve"> </w:t>
      </w:r>
    </w:p>
    <w:p w14:paraId="3AE5D9D5" w14:textId="77777777" w:rsidR="0079324C" w:rsidRPr="000D3967" w:rsidRDefault="0079324C" w:rsidP="00A004FC">
      <w:pPr>
        <w:spacing w:after="0" w:line="240" w:lineRule="auto"/>
        <w:ind w:right="422"/>
        <w:jc w:val="both"/>
        <w:rPr>
          <w:rFonts w:ascii="Times New Roman" w:eastAsia="Cambria" w:hAnsi="Times New Roman" w:cs="Times New Roman"/>
          <w:spacing w:val="-5"/>
          <w:lang w:val="en-US"/>
        </w:rPr>
      </w:pPr>
    </w:p>
    <w:p w14:paraId="1EE29C9E" w14:textId="77777777" w:rsidR="0079324C" w:rsidRDefault="0079324C" w:rsidP="00A004FC">
      <w:pPr>
        <w:autoSpaceDE w:val="0"/>
        <w:autoSpaceDN w:val="0"/>
        <w:adjustRightInd w:val="0"/>
        <w:spacing w:after="0" w:line="240" w:lineRule="auto"/>
        <w:jc w:val="both"/>
        <w:rPr>
          <w:rFonts w:ascii="Times New Roman" w:hAnsi="Times New Roman" w:cs="Times New Roman"/>
          <w:lang w:val="en-US"/>
        </w:rPr>
      </w:pPr>
      <w:r w:rsidRPr="000D3967">
        <w:rPr>
          <w:rFonts w:ascii="Times New Roman" w:hAnsi="Times New Roman" w:cs="Times New Roman"/>
          <w:lang w:val="en-US"/>
        </w:rPr>
        <w:lastRenderedPageBreak/>
        <w:t>Owen, D., Gray, R.</w:t>
      </w:r>
      <w:r>
        <w:rPr>
          <w:rFonts w:ascii="Times New Roman" w:hAnsi="Times New Roman" w:cs="Times New Roman"/>
          <w:lang w:val="en-US"/>
        </w:rPr>
        <w:t xml:space="preserve"> and </w:t>
      </w:r>
      <w:proofErr w:type="spellStart"/>
      <w:r>
        <w:rPr>
          <w:rFonts w:ascii="Times New Roman" w:hAnsi="Times New Roman" w:cs="Times New Roman"/>
          <w:lang w:val="en-US"/>
        </w:rPr>
        <w:t>Bebbington</w:t>
      </w:r>
      <w:proofErr w:type="spellEnd"/>
      <w:r>
        <w:rPr>
          <w:rFonts w:ascii="Times New Roman" w:hAnsi="Times New Roman" w:cs="Times New Roman"/>
          <w:lang w:val="en-US"/>
        </w:rPr>
        <w:t>, J.</w:t>
      </w:r>
      <w:r w:rsidRPr="000D3967">
        <w:rPr>
          <w:rFonts w:ascii="Times New Roman" w:hAnsi="Times New Roman" w:cs="Times New Roman"/>
          <w:lang w:val="en-US"/>
        </w:rPr>
        <w:t xml:space="preserve"> (1997). ‘Green Accounting: Cosmetic irrelevance or radical agenda for change?’ </w:t>
      </w:r>
      <w:r w:rsidRPr="000D3967">
        <w:rPr>
          <w:rFonts w:ascii="Times New Roman" w:hAnsi="Times New Roman" w:cs="Times New Roman"/>
          <w:i/>
          <w:iCs/>
          <w:lang w:val="en-US"/>
        </w:rPr>
        <w:t xml:space="preserve">Asia-Pacific Journal of Accounting </w:t>
      </w:r>
      <w:r w:rsidRPr="000D3967">
        <w:rPr>
          <w:rFonts w:ascii="Times New Roman" w:hAnsi="Times New Roman" w:cs="Times New Roman"/>
          <w:lang w:val="en-US"/>
        </w:rPr>
        <w:t>4(2): 175-198.</w:t>
      </w:r>
    </w:p>
    <w:p w14:paraId="531810AF" w14:textId="77777777" w:rsidR="00071CA2" w:rsidRDefault="00071CA2" w:rsidP="00A004FC">
      <w:pPr>
        <w:autoSpaceDE w:val="0"/>
        <w:autoSpaceDN w:val="0"/>
        <w:adjustRightInd w:val="0"/>
        <w:spacing w:after="0" w:line="240" w:lineRule="auto"/>
        <w:jc w:val="both"/>
        <w:rPr>
          <w:rFonts w:ascii="Times New Roman" w:hAnsi="Times New Roman" w:cs="Times New Roman"/>
          <w:lang w:val="en-US"/>
        </w:rPr>
      </w:pPr>
    </w:p>
    <w:p w14:paraId="3A6A21ED" w14:textId="14A4503A" w:rsidR="00071CA2" w:rsidRPr="000D3967" w:rsidRDefault="00071CA2" w:rsidP="00071CA2">
      <w:pPr>
        <w:spacing w:after="0" w:line="240" w:lineRule="auto"/>
        <w:ind w:right="422"/>
        <w:jc w:val="both"/>
        <w:rPr>
          <w:rFonts w:ascii="Times New Roman" w:eastAsia="Cambria" w:hAnsi="Times New Roman" w:cs="Times New Roman"/>
          <w:spacing w:val="-5"/>
          <w:lang w:val="en-US"/>
        </w:rPr>
      </w:pPr>
      <w:r>
        <w:rPr>
          <w:rFonts w:ascii="Times New Roman" w:eastAsia="Cambria" w:hAnsi="Times New Roman" w:cs="Times New Roman"/>
          <w:spacing w:val="-5"/>
          <w:lang w:val="en-US"/>
        </w:rPr>
        <w:t xml:space="preserve">Owen, G. (2013). ‘Integrated reporting: A review of developments and their implications for the Accounting curriculum’. </w:t>
      </w:r>
      <w:r w:rsidRPr="00E357AF">
        <w:rPr>
          <w:rFonts w:ascii="Times New Roman" w:eastAsia="Cambria" w:hAnsi="Times New Roman" w:cs="Times New Roman"/>
          <w:i/>
          <w:spacing w:val="-5"/>
          <w:lang w:val="en-US"/>
        </w:rPr>
        <w:t>Accounti</w:t>
      </w:r>
      <w:r>
        <w:rPr>
          <w:rFonts w:ascii="Times New Roman" w:eastAsia="Cambria" w:hAnsi="Times New Roman" w:cs="Times New Roman"/>
          <w:i/>
          <w:spacing w:val="-5"/>
          <w:lang w:val="en-US"/>
        </w:rPr>
        <w:t>ng Education: An International J</w:t>
      </w:r>
      <w:r w:rsidRPr="00E357AF">
        <w:rPr>
          <w:rFonts w:ascii="Times New Roman" w:eastAsia="Cambria" w:hAnsi="Times New Roman" w:cs="Times New Roman"/>
          <w:i/>
          <w:spacing w:val="-5"/>
          <w:lang w:val="en-US"/>
        </w:rPr>
        <w:t>ournal,</w:t>
      </w:r>
      <w:r>
        <w:rPr>
          <w:rFonts w:ascii="Times New Roman" w:eastAsia="Cambria" w:hAnsi="Times New Roman" w:cs="Times New Roman"/>
          <w:spacing w:val="-5"/>
          <w:lang w:val="en-US"/>
        </w:rPr>
        <w:t xml:space="preserve"> 22(4): 340-356.</w:t>
      </w:r>
    </w:p>
    <w:p w14:paraId="769F23E0" w14:textId="77777777" w:rsidR="0079324C" w:rsidRPr="000D3967" w:rsidRDefault="0079324C" w:rsidP="00A004FC">
      <w:pPr>
        <w:spacing w:after="0" w:line="240" w:lineRule="auto"/>
        <w:ind w:right="422"/>
        <w:jc w:val="both"/>
        <w:rPr>
          <w:rFonts w:ascii="Times New Roman" w:eastAsia="Cambria" w:hAnsi="Times New Roman" w:cs="Times New Roman"/>
          <w:spacing w:val="-5"/>
          <w:lang w:val="en-US"/>
        </w:rPr>
      </w:pPr>
    </w:p>
    <w:p w14:paraId="52303758" w14:textId="77777777" w:rsidR="0079324C" w:rsidRPr="000D3967" w:rsidRDefault="0079324C" w:rsidP="00A004FC">
      <w:pPr>
        <w:pStyle w:val="Referencetext"/>
        <w:spacing w:line="240" w:lineRule="auto"/>
        <w:ind w:left="0" w:firstLine="0"/>
        <w:rPr>
          <w:sz w:val="22"/>
          <w:szCs w:val="22"/>
        </w:rPr>
      </w:pPr>
      <w:r w:rsidRPr="000D3967">
        <w:rPr>
          <w:sz w:val="22"/>
          <w:szCs w:val="22"/>
        </w:rPr>
        <w:t xml:space="preserve">Patton, M.Q. (2002). </w:t>
      </w:r>
      <w:r w:rsidRPr="000D3967">
        <w:rPr>
          <w:rStyle w:val="StyleReferencetext12ptItalicChar"/>
          <w:rFonts w:eastAsia="Arial Unicode MS"/>
          <w:sz w:val="22"/>
          <w:szCs w:val="22"/>
        </w:rPr>
        <w:t xml:space="preserve">Qualitative evaluation and research methods. </w:t>
      </w:r>
      <w:r w:rsidRPr="000D3967">
        <w:rPr>
          <w:sz w:val="22"/>
          <w:szCs w:val="22"/>
        </w:rPr>
        <w:t>Beverly Hills, California: Sage.</w:t>
      </w:r>
    </w:p>
    <w:p w14:paraId="1EC80542" w14:textId="77777777" w:rsidR="0079324C" w:rsidRPr="000D3967" w:rsidRDefault="0079324C" w:rsidP="00A004FC">
      <w:pPr>
        <w:jc w:val="both"/>
        <w:rPr>
          <w:rFonts w:ascii="Times New Roman" w:hAnsi="Times New Roman" w:cs="Times New Roman"/>
          <w:lang w:val="en-GB"/>
        </w:rPr>
      </w:pPr>
      <w:r w:rsidRPr="000D3967">
        <w:rPr>
          <w:rFonts w:ascii="Times New Roman" w:hAnsi="Times New Roman" w:cs="Times New Roman"/>
          <w:lang w:val="en-GB"/>
        </w:rPr>
        <w:t xml:space="preserve">Power, M. (1997). ‘Expertise and the construction of relevance: accountants and environmental audit’. </w:t>
      </w:r>
      <w:r w:rsidRPr="000D3967">
        <w:rPr>
          <w:rFonts w:ascii="Times New Roman" w:hAnsi="Times New Roman" w:cs="Times New Roman"/>
          <w:i/>
          <w:iCs/>
          <w:lang w:val="en-GB"/>
        </w:rPr>
        <w:t>Accounting, Organizations and Society</w:t>
      </w:r>
      <w:r w:rsidRPr="00A004FC">
        <w:rPr>
          <w:rFonts w:ascii="Times New Roman" w:hAnsi="Times New Roman" w:cs="Times New Roman"/>
          <w:i/>
          <w:iCs/>
          <w:lang w:val="en-GB"/>
        </w:rPr>
        <w:t>,</w:t>
      </w:r>
      <w:r w:rsidRPr="00A004FC">
        <w:rPr>
          <w:rFonts w:ascii="Times New Roman" w:hAnsi="Times New Roman" w:cs="Times New Roman"/>
          <w:lang w:val="en-GB"/>
        </w:rPr>
        <w:t xml:space="preserve"> </w:t>
      </w:r>
      <w:r w:rsidRPr="00A004FC">
        <w:rPr>
          <w:rStyle w:val="Strong"/>
          <w:rFonts w:ascii="Times New Roman" w:hAnsi="Times New Roman" w:cs="Times New Roman"/>
          <w:b w:val="0"/>
          <w:iCs/>
          <w:lang w:val="en-US"/>
        </w:rPr>
        <w:t>22</w:t>
      </w:r>
      <w:r w:rsidRPr="00A004FC">
        <w:rPr>
          <w:rStyle w:val="Strong"/>
          <w:rFonts w:ascii="Times New Roman" w:hAnsi="Times New Roman" w:cs="Times New Roman"/>
          <w:b w:val="0"/>
          <w:lang w:val="en-US"/>
        </w:rPr>
        <w:t>(2)</w:t>
      </w:r>
      <w:r w:rsidRPr="00A004FC">
        <w:rPr>
          <w:rFonts w:ascii="Times New Roman" w:hAnsi="Times New Roman" w:cs="Times New Roman"/>
          <w:lang w:val="en-GB"/>
        </w:rPr>
        <w:t xml:space="preserve">: </w:t>
      </w:r>
      <w:r w:rsidRPr="000D3967">
        <w:rPr>
          <w:rFonts w:ascii="Times New Roman" w:hAnsi="Times New Roman" w:cs="Times New Roman"/>
          <w:lang w:val="en-GB"/>
        </w:rPr>
        <w:t>123–146.</w:t>
      </w:r>
    </w:p>
    <w:p w14:paraId="7A7E8A18" w14:textId="77777777" w:rsidR="0079324C" w:rsidRPr="000D3967" w:rsidRDefault="0079324C" w:rsidP="00A004FC">
      <w:pPr>
        <w:jc w:val="both"/>
        <w:rPr>
          <w:rFonts w:ascii="Times New Roman" w:hAnsi="Times New Roman" w:cs="Times New Roman"/>
          <w:lang w:val="en-GB"/>
        </w:rPr>
      </w:pPr>
      <w:r w:rsidRPr="000D3967">
        <w:rPr>
          <w:rFonts w:ascii="Times New Roman" w:hAnsi="Times New Roman" w:cs="Times New Roman"/>
          <w:lang w:val="en-GB"/>
        </w:rPr>
        <w:t xml:space="preserve">Power, M. (2003). ‘Auditing and the production of legitimacy’. </w:t>
      </w:r>
      <w:r w:rsidRPr="000D3967">
        <w:rPr>
          <w:rFonts w:ascii="Times New Roman" w:hAnsi="Times New Roman" w:cs="Times New Roman"/>
          <w:i/>
          <w:iCs/>
          <w:lang w:val="en-GB"/>
        </w:rPr>
        <w:t>Accounting, Organizations and Society</w:t>
      </w:r>
      <w:r w:rsidRPr="000D3967">
        <w:rPr>
          <w:rFonts w:ascii="Times New Roman" w:hAnsi="Times New Roman" w:cs="Times New Roman"/>
          <w:lang w:val="en-GB"/>
        </w:rPr>
        <w:t xml:space="preserve">, </w:t>
      </w:r>
      <w:r w:rsidRPr="000D3967">
        <w:rPr>
          <w:rFonts w:ascii="Times New Roman" w:hAnsi="Times New Roman" w:cs="Times New Roman"/>
          <w:iCs/>
          <w:lang w:val="en-GB"/>
        </w:rPr>
        <w:t>28</w:t>
      </w:r>
      <w:r w:rsidRPr="000D3967">
        <w:rPr>
          <w:rFonts w:ascii="Times New Roman" w:hAnsi="Times New Roman" w:cs="Times New Roman"/>
          <w:lang w:val="en-GB"/>
        </w:rPr>
        <w:t>(4): 379-394.</w:t>
      </w:r>
    </w:p>
    <w:p w14:paraId="6384A1BE" w14:textId="77777777" w:rsidR="0079324C" w:rsidRDefault="0079324C" w:rsidP="00A004FC">
      <w:pPr>
        <w:spacing w:line="240" w:lineRule="auto"/>
        <w:jc w:val="both"/>
        <w:rPr>
          <w:rFonts w:ascii="Times New Roman" w:hAnsi="Times New Roman" w:cs="Times New Roman"/>
          <w:lang w:val="en-US"/>
        </w:rPr>
      </w:pPr>
      <w:r w:rsidRPr="000D3967">
        <w:rPr>
          <w:rFonts w:ascii="Times New Roman" w:hAnsi="Times New Roman" w:cs="Times New Roman"/>
          <w:lang w:val="en-US"/>
        </w:rPr>
        <w:t xml:space="preserve">Rao, H., </w:t>
      </w:r>
      <w:proofErr w:type="spellStart"/>
      <w:r w:rsidRPr="000D3967">
        <w:rPr>
          <w:rFonts w:ascii="Times New Roman" w:hAnsi="Times New Roman" w:cs="Times New Roman"/>
          <w:lang w:val="en-US"/>
        </w:rPr>
        <w:t>Monin</w:t>
      </w:r>
      <w:proofErr w:type="spellEnd"/>
      <w:r w:rsidRPr="000D3967">
        <w:rPr>
          <w:rFonts w:ascii="Times New Roman" w:hAnsi="Times New Roman" w:cs="Times New Roman"/>
          <w:lang w:val="en-US"/>
        </w:rPr>
        <w:t xml:space="preserve">, P. and Durand, R. (2003). ‘Institutional Change in Toque Ville Nouvelle Cuisine as an Identity Movement in French Gastronomy’. </w:t>
      </w:r>
      <w:r w:rsidRPr="000D3967">
        <w:rPr>
          <w:rFonts w:ascii="Times New Roman" w:hAnsi="Times New Roman" w:cs="Times New Roman"/>
          <w:i/>
          <w:lang w:val="en-GB"/>
        </w:rPr>
        <w:t>American Journal of Sociology</w:t>
      </w:r>
      <w:r w:rsidRPr="000D3967">
        <w:rPr>
          <w:rFonts w:ascii="Times New Roman" w:hAnsi="Times New Roman" w:cs="Times New Roman"/>
          <w:lang w:val="en-US"/>
        </w:rPr>
        <w:t xml:space="preserve">, 108(4): 795-843. </w:t>
      </w:r>
    </w:p>
    <w:p w14:paraId="723DECEF" w14:textId="77777777" w:rsidR="0079324C" w:rsidRPr="00C2323A" w:rsidRDefault="0079324C" w:rsidP="00A004FC">
      <w:pPr>
        <w:tabs>
          <w:tab w:val="left" w:pos="1455"/>
        </w:tabs>
        <w:jc w:val="both"/>
        <w:rPr>
          <w:lang w:val="en-GB"/>
        </w:rPr>
      </w:pPr>
      <w:r w:rsidRPr="00C0510F">
        <w:rPr>
          <w:rFonts w:ascii="Times New Roman" w:hAnsi="Times New Roman" w:cs="Times New Roman"/>
          <w:lang w:val="en-GB"/>
        </w:rPr>
        <w:t xml:space="preserve">Reed, M. I. (1996). Expert power and control in late modernity: An empirical review and theoretical </w:t>
      </w:r>
      <w:r w:rsidRPr="00CD0156">
        <w:rPr>
          <w:rFonts w:ascii="Times New Roman" w:hAnsi="Times New Roman" w:cs="Times New Roman"/>
          <w:lang w:val="en-GB"/>
        </w:rPr>
        <w:t xml:space="preserve">synthesis. </w:t>
      </w:r>
      <w:r w:rsidRPr="00822759">
        <w:rPr>
          <w:rFonts w:ascii="Times New Roman" w:hAnsi="Times New Roman" w:cs="Times New Roman"/>
          <w:i/>
          <w:lang w:val="en-GB"/>
        </w:rPr>
        <w:t>Organization Studies</w:t>
      </w:r>
      <w:r w:rsidRPr="00822759">
        <w:rPr>
          <w:rFonts w:ascii="Times New Roman" w:hAnsi="Times New Roman" w:cs="Times New Roman"/>
          <w:lang w:val="en-GB"/>
        </w:rPr>
        <w:t>, 17(4): 573-97</w:t>
      </w:r>
      <w:r w:rsidRPr="00822759">
        <w:rPr>
          <w:lang w:val="en-GB"/>
        </w:rPr>
        <w:t>.</w:t>
      </w:r>
    </w:p>
    <w:p w14:paraId="290D56F8" w14:textId="2E3C02A6" w:rsidR="00E11B04" w:rsidRPr="00686181" w:rsidRDefault="003E36DB" w:rsidP="00A004FC">
      <w:pPr>
        <w:tabs>
          <w:tab w:val="left" w:pos="1455"/>
        </w:tabs>
        <w:jc w:val="both"/>
        <w:rPr>
          <w:rFonts w:ascii="Times New Roman" w:hAnsi="Times New Roman" w:cs="Times New Roman"/>
          <w:lang w:val="en-GB"/>
        </w:rPr>
      </w:pPr>
      <w:hyperlink r:id="rId14" w:history="1">
        <w:r w:rsidR="00E11B04" w:rsidRPr="00686181">
          <w:rPr>
            <w:rStyle w:val="Hyperlink"/>
            <w:rFonts w:ascii="Times New Roman" w:hAnsi="Times New Roman" w:cs="Times New Roman"/>
            <w:color w:val="auto"/>
            <w:lang w:val="en"/>
          </w:rPr>
          <w:t xml:space="preserve">Reuter, M. and </w:t>
        </w:r>
      </w:hyperlink>
      <w:hyperlink r:id="rId15" w:history="1">
        <w:proofErr w:type="spellStart"/>
        <w:r w:rsidR="00E11B04" w:rsidRPr="00686181">
          <w:rPr>
            <w:rStyle w:val="Hyperlink"/>
            <w:rFonts w:ascii="Times New Roman" w:hAnsi="Times New Roman" w:cs="Times New Roman"/>
            <w:color w:val="auto"/>
            <w:lang w:val="en"/>
          </w:rPr>
          <w:t>Messner</w:t>
        </w:r>
        <w:proofErr w:type="spellEnd"/>
        <w:r w:rsidR="00E11B04" w:rsidRPr="00686181">
          <w:rPr>
            <w:rStyle w:val="Hyperlink"/>
            <w:rFonts w:ascii="Times New Roman" w:hAnsi="Times New Roman" w:cs="Times New Roman"/>
            <w:color w:val="auto"/>
            <w:lang w:val="en"/>
          </w:rPr>
          <w:t>, M</w:t>
        </w:r>
        <w:r w:rsidR="005468C2" w:rsidRPr="00686181">
          <w:rPr>
            <w:rStyle w:val="Hyperlink"/>
            <w:rFonts w:ascii="Times New Roman" w:hAnsi="Times New Roman" w:cs="Times New Roman"/>
            <w:color w:val="auto"/>
            <w:lang w:val="en"/>
          </w:rPr>
          <w:t>.</w:t>
        </w:r>
        <w:r w:rsidR="00E11B04" w:rsidRPr="00686181">
          <w:rPr>
            <w:rStyle w:val="Hyperlink"/>
            <w:rFonts w:ascii="Times New Roman" w:hAnsi="Times New Roman" w:cs="Times New Roman"/>
            <w:color w:val="auto"/>
            <w:lang w:val="en"/>
          </w:rPr>
          <w:t xml:space="preserve"> </w:t>
        </w:r>
      </w:hyperlink>
      <w:r w:rsidR="00E11B04" w:rsidRPr="00686181">
        <w:rPr>
          <w:rFonts w:ascii="Times New Roman" w:hAnsi="Times New Roman" w:cs="Times New Roman"/>
          <w:lang w:val="en"/>
        </w:rPr>
        <w:t xml:space="preserve">(2015). ‘Lobbying on the integrated reporting framework: An analysis of comment letters to the 2011 discussion paper of the IIRC’, </w:t>
      </w:r>
      <w:r w:rsidR="00E11B04" w:rsidRPr="00686181">
        <w:rPr>
          <w:rFonts w:ascii="Times New Roman" w:hAnsi="Times New Roman" w:cs="Times New Roman"/>
          <w:i/>
          <w:lang w:val="en"/>
        </w:rPr>
        <w:t>Accounting, Auditing &amp; Accountability Journal</w:t>
      </w:r>
      <w:r w:rsidR="00E11B04" w:rsidRPr="00686181">
        <w:rPr>
          <w:rFonts w:ascii="Times New Roman" w:hAnsi="Times New Roman" w:cs="Times New Roman"/>
          <w:lang w:val="en"/>
        </w:rPr>
        <w:t>, 28(3)</w:t>
      </w:r>
      <w:r w:rsidR="005468C2" w:rsidRPr="00686181">
        <w:rPr>
          <w:rFonts w:ascii="Times New Roman" w:hAnsi="Times New Roman" w:cs="Times New Roman"/>
          <w:lang w:val="en"/>
        </w:rPr>
        <w:t xml:space="preserve">: </w:t>
      </w:r>
      <w:r w:rsidR="00E11B04" w:rsidRPr="00686181">
        <w:rPr>
          <w:rFonts w:ascii="Times New Roman" w:hAnsi="Times New Roman" w:cs="Times New Roman"/>
          <w:lang w:val="en"/>
        </w:rPr>
        <w:t xml:space="preserve">365 </w:t>
      </w:r>
      <w:r w:rsidR="005468C2" w:rsidRPr="00686181">
        <w:rPr>
          <w:rFonts w:ascii="Times New Roman" w:hAnsi="Times New Roman" w:cs="Times New Roman"/>
          <w:lang w:val="en"/>
        </w:rPr>
        <w:t>–</w:t>
      </w:r>
      <w:r w:rsidR="00E11B04" w:rsidRPr="00686181">
        <w:rPr>
          <w:rFonts w:ascii="Times New Roman" w:hAnsi="Times New Roman" w:cs="Times New Roman"/>
          <w:lang w:val="en"/>
        </w:rPr>
        <w:t xml:space="preserve"> 402</w:t>
      </w:r>
      <w:r w:rsidR="005468C2" w:rsidRPr="00686181">
        <w:rPr>
          <w:rFonts w:ascii="Times New Roman" w:hAnsi="Times New Roman" w:cs="Times New Roman"/>
          <w:lang w:val="en"/>
        </w:rPr>
        <w:t>.</w:t>
      </w:r>
    </w:p>
    <w:p w14:paraId="4CB770C7" w14:textId="77777777" w:rsidR="0079324C" w:rsidRPr="000D3967" w:rsidRDefault="0079324C" w:rsidP="00A004FC">
      <w:pPr>
        <w:tabs>
          <w:tab w:val="left" w:pos="0"/>
        </w:tabs>
        <w:spacing w:after="0" w:line="240" w:lineRule="auto"/>
        <w:jc w:val="both"/>
        <w:rPr>
          <w:rFonts w:ascii="Times New Roman" w:eastAsia="SimSun" w:hAnsi="Times New Roman" w:cs="Times New Roman"/>
          <w:bCs/>
          <w:lang w:val="en-GB" w:eastAsia="zh-CN"/>
        </w:rPr>
      </w:pPr>
      <w:r w:rsidRPr="000D3967">
        <w:rPr>
          <w:rFonts w:ascii="Times New Roman" w:eastAsia="SimSun" w:hAnsi="Times New Roman" w:cs="Times New Roman"/>
          <w:bCs/>
          <w:lang w:val="en-GB" w:eastAsia="zh-CN"/>
        </w:rPr>
        <w:t xml:space="preserve">Robson, K., Humphrey, C., </w:t>
      </w:r>
      <w:proofErr w:type="spellStart"/>
      <w:r w:rsidRPr="000D3967">
        <w:rPr>
          <w:rFonts w:ascii="Times New Roman" w:eastAsia="SimSun" w:hAnsi="Times New Roman" w:cs="Times New Roman"/>
          <w:bCs/>
          <w:lang w:val="en-GB" w:eastAsia="zh-CN"/>
        </w:rPr>
        <w:t>Khalifa</w:t>
      </w:r>
      <w:proofErr w:type="spellEnd"/>
      <w:r w:rsidRPr="000D3967">
        <w:rPr>
          <w:rFonts w:ascii="Times New Roman" w:eastAsia="SimSun" w:hAnsi="Times New Roman" w:cs="Times New Roman"/>
          <w:bCs/>
          <w:lang w:val="en-GB" w:eastAsia="zh-CN"/>
        </w:rPr>
        <w:t xml:space="preserve">, R. and Jones, J. (2007). ‘Transforming audit technologies: Business risk audit methodologies and the audit field’, </w:t>
      </w:r>
      <w:r w:rsidRPr="000D3967">
        <w:rPr>
          <w:rFonts w:ascii="Times New Roman" w:eastAsia="SimSun" w:hAnsi="Times New Roman" w:cs="Times New Roman"/>
          <w:bCs/>
          <w:i/>
          <w:lang w:val="en-GB" w:eastAsia="zh-CN"/>
        </w:rPr>
        <w:t>Accounting, Organizations and Society</w:t>
      </w:r>
      <w:r w:rsidRPr="000D3967">
        <w:rPr>
          <w:rFonts w:ascii="Times New Roman" w:eastAsia="SimSun" w:hAnsi="Times New Roman" w:cs="Times New Roman"/>
          <w:bCs/>
          <w:lang w:val="en-GB" w:eastAsia="zh-CN"/>
        </w:rPr>
        <w:t xml:space="preserve">, 32: 409-438. </w:t>
      </w:r>
    </w:p>
    <w:p w14:paraId="346E681F" w14:textId="77777777" w:rsidR="0079324C" w:rsidRDefault="0079324C" w:rsidP="00A004FC">
      <w:pPr>
        <w:tabs>
          <w:tab w:val="left" w:pos="0"/>
        </w:tabs>
        <w:spacing w:after="0" w:line="240" w:lineRule="auto"/>
        <w:jc w:val="both"/>
        <w:rPr>
          <w:rFonts w:ascii="Times New Roman" w:eastAsia="SimSun" w:hAnsi="Times New Roman" w:cs="Times New Roman"/>
          <w:bCs/>
          <w:lang w:val="en-GB" w:eastAsia="zh-CN"/>
        </w:rPr>
      </w:pPr>
    </w:p>
    <w:p w14:paraId="5E41CE31" w14:textId="7F0AD3A5" w:rsidR="00AF62D9" w:rsidRDefault="00AF62D9" w:rsidP="00A004FC">
      <w:pPr>
        <w:tabs>
          <w:tab w:val="left" w:pos="0"/>
        </w:tabs>
        <w:spacing w:after="0" w:line="240" w:lineRule="auto"/>
        <w:jc w:val="both"/>
        <w:rPr>
          <w:rFonts w:ascii="Times New Roman" w:eastAsia="SimSun" w:hAnsi="Times New Roman" w:cs="Times New Roman"/>
          <w:bCs/>
          <w:lang w:val="en-GB" w:eastAsia="zh-CN"/>
        </w:rPr>
      </w:pPr>
      <w:proofErr w:type="spellStart"/>
      <w:r>
        <w:rPr>
          <w:rFonts w:ascii="Times New Roman" w:eastAsia="SimSun" w:hAnsi="Times New Roman" w:cs="Times New Roman"/>
          <w:bCs/>
          <w:lang w:val="en-GB" w:eastAsia="zh-CN"/>
        </w:rPr>
        <w:t>Rowbottom</w:t>
      </w:r>
      <w:proofErr w:type="spellEnd"/>
      <w:r>
        <w:rPr>
          <w:rFonts w:ascii="Times New Roman" w:eastAsia="SimSun" w:hAnsi="Times New Roman" w:cs="Times New Roman"/>
          <w:bCs/>
          <w:lang w:val="en-GB" w:eastAsia="zh-CN"/>
        </w:rPr>
        <w:t xml:space="preserve">, N. and Locke, J. (2016). ‘The emergence of &lt;IR&gt;’, </w:t>
      </w:r>
      <w:r w:rsidRPr="00953650">
        <w:rPr>
          <w:rFonts w:ascii="Times New Roman" w:eastAsia="SimSun" w:hAnsi="Times New Roman" w:cs="Times New Roman"/>
          <w:bCs/>
          <w:i/>
          <w:lang w:val="en-GB" w:eastAsia="zh-CN"/>
        </w:rPr>
        <w:t>Accounting and Business Research</w:t>
      </w:r>
      <w:r>
        <w:rPr>
          <w:rFonts w:ascii="Times New Roman" w:eastAsia="SimSun" w:hAnsi="Times New Roman" w:cs="Times New Roman"/>
          <w:bCs/>
          <w:lang w:val="en-GB" w:eastAsia="zh-CN"/>
        </w:rPr>
        <w:t>, 46(1): 83-115.</w:t>
      </w:r>
    </w:p>
    <w:p w14:paraId="4DD6E5B2" w14:textId="77777777" w:rsidR="00AF62D9" w:rsidRPr="000D3967" w:rsidRDefault="00AF62D9" w:rsidP="00A004FC">
      <w:pPr>
        <w:tabs>
          <w:tab w:val="left" w:pos="0"/>
        </w:tabs>
        <w:spacing w:after="0" w:line="240" w:lineRule="auto"/>
        <w:jc w:val="both"/>
        <w:rPr>
          <w:rFonts w:ascii="Times New Roman" w:eastAsia="SimSun" w:hAnsi="Times New Roman" w:cs="Times New Roman"/>
          <w:bCs/>
          <w:lang w:val="en-GB" w:eastAsia="zh-CN"/>
        </w:rPr>
      </w:pPr>
    </w:p>
    <w:p w14:paraId="0A9D4156" w14:textId="77777777" w:rsidR="0079324C" w:rsidRPr="000D3967" w:rsidRDefault="0079324C" w:rsidP="00A004FC">
      <w:pPr>
        <w:jc w:val="both"/>
        <w:rPr>
          <w:rFonts w:ascii="Times New Roman" w:hAnsi="Times New Roman" w:cs="Times New Roman"/>
          <w:lang w:val="en-US"/>
        </w:rPr>
      </w:pPr>
      <w:r w:rsidRPr="000D3967">
        <w:rPr>
          <w:rFonts w:ascii="Times New Roman" w:hAnsi="Times New Roman" w:cs="Times New Roman"/>
          <w:lang w:val="en-US"/>
        </w:rPr>
        <w:t xml:space="preserve">Scott, W.R. (2008). ‘Lords of the dance: Professionals as institutional agents’. </w:t>
      </w:r>
      <w:r w:rsidRPr="000D3967">
        <w:rPr>
          <w:rFonts w:ascii="Times New Roman" w:hAnsi="Times New Roman" w:cs="Times New Roman"/>
          <w:i/>
          <w:iCs/>
          <w:lang w:val="en-US"/>
        </w:rPr>
        <w:t xml:space="preserve">Organization Studies, </w:t>
      </w:r>
      <w:r w:rsidRPr="000D3967">
        <w:rPr>
          <w:rFonts w:ascii="Times New Roman" w:hAnsi="Times New Roman" w:cs="Times New Roman"/>
          <w:iCs/>
          <w:lang w:val="en-US"/>
        </w:rPr>
        <w:t>29</w:t>
      </w:r>
      <w:r w:rsidRPr="000D3967">
        <w:rPr>
          <w:rFonts w:ascii="Times New Roman" w:hAnsi="Times New Roman" w:cs="Times New Roman"/>
          <w:lang w:val="en-US"/>
        </w:rPr>
        <w:t>: 219–238.</w:t>
      </w:r>
    </w:p>
    <w:p w14:paraId="4DE02C13" w14:textId="77777777" w:rsidR="0079324C" w:rsidRPr="000D3967" w:rsidRDefault="0079324C" w:rsidP="00A004FC">
      <w:pPr>
        <w:pStyle w:val="Referencetext"/>
        <w:spacing w:line="240" w:lineRule="auto"/>
        <w:ind w:left="0" w:firstLine="0"/>
        <w:rPr>
          <w:sz w:val="22"/>
          <w:szCs w:val="22"/>
        </w:rPr>
      </w:pPr>
      <w:r w:rsidRPr="000D3967">
        <w:rPr>
          <w:sz w:val="22"/>
          <w:szCs w:val="22"/>
        </w:rPr>
        <w:t xml:space="preserve">Shafer, W.E. and </w:t>
      </w:r>
      <w:proofErr w:type="spellStart"/>
      <w:r w:rsidRPr="000D3967">
        <w:rPr>
          <w:sz w:val="22"/>
          <w:szCs w:val="22"/>
        </w:rPr>
        <w:t>Gendron</w:t>
      </w:r>
      <w:proofErr w:type="spellEnd"/>
      <w:r w:rsidRPr="000D3967">
        <w:rPr>
          <w:sz w:val="22"/>
          <w:szCs w:val="22"/>
        </w:rPr>
        <w:t xml:space="preserve">, Y. (2005). ‘Analysis of a failed jurisdictional claim: The rhetoric and politics surrounding the AICPA global credential project’. </w:t>
      </w:r>
      <w:r w:rsidRPr="000D3967">
        <w:rPr>
          <w:i/>
          <w:sz w:val="22"/>
          <w:szCs w:val="22"/>
        </w:rPr>
        <w:t xml:space="preserve">Accounting, Auditing &amp; Accountability Journal, </w:t>
      </w:r>
      <w:r w:rsidRPr="000D3967">
        <w:rPr>
          <w:sz w:val="22"/>
          <w:szCs w:val="22"/>
        </w:rPr>
        <w:t>18(4): 453-491.</w:t>
      </w:r>
    </w:p>
    <w:p w14:paraId="2C07B8B5" w14:textId="77777777" w:rsidR="0079324C" w:rsidRDefault="0079324C" w:rsidP="00A004FC">
      <w:pPr>
        <w:spacing w:line="240" w:lineRule="auto"/>
        <w:jc w:val="both"/>
        <w:rPr>
          <w:rFonts w:ascii="Times New Roman" w:hAnsi="Times New Roman" w:cs="Times New Roman"/>
          <w:lang w:val="en-US"/>
        </w:rPr>
      </w:pPr>
      <w:r w:rsidRPr="000D3967">
        <w:rPr>
          <w:rFonts w:ascii="Times New Roman" w:hAnsi="Times New Roman" w:cs="Times New Roman"/>
          <w:lang w:val="en-US"/>
        </w:rPr>
        <w:t xml:space="preserve">Shapiro, B. and Matson, D. (2008). ‘Strategies of resistance to internal control regulation’. </w:t>
      </w:r>
      <w:r w:rsidRPr="000D3967">
        <w:rPr>
          <w:rFonts w:ascii="Times New Roman" w:hAnsi="Times New Roman" w:cs="Times New Roman"/>
          <w:i/>
          <w:lang w:val="en-US"/>
        </w:rPr>
        <w:t>Accounting, Organizations and Society</w:t>
      </w:r>
      <w:r w:rsidRPr="000D3967">
        <w:rPr>
          <w:rFonts w:ascii="Times New Roman" w:hAnsi="Times New Roman" w:cs="Times New Roman"/>
          <w:lang w:val="en-US"/>
        </w:rPr>
        <w:t>, 33(2/3): 199-228.</w:t>
      </w:r>
    </w:p>
    <w:p w14:paraId="1B56B69E" w14:textId="2BADD913" w:rsidR="008D6120" w:rsidRPr="000D3967" w:rsidRDefault="00A15345" w:rsidP="00A004FC">
      <w:pPr>
        <w:spacing w:line="240" w:lineRule="auto"/>
        <w:jc w:val="both"/>
        <w:rPr>
          <w:rFonts w:ascii="Times New Roman" w:hAnsi="Times New Roman" w:cs="Times New Roman"/>
          <w:lang w:val="en-US"/>
        </w:rPr>
      </w:pPr>
      <w:proofErr w:type="spellStart"/>
      <w:r>
        <w:rPr>
          <w:rFonts w:ascii="Times New Roman" w:hAnsi="Times New Roman" w:cs="Times New Roman"/>
          <w:lang w:val="en-US"/>
        </w:rPr>
        <w:t>Serafeim</w:t>
      </w:r>
      <w:proofErr w:type="spellEnd"/>
      <w:r>
        <w:rPr>
          <w:rFonts w:ascii="Times New Roman" w:hAnsi="Times New Roman" w:cs="Times New Roman"/>
          <w:lang w:val="en-US"/>
        </w:rPr>
        <w:t>, G. (201</w:t>
      </w:r>
      <w:r w:rsidR="00A85C2C">
        <w:rPr>
          <w:rFonts w:ascii="Times New Roman" w:hAnsi="Times New Roman" w:cs="Times New Roman"/>
          <w:lang w:val="en-US"/>
        </w:rPr>
        <w:t>5</w:t>
      </w:r>
      <w:r>
        <w:rPr>
          <w:rFonts w:ascii="Times New Roman" w:hAnsi="Times New Roman" w:cs="Times New Roman"/>
          <w:lang w:val="en-US"/>
        </w:rPr>
        <w:t xml:space="preserve">). ‘Integrated reporting and investor clientele.’ </w:t>
      </w:r>
      <w:r w:rsidR="00A85C2C" w:rsidRPr="00953650">
        <w:rPr>
          <w:rFonts w:ascii="Times New Roman" w:hAnsi="Times New Roman" w:cs="Times New Roman"/>
          <w:i/>
          <w:lang w:val="en-US"/>
        </w:rPr>
        <w:t>Journal of Applied Corporate Finance,</w:t>
      </w:r>
      <w:r w:rsidR="00A85C2C">
        <w:rPr>
          <w:rFonts w:ascii="Times New Roman" w:hAnsi="Times New Roman" w:cs="Times New Roman"/>
          <w:lang w:val="en-US"/>
        </w:rPr>
        <w:t xml:space="preserve"> 27(2): 34-51.</w:t>
      </w:r>
    </w:p>
    <w:p w14:paraId="3F45CF7F" w14:textId="77777777" w:rsidR="0079324C" w:rsidRDefault="0079324C" w:rsidP="00A004FC">
      <w:pPr>
        <w:jc w:val="both"/>
        <w:rPr>
          <w:rFonts w:ascii="Times New Roman" w:hAnsi="Times New Roman" w:cs="Times New Roman"/>
          <w:lang w:val="en-GB"/>
        </w:rPr>
      </w:pPr>
      <w:r w:rsidRPr="000D3967">
        <w:rPr>
          <w:rFonts w:ascii="Times New Roman" w:hAnsi="Times New Roman" w:cs="Times New Roman"/>
          <w:lang w:val="en-GB"/>
        </w:rPr>
        <w:t xml:space="preserve">Silverman, D. (2010). </w:t>
      </w:r>
      <w:r w:rsidRPr="000D3967">
        <w:rPr>
          <w:rFonts w:ascii="Times New Roman" w:hAnsi="Times New Roman" w:cs="Times New Roman"/>
          <w:i/>
          <w:lang w:val="en-GB"/>
        </w:rPr>
        <w:t>Doing qualitative research</w:t>
      </w:r>
      <w:r w:rsidRPr="000D3967">
        <w:rPr>
          <w:rFonts w:ascii="Times New Roman" w:hAnsi="Times New Roman" w:cs="Times New Roman"/>
          <w:lang w:val="en-GB"/>
        </w:rPr>
        <w:t>. London, UK: Sage.</w:t>
      </w:r>
    </w:p>
    <w:p w14:paraId="493B9656" w14:textId="35C0B790" w:rsidR="00A7662E" w:rsidRPr="00A7662E" w:rsidRDefault="00A7662E" w:rsidP="00A7662E">
      <w:pPr>
        <w:pStyle w:val="EndNoteBibliography"/>
        <w:spacing w:after="120"/>
        <w:rPr>
          <w:rFonts w:ascii="Times New Roman" w:hAnsi="Times New Roman" w:cs="Times New Roman"/>
          <w:noProof/>
          <w:sz w:val="22"/>
          <w:szCs w:val="22"/>
        </w:rPr>
      </w:pPr>
      <w:r w:rsidRPr="00A7662E">
        <w:rPr>
          <w:rFonts w:ascii="Times New Roman" w:hAnsi="Times New Roman" w:cs="Times New Roman"/>
          <w:noProof/>
          <w:sz w:val="22"/>
          <w:szCs w:val="22"/>
        </w:rPr>
        <w:t xml:space="preserve">Stubbs, W. and Higgins, C. (2014), “Integrated reporting and internal mechanisms of change”, </w:t>
      </w:r>
      <w:r w:rsidRPr="00A7662E">
        <w:rPr>
          <w:rFonts w:ascii="Times New Roman" w:hAnsi="Times New Roman" w:cs="Times New Roman"/>
          <w:i/>
          <w:noProof/>
          <w:sz w:val="22"/>
          <w:szCs w:val="22"/>
        </w:rPr>
        <w:t>Accounting, Auditing &amp; Accountability Journal</w:t>
      </w:r>
      <w:r w:rsidRPr="00A7662E">
        <w:rPr>
          <w:rFonts w:ascii="Times New Roman" w:hAnsi="Times New Roman" w:cs="Times New Roman"/>
          <w:noProof/>
          <w:sz w:val="22"/>
          <w:szCs w:val="22"/>
        </w:rPr>
        <w:t xml:space="preserve">, 27(7): </w:t>
      </w:r>
      <w:r w:rsidRPr="00A7662E">
        <w:rPr>
          <w:rFonts w:ascii="Times New Roman" w:hAnsi="Times New Roman" w:cs="Times New Roman"/>
          <w:sz w:val="22"/>
          <w:szCs w:val="22"/>
          <w:lang w:val="en"/>
        </w:rPr>
        <w:t xml:space="preserve">1068 </w:t>
      </w:r>
      <w:r w:rsidR="00AA1634">
        <w:rPr>
          <w:rFonts w:ascii="Times New Roman" w:hAnsi="Times New Roman" w:cs="Times New Roman"/>
          <w:sz w:val="22"/>
          <w:szCs w:val="22"/>
          <w:lang w:val="en"/>
        </w:rPr>
        <w:t>–</w:t>
      </w:r>
      <w:r w:rsidRPr="00A7662E">
        <w:rPr>
          <w:rFonts w:ascii="Times New Roman" w:hAnsi="Times New Roman" w:cs="Times New Roman"/>
          <w:sz w:val="22"/>
          <w:szCs w:val="22"/>
          <w:lang w:val="en"/>
        </w:rPr>
        <w:t xml:space="preserve"> 1089</w:t>
      </w:r>
      <w:r w:rsidR="00AA1634">
        <w:rPr>
          <w:rFonts w:ascii="Times New Roman" w:hAnsi="Times New Roman" w:cs="Times New Roman"/>
          <w:sz w:val="22"/>
          <w:szCs w:val="22"/>
          <w:lang w:val="en"/>
        </w:rPr>
        <w:t>.</w:t>
      </w:r>
    </w:p>
    <w:p w14:paraId="74360982" w14:textId="1D87B8CD" w:rsidR="0079324C" w:rsidRPr="000D3967" w:rsidRDefault="00412687" w:rsidP="00A004FC">
      <w:pPr>
        <w:autoSpaceDE w:val="0"/>
        <w:autoSpaceDN w:val="0"/>
        <w:adjustRightInd w:val="0"/>
        <w:spacing w:line="240" w:lineRule="auto"/>
        <w:jc w:val="both"/>
        <w:rPr>
          <w:rFonts w:ascii="Times New Roman" w:hAnsi="Times New Roman" w:cs="Times New Roman"/>
          <w:lang w:val="en-US"/>
        </w:rPr>
      </w:pPr>
      <w:r>
        <w:rPr>
          <w:rFonts w:ascii="Times New Roman" w:hAnsi="Times New Roman" w:cs="Times New Roman"/>
          <w:lang w:val="en-US"/>
        </w:rPr>
        <w:t>Suddaby, R.</w:t>
      </w:r>
      <w:r w:rsidR="0079324C" w:rsidRPr="000D3967">
        <w:rPr>
          <w:rFonts w:ascii="Times New Roman" w:hAnsi="Times New Roman" w:cs="Times New Roman"/>
          <w:lang w:val="en-US"/>
        </w:rPr>
        <w:t xml:space="preserve"> Cooper, D.J. and Greenwood, R. (2007). ‘Transnational regulation of professional services: Governance dynamics of field level organizational change’. </w:t>
      </w:r>
      <w:r w:rsidR="0079324C" w:rsidRPr="000D3967">
        <w:rPr>
          <w:rFonts w:ascii="Times New Roman" w:hAnsi="Times New Roman" w:cs="Times New Roman"/>
          <w:i/>
          <w:lang w:val="en-US"/>
        </w:rPr>
        <w:t>Accounting, Organizations and Society</w:t>
      </w:r>
      <w:r w:rsidR="0079324C" w:rsidRPr="000D3967">
        <w:rPr>
          <w:rFonts w:ascii="Times New Roman" w:hAnsi="Times New Roman" w:cs="Times New Roman"/>
          <w:lang w:val="en-US"/>
        </w:rPr>
        <w:t>, 32(4/5): 333-362.</w:t>
      </w:r>
    </w:p>
    <w:p w14:paraId="5817C047" w14:textId="77777777" w:rsidR="0079324C" w:rsidRPr="000D3967" w:rsidRDefault="0079324C" w:rsidP="00A004FC">
      <w:pPr>
        <w:pStyle w:val="Pa17"/>
        <w:jc w:val="both"/>
        <w:rPr>
          <w:color w:val="000000"/>
          <w:sz w:val="22"/>
          <w:szCs w:val="22"/>
          <w:lang w:val="en-US"/>
        </w:rPr>
      </w:pPr>
      <w:r w:rsidRPr="000D3967">
        <w:rPr>
          <w:color w:val="000000"/>
          <w:sz w:val="22"/>
          <w:szCs w:val="22"/>
          <w:lang w:val="en-US"/>
        </w:rPr>
        <w:t xml:space="preserve">Suddaby, R. and Greenwood, R. (2005). ‘Rhetorical strategies of legitimacy’. </w:t>
      </w:r>
      <w:r w:rsidRPr="000D3967">
        <w:rPr>
          <w:i/>
          <w:iCs/>
          <w:color w:val="000000"/>
          <w:sz w:val="22"/>
          <w:szCs w:val="22"/>
          <w:lang w:val="en-US"/>
        </w:rPr>
        <w:t>Administrative Science Quarterly</w:t>
      </w:r>
      <w:r w:rsidRPr="000D3967">
        <w:rPr>
          <w:color w:val="000000"/>
          <w:sz w:val="22"/>
          <w:szCs w:val="22"/>
          <w:lang w:val="en-US"/>
        </w:rPr>
        <w:t xml:space="preserve">, </w:t>
      </w:r>
      <w:r w:rsidRPr="000D3967">
        <w:rPr>
          <w:iCs/>
          <w:color w:val="000000"/>
          <w:sz w:val="22"/>
          <w:szCs w:val="22"/>
          <w:lang w:val="en-US"/>
        </w:rPr>
        <w:t>50</w:t>
      </w:r>
      <w:r w:rsidRPr="000D3967">
        <w:rPr>
          <w:color w:val="000000"/>
          <w:sz w:val="22"/>
          <w:szCs w:val="22"/>
          <w:lang w:val="en-US"/>
        </w:rPr>
        <w:t>: 35–67.</w:t>
      </w:r>
    </w:p>
    <w:p w14:paraId="22384DF8" w14:textId="77777777" w:rsidR="0079324C" w:rsidRPr="000D3967" w:rsidRDefault="0079324C" w:rsidP="00A004FC">
      <w:pPr>
        <w:spacing w:after="0" w:line="240" w:lineRule="auto"/>
        <w:jc w:val="both"/>
        <w:rPr>
          <w:rFonts w:ascii="Times New Roman" w:eastAsia="SimSun" w:hAnsi="Times New Roman" w:cs="Times New Roman"/>
          <w:bCs/>
          <w:lang w:val="en-US" w:eastAsia="zh-CN"/>
        </w:rPr>
      </w:pPr>
    </w:p>
    <w:p w14:paraId="6513E554" w14:textId="77777777" w:rsidR="0079324C" w:rsidRDefault="0079324C" w:rsidP="00A004FC">
      <w:pPr>
        <w:jc w:val="both"/>
        <w:rPr>
          <w:rFonts w:ascii="Times New Roman" w:hAnsi="Times New Roman" w:cs="Times New Roman"/>
          <w:color w:val="000000"/>
          <w:lang w:val="en-US"/>
        </w:rPr>
      </w:pPr>
      <w:r w:rsidRPr="000D3967">
        <w:rPr>
          <w:rFonts w:ascii="Times New Roman" w:hAnsi="Times New Roman" w:cs="Times New Roman"/>
          <w:color w:val="000000"/>
          <w:lang w:val="en-US"/>
        </w:rPr>
        <w:lastRenderedPageBreak/>
        <w:t xml:space="preserve">Suddaby, R. and </w:t>
      </w:r>
      <w:proofErr w:type="spellStart"/>
      <w:r w:rsidRPr="000D3967">
        <w:rPr>
          <w:rFonts w:ascii="Times New Roman" w:hAnsi="Times New Roman" w:cs="Times New Roman"/>
          <w:color w:val="000000"/>
          <w:lang w:val="en-US"/>
        </w:rPr>
        <w:t>Viale</w:t>
      </w:r>
      <w:proofErr w:type="spellEnd"/>
      <w:r w:rsidRPr="000D3967">
        <w:rPr>
          <w:rFonts w:ascii="Times New Roman" w:hAnsi="Times New Roman" w:cs="Times New Roman"/>
          <w:color w:val="000000"/>
          <w:lang w:val="en-US"/>
        </w:rPr>
        <w:t xml:space="preserve">, T. (2011). ‘Professionals and field-level change: Institutional work and the professional project’. </w:t>
      </w:r>
      <w:r w:rsidRPr="000D3967">
        <w:rPr>
          <w:rFonts w:ascii="Times New Roman" w:hAnsi="Times New Roman" w:cs="Times New Roman"/>
          <w:i/>
          <w:iCs/>
          <w:color w:val="000000"/>
          <w:lang w:val="en-US"/>
        </w:rPr>
        <w:t>Current Sociology</w:t>
      </w:r>
      <w:r w:rsidRPr="000D3967">
        <w:rPr>
          <w:rFonts w:ascii="Times New Roman" w:hAnsi="Times New Roman" w:cs="Times New Roman"/>
          <w:color w:val="000000"/>
          <w:lang w:val="en-US"/>
        </w:rPr>
        <w:t xml:space="preserve">, </w:t>
      </w:r>
      <w:r w:rsidRPr="000D3967">
        <w:rPr>
          <w:rFonts w:ascii="Times New Roman" w:hAnsi="Times New Roman" w:cs="Times New Roman"/>
          <w:iCs/>
          <w:color w:val="000000"/>
          <w:lang w:val="en-US"/>
        </w:rPr>
        <w:t>59</w:t>
      </w:r>
      <w:r w:rsidRPr="000D3967">
        <w:rPr>
          <w:rFonts w:ascii="Times New Roman" w:hAnsi="Times New Roman" w:cs="Times New Roman"/>
          <w:color w:val="000000"/>
          <w:lang w:val="en-US"/>
        </w:rPr>
        <w:t>: 423–442.</w:t>
      </w:r>
    </w:p>
    <w:p w14:paraId="62C301EE" w14:textId="1A37D03C" w:rsidR="00D57470" w:rsidRDefault="00D57470" w:rsidP="00A004FC">
      <w:pPr>
        <w:jc w:val="both"/>
        <w:rPr>
          <w:rFonts w:ascii="Times New Roman" w:hAnsi="Times New Roman" w:cs="Times New Roman"/>
          <w:i/>
          <w:lang w:val="en-US"/>
        </w:rPr>
      </w:pPr>
      <w:r w:rsidRPr="00D57470">
        <w:rPr>
          <w:rFonts w:ascii="Times New Roman" w:hAnsi="Times New Roman" w:cs="Times New Roman"/>
          <w:lang w:val="en-US"/>
        </w:rPr>
        <w:t>Thomson, I. (</w:t>
      </w:r>
      <w:r w:rsidR="005D6434">
        <w:rPr>
          <w:rFonts w:ascii="Times New Roman" w:hAnsi="Times New Roman" w:cs="Times New Roman"/>
          <w:lang w:val="en-US"/>
        </w:rPr>
        <w:t>2015</w:t>
      </w:r>
      <w:r w:rsidRPr="00D57470">
        <w:rPr>
          <w:rFonts w:ascii="Times New Roman" w:hAnsi="Times New Roman" w:cs="Times New Roman"/>
          <w:lang w:val="en-US"/>
        </w:rPr>
        <w:t xml:space="preserve">). </w:t>
      </w:r>
      <w:r>
        <w:rPr>
          <w:rFonts w:ascii="Times New Roman" w:hAnsi="Times New Roman" w:cs="Times New Roman"/>
          <w:lang w:val="en-US"/>
        </w:rPr>
        <w:t>‘</w:t>
      </w:r>
      <w:r w:rsidRPr="00D57470">
        <w:rPr>
          <w:rFonts w:ascii="Times New Roman" w:hAnsi="Times New Roman" w:cs="Times New Roman"/>
          <w:lang w:val="en-US"/>
        </w:rPr>
        <w:t>‘But does sustainability need capitalism or an integrated report’ a commentary on ‘The International Integrated Reporting Council: A story of failure’ by Flower, J.</w:t>
      </w:r>
      <w:r>
        <w:rPr>
          <w:rFonts w:ascii="Times New Roman" w:hAnsi="Times New Roman" w:cs="Times New Roman"/>
          <w:lang w:val="en-US"/>
        </w:rPr>
        <w:t>’</w:t>
      </w:r>
      <w:r w:rsidRPr="00D57470">
        <w:rPr>
          <w:rFonts w:ascii="Times New Roman" w:hAnsi="Times New Roman" w:cs="Times New Roman"/>
          <w:lang w:val="en-US"/>
        </w:rPr>
        <w:t xml:space="preserve"> </w:t>
      </w:r>
      <w:r w:rsidRPr="00D57470">
        <w:rPr>
          <w:rFonts w:ascii="Times New Roman" w:hAnsi="Times New Roman" w:cs="Times New Roman"/>
          <w:i/>
          <w:lang w:val="en-US"/>
        </w:rPr>
        <w:t>Critical Perspectives on Accounting.</w:t>
      </w:r>
      <w:r w:rsidR="005D6434">
        <w:rPr>
          <w:rFonts w:ascii="Times New Roman" w:hAnsi="Times New Roman" w:cs="Times New Roman"/>
          <w:i/>
          <w:lang w:val="en-US"/>
        </w:rPr>
        <w:t xml:space="preserve"> </w:t>
      </w:r>
      <w:r w:rsidR="005D6434" w:rsidRPr="00686181">
        <w:rPr>
          <w:rFonts w:ascii="Times New Roman" w:hAnsi="Times New Roman" w:cs="Times New Roman"/>
          <w:lang w:val="en-US"/>
        </w:rPr>
        <w:t>17: 18-22.</w:t>
      </w:r>
    </w:p>
    <w:p w14:paraId="05943528" w14:textId="072595EB" w:rsidR="00A7662E" w:rsidRDefault="005F3123" w:rsidP="005F3123">
      <w:pPr>
        <w:pStyle w:val="EndNoteBibliography"/>
        <w:spacing w:after="120"/>
        <w:rPr>
          <w:rFonts w:ascii="Times New Roman" w:hAnsi="Times New Roman" w:cs="Times New Roman"/>
          <w:sz w:val="22"/>
          <w:szCs w:val="22"/>
          <w:lang w:val="en"/>
        </w:rPr>
      </w:pPr>
      <w:r>
        <w:rPr>
          <w:rFonts w:ascii="Times New Roman" w:hAnsi="Times New Roman" w:cs="Times New Roman"/>
          <w:noProof/>
          <w:sz w:val="22"/>
          <w:szCs w:val="22"/>
          <w:lang w:val="en-US"/>
        </w:rPr>
        <w:t>V</w:t>
      </w:r>
      <w:r w:rsidR="00A7662E" w:rsidRPr="005F3123">
        <w:rPr>
          <w:rFonts w:ascii="Times New Roman" w:hAnsi="Times New Roman" w:cs="Times New Roman"/>
          <w:noProof/>
          <w:sz w:val="22"/>
          <w:szCs w:val="22"/>
        </w:rPr>
        <w:t xml:space="preserve">an Bommel, K. (2014), “Towards a Legitimate Compromise?: An Exploration of Integrated Reporting in the Netherlands”, </w:t>
      </w:r>
      <w:r w:rsidR="00A7662E" w:rsidRPr="005F3123">
        <w:rPr>
          <w:rFonts w:ascii="Times New Roman" w:hAnsi="Times New Roman" w:cs="Times New Roman"/>
          <w:i/>
          <w:noProof/>
          <w:sz w:val="22"/>
          <w:szCs w:val="22"/>
        </w:rPr>
        <w:t>Accounting, Auditing &amp; Accountability Journal</w:t>
      </w:r>
      <w:r w:rsidR="00A7662E" w:rsidRPr="005F3123">
        <w:rPr>
          <w:rFonts w:ascii="Times New Roman" w:hAnsi="Times New Roman" w:cs="Times New Roman"/>
          <w:noProof/>
          <w:sz w:val="22"/>
          <w:szCs w:val="22"/>
        </w:rPr>
        <w:t xml:space="preserve">, </w:t>
      </w:r>
      <w:r w:rsidRPr="005F3123">
        <w:rPr>
          <w:rFonts w:ascii="Times New Roman" w:hAnsi="Times New Roman" w:cs="Times New Roman"/>
          <w:noProof/>
          <w:sz w:val="22"/>
          <w:szCs w:val="22"/>
        </w:rPr>
        <w:t xml:space="preserve">27(7): </w:t>
      </w:r>
      <w:r w:rsidRPr="005F3123">
        <w:rPr>
          <w:rFonts w:ascii="Times New Roman" w:hAnsi="Times New Roman" w:cs="Times New Roman"/>
          <w:sz w:val="22"/>
          <w:szCs w:val="22"/>
          <w:lang w:val="en"/>
        </w:rPr>
        <w:t>1157</w:t>
      </w:r>
      <w:r>
        <w:rPr>
          <w:rFonts w:ascii="Times New Roman" w:hAnsi="Times New Roman" w:cs="Times New Roman"/>
          <w:sz w:val="22"/>
          <w:szCs w:val="22"/>
          <w:lang w:val="en"/>
        </w:rPr>
        <w:t>-</w:t>
      </w:r>
      <w:r w:rsidRPr="005F3123">
        <w:rPr>
          <w:rFonts w:ascii="Times New Roman" w:hAnsi="Times New Roman" w:cs="Times New Roman"/>
          <w:sz w:val="22"/>
          <w:szCs w:val="22"/>
          <w:lang w:val="en"/>
        </w:rPr>
        <w:t>1189.</w:t>
      </w:r>
    </w:p>
    <w:p w14:paraId="4751B73C" w14:textId="185F5C2A" w:rsidR="0079324C" w:rsidRPr="000D3967" w:rsidRDefault="0079324C" w:rsidP="00A004FC">
      <w:pPr>
        <w:autoSpaceDE w:val="0"/>
        <w:autoSpaceDN w:val="0"/>
        <w:adjustRightInd w:val="0"/>
        <w:spacing w:after="0" w:line="240" w:lineRule="auto"/>
        <w:jc w:val="both"/>
        <w:rPr>
          <w:rFonts w:ascii="Times New Roman" w:eastAsia="SimSun" w:hAnsi="Times New Roman" w:cs="Times New Roman"/>
          <w:lang w:val="en-US" w:eastAsia="zh-CN"/>
        </w:rPr>
      </w:pPr>
      <w:r w:rsidRPr="000D3967">
        <w:rPr>
          <w:rFonts w:ascii="Times New Roman" w:eastAsia="SimSun" w:hAnsi="Times New Roman" w:cs="Times New Roman"/>
          <w:lang w:val="en-US" w:eastAsia="zh-CN"/>
        </w:rPr>
        <w:t xml:space="preserve">Wooten, M. and Hoffman, A. (2008). ‘Organizational Fields: Past, Present and Future’. In Greenwood, R., Oliver, C., </w:t>
      </w:r>
      <w:proofErr w:type="spellStart"/>
      <w:r w:rsidRPr="000D3967">
        <w:rPr>
          <w:rFonts w:ascii="Times New Roman" w:eastAsia="SimSun" w:hAnsi="Times New Roman" w:cs="Times New Roman"/>
          <w:lang w:val="en-US" w:eastAsia="zh-CN"/>
        </w:rPr>
        <w:t>Sahlin</w:t>
      </w:r>
      <w:proofErr w:type="spellEnd"/>
      <w:r w:rsidRPr="000D3967">
        <w:rPr>
          <w:rFonts w:ascii="Times New Roman" w:eastAsia="SimSun" w:hAnsi="Times New Roman" w:cs="Times New Roman"/>
          <w:lang w:val="en-US" w:eastAsia="zh-CN"/>
        </w:rPr>
        <w:t>, K. and Suddaby, R. (</w:t>
      </w:r>
      <w:proofErr w:type="spellStart"/>
      <w:r w:rsidRPr="000D3967">
        <w:rPr>
          <w:rFonts w:ascii="Times New Roman" w:eastAsia="SimSun" w:hAnsi="Times New Roman" w:cs="Times New Roman"/>
          <w:lang w:val="en-US" w:eastAsia="zh-CN"/>
        </w:rPr>
        <w:t>Eds</w:t>
      </w:r>
      <w:proofErr w:type="spellEnd"/>
      <w:r w:rsidRPr="000D3967">
        <w:rPr>
          <w:rFonts w:ascii="Times New Roman" w:eastAsia="SimSun" w:hAnsi="Times New Roman" w:cs="Times New Roman"/>
          <w:lang w:val="en-US" w:eastAsia="zh-CN"/>
        </w:rPr>
        <w:t xml:space="preserve">), </w:t>
      </w:r>
      <w:r w:rsidRPr="000D3967">
        <w:rPr>
          <w:rFonts w:ascii="Times New Roman" w:eastAsia="SimSun" w:hAnsi="Times New Roman" w:cs="Times New Roman"/>
          <w:i/>
          <w:lang w:val="en-US" w:eastAsia="zh-CN"/>
        </w:rPr>
        <w:t>The</w:t>
      </w:r>
      <w:r w:rsidR="00A004FC">
        <w:rPr>
          <w:rFonts w:ascii="Times New Roman" w:eastAsia="SimSun" w:hAnsi="Times New Roman" w:cs="Times New Roman"/>
          <w:i/>
          <w:lang w:val="en-US" w:eastAsia="zh-CN"/>
        </w:rPr>
        <w:t xml:space="preserve"> Sage</w:t>
      </w:r>
      <w:r w:rsidRPr="000D3967">
        <w:rPr>
          <w:rFonts w:ascii="Times New Roman" w:eastAsia="SimSun" w:hAnsi="Times New Roman" w:cs="Times New Roman"/>
          <w:i/>
          <w:lang w:val="en-US" w:eastAsia="zh-CN"/>
        </w:rPr>
        <w:t xml:space="preserve"> Handbook of Organizational Institutionalism</w:t>
      </w:r>
      <w:r w:rsidRPr="000D3967">
        <w:rPr>
          <w:rFonts w:ascii="Times New Roman" w:eastAsia="SimSun" w:hAnsi="Times New Roman" w:cs="Times New Roman"/>
          <w:lang w:val="en-US" w:eastAsia="zh-CN"/>
        </w:rPr>
        <w:t xml:space="preserve">. London: SAGE Publications, </w:t>
      </w:r>
      <w:r w:rsidR="00A004FC">
        <w:rPr>
          <w:rFonts w:ascii="Times New Roman" w:eastAsia="SimSun" w:hAnsi="Times New Roman" w:cs="Times New Roman"/>
          <w:lang w:val="en-US" w:eastAsia="zh-CN"/>
        </w:rPr>
        <w:t xml:space="preserve">pp. </w:t>
      </w:r>
      <w:r w:rsidRPr="000D3967">
        <w:rPr>
          <w:rFonts w:ascii="Times New Roman" w:eastAsia="SimSun" w:hAnsi="Times New Roman" w:cs="Times New Roman"/>
          <w:lang w:val="en-US" w:eastAsia="zh-CN"/>
        </w:rPr>
        <w:t xml:space="preserve">130-147. </w:t>
      </w:r>
    </w:p>
    <w:p w14:paraId="24EF4BF8" w14:textId="77777777" w:rsidR="0079324C" w:rsidRPr="000D3967" w:rsidRDefault="0079324C" w:rsidP="00A004FC">
      <w:pPr>
        <w:autoSpaceDE w:val="0"/>
        <w:autoSpaceDN w:val="0"/>
        <w:adjustRightInd w:val="0"/>
        <w:spacing w:after="0" w:line="240" w:lineRule="auto"/>
        <w:jc w:val="both"/>
        <w:rPr>
          <w:rFonts w:ascii="Times New Roman" w:eastAsia="SimSun" w:hAnsi="Times New Roman" w:cs="Times New Roman"/>
          <w:lang w:val="en-US" w:eastAsia="zh-CN"/>
        </w:rPr>
      </w:pPr>
    </w:p>
    <w:p w14:paraId="50E9537E" w14:textId="16A0E5A5" w:rsidR="004A4870" w:rsidRDefault="0079324C" w:rsidP="00A004FC">
      <w:pPr>
        <w:pStyle w:val="Referencetext"/>
        <w:spacing w:line="240" w:lineRule="auto"/>
        <w:ind w:left="0" w:firstLine="0"/>
        <w:rPr>
          <w:sz w:val="22"/>
          <w:szCs w:val="22"/>
        </w:rPr>
      </w:pPr>
      <w:r w:rsidRPr="000B70F7">
        <w:rPr>
          <w:sz w:val="22"/>
          <w:szCs w:val="22"/>
        </w:rPr>
        <w:t>Young, J.</w:t>
      </w:r>
      <w:r>
        <w:rPr>
          <w:sz w:val="22"/>
          <w:szCs w:val="22"/>
        </w:rPr>
        <w:t xml:space="preserve"> (2006). </w:t>
      </w:r>
      <w:r w:rsidR="00412687">
        <w:rPr>
          <w:sz w:val="22"/>
          <w:szCs w:val="22"/>
        </w:rPr>
        <w:t>‘</w:t>
      </w:r>
      <w:r>
        <w:rPr>
          <w:sz w:val="22"/>
          <w:szCs w:val="22"/>
        </w:rPr>
        <w:t>Making up users</w:t>
      </w:r>
      <w:r w:rsidR="00412687">
        <w:rPr>
          <w:sz w:val="22"/>
          <w:szCs w:val="22"/>
        </w:rPr>
        <w:t>’</w:t>
      </w:r>
      <w:r>
        <w:rPr>
          <w:sz w:val="22"/>
          <w:szCs w:val="22"/>
        </w:rPr>
        <w:t xml:space="preserve">. </w:t>
      </w:r>
      <w:r>
        <w:rPr>
          <w:i/>
          <w:sz w:val="22"/>
          <w:szCs w:val="22"/>
        </w:rPr>
        <w:t>Accounting, Organizations and S</w:t>
      </w:r>
      <w:r w:rsidRPr="000B70F7">
        <w:rPr>
          <w:i/>
          <w:sz w:val="22"/>
          <w:szCs w:val="22"/>
        </w:rPr>
        <w:t>ociety</w:t>
      </w:r>
      <w:r>
        <w:rPr>
          <w:sz w:val="22"/>
          <w:szCs w:val="22"/>
        </w:rPr>
        <w:t>, 31: 579-600.</w:t>
      </w:r>
    </w:p>
    <w:p w14:paraId="2234F6C5" w14:textId="15DD23E8" w:rsidR="004A4870" w:rsidRPr="000D3967" w:rsidRDefault="004A4870" w:rsidP="00A004FC">
      <w:pPr>
        <w:pStyle w:val="Referencetext"/>
        <w:spacing w:line="240" w:lineRule="auto"/>
        <w:ind w:left="0" w:firstLine="0"/>
        <w:rPr>
          <w:sz w:val="22"/>
          <w:szCs w:val="22"/>
        </w:rPr>
      </w:pPr>
      <w:r>
        <w:rPr>
          <w:sz w:val="22"/>
          <w:szCs w:val="22"/>
        </w:rPr>
        <w:t xml:space="preserve">Young, J. (2014). ‘Separating the political and the technical: Accounting standard-setting and purification’, </w:t>
      </w:r>
      <w:r w:rsidRPr="00953650">
        <w:rPr>
          <w:i/>
          <w:sz w:val="22"/>
          <w:szCs w:val="22"/>
        </w:rPr>
        <w:t>Contemporary Accounting Research</w:t>
      </w:r>
      <w:r>
        <w:rPr>
          <w:sz w:val="22"/>
          <w:szCs w:val="22"/>
        </w:rPr>
        <w:t>, 31(3): 713-747.</w:t>
      </w:r>
    </w:p>
    <w:p w14:paraId="05E0F597" w14:textId="77777777" w:rsidR="0079324C" w:rsidRDefault="0079324C" w:rsidP="00A004FC">
      <w:pPr>
        <w:pStyle w:val="Referencetext"/>
        <w:spacing w:line="240" w:lineRule="auto"/>
        <w:ind w:left="0" w:firstLine="0"/>
        <w:rPr>
          <w:sz w:val="22"/>
          <w:szCs w:val="22"/>
          <w:lang w:val="en-US"/>
        </w:rPr>
      </w:pPr>
      <w:r w:rsidRPr="000D3967">
        <w:rPr>
          <w:sz w:val="22"/>
          <w:szCs w:val="22"/>
          <w:lang w:val="en-US"/>
        </w:rPr>
        <w:t xml:space="preserve">Venter, E.R. and De Villiers, C. (2013). ‘The accounting profession’s influence on academe. South African evidence’. </w:t>
      </w:r>
      <w:r w:rsidRPr="000D3967">
        <w:rPr>
          <w:i/>
          <w:sz w:val="22"/>
          <w:szCs w:val="22"/>
          <w:lang w:val="en-US"/>
        </w:rPr>
        <w:t>Accounting, Auditing &amp; Accountability Journal</w:t>
      </w:r>
      <w:r w:rsidRPr="000D3967">
        <w:rPr>
          <w:sz w:val="22"/>
          <w:szCs w:val="22"/>
          <w:lang w:val="en-US"/>
        </w:rPr>
        <w:t>, 26(8): 1246-1278.</w:t>
      </w:r>
    </w:p>
    <w:p w14:paraId="644A97E1" w14:textId="1E15A03B" w:rsidR="008B79A5" w:rsidRPr="000D3967" w:rsidRDefault="008B79A5" w:rsidP="00A004FC">
      <w:pPr>
        <w:pStyle w:val="Referencetext"/>
        <w:spacing w:line="240" w:lineRule="auto"/>
        <w:ind w:left="0" w:firstLine="0"/>
        <w:rPr>
          <w:sz w:val="22"/>
          <w:szCs w:val="22"/>
          <w:lang w:val="en-US"/>
        </w:rPr>
      </w:pPr>
      <w:r>
        <w:rPr>
          <w:sz w:val="22"/>
          <w:szCs w:val="22"/>
          <w:lang w:val="en-US"/>
        </w:rPr>
        <w:t>Zhang</w:t>
      </w:r>
      <w:r w:rsidR="00076535">
        <w:rPr>
          <w:sz w:val="22"/>
          <w:szCs w:val="22"/>
          <w:lang w:val="en-US"/>
        </w:rPr>
        <w:t>, Y. and Andrew, J. (2014</w:t>
      </w:r>
      <w:r>
        <w:rPr>
          <w:sz w:val="22"/>
          <w:szCs w:val="22"/>
          <w:lang w:val="en-US"/>
        </w:rPr>
        <w:t>).</w:t>
      </w:r>
      <w:r w:rsidR="00076535">
        <w:rPr>
          <w:sz w:val="22"/>
          <w:szCs w:val="22"/>
          <w:lang w:val="en-US"/>
        </w:rPr>
        <w:t xml:space="preserve"> ‘</w:t>
      </w:r>
      <w:proofErr w:type="spellStart"/>
      <w:r w:rsidR="00076535">
        <w:rPr>
          <w:sz w:val="22"/>
          <w:szCs w:val="22"/>
          <w:lang w:val="en-US"/>
        </w:rPr>
        <w:t>Financialisation</w:t>
      </w:r>
      <w:proofErr w:type="spellEnd"/>
      <w:r w:rsidR="00076535">
        <w:rPr>
          <w:sz w:val="22"/>
          <w:szCs w:val="22"/>
          <w:lang w:val="en-US"/>
        </w:rPr>
        <w:t xml:space="preserve"> and the Conceptual Framework’, </w:t>
      </w:r>
      <w:r w:rsidR="00076535" w:rsidRPr="00686181">
        <w:rPr>
          <w:i/>
          <w:sz w:val="22"/>
          <w:szCs w:val="22"/>
          <w:lang w:val="en-US"/>
        </w:rPr>
        <w:t>Critical Perspectives on Accounting</w:t>
      </w:r>
      <w:r w:rsidR="00076535">
        <w:rPr>
          <w:sz w:val="22"/>
          <w:szCs w:val="22"/>
          <w:lang w:val="en-US"/>
        </w:rPr>
        <w:t>, 25(1), pp. 17-26.</w:t>
      </w:r>
    </w:p>
    <w:p w14:paraId="223A4EBD" w14:textId="77777777" w:rsidR="0079324C" w:rsidRPr="000D3967" w:rsidRDefault="0079324C" w:rsidP="00A004FC">
      <w:pPr>
        <w:autoSpaceDE w:val="0"/>
        <w:autoSpaceDN w:val="0"/>
        <w:adjustRightInd w:val="0"/>
        <w:spacing w:after="0" w:line="240" w:lineRule="auto"/>
        <w:jc w:val="both"/>
        <w:rPr>
          <w:rFonts w:ascii="Times New Roman" w:hAnsi="Times New Roman" w:cs="Times New Roman"/>
          <w:lang w:val="en-US"/>
        </w:rPr>
      </w:pPr>
    </w:p>
    <w:p w14:paraId="31EB7AEF" w14:textId="77777777" w:rsidR="0079324C" w:rsidRPr="000D3967" w:rsidRDefault="0079324C" w:rsidP="00A004FC">
      <w:pPr>
        <w:jc w:val="both"/>
        <w:rPr>
          <w:rFonts w:ascii="Times New Roman" w:hAnsi="Times New Roman" w:cs="Times New Roman"/>
          <w:lang w:val="en-US"/>
        </w:rPr>
      </w:pPr>
    </w:p>
    <w:p w14:paraId="526BEA2E" w14:textId="77777777" w:rsidR="00637E20" w:rsidRPr="00BC39A5" w:rsidRDefault="00637E20" w:rsidP="00A004FC">
      <w:pPr>
        <w:spacing w:line="360" w:lineRule="auto"/>
        <w:jc w:val="both"/>
        <w:rPr>
          <w:rFonts w:ascii="Times New Roman" w:eastAsia="Times New Roman" w:hAnsi="Times New Roman" w:cs="Times New Roman"/>
          <w:color w:val="000000"/>
          <w:lang w:val="en-US"/>
        </w:rPr>
      </w:pPr>
    </w:p>
    <w:sectPr w:rsidR="00637E20" w:rsidRPr="00BC39A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AD6DC" w14:textId="77777777" w:rsidR="003E36DB" w:rsidRDefault="003E36DB" w:rsidP="003B0BA7">
      <w:pPr>
        <w:spacing w:after="0" w:line="240" w:lineRule="auto"/>
      </w:pPr>
      <w:r>
        <w:separator/>
      </w:r>
    </w:p>
  </w:endnote>
  <w:endnote w:type="continuationSeparator" w:id="0">
    <w:p w14:paraId="18FF8EA4" w14:textId="77777777" w:rsidR="003E36DB" w:rsidRDefault="003E36DB" w:rsidP="003B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uturaStd-Medium">
    <w:panose1 w:val="00000000000000000000"/>
    <w:charset w:val="00"/>
    <w:family w:val="auto"/>
    <w:notTrueType/>
    <w:pitch w:val="default"/>
    <w:sig w:usb0="00000003" w:usb1="00000000" w:usb2="00000000" w:usb3="00000000" w:csb0="00000001" w:csb1="00000000"/>
  </w:font>
  <w:font w:name="FuturaStd-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w:panose1 w:val="00000000000000000000"/>
    <w:charset w:val="00"/>
    <w:family w:val="swiss"/>
    <w:notTrueType/>
    <w:pitch w:val="default"/>
    <w:sig w:usb0="00000003" w:usb1="00000000" w:usb2="00000000" w:usb3="00000000" w:csb0="00000001" w:csb1="00000000"/>
  </w:font>
  <w:font w:name="AdvTimes">
    <w:altName w:val="Times New Roman"/>
    <w:panose1 w:val="00000000000000000000"/>
    <w:charset w:val="00"/>
    <w:family w:val="roman"/>
    <w:notTrueType/>
    <w:pitch w:val="default"/>
  </w:font>
  <w:font w:name="AdvPS6F00">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409064"/>
      <w:docPartObj>
        <w:docPartGallery w:val="Page Numbers (Bottom of Page)"/>
        <w:docPartUnique/>
      </w:docPartObj>
    </w:sdtPr>
    <w:sdtEndPr>
      <w:rPr>
        <w:noProof/>
      </w:rPr>
    </w:sdtEndPr>
    <w:sdtContent>
      <w:p w14:paraId="093671EE" w14:textId="77777777" w:rsidR="00EE7601" w:rsidRDefault="00EE7601">
        <w:pPr>
          <w:pStyle w:val="Footer"/>
          <w:jc w:val="center"/>
        </w:pPr>
        <w:r>
          <w:fldChar w:fldCharType="begin"/>
        </w:r>
        <w:r>
          <w:instrText xml:space="preserve"> PAGE   \* MERGEFORMAT </w:instrText>
        </w:r>
        <w:r>
          <w:fldChar w:fldCharType="separate"/>
        </w:r>
        <w:r w:rsidR="002C3CB0">
          <w:rPr>
            <w:noProof/>
          </w:rPr>
          <w:t>45</w:t>
        </w:r>
        <w:r>
          <w:rPr>
            <w:noProof/>
          </w:rPr>
          <w:fldChar w:fldCharType="end"/>
        </w:r>
      </w:p>
    </w:sdtContent>
  </w:sdt>
  <w:p w14:paraId="08BD7D13" w14:textId="77777777" w:rsidR="00EE7601" w:rsidRDefault="00EE7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9D989" w14:textId="77777777" w:rsidR="003E36DB" w:rsidRDefault="003E36DB" w:rsidP="003B0BA7">
      <w:pPr>
        <w:spacing w:after="0" w:line="240" w:lineRule="auto"/>
      </w:pPr>
      <w:r>
        <w:separator/>
      </w:r>
    </w:p>
  </w:footnote>
  <w:footnote w:type="continuationSeparator" w:id="0">
    <w:p w14:paraId="7CAA89E0" w14:textId="77777777" w:rsidR="003E36DB" w:rsidRDefault="003E36DB" w:rsidP="003B0BA7">
      <w:pPr>
        <w:spacing w:after="0" w:line="240" w:lineRule="auto"/>
      </w:pPr>
      <w:r>
        <w:continuationSeparator/>
      </w:r>
    </w:p>
  </w:footnote>
  <w:footnote w:id="1">
    <w:p w14:paraId="1EAEB125" w14:textId="273341BA" w:rsidR="00EE7601" w:rsidRPr="004158E0" w:rsidRDefault="00EE7601" w:rsidP="00E11B04">
      <w:pPr>
        <w:pStyle w:val="FootnoteText"/>
        <w:rPr>
          <w:rFonts w:ascii="Times New Roman" w:hAnsi="Times New Roman" w:cs="Times New Roman"/>
          <w:sz w:val="18"/>
          <w:szCs w:val="18"/>
          <w:lang w:val="en-US"/>
        </w:rPr>
      </w:pPr>
      <w:r w:rsidRPr="004158E0">
        <w:rPr>
          <w:rStyle w:val="FootnoteReference"/>
          <w:rFonts w:ascii="Times New Roman" w:hAnsi="Times New Roman" w:cs="Times New Roman"/>
          <w:sz w:val="18"/>
          <w:szCs w:val="18"/>
        </w:rPr>
        <w:footnoteRef/>
      </w:r>
      <w:r w:rsidRPr="004158E0">
        <w:rPr>
          <w:rFonts w:ascii="Times New Roman" w:hAnsi="Times New Roman" w:cs="Times New Roman"/>
          <w:sz w:val="18"/>
          <w:szCs w:val="18"/>
          <w:lang w:val="en-US"/>
        </w:rPr>
        <w:t xml:space="preserve"> See, for example: </w:t>
      </w:r>
      <w:hyperlink r:id="rId1" w:history="1">
        <w:r w:rsidRPr="004158E0">
          <w:rPr>
            <w:rStyle w:val="Hyperlink"/>
            <w:rFonts w:ascii="Times New Roman" w:hAnsi="Times New Roman" w:cs="Times New Roman"/>
            <w:color w:val="auto"/>
            <w:sz w:val="18"/>
            <w:szCs w:val="18"/>
            <w:lang w:val="en-US"/>
          </w:rPr>
          <w:t>http://www.europarl.europa.eu/sides/getDoc.do?type=REPORT&amp;reference=A7-2013-0023&amp;language=EN</w:t>
        </w:r>
      </w:hyperlink>
      <w:r w:rsidRPr="004158E0">
        <w:rPr>
          <w:rFonts w:ascii="Times New Roman" w:hAnsi="Times New Roman" w:cs="Times New Roman"/>
          <w:sz w:val="18"/>
          <w:szCs w:val="18"/>
          <w:lang w:val="en-US"/>
        </w:rPr>
        <w:t xml:space="preserve">; </w:t>
      </w:r>
      <w:hyperlink r:id="rId2" w:history="1">
        <w:r w:rsidRPr="004158E0">
          <w:rPr>
            <w:rStyle w:val="Hyperlink"/>
            <w:rFonts w:ascii="Times New Roman" w:hAnsi="Times New Roman" w:cs="Times New Roman"/>
            <w:color w:val="auto"/>
            <w:sz w:val="18"/>
            <w:szCs w:val="18"/>
            <w:lang w:val="en-US"/>
          </w:rPr>
          <w:t>https://www.ifac.org/news-events/2013-11/integrated-reporting</w:t>
        </w:r>
      </w:hyperlink>
      <w:r w:rsidRPr="004158E0">
        <w:rPr>
          <w:rFonts w:ascii="Times New Roman" w:hAnsi="Times New Roman" w:cs="Times New Roman"/>
          <w:sz w:val="18"/>
          <w:szCs w:val="18"/>
          <w:lang w:val="en-US"/>
        </w:rPr>
        <w:t xml:space="preserve">; </w:t>
      </w:r>
      <w:hyperlink r:id="rId3" w:history="1">
        <w:r w:rsidRPr="004158E0">
          <w:rPr>
            <w:rStyle w:val="Hyperlink"/>
            <w:rFonts w:ascii="Times New Roman" w:hAnsi="Times New Roman" w:cs="Times New Roman"/>
            <w:color w:val="auto"/>
            <w:sz w:val="18"/>
            <w:szCs w:val="18"/>
            <w:lang w:val="en-US"/>
          </w:rPr>
          <w:t>http://www.theguardian.com/sustainable-business/integrated-reporting-reshaping-21st-century</w:t>
        </w:r>
      </w:hyperlink>
      <w:r w:rsidRPr="004158E0">
        <w:rPr>
          <w:rFonts w:ascii="Times New Roman" w:hAnsi="Times New Roman" w:cs="Times New Roman"/>
          <w:sz w:val="18"/>
          <w:szCs w:val="18"/>
          <w:lang w:val="en-US"/>
        </w:rPr>
        <w:t xml:space="preserve">; </w:t>
      </w:r>
      <w:hyperlink r:id="rId4" w:history="1">
        <w:r w:rsidRPr="004158E0">
          <w:rPr>
            <w:rStyle w:val="Hyperlink"/>
            <w:rFonts w:ascii="Times New Roman" w:hAnsi="Times New Roman" w:cs="Times New Roman"/>
            <w:color w:val="auto"/>
            <w:sz w:val="18"/>
            <w:szCs w:val="18"/>
            <w:lang w:val="en-US"/>
          </w:rPr>
          <w:t>http://www.theiirc.org/wp-content/uploads/2012/06/UBS-What-Is-Integrated-Reporting.pdf</w:t>
        </w:r>
      </w:hyperlink>
      <w:r w:rsidRPr="004158E0">
        <w:rPr>
          <w:rFonts w:ascii="Times New Roman" w:hAnsi="Times New Roman" w:cs="Times New Roman"/>
          <w:sz w:val="18"/>
          <w:szCs w:val="18"/>
          <w:lang w:val="en-US"/>
        </w:rPr>
        <w:t xml:space="preserve">. All </w:t>
      </w:r>
      <w:r>
        <w:rPr>
          <w:rFonts w:ascii="Times New Roman" w:hAnsi="Times New Roman" w:cs="Times New Roman"/>
          <w:sz w:val="18"/>
          <w:szCs w:val="18"/>
          <w:lang w:val="en-US"/>
        </w:rPr>
        <w:t xml:space="preserve">websites </w:t>
      </w:r>
      <w:r w:rsidRPr="004158E0">
        <w:rPr>
          <w:rFonts w:ascii="Times New Roman" w:hAnsi="Times New Roman" w:cs="Times New Roman"/>
          <w:sz w:val="18"/>
          <w:szCs w:val="18"/>
          <w:lang w:val="en-US"/>
        </w:rPr>
        <w:t xml:space="preserve">accessed </w:t>
      </w:r>
      <w:r>
        <w:rPr>
          <w:rFonts w:ascii="Times New Roman" w:hAnsi="Times New Roman" w:cs="Times New Roman"/>
          <w:sz w:val="18"/>
          <w:szCs w:val="18"/>
          <w:lang w:val="en-US"/>
        </w:rPr>
        <w:t xml:space="preserve">on </w:t>
      </w:r>
      <w:r w:rsidRPr="004158E0">
        <w:rPr>
          <w:rFonts w:ascii="Times New Roman" w:hAnsi="Times New Roman" w:cs="Times New Roman"/>
          <w:sz w:val="18"/>
          <w:szCs w:val="18"/>
          <w:lang w:val="en-US"/>
        </w:rPr>
        <w:t>September 25</w:t>
      </w:r>
      <w:r w:rsidRPr="004158E0">
        <w:rPr>
          <w:rFonts w:ascii="Times New Roman" w:hAnsi="Times New Roman" w:cs="Times New Roman"/>
          <w:sz w:val="18"/>
          <w:szCs w:val="18"/>
          <w:vertAlign w:val="superscript"/>
          <w:lang w:val="en-US"/>
        </w:rPr>
        <w:t>th</w:t>
      </w:r>
      <w:r w:rsidRPr="004158E0">
        <w:rPr>
          <w:rFonts w:ascii="Times New Roman" w:hAnsi="Times New Roman" w:cs="Times New Roman"/>
          <w:sz w:val="18"/>
          <w:szCs w:val="18"/>
          <w:lang w:val="en-US"/>
        </w:rPr>
        <w:t xml:space="preserve"> 2014.</w:t>
      </w:r>
    </w:p>
  </w:footnote>
  <w:footnote w:id="2">
    <w:p w14:paraId="0B4708B7" w14:textId="77777777" w:rsidR="00EE7601" w:rsidRPr="001B3BF4" w:rsidRDefault="00EE7601" w:rsidP="00B91098">
      <w:pPr>
        <w:pStyle w:val="FootnoteText"/>
        <w:jc w:val="both"/>
        <w:rPr>
          <w:rFonts w:ascii="Times New Roman" w:hAnsi="Times New Roman" w:cs="Times New Roman"/>
          <w:sz w:val="18"/>
          <w:szCs w:val="18"/>
          <w:lang w:val="en-US"/>
        </w:rPr>
      </w:pPr>
      <w:r w:rsidRPr="001B3BF4">
        <w:rPr>
          <w:rStyle w:val="FootnoteReference"/>
          <w:rFonts w:ascii="Times New Roman" w:hAnsi="Times New Roman" w:cs="Times New Roman"/>
          <w:sz w:val="18"/>
          <w:szCs w:val="18"/>
        </w:rPr>
        <w:footnoteRef/>
      </w:r>
      <w:r w:rsidRPr="001B3BF4">
        <w:rPr>
          <w:rFonts w:ascii="Times New Roman" w:hAnsi="Times New Roman" w:cs="Times New Roman"/>
          <w:sz w:val="18"/>
          <w:szCs w:val="18"/>
          <w:lang w:val="en-US"/>
        </w:rPr>
        <w:t xml:space="preserve"> </w:t>
      </w:r>
      <w:r w:rsidRPr="00726F89">
        <w:rPr>
          <w:rFonts w:ascii="Times New Roman" w:hAnsi="Times New Roman" w:cs="Times New Roman"/>
          <w:sz w:val="18"/>
          <w:szCs w:val="18"/>
          <w:lang w:val="en-US"/>
        </w:rPr>
        <w:t xml:space="preserve">Within Suddaby and </w:t>
      </w:r>
      <w:proofErr w:type="spellStart"/>
      <w:r w:rsidRPr="00726F89">
        <w:rPr>
          <w:rFonts w:ascii="Times New Roman" w:hAnsi="Times New Roman" w:cs="Times New Roman"/>
          <w:sz w:val="18"/>
          <w:szCs w:val="18"/>
          <w:lang w:val="en-US"/>
        </w:rPr>
        <w:t>Viale’s</w:t>
      </w:r>
      <w:proofErr w:type="spellEnd"/>
      <w:r w:rsidRPr="00726F89">
        <w:rPr>
          <w:rFonts w:ascii="Times New Roman" w:hAnsi="Times New Roman" w:cs="Times New Roman"/>
          <w:sz w:val="18"/>
          <w:szCs w:val="18"/>
          <w:lang w:val="en-US"/>
        </w:rPr>
        <w:t xml:space="preserve"> framing, professions and professionals are broadly conceived as groups of individuals who profess specific expertise and seek to construct their professed expertise as essential in developing and implementing practices that will ensure the viability and thriving of other individuals and/or organizations</w:t>
      </w:r>
      <w:r>
        <w:rPr>
          <w:rFonts w:ascii="Times New Roman" w:hAnsi="Times New Roman" w:cs="Times New Roman"/>
          <w:sz w:val="18"/>
          <w:szCs w:val="18"/>
          <w:lang w:val="en-US"/>
        </w:rPr>
        <w:t xml:space="preserve">.  </w:t>
      </w:r>
      <w:r w:rsidRPr="001B3BF4">
        <w:rPr>
          <w:rFonts w:ascii="Times New Roman" w:hAnsi="Times New Roman" w:cs="Times New Roman"/>
          <w:sz w:val="18"/>
          <w:szCs w:val="18"/>
          <w:lang w:val="en-US"/>
        </w:rPr>
        <w:t xml:space="preserve">In drawing upon this broad definition of professions and professionals, we are not seeking to </w:t>
      </w:r>
      <w:proofErr w:type="spellStart"/>
      <w:r w:rsidRPr="001B3BF4">
        <w:rPr>
          <w:rFonts w:ascii="Times New Roman" w:hAnsi="Times New Roman" w:cs="Times New Roman"/>
          <w:sz w:val="18"/>
          <w:szCs w:val="18"/>
          <w:lang w:val="en-US"/>
        </w:rPr>
        <w:t>analyse</w:t>
      </w:r>
      <w:proofErr w:type="spellEnd"/>
      <w:r w:rsidRPr="001B3BF4">
        <w:rPr>
          <w:rFonts w:ascii="Times New Roman" w:hAnsi="Times New Roman" w:cs="Times New Roman"/>
          <w:sz w:val="18"/>
          <w:szCs w:val="18"/>
          <w:lang w:val="en-US"/>
        </w:rPr>
        <w:t xml:space="preserve"> whether the groups and organizations that populate, craft and shape </w:t>
      </w:r>
      <w:r>
        <w:rPr>
          <w:rFonts w:ascii="Times New Roman" w:hAnsi="Times New Roman" w:cs="Times New Roman"/>
          <w:sz w:val="18"/>
          <w:szCs w:val="18"/>
          <w:lang w:val="en-US"/>
        </w:rPr>
        <w:t>integrated reporting</w:t>
      </w:r>
      <w:r w:rsidRPr="001B3BF4">
        <w:rPr>
          <w:rFonts w:ascii="Times New Roman" w:hAnsi="Times New Roman" w:cs="Times New Roman"/>
          <w:sz w:val="18"/>
          <w:szCs w:val="18"/>
          <w:lang w:val="en-US"/>
        </w:rPr>
        <w:t xml:space="preserve"> meet narrower definitions of professions and profession</w:t>
      </w:r>
      <w:r>
        <w:rPr>
          <w:rFonts w:ascii="Times New Roman" w:hAnsi="Times New Roman" w:cs="Times New Roman"/>
          <w:sz w:val="18"/>
          <w:szCs w:val="18"/>
          <w:lang w:val="en-US"/>
        </w:rPr>
        <w:t>al</w:t>
      </w:r>
      <w:r w:rsidRPr="001B3BF4">
        <w:rPr>
          <w:rFonts w:ascii="Times New Roman" w:hAnsi="Times New Roman" w:cs="Times New Roman"/>
          <w:sz w:val="18"/>
          <w:szCs w:val="18"/>
          <w:lang w:val="en-US"/>
        </w:rPr>
        <w:t xml:space="preserve">s that are found within different strands of </w:t>
      </w:r>
      <w:r>
        <w:rPr>
          <w:rFonts w:ascii="Times New Roman" w:hAnsi="Times New Roman" w:cs="Times New Roman"/>
          <w:sz w:val="18"/>
          <w:szCs w:val="18"/>
          <w:lang w:val="en-US"/>
        </w:rPr>
        <w:t xml:space="preserve">the </w:t>
      </w:r>
      <w:r w:rsidRPr="001B3BF4">
        <w:rPr>
          <w:rFonts w:ascii="Times New Roman" w:hAnsi="Times New Roman" w:cs="Times New Roman"/>
          <w:sz w:val="18"/>
          <w:szCs w:val="18"/>
          <w:lang w:val="en-US"/>
        </w:rPr>
        <w:t>academic literature</w:t>
      </w:r>
      <w:r>
        <w:rPr>
          <w:rFonts w:ascii="Times New Roman" w:hAnsi="Times New Roman" w:cs="Times New Roman"/>
          <w:sz w:val="18"/>
          <w:szCs w:val="18"/>
          <w:lang w:val="en-US"/>
        </w:rPr>
        <w:t>.</w:t>
      </w:r>
    </w:p>
  </w:footnote>
  <w:footnote w:id="3">
    <w:p w14:paraId="0618DA37" w14:textId="7B0345D5" w:rsidR="00EE7601" w:rsidRPr="00562427" w:rsidRDefault="00EE7601" w:rsidP="00EA6237">
      <w:pPr>
        <w:pStyle w:val="FootnoteText"/>
        <w:jc w:val="both"/>
        <w:rPr>
          <w:rFonts w:ascii="Times New Roman" w:hAnsi="Times New Roman" w:cs="Times New Roman"/>
          <w:sz w:val="18"/>
          <w:szCs w:val="18"/>
          <w:lang w:val="en-US"/>
        </w:rPr>
      </w:pPr>
      <w:r w:rsidRPr="00562427">
        <w:rPr>
          <w:rStyle w:val="FootnoteReference"/>
          <w:rFonts w:ascii="Times New Roman" w:hAnsi="Times New Roman" w:cs="Times New Roman"/>
          <w:sz w:val="18"/>
          <w:szCs w:val="18"/>
        </w:rPr>
        <w:footnoteRef/>
      </w:r>
      <w:r w:rsidRPr="00562427">
        <w:rPr>
          <w:rFonts w:ascii="Times New Roman" w:hAnsi="Times New Roman" w:cs="Times New Roman"/>
          <w:sz w:val="18"/>
          <w:szCs w:val="18"/>
          <w:lang w:val="en-US"/>
        </w:rPr>
        <w:t xml:space="preserve"> As </w:t>
      </w:r>
      <w:proofErr w:type="spellStart"/>
      <w:r w:rsidRPr="00562427">
        <w:rPr>
          <w:rFonts w:ascii="Times New Roman" w:hAnsi="Times New Roman" w:cs="Times New Roman"/>
          <w:sz w:val="18"/>
          <w:szCs w:val="18"/>
          <w:lang w:val="en-US"/>
        </w:rPr>
        <w:t>Muzio</w:t>
      </w:r>
      <w:proofErr w:type="spellEnd"/>
      <w:r w:rsidRPr="00562427">
        <w:rPr>
          <w:rFonts w:ascii="Times New Roman" w:hAnsi="Times New Roman" w:cs="Times New Roman"/>
          <w:sz w:val="18"/>
          <w:szCs w:val="18"/>
          <w:lang w:val="en-US"/>
        </w:rPr>
        <w:t xml:space="preserve"> et al. (2013) argued, the development by professionals of new practice areas such as nouvelle cuisine (Rao et al., 2003), environmental audits (Hoffman, 1999; Power, 1997, 2003), sustainability assurance (O’Dwyer, 2011; O’Dwyer et al., 2011), and corporate social responsibility represent examples of this dynamic in action.</w:t>
      </w:r>
    </w:p>
  </w:footnote>
  <w:footnote w:id="4">
    <w:p w14:paraId="32BE960D" w14:textId="67BDD920" w:rsidR="00EE7601" w:rsidRPr="00686181" w:rsidRDefault="00EE7601">
      <w:pPr>
        <w:pStyle w:val="FootnoteText"/>
        <w:rPr>
          <w:rFonts w:ascii="Times New Roman" w:hAnsi="Times New Roman" w:cs="Times New Roman"/>
          <w:sz w:val="18"/>
          <w:szCs w:val="18"/>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See: </w:t>
      </w:r>
      <w:hyperlink r:id="rId5" w:history="1">
        <w:r w:rsidRPr="00686181">
          <w:rPr>
            <w:rStyle w:val="Hyperlink"/>
            <w:rFonts w:ascii="Times New Roman" w:hAnsi="Times New Roman" w:cs="Times New Roman"/>
            <w:color w:val="auto"/>
            <w:sz w:val="18"/>
            <w:szCs w:val="18"/>
            <w:lang w:val="en-GB"/>
          </w:rPr>
          <w:t>http://www.accountingforsustainability.org/wp-content/uploads/2011/10/The-Accounting-for-Sustainability-Report.pdf</w:t>
        </w:r>
      </w:hyperlink>
      <w:r w:rsidRPr="00CD0156">
        <w:rPr>
          <w:rFonts w:ascii="Times New Roman" w:hAnsi="Times New Roman" w:cs="Times New Roman"/>
          <w:sz w:val="18"/>
          <w:szCs w:val="18"/>
          <w:lang w:val="en-GB"/>
        </w:rPr>
        <w:t xml:space="preserve"> (p.1). </w:t>
      </w:r>
      <w:r>
        <w:rPr>
          <w:rFonts w:ascii="Times New Roman" w:hAnsi="Times New Roman" w:cs="Times New Roman"/>
          <w:sz w:val="18"/>
          <w:szCs w:val="18"/>
          <w:lang w:val="en-GB"/>
        </w:rPr>
        <w:t xml:space="preserve"> Last a</w:t>
      </w:r>
      <w:r w:rsidRPr="00686181">
        <w:rPr>
          <w:rFonts w:ascii="Times New Roman" w:hAnsi="Times New Roman" w:cs="Times New Roman"/>
          <w:sz w:val="18"/>
          <w:szCs w:val="18"/>
          <w:lang w:val="en-GB"/>
        </w:rPr>
        <w:t>ccessed 25 July 2015.</w:t>
      </w:r>
    </w:p>
  </w:footnote>
  <w:footnote w:id="5">
    <w:p w14:paraId="1F0B74A1" w14:textId="79729F79" w:rsidR="00EE7601" w:rsidRPr="006F2A40" w:rsidRDefault="00EE7601" w:rsidP="00422BEF">
      <w:pPr>
        <w:pStyle w:val="FootnoteText"/>
        <w:rPr>
          <w:rFonts w:ascii="Times New Roman" w:hAnsi="Times New Roman" w:cs="Times New Roman"/>
          <w:sz w:val="18"/>
          <w:szCs w:val="18"/>
          <w:lang w:val="en-US"/>
        </w:rPr>
      </w:pPr>
      <w:r w:rsidRPr="006F2A40">
        <w:rPr>
          <w:rStyle w:val="FootnoteReference"/>
          <w:sz w:val="18"/>
          <w:szCs w:val="18"/>
        </w:rPr>
        <w:footnoteRef/>
      </w:r>
      <w:r w:rsidRPr="006F2A40">
        <w:rPr>
          <w:sz w:val="18"/>
          <w:szCs w:val="18"/>
          <w:lang w:val="en-US"/>
        </w:rPr>
        <w:t xml:space="preserve"> </w:t>
      </w:r>
      <w:r w:rsidRPr="006F2A40">
        <w:rPr>
          <w:rFonts w:ascii="Times New Roman" w:hAnsi="Times New Roman" w:cs="Times New Roman"/>
          <w:sz w:val="18"/>
          <w:szCs w:val="18"/>
          <w:lang w:val="en-US"/>
        </w:rPr>
        <w:t xml:space="preserve">This name was changed </w:t>
      </w:r>
      <w:r>
        <w:rPr>
          <w:rFonts w:ascii="Times New Roman" w:hAnsi="Times New Roman" w:cs="Times New Roman"/>
          <w:sz w:val="18"/>
          <w:szCs w:val="18"/>
          <w:lang w:val="en-US"/>
        </w:rPr>
        <w:t xml:space="preserve">to the </w:t>
      </w:r>
      <w:r w:rsidRPr="006F2A40">
        <w:rPr>
          <w:rFonts w:ascii="Times New Roman" w:hAnsi="Times New Roman" w:cs="Times New Roman"/>
          <w:sz w:val="18"/>
          <w:szCs w:val="18"/>
          <w:lang w:val="en-US"/>
        </w:rPr>
        <w:t xml:space="preserve">International Integrated Reporting </w:t>
      </w:r>
      <w:r w:rsidRPr="006F2A40">
        <w:rPr>
          <w:rFonts w:ascii="Times New Roman" w:hAnsi="Times New Roman" w:cs="Times New Roman"/>
          <w:i/>
          <w:sz w:val="18"/>
          <w:szCs w:val="18"/>
          <w:lang w:val="en-US"/>
        </w:rPr>
        <w:t>Council</w:t>
      </w:r>
      <w:r w:rsidRPr="006F2A40">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(IIRC) </w:t>
      </w:r>
      <w:r w:rsidRPr="006F2A40">
        <w:rPr>
          <w:rFonts w:ascii="Times New Roman" w:hAnsi="Times New Roman" w:cs="Times New Roman"/>
          <w:sz w:val="18"/>
          <w:szCs w:val="18"/>
          <w:lang w:val="en-US"/>
        </w:rPr>
        <w:t>in late 2011.</w:t>
      </w:r>
    </w:p>
  </w:footnote>
  <w:footnote w:id="6">
    <w:p w14:paraId="1585FEEF" w14:textId="3D8F0813" w:rsidR="00EE7601" w:rsidRPr="006F2A40" w:rsidRDefault="00EE7601" w:rsidP="00422BEF">
      <w:pPr>
        <w:pStyle w:val="FootnoteText"/>
        <w:jc w:val="both"/>
        <w:rPr>
          <w:sz w:val="18"/>
          <w:szCs w:val="18"/>
          <w:lang w:val="en-US"/>
        </w:rPr>
      </w:pPr>
      <w:r w:rsidRPr="005E7227">
        <w:rPr>
          <w:rStyle w:val="FootnoteReference"/>
          <w:rFonts w:ascii="Times New Roman" w:hAnsi="Times New Roman" w:cs="Times New Roman"/>
        </w:rPr>
        <w:footnoteRef/>
      </w:r>
      <w:r w:rsidRPr="005E7227">
        <w:rPr>
          <w:rFonts w:ascii="Times New Roman" w:hAnsi="Times New Roman" w:cs="Times New Roman"/>
          <w:lang w:val="en-US"/>
        </w:rPr>
        <w:t xml:space="preserve"> </w:t>
      </w:r>
      <w:r w:rsidRPr="006F2A40">
        <w:rPr>
          <w:rFonts w:ascii="Times New Roman" w:hAnsi="Times New Roman" w:cs="Times New Roman"/>
          <w:sz w:val="18"/>
          <w:szCs w:val="18"/>
          <w:lang w:val="en-US"/>
        </w:rPr>
        <w:t xml:space="preserve">According to </w:t>
      </w:r>
      <w:r>
        <w:rPr>
          <w:rFonts w:ascii="Times New Roman" w:hAnsi="Times New Roman" w:cs="Times New Roman"/>
          <w:sz w:val="18"/>
          <w:szCs w:val="18"/>
          <w:lang w:val="en-US"/>
        </w:rPr>
        <w:t>the Prince’s Accounting for Sustainability Project</w:t>
      </w:r>
      <w:r w:rsidRPr="006F2A40">
        <w:rPr>
          <w:rFonts w:ascii="Times New Roman" w:hAnsi="Times New Roman" w:cs="Times New Roman"/>
          <w:sz w:val="18"/>
          <w:szCs w:val="18"/>
          <w:lang w:val="en-US"/>
        </w:rPr>
        <w:t>, IFAC also appear to have had a key role in establishing the I</w:t>
      </w:r>
      <w:r>
        <w:rPr>
          <w:rFonts w:ascii="Times New Roman" w:hAnsi="Times New Roman" w:cs="Times New Roman"/>
          <w:sz w:val="18"/>
          <w:szCs w:val="18"/>
          <w:lang w:val="en-US"/>
        </w:rPr>
        <w:t xml:space="preserve">nternational Integrated Reporting Committee </w:t>
      </w:r>
      <w:r w:rsidRPr="006F2A40">
        <w:rPr>
          <w:rFonts w:ascii="Times New Roman" w:hAnsi="Times New Roman" w:cs="Times New Roman"/>
          <w:sz w:val="18"/>
          <w:szCs w:val="18"/>
          <w:lang w:val="en-US"/>
        </w:rPr>
        <w:t xml:space="preserve">even if they were not part of the Press Release </w:t>
      </w:r>
      <w:r>
        <w:rPr>
          <w:rFonts w:ascii="Times New Roman" w:hAnsi="Times New Roman" w:cs="Times New Roman"/>
          <w:sz w:val="18"/>
          <w:szCs w:val="18"/>
          <w:lang w:val="en-US"/>
        </w:rPr>
        <w:t>heralding its launch</w:t>
      </w:r>
      <w:r w:rsidRPr="006F2A40">
        <w:rPr>
          <w:rFonts w:ascii="Times New Roman" w:hAnsi="Times New Roman" w:cs="Times New Roman"/>
          <w:sz w:val="18"/>
          <w:szCs w:val="18"/>
          <w:lang w:val="en-US"/>
        </w:rPr>
        <w:t xml:space="preserve">. For example, the </w:t>
      </w:r>
      <w:r>
        <w:rPr>
          <w:rFonts w:ascii="Times New Roman" w:hAnsi="Times New Roman" w:cs="Times New Roman"/>
          <w:sz w:val="18"/>
          <w:szCs w:val="18"/>
          <w:lang w:val="en-US"/>
        </w:rPr>
        <w:t>Accounting for Sustainability Project</w:t>
      </w:r>
      <w:r w:rsidRPr="006F2A40">
        <w:rPr>
          <w:rFonts w:ascii="Times New Roman" w:hAnsi="Times New Roman" w:cs="Times New Roman"/>
          <w:sz w:val="18"/>
          <w:szCs w:val="18"/>
          <w:lang w:val="en-US"/>
        </w:rPr>
        <w:t xml:space="preserve"> website </w:t>
      </w:r>
      <w:r>
        <w:rPr>
          <w:rFonts w:ascii="Times New Roman" w:hAnsi="Times New Roman" w:cs="Times New Roman"/>
          <w:sz w:val="18"/>
          <w:szCs w:val="18"/>
          <w:lang w:val="en-US"/>
        </w:rPr>
        <w:t>states</w:t>
      </w:r>
      <w:r w:rsidRPr="006F2A40">
        <w:rPr>
          <w:rFonts w:ascii="Times New Roman" w:hAnsi="Times New Roman" w:cs="Times New Roman"/>
          <w:sz w:val="18"/>
          <w:szCs w:val="18"/>
          <w:lang w:val="en-US"/>
        </w:rPr>
        <w:t xml:space="preserve">: ‘Following the success of the work undertaken by </w:t>
      </w:r>
      <w:r>
        <w:rPr>
          <w:rFonts w:ascii="Times New Roman" w:hAnsi="Times New Roman" w:cs="Times New Roman"/>
          <w:sz w:val="18"/>
          <w:szCs w:val="18"/>
          <w:lang w:val="en-US"/>
        </w:rPr>
        <w:t>[The Prince’s Accounting for Sustainability Project]</w:t>
      </w:r>
      <w:r w:rsidRPr="006F2A40">
        <w:rPr>
          <w:rFonts w:ascii="Times New Roman" w:hAnsi="Times New Roman" w:cs="Times New Roman"/>
          <w:sz w:val="18"/>
          <w:szCs w:val="18"/>
          <w:lang w:val="en-US"/>
        </w:rPr>
        <w:t xml:space="preserve"> and others in driving forward this agenda, at the </w:t>
      </w:r>
      <w:r>
        <w:rPr>
          <w:rFonts w:ascii="Times New Roman" w:hAnsi="Times New Roman" w:cs="Times New Roman"/>
          <w:sz w:val="18"/>
          <w:szCs w:val="18"/>
          <w:lang w:val="en-US"/>
        </w:rPr>
        <w:t>[Prince’s Accounting for Sustainability Project]</w:t>
      </w:r>
      <w:r w:rsidRPr="006F2A40">
        <w:rPr>
          <w:rFonts w:ascii="Times New Roman" w:hAnsi="Times New Roman" w:cs="Times New Roman"/>
          <w:sz w:val="18"/>
          <w:szCs w:val="18"/>
          <w:lang w:val="en-US"/>
        </w:rPr>
        <w:t xml:space="preserve"> Forum event on 17th December 2009 His Royal Highness The Prince of Wales, called for an ‘International Integrated Reporting Council’ to be established to oversee the development of an international connected and integrated approach to corporate reporting. The IIRC was subsequently established by </w:t>
      </w:r>
      <w:r>
        <w:rPr>
          <w:rFonts w:ascii="Times New Roman" w:hAnsi="Times New Roman" w:cs="Times New Roman"/>
          <w:sz w:val="18"/>
          <w:szCs w:val="18"/>
          <w:lang w:val="en-US"/>
        </w:rPr>
        <w:t>[the Prince’s Accounting for Sustainability Project]</w:t>
      </w:r>
      <w:r w:rsidRPr="006F2A40">
        <w:rPr>
          <w:rFonts w:ascii="Times New Roman" w:hAnsi="Times New Roman" w:cs="Times New Roman"/>
          <w:sz w:val="18"/>
          <w:szCs w:val="18"/>
          <w:lang w:val="en-US"/>
        </w:rPr>
        <w:t xml:space="preserve"> in collaboration with the International Federation of Accountants (IFAC) and the Global Reporting Initiative (GRI) in 2010’.</w:t>
      </w:r>
    </w:p>
  </w:footnote>
  <w:footnote w:id="7">
    <w:p w14:paraId="7A023CDB" w14:textId="69A4851B" w:rsidR="00EE7601" w:rsidRPr="00BA0518" w:rsidRDefault="00EE7601" w:rsidP="00BA7E3A">
      <w:pPr>
        <w:spacing w:line="240" w:lineRule="auto"/>
        <w:jc w:val="both"/>
        <w:rPr>
          <w:rFonts w:ascii="Times New Roman" w:hAnsi="Times New Roman" w:cs="Times New Roman"/>
          <w:sz w:val="18"/>
          <w:szCs w:val="18"/>
          <w:lang w:val="en-US"/>
        </w:rPr>
      </w:pPr>
      <w:r w:rsidRPr="006F2A40">
        <w:rPr>
          <w:rStyle w:val="FootnoteReference"/>
          <w:rFonts w:ascii="Times New Roman" w:hAnsi="Times New Roman" w:cs="Times New Roman"/>
          <w:sz w:val="18"/>
          <w:szCs w:val="18"/>
        </w:rPr>
        <w:footnoteRef/>
      </w:r>
      <w:r w:rsidRPr="006F2A40">
        <w:rPr>
          <w:rFonts w:ascii="Times New Roman" w:hAnsi="Times New Roman" w:cs="Times New Roman"/>
          <w:sz w:val="18"/>
          <w:szCs w:val="18"/>
          <w:lang w:val="en-US"/>
        </w:rPr>
        <w:t xml:space="preserve"> South African development of </w:t>
      </w:r>
      <w:r>
        <w:rPr>
          <w:rFonts w:ascii="Times New Roman" w:hAnsi="Times New Roman" w:cs="Times New Roman"/>
          <w:sz w:val="18"/>
          <w:szCs w:val="18"/>
          <w:lang w:val="en-US"/>
        </w:rPr>
        <w:t>integrated reporting</w:t>
      </w:r>
      <w:r w:rsidRPr="006F2A40">
        <w:rPr>
          <w:rFonts w:ascii="Times New Roman" w:hAnsi="Times New Roman" w:cs="Times New Roman"/>
          <w:sz w:val="18"/>
          <w:szCs w:val="18"/>
          <w:lang w:val="en-US"/>
        </w:rPr>
        <w:t xml:space="preserve"> both predates the formation of the IIRC and subsequently t</w:t>
      </w:r>
      <w:r>
        <w:rPr>
          <w:rFonts w:ascii="Times New Roman" w:hAnsi="Times New Roman" w:cs="Times New Roman"/>
          <w:sz w:val="18"/>
          <w:szCs w:val="18"/>
          <w:lang w:val="en-US"/>
        </w:rPr>
        <w:t>ook</w:t>
      </w:r>
      <w:r w:rsidRPr="006F2A40">
        <w:rPr>
          <w:rFonts w:ascii="Times New Roman" w:hAnsi="Times New Roman" w:cs="Times New Roman"/>
          <w:sz w:val="18"/>
          <w:szCs w:val="18"/>
          <w:lang w:val="en-US"/>
        </w:rPr>
        <w:t xml:space="preserve"> a different direction and focus to the framework eventually published by the IIRC. South African </w:t>
      </w:r>
      <w:r>
        <w:rPr>
          <w:rFonts w:ascii="Times New Roman" w:hAnsi="Times New Roman" w:cs="Times New Roman"/>
          <w:sz w:val="18"/>
          <w:szCs w:val="18"/>
          <w:lang w:val="en-US"/>
        </w:rPr>
        <w:t>integrated reporting</w:t>
      </w:r>
      <w:r w:rsidRPr="006F2A40">
        <w:rPr>
          <w:rFonts w:ascii="Times New Roman" w:hAnsi="Times New Roman" w:cs="Times New Roman"/>
          <w:sz w:val="18"/>
          <w:szCs w:val="18"/>
          <w:lang w:val="en-US"/>
        </w:rPr>
        <w:t xml:space="preserve"> </w:t>
      </w:r>
      <w:r>
        <w:rPr>
          <w:rFonts w:ascii="Times New Roman" w:hAnsi="Times New Roman" w:cs="Times New Roman"/>
          <w:sz w:val="18"/>
          <w:szCs w:val="18"/>
          <w:lang w:val="en-US"/>
        </w:rPr>
        <w:t>wa</w:t>
      </w:r>
      <w:r w:rsidRPr="006F2A40">
        <w:rPr>
          <w:rFonts w:ascii="Times New Roman" w:hAnsi="Times New Roman" w:cs="Times New Roman"/>
          <w:sz w:val="18"/>
          <w:szCs w:val="18"/>
          <w:lang w:val="en-US"/>
        </w:rPr>
        <w:t>s underpinned by a stakeholder</w:t>
      </w:r>
      <w:r>
        <w:rPr>
          <w:rFonts w:ascii="Times New Roman" w:hAnsi="Times New Roman" w:cs="Times New Roman"/>
          <w:sz w:val="18"/>
          <w:szCs w:val="18"/>
          <w:lang w:val="en-US"/>
        </w:rPr>
        <w:t>-</w:t>
      </w:r>
      <w:r w:rsidRPr="006F2A40">
        <w:rPr>
          <w:rFonts w:ascii="Times New Roman" w:hAnsi="Times New Roman" w:cs="Times New Roman"/>
          <w:sz w:val="18"/>
          <w:szCs w:val="18"/>
          <w:lang w:val="en-US"/>
        </w:rPr>
        <w:t xml:space="preserve">inclusive logic focused on the information needs of a broad range of stakeholders whereas, as we shall see later in the paper, </w:t>
      </w:r>
      <w:r>
        <w:rPr>
          <w:rFonts w:ascii="Times New Roman" w:hAnsi="Times New Roman" w:cs="Times New Roman"/>
          <w:sz w:val="18"/>
          <w:szCs w:val="18"/>
          <w:lang w:val="en-US"/>
        </w:rPr>
        <w:t xml:space="preserve">the </w:t>
      </w:r>
      <w:r w:rsidRPr="006F2A40">
        <w:rPr>
          <w:rFonts w:ascii="Times New Roman" w:hAnsi="Times New Roman" w:cs="Times New Roman"/>
          <w:sz w:val="18"/>
          <w:szCs w:val="18"/>
          <w:lang w:val="en-US"/>
        </w:rPr>
        <w:t>IIRC</w:t>
      </w:r>
      <w:r>
        <w:rPr>
          <w:rFonts w:ascii="Times New Roman" w:hAnsi="Times New Roman" w:cs="Times New Roman"/>
          <w:sz w:val="18"/>
          <w:szCs w:val="18"/>
          <w:lang w:val="en-US"/>
        </w:rPr>
        <w:t>’s version of</w:t>
      </w:r>
      <w:r w:rsidRPr="006F2A40">
        <w:rPr>
          <w:rFonts w:ascii="Times New Roman" w:hAnsi="Times New Roman" w:cs="Times New Roman"/>
          <w:sz w:val="18"/>
          <w:szCs w:val="18"/>
          <w:lang w:val="en-US"/>
        </w:rPr>
        <w:t xml:space="preserve"> </w:t>
      </w:r>
      <w:r>
        <w:rPr>
          <w:rFonts w:ascii="Times New Roman" w:hAnsi="Times New Roman" w:cs="Times New Roman"/>
          <w:sz w:val="18"/>
          <w:szCs w:val="18"/>
          <w:lang w:val="en-US"/>
        </w:rPr>
        <w:t>integrated reporting</w:t>
      </w:r>
      <w:r w:rsidRPr="006F2A40">
        <w:rPr>
          <w:rFonts w:ascii="Times New Roman" w:hAnsi="Times New Roman" w:cs="Times New Roman"/>
          <w:sz w:val="18"/>
          <w:szCs w:val="18"/>
          <w:lang w:val="en-US"/>
        </w:rPr>
        <w:t xml:space="preserve"> has increasingly become focused on the information needs of providers</w:t>
      </w:r>
      <w:r>
        <w:rPr>
          <w:rFonts w:ascii="Times New Roman" w:hAnsi="Times New Roman" w:cs="Times New Roman"/>
          <w:sz w:val="18"/>
          <w:szCs w:val="18"/>
          <w:lang w:val="en-US"/>
        </w:rPr>
        <w:t xml:space="preserve"> of long-term financial capital</w:t>
      </w:r>
      <w:r w:rsidRPr="00BA0518">
        <w:rPr>
          <w:rFonts w:ascii="Times New Roman" w:hAnsi="Times New Roman" w:cs="Times New Roman"/>
          <w:sz w:val="18"/>
          <w:szCs w:val="18"/>
          <w:lang w:val="en-US"/>
        </w:rPr>
        <w:t>.</w:t>
      </w:r>
      <w:r>
        <w:rPr>
          <w:rFonts w:ascii="Times New Roman" w:hAnsi="Times New Roman" w:cs="Times New Roman"/>
          <w:sz w:val="18"/>
          <w:szCs w:val="18"/>
          <w:lang w:val="en-US"/>
        </w:rPr>
        <w:t xml:space="preserve"> Latterly, however, South African integrated reporting has endorsed the IIRC’s final framework.</w:t>
      </w:r>
    </w:p>
  </w:footnote>
  <w:footnote w:id="8">
    <w:p w14:paraId="1D111E05" w14:textId="6925025C" w:rsidR="00EE7601" w:rsidRPr="00BA0518" w:rsidRDefault="00EE7601" w:rsidP="00BA0518">
      <w:pPr>
        <w:pStyle w:val="FootnoteText"/>
        <w:jc w:val="both"/>
        <w:rPr>
          <w:lang w:val="en-US"/>
        </w:rPr>
      </w:pPr>
      <w:r w:rsidRPr="00BA0518">
        <w:rPr>
          <w:rStyle w:val="FootnoteReference"/>
          <w:rFonts w:ascii="Times New Roman" w:hAnsi="Times New Roman" w:cs="Times New Roman"/>
          <w:sz w:val="18"/>
          <w:szCs w:val="18"/>
        </w:rPr>
        <w:footnoteRef/>
      </w:r>
      <w:r w:rsidRPr="00BA0518">
        <w:rPr>
          <w:rFonts w:ascii="Times New Roman" w:hAnsi="Times New Roman" w:cs="Times New Roman"/>
          <w:sz w:val="18"/>
          <w:szCs w:val="18"/>
          <w:lang w:val="en-US"/>
        </w:rPr>
        <w:t xml:space="preserve"> See also the work of Robert Eccles and colleagues with whom the IIRC </w:t>
      </w:r>
      <w:r>
        <w:rPr>
          <w:rFonts w:ascii="Times New Roman" w:hAnsi="Times New Roman" w:cs="Times New Roman"/>
          <w:sz w:val="18"/>
          <w:szCs w:val="18"/>
          <w:lang w:val="en-US"/>
        </w:rPr>
        <w:t xml:space="preserve">formally </w:t>
      </w:r>
      <w:r w:rsidRPr="00BA0518">
        <w:rPr>
          <w:rFonts w:ascii="Times New Roman" w:hAnsi="Times New Roman" w:cs="Times New Roman"/>
          <w:sz w:val="18"/>
          <w:szCs w:val="18"/>
          <w:lang w:val="en-US"/>
        </w:rPr>
        <w:t>engaged immediately after</w:t>
      </w:r>
      <w:r>
        <w:rPr>
          <w:rFonts w:ascii="Times New Roman" w:hAnsi="Times New Roman" w:cs="Times New Roman"/>
          <w:sz w:val="18"/>
          <w:szCs w:val="18"/>
          <w:lang w:val="en-US"/>
        </w:rPr>
        <w:t xml:space="preserve"> the IIRC’s</w:t>
      </w:r>
      <w:r w:rsidRPr="00BA0518">
        <w:rPr>
          <w:rFonts w:ascii="Times New Roman" w:hAnsi="Times New Roman" w:cs="Times New Roman"/>
          <w:sz w:val="18"/>
          <w:szCs w:val="18"/>
          <w:lang w:val="en-US"/>
        </w:rPr>
        <w:t xml:space="preserve"> launch (see</w:t>
      </w:r>
      <w:r>
        <w:rPr>
          <w:rFonts w:ascii="Times New Roman" w:hAnsi="Times New Roman" w:cs="Times New Roman"/>
          <w:sz w:val="18"/>
          <w:szCs w:val="18"/>
          <w:lang w:val="en-US"/>
        </w:rPr>
        <w:t>,</w:t>
      </w:r>
      <w:r w:rsidRPr="00BA0518">
        <w:rPr>
          <w:rFonts w:ascii="Times New Roman" w:hAnsi="Times New Roman" w:cs="Times New Roman"/>
          <w:sz w:val="18"/>
          <w:szCs w:val="18"/>
          <w:lang w:val="en-US"/>
        </w:rPr>
        <w:t xml:space="preserve"> Eccles and </w:t>
      </w:r>
      <w:proofErr w:type="spellStart"/>
      <w:r w:rsidRPr="00BA0518">
        <w:rPr>
          <w:rFonts w:ascii="Times New Roman" w:hAnsi="Times New Roman" w:cs="Times New Roman"/>
          <w:sz w:val="18"/>
          <w:szCs w:val="18"/>
          <w:lang w:val="en-US"/>
        </w:rPr>
        <w:t>Krzus</w:t>
      </w:r>
      <w:proofErr w:type="spellEnd"/>
      <w:r w:rsidRPr="00BA0518">
        <w:rPr>
          <w:rFonts w:ascii="Times New Roman" w:hAnsi="Times New Roman" w:cs="Times New Roman"/>
          <w:sz w:val="18"/>
          <w:szCs w:val="18"/>
          <w:lang w:val="en-US"/>
        </w:rPr>
        <w:t>, 2010).</w:t>
      </w:r>
    </w:p>
  </w:footnote>
  <w:footnote w:id="9">
    <w:p w14:paraId="63C4EEFE" w14:textId="23D39BD7" w:rsidR="00EE7601" w:rsidRPr="00686181" w:rsidRDefault="00EE7601" w:rsidP="00686181">
      <w:pPr>
        <w:pStyle w:val="FootnoteText"/>
        <w:jc w:val="both"/>
        <w:rPr>
          <w:sz w:val="18"/>
          <w:szCs w:val="18"/>
          <w:lang w:val="en-GB"/>
        </w:rPr>
      </w:pPr>
      <w:r w:rsidRPr="00686181">
        <w:rPr>
          <w:rStyle w:val="FootnoteReference"/>
          <w:sz w:val="18"/>
          <w:szCs w:val="18"/>
        </w:rPr>
        <w:footnoteRef/>
      </w:r>
      <w:r w:rsidRPr="00686181">
        <w:rPr>
          <w:sz w:val="18"/>
          <w:szCs w:val="18"/>
          <w:lang w:val="en-GB"/>
        </w:rPr>
        <w:t xml:space="preserve"> </w:t>
      </w:r>
      <w:r w:rsidRPr="00686181">
        <w:rPr>
          <w:rFonts w:ascii="Times New Roman" w:hAnsi="Times New Roman" w:cs="Times New Roman"/>
          <w:sz w:val="18"/>
          <w:szCs w:val="18"/>
          <w:lang w:val="en-GB"/>
        </w:rPr>
        <w:t xml:space="preserve">See; </w:t>
      </w:r>
      <w:hyperlink r:id="rId6" w:history="1">
        <w:r w:rsidRPr="00686181">
          <w:rPr>
            <w:rStyle w:val="Hyperlink"/>
            <w:rFonts w:ascii="Times New Roman" w:hAnsi="Times New Roman" w:cs="Times New Roman"/>
            <w:color w:val="auto"/>
            <w:sz w:val="18"/>
            <w:szCs w:val="18"/>
            <w:lang w:val="en-GB"/>
          </w:rPr>
          <w:t>http://www.aicpa.org/Press/PressReleases/2011/Pages/Internationa-lCommittee-Roundtable-Integrated-Reporting.aspx</w:t>
        </w:r>
      </w:hyperlink>
      <w:r>
        <w:rPr>
          <w:rFonts w:ascii="Times New Roman" w:hAnsi="Times New Roman" w:cs="Times New Roman"/>
          <w:sz w:val="18"/>
          <w:szCs w:val="18"/>
          <w:lang w:val="en-GB"/>
        </w:rPr>
        <w:t>. Last a</w:t>
      </w:r>
      <w:r w:rsidRPr="00686181">
        <w:rPr>
          <w:rFonts w:ascii="Times New Roman" w:hAnsi="Times New Roman" w:cs="Times New Roman"/>
          <w:sz w:val="18"/>
          <w:szCs w:val="18"/>
          <w:lang w:val="en-GB"/>
        </w:rPr>
        <w:t>ccessed 25 June 2014.</w:t>
      </w:r>
    </w:p>
  </w:footnote>
  <w:footnote w:id="10">
    <w:p w14:paraId="4241422C" w14:textId="71C9D088" w:rsidR="00EE7601" w:rsidRPr="00686181" w:rsidRDefault="00EE7601">
      <w:pPr>
        <w:pStyle w:val="FootnoteText"/>
        <w:rPr>
          <w:rFonts w:ascii="Times New Roman" w:hAnsi="Times New Roman" w:cs="Times New Roman"/>
          <w:sz w:val="18"/>
          <w:szCs w:val="18"/>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See: </w:t>
      </w:r>
      <w:hyperlink r:id="rId7" w:history="1">
        <w:r w:rsidRPr="00686181">
          <w:rPr>
            <w:rStyle w:val="Hyperlink"/>
            <w:rFonts w:ascii="Times New Roman" w:hAnsi="Times New Roman" w:cs="Times New Roman"/>
            <w:color w:val="auto"/>
            <w:sz w:val="18"/>
            <w:szCs w:val="18"/>
            <w:lang w:val="en-GB"/>
          </w:rPr>
          <w:t>https://www.mikekrzus.com/downloads/files/IIRC-PP-Reference.pdf</w:t>
        </w:r>
      </w:hyperlink>
      <w:r w:rsidRPr="00686181">
        <w:rPr>
          <w:rFonts w:ascii="Times New Roman" w:hAnsi="Times New Roman" w:cs="Times New Roman"/>
          <w:sz w:val="18"/>
          <w:szCs w:val="18"/>
          <w:lang w:val="en-GB"/>
        </w:rPr>
        <w:t xml:space="preserve">. </w:t>
      </w:r>
      <w:r>
        <w:rPr>
          <w:rFonts w:ascii="Times New Roman" w:hAnsi="Times New Roman" w:cs="Times New Roman"/>
          <w:sz w:val="18"/>
          <w:szCs w:val="18"/>
          <w:lang w:val="en-GB"/>
        </w:rPr>
        <w:t>p</w:t>
      </w:r>
      <w:r w:rsidRPr="00686181">
        <w:rPr>
          <w:rFonts w:ascii="Times New Roman" w:hAnsi="Times New Roman" w:cs="Times New Roman"/>
          <w:sz w:val="18"/>
          <w:szCs w:val="18"/>
          <w:lang w:val="en-GB"/>
        </w:rPr>
        <w:t>.</w:t>
      </w:r>
      <w:r>
        <w:rPr>
          <w:rFonts w:ascii="Times New Roman" w:hAnsi="Times New Roman" w:cs="Times New Roman"/>
          <w:sz w:val="18"/>
          <w:szCs w:val="18"/>
          <w:lang w:val="en-GB"/>
        </w:rPr>
        <w:t>7. Last a</w:t>
      </w:r>
      <w:r w:rsidRPr="00686181">
        <w:rPr>
          <w:rFonts w:ascii="Times New Roman" w:hAnsi="Times New Roman" w:cs="Times New Roman"/>
          <w:sz w:val="18"/>
          <w:szCs w:val="18"/>
          <w:lang w:val="en-GB"/>
        </w:rPr>
        <w:t xml:space="preserve">ccessed </w:t>
      </w:r>
      <w:r>
        <w:rPr>
          <w:rFonts w:ascii="Times New Roman" w:hAnsi="Times New Roman" w:cs="Times New Roman"/>
          <w:sz w:val="18"/>
          <w:szCs w:val="18"/>
          <w:lang w:val="en-GB"/>
        </w:rPr>
        <w:t xml:space="preserve">6 </w:t>
      </w:r>
      <w:r w:rsidRPr="00686181">
        <w:rPr>
          <w:rFonts w:ascii="Times New Roman" w:hAnsi="Times New Roman" w:cs="Times New Roman"/>
          <w:sz w:val="18"/>
          <w:szCs w:val="18"/>
          <w:lang w:val="en-GB"/>
        </w:rPr>
        <w:t>August</w:t>
      </w:r>
      <w:r>
        <w:rPr>
          <w:rFonts w:ascii="Times New Roman" w:hAnsi="Times New Roman" w:cs="Times New Roman"/>
          <w:sz w:val="18"/>
          <w:szCs w:val="18"/>
          <w:lang w:val="en-GB"/>
        </w:rPr>
        <w:t xml:space="preserve"> </w:t>
      </w:r>
      <w:r w:rsidRPr="00686181">
        <w:rPr>
          <w:rFonts w:ascii="Times New Roman" w:hAnsi="Times New Roman" w:cs="Times New Roman"/>
          <w:sz w:val="18"/>
          <w:szCs w:val="18"/>
          <w:lang w:val="en-GB"/>
        </w:rPr>
        <w:t>2015.</w:t>
      </w:r>
    </w:p>
  </w:footnote>
  <w:footnote w:id="11">
    <w:p w14:paraId="7AE66CB0" w14:textId="7132F9A3" w:rsidR="00EE7601" w:rsidRPr="00686181" w:rsidRDefault="00EE7601">
      <w:pPr>
        <w:pStyle w:val="FootnoteText"/>
        <w:rPr>
          <w:rFonts w:ascii="Times New Roman" w:hAnsi="Times New Roman" w:cs="Times New Roman"/>
          <w:sz w:val="18"/>
          <w:szCs w:val="18"/>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See: </w:t>
      </w:r>
      <w:hyperlink r:id="rId8" w:history="1">
        <w:r w:rsidRPr="00686181">
          <w:rPr>
            <w:rStyle w:val="Hyperlink"/>
            <w:rFonts w:ascii="Times New Roman" w:hAnsi="Times New Roman" w:cs="Times New Roman"/>
            <w:color w:val="auto"/>
            <w:sz w:val="18"/>
            <w:szCs w:val="18"/>
            <w:lang w:val="en-GB"/>
          </w:rPr>
          <w:t>http://integratedreporting.org/wp-content/uploads/2012/02/Deloitte-UK.pdf</w:t>
        </w:r>
      </w:hyperlink>
      <w:r w:rsidRPr="00686181">
        <w:rPr>
          <w:rFonts w:ascii="Times New Roman" w:hAnsi="Times New Roman" w:cs="Times New Roman"/>
          <w:sz w:val="18"/>
          <w:szCs w:val="18"/>
          <w:lang w:val="en-GB"/>
        </w:rPr>
        <w:t>.  Last accessed 10 August 2015.</w:t>
      </w:r>
    </w:p>
  </w:footnote>
  <w:footnote w:id="12">
    <w:p w14:paraId="78AF4BBA" w14:textId="77777777" w:rsidR="00EE7601" w:rsidRPr="006F2A40" w:rsidRDefault="00EE7601" w:rsidP="000A1EAA">
      <w:pPr>
        <w:pStyle w:val="FootnoteText"/>
        <w:rPr>
          <w:rFonts w:ascii="Times New Roman" w:hAnsi="Times New Roman" w:cs="Times New Roman"/>
          <w:sz w:val="18"/>
          <w:szCs w:val="18"/>
          <w:lang w:val="en-US"/>
        </w:rPr>
      </w:pPr>
      <w:r w:rsidRPr="006F2A40">
        <w:rPr>
          <w:rStyle w:val="FootnoteReference"/>
          <w:rFonts w:ascii="Times New Roman" w:hAnsi="Times New Roman" w:cs="Times New Roman"/>
          <w:sz w:val="18"/>
          <w:szCs w:val="18"/>
        </w:rPr>
        <w:footnoteRef/>
      </w:r>
      <w:r w:rsidRPr="006F2A40">
        <w:rPr>
          <w:rFonts w:ascii="Times New Roman" w:hAnsi="Times New Roman" w:cs="Times New Roman"/>
          <w:sz w:val="18"/>
          <w:szCs w:val="18"/>
          <w:lang w:val="en-US"/>
        </w:rPr>
        <w:t xml:space="preserve"> See: </w:t>
      </w:r>
      <w:hyperlink r:id="rId9" w:history="1">
        <w:r w:rsidRPr="006F2A40">
          <w:rPr>
            <w:rStyle w:val="Hyperlink"/>
            <w:rFonts w:ascii="Times New Roman" w:hAnsi="Times New Roman" w:cs="Times New Roman"/>
            <w:color w:val="auto"/>
            <w:sz w:val="18"/>
            <w:szCs w:val="18"/>
            <w:lang w:val="en-US"/>
          </w:rPr>
          <w:t>http://www.forumforthefuture.org/project/five-capitals/overview</w:t>
        </w:r>
      </w:hyperlink>
      <w:r>
        <w:rPr>
          <w:rFonts w:ascii="Times New Roman" w:hAnsi="Times New Roman" w:cs="Times New Roman"/>
          <w:sz w:val="18"/>
          <w:szCs w:val="18"/>
          <w:lang w:val="en-US"/>
        </w:rPr>
        <w:t>. Last accessed 15 October,</w:t>
      </w:r>
      <w:r w:rsidRPr="006F2A40">
        <w:rPr>
          <w:rFonts w:ascii="Times New Roman" w:hAnsi="Times New Roman" w:cs="Times New Roman"/>
          <w:sz w:val="18"/>
          <w:szCs w:val="18"/>
          <w:lang w:val="en-US"/>
        </w:rPr>
        <w:t xml:space="preserve"> 2014.</w:t>
      </w:r>
    </w:p>
  </w:footnote>
  <w:footnote w:id="13">
    <w:p w14:paraId="07F310A5" w14:textId="67933E97" w:rsidR="00EE7601" w:rsidRPr="00686181" w:rsidRDefault="00EE7601" w:rsidP="00686181">
      <w:pPr>
        <w:pStyle w:val="FootnoteText"/>
        <w:jc w:val="both"/>
        <w:rPr>
          <w:rFonts w:ascii="Times New Roman" w:hAnsi="Times New Roman" w:cs="Times New Roman"/>
          <w:sz w:val="18"/>
          <w:szCs w:val="18"/>
          <w:lang w:val="en-US"/>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US"/>
        </w:rPr>
        <w:t xml:space="preserve"> See: </w:t>
      </w:r>
      <w:hyperlink r:id="rId10" w:history="1">
        <w:r w:rsidRPr="005468C2">
          <w:rPr>
            <w:rStyle w:val="Hyperlink"/>
            <w:rFonts w:ascii="Times New Roman" w:hAnsi="Times New Roman" w:cs="Times New Roman"/>
            <w:color w:val="auto"/>
            <w:sz w:val="18"/>
            <w:szCs w:val="18"/>
            <w:lang w:val="en-US"/>
          </w:rPr>
          <w:t>http://www.theiirc.org/resources-2/framework-development/background-papers/</w:t>
        </w:r>
      </w:hyperlink>
      <w:r w:rsidRPr="00CD0156">
        <w:rPr>
          <w:rFonts w:ascii="Times New Roman" w:hAnsi="Times New Roman" w:cs="Times New Roman"/>
          <w:sz w:val="18"/>
          <w:szCs w:val="18"/>
          <w:lang w:val="en-US"/>
        </w:rPr>
        <w:t xml:space="preserve">. </w:t>
      </w:r>
      <w:r w:rsidRPr="00686181">
        <w:rPr>
          <w:rFonts w:ascii="Times New Roman" w:hAnsi="Times New Roman" w:cs="Times New Roman"/>
          <w:sz w:val="18"/>
          <w:szCs w:val="18"/>
          <w:lang w:val="en-US"/>
        </w:rPr>
        <w:t>Last a</w:t>
      </w:r>
      <w:r w:rsidRPr="00822759">
        <w:rPr>
          <w:rFonts w:ascii="Times New Roman" w:hAnsi="Times New Roman" w:cs="Times New Roman"/>
          <w:sz w:val="18"/>
          <w:szCs w:val="18"/>
          <w:lang w:val="en-US"/>
        </w:rPr>
        <w:t>ccessed October 15, 2014.</w:t>
      </w:r>
    </w:p>
  </w:footnote>
  <w:footnote w:id="14">
    <w:p w14:paraId="099DA6DF" w14:textId="028D0BAB" w:rsidR="00EE7601" w:rsidRPr="00686181" w:rsidRDefault="00EE7601" w:rsidP="00686181">
      <w:pPr>
        <w:pStyle w:val="FootnoteText"/>
        <w:jc w:val="both"/>
        <w:rPr>
          <w:rFonts w:ascii="Times New Roman" w:hAnsi="Times New Roman" w:cs="Times New Roman"/>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We use the term ‘enlightened’ from the perspective of the IIRC in that the IIRC promoted integrated reporting targeted at providers of financial capital who were focused on the medium and long term as well as the short term. These financial capital providers are characterised</w:t>
      </w:r>
      <w:r w:rsidR="00DE1110">
        <w:rPr>
          <w:rFonts w:ascii="Times New Roman" w:hAnsi="Times New Roman" w:cs="Times New Roman"/>
          <w:sz w:val="18"/>
          <w:szCs w:val="18"/>
          <w:lang w:val="en-GB"/>
        </w:rPr>
        <w:t xml:space="preserve"> in the paper</w:t>
      </w:r>
      <w:r w:rsidRPr="00686181">
        <w:rPr>
          <w:rFonts w:ascii="Times New Roman" w:hAnsi="Times New Roman" w:cs="Times New Roman"/>
          <w:sz w:val="18"/>
          <w:szCs w:val="18"/>
          <w:lang w:val="en-GB"/>
        </w:rPr>
        <w:t xml:space="preserve"> as ‘enlightened’ due to their longer term investment focus</w:t>
      </w:r>
      <w:r w:rsidRPr="00686181">
        <w:rPr>
          <w:rFonts w:ascii="Times New Roman" w:hAnsi="Times New Roman" w:cs="Times New Roman"/>
          <w:lang w:val="en-GB"/>
        </w:rPr>
        <w:t>.</w:t>
      </w:r>
    </w:p>
  </w:footnote>
  <w:footnote w:id="15">
    <w:p w14:paraId="074D2BE8" w14:textId="6A3B02D8" w:rsidR="00EE7601" w:rsidRPr="001B3BF4" w:rsidRDefault="00EE7601" w:rsidP="0017399D">
      <w:pPr>
        <w:pStyle w:val="FootnoteText"/>
        <w:jc w:val="both"/>
        <w:rPr>
          <w:rFonts w:ascii="Times New Roman" w:hAnsi="Times New Roman" w:cs="Times New Roman"/>
          <w:sz w:val="18"/>
          <w:szCs w:val="18"/>
          <w:lang w:val="en-US"/>
        </w:rPr>
      </w:pPr>
      <w:r w:rsidRPr="0000389A">
        <w:rPr>
          <w:rStyle w:val="FootnoteReference"/>
          <w:rFonts w:ascii="Times New Roman" w:hAnsi="Times New Roman" w:cs="Times New Roman"/>
          <w:sz w:val="18"/>
          <w:szCs w:val="18"/>
        </w:rPr>
        <w:footnoteRef/>
      </w:r>
      <w:r w:rsidRPr="0000389A">
        <w:rPr>
          <w:rFonts w:ascii="Times New Roman" w:hAnsi="Times New Roman" w:cs="Times New Roman"/>
          <w:sz w:val="18"/>
          <w:szCs w:val="18"/>
          <w:lang w:val="en-US"/>
        </w:rPr>
        <w:t xml:space="preserve"> </w:t>
      </w:r>
      <w:r w:rsidRPr="00CD0156">
        <w:rPr>
          <w:rFonts w:ascii="Times New Roman" w:hAnsi="Times New Roman" w:cs="Times New Roman"/>
          <w:sz w:val="18"/>
          <w:szCs w:val="18"/>
          <w:lang w:val="en-US"/>
        </w:rPr>
        <w:t xml:space="preserve">See: </w:t>
      </w:r>
      <w:hyperlink r:id="rId11" w:history="1">
        <w:r w:rsidRPr="00686181">
          <w:rPr>
            <w:rStyle w:val="Hyperlink"/>
            <w:rFonts w:ascii="Times New Roman" w:hAnsi="Times New Roman" w:cs="Times New Roman"/>
            <w:color w:val="auto"/>
            <w:sz w:val="18"/>
            <w:szCs w:val="18"/>
            <w:lang w:val="en-US"/>
          </w:rPr>
          <w:t>http://www.theiirc.org/wp-content/uploads/2013/08/252_Ernst-Young-Global-Limited.pdf. Last accessed October 15</w:t>
        </w:r>
      </w:hyperlink>
      <w:r w:rsidRPr="002B083A">
        <w:rPr>
          <w:rFonts w:ascii="Times New Roman" w:hAnsi="Times New Roman" w:cs="Times New Roman"/>
          <w:sz w:val="18"/>
          <w:szCs w:val="18"/>
          <w:lang w:val="en-US"/>
        </w:rPr>
        <w:t>, 2014.</w:t>
      </w:r>
    </w:p>
  </w:footnote>
  <w:footnote w:id="16">
    <w:p w14:paraId="1A935DBD" w14:textId="74E8FD65" w:rsidR="00EE7601" w:rsidRPr="008E4449" w:rsidRDefault="00EE7601" w:rsidP="00A650DC">
      <w:pPr>
        <w:shd w:val="clear" w:color="auto" w:fill="FFFFFF"/>
        <w:spacing w:before="100" w:beforeAutospacing="1" w:after="75" w:line="240" w:lineRule="auto"/>
        <w:jc w:val="both"/>
        <w:rPr>
          <w:rFonts w:ascii="Times New Roman" w:hAnsi="Times New Roman" w:cs="Times New Roman"/>
          <w:sz w:val="18"/>
          <w:szCs w:val="18"/>
          <w:lang w:val="en-US"/>
        </w:rPr>
      </w:pPr>
      <w:r w:rsidRPr="008E4449">
        <w:rPr>
          <w:rStyle w:val="FootnoteReference"/>
          <w:sz w:val="18"/>
          <w:szCs w:val="18"/>
        </w:rPr>
        <w:footnoteRef/>
      </w:r>
      <w:r w:rsidRPr="008E4449">
        <w:rPr>
          <w:sz w:val="18"/>
          <w:szCs w:val="18"/>
          <w:lang w:val="en-US"/>
        </w:rPr>
        <w:t xml:space="preserve"> </w:t>
      </w:r>
      <w:r w:rsidRPr="007E7BE4">
        <w:rPr>
          <w:rFonts w:ascii="Times New Roman" w:hAnsi="Times New Roman" w:cs="Times New Roman"/>
          <w:sz w:val="18"/>
          <w:szCs w:val="18"/>
          <w:lang w:val="en-US"/>
        </w:rPr>
        <w:t xml:space="preserve">The Pilot </w:t>
      </w:r>
      <w:proofErr w:type="spellStart"/>
      <w:r w:rsidRPr="007E7BE4">
        <w:rPr>
          <w:rFonts w:ascii="Times New Roman" w:hAnsi="Times New Roman" w:cs="Times New Roman"/>
          <w:sz w:val="18"/>
          <w:szCs w:val="18"/>
          <w:lang w:val="en-US"/>
        </w:rPr>
        <w:t>Programme</w:t>
      </w:r>
      <w:proofErr w:type="spellEnd"/>
      <w:r w:rsidRPr="007E7BE4">
        <w:rPr>
          <w:rFonts w:ascii="Times New Roman" w:hAnsi="Times New Roman" w:cs="Times New Roman"/>
          <w:sz w:val="18"/>
          <w:szCs w:val="18"/>
          <w:lang w:val="en-US"/>
        </w:rPr>
        <w:t xml:space="preserve"> network contributed</w:t>
      </w:r>
      <w:r w:rsidRPr="00107A48">
        <w:rPr>
          <w:rFonts w:ascii="Times New Roman" w:hAnsi="Times New Roman" w:cs="Times New Roman"/>
          <w:sz w:val="18"/>
          <w:szCs w:val="18"/>
          <w:lang w:val="en-US"/>
        </w:rPr>
        <w:t xml:space="preserve"> 57% of the IIRC’s ov</w:t>
      </w:r>
      <w:r>
        <w:rPr>
          <w:rFonts w:ascii="Times New Roman" w:hAnsi="Times New Roman" w:cs="Times New Roman"/>
          <w:sz w:val="18"/>
          <w:szCs w:val="18"/>
          <w:lang w:val="en-US"/>
        </w:rPr>
        <w:t>erall income of £1,488,664</w:t>
      </w:r>
      <w:r w:rsidRPr="00107A48">
        <w:rPr>
          <w:rFonts w:ascii="Times New Roman" w:hAnsi="Times New Roman" w:cs="Times New Roman"/>
          <w:sz w:val="18"/>
          <w:szCs w:val="18"/>
          <w:lang w:val="en-US"/>
        </w:rPr>
        <w:t xml:space="preserve"> in 2012 and 53% of overall income of </w:t>
      </w:r>
      <w:r>
        <w:rPr>
          <w:rFonts w:ascii="Times New Roman" w:hAnsi="Times New Roman" w:cs="Times New Roman"/>
          <w:sz w:val="18"/>
          <w:szCs w:val="18"/>
          <w:lang w:val="en-US"/>
        </w:rPr>
        <w:t>£1,678,</w:t>
      </w:r>
      <w:r w:rsidRPr="00787F04">
        <w:rPr>
          <w:rFonts w:ascii="Times New Roman" w:hAnsi="Times New Roman" w:cs="Times New Roman"/>
          <w:sz w:val="18"/>
          <w:szCs w:val="18"/>
          <w:lang w:val="en-US"/>
        </w:rPr>
        <w:t>978</w:t>
      </w:r>
      <w:r w:rsidRPr="00CF5F44">
        <w:rPr>
          <w:rFonts w:ascii="Times New Roman" w:hAnsi="Times New Roman" w:cs="Times New Roman"/>
          <w:sz w:val="18"/>
          <w:szCs w:val="18"/>
          <w:lang w:val="en-US"/>
        </w:rPr>
        <w:t xml:space="preserve"> in 2013. The</w:t>
      </w:r>
      <w:r w:rsidRPr="006F01AC">
        <w:rPr>
          <w:rFonts w:ascii="Times New Roman" w:hAnsi="Times New Roman" w:cs="Times New Roman"/>
          <w:sz w:val="18"/>
          <w:szCs w:val="18"/>
          <w:lang w:val="en-US"/>
        </w:rPr>
        <w:t xml:space="preserve"> IIRC breaks its funding down </w:t>
      </w:r>
      <w:r>
        <w:rPr>
          <w:rFonts w:ascii="Times New Roman" w:hAnsi="Times New Roman" w:cs="Times New Roman"/>
          <w:sz w:val="18"/>
          <w:szCs w:val="18"/>
          <w:lang w:val="en-US"/>
        </w:rPr>
        <w:t>into four key elements: v</w:t>
      </w:r>
      <w:r w:rsidRPr="0091232F">
        <w:rPr>
          <w:rFonts w:ascii="Times New Roman" w:hAnsi="Times New Roman" w:cs="Times New Roman"/>
          <w:sz w:val="18"/>
          <w:szCs w:val="18"/>
          <w:lang w:val="en-US"/>
        </w:rPr>
        <w:t>olunta</w:t>
      </w:r>
      <w:r w:rsidRPr="008E4449">
        <w:rPr>
          <w:rFonts w:ascii="Times New Roman" w:hAnsi="Times New Roman" w:cs="Times New Roman"/>
          <w:sz w:val="18"/>
          <w:szCs w:val="18"/>
          <w:lang w:val="en-US"/>
        </w:rPr>
        <w:t>ry contributions from IIRC council members and other suppo</w:t>
      </w:r>
      <w:r>
        <w:rPr>
          <w:rFonts w:ascii="Times New Roman" w:hAnsi="Times New Roman" w:cs="Times New Roman"/>
          <w:sz w:val="18"/>
          <w:szCs w:val="18"/>
          <w:lang w:val="en-US"/>
        </w:rPr>
        <w:t xml:space="preserve">rter organizations; IIRC Pilot </w:t>
      </w:r>
      <w:proofErr w:type="spellStart"/>
      <w:r>
        <w:rPr>
          <w:rFonts w:ascii="Times New Roman" w:hAnsi="Times New Roman" w:cs="Times New Roman"/>
          <w:sz w:val="18"/>
          <w:szCs w:val="18"/>
          <w:lang w:val="en-US"/>
        </w:rPr>
        <w:t>P</w:t>
      </w:r>
      <w:r w:rsidRPr="008E4449">
        <w:rPr>
          <w:rFonts w:ascii="Times New Roman" w:hAnsi="Times New Roman" w:cs="Times New Roman"/>
          <w:sz w:val="18"/>
          <w:szCs w:val="18"/>
          <w:lang w:val="en-US"/>
        </w:rPr>
        <w:t>rogramme</w:t>
      </w:r>
      <w:proofErr w:type="spellEnd"/>
      <w:r>
        <w:rPr>
          <w:rFonts w:ascii="Times New Roman" w:hAnsi="Times New Roman" w:cs="Times New Roman"/>
          <w:sz w:val="18"/>
          <w:szCs w:val="18"/>
          <w:lang w:val="en-US"/>
        </w:rPr>
        <w:t xml:space="preserve"> participants; p</w:t>
      </w:r>
      <w:r w:rsidRPr="008E4449">
        <w:rPr>
          <w:rFonts w:ascii="Times New Roman" w:hAnsi="Times New Roman" w:cs="Times New Roman"/>
          <w:sz w:val="18"/>
          <w:szCs w:val="18"/>
          <w:lang w:val="en-US"/>
        </w:rPr>
        <w:t xml:space="preserve">ro bono </w:t>
      </w:r>
      <w:proofErr w:type="spellStart"/>
      <w:r w:rsidRPr="008E4449">
        <w:rPr>
          <w:rFonts w:ascii="Times New Roman" w:hAnsi="Times New Roman" w:cs="Times New Roman"/>
          <w:sz w:val="18"/>
          <w:szCs w:val="18"/>
          <w:lang w:val="en-US"/>
        </w:rPr>
        <w:t>secondments</w:t>
      </w:r>
      <w:proofErr w:type="spellEnd"/>
      <w:r w:rsidRPr="008E4449">
        <w:rPr>
          <w:rFonts w:ascii="Times New Roman" w:hAnsi="Times New Roman" w:cs="Times New Roman"/>
          <w:sz w:val="18"/>
          <w:szCs w:val="18"/>
          <w:lang w:val="en-US"/>
        </w:rPr>
        <w:t xml:space="preserve"> which come mainly from the major accounting firms (each full time equivalent </w:t>
      </w:r>
      <w:proofErr w:type="spellStart"/>
      <w:r w:rsidRPr="008E4449">
        <w:rPr>
          <w:rFonts w:ascii="Times New Roman" w:hAnsi="Times New Roman" w:cs="Times New Roman"/>
          <w:sz w:val="18"/>
          <w:szCs w:val="18"/>
          <w:lang w:val="en-US"/>
        </w:rPr>
        <w:t>secondee</w:t>
      </w:r>
      <w:proofErr w:type="spellEnd"/>
      <w:r w:rsidRPr="008E4449">
        <w:rPr>
          <w:rFonts w:ascii="Times New Roman" w:hAnsi="Times New Roman" w:cs="Times New Roman"/>
          <w:sz w:val="18"/>
          <w:szCs w:val="18"/>
          <w:lang w:val="en-US"/>
        </w:rPr>
        <w:t xml:space="preserve"> is estimated by the IIRC to be worth £100,000 per annum); and other in-kind support such as the provision of office premises.</w:t>
      </w:r>
      <w:r>
        <w:rPr>
          <w:rFonts w:ascii="Times New Roman" w:hAnsi="Times New Roman" w:cs="Times New Roman"/>
          <w:sz w:val="18"/>
          <w:szCs w:val="18"/>
          <w:lang w:val="en-US"/>
        </w:rPr>
        <w:t xml:space="preserve"> </w:t>
      </w:r>
    </w:p>
  </w:footnote>
  <w:footnote w:id="17">
    <w:p w14:paraId="1A71656C" w14:textId="16B7E74C" w:rsidR="00EE7601" w:rsidRPr="008E4449" w:rsidRDefault="00EE7601" w:rsidP="008E4449">
      <w:pPr>
        <w:pStyle w:val="FootnoteText"/>
        <w:jc w:val="both"/>
        <w:rPr>
          <w:rFonts w:ascii="Times New Roman" w:hAnsi="Times New Roman" w:cs="Times New Roman"/>
          <w:sz w:val="18"/>
          <w:szCs w:val="18"/>
          <w:lang w:val="en-US"/>
        </w:rPr>
      </w:pPr>
      <w:r w:rsidRPr="008E4449">
        <w:rPr>
          <w:rStyle w:val="FootnoteReference"/>
          <w:rFonts w:ascii="Times New Roman" w:hAnsi="Times New Roman" w:cs="Times New Roman"/>
          <w:sz w:val="18"/>
          <w:szCs w:val="18"/>
        </w:rPr>
        <w:footnoteRef/>
      </w:r>
      <w:r w:rsidRPr="008E4449">
        <w:rPr>
          <w:rFonts w:ascii="Times New Roman" w:hAnsi="Times New Roman" w:cs="Times New Roman"/>
          <w:sz w:val="18"/>
          <w:szCs w:val="18"/>
          <w:lang w:val="en-US"/>
        </w:rPr>
        <w:t xml:space="preserve"> </w:t>
      </w:r>
      <w:r w:rsidRPr="007E7BE4">
        <w:rPr>
          <w:rFonts w:ascii="Times New Roman" w:hAnsi="Times New Roman" w:cs="Times New Roman"/>
          <w:sz w:val="18"/>
          <w:szCs w:val="18"/>
          <w:lang w:val="en-US"/>
        </w:rPr>
        <w:t xml:space="preserve">The </w:t>
      </w:r>
      <w:r w:rsidRPr="00107A48">
        <w:rPr>
          <w:rFonts w:ascii="Times New Roman" w:hAnsi="Times New Roman" w:cs="Times New Roman"/>
          <w:sz w:val="18"/>
          <w:szCs w:val="18"/>
          <w:lang w:val="en-US"/>
        </w:rPr>
        <w:t xml:space="preserve">Business Pilot </w:t>
      </w:r>
      <w:proofErr w:type="spellStart"/>
      <w:r w:rsidRPr="00107A48">
        <w:rPr>
          <w:rFonts w:ascii="Times New Roman" w:hAnsi="Times New Roman" w:cs="Times New Roman"/>
          <w:sz w:val="18"/>
          <w:szCs w:val="18"/>
          <w:lang w:val="en-US"/>
        </w:rPr>
        <w:t>Programme</w:t>
      </w:r>
      <w:proofErr w:type="spellEnd"/>
      <w:r w:rsidRPr="00107A48">
        <w:rPr>
          <w:rFonts w:ascii="Times New Roman" w:hAnsi="Times New Roman" w:cs="Times New Roman"/>
          <w:sz w:val="18"/>
          <w:szCs w:val="18"/>
          <w:lang w:val="en-US"/>
        </w:rPr>
        <w:t xml:space="preserve"> ended in September 2014 and a Business </w:t>
      </w:r>
      <w:r w:rsidRPr="00787F04">
        <w:rPr>
          <w:rFonts w:ascii="Times New Roman" w:hAnsi="Times New Roman" w:cs="Times New Roman"/>
          <w:sz w:val="18"/>
          <w:szCs w:val="18"/>
          <w:lang w:val="en-US"/>
        </w:rPr>
        <w:t>Netw</w:t>
      </w:r>
      <w:r w:rsidRPr="00CF5F44">
        <w:rPr>
          <w:rFonts w:ascii="Times New Roman" w:hAnsi="Times New Roman" w:cs="Times New Roman"/>
          <w:sz w:val="18"/>
          <w:szCs w:val="18"/>
          <w:lang w:val="en-US"/>
        </w:rPr>
        <w:t xml:space="preserve">ork was formed from </w:t>
      </w:r>
      <w:r w:rsidRPr="006F01AC">
        <w:rPr>
          <w:rFonts w:ascii="Times New Roman" w:hAnsi="Times New Roman" w:cs="Times New Roman"/>
          <w:sz w:val="18"/>
          <w:szCs w:val="18"/>
          <w:lang w:val="en-US"/>
        </w:rPr>
        <w:t xml:space="preserve">this network. </w:t>
      </w:r>
      <w:r w:rsidRPr="0091232F">
        <w:rPr>
          <w:rFonts w:ascii="Times New Roman" w:hAnsi="Times New Roman" w:cs="Times New Roman"/>
          <w:sz w:val="18"/>
          <w:szCs w:val="18"/>
          <w:lang w:val="en-US"/>
        </w:rPr>
        <w:t xml:space="preserve">This sought to keep the </w:t>
      </w:r>
      <w:r w:rsidRPr="00107A48">
        <w:rPr>
          <w:rFonts w:ascii="Times New Roman" w:hAnsi="Times New Roman" w:cs="Times New Roman"/>
          <w:sz w:val="18"/>
          <w:szCs w:val="18"/>
          <w:lang w:val="en-US"/>
        </w:rPr>
        <w:t xml:space="preserve">Pilot </w:t>
      </w:r>
      <w:proofErr w:type="spellStart"/>
      <w:r w:rsidRPr="00107A48">
        <w:rPr>
          <w:rFonts w:ascii="Times New Roman" w:hAnsi="Times New Roman" w:cs="Times New Roman"/>
          <w:sz w:val="18"/>
          <w:szCs w:val="18"/>
          <w:lang w:val="en-US"/>
        </w:rPr>
        <w:t>Programme</w:t>
      </w:r>
      <w:proofErr w:type="spellEnd"/>
      <w:r w:rsidRPr="00107A48">
        <w:rPr>
          <w:rFonts w:ascii="Times New Roman" w:hAnsi="Times New Roman" w:cs="Times New Roman"/>
          <w:sz w:val="18"/>
          <w:szCs w:val="18"/>
          <w:lang w:val="en-US"/>
        </w:rPr>
        <w:t xml:space="preserve"> </w:t>
      </w:r>
      <w:r w:rsidRPr="0091232F">
        <w:rPr>
          <w:rFonts w:ascii="Times New Roman" w:hAnsi="Times New Roman" w:cs="Times New Roman"/>
          <w:sz w:val="18"/>
          <w:szCs w:val="18"/>
          <w:lang w:val="en-US"/>
        </w:rPr>
        <w:t xml:space="preserve">network </w:t>
      </w:r>
      <w:r>
        <w:rPr>
          <w:rFonts w:ascii="Times New Roman" w:hAnsi="Times New Roman" w:cs="Times New Roman"/>
          <w:sz w:val="18"/>
          <w:szCs w:val="18"/>
          <w:lang w:val="en-US"/>
        </w:rPr>
        <w:t>intact and focused</w:t>
      </w:r>
      <w:r w:rsidRPr="008E4449">
        <w:rPr>
          <w:rFonts w:ascii="Times New Roman" w:hAnsi="Times New Roman" w:cs="Times New Roman"/>
          <w:sz w:val="18"/>
          <w:szCs w:val="18"/>
          <w:lang w:val="en-US"/>
        </w:rPr>
        <w:t xml:space="preserve"> on developing technical material, testing the ap</w:t>
      </w:r>
      <w:r>
        <w:rPr>
          <w:rFonts w:ascii="Times New Roman" w:hAnsi="Times New Roman" w:cs="Times New Roman"/>
          <w:sz w:val="18"/>
          <w:szCs w:val="18"/>
          <w:lang w:val="en-US"/>
        </w:rPr>
        <w:t xml:space="preserve">plication of this material and </w:t>
      </w:r>
      <w:r w:rsidRPr="008E4449">
        <w:rPr>
          <w:rFonts w:ascii="Times New Roman" w:hAnsi="Times New Roman" w:cs="Times New Roman"/>
          <w:sz w:val="18"/>
          <w:szCs w:val="18"/>
          <w:lang w:val="en-US"/>
        </w:rPr>
        <w:t xml:space="preserve">sharing ongoing learning </w:t>
      </w:r>
      <w:r>
        <w:rPr>
          <w:rFonts w:ascii="Times New Roman" w:hAnsi="Times New Roman" w:cs="Times New Roman"/>
          <w:sz w:val="18"/>
          <w:szCs w:val="18"/>
          <w:lang w:val="en-US"/>
        </w:rPr>
        <w:t>experiences.</w:t>
      </w:r>
    </w:p>
  </w:footnote>
  <w:footnote w:id="18">
    <w:p w14:paraId="446BC947" w14:textId="4E19EB11" w:rsidR="00EE7601" w:rsidRPr="00686181" w:rsidRDefault="00EE7601" w:rsidP="00686181">
      <w:pPr>
        <w:pStyle w:val="FootnoteText"/>
        <w:jc w:val="both"/>
        <w:rPr>
          <w:rFonts w:ascii="Times New Roman" w:hAnsi="Times New Roman" w:cs="Times New Roman"/>
          <w:sz w:val="18"/>
          <w:szCs w:val="18"/>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See: </w:t>
      </w:r>
      <w:hyperlink r:id="rId12" w:history="1">
        <w:r w:rsidRPr="00686181">
          <w:rPr>
            <w:rStyle w:val="Hyperlink"/>
            <w:rFonts w:ascii="Times New Roman" w:hAnsi="Times New Roman" w:cs="Times New Roman"/>
            <w:color w:val="auto"/>
            <w:sz w:val="18"/>
            <w:szCs w:val="18"/>
            <w:lang w:val="en-GB"/>
          </w:rPr>
          <w:t>http://integratedreporting.org/wp-content/uploads/2013/12/IIRC-PP-Yearbook-2013_PDF4_PAGES.pdf</w:t>
        </w:r>
      </w:hyperlink>
      <w:r w:rsidRPr="00686181">
        <w:rPr>
          <w:rFonts w:ascii="Times New Roman" w:hAnsi="Times New Roman" w:cs="Times New Roman"/>
          <w:sz w:val="18"/>
          <w:szCs w:val="18"/>
          <w:lang w:val="en-GB"/>
        </w:rPr>
        <w:t>. Last accessed 28 July 2015.</w:t>
      </w:r>
    </w:p>
  </w:footnote>
  <w:footnote w:id="19">
    <w:p w14:paraId="78229A09" w14:textId="04C4DBA0" w:rsidR="00EE7601" w:rsidRPr="006F2A40" w:rsidRDefault="00EE7601" w:rsidP="00422BEF">
      <w:pPr>
        <w:pStyle w:val="FootnoteText"/>
        <w:jc w:val="both"/>
        <w:rPr>
          <w:sz w:val="18"/>
          <w:szCs w:val="18"/>
          <w:lang w:val="en-US"/>
        </w:rPr>
      </w:pPr>
      <w:r w:rsidRPr="006F2A40">
        <w:rPr>
          <w:rStyle w:val="FootnoteReference"/>
          <w:sz w:val="18"/>
          <w:szCs w:val="18"/>
        </w:rPr>
        <w:footnoteRef/>
      </w:r>
      <w:r w:rsidRPr="006F2A40">
        <w:rPr>
          <w:sz w:val="18"/>
          <w:szCs w:val="18"/>
          <w:lang w:val="en-US"/>
        </w:rPr>
        <w:t xml:space="preserve"> </w:t>
      </w:r>
      <w:r w:rsidRPr="006F2A40">
        <w:rPr>
          <w:rFonts w:ascii="Times New Roman" w:hAnsi="Times New Roman" w:cs="Times New Roman"/>
          <w:sz w:val="18"/>
          <w:szCs w:val="18"/>
          <w:lang w:val="en-US"/>
        </w:rPr>
        <w:t xml:space="preserve">Bakker memorably linked </w:t>
      </w:r>
      <w:r>
        <w:rPr>
          <w:rFonts w:ascii="Times New Roman" w:hAnsi="Times New Roman" w:cs="Times New Roman"/>
          <w:sz w:val="18"/>
          <w:szCs w:val="18"/>
          <w:lang w:val="en-US"/>
        </w:rPr>
        <w:t>integrated reporting</w:t>
      </w:r>
      <w:r w:rsidRPr="006F2A40">
        <w:rPr>
          <w:rFonts w:ascii="Times New Roman" w:hAnsi="Times New Roman" w:cs="Times New Roman"/>
          <w:sz w:val="18"/>
          <w:szCs w:val="18"/>
          <w:lang w:val="en-US"/>
        </w:rPr>
        <w:t xml:space="preserve"> to the accounting profession in an address at Rio+20 when he proclaimed that ‘accountants would save the world’ by leading the way in supporting the adoption of </w:t>
      </w:r>
      <w:r>
        <w:rPr>
          <w:rFonts w:ascii="Times New Roman" w:hAnsi="Times New Roman" w:cs="Times New Roman"/>
          <w:sz w:val="18"/>
          <w:szCs w:val="18"/>
          <w:lang w:val="en-US"/>
        </w:rPr>
        <w:t>integrated reporting</w:t>
      </w:r>
      <w:r w:rsidRPr="006F2A40">
        <w:rPr>
          <w:rFonts w:ascii="Times New Roman" w:hAnsi="Times New Roman" w:cs="Times New Roman"/>
          <w:sz w:val="18"/>
          <w:szCs w:val="18"/>
          <w:lang w:val="en-US"/>
        </w:rPr>
        <w:t>.</w:t>
      </w:r>
    </w:p>
  </w:footnote>
  <w:footnote w:id="20">
    <w:p w14:paraId="2D1771A8" w14:textId="445E7CDF" w:rsidR="00EE7601" w:rsidRPr="00BB7730" w:rsidRDefault="00EE7601">
      <w:pPr>
        <w:pStyle w:val="FootnoteText"/>
        <w:rPr>
          <w:rFonts w:ascii="Times New Roman" w:hAnsi="Times New Roman" w:cs="Times New Roman"/>
          <w:sz w:val="18"/>
          <w:szCs w:val="18"/>
          <w:lang w:val="en-US"/>
        </w:rPr>
      </w:pPr>
      <w:r w:rsidRPr="00A932FF">
        <w:rPr>
          <w:rStyle w:val="FootnoteReference"/>
          <w:rFonts w:ascii="Times New Roman" w:hAnsi="Times New Roman" w:cs="Times New Roman"/>
          <w:sz w:val="18"/>
          <w:szCs w:val="18"/>
        </w:rPr>
        <w:footnoteRef/>
      </w:r>
      <w:r w:rsidRPr="00A932FF">
        <w:rPr>
          <w:rFonts w:ascii="Times New Roman" w:hAnsi="Times New Roman" w:cs="Times New Roman"/>
          <w:sz w:val="18"/>
          <w:szCs w:val="18"/>
          <w:lang w:val="en-US"/>
        </w:rPr>
        <w:t xml:space="preserve"> See, for example:</w:t>
      </w:r>
      <w:r>
        <w:rPr>
          <w:rFonts w:ascii="Times New Roman" w:hAnsi="Times New Roman" w:cs="Times New Roman"/>
          <w:sz w:val="18"/>
          <w:szCs w:val="18"/>
          <w:lang w:val="en-US"/>
        </w:rPr>
        <w:t xml:space="preserve"> </w:t>
      </w:r>
      <w:hyperlink r:id="rId13" w:history="1">
        <w:r w:rsidRPr="00BB7730">
          <w:rPr>
            <w:rStyle w:val="Hyperlink"/>
            <w:rFonts w:ascii="Times New Roman" w:hAnsi="Times New Roman" w:cs="Times New Roman"/>
            <w:color w:val="auto"/>
            <w:sz w:val="18"/>
            <w:szCs w:val="18"/>
            <w:lang w:val="en-US"/>
          </w:rPr>
          <w:t>http://www.som.cranfield.ac.uk/som/dinamiccontent/media/knowledgeinterchange/topics/Corporate%20Responsibility/0080/Transcript.pdf</w:t>
        </w:r>
      </w:hyperlink>
      <w:r w:rsidRPr="00BB7730">
        <w:rPr>
          <w:rFonts w:ascii="Times New Roman" w:hAnsi="Times New Roman" w:cs="Times New Roman"/>
          <w:sz w:val="18"/>
          <w:szCs w:val="18"/>
          <w:lang w:val="en-US"/>
        </w:rPr>
        <w:t>. Last accessed 31 January, 2014.</w:t>
      </w:r>
    </w:p>
  </w:footnote>
  <w:footnote w:id="21">
    <w:p w14:paraId="21EDC796" w14:textId="3E6A6381" w:rsidR="00EE7601" w:rsidRPr="002C42E2" w:rsidRDefault="00EE7601" w:rsidP="00953650">
      <w:pPr>
        <w:jc w:val="both"/>
        <w:rPr>
          <w:rFonts w:ascii="Times New Roman" w:hAnsi="Times New Roman" w:cs="Times New Roman"/>
          <w:sz w:val="18"/>
          <w:szCs w:val="18"/>
          <w:lang w:val="en-IE"/>
        </w:rPr>
      </w:pPr>
      <w:r w:rsidRPr="00953650">
        <w:rPr>
          <w:rStyle w:val="FootnoteReference"/>
          <w:rFonts w:ascii="Times New Roman" w:hAnsi="Times New Roman" w:cs="Times New Roman"/>
          <w:sz w:val="18"/>
          <w:szCs w:val="18"/>
        </w:rPr>
        <w:footnoteRef/>
      </w:r>
      <w:r w:rsidRPr="00953650">
        <w:rPr>
          <w:rFonts w:ascii="Times New Roman" w:hAnsi="Times New Roman" w:cs="Times New Roman"/>
          <w:sz w:val="18"/>
          <w:szCs w:val="18"/>
          <w:lang w:val="en-IE"/>
        </w:rPr>
        <w:t xml:space="preserve"> A Memorandum of Understanding </w:t>
      </w:r>
      <w:r w:rsidRPr="00953650">
        <w:rPr>
          <w:rStyle w:val="tgc"/>
          <w:rFonts w:ascii="Times New Roman" w:hAnsi="Times New Roman" w:cs="Times New Roman"/>
          <w:sz w:val="18"/>
          <w:szCs w:val="18"/>
          <w:lang w:val="en-IE"/>
        </w:rPr>
        <w:t>(</w:t>
      </w:r>
      <w:r w:rsidRPr="00953650">
        <w:rPr>
          <w:rStyle w:val="tgc"/>
          <w:rFonts w:ascii="Times New Roman" w:hAnsi="Times New Roman" w:cs="Times New Roman"/>
          <w:bCs/>
          <w:sz w:val="18"/>
          <w:szCs w:val="18"/>
          <w:lang w:val="en-IE"/>
        </w:rPr>
        <w:t>MOU</w:t>
      </w:r>
      <w:r w:rsidRPr="00953650">
        <w:rPr>
          <w:rStyle w:val="tgc"/>
          <w:rFonts w:ascii="Times New Roman" w:hAnsi="Times New Roman" w:cs="Times New Roman"/>
          <w:sz w:val="18"/>
          <w:szCs w:val="18"/>
          <w:lang w:val="en-IE"/>
        </w:rPr>
        <w:t xml:space="preserve">) is a formal agreement </w:t>
      </w:r>
      <w:r w:rsidRPr="00953650">
        <w:rPr>
          <w:rStyle w:val="st"/>
          <w:rFonts w:ascii="Times New Roman" w:hAnsi="Times New Roman" w:cs="Times New Roman"/>
          <w:sz w:val="18"/>
          <w:szCs w:val="18"/>
          <w:lang w:val="en-IE"/>
        </w:rPr>
        <w:t xml:space="preserve">that expresses mutual accord on an issue between two or more parties. </w:t>
      </w:r>
      <w:r w:rsidRPr="002C42E2">
        <w:rPr>
          <w:rFonts w:ascii="Times New Roman" w:hAnsi="Times New Roman" w:cs="Times New Roman"/>
          <w:sz w:val="18"/>
          <w:szCs w:val="18"/>
          <w:lang w:val="en-IE"/>
        </w:rPr>
        <w:t xml:space="preserve">Memoranda of understanding are generally seen to be </w:t>
      </w:r>
      <w:hyperlink r:id="rId14" w:history="1">
        <w:r w:rsidRPr="002C42E2">
          <w:rPr>
            <w:rStyle w:val="Hyperlink"/>
            <w:rFonts w:ascii="Times New Roman" w:hAnsi="Times New Roman" w:cs="Times New Roman"/>
            <w:color w:val="auto"/>
            <w:sz w:val="18"/>
            <w:szCs w:val="18"/>
            <w:lang w:val="en-IE"/>
          </w:rPr>
          <w:t>binding</w:t>
        </w:r>
      </w:hyperlink>
      <w:r w:rsidRPr="002C42E2">
        <w:rPr>
          <w:rFonts w:ascii="Times New Roman" w:hAnsi="Times New Roman" w:cs="Times New Roman"/>
          <w:sz w:val="18"/>
          <w:szCs w:val="18"/>
          <w:lang w:val="en-IE"/>
        </w:rPr>
        <w:t xml:space="preserve">, even if no </w:t>
      </w:r>
      <w:hyperlink r:id="rId15" w:history="1">
        <w:r w:rsidRPr="002C42E2">
          <w:rPr>
            <w:rStyle w:val="Hyperlink"/>
            <w:rFonts w:ascii="Times New Roman" w:hAnsi="Times New Roman" w:cs="Times New Roman"/>
            <w:color w:val="auto"/>
            <w:sz w:val="18"/>
            <w:szCs w:val="18"/>
            <w:lang w:val="en-IE"/>
          </w:rPr>
          <w:t>legal</w:t>
        </w:r>
      </w:hyperlink>
      <w:r w:rsidRPr="002C42E2">
        <w:rPr>
          <w:rFonts w:ascii="Times New Roman" w:hAnsi="Times New Roman" w:cs="Times New Roman"/>
          <w:sz w:val="18"/>
          <w:szCs w:val="18"/>
          <w:lang w:val="en-IE"/>
        </w:rPr>
        <w:t xml:space="preserve"> </w:t>
      </w:r>
      <w:hyperlink r:id="rId16" w:history="1">
        <w:r w:rsidRPr="002C42E2">
          <w:rPr>
            <w:rStyle w:val="Hyperlink"/>
            <w:rFonts w:ascii="Times New Roman" w:hAnsi="Times New Roman" w:cs="Times New Roman"/>
            <w:color w:val="auto"/>
            <w:sz w:val="18"/>
            <w:szCs w:val="18"/>
            <w:lang w:val="en-IE"/>
          </w:rPr>
          <w:t>claim</w:t>
        </w:r>
      </w:hyperlink>
      <w:r w:rsidRPr="002C42E2">
        <w:rPr>
          <w:rFonts w:ascii="Times New Roman" w:hAnsi="Times New Roman" w:cs="Times New Roman"/>
          <w:sz w:val="18"/>
          <w:szCs w:val="18"/>
          <w:lang w:val="en-IE"/>
        </w:rPr>
        <w:t xml:space="preserve"> can be based on the </w:t>
      </w:r>
      <w:hyperlink r:id="rId17" w:history="1">
        <w:r w:rsidRPr="002C42E2">
          <w:rPr>
            <w:rStyle w:val="Hyperlink"/>
            <w:rFonts w:ascii="Times New Roman" w:hAnsi="Times New Roman" w:cs="Times New Roman"/>
            <w:color w:val="auto"/>
            <w:sz w:val="18"/>
            <w:szCs w:val="18"/>
            <w:lang w:val="en-IE"/>
          </w:rPr>
          <w:t>rights</w:t>
        </w:r>
      </w:hyperlink>
      <w:r w:rsidRPr="002C42E2">
        <w:rPr>
          <w:rFonts w:ascii="Times New Roman" w:hAnsi="Times New Roman" w:cs="Times New Roman"/>
          <w:sz w:val="18"/>
          <w:szCs w:val="18"/>
          <w:lang w:val="en-IE"/>
        </w:rPr>
        <w:t xml:space="preserve"> and </w:t>
      </w:r>
      <w:hyperlink r:id="rId18" w:history="1">
        <w:r w:rsidRPr="002C42E2">
          <w:rPr>
            <w:rStyle w:val="Hyperlink"/>
            <w:rFonts w:ascii="Times New Roman" w:hAnsi="Times New Roman" w:cs="Times New Roman"/>
            <w:color w:val="auto"/>
            <w:sz w:val="18"/>
            <w:szCs w:val="18"/>
            <w:lang w:val="en-IE"/>
          </w:rPr>
          <w:t>obligations</w:t>
        </w:r>
      </w:hyperlink>
      <w:r w:rsidRPr="002C42E2">
        <w:rPr>
          <w:rFonts w:ascii="Times New Roman" w:hAnsi="Times New Roman" w:cs="Times New Roman"/>
          <w:sz w:val="18"/>
          <w:szCs w:val="18"/>
          <w:lang w:val="en-IE"/>
        </w:rPr>
        <w:t xml:space="preserve"> outlined in them. </w:t>
      </w:r>
    </w:p>
    <w:p w14:paraId="3A0E9571" w14:textId="40F275A8" w:rsidR="00EE7601" w:rsidRPr="00953650" w:rsidRDefault="00EE7601" w:rsidP="00BB7730">
      <w:pPr>
        <w:shd w:val="clear" w:color="auto" w:fill="FFFFFF"/>
        <w:rPr>
          <w:color w:val="000000"/>
          <w:lang w:val="en-IE"/>
        </w:rPr>
      </w:pPr>
      <w:r w:rsidRPr="00953650">
        <w:rPr>
          <w:color w:val="000000"/>
          <w:lang w:val="en-IE"/>
        </w:rPr>
        <w:br/>
      </w:r>
    </w:p>
    <w:p w14:paraId="5624D0D8" w14:textId="3F0B29FB" w:rsidR="00EE7601" w:rsidRPr="00953650" w:rsidRDefault="00EE7601">
      <w:pPr>
        <w:pStyle w:val="FootnoteText"/>
        <w:rPr>
          <w:lang w:val="en-IE"/>
        </w:rPr>
      </w:pPr>
      <w:r w:rsidRPr="00953650">
        <w:rPr>
          <w:rStyle w:val="tgc"/>
          <w:lang w:val="en-IE"/>
        </w:rPr>
        <w:t>.</w:t>
      </w:r>
      <w:r>
        <w:rPr>
          <w:lang w:val="en-IE"/>
        </w:rPr>
        <w:t>.</w:t>
      </w:r>
    </w:p>
  </w:footnote>
  <w:footnote w:id="22">
    <w:p w14:paraId="30722FBC" w14:textId="25EE2572" w:rsidR="00EE7601" w:rsidRPr="006F2A40" w:rsidRDefault="00EE7601" w:rsidP="00FC086C">
      <w:pPr>
        <w:pStyle w:val="FootnoteText"/>
        <w:jc w:val="both"/>
        <w:rPr>
          <w:rFonts w:ascii="Times New Roman" w:hAnsi="Times New Roman" w:cs="Times New Roman"/>
          <w:sz w:val="18"/>
          <w:szCs w:val="18"/>
          <w:lang w:val="en-US"/>
        </w:rPr>
      </w:pPr>
      <w:r w:rsidRPr="006F2A40">
        <w:rPr>
          <w:rStyle w:val="FootnoteReference"/>
          <w:rFonts w:ascii="Times New Roman" w:hAnsi="Times New Roman" w:cs="Times New Roman"/>
          <w:sz w:val="18"/>
          <w:szCs w:val="18"/>
        </w:rPr>
        <w:footnoteRef/>
      </w:r>
      <w:r w:rsidRPr="006F2A40">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Some of </w:t>
      </w:r>
      <w:r w:rsidRPr="00ED7FB3">
        <w:rPr>
          <w:rFonts w:ascii="Times New Roman" w:hAnsi="Times New Roman" w:cs="Times New Roman"/>
          <w:sz w:val="18"/>
          <w:szCs w:val="18"/>
          <w:lang w:val="en-US"/>
        </w:rPr>
        <w:t xml:space="preserve">the other </w:t>
      </w:r>
      <w:r>
        <w:rPr>
          <w:rFonts w:ascii="Times New Roman" w:hAnsi="Times New Roman" w:cs="Times New Roman"/>
          <w:sz w:val="18"/>
          <w:szCs w:val="18"/>
          <w:lang w:val="en-US"/>
        </w:rPr>
        <w:t>Memoranda of Understanding</w:t>
      </w:r>
      <w:r w:rsidRPr="00ED7FB3">
        <w:rPr>
          <w:rFonts w:ascii="Times New Roman" w:hAnsi="Times New Roman" w:cs="Times New Roman"/>
          <w:sz w:val="18"/>
          <w:szCs w:val="18"/>
          <w:lang w:val="en-US"/>
        </w:rPr>
        <w:t xml:space="preserve"> signed included </w:t>
      </w:r>
      <w:r>
        <w:rPr>
          <w:rFonts w:ascii="Times New Roman" w:hAnsi="Times New Roman" w:cs="Times New Roman"/>
          <w:sz w:val="18"/>
          <w:szCs w:val="18"/>
          <w:lang w:val="en-US"/>
        </w:rPr>
        <w:t>Memoranda of Understanding</w:t>
      </w:r>
      <w:r w:rsidRPr="00CE23E9">
        <w:rPr>
          <w:rFonts w:ascii="Times New Roman" w:hAnsi="Times New Roman" w:cs="Times New Roman"/>
          <w:sz w:val="18"/>
          <w:szCs w:val="18"/>
          <w:lang w:val="en-US"/>
        </w:rPr>
        <w:t xml:space="preserve"> with: the Sustainability Accounting Standards Board (January 2014); the Global Initiative for Sustainability Ratings (December 2013); and the World Business Council for </w:t>
      </w:r>
      <w:r>
        <w:rPr>
          <w:rFonts w:ascii="Times New Roman" w:hAnsi="Times New Roman" w:cs="Times New Roman"/>
          <w:sz w:val="18"/>
          <w:szCs w:val="18"/>
          <w:lang w:val="en-US"/>
        </w:rPr>
        <w:t>S</w:t>
      </w:r>
      <w:r w:rsidRPr="00CE23E9">
        <w:rPr>
          <w:rFonts w:ascii="Times New Roman" w:hAnsi="Times New Roman" w:cs="Times New Roman"/>
          <w:sz w:val="18"/>
          <w:szCs w:val="18"/>
          <w:lang w:val="en-US"/>
        </w:rPr>
        <w:t>ustainable Development (April 2013). A formal Corporate Reporting Dialogue</w:t>
      </w:r>
      <w:r>
        <w:rPr>
          <w:rFonts w:ascii="Times New Roman" w:hAnsi="Times New Roman" w:cs="Times New Roman"/>
          <w:sz w:val="18"/>
          <w:szCs w:val="18"/>
          <w:lang w:val="en-US"/>
        </w:rPr>
        <w:t xml:space="preserve"> </w:t>
      </w:r>
      <w:r w:rsidRPr="00CE23E9">
        <w:rPr>
          <w:rFonts w:ascii="Times New Roman" w:hAnsi="Times New Roman" w:cs="Times New Roman"/>
          <w:sz w:val="18"/>
          <w:szCs w:val="18"/>
          <w:lang w:val="en-US"/>
        </w:rPr>
        <w:t xml:space="preserve">was also launched in June 2014 to try to, in the words of Paul </w:t>
      </w:r>
      <w:proofErr w:type="spellStart"/>
      <w:r w:rsidRPr="00CE23E9">
        <w:rPr>
          <w:rFonts w:ascii="Times New Roman" w:hAnsi="Times New Roman" w:cs="Times New Roman"/>
          <w:sz w:val="18"/>
          <w:szCs w:val="18"/>
          <w:lang w:val="en-US"/>
        </w:rPr>
        <w:t>Druckman</w:t>
      </w:r>
      <w:proofErr w:type="spellEnd"/>
      <w:r>
        <w:rPr>
          <w:rFonts w:ascii="Times New Roman" w:hAnsi="Times New Roman" w:cs="Times New Roman"/>
          <w:sz w:val="18"/>
          <w:szCs w:val="18"/>
          <w:lang w:val="en-US"/>
        </w:rPr>
        <w:t>,</w:t>
      </w:r>
      <w:r w:rsidRPr="00CE23E9">
        <w:rPr>
          <w:rFonts w:ascii="Times New Roman" w:hAnsi="Times New Roman" w:cs="Times New Roman"/>
          <w:sz w:val="18"/>
          <w:szCs w:val="18"/>
          <w:lang w:val="en-US"/>
        </w:rPr>
        <w:t xml:space="preserve"> “strengthen the cooperation, coordination and alignment between key organizations [involved in Environment, Social and Governance Reporting]</w:t>
      </w:r>
      <w:r>
        <w:rPr>
          <w:rFonts w:ascii="Times New Roman" w:hAnsi="Times New Roman" w:cs="Times New Roman"/>
          <w:sz w:val="18"/>
          <w:szCs w:val="18"/>
          <w:lang w:val="en-US"/>
        </w:rPr>
        <w:t>,</w:t>
      </w:r>
      <w:r w:rsidRPr="00CE23E9">
        <w:rPr>
          <w:rFonts w:ascii="Times New Roman" w:hAnsi="Times New Roman" w:cs="Times New Roman"/>
          <w:sz w:val="18"/>
          <w:szCs w:val="18"/>
          <w:lang w:val="en-US"/>
        </w:rPr>
        <w:t xml:space="preserve"> with Integrated Reporting as the umbrella”. </w:t>
      </w:r>
      <w:r>
        <w:rPr>
          <w:rFonts w:ascii="Times New Roman" w:hAnsi="Times New Roman" w:cs="Times New Roman"/>
          <w:sz w:val="18"/>
          <w:szCs w:val="18"/>
          <w:lang w:val="en-US"/>
        </w:rPr>
        <w:t>The</w:t>
      </w:r>
      <w:r w:rsidRPr="00CE23E9">
        <w:rPr>
          <w:rFonts w:ascii="Times New Roman" w:hAnsi="Times New Roman" w:cs="Times New Roman"/>
          <w:sz w:val="18"/>
          <w:szCs w:val="18"/>
          <w:lang w:val="en-US"/>
        </w:rPr>
        <w:t xml:space="preserve"> ‘</w:t>
      </w:r>
      <w:r>
        <w:rPr>
          <w:rFonts w:ascii="Times New Roman" w:hAnsi="Times New Roman" w:cs="Times New Roman"/>
          <w:sz w:val="18"/>
          <w:szCs w:val="18"/>
          <w:lang w:val="en-US"/>
        </w:rPr>
        <w:t>key organizatio</w:t>
      </w:r>
      <w:r w:rsidRPr="00CE23E9">
        <w:rPr>
          <w:rFonts w:ascii="Times New Roman" w:hAnsi="Times New Roman" w:cs="Times New Roman"/>
          <w:sz w:val="18"/>
          <w:szCs w:val="18"/>
          <w:lang w:val="en-US"/>
        </w:rPr>
        <w:t>ns’ comprising the Corporate Reporting Dialogue</w:t>
      </w:r>
      <w:r>
        <w:rPr>
          <w:rFonts w:ascii="Times New Roman" w:hAnsi="Times New Roman" w:cs="Times New Roman"/>
          <w:sz w:val="18"/>
          <w:szCs w:val="18"/>
          <w:lang w:val="en-US"/>
        </w:rPr>
        <w:t xml:space="preserve"> </w:t>
      </w:r>
      <w:r w:rsidRPr="00CE23E9">
        <w:rPr>
          <w:rFonts w:ascii="Times New Roman" w:hAnsi="Times New Roman" w:cs="Times New Roman"/>
          <w:sz w:val="18"/>
          <w:szCs w:val="18"/>
          <w:lang w:val="en-US"/>
        </w:rPr>
        <w:t xml:space="preserve">were: </w:t>
      </w:r>
      <w:r>
        <w:rPr>
          <w:rFonts w:ascii="Times New Roman" w:hAnsi="Times New Roman" w:cs="Times New Roman"/>
          <w:sz w:val="18"/>
          <w:szCs w:val="18"/>
          <w:lang w:val="en-US"/>
        </w:rPr>
        <w:t>the Global Reporting Initiative</w:t>
      </w:r>
      <w:r w:rsidRPr="00CE23E9">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the Carbon Disclosure Project </w:t>
      </w:r>
      <w:r w:rsidRPr="00CE23E9">
        <w:rPr>
          <w:rFonts w:ascii="Times New Roman" w:hAnsi="Times New Roman" w:cs="Times New Roman"/>
          <w:sz w:val="18"/>
          <w:szCs w:val="18"/>
          <w:lang w:val="en-US"/>
        </w:rPr>
        <w:t>; FASB</w:t>
      </w:r>
      <w:r>
        <w:rPr>
          <w:rFonts w:ascii="Times New Roman" w:hAnsi="Times New Roman" w:cs="Times New Roman"/>
          <w:sz w:val="18"/>
          <w:szCs w:val="18"/>
          <w:lang w:val="en-US"/>
        </w:rPr>
        <w:t>; IASB; ISO (International Orga</w:t>
      </w:r>
      <w:r w:rsidRPr="00CE23E9">
        <w:rPr>
          <w:rFonts w:ascii="Times New Roman" w:hAnsi="Times New Roman" w:cs="Times New Roman"/>
          <w:sz w:val="18"/>
          <w:szCs w:val="18"/>
          <w:lang w:val="en-US"/>
        </w:rPr>
        <w:t xml:space="preserve">nization for Standardization; </w:t>
      </w:r>
      <w:r>
        <w:rPr>
          <w:rFonts w:ascii="Times New Roman" w:hAnsi="Times New Roman" w:cs="Times New Roman"/>
          <w:sz w:val="18"/>
          <w:szCs w:val="18"/>
          <w:lang w:val="en-US"/>
        </w:rPr>
        <w:t>Carbon Disclosure Standards Board</w:t>
      </w:r>
      <w:r w:rsidRPr="00CE23E9">
        <w:rPr>
          <w:rFonts w:ascii="Times New Roman" w:hAnsi="Times New Roman" w:cs="Times New Roman"/>
          <w:sz w:val="18"/>
          <w:szCs w:val="18"/>
          <w:lang w:val="en-US"/>
        </w:rPr>
        <w:t>; IIRC; International Public Sector Accounting Standards Board; and S</w:t>
      </w:r>
      <w:r>
        <w:rPr>
          <w:rFonts w:ascii="Times New Roman" w:hAnsi="Times New Roman" w:cs="Times New Roman"/>
          <w:sz w:val="18"/>
          <w:szCs w:val="18"/>
          <w:lang w:val="en-US"/>
        </w:rPr>
        <w:t xml:space="preserve">ustainability </w:t>
      </w:r>
      <w:r w:rsidRPr="00CE23E9">
        <w:rPr>
          <w:rFonts w:ascii="Times New Roman" w:hAnsi="Times New Roman" w:cs="Times New Roman"/>
          <w:sz w:val="18"/>
          <w:szCs w:val="18"/>
          <w:lang w:val="en-US"/>
        </w:rPr>
        <w:t>A</w:t>
      </w:r>
      <w:r>
        <w:rPr>
          <w:rFonts w:ascii="Times New Roman" w:hAnsi="Times New Roman" w:cs="Times New Roman"/>
          <w:sz w:val="18"/>
          <w:szCs w:val="18"/>
          <w:lang w:val="en-US"/>
        </w:rPr>
        <w:t xml:space="preserve">ccounting </w:t>
      </w:r>
      <w:r w:rsidRPr="00CE23E9">
        <w:rPr>
          <w:rFonts w:ascii="Times New Roman" w:hAnsi="Times New Roman" w:cs="Times New Roman"/>
          <w:sz w:val="18"/>
          <w:szCs w:val="18"/>
          <w:lang w:val="en-US"/>
        </w:rPr>
        <w:t>S</w:t>
      </w:r>
      <w:r>
        <w:rPr>
          <w:rFonts w:ascii="Times New Roman" w:hAnsi="Times New Roman" w:cs="Times New Roman"/>
          <w:sz w:val="18"/>
          <w:szCs w:val="18"/>
          <w:lang w:val="en-US"/>
        </w:rPr>
        <w:t xml:space="preserve">tandards </w:t>
      </w:r>
      <w:r w:rsidRPr="00CE23E9">
        <w:rPr>
          <w:rFonts w:ascii="Times New Roman" w:hAnsi="Times New Roman" w:cs="Times New Roman"/>
          <w:sz w:val="18"/>
          <w:szCs w:val="18"/>
          <w:lang w:val="en-US"/>
        </w:rPr>
        <w:t>B</w:t>
      </w:r>
      <w:r>
        <w:rPr>
          <w:rFonts w:ascii="Times New Roman" w:hAnsi="Times New Roman" w:cs="Times New Roman"/>
          <w:sz w:val="18"/>
          <w:szCs w:val="18"/>
          <w:lang w:val="en-US"/>
        </w:rPr>
        <w:t>oard</w:t>
      </w:r>
      <w:r w:rsidRPr="00CE23E9">
        <w:rPr>
          <w:rFonts w:ascii="Times New Roman" w:hAnsi="Times New Roman" w:cs="Times New Roman"/>
          <w:sz w:val="18"/>
          <w:szCs w:val="18"/>
          <w:lang w:val="en-US"/>
        </w:rPr>
        <w:t>.</w:t>
      </w:r>
    </w:p>
  </w:footnote>
  <w:footnote w:id="23">
    <w:p w14:paraId="4F41806E" w14:textId="708A1EE4" w:rsidR="00EE7601" w:rsidRPr="00686181" w:rsidRDefault="00EE7601" w:rsidP="00686181">
      <w:pPr>
        <w:pStyle w:val="FootnoteText"/>
        <w:jc w:val="both"/>
        <w:rPr>
          <w:rFonts w:ascii="Times New Roman" w:hAnsi="Times New Roman" w:cs="Times New Roman"/>
          <w:sz w:val="18"/>
          <w:szCs w:val="18"/>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Sourced from Minutes of IIRC council meeting on December 5, 2013 (p. 6).</w:t>
      </w:r>
    </w:p>
  </w:footnote>
  <w:footnote w:id="24">
    <w:p w14:paraId="3613E049" w14:textId="104E71EA" w:rsidR="00EE7601" w:rsidRPr="00686181" w:rsidRDefault="00EE7601" w:rsidP="00686181">
      <w:pPr>
        <w:pStyle w:val="FootnoteText"/>
        <w:jc w:val="both"/>
        <w:rPr>
          <w:rFonts w:ascii="Times New Roman" w:hAnsi="Times New Roman" w:cs="Times New Roman"/>
          <w:sz w:val="18"/>
          <w:szCs w:val="18"/>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See; </w:t>
      </w:r>
      <w:hyperlink r:id="rId19" w:history="1">
        <w:r w:rsidRPr="00686181">
          <w:rPr>
            <w:rStyle w:val="Hyperlink"/>
            <w:rFonts w:ascii="Times New Roman" w:hAnsi="Times New Roman" w:cs="Times New Roman"/>
            <w:color w:val="auto"/>
            <w:sz w:val="18"/>
            <w:szCs w:val="18"/>
            <w:lang w:val="en-GB"/>
          </w:rPr>
          <w:t>http://www.theguardian.com/sustainable-business/integrated-reporting-framework-trust-iirc</w:t>
        </w:r>
      </w:hyperlink>
      <w:r w:rsidRPr="00686181">
        <w:rPr>
          <w:rFonts w:ascii="Times New Roman" w:hAnsi="Times New Roman" w:cs="Times New Roman"/>
          <w:sz w:val="18"/>
          <w:szCs w:val="18"/>
          <w:lang w:val="en-GB"/>
        </w:rPr>
        <w:t>. Last accessed August 11 2015.</w:t>
      </w:r>
    </w:p>
  </w:footnote>
  <w:footnote w:id="25">
    <w:p w14:paraId="0219E1EB" w14:textId="2C74DFB9" w:rsidR="00EE7601" w:rsidRPr="00686181" w:rsidRDefault="00EE7601" w:rsidP="00686181">
      <w:pPr>
        <w:pStyle w:val="FootnoteText"/>
        <w:jc w:val="both"/>
        <w:rPr>
          <w:rFonts w:ascii="Times New Roman" w:hAnsi="Times New Roman" w:cs="Times New Roman"/>
          <w:sz w:val="18"/>
          <w:szCs w:val="18"/>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See: </w:t>
      </w:r>
      <w:hyperlink r:id="rId20" w:history="1">
        <w:r w:rsidRPr="00686181">
          <w:rPr>
            <w:rStyle w:val="Hyperlink"/>
            <w:rFonts w:ascii="Times New Roman" w:hAnsi="Times New Roman" w:cs="Times New Roman"/>
            <w:color w:val="auto"/>
            <w:sz w:val="18"/>
            <w:szCs w:val="18"/>
            <w:lang w:val="en-US"/>
          </w:rPr>
          <w:t>http://integratedreporting.org/resource/draft-framework-outline-2/</w:t>
        </w:r>
      </w:hyperlink>
      <w:r w:rsidRPr="00686181">
        <w:rPr>
          <w:rFonts w:ascii="Times New Roman" w:hAnsi="Times New Roman" w:cs="Times New Roman"/>
          <w:sz w:val="18"/>
          <w:szCs w:val="18"/>
          <w:lang w:val="en-GB"/>
        </w:rPr>
        <w:t>. Last accessed August 11 2015.</w:t>
      </w:r>
    </w:p>
  </w:footnote>
  <w:footnote w:id="26">
    <w:p w14:paraId="370026FF" w14:textId="2DA9E6E2" w:rsidR="00EE7601" w:rsidRPr="00686181" w:rsidRDefault="00EE7601" w:rsidP="00686181">
      <w:pPr>
        <w:pStyle w:val="FootnoteText"/>
        <w:jc w:val="both"/>
        <w:rPr>
          <w:sz w:val="18"/>
          <w:szCs w:val="18"/>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See: </w:t>
      </w:r>
      <w:hyperlink r:id="rId21" w:history="1">
        <w:r w:rsidRPr="00686181">
          <w:rPr>
            <w:rStyle w:val="Hyperlink"/>
            <w:rFonts w:ascii="Times New Roman" w:hAnsi="Times New Roman" w:cs="Times New Roman"/>
            <w:color w:val="auto"/>
            <w:sz w:val="18"/>
            <w:szCs w:val="18"/>
            <w:lang w:val="en-GB"/>
          </w:rPr>
          <w:t>http://integratedreporting.org/wp-content/uploads/2012/06/Discussion-Paper-Summary1.pdf</w:t>
        </w:r>
      </w:hyperlink>
      <w:r w:rsidRPr="00686181">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p.5. Last accessed 11 August </w:t>
      </w:r>
      <w:r w:rsidRPr="00686181">
        <w:rPr>
          <w:rFonts w:ascii="Times New Roman" w:hAnsi="Times New Roman" w:cs="Times New Roman"/>
          <w:sz w:val="18"/>
          <w:szCs w:val="18"/>
          <w:lang w:val="en-GB"/>
        </w:rPr>
        <w:t>2015.</w:t>
      </w:r>
    </w:p>
  </w:footnote>
  <w:footnote w:id="27">
    <w:p w14:paraId="42F928E0" w14:textId="5BBB7232" w:rsidR="00EE7601" w:rsidRPr="00686181" w:rsidRDefault="00EE7601" w:rsidP="00FA14F3">
      <w:pPr>
        <w:pStyle w:val="FootnoteText"/>
        <w:rPr>
          <w:rFonts w:ascii="Times New Roman" w:hAnsi="Times New Roman" w:cs="Times New Roman"/>
          <w:sz w:val="18"/>
          <w:szCs w:val="18"/>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See: </w:t>
      </w:r>
      <w:hyperlink r:id="rId22" w:history="1">
        <w:r w:rsidRPr="00686181">
          <w:rPr>
            <w:rStyle w:val="Hyperlink"/>
            <w:rFonts w:ascii="Times New Roman" w:hAnsi="Times New Roman" w:cs="Times New Roman"/>
            <w:color w:val="auto"/>
            <w:sz w:val="18"/>
            <w:szCs w:val="18"/>
            <w:lang w:val="en-GB"/>
          </w:rPr>
          <w:t>http://economia.icaew.com/people/december-2013/paul-druckman</w:t>
        </w:r>
      </w:hyperlink>
      <w:r w:rsidRPr="00686181">
        <w:rPr>
          <w:rFonts w:ascii="Times New Roman" w:hAnsi="Times New Roman" w:cs="Times New Roman"/>
          <w:sz w:val="18"/>
          <w:szCs w:val="18"/>
          <w:lang w:val="en-GB"/>
        </w:rPr>
        <w:t>. Last accessed 11 August 2015.</w:t>
      </w:r>
    </w:p>
  </w:footnote>
  <w:footnote w:id="28">
    <w:p w14:paraId="79AC16F5" w14:textId="335463E0" w:rsidR="00EE7601" w:rsidRPr="00686181" w:rsidRDefault="00EE7601">
      <w:pPr>
        <w:pStyle w:val="FootnoteText"/>
        <w:rPr>
          <w:rFonts w:ascii="Times New Roman" w:hAnsi="Times New Roman" w:cs="Times New Roman"/>
          <w:sz w:val="18"/>
          <w:szCs w:val="18"/>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See: </w:t>
      </w:r>
      <w:hyperlink r:id="rId23" w:history="1">
        <w:r w:rsidRPr="00686181">
          <w:rPr>
            <w:rStyle w:val="Hyperlink"/>
            <w:rFonts w:ascii="Times New Roman" w:hAnsi="Times New Roman" w:cs="Times New Roman"/>
            <w:color w:val="auto"/>
            <w:sz w:val="18"/>
            <w:szCs w:val="18"/>
            <w:lang w:val="en-GB"/>
          </w:rPr>
          <w:t>http://integratedreporting.org/wp-content/uploads/2013/08/244_CPA-Canada.pdf</w:t>
        </w:r>
      </w:hyperlink>
      <w:r w:rsidRPr="00686181">
        <w:rPr>
          <w:rFonts w:ascii="Times New Roman" w:hAnsi="Times New Roman" w:cs="Times New Roman"/>
          <w:sz w:val="18"/>
          <w:szCs w:val="18"/>
          <w:lang w:val="en-GB"/>
        </w:rPr>
        <w:t>. Last accessed 11 August 2015.</w:t>
      </w:r>
    </w:p>
  </w:footnote>
  <w:footnote w:id="29">
    <w:p w14:paraId="20399307" w14:textId="179AB09D" w:rsidR="00EE7601" w:rsidRPr="00686181" w:rsidRDefault="00EE7601">
      <w:pPr>
        <w:pStyle w:val="FootnoteText"/>
        <w:rPr>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w:t>
      </w:r>
      <w:hyperlink r:id="rId24" w:history="1">
        <w:r w:rsidRPr="00686181">
          <w:rPr>
            <w:rStyle w:val="Hyperlink"/>
            <w:rFonts w:ascii="Times New Roman" w:hAnsi="Times New Roman" w:cs="Times New Roman"/>
            <w:color w:val="auto"/>
            <w:sz w:val="18"/>
            <w:szCs w:val="18"/>
            <w:lang w:val="en-GB"/>
          </w:rPr>
          <w:t>http://integratedreporting.org/wp-content/uploads/2013/08/252_Ernst-Young-Global-Limited.pdf</w:t>
        </w:r>
      </w:hyperlink>
      <w:r w:rsidRPr="00686181">
        <w:rPr>
          <w:rFonts w:ascii="Times New Roman" w:hAnsi="Times New Roman" w:cs="Times New Roman"/>
          <w:sz w:val="18"/>
          <w:szCs w:val="18"/>
          <w:lang w:val="en-GB"/>
        </w:rPr>
        <w:t xml:space="preserve">. </w:t>
      </w:r>
      <w:r w:rsidRPr="00B14C86">
        <w:rPr>
          <w:rFonts w:ascii="Times New Roman" w:hAnsi="Times New Roman" w:cs="Times New Roman"/>
          <w:sz w:val="18"/>
          <w:szCs w:val="18"/>
          <w:lang w:val="en-GB"/>
        </w:rPr>
        <w:t>Last accessed 11 August 2015</w:t>
      </w:r>
      <w:r>
        <w:rPr>
          <w:rFonts w:ascii="Times New Roman" w:hAnsi="Times New Roman" w:cs="Times New Roman"/>
          <w:sz w:val="18"/>
          <w:szCs w:val="18"/>
          <w:lang w:val="en-GB"/>
        </w:rPr>
        <w:t>.</w:t>
      </w:r>
    </w:p>
  </w:footnote>
  <w:footnote w:id="30">
    <w:p w14:paraId="393C0AE2" w14:textId="757371C8" w:rsidR="00EE7601" w:rsidRPr="00BA7E3A" w:rsidRDefault="00EE7601" w:rsidP="00BA7E3A">
      <w:pPr>
        <w:pStyle w:val="FootnoteText"/>
        <w:jc w:val="both"/>
        <w:rPr>
          <w:rFonts w:ascii="Times New Roman" w:hAnsi="Times New Roman" w:cs="Times New Roman"/>
          <w:sz w:val="18"/>
          <w:szCs w:val="18"/>
          <w:lang w:val="en-US"/>
        </w:rPr>
      </w:pPr>
      <w:r w:rsidRPr="00FC086C">
        <w:rPr>
          <w:rStyle w:val="FootnoteReference"/>
          <w:sz w:val="18"/>
          <w:szCs w:val="18"/>
        </w:rPr>
        <w:footnoteRef/>
      </w:r>
      <w:r w:rsidRPr="00FC086C">
        <w:rPr>
          <w:sz w:val="18"/>
          <w:szCs w:val="18"/>
          <w:lang w:val="en-US"/>
        </w:rPr>
        <w:t xml:space="preserve"> </w:t>
      </w:r>
      <w:r w:rsidRPr="00FC086C">
        <w:rPr>
          <w:rFonts w:ascii="Times New Roman" w:hAnsi="Times New Roman" w:cs="Times New Roman"/>
          <w:sz w:val="18"/>
          <w:szCs w:val="18"/>
          <w:lang w:val="en-US"/>
        </w:rPr>
        <w:t xml:space="preserve">See: </w:t>
      </w:r>
      <w:hyperlink r:id="rId25" w:history="1">
        <w:r w:rsidRPr="00FC086C">
          <w:rPr>
            <w:rStyle w:val="Hyperlink"/>
            <w:rFonts w:ascii="Times New Roman" w:hAnsi="Times New Roman" w:cs="Times New Roman"/>
            <w:color w:val="auto"/>
            <w:sz w:val="18"/>
            <w:szCs w:val="18"/>
            <w:lang w:val="en-US"/>
          </w:rPr>
          <w:t>http://www.theguardian.com/sustainable-business/integrated-reporting-framework-trust-iirc</w:t>
        </w:r>
      </w:hyperlink>
      <w:r w:rsidRPr="00FC086C">
        <w:rPr>
          <w:rFonts w:ascii="Times New Roman" w:hAnsi="Times New Roman" w:cs="Times New Roman"/>
          <w:sz w:val="18"/>
          <w:szCs w:val="18"/>
          <w:lang w:val="en-US"/>
        </w:rPr>
        <w:t xml:space="preserve">. </w:t>
      </w:r>
      <w:r>
        <w:rPr>
          <w:rFonts w:ascii="Times New Roman" w:hAnsi="Times New Roman" w:cs="Times New Roman"/>
          <w:sz w:val="18"/>
          <w:szCs w:val="18"/>
          <w:lang w:val="en-US"/>
        </w:rPr>
        <w:t>Last a</w:t>
      </w:r>
      <w:r w:rsidRPr="00FC086C">
        <w:rPr>
          <w:rFonts w:ascii="Times New Roman" w:hAnsi="Times New Roman" w:cs="Times New Roman"/>
          <w:sz w:val="18"/>
          <w:szCs w:val="18"/>
          <w:lang w:val="en-US"/>
        </w:rPr>
        <w:t xml:space="preserve">ccessed </w:t>
      </w:r>
      <w:r>
        <w:rPr>
          <w:rFonts w:ascii="Times New Roman" w:hAnsi="Times New Roman" w:cs="Times New Roman"/>
          <w:sz w:val="18"/>
          <w:szCs w:val="18"/>
          <w:lang w:val="en-US"/>
        </w:rPr>
        <w:t xml:space="preserve">October </w:t>
      </w:r>
      <w:r w:rsidRPr="00FC086C">
        <w:rPr>
          <w:rFonts w:ascii="Times New Roman" w:hAnsi="Times New Roman" w:cs="Times New Roman"/>
          <w:sz w:val="18"/>
          <w:szCs w:val="18"/>
          <w:lang w:val="en-US"/>
        </w:rPr>
        <w:t>1</w:t>
      </w:r>
      <w:r>
        <w:rPr>
          <w:rFonts w:ascii="Times New Roman" w:hAnsi="Times New Roman" w:cs="Times New Roman"/>
          <w:sz w:val="18"/>
          <w:szCs w:val="18"/>
          <w:lang w:val="en-US"/>
        </w:rPr>
        <w:t>4</w:t>
      </w:r>
      <w:r w:rsidRPr="00FC086C">
        <w:rPr>
          <w:rFonts w:ascii="Times New Roman" w:hAnsi="Times New Roman" w:cs="Times New Roman"/>
          <w:sz w:val="18"/>
          <w:szCs w:val="18"/>
          <w:lang w:val="en-US"/>
        </w:rPr>
        <w:t xml:space="preserve">, </w:t>
      </w:r>
      <w:r w:rsidRPr="001257AE">
        <w:rPr>
          <w:rFonts w:ascii="Times New Roman" w:hAnsi="Times New Roman" w:cs="Times New Roman"/>
          <w:sz w:val="18"/>
          <w:szCs w:val="18"/>
          <w:lang w:val="en-US"/>
        </w:rPr>
        <w:t>2014.</w:t>
      </w:r>
    </w:p>
  </w:footnote>
  <w:footnote w:id="31">
    <w:p w14:paraId="4EE848F4" w14:textId="505D8C14" w:rsidR="00EE7601" w:rsidRPr="00BA7E3A" w:rsidRDefault="00EE7601" w:rsidP="008E4449">
      <w:pPr>
        <w:pStyle w:val="FootnoteText"/>
        <w:jc w:val="both"/>
        <w:rPr>
          <w:lang w:val="en-US"/>
        </w:rPr>
      </w:pPr>
      <w:r w:rsidRPr="00CD0156">
        <w:rPr>
          <w:rStyle w:val="FootnoteReference"/>
          <w:rFonts w:ascii="Times New Roman" w:hAnsi="Times New Roman" w:cs="Times New Roman"/>
          <w:sz w:val="18"/>
          <w:szCs w:val="18"/>
        </w:rPr>
        <w:footnoteRef/>
      </w:r>
      <w:r w:rsidRPr="00CD0156">
        <w:rPr>
          <w:rFonts w:ascii="Times New Roman" w:hAnsi="Times New Roman" w:cs="Times New Roman"/>
          <w:sz w:val="18"/>
          <w:szCs w:val="18"/>
          <w:lang w:val="en-US"/>
        </w:rPr>
        <w:t xml:space="preserve"> See: </w:t>
      </w:r>
      <w:hyperlink r:id="rId26" w:history="1">
        <w:r w:rsidRPr="00822759">
          <w:rPr>
            <w:rStyle w:val="Hyperlink"/>
            <w:rFonts w:ascii="Times New Roman" w:hAnsi="Times New Roman" w:cs="Times New Roman"/>
            <w:color w:val="auto"/>
            <w:sz w:val="18"/>
            <w:szCs w:val="18"/>
            <w:lang w:val="en-US"/>
          </w:rPr>
          <w:t xml:space="preserve">http://www.theiirc.org/wp-content/uploads/2013/10/IIRC-Pilot-Programme-Investor-Critique-2013.pdf. </w:t>
        </w:r>
        <w:r w:rsidRPr="00C2323A">
          <w:rPr>
            <w:rStyle w:val="Hyperlink"/>
            <w:rFonts w:ascii="Times New Roman" w:hAnsi="Times New Roman" w:cs="Times New Roman"/>
            <w:color w:val="auto"/>
            <w:sz w:val="18"/>
            <w:szCs w:val="18"/>
            <w:lang w:val="en-US"/>
          </w:rPr>
          <w:t>Last accessed October 14, 2014</w:t>
        </w:r>
      </w:hyperlink>
      <w:r w:rsidRPr="00CD0156">
        <w:rPr>
          <w:rFonts w:ascii="Times New Roman" w:hAnsi="Times New Roman" w:cs="Times New Roman"/>
          <w:sz w:val="18"/>
          <w:szCs w:val="18"/>
          <w:lang w:val="en-US"/>
        </w:rPr>
        <w:t>. Some of the key critici</w:t>
      </w:r>
      <w:r w:rsidRPr="00822759">
        <w:rPr>
          <w:rFonts w:ascii="Times New Roman" w:hAnsi="Times New Roman" w:cs="Times New Roman"/>
          <w:sz w:val="18"/>
          <w:szCs w:val="18"/>
          <w:lang w:val="en-US"/>
        </w:rPr>
        <w:t xml:space="preserve">sms included the poor connectivity of information in IRs; the illogical flow of information; insufficient governance information; and the lack of materiality assessment processes. It should be noted that the </w:t>
      </w:r>
      <w:r w:rsidRPr="00CA3D4A">
        <w:rPr>
          <w:rFonts w:ascii="Times New Roman" w:hAnsi="Times New Roman" w:cs="Times New Roman"/>
          <w:sz w:val="18"/>
          <w:szCs w:val="18"/>
          <w:lang w:val="en-US"/>
        </w:rPr>
        <w:t>criticism was focuse</w:t>
      </w:r>
      <w:r>
        <w:rPr>
          <w:rFonts w:ascii="Times New Roman" w:hAnsi="Times New Roman" w:cs="Times New Roman"/>
          <w:sz w:val="18"/>
          <w:szCs w:val="18"/>
          <w:lang w:val="en-US"/>
        </w:rPr>
        <w:t>d on emerging practice in integrated reporting while remaining supportive of the idea of integrated reporting.</w:t>
      </w:r>
    </w:p>
  </w:footnote>
  <w:footnote w:id="32">
    <w:p w14:paraId="48DD71EF" w14:textId="1068375A" w:rsidR="00EE7601" w:rsidRPr="007C24D4" w:rsidRDefault="00EE7601">
      <w:pPr>
        <w:pStyle w:val="FootnoteText"/>
        <w:rPr>
          <w:rFonts w:ascii="Times New Roman" w:hAnsi="Times New Roman" w:cs="Times New Roman"/>
          <w:sz w:val="18"/>
          <w:szCs w:val="18"/>
          <w:lang w:val="en-US"/>
        </w:rPr>
      </w:pPr>
      <w:r w:rsidRPr="007C24D4">
        <w:rPr>
          <w:rStyle w:val="FootnoteReference"/>
          <w:rFonts w:ascii="Times New Roman" w:hAnsi="Times New Roman" w:cs="Times New Roman"/>
          <w:sz w:val="18"/>
          <w:szCs w:val="18"/>
        </w:rPr>
        <w:footnoteRef/>
      </w:r>
      <w:r w:rsidRPr="007C24D4">
        <w:rPr>
          <w:rFonts w:ascii="Times New Roman" w:hAnsi="Times New Roman" w:cs="Times New Roman"/>
          <w:sz w:val="18"/>
          <w:szCs w:val="18"/>
          <w:lang w:val="en-US"/>
        </w:rPr>
        <w:t xml:space="preserve"> See: </w:t>
      </w:r>
      <w:hyperlink r:id="rId27" w:history="1">
        <w:r w:rsidRPr="007C24D4">
          <w:rPr>
            <w:rStyle w:val="Hyperlink"/>
            <w:rFonts w:ascii="Times New Roman" w:hAnsi="Times New Roman" w:cs="Times New Roman"/>
            <w:color w:val="auto"/>
            <w:sz w:val="18"/>
            <w:szCs w:val="18"/>
            <w:lang w:val="en-US"/>
          </w:rPr>
          <w:t>http://web.up.ac.za/default.asp?ipkCategoryID=10099</w:t>
        </w:r>
      </w:hyperlink>
      <w:r w:rsidRPr="007C24D4">
        <w:rPr>
          <w:rFonts w:ascii="Times New Roman" w:hAnsi="Times New Roman" w:cs="Times New Roman"/>
          <w:sz w:val="18"/>
          <w:szCs w:val="18"/>
          <w:lang w:val="en-US"/>
        </w:rPr>
        <w:t xml:space="preserve">. </w:t>
      </w:r>
      <w:r>
        <w:rPr>
          <w:rFonts w:ascii="Times New Roman" w:hAnsi="Times New Roman" w:cs="Times New Roman"/>
          <w:sz w:val="18"/>
          <w:szCs w:val="18"/>
          <w:lang w:val="en-US"/>
        </w:rPr>
        <w:t>Last a</w:t>
      </w:r>
      <w:r w:rsidRPr="007C24D4">
        <w:rPr>
          <w:rFonts w:ascii="Times New Roman" w:hAnsi="Times New Roman" w:cs="Times New Roman"/>
          <w:sz w:val="18"/>
          <w:szCs w:val="18"/>
          <w:lang w:val="en-US"/>
        </w:rPr>
        <w:t>ccessed January 31, 2014.</w:t>
      </w:r>
    </w:p>
  </w:footnote>
  <w:footnote w:id="33">
    <w:p w14:paraId="5C1E1AA3" w14:textId="64F2A451" w:rsidR="00EE7601" w:rsidRPr="001B3BF4" w:rsidRDefault="00EE7601" w:rsidP="001B3BF4">
      <w:pPr>
        <w:pStyle w:val="FootnoteText"/>
        <w:jc w:val="both"/>
        <w:rPr>
          <w:rFonts w:ascii="Times New Roman" w:hAnsi="Times New Roman" w:cs="Times New Roman"/>
          <w:sz w:val="18"/>
          <w:szCs w:val="18"/>
          <w:lang w:val="en-US"/>
        </w:rPr>
      </w:pPr>
      <w:r w:rsidRPr="007C24D4">
        <w:rPr>
          <w:rStyle w:val="FootnoteReference"/>
          <w:rFonts w:ascii="Times New Roman" w:hAnsi="Times New Roman" w:cs="Times New Roman"/>
          <w:sz w:val="18"/>
          <w:szCs w:val="18"/>
        </w:rPr>
        <w:footnoteRef/>
      </w:r>
      <w:r w:rsidRPr="007C24D4">
        <w:rPr>
          <w:rFonts w:ascii="Times New Roman" w:hAnsi="Times New Roman" w:cs="Times New Roman"/>
          <w:sz w:val="18"/>
          <w:szCs w:val="18"/>
          <w:lang w:val="en-US"/>
        </w:rPr>
        <w:t xml:space="preserve"> See: </w:t>
      </w:r>
      <w:hyperlink r:id="rId28" w:history="1">
        <w:r w:rsidRPr="001B3BF4">
          <w:rPr>
            <w:rStyle w:val="Hyperlink"/>
            <w:rFonts w:ascii="Times New Roman" w:hAnsi="Times New Roman" w:cs="Times New Roman"/>
            <w:color w:val="auto"/>
            <w:sz w:val="18"/>
            <w:szCs w:val="18"/>
            <w:lang w:val="en-US"/>
          </w:rPr>
          <w:t>http://online.wsj.com/article/PR-CO-20130522-911497.html</w:t>
        </w:r>
      </w:hyperlink>
      <w:r>
        <w:rPr>
          <w:rFonts w:ascii="Times New Roman" w:hAnsi="Times New Roman" w:cs="Times New Roman"/>
          <w:sz w:val="18"/>
          <w:szCs w:val="18"/>
          <w:lang w:val="en-US"/>
        </w:rPr>
        <w:t>. Last accessed October 15,</w:t>
      </w:r>
      <w:r w:rsidRPr="001B3BF4">
        <w:rPr>
          <w:rFonts w:ascii="Times New Roman" w:hAnsi="Times New Roman" w:cs="Times New Roman"/>
          <w:sz w:val="18"/>
          <w:szCs w:val="18"/>
          <w:lang w:val="en-US"/>
        </w:rPr>
        <w:t xml:space="preserve"> 2014.</w:t>
      </w:r>
    </w:p>
  </w:footnote>
  <w:footnote w:id="34">
    <w:p w14:paraId="0E8BAA97" w14:textId="6D382DE1" w:rsidR="00EE7601" w:rsidRPr="002C04DE" w:rsidRDefault="00EE7601" w:rsidP="001B3BF4">
      <w:pPr>
        <w:pStyle w:val="FootnoteText"/>
        <w:jc w:val="both"/>
        <w:rPr>
          <w:lang w:val="en-US"/>
        </w:rPr>
      </w:pPr>
      <w:r w:rsidRPr="001B3BF4">
        <w:rPr>
          <w:rStyle w:val="FootnoteReference"/>
          <w:rFonts w:ascii="Times New Roman" w:hAnsi="Times New Roman" w:cs="Times New Roman"/>
          <w:sz w:val="18"/>
          <w:szCs w:val="18"/>
        </w:rPr>
        <w:footnoteRef/>
      </w:r>
      <w:r w:rsidRPr="001B3BF4">
        <w:rPr>
          <w:rFonts w:ascii="Times New Roman" w:hAnsi="Times New Roman" w:cs="Times New Roman"/>
          <w:sz w:val="18"/>
          <w:szCs w:val="18"/>
          <w:lang w:val="en-US"/>
        </w:rPr>
        <w:t xml:space="preserve"> The final framework outlined seven guiding principles designed to underpin the preparation of an integrated report to inform both information content and presentation. These comprised: a strategic focus and future orientation; connectivity of information relevant to assessing the ability of an </w:t>
      </w:r>
      <w:r>
        <w:rPr>
          <w:rFonts w:ascii="Times New Roman" w:hAnsi="Times New Roman" w:cs="Times New Roman"/>
          <w:sz w:val="18"/>
          <w:szCs w:val="18"/>
          <w:lang w:val="en-US"/>
        </w:rPr>
        <w:t>organization</w:t>
      </w:r>
      <w:r w:rsidRPr="001B3BF4">
        <w:rPr>
          <w:rFonts w:ascii="Times New Roman" w:hAnsi="Times New Roman" w:cs="Times New Roman"/>
          <w:sz w:val="18"/>
          <w:szCs w:val="18"/>
          <w:lang w:val="en-US"/>
        </w:rPr>
        <w:t xml:space="preserve"> to create value over time, insight into an organizations’ relations with key stakeholders and its responsiveness to them; materiality; conciseness; reliability and completeness; and consistency and comparability. The framework received widespread public backing. For example, at an event organized in the City of London to ‘welcome’ the framework the Lord Mayor of London, Alderman Fiona Woolf said that the Framework represented a revolutionary moment that would transform how business went about business, and contribute to a more responsive and inclusive capitalism. All of the major accountancy bodies such as AICPA, CIMA, ACCA, and ICAEW were supportive. The AICPA commended the IIRC and claimed that the framework would create the foundation for enhanced corporate reporting and enable companies to better communicate how they created value over time. The ACCA stated that the framework represented a landmark opportunity to break down the silos in corporate reporting, while IFAC claimed that it would contribute to a more financially stable global economy as well as being a force for sustainability. The Big 4 professional services firms were also highly supportive. For example, KPMG in Singapore noted how the framework could be an effective tool for businesses looking to shift their reporting focus from short-term financial performance to long-term shareholder value creation. Caution was, however, expressed by commentators such as the ICAEW and the Hong Kong Institute of CPAs who noted that the framework was merely a beginning with key issues surrounding the assurance of </w:t>
      </w:r>
      <w:r>
        <w:rPr>
          <w:rFonts w:ascii="Times New Roman" w:hAnsi="Times New Roman" w:cs="Times New Roman"/>
          <w:sz w:val="18"/>
          <w:szCs w:val="18"/>
          <w:lang w:val="en-US"/>
        </w:rPr>
        <w:t>integrated reporting</w:t>
      </w:r>
      <w:r w:rsidRPr="001B3BF4">
        <w:rPr>
          <w:rFonts w:ascii="Times New Roman" w:hAnsi="Times New Roman" w:cs="Times New Roman"/>
          <w:sz w:val="18"/>
          <w:szCs w:val="18"/>
          <w:lang w:val="en-US"/>
        </w:rPr>
        <w:t>, the application and definition of materiality, and the need for continual engagement with mainstream investors remaining crucial to its future development.</w:t>
      </w:r>
    </w:p>
  </w:footnote>
  <w:footnote w:id="35">
    <w:p w14:paraId="382D1F72" w14:textId="10B2036D" w:rsidR="00446B14" w:rsidRPr="00446B14" w:rsidRDefault="00446B14">
      <w:pPr>
        <w:pStyle w:val="FootnoteText"/>
        <w:rPr>
          <w:lang w:val="en-IE"/>
        </w:rPr>
      </w:pPr>
      <w:r>
        <w:rPr>
          <w:rStyle w:val="FootnoteReference"/>
        </w:rPr>
        <w:footnoteRef/>
      </w:r>
      <w:r w:rsidRPr="00446B14">
        <w:rPr>
          <w:lang w:val="en-IE"/>
        </w:rPr>
        <w:t xml:space="preserve"> </w:t>
      </w:r>
      <w:r w:rsidRPr="00686181">
        <w:rPr>
          <w:rFonts w:ascii="Times New Roman" w:hAnsi="Times New Roman" w:cs="Times New Roman"/>
          <w:sz w:val="18"/>
          <w:szCs w:val="18"/>
          <w:lang w:val="en-GB"/>
        </w:rPr>
        <w:t>Sourced from Minutes of IIRC council mee</w:t>
      </w:r>
      <w:r>
        <w:rPr>
          <w:rFonts w:ascii="Times New Roman" w:hAnsi="Times New Roman" w:cs="Times New Roman"/>
          <w:sz w:val="18"/>
          <w:szCs w:val="18"/>
          <w:lang w:val="en-GB"/>
        </w:rPr>
        <w:t>ting on December 5, 2013.</w:t>
      </w:r>
    </w:p>
  </w:footnote>
  <w:footnote w:id="36">
    <w:p w14:paraId="4F7A4FC0" w14:textId="1F44F0F3" w:rsidR="00EE7601" w:rsidRPr="00686181" w:rsidRDefault="00EE7601">
      <w:pPr>
        <w:pStyle w:val="FootnoteText"/>
        <w:rPr>
          <w:rFonts w:ascii="Times New Roman" w:hAnsi="Times New Roman" w:cs="Times New Roman"/>
          <w:sz w:val="18"/>
          <w:szCs w:val="18"/>
          <w:lang w:val="en-US"/>
        </w:rPr>
      </w:pPr>
      <w:r w:rsidRPr="00686181">
        <w:rPr>
          <w:rStyle w:val="FootnoteReference"/>
          <w:rFonts w:ascii="Times New Roman" w:hAnsi="Times New Roman" w:cs="Times New Roman"/>
          <w:sz w:val="18"/>
          <w:szCs w:val="18"/>
        </w:rPr>
        <w:footnoteRef/>
      </w:r>
      <w:r w:rsidRPr="00CD0156">
        <w:rPr>
          <w:rFonts w:ascii="Times New Roman" w:hAnsi="Times New Roman" w:cs="Times New Roman"/>
          <w:sz w:val="18"/>
          <w:szCs w:val="18"/>
          <w:lang w:val="en-US"/>
        </w:rPr>
        <w:t xml:space="preserve"> See: </w:t>
      </w:r>
      <w:hyperlink r:id="rId29" w:history="1">
        <w:r w:rsidRPr="00076535">
          <w:rPr>
            <w:rStyle w:val="Hyperlink"/>
            <w:rFonts w:ascii="Times New Roman" w:hAnsi="Times New Roman" w:cs="Times New Roman"/>
            <w:color w:val="auto"/>
            <w:sz w:val="18"/>
            <w:szCs w:val="18"/>
            <w:lang w:val="en-US"/>
          </w:rPr>
          <w:t>http://economia.icaew.com/people/december-2013/paul-druckman</w:t>
        </w:r>
      </w:hyperlink>
      <w:r w:rsidRPr="00EB4BE8">
        <w:rPr>
          <w:rFonts w:ascii="Times New Roman" w:hAnsi="Times New Roman" w:cs="Times New Roman"/>
          <w:sz w:val="18"/>
          <w:szCs w:val="18"/>
          <w:lang w:val="en-US"/>
        </w:rPr>
        <w:t>. Last a</w:t>
      </w:r>
      <w:r w:rsidRPr="00076535">
        <w:rPr>
          <w:rFonts w:ascii="Times New Roman" w:hAnsi="Times New Roman" w:cs="Times New Roman"/>
          <w:sz w:val="18"/>
          <w:szCs w:val="18"/>
          <w:lang w:val="en-US"/>
        </w:rPr>
        <w:t>ccessed 15 October 15, 2014.</w:t>
      </w:r>
    </w:p>
  </w:footnote>
  <w:footnote w:id="37">
    <w:p w14:paraId="214F3230" w14:textId="7D7E15F8" w:rsidR="00EE7601" w:rsidRPr="00686181" w:rsidRDefault="00EE7601">
      <w:pPr>
        <w:pStyle w:val="FootnoteText"/>
        <w:rPr>
          <w:lang w:val="en-GB"/>
        </w:rPr>
      </w:pPr>
      <w:r w:rsidRPr="00686181">
        <w:rPr>
          <w:rStyle w:val="FootnoteReference"/>
          <w:rFonts w:ascii="Times New Roman" w:hAnsi="Times New Roman" w:cs="Times New Roman"/>
          <w:sz w:val="18"/>
          <w:szCs w:val="18"/>
        </w:rPr>
        <w:footnoteRef/>
      </w:r>
      <w:r w:rsidRPr="00686181">
        <w:rPr>
          <w:rFonts w:ascii="Times New Roman" w:hAnsi="Times New Roman" w:cs="Times New Roman"/>
          <w:sz w:val="18"/>
          <w:szCs w:val="18"/>
          <w:lang w:val="en-GB"/>
        </w:rPr>
        <w:t xml:space="preserve"> See: http://integrated reporting.org/resource/assurance/. Last accessed 17 August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47E"/>
    <w:multiLevelType w:val="hybridMultilevel"/>
    <w:tmpl w:val="E2383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BE51DF"/>
    <w:multiLevelType w:val="hybridMultilevel"/>
    <w:tmpl w:val="2074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9525B"/>
    <w:multiLevelType w:val="multilevel"/>
    <w:tmpl w:val="6FB6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191B1A"/>
    <w:multiLevelType w:val="hybridMultilevel"/>
    <w:tmpl w:val="79508696"/>
    <w:lvl w:ilvl="0" w:tplc="051EBBFE">
      <w:start w:val="1"/>
      <w:numFmt w:val="decimal"/>
      <w:lvlText w:val="%1."/>
      <w:lvlJc w:val="left"/>
      <w:pPr>
        <w:ind w:left="360" w:hanging="360"/>
      </w:pPr>
      <w:rPr>
        <w:rFonts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1581408"/>
    <w:multiLevelType w:val="multilevel"/>
    <w:tmpl w:val="5A42F42A"/>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85E0C87"/>
    <w:multiLevelType w:val="hybridMultilevel"/>
    <w:tmpl w:val="70DC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66A1D"/>
    <w:multiLevelType w:val="hybridMultilevel"/>
    <w:tmpl w:val="CC92733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220561F6"/>
    <w:multiLevelType w:val="hybridMultilevel"/>
    <w:tmpl w:val="005893E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23FC4254"/>
    <w:multiLevelType w:val="multilevel"/>
    <w:tmpl w:val="DC7E6022"/>
    <w:lvl w:ilvl="0">
      <w:start w:val="1"/>
      <w:numFmt w:val="decimal"/>
      <w:lvlText w:val="%1."/>
      <w:lvlJc w:val="left"/>
      <w:pPr>
        <w:ind w:left="360" w:hanging="360"/>
      </w:pPr>
      <w:rPr>
        <w:rFonts w:hint="default"/>
        <w:b/>
      </w:rPr>
    </w:lvl>
    <w:lvl w:ilvl="1">
      <w:start w:val="2"/>
      <w:numFmt w:val="decimal"/>
      <w:isLgl/>
      <w:lvlText w:val="%1.%2"/>
      <w:lvlJc w:val="left"/>
      <w:pPr>
        <w:ind w:left="708" w:hanging="708"/>
      </w:pPr>
      <w:rPr>
        <w:rFonts w:hint="default"/>
        <w:b/>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54F08C7"/>
    <w:multiLevelType w:val="multilevel"/>
    <w:tmpl w:val="E746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EF4303"/>
    <w:multiLevelType w:val="hybridMultilevel"/>
    <w:tmpl w:val="18E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B7455"/>
    <w:multiLevelType w:val="hybridMultilevel"/>
    <w:tmpl w:val="787EF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FF3D4F"/>
    <w:multiLevelType w:val="multilevel"/>
    <w:tmpl w:val="628AD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6353F"/>
    <w:multiLevelType w:val="hybridMultilevel"/>
    <w:tmpl w:val="F1643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76150F9"/>
    <w:multiLevelType w:val="hybridMultilevel"/>
    <w:tmpl w:val="722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9C65ED"/>
    <w:multiLevelType w:val="multilevel"/>
    <w:tmpl w:val="1C484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777682"/>
    <w:multiLevelType w:val="multilevel"/>
    <w:tmpl w:val="674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9B0028"/>
    <w:multiLevelType w:val="multilevel"/>
    <w:tmpl w:val="76E0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CE52B8"/>
    <w:multiLevelType w:val="hybridMultilevel"/>
    <w:tmpl w:val="29C4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B25DB"/>
    <w:multiLevelType w:val="hybridMultilevel"/>
    <w:tmpl w:val="ED86B854"/>
    <w:lvl w:ilvl="0" w:tplc="5D981D7E">
      <w:start w:val="1"/>
      <w:numFmt w:val="decimal"/>
      <w:lvlText w:val="%1."/>
      <w:lvlJc w:val="left"/>
      <w:pPr>
        <w:ind w:left="888" w:hanging="360"/>
      </w:pPr>
      <w:rPr>
        <w:rFonts w:hint="default"/>
      </w:rPr>
    </w:lvl>
    <w:lvl w:ilvl="1" w:tplc="04090019">
      <w:start w:val="1"/>
      <w:numFmt w:val="lowerLetter"/>
      <w:lvlText w:val="%2."/>
      <w:lvlJc w:val="left"/>
      <w:pPr>
        <w:ind w:left="1440" w:hanging="360"/>
      </w:pPr>
    </w:lvl>
    <w:lvl w:ilvl="2" w:tplc="124AE462">
      <w:start w:val="2004"/>
      <w:numFmt w:val="bullet"/>
      <w:lvlText w:val=""/>
      <w:lvlJc w:val="left"/>
      <w:pPr>
        <w:ind w:left="2340" w:hanging="360"/>
      </w:pPr>
      <w:rPr>
        <w:rFonts w:ascii="Symbol" w:eastAsia="Courier New" w:hAnsi="Symbol"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43536"/>
    <w:multiLevelType w:val="hybridMultilevel"/>
    <w:tmpl w:val="0E202AA6"/>
    <w:lvl w:ilvl="0" w:tplc="51323D9C">
      <w:start w:val="5"/>
      <w:numFmt w:val="decimal"/>
      <w:lvlText w:val="%1."/>
      <w:lvlJc w:val="left"/>
      <w:pPr>
        <w:ind w:left="360" w:hanging="360"/>
      </w:pPr>
      <w:rPr>
        <w:rFonts w:eastAsiaTheme="minorHAns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4142D4D"/>
    <w:multiLevelType w:val="hybridMultilevel"/>
    <w:tmpl w:val="07BCF6BC"/>
    <w:lvl w:ilvl="0" w:tplc="56F21ABC">
      <w:start w:val="1"/>
      <w:numFmt w:val="decimal"/>
      <w:lvlText w:val="%1."/>
      <w:lvlJc w:val="left"/>
      <w:pPr>
        <w:ind w:left="360" w:hanging="360"/>
      </w:pPr>
      <w:rPr>
        <w:rFonts w:eastAsia="Times New Roman" w:hint="default"/>
        <w:b/>
        <w:color w:val="000000"/>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70F6559D"/>
    <w:multiLevelType w:val="hybridMultilevel"/>
    <w:tmpl w:val="E7AC301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nsid w:val="75440C71"/>
    <w:multiLevelType w:val="hybridMultilevel"/>
    <w:tmpl w:val="E64A4B04"/>
    <w:lvl w:ilvl="0" w:tplc="51323D9C">
      <w:start w:val="5"/>
      <w:numFmt w:val="decimal"/>
      <w:lvlText w:val="%1."/>
      <w:lvlJc w:val="left"/>
      <w:pPr>
        <w:ind w:left="360" w:hanging="360"/>
      </w:pPr>
      <w:rPr>
        <w:rFonts w:eastAsiaTheme="minorHAns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D1F6763"/>
    <w:multiLevelType w:val="multilevel"/>
    <w:tmpl w:val="3858D2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25">
    <w:nsid w:val="7E7826DC"/>
    <w:multiLevelType w:val="hybridMultilevel"/>
    <w:tmpl w:val="5446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1"/>
  </w:num>
  <w:num w:numId="5">
    <w:abstractNumId w:val="9"/>
  </w:num>
  <w:num w:numId="6">
    <w:abstractNumId w:val="2"/>
  </w:num>
  <w:num w:numId="7">
    <w:abstractNumId w:val="17"/>
  </w:num>
  <w:num w:numId="8">
    <w:abstractNumId w:val="5"/>
  </w:num>
  <w:num w:numId="9">
    <w:abstractNumId w:val="25"/>
  </w:num>
  <w:num w:numId="10">
    <w:abstractNumId w:val="18"/>
  </w:num>
  <w:num w:numId="11">
    <w:abstractNumId w:val="14"/>
  </w:num>
  <w:num w:numId="12">
    <w:abstractNumId w:val="7"/>
  </w:num>
  <w:num w:numId="13">
    <w:abstractNumId w:val="13"/>
  </w:num>
  <w:num w:numId="14">
    <w:abstractNumId w:val="3"/>
  </w:num>
  <w:num w:numId="15">
    <w:abstractNumId w:val="24"/>
  </w:num>
  <w:num w:numId="16">
    <w:abstractNumId w:val="0"/>
  </w:num>
  <w:num w:numId="17">
    <w:abstractNumId w:val="6"/>
  </w:num>
  <w:num w:numId="18">
    <w:abstractNumId w:val="21"/>
  </w:num>
  <w:num w:numId="19">
    <w:abstractNumId w:val="15"/>
  </w:num>
  <w:num w:numId="20">
    <w:abstractNumId w:val="12"/>
  </w:num>
  <w:num w:numId="21">
    <w:abstractNumId w:val="23"/>
  </w:num>
  <w:num w:numId="22">
    <w:abstractNumId w:val="20"/>
  </w:num>
  <w:num w:numId="23">
    <w:abstractNumId w:val="8"/>
  </w:num>
  <w:num w:numId="24">
    <w:abstractNumId w:val="11"/>
  </w:num>
  <w:num w:numId="25">
    <w:abstractNumId w:val="4"/>
  </w:num>
  <w:num w:numId="26">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wyer, Brendan">
    <w15:presenceInfo w15:providerId="AD" w15:userId="S-1-5-21-2032091107-1257326781-829235722-87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D3"/>
    <w:rsid w:val="00000A48"/>
    <w:rsid w:val="000025B1"/>
    <w:rsid w:val="0000389A"/>
    <w:rsid w:val="00005EFE"/>
    <w:rsid w:val="00007500"/>
    <w:rsid w:val="00007692"/>
    <w:rsid w:val="00007855"/>
    <w:rsid w:val="00013087"/>
    <w:rsid w:val="0001329B"/>
    <w:rsid w:val="00014215"/>
    <w:rsid w:val="000143B5"/>
    <w:rsid w:val="00014DD9"/>
    <w:rsid w:val="00016E64"/>
    <w:rsid w:val="000171AA"/>
    <w:rsid w:val="00017E02"/>
    <w:rsid w:val="00022292"/>
    <w:rsid w:val="000225A5"/>
    <w:rsid w:val="000248E1"/>
    <w:rsid w:val="00024EA7"/>
    <w:rsid w:val="000254F8"/>
    <w:rsid w:val="00025998"/>
    <w:rsid w:val="00025E46"/>
    <w:rsid w:val="00032468"/>
    <w:rsid w:val="0003369F"/>
    <w:rsid w:val="00034941"/>
    <w:rsid w:val="00042484"/>
    <w:rsid w:val="000429AD"/>
    <w:rsid w:val="00042B35"/>
    <w:rsid w:val="0004351F"/>
    <w:rsid w:val="00043D44"/>
    <w:rsid w:val="00043EC0"/>
    <w:rsid w:val="00047AD2"/>
    <w:rsid w:val="0005209B"/>
    <w:rsid w:val="000520D5"/>
    <w:rsid w:val="000524F9"/>
    <w:rsid w:val="00052650"/>
    <w:rsid w:val="000538C3"/>
    <w:rsid w:val="0005686F"/>
    <w:rsid w:val="00061A5A"/>
    <w:rsid w:val="00062E77"/>
    <w:rsid w:val="00065179"/>
    <w:rsid w:val="000654C4"/>
    <w:rsid w:val="00065542"/>
    <w:rsid w:val="0006613F"/>
    <w:rsid w:val="00066A5A"/>
    <w:rsid w:val="00066F4F"/>
    <w:rsid w:val="00071BB9"/>
    <w:rsid w:val="00071CA2"/>
    <w:rsid w:val="000724CB"/>
    <w:rsid w:val="000731AE"/>
    <w:rsid w:val="000753B3"/>
    <w:rsid w:val="00076535"/>
    <w:rsid w:val="00076DA8"/>
    <w:rsid w:val="00076F24"/>
    <w:rsid w:val="00077488"/>
    <w:rsid w:val="000778EF"/>
    <w:rsid w:val="00080007"/>
    <w:rsid w:val="0008115B"/>
    <w:rsid w:val="0009098E"/>
    <w:rsid w:val="00090A1E"/>
    <w:rsid w:val="000914C9"/>
    <w:rsid w:val="000919F4"/>
    <w:rsid w:val="00094E20"/>
    <w:rsid w:val="00095CF3"/>
    <w:rsid w:val="00095EC3"/>
    <w:rsid w:val="00096EAE"/>
    <w:rsid w:val="00096FA0"/>
    <w:rsid w:val="0009701C"/>
    <w:rsid w:val="000977F1"/>
    <w:rsid w:val="000A00B6"/>
    <w:rsid w:val="000A1EAA"/>
    <w:rsid w:val="000A249B"/>
    <w:rsid w:val="000A2CEE"/>
    <w:rsid w:val="000A68B6"/>
    <w:rsid w:val="000B0969"/>
    <w:rsid w:val="000B09B7"/>
    <w:rsid w:val="000B15C1"/>
    <w:rsid w:val="000B1891"/>
    <w:rsid w:val="000B1F0A"/>
    <w:rsid w:val="000B32D0"/>
    <w:rsid w:val="000B36DA"/>
    <w:rsid w:val="000B493C"/>
    <w:rsid w:val="000B5F41"/>
    <w:rsid w:val="000B60AE"/>
    <w:rsid w:val="000B647E"/>
    <w:rsid w:val="000B7297"/>
    <w:rsid w:val="000B768F"/>
    <w:rsid w:val="000B79CA"/>
    <w:rsid w:val="000C0316"/>
    <w:rsid w:val="000C1E40"/>
    <w:rsid w:val="000C23D2"/>
    <w:rsid w:val="000C2A50"/>
    <w:rsid w:val="000C3975"/>
    <w:rsid w:val="000C3B8A"/>
    <w:rsid w:val="000C4608"/>
    <w:rsid w:val="000C7377"/>
    <w:rsid w:val="000D326F"/>
    <w:rsid w:val="000D3824"/>
    <w:rsid w:val="000D3D89"/>
    <w:rsid w:val="000D5F9E"/>
    <w:rsid w:val="000D7E6A"/>
    <w:rsid w:val="000E1798"/>
    <w:rsid w:val="000E2A00"/>
    <w:rsid w:val="000E5139"/>
    <w:rsid w:val="000E56F1"/>
    <w:rsid w:val="000F0343"/>
    <w:rsid w:val="000F092A"/>
    <w:rsid w:val="000F1801"/>
    <w:rsid w:val="000F181F"/>
    <w:rsid w:val="000F3DF0"/>
    <w:rsid w:val="000F474E"/>
    <w:rsid w:val="000F5FC9"/>
    <w:rsid w:val="000F737D"/>
    <w:rsid w:val="000F7C3D"/>
    <w:rsid w:val="00100A26"/>
    <w:rsid w:val="0010111B"/>
    <w:rsid w:val="00102265"/>
    <w:rsid w:val="00103CB8"/>
    <w:rsid w:val="00106295"/>
    <w:rsid w:val="00107A48"/>
    <w:rsid w:val="001109A4"/>
    <w:rsid w:val="00111E78"/>
    <w:rsid w:val="0011416E"/>
    <w:rsid w:val="001145CF"/>
    <w:rsid w:val="00114BA5"/>
    <w:rsid w:val="00115152"/>
    <w:rsid w:val="001168A6"/>
    <w:rsid w:val="00117D83"/>
    <w:rsid w:val="0012053B"/>
    <w:rsid w:val="00121392"/>
    <w:rsid w:val="00121D10"/>
    <w:rsid w:val="00122643"/>
    <w:rsid w:val="00123BA2"/>
    <w:rsid w:val="00124A8C"/>
    <w:rsid w:val="001257AE"/>
    <w:rsid w:val="001266B5"/>
    <w:rsid w:val="00130F81"/>
    <w:rsid w:val="0013270C"/>
    <w:rsid w:val="00133E30"/>
    <w:rsid w:val="00134DD8"/>
    <w:rsid w:val="00134E7D"/>
    <w:rsid w:val="00135FFA"/>
    <w:rsid w:val="00136E96"/>
    <w:rsid w:val="00136F8C"/>
    <w:rsid w:val="0014082C"/>
    <w:rsid w:val="00142557"/>
    <w:rsid w:val="00142A58"/>
    <w:rsid w:val="00144FCB"/>
    <w:rsid w:val="0014571C"/>
    <w:rsid w:val="00150D74"/>
    <w:rsid w:val="00151CCE"/>
    <w:rsid w:val="00152598"/>
    <w:rsid w:val="00153C63"/>
    <w:rsid w:val="00154643"/>
    <w:rsid w:val="001548B4"/>
    <w:rsid w:val="00155C47"/>
    <w:rsid w:val="00155F57"/>
    <w:rsid w:val="00160480"/>
    <w:rsid w:val="00160546"/>
    <w:rsid w:val="001648B7"/>
    <w:rsid w:val="00166B41"/>
    <w:rsid w:val="00170530"/>
    <w:rsid w:val="00172C80"/>
    <w:rsid w:val="00172F35"/>
    <w:rsid w:val="0017399D"/>
    <w:rsid w:val="00174424"/>
    <w:rsid w:val="00174B68"/>
    <w:rsid w:val="001805D2"/>
    <w:rsid w:val="00180CB3"/>
    <w:rsid w:val="00180E29"/>
    <w:rsid w:val="00182204"/>
    <w:rsid w:val="00182564"/>
    <w:rsid w:val="00183585"/>
    <w:rsid w:val="00185A77"/>
    <w:rsid w:val="0018647A"/>
    <w:rsid w:val="00187314"/>
    <w:rsid w:val="00187E37"/>
    <w:rsid w:val="001901DE"/>
    <w:rsid w:val="0019212B"/>
    <w:rsid w:val="00193F03"/>
    <w:rsid w:val="00194884"/>
    <w:rsid w:val="0019497D"/>
    <w:rsid w:val="001A10A2"/>
    <w:rsid w:val="001A1D06"/>
    <w:rsid w:val="001A2388"/>
    <w:rsid w:val="001A31B6"/>
    <w:rsid w:val="001A5152"/>
    <w:rsid w:val="001A67D2"/>
    <w:rsid w:val="001A6AF0"/>
    <w:rsid w:val="001A6EE6"/>
    <w:rsid w:val="001B11E7"/>
    <w:rsid w:val="001B3BF4"/>
    <w:rsid w:val="001B6129"/>
    <w:rsid w:val="001C1F33"/>
    <w:rsid w:val="001C2445"/>
    <w:rsid w:val="001C2494"/>
    <w:rsid w:val="001C3047"/>
    <w:rsid w:val="001C3C82"/>
    <w:rsid w:val="001C4778"/>
    <w:rsid w:val="001C4F45"/>
    <w:rsid w:val="001D0D23"/>
    <w:rsid w:val="001D6D83"/>
    <w:rsid w:val="001E0D08"/>
    <w:rsid w:val="001E1113"/>
    <w:rsid w:val="001E2B13"/>
    <w:rsid w:val="001E3B45"/>
    <w:rsid w:val="001E5528"/>
    <w:rsid w:val="001E5C03"/>
    <w:rsid w:val="001E60E1"/>
    <w:rsid w:val="001E77EA"/>
    <w:rsid w:val="001F02BD"/>
    <w:rsid w:val="001F0337"/>
    <w:rsid w:val="001F1821"/>
    <w:rsid w:val="001F1CA7"/>
    <w:rsid w:val="001F1CC0"/>
    <w:rsid w:val="001F2B29"/>
    <w:rsid w:val="001F3731"/>
    <w:rsid w:val="001F44C8"/>
    <w:rsid w:val="001F6469"/>
    <w:rsid w:val="00202E54"/>
    <w:rsid w:val="00203003"/>
    <w:rsid w:val="002040AE"/>
    <w:rsid w:val="00205AEB"/>
    <w:rsid w:val="00207F0D"/>
    <w:rsid w:val="002121AF"/>
    <w:rsid w:val="002128FF"/>
    <w:rsid w:val="00212E94"/>
    <w:rsid w:val="00213026"/>
    <w:rsid w:val="00213A0A"/>
    <w:rsid w:val="00213A20"/>
    <w:rsid w:val="0021423F"/>
    <w:rsid w:val="00215A93"/>
    <w:rsid w:val="00216015"/>
    <w:rsid w:val="0021664A"/>
    <w:rsid w:val="0021785F"/>
    <w:rsid w:val="00217D70"/>
    <w:rsid w:val="0022154A"/>
    <w:rsid w:val="002223A8"/>
    <w:rsid w:val="002273D2"/>
    <w:rsid w:val="00230553"/>
    <w:rsid w:val="0023102C"/>
    <w:rsid w:val="00231C3B"/>
    <w:rsid w:val="002325AF"/>
    <w:rsid w:val="00236390"/>
    <w:rsid w:val="00236659"/>
    <w:rsid w:val="00240BAB"/>
    <w:rsid w:val="0024139A"/>
    <w:rsid w:val="002464B3"/>
    <w:rsid w:val="002501CA"/>
    <w:rsid w:val="00250645"/>
    <w:rsid w:val="002506B0"/>
    <w:rsid w:val="002530E4"/>
    <w:rsid w:val="00255592"/>
    <w:rsid w:val="00256459"/>
    <w:rsid w:val="002577FF"/>
    <w:rsid w:val="00257810"/>
    <w:rsid w:val="0025797D"/>
    <w:rsid w:val="00260D81"/>
    <w:rsid w:val="0026137B"/>
    <w:rsid w:val="00263543"/>
    <w:rsid w:val="00263BBA"/>
    <w:rsid w:val="00264D2A"/>
    <w:rsid w:val="00267236"/>
    <w:rsid w:val="00267440"/>
    <w:rsid w:val="00270C11"/>
    <w:rsid w:val="00273CFF"/>
    <w:rsid w:val="00274101"/>
    <w:rsid w:val="00274B03"/>
    <w:rsid w:val="002760BA"/>
    <w:rsid w:val="002761E8"/>
    <w:rsid w:val="002778B3"/>
    <w:rsid w:val="00277E07"/>
    <w:rsid w:val="002807CC"/>
    <w:rsid w:val="00282C2B"/>
    <w:rsid w:val="00284BAE"/>
    <w:rsid w:val="00284CA9"/>
    <w:rsid w:val="002868D5"/>
    <w:rsid w:val="00291609"/>
    <w:rsid w:val="0029290B"/>
    <w:rsid w:val="00292D9F"/>
    <w:rsid w:val="00294EC3"/>
    <w:rsid w:val="0029548F"/>
    <w:rsid w:val="00295E05"/>
    <w:rsid w:val="002A0B35"/>
    <w:rsid w:val="002A3A75"/>
    <w:rsid w:val="002A3FCE"/>
    <w:rsid w:val="002A4199"/>
    <w:rsid w:val="002A66FF"/>
    <w:rsid w:val="002A68A6"/>
    <w:rsid w:val="002B083A"/>
    <w:rsid w:val="002B08B8"/>
    <w:rsid w:val="002B1892"/>
    <w:rsid w:val="002B24DF"/>
    <w:rsid w:val="002B2EE3"/>
    <w:rsid w:val="002B3BC6"/>
    <w:rsid w:val="002B3FE0"/>
    <w:rsid w:val="002B4CFC"/>
    <w:rsid w:val="002B679C"/>
    <w:rsid w:val="002C0030"/>
    <w:rsid w:val="002C04DE"/>
    <w:rsid w:val="002C095E"/>
    <w:rsid w:val="002C1E5F"/>
    <w:rsid w:val="002C203D"/>
    <w:rsid w:val="002C33BA"/>
    <w:rsid w:val="002C354B"/>
    <w:rsid w:val="002C3CB0"/>
    <w:rsid w:val="002C42E2"/>
    <w:rsid w:val="002C4C80"/>
    <w:rsid w:val="002C4DAA"/>
    <w:rsid w:val="002C58D2"/>
    <w:rsid w:val="002D2034"/>
    <w:rsid w:val="002D264F"/>
    <w:rsid w:val="002D3C6A"/>
    <w:rsid w:val="002D471B"/>
    <w:rsid w:val="002D5182"/>
    <w:rsid w:val="002E0811"/>
    <w:rsid w:val="002E2B25"/>
    <w:rsid w:val="002E4956"/>
    <w:rsid w:val="002E4D34"/>
    <w:rsid w:val="002E5149"/>
    <w:rsid w:val="002E5406"/>
    <w:rsid w:val="002E6B16"/>
    <w:rsid w:val="002E6E30"/>
    <w:rsid w:val="002E717A"/>
    <w:rsid w:val="002F026E"/>
    <w:rsid w:val="002F3AC0"/>
    <w:rsid w:val="002F456A"/>
    <w:rsid w:val="002F4C44"/>
    <w:rsid w:val="002F521E"/>
    <w:rsid w:val="002F66E2"/>
    <w:rsid w:val="002F7197"/>
    <w:rsid w:val="003004B6"/>
    <w:rsid w:val="00300B69"/>
    <w:rsid w:val="00302688"/>
    <w:rsid w:val="00303053"/>
    <w:rsid w:val="003047DB"/>
    <w:rsid w:val="00304851"/>
    <w:rsid w:val="00305A2A"/>
    <w:rsid w:val="00307F0A"/>
    <w:rsid w:val="00310700"/>
    <w:rsid w:val="0031086B"/>
    <w:rsid w:val="0031094B"/>
    <w:rsid w:val="00310FC5"/>
    <w:rsid w:val="003113E6"/>
    <w:rsid w:val="00312247"/>
    <w:rsid w:val="003127AD"/>
    <w:rsid w:val="00312B39"/>
    <w:rsid w:val="00312BFE"/>
    <w:rsid w:val="00312F40"/>
    <w:rsid w:val="00313138"/>
    <w:rsid w:val="00314778"/>
    <w:rsid w:val="003149FA"/>
    <w:rsid w:val="00321464"/>
    <w:rsid w:val="00322E12"/>
    <w:rsid w:val="003230D6"/>
    <w:rsid w:val="00324D49"/>
    <w:rsid w:val="003256F0"/>
    <w:rsid w:val="00327690"/>
    <w:rsid w:val="003302A6"/>
    <w:rsid w:val="00331D47"/>
    <w:rsid w:val="0033230F"/>
    <w:rsid w:val="00333533"/>
    <w:rsid w:val="00333E1A"/>
    <w:rsid w:val="00334E5E"/>
    <w:rsid w:val="00336DBF"/>
    <w:rsid w:val="00337427"/>
    <w:rsid w:val="00343E60"/>
    <w:rsid w:val="00344910"/>
    <w:rsid w:val="00344E8B"/>
    <w:rsid w:val="00345F23"/>
    <w:rsid w:val="00346214"/>
    <w:rsid w:val="0034665B"/>
    <w:rsid w:val="00347304"/>
    <w:rsid w:val="00347699"/>
    <w:rsid w:val="003510BF"/>
    <w:rsid w:val="00351AD8"/>
    <w:rsid w:val="0035316B"/>
    <w:rsid w:val="003539DB"/>
    <w:rsid w:val="00355D63"/>
    <w:rsid w:val="00357C55"/>
    <w:rsid w:val="00361247"/>
    <w:rsid w:val="003616EA"/>
    <w:rsid w:val="003619F4"/>
    <w:rsid w:val="00362D89"/>
    <w:rsid w:val="00364714"/>
    <w:rsid w:val="00364D24"/>
    <w:rsid w:val="00364DE7"/>
    <w:rsid w:val="00366EE6"/>
    <w:rsid w:val="00367932"/>
    <w:rsid w:val="00367F31"/>
    <w:rsid w:val="00370ACD"/>
    <w:rsid w:val="00371A4B"/>
    <w:rsid w:val="0037202D"/>
    <w:rsid w:val="00372FA2"/>
    <w:rsid w:val="00373A4A"/>
    <w:rsid w:val="00374A8B"/>
    <w:rsid w:val="00374AD3"/>
    <w:rsid w:val="00374EC9"/>
    <w:rsid w:val="00376170"/>
    <w:rsid w:val="0037788A"/>
    <w:rsid w:val="003843B1"/>
    <w:rsid w:val="003844C8"/>
    <w:rsid w:val="00385392"/>
    <w:rsid w:val="003859B1"/>
    <w:rsid w:val="00386B1A"/>
    <w:rsid w:val="00387341"/>
    <w:rsid w:val="0038785F"/>
    <w:rsid w:val="00390233"/>
    <w:rsid w:val="00390912"/>
    <w:rsid w:val="00391A1A"/>
    <w:rsid w:val="003946FA"/>
    <w:rsid w:val="00395966"/>
    <w:rsid w:val="003961FF"/>
    <w:rsid w:val="003963ED"/>
    <w:rsid w:val="00396421"/>
    <w:rsid w:val="003969F7"/>
    <w:rsid w:val="003977FE"/>
    <w:rsid w:val="003A031B"/>
    <w:rsid w:val="003A4C78"/>
    <w:rsid w:val="003A4D26"/>
    <w:rsid w:val="003B0294"/>
    <w:rsid w:val="003B0BA7"/>
    <w:rsid w:val="003B1711"/>
    <w:rsid w:val="003B3487"/>
    <w:rsid w:val="003B3ACE"/>
    <w:rsid w:val="003B3BBD"/>
    <w:rsid w:val="003B4195"/>
    <w:rsid w:val="003B4F54"/>
    <w:rsid w:val="003B52A2"/>
    <w:rsid w:val="003B6E0B"/>
    <w:rsid w:val="003B789D"/>
    <w:rsid w:val="003B7E2B"/>
    <w:rsid w:val="003C13E6"/>
    <w:rsid w:val="003C141D"/>
    <w:rsid w:val="003C1659"/>
    <w:rsid w:val="003C4188"/>
    <w:rsid w:val="003C4922"/>
    <w:rsid w:val="003C5970"/>
    <w:rsid w:val="003D142C"/>
    <w:rsid w:val="003D1972"/>
    <w:rsid w:val="003D399F"/>
    <w:rsid w:val="003D3D86"/>
    <w:rsid w:val="003D4FF7"/>
    <w:rsid w:val="003D6DEC"/>
    <w:rsid w:val="003D7B1F"/>
    <w:rsid w:val="003E06C4"/>
    <w:rsid w:val="003E34AA"/>
    <w:rsid w:val="003E36DB"/>
    <w:rsid w:val="003E4079"/>
    <w:rsid w:val="003E45E1"/>
    <w:rsid w:val="003E547C"/>
    <w:rsid w:val="003E552F"/>
    <w:rsid w:val="003E5CB3"/>
    <w:rsid w:val="003E7CD1"/>
    <w:rsid w:val="003F1F25"/>
    <w:rsid w:val="003F2976"/>
    <w:rsid w:val="004009ED"/>
    <w:rsid w:val="00402AD2"/>
    <w:rsid w:val="0040377A"/>
    <w:rsid w:val="00406F55"/>
    <w:rsid w:val="00407AEB"/>
    <w:rsid w:val="0041106C"/>
    <w:rsid w:val="00412687"/>
    <w:rsid w:val="00412B54"/>
    <w:rsid w:val="00413C75"/>
    <w:rsid w:val="00413E3B"/>
    <w:rsid w:val="004158E0"/>
    <w:rsid w:val="0041731D"/>
    <w:rsid w:val="0041781C"/>
    <w:rsid w:val="004205A9"/>
    <w:rsid w:val="00420C34"/>
    <w:rsid w:val="00421FDE"/>
    <w:rsid w:val="00422BA9"/>
    <w:rsid w:val="00422BEF"/>
    <w:rsid w:val="00425995"/>
    <w:rsid w:val="00425C6C"/>
    <w:rsid w:val="00425DE1"/>
    <w:rsid w:val="004266CA"/>
    <w:rsid w:val="00427982"/>
    <w:rsid w:val="00427A27"/>
    <w:rsid w:val="00430621"/>
    <w:rsid w:val="00430EF0"/>
    <w:rsid w:val="00431153"/>
    <w:rsid w:val="004326BF"/>
    <w:rsid w:val="00433941"/>
    <w:rsid w:val="0043579E"/>
    <w:rsid w:val="00435CB3"/>
    <w:rsid w:val="00436410"/>
    <w:rsid w:val="0043648C"/>
    <w:rsid w:val="00436F58"/>
    <w:rsid w:val="00440D15"/>
    <w:rsid w:val="004429DF"/>
    <w:rsid w:val="0044316F"/>
    <w:rsid w:val="004434FE"/>
    <w:rsid w:val="00446611"/>
    <w:rsid w:val="00446B14"/>
    <w:rsid w:val="00447F1C"/>
    <w:rsid w:val="00452D3F"/>
    <w:rsid w:val="0045444B"/>
    <w:rsid w:val="004548DD"/>
    <w:rsid w:val="004564F9"/>
    <w:rsid w:val="0045687B"/>
    <w:rsid w:val="00457D27"/>
    <w:rsid w:val="00460700"/>
    <w:rsid w:val="00460CE9"/>
    <w:rsid w:val="004627AA"/>
    <w:rsid w:val="00465E30"/>
    <w:rsid w:val="00466312"/>
    <w:rsid w:val="00470058"/>
    <w:rsid w:val="00471ACC"/>
    <w:rsid w:val="00471EA1"/>
    <w:rsid w:val="00471EBF"/>
    <w:rsid w:val="00474726"/>
    <w:rsid w:val="00475055"/>
    <w:rsid w:val="00475EE1"/>
    <w:rsid w:val="00476333"/>
    <w:rsid w:val="00477098"/>
    <w:rsid w:val="004773F6"/>
    <w:rsid w:val="00480F99"/>
    <w:rsid w:val="00482248"/>
    <w:rsid w:val="00484752"/>
    <w:rsid w:val="004861B0"/>
    <w:rsid w:val="00486C1D"/>
    <w:rsid w:val="00486F42"/>
    <w:rsid w:val="004874E5"/>
    <w:rsid w:val="00487E9C"/>
    <w:rsid w:val="00487EB7"/>
    <w:rsid w:val="00490BD0"/>
    <w:rsid w:val="00490BE3"/>
    <w:rsid w:val="00491370"/>
    <w:rsid w:val="00492754"/>
    <w:rsid w:val="004927A9"/>
    <w:rsid w:val="00492D65"/>
    <w:rsid w:val="004933E7"/>
    <w:rsid w:val="004937E3"/>
    <w:rsid w:val="004939BE"/>
    <w:rsid w:val="004945E8"/>
    <w:rsid w:val="0049553B"/>
    <w:rsid w:val="00497BAD"/>
    <w:rsid w:val="004A0AED"/>
    <w:rsid w:val="004A4528"/>
    <w:rsid w:val="004A4870"/>
    <w:rsid w:val="004A4EDD"/>
    <w:rsid w:val="004A778F"/>
    <w:rsid w:val="004B0A07"/>
    <w:rsid w:val="004B4A52"/>
    <w:rsid w:val="004B5212"/>
    <w:rsid w:val="004C0D34"/>
    <w:rsid w:val="004C3255"/>
    <w:rsid w:val="004C5B0B"/>
    <w:rsid w:val="004C7174"/>
    <w:rsid w:val="004C7308"/>
    <w:rsid w:val="004D0B0F"/>
    <w:rsid w:val="004D1115"/>
    <w:rsid w:val="004D35E7"/>
    <w:rsid w:val="004D3B98"/>
    <w:rsid w:val="004D432F"/>
    <w:rsid w:val="004D4349"/>
    <w:rsid w:val="004E09A4"/>
    <w:rsid w:val="004E0E8C"/>
    <w:rsid w:val="004E1220"/>
    <w:rsid w:val="004E22D5"/>
    <w:rsid w:val="004E3488"/>
    <w:rsid w:val="004E3497"/>
    <w:rsid w:val="004E3E61"/>
    <w:rsid w:val="004E624E"/>
    <w:rsid w:val="004E7537"/>
    <w:rsid w:val="004F2387"/>
    <w:rsid w:val="004F3825"/>
    <w:rsid w:val="004F4602"/>
    <w:rsid w:val="004F6281"/>
    <w:rsid w:val="00500338"/>
    <w:rsid w:val="005003CC"/>
    <w:rsid w:val="00500522"/>
    <w:rsid w:val="00501DA8"/>
    <w:rsid w:val="00501E05"/>
    <w:rsid w:val="00501F1F"/>
    <w:rsid w:val="0050368E"/>
    <w:rsid w:val="00505AB5"/>
    <w:rsid w:val="00510143"/>
    <w:rsid w:val="005157D3"/>
    <w:rsid w:val="00515A6E"/>
    <w:rsid w:val="00517D89"/>
    <w:rsid w:val="00520A73"/>
    <w:rsid w:val="00520D09"/>
    <w:rsid w:val="005220F0"/>
    <w:rsid w:val="00522298"/>
    <w:rsid w:val="00523FBE"/>
    <w:rsid w:val="005245F2"/>
    <w:rsid w:val="00525296"/>
    <w:rsid w:val="00527FFE"/>
    <w:rsid w:val="00531AB5"/>
    <w:rsid w:val="00536223"/>
    <w:rsid w:val="005420E2"/>
    <w:rsid w:val="0054374D"/>
    <w:rsid w:val="00543AA8"/>
    <w:rsid w:val="0054542A"/>
    <w:rsid w:val="0054637F"/>
    <w:rsid w:val="005468C2"/>
    <w:rsid w:val="00547AF4"/>
    <w:rsid w:val="0055187F"/>
    <w:rsid w:val="00553E70"/>
    <w:rsid w:val="00554BFC"/>
    <w:rsid w:val="00554FF7"/>
    <w:rsid w:val="0055579C"/>
    <w:rsid w:val="00555C69"/>
    <w:rsid w:val="00556347"/>
    <w:rsid w:val="0055726E"/>
    <w:rsid w:val="005609D0"/>
    <w:rsid w:val="00560A9F"/>
    <w:rsid w:val="00562427"/>
    <w:rsid w:val="00562F8F"/>
    <w:rsid w:val="00563AFE"/>
    <w:rsid w:val="005645EC"/>
    <w:rsid w:val="0056605C"/>
    <w:rsid w:val="00567B32"/>
    <w:rsid w:val="005710EC"/>
    <w:rsid w:val="005711B4"/>
    <w:rsid w:val="00574028"/>
    <w:rsid w:val="00574180"/>
    <w:rsid w:val="00575216"/>
    <w:rsid w:val="00575700"/>
    <w:rsid w:val="00577137"/>
    <w:rsid w:val="00581414"/>
    <w:rsid w:val="00581582"/>
    <w:rsid w:val="005832E7"/>
    <w:rsid w:val="00583F6C"/>
    <w:rsid w:val="00584189"/>
    <w:rsid w:val="005902C4"/>
    <w:rsid w:val="005911A7"/>
    <w:rsid w:val="0059199B"/>
    <w:rsid w:val="0059540A"/>
    <w:rsid w:val="0059561A"/>
    <w:rsid w:val="00597093"/>
    <w:rsid w:val="00597C21"/>
    <w:rsid w:val="005A09AF"/>
    <w:rsid w:val="005A10BF"/>
    <w:rsid w:val="005A1480"/>
    <w:rsid w:val="005A1B28"/>
    <w:rsid w:val="005A3CE7"/>
    <w:rsid w:val="005A4E5B"/>
    <w:rsid w:val="005A5945"/>
    <w:rsid w:val="005A629F"/>
    <w:rsid w:val="005A7EA1"/>
    <w:rsid w:val="005B0C20"/>
    <w:rsid w:val="005B1165"/>
    <w:rsid w:val="005B1946"/>
    <w:rsid w:val="005B1A03"/>
    <w:rsid w:val="005B3AAC"/>
    <w:rsid w:val="005B4462"/>
    <w:rsid w:val="005B56D4"/>
    <w:rsid w:val="005B7C16"/>
    <w:rsid w:val="005B7F82"/>
    <w:rsid w:val="005C1530"/>
    <w:rsid w:val="005C34A9"/>
    <w:rsid w:val="005C3EB7"/>
    <w:rsid w:val="005C4CDB"/>
    <w:rsid w:val="005C51B7"/>
    <w:rsid w:val="005C5C77"/>
    <w:rsid w:val="005D0C2C"/>
    <w:rsid w:val="005D0EB0"/>
    <w:rsid w:val="005D1647"/>
    <w:rsid w:val="005D2BB0"/>
    <w:rsid w:val="005D3266"/>
    <w:rsid w:val="005D3E0C"/>
    <w:rsid w:val="005D6434"/>
    <w:rsid w:val="005D7782"/>
    <w:rsid w:val="005D7F78"/>
    <w:rsid w:val="005E0BDA"/>
    <w:rsid w:val="005E1F3B"/>
    <w:rsid w:val="005E7227"/>
    <w:rsid w:val="005F028E"/>
    <w:rsid w:val="005F2970"/>
    <w:rsid w:val="005F3123"/>
    <w:rsid w:val="005F4053"/>
    <w:rsid w:val="005F7AE7"/>
    <w:rsid w:val="005F7B49"/>
    <w:rsid w:val="006016E7"/>
    <w:rsid w:val="00601E81"/>
    <w:rsid w:val="00604896"/>
    <w:rsid w:val="00610809"/>
    <w:rsid w:val="00610ACE"/>
    <w:rsid w:val="006110A9"/>
    <w:rsid w:val="006117C5"/>
    <w:rsid w:val="0061299D"/>
    <w:rsid w:val="00613B8C"/>
    <w:rsid w:val="00614349"/>
    <w:rsid w:val="00615157"/>
    <w:rsid w:val="00615627"/>
    <w:rsid w:val="00615D2E"/>
    <w:rsid w:val="006169C6"/>
    <w:rsid w:val="006204BB"/>
    <w:rsid w:val="00621A42"/>
    <w:rsid w:val="006226CC"/>
    <w:rsid w:val="00622AC6"/>
    <w:rsid w:val="00622AF5"/>
    <w:rsid w:val="00622E38"/>
    <w:rsid w:val="00623D50"/>
    <w:rsid w:val="00624539"/>
    <w:rsid w:val="00626B45"/>
    <w:rsid w:val="0062776D"/>
    <w:rsid w:val="00627F36"/>
    <w:rsid w:val="00631B7D"/>
    <w:rsid w:val="00637D36"/>
    <w:rsid w:val="00637E20"/>
    <w:rsid w:val="00640234"/>
    <w:rsid w:val="00643886"/>
    <w:rsid w:val="006441B9"/>
    <w:rsid w:val="006441DF"/>
    <w:rsid w:val="00645798"/>
    <w:rsid w:val="00645ABE"/>
    <w:rsid w:val="006470FE"/>
    <w:rsid w:val="006471BC"/>
    <w:rsid w:val="00653751"/>
    <w:rsid w:val="006557A5"/>
    <w:rsid w:val="0065706E"/>
    <w:rsid w:val="00660A81"/>
    <w:rsid w:val="00662F72"/>
    <w:rsid w:val="006638CA"/>
    <w:rsid w:val="006643DD"/>
    <w:rsid w:val="00664787"/>
    <w:rsid w:val="0066745C"/>
    <w:rsid w:val="00667C97"/>
    <w:rsid w:val="00671B1F"/>
    <w:rsid w:val="00672171"/>
    <w:rsid w:val="0067396B"/>
    <w:rsid w:val="00676080"/>
    <w:rsid w:val="006808AB"/>
    <w:rsid w:val="006842B0"/>
    <w:rsid w:val="0068546F"/>
    <w:rsid w:val="00685497"/>
    <w:rsid w:val="00685D40"/>
    <w:rsid w:val="00685E82"/>
    <w:rsid w:val="006860CC"/>
    <w:rsid w:val="00686181"/>
    <w:rsid w:val="00691F2D"/>
    <w:rsid w:val="00692F5D"/>
    <w:rsid w:val="006934EE"/>
    <w:rsid w:val="00693E8F"/>
    <w:rsid w:val="00697C68"/>
    <w:rsid w:val="006A3594"/>
    <w:rsid w:val="006A3A5D"/>
    <w:rsid w:val="006A4D0B"/>
    <w:rsid w:val="006A62DC"/>
    <w:rsid w:val="006A6958"/>
    <w:rsid w:val="006A79BD"/>
    <w:rsid w:val="006A7D3A"/>
    <w:rsid w:val="006A7EC0"/>
    <w:rsid w:val="006B0C02"/>
    <w:rsid w:val="006B17D6"/>
    <w:rsid w:val="006B1975"/>
    <w:rsid w:val="006B1F07"/>
    <w:rsid w:val="006B1F58"/>
    <w:rsid w:val="006B2224"/>
    <w:rsid w:val="006B43DF"/>
    <w:rsid w:val="006B4600"/>
    <w:rsid w:val="006B6F9B"/>
    <w:rsid w:val="006B7E8B"/>
    <w:rsid w:val="006C1B7F"/>
    <w:rsid w:val="006C1C2A"/>
    <w:rsid w:val="006C247B"/>
    <w:rsid w:val="006C3BC8"/>
    <w:rsid w:val="006C3F0E"/>
    <w:rsid w:val="006C53FC"/>
    <w:rsid w:val="006C632E"/>
    <w:rsid w:val="006C652A"/>
    <w:rsid w:val="006C690A"/>
    <w:rsid w:val="006C7760"/>
    <w:rsid w:val="006C7849"/>
    <w:rsid w:val="006D541F"/>
    <w:rsid w:val="006D5CAC"/>
    <w:rsid w:val="006D776E"/>
    <w:rsid w:val="006E0102"/>
    <w:rsid w:val="006E0969"/>
    <w:rsid w:val="006E126A"/>
    <w:rsid w:val="006E2AA6"/>
    <w:rsid w:val="006E31D9"/>
    <w:rsid w:val="006E481B"/>
    <w:rsid w:val="006E5960"/>
    <w:rsid w:val="006E7307"/>
    <w:rsid w:val="006E7425"/>
    <w:rsid w:val="006F01AC"/>
    <w:rsid w:val="006F04CE"/>
    <w:rsid w:val="006F2A40"/>
    <w:rsid w:val="006F3745"/>
    <w:rsid w:val="006F68D2"/>
    <w:rsid w:val="006F7434"/>
    <w:rsid w:val="00700ADE"/>
    <w:rsid w:val="00700DCF"/>
    <w:rsid w:val="007010B1"/>
    <w:rsid w:val="00702C01"/>
    <w:rsid w:val="007042FD"/>
    <w:rsid w:val="0070491C"/>
    <w:rsid w:val="007058A1"/>
    <w:rsid w:val="00706C06"/>
    <w:rsid w:val="00710380"/>
    <w:rsid w:val="00710A97"/>
    <w:rsid w:val="0071292B"/>
    <w:rsid w:val="00715E03"/>
    <w:rsid w:val="0071677D"/>
    <w:rsid w:val="0071679F"/>
    <w:rsid w:val="00722364"/>
    <w:rsid w:val="007232B3"/>
    <w:rsid w:val="0072333D"/>
    <w:rsid w:val="00724410"/>
    <w:rsid w:val="0072495E"/>
    <w:rsid w:val="00724A66"/>
    <w:rsid w:val="00726A4D"/>
    <w:rsid w:val="00726E53"/>
    <w:rsid w:val="00727700"/>
    <w:rsid w:val="007279E1"/>
    <w:rsid w:val="00730A1C"/>
    <w:rsid w:val="0073115E"/>
    <w:rsid w:val="00731BE8"/>
    <w:rsid w:val="00732047"/>
    <w:rsid w:val="00733B49"/>
    <w:rsid w:val="00734294"/>
    <w:rsid w:val="00734633"/>
    <w:rsid w:val="007349B9"/>
    <w:rsid w:val="00734D64"/>
    <w:rsid w:val="0073539D"/>
    <w:rsid w:val="007402D4"/>
    <w:rsid w:val="00740667"/>
    <w:rsid w:val="00741791"/>
    <w:rsid w:val="00745652"/>
    <w:rsid w:val="007476E8"/>
    <w:rsid w:val="00747B11"/>
    <w:rsid w:val="00747BAD"/>
    <w:rsid w:val="00747BEA"/>
    <w:rsid w:val="00747F12"/>
    <w:rsid w:val="00751EE2"/>
    <w:rsid w:val="0075241F"/>
    <w:rsid w:val="007527DC"/>
    <w:rsid w:val="00752ADB"/>
    <w:rsid w:val="00753A74"/>
    <w:rsid w:val="00753B2E"/>
    <w:rsid w:val="00753B94"/>
    <w:rsid w:val="007550B8"/>
    <w:rsid w:val="0075546E"/>
    <w:rsid w:val="00756B4B"/>
    <w:rsid w:val="00756DC7"/>
    <w:rsid w:val="00756FA8"/>
    <w:rsid w:val="00763CCC"/>
    <w:rsid w:val="0076404F"/>
    <w:rsid w:val="007652CF"/>
    <w:rsid w:val="00765445"/>
    <w:rsid w:val="00765924"/>
    <w:rsid w:val="007660E8"/>
    <w:rsid w:val="00767BFC"/>
    <w:rsid w:val="00771868"/>
    <w:rsid w:val="00771D52"/>
    <w:rsid w:val="00773165"/>
    <w:rsid w:val="0077318B"/>
    <w:rsid w:val="00776437"/>
    <w:rsid w:val="00780A46"/>
    <w:rsid w:val="0078230B"/>
    <w:rsid w:val="00783ED6"/>
    <w:rsid w:val="007847C2"/>
    <w:rsid w:val="0078563F"/>
    <w:rsid w:val="0078596B"/>
    <w:rsid w:val="00786078"/>
    <w:rsid w:val="00786D8A"/>
    <w:rsid w:val="00786D8E"/>
    <w:rsid w:val="00787D7A"/>
    <w:rsid w:val="00787DB7"/>
    <w:rsid w:val="00787F04"/>
    <w:rsid w:val="00791F45"/>
    <w:rsid w:val="007920FD"/>
    <w:rsid w:val="0079324C"/>
    <w:rsid w:val="007936E4"/>
    <w:rsid w:val="007944BB"/>
    <w:rsid w:val="00794753"/>
    <w:rsid w:val="00794EFF"/>
    <w:rsid w:val="00794F6C"/>
    <w:rsid w:val="00795CF2"/>
    <w:rsid w:val="00796951"/>
    <w:rsid w:val="00797B2A"/>
    <w:rsid w:val="00797B81"/>
    <w:rsid w:val="007A151D"/>
    <w:rsid w:val="007A2280"/>
    <w:rsid w:val="007A391A"/>
    <w:rsid w:val="007A5F9F"/>
    <w:rsid w:val="007A60FC"/>
    <w:rsid w:val="007A6792"/>
    <w:rsid w:val="007B0432"/>
    <w:rsid w:val="007B117D"/>
    <w:rsid w:val="007B1C75"/>
    <w:rsid w:val="007B4982"/>
    <w:rsid w:val="007B6FBC"/>
    <w:rsid w:val="007B7301"/>
    <w:rsid w:val="007C12E2"/>
    <w:rsid w:val="007C24D4"/>
    <w:rsid w:val="007C3742"/>
    <w:rsid w:val="007C4202"/>
    <w:rsid w:val="007C66D7"/>
    <w:rsid w:val="007C7968"/>
    <w:rsid w:val="007D0730"/>
    <w:rsid w:val="007D1B08"/>
    <w:rsid w:val="007D1C1B"/>
    <w:rsid w:val="007D5AF8"/>
    <w:rsid w:val="007D6649"/>
    <w:rsid w:val="007D6DC2"/>
    <w:rsid w:val="007E0AC0"/>
    <w:rsid w:val="007E0FCA"/>
    <w:rsid w:val="007E11C9"/>
    <w:rsid w:val="007E1230"/>
    <w:rsid w:val="007E1DB9"/>
    <w:rsid w:val="007E2E13"/>
    <w:rsid w:val="007E3629"/>
    <w:rsid w:val="007E4282"/>
    <w:rsid w:val="007E5A98"/>
    <w:rsid w:val="007E7BCF"/>
    <w:rsid w:val="007E7BE4"/>
    <w:rsid w:val="007F09D9"/>
    <w:rsid w:val="007F2DB1"/>
    <w:rsid w:val="007F32ED"/>
    <w:rsid w:val="007F331D"/>
    <w:rsid w:val="007F340F"/>
    <w:rsid w:val="007F458E"/>
    <w:rsid w:val="007F566F"/>
    <w:rsid w:val="007F5D8F"/>
    <w:rsid w:val="007F5FFF"/>
    <w:rsid w:val="007F7B0A"/>
    <w:rsid w:val="007F7C2C"/>
    <w:rsid w:val="00801213"/>
    <w:rsid w:val="00801A5E"/>
    <w:rsid w:val="0080282C"/>
    <w:rsid w:val="00802A28"/>
    <w:rsid w:val="008044FE"/>
    <w:rsid w:val="00804548"/>
    <w:rsid w:val="00805B39"/>
    <w:rsid w:val="008060A1"/>
    <w:rsid w:val="0080769F"/>
    <w:rsid w:val="00807DC0"/>
    <w:rsid w:val="00807E16"/>
    <w:rsid w:val="00813495"/>
    <w:rsid w:val="00814508"/>
    <w:rsid w:val="00815620"/>
    <w:rsid w:val="008178CB"/>
    <w:rsid w:val="0082024F"/>
    <w:rsid w:val="008218D5"/>
    <w:rsid w:val="00822759"/>
    <w:rsid w:val="0082281F"/>
    <w:rsid w:val="00823C68"/>
    <w:rsid w:val="008245E1"/>
    <w:rsid w:val="00825963"/>
    <w:rsid w:val="00826D0C"/>
    <w:rsid w:val="00827F65"/>
    <w:rsid w:val="0083126C"/>
    <w:rsid w:val="00831B45"/>
    <w:rsid w:val="00832F73"/>
    <w:rsid w:val="00833FCE"/>
    <w:rsid w:val="008342FC"/>
    <w:rsid w:val="00834F8D"/>
    <w:rsid w:val="008367A1"/>
    <w:rsid w:val="0083709F"/>
    <w:rsid w:val="00840960"/>
    <w:rsid w:val="00841BE0"/>
    <w:rsid w:val="00841C69"/>
    <w:rsid w:val="00842058"/>
    <w:rsid w:val="00842B0B"/>
    <w:rsid w:val="00842B48"/>
    <w:rsid w:val="00844C85"/>
    <w:rsid w:val="00847C5D"/>
    <w:rsid w:val="0085016B"/>
    <w:rsid w:val="008502E0"/>
    <w:rsid w:val="00851585"/>
    <w:rsid w:val="008517F7"/>
    <w:rsid w:val="00851C57"/>
    <w:rsid w:val="00851E0A"/>
    <w:rsid w:val="00852EF8"/>
    <w:rsid w:val="0085493D"/>
    <w:rsid w:val="0086073D"/>
    <w:rsid w:val="00861CEF"/>
    <w:rsid w:val="0086240F"/>
    <w:rsid w:val="00863707"/>
    <w:rsid w:val="0086530D"/>
    <w:rsid w:val="008673A7"/>
    <w:rsid w:val="00870336"/>
    <w:rsid w:val="008708B6"/>
    <w:rsid w:val="00871474"/>
    <w:rsid w:val="00872398"/>
    <w:rsid w:val="00872636"/>
    <w:rsid w:val="0087352C"/>
    <w:rsid w:val="00873A5B"/>
    <w:rsid w:val="0087639F"/>
    <w:rsid w:val="00880FC8"/>
    <w:rsid w:val="0088202C"/>
    <w:rsid w:val="008840B9"/>
    <w:rsid w:val="00884912"/>
    <w:rsid w:val="00886400"/>
    <w:rsid w:val="00886FA6"/>
    <w:rsid w:val="0089013E"/>
    <w:rsid w:val="00890958"/>
    <w:rsid w:val="00890EF7"/>
    <w:rsid w:val="008A2A2C"/>
    <w:rsid w:val="008A3546"/>
    <w:rsid w:val="008A443D"/>
    <w:rsid w:val="008A4B5F"/>
    <w:rsid w:val="008A4ECE"/>
    <w:rsid w:val="008A58D1"/>
    <w:rsid w:val="008B3143"/>
    <w:rsid w:val="008B3634"/>
    <w:rsid w:val="008B4885"/>
    <w:rsid w:val="008B5781"/>
    <w:rsid w:val="008B6ADE"/>
    <w:rsid w:val="008B79A5"/>
    <w:rsid w:val="008C1B85"/>
    <w:rsid w:val="008C1E50"/>
    <w:rsid w:val="008C3DA3"/>
    <w:rsid w:val="008C4066"/>
    <w:rsid w:val="008C49D2"/>
    <w:rsid w:val="008C50B1"/>
    <w:rsid w:val="008C7949"/>
    <w:rsid w:val="008C7C65"/>
    <w:rsid w:val="008D1A1E"/>
    <w:rsid w:val="008D44DF"/>
    <w:rsid w:val="008D455E"/>
    <w:rsid w:val="008D6120"/>
    <w:rsid w:val="008D6A31"/>
    <w:rsid w:val="008D7369"/>
    <w:rsid w:val="008E0957"/>
    <w:rsid w:val="008E1098"/>
    <w:rsid w:val="008E4044"/>
    <w:rsid w:val="008E4449"/>
    <w:rsid w:val="008E5B52"/>
    <w:rsid w:val="008E5F83"/>
    <w:rsid w:val="008E7D1F"/>
    <w:rsid w:val="008E7D42"/>
    <w:rsid w:val="008F0C55"/>
    <w:rsid w:val="008F2103"/>
    <w:rsid w:val="008F3DB8"/>
    <w:rsid w:val="00901CFF"/>
    <w:rsid w:val="00902DD7"/>
    <w:rsid w:val="00905C70"/>
    <w:rsid w:val="009062F8"/>
    <w:rsid w:val="0090686E"/>
    <w:rsid w:val="009077B6"/>
    <w:rsid w:val="00910720"/>
    <w:rsid w:val="009109E3"/>
    <w:rsid w:val="009113EC"/>
    <w:rsid w:val="0091232F"/>
    <w:rsid w:val="00912720"/>
    <w:rsid w:val="0091379E"/>
    <w:rsid w:val="00914619"/>
    <w:rsid w:val="009160B1"/>
    <w:rsid w:val="00916D25"/>
    <w:rsid w:val="00916D7A"/>
    <w:rsid w:val="009171ED"/>
    <w:rsid w:val="009178FF"/>
    <w:rsid w:val="0091795B"/>
    <w:rsid w:val="009223DE"/>
    <w:rsid w:val="00922A3D"/>
    <w:rsid w:val="00924138"/>
    <w:rsid w:val="00925D78"/>
    <w:rsid w:val="009274DE"/>
    <w:rsid w:val="009307E0"/>
    <w:rsid w:val="00932900"/>
    <w:rsid w:val="0093545A"/>
    <w:rsid w:val="00936714"/>
    <w:rsid w:val="00936A3A"/>
    <w:rsid w:val="00936D39"/>
    <w:rsid w:val="00940BC1"/>
    <w:rsid w:val="009414CB"/>
    <w:rsid w:val="00943F02"/>
    <w:rsid w:val="00944077"/>
    <w:rsid w:val="00945EF8"/>
    <w:rsid w:val="00947105"/>
    <w:rsid w:val="009509CA"/>
    <w:rsid w:val="00952284"/>
    <w:rsid w:val="00953650"/>
    <w:rsid w:val="00956E85"/>
    <w:rsid w:val="00962060"/>
    <w:rsid w:val="0096377F"/>
    <w:rsid w:val="009674D0"/>
    <w:rsid w:val="00967CE6"/>
    <w:rsid w:val="009705ED"/>
    <w:rsid w:val="00971561"/>
    <w:rsid w:val="00972185"/>
    <w:rsid w:val="00972D89"/>
    <w:rsid w:val="00974213"/>
    <w:rsid w:val="00974FBE"/>
    <w:rsid w:val="00983B1E"/>
    <w:rsid w:val="00984494"/>
    <w:rsid w:val="00986550"/>
    <w:rsid w:val="009878B4"/>
    <w:rsid w:val="0098793A"/>
    <w:rsid w:val="00987F9F"/>
    <w:rsid w:val="00992A1D"/>
    <w:rsid w:val="00996EF6"/>
    <w:rsid w:val="009A2F5A"/>
    <w:rsid w:val="009A37EE"/>
    <w:rsid w:val="009A3DC6"/>
    <w:rsid w:val="009A6529"/>
    <w:rsid w:val="009A68FA"/>
    <w:rsid w:val="009A6B17"/>
    <w:rsid w:val="009A6DAF"/>
    <w:rsid w:val="009B0E36"/>
    <w:rsid w:val="009B0ED3"/>
    <w:rsid w:val="009B230B"/>
    <w:rsid w:val="009B2E87"/>
    <w:rsid w:val="009B3377"/>
    <w:rsid w:val="009B50D7"/>
    <w:rsid w:val="009B52B6"/>
    <w:rsid w:val="009C19FE"/>
    <w:rsid w:val="009C1D24"/>
    <w:rsid w:val="009C23CD"/>
    <w:rsid w:val="009C3AD3"/>
    <w:rsid w:val="009C7245"/>
    <w:rsid w:val="009C73B2"/>
    <w:rsid w:val="009D0788"/>
    <w:rsid w:val="009D0D3C"/>
    <w:rsid w:val="009D170F"/>
    <w:rsid w:val="009D1830"/>
    <w:rsid w:val="009D22E7"/>
    <w:rsid w:val="009D5534"/>
    <w:rsid w:val="009D55D3"/>
    <w:rsid w:val="009D7D9F"/>
    <w:rsid w:val="009E0F64"/>
    <w:rsid w:val="009E1DEE"/>
    <w:rsid w:val="009E21EF"/>
    <w:rsid w:val="009E32BF"/>
    <w:rsid w:val="009E3EAF"/>
    <w:rsid w:val="009E49F4"/>
    <w:rsid w:val="009E4EBA"/>
    <w:rsid w:val="009E7647"/>
    <w:rsid w:val="009E76FC"/>
    <w:rsid w:val="009F0E96"/>
    <w:rsid w:val="009F0F31"/>
    <w:rsid w:val="009F27AE"/>
    <w:rsid w:val="009F2F25"/>
    <w:rsid w:val="009F45BB"/>
    <w:rsid w:val="009F4894"/>
    <w:rsid w:val="009F5EE6"/>
    <w:rsid w:val="009F5F01"/>
    <w:rsid w:val="009F6B10"/>
    <w:rsid w:val="009F7903"/>
    <w:rsid w:val="009F79DD"/>
    <w:rsid w:val="00A004FC"/>
    <w:rsid w:val="00A00867"/>
    <w:rsid w:val="00A00EF0"/>
    <w:rsid w:val="00A02231"/>
    <w:rsid w:val="00A03234"/>
    <w:rsid w:val="00A034A0"/>
    <w:rsid w:val="00A04D1F"/>
    <w:rsid w:val="00A07571"/>
    <w:rsid w:val="00A11E44"/>
    <w:rsid w:val="00A12715"/>
    <w:rsid w:val="00A13470"/>
    <w:rsid w:val="00A147DD"/>
    <w:rsid w:val="00A1491E"/>
    <w:rsid w:val="00A15345"/>
    <w:rsid w:val="00A1716A"/>
    <w:rsid w:val="00A20C5B"/>
    <w:rsid w:val="00A250A5"/>
    <w:rsid w:val="00A2767F"/>
    <w:rsid w:val="00A27702"/>
    <w:rsid w:val="00A31190"/>
    <w:rsid w:val="00A31BF0"/>
    <w:rsid w:val="00A34295"/>
    <w:rsid w:val="00A365DA"/>
    <w:rsid w:val="00A408A9"/>
    <w:rsid w:val="00A41623"/>
    <w:rsid w:val="00A41894"/>
    <w:rsid w:val="00A42445"/>
    <w:rsid w:val="00A43994"/>
    <w:rsid w:val="00A45ADB"/>
    <w:rsid w:val="00A46044"/>
    <w:rsid w:val="00A46C6E"/>
    <w:rsid w:val="00A51C46"/>
    <w:rsid w:val="00A51C9A"/>
    <w:rsid w:val="00A51F84"/>
    <w:rsid w:val="00A52F5D"/>
    <w:rsid w:val="00A53E6F"/>
    <w:rsid w:val="00A54945"/>
    <w:rsid w:val="00A56591"/>
    <w:rsid w:val="00A56906"/>
    <w:rsid w:val="00A572D5"/>
    <w:rsid w:val="00A57554"/>
    <w:rsid w:val="00A57FE8"/>
    <w:rsid w:val="00A6122A"/>
    <w:rsid w:val="00A61B53"/>
    <w:rsid w:val="00A626DF"/>
    <w:rsid w:val="00A64FC9"/>
    <w:rsid w:val="00A650DC"/>
    <w:rsid w:val="00A65CC4"/>
    <w:rsid w:val="00A6676E"/>
    <w:rsid w:val="00A66789"/>
    <w:rsid w:val="00A66BFA"/>
    <w:rsid w:val="00A67722"/>
    <w:rsid w:val="00A67D66"/>
    <w:rsid w:val="00A703B1"/>
    <w:rsid w:val="00A70AD3"/>
    <w:rsid w:val="00A71B57"/>
    <w:rsid w:val="00A71E81"/>
    <w:rsid w:val="00A73E98"/>
    <w:rsid w:val="00A75C3C"/>
    <w:rsid w:val="00A75D88"/>
    <w:rsid w:val="00A7628F"/>
    <w:rsid w:val="00A7662E"/>
    <w:rsid w:val="00A77FE5"/>
    <w:rsid w:val="00A8060E"/>
    <w:rsid w:val="00A81437"/>
    <w:rsid w:val="00A82AD0"/>
    <w:rsid w:val="00A85C2C"/>
    <w:rsid w:val="00A8639E"/>
    <w:rsid w:val="00A918CD"/>
    <w:rsid w:val="00A91AFF"/>
    <w:rsid w:val="00A932FF"/>
    <w:rsid w:val="00A9380D"/>
    <w:rsid w:val="00A95022"/>
    <w:rsid w:val="00A95212"/>
    <w:rsid w:val="00A9532F"/>
    <w:rsid w:val="00A9666A"/>
    <w:rsid w:val="00A9725D"/>
    <w:rsid w:val="00A97B9F"/>
    <w:rsid w:val="00AA0521"/>
    <w:rsid w:val="00AA0E57"/>
    <w:rsid w:val="00AA1634"/>
    <w:rsid w:val="00AA238B"/>
    <w:rsid w:val="00AA2952"/>
    <w:rsid w:val="00AA4651"/>
    <w:rsid w:val="00AA5D1B"/>
    <w:rsid w:val="00AA698F"/>
    <w:rsid w:val="00AA6A35"/>
    <w:rsid w:val="00AA7146"/>
    <w:rsid w:val="00AA7F69"/>
    <w:rsid w:val="00AB0C2C"/>
    <w:rsid w:val="00AB2B8E"/>
    <w:rsid w:val="00AB2E45"/>
    <w:rsid w:val="00AB31EC"/>
    <w:rsid w:val="00AB32AD"/>
    <w:rsid w:val="00AB3618"/>
    <w:rsid w:val="00AB4A00"/>
    <w:rsid w:val="00AB4E9D"/>
    <w:rsid w:val="00AB52D9"/>
    <w:rsid w:val="00AB577F"/>
    <w:rsid w:val="00AB6917"/>
    <w:rsid w:val="00AB77E7"/>
    <w:rsid w:val="00AC254E"/>
    <w:rsid w:val="00AC26C7"/>
    <w:rsid w:val="00AC2EE7"/>
    <w:rsid w:val="00AC337C"/>
    <w:rsid w:val="00AC3A23"/>
    <w:rsid w:val="00AC4CEC"/>
    <w:rsid w:val="00AC4E10"/>
    <w:rsid w:val="00AC5701"/>
    <w:rsid w:val="00AC572F"/>
    <w:rsid w:val="00AC5CDC"/>
    <w:rsid w:val="00AC655C"/>
    <w:rsid w:val="00AC6DE3"/>
    <w:rsid w:val="00AC78E7"/>
    <w:rsid w:val="00AD03E1"/>
    <w:rsid w:val="00AD119B"/>
    <w:rsid w:val="00AD132D"/>
    <w:rsid w:val="00AD1428"/>
    <w:rsid w:val="00AD1C4D"/>
    <w:rsid w:val="00AD2610"/>
    <w:rsid w:val="00AD3611"/>
    <w:rsid w:val="00AD3F7E"/>
    <w:rsid w:val="00AD6D42"/>
    <w:rsid w:val="00AD78D9"/>
    <w:rsid w:val="00AE0876"/>
    <w:rsid w:val="00AE0B7F"/>
    <w:rsid w:val="00AE154D"/>
    <w:rsid w:val="00AE20EF"/>
    <w:rsid w:val="00AE29E0"/>
    <w:rsid w:val="00AE320A"/>
    <w:rsid w:val="00AE3B2B"/>
    <w:rsid w:val="00AE5A60"/>
    <w:rsid w:val="00AE77C7"/>
    <w:rsid w:val="00AE7B23"/>
    <w:rsid w:val="00AF1498"/>
    <w:rsid w:val="00AF3D5D"/>
    <w:rsid w:val="00AF51DC"/>
    <w:rsid w:val="00AF62D9"/>
    <w:rsid w:val="00AF7276"/>
    <w:rsid w:val="00B017F4"/>
    <w:rsid w:val="00B02638"/>
    <w:rsid w:val="00B02BE3"/>
    <w:rsid w:val="00B03092"/>
    <w:rsid w:val="00B0339C"/>
    <w:rsid w:val="00B07F6E"/>
    <w:rsid w:val="00B108AE"/>
    <w:rsid w:val="00B108F0"/>
    <w:rsid w:val="00B11A59"/>
    <w:rsid w:val="00B136B2"/>
    <w:rsid w:val="00B14C86"/>
    <w:rsid w:val="00B16A5A"/>
    <w:rsid w:val="00B16D79"/>
    <w:rsid w:val="00B20160"/>
    <w:rsid w:val="00B20870"/>
    <w:rsid w:val="00B21F1A"/>
    <w:rsid w:val="00B22576"/>
    <w:rsid w:val="00B22877"/>
    <w:rsid w:val="00B229D7"/>
    <w:rsid w:val="00B22C5D"/>
    <w:rsid w:val="00B22D52"/>
    <w:rsid w:val="00B247C6"/>
    <w:rsid w:val="00B24B5B"/>
    <w:rsid w:val="00B25F22"/>
    <w:rsid w:val="00B26AB7"/>
    <w:rsid w:val="00B2701C"/>
    <w:rsid w:val="00B2734A"/>
    <w:rsid w:val="00B273EB"/>
    <w:rsid w:val="00B27C5B"/>
    <w:rsid w:val="00B30045"/>
    <w:rsid w:val="00B3136A"/>
    <w:rsid w:val="00B32193"/>
    <w:rsid w:val="00B32829"/>
    <w:rsid w:val="00B40508"/>
    <w:rsid w:val="00B41BA8"/>
    <w:rsid w:val="00B4220F"/>
    <w:rsid w:val="00B42620"/>
    <w:rsid w:val="00B4266A"/>
    <w:rsid w:val="00B46C25"/>
    <w:rsid w:val="00B46F19"/>
    <w:rsid w:val="00B50032"/>
    <w:rsid w:val="00B5030D"/>
    <w:rsid w:val="00B51E30"/>
    <w:rsid w:val="00B52BDF"/>
    <w:rsid w:val="00B53A9A"/>
    <w:rsid w:val="00B53CA5"/>
    <w:rsid w:val="00B54E25"/>
    <w:rsid w:val="00B55099"/>
    <w:rsid w:val="00B562B4"/>
    <w:rsid w:val="00B56F2C"/>
    <w:rsid w:val="00B57658"/>
    <w:rsid w:val="00B57FCA"/>
    <w:rsid w:val="00B60B49"/>
    <w:rsid w:val="00B615FA"/>
    <w:rsid w:val="00B61B32"/>
    <w:rsid w:val="00B62654"/>
    <w:rsid w:val="00B62ABF"/>
    <w:rsid w:val="00B6363D"/>
    <w:rsid w:val="00B63C96"/>
    <w:rsid w:val="00B6405D"/>
    <w:rsid w:val="00B657AB"/>
    <w:rsid w:val="00B65DB9"/>
    <w:rsid w:val="00B6654F"/>
    <w:rsid w:val="00B67152"/>
    <w:rsid w:val="00B73EBA"/>
    <w:rsid w:val="00B75877"/>
    <w:rsid w:val="00B761D0"/>
    <w:rsid w:val="00B80680"/>
    <w:rsid w:val="00B81161"/>
    <w:rsid w:val="00B83800"/>
    <w:rsid w:val="00B83AC0"/>
    <w:rsid w:val="00B84DD0"/>
    <w:rsid w:val="00B84FA0"/>
    <w:rsid w:val="00B8569D"/>
    <w:rsid w:val="00B86128"/>
    <w:rsid w:val="00B91098"/>
    <w:rsid w:val="00B924B7"/>
    <w:rsid w:val="00B944F7"/>
    <w:rsid w:val="00B9474B"/>
    <w:rsid w:val="00B957F9"/>
    <w:rsid w:val="00B95814"/>
    <w:rsid w:val="00B965A4"/>
    <w:rsid w:val="00B9732C"/>
    <w:rsid w:val="00BA0518"/>
    <w:rsid w:val="00BA0733"/>
    <w:rsid w:val="00BA0DCB"/>
    <w:rsid w:val="00BA115C"/>
    <w:rsid w:val="00BA1855"/>
    <w:rsid w:val="00BA1BEB"/>
    <w:rsid w:val="00BA1DDC"/>
    <w:rsid w:val="00BA53CC"/>
    <w:rsid w:val="00BA7E3A"/>
    <w:rsid w:val="00BB0391"/>
    <w:rsid w:val="00BB03A0"/>
    <w:rsid w:val="00BB04FC"/>
    <w:rsid w:val="00BB05EA"/>
    <w:rsid w:val="00BB130B"/>
    <w:rsid w:val="00BB198E"/>
    <w:rsid w:val="00BB21C4"/>
    <w:rsid w:val="00BB22A0"/>
    <w:rsid w:val="00BB46CA"/>
    <w:rsid w:val="00BB5627"/>
    <w:rsid w:val="00BB70BE"/>
    <w:rsid w:val="00BB75D7"/>
    <w:rsid w:val="00BB7730"/>
    <w:rsid w:val="00BC1CF0"/>
    <w:rsid w:val="00BC2911"/>
    <w:rsid w:val="00BC2B3F"/>
    <w:rsid w:val="00BC3004"/>
    <w:rsid w:val="00BC36CA"/>
    <w:rsid w:val="00BC39A5"/>
    <w:rsid w:val="00BC43DA"/>
    <w:rsid w:val="00BC4A71"/>
    <w:rsid w:val="00BC518F"/>
    <w:rsid w:val="00BD02E2"/>
    <w:rsid w:val="00BD171E"/>
    <w:rsid w:val="00BD2DCE"/>
    <w:rsid w:val="00BD36F4"/>
    <w:rsid w:val="00BD40EC"/>
    <w:rsid w:val="00BE11A5"/>
    <w:rsid w:val="00BE2AAB"/>
    <w:rsid w:val="00BE2B12"/>
    <w:rsid w:val="00BE30FD"/>
    <w:rsid w:val="00BE64EB"/>
    <w:rsid w:val="00BE755F"/>
    <w:rsid w:val="00BE768A"/>
    <w:rsid w:val="00BE79EC"/>
    <w:rsid w:val="00BF05A4"/>
    <w:rsid w:val="00BF085F"/>
    <w:rsid w:val="00BF0F7B"/>
    <w:rsid w:val="00BF1A93"/>
    <w:rsid w:val="00BF4CED"/>
    <w:rsid w:val="00BF4F2F"/>
    <w:rsid w:val="00BF5CF5"/>
    <w:rsid w:val="00BF6CB9"/>
    <w:rsid w:val="00C01E73"/>
    <w:rsid w:val="00C0208B"/>
    <w:rsid w:val="00C031FA"/>
    <w:rsid w:val="00C04FB2"/>
    <w:rsid w:val="00C06A78"/>
    <w:rsid w:val="00C11356"/>
    <w:rsid w:val="00C135EA"/>
    <w:rsid w:val="00C13BD3"/>
    <w:rsid w:val="00C14DFC"/>
    <w:rsid w:val="00C14FDF"/>
    <w:rsid w:val="00C156B3"/>
    <w:rsid w:val="00C1692B"/>
    <w:rsid w:val="00C17BF9"/>
    <w:rsid w:val="00C20681"/>
    <w:rsid w:val="00C20B74"/>
    <w:rsid w:val="00C21162"/>
    <w:rsid w:val="00C2323A"/>
    <w:rsid w:val="00C24012"/>
    <w:rsid w:val="00C25219"/>
    <w:rsid w:val="00C27063"/>
    <w:rsid w:val="00C275F2"/>
    <w:rsid w:val="00C346C5"/>
    <w:rsid w:val="00C3494B"/>
    <w:rsid w:val="00C34E80"/>
    <w:rsid w:val="00C35E63"/>
    <w:rsid w:val="00C41101"/>
    <w:rsid w:val="00C41D53"/>
    <w:rsid w:val="00C41ECD"/>
    <w:rsid w:val="00C43D96"/>
    <w:rsid w:val="00C43FF5"/>
    <w:rsid w:val="00C47611"/>
    <w:rsid w:val="00C528B8"/>
    <w:rsid w:val="00C52AC2"/>
    <w:rsid w:val="00C5463F"/>
    <w:rsid w:val="00C5545F"/>
    <w:rsid w:val="00C559FE"/>
    <w:rsid w:val="00C55BE7"/>
    <w:rsid w:val="00C56112"/>
    <w:rsid w:val="00C57DBC"/>
    <w:rsid w:val="00C6101D"/>
    <w:rsid w:val="00C62742"/>
    <w:rsid w:val="00C65146"/>
    <w:rsid w:val="00C66CCE"/>
    <w:rsid w:val="00C70C27"/>
    <w:rsid w:val="00C71258"/>
    <w:rsid w:val="00C72086"/>
    <w:rsid w:val="00C729B1"/>
    <w:rsid w:val="00C74779"/>
    <w:rsid w:val="00C74F19"/>
    <w:rsid w:val="00C76446"/>
    <w:rsid w:val="00C76682"/>
    <w:rsid w:val="00C7669A"/>
    <w:rsid w:val="00C77DEF"/>
    <w:rsid w:val="00C80B0A"/>
    <w:rsid w:val="00C81423"/>
    <w:rsid w:val="00C82419"/>
    <w:rsid w:val="00C84AF8"/>
    <w:rsid w:val="00C85928"/>
    <w:rsid w:val="00C86335"/>
    <w:rsid w:val="00C87DC5"/>
    <w:rsid w:val="00C90C5D"/>
    <w:rsid w:val="00C90DAB"/>
    <w:rsid w:val="00C91B4D"/>
    <w:rsid w:val="00C92432"/>
    <w:rsid w:val="00C9265F"/>
    <w:rsid w:val="00C95763"/>
    <w:rsid w:val="00C96124"/>
    <w:rsid w:val="00C9653B"/>
    <w:rsid w:val="00C96E33"/>
    <w:rsid w:val="00C96F42"/>
    <w:rsid w:val="00C96FEB"/>
    <w:rsid w:val="00C97448"/>
    <w:rsid w:val="00C97898"/>
    <w:rsid w:val="00CA036A"/>
    <w:rsid w:val="00CA0F83"/>
    <w:rsid w:val="00CA35BF"/>
    <w:rsid w:val="00CA3D4A"/>
    <w:rsid w:val="00CA43D6"/>
    <w:rsid w:val="00CA788B"/>
    <w:rsid w:val="00CA7CA7"/>
    <w:rsid w:val="00CB13C0"/>
    <w:rsid w:val="00CB2D24"/>
    <w:rsid w:val="00CB3AC7"/>
    <w:rsid w:val="00CB643A"/>
    <w:rsid w:val="00CB685F"/>
    <w:rsid w:val="00CC0A3C"/>
    <w:rsid w:val="00CC0EAA"/>
    <w:rsid w:val="00CC1DCC"/>
    <w:rsid w:val="00CC4D5E"/>
    <w:rsid w:val="00CC4F3E"/>
    <w:rsid w:val="00CC7D27"/>
    <w:rsid w:val="00CD0156"/>
    <w:rsid w:val="00CD04A4"/>
    <w:rsid w:val="00CD0834"/>
    <w:rsid w:val="00CD08C7"/>
    <w:rsid w:val="00CD0C5C"/>
    <w:rsid w:val="00CD0CD5"/>
    <w:rsid w:val="00CD0FF7"/>
    <w:rsid w:val="00CD2D8A"/>
    <w:rsid w:val="00CD4069"/>
    <w:rsid w:val="00CD436F"/>
    <w:rsid w:val="00CD4E9E"/>
    <w:rsid w:val="00CD645B"/>
    <w:rsid w:val="00CE0451"/>
    <w:rsid w:val="00CE0922"/>
    <w:rsid w:val="00CE169A"/>
    <w:rsid w:val="00CE23E9"/>
    <w:rsid w:val="00CE381E"/>
    <w:rsid w:val="00CE3EDB"/>
    <w:rsid w:val="00CE414D"/>
    <w:rsid w:val="00CE4686"/>
    <w:rsid w:val="00CE495F"/>
    <w:rsid w:val="00CE5C0A"/>
    <w:rsid w:val="00CE73F6"/>
    <w:rsid w:val="00CE7975"/>
    <w:rsid w:val="00CF2AE3"/>
    <w:rsid w:val="00CF3A6F"/>
    <w:rsid w:val="00CF4AE7"/>
    <w:rsid w:val="00CF5EAD"/>
    <w:rsid w:val="00CF5F44"/>
    <w:rsid w:val="00CF6A07"/>
    <w:rsid w:val="00CF742F"/>
    <w:rsid w:val="00D02AEF"/>
    <w:rsid w:val="00D05DF0"/>
    <w:rsid w:val="00D06FF9"/>
    <w:rsid w:val="00D0764E"/>
    <w:rsid w:val="00D1032F"/>
    <w:rsid w:val="00D106B6"/>
    <w:rsid w:val="00D11F61"/>
    <w:rsid w:val="00D11F69"/>
    <w:rsid w:val="00D13ADA"/>
    <w:rsid w:val="00D14ED0"/>
    <w:rsid w:val="00D14F3D"/>
    <w:rsid w:val="00D174CE"/>
    <w:rsid w:val="00D17671"/>
    <w:rsid w:val="00D202CC"/>
    <w:rsid w:val="00D21E0F"/>
    <w:rsid w:val="00D23699"/>
    <w:rsid w:val="00D23A06"/>
    <w:rsid w:val="00D2590E"/>
    <w:rsid w:val="00D25B4C"/>
    <w:rsid w:val="00D31C49"/>
    <w:rsid w:val="00D31EE1"/>
    <w:rsid w:val="00D33EF1"/>
    <w:rsid w:val="00D34B91"/>
    <w:rsid w:val="00D34DC1"/>
    <w:rsid w:val="00D36B5B"/>
    <w:rsid w:val="00D370FF"/>
    <w:rsid w:val="00D43EF6"/>
    <w:rsid w:val="00D445BA"/>
    <w:rsid w:val="00D4486D"/>
    <w:rsid w:val="00D44C8B"/>
    <w:rsid w:val="00D45E8A"/>
    <w:rsid w:val="00D5011D"/>
    <w:rsid w:val="00D513C6"/>
    <w:rsid w:val="00D52968"/>
    <w:rsid w:val="00D53A91"/>
    <w:rsid w:val="00D54507"/>
    <w:rsid w:val="00D54E7B"/>
    <w:rsid w:val="00D55AB5"/>
    <w:rsid w:val="00D56A1D"/>
    <w:rsid w:val="00D57470"/>
    <w:rsid w:val="00D575FD"/>
    <w:rsid w:val="00D57FC8"/>
    <w:rsid w:val="00D61149"/>
    <w:rsid w:val="00D61372"/>
    <w:rsid w:val="00D63B32"/>
    <w:rsid w:val="00D64163"/>
    <w:rsid w:val="00D6421D"/>
    <w:rsid w:val="00D66F6E"/>
    <w:rsid w:val="00D67A08"/>
    <w:rsid w:val="00D7028D"/>
    <w:rsid w:val="00D71B48"/>
    <w:rsid w:val="00D71D47"/>
    <w:rsid w:val="00D73C34"/>
    <w:rsid w:val="00D74649"/>
    <w:rsid w:val="00D772A1"/>
    <w:rsid w:val="00D774DC"/>
    <w:rsid w:val="00D83846"/>
    <w:rsid w:val="00D846EF"/>
    <w:rsid w:val="00D86E88"/>
    <w:rsid w:val="00D87B73"/>
    <w:rsid w:val="00D87F1C"/>
    <w:rsid w:val="00D9015C"/>
    <w:rsid w:val="00D90E8E"/>
    <w:rsid w:val="00D91556"/>
    <w:rsid w:val="00D94490"/>
    <w:rsid w:val="00D95709"/>
    <w:rsid w:val="00D95CA2"/>
    <w:rsid w:val="00D96D99"/>
    <w:rsid w:val="00D96FCE"/>
    <w:rsid w:val="00DA33A1"/>
    <w:rsid w:val="00DA3704"/>
    <w:rsid w:val="00DA6945"/>
    <w:rsid w:val="00DB03B0"/>
    <w:rsid w:val="00DB11C1"/>
    <w:rsid w:val="00DB1258"/>
    <w:rsid w:val="00DB22BF"/>
    <w:rsid w:val="00DB2311"/>
    <w:rsid w:val="00DB2375"/>
    <w:rsid w:val="00DB4949"/>
    <w:rsid w:val="00DB5B5F"/>
    <w:rsid w:val="00DB714B"/>
    <w:rsid w:val="00DB7645"/>
    <w:rsid w:val="00DC0EDA"/>
    <w:rsid w:val="00DC1332"/>
    <w:rsid w:val="00DC24F7"/>
    <w:rsid w:val="00DC2C04"/>
    <w:rsid w:val="00DC3536"/>
    <w:rsid w:val="00DC3A02"/>
    <w:rsid w:val="00DC3DAE"/>
    <w:rsid w:val="00DC50A4"/>
    <w:rsid w:val="00DD1E36"/>
    <w:rsid w:val="00DD4369"/>
    <w:rsid w:val="00DD48D7"/>
    <w:rsid w:val="00DD56FD"/>
    <w:rsid w:val="00DD7FB6"/>
    <w:rsid w:val="00DE0379"/>
    <w:rsid w:val="00DE1110"/>
    <w:rsid w:val="00DE1941"/>
    <w:rsid w:val="00DE2E1B"/>
    <w:rsid w:val="00DE4794"/>
    <w:rsid w:val="00DE52C5"/>
    <w:rsid w:val="00DE6380"/>
    <w:rsid w:val="00DF0190"/>
    <w:rsid w:val="00DF1EE1"/>
    <w:rsid w:val="00DF3DEB"/>
    <w:rsid w:val="00DF565B"/>
    <w:rsid w:val="00DF648E"/>
    <w:rsid w:val="00E034B9"/>
    <w:rsid w:val="00E05857"/>
    <w:rsid w:val="00E0617E"/>
    <w:rsid w:val="00E062B1"/>
    <w:rsid w:val="00E101D1"/>
    <w:rsid w:val="00E11831"/>
    <w:rsid w:val="00E11B04"/>
    <w:rsid w:val="00E135EE"/>
    <w:rsid w:val="00E1409F"/>
    <w:rsid w:val="00E14762"/>
    <w:rsid w:val="00E14D8D"/>
    <w:rsid w:val="00E1513A"/>
    <w:rsid w:val="00E15334"/>
    <w:rsid w:val="00E16DD5"/>
    <w:rsid w:val="00E20BDF"/>
    <w:rsid w:val="00E21EB0"/>
    <w:rsid w:val="00E2292D"/>
    <w:rsid w:val="00E24650"/>
    <w:rsid w:val="00E26A4F"/>
    <w:rsid w:val="00E270DC"/>
    <w:rsid w:val="00E3399F"/>
    <w:rsid w:val="00E36190"/>
    <w:rsid w:val="00E37A0F"/>
    <w:rsid w:val="00E37B15"/>
    <w:rsid w:val="00E40843"/>
    <w:rsid w:val="00E42FBD"/>
    <w:rsid w:val="00E43F41"/>
    <w:rsid w:val="00E450E4"/>
    <w:rsid w:val="00E45812"/>
    <w:rsid w:val="00E47B82"/>
    <w:rsid w:val="00E47F1D"/>
    <w:rsid w:val="00E506C4"/>
    <w:rsid w:val="00E53088"/>
    <w:rsid w:val="00E53B5A"/>
    <w:rsid w:val="00E569D1"/>
    <w:rsid w:val="00E57E6F"/>
    <w:rsid w:val="00E6284F"/>
    <w:rsid w:val="00E631B7"/>
    <w:rsid w:val="00E63519"/>
    <w:rsid w:val="00E64036"/>
    <w:rsid w:val="00E6597B"/>
    <w:rsid w:val="00E662B6"/>
    <w:rsid w:val="00E70ED7"/>
    <w:rsid w:val="00E7122C"/>
    <w:rsid w:val="00E716FC"/>
    <w:rsid w:val="00E733D3"/>
    <w:rsid w:val="00E748DD"/>
    <w:rsid w:val="00E7560E"/>
    <w:rsid w:val="00E76028"/>
    <w:rsid w:val="00E76569"/>
    <w:rsid w:val="00E801CE"/>
    <w:rsid w:val="00E80242"/>
    <w:rsid w:val="00E81A24"/>
    <w:rsid w:val="00E81F7D"/>
    <w:rsid w:val="00E8208C"/>
    <w:rsid w:val="00E8376D"/>
    <w:rsid w:val="00E8459D"/>
    <w:rsid w:val="00E868BF"/>
    <w:rsid w:val="00E8735A"/>
    <w:rsid w:val="00E909F4"/>
    <w:rsid w:val="00E91081"/>
    <w:rsid w:val="00E91D71"/>
    <w:rsid w:val="00E9276F"/>
    <w:rsid w:val="00E930F4"/>
    <w:rsid w:val="00E94381"/>
    <w:rsid w:val="00E94545"/>
    <w:rsid w:val="00E956C2"/>
    <w:rsid w:val="00E96013"/>
    <w:rsid w:val="00E96C19"/>
    <w:rsid w:val="00E96F5B"/>
    <w:rsid w:val="00E97F80"/>
    <w:rsid w:val="00EA3116"/>
    <w:rsid w:val="00EA4209"/>
    <w:rsid w:val="00EA42D1"/>
    <w:rsid w:val="00EA6237"/>
    <w:rsid w:val="00EA728C"/>
    <w:rsid w:val="00EB0212"/>
    <w:rsid w:val="00EB04AB"/>
    <w:rsid w:val="00EB1F4F"/>
    <w:rsid w:val="00EB27AC"/>
    <w:rsid w:val="00EB4BE8"/>
    <w:rsid w:val="00EB5317"/>
    <w:rsid w:val="00EB7F20"/>
    <w:rsid w:val="00EC132D"/>
    <w:rsid w:val="00EC164B"/>
    <w:rsid w:val="00EC30B4"/>
    <w:rsid w:val="00EC322F"/>
    <w:rsid w:val="00EC3A2C"/>
    <w:rsid w:val="00EC714E"/>
    <w:rsid w:val="00EC7707"/>
    <w:rsid w:val="00ED0DB2"/>
    <w:rsid w:val="00ED18D2"/>
    <w:rsid w:val="00ED515C"/>
    <w:rsid w:val="00ED528D"/>
    <w:rsid w:val="00ED66A0"/>
    <w:rsid w:val="00ED7FB3"/>
    <w:rsid w:val="00EE3FF2"/>
    <w:rsid w:val="00EE4771"/>
    <w:rsid w:val="00EE4B9B"/>
    <w:rsid w:val="00EE7601"/>
    <w:rsid w:val="00EE770A"/>
    <w:rsid w:val="00EF0F0B"/>
    <w:rsid w:val="00EF48ED"/>
    <w:rsid w:val="00EF6B88"/>
    <w:rsid w:val="00F05171"/>
    <w:rsid w:val="00F079E7"/>
    <w:rsid w:val="00F102E6"/>
    <w:rsid w:val="00F105AD"/>
    <w:rsid w:val="00F10F5F"/>
    <w:rsid w:val="00F123F6"/>
    <w:rsid w:val="00F141BD"/>
    <w:rsid w:val="00F142D9"/>
    <w:rsid w:val="00F224E4"/>
    <w:rsid w:val="00F2309A"/>
    <w:rsid w:val="00F23195"/>
    <w:rsid w:val="00F2341F"/>
    <w:rsid w:val="00F23868"/>
    <w:rsid w:val="00F244B8"/>
    <w:rsid w:val="00F244EF"/>
    <w:rsid w:val="00F248B7"/>
    <w:rsid w:val="00F250D5"/>
    <w:rsid w:val="00F311D4"/>
    <w:rsid w:val="00F3242D"/>
    <w:rsid w:val="00F32477"/>
    <w:rsid w:val="00F3255E"/>
    <w:rsid w:val="00F327BF"/>
    <w:rsid w:val="00F32A81"/>
    <w:rsid w:val="00F36288"/>
    <w:rsid w:val="00F36DAB"/>
    <w:rsid w:val="00F4028B"/>
    <w:rsid w:val="00F41ED1"/>
    <w:rsid w:val="00F44CBB"/>
    <w:rsid w:val="00F44E86"/>
    <w:rsid w:val="00F46A54"/>
    <w:rsid w:val="00F470B4"/>
    <w:rsid w:val="00F4737C"/>
    <w:rsid w:val="00F477B3"/>
    <w:rsid w:val="00F478C4"/>
    <w:rsid w:val="00F47C9C"/>
    <w:rsid w:val="00F51A68"/>
    <w:rsid w:val="00F52A1B"/>
    <w:rsid w:val="00F53B8F"/>
    <w:rsid w:val="00F543B2"/>
    <w:rsid w:val="00F544E5"/>
    <w:rsid w:val="00F55BF9"/>
    <w:rsid w:val="00F57F66"/>
    <w:rsid w:val="00F60292"/>
    <w:rsid w:val="00F62404"/>
    <w:rsid w:val="00F62B7A"/>
    <w:rsid w:val="00F63AA5"/>
    <w:rsid w:val="00F648C7"/>
    <w:rsid w:val="00F64CB7"/>
    <w:rsid w:val="00F67159"/>
    <w:rsid w:val="00F70D69"/>
    <w:rsid w:val="00F71926"/>
    <w:rsid w:val="00F72AA4"/>
    <w:rsid w:val="00F72E21"/>
    <w:rsid w:val="00F76499"/>
    <w:rsid w:val="00F77856"/>
    <w:rsid w:val="00F8112F"/>
    <w:rsid w:val="00F83B4B"/>
    <w:rsid w:val="00F851D1"/>
    <w:rsid w:val="00F857A4"/>
    <w:rsid w:val="00F86FA5"/>
    <w:rsid w:val="00F87659"/>
    <w:rsid w:val="00F87964"/>
    <w:rsid w:val="00F930AE"/>
    <w:rsid w:val="00F94466"/>
    <w:rsid w:val="00F950ED"/>
    <w:rsid w:val="00F961B6"/>
    <w:rsid w:val="00FA14F3"/>
    <w:rsid w:val="00FA244D"/>
    <w:rsid w:val="00FA2F88"/>
    <w:rsid w:val="00FA6113"/>
    <w:rsid w:val="00FA6D29"/>
    <w:rsid w:val="00FB1AFF"/>
    <w:rsid w:val="00FB406A"/>
    <w:rsid w:val="00FB58D3"/>
    <w:rsid w:val="00FB59FB"/>
    <w:rsid w:val="00FB70A5"/>
    <w:rsid w:val="00FB7CFB"/>
    <w:rsid w:val="00FC086C"/>
    <w:rsid w:val="00FC2A31"/>
    <w:rsid w:val="00FC33CB"/>
    <w:rsid w:val="00FC3463"/>
    <w:rsid w:val="00FC36C0"/>
    <w:rsid w:val="00FC550E"/>
    <w:rsid w:val="00FC6DF4"/>
    <w:rsid w:val="00FD0ABB"/>
    <w:rsid w:val="00FD3DBD"/>
    <w:rsid w:val="00FD4D2B"/>
    <w:rsid w:val="00FD6103"/>
    <w:rsid w:val="00FE27B4"/>
    <w:rsid w:val="00FE3A24"/>
    <w:rsid w:val="00FE42B2"/>
    <w:rsid w:val="00FE59B0"/>
    <w:rsid w:val="00FE5E01"/>
    <w:rsid w:val="00FE6196"/>
    <w:rsid w:val="00FE6A95"/>
    <w:rsid w:val="00FE7725"/>
    <w:rsid w:val="00FF173A"/>
    <w:rsid w:val="00FF1F83"/>
    <w:rsid w:val="00FF1F97"/>
    <w:rsid w:val="00FF2F21"/>
    <w:rsid w:val="00FF4B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5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D26"/>
    <w:pPr>
      <w:ind w:left="720"/>
      <w:contextualSpacing/>
    </w:pPr>
  </w:style>
  <w:style w:type="character" w:styleId="CommentReference">
    <w:name w:val="annotation reference"/>
    <w:basedOn w:val="DefaultParagraphFont"/>
    <w:uiPriority w:val="99"/>
    <w:semiHidden/>
    <w:unhideWhenUsed/>
    <w:rsid w:val="00643886"/>
    <w:rPr>
      <w:sz w:val="16"/>
      <w:szCs w:val="16"/>
    </w:rPr>
  </w:style>
  <w:style w:type="paragraph" w:styleId="CommentText">
    <w:name w:val="annotation text"/>
    <w:basedOn w:val="Normal"/>
    <w:link w:val="CommentTextChar"/>
    <w:uiPriority w:val="99"/>
    <w:unhideWhenUsed/>
    <w:rsid w:val="006E0969"/>
    <w:pPr>
      <w:spacing w:line="240" w:lineRule="auto"/>
    </w:pPr>
    <w:rPr>
      <w:sz w:val="20"/>
      <w:szCs w:val="20"/>
      <w:lang w:val="en-GB"/>
    </w:rPr>
  </w:style>
  <w:style w:type="character" w:customStyle="1" w:styleId="CommentTextChar">
    <w:name w:val="Comment Text Char"/>
    <w:basedOn w:val="DefaultParagraphFont"/>
    <w:link w:val="CommentText"/>
    <w:uiPriority w:val="99"/>
    <w:rsid w:val="006E0969"/>
    <w:rPr>
      <w:sz w:val="20"/>
      <w:szCs w:val="20"/>
      <w:lang w:val="en-GB"/>
    </w:rPr>
  </w:style>
  <w:style w:type="paragraph" w:styleId="CommentSubject">
    <w:name w:val="annotation subject"/>
    <w:basedOn w:val="CommentText"/>
    <w:next w:val="CommentText"/>
    <w:link w:val="CommentSubjectChar"/>
    <w:uiPriority w:val="99"/>
    <w:semiHidden/>
    <w:unhideWhenUsed/>
    <w:rsid w:val="00643886"/>
    <w:rPr>
      <w:b/>
      <w:bCs/>
    </w:rPr>
  </w:style>
  <w:style w:type="character" w:customStyle="1" w:styleId="CommentSubjectChar">
    <w:name w:val="Comment Subject Char"/>
    <w:basedOn w:val="CommentTextChar"/>
    <w:link w:val="CommentSubject"/>
    <w:uiPriority w:val="99"/>
    <w:semiHidden/>
    <w:rsid w:val="00643886"/>
    <w:rPr>
      <w:b/>
      <w:bCs/>
      <w:sz w:val="20"/>
      <w:szCs w:val="20"/>
      <w:lang w:val="en-GB"/>
    </w:rPr>
  </w:style>
  <w:style w:type="paragraph" w:styleId="BalloonText">
    <w:name w:val="Balloon Text"/>
    <w:basedOn w:val="Normal"/>
    <w:link w:val="BalloonTextChar"/>
    <w:uiPriority w:val="99"/>
    <w:semiHidden/>
    <w:unhideWhenUsed/>
    <w:rsid w:val="0064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86"/>
    <w:rPr>
      <w:rFonts w:ascii="Tahoma" w:hAnsi="Tahoma" w:cs="Tahoma"/>
      <w:sz w:val="16"/>
      <w:szCs w:val="16"/>
    </w:rPr>
  </w:style>
  <w:style w:type="paragraph" w:styleId="NormalWeb">
    <w:name w:val="Normal (Web)"/>
    <w:basedOn w:val="Normal"/>
    <w:uiPriority w:val="99"/>
    <w:unhideWhenUsed/>
    <w:rsid w:val="002D3C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unhideWhenUsed/>
    <w:rsid w:val="003B0BA7"/>
    <w:pPr>
      <w:spacing w:after="0" w:line="240" w:lineRule="auto"/>
    </w:pPr>
    <w:rPr>
      <w:sz w:val="20"/>
      <w:szCs w:val="20"/>
    </w:rPr>
  </w:style>
  <w:style w:type="character" w:customStyle="1" w:styleId="FootnoteTextChar">
    <w:name w:val="Footnote Text Char"/>
    <w:basedOn w:val="DefaultParagraphFont"/>
    <w:link w:val="FootnoteText"/>
    <w:uiPriority w:val="99"/>
    <w:rsid w:val="003B0BA7"/>
    <w:rPr>
      <w:sz w:val="20"/>
      <w:szCs w:val="20"/>
    </w:rPr>
  </w:style>
  <w:style w:type="character" w:styleId="FootnoteReference">
    <w:name w:val="footnote reference"/>
    <w:basedOn w:val="DefaultParagraphFont"/>
    <w:unhideWhenUsed/>
    <w:rsid w:val="003B0BA7"/>
    <w:rPr>
      <w:vertAlign w:val="superscript"/>
    </w:rPr>
  </w:style>
  <w:style w:type="paragraph" w:customStyle="1" w:styleId="Pa112">
    <w:name w:val="Pa11+2"/>
    <w:basedOn w:val="Normal"/>
    <w:next w:val="Normal"/>
    <w:uiPriority w:val="99"/>
    <w:rsid w:val="00E062B1"/>
    <w:pPr>
      <w:autoSpaceDE w:val="0"/>
      <w:autoSpaceDN w:val="0"/>
      <w:adjustRightInd w:val="0"/>
      <w:spacing w:after="0" w:line="201" w:lineRule="atLeast"/>
    </w:pPr>
    <w:rPr>
      <w:rFonts w:ascii="Times New Roman" w:hAnsi="Times New Roman" w:cs="Times New Roman"/>
      <w:sz w:val="24"/>
      <w:szCs w:val="24"/>
    </w:rPr>
  </w:style>
  <w:style w:type="paragraph" w:customStyle="1" w:styleId="Default">
    <w:name w:val="Default"/>
    <w:rsid w:val="00AB3618"/>
    <w:pPr>
      <w:autoSpaceDE w:val="0"/>
      <w:autoSpaceDN w:val="0"/>
      <w:adjustRightInd w:val="0"/>
      <w:spacing w:after="0" w:line="240" w:lineRule="auto"/>
    </w:pPr>
    <w:rPr>
      <w:rFonts w:ascii="Futura Std Book" w:hAnsi="Futura Std Book" w:cs="Futura Std Book"/>
      <w:color w:val="000000"/>
      <w:sz w:val="24"/>
      <w:szCs w:val="24"/>
      <w:lang w:val="en-US"/>
    </w:rPr>
  </w:style>
  <w:style w:type="character" w:styleId="Hyperlink">
    <w:name w:val="Hyperlink"/>
    <w:basedOn w:val="DefaultParagraphFont"/>
    <w:uiPriority w:val="99"/>
    <w:unhideWhenUsed/>
    <w:rsid w:val="00471EA1"/>
    <w:rPr>
      <w:strike w:val="0"/>
      <w:dstrike w:val="0"/>
      <w:color w:val="2E6E9E"/>
      <w:u w:val="none"/>
      <w:effect w:val="none"/>
    </w:rPr>
  </w:style>
  <w:style w:type="paragraph" w:styleId="EndnoteText">
    <w:name w:val="endnote text"/>
    <w:basedOn w:val="Normal"/>
    <w:link w:val="EndnoteTextChar"/>
    <w:uiPriority w:val="99"/>
    <w:semiHidden/>
    <w:unhideWhenUsed/>
    <w:rsid w:val="00D202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02CC"/>
    <w:rPr>
      <w:sz w:val="20"/>
      <w:szCs w:val="20"/>
    </w:rPr>
  </w:style>
  <w:style w:type="character" w:styleId="EndnoteReference">
    <w:name w:val="endnote reference"/>
    <w:basedOn w:val="DefaultParagraphFont"/>
    <w:uiPriority w:val="99"/>
    <w:semiHidden/>
    <w:unhideWhenUsed/>
    <w:rsid w:val="00D202CC"/>
    <w:rPr>
      <w:vertAlign w:val="superscript"/>
    </w:rPr>
  </w:style>
  <w:style w:type="character" w:styleId="Emphasis">
    <w:name w:val="Emphasis"/>
    <w:basedOn w:val="DefaultParagraphFont"/>
    <w:uiPriority w:val="20"/>
    <w:qFormat/>
    <w:rsid w:val="00CD0834"/>
    <w:rPr>
      <w:b/>
      <w:bCs/>
      <w:i w:val="0"/>
      <w:iCs w:val="0"/>
    </w:rPr>
  </w:style>
  <w:style w:type="character" w:customStyle="1" w:styleId="st1">
    <w:name w:val="st1"/>
    <w:basedOn w:val="DefaultParagraphFont"/>
    <w:rsid w:val="00CD0834"/>
  </w:style>
  <w:style w:type="paragraph" w:styleId="Header">
    <w:name w:val="header"/>
    <w:basedOn w:val="Normal"/>
    <w:link w:val="HeaderChar"/>
    <w:uiPriority w:val="99"/>
    <w:unhideWhenUsed/>
    <w:rsid w:val="00B973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32C"/>
  </w:style>
  <w:style w:type="paragraph" w:styleId="Footer">
    <w:name w:val="footer"/>
    <w:basedOn w:val="Normal"/>
    <w:link w:val="FooterChar"/>
    <w:uiPriority w:val="99"/>
    <w:unhideWhenUsed/>
    <w:rsid w:val="00B973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32C"/>
  </w:style>
  <w:style w:type="character" w:styleId="Strong">
    <w:name w:val="Strong"/>
    <w:basedOn w:val="DefaultParagraphFont"/>
    <w:qFormat/>
    <w:rsid w:val="0082281F"/>
    <w:rPr>
      <w:b/>
      <w:bCs/>
    </w:rPr>
  </w:style>
  <w:style w:type="character" w:customStyle="1" w:styleId="Title1">
    <w:name w:val="Title1"/>
    <w:basedOn w:val="DefaultParagraphFont"/>
    <w:rsid w:val="00A918CD"/>
  </w:style>
  <w:style w:type="character" w:customStyle="1" w:styleId="person">
    <w:name w:val="person"/>
    <w:basedOn w:val="DefaultParagraphFont"/>
    <w:rsid w:val="00A918CD"/>
  </w:style>
  <w:style w:type="character" w:customStyle="1" w:styleId="Date1">
    <w:name w:val="Date1"/>
    <w:basedOn w:val="DefaultParagraphFont"/>
    <w:rsid w:val="00A918CD"/>
  </w:style>
  <w:style w:type="paragraph" w:customStyle="1" w:styleId="property">
    <w:name w:val="property"/>
    <w:basedOn w:val="Normal"/>
    <w:rsid w:val="00AC78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17">
    <w:name w:val="Pa17"/>
    <w:basedOn w:val="Normal"/>
    <w:next w:val="Normal"/>
    <w:uiPriority w:val="99"/>
    <w:rsid w:val="0079324C"/>
    <w:pPr>
      <w:autoSpaceDE w:val="0"/>
      <w:autoSpaceDN w:val="0"/>
      <w:adjustRightInd w:val="0"/>
      <w:spacing w:after="0" w:line="181" w:lineRule="atLeast"/>
    </w:pPr>
    <w:rPr>
      <w:rFonts w:ascii="Times New Roman" w:hAnsi="Times New Roman" w:cs="Times New Roman"/>
      <w:sz w:val="24"/>
      <w:szCs w:val="24"/>
    </w:rPr>
  </w:style>
  <w:style w:type="paragraph" w:customStyle="1" w:styleId="Referencetext">
    <w:name w:val="Reference text"/>
    <w:basedOn w:val="Normal"/>
    <w:rsid w:val="0079324C"/>
    <w:pPr>
      <w:overflowPunct w:val="0"/>
      <w:autoSpaceDE w:val="0"/>
      <w:autoSpaceDN w:val="0"/>
      <w:adjustRightInd w:val="0"/>
      <w:spacing w:after="240" w:line="288" w:lineRule="auto"/>
      <w:ind w:left="431" w:hanging="431"/>
      <w:jc w:val="both"/>
      <w:textAlignment w:val="baseline"/>
    </w:pPr>
    <w:rPr>
      <w:rFonts w:ascii="Times New Roman" w:eastAsia="MS Mincho" w:hAnsi="Times New Roman" w:cs="Times New Roman"/>
      <w:sz w:val="24"/>
      <w:szCs w:val="20"/>
      <w:lang w:val="en-GB" w:eastAsia="ja-JP"/>
    </w:rPr>
  </w:style>
  <w:style w:type="character" w:customStyle="1" w:styleId="StyleReferencetext12ptItalicChar">
    <w:name w:val="Style Reference text + 12 pt Italic Char"/>
    <w:basedOn w:val="DefaultParagraphFont"/>
    <w:rsid w:val="0079324C"/>
    <w:rPr>
      <w:i/>
      <w:iCs/>
      <w:sz w:val="24"/>
      <w:lang w:val="en-GB" w:eastAsia="en-US" w:bidi="ar-SA"/>
    </w:rPr>
  </w:style>
  <w:style w:type="character" w:customStyle="1" w:styleId="journal">
    <w:name w:val="journal"/>
    <w:basedOn w:val="DefaultParagraphFont"/>
    <w:rsid w:val="0079324C"/>
  </w:style>
  <w:style w:type="character" w:styleId="FollowedHyperlink">
    <w:name w:val="FollowedHyperlink"/>
    <w:basedOn w:val="DefaultParagraphFont"/>
    <w:uiPriority w:val="99"/>
    <w:semiHidden/>
    <w:unhideWhenUsed/>
    <w:rsid w:val="009509CA"/>
    <w:rPr>
      <w:color w:val="800080" w:themeColor="followedHyperlink"/>
      <w:u w:val="single"/>
    </w:rPr>
  </w:style>
  <w:style w:type="paragraph" w:customStyle="1" w:styleId="EndNoteBibliography">
    <w:name w:val="EndNote Bibliography"/>
    <w:basedOn w:val="Normal"/>
    <w:rsid w:val="00A7662E"/>
    <w:pPr>
      <w:spacing w:after="360" w:line="240" w:lineRule="auto"/>
      <w:jc w:val="both"/>
    </w:pPr>
    <w:rPr>
      <w:rFonts w:ascii="Cambria" w:eastAsiaTheme="minorEastAsia" w:hAnsi="Cambria"/>
      <w:sz w:val="24"/>
      <w:szCs w:val="24"/>
      <w:lang w:val="en-GB" w:eastAsia="ja-JP"/>
    </w:rPr>
  </w:style>
  <w:style w:type="character" w:customStyle="1" w:styleId="tgc">
    <w:name w:val="_tgc"/>
    <w:basedOn w:val="DefaultParagraphFont"/>
    <w:rsid w:val="00BB7730"/>
  </w:style>
  <w:style w:type="character" w:customStyle="1" w:styleId="st">
    <w:name w:val="st"/>
    <w:basedOn w:val="DefaultParagraphFont"/>
    <w:rsid w:val="00BB7730"/>
  </w:style>
  <w:style w:type="paragraph" w:styleId="Revision">
    <w:name w:val="Revision"/>
    <w:hidden/>
    <w:uiPriority w:val="99"/>
    <w:semiHidden/>
    <w:rsid w:val="00A03234"/>
    <w:pPr>
      <w:spacing w:after="0" w:line="240" w:lineRule="auto"/>
    </w:pPr>
  </w:style>
  <w:style w:type="character" w:customStyle="1" w:styleId="hlfld-abstract">
    <w:name w:val="hlfld-abstract"/>
    <w:basedOn w:val="DefaultParagraphFont"/>
    <w:rsid w:val="00EE7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D26"/>
    <w:pPr>
      <w:ind w:left="720"/>
      <w:contextualSpacing/>
    </w:pPr>
  </w:style>
  <w:style w:type="character" w:styleId="CommentReference">
    <w:name w:val="annotation reference"/>
    <w:basedOn w:val="DefaultParagraphFont"/>
    <w:uiPriority w:val="99"/>
    <w:semiHidden/>
    <w:unhideWhenUsed/>
    <w:rsid w:val="00643886"/>
    <w:rPr>
      <w:sz w:val="16"/>
      <w:szCs w:val="16"/>
    </w:rPr>
  </w:style>
  <w:style w:type="paragraph" w:styleId="CommentText">
    <w:name w:val="annotation text"/>
    <w:basedOn w:val="Normal"/>
    <w:link w:val="CommentTextChar"/>
    <w:uiPriority w:val="99"/>
    <w:unhideWhenUsed/>
    <w:rsid w:val="006E0969"/>
    <w:pPr>
      <w:spacing w:line="240" w:lineRule="auto"/>
    </w:pPr>
    <w:rPr>
      <w:sz w:val="20"/>
      <w:szCs w:val="20"/>
      <w:lang w:val="en-GB"/>
    </w:rPr>
  </w:style>
  <w:style w:type="character" w:customStyle="1" w:styleId="CommentTextChar">
    <w:name w:val="Comment Text Char"/>
    <w:basedOn w:val="DefaultParagraphFont"/>
    <w:link w:val="CommentText"/>
    <w:uiPriority w:val="99"/>
    <w:rsid w:val="006E0969"/>
    <w:rPr>
      <w:sz w:val="20"/>
      <w:szCs w:val="20"/>
      <w:lang w:val="en-GB"/>
    </w:rPr>
  </w:style>
  <w:style w:type="paragraph" w:styleId="CommentSubject">
    <w:name w:val="annotation subject"/>
    <w:basedOn w:val="CommentText"/>
    <w:next w:val="CommentText"/>
    <w:link w:val="CommentSubjectChar"/>
    <w:uiPriority w:val="99"/>
    <w:semiHidden/>
    <w:unhideWhenUsed/>
    <w:rsid w:val="00643886"/>
    <w:rPr>
      <w:b/>
      <w:bCs/>
    </w:rPr>
  </w:style>
  <w:style w:type="character" w:customStyle="1" w:styleId="CommentSubjectChar">
    <w:name w:val="Comment Subject Char"/>
    <w:basedOn w:val="CommentTextChar"/>
    <w:link w:val="CommentSubject"/>
    <w:uiPriority w:val="99"/>
    <w:semiHidden/>
    <w:rsid w:val="00643886"/>
    <w:rPr>
      <w:b/>
      <w:bCs/>
      <w:sz w:val="20"/>
      <w:szCs w:val="20"/>
      <w:lang w:val="en-GB"/>
    </w:rPr>
  </w:style>
  <w:style w:type="paragraph" w:styleId="BalloonText">
    <w:name w:val="Balloon Text"/>
    <w:basedOn w:val="Normal"/>
    <w:link w:val="BalloonTextChar"/>
    <w:uiPriority w:val="99"/>
    <w:semiHidden/>
    <w:unhideWhenUsed/>
    <w:rsid w:val="0064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86"/>
    <w:rPr>
      <w:rFonts w:ascii="Tahoma" w:hAnsi="Tahoma" w:cs="Tahoma"/>
      <w:sz w:val="16"/>
      <w:szCs w:val="16"/>
    </w:rPr>
  </w:style>
  <w:style w:type="paragraph" w:styleId="NormalWeb">
    <w:name w:val="Normal (Web)"/>
    <w:basedOn w:val="Normal"/>
    <w:uiPriority w:val="99"/>
    <w:unhideWhenUsed/>
    <w:rsid w:val="002D3C6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FootnoteText">
    <w:name w:val="footnote text"/>
    <w:basedOn w:val="Normal"/>
    <w:link w:val="FootnoteTextChar"/>
    <w:uiPriority w:val="99"/>
    <w:unhideWhenUsed/>
    <w:rsid w:val="003B0BA7"/>
    <w:pPr>
      <w:spacing w:after="0" w:line="240" w:lineRule="auto"/>
    </w:pPr>
    <w:rPr>
      <w:sz w:val="20"/>
      <w:szCs w:val="20"/>
    </w:rPr>
  </w:style>
  <w:style w:type="character" w:customStyle="1" w:styleId="FootnoteTextChar">
    <w:name w:val="Footnote Text Char"/>
    <w:basedOn w:val="DefaultParagraphFont"/>
    <w:link w:val="FootnoteText"/>
    <w:uiPriority w:val="99"/>
    <w:rsid w:val="003B0BA7"/>
    <w:rPr>
      <w:sz w:val="20"/>
      <w:szCs w:val="20"/>
    </w:rPr>
  </w:style>
  <w:style w:type="character" w:styleId="FootnoteReference">
    <w:name w:val="footnote reference"/>
    <w:basedOn w:val="DefaultParagraphFont"/>
    <w:unhideWhenUsed/>
    <w:rsid w:val="003B0BA7"/>
    <w:rPr>
      <w:vertAlign w:val="superscript"/>
    </w:rPr>
  </w:style>
  <w:style w:type="paragraph" w:customStyle="1" w:styleId="Pa112">
    <w:name w:val="Pa11+2"/>
    <w:basedOn w:val="Normal"/>
    <w:next w:val="Normal"/>
    <w:uiPriority w:val="99"/>
    <w:rsid w:val="00E062B1"/>
    <w:pPr>
      <w:autoSpaceDE w:val="0"/>
      <w:autoSpaceDN w:val="0"/>
      <w:adjustRightInd w:val="0"/>
      <w:spacing w:after="0" w:line="201" w:lineRule="atLeast"/>
    </w:pPr>
    <w:rPr>
      <w:rFonts w:ascii="Times New Roman" w:hAnsi="Times New Roman" w:cs="Times New Roman"/>
      <w:sz w:val="24"/>
      <w:szCs w:val="24"/>
    </w:rPr>
  </w:style>
  <w:style w:type="paragraph" w:customStyle="1" w:styleId="Default">
    <w:name w:val="Default"/>
    <w:rsid w:val="00AB3618"/>
    <w:pPr>
      <w:autoSpaceDE w:val="0"/>
      <w:autoSpaceDN w:val="0"/>
      <w:adjustRightInd w:val="0"/>
      <w:spacing w:after="0" w:line="240" w:lineRule="auto"/>
    </w:pPr>
    <w:rPr>
      <w:rFonts w:ascii="Futura Std Book" w:hAnsi="Futura Std Book" w:cs="Futura Std Book"/>
      <w:color w:val="000000"/>
      <w:sz w:val="24"/>
      <w:szCs w:val="24"/>
      <w:lang w:val="en-US"/>
    </w:rPr>
  </w:style>
  <w:style w:type="character" w:styleId="Hyperlink">
    <w:name w:val="Hyperlink"/>
    <w:basedOn w:val="DefaultParagraphFont"/>
    <w:uiPriority w:val="99"/>
    <w:unhideWhenUsed/>
    <w:rsid w:val="00471EA1"/>
    <w:rPr>
      <w:strike w:val="0"/>
      <w:dstrike w:val="0"/>
      <w:color w:val="2E6E9E"/>
      <w:u w:val="none"/>
      <w:effect w:val="none"/>
    </w:rPr>
  </w:style>
  <w:style w:type="paragraph" w:styleId="EndnoteText">
    <w:name w:val="endnote text"/>
    <w:basedOn w:val="Normal"/>
    <w:link w:val="EndnoteTextChar"/>
    <w:uiPriority w:val="99"/>
    <w:semiHidden/>
    <w:unhideWhenUsed/>
    <w:rsid w:val="00D202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02CC"/>
    <w:rPr>
      <w:sz w:val="20"/>
      <w:szCs w:val="20"/>
    </w:rPr>
  </w:style>
  <w:style w:type="character" w:styleId="EndnoteReference">
    <w:name w:val="endnote reference"/>
    <w:basedOn w:val="DefaultParagraphFont"/>
    <w:uiPriority w:val="99"/>
    <w:semiHidden/>
    <w:unhideWhenUsed/>
    <w:rsid w:val="00D202CC"/>
    <w:rPr>
      <w:vertAlign w:val="superscript"/>
    </w:rPr>
  </w:style>
  <w:style w:type="character" w:styleId="Emphasis">
    <w:name w:val="Emphasis"/>
    <w:basedOn w:val="DefaultParagraphFont"/>
    <w:uiPriority w:val="20"/>
    <w:qFormat/>
    <w:rsid w:val="00CD0834"/>
    <w:rPr>
      <w:b/>
      <w:bCs/>
      <w:i w:val="0"/>
      <w:iCs w:val="0"/>
    </w:rPr>
  </w:style>
  <w:style w:type="character" w:customStyle="1" w:styleId="st1">
    <w:name w:val="st1"/>
    <w:basedOn w:val="DefaultParagraphFont"/>
    <w:rsid w:val="00CD0834"/>
  </w:style>
  <w:style w:type="paragraph" w:styleId="Header">
    <w:name w:val="header"/>
    <w:basedOn w:val="Normal"/>
    <w:link w:val="HeaderChar"/>
    <w:uiPriority w:val="99"/>
    <w:unhideWhenUsed/>
    <w:rsid w:val="00B973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32C"/>
  </w:style>
  <w:style w:type="paragraph" w:styleId="Footer">
    <w:name w:val="footer"/>
    <w:basedOn w:val="Normal"/>
    <w:link w:val="FooterChar"/>
    <w:uiPriority w:val="99"/>
    <w:unhideWhenUsed/>
    <w:rsid w:val="00B973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32C"/>
  </w:style>
  <w:style w:type="character" w:styleId="Strong">
    <w:name w:val="Strong"/>
    <w:basedOn w:val="DefaultParagraphFont"/>
    <w:qFormat/>
    <w:rsid w:val="0082281F"/>
    <w:rPr>
      <w:b/>
      <w:bCs/>
    </w:rPr>
  </w:style>
  <w:style w:type="character" w:customStyle="1" w:styleId="Title1">
    <w:name w:val="Title1"/>
    <w:basedOn w:val="DefaultParagraphFont"/>
    <w:rsid w:val="00A918CD"/>
  </w:style>
  <w:style w:type="character" w:customStyle="1" w:styleId="person">
    <w:name w:val="person"/>
    <w:basedOn w:val="DefaultParagraphFont"/>
    <w:rsid w:val="00A918CD"/>
  </w:style>
  <w:style w:type="character" w:customStyle="1" w:styleId="Date1">
    <w:name w:val="Date1"/>
    <w:basedOn w:val="DefaultParagraphFont"/>
    <w:rsid w:val="00A918CD"/>
  </w:style>
  <w:style w:type="paragraph" w:customStyle="1" w:styleId="property">
    <w:name w:val="property"/>
    <w:basedOn w:val="Normal"/>
    <w:rsid w:val="00AC78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17">
    <w:name w:val="Pa17"/>
    <w:basedOn w:val="Normal"/>
    <w:next w:val="Normal"/>
    <w:uiPriority w:val="99"/>
    <w:rsid w:val="0079324C"/>
    <w:pPr>
      <w:autoSpaceDE w:val="0"/>
      <w:autoSpaceDN w:val="0"/>
      <w:adjustRightInd w:val="0"/>
      <w:spacing w:after="0" w:line="181" w:lineRule="atLeast"/>
    </w:pPr>
    <w:rPr>
      <w:rFonts w:ascii="Times New Roman" w:hAnsi="Times New Roman" w:cs="Times New Roman"/>
      <w:sz w:val="24"/>
      <w:szCs w:val="24"/>
    </w:rPr>
  </w:style>
  <w:style w:type="paragraph" w:customStyle="1" w:styleId="Referencetext">
    <w:name w:val="Reference text"/>
    <w:basedOn w:val="Normal"/>
    <w:rsid w:val="0079324C"/>
    <w:pPr>
      <w:overflowPunct w:val="0"/>
      <w:autoSpaceDE w:val="0"/>
      <w:autoSpaceDN w:val="0"/>
      <w:adjustRightInd w:val="0"/>
      <w:spacing w:after="240" w:line="288" w:lineRule="auto"/>
      <w:ind w:left="431" w:hanging="431"/>
      <w:jc w:val="both"/>
      <w:textAlignment w:val="baseline"/>
    </w:pPr>
    <w:rPr>
      <w:rFonts w:ascii="Times New Roman" w:eastAsia="MS Mincho" w:hAnsi="Times New Roman" w:cs="Times New Roman"/>
      <w:sz w:val="24"/>
      <w:szCs w:val="20"/>
      <w:lang w:val="en-GB" w:eastAsia="ja-JP"/>
    </w:rPr>
  </w:style>
  <w:style w:type="character" w:customStyle="1" w:styleId="StyleReferencetext12ptItalicChar">
    <w:name w:val="Style Reference text + 12 pt Italic Char"/>
    <w:basedOn w:val="DefaultParagraphFont"/>
    <w:rsid w:val="0079324C"/>
    <w:rPr>
      <w:i/>
      <w:iCs/>
      <w:sz w:val="24"/>
      <w:lang w:val="en-GB" w:eastAsia="en-US" w:bidi="ar-SA"/>
    </w:rPr>
  </w:style>
  <w:style w:type="character" w:customStyle="1" w:styleId="journal">
    <w:name w:val="journal"/>
    <w:basedOn w:val="DefaultParagraphFont"/>
    <w:rsid w:val="0079324C"/>
  </w:style>
  <w:style w:type="character" w:styleId="FollowedHyperlink">
    <w:name w:val="FollowedHyperlink"/>
    <w:basedOn w:val="DefaultParagraphFont"/>
    <w:uiPriority w:val="99"/>
    <w:semiHidden/>
    <w:unhideWhenUsed/>
    <w:rsid w:val="009509CA"/>
    <w:rPr>
      <w:color w:val="800080" w:themeColor="followedHyperlink"/>
      <w:u w:val="single"/>
    </w:rPr>
  </w:style>
  <w:style w:type="paragraph" w:customStyle="1" w:styleId="EndNoteBibliography">
    <w:name w:val="EndNote Bibliography"/>
    <w:basedOn w:val="Normal"/>
    <w:rsid w:val="00A7662E"/>
    <w:pPr>
      <w:spacing w:after="360" w:line="240" w:lineRule="auto"/>
      <w:jc w:val="both"/>
    </w:pPr>
    <w:rPr>
      <w:rFonts w:ascii="Cambria" w:eastAsiaTheme="minorEastAsia" w:hAnsi="Cambria"/>
      <w:sz w:val="24"/>
      <w:szCs w:val="24"/>
      <w:lang w:val="en-GB" w:eastAsia="ja-JP"/>
    </w:rPr>
  </w:style>
  <w:style w:type="character" w:customStyle="1" w:styleId="tgc">
    <w:name w:val="_tgc"/>
    <w:basedOn w:val="DefaultParagraphFont"/>
    <w:rsid w:val="00BB7730"/>
  </w:style>
  <w:style w:type="character" w:customStyle="1" w:styleId="st">
    <w:name w:val="st"/>
    <w:basedOn w:val="DefaultParagraphFont"/>
    <w:rsid w:val="00BB7730"/>
  </w:style>
  <w:style w:type="paragraph" w:styleId="Revision">
    <w:name w:val="Revision"/>
    <w:hidden/>
    <w:uiPriority w:val="99"/>
    <w:semiHidden/>
    <w:rsid w:val="00A03234"/>
    <w:pPr>
      <w:spacing w:after="0" w:line="240" w:lineRule="auto"/>
    </w:pPr>
  </w:style>
  <w:style w:type="character" w:customStyle="1" w:styleId="hlfld-abstract">
    <w:name w:val="hlfld-abstract"/>
    <w:basedOn w:val="DefaultParagraphFont"/>
    <w:rsid w:val="00EE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0958">
      <w:bodyDiv w:val="1"/>
      <w:marLeft w:val="0"/>
      <w:marRight w:val="0"/>
      <w:marTop w:val="0"/>
      <w:marBottom w:val="0"/>
      <w:divBdr>
        <w:top w:val="none" w:sz="0" w:space="0" w:color="auto"/>
        <w:left w:val="none" w:sz="0" w:space="0" w:color="auto"/>
        <w:bottom w:val="none" w:sz="0" w:space="0" w:color="auto"/>
        <w:right w:val="none" w:sz="0" w:space="0" w:color="auto"/>
      </w:divBdr>
      <w:divsChild>
        <w:div w:id="644823137">
          <w:marLeft w:val="0"/>
          <w:marRight w:val="0"/>
          <w:marTop w:val="0"/>
          <w:marBottom w:val="0"/>
          <w:divBdr>
            <w:top w:val="none" w:sz="0" w:space="0" w:color="auto"/>
            <w:left w:val="none" w:sz="0" w:space="0" w:color="auto"/>
            <w:bottom w:val="none" w:sz="0" w:space="0" w:color="auto"/>
            <w:right w:val="none" w:sz="0" w:space="0" w:color="auto"/>
          </w:divBdr>
          <w:divsChild>
            <w:div w:id="934944217">
              <w:marLeft w:val="0"/>
              <w:marRight w:val="0"/>
              <w:marTop w:val="0"/>
              <w:marBottom w:val="0"/>
              <w:divBdr>
                <w:top w:val="none" w:sz="0" w:space="0" w:color="auto"/>
                <w:left w:val="none" w:sz="0" w:space="0" w:color="auto"/>
                <w:bottom w:val="none" w:sz="0" w:space="0" w:color="auto"/>
                <w:right w:val="none" w:sz="0" w:space="0" w:color="auto"/>
              </w:divBdr>
              <w:divsChild>
                <w:div w:id="259141193">
                  <w:marLeft w:val="0"/>
                  <w:marRight w:val="0"/>
                  <w:marTop w:val="0"/>
                  <w:marBottom w:val="0"/>
                  <w:divBdr>
                    <w:top w:val="none" w:sz="0" w:space="0" w:color="auto"/>
                    <w:left w:val="none" w:sz="0" w:space="0" w:color="auto"/>
                    <w:bottom w:val="none" w:sz="0" w:space="0" w:color="auto"/>
                    <w:right w:val="none" w:sz="0" w:space="0" w:color="auto"/>
                  </w:divBdr>
                  <w:divsChild>
                    <w:div w:id="10671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04034">
      <w:bodyDiv w:val="1"/>
      <w:marLeft w:val="0"/>
      <w:marRight w:val="0"/>
      <w:marTop w:val="0"/>
      <w:marBottom w:val="0"/>
      <w:divBdr>
        <w:top w:val="none" w:sz="0" w:space="0" w:color="auto"/>
        <w:left w:val="none" w:sz="0" w:space="0" w:color="auto"/>
        <w:bottom w:val="none" w:sz="0" w:space="0" w:color="auto"/>
        <w:right w:val="none" w:sz="0" w:space="0" w:color="auto"/>
      </w:divBdr>
      <w:divsChild>
        <w:div w:id="473646531">
          <w:marLeft w:val="0"/>
          <w:marRight w:val="0"/>
          <w:marTop w:val="0"/>
          <w:marBottom w:val="0"/>
          <w:divBdr>
            <w:top w:val="none" w:sz="0" w:space="0" w:color="auto"/>
            <w:left w:val="none" w:sz="0" w:space="0" w:color="auto"/>
            <w:bottom w:val="none" w:sz="0" w:space="0" w:color="auto"/>
            <w:right w:val="none" w:sz="0" w:space="0" w:color="auto"/>
          </w:divBdr>
          <w:divsChild>
            <w:div w:id="5026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4089">
      <w:bodyDiv w:val="1"/>
      <w:marLeft w:val="0"/>
      <w:marRight w:val="0"/>
      <w:marTop w:val="0"/>
      <w:marBottom w:val="0"/>
      <w:divBdr>
        <w:top w:val="none" w:sz="0" w:space="0" w:color="auto"/>
        <w:left w:val="none" w:sz="0" w:space="0" w:color="auto"/>
        <w:bottom w:val="none" w:sz="0" w:space="0" w:color="auto"/>
        <w:right w:val="none" w:sz="0" w:space="0" w:color="auto"/>
      </w:divBdr>
      <w:divsChild>
        <w:div w:id="1362316377">
          <w:marLeft w:val="0"/>
          <w:marRight w:val="0"/>
          <w:marTop w:val="0"/>
          <w:marBottom w:val="0"/>
          <w:divBdr>
            <w:top w:val="none" w:sz="0" w:space="0" w:color="auto"/>
            <w:left w:val="none" w:sz="0" w:space="0" w:color="auto"/>
            <w:bottom w:val="none" w:sz="0" w:space="0" w:color="auto"/>
            <w:right w:val="none" w:sz="0" w:space="0" w:color="auto"/>
          </w:divBdr>
          <w:divsChild>
            <w:div w:id="1802576780">
              <w:marLeft w:val="0"/>
              <w:marRight w:val="0"/>
              <w:marTop w:val="0"/>
              <w:marBottom w:val="0"/>
              <w:divBdr>
                <w:top w:val="none" w:sz="0" w:space="0" w:color="auto"/>
                <w:left w:val="none" w:sz="0" w:space="0" w:color="auto"/>
                <w:bottom w:val="none" w:sz="0" w:space="0" w:color="auto"/>
                <w:right w:val="none" w:sz="0" w:space="0" w:color="auto"/>
              </w:divBdr>
              <w:divsChild>
                <w:div w:id="1724216071">
                  <w:marLeft w:val="0"/>
                  <w:marRight w:val="0"/>
                  <w:marTop w:val="0"/>
                  <w:marBottom w:val="0"/>
                  <w:divBdr>
                    <w:top w:val="none" w:sz="0" w:space="0" w:color="auto"/>
                    <w:left w:val="none" w:sz="0" w:space="0" w:color="auto"/>
                    <w:bottom w:val="none" w:sz="0" w:space="0" w:color="auto"/>
                    <w:right w:val="none" w:sz="0" w:space="0" w:color="auto"/>
                  </w:divBdr>
                  <w:divsChild>
                    <w:div w:id="2035224486">
                      <w:marLeft w:val="0"/>
                      <w:marRight w:val="0"/>
                      <w:marTop w:val="0"/>
                      <w:marBottom w:val="0"/>
                      <w:divBdr>
                        <w:top w:val="none" w:sz="0" w:space="0" w:color="auto"/>
                        <w:left w:val="none" w:sz="0" w:space="0" w:color="auto"/>
                        <w:bottom w:val="none" w:sz="0" w:space="0" w:color="auto"/>
                        <w:right w:val="none" w:sz="0" w:space="0" w:color="auto"/>
                      </w:divBdr>
                      <w:divsChild>
                        <w:div w:id="9199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85012">
      <w:bodyDiv w:val="1"/>
      <w:marLeft w:val="0"/>
      <w:marRight w:val="0"/>
      <w:marTop w:val="0"/>
      <w:marBottom w:val="0"/>
      <w:divBdr>
        <w:top w:val="none" w:sz="0" w:space="0" w:color="auto"/>
        <w:left w:val="none" w:sz="0" w:space="0" w:color="auto"/>
        <w:bottom w:val="none" w:sz="0" w:space="0" w:color="auto"/>
        <w:right w:val="none" w:sz="0" w:space="0" w:color="auto"/>
      </w:divBdr>
      <w:divsChild>
        <w:div w:id="1998335033">
          <w:marLeft w:val="0"/>
          <w:marRight w:val="0"/>
          <w:marTop w:val="0"/>
          <w:marBottom w:val="300"/>
          <w:divBdr>
            <w:top w:val="none" w:sz="0" w:space="0" w:color="auto"/>
            <w:left w:val="none" w:sz="0" w:space="0" w:color="auto"/>
            <w:bottom w:val="none" w:sz="0" w:space="0" w:color="auto"/>
            <w:right w:val="none" w:sz="0" w:space="0" w:color="auto"/>
          </w:divBdr>
          <w:divsChild>
            <w:div w:id="56710029">
              <w:marLeft w:val="0"/>
              <w:marRight w:val="0"/>
              <w:marTop w:val="0"/>
              <w:marBottom w:val="0"/>
              <w:divBdr>
                <w:top w:val="none" w:sz="0" w:space="0" w:color="auto"/>
                <w:left w:val="none" w:sz="0" w:space="0" w:color="auto"/>
                <w:bottom w:val="none" w:sz="0" w:space="0" w:color="auto"/>
                <w:right w:val="none" w:sz="0" w:space="0" w:color="auto"/>
              </w:divBdr>
              <w:divsChild>
                <w:div w:id="277371350">
                  <w:marLeft w:val="0"/>
                  <w:marRight w:val="0"/>
                  <w:marTop w:val="0"/>
                  <w:marBottom w:val="0"/>
                  <w:divBdr>
                    <w:top w:val="none" w:sz="0" w:space="0" w:color="auto"/>
                    <w:left w:val="none" w:sz="0" w:space="0" w:color="auto"/>
                    <w:bottom w:val="none" w:sz="0" w:space="0" w:color="auto"/>
                    <w:right w:val="none" w:sz="0" w:space="0" w:color="auto"/>
                  </w:divBdr>
                  <w:divsChild>
                    <w:div w:id="37897878">
                      <w:marLeft w:val="0"/>
                      <w:marRight w:val="0"/>
                      <w:marTop w:val="0"/>
                      <w:marBottom w:val="0"/>
                      <w:divBdr>
                        <w:top w:val="none" w:sz="0" w:space="0" w:color="auto"/>
                        <w:left w:val="none" w:sz="0" w:space="0" w:color="auto"/>
                        <w:bottom w:val="none" w:sz="0" w:space="0" w:color="auto"/>
                        <w:right w:val="none" w:sz="0" w:space="0" w:color="auto"/>
                      </w:divBdr>
                      <w:divsChild>
                        <w:div w:id="180821701">
                          <w:marLeft w:val="0"/>
                          <w:marRight w:val="0"/>
                          <w:marTop w:val="0"/>
                          <w:marBottom w:val="0"/>
                          <w:divBdr>
                            <w:top w:val="none" w:sz="0" w:space="0" w:color="auto"/>
                            <w:left w:val="none" w:sz="0" w:space="0" w:color="auto"/>
                            <w:bottom w:val="none" w:sz="0" w:space="0" w:color="auto"/>
                            <w:right w:val="none" w:sz="0" w:space="0" w:color="auto"/>
                          </w:divBdr>
                          <w:divsChild>
                            <w:div w:id="904803505">
                              <w:marLeft w:val="0"/>
                              <w:marRight w:val="0"/>
                              <w:marTop w:val="0"/>
                              <w:marBottom w:val="0"/>
                              <w:divBdr>
                                <w:top w:val="none" w:sz="0" w:space="0" w:color="auto"/>
                                <w:left w:val="none" w:sz="0" w:space="0" w:color="auto"/>
                                <w:bottom w:val="none" w:sz="0" w:space="0" w:color="auto"/>
                                <w:right w:val="none" w:sz="0" w:space="0" w:color="auto"/>
                              </w:divBdr>
                              <w:divsChild>
                                <w:div w:id="1130438840">
                                  <w:marLeft w:val="0"/>
                                  <w:marRight w:val="0"/>
                                  <w:marTop w:val="0"/>
                                  <w:marBottom w:val="0"/>
                                  <w:divBdr>
                                    <w:top w:val="none" w:sz="0" w:space="0" w:color="auto"/>
                                    <w:left w:val="none" w:sz="0" w:space="0" w:color="auto"/>
                                    <w:bottom w:val="none" w:sz="0" w:space="0" w:color="auto"/>
                                    <w:right w:val="none" w:sz="0" w:space="0" w:color="auto"/>
                                  </w:divBdr>
                                  <w:divsChild>
                                    <w:div w:id="591010509">
                                      <w:marLeft w:val="0"/>
                                      <w:marRight w:val="0"/>
                                      <w:marTop w:val="150"/>
                                      <w:marBottom w:val="300"/>
                                      <w:divBdr>
                                        <w:top w:val="none" w:sz="0" w:space="0" w:color="auto"/>
                                        <w:left w:val="none" w:sz="0" w:space="0" w:color="auto"/>
                                        <w:bottom w:val="none" w:sz="0" w:space="0" w:color="auto"/>
                                        <w:right w:val="none" w:sz="0" w:space="0" w:color="auto"/>
                                      </w:divBdr>
                                      <w:divsChild>
                                        <w:div w:id="968825081">
                                          <w:marLeft w:val="0"/>
                                          <w:marRight w:val="0"/>
                                          <w:marTop w:val="0"/>
                                          <w:marBottom w:val="0"/>
                                          <w:divBdr>
                                            <w:top w:val="none" w:sz="0" w:space="0" w:color="auto"/>
                                            <w:left w:val="none" w:sz="0" w:space="0" w:color="auto"/>
                                            <w:bottom w:val="none" w:sz="0" w:space="0" w:color="auto"/>
                                            <w:right w:val="none" w:sz="0" w:space="0" w:color="auto"/>
                                          </w:divBdr>
                                          <w:divsChild>
                                            <w:div w:id="1084448793">
                                              <w:marLeft w:val="0"/>
                                              <w:marRight w:val="0"/>
                                              <w:marTop w:val="0"/>
                                              <w:marBottom w:val="0"/>
                                              <w:divBdr>
                                                <w:top w:val="none" w:sz="0" w:space="0" w:color="auto"/>
                                                <w:left w:val="none" w:sz="0" w:space="0" w:color="auto"/>
                                                <w:bottom w:val="none" w:sz="0" w:space="0" w:color="auto"/>
                                                <w:right w:val="none" w:sz="0" w:space="0" w:color="auto"/>
                                              </w:divBdr>
                                              <w:divsChild>
                                                <w:div w:id="432436280">
                                                  <w:marLeft w:val="0"/>
                                                  <w:marRight w:val="0"/>
                                                  <w:marTop w:val="0"/>
                                                  <w:marBottom w:val="0"/>
                                                  <w:divBdr>
                                                    <w:top w:val="none" w:sz="0" w:space="0" w:color="auto"/>
                                                    <w:left w:val="none" w:sz="0" w:space="0" w:color="auto"/>
                                                    <w:bottom w:val="none" w:sz="0" w:space="0" w:color="auto"/>
                                                    <w:right w:val="none" w:sz="0" w:space="0" w:color="auto"/>
                                                  </w:divBdr>
                                                  <w:divsChild>
                                                    <w:div w:id="1049303053">
                                                      <w:marLeft w:val="0"/>
                                                      <w:marRight w:val="0"/>
                                                      <w:marTop w:val="0"/>
                                                      <w:marBottom w:val="0"/>
                                                      <w:divBdr>
                                                        <w:top w:val="none" w:sz="0" w:space="0" w:color="auto"/>
                                                        <w:left w:val="none" w:sz="0" w:space="0" w:color="auto"/>
                                                        <w:bottom w:val="none" w:sz="0" w:space="0" w:color="auto"/>
                                                        <w:right w:val="none" w:sz="0" w:space="0" w:color="auto"/>
                                                      </w:divBdr>
                                                    </w:div>
                                                    <w:div w:id="732433810">
                                                      <w:marLeft w:val="0"/>
                                                      <w:marRight w:val="0"/>
                                                      <w:marTop w:val="0"/>
                                                      <w:marBottom w:val="0"/>
                                                      <w:divBdr>
                                                        <w:top w:val="none" w:sz="0" w:space="0" w:color="auto"/>
                                                        <w:left w:val="none" w:sz="0" w:space="0" w:color="auto"/>
                                                        <w:bottom w:val="none" w:sz="0" w:space="0" w:color="auto"/>
                                                        <w:right w:val="none" w:sz="0" w:space="0" w:color="auto"/>
                                                      </w:divBdr>
                                                    </w:div>
                                                    <w:div w:id="111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23611">
      <w:bodyDiv w:val="1"/>
      <w:marLeft w:val="0"/>
      <w:marRight w:val="0"/>
      <w:marTop w:val="0"/>
      <w:marBottom w:val="0"/>
      <w:divBdr>
        <w:top w:val="none" w:sz="0" w:space="0" w:color="auto"/>
        <w:left w:val="none" w:sz="0" w:space="0" w:color="auto"/>
        <w:bottom w:val="none" w:sz="0" w:space="0" w:color="auto"/>
        <w:right w:val="none" w:sz="0" w:space="0" w:color="auto"/>
      </w:divBdr>
      <w:divsChild>
        <w:div w:id="1826126587">
          <w:marLeft w:val="0"/>
          <w:marRight w:val="0"/>
          <w:marTop w:val="0"/>
          <w:marBottom w:val="0"/>
          <w:divBdr>
            <w:top w:val="none" w:sz="0" w:space="0" w:color="auto"/>
            <w:left w:val="none" w:sz="0" w:space="0" w:color="auto"/>
            <w:bottom w:val="none" w:sz="0" w:space="0" w:color="auto"/>
            <w:right w:val="none" w:sz="0" w:space="0" w:color="auto"/>
          </w:divBdr>
          <w:divsChild>
            <w:div w:id="2080207930">
              <w:marLeft w:val="0"/>
              <w:marRight w:val="0"/>
              <w:marTop w:val="0"/>
              <w:marBottom w:val="0"/>
              <w:divBdr>
                <w:top w:val="none" w:sz="0" w:space="0" w:color="auto"/>
                <w:left w:val="none" w:sz="0" w:space="0" w:color="auto"/>
                <w:bottom w:val="none" w:sz="0" w:space="0" w:color="auto"/>
                <w:right w:val="none" w:sz="0" w:space="0" w:color="auto"/>
              </w:divBdr>
              <w:divsChild>
                <w:div w:id="712117535">
                  <w:marLeft w:val="0"/>
                  <w:marRight w:val="0"/>
                  <w:marTop w:val="0"/>
                  <w:marBottom w:val="0"/>
                  <w:divBdr>
                    <w:top w:val="none" w:sz="0" w:space="0" w:color="auto"/>
                    <w:left w:val="none" w:sz="0" w:space="0" w:color="auto"/>
                    <w:bottom w:val="none" w:sz="0" w:space="0" w:color="auto"/>
                    <w:right w:val="none" w:sz="0" w:space="0" w:color="auto"/>
                  </w:divBdr>
                </w:div>
                <w:div w:id="889264983">
                  <w:marLeft w:val="0"/>
                  <w:marRight w:val="0"/>
                  <w:marTop w:val="0"/>
                  <w:marBottom w:val="0"/>
                  <w:divBdr>
                    <w:top w:val="none" w:sz="0" w:space="0" w:color="auto"/>
                    <w:left w:val="none" w:sz="0" w:space="0" w:color="auto"/>
                    <w:bottom w:val="none" w:sz="0" w:space="0" w:color="auto"/>
                    <w:right w:val="none" w:sz="0" w:space="0" w:color="auto"/>
                  </w:divBdr>
                </w:div>
                <w:div w:id="1120105463">
                  <w:marLeft w:val="0"/>
                  <w:marRight w:val="0"/>
                  <w:marTop w:val="0"/>
                  <w:marBottom w:val="0"/>
                  <w:divBdr>
                    <w:top w:val="none" w:sz="0" w:space="0" w:color="auto"/>
                    <w:left w:val="none" w:sz="0" w:space="0" w:color="auto"/>
                    <w:bottom w:val="none" w:sz="0" w:space="0" w:color="auto"/>
                    <w:right w:val="none" w:sz="0" w:space="0" w:color="auto"/>
                  </w:divBdr>
                </w:div>
                <w:div w:id="1486706391">
                  <w:marLeft w:val="0"/>
                  <w:marRight w:val="0"/>
                  <w:marTop w:val="0"/>
                  <w:marBottom w:val="0"/>
                  <w:divBdr>
                    <w:top w:val="none" w:sz="0" w:space="0" w:color="auto"/>
                    <w:left w:val="none" w:sz="0" w:space="0" w:color="auto"/>
                    <w:bottom w:val="none" w:sz="0" w:space="0" w:color="auto"/>
                    <w:right w:val="none" w:sz="0" w:space="0" w:color="auto"/>
                  </w:divBdr>
                </w:div>
                <w:div w:id="2045209733">
                  <w:marLeft w:val="0"/>
                  <w:marRight w:val="0"/>
                  <w:marTop w:val="0"/>
                  <w:marBottom w:val="0"/>
                  <w:divBdr>
                    <w:top w:val="none" w:sz="0" w:space="0" w:color="auto"/>
                    <w:left w:val="none" w:sz="0" w:space="0" w:color="auto"/>
                    <w:bottom w:val="none" w:sz="0" w:space="0" w:color="auto"/>
                    <w:right w:val="none" w:sz="0" w:space="0" w:color="auto"/>
                  </w:divBdr>
                </w:div>
                <w:div w:id="21187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2019">
      <w:bodyDiv w:val="1"/>
      <w:marLeft w:val="0"/>
      <w:marRight w:val="0"/>
      <w:marTop w:val="0"/>
      <w:marBottom w:val="0"/>
      <w:divBdr>
        <w:top w:val="none" w:sz="0" w:space="0" w:color="auto"/>
        <w:left w:val="none" w:sz="0" w:space="0" w:color="auto"/>
        <w:bottom w:val="none" w:sz="0" w:space="0" w:color="auto"/>
        <w:right w:val="none" w:sz="0" w:space="0" w:color="auto"/>
      </w:divBdr>
      <w:divsChild>
        <w:div w:id="87048411">
          <w:marLeft w:val="0"/>
          <w:marRight w:val="0"/>
          <w:marTop w:val="0"/>
          <w:marBottom w:val="0"/>
          <w:divBdr>
            <w:top w:val="none" w:sz="0" w:space="0" w:color="auto"/>
            <w:left w:val="none" w:sz="0" w:space="0" w:color="auto"/>
            <w:bottom w:val="none" w:sz="0" w:space="0" w:color="auto"/>
            <w:right w:val="none" w:sz="0" w:space="0" w:color="auto"/>
          </w:divBdr>
          <w:divsChild>
            <w:div w:id="44259848">
              <w:marLeft w:val="0"/>
              <w:marRight w:val="0"/>
              <w:marTop w:val="0"/>
              <w:marBottom w:val="0"/>
              <w:divBdr>
                <w:top w:val="none" w:sz="0" w:space="0" w:color="auto"/>
                <w:left w:val="none" w:sz="0" w:space="0" w:color="auto"/>
                <w:bottom w:val="none" w:sz="0" w:space="0" w:color="auto"/>
                <w:right w:val="none" w:sz="0" w:space="0" w:color="auto"/>
              </w:divBdr>
              <w:divsChild>
                <w:div w:id="466902419">
                  <w:marLeft w:val="0"/>
                  <w:marRight w:val="-3600"/>
                  <w:marTop w:val="0"/>
                  <w:marBottom w:val="0"/>
                  <w:divBdr>
                    <w:top w:val="none" w:sz="0" w:space="0" w:color="auto"/>
                    <w:left w:val="none" w:sz="0" w:space="0" w:color="auto"/>
                    <w:bottom w:val="none" w:sz="0" w:space="0" w:color="auto"/>
                    <w:right w:val="none" w:sz="0" w:space="0" w:color="auto"/>
                  </w:divBdr>
                  <w:divsChild>
                    <w:div w:id="1371415038">
                      <w:marLeft w:val="225"/>
                      <w:marRight w:val="0"/>
                      <w:marTop w:val="0"/>
                      <w:marBottom w:val="540"/>
                      <w:divBdr>
                        <w:top w:val="none" w:sz="0" w:space="0" w:color="auto"/>
                        <w:left w:val="none" w:sz="0" w:space="0" w:color="auto"/>
                        <w:bottom w:val="none" w:sz="0" w:space="0" w:color="auto"/>
                        <w:right w:val="none" w:sz="0" w:space="0" w:color="auto"/>
                      </w:divBdr>
                      <w:divsChild>
                        <w:div w:id="751466269">
                          <w:marLeft w:val="0"/>
                          <w:marRight w:val="0"/>
                          <w:marTop w:val="0"/>
                          <w:marBottom w:val="0"/>
                          <w:divBdr>
                            <w:top w:val="none" w:sz="0" w:space="0" w:color="auto"/>
                            <w:left w:val="none" w:sz="0" w:space="0" w:color="auto"/>
                            <w:bottom w:val="none" w:sz="0" w:space="0" w:color="auto"/>
                            <w:right w:val="none" w:sz="0" w:space="0" w:color="auto"/>
                          </w:divBdr>
                          <w:divsChild>
                            <w:div w:id="2041128303">
                              <w:marLeft w:val="0"/>
                              <w:marRight w:val="0"/>
                              <w:marTop w:val="0"/>
                              <w:marBottom w:val="0"/>
                              <w:divBdr>
                                <w:top w:val="none" w:sz="0" w:space="0" w:color="auto"/>
                                <w:left w:val="none" w:sz="0" w:space="0" w:color="auto"/>
                                <w:bottom w:val="none" w:sz="0" w:space="0" w:color="auto"/>
                                <w:right w:val="none" w:sz="0" w:space="0" w:color="auto"/>
                              </w:divBdr>
                              <w:divsChild>
                                <w:div w:id="12859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41598">
      <w:bodyDiv w:val="1"/>
      <w:marLeft w:val="0"/>
      <w:marRight w:val="0"/>
      <w:marTop w:val="0"/>
      <w:marBottom w:val="0"/>
      <w:divBdr>
        <w:top w:val="none" w:sz="0" w:space="0" w:color="auto"/>
        <w:left w:val="none" w:sz="0" w:space="0" w:color="auto"/>
        <w:bottom w:val="none" w:sz="0" w:space="0" w:color="auto"/>
        <w:right w:val="none" w:sz="0" w:space="0" w:color="auto"/>
      </w:divBdr>
      <w:divsChild>
        <w:div w:id="29114427">
          <w:marLeft w:val="0"/>
          <w:marRight w:val="0"/>
          <w:marTop w:val="0"/>
          <w:marBottom w:val="0"/>
          <w:divBdr>
            <w:top w:val="none" w:sz="0" w:space="0" w:color="auto"/>
            <w:left w:val="none" w:sz="0" w:space="0" w:color="auto"/>
            <w:bottom w:val="none" w:sz="0" w:space="0" w:color="auto"/>
            <w:right w:val="none" w:sz="0" w:space="0" w:color="auto"/>
          </w:divBdr>
          <w:divsChild>
            <w:div w:id="923227018">
              <w:marLeft w:val="0"/>
              <w:marRight w:val="0"/>
              <w:marTop w:val="0"/>
              <w:marBottom w:val="0"/>
              <w:divBdr>
                <w:top w:val="none" w:sz="0" w:space="0" w:color="auto"/>
                <w:left w:val="none" w:sz="0" w:space="0" w:color="auto"/>
                <w:bottom w:val="none" w:sz="0" w:space="0" w:color="auto"/>
                <w:right w:val="none" w:sz="0" w:space="0" w:color="auto"/>
              </w:divBdr>
              <w:divsChild>
                <w:div w:id="9527778">
                  <w:marLeft w:val="0"/>
                  <w:marRight w:val="-3600"/>
                  <w:marTop w:val="0"/>
                  <w:marBottom w:val="0"/>
                  <w:divBdr>
                    <w:top w:val="none" w:sz="0" w:space="0" w:color="auto"/>
                    <w:left w:val="none" w:sz="0" w:space="0" w:color="auto"/>
                    <w:bottom w:val="none" w:sz="0" w:space="0" w:color="auto"/>
                    <w:right w:val="none" w:sz="0" w:space="0" w:color="auto"/>
                  </w:divBdr>
                  <w:divsChild>
                    <w:div w:id="697657918">
                      <w:marLeft w:val="225"/>
                      <w:marRight w:val="0"/>
                      <w:marTop w:val="0"/>
                      <w:marBottom w:val="540"/>
                      <w:divBdr>
                        <w:top w:val="none" w:sz="0" w:space="0" w:color="auto"/>
                        <w:left w:val="none" w:sz="0" w:space="0" w:color="auto"/>
                        <w:bottom w:val="none" w:sz="0" w:space="0" w:color="auto"/>
                        <w:right w:val="none" w:sz="0" w:space="0" w:color="auto"/>
                      </w:divBdr>
                      <w:divsChild>
                        <w:div w:id="1648363585">
                          <w:marLeft w:val="0"/>
                          <w:marRight w:val="0"/>
                          <w:marTop w:val="0"/>
                          <w:marBottom w:val="0"/>
                          <w:divBdr>
                            <w:top w:val="none" w:sz="0" w:space="0" w:color="auto"/>
                            <w:left w:val="none" w:sz="0" w:space="0" w:color="auto"/>
                            <w:bottom w:val="none" w:sz="0" w:space="0" w:color="auto"/>
                            <w:right w:val="none" w:sz="0" w:space="0" w:color="auto"/>
                          </w:divBdr>
                          <w:divsChild>
                            <w:div w:id="1298490271">
                              <w:marLeft w:val="0"/>
                              <w:marRight w:val="0"/>
                              <w:marTop w:val="0"/>
                              <w:marBottom w:val="0"/>
                              <w:divBdr>
                                <w:top w:val="none" w:sz="0" w:space="0" w:color="auto"/>
                                <w:left w:val="none" w:sz="0" w:space="0" w:color="auto"/>
                                <w:bottom w:val="none" w:sz="0" w:space="0" w:color="auto"/>
                                <w:right w:val="none" w:sz="0" w:space="0" w:color="auto"/>
                              </w:divBdr>
                              <w:divsChild>
                                <w:div w:id="3178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3060">
      <w:bodyDiv w:val="1"/>
      <w:marLeft w:val="0"/>
      <w:marRight w:val="0"/>
      <w:marTop w:val="0"/>
      <w:marBottom w:val="0"/>
      <w:divBdr>
        <w:top w:val="none" w:sz="0" w:space="0" w:color="auto"/>
        <w:left w:val="none" w:sz="0" w:space="0" w:color="auto"/>
        <w:bottom w:val="none" w:sz="0" w:space="0" w:color="auto"/>
        <w:right w:val="none" w:sz="0" w:space="0" w:color="auto"/>
      </w:divBdr>
    </w:div>
    <w:div w:id="1020351848">
      <w:bodyDiv w:val="1"/>
      <w:marLeft w:val="0"/>
      <w:marRight w:val="0"/>
      <w:marTop w:val="0"/>
      <w:marBottom w:val="0"/>
      <w:divBdr>
        <w:top w:val="none" w:sz="0" w:space="0" w:color="auto"/>
        <w:left w:val="none" w:sz="0" w:space="0" w:color="auto"/>
        <w:bottom w:val="none" w:sz="0" w:space="0" w:color="auto"/>
        <w:right w:val="none" w:sz="0" w:space="0" w:color="auto"/>
      </w:divBdr>
      <w:divsChild>
        <w:div w:id="763846781">
          <w:marLeft w:val="0"/>
          <w:marRight w:val="0"/>
          <w:marTop w:val="0"/>
          <w:marBottom w:val="0"/>
          <w:divBdr>
            <w:top w:val="none" w:sz="0" w:space="0" w:color="auto"/>
            <w:left w:val="none" w:sz="0" w:space="0" w:color="auto"/>
            <w:bottom w:val="none" w:sz="0" w:space="0" w:color="auto"/>
            <w:right w:val="none" w:sz="0" w:space="0" w:color="auto"/>
          </w:divBdr>
          <w:divsChild>
            <w:div w:id="1711149882">
              <w:marLeft w:val="0"/>
              <w:marRight w:val="0"/>
              <w:marTop w:val="0"/>
              <w:marBottom w:val="0"/>
              <w:divBdr>
                <w:top w:val="none" w:sz="0" w:space="0" w:color="auto"/>
                <w:left w:val="none" w:sz="0" w:space="0" w:color="auto"/>
                <w:bottom w:val="none" w:sz="0" w:space="0" w:color="auto"/>
                <w:right w:val="none" w:sz="0" w:space="0" w:color="auto"/>
              </w:divBdr>
            </w:div>
            <w:div w:id="694044811">
              <w:marLeft w:val="0"/>
              <w:marRight w:val="0"/>
              <w:marTop w:val="0"/>
              <w:marBottom w:val="0"/>
              <w:divBdr>
                <w:top w:val="none" w:sz="0" w:space="0" w:color="auto"/>
                <w:left w:val="none" w:sz="0" w:space="0" w:color="auto"/>
                <w:bottom w:val="none" w:sz="0" w:space="0" w:color="auto"/>
                <w:right w:val="none" w:sz="0" w:space="0" w:color="auto"/>
              </w:divBdr>
            </w:div>
            <w:div w:id="657659628">
              <w:marLeft w:val="0"/>
              <w:marRight w:val="0"/>
              <w:marTop w:val="0"/>
              <w:marBottom w:val="0"/>
              <w:divBdr>
                <w:top w:val="none" w:sz="0" w:space="0" w:color="auto"/>
                <w:left w:val="none" w:sz="0" w:space="0" w:color="auto"/>
                <w:bottom w:val="none" w:sz="0" w:space="0" w:color="auto"/>
                <w:right w:val="none" w:sz="0" w:space="0" w:color="auto"/>
              </w:divBdr>
            </w:div>
            <w:div w:id="1706177166">
              <w:marLeft w:val="0"/>
              <w:marRight w:val="0"/>
              <w:marTop w:val="0"/>
              <w:marBottom w:val="0"/>
              <w:divBdr>
                <w:top w:val="none" w:sz="0" w:space="0" w:color="auto"/>
                <w:left w:val="none" w:sz="0" w:space="0" w:color="auto"/>
                <w:bottom w:val="none" w:sz="0" w:space="0" w:color="auto"/>
                <w:right w:val="none" w:sz="0" w:space="0" w:color="auto"/>
              </w:divBdr>
            </w:div>
            <w:div w:id="205677159">
              <w:marLeft w:val="0"/>
              <w:marRight w:val="0"/>
              <w:marTop w:val="0"/>
              <w:marBottom w:val="0"/>
              <w:divBdr>
                <w:top w:val="none" w:sz="0" w:space="0" w:color="auto"/>
                <w:left w:val="none" w:sz="0" w:space="0" w:color="auto"/>
                <w:bottom w:val="none" w:sz="0" w:space="0" w:color="auto"/>
                <w:right w:val="none" w:sz="0" w:space="0" w:color="auto"/>
              </w:divBdr>
            </w:div>
            <w:div w:id="7422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9413">
      <w:bodyDiv w:val="1"/>
      <w:marLeft w:val="0"/>
      <w:marRight w:val="0"/>
      <w:marTop w:val="0"/>
      <w:marBottom w:val="0"/>
      <w:divBdr>
        <w:top w:val="none" w:sz="0" w:space="0" w:color="auto"/>
        <w:left w:val="none" w:sz="0" w:space="0" w:color="auto"/>
        <w:bottom w:val="none" w:sz="0" w:space="0" w:color="auto"/>
        <w:right w:val="none" w:sz="0" w:space="0" w:color="auto"/>
      </w:divBdr>
      <w:divsChild>
        <w:div w:id="150413973">
          <w:marLeft w:val="0"/>
          <w:marRight w:val="0"/>
          <w:marTop w:val="0"/>
          <w:marBottom w:val="0"/>
          <w:divBdr>
            <w:top w:val="none" w:sz="0" w:space="0" w:color="auto"/>
            <w:left w:val="none" w:sz="0" w:space="0" w:color="auto"/>
            <w:bottom w:val="none" w:sz="0" w:space="0" w:color="auto"/>
            <w:right w:val="none" w:sz="0" w:space="0" w:color="auto"/>
          </w:divBdr>
          <w:divsChild>
            <w:div w:id="1937473311">
              <w:marLeft w:val="0"/>
              <w:marRight w:val="0"/>
              <w:marTop w:val="0"/>
              <w:marBottom w:val="0"/>
              <w:divBdr>
                <w:top w:val="none" w:sz="0" w:space="0" w:color="auto"/>
                <w:left w:val="none" w:sz="0" w:space="0" w:color="auto"/>
                <w:bottom w:val="none" w:sz="0" w:space="0" w:color="auto"/>
                <w:right w:val="none" w:sz="0" w:space="0" w:color="auto"/>
              </w:divBdr>
              <w:divsChild>
                <w:div w:id="25256089">
                  <w:marLeft w:val="0"/>
                  <w:marRight w:val="0"/>
                  <w:marTop w:val="0"/>
                  <w:marBottom w:val="0"/>
                  <w:divBdr>
                    <w:top w:val="none" w:sz="0" w:space="0" w:color="auto"/>
                    <w:left w:val="none" w:sz="0" w:space="0" w:color="auto"/>
                    <w:bottom w:val="none" w:sz="0" w:space="0" w:color="auto"/>
                    <w:right w:val="none" w:sz="0" w:space="0" w:color="auto"/>
                  </w:divBdr>
                  <w:divsChild>
                    <w:div w:id="1247301557">
                      <w:marLeft w:val="0"/>
                      <w:marRight w:val="0"/>
                      <w:marTop w:val="0"/>
                      <w:marBottom w:val="0"/>
                      <w:divBdr>
                        <w:top w:val="none" w:sz="0" w:space="0" w:color="auto"/>
                        <w:left w:val="none" w:sz="0" w:space="0" w:color="auto"/>
                        <w:bottom w:val="none" w:sz="0" w:space="0" w:color="auto"/>
                        <w:right w:val="none" w:sz="0" w:space="0" w:color="auto"/>
                      </w:divBdr>
                      <w:divsChild>
                        <w:div w:id="1806966111">
                          <w:marLeft w:val="0"/>
                          <w:marRight w:val="0"/>
                          <w:marTop w:val="0"/>
                          <w:marBottom w:val="0"/>
                          <w:divBdr>
                            <w:top w:val="none" w:sz="0" w:space="0" w:color="auto"/>
                            <w:left w:val="none" w:sz="0" w:space="0" w:color="auto"/>
                            <w:bottom w:val="none" w:sz="0" w:space="0" w:color="auto"/>
                            <w:right w:val="none" w:sz="0" w:space="0" w:color="auto"/>
                          </w:divBdr>
                          <w:divsChild>
                            <w:div w:id="1943609422">
                              <w:marLeft w:val="0"/>
                              <w:marRight w:val="0"/>
                              <w:marTop w:val="0"/>
                              <w:marBottom w:val="225"/>
                              <w:divBdr>
                                <w:top w:val="none" w:sz="0" w:space="0" w:color="auto"/>
                                <w:left w:val="none" w:sz="0" w:space="0" w:color="auto"/>
                                <w:bottom w:val="none" w:sz="0" w:space="0" w:color="auto"/>
                                <w:right w:val="none" w:sz="0" w:space="0" w:color="auto"/>
                              </w:divBdr>
                              <w:divsChild>
                                <w:div w:id="20866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26290">
      <w:bodyDiv w:val="1"/>
      <w:marLeft w:val="0"/>
      <w:marRight w:val="0"/>
      <w:marTop w:val="0"/>
      <w:marBottom w:val="0"/>
      <w:divBdr>
        <w:top w:val="none" w:sz="0" w:space="0" w:color="auto"/>
        <w:left w:val="none" w:sz="0" w:space="0" w:color="auto"/>
        <w:bottom w:val="none" w:sz="0" w:space="0" w:color="auto"/>
        <w:right w:val="none" w:sz="0" w:space="0" w:color="auto"/>
      </w:divBdr>
      <w:divsChild>
        <w:div w:id="54862309">
          <w:marLeft w:val="0"/>
          <w:marRight w:val="0"/>
          <w:marTop w:val="0"/>
          <w:marBottom w:val="0"/>
          <w:divBdr>
            <w:top w:val="none" w:sz="0" w:space="0" w:color="auto"/>
            <w:left w:val="none" w:sz="0" w:space="0" w:color="auto"/>
            <w:bottom w:val="none" w:sz="0" w:space="0" w:color="auto"/>
            <w:right w:val="none" w:sz="0" w:space="0" w:color="auto"/>
          </w:divBdr>
          <w:divsChild>
            <w:div w:id="892547302">
              <w:marLeft w:val="0"/>
              <w:marRight w:val="0"/>
              <w:marTop w:val="0"/>
              <w:marBottom w:val="0"/>
              <w:divBdr>
                <w:top w:val="none" w:sz="0" w:space="0" w:color="auto"/>
                <w:left w:val="none" w:sz="0" w:space="0" w:color="auto"/>
                <w:bottom w:val="none" w:sz="0" w:space="0" w:color="auto"/>
                <w:right w:val="none" w:sz="0" w:space="0" w:color="auto"/>
              </w:divBdr>
              <w:divsChild>
                <w:div w:id="400757652">
                  <w:marLeft w:val="0"/>
                  <w:marRight w:val="0"/>
                  <w:marTop w:val="0"/>
                  <w:marBottom w:val="0"/>
                  <w:divBdr>
                    <w:top w:val="none" w:sz="0" w:space="0" w:color="auto"/>
                    <w:left w:val="none" w:sz="0" w:space="0" w:color="auto"/>
                    <w:bottom w:val="none" w:sz="0" w:space="0" w:color="auto"/>
                    <w:right w:val="none" w:sz="0" w:space="0" w:color="auto"/>
                  </w:divBdr>
                  <w:divsChild>
                    <w:div w:id="944726590">
                      <w:marLeft w:val="0"/>
                      <w:marRight w:val="0"/>
                      <w:marTop w:val="0"/>
                      <w:marBottom w:val="0"/>
                      <w:divBdr>
                        <w:top w:val="none" w:sz="0" w:space="0" w:color="auto"/>
                        <w:left w:val="none" w:sz="0" w:space="0" w:color="auto"/>
                        <w:bottom w:val="none" w:sz="0" w:space="0" w:color="auto"/>
                        <w:right w:val="none" w:sz="0" w:space="0" w:color="auto"/>
                      </w:divBdr>
                      <w:divsChild>
                        <w:div w:id="20023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89819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12">
          <w:marLeft w:val="0"/>
          <w:marRight w:val="0"/>
          <w:marTop w:val="0"/>
          <w:marBottom w:val="0"/>
          <w:divBdr>
            <w:top w:val="none" w:sz="0" w:space="0" w:color="auto"/>
            <w:left w:val="none" w:sz="0" w:space="0" w:color="auto"/>
            <w:bottom w:val="none" w:sz="0" w:space="0" w:color="auto"/>
            <w:right w:val="none" w:sz="0" w:space="0" w:color="auto"/>
          </w:divBdr>
          <w:divsChild>
            <w:div w:id="705646250">
              <w:marLeft w:val="0"/>
              <w:marRight w:val="0"/>
              <w:marTop w:val="0"/>
              <w:marBottom w:val="0"/>
              <w:divBdr>
                <w:top w:val="none" w:sz="0" w:space="0" w:color="auto"/>
                <w:left w:val="none" w:sz="0" w:space="0" w:color="auto"/>
                <w:bottom w:val="none" w:sz="0" w:space="0" w:color="auto"/>
                <w:right w:val="none" w:sz="0" w:space="0" w:color="auto"/>
              </w:divBdr>
              <w:divsChild>
                <w:div w:id="1673944615">
                  <w:marLeft w:val="0"/>
                  <w:marRight w:val="-3600"/>
                  <w:marTop w:val="0"/>
                  <w:marBottom w:val="0"/>
                  <w:divBdr>
                    <w:top w:val="none" w:sz="0" w:space="0" w:color="auto"/>
                    <w:left w:val="none" w:sz="0" w:space="0" w:color="auto"/>
                    <w:bottom w:val="none" w:sz="0" w:space="0" w:color="auto"/>
                    <w:right w:val="none" w:sz="0" w:space="0" w:color="auto"/>
                  </w:divBdr>
                  <w:divsChild>
                    <w:div w:id="1225678240">
                      <w:marLeft w:val="225"/>
                      <w:marRight w:val="0"/>
                      <w:marTop w:val="0"/>
                      <w:marBottom w:val="540"/>
                      <w:divBdr>
                        <w:top w:val="none" w:sz="0" w:space="0" w:color="auto"/>
                        <w:left w:val="none" w:sz="0" w:space="0" w:color="auto"/>
                        <w:bottom w:val="none" w:sz="0" w:space="0" w:color="auto"/>
                        <w:right w:val="none" w:sz="0" w:space="0" w:color="auto"/>
                      </w:divBdr>
                      <w:divsChild>
                        <w:div w:id="1395619707">
                          <w:marLeft w:val="0"/>
                          <w:marRight w:val="0"/>
                          <w:marTop w:val="0"/>
                          <w:marBottom w:val="0"/>
                          <w:divBdr>
                            <w:top w:val="none" w:sz="0" w:space="0" w:color="auto"/>
                            <w:left w:val="none" w:sz="0" w:space="0" w:color="auto"/>
                            <w:bottom w:val="none" w:sz="0" w:space="0" w:color="auto"/>
                            <w:right w:val="none" w:sz="0" w:space="0" w:color="auto"/>
                          </w:divBdr>
                          <w:divsChild>
                            <w:div w:id="1275408142">
                              <w:marLeft w:val="0"/>
                              <w:marRight w:val="0"/>
                              <w:marTop w:val="0"/>
                              <w:marBottom w:val="0"/>
                              <w:divBdr>
                                <w:top w:val="none" w:sz="0" w:space="0" w:color="auto"/>
                                <w:left w:val="none" w:sz="0" w:space="0" w:color="auto"/>
                                <w:bottom w:val="none" w:sz="0" w:space="0" w:color="auto"/>
                                <w:right w:val="none" w:sz="0" w:space="0" w:color="auto"/>
                              </w:divBdr>
                              <w:divsChild>
                                <w:div w:id="2837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aglobal.com/content/dam/acca/global/PDF-technical/integrated-reporting/tech-tp-wt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caglobal.com/content/dam/acca/global/PDF-technical/integrated-reporting/tech-tp-wt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cpa.org/About/Leadership/Pages/Susan_Coffey_Bio.aspx" TargetMode="External"/><Relationship Id="rId5" Type="http://schemas.openxmlformats.org/officeDocument/2006/relationships/settings" Target="settings.xml"/><Relationship Id="rId15" Type="http://schemas.openxmlformats.org/officeDocument/2006/relationships/hyperlink" Target="http://www.emeraldinsight.com/action/doSearch?ContribStored=Messner%2C+M" TargetMode="External"/><Relationship Id="rId10" Type="http://schemas.openxmlformats.org/officeDocument/2006/relationships/hyperlink" Target="mailto:Jeffrey.unerman@rhul.ac.uk" TargetMode="External"/><Relationship Id="rId4" Type="http://schemas.microsoft.com/office/2007/relationships/stylesWithEffects" Target="stylesWithEffects.xml"/><Relationship Id="rId9" Type="http://schemas.openxmlformats.org/officeDocument/2006/relationships/hyperlink" Target="mailto:b.g.d.odwyer@uva.nl" TargetMode="External"/><Relationship Id="rId14" Type="http://schemas.openxmlformats.org/officeDocument/2006/relationships/hyperlink" Target="http://www.emeraldinsight.com/action/doSearch?ContribStored=Reuter%2C+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integratedreporting.org/wp-content/uploads/2012/02/Deloitte-UK.pdf" TargetMode="External"/><Relationship Id="rId13" Type="http://schemas.openxmlformats.org/officeDocument/2006/relationships/hyperlink" Target="http://www.som.cranfield.ac.uk/som/dinamiccontent/media/knowledgeinterchange/topics/Corporate%20Responsibility/0080/Transcript.pdf" TargetMode="External"/><Relationship Id="rId18" Type="http://schemas.openxmlformats.org/officeDocument/2006/relationships/hyperlink" Target="http://www.businessdictionary.com/definition/obligation.html" TargetMode="External"/><Relationship Id="rId26" Type="http://schemas.openxmlformats.org/officeDocument/2006/relationships/hyperlink" Target="http://www.theiirc.org/wp-content/uploads/2013/10/IIRC-Pilot-Programme-Investor-Critique-2013.pdf.%20Last%20accessed%20October%2014,%202014" TargetMode="External"/><Relationship Id="rId3" Type="http://schemas.openxmlformats.org/officeDocument/2006/relationships/hyperlink" Target="http://www.theguardian.com/sustainable-business/integrated-reporting-reshaping-21st-century" TargetMode="External"/><Relationship Id="rId21" Type="http://schemas.openxmlformats.org/officeDocument/2006/relationships/hyperlink" Target="http://integratedreporting.org/wp-content/uploads/2012/06/Discussion-Paper-Summary1.pdf" TargetMode="External"/><Relationship Id="rId7" Type="http://schemas.openxmlformats.org/officeDocument/2006/relationships/hyperlink" Target="https://www.mikekrzus.com/downloads/files/IIRC-PP-Reference.pdf" TargetMode="External"/><Relationship Id="rId12" Type="http://schemas.openxmlformats.org/officeDocument/2006/relationships/hyperlink" Target="http://integratedreporting.org/wp-content/uploads/2013/12/IIRC-PP-Yearbook-2013_PDF4_PAGES.pdf" TargetMode="External"/><Relationship Id="rId17" Type="http://schemas.openxmlformats.org/officeDocument/2006/relationships/hyperlink" Target="http://www.businessdictionary.com/definition/right.html" TargetMode="External"/><Relationship Id="rId25" Type="http://schemas.openxmlformats.org/officeDocument/2006/relationships/hyperlink" Target="http://www.theguardian.com/sustainable-business/integrated-reporting-framework-trust-iirc" TargetMode="External"/><Relationship Id="rId2" Type="http://schemas.openxmlformats.org/officeDocument/2006/relationships/hyperlink" Target="https://www.ifac.org/news-events/2013-11/integrated-reporting" TargetMode="External"/><Relationship Id="rId16" Type="http://schemas.openxmlformats.org/officeDocument/2006/relationships/hyperlink" Target="http://www.businessdictionary.com/definition/claim.html" TargetMode="External"/><Relationship Id="rId20" Type="http://schemas.openxmlformats.org/officeDocument/2006/relationships/hyperlink" Target="http://integratedreporting.org/resource/draft-framework-outline-2/" TargetMode="External"/><Relationship Id="rId29" Type="http://schemas.openxmlformats.org/officeDocument/2006/relationships/hyperlink" Target="http://economia.icaew.com/people/december-2013/paul-druckman" TargetMode="External"/><Relationship Id="rId1" Type="http://schemas.openxmlformats.org/officeDocument/2006/relationships/hyperlink" Target="http://www.europarl.europa.eu/sides/getDoc.do?type=REPORT&amp;reference=A7-2013-0023&amp;language=EN" TargetMode="External"/><Relationship Id="rId6" Type="http://schemas.openxmlformats.org/officeDocument/2006/relationships/hyperlink" Target="http://www.aicpa.org/Press/PressReleases/2011/Pages/Internationa-lCommittee-Roundtable-Integrated-Reporting.aspx" TargetMode="External"/><Relationship Id="rId11" Type="http://schemas.openxmlformats.org/officeDocument/2006/relationships/hyperlink" Target="http://www.theiirc.org/wp-content/uploads/2013/08/252_Ernst-Young-Global-Limited.pdf.%20Last%20accessed%20October%2015" TargetMode="External"/><Relationship Id="rId24" Type="http://schemas.openxmlformats.org/officeDocument/2006/relationships/hyperlink" Target="http://integratedreporting.org/wp-content/uploads/2013/08/252_Ernst-Young-Global-Limited.pdf" TargetMode="External"/><Relationship Id="rId5" Type="http://schemas.openxmlformats.org/officeDocument/2006/relationships/hyperlink" Target="http://www.accountingforsustainability.org/wp-content/uploads/2011/10/The-Accounting-for-Sustainability-Report.pdf" TargetMode="External"/><Relationship Id="rId15" Type="http://schemas.openxmlformats.org/officeDocument/2006/relationships/hyperlink" Target="http://www.businessdictionary.com/definition/legal.html" TargetMode="External"/><Relationship Id="rId23" Type="http://schemas.openxmlformats.org/officeDocument/2006/relationships/hyperlink" Target="http://integratedreporting.org/wp-content/uploads/2013/08/244_CPA-Canada.pdf" TargetMode="External"/><Relationship Id="rId28" Type="http://schemas.openxmlformats.org/officeDocument/2006/relationships/hyperlink" Target="http://online.wsj.com/article/PR-CO-20130522-911497.html" TargetMode="External"/><Relationship Id="rId10" Type="http://schemas.openxmlformats.org/officeDocument/2006/relationships/hyperlink" Target="http://www.theiirc.org/resources-2/framework-development/background-papers/" TargetMode="External"/><Relationship Id="rId19" Type="http://schemas.openxmlformats.org/officeDocument/2006/relationships/hyperlink" Target="http://www.theguardian.com/sustainable-business/integrated-reporting-framework-trust-iirc" TargetMode="External"/><Relationship Id="rId4" Type="http://schemas.openxmlformats.org/officeDocument/2006/relationships/hyperlink" Target="http://www.theiirc.org/wp-content/uploads/2012/06/UBS-What-Is-Integrated-Reporting.pdf" TargetMode="External"/><Relationship Id="rId9" Type="http://schemas.openxmlformats.org/officeDocument/2006/relationships/hyperlink" Target="http://www.forumforthefuture.org/project/five-capitals/overview" TargetMode="External"/><Relationship Id="rId14" Type="http://schemas.openxmlformats.org/officeDocument/2006/relationships/hyperlink" Target="http://www.businessdictionary.com/definition/binder.html" TargetMode="External"/><Relationship Id="rId22" Type="http://schemas.openxmlformats.org/officeDocument/2006/relationships/hyperlink" Target="http://economia.icaew.com/people/december-2013/paul-druckman" TargetMode="External"/><Relationship Id="rId27" Type="http://schemas.openxmlformats.org/officeDocument/2006/relationships/hyperlink" Target="http://web.up.ac.za/default.asp?ipkCategoryID=10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7619-473E-4D78-B027-13814959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19550</Words>
  <Characters>111440</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O'Dwyer, Brendan</cp:lastModifiedBy>
  <cp:revision>2</cp:revision>
  <cp:lastPrinted>2016-03-09T16:35:00Z</cp:lastPrinted>
  <dcterms:created xsi:type="dcterms:W3CDTF">2016-05-20T15:53:00Z</dcterms:created>
  <dcterms:modified xsi:type="dcterms:W3CDTF">2016-05-20T15:53:00Z</dcterms:modified>
</cp:coreProperties>
</file>