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17" w:rsidRPr="00313C17" w:rsidRDefault="00521217" w:rsidP="00521217">
      <w:pPr>
        <w:pStyle w:val="Default"/>
        <w:spacing w:line="360" w:lineRule="auto"/>
        <w:jc w:val="both"/>
        <w:rPr>
          <w:rFonts w:ascii="Times New Roman" w:hAnsi="Times New Roman" w:cs="Times New Roman"/>
          <w:color w:val="auto"/>
          <w:lang w:val="en-GB"/>
        </w:rPr>
      </w:pPr>
    </w:p>
    <w:p w:rsidR="00521217" w:rsidRPr="00641910" w:rsidRDefault="006E6D52" w:rsidP="00521217">
      <w:pPr>
        <w:pStyle w:val="Default"/>
        <w:spacing w:line="360" w:lineRule="auto"/>
        <w:jc w:val="both"/>
        <w:rPr>
          <w:rFonts w:ascii="Times New Roman" w:hAnsi="Times New Roman" w:cs="Times New Roman"/>
          <w:color w:val="auto"/>
          <w:lang w:val="en-GB"/>
        </w:rPr>
      </w:pPr>
      <w:r w:rsidRPr="009B3C19">
        <w:rPr>
          <w:rFonts w:ascii="Times New Roman" w:hAnsi="Times New Roman" w:cs="Times New Roman"/>
          <w:color w:val="auto"/>
          <w:lang w:val="en-GB"/>
        </w:rPr>
        <w:t xml:space="preserve">The study of material culture is a recent development in the </w:t>
      </w:r>
      <w:r w:rsidR="00232DF4">
        <w:rPr>
          <w:rFonts w:ascii="Times New Roman" w:hAnsi="Times New Roman" w:cs="Times New Roman"/>
          <w:color w:val="auto"/>
          <w:lang w:val="en-GB"/>
        </w:rPr>
        <w:t xml:space="preserve">history of medicine </w:t>
      </w:r>
      <w:r w:rsidRPr="009B3C19">
        <w:rPr>
          <w:rFonts w:ascii="Times New Roman" w:hAnsi="Times New Roman" w:cs="Times New Roman"/>
          <w:color w:val="auto"/>
          <w:lang w:val="en-GB"/>
        </w:rPr>
        <w:t xml:space="preserve">and the first wave of interest has focused on objects that can more immediately be defined as ‘medical’. These include artefacts which </w:t>
      </w:r>
      <w:r w:rsidR="005C5EA6">
        <w:rPr>
          <w:rFonts w:ascii="Times New Roman" w:hAnsi="Times New Roman" w:cs="Times New Roman"/>
          <w:color w:val="auto"/>
          <w:lang w:val="en-GB"/>
        </w:rPr>
        <w:t>were</w:t>
      </w:r>
      <w:r w:rsidRPr="009B3C19">
        <w:rPr>
          <w:rFonts w:ascii="Times New Roman" w:hAnsi="Times New Roman" w:cs="Times New Roman"/>
          <w:color w:val="auto"/>
          <w:lang w:val="en-GB"/>
        </w:rPr>
        <w:t xml:space="preserve"> designed with the explicit purpose of assisting practitioners in medical treatment (e.g. the surgeon’s operating tools or the corsets and trusses used to correct malformations and hold hernias), or those employed in the transmission and illustration of medical knowledge, as in the case of anatomical models.</w:t>
      </w:r>
      <w:r w:rsidRPr="009B3C19">
        <w:rPr>
          <w:rStyle w:val="FootnoteReference"/>
          <w:rFonts w:ascii="Times New Roman" w:hAnsi="Times New Roman" w:cs="Times New Roman"/>
          <w:color w:val="auto"/>
        </w:rPr>
        <w:footnoteReference w:id="1"/>
      </w:r>
      <w:r w:rsidRPr="009B3C19">
        <w:rPr>
          <w:rFonts w:ascii="Times New Roman" w:hAnsi="Times New Roman" w:cs="Times New Roman"/>
          <w:color w:val="auto"/>
          <w:lang w:val="en-GB"/>
        </w:rPr>
        <w:t xml:space="preserve"> </w:t>
      </w:r>
      <w:r>
        <w:rPr>
          <w:rFonts w:ascii="Times New Roman" w:hAnsi="Times New Roman" w:cs="Times New Roman"/>
          <w:color w:val="auto"/>
          <w:lang w:val="en-GB"/>
        </w:rPr>
        <w:t>T</w:t>
      </w:r>
      <w:r w:rsidR="00521217" w:rsidRPr="009B3C19">
        <w:rPr>
          <w:rFonts w:ascii="Times New Roman" w:hAnsi="Times New Roman" w:cs="Times New Roman"/>
          <w:color w:val="auto"/>
          <w:lang w:val="en-GB"/>
        </w:rPr>
        <w:t>he health connotation that contemporaries attributed to a range of household objects has escaped the attention of scholars.</w:t>
      </w:r>
      <w:r w:rsidR="00521217" w:rsidRPr="009B3C19">
        <w:rPr>
          <w:rStyle w:val="FootnoteReference"/>
          <w:rFonts w:ascii="Times New Roman" w:hAnsi="Times New Roman" w:cs="Times New Roman"/>
          <w:color w:val="auto"/>
          <w:lang w:val="en-GB"/>
        </w:rPr>
        <w:footnoteReference w:id="2"/>
      </w:r>
      <w:r w:rsidR="007569A7">
        <w:rPr>
          <w:rFonts w:ascii="Times New Roman" w:hAnsi="Times New Roman" w:cs="Times New Roman"/>
          <w:color w:val="auto"/>
          <w:lang w:val="en-GB"/>
        </w:rPr>
        <w:t xml:space="preserve"> </w:t>
      </w:r>
      <w:r w:rsidR="007569A7">
        <w:rPr>
          <w:rFonts w:ascii="Times New Roman" w:hAnsi="Times New Roman" w:cs="Times New Roman"/>
          <w:color w:val="auto"/>
          <w:lang w:val="en-GB"/>
        </w:rPr>
        <w:tab/>
        <w:t>A different perspective wa</w:t>
      </w:r>
      <w:r w:rsidR="00521217" w:rsidRPr="009B3C19">
        <w:rPr>
          <w:rFonts w:ascii="Times New Roman" w:hAnsi="Times New Roman" w:cs="Times New Roman"/>
          <w:color w:val="auto"/>
          <w:lang w:val="en-GB"/>
        </w:rPr>
        <w:t xml:space="preserve">s offered by the recently published </w:t>
      </w:r>
      <w:r w:rsidR="00521217" w:rsidRPr="009B3C19">
        <w:rPr>
          <w:rFonts w:ascii="Times New Roman" w:hAnsi="Times New Roman" w:cs="Times New Roman"/>
          <w:i/>
          <w:color w:val="auto"/>
          <w:lang w:val="en-GB"/>
        </w:rPr>
        <w:t>Healthy Living in Late Renaissance Italy</w:t>
      </w:r>
      <w:r w:rsidR="00521217" w:rsidRPr="009B3C19">
        <w:rPr>
          <w:rFonts w:ascii="Times New Roman" w:hAnsi="Times New Roman" w:cs="Times New Roman"/>
          <w:color w:val="auto"/>
          <w:lang w:val="en-GB"/>
        </w:rPr>
        <w:t xml:space="preserve">, of which I am </w:t>
      </w:r>
      <w:r w:rsidR="007569A7">
        <w:rPr>
          <w:rFonts w:ascii="Times New Roman" w:hAnsi="Times New Roman" w:cs="Times New Roman"/>
          <w:color w:val="auto"/>
          <w:lang w:val="en-GB"/>
        </w:rPr>
        <w:t>co-author. Here attention shifted</w:t>
      </w:r>
      <w:r w:rsidR="00521217" w:rsidRPr="009B3C19">
        <w:rPr>
          <w:rFonts w:ascii="Times New Roman" w:hAnsi="Times New Roman" w:cs="Times New Roman"/>
          <w:color w:val="auto"/>
          <w:lang w:val="en-GB"/>
        </w:rPr>
        <w:t xml:space="preserve"> from elements of material culture that were direct expressions of medical technology to artefacts that performed multiple and more mundane functions in the domestic environment and whose medical significance was so to speak ‘indirect’.</w:t>
      </w:r>
      <w:r w:rsidR="00521217" w:rsidRPr="009B3C19">
        <w:rPr>
          <w:rStyle w:val="FootnoteReference"/>
          <w:rFonts w:ascii="Times New Roman" w:hAnsi="Times New Roman" w:cs="Times New Roman"/>
          <w:color w:val="auto"/>
        </w:rPr>
        <w:footnoteReference w:id="3"/>
      </w:r>
      <w:r w:rsidR="00521217" w:rsidRPr="009B3C19">
        <w:rPr>
          <w:rFonts w:ascii="Times New Roman" w:hAnsi="Times New Roman" w:cs="Times New Roman"/>
          <w:color w:val="auto"/>
          <w:lang w:val="en-GB"/>
        </w:rPr>
        <w:t xml:space="preserve"> In particular the </w:t>
      </w:r>
      <w:r w:rsidR="000370C3">
        <w:rPr>
          <w:rFonts w:ascii="Times New Roman" w:hAnsi="Times New Roman" w:cs="Times New Roman"/>
          <w:color w:val="auto"/>
          <w:lang w:val="en-GB"/>
        </w:rPr>
        <w:t>study highlighted</w:t>
      </w:r>
      <w:r w:rsidR="00521217" w:rsidRPr="009B3C19">
        <w:rPr>
          <w:rFonts w:ascii="Times New Roman" w:hAnsi="Times New Roman" w:cs="Times New Roman"/>
          <w:color w:val="auto"/>
          <w:lang w:val="en-GB"/>
        </w:rPr>
        <w:t xml:space="preserve"> the role that a range of ordinary domestic artefacts played in strategies for health preservation. The early modern house was not just a therapeutic space where the sick body was taken care of but the principal locus where health was actively promoted.</w:t>
      </w:r>
      <w:r>
        <w:rPr>
          <w:rFonts w:ascii="Times New Roman" w:hAnsi="Times New Roman" w:cs="Times New Roman"/>
          <w:color w:val="auto"/>
          <w:lang w:val="en-GB"/>
        </w:rPr>
        <w:t xml:space="preserve"> </w:t>
      </w:r>
      <w:r w:rsidR="00FC3A78">
        <w:rPr>
          <w:rFonts w:ascii="Times New Roman" w:hAnsi="Times New Roman" w:cs="Times New Roman"/>
          <w:color w:val="auto"/>
          <w:lang w:val="en-GB"/>
        </w:rPr>
        <w:t>Hence</w:t>
      </w:r>
      <w:r w:rsidR="00FC3A78" w:rsidRPr="009B3C19">
        <w:rPr>
          <w:rFonts w:ascii="Times New Roman" w:hAnsi="Times New Roman" w:cs="Times New Roman"/>
          <w:color w:val="auto"/>
          <w:lang w:val="en-GB"/>
        </w:rPr>
        <w:t xml:space="preserve"> </w:t>
      </w:r>
      <w:r w:rsidR="00521217" w:rsidRPr="009B3C19">
        <w:rPr>
          <w:rFonts w:ascii="Times New Roman" w:hAnsi="Times New Roman" w:cs="Times New Roman"/>
          <w:color w:val="auto"/>
          <w:lang w:val="en-GB"/>
        </w:rPr>
        <w:t>medically expert householder</w:t>
      </w:r>
      <w:r w:rsidR="00FC3A78">
        <w:rPr>
          <w:rFonts w:ascii="Times New Roman" w:hAnsi="Times New Roman" w:cs="Times New Roman"/>
          <w:color w:val="auto"/>
          <w:lang w:val="en-GB"/>
        </w:rPr>
        <w:t>s</w:t>
      </w:r>
      <w:r w:rsidR="00521217" w:rsidRPr="009B3C19">
        <w:rPr>
          <w:rFonts w:ascii="Times New Roman" w:hAnsi="Times New Roman" w:cs="Times New Roman"/>
          <w:color w:val="auto"/>
          <w:lang w:val="en-GB"/>
        </w:rPr>
        <w:t xml:space="preserve"> w</w:t>
      </w:r>
      <w:r w:rsidR="00FC3A78">
        <w:rPr>
          <w:rFonts w:ascii="Times New Roman" w:hAnsi="Times New Roman" w:cs="Times New Roman"/>
          <w:color w:val="auto"/>
          <w:lang w:val="en-GB"/>
        </w:rPr>
        <w:t>ere</w:t>
      </w:r>
      <w:r w:rsidR="00521217" w:rsidRPr="009B3C19">
        <w:rPr>
          <w:rFonts w:ascii="Times New Roman" w:hAnsi="Times New Roman" w:cs="Times New Roman"/>
          <w:color w:val="auto"/>
          <w:lang w:val="en-GB"/>
        </w:rPr>
        <w:t xml:space="preserve"> also routinely engaged in a range of preventive health activities taking place within the home. And these practices also required equipping the house with items of material culture that would enable the pursuit of healthy lifestyles: from billiard tables, </w:t>
      </w:r>
      <w:proofErr w:type="spellStart"/>
      <w:r w:rsidR="00521217" w:rsidRPr="009B3C19">
        <w:rPr>
          <w:rFonts w:ascii="Times New Roman" w:hAnsi="Times New Roman" w:cs="Times New Roman"/>
          <w:color w:val="auto"/>
          <w:lang w:val="en-GB"/>
        </w:rPr>
        <w:t>boules</w:t>
      </w:r>
      <w:proofErr w:type="spellEnd"/>
      <w:r w:rsidR="00521217" w:rsidRPr="009B3C19">
        <w:rPr>
          <w:rFonts w:ascii="Times New Roman" w:hAnsi="Times New Roman" w:cs="Times New Roman"/>
          <w:color w:val="auto"/>
          <w:lang w:val="en-GB"/>
        </w:rPr>
        <w:t xml:space="preserve"> and pall mall mallets, which allowed the performance of moderate physical exercise in the home environment, to the table devices used to produce salutary warm drinks; from the bed curtains that protected sleep and the digestive process associated with it to the rough cloths, combs and head brushes that facilitated the regular cleansing of any obstructions blocking the pores of the skin and the scalp. As revealed by the health advice found in preventive medical literature (regimens), and disseminated also by a range of other genres, from sport treatises to civility manuals, ordinary objects like these, which grew popular in the sixteenth and early seventeenth</w:t>
      </w:r>
      <w:r w:rsidR="005C5EA6">
        <w:rPr>
          <w:rFonts w:ascii="Times New Roman" w:hAnsi="Times New Roman" w:cs="Times New Roman"/>
          <w:color w:val="auto"/>
          <w:lang w:val="en-GB"/>
        </w:rPr>
        <w:t xml:space="preserve"> </w:t>
      </w:r>
      <w:r w:rsidR="00521217" w:rsidRPr="009B3C19">
        <w:rPr>
          <w:rFonts w:ascii="Times New Roman" w:hAnsi="Times New Roman" w:cs="Times New Roman"/>
          <w:color w:val="auto"/>
          <w:lang w:val="en-GB"/>
        </w:rPr>
        <w:t>centuries, were now given a role in health-maintenance.</w:t>
      </w:r>
      <w:r w:rsidR="00521217" w:rsidRPr="00641910">
        <w:rPr>
          <w:rFonts w:ascii="Times New Roman" w:hAnsi="Times New Roman" w:cs="Times New Roman"/>
          <w:color w:val="auto"/>
          <w:lang w:val="en-GB"/>
        </w:rPr>
        <w:tab/>
        <w:t xml:space="preserve"> </w:t>
      </w:r>
    </w:p>
    <w:p w:rsidR="00E3008F" w:rsidRDefault="00521217">
      <w:pPr>
        <w:pStyle w:val="Default"/>
        <w:spacing w:line="360" w:lineRule="auto"/>
        <w:jc w:val="both"/>
        <w:rPr>
          <w:rFonts w:ascii="Times New Roman" w:hAnsi="Times New Roman" w:cs="Times New Roman"/>
          <w:color w:val="auto"/>
          <w:lang w:val="en-GB"/>
        </w:rPr>
      </w:pPr>
      <w:r w:rsidRPr="00641910">
        <w:rPr>
          <w:rFonts w:ascii="Times New Roman" w:hAnsi="Times New Roman" w:cs="Times New Roman"/>
          <w:color w:val="auto"/>
          <w:lang w:val="en-GB"/>
        </w:rPr>
        <w:tab/>
      </w:r>
      <w:r w:rsidR="002B7730">
        <w:rPr>
          <w:rFonts w:ascii="Times New Roman" w:eastAsiaTheme="minorHAnsi" w:hAnsi="Times New Roman" w:cs="Times New Roman"/>
          <w:color w:val="auto"/>
          <w:lang w:val="en-GB" w:eastAsia="en-US"/>
        </w:rPr>
        <w:t xml:space="preserve">In this article I would like to </w:t>
      </w:r>
      <w:r w:rsidR="00FC3A78">
        <w:rPr>
          <w:rFonts w:ascii="Times New Roman" w:eastAsiaTheme="minorHAnsi" w:hAnsi="Times New Roman" w:cs="Times New Roman"/>
          <w:color w:val="auto"/>
          <w:lang w:val="en-GB" w:eastAsia="en-US"/>
        </w:rPr>
        <w:t>advance further in</w:t>
      </w:r>
      <w:r w:rsidR="00EB5217">
        <w:rPr>
          <w:rFonts w:ascii="Times New Roman" w:eastAsiaTheme="minorHAnsi" w:hAnsi="Times New Roman" w:cs="Times New Roman"/>
          <w:color w:val="auto"/>
          <w:lang w:val="en-GB" w:eastAsia="en-US"/>
        </w:rPr>
        <w:t xml:space="preserve"> this discussion by </w:t>
      </w:r>
      <w:r w:rsidR="002B7730">
        <w:rPr>
          <w:rFonts w:ascii="Times New Roman" w:eastAsiaTheme="minorHAnsi" w:hAnsi="Times New Roman" w:cs="Times New Roman"/>
          <w:color w:val="auto"/>
          <w:lang w:val="en-GB" w:eastAsia="en-US"/>
        </w:rPr>
        <w:t>consider</w:t>
      </w:r>
      <w:r w:rsidR="00EB5217">
        <w:rPr>
          <w:rFonts w:ascii="Times New Roman" w:eastAsiaTheme="minorHAnsi" w:hAnsi="Times New Roman" w:cs="Times New Roman"/>
          <w:color w:val="auto"/>
          <w:lang w:val="en-GB" w:eastAsia="en-US"/>
        </w:rPr>
        <w:t xml:space="preserve">ing more specifically </w:t>
      </w:r>
      <w:r w:rsidR="002B7730" w:rsidRPr="00641910">
        <w:rPr>
          <w:rFonts w:ascii="Times New Roman" w:hAnsi="Times New Roman" w:cs="Times New Roman"/>
          <w:color w:val="auto"/>
          <w:lang w:val="en-GB"/>
        </w:rPr>
        <w:t xml:space="preserve">the </w:t>
      </w:r>
      <w:r w:rsidR="00811D70">
        <w:rPr>
          <w:rFonts w:ascii="Times New Roman" w:hAnsi="Times New Roman" w:cs="Times New Roman"/>
          <w:color w:val="auto"/>
          <w:lang w:val="en-GB"/>
        </w:rPr>
        <w:t xml:space="preserve">increasing </w:t>
      </w:r>
      <w:r w:rsidR="002B7730" w:rsidRPr="00641910">
        <w:rPr>
          <w:rFonts w:ascii="Times New Roman" w:hAnsi="Times New Roman" w:cs="Times New Roman"/>
          <w:color w:val="auto"/>
          <w:lang w:val="en-GB"/>
        </w:rPr>
        <w:t xml:space="preserve">influence </w:t>
      </w:r>
      <w:r w:rsidR="004D78E7">
        <w:rPr>
          <w:rFonts w:ascii="Times New Roman" w:hAnsi="Times New Roman" w:cs="Times New Roman"/>
          <w:color w:val="auto"/>
          <w:lang w:val="en-GB"/>
        </w:rPr>
        <w:t>of</w:t>
      </w:r>
      <w:r w:rsidR="002B7730" w:rsidRPr="00641910">
        <w:rPr>
          <w:rFonts w:ascii="Times New Roman" w:hAnsi="Times New Roman" w:cs="Times New Roman"/>
          <w:color w:val="auto"/>
          <w:lang w:val="en-GB"/>
        </w:rPr>
        <w:t xml:space="preserve"> medical advice </w:t>
      </w:r>
      <w:r w:rsidR="004D78E7">
        <w:rPr>
          <w:rFonts w:ascii="Times New Roman" w:hAnsi="Times New Roman" w:cs="Times New Roman"/>
          <w:color w:val="auto"/>
          <w:lang w:val="en-GB"/>
        </w:rPr>
        <w:t>upo</w:t>
      </w:r>
      <w:r w:rsidR="002B7730" w:rsidRPr="00641910">
        <w:rPr>
          <w:rFonts w:ascii="Times New Roman" w:hAnsi="Times New Roman" w:cs="Times New Roman"/>
          <w:color w:val="auto"/>
          <w:lang w:val="en-GB"/>
        </w:rPr>
        <w:t xml:space="preserve">n </w:t>
      </w:r>
      <w:r w:rsidR="00811D70">
        <w:rPr>
          <w:rFonts w:ascii="Times New Roman" w:hAnsi="Times New Roman" w:cs="Times New Roman"/>
          <w:color w:val="auto"/>
          <w:lang w:val="en-GB"/>
        </w:rPr>
        <w:t xml:space="preserve">early modern </w:t>
      </w:r>
      <w:r w:rsidR="002B7730" w:rsidRPr="00641910">
        <w:rPr>
          <w:rFonts w:ascii="Times New Roman" w:hAnsi="Times New Roman" w:cs="Times New Roman"/>
          <w:color w:val="auto"/>
          <w:lang w:val="en-GB"/>
        </w:rPr>
        <w:t xml:space="preserve">domestic consumer </w:t>
      </w:r>
      <w:r w:rsidR="002B7730" w:rsidRPr="00641910">
        <w:rPr>
          <w:rFonts w:ascii="Times New Roman" w:hAnsi="Times New Roman" w:cs="Times New Roman"/>
          <w:color w:val="auto"/>
          <w:lang w:val="en-GB"/>
        </w:rPr>
        <w:lastRenderedPageBreak/>
        <w:t>culture.</w:t>
      </w:r>
      <w:r w:rsidR="002B7730" w:rsidRPr="006E320D">
        <w:rPr>
          <w:rFonts w:ascii="Times New Roman" w:hAnsi="Times New Roman" w:cs="Times New Roman"/>
          <w:color w:val="auto"/>
          <w:lang w:val="en-GB"/>
        </w:rPr>
        <w:t xml:space="preserve"> </w:t>
      </w:r>
      <w:r w:rsidR="00B25252">
        <w:rPr>
          <w:rFonts w:ascii="Times New Roman" w:hAnsi="Times New Roman" w:cs="Times New Roman"/>
          <w:color w:val="auto"/>
          <w:lang w:val="en-GB"/>
        </w:rPr>
        <w:t xml:space="preserve">Hence </w:t>
      </w:r>
      <w:r w:rsidR="004D78E7">
        <w:rPr>
          <w:rFonts w:ascii="Times New Roman" w:hAnsi="Times New Roman" w:cs="Times New Roman"/>
          <w:color w:val="auto"/>
          <w:lang w:val="en-GB"/>
        </w:rPr>
        <w:t xml:space="preserve">section </w:t>
      </w:r>
      <w:r w:rsidR="00662E05">
        <w:rPr>
          <w:rFonts w:ascii="Times New Roman" w:hAnsi="Times New Roman" w:cs="Times New Roman"/>
          <w:color w:val="auto"/>
          <w:lang w:val="en-GB"/>
        </w:rPr>
        <w:t>1</w:t>
      </w:r>
      <w:r w:rsidR="00E94C1F">
        <w:rPr>
          <w:rFonts w:ascii="Times New Roman" w:hAnsi="Times New Roman" w:cs="Times New Roman"/>
          <w:color w:val="auto"/>
          <w:lang w:val="en-GB"/>
        </w:rPr>
        <w:t xml:space="preserve"> </w:t>
      </w:r>
      <w:r w:rsidR="004D78E7">
        <w:rPr>
          <w:rFonts w:ascii="Times New Roman" w:hAnsi="Times New Roman" w:cs="Times New Roman"/>
          <w:color w:val="auto"/>
          <w:lang w:val="en-GB"/>
        </w:rPr>
        <w:t>illustrates</w:t>
      </w:r>
      <w:r w:rsidR="002B7730" w:rsidRPr="00641910">
        <w:rPr>
          <w:rFonts w:ascii="Times New Roman" w:hAnsi="Times New Roman" w:cs="Times New Roman"/>
          <w:color w:val="auto"/>
          <w:lang w:val="en-GB"/>
        </w:rPr>
        <w:t xml:space="preserve"> </w:t>
      </w:r>
      <w:r w:rsidR="004D78E7">
        <w:rPr>
          <w:rFonts w:ascii="Times New Roman" w:hAnsi="Times New Roman" w:cs="Times New Roman"/>
          <w:color w:val="auto"/>
          <w:lang w:val="en-GB"/>
        </w:rPr>
        <w:t xml:space="preserve">the progressive extension of the preventive discourse to </w:t>
      </w:r>
      <w:r w:rsidR="002B7730" w:rsidRPr="00641910">
        <w:rPr>
          <w:rFonts w:ascii="Times New Roman" w:hAnsi="Times New Roman" w:cs="Times New Roman"/>
          <w:color w:val="auto"/>
          <w:lang w:val="en-GB"/>
        </w:rPr>
        <w:t xml:space="preserve">choices regarding </w:t>
      </w:r>
      <w:r w:rsidR="00EB5217">
        <w:rPr>
          <w:rFonts w:ascii="Times New Roman" w:hAnsi="Times New Roman" w:cs="Times New Roman"/>
          <w:color w:val="auto"/>
          <w:lang w:val="en-GB"/>
        </w:rPr>
        <w:t xml:space="preserve">home furnishing and design, which </w:t>
      </w:r>
      <w:r w:rsidR="00811D70">
        <w:rPr>
          <w:rFonts w:ascii="Times New Roman" w:hAnsi="Times New Roman" w:cs="Times New Roman"/>
          <w:color w:val="auto"/>
          <w:lang w:val="en-GB"/>
        </w:rPr>
        <w:t xml:space="preserve">in this period </w:t>
      </w:r>
      <w:r w:rsidR="00EB5217">
        <w:rPr>
          <w:rFonts w:ascii="Times New Roman" w:hAnsi="Times New Roman" w:cs="Times New Roman"/>
          <w:color w:val="auto"/>
          <w:lang w:val="en-GB"/>
        </w:rPr>
        <w:t xml:space="preserve">even </w:t>
      </w:r>
      <w:r w:rsidR="00811D70">
        <w:rPr>
          <w:rFonts w:ascii="Times New Roman" w:hAnsi="Times New Roman" w:cs="Times New Roman"/>
          <w:color w:val="auto"/>
          <w:lang w:val="en-GB"/>
        </w:rPr>
        <w:t xml:space="preserve">came to </w:t>
      </w:r>
      <w:r w:rsidR="00EB5217">
        <w:rPr>
          <w:rFonts w:ascii="Times New Roman" w:hAnsi="Times New Roman" w:cs="Times New Roman"/>
          <w:color w:val="auto"/>
          <w:lang w:val="en-GB"/>
        </w:rPr>
        <w:t xml:space="preserve">include recommendations concerning </w:t>
      </w:r>
      <w:r w:rsidR="00B25252">
        <w:rPr>
          <w:rFonts w:ascii="Times New Roman" w:hAnsi="Times New Roman" w:cs="Times New Roman"/>
          <w:color w:val="auto"/>
          <w:lang w:val="en-GB"/>
        </w:rPr>
        <w:t xml:space="preserve">the colours and materials </w:t>
      </w:r>
      <w:r w:rsidR="00EB5217">
        <w:rPr>
          <w:rFonts w:ascii="Times New Roman" w:hAnsi="Times New Roman" w:cs="Times New Roman"/>
          <w:color w:val="auto"/>
          <w:lang w:val="en-GB"/>
        </w:rPr>
        <w:t>of household objects and the performance of household chores</w:t>
      </w:r>
      <w:r w:rsidR="002B7730" w:rsidRPr="00641910">
        <w:rPr>
          <w:rFonts w:ascii="Times New Roman" w:hAnsi="Times New Roman" w:cs="Times New Roman"/>
          <w:color w:val="auto"/>
          <w:lang w:val="en-GB"/>
        </w:rPr>
        <w:t>.</w:t>
      </w:r>
      <w:r w:rsidR="002B7730" w:rsidRPr="002B7730">
        <w:rPr>
          <w:rFonts w:ascii="Times New Roman" w:hAnsi="Times New Roman" w:cs="Times New Roman"/>
          <w:color w:val="auto"/>
          <w:lang w:val="en-GB"/>
        </w:rPr>
        <w:t xml:space="preserve"> </w:t>
      </w:r>
      <w:r w:rsidR="00811D70">
        <w:rPr>
          <w:rFonts w:ascii="Times New Roman" w:hAnsi="Times New Roman" w:cs="Times New Roman"/>
          <w:color w:val="auto"/>
          <w:lang w:val="en-GB"/>
        </w:rPr>
        <w:t>S</w:t>
      </w:r>
      <w:r w:rsidR="004D78E7">
        <w:rPr>
          <w:rFonts w:ascii="Times New Roman" w:hAnsi="Times New Roman" w:cs="Times New Roman"/>
          <w:color w:val="auto"/>
          <w:lang w:val="en-GB"/>
        </w:rPr>
        <w:t xml:space="preserve">ection 2 </w:t>
      </w:r>
      <w:r w:rsidR="00811D70">
        <w:rPr>
          <w:rFonts w:ascii="Times New Roman" w:hAnsi="Times New Roman" w:cs="Times New Roman"/>
          <w:color w:val="auto"/>
          <w:lang w:val="en-GB"/>
        </w:rPr>
        <w:t>addresses the question of why this preventive culture was increasingly home-based</w:t>
      </w:r>
      <w:r w:rsidR="000C6706">
        <w:rPr>
          <w:rFonts w:ascii="Times New Roman" w:hAnsi="Times New Roman" w:cs="Times New Roman"/>
          <w:color w:val="auto"/>
          <w:lang w:val="en-GB"/>
        </w:rPr>
        <w:t xml:space="preserve"> and whether the</w:t>
      </w:r>
      <w:r w:rsidR="0005679C">
        <w:rPr>
          <w:rFonts w:ascii="Times New Roman" w:hAnsi="Times New Roman" w:cs="Times New Roman"/>
          <w:color w:val="auto"/>
          <w:lang w:val="en-GB"/>
        </w:rPr>
        <w:t>se developments were specific</w:t>
      </w:r>
      <w:r w:rsidR="00FC3A78">
        <w:rPr>
          <w:rFonts w:ascii="Times New Roman" w:hAnsi="Times New Roman" w:cs="Times New Roman"/>
          <w:color w:val="auto"/>
          <w:lang w:val="en-GB"/>
        </w:rPr>
        <w:t>ally Italian</w:t>
      </w:r>
      <w:r w:rsidR="0005679C">
        <w:rPr>
          <w:rFonts w:ascii="Times New Roman" w:hAnsi="Times New Roman" w:cs="Times New Roman"/>
          <w:color w:val="auto"/>
          <w:lang w:val="en-GB"/>
        </w:rPr>
        <w:t xml:space="preserve">. </w:t>
      </w:r>
      <w:r w:rsidR="000C6706">
        <w:rPr>
          <w:rFonts w:ascii="Times New Roman" w:hAnsi="Times New Roman" w:cs="Times New Roman"/>
          <w:color w:val="auto"/>
          <w:lang w:val="en-GB"/>
        </w:rPr>
        <w:t>It explores therefore</w:t>
      </w:r>
      <w:r w:rsidR="00E3008F">
        <w:rPr>
          <w:rFonts w:ascii="Times New Roman" w:hAnsi="Times New Roman" w:cs="Times New Roman"/>
          <w:color w:val="auto"/>
          <w:lang w:val="en-GB"/>
        </w:rPr>
        <w:t xml:space="preserve"> the connections between </w:t>
      </w:r>
      <w:r w:rsidR="00DA6BF5">
        <w:rPr>
          <w:rFonts w:ascii="Times New Roman" w:hAnsi="Times New Roman" w:cs="Times New Roman"/>
          <w:color w:val="auto"/>
          <w:lang w:val="en-GB"/>
        </w:rPr>
        <w:t xml:space="preserve">the </w:t>
      </w:r>
      <w:r w:rsidR="0005679C">
        <w:rPr>
          <w:rFonts w:ascii="Times New Roman" w:hAnsi="Times New Roman" w:cs="Times New Roman"/>
          <w:color w:val="auto"/>
          <w:lang w:val="en-GB"/>
        </w:rPr>
        <w:t xml:space="preserve">penetration </w:t>
      </w:r>
      <w:r w:rsidR="0005679C" w:rsidRPr="00641910">
        <w:rPr>
          <w:rFonts w:ascii="Times New Roman" w:hAnsi="Times New Roman" w:cs="Times New Roman"/>
          <w:color w:val="auto"/>
          <w:lang w:val="en-GB"/>
        </w:rPr>
        <w:t xml:space="preserve">of medical expertise </w:t>
      </w:r>
      <w:r w:rsidR="0005679C">
        <w:rPr>
          <w:rFonts w:ascii="Times New Roman" w:hAnsi="Times New Roman" w:cs="Times New Roman"/>
          <w:color w:val="auto"/>
          <w:lang w:val="en-GB"/>
        </w:rPr>
        <w:t>in</w:t>
      </w:r>
      <w:r w:rsidR="0005679C" w:rsidRPr="00641910">
        <w:rPr>
          <w:rFonts w:ascii="Times New Roman" w:hAnsi="Times New Roman" w:cs="Times New Roman"/>
          <w:color w:val="auto"/>
          <w:lang w:val="en-GB"/>
        </w:rPr>
        <w:t xml:space="preserve">to domestic </w:t>
      </w:r>
      <w:r w:rsidR="0005679C">
        <w:rPr>
          <w:rFonts w:ascii="Times New Roman" w:hAnsi="Times New Roman" w:cs="Times New Roman"/>
          <w:color w:val="auto"/>
          <w:lang w:val="en-GB"/>
        </w:rPr>
        <w:t xml:space="preserve">routines and their material </w:t>
      </w:r>
      <w:r w:rsidR="006F1A1A">
        <w:rPr>
          <w:rFonts w:ascii="Times New Roman" w:hAnsi="Times New Roman" w:cs="Times New Roman"/>
          <w:color w:val="auto"/>
          <w:lang w:val="en-GB"/>
        </w:rPr>
        <w:t>culture</w:t>
      </w:r>
      <w:r w:rsidR="002B7730" w:rsidRPr="00641910">
        <w:rPr>
          <w:rFonts w:ascii="Times New Roman" w:hAnsi="Times New Roman" w:cs="Times New Roman"/>
          <w:color w:val="auto"/>
          <w:lang w:val="en-GB"/>
        </w:rPr>
        <w:t xml:space="preserve"> </w:t>
      </w:r>
      <w:r w:rsidR="00E3008F">
        <w:rPr>
          <w:rFonts w:ascii="Times New Roman" w:hAnsi="Times New Roman" w:cs="Times New Roman"/>
          <w:color w:val="auto"/>
          <w:lang w:val="en-GB"/>
        </w:rPr>
        <w:t xml:space="preserve">and </w:t>
      </w:r>
      <w:r w:rsidR="000C6706">
        <w:rPr>
          <w:rFonts w:ascii="Times New Roman" w:hAnsi="Times New Roman" w:cs="Times New Roman"/>
          <w:color w:val="auto"/>
          <w:lang w:val="en-GB"/>
        </w:rPr>
        <w:t>the</w:t>
      </w:r>
      <w:r w:rsidR="00E94C1F">
        <w:rPr>
          <w:rFonts w:ascii="Times New Roman" w:hAnsi="Times New Roman" w:cs="Times New Roman"/>
          <w:color w:val="auto"/>
          <w:lang w:val="en-GB"/>
        </w:rPr>
        <w:t xml:space="preserve"> broader </w:t>
      </w:r>
      <w:r w:rsidR="00E94C1F" w:rsidRPr="00641910">
        <w:rPr>
          <w:rFonts w:ascii="Times New Roman" w:hAnsi="Times New Roman" w:cs="Times New Roman"/>
          <w:color w:val="auto"/>
          <w:lang w:val="en-GB"/>
        </w:rPr>
        <w:t>transformations</w:t>
      </w:r>
      <w:r w:rsidR="00E12298" w:rsidRPr="00E12298">
        <w:rPr>
          <w:rFonts w:ascii="Times New Roman" w:hAnsi="Times New Roman" w:cs="Times New Roman"/>
          <w:color w:val="auto"/>
          <w:lang w:val="en-GB"/>
        </w:rPr>
        <w:t xml:space="preserve"> </w:t>
      </w:r>
      <w:r w:rsidR="00E12298" w:rsidRPr="00641910">
        <w:rPr>
          <w:rFonts w:ascii="Times New Roman" w:hAnsi="Times New Roman" w:cs="Times New Roman"/>
          <w:color w:val="auto"/>
          <w:lang w:val="en-GB"/>
        </w:rPr>
        <w:t xml:space="preserve">taking place in </w:t>
      </w:r>
      <w:r w:rsidR="00811D70">
        <w:rPr>
          <w:rFonts w:ascii="Times New Roman" w:hAnsi="Times New Roman" w:cs="Times New Roman"/>
          <w:color w:val="auto"/>
          <w:lang w:val="en-GB"/>
        </w:rPr>
        <w:t>t</w:t>
      </w:r>
      <w:r w:rsidR="00E12298" w:rsidRPr="00641910">
        <w:rPr>
          <w:rFonts w:ascii="Times New Roman" w:hAnsi="Times New Roman" w:cs="Times New Roman"/>
          <w:color w:val="auto"/>
          <w:lang w:val="en-GB"/>
        </w:rPr>
        <w:t>his period</w:t>
      </w:r>
      <w:r w:rsidR="00E12298">
        <w:rPr>
          <w:rFonts w:ascii="Times New Roman" w:hAnsi="Times New Roman" w:cs="Times New Roman"/>
          <w:color w:val="auto"/>
          <w:lang w:val="en-GB"/>
        </w:rPr>
        <w:t xml:space="preserve"> </w:t>
      </w:r>
      <w:r w:rsidR="000C6706">
        <w:rPr>
          <w:rFonts w:ascii="Times New Roman" w:hAnsi="Times New Roman" w:cs="Times New Roman"/>
          <w:color w:val="auto"/>
          <w:lang w:val="en-GB"/>
        </w:rPr>
        <w:t xml:space="preserve">in the way in </w:t>
      </w:r>
      <w:r w:rsidR="00A21EA5" w:rsidRPr="00A21EA5">
        <w:rPr>
          <w:rFonts w:ascii="Times New Roman" w:hAnsi="Times New Roman" w:cs="Times New Roman"/>
          <w:lang w:val="en-GB"/>
        </w:rPr>
        <w:t>which homes, civility and virtue were conceptualised in parts of the peninsula.  Then the essay turns to air and its history, a subject that is attracting increasing scholarly attention.</w:t>
      </w:r>
      <w:r w:rsidR="00BD6CAD">
        <w:rPr>
          <w:rStyle w:val="FootnoteReference"/>
          <w:rFonts w:ascii="Times New Roman" w:hAnsi="Times New Roman" w:cs="Times New Roman"/>
        </w:rPr>
        <w:footnoteReference w:id="4"/>
      </w:r>
      <w:r w:rsidR="00A21EA5" w:rsidRPr="00A21EA5">
        <w:rPr>
          <w:rFonts w:ascii="Times New Roman" w:hAnsi="Times New Roman" w:cs="Times New Roman"/>
          <w:lang w:val="en-GB"/>
        </w:rPr>
        <w:t xml:space="preserve"> </w:t>
      </w:r>
      <w:r w:rsidR="00A21EA5" w:rsidRPr="00A21EA5">
        <w:rPr>
          <w:rFonts w:ascii="Times New Roman" w:hAnsi="Times New Roman" w:cs="Times New Roman"/>
          <w:lang w:val="en-GB"/>
        </w:rPr>
        <w:t>One aspect</w:t>
      </w:r>
      <w:r w:rsidR="00D20654" w:rsidRPr="00641910">
        <w:rPr>
          <w:rFonts w:ascii="Times New Roman" w:hAnsi="Times New Roman" w:cs="Times New Roman"/>
          <w:color w:val="auto"/>
          <w:lang w:val="en-GB"/>
        </w:rPr>
        <w:t xml:space="preserve"> of medical thinking that had a particular impact upon the construction of the home environment was </w:t>
      </w:r>
      <w:r w:rsidR="00E94C1F">
        <w:rPr>
          <w:rFonts w:ascii="Times New Roman" w:hAnsi="Times New Roman" w:cs="Times New Roman"/>
          <w:color w:val="auto"/>
          <w:lang w:val="en-GB"/>
        </w:rPr>
        <w:t xml:space="preserve">in fact </w:t>
      </w:r>
      <w:r w:rsidR="00D20654" w:rsidRPr="00641910">
        <w:rPr>
          <w:rFonts w:ascii="Times New Roman" w:hAnsi="Times New Roman" w:cs="Times New Roman"/>
          <w:color w:val="auto"/>
          <w:lang w:val="en-GB"/>
        </w:rPr>
        <w:t>the way in which air was conceived. In the conceptual framework of ancient medicine embraced by Renaissance culture the air one breathed was one of the six Non</w:t>
      </w:r>
      <w:r w:rsidR="006F1A1A">
        <w:rPr>
          <w:rFonts w:ascii="Times New Roman" w:hAnsi="Times New Roman" w:cs="Times New Roman"/>
          <w:color w:val="auto"/>
          <w:lang w:val="en-GB"/>
        </w:rPr>
        <w:t>-</w:t>
      </w:r>
      <w:r w:rsidR="00D20654" w:rsidRPr="00641910">
        <w:rPr>
          <w:rFonts w:ascii="Times New Roman" w:hAnsi="Times New Roman" w:cs="Times New Roman"/>
          <w:color w:val="auto"/>
          <w:lang w:val="en-GB"/>
        </w:rPr>
        <w:t>Natural things that exercise a major influence upon one’s health. Scholarly attention</w:t>
      </w:r>
      <w:r w:rsidR="00DD55B2">
        <w:rPr>
          <w:rFonts w:ascii="Times New Roman" w:hAnsi="Times New Roman" w:cs="Times New Roman"/>
          <w:color w:val="auto"/>
          <w:lang w:val="en-GB"/>
        </w:rPr>
        <w:t>, however,</w:t>
      </w:r>
      <w:r w:rsidR="00D20654" w:rsidRPr="00641910">
        <w:rPr>
          <w:rFonts w:ascii="Times New Roman" w:hAnsi="Times New Roman" w:cs="Times New Roman"/>
          <w:color w:val="auto"/>
          <w:lang w:val="en-GB"/>
        </w:rPr>
        <w:t xml:space="preserve"> has concentrated on notions of ‘bad air’</w:t>
      </w:r>
      <w:r w:rsidR="00DD55B2">
        <w:rPr>
          <w:rFonts w:ascii="Times New Roman" w:hAnsi="Times New Roman" w:cs="Times New Roman"/>
          <w:color w:val="auto"/>
          <w:lang w:val="en-GB"/>
        </w:rPr>
        <w:t xml:space="preserve">, neglecting the effects that ‘good air’ was also supposed to have on health. </w:t>
      </w:r>
      <w:proofErr w:type="spellStart"/>
      <w:r w:rsidR="00DD55B2">
        <w:rPr>
          <w:rFonts w:ascii="Times New Roman" w:hAnsi="Times New Roman" w:cs="Times New Roman"/>
          <w:color w:val="auto"/>
          <w:lang w:val="en-GB"/>
        </w:rPr>
        <w:t>Moeover</w:t>
      </w:r>
      <w:proofErr w:type="spellEnd"/>
      <w:r w:rsidR="00DD55B2">
        <w:rPr>
          <w:rFonts w:ascii="Times New Roman" w:hAnsi="Times New Roman" w:cs="Times New Roman"/>
          <w:color w:val="auto"/>
          <w:lang w:val="en-GB"/>
        </w:rPr>
        <w:t>, these notions</w:t>
      </w:r>
      <w:r w:rsidR="00D20654" w:rsidRPr="00641910">
        <w:rPr>
          <w:rFonts w:ascii="Times New Roman" w:hAnsi="Times New Roman" w:cs="Times New Roman"/>
          <w:color w:val="auto"/>
          <w:lang w:val="en-GB"/>
        </w:rPr>
        <w:t xml:space="preserve"> have normally been regarded as fixed, that is as immutable from classical antiquity to the demise of the </w:t>
      </w:r>
      <w:proofErr w:type="spellStart"/>
      <w:r w:rsidR="00D20654" w:rsidRPr="00641910">
        <w:rPr>
          <w:rFonts w:ascii="Times New Roman" w:hAnsi="Times New Roman" w:cs="Times New Roman"/>
          <w:color w:val="auto"/>
          <w:lang w:val="en-GB"/>
        </w:rPr>
        <w:t>humoural</w:t>
      </w:r>
      <w:proofErr w:type="spellEnd"/>
      <w:r w:rsidR="00D20654" w:rsidRPr="00641910">
        <w:rPr>
          <w:rFonts w:ascii="Times New Roman" w:hAnsi="Times New Roman" w:cs="Times New Roman"/>
          <w:color w:val="auto"/>
          <w:lang w:val="en-GB"/>
        </w:rPr>
        <w:t xml:space="preserve"> physiological paradigm.</w:t>
      </w:r>
      <w:r w:rsidR="00203419">
        <w:rPr>
          <w:rStyle w:val="FootnoteReference"/>
          <w:rFonts w:ascii="Times New Roman" w:hAnsi="Times New Roman" w:cs="Times New Roman"/>
          <w:color w:val="auto"/>
          <w:lang w:val="en-GB"/>
        </w:rPr>
        <w:t xml:space="preserve"> </w:t>
      </w:r>
      <w:r w:rsidR="00D20654" w:rsidRPr="00641910">
        <w:rPr>
          <w:rFonts w:ascii="Times New Roman" w:hAnsi="Times New Roman" w:cs="Times New Roman"/>
          <w:color w:val="auto"/>
          <w:lang w:val="en-GB"/>
        </w:rPr>
        <w:t xml:space="preserve"> In reality</w:t>
      </w:r>
      <w:r w:rsidR="00DD55B2">
        <w:rPr>
          <w:rFonts w:ascii="Times New Roman" w:hAnsi="Times New Roman" w:cs="Times New Roman"/>
          <w:color w:val="auto"/>
          <w:lang w:val="en-GB"/>
        </w:rPr>
        <w:t>, as we will see</w:t>
      </w:r>
      <w:proofErr w:type="gramStart"/>
      <w:r w:rsidR="00DD55B2">
        <w:rPr>
          <w:rFonts w:ascii="Times New Roman" w:hAnsi="Times New Roman" w:cs="Times New Roman"/>
          <w:color w:val="auto"/>
          <w:lang w:val="en-GB"/>
        </w:rPr>
        <w:t>,</w:t>
      </w:r>
      <w:r w:rsidR="00D20654" w:rsidRPr="00641910">
        <w:rPr>
          <w:rFonts w:ascii="Times New Roman" w:hAnsi="Times New Roman" w:cs="Times New Roman"/>
          <w:color w:val="auto"/>
          <w:lang w:val="en-GB"/>
        </w:rPr>
        <w:t xml:space="preserve"> </w:t>
      </w:r>
      <w:r w:rsidR="00DD55B2">
        <w:rPr>
          <w:rFonts w:ascii="Times New Roman" w:hAnsi="Times New Roman" w:cs="Times New Roman"/>
          <w:color w:val="auto"/>
          <w:lang w:val="en-GB"/>
        </w:rPr>
        <w:t xml:space="preserve"> </w:t>
      </w:r>
      <w:r w:rsidR="00D20654" w:rsidRPr="00641910">
        <w:rPr>
          <w:rFonts w:ascii="Times New Roman" w:hAnsi="Times New Roman" w:cs="Times New Roman"/>
          <w:color w:val="auto"/>
          <w:lang w:val="en-GB"/>
        </w:rPr>
        <w:t>ideas</w:t>
      </w:r>
      <w:proofErr w:type="gramEnd"/>
      <w:r w:rsidR="00D20654" w:rsidRPr="00641910">
        <w:rPr>
          <w:rFonts w:ascii="Times New Roman" w:hAnsi="Times New Roman" w:cs="Times New Roman"/>
          <w:color w:val="auto"/>
          <w:lang w:val="en-GB"/>
        </w:rPr>
        <w:t xml:space="preserve"> about air were not so stable</w:t>
      </w:r>
      <w:r w:rsidR="00D20654">
        <w:rPr>
          <w:rFonts w:ascii="Times New Roman" w:hAnsi="Times New Roman" w:cs="Times New Roman"/>
          <w:color w:val="auto"/>
          <w:lang w:val="en-GB"/>
        </w:rPr>
        <w:t>.</w:t>
      </w:r>
      <w:r w:rsidR="006E320D">
        <w:rPr>
          <w:rFonts w:ascii="Times New Roman" w:hAnsi="Times New Roman" w:cs="Times New Roman"/>
          <w:color w:val="auto"/>
          <w:lang w:val="en-GB"/>
        </w:rPr>
        <w:t xml:space="preserve"> T</w:t>
      </w:r>
      <w:r w:rsidR="006E320D" w:rsidRPr="00641910">
        <w:rPr>
          <w:rFonts w:ascii="Times New Roman" w:hAnsi="Times New Roman" w:cs="Times New Roman"/>
          <w:color w:val="auto"/>
          <w:lang w:val="en-GB"/>
        </w:rPr>
        <w:t>he diachronic analysis of vernacu</w:t>
      </w:r>
      <w:r w:rsidR="006E320D">
        <w:rPr>
          <w:rFonts w:ascii="Times New Roman" w:hAnsi="Times New Roman" w:cs="Times New Roman"/>
          <w:color w:val="auto"/>
          <w:lang w:val="en-GB"/>
        </w:rPr>
        <w:t xml:space="preserve">lar heath advice literature conducted in </w:t>
      </w:r>
      <w:r w:rsidR="006E320D" w:rsidRPr="00641910">
        <w:rPr>
          <w:rFonts w:ascii="Times New Roman" w:hAnsi="Times New Roman" w:cs="Times New Roman"/>
          <w:i/>
          <w:color w:val="auto"/>
          <w:lang w:val="en-GB"/>
        </w:rPr>
        <w:t>Healthy Living</w:t>
      </w:r>
      <w:r w:rsidR="006E320D" w:rsidRPr="00641910">
        <w:rPr>
          <w:rFonts w:ascii="Times New Roman" w:hAnsi="Times New Roman" w:cs="Times New Roman"/>
          <w:color w:val="auto"/>
          <w:lang w:val="en-GB"/>
        </w:rPr>
        <w:t xml:space="preserve"> </w:t>
      </w:r>
      <w:r w:rsidR="00DD55B2">
        <w:rPr>
          <w:rFonts w:ascii="Times New Roman" w:hAnsi="Times New Roman" w:cs="Times New Roman"/>
          <w:color w:val="auto"/>
          <w:lang w:val="en-GB"/>
        </w:rPr>
        <w:t xml:space="preserve">has already </w:t>
      </w:r>
      <w:r w:rsidR="006E320D">
        <w:rPr>
          <w:rFonts w:ascii="Times New Roman" w:hAnsi="Times New Roman" w:cs="Times New Roman"/>
          <w:color w:val="auto"/>
          <w:lang w:val="en-GB"/>
        </w:rPr>
        <w:t>revealed</w:t>
      </w:r>
      <w:r w:rsidR="006E320D" w:rsidRPr="00641910">
        <w:rPr>
          <w:rFonts w:ascii="Times New Roman" w:hAnsi="Times New Roman" w:cs="Times New Roman"/>
          <w:color w:val="auto"/>
          <w:lang w:val="en-GB"/>
        </w:rPr>
        <w:t xml:space="preserve"> that </w:t>
      </w:r>
      <w:r w:rsidR="006E320D" w:rsidRPr="00641910">
        <w:rPr>
          <w:rFonts w:ascii="Times New Roman" w:eastAsiaTheme="minorHAnsi" w:hAnsi="Times New Roman" w:cs="Times New Roman"/>
          <w:color w:val="auto"/>
          <w:lang w:val="en-GB" w:eastAsia="en-US"/>
        </w:rPr>
        <w:t>air acquire</w:t>
      </w:r>
      <w:r w:rsidR="006E320D">
        <w:rPr>
          <w:rFonts w:ascii="Times New Roman" w:eastAsiaTheme="minorHAnsi" w:hAnsi="Times New Roman" w:cs="Times New Roman"/>
          <w:color w:val="auto"/>
          <w:lang w:val="en-GB" w:eastAsia="en-US"/>
        </w:rPr>
        <w:t>d</w:t>
      </w:r>
      <w:r w:rsidR="006E320D" w:rsidRPr="00641910">
        <w:rPr>
          <w:rFonts w:ascii="Times New Roman" w:eastAsiaTheme="minorHAnsi" w:hAnsi="Times New Roman" w:cs="Times New Roman"/>
          <w:color w:val="auto"/>
          <w:lang w:val="en-GB" w:eastAsia="en-US"/>
        </w:rPr>
        <w:t xml:space="preserve"> new importance in sixteenth-century Italian he</w:t>
      </w:r>
      <w:r w:rsidR="006E320D">
        <w:rPr>
          <w:rFonts w:ascii="Times New Roman" w:eastAsiaTheme="minorHAnsi" w:hAnsi="Times New Roman" w:cs="Times New Roman"/>
          <w:color w:val="auto"/>
          <w:lang w:val="en-GB" w:eastAsia="en-US"/>
        </w:rPr>
        <w:t xml:space="preserve">alth culture; moreover, </w:t>
      </w:r>
      <w:r w:rsidR="00E94C1F">
        <w:rPr>
          <w:rFonts w:ascii="Times New Roman" w:eastAsiaTheme="minorHAnsi" w:hAnsi="Times New Roman" w:cs="Times New Roman"/>
          <w:color w:val="auto"/>
          <w:lang w:val="en-GB" w:eastAsia="en-US"/>
        </w:rPr>
        <w:t>the book</w:t>
      </w:r>
      <w:r w:rsidR="006E320D">
        <w:rPr>
          <w:rFonts w:ascii="Times New Roman" w:eastAsiaTheme="minorHAnsi" w:hAnsi="Times New Roman" w:cs="Times New Roman"/>
          <w:color w:val="auto"/>
          <w:lang w:val="en-GB" w:eastAsia="en-US"/>
        </w:rPr>
        <w:t xml:space="preserve"> signalled a number of subtle changes </w:t>
      </w:r>
      <w:r w:rsidR="006E320D" w:rsidRPr="00641910">
        <w:rPr>
          <w:rFonts w:ascii="Times New Roman" w:eastAsiaTheme="minorHAnsi" w:hAnsi="Times New Roman" w:cs="Times New Roman"/>
          <w:color w:val="auto"/>
          <w:lang w:val="en-GB" w:eastAsia="en-US"/>
        </w:rPr>
        <w:t xml:space="preserve">in the way in which harmful air was conceptualised. </w:t>
      </w:r>
      <w:r w:rsidR="00DD55B2">
        <w:rPr>
          <w:rFonts w:ascii="Times New Roman" w:eastAsiaTheme="minorHAnsi" w:hAnsi="Times New Roman" w:cs="Times New Roman"/>
          <w:color w:val="auto"/>
          <w:lang w:val="en-GB" w:eastAsia="en-US"/>
        </w:rPr>
        <w:t>Shifts in</w:t>
      </w:r>
      <w:r w:rsidR="006F1A1A">
        <w:rPr>
          <w:rFonts w:ascii="Times New Roman" w:eastAsiaTheme="minorHAnsi" w:hAnsi="Times New Roman" w:cs="Times New Roman"/>
          <w:color w:val="auto"/>
          <w:lang w:val="en-GB" w:eastAsia="en-US"/>
        </w:rPr>
        <w:t xml:space="preserve"> early modern understandings of air </w:t>
      </w:r>
      <w:r w:rsidR="00DD55B2">
        <w:rPr>
          <w:rFonts w:ascii="Times New Roman" w:eastAsiaTheme="minorHAnsi" w:hAnsi="Times New Roman" w:cs="Times New Roman"/>
          <w:color w:val="auto"/>
          <w:lang w:val="en-GB" w:eastAsia="en-US"/>
        </w:rPr>
        <w:t>deserve</w:t>
      </w:r>
      <w:r w:rsidR="00DA6BF5">
        <w:rPr>
          <w:rFonts w:ascii="Times New Roman" w:eastAsiaTheme="minorHAnsi" w:hAnsi="Times New Roman" w:cs="Times New Roman"/>
          <w:color w:val="auto"/>
          <w:lang w:val="en-GB" w:eastAsia="en-US"/>
        </w:rPr>
        <w:t xml:space="preserve"> however further attention. D</w:t>
      </w:r>
      <w:r w:rsidR="006E320D">
        <w:rPr>
          <w:rFonts w:ascii="Times New Roman" w:eastAsiaTheme="minorHAnsi" w:hAnsi="Times New Roman" w:cs="Times New Roman"/>
          <w:color w:val="auto"/>
          <w:lang w:val="en-GB" w:eastAsia="en-US"/>
        </w:rPr>
        <w:t>rawing on new research</w:t>
      </w:r>
      <w:r w:rsidR="00DA6BF5">
        <w:rPr>
          <w:rFonts w:ascii="Times New Roman" w:eastAsiaTheme="minorHAnsi" w:hAnsi="Times New Roman" w:cs="Times New Roman"/>
          <w:color w:val="auto"/>
          <w:lang w:val="en-GB" w:eastAsia="en-US"/>
        </w:rPr>
        <w:t xml:space="preserve"> this essay</w:t>
      </w:r>
      <w:r w:rsidR="006E320D">
        <w:rPr>
          <w:rFonts w:ascii="Times New Roman" w:eastAsiaTheme="minorHAnsi" w:hAnsi="Times New Roman" w:cs="Times New Roman"/>
          <w:color w:val="auto"/>
          <w:lang w:val="en-GB" w:eastAsia="en-US"/>
        </w:rPr>
        <w:t xml:space="preserve"> explore</w:t>
      </w:r>
      <w:r w:rsidR="002B7730">
        <w:rPr>
          <w:rFonts w:ascii="Times New Roman" w:eastAsiaTheme="minorHAnsi" w:hAnsi="Times New Roman" w:cs="Times New Roman"/>
          <w:color w:val="auto"/>
          <w:lang w:val="en-GB" w:eastAsia="en-US"/>
        </w:rPr>
        <w:t>s</w:t>
      </w:r>
      <w:r w:rsidR="00DA6BF5">
        <w:rPr>
          <w:rFonts w:ascii="Times New Roman" w:eastAsiaTheme="minorHAnsi" w:hAnsi="Times New Roman" w:cs="Times New Roman"/>
          <w:color w:val="auto"/>
          <w:lang w:val="en-GB" w:eastAsia="en-US"/>
        </w:rPr>
        <w:t xml:space="preserve"> therefore</w:t>
      </w:r>
      <w:r w:rsidR="006E320D">
        <w:rPr>
          <w:rFonts w:ascii="Times New Roman" w:eastAsiaTheme="minorHAnsi" w:hAnsi="Times New Roman" w:cs="Times New Roman"/>
          <w:color w:val="auto"/>
          <w:lang w:val="en-GB" w:eastAsia="en-US"/>
        </w:rPr>
        <w:t xml:space="preserve"> in a </w:t>
      </w:r>
      <w:r w:rsidR="00B86499">
        <w:rPr>
          <w:rFonts w:ascii="Times New Roman" w:eastAsiaTheme="minorHAnsi" w:hAnsi="Times New Roman" w:cs="Times New Roman"/>
          <w:color w:val="auto"/>
          <w:lang w:val="en-GB" w:eastAsia="en-US"/>
        </w:rPr>
        <w:t xml:space="preserve">much </w:t>
      </w:r>
      <w:r w:rsidR="006E320D">
        <w:rPr>
          <w:rFonts w:ascii="Times New Roman" w:eastAsiaTheme="minorHAnsi" w:hAnsi="Times New Roman" w:cs="Times New Roman"/>
          <w:color w:val="auto"/>
          <w:lang w:val="en-GB" w:eastAsia="en-US"/>
        </w:rPr>
        <w:t xml:space="preserve">more comprehensive way </w:t>
      </w:r>
      <w:r w:rsidR="00A21EA5" w:rsidRPr="00A21EA5">
        <w:rPr>
          <w:rFonts w:ascii="Times New Roman" w:hAnsi="Times New Roman" w:cs="Times New Roman"/>
          <w:lang w:val="en-GB"/>
        </w:rPr>
        <w:t xml:space="preserve">how and why ideas of dangerous air were re-defined over the period (section 3-5).  </w:t>
      </w:r>
      <w:r w:rsidR="00A21EA5" w:rsidRPr="00A21EA5">
        <w:rPr>
          <w:rFonts w:ascii="Times New Roman" w:hAnsi="Times New Roman" w:cs="Times New Roman"/>
          <w:color w:val="auto"/>
          <w:lang w:val="en-GB"/>
        </w:rPr>
        <w:t>Adopting</w:t>
      </w:r>
      <w:r w:rsidR="00A21EA5" w:rsidRPr="00A21EA5">
        <w:rPr>
          <w:rFonts w:ascii="Times New Roman" w:eastAsiaTheme="minorHAnsi" w:hAnsi="Times New Roman" w:cs="Times New Roman"/>
          <w:color w:val="auto"/>
          <w:lang w:val="en-GB" w:eastAsia="en-US"/>
        </w:rPr>
        <w:t xml:space="preserve"> the methodological approach also deployed in </w:t>
      </w:r>
      <w:r w:rsidR="00A21EA5" w:rsidRPr="00A21EA5">
        <w:rPr>
          <w:rFonts w:ascii="Times New Roman" w:eastAsiaTheme="minorHAnsi" w:hAnsi="Times New Roman" w:cs="Times New Roman"/>
          <w:i/>
          <w:color w:val="auto"/>
          <w:lang w:val="en-GB" w:eastAsia="en-US"/>
        </w:rPr>
        <w:t>Healthy Living</w:t>
      </w:r>
      <w:r w:rsidR="00A21EA5" w:rsidRPr="00A21EA5">
        <w:rPr>
          <w:rFonts w:ascii="Times New Roman" w:eastAsiaTheme="minorHAnsi" w:hAnsi="Times New Roman" w:cs="Times New Roman"/>
          <w:color w:val="auto"/>
          <w:lang w:val="en-GB" w:eastAsia="en-US"/>
        </w:rPr>
        <w:t xml:space="preserve"> the analysis </w:t>
      </w:r>
      <w:r w:rsidR="00A21EA5" w:rsidRPr="00A21EA5">
        <w:rPr>
          <w:rFonts w:ascii="Times New Roman" w:eastAsiaTheme="minorHAnsi" w:hAnsi="Times New Roman" w:cs="Times New Roman"/>
          <w:color w:val="auto"/>
          <w:lang w:val="en-GB" w:eastAsia="en-US"/>
        </w:rPr>
        <w:t xml:space="preserve">moves away from self-referential explanations, which often offer a totally segregated image of ‘medical culture’. </w:t>
      </w:r>
      <w:r w:rsidR="00A21EA5" w:rsidRPr="00A21EA5">
        <w:rPr>
          <w:rFonts w:ascii="Times New Roman" w:eastAsiaTheme="minorHAnsi" w:hAnsi="Times New Roman" w:cs="Times New Roman"/>
          <w:color w:val="auto"/>
          <w:lang w:val="en-GB" w:eastAsia="en-US"/>
        </w:rPr>
        <w:t>It considers instead the wider contexts in which specific definitions of healthy and unhealthy air emerged, paying special attention to the pervasive growth of climatologic interests in the sixteenth century.  Sections 4-5 also explore how shifting ideas about the sources of unhealthy air impacted upon the practice of residential architecture and, more generally, upon domestic forms of health management</w:t>
      </w:r>
      <w:r w:rsidR="0094033D">
        <w:rPr>
          <w:rFonts w:ascii="Times New Roman" w:eastAsiaTheme="minorHAnsi" w:hAnsi="Times New Roman" w:cs="Times New Roman"/>
          <w:color w:val="auto"/>
          <w:lang w:val="en-GB" w:eastAsia="en-US"/>
        </w:rPr>
        <w:t xml:space="preserve">, whilst sections 6 and 7 </w:t>
      </w:r>
      <w:r w:rsidR="00A21EA5" w:rsidRPr="00A21EA5">
        <w:rPr>
          <w:rFonts w:ascii="Times New Roman" w:eastAsiaTheme="minorHAnsi" w:hAnsi="Times New Roman" w:cs="Times New Roman"/>
          <w:color w:val="auto"/>
          <w:lang w:val="en-GB" w:eastAsia="en-US"/>
        </w:rPr>
        <w:t>consider</w:t>
      </w:r>
      <w:r w:rsidR="00B86499">
        <w:rPr>
          <w:rFonts w:ascii="Times New Roman" w:eastAsiaTheme="minorHAnsi" w:hAnsi="Times New Roman" w:cs="Times New Roman"/>
          <w:color w:val="auto"/>
          <w:lang w:val="en-GB" w:eastAsia="en-US"/>
        </w:rPr>
        <w:t xml:space="preserve"> in particular </w:t>
      </w:r>
      <w:r w:rsidR="00FD446F" w:rsidRPr="00641910">
        <w:rPr>
          <w:rFonts w:ascii="Times New Roman" w:eastAsiaTheme="minorHAnsi" w:hAnsi="Times New Roman" w:cs="Times New Roman"/>
          <w:color w:val="auto"/>
          <w:lang w:val="en-GB" w:eastAsia="en-US"/>
        </w:rPr>
        <w:t xml:space="preserve">the changing purposes of the use of scent in the home </w:t>
      </w:r>
      <w:r w:rsidR="00614AA4">
        <w:rPr>
          <w:rFonts w:ascii="Times New Roman" w:eastAsiaTheme="minorHAnsi" w:hAnsi="Times New Roman" w:cs="Times New Roman"/>
          <w:color w:val="auto"/>
          <w:lang w:val="en-GB" w:eastAsia="en-US"/>
        </w:rPr>
        <w:t xml:space="preserve"> </w:t>
      </w:r>
      <w:r w:rsidR="00FD446F" w:rsidRPr="00641910">
        <w:rPr>
          <w:rFonts w:ascii="Times New Roman" w:eastAsiaTheme="minorHAnsi" w:hAnsi="Times New Roman" w:cs="Times New Roman"/>
          <w:color w:val="auto"/>
          <w:lang w:val="en-GB" w:eastAsia="en-US"/>
        </w:rPr>
        <w:t xml:space="preserve">and of its material culture. This investigation highlights among the rest </w:t>
      </w:r>
      <w:r w:rsidR="00FD446F" w:rsidRPr="00641910">
        <w:rPr>
          <w:rFonts w:ascii="Times New Roman" w:hAnsi="Times New Roman" w:cs="Times New Roman"/>
          <w:color w:val="auto"/>
          <w:lang w:val="en-GB"/>
        </w:rPr>
        <w:t xml:space="preserve">the stimulating rather than </w:t>
      </w:r>
      <w:r w:rsidR="00FD446F" w:rsidRPr="00641910">
        <w:rPr>
          <w:rFonts w:ascii="Times New Roman" w:hAnsi="Times New Roman" w:cs="Times New Roman"/>
          <w:color w:val="auto"/>
          <w:lang w:val="en-GB"/>
        </w:rPr>
        <w:lastRenderedPageBreak/>
        <w:t xml:space="preserve">merely protective function played by aromas, which were increasingly appreciated for their positive impact upon the senses and spiritual health. This paper will therefore suggest that definitions of ‘good air’ also </w:t>
      </w:r>
      <w:r w:rsidR="0094033D">
        <w:rPr>
          <w:rFonts w:ascii="Times New Roman" w:hAnsi="Times New Roman" w:cs="Times New Roman"/>
          <w:color w:val="auto"/>
          <w:lang w:val="en-GB"/>
        </w:rPr>
        <w:t>deserve</w:t>
      </w:r>
      <w:r w:rsidR="00FD446F" w:rsidRPr="00641910">
        <w:rPr>
          <w:rFonts w:ascii="Times New Roman" w:hAnsi="Times New Roman" w:cs="Times New Roman"/>
          <w:color w:val="auto"/>
          <w:lang w:val="en-GB"/>
        </w:rPr>
        <w:t xml:space="preserve"> attention and that the emphasis on the sensorial effects of this element is one of the novelties that characterises the relationship between health and air in this period.</w:t>
      </w:r>
      <w:r w:rsidR="00FD446F" w:rsidRPr="00641910">
        <w:rPr>
          <w:rFonts w:ascii="Times New Roman" w:eastAsiaTheme="minorHAnsi" w:hAnsi="Times New Roman" w:cs="Times New Roman"/>
          <w:color w:val="auto"/>
          <w:lang w:val="en-GB" w:eastAsia="en-US"/>
        </w:rPr>
        <w:t xml:space="preserve">  </w:t>
      </w:r>
    </w:p>
    <w:p w:rsidR="00521217" w:rsidRPr="00641910" w:rsidRDefault="00521217" w:rsidP="00521217">
      <w:pPr>
        <w:pStyle w:val="Default"/>
        <w:spacing w:line="360" w:lineRule="auto"/>
        <w:jc w:val="both"/>
        <w:rPr>
          <w:rFonts w:ascii="Times New Roman" w:hAnsi="Times New Roman" w:cs="Times New Roman"/>
          <w:color w:val="auto"/>
          <w:sz w:val="22"/>
          <w:szCs w:val="22"/>
          <w:lang w:val="en-GB"/>
        </w:rPr>
      </w:pPr>
    </w:p>
    <w:p w:rsidR="00521217" w:rsidRPr="00641910" w:rsidRDefault="00521217" w:rsidP="00521217">
      <w:pPr>
        <w:pStyle w:val="Default"/>
        <w:spacing w:line="276" w:lineRule="auto"/>
        <w:jc w:val="both"/>
        <w:rPr>
          <w:rFonts w:ascii="Times New Roman" w:eastAsiaTheme="minorHAnsi" w:hAnsi="Times New Roman" w:cs="Times New Roman"/>
          <w:color w:val="auto"/>
          <w:lang w:val="en-GB" w:eastAsia="en-US"/>
        </w:rPr>
      </w:pPr>
    </w:p>
    <w:p w:rsidR="00521217" w:rsidRPr="00641910" w:rsidRDefault="007B6BDD" w:rsidP="00521217">
      <w:pPr>
        <w:pStyle w:val="ListParagraph"/>
        <w:numPr>
          <w:ilvl w:val="0"/>
          <w:numId w:val="1"/>
        </w:numPr>
        <w:jc w:val="both"/>
        <w:rPr>
          <w:rFonts w:ascii="Times New Roman" w:hAnsi="Times New Roman" w:cs="Times New Roman"/>
          <w:sz w:val="24"/>
          <w:szCs w:val="24"/>
        </w:rPr>
      </w:pPr>
      <w:r w:rsidRPr="00641910">
        <w:rPr>
          <w:rFonts w:ascii="Times New Roman" w:hAnsi="Times New Roman" w:cs="Times New Roman"/>
          <w:sz w:val="24"/>
          <w:szCs w:val="24"/>
        </w:rPr>
        <w:t xml:space="preserve">Medical advice and domestic consumerism   </w:t>
      </w:r>
    </w:p>
    <w:p w:rsidR="00521217" w:rsidRPr="00641910" w:rsidRDefault="00A21EA5" w:rsidP="00521217">
      <w:pPr>
        <w:spacing w:after="0" w:line="360" w:lineRule="auto"/>
        <w:jc w:val="both"/>
        <w:rPr>
          <w:rFonts w:ascii="Times New Roman" w:hAnsi="Times New Roman" w:cs="Times New Roman"/>
          <w:sz w:val="24"/>
          <w:szCs w:val="24"/>
          <w:lang w:eastAsia="en-GB"/>
        </w:rPr>
      </w:pPr>
      <w:r w:rsidRPr="00A21EA5">
        <w:rPr>
          <w:rFonts w:ascii="Times New Roman" w:hAnsi="Times New Roman" w:cs="Times New Roman"/>
          <w:sz w:val="24"/>
          <w:szCs w:val="24"/>
        </w:rPr>
        <w:t>As noticed elsewhere, on</w:t>
      </w:r>
      <w:r w:rsidRPr="00A21EA5">
        <w:rPr>
          <w:rFonts w:ascii="Times New Roman" w:hAnsi="Times New Roman" w:cs="Times New Roman"/>
          <w:sz w:val="24"/>
          <w:szCs w:val="24"/>
          <w:lang w:eastAsia="en-GB"/>
        </w:rPr>
        <w:t>e striking feature of the numerous guides to healthy living published by doctors or lay popularisers of medicine in sixteenth- and seventeenth-century Italy is the attention given to the material culture of the home and its role in health maintenance.</w:t>
      </w:r>
      <w:r w:rsidR="00BD1E72">
        <w:rPr>
          <w:rStyle w:val="FootnoteReference"/>
          <w:rFonts w:ascii="Times New Roman" w:hAnsi="Times New Roman" w:cs="Times New Roman"/>
          <w:sz w:val="24"/>
          <w:szCs w:val="24"/>
          <w:lang w:eastAsia="en-GB"/>
        </w:rPr>
        <w:footnoteReference w:id="5"/>
      </w:r>
      <w:r w:rsidRPr="00A21EA5">
        <w:rPr>
          <w:rFonts w:ascii="Times New Roman" w:hAnsi="Times New Roman" w:cs="Times New Roman"/>
          <w:sz w:val="24"/>
          <w:szCs w:val="24"/>
          <w:lang w:eastAsia="en-GB"/>
        </w:rPr>
        <w:t xml:space="preserve"> In </w:t>
      </w:r>
      <w:r w:rsidRPr="00A21EA5">
        <w:rPr>
          <w:rFonts w:ascii="Times New Roman" w:hAnsi="Times New Roman" w:cs="Times New Roman"/>
          <w:i/>
          <w:sz w:val="24"/>
          <w:szCs w:val="24"/>
          <w:lang w:eastAsia="en-GB"/>
        </w:rPr>
        <w:t>Healthy Living</w:t>
      </w:r>
      <w:r w:rsidRPr="00A21EA5">
        <w:rPr>
          <w:rFonts w:ascii="Times New Roman" w:hAnsi="Times New Roman" w:cs="Times New Roman"/>
          <w:sz w:val="24"/>
          <w:szCs w:val="24"/>
          <w:lang w:eastAsia="en-GB"/>
        </w:rPr>
        <w:t xml:space="preserve"> we drew attention to the numerous references, in these </w:t>
      </w:r>
      <w:proofErr w:type="gramStart"/>
      <w:r w:rsidRPr="00A21EA5">
        <w:rPr>
          <w:rFonts w:ascii="Times New Roman" w:hAnsi="Times New Roman" w:cs="Times New Roman"/>
          <w:sz w:val="24"/>
          <w:szCs w:val="24"/>
          <w:lang w:eastAsia="en-GB"/>
        </w:rPr>
        <w:t>cheap,</w:t>
      </w:r>
      <w:proofErr w:type="gramEnd"/>
      <w:r w:rsidRPr="00A21EA5">
        <w:rPr>
          <w:rFonts w:ascii="Times New Roman" w:hAnsi="Times New Roman" w:cs="Times New Roman"/>
          <w:sz w:val="24"/>
          <w:szCs w:val="24"/>
          <w:lang w:eastAsia="en-GB"/>
        </w:rPr>
        <w:t xml:space="preserve"> and often pocket-size vernacular regimens, to the health value of specific household objects which we do in fact find increasingly populating Italian households. However, these texts merit further attention since they are concerned with all aspects of the physicality of household objects. Hence they recommend the use of </w:t>
      </w:r>
      <w:proofErr w:type="gramStart"/>
      <w:r w:rsidRPr="00A21EA5">
        <w:rPr>
          <w:rFonts w:ascii="Times New Roman" w:hAnsi="Times New Roman" w:cs="Times New Roman"/>
          <w:sz w:val="24"/>
          <w:szCs w:val="24"/>
          <w:lang w:eastAsia="en-GB"/>
        </w:rPr>
        <w:t>certain  colours</w:t>
      </w:r>
      <w:proofErr w:type="gramEnd"/>
      <w:r w:rsidRPr="00A21EA5">
        <w:rPr>
          <w:rFonts w:ascii="Times New Roman" w:hAnsi="Times New Roman" w:cs="Times New Roman"/>
          <w:sz w:val="24"/>
          <w:szCs w:val="24"/>
          <w:lang w:eastAsia="en-GB"/>
        </w:rPr>
        <w:t xml:space="preserve"> in furnishings</w:t>
      </w:r>
      <w:r w:rsidR="00BF4772">
        <w:rPr>
          <w:rFonts w:ascii="Times New Roman" w:hAnsi="Times New Roman" w:cs="Times New Roman"/>
          <w:sz w:val="24"/>
          <w:szCs w:val="24"/>
          <w:lang w:eastAsia="en-GB"/>
        </w:rPr>
        <w:t xml:space="preserve">, which </w:t>
      </w:r>
      <w:r w:rsidR="00521217" w:rsidRPr="00641910">
        <w:rPr>
          <w:rFonts w:ascii="Times New Roman" w:hAnsi="Times New Roman" w:cs="Times New Roman"/>
          <w:sz w:val="24"/>
          <w:szCs w:val="24"/>
          <w:lang w:eastAsia="en-GB"/>
        </w:rPr>
        <w:t>are evidently deemed to have a positive effect o</w:t>
      </w:r>
      <w:r w:rsidR="003D72F9" w:rsidRPr="00641910">
        <w:rPr>
          <w:rFonts w:ascii="Times New Roman" w:hAnsi="Times New Roman" w:cs="Times New Roman"/>
          <w:sz w:val="24"/>
          <w:szCs w:val="24"/>
          <w:lang w:eastAsia="en-GB"/>
        </w:rPr>
        <w:t>n</w:t>
      </w:r>
      <w:r w:rsidR="00521217" w:rsidRPr="00641910">
        <w:rPr>
          <w:rFonts w:ascii="Times New Roman" w:hAnsi="Times New Roman" w:cs="Times New Roman"/>
          <w:sz w:val="24"/>
          <w:szCs w:val="24"/>
          <w:lang w:eastAsia="en-GB"/>
        </w:rPr>
        <w:t xml:space="preserve"> health: hence interiors in which green, purple and </w:t>
      </w:r>
      <w:r w:rsidR="00473E04" w:rsidRPr="00641910">
        <w:rPr>
          <w:rFonts w:ascii="Times New Roman" w:hAnsi="Times New Roman" w:cs="Times New Roman"/>
          <w:sz w:val="24"/>
          <w:szCs w:val="24"/>
          <w:lang w:eastAsia="en-GB"/>
        </w:rPr>
        <w:t xml:space="preserve">median </w:t>
      </w:r>
      <w:r w:rsidR="00521217" w:rsidRPr="00641910">
        <w:rPr>
          <w:rFonts w:ascii="Times New Roman" w:hAnsi="Times New Roman" w:cs="Times New Roman"/>
          <w:sz w:val="24"/>
          <w:szCs w:val="24"/>
          <w:lang w:eastAsia="en-GB"/>
        </w:rPr>
        <w:t>colours (</w:t>
      </w:r>
      <w:proofErr w:type="spellStart"/>
      <w:r w:rsidR="00521217" w:rsidRPr="00641910">
        <w:rPr>
          <w:rFonts w:ascii="Times New Roman" w:hAnsi="Times New Roman" w:cs="Times New Roman"/>
          <w:i/>
          <w:sz w:val="24"/>
          <w:szCs w:val="24"/>
          <w:lang w:eastAsia="en-GB"/>
        </w:rPr>
        <w:t>colori</w:t>
      </w:r>
      <w:proofErr w:type="spellEnd"/>
      <w:r w:rsidR="00521217" w:rsidRPr="00641910">
        <w:rPr>
          <w:rFonts w:ascii="Times New Roman" w:hAnsi="Times New Roman" w:cs="Times New Roman"/>
          <w:i/>
          <w:sz w:val="24"/>
          <w:szCs w:val="24"/>
          <w:lang w:eastAsia="en-GB"/>
        </w:rPr>
        <w:t xml:space="preserve"> </w:t>
      </w:r>
      <w:proofErr w:type="spellStart"/>
      <w:r w:rsidR="00521217" w:rsidRPr="00641910">
        <w:rPr>
          <w:rFonts w:ascii="Times New Roman" w:hAnsi="Times New Roman" w:cs="Times New Roman"/>
          <w:i/>
          <w:sz w:val="24"/>
          <w:szCs w:val="24"/>
          <w:lang w:eastAsia="en-GB"/>
        </w:rPr>
        <w:t>mezzani</w:t>
      </w:r>
      <w:proofErr w:type="spellEnd"/>
      <w:r w:rsidR="00521217" w:rsidRPr="00641910">
        <w:rPr>
          <w:rFonts w:ascii="Times New Roman" w:hAnsi="Times New Roman" w:cs="Times New Roman"/>
          <w:sz w:val="24"/>
          <w:szCs w:val="24"/>
          <w:lang w:eastAsia="en-GB"/>
        </w:rPr>
        <w:t>)</w:t>
      </w:r>
      <w:r w:rsidR="00473E04" w:rsidRPr="00641910">
        <w:rPr>
          <w:rFonts w:ascii="Times New Roman" w:hAnsi="Times New Roman" w:cs="Times New Roman"/>
          <w:sz w:val="24"/>
          <w:szCs w:val="24"/>
          <w:lang w:eastAsia="en-GB"/>
        </w:rPr>
        <w:t>,</w:t>
      </w:r>
      <w:r w:rsidR="00521217" w:rsidRPr="00641910">
        <w:rPr>
          <w:rFonts w:ascii="Times New Roman" w:hAnsi="Times New Roman" w:cs="Times New Roman"/>
          <w:sz w:val="24"/>
          <w:szCs w:val="24"/>
          <w:lang w:eastAsia="en-GB"/>
        </w:rPr>
        <w:t xml:space="preserve"> with shiny, rather than opaque tones predominate, are preferable, while looking at black or white </w:t>
      </w:r>
      <w:r w:rsidR="00473E04" w:rsidRPr="00641910">
        <w:rPr>
          <w:rFonts w:ascii="Times New Roman" w:hAnsi="Times New Roman" w:cs="Times New Roman"/>
          <w:sz w:val="24"/>
          <w:szCs w:val="24"/>
          <w:lang w:eastAsia="en-GB"/>
        </w:rPr>
        <w:t>objects and surfaces</w:t>
      </w:r>
      <w:r w:rsidR="00521217" w:rsidRPr="00641910">
        <w:rPr>
          <w:rFonts w:ascii="Times New Roman" w:hAnsi="Times New Roman" w:cs="Times New Roman"/>
          <w:sz w:val="24"/>
          <w:szCs w:val="24"/>
          <w:lang w:eastAsia="en-GB"/>
        </w:rPr>
        <w:t xml:space="preserve"> greatly damages the eyes - hence whitewashed rooms are to be avoided.</w:t>
      </w:r>
      <w:r w:rsidR="00521217" w:rsidRPr="00641910">
        <w:rPr>
          <w:rStyle w:val="FootnoteReference"/>
          <w:rFonts w:ascii="Times New Roman" w:hAnsi="Times New Roman" w:cs="Times New Roman"/>
          <w:sz w:val="24"/>
          <w:szCs w:val="24"/>
          <w:lang w:eastAsia="en-GB"/>
        </w:rPr>
        <w:footnoteReference w:id="6"/>
      </w:r>
      <w:r w:rsidR="00521217" w:rsidRPr="00641910">
        <w:rPr>
          <w:rFonts w:ascii="Times New Roman" w:hAnsi="Times New Roman" w:cs="Times New Roman"/>
          <w:sz w:val="24"/>
          <w:szCs w:val="24"/>
          <w:lang w:eastAsia="en-GB"/>
        </w:rPr>
        <w:t xml:space="preserve">  Decoding the symbol-system to which doctors’ advice about colours refers is not an obvious task. As John Gage has noted, colour symbols were fluid in this period.</w:t>
      </w:r>
      <w:r w:rsidR="00521217" w:rsidRPr="00641910">
        <w:rPr>
          <w:rStyle w:val="FootnoteReference"/>
          <w:rFonts w:ascii="Times New Roman" w:hAnsi="Times New Roman" w:cs="Times New Roman"/>
          <w:sz w:val="24"/>
          <w:szCs w:val="24"/>
          <w:lang w:eastAsia="en-GB"/>
        </w:rPr>
        <w:footnoteReference w:id="7"/>
      </w:r>
      <w:r w:rsidR="00EF2F99" w:rsidRPr="00641910">
        <w:rPr>
          <w:rFonts w:ascii="Times New Roman" w:hAnsi="Times New Roman" w:cs="Times New Roman"/>
          <w:sz w:val="24"/>
          <w:szCs w:val="24"/>
          <w:lang w:eastAsia="en-GB"/>
        </w:rPr>
        <w:t xml:space="preserve"> </w:t>
      </w:r>
      <w:r w:rsidR="00521217" w:rsidRPr="00641910">
        <w:rPr>
          <w:rFonts w:ascii="Times New Roman" w:hAnsi="Times New Roman" w:cs="Times New Roman"/>
          <w:sz w:val="24"/>
          <w:szCs w:val="24"/>
          <w:lang w:eastAsia="en-GB"/>
        </w:rPr>
        <w:t>Different classifications of colours co-existed -</w:t>
      </w:r>
      <w:r w:rsidR="003D72F9" w:rsidRPr="00641910">
        <w:rPr>
          <w:rFonts w:ascii="Times New Roman" w:hAnsi="Times New Roman" w:cs="Times New Roman"/>
          <w:sz w:val="24"/>
          <w:szCs w:val="24"/>
          <w:lang w:eastAsia="en-GB"/>
        </w:rPr>
        <w:t xml:space="preserve"> </w:t>
      </w:r>
      <w:r w:rsidR="00521217" w:rsidRPr="00641910">
        <w:rPr>
          <w:rFonts w:ascii="Times New Roman" w:hAnsi="Times New Roman" w:cs="Times New Roman"/>
          <w:sz w:val="24"/>
          <w:szCs w:val="24"/>
          <w:lang w:eastAsia="en-GB"/>
        </w:rPr>
        <w:t>the heraldic one and t</w:t>
      </w:r>
      <w:r w:rsidR="00505E49" w:rsidRPr="00641910">
        <w:rPr>
          <w:rFonts w:ascii="Times New Roman" w:hAnsi="Times New Roman" w:cs="Times New Roman"/>
          <w:sz w:val="24"/>
          <w:szCs w:val="24"/>
          <w:lang w:eastAsia="en-GB"/>
        </w:rPr>
        <w:t>he liturgical one, for example</w:t>
      </w:r>
      <w:r w:rsidR="00521217" w:rsidRPr="00641910">
        <w:rPr>
          <w:rFonts w:ascii="Times New Roman" w:hAnsi="Times New Roman" w:cs="Times New Roman"/>
          <w:sz w:val="24"/>
          <w:szCs w:val="24"/>
          <w:lang w:eastAsia="en-GB"/>
        </w:rPr>
        <w:t xml:space="preserve"> -, hence the same colour may be attributed different meanings according to different traditions. The colour scheme adopted by painters and poe</w:t>
      </w:r>
      <w:r w:rsidR="00505E49" w:rsidRPr="00641910">
        <w:rPr>
          <w:rFonts w:ascii="Times New Roman" w:hAnsi="Times New Roman" w:cs="Times New Roman"/>
          <w:sz w:val="24"/>
          <w:szCs w:val="24"/>
          <w:lang w:eastAsia="en-GB"/>
        </w:rPr>
        <w:t xml:space="preserve">ts of the Italian Renaissance, </w:t>
      </w:r>
      <w:r w:rsidR="007E4EC9" w:rsidRPr="00641910">
        <w:rPr>
          <w:rFonts w:ascii="Times New Roman" w:hAnsi="Times New Roman" w:cs="Times New Roman"/>
          <w:sz w:val="24"/>
          <w:szCs w:val="24"/>
          <w:lang w:eastAsia="en-GB"/>
        </w:rPr>
        <w:t>based</w:t>
      </w:r>
      <w:r w:rsidR="00473E04" w:rsidRPr="00641910">
        <w:rPr>
          <w:rFonts w:ascii="Times New Roman" w:hAnsi="Times New Roman" w:cs="Times New Roman"/>
          <w:sz w:val="24"/>
          <w:szCs w:val="24"/>
          <w:lang w:eastAsia="en-GB"/>
        </w:rPr>
        <w:t xml:space="preserve"> </w:t>
      </w:r>
      <w:r w:rsidR="007E4EC9" w:rsidRPr="00641910">
        <w:rPr>
          <w:rFonts w:ascii="Times New Roman" w:hAnsi="Times New Roman" w:cs="Times New Roman"/>
          <w:sz w:val="24"/>
          <w:szCs w:val="24"/>
          <w:lang w:eastAsia="en-GB"/>
        </w:rPr>
        <w:t>on</w:t>
      </w:r>
      <w:r w:rsidR="00521217" w:rsidRPr="00641910">
        <w:rPr>
          <w:rFonts w:ascii="Times New Roman" w:hAnsi="Times New Roman" w:cs="Times New Roman"/>
          <w:sz w:val="24"/>
          <w:szCs w:val="24"/>
          <w:lang w:eastAsia="en-GB"/>
        </w:rPr>
        <w:t xml:space="preserve"> </w:t>
      </w:r>
      <w:r w:rsidR="007E4EC9" w:rsidRPr="00641910">
        <w:rPr>
          <w:rFonts w:ascii="Times New Roman" w:hAnsi="Times New Roman" w:cs="Times New Roman"/>
          <w:sz w:val="24"/>
          <w:szCs w:val="24"/>
          <w:lang w:eastAsia="en-GB"/>
        </w:rPr>
        <w:t xml:space="preserve">invisible correspondences </w:t>
      </w:r>
      <w:r w:rsidR="00473E04" w:rsidRPr="00641910">
        <w:rPr>
          <w:rFonts w:ascii="Times New Roman" w:hAnsi="Times New Roman" w:cs="Times New Roman"/>
          <w:sz w:val="24"/>
          <w:szCs w:val="24"/>
          <w:lang w:eastAsia="en-GB"/>
        </w:rPr>
        <w:t>between macrocosm and microcosm</w:t>
      </w:r>
      <w:r w:rsidR="00521217" w:rsidRPr="00641910">
        <w:rPr>
          <w:rFonts w:ascii="Times New Roman" w:hAnsi="Times New Roman" w:cs="Times New Roman"/>
          <w:sz w:val="24"/>
          <w:szCs w:val="24"/>
          <w:lang w:eastAsia="en-GB"/>
        </w:rPr>
        <w:t xml:space="preserve"> </w:t>
      </w:r>
      <w:r w:rsidR="007E4EC9" w:rsidRPr="00641910">
        <w:rPr>
          <w:rFonts w:ascii="Times New Roman" w:hAnsi="Times New Roman" w:cs="Times New Roman"/>
          <w:sz w:val="24"/>
          <w:szCs w:val="24"/>
          <w:lang w:eastAsia="en-GB"/>
        </w:rPr>
        <w:t>that</w:t>
      </w:r>
      <w:r w:rsidR="00A10CE0">
        <w:rPr>
          <w:rFonts w:ascii="Times New Roman" w:hAnsi="Times New Roman" w:cs="Times New Roman"/>
          <w:sz w:val="24"/>
          <w:szCs w:val="24"/>
          <w:lang w:eastAsia="en-GB"/>
        </w:rPr>
        <w:t>,</w:t>
      </w:r>
      <w:r w:rsidR="007E4EC9" w:rsidRPr="00641910">
        <w:rPr>
          <w:rFonts w:ascii="Times New Roman" w:hAnsi="Times New Roman" w:cs="Times New Roman"/>
          <w:sz w:val="24"/>
          <w:szCs w:val="24"/>
          <w:lang w:eastAsia="en-GB"/>
        </w:rPr>
        <w:t xml:space="preserve"> according to </w:t>
      </w:r>
      <w:r w:rsidR="00521217" w:rsidRPr="00641910">
        <w:rPr>
          <w:rFonts w:ascii="Times New Roman" w:hAnsi="Times New Roman" w:cs="Times New Roman"/>
          <w:sz w:val="24"/>
          <w:szCs w:val="24"/>
          <w:lang w:eastAsia="en-GB"/>
        </w:rPr>
        <w:t xml:space="preserve">classical philosophy, </w:t>
      </w:r>
      <w:r w:rsidR="007E4EC9" w:rsidRPr="00641910">
        <w:rPr>
          <w:rFonts w:ascii="Times New Roman" w:hAnsi="Times New Roman" w:cs="Times New Roman"/>
          <w:sz w:val="24"/>
          <w:szCs w:val="24"/>
          <w:lang w:eastAsia="en-GB"/>
        </w:rPr>
        <w:t>structured the natural world</w:t>
      </w:r>
      <w:r w:rsidR="007744E0" w:rsidRPr="00641910">
        <w:rPr>
          <w:rFonts w:ascii="Times New Roman" w:hAnsi="Times New Roman" w:cs="Times New Roman"/>
          <w:sz w:val="24"/>
          <w:szCs w:val="24"/>
          <w:lang w:eastAsia="en-GB"/>
        </w:rPr>
        <w:t>, is another instance</w:t>
      </w:r>
      <w:r w:rsidR="007E4EC9" w:rsidRPr="00641910">
        <w:rPr>
          <w:rFonts w:ascii="Times New Roman" w:hAnsi="Times New Roman" w:cs="Times New Roman"/>
          <w:sz w:val="24"/>
          <w:szCs w:val="24"/>
          <w:lang w:eastAsia="en-GB"/>
        </w:rPr>
        <w:t xml:space="preserve">. Reiterated in contemporary neo-Platonic writings, these </w:t>
      </w:r>
      <w:r w:rsidR="00154DFA" w:rsidRPr="00641910">
        <w:rPr>
          <w:rFonts w:ascii="Times New Roman" w:hAnsi="Times New Roman" w:cs="Times New Roman"/>
          <w:sz w:val="24"/>
          <w:szCs w:val="24"/>
          <w:lang w:eastAsia="en-GB"/>
        </w:rPr>
        <w:t xml:space="preserve">cosmic </w:t>
      </w:r>
      <w:r w:rsidR="007E4EC9" w:rsidRPr="00641910">
        <w:rPr>
          <w:rFonts w:ascii="Times New Roman" w:hAnsi="Times New Roman" w:cs="Times New Roman"/>
          <w:sz w:val="24"/>
          <w:szCs w:val="24"/>
          <w:lang w:eastAsia="en-GB"/>
        </w:rPr>
        <w:t xml:space="preserve">associations </w:t>
      </w:r>
      <w:r w:rsidR="00521217" w:rsidRPr="00641910">
        <w:rPr>
          <w:rFonts w:ascii="Times New Roman" w:hAnsi="Times New Roman" w:cs="Times New Roman"/>
          <w:sz w:val="24"/>
          <w:szCs w:val="24"/>
          <w:lang w:eastAsia="en-GB"/>
        </w:rPr>
        <w:t xml:space="preserve">seem to have been the most </w:t>
      </w:r>
      <w:r w:rsidR="00521217" w:rsidRPr="00641910">
        <w:rPr>
          <w:rFonts w:ascii="Times New Roman" w:hAnsi="Times New Roman" w:cs="Times New Roman"/>
          <w:sz w:val="24"/>
          <w:szCs w:val="24"/>
          <w:lang w:eastAsia="en-GB"/>
        </w:rPr>
        <w:lastRenderedPageBreak/>
        <w:t>significant reference for our authors.</w:t>
      </w:r>
      <w:r w:rsidR="00521217" w:rsidRPr="00641910">
        <w:rPr>
          <w:rStyle w:val="FootnoteReference"/>
          <w:rFonts w:ascii="Times New Roman" w:hAnsi="Times New Roman" w:cs="Times New Roman"/>
          <w:sz w:val="24"/>
          <w:szCs w:val="24"/>
          <w:lang w:eastAsia="en-GB"/>
        </w:rPr>
        <w:footnoteReference w:id="8"/>
      </w:r>
      <w:r w:rsidR="00521217" w:rsidRPr="00641910">
        <w:rPr>
          <w:rFonts w:ascii="Times New Roman" w:hAnsi="Times New Roman" w:cs="Times New Roman"/>
          <w:sz w:val="24"/>
          <w:szCs w:val="24"/>
          <w:lang w:eastAsia="en-GB"/>
        </w:rPr>
        <w:t xml:space="preserve"> </w:t>
      </w:r>
      <w:r w:rsidR="007E4EC9" w:rsidRPr="00641910">
        <w:rPr>
          <w:rFonts w:ascii="Times New Roman" w:hAnsi="Times New Roman" w:cs="Times New Roman"/>
          <w:sz w:val="24"/>
          <w:szCs w:val="24"/>
          <w:lang w:eastAsia="en-GB"/>
        </w:rPr>
        <w:t xml:space="preserve">For example, </w:t>
      </w:r>
      <w:r w:rsidR="00521217" w:rsidRPr="00641910">
        <w:rPr>
          <w:rFonts w:ascii="Times New Roman" w:hAnsi="Times New Roman" w:cs="Times New Roman"/>
          <w:sz w:val="24"/>
          <w:szCs w:val="24"/>
          <w:lang w:eastAsia="en-GB"/>
        </w:rPr>
        <w:t xml:space="preserve">their preference for green </w:t>
      </w:r>
      <w:r w:rsidR="00A10CE0">
        <w:rPr>
          <w:rFonts w:ascii="Times New Roman" w:hAnsi="Times New Roman" w:cs="Times New Roman"/>
          <w:sz w:val="24"/>
          <w:szCs w:val="24"/>
          <w:lang w:eastAsia="en-GB"/>
        </w:rPr>
        <w:t>-</w:t>
      </w:r>
      <w:r w:rsidR="00521217" w:rsidRPr="00641910">
        <w:rPr>
          <w:rFonts w:ascii="Times New Roman" w:hAnsi="Times New Roman" w:cs="Times New Roman"/>
          <w:sz w:val="24"/>
          <w:szCs w:val="24"/>
          <w:lang w:eastAsia="en-GB"/>
        </w:rPr>
        <w:t xml:space="preserve">seen in this cultural framework to possess a cosmic force of regeneration, </w:t>
      </w:r>
      <w:r w:rsidRPr="00A21EA5">
        <w:rPr>
          <w:rFonts w:ascii="Times New Roman" w:hAnsi="Times New Roman" w:cs="Times New Roman"/>
          <w:sz w:val="24"/>
          <w:szCs w:val="24"/>
          <w:lang w:eastAsia="en-GB"/>
        </w:rPr>
        <w:t>and represent therefore a source of hope and optimism- clearly reflect our doctors’ humanist grounding</w:t>
      </w:r>
      <w:r w:rsidR="00521217" w:rsidRPr="00641910">
        <w:rPr>
          <w:rFonts w:ascii="Times New Roman" w:hAnsi="Times New Roman" w:cs="Times New Roman"/>
          <w:sz w:val="24"/>
          <w:szCs w:val="24"/>
          <w:lang w:eastAsia="en-GB"/>
        </w:rPr>
        <w:t>.  Classical theories of vision may also have played a part in their views</w:t>
      </w:r>
      <w:r w:rsidR="007E4EC9" w:rsidRPr="00641910">
        <w:rPr>
          <w:rFonts w:ascii="Times New Roman" w:hAnsi="Times New Roman" w:cs="Times New Roman"/>
          <w:sz w:val="24"/>
          <w:szCs w:val="24"/>
          <w:lang w:eastAsia="en-GB"/>
        </w:rPr>
        <w:t>, hence</w:t>
      </w:r>
      <w:r w:rsidR="00521217" w:rsidRPr="00641910">
        <w:rPr>
          <w:rFonts w:ascii="Times New Roman" w:hAnsi="Times New Roman" w:cs="Times New Roman"/>
          <w:sz w:val="24"/>
          <w:szCs w:val="24"/>
          <w:lang w:eastAsia="en-GB"/>
        </w:rPr>
        <w:t xml:space="preserve"> black and white may have been dismissed because they respectively contract and dilate the eye to an excessive degree. </w:t>
      </w:r>
    </w:p>
    <w:p w:rsidR="00521217" w:rsidRDefault="00521217" w:rsidP="00521217">
      <w:pPr>
        <w:spacing w:after="0" w:line="360" w:lineRule="auto"/>
        <w:jc w:val="both"/>
        <w:rPr>
          <w:rFonts w:ascii="Times New Roman" w:hAnsi="Times New Roman" w:cs="Times New Roman"/>
          <w:sz w:val="24"/>
          <w:szCs w:val="24"/>
          <w:lang w:eastAsia="en-GB"/>
        </w:rPr>
      </w:pPr>
      <w:r w:rsidRPr="00641910">
        <w:rPr>
          <w:rFonts w:ascii="Times New Roman" w:hAnsi="Times New Roman" w:cs="Times New Roman"/>
          <w:sz w:val="24"/>
          <w:szCs w:val="24"/>
          <w:lang w:eastAsia="en-GB"/>
        </w:rPr>
        <w:tab/>
      </w:r>
      <w:r w:rsidR="007E539B" w:rsidRPr="00641910">
        <w:rPr>
          <w:rFonts w:ascii="Times New Roman" w:hAnsi="Times New Roman" w:cs="Times New Roman"/>
          <w:sz w:val="24"/>
          <w:szCs w:val="24"/>
          <w:lang w:eastAsia="en-GB"/>
        </w:rPr>
        <w:t>At the same time,</w:t>
      </w:r>
      <w:r w:rsidR="007B6BDD" w:rsidRPr="00641910">
        <w:rPr>
          <w:rFonts w:ascii="Times New Roman" w:hAnsi="Times New Roman" w:cs="Times New Roman"/>
          <w:sz w:val="24"/>
          <w:szCs w:val="24"/>
          <w:lang w:eastAsia="en-GB"/>
        </w:rPr>
        <w:t xml:space="preserve"> the idea that colours possess healing and preservative powers, like any other element in nature, reveals the influence of natural philosophy upon </w:t>
      </w:r>
      <w:r w:rsidR="00A10CE0">
        <w:rPr>
          <w:rFonts w:ascii="Times New Roman" w:hAnsi="Times New Roman" w:cs="Times New Roman"/>
          <w:sz w:val="24"/>
          <w:szCs w:val="24"/>
          <w:lang w:eastAsia="en-GB"/>
        </w:rPr>
        <w:t xml:space="preserve">sixteenth-century </w:t>
      </w:r>
      <w:r w:rsidR="007B6BDD" w:rsidRPr="00641910">
        <w:rPr>
          <w:rFonts w:ascii="Times New Roman" w:hAnsi="Times New Roman" w:cs="Times New Roman"/>
          <w:sz w:val="24"/>
          <w:szCs w:val="24"/>
          <w:lang w:eastAsia="en-GB"/>
        </w:rPr>
        <w:t>medical culture. Not by accident books on the attributes of colours, similar to those on the qualities of plants (herbaria) or stones (</w:t>
      </w:r>
      <w:proofErr w:type="spellStart"/>
      <w:r w:rsidR="007B6BDD" w:rsidRPr="00641910">
        <w:rPr>
          <w:rFonts w:ascii="Times New Roman" w:hAnsi="Times New Roman" w:cs="Times New Roman"/>
          <w:sz w:val="24"/>
          <w:szCs w:val="24"/>
          <w:lang w:eastAsia="en-GB"/>
        </w:rPr>
        <w:t>lapidaria</w:t>
      </w:r>
      <w:proofErr w:type="spellEnd"/>
      <w:r w:rsidRPr="00641910">
        <w:rPr>
          <w:rFonts w:ascii="Times New Roman" w:hAnsi="Times New Roman" w:cs="Times New Roman"/>
          <w:sz w:val="24"/>
          <w:szCs w:val="24"/>
          <w:lang w:eastAsia="en-GB"/>
        </w:rPr>
        <w:t>), started to be published in the Renaissance; they</w:t>
      </w:r>
      <w:r w:rsidR="007E4EC9" w:rsidRPr="00641910">
        <w:rPr>
          <w:rFonts w:ascii="Times New Roman" w:hAnsi="Times New Roman" w:cs="Times New Roman"/>
          <w:sz w:val="24"/>
          <w:szCs w:val="24"/>
          <w:lang w:eastAsia="en-GB"/>
        </w:rPr>
        <w:t xml:space="preserve"> </w:t>
      </w:r>
      <w:r w:rsidRPr="00641910">
        <w:rPr>
          <w:rFonts w:ascii="Times New Roman" w:hAnsi="Times New Roman" w:cs="Times New Roman"/>
          <w:sz w:val="24"/>
          <w:szCs w:val="24"/>
          <w:lang w:eastAsia="en-GB"/>
        </w:rPr>
        <w:t xml:space="preserve">established </w:t>
      </w:r>
      <w:r w:rsidR="007E4EC9" w:rsidRPr="00641910">
        <w:rPr>
          <w:rFonts w:ascii="Times New Roman" w:hAnsi="Times New Roman" w:cs="Times New Roman"/>
          <w:sz w:val="24"/>
          <w:szCs w:val="24"/>
          <w:lang w:eastAsia="en-GB"/>
        </w:rPr>
        <w:t xml:space="preserve">chains of </w:t>
      </w:r>
      <w:r w:rsidRPr="00641910">
        <w:rPr>
          <w:rFonts w:ascii="Times New Roman" w:hAnsi="Times New Roman" w:cs="Times New Roman"/>
          <w:sz w:val="24"/>
          <w:szCs w:val="24"/>
          <w:lang w:eastAsia="en-GB"/>
        </w:rPr>
        <w:t>correspondences between colours and other natural elements, such a</w:t>
      </w:r>
      <w:r w:rsidR="00EC5E5B" w:rsidRPr="00641910">
        <w:rPr>
          <w:rFonts w:ascii="Times New Roman" w:hAnsi="Times New Roman" w:cs="Times New Roman"/>
          <w:sz w:val="24"/>
          <w:szCs w:val="24"/>
          <w:lang w:eastAsia="en-GB"/>
        </w:rPr>
        <w:t>s</w:t>
      </w:r>
      <w:r w:rsidR="00EF2F99" w:rsidRPr="00641910">
        <w:rPr>
          <w:rFonts w:ascii="Times New Roman" w:hAnsi="Times New Roman" w:cs="Times New Roman"/>
          <w:sz w:val="24"/>
          <w:szCs w:val="24"/>
          <w:lang w:eastAsia="en-GB"/>
        </w:rPr>
        <w:t xml:space="preserve"> stones, </w:t>
      </w:r>
      <w:r w:rsidRPr="00641910">
        <w:rPr>
          <w:rFonts w:ascii="Times New Roman" w:hAnsi="Times New Roman" w:cs="Times New Roman"/>
          <w:sz w:val="24"/>
          <w:szCs w:val="24"/>
          <w:lang w:eastAsia="en-GB"/>
        </w:rPr>
        <w:t>planets and signs of the zodiac. Italian authors seem to have been at the forefront of this productio</w:t>
      </w:r>
      <w:r>
        <w:rPr>
          <w:rFonts w:ascii="Times New Roman" w:hAnsi="Times New Roman" w:cs="Times New Roman"/>
          <w:sz w:val="24"/>
          <w:szCs w:val="24"/>
          <w:lang w:eastAsia="en-GB"/>
        </w:rPr>
        <w:t xml:space="preserve">n, </w:t>
      </w:r>
      <w:r w:rsidR="00EC5E5B">
        <w:rPr>
          <w:rFonts w:ascii="Times New Roman" w:hAnsi="Times New Roman" w:cs="Times New Roman"/>
          <w:sz w:val="24"/>
          <w:szCs w:val="24"/>
          <w:lang w:eastAsia="en-GB"/>
        </w:rPr>
        <w:t xml:space="preserve">both </w:t>
      </w:r>
      <w:r>
        <w:rPr>
          <w:rFonts w:ascii="Times New Roman" w:hAnsi="Times New Roman" w:cs="Times New Roman"/>
          <w:sz w:val="24"/>
          <w:szCs w:val="24"/>
          <w:lang w:eastAsia="en-GB"/>
        </w:rPr>
        <w:t>for the number of titles published and of editions and translations.</w:t>
      </w:r>
      <w:r>
        <w:rPr>
          <w:rStyle w:val="FootnoteReference"/>
          <w:rFonts w:ascii="Times New Roman" w:hAnsi="Times New Roman" w:cs="Times New Roman"/>
          <w:sz w:val="24"/>
          <w:szCs w:val="24"/>
          <w:lang w:eastAsia="en-GB"/>
        </w:rPr>
        <w:footnoteReference w:id="9"/>
      </w:r>
      <w:r>
        <w:rPr>
          <w:rFonts w:ascii="Times New Roman" w:hAnsi="Times New Roman" w:cs="Times New Roman"/>
          <w:sz w:val="24"/>
          <w:szCs w:val="24"/>
          <w:lang w:eastAsia="en-GB"/>
        </w:rPr>
        <w:t xml:space="preserve">  As well as displaying their cultural </w:t>
      </w:r>
      <w:r w:rsidR="00EC2076">
        <w:rPr>
          <w:rFonts w:ascii="Times New Roman" w:hAnsi="Times New Roman" w:cs="Times New Roman"/>
          <w:sz w:val="24"/>
          <w:szCs w:val="24"/>
          <w:lang w:eastAsia="en-GB"/>
        </w:rPr>
        <w:t>inclinations</w:t>
      </w:r>
      <w:r>
        <w:rPr>
          <w:rFonts w:ascii="Times New Roman" w:hAnsi="Times New Roman" w:cs="Times New Roman"/>
          <w:sz w:val="24"/>
          <w:szCs w:val="24"/>
          <w:lang w:eastAsia="en-GB"/>
        </w:rPr>
        <w:t xml:space="preserve">, the doctors who included colours in their health recommendations were therefore also declaring their acquaintance with what </w:t>
      </w:r>
      <w:r w:rsidR="00EC4793">
        <w:rPr>
          <w:rFonts w:ascii="Times New Roman" w:hAnsi="Times New Roman" w:cs="Times New Roman"/>
          <w:sz w:val="24"/>
          <w:szCs w:val="24"/>
          <w:lang w:eastAsia="en-GB"/>
        </w:rPr>
        <w:t xml:space="preserve">might </w:t>
      </w:r>
      <w:r>
        <w:rPr>
          <w:rFonts w:ascii="Times New Roman" w:hAnsi="Times New Roman" w:cs="Times New Roman"/>
          <w:sz w:val="24"/>
          <w:szCs w:val="24"/>
          <w:lang w:eastAsia="en-GB"/>
        </w:rPr>
        <w:t xml:space="preserve">have been a topical theme of debate and conversation </w:t>
      </w:r>
      <w:r w:rsidR="002E60A0">
        <w:rPr>
          <w:rFonts w:ascii="Times New Roman" w:hAnsi="Times New Roman" w:cs="Times New Roman"/>
          <w:sz w:val="24"/>
          <w:szCs w:val="24"/>
          <w:lang w:eastAsia="en-GB"/>
        </w:rPr>
        <w:t xml:space="preserve">for educated readers </w:t>
      </w:r>
      <w:r>
        <w:rPr>
          <w:rFonts w:ascii="Times New Roman" w:hAnsi="Times New Roman" w:cs="Times New Roman"/>
          <w:sz w:val="24"/>
          <w:szCs w:val="24"/>
          <w:lang w:eastAsia="en-GB"/>
        </w:rPr>
        <w:t xml:space="preserve">in the </w:t>
      </w:r>
      <w:r w:rsidR="002E60A0">
        <w:rPr>
          <w:rFonts w:ascii="Times New Roman" w:hAnsi="Times New Roman" w:cs="Times New Roman"/>
          <w:sz w:val="24"/>
          <w:szCs w:val="24"/>
          <w:lang w:eastAsia="en-GB"/>
        </w:rPr>
        <w:t>social</w:t>
      </w:r>
      <w:r>
        <w:rPr>
          <w:rFonts w:ascii="Times New Roman" w:hAnsi="Times New Roman" w:cs="Times New Roman"/>
          <w:sz w:val="24"/>
          <w:szCs w:val="24"/>
          <w:lang w:eastAsia="en-GB"/>
        </w:rPr>
        <w:t xml:space="preserve"> circles of sixteenth-century Italy.</w:t>
      </w:r>
      <w:r>
        <w:rPr>
          <w:rStyle w:val="FootnoteReference"/>
          <w:rFonts w:ascii="Times New Roman" w:hAnsi="Times New Roman" w:cs="Times New Roman"/>
          <w:sz w:val="24"/>
          <w:szCs w:val="24"/>
          <w:lang w:eastAsia="en-GB"/>
        </w:rPr>
        <w:footnoteReference w:id="10"/>
      </w:r>
    </w:p>
    <w:p w:rsidR="00521217" w:rsidRDefault="00521217" w:rsidP="00521217">
      <w:pPr>
        <w:spacing w:after="0" w:line="360" w:lineRule="auto"/>
        <w:jc w:val="both"/>
        <w:rPr>
          <w:rFonts w:ascii="Times New Roman" w:hAnsi="Times New Roman" w:cs="Times New Roman"/>
        </w:rPr>
      </w:pPr>
      <w:r>
        <w:rPr>
          <w:rFonts w:ascii="Times New Roman" w:hAnsi="Times New Roman" w:cs="Times New Roman"/>
          <w:sz w:val="24"/>
          <w:szCs w:val="24"/>
          <w:lang w:eastAsia="en-GB"/>
        </w:rPr>
        <w:tab/>
      </w:r>
      <w:r w:rsidR="00D76471">
        <w:rPr>
          <w:rFonts w:ascii="Times New Roman" w:hAnsi="Times New Roman" w:cs="Times New Roman"/>
          <w:sz w:val="24"/>
          <w:szCs w:val="24"/>
          <w:lang w:eastAsia="en-GB"/>
        </w:rPr>
        <w:t>Along</w:t>
      </w:r>
      <w:r w:rsidR="00EC5E5B">
        <w:rPr>
          <w:rFonts w:ascii="Times New Roman" w:hAnsi="Times New Roman" w:cs="Times New Roman"/>
          <w:sz w:val="24"/>
          <w:szCs w:val="24"/>
          <w:lang w:eastAsia="en-GB"/>
        </w:rPr>
        <w:t>side</w:t>
      </w:r>
      <w:r w:rsidR="00D76471">
        <w:rPr>
          <w:rFonts w:ascii="Times New Roman" w:hAnsi="Times New Roman" w:cs="Times New Roman"/>
          <w:sz w:val="24"/>
          <w:szCs w:val="24"/>
          <w:lang w:eastAsia="en-GB"/>
        </w:rPr>
        <w:t xml:space="preserve"> these references to the occult </w:t>
      </w:r>
      <w:r w:rsidR="005B1497">
        <w:rPr>
          <w:rFonts w:ascii="Times New Roman" w:hAnsi="Times New Roman" w:cs="Times New Roman"/>
          <w:sz w:val="24"/>
          <w:szCs w:val="24"/>
          <w:lang w:eastAsia="en-GB"/>
        </w:rPr>
        <w:t>powers</w:t>
      </w:r>
      <w:r w:rsidR="00D76471">
        <w:rPr>
          <w:rFonts w:ascii="Times New Roman" w:hAnsi="Times New Roman" w:cs="Times New Roman"/>
          <w:sz w:val="24"/>
          <w:szCs w:val="24"/>
          <w:lang w:eastAsia="en-GB"/>
        </w:rPr>
        <w:t xml:space="preserve"> of natural elements the health advice literature reveals a</w:t>
      </w:r>
      <w:r w:rsidR="005B1497">
        <w:rPr>
          <w:rFonts w:ascii="Times New Roman" w:hAnsi="Times New Roman" w:cs="Times New Roman"/>
          <w:sz w:val="24"/>
          <w:szCs w:val="24"/>
          <w:lang w:eastAsia="en-GB"/>
        </w:rPr>
        <w:t xml:space="preserve"> more naturalistic </w:t>
      </w:r>
      <w:r>
        <w:rPr>
          <w:rFonts w:ascii="Times New Roman" w:hAnsi="Times New Roman" w:cs="Times New Roman"/>
          <w:sz w:val="24"/>
          <w:szCs w:val="24"/>
          <w:lang w:eastAsia="en-GB"/>
        </w:rPr>
        <w:t>awareness of the</w:t>
      </w:r>
      <w:r w:rsidR="005B1497">
        <w:rPr>
          <w:rFonts w:ascii="Times New Roman" w:hAnsi="Times New Roman" w:cs="Times New Roman"/>
          <w:sz w:val="24"/>
          <w:szCs w:val="24"/>
          <w:lang w:eastAsia="en-GB"/>
        </w:rPr>
        <w:t>ir</w:t>
      </w:r>
      <w:r>
        <w:rPr>
          <w:rFonts w:ascii="Times New Roman" w:hAnsi="Times New Roman" w:cs="Times New Roman"/>
          <w:sz w:val="24"/>
          <w:szCs w:val="24"/>
          <w:lang w:eastAsia="en-GB"/>
        </w:rPr>
        <w:t xml:space="preserve"> distinctive</w:t>
      </w:r>
      <w:r w:rsidR="005B149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properties</w:t>
      </w:r>
      <w:r w:rsidR="005B1497">
        <w:rPr>
          <w:rFonts w:ascii="Times New Roman" w:hAnsi="Times New Roman" w:cs="Times New Roman"/>
          <w:sz w:val="24"/>
          <w:szCs w:val="24"/>
          <w:lang w:eastAsia="en-GB"/>
        </w:rPr>
        <w:t xml:space="preserve">, based on observation and </w:t>
      </w:r>
      <w:r w:rsidR="00601978">
        <w:rPr>
          <w:rFonts w:ascii="Times New Roman" w:hAnsi="Times New Roman" w:cs="Times New Roman"/>
          <w:sz w:val="24"/>
          <w:szCs w:val="24"/>
          <w:lang w:eastAsia="en-GB"/>
        </w:rPr>
        <w:t xml:space="preserve">lived </w:t>
      </w:r>
      <w:r w:rsidR="005B1497">
        <w:rPr>
          <w:rFonts w:ascii="Times New Roman" w:hAnsi="Times New Roman" w:cs="Times New Roman"/>
          <w:sz w:val="24"/>
          <w:szCs w:val="24"/>
          <w:lang w:eastAsia="en-GB"/>
        </w:rPr>
        <w:t>experience.</w:t>
      </w:r>
      <w:r>
        <w:rPr>
          <w:rFonts w:ascii="Times New Roman" w:hAnsi="Times New Roman" w:cs="Times New Roman"/>
          <w:sz w:val="24"/>
          <w:szCs w:val="24"/>
          <w:lang w:eastAsia="en-GB"/>
        </w:rPr>
        <w:t xml:space="preserve"> </w:t>
      </w:r>
      <w:r w:rsidR="005B1497">
        <w:rPr>
          <w:rFonts w:ascii="Times New Roman" w:hAnsi="Times New Roman" w:cs="Times New Roman"/>
          <w:sz w:val="24"/>
          <w:szCs w:val="24"/>
          <w:lang w:eastAsia="en-GB"/>
        </w:rPr>
        <w:t xml:space="preserve">This </w:t>
      </w:r>
      <w:r>
        <w:rPr>
          <w:rFonts w:ascii="Times New Roman" w:hAnsi="Times New Roman" w:cs="Times New Roman"/>
          <w:sz w:val="24"/>
          <w:szCs w:val="24"/>
          <w:lang w:eastAsia="en-GB"/>
        </w:rPr>
        <w:t xml:space="preserve">is evident in medical authors’ </w:t>
      </w:r>
      <w:r w:rsidRPr="00A0199A">
        <w:rPr>
          <w:rFonts w:ascii="Times New Roman" w:hAnsi="Times New Roman" w:cs="Times New Roman"/>
          <w:sz w:val="24"/>
          <w:szCs w:val="24"/>
          <w:lang w:eastAsia="en-GB"/>
        </w:rPr>
        <w:t xml:space="preserve">detailed advice </w:t>
      </w:r>
      <w:r>
        <w:rPr>
          <w:rFonts w:ascii="Times New Roman" w:hAnsi="Times New Roman" w:cs="Times New Roman"/>
          <w:sz w:val="24"/>
          <w:szCs w:val="24"/>
          <w:lang w:eastAsia="en-GB"/>
        </w:rPr>
        <w:t xml:space="preserve">about which </w:t>
      </w:r>
      <w:r w:rsidRPr="00A0199A">
        <w:rPr>
          <w:rFonts w:ascii="Times New Roman" w:hAnsi="Times New Roman" w:cs="Times New Roman"/>
          <w:sz w:val="24"/>
          <w:szCs w:val="24"/>
          <w:lang w:eastAsia="en-GB"/>
        </w:rPr>
        <w:t xml:space="preserve">materials are beneficial or harmful for health: </w:t>
      </w:r>
      <w:proofErr w:type="spellStart"/>
      <w:r w:rsidRPr="00A0199A">
        <w:rPr>
          <w:rFonts w:ascii="Times New Roman" w:hAnsi="Times New Roman" w:cs="Times New Roman"/>
          <w:sz w:val="24"/>
          <w:szCs w:val="24"/>
          <w:lang w:eastAsia="en-GB"/>
        </w:rPr>
        <w:t>Ficino</w:t>
      </w:r>
      <w:proofErr w:type="spellEnd"/>
      <w:r w:rsidRPr="00A0199A">
        <w:rPr>
          <w:rFonts w:ascii="Times New Roman" w:hAnsi="Times New Roman" w:cs="Times New Roman"/>
          <w:sz w:val="24"/>
          <w:szCs w:val="24"/>
          <w:lang w:eastAsia="en-GB"/>
        </w:rPr>
        <w:t xml:space="preserve"> encourages the use of drinking vessels made of gold and silver</w:t>
      </w:r>
      <w:r w:rsidRPr="00A0199A">
        <w:rPr>
          <w:rFonts w:ascii="Times New Roman" w:hAnsi="Times New Roman" w:cs="Times New Roman"/>
          <w:sz w:val="24"/>
          <w:szCs w:val="24"/>
        </w:rPr>
        <w:t>, especially for the elderly; others discourage the use of lead or copper not properly coated with tin.</w:t>
      </w:r>
      <w:r w:rsidRPr="00A0199A">
        <w:rPr>
          <w:rStyle w:val="FootnoteReference"/>
          <w:rFonts w:ascii="Times New Roman" w:hAnsi="Times New Roman" w:cs="Times New Roman"/>
          <w:sz w:val="24"/>
          <w:szCs w:val="24"/>
        </w:rPr>
        <w:footnoteReference w:id="11"/>
      </w:r>
      <w:r w:rsidRPr="00A0199A">
        <w:rPr>
          <w:rFonts w:ascii="Times New Roman" w:hAnsi="Times New Roman" w:cs="Times New Roman"/>
          <w:sz w:val="24"/>
          <w:szCs w:val="24"/>
        </w:rPr>
        <w:t xml:space="preserve"> Authors also recommend sleeping under particular types of blankets in winter and specify what mattresses should be filled up with</w:t>
      </w:r>
      <w:r>
        <w:rPr>
          <w:rFonts w:ascii="Times New Roman" w:hAnsi="Times New Roman" w:cs="Times New Roman"/>
          <w:sz w:val="24"/>
          <w:szCs w:val="24"/>
        </w:rPr>
        <w:t xml:space="preserve">: </w:t>
      </w:r>
      <w:r w:rsidRPr="00A0199A">
        <w:rPr>
          <w:rFonts w:ascii="Times New Roman" w:hAnsi="Times New Roman" w:cs="Times New Roman"/>
          <w:sz w:val="24"/>
          <w:szCs w:val="24"/>
        </w:rPr>
        <w:t xml:space="preserve">silk fibre or wool depending on the season, while feather mattresses, used by the Germans, are to be </w:t>
      </w:r>
      <w:r w:rsidRPr="00A0199A">
        <w:rPr>
          <w:rFonts w:ascii="Times New Roman" w:hAnsi="Times New Roman" w:cs="Times New Roman"/>
          <w:sz w:val="24"/>
          <w:szCs w:val="24"/>
        </w:rPr>
        <w:lastRenderedPageBreak/>
        <w:t>avoided all together because they excessively raise the temperature of the body.</w:t>
      </w:r>
      <w:r w:rsidRPr="006F1E5A">
        <w:rPr>
          <w:rStyle w:val="FootnoteReference"/>
          <w:rFonts w:ascii="Times New Roman" w:hAnsi="Times New Roman" w:cs="Times New Roman"/>
          <w:sz w:val="24"/>
          <w:szCs w:val="24"/>
          <w:lang w:eastAsia="en-GB"/>
        </w:rPr>
        <w:footnoteReference w:id="12"/>
      </w:r>
      <w:r w:rsidRPr="00A0199A">
        <w:rPr>
          <w:rFonts w:ascii="Times New Roman" w:hAnsi="Times New Roman" w:cs="Times New Roman"/>
          <w:sz w:val="24"/>
          <w:szCs w:val="24"/>
        </w:rPr>
        <w:t xml:space="preserve"> </w:t>
      </w:r>
      <w:r>
        <w:rPr>
          <w:rFonts w:ascii="Times New Roman" w:hAnsi="Times New Roman" w:cs="Times New Roman"/>
          <w:sz w:val="24"/>
          <w:szCs w:val="24"/>
        </w:rPr>
        <w:t>T</w:t>
      </w:r>
      <w:r w:rsidRPr="00A0199A">
        <w:rPr>
          <w:rFonts w:ascii="Times New Roman" w:hAnsi="Times New Roman" w:cs="Times New Roman"/>
          <w:sz w:val="24"/>
          <w:szCs w:val="24"/>
        </w:rPr>
        <w:t xml:space="preserve">he use of wall-hangings made with thick wool was recommended </w:t>
      </w:r>
      <w:r>
        <w:rPr>
          <w:rFonts w:ascii="Times New Roman" w:hAnsi="Times New Roman" w:cs="Times New Roman"/>
          <w:sz w:val="24"/>
          <w:szCs w:val="24"/>
          <w:lang w:val="en-US"/>
        </w:rPr>
        <w:t>in</w:t>
      </w:r>
      <w:r w:rsidRPr="00A0199A">
        <w:rPr>
          <w:rFonts w:ascii="Times New Roman" w:hAnsi="Times New Roman" w:cs="Times New Roman"/>
          <w:sz w:val="24"/>
          <w:szCs w:val="24"/>
          <w:lang w:val="en-US"/>
        </w:rPr>
        <w:t xml:space="preserve"> winter</w:t>
      </w:r>
      <w:r>
        <w:rPr>
          <w:rFonts w:ascii="Times New Roman" w:hAnsi="Times New Roman" w:cs="Times New Roman"/>
          <w:sz w:val="24"/>
          <w:szCs w:val="24"/>
          <w:lang w:val="en-US"/>
        </w:rPr>
        <w:t xml:space="preserve">, since </w:t>
      </w:r>
      <w:r w:rsidRPr="00A0199A">
        <w:rPr>
          <w:rFonts w:ascii="Times New Roman" w:hAnsi="Times New Roman" w:cs="Times New Roman"/>
          <w:sz w:val="24"/>
          <w:szCs w:val="24"/>
          <w:lang w:val="en-US"/>
        </w:rPr>
        <w:t>t</w:t>
      </w:r>
      <w:r w:rsidRPr="00A0199A">
        <w:rPr>
          <w:rFonts w:ascii="Times New Roman" w:hAnsi="Times New Roman" w:cs="Times New Roman"/>
          <w:sz w:val="24"/>
          <w:szCs w:val="24"/>
        </w:rPr>
        <w:t>hey were understood to ‘draw in’ the humidity in the walls and thereby remove it from the ambient air that penetrates the lungs.</w:t>
      </w:r>
      <w:r w:rsidR="007B6BDD" w:rsidRPr="007B6BDD">
        <w:rPr>
          <w:rStyle w:val="FootnoteReference"/>
          <w:rFonts w:ascii="Times New Roman" w:hAnsi="Times New Roman" w:cs="Times New Roman"/>
          <w:sz w:val="24"/>
          <w:szCs w:val="24"/>
        </w:rPr>
        <w:footnoteReference w:id="13"/>
      </w:r>
      <w:r w:rsidRPr="00A0199A">
        <w:rPr>
          <w:rFonts w:ascii="Times New Roman" w:hAnsi="Times New Roman" w:cs="Times New Roman"/>
          <w:sz w:val="24"/>
          <w:szCs w:val="24"/>
        </w:rPr>
        <w:t xml:space="preserve"> Another agent regarded as particularly efficient against dampness was leather, probably </w:t>
      </w:r>
      <w:r w:rsidR="00EC4793">
        <w:rPr>
          <w:rFonts w:ascii="Times New Roman" w:hAnsi="Times New Roman" w:cs="Times New Roman"/>
          <w:sz w:val="24"/>
          <w:szCs w:val="24"/>
        </w:rPr>
        <w:t>by virtue</w:t>
      </w:r>
      <w:r w:rsidRPr="00A0199A">
        <w:rPr>
          <w:rFonts w:ascii="Times New Roman" w:hAnsi="Times New Roman" w:cs="Times New Roman"/>
          <w:sz w:val="24"/>
          <w:szCs w:val="24"/>
        </w:rPr>
        <w:t xml:space="preserve"> of its impermeable qualities.</w:t>
      </w:r>
      <w:r w:rsidRPr="00A0199A">
        <w:rPr>
          <w:rStyle w:val="FootnoteReference"/>
          <w:rFonts w:ascii="Times New Roman" w:hAnsi="Times New Roman" w:cs="Times New Roman"/>
          <w:sz w:val="24"/>
          <w:szCs w:val="24"/>
        </w:rPr>
        <w:footnoteReference w:id="14"/>
      </w:r>
      <w:r w:rsidRPr="00A0199A">
        <w:rPr>
          <w:rStyle w:val="FootnoteReference"/>
          <w:rFonts w:ascii="Times New Roman" w:hAnsi="Times New Roman" w:cs="Times New Roman"/>
          <w:sz w:val="24"/>
          <w:szCs w:val="24"/>
        </w:rPr>
        <w:t xml:space="preserve"> </w:t>
      </w:r>
      <w:r w:rsidRPr="00A0199A">
        <w:rPr>
          <w:rFonts w:ascii="Times New Roman" w:hAnsi="Times New Roman" w:cs="Times New Roman"/>
          <w:sz w:val="24"/>
          <w:szCs w:val="24"/>
        </w:rPr>
        <w:t xml:space="preserve">The </w:t>
      </w:r>
      <w:r>
        <w:rPr>
          <w:rFonts w:ascii="Times New Roman" w:hAnsi="Times New Roman" w:cs="Times New Roman"/>
          <w:sz w:val="24"/>
          <w:szCs w:val="24"/>
        </w:rPr>
        <w:t xml:space="preserve">emphasis on </w:t>
      </w:r>
      <w:r w:rsidRPr="00A0199A">
        <w:rPr>
          <w:rFonts w:ascii="Times New Roman" w:hAnsi="Times New Roman" w:cs="Times New Roman"/>
          <w:sz w:val="24"/>
          <w:szCs w:val="24"/>
        </w:rPr>
        <w:t>the insulating properties of leather is indeed confirmed by the extensive employment of this material in house furni</w:t>
      </w:r>
      <w:r>
        <w:rPr>
          <w:rFonts w:ascii="Times New Roman" w:hAnsi="Times New Roman" w:cs="Times New Roman"/>
          <w:sz w:val="24"/>
          <w:szCs w:val="24"/>
        </w:rPr>
        <w:t>shing,</w:t>
      </w:r>
      <w:r w:rsidRPr="00A0199A">
        <w:rPr>
          <w:rFonts w:ascii="Times New Roman" w:hAnsi="Times New Roman" w:cs="Times New Roman"/>
          <w:sz w:val="24"/>
          <w:szCs w:val="24"/>
        </w:rPr>
        <w:t xml:space="preserve"> we find that entire rooms were covered with leather panels called ‘</w:t>
      </w:r>
      <w:proofErr w:type="spellStart"/>
      <w:r w:rsidRPr="00A0199A">
        <w:rPr>
          <w:rFonts w:ascii="Times New Roman" w:hAnsi="Times New Roman" w:cs="Times New Roman"/>
          <w:sz w:val="24"/>
          <w:szCs w:val="24"/>
        </w:rPr>
        <w:t>cuori</w:t>
      </w:r>
      <w:proofErr w:type="spellEnd"/>
      <w:r w:rsidRPr="00A0199A">
        <w:rPr>
          <w:rFonts w:ascii="Times New Roman" w:hAnsi="Times New Roman" w:cs="Times New Roman"/>
          <w:sz w:val="24"/>
          <w:szCs w:val="24"/>
        </w:rPr>
        <w:t>’ (hearts),</w:t>
      </w:r>
      <w:r>
        <w:rPr>
          <w:rFonts w:ascii="Times New Roman" w:hAnsi="Times New Roman" w:cs="Times New Roman"/>
          <w:sz w:val="24"/>
          <w:szCs w:val="24"/>
        </w:rPr>
        <w:t xml:space="preserve"> </w:t>
      </w:r>
      <w:r w:rsidRPr="00A0199A">
        <w:rPr>
          <w:rFonts w:ascii="Times New Roman" w:hAnsi="Times New Roman" w:cs="Times New Roman"/>
          <w:sz w:val="24"/>
          <w:szCs w:val="24"/>
        </w:rPr>
        <w:t>as in th</w:t>
      </w:r>
      <w:r>
        <w:rPr>
          <w:rFonts w:ascii="Times New Roman" w:hAnsi="Times New Roman" w:cs="Times New Roman"/>
          <w:sz w:val="24"/>
          <w:szCs w:val="24"/>
        </w:rPr>
        <w:t>e</w:t>
      </w:r>
      <w:r w:rsidRPr="00A0199A">
        <w:rPr>
          <w:rFonts w:ascii="Times New Roman" w:hAnsi="Times New Roman" w:cs="Times New Roman"/>
          <w:sz w:val="24"/>
          <w:szCs w:val="24"/>
        </w:rPr>
        <w:t xml:space="preserve"> </w:t>
      </w:r>
      <w:r w:rsidR="007B6BDD" w:rsidRPr="007B6BDD">
        <w:rPr>
          <w:rFonts w:ascii="Times New Roman" w:hAnsi="Times New Roman" w:cs="Times New Roman"/>
          <w:sz w:val="24"/>
          <w:szCs w:val="24"/>
        </w:rPr>
        <w:t xml:space="preserve">rare example still surviving in Villa </w:t>
      </w:r>
      <w:proofErr w:type="spellStart"/>
      <w:r w:rsidR="007B6BDD" w:rsidRPr="007B6BDD">
        <w:rPr>
          <w:rFonts w:ascii="Times New Roman" w:hAnsi="Times New Roman" w:cs="Times New Roman"/>
          <w:sz w:val="24"/>
          <w:szCs w:val="24"/>
        </w:rPr>
        <w:t>Chigi</w:t>
      </w:r>
      <w:proofErr w:type="spellEnd"/>
      <w:r w:rsidR="007B6BDD" w:rsidRPr="007B6BDD">
        <w:rPr>
          <w:rFonts w:ascii="Times New Roman" w:hAnsi="Times New Roman" w:cs="Times New Roman"/>
          <w:sz w:val="24"/>
          <w:szCs w:val="24"/>
        </w:rPr>
        <w:t xml:space="preserve"> near Rome, where squared pieces of seventeenth-century embossed leather cover the walls from floor to ceiling. In summer, by contrast, medical authors of the early seventeenth century recommended the use of wall-hangings made of silk, since this material allowed some humidity to transpire and cool the ambient temperature</w:t>
      </w:r>
      <w:r>
        <w:rPr>
          <w:rFonts w:ascii="Times New Roman" w:hAnsi="Times New Roman" w:cs="Times New Roman"/>
          <w:sz w:val="24"/>
          <w:szCs w:val="24"/>
        </w:rPr>
        <w:t xml:space="preserve">, thus diminishing the damaging effects of excessive </w:t>
      </w:r>
      <w:r w:rsidRPr="00A0199A">
        <w:rPr>
          <w:rFonts w:ascii="Times New Roman" w:hAnsi="Times New Roman" w:cs="Times New Roman"/>
          <w:sz w:val="24"/>
          <w:szCs w:val="24"/>
        </w:rPr>
        <w:t>heat</w:t>
      </w:r>
      <w:r>
        <w:rPr>
          <w:rFonts w:ascii="Times New Roman" w:hAnsi="Times New Roman" w:cs="Times New Roman"/>
          <w:sz w:val="24"/>
          <w:szCs w:val="24"/>
        </w:rPr>
        <w:t>.</w:t>
      </w:r>
      <w:r w:rsidRPr="00A0199A">
        <w:rPr>
          <w:rFonts w:ascii="Times New Roman" w:hAnsi="Times New Roman" w:cs="Times New Roman"/>
          <w:sz w:val="24"/>
          <w:szCs w:val="24"/>
        </w:rPr>
        <w:t xml:space="preserve"> </w:t>
      </w:r>
    </w:p>
    <w:p w:rsidR="00521217" w:rsidRDefault="00521217" w:rsidP="00521217">
      <w:pPr>
        <w:spacing w:after="0" w:line="360" w:lineRule="auto"/>
        <w:jc w:val="both"/>
        <w:rPr>
          <w:rFonts w:ascii="Times New Roman" w:hAnsi="Times New Roman" w:cs="Times New Roman"/>
        </w:rPr>
      </w:pPr>
      <w:r>
        <w:rPr>
          <w:rFonts w:ascii="Times New Roman" w:hAnsi="Times New Roman" w:cs="Times New Roman"/>
        </w:rPr>
        <w:tab/>
      </w:r>
      <w:r w:rsidR="00A21EA5" w:rsidRPr="00A21EA5">
        <w:rPr>
          <w:rFonts w:ascii="Times New Roman" w:hAnsi="Times New Roman" w:cs="Times New Roman"/>
          <w:sz w:val="24"/>
          <w:szCs w:val="24"/>
          <w:lang w:eastAsia="en-GB"/>
        </w:rPr>
        <w:t>In encouraging specific choices related to the furnishing of the house the medical discourse was to some extent simply reiterating shared knowledge about the value for health of certain colours, materials and objects, since many readers of regimen participated in the same classical tradition as the books’ authors</w:t>
      </w:r>
      <w:r w:rsidR="00272A42">
        <w:rPr>
          <w:rFonts w:ascii="Times New Roman" w:hAnsi="Times New Roman" w:cs="Times New Roman"/>
          <w:sz w:val="24"/>
          <w:szCs w:val="24"/>
          <w:lang w:eastAsia="en-GB"/>
        </w:rPr>
        <w:t xml:space="preserve">. </w:t>
      </w:r>
      <w:r w:rsidR="00186930">
        <w:rPr>
          <w:rFonts w:ascii="Times New Roman" w:hAnsi="Times New Roman" w:cs="Times New Roman"/>
          <w:sz w:val="24"/>
          <w:szCs w:val="24"/>
          <w:lang w:eastAsia="en-GB"/>
        </w:rPr>
        <w:t>Undoubtedly</w:t>
      </w:r>
      <w:r w:rsidR="00A10CE0">
        <w:rPr>
          <w:rFonts w:ascii="Times New Roman" w:hAnsi="Times New Roman" w:cs="Times New Roman"/>
          <w:sz w:val="24"/>
          <w:szCs w:val="24"/>
          <w:lang w:eastAsia="en-GB"/>
        </w:rPr>
        <w:t>,</w:t>
      </w:r>
      <w:r w:rsidR="00186930">
        <w:rPr>
          <w:rFonts w:ascii="Times New Roman" w:hAnsi="Times New Roman" w:cs="Times New Roman"/>
          <w:sz w:val="24"/>
          <w:szCs w:val="24"/>
          <w:lang w:eastAsia="en-GB"/>
        </w:rPr>
        <w:t xml:space="preserve"> however,</w:t>
      </w:r>
      <w:r w:rsidRPr="009B3C19">
        <w:rPr>
          <w:rFonts w:ascii="Times New Roman" w:hAnsi="Times New Roman" w:cs="Times New Roman"/>
          <w:sz w:val="24"/>
          <w:szCs w:val="24"/>
          <w:lang w:eastAsia="en-GB"/>
        </w:rPr>
        <w:t xml:space="preserve"> medical </w:t>
      </w:r>
      <w:r w:rsidR="00601978">
        <w:rPr>
          <w:rFonts w:ascii="Times New Roman" w:hAnsi="Times New Roman" w:cs="Times New Roman"/>
          <w:sz w:val="24"/>
          <w:szCs w:val="24"/>
          <w:lang w:eastAsia="en-GB"/>
        </w:rPr>
        <w:t>advice</w:t>
      </w:r>
      <w:r w:rsidR="00601978" w:rsidRPr="009B3C19">
        <w:rPr>
          <w:rFonts w:ascii="Times New Roman" w:hAnsi="Times New Roman" w:cs="Times New Roman"/>
          <w:sz w:val="24"/>
          <w:szCs w:val="24"/>
          <w:lang w:eastAsia="en-GB"/>
        </w:rPr>
        <w:t xml:space="preserve"> </w:t>
      </w:r>
      <w:r w:rsidRPr="009B3C19">
        <w:rPr>
          <w:rFonts w:ascii="Times New Roman" w:hAnsi="Times New Roman" w:cs="Times New Roman"/>
          <w:sz w:val="24"/>
          <w:szCs w:val="24"/>
          <w:lang w:eastAsia="en-GB"/>
        </w:rPr>
        <w:t>a</w:t>
      </w:r>
      <w:r w:rsidR="00614AA4">
        <w:rPr>
          <w:rFonts w:ascii="Times New Roman" w:hAnsi="Times New Roman" w:cs="Times New Roman"/>
          <w:sz w:val="24"/>
          <w:szCs w:val="24"/>
          <w:lang w:eastAsia="en-GB"/>
        </w:rPr>
        <w:t>lso</w:t>
      </w:r>
      <w:r w:rsidRPr="009B3C19">
        <w:rPr>
          <w:rFonts w:ascii="Times New Roman" w:hAnsi="Times New Roman" w:cs="Times New Roman"/>
          <w:sz w:val="24"/>
          <w:szCs w:val="24"/>
          <w:lang w:eastAsia="en-GB"/>
        </w:rPr>
        <w:t xml:space="preserve"> contributed to form and reinforce this knowledge</w:t>
      </w:r>
      <w:r>
        <w:rPr>
          <w:rFonts w:ascii="Times New Roman" w:hAnsi="Times New Roman" w:cs="Times New Roman"/>
          <w:sz w:val="24"/>
          <w:szCs w:val="24"/>
          <w:lang w:eastAsia="en-GB"/>
        </w:rPr>
        <w:t>,</w:t>
      </w:r>
      <w:r w:rsidRPr="009B3C19">
        <w:rPr>
          <w:rFonts w:ascii="Times New Roman" w:hAnsi="Times New Roman" w:cs="Times New Roman"/>
          <w:sz w:val="24"/>
          <w:szCs w:val="24"/>
          <w:lang w:eastAsia="en-GB"/>
        </w:rPr>
        <w:t xml:space="preserve"> the publishing success of the</w:t>
      </w:r>
      <w:r w:rsidR="00601978">
        <w:rPr>
          <w:rFonts w:ascii="Times New Roman" w:hAnsi="Times New Roman" w:cs="Times New Roman"/>
          <w:sz w:val="24"/>
          <w:szCs w:val="24"/>
          <w:lang w:eastAsia="en-GB"/>
        </w:rPr>
        <w:t>se texts</w:t>
      </w:r>
      <w:r w:rsidRPr="009B3C19">
        <w:rPr>
          <w:rFonts w:ascii="Times New Roman" w:hAnsi="Times New Roman" w:cs="Times New Roman"/>
          <w:sz w:val="24"/>
          <w:szCs w:val="24"/>
          <w:lang w:eastAsia="en-GB"/>
        </w:rPr>
        <w:t xml:space="preserve"> suggests that the ideas they contained had a wide circulation</w:t>
      </w:r>
      <w:r>
        <w:rPr>
          <w:rFonts w:ascii="Times New Roman" w:hAnsi="Times New Roman" w:cs="Times New Roman"/>
          <w:sz w:val="24"/>
          <w:szCs w:val="24"/>
          <w:lang w:eastAsia="en-GB"/>
        </w:rPr>
        <w:t xml:space="preserve"> </w:t>
      </w:r>
      <w:r w:rsidR="007B6BDD" w:rsidRPr="007B6BDD">
        <w:rPr>
          <w:rFonts w:ascii="Times New Roman" w:hAnsi="Times New Roman" w:cs="Times New Roman"/>
          <w:sz w:val="24"/>
          <w:szCs w:val="24"/>
          <w:lang w:eastAsia="en-GB"/>
        </w:rPr>
        <w:t>and inevitably affected consumer behaviour.</w:t>
      </w:r>
      <w:r w:rsidRPr="009B3C19">
        <w:rPr>
          <w:rFonts w:ascii="Times New Roman" w:hAnsi="Times New Roman" w:cs="Times New Roman"/>
          <w:sz w:val="24"/>
          <w:szCs w:val="24"/>
          <w:lang w:eastAsia="en-GB"/>
        </w:rPr>
        <w:t xml:space="preserve">  </w:t>
      </w:r>
    </w:p>
    <w:p w:rsidR="00521217" w:rsidRPr="00641910" w:rsidRDefault="00521217" w:rsidP="00521217">
      <w:pPr>
        <w:spacing w:after="0" w:line="360" w:lineRule="auto"/>
        <w:jc w:val="both"/>
        <w:rPr>
          <w:rFonts w:ascii="Times New Roman" w:hAnsi="Times New Roman" w:cs="Times New Roman"/>
        </w:rPr>
      </w:pPr>
      <w:r>
        <w:rPr>
          <w:rFonts w:ascii="Times New Roman" w:hAnsi="Times New Roman" w:cs="Times New Roman"/>
          <w:sz w:val="24"/>
          <w:szCs w:val="24"/>
        </w:rPr>
        <w:tab/>
      </w:r>
      <w:r w:rsidRPr="00D207D8">
        <w:rPr>
          <w:rFonts w:ascii="Times New Roman" w:hAnsi="Times New Roman" w:cs="Times New Roman"/>
          <w:sz w:val="24"/>
          <w:szCs w:val="24"/>
        </w:rPr>
        <w:t xml:space="preserve">Medical ideas might even have influenced the appearance and design of new artefacts. Indeed we find that early modern doctors are alert to the novelties in home furnishing and quick to integrate them in the discourse about healthy living.  For example, doctor </w:t>
      </w:r>
      <w:proofErr w:type="spellStart"/>
      <w:r w:rsidRPr="00D207D8">
        <w:rPr>
          <w:rFonts w:ascii="Times New Roman" w:hAnsi="Times New Roman" w:cs="Times New Roman"/>
          <w:sz w:val="24"/>
          <w:szCs w:val="24"/>
        </w:rPr>
        <w:t>Zacchia</w:t>
      </w:r>
      <w:proofErr w:type="spellEnd"/>
      <w:r w:rsidRPr="00D207D8">
        <w:rPr>
          <w:rFonts w:ascii="Times New Roman" w:hAnsi="Times New Roman" w:cs="Times New Roman"/>
          <w:sz w:val="24"/>
          <w:szCs w:val="24"/>
        </w:rPr>
        <w:t xml:space="preserve"> (1639) comments upon the benefits </w:t>
      </w:r>
      <w:r w:rsidR="007B6BDD" w:rsidRPr="007B6BDD">
        <w:rPr>
          <w:rFonts w:ascii="Times New Roman" w:hAnsi="Times New Roman" w:cs="Times New Roman"/>
          <w:sz w:val="24"/>
          <w:szCs w:val="24"/>
        </w:rPr>
        <w:t>that newly designed</w:t>
      </w:r>
      <w:r w:rsidRPr="00D207D8">
        <w:rPr>
          <w:rFonts w:ascii="Times New Roman" w:hAnsi="Times New Roman" w:cs="Times New Roman"/>
          <w:sz w:val="24"/>
          <w:szCs w:val="24"/>
        </w:rPr>
        <w:t xml:space="preserve"> reclining chairs may offer to those who are used to day rest: in this way the head will be raised, favouring digestion and it will be impossible to plunge into deep sleep – deemed to be unhealthy after meals. Doctor </w:t>
      </w:r>
      <w:proofErr w:type="spellStart"/>
      <w:r w:rsidRPr="00D207D8">
        <w:rPr>
          <w:rFonts w:ascii="Times New Roman" w:hAnsi="Times New Roman" w:cs="Times New Roman"/>
          <w:sz w:val="24"/>
          <w:szCs w:val="24"/>
        </w:rPr>
        <w:t>Frediano</w:t>
      </w:r>
      <w:proofErr w:type="spellEnd"/>
      <w:r w:rsidRPr="00D207D8">
        <w:rPr>
          <w:rFonts w:ascii="Times New Roman" w:hAnsi="Times New Roman" w:cs="Times New Roman"/>
          <w:sz w:val="24"/>
          <w:szCs w:val="24"/>
        </w:rPr>
        <w:t xml:space="preserve"> acknowledges the popularity achieved by foot-warmers, a relatively new object, and their role in protecting the extremities from severe cold, but he also warns about the dangerous consequences of an excessive and inappropriate use of these devices.</w:t>
      </w:r>
      <w:r w:rsidRPr="00D207D8">
        <w:rPr>
          <w:rStyle w:val="FootnoteReference"/>
          <w:rFonts w:ascii="Times New Roman" w:hAnsi="Times New Roman" w:cs="Times New Roman"/>
          <w:sz w:val="24"/>
          <w:szCs w:val="24"/>
          <w:lang w:eastAsia="en-GB"/>
        </w:rPr>
        <w:footnoteReference w:id="15"/>
      </w:r>
      <w:r w:rsidRPr="00D207D8">
        <w:rPr>
          <w:rStyle w:val="FootnoteReference"/>
          <w:rFonts w:ascii="Times New Roman" w:hAnsi="Times New Roman" w:cs="Times New Roman"/>
          <w:sz w:val="24"/>
          <w:szCs w:val="24"/>
          <w:lang w:eastAsia="en-GB"/>
        </w:rPr>
        <w:t xml:space="preserve"> </w:t>
      </w:r>
      <w:r w:rsidRPr="00D207D8">
        <w:rPr>
          <w:rFonts w:ascii="Times New Roman" w:hAnsi="Times New Roman" w:cs="Times New Roman"/>
          <w:sz w:val="24"/>
          <w:szCs w:val="24"/>
        </w:rPr>
        <w:t xml:space="preserve">Others go as far as recommending the introduction of exotic objects from distant countries, such as ‘the </w:t>
      </w:r>
      <w:r w:rsidRPr="00D207D8">
        <w:rPr>
          <w:rFonts w:ascii="Times New Roman" w:hAnsi="Times New Roman" w:cs="Times New Roman"/>
          <w:sz w:val="24"/>
          <w:szCs w:val="24"/>
        </w:rPr>
        <w:lastRenderedPageBreak/>
        <w:t>bed hanging from the four corners of the room ceiling, in which the Portuguese use to sleep in Brazil in summer’. This would assist in the battle against bed bugs and ensure sleepers the long and quiet rest that is regarded as crucial to a healthy life.</w:t>
      </w:r>
      <w:r w:rsidRPr="00D207D8">
        <w:rPr>
          <w:rStyle w:val="FootnoteReference"/>
          <w:rFonts w:ascii="Times New Roman" w:hAnsi="Times New Roman" w:cs="Times New Roman"/>
          <w:sz w:val="24"/>
          <w:szCs w:val="24"/>
          <w:lang w:eastAsia="en-GB"/>
        </w:rPr>
        <w:footnoteReference w:id="16"/>
      </w:r>
      <w:r w:rsidRPr="00D207D8">
        <w:rPr>
          <w:rFonts w:ascii="Times New Roman" w:hAnsi="Times New Roman" w:cs="Times New Roman"/>
          <w:sz w:val="24"/>
          <w:szCs w:val="24"/>
        </w:rPr>
        <w:t xml:space="preserve">  There are even cases of medical authors who </w:t>
      </w:r>
      <w:r w:rsidR="007B6BDD" w:rsidRPr="007B6BDD">
        <w:rPr>
          <w:rFonts w:ascii="Times New Roman" w:hAnsi="Times New Roman" w:cs="Times New Roman"/>
          <w:sz w:val="24"/>
          <w:szCs w:val="24"/>
        </w:rPr>
        <w:t>design</w:t>
      </w:r>
      <w:r w:rsidRPr="00D207D8">
        <w:rPr>
          <w:rFonts w:ascii="Times New Roman" w:hAnsi="Times New Roman" w:cs="Times New Roman"/>
          <w:sz w:val="24"/>
          <w:szCs w:val="24"/>
        </w:rPr>
        <w:t xml:space="preserve"> new objects to promote the introduction of new healthy habits.  An example is represented by the table water-heater, devised by Doctor </w:t>
      </w:r>
      <w:proofErr w:type="spellStart"/>
      <w:r w:rsidRPr="00D207D8">
        <w:rPr>
          <w:rFonts w:ascii="Times New Roman" w:hAnsi="Times New Roman" w:cs="Times New Roman"/>
          <w:sz w:val="24"/>
          <w:szCs w:val="24"/>
        </w:rPr>
        <w:t>Persio</w:t>
      </w:r>
      <w:proofErr w:type="spellEnd"/>
      <w:r w:rsidRPr="00D207D8">
        <w:rPr>
          <w:rFonts w:ascii="Times New Roman" w:hAnsi="Times New Roman" w:cs="Times New Roman"/>
          <w:sz w:val="24"/>
          <w:szCs w:val="24"/>
        </w:rPr>
        <w:t xml:space="preserve"> (1593) to encourage rejection of the fashionable cold drinking in favour of ambient-temperature drinks; another case is the teapot published by D</w:t>
      </w:r>
      <w:r w:rsidR="007258E0">
        <w:rPr>
          <w:rFonts w:ascii="Times New Roman" w:hAnsi="Times New Roman" w:cs="Times New Roman"/>
          <w:sz w:val="24"/>
          <w:szCs w:val="24"/>
        </w:rPr>
        <w:t>octo</w:t>
      </w:r>
      <w:r w:rsidRPr="00D207D8">
        <w:rPr>
          <w:rFonts w:ascii="Times New Roman" w:hAnsi="Times New Roman" w:cs="Times New Roman"/>
          <w:sz w:val="24"/>
          <w:szCs w:val="24"/>
        </w:rPr>
        <w:t xml:space="preserve">r </w:t>
      </w:r>
      <w:proofErr w:type="spellStart"/>
      <w:r w:rsidRPr="00D207D8">
        <w:rPr>
          <w:rFonts w:ascii="Times New Roman" w:hAnsi="Times New Roman" w:cs="Times New Roman"/>
          <w:sz w:val="24"/>
          <w:szCs w:val="24"/>
        </w:rPr>
        <w:t>Scacchi</w:t>
      </w:r>
      <w:proofErr w:type="spellEnd"/>
      <w:r w:rsidRPr="00D207D8">
        <w:rPr>
          <w:rFonts w:ascii="Times New Roman" w:hAnsi="Times New Roman" w:cs="Times New Roman"/>
          <w:sz w:val="24"/>
          <w:szCs w:val="24"/>
        </w:rPr>
        <w:t xml:space="preserve"> in his 1622 treatise to encourage the adoption in Italy of a highly beneficial green drink </w:t>
      </w:r>
      <w:r w:rsidRPr="00BF2C1D">
        <w:rPr>
          <w:rFonts w:ascii="Times New Roman" w:hAnsi="Times New Roman" w:cs="Times New Roman"/>
          <w:sz w:val="24"/>
          <w:szCs w:val="24"/>
        </w:rPr>
        <w:t xml:space="preserve">called </w:t>
      </w:r>
      <w:proofErr w:type="spellStart"/>
      <w:r w:rsidR="007B6BDD" w:rsidRPr="007B6BDD">
        <w:rPr>
          <w:rFonts w:ascii="Times New Roman" w:hAnsi="Times New Roman" w:cs="Times New Roman"/>
          <w:i/>
          <w:sz w:val="24"/>
          <w:szCs w:val="24"/>
        </w:rPr>
        <w:t>chià</w:t>
      </w:r>
      <w:proofErr w:type="spellEnd"/>
      <w:r w:rsidRPr="00BF2C1D">
        <w:rPr>
          <w:rFonts w:ascii="Times New Roman" w:hAnsi="Times New Roman" w:cs="Times New Roman"/>
          <w:sz w:val="24"/>
          <w:szCs w:val="24"/>
        </w:rPr>
        <w:t>,</w:t>
      </w:r>
      <w:r w:rsidRPr="00D207D8">
        <w:rPr>
          <w:rFonts w:ascii="Times New Roman" w:hAnsi="Times New Roman" w:cs="Times New Roman"/>
          <w:sz w:val="24"/>
          <w:szCs w:val="24"/>
        </w:rPr>
        <w:t xml:space="preserve"> to which he had been introduced a few years earlier by a group of Japanese </w:t>
      </w:r>
      <w:proofErr w:type="spellStart"/>
      <w:r>
        <w:rPr>
          <w:rFonts w:ascii="Times New Roman" w:hAnsi="Times New Roman" w:cs="Times New Roman"/>
          <w:sz w:val="24"/>
          <w:szCs w:val="24"/>
        </w:rPr>
        <w:t>ambas</w:t>
      </w:r>
      <w:r w:rsidRPr="00D207D8">
        <w:rPr>
          <w:rFonts w:ascii="Times New Roman" w:hAnsi="Times New Roman" w:cs="Times New Roman"/>
          <w:sz w:val="24"/>
          <w:szCs w:val="24"/>
        </w:rPr>
        <w:t>sadors</w:t>
      </w:r>
      <w:proofErr w:type="spellEnd"/>
      <w:r w:rsidRPr="00D207D8">
        <w:rPr>
          <w:rFonts w:ascii="Times New Roman" w:hAnsi="Times New Roman" w:cs="Times New Roman"/>
          <w:sz w:val="24"/>
          <w:szCs w:val="24"/>
        </w:rPr>
        <w:t xml:space="preserve"> visiting the papal court.</w:t>
      </w:r>
      <w:r w:rsidRPr="00D207D8">
        <w:rPr>
          <w:rStyle w:val="FootnoteReference"/>
          <w:rFonts w:ascii="Times New Roman" w:hAnsi="Times New Roman" w:cs="Times New Roman"/>
          <w:sz w:val="24"/>
          <w:szCs w:val="24"/>
          <w:lang w:eastAsia="en-GB"/>
        </w:rPr>
        <w:footnoteReference w:id="17"/>
      </w:r>
      <w:r w:rsidRPr="00D207D8">
        <w:rPr>
          <w:rFonts w:ascii="Times New Roman" w:hAnsi="Times New Roman" w:cs="Times New Roman"/>
          <w:sz w:val="24"/>
          <w:szCs w:val="24"/>
          <w:lang w:eastAsia="en-GB"/>
        </w:rPr>
        <w:t xml:space="preserve"> </w:t>
      </w:r>
      <w:r w:rsidRPr="00D207D8">
        <w:rPr>
          <w:rFonts w:ascii="Times New Roman" w:hAnsi="Times New Roman" w:cs="Times New Roman"/>
          <w:sz w:val="24"/>
          <w:szCs w:val="24"/>
        </w:rPr>
        <w:t xml:space="preserve">  </w:t>
      </w:r>
      <w:r>
        <w:rPr>
          <w:rFonts w:ascii="Times New Roman" w:hAnsi="Times New Roman" w:cs="Times New Roman"/>
          <w:sz w:val="24"/>
          <w:szCs w:val="24"/>
        </w:rPr>
        <w:tab/>
      </w:r>
      <w:r w:rsidRPr="009B3C19">
        <w:rPr>
          <w:rFonts w:ascii="Times New Roman" w:hAnsi="Times New Roman" w:cs="Times New Roman"/>
          <w:sz w:val="24"/>
          <w:szCs w:val="24"/>
        </w:rPr>
        <w:t>In Italy it was precisely in the sixteenth century that medicine started to intertwine with domestic consumer behaviour, favouring the acceptance</w:t>
      </w:r>
      <w:r w:rsidR="007258E0">
        <w:rPr>
          <w:rFonts w:ascii="Times New Roman" w:hAnsi="Times New Roman" w:cs="Times New Roman"/>
          <w:sz w:val="24"/>
          <w:szCs w:val="24"/>
        </w:rPr>
        <w:t xml:space="preserve"> and</w:t>
      </w:r>
      <w:r w:rsidRPr="009B3C19">
        <w:rPr>
          <w:rFonts w:ascii="Times New Roman" w:hAnsi="Times New Roman" w:cs="Times New Roman"/>
          <w:sz w:val="24"/>
          <w:szCs w:val="24"/>
        </w:rPr>
        <w:t xml:space="preserve"> </w:t>
      </w:r>
      <w:r w:rsidR="007258E0">
        <w:rPr>
          <w:rFonts w:ascii="Times New Roman" w:hAnsi="Times New Roman" w:cs="Times New Roman"/>
          <w:sz w:val="24"/>
          <w:szCs w:val="24"/>
        </w:rPr>
        <w:t>success</w:t>
      </w:r>
      <w:r w:rsidR="007258E0" w:rsidRPr="009B3C19">
        <w:rPr>
          <w:rFonts w:ascii="Times New Roman" w:hAnsi="Times New Roman" w:cs="Times New Roman"/>
          <w:sz w:val="24"/>
          <w:szCs w:val="24"/>
        </w:rPr>
        <w:t xml:space="preserve"> </w:t>
      </w:r>
      <w:r w:rsidRPr="009B3C19">
        <w:rPr>
          <w:rFonts w:ascii="Times New Roman" w:hAnsi="Times New Roman" w:cs="Times New Roman"/>
          <w:sz w:val="24"/>
          <w:szCs w:val="24"/>
        </w:rPr>
        <w:t>of some domestic objects and discourag</w:t>
      </w:r>
      <w:r w:rsidR="00272A42">
        <w:rPr>
          <w:rFonts w:ascii="Times New Roman" w:hAnsi="Times New Roman" w:cs="Times New Roman"/>
          <w:sz w:val="24"/>
          <w:szCs w:val="24"/>
        </w:rPr>
        <w:t>ing other types of fashion, such as</w:t>
      </w:r>
      <w:r w:rsidRPr="009B3C19">
        <w:rPr>
          <w:rFonts w:ascii="Times New Roman" w:hAnsi="Times New Roman" w:cs="Times New Roman"/>
          <w:sz w:val="24"/>
          <w:szCs w:val="24"/>
        </w:rPr>
        <w:t xml:space="preserve"> the use of feather mattresses, </w:t>
      </w:r>
      <w:r w:rsidR="00272A42">
        <w:rPr>
          <w:rFonts w:ascii="Times New Roman" w:hAnsi="Times New Roman" w:cs="Times New Roman"/>
          <w:sz w:val="24"/>
          <w:szCs w:val="24"/>
        </w:rPr>
        <w:t>noted above</w:t>
      </w:r>
      <w:r w:rsidRPr="009B3C19">
        <w:rPr>
          <w:rFonts w:ascii="Times New Roman" w:hAnsi="Times New Roman" w:cs="Times New Roman"/>
          <w:sz w:val="24"/>
          <w:szCs w:val="24"/>
        </w:rPr>
        <w:t xml:space="preserve">. This integration of the home in the preventative discourse </w:t>
      </w:r>
      <w:r w:rsidR="007258E0">
        <w:rPr>
          <w:rFonts w:ascii="Times New Roman" w:hAnsi="Times New Roman" w:cs="Times New Roman"/>
          <w:sz w:val="24"/>
          <w:szCs w:val="24"/>
        </w:rPr>
        <w:t>is</w:t>
      </w:r>
      <w:r w:rsidRPr="009B3C19">
        <w:rPr>
          <w:rFonts w:ascii="Times New Roman" w:hAnsi="Times New Roman" w:cs="Times New Roman"/>
          <w:sz w:val="24"/>
          <w:szCs w:val="24"/>
        </w:rPr>
        <w:t xml:space="preserve"> an early modern feature</w:t>
      </w:r>
      <w:r w:rsidR="00CF4253">
        <w:rPr>
          <w:rStyle w:val="FootnoteReference"/>
          <w:rFonts w:ascii="Times New Roman" w:hAnsi="Times New Roman" w:cs="Times New Roman"/>
          <w:lang w:eastAsia="en-GB"/>
        </w:rPr>
        <w:footnoteReference w:id="18"/>
      </w:r>
      <w:r w:rsidRPr="009B3C19">
        <w:rPr>
          <w:rFonts w:ascii="Times New Roman" w:hAnsi="Times New Roman" w:cs="Times New Roman"/>
          <w:sz w:val="24"/>
          <w:szCs w:val="24"/>
        </w:rPr>
        <w:t xml:space="preserve"> - and in the next section we will explore why this medical interest in the home environment develops precisely in this period. The first regimens to mention household objects were those by </w:t>
      </w:r>
      <w:r w:rsidRPr="00641910">
        <w:rPr>
          <w:rFonts w:ascii="Times New Roman" w:hAnsi="Times New Roman" w:cs="Times New Roman"/>
          <w:sz w:val="24"/>
          <w:szCs w:val="24"/>
        </w:rPr>
        <w:t xml:space="preserve">Savonarola and </w:t>
      </w:r>
      <w:proofErr w:type="spellStart"/>
      <w:r w:rsidRPr="00641910">
        <w:rPr>
          <w:rFonts w:ascii="Times New Roman" w:hAnsi="Times New Roman" w:cs="Times New Roman"/>
          <w:sz w:val="24"/>
          <w:szCs w:val="24"/>
        </w:rPr>
        <w:t>Ficino</w:t>
      </w:r>
      <w:proofErr w:type="spellEnd"/>
      <w:r w:rsidRPr="00641910">
        <w:rPr>
          <w:rFonts w:ascii="Times New Roman" w:hAnsi="Times New Roman" w:cs="Times New Roman"/>
          <w:sz w:val="24"/>
          <w:szCs w:val="24"/>
        </w:rPr>
        <w:t>, written in the second half of the fifteenth century but disseminated only after their appearance in print and in vernacular form in the following century.</w:t>
      </w:r>
      <w:r w:rsidRPr="00641910">
        <w:rPr>
          <w:rStyle w:val="FootnoteReference"/>
          <w:rFonts w:ascii="Times New Roman" w:hAnsi="Times New Roman" w:cs="Times New Roman"/>
          <w:sz w:val="24"/>
          <w:szCs w:val="24"/>
        </w:rPr>
        <w:footnoteReference w:id="19"/>
      </w:r>
      <w:r w:rsidRPr="00641910">
        <w:rPr>
          <w:rFonts w:ascii="Times New Roman" w:hAnsi="Times New Roman" w:cs="Times New Roman"/>
          <w:sz w:val="24"/>
          <w:szCs w:val="24"/>
        </w:rPr>
        <w:t xml:space="preserve">   Then references to the material world of the house </w:t>
      </w:r>
      <w:r w:rsidR="007258E0" w:rsidRPr="00641910">
        <w:rPr>
          <w:rFonts w:ascii="Times New Roman" w:hAnsi="Times New Roman" w:cs="Times New Roman"/>
          <w:sz w:val="24"/>
          <w:szCs w:val="24"/>
        </w:rPr>
        <w:t xml:space="preserve">and the domestic environment </w:t>
      </w:r>
      <w:r w:rsidRPr="00641910">
        <w:rPr>
          <w:rFonts w:ascii="Times New Roman" w:hAnsi="Times New Roman" w:cs="Times New Roman"/>
          <w:sz w:val="24"/>
          <w:szCs w:val="24"/>
        </w:rPr>
        <w:t xml:space="preserve">occur more frequently in subsequent healthy living guides, with </w:t>
      </w:r>
      <w:proofErr w:type="spellStart"/>
      <w:r w:rsidRPr="00641910">
        <w:rPr>
          <w:rFonts w:ascii="Times New Roman" w:hAnsi="Times New Roman" w:cs="Times New Roman"/>
          <w:sz w:val="24"/>
          <w:szCs w:val="24"/>
        </w:rPr>
        <w:t>Rangoni</w:t>
      </w:r>
      <w:proofErr w:type="spellEnd"/>
      <w:r w:rsidRPr="00641910">
        <w:rPr>
          <w:rFonts w:ascii="Times New Roman" w:hAnsi="Times New Roman" w:cs="Times New Roman"/>
          <w:sz w:val="24"/>
          <w:szCs w:val="24"/>
        </w:rPr>
        <w:t xml:space="preserve"> (1556), Durante (1586), Fonseca (1602) and </w:t>
      </w:r>
      <w:proofErr w:type="spellStart"/>
      <w:r w:rsidRPr="00641910">
        <w:rPr>
          <w:rFonts w:ascii="Times New Roman" w:hAnsi="Times New Roman" w:cs="Times New Roman"/>
          <w:sz w:val="24"/>
          <w:szCs w:val="24"/>
        </w:rPr>
        <w:t>Frediano</w:t>
      </w:r>
      <w:proofErr w:type="spellEnd"/>
      <w:r w:rsidRPr="00641910">
        <w:rPr>
          <w:rFonts w:ascii="Times New Roman" w:hAnsi="Times New Roman" w:cs="Times New Roman"/>
          <w:sz w:val="24"/>
          <w:szCs w:val="24"/>
        </w:rPr>
        <w:t xml:space="preserve"> (1650) being among the authors who show greater familiarity with objects of daily use and domestic practices.  </w:t>
      </w:r>
      <w:r w:rsidRPr="00641910">
        <w:rPr>
          <w:rFonts w:ascii="Times New Roman" w:hAnsi="Times New Roman" w:cs="Times New Roman"/>
          <w:sz w:val="24"/>
          <w:szCs w:val="24"/>
          <w:lang w:eastAsia="en-GB"/>
        </w:rPr>
        <w:t xml:space="preserve">  </w:t>
      </w:r>
    </w:p>
    <w:p w:rsidR="00521217" w:rsidRPr="00641910" w:rsidRDefault="00521217" w:rsidP="00521217">
      <w:pPr>
        <w:pStyle w:val="Default"/>
        <w:spacing w:line="360" w:lineRule="auto"/>
        <w:jc w:val="both"/>
        <w:rPr>
          <w:rFonts w:ascii="Times New Roman" w:hAnsi="Times New Roman" w:cs="Times New Roman"/>
          <w:lang w:val="en-GB" w:eastAsia="en-GB"/>
        </w:rPr>
      </w:pPr>
      <w:r w:rsidRPr="00641910">
        <w:rPr>
          <w:rFonts w:ascii="Times New Roman" w:hAnsi="Times New Roman" w:cs="Times New Roman"/>
          <w:lang w:val="en-GB"/>
        </w:rPr>
        <w:tab/>
      </w:r>
      <w:r w:rsidR="00272A42">
        <w:rPr>
          <w:rFonts w:ascii="Times New Roman" w:hAnsi="Times New Roman" w:cs="Times New Roman"/>
          <w:lang w:val="en-GB"/>
        </w:rPr>
        <w:t>The</w:t>
      </w:r>
      <w:r w:rsidRPr="00641910">
        <w:rPr>
          <w:rFonts w:ascii="Times New Roman" w:hAnsi="Times New Roman" w:cs="Times New Roman"/>
          <w:lang w:val="en-GB"/>
        </w:rPr>
        <w:t xml:space="preserve"> extension of medical expertise to home life</w:t>
      </w:r>
      <w:r w:rsidR="00530166" w:rsidRPr="00641910">
        <w:rPr>
          <w:rFonts w:ascii="Times New Roman" w:hAnsi="Times New Roman" w:cs="Times New Roman"/>
          <w:lang w:val="en-GB"/>
        </w:rPr>
        <w:t xml:space="preserve"> is also evide</w:t>
      </w:r>
      <w:r w:rsidRPr="00641910">
        <w:rPr>
          <w:rFonts w:ascii="Times New Roman" w:hAnsi="Times New Roman" w:cs="Times New Roman"/>
          <w:lang w:val="en-GB"/>
        </w:rPr>
        <w:t>n</w:t>
      </w:r>
      <w:r w:rsidR="00530166" w:rsidRPr="00641910">
        <w:rPr>
          <w:rFonts w:ascii="Times New Roman" w:hAnsi="Times New Roman" w:cs="Times New Roman"/>
          <w:lang w:val="en-GB"/>
        </w:rPr>
        <w:t>t</w:t>
      </w:r>
      <w:r w:rsidRPr="00641910">
        <w:rPr>
          <w:rFonts w:ascii="Times New Roman" w:hAnsi="Times New Roman" w:cs="Times New Roman"/>
          <w:lang w:val="en-GB"/>
        </w:rPr>
        <w:t xml:space="preserve"> </w:t>
      </w:r>
      <w:r w:rsidR="00530166" w:rsidRPr="00641910">
        <w:rPr>
          <w:rFonts w:ascii="Times New Roman" w:hAnsi="Times New Roman" w:cs="Times New Roman"/>
          <w:lang w:val="en-GB"/>
        </w:rPr>
        <w:t>in</w:t>
      </w:r>
      <w:r w:rsidRPr="00641910">
        <w:rPr>
          <w:rFonts w:ascii="Times New Roman" w:hAnsi="Times New Roman" w:cs="Times New Roman"/>
          <w:lang w:val="en-GB"/>
        </w:rPr>
        <w:t xml:space="preserve"> the presence</w:t>
      </w:r>
      <w:r w:rsidR="00530166" w:rsidRPr="00641910">
        <w:rPr>
          <w:rFonts w:ascii="Times New Roman" w:hAnsi="Times New Roman" w:cs="Times New Roman"/>
          <w:lang w:val="en-GB"/>
        </w:rPr>
        <w:t>,</w:t>
      </w:r>
      <w:r w:rsidRPr="00641910">
        <w:rPr>
          <w:rFonts w:ascii="Times New Roman" w:hAnsi="Times New Roman" w:cs="Times New Roman"/>
          <w:lang w:val="en-GB"/>
        </w:rPr>
        <w:t xml:space="preserve"> in some regimens</w:t>
      </w:r>
      <w:r w:rsidR="00530166" w:rsidRPr="00641910">
        <w:rPr>
          <w:rFonts w:ascii="Times New Roman" w:hAnsi="Times New Roman" w:cs="Times New Roman"/>
          <w:lang w:val="en-GB"/>
        </w:rPr>
        <w:t>,</w:t>
      </w:r>
      <w:r w:rsidRPr="00641910">
        <w:rPr>
          <w:rFonts w:ascii="Times New Roman" w:hAnsi="Times New Roman" w:cs="Times New Roman"/>
          <w:lang w:val="en-GB"/>
        </w:rPr>
        <w:t xml:space="preserve"> of detailed instructions about the correct performa</w:t>
      </w:r>
      <w:r w:rsidR="00272A42">
        <w:rPr>
          <w:rFonts w:ascii="Times New Roman" w:hAnsi="Times New Roman" w:cs="Times New Roman"/>
          <w:lang w:val="en-GB"/>
        </w:rPr>
        <w:t>nce of household chores that might</w:t>
      </w:r>
      <w:r w:rsidRPr="00641910">
        <w:rPr>
          <w:rFonts w:ascii="Times New Roman" w:hAnsi="Times New Roman" w:cs="Times New Roman"/>
          <w:lang w:val="en-GB"/>
        </w:rPr>
        <w:t xml:space="preserve"> contribute to create a salutary domestic environment. Doctors</w:t>
      </w:r>
      <w:r w:rsidR="00CF4253" w:rsidRPr="00641910">
        <w:rPr>
          <w:rFonts w:ascii="Times New Roman" w:hAnsi="Times New Roman" w:cs="Times New Roman"/>
          <w:lang w:val="en-GB"/>
        </w:rPr>
        <w:t>’ advic</w:t>
      </w:r>
      <w:r w:rsidRPr="00641910">
        <w:rPr>
          <w:rFonts w:ascii="Times New Roman" w:hAnsi="Times New Roman" w:cs="Times New Roman"/>
          <w:lang w:val="en-GB"/>
        </w:rPr>
        <w:t xml:space="preserve">e on how often bed sheets and personal linen should be changed and washed, and on what precautions </w:t>
      </w:r>
      <w:r w:rsidRPr="00641910">
        <w:rPr>
          <w:rFonts w:ascii="Times New Roman" w:hAnsi="Times New Roman" w:cs="Times New Roman"/>
          <w:lang w:val="en-GB"/>
        </w:rPr>
        <w:lastRenderedPageBreak/>
        <w:t>should be taken in terms of house cleaning and ventilation to keep the house free from annoying and dangerous bugs.</w:t>
      </w:r>
      <w:r w:rsidRPr="00641910">
        <w:rPr>
          <w:rStyle w:val="FootnoteReference"/>
          <w:rFonts w:ascii="Times New Roman" w:hAnsi="Times New Roman" w:cs="Times New Roman"/>
          <w:lang w:val="en-GB"/>
        </w:rPr>
        <w:footnoteReference w:id="20"/>
      </w:r>
      <w:r w:rsidRPr="00641910">
        <w:rPr>
          <w:rFonts w:ascii="Times New Roman" w:hAnsi="Times New Roman" w:cs="Times New Roman"/>
          <w:lang w:val="en-GB"/>
        </w:rPr>
        <w:t xml:space="preserve"> </w:t>
      </w:r>
      <w:r w:rsidRPr="00641910">
        <w:rPr>
          <w:rFonts w:ascii="Times New Roman" w:hAnsi="Times New Roman" w:cs="Times New Roman"/>
          <w:lang w:val="en-GB" w:eastAsia="en-GB"/>
        </w:rPr>
        <w:t>Fonseca, for example, recommends opening the windows in the morning, sweeping floors, lofts and even walls, then sprinkling water on the floor and finally shutting both the window and the door of the bedroom until night. In addition, bed frames should be smeared with strongly scented substances and equipped with mosquito nets to ward off insects.</w:t>
      </w:r>
      <w:r w:rsidRPr="00641910">
        <w:rPr>
          <w:rStyle w:val="FootnoteReference"/>
          <w:rFonts w:ascii="Times New Roman" w:hAnsi="Times New Roman" w:cs="Times New Roman"/>
          <w:lang w:eastAsia="en-GB"/>
        </w:rPr>
        <w:footnoteReference w:id="21"/>
      </w:r>
      <w:r w:rsidRPr="00641910">
        <w:rPr>
          <w:rFonts w:ascii="Times New Roman" w:hAnsi="Times New Roman" w:cs="Times New Roman"/>
          <w:lang w:val="en-GB" w:eastAsia="en-GB"/>
        </w:rPr>
        <w:t xml:space="preserve"> In some cases regimens also provide practical advice about how to maximize the benefits of health-related devices such as bed-warmers or fireplaces - the latter became a common feature across the social scale</w:t>
      </w:r>
      <w:r w:rsidRPr="00641910" w:rsidDel="00ED1D14">
        <w:rPr>
          <w:rFonts w:ascii="Times New Roman" w:hAnsi="Times New Roman" w:cs="Times New Roman"/>
          <w:lang w:val="en-GB" w:eastAsia="en-GB"/>
        </w:rPr>
        <w:t xml:space="preserve"> </w:t>
      </w:r>
      <w:r w:rsidRPr="00641910">
        <w:rPr>
          <w:rFonts w:ascii="Times New Roman" w:hAnsi="Times New Roman" w:cs="Times New Roman"/>
          <w:lang w:val="en-GB" w:eastAsia="en-GB"/>
        </w:rPr>
        <w:t>only towards the end of the sixteenth century. Hence authors stress the importance of feeding the fire with limited quantities of wood so as to avoid the production of excessive heat that would damage the head. Moreover, as the</w:t>
      </w:r>
      <w:r w:rsidRPr="00641910">
        <w:rPr>
          <w:rFonts w:ascii="Times New Roman" w:hAnsi="Times New Roman"/>
          <w:lang w:val="en-GB"/>
        </w:rPr>
        <w:t xml:space="preserve"> disposal of smoke was still a concern, they recommend</w:t>
      </w:r>
      <w:r w:rsidRPr="00641910">
        <w:rPr>
          <w:rFonts w:ascii="Times New Roman" w:hAnsi="Times New Roman" w:cs="Times New Roman"/>
          <w:lang w:val="en-GB" w:eastAsia="en-GB"/>
        </w:rPr>
        <w:t xml:space="preserve"> designing the chimneypiece in ways that make the room smoke-free</w:t>
      </w:r>
      <w:r w:rsidR="007B6BDD" w:rsidRPr="00641910">
        <w:rPr>
          <w:rFonts w:ascii="Times New Roman" w:hAnsi="Times New Roman" w:cs="Times New Roman"/>
          <w:lang w:val="en-GB" w:eastAsia="en-GB"/>
        </w:rPr>
        <w:t>.</w:t>
      </w:r>
      <w:r w:rsidR="00A22E25" w:rsidRPr="00641910">
        <w:rPr>
          <w:rStyle w:val="FootnoteReference"/>
          <w:rFonts w:ascii="Times New Roman" w:hAnsi="Times New Roman" w:cs="Times New Roman"/>
          <w:lang w:eastAsia="en-GB"/>
        </w:rPr>
        <w:footnoteReference w:id="22"/>
      </w:r>
      <w:r w:rsidR="007B6BDD" w:rsidRPr="00641910">
        <w:rPr>
          <w:rFonts w:ascii="Times New Roman" w:hAnsi="Times New Roman" w:cs="Times New Roman"/>
          <w:lang w:val="en-GB" w:eastAsia="en-GB"/>
        </w:rPr>
        <w:t xml:space="preserve"> Likewise</w:t>
      </w:r>
      <w:r w:rsidRPr="00641910">
        <w:rPr>
          <w:rFonts w:ascii="Times New Roman" w:hAnsi="Times New Roman" w:cs="Times New Roman"/>
          <w:lang w:val="en-GB" w:eastAsia="en-GB"/>
        </w:rPr>
        <w:t xml:space="preserve"> Fonseca advises his readers to differentiate the use of the ubiquitous bed-warmer according to age and constitution.</w:t>
      </w:r>
      <w:r w:rsidRPr="00641910">
        <w:rPr>
          <w:rStyle w:val="FootnoteReference"/>
          <w:rFonts w:ascii="Times New Roman" w:hAnsi="Times New Roman" w:cs="Times New Roman"/>
          <w:lang w:eastAsia="en-GB"/>
        </w:rPr>
        <w:footnoteReference w:id="23"/>
      </w:r>
      <w:r w:rsidRPr="00641910">
        <w:rPr>
          <w:rFonts w:ascii="Times New Roman" w:hAnsi="Times New Roman" w:cs="Times New Roman"/>
          <w:lang w:val="en-GB" w:eastAsia="en-GB"/>
        </w:rPr>
        <w:t xml:space="preserve"> </w:t>
      </w:r>
      <w:r w:rsidRPr="00641910">
        <w:rPr>
          <w:rFonts w:ascii="Times New Roman" w:hAnsi="Times New Roman" w:cs="Times New Roman"/>
          <w:lang w:val="en-GB" w:eastAsia="en-GB"/>
        </w:rPr>
        <w:tab/>
      </w:r>
    </w:p>
    <w:p w:rsidR="00521217" w:rsidRPr="00641910" w:rsidRDefault="00521217" w:rsidP="00521217">
      <w:pPr>
        <w:pStyle w:val="Default"/>
        <w:spacing w:line="360" w:lineRule="auto"/>
        <w:jc w:val="both"/>
        <w:rPr>
          <w:rFonts w:ascii="Times New Roman" w:hAnsi="Times New Roman" w:cs="Times New Roman"/>
          <w:sz w:val="22"/>
          <w:szCs w:val="22"/>
          <w:lang w:val="en-GB"/>
        </w:rPr>
      </w:pPr>
      <w:r w:rsidRPr="00641910">
        <w:rPr>
          <w:rFonts w:ascii="Times New Roman" w:hAnsi="Times New Roman" w:cs="Times New Roman"/>
          <w:lang w:val="en-GB" w:eastAsia="en-GB"/>
        </w:rPr>
        <w:tab/>
        <w:t>Compared with late medieval regimens</w:t>
      </w:r>
      <w:r w:rsidR="003E770A" w:rsidRPr="00641910">
        <w:rPr>
          <w:rFonts w:ascii="Times New Roman" w:hAnsi="Times New Roman" w:cs="Times New Roman"/>
          <w:lang w:val="en-GB" w:eastAsia="en-GB"/>
        </w:rPr>
        <w:t xml:space="preserve"> t</w:t>
      </w:r>
      <w:r w:rsidRPr="00641910">
        <w:rPr>
          <w:rFonts w:ascii="Times New Roman" w:hAnsi="Times New Roman" w:cs="Times New Roman"/>
          <w:lang w:val="en-GB" w:eastAsia="en-GB"/>
        </w:rPr>
        <w:t xml:space="preserve">he recommendations in </w:t>
      </w:r>
      <w:r w:rsidR="003E770A" w:rsidRPr="00641910">
        <w:rPr>
          <w:rFonts w:ascii="Times New Roman" w:hAnsi="Times New Roman" w:cs="Times New Roman"/>
          <w:lang w:val="en-GB" w:eastAsia="en-GB"/>
        </w:rPr>
        <w:t xml:space="preserve">the </w:t>
      </w:r>
      <w:r w:rsidRPr="00641910">
        <w:rPr>
          <w:rFonts w:ascii="Times New Roman" w:hAnsi="Times New Roman" w:cs="Times New Roman"/>
          <w:lang w:val="en-GB" w:eastAsia="en-GB"/>
        </w:rPr>
        <w:t xml:space="preserve">health advice literature were therefore becoming more </w:t>
      </w:r>
      <w:r w:rsidR="007B6BDD" w:rsidRPr="00641910">
        <w:rPr>
          <w:rFonts w:ascii="Times New Roman" w:hAnsi="Times New Roman" w:cs="Times New Roman"/>
          <w:lang w:val="en-GB" w:eastAsia="en-GB"/>
        </w:rPr>
        <w:t>concrete and practical. By including objects and the use of objects in the narrative doctors offered a much more tangible and graphic picture of what should and should not be done and appealed to the lived experience of readers. In so doing</w:t>
      </w:r>
      <w:r w:rsidR="00EC5E5B" w:rsidRPr="00641910">
        <w:rPr>
          <w:rFonts w:ascii="Times New Roman" w:hAnsi="Times New Roman" w:cs="Times New Roman"/>
          <w:lang w:val="en-GB" w:eastAsia="en-GB"/>
        </w:rPr>
        <w:t>,</w:t>
      </w:r>
      <w:r w:rsidR="007B6BDD" w:rsidRPr="00641910">
        <w:rPr>
          <w:rFonts w:ascii="Times New Roman" w:hAnsi="Times New Roman" w:cs="Times New Roman"/>
          <w:lang w:val="en-GB" w:eastAsia="en-GB"/>
        </w:rPr>
        <w:t xml:space="preserve"> they made their texts more credible to an audience by now accustomed to receive practical instruction not only through the many manuals about how to run a household, bring up children or farm one’s land published in</w:t>
      </w:r>
      <w:r w:rsidRPr="00641910">
        <w:rPr>
          <w:rFonts w:ascii="Times New Roman" w:hAnsi="Times New Roman" w:cs="Times New Roman"/>
          <w:lang w:val="en-GB" w:eastAsia="en-GB"/>
        </w:rPr>
        <w:t xml:space="preserve"> this period but through the wealth of technical how-to-books which were </w:t>
      </w:r>
      <w:r w:rsidR="00EC5E5B" w:rsidRPr="00641910">
        <w:rPr>
          <w:rFonts w:ascii="Times New Roman" w:hAnsi="Times New Roman" w:cs="Times New Roman"/>
          <w:lang w:val="en-GB" w:eastAsia="en-GB"/>
        </w:rPr>
        <w:t>flooding</w:t>
      </w:r>
      <w:r w:rsidRPr="00641910">
        <w:rPr>
          <w:rFonts w:ascii="Times New Roman" w:hAnsi="Times New Roman" w:cs="Times New Roman"/>
          <w:lang w:val="en-GB" w:eastAsia="en-GB"/>
        </w:rPr>
        <w:t xml:space="preserve"> the print market.</w:t>
      </w:r>
      <w:r w:rsidRPr="00641910">
        <w:rPr>
          <w:rStyle w:val="FootnoteReference"/>
          <w:rFonts w:ascii="Times New Roman" w:hAnsi="Times New Roman" w:cs="Times New Roman"/>
          <w:lang w:val="en-GB" w:eastAsia="en-GB"/>
        </w:rPr>
        <w:footnoteReference w:id="24"/>
      </w:r>
      <w:r w:rsidRPr="00641910">
        <w:rPr>
          <w:rFonts w:ascii="Times New Roman" w:hAnsi="Times New Roman" w:cs="Times New Roman"/>
          <w:lang w:val="en-GB" w:eastAsia="en-GB"/>
        </w:rPr>
        <w:t xml:space="preserve"> These trends required that doctors adapted their language to the </w:t>
      </w:r>
      <w:r w:rsidR="003E770A" w:rsidRPr="00641910">
        <w:rPr>
          <w:rFonts w:ascii="Times New Roman" w:hAnsi="Times New Roman" w:cs="Times New Roman"/>
          <w:lang w:val="en-GB" w:eastAsia="en-GB"/>
        </w:rPr>
        <w:t xml:space="preserve">new, practical </w:t>
      </w:r>
      <w:r w:rsidRPr="00641910">
        <w:rPr>
          <w:rFonts w:ascii="Times New Roman" w:hAnsi="Times New Roman" w:cs="Times New Roman"/>
          <w:lang w:val="en-GB" w:eastAsia="en-GB"/>
        </w:rPr>
        <w:t xml:space="preserve">form acquired by information.  </w:t>
      </w:r>
      <w:r w:rsidR="007E539B" w:rsidRPr="00641910">
        <w:rPr>
          <w:rFonts w:ascii="Times New Roman" w:hAnsi="Times New Roman" w:cs="Times New Roman"/>
          <w:lang w:val="en-GB"/>
        </w:rPr>
        <w:t>Meanwhile</w:t>
      </w:r>
      <w:r w:rsidRPr="00641910">
        <w:rPr>
          <w:rFonts w:ascii="Times New Roman" w:hAnsi="Times New Roman" w:cs="Times New Roman"/>
          <w:lang w:val="en-GB"/>
        </w:rPr>
        <w:t xml:space="preserve">, </w:t>
      </w:r>
      <w:r w:rsidRPr="00641910">
        <w:rPr>
          <w:rFonts w:ascii="Times New Roman" w:hAnsi="Times New Roman" w:cs="Times New Roman"/>
          <w:lang w:val="en-GB" w:eastAsia="en-GB"/>
        </w:rPr>
        <w:t xml:space="preserve">by actively promoting the role of some </w:t>
      </w:r>
      <w:r w:rsidR="003E770A" w:rsidRPr="00641910">
        <w:rPr>
          <w:rFonts w:ascii="Times New Roman" w:hAnsi="Times New Roman" w:cs="Times New Roman"/>
          <w:lang w:val="en-GB" w:eastAsia="en-GB"/>
        </w:rPr>
        <w:t xml:space="preserve">household </w:t>
      </w:r>
      <w:r w:rsidRPr="00641910">
        <w:rPr>
          <w:rFonts w:ascii="Times New Roman" w:hAnsi="Times New Roman" w:cs="Times New Roman"/>
          <w:lang w:val="en-GB" w:eastAsia="en-GB"/>
        </w:rPr>
        <w:t xml:space="preserve">objects and practices in health-maintenance </w:t>
      </w:r>
      <w:r w:rsidR="007B6BDD" w:rsidRPr="00641910">
        <w:rPr>
          <w:rFonts w:ascii="Times New Roman" w:hAnsi="Times New Roman" w:cs="Times New Roman"/>
          <w:lang w:val="en-GB"/>
        </w:rPr>
        <w:t>d</w:t>
      </w:r>
      <w:r w:rsidR="007B6BDD" w:rsidRPr="00641910">
        <w:rPr>
          <w:rFonts w:ascii="Times New Roman" w:hAnsi="Times New Roman" w:cs="Times New Roman"/>
          <w:lang w:val="en-GB" w:eastAsia="en-GB"/>
        </w:rPr>
        <w:t xml:space="preserve">octors were also responding to the demands for domestic-centred health strategies which, as we will see in the next section, were emerging from their readers. By assisting the public in its </w:t>
      </w:r>
      <w:r w:rsidR="00272A42">
        <w:rPr>
          <w:rFonts w:ascii="Times New Roman" w:hAnsi="Times New Roman" w:cs="Times New Roman"/>
          <w:lang w:val="en-GB" w:eastAsia="en-GB"/>
        </w:rPr>
        <w:t>efforts to construct a healthful</w:t>
      </w:r>
      <w:r w:rsidR="007B6BDD" w:rsidRPr="00641910">
        <w:rPr>
          <w:rFonts w:ascii="Times New Roman" w:hAnsi="Times New Roman" w:cs="Times New Roman"/>
          <w:lang w:val="en-GB" w:eastAsia="en-GB"/>
        </w:rPr>
        <w:t xml:space="preserve"> domestic environment that would make their home even more attractive and a symbol of virtue, doctors were fulfilling in new ways the role of advisor </w:t>
      </w:r>
      <w:r w:rsidR="007B6BDD" w:rsidRPr="00641910">
        <w:rPr>
          <w:rFonts w:ascii="Times New Roman" w:hAnsi="Times New Roman" w:cs="Times New Roman"/>
          <w:lang w:val="en-GB" w:eastAsia="en-GB"/>
        </w:rPr>
        <w:lastRenderedPageBreak/>
        <w:t xml:space="preserve">that was </w:t>
      </w:r>
      <w:proofErr w:type="gramStart"/>
      <w:r w:rsidR="007B6BDD" w:rsidRPr="00641910">
        <w:rPr>
          <w:rFonts w:ascii="Times New Roman" w:hAnsi="Times New Roman" w:cs="Times New Roman"/>
          <w:lang w:val="en-GB" w:eastAsia="en-GB"/>
        </w:rPr>
        <w:t>key</w:t>
      </w:r>
      <w:proofErr w:type="gramEnd"/>
      <w:r w:rsidRPr="00641910">
        <w:rPr>
          <w:rFonts w:ascii="Times New Roman" w:hAnsi="Times New Roman" w:cs="Times New Roman"/>
          <w:lang w:val="en-GB" w:eastAsia="en-GB"/>
        </w:rPr>
        <w:t xml:space="preserve"> to their professional image</w:t>
      </w:r>
      <w:r w:rsidR="00120D35">
        <w:rPr>
          <w:rFonts w:ascii="Times New Roman" w:hAnsi="Times New Roman" w:cs="Times New Roman"/>
          <w:lang w:val="en-GB" w:eastAsia="en-GB"/>
        </w:rPr>
        <w:t xml:space="preserve"> and self-presentation</w:t>
      </w:r>
      <w:r w:rsidRPr="00641910">
        <w:rPr>
          <w:rFonts w:ascii="Times New Roman" w:hAnsi="Times New Roman" w:cs="Times New Roman"/>
          <w:lang w:val="en-GB" w:eastAsia="en-GB"/>
        </w:rPr>
        <w:t>. In this role they succeeded in mitigating the heath anxieties that evidently troubled early modern Italians, stimulating at the same time the expansion of a material culture of health and contributing perhaps in non insignificant ways to the formation of the ‘empire of things’ that, in Richard Goldthwaite’s words, characterises the Italian Renaissance.</w:t>
      </w:r>
      <w:r w:rsidRPr="00641910">
        <w:rPr>
          <w:rStyle w:val="FootnoteReference"/>
          <w:rFonts w:ascii="Times New Roman" w:hAnsi="Times New Roman" w:cs="Times New Roman"/>
          <w:lang w:eastAsia="en-GB"/>
        </w:rPr>
        <w:footnoteReference w:id="25"/>
      </w:r>
      <w:r w:rsidRPr="00641910">
        <w:rPr>
          <w:rStyle w:val="FootnoteReference"/>
          <w:rFonts w:ascii="Times New Roman" w:hAnsi="Times New Roman" w:cs="Times New Roman"/>
          <w:lang w:val="en-GB" w:eastAsia="en-GB"/>
        </w:rPr>
        <w:t xml:space="preserve"> </w:t>
      </w:r>
      <w:r w:rsidRPr="00641910">
        <w:rPr>
          <w:rFonts w:ascii="Times New Roman" w:hAnsi="Times New Roman" w:cs="Times New Roman"/>
          <w:lang w:val="en-GB" w:eastAsia="en-GB"/>
        </w:rPr>
        <w:t xml:space="preserve"> </w:t>
      </w:r>
    </w:p>
    <w:p w:rsidR="00521217" w:rsidRPr="00641910" w:rsidRDefault="00521217" w:rsidP="00521217"/>
    <w:p w:rsidR="00F67707" w:rsidRPr="00641910" w:rsidRDefault="007B6BDD">
      <w:pPr>
        <w:pStyle w:val="ListParagraph"/>
        <w:numPr>
          <w:ilvl w:val="0"/>
          <w:numId w:val="1"/>
        </w:numPr>
        <w:jc w:val="both"/>
        <w:rPr>
          <w:rFonts w:ascii="Times New Roman" w:hAnsi="Times New Roman" w:cs="Times New Roman"/>
          <w:sz w:val="24"/>
          <w:szCs w:val="24"/>
          <w:lang w:eastAsia="en-GB"/>
        </w:rPr>
      </w:pPr>
      <w:r w:rsidRPr="00641910">
        <w:rPr>
          <w:rFonts w:ascii="Times New Roman" w:hAnsi="Times New Roman" w:cs="Times New Roman"/>
          <w:sz w:val="24"/>
          <w:szCs w:val="24"/>
        </w:rPr>
        <w:t xml:space="preserve">Domestic health and virtue in Italian cities </w:t>
      </w:r>
    </w:p>
    <w:p w:rsidR="00521217" w:rsidRPr="00641910" w:rsidRDefault="007B6BDD" w:rsidP="00521217">
      <w:pPr>
        <w:autoSpaceDE w:val="0"/>
        <w:autoSpaceDN w:val="0"/>
        <w:adjustRightInd w:val="0"/>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lang w:eastAsia="en-GB"/>
        </w:rPr>
        <w:t>Let us explore the wider context in</w:t>
      </w:r>
      <w:r w:rsidR="00521217" w:rsidRPr="00641910">
        <w:rPr>
          <w:rFonts w:ascii="Times New Roman" w:hAnsi="Times New Roman" w:cs="Times New Roman"/>
          <w:sz w:val="24"/>
          <w:szCs w:val="24"/>
          <w:lang w:eastAsia="en-GB"/>
        </w:rPr>
        <w:t xml:space="preserve"> which these concerns for the healthfulness of the domestic environment emerge. Various elements suggest that both the growing importance attributed to health maintenance and the focus on the house as the main site where these preoccupations were addressed might have been distinctive Italian occurrences. The </w:t>
      </w:r>
      <w:r w:rsidR="00793A9C">
        <w:rPr>
          <w:rFonts w:ascii="Times New Roman" w:hAnsi="Times New Roman" w:cs="Times New Roman"/>
          <w:sz w:val="24"/>
          <w:szCs w:val="24"/>
          <w:lang w:eastAsia="en-GB"/>
        </w:rPr>
        <w:t>eleva</w:t>
      </w:r>
      <w:r w:rsidR="00521217" w:rsidRPr="00641910">
        <w:rPr>
          <w:rFonts w:ascii="Times New Roman" w:hAnsi="Times New Roman" w:cs="Times New Roman"/>
          <w:sz w:val="24"/>
          <w:szCs w:val="24"/>
          <w:lang w:eastAsia="en-GB"/>
        </w:rPr>
        <w:t>tion of the house to principal site of prevention was partly a consequence of the enhan</w:t>
      </w:r>
      <w:r w:rsidR="00521217" w:rsidRPr="00641910">
        <w:rPr>
          <w:rFonts w:ascii="Times New Roman" w:hAnsi="Times New Roman" w:cs="Times New Roman"/>
          <w:sz w:val="24"/>
          <w:szCs w:val="24"/>
        </w:rPr>
        <w:t xml:space="preserve">ced attention to the quality of </w:t>
      </w:r>
      <w:r w:rsidRPr="00641910">
        <w:rPr>
          <w:rFonts w:ascii="Times New Roman" w:hAnsi="Times New Roman" w:cs="Times New Roman"/>
          <w:sz w:val="24"/>
          <w:szCs w:val="24"/>
        </w:rPr>
        <w:t>the home environment and domestic life that develop</w:t>
      </w:r>
      <w:r w:rsidR="00DD096C" w:rsidRPr="00641910">
        <w:rPr>
          <w:rFonts w:ascii="Times New Roman" w:hAnsi="Times New Roman" w:cs="Times New Roman"/>
          <w:sz w:val="24"/>
          <w:szCs w:val="24"/>
        </w:rPr>
        <w:t>ed</w:t>
      </w:r>
      <w:r w:rsidRPr="00641910">
        <w:rPr>
          <w:rFonts w:ascii="Times New Roman" w:hAnsi="Times New Roman" w:cs="Times New Roman"/>
          <w:sz w:val="24"/>
          <w:szCs w:val="24"/>
        </w:rPr>
        <w:t xml:space="preserve"> in many Northern and Central Italian cities especially from the second half of the sixteenth century. Here the </w:t>
      </w:r>
      <w:r w:rsidR="00272A42">
        <w:rPr>
          <w:rFonts w:ascii="Times New Roman" w:hAnsi="Times New Roman" w:cs="Times New Roman"/>
          <w:sz w:val="24"/>
          <w:szCs w:val="24"/>
        </w:rPr>
        <w:t>residences of the affluent</w:t>
      </w:r>
      <w:r w:rsidRPr="00641910">
        <w:rPr>
          <w:rFonts w:ascii="Times New Roman" w:hAnsi="Times New Roman" w:cs="Times New Roman"/>
          <w:sz w:val="24"/>
          <w:szCs w:val="24"/>
        </w:rPr>
        <w:t xml:space="preserve"> were acquiring new dignity as proved by the surge in palace building and modernisation in this period. Urban social structure was changing. The rise of </w:t>
      </w:r>
      <w:proofErr w:type="gramStart"/>
      <w:r w:rsidRPr="00641910">
        <w:rPr>
          <w:rFonts w:ascii="Times New Roman" w:hAnsi="Times New Roman" w:cs="Times New Roman"/>
          <w:sz w:val="24"/>
          <w:szCs w:val="24"/>
        </w:rPr>
        <w:t>a civic</w:t>
      </w:r>
      <w:proofErr w:type="gramEnd"/>
      <w:r w:rsidRPr="00641910">
        <w:rPr>
          <w:rFonts w:ascii="Times New Roman" w:hAnsi="Times New Roman" w:cs="Times New Roman"/>
          <w:sz w:val="24"/>
          <w:szCs w:val="24"/>
        </w:rPr>
        <w:t xml:space="preserve"> nobility in provincial towns like Verona and the urbanisation of </w:t>
      </w:r>
      <w:r w:rsidRPr="00641910">
        <w:rPr>
          <w:rFonts w:ascii="Times New Roman" w:hAnsi="Times New Roman" w:cs="Times New Roman"/>
          <w:sz w:val="24"/>
          <w:szCs w:val="24"/>
          <w:lang w:val="en-US"/>
        </w:rPr>
        <w:t>recently ennobled territorial elites</w:t>
      </w:r>
      <w:r w:rsidRPr="00641910">
        <w:rPr>
          <w:rFonts w:ascii="Times New Roman" w:hAnsi="Times New Roman" w:cs="Times New Roman"/>
          <w:sz w:val="24"/>
          <w:szCs w:val="24"/>
        </w:rPr>
        <w:t xml:space="preserve"> in cities like Rome, </w:t>
      </w:r>
      <w:r w:rsidRPr="00641910">
        <w:rPr>
          <w:rFonts w:ascii="Times New Roman" w:hAnsi="Times New Roman" w:cs="Times New Roman"/>
          <w:color w:val="000000" w:themeColor="text1"/>
          <w:sz w:val="24"/>
          <w:szCs w:val="24"/>
        </w:rPr>
        <w:t>stimulated these building programmes.</w:t>
      </w:r>
      <w:r w:rsidR="00BF38C8" w:rsidRPr="00641910">
        <w:rPr>
          <w:rStyle w:val="FootnoteReference"/>
          <w:rFonts w:ascii="Times New Roman" w:hAnsi="Times New Roman" w:cs="Times New Roman"/>
          <w:color w:val="000000" w:themeColor="text1"/>
          <w:sz w:val="24"/>
          <w:szCs w:val="24"/>
        </w:rPr>
        <w:footnoteReference w:id="26"/>
      </w:r>
      <w:r w:rsidRPr="00641910">
        <w:rPr>
          <w:rFonts w:ascii="Times New Roman" w:hAnsi="Times New Roman" w:cs="Times New Roman"/>
          <w:color w:val="000000" w:themeColor="text1"/>
          <w:sz w:val="24"/>
          <w:szCs w:val="24"/>
        </w:rPr>
        <w:t xml:space="preserve"> Parallel to this acquisition of visibility in the urban landscape the demand for domestic material culture was growing</w:t>
      </w:r>
      <w:r w:rsidRPr="00641910">
        <w:rPr>
          <w:rFonts w:ascii="Times New Roman" w:hAnsi="Times New Roman" w:cs="Times New Roman"/>
          <w:color w:val="000000" w:themeColor="text1"/>
        </w:rPr>
        <w:t xml:space="preserve"> </w:t>
      </w:r>
      <w:r w:rsidRPr="00641910">
        <w:rPr>
          <w:rFonts w:ascii="Times New Roman" w:hAnsi="Times New Roman" w:cs="Times New Roman"/>
          <w:color w:val="000000" w:themeColor="text1"/>
          <w:sz w:val="24"/>
          <w:szCs w:val="24"/>
        </w:rPr>
        <w:t>exponentially. Indeed t</w:t>
      </w:r>
      <w:r w:rsidRPr="00641910">
        <w:rPr>
          <w:rFonts w:ascii="Times New Roman" w:hAnsi="Times New Roman" w:cs="Times New Roman"/>
          <w:sz w:val="24"/>
          <w:szCs w:val="24"/>
        </w:rPr>
        <w:t xml:space="preserve">he numerous treatises on household management published in this period stress the role of </w:t>
      </w:r>
      <w:proofErr w:type="spellStart"/>
      <w:r w:rsidRPr="00641910">
        <w:rPr>
          <w:rFonts w:ascii="Times New Roman" w:hAnsi="Times New Roman" w:cs="Times New Roman"/>
          <w:i/>
          <w:sz w:val="24"/>
          <w:szCs w:val="24"/>
        </w:rPr>
        <w:t>addobbamento</w:t>
      </w:r>
      <w:proofErr w:type="spellEnd"/>
      <w:r w:rsidRPr="00641910">
        <w:rPr>
          <w:rFonts w:ascii="Times New Roman" w:hAnsi="Times New Roman" w:cs="Times New Roman"/>
          <w:sz w:val="24"/>
          <w:szCs w:val="24"/>
        </w:rPr>
        <w:t xml:space="preserve"> (household ornament, decoration) and of </w:t>
      </w:r>
      <w:r w:rsidRPr="00641910">
        <w:rPr>
          <w:rFonts w:ascii="Times New Roman" w:hAnsi="Times New Roman" w:cs="Times New Roman"/>
          <w:i/>
          <w:sz w:val="24"/>
          <w:szCs w:val="24"/>
        </w:rPr>
        <w:t xml:space="preserve">mobile </w:t>
      </w:r>
      <w:proofErr w:type="spellStart"/>
      <w:r w:rsidRPr="00641910">
        <w:rPr>
          <w:rFonts w:ascii="Times New Roman" w:hAnsi="Times New Roman" w:cs="Times New Roman"/>
          <w:i/>
          <w:sz w:val="24"/>
          <w:szCs w:val="24"/>
        </w:rPr>
        <w:t>domestico</w:t>
      </w:r>
      <w:proofErr w:type="spellEnd"/>
      <w:r w:rsidRPr="00641910">
        <w:rPr>
          <w:rFonts w:ascii="Times New Roman" w:hAnsi="Times New Roman" w:cs="Times New Roman"/>
          <w:i/>
          <w:sz w:val="24"/>
          <w:szCs w:val="24"/>
        </w:rPr>
        <w:t xml:space="preserve"> </w:t>
      </w:r>
      <w:r w:rsidRPr="00641910">
        <w:rPr>
          <w:rFonts w:ascii="Times New Roman" w:hAnsi="Times New Roman" w:cs="Times New Roman"/>
          <w:sz w:val="24"/>
          <w:szCs w:val="24"/>
        </w:rPr>
        <w:t>(furnishings) in enhancing the decorum of the house.</w:t>
      </w:r>
      <w:r w:rsidR="00A22E25" w:rsidRPr="00641910">
        <w:rPr>
          <w:rStyle w:val="FootnoteReference"/>
          <w:rFonts w:ascii="Times New Roman" w:hAnsi="Times New Roman" w:cs="Times New Roman"/>
          <w:sz w:val="24"/>
          <w:szCs w:val="24"/>
        </w:rPr>
        <w:footnoteReference w:id="27"/>
      </w:r>
      <w:r w:rsidRPr="00641910">
        <w:rPr>
          <w:rFonts w:ascii="Times New Roman" w:hAnsi="Times New Roman" w:cs="Times New Roman"/>
          <w:sz w:val="24"/>
          <w:szCs w:val="24"/>
        </w:rPr>
        <w:t xml:space="preserve"> Long believed to have been born in England in the eigh</w:t>
      </w:r>
      <w:r w:rsidR="00521217" w:rsidRPr="00641910">
        <w:rPr>
          <w:rFonts w:ascii="Times New Roman" w:hAnsi="Times New Roman" w:cs="Times New Roman"/>
          <w:sz w:val="24"/>
          <w:szCs w:val="24"/>
        </w:rPr>
        <w:t xml:space="preserve">teenth century, domestic consumerism was in fact thriving in the Italian cities of the late Renaissance, nurtured, </w:t>
      </w:r>
      <w:r w:rsidR="00521217" w:rsidRPr="00641910">
        <w:rPr>
          <w:rFonts w:ascii="Times New Roman" w:hAnsi="Times New Roman" w:cs="Times New Roman"/>
          <w:sz w:val="24"/>
          <w:szCs w:val="24"/>
          <w:lang w:val="en-US"/>
        </w:rPr>
        <w:t>a</w:t>
      </w:r>
      <w:r w:rsidR="00521217" w:rsidRPr="00641910">
        <w:rPr>
          <w:rFonts w:ascii="Times New Roman" w:hAnsi="Times New Roman" w:cs="Times New Roman"/>
          <w:sz w:val="24"/>
          <w:szCs w:val="24"/>
        </w:rPr>
        <w:t xml:space="preserve">s Richard Goldthwaite has cogently documented, by levels of individual wealth </w:t>
      </w:r>
      <w:r w:rsidR="00787565" w:rsidRPr="00641910">
        <w:rPr>
          <w:rFonts w:ascii="Times New Roman" w:hAnsi="Times New Roman" w:cs="Times New Roman"/>
          <w:sz w:val="24"/>
          <w:szCs w:val="24"/>
        </w:rPr>
        <w:t xml:space="preserve">and social mobility </w:t>
      </w:r>
      <w:r w:rsidR="00521217" w:rsidRPr="00641910">
        <w:rPr>
          <w:rFonts w:ascii="Times New Roman" w:hAnsi="Times New Roman" w:cs="Times New Roman"/>
          <w:sz w:val="24"/>
          <w:szCs w:val="24"/>
          <w:lang w:val="en-US"/>
        </w:rPr>
        <w:t>unknown in other parts of Europe</w:t>
      </w:r>
      <w:r w:rsidR="00787565" w:rsidRPr="00641910">
        <w:rPr>
          <w:rFonts w:ascii="Times New Roman" w:hAnsi="Times New Roman" w:cs="Times New Roman"/>
          <w:sz w:val="24"/>
          <w:szCs w:val="24"/>
          <w:lang w:val="en-US"/>
        </w:rPr>
        <w:t>,</w:t>
      </w:r>
      <w:r w:rsidR="00521217" w:rsidRPr="00641910">
        <w:rPr>
          <w:rFonts w:ascii="Times New Roman" w:hAnsi="Times New Roman" w:cs="Times New Roman"/>
          <w:sz w:val="24"/>
          <w:szCs w:val="24"/>
          <w:lang w:val="en-US"/>
        </w:rPr>
        <w:t xml:space="preserve"> </w:t>
      </w:r>
      <w:r w:rsidR="00521217" w:rsidRPr="00641910">
        <w:rPr>
          <w:rFonts w:ascii="Times New Roman" w:hAnsi="Times New Roman" w:cs="Times New Roman"/>
          <w:sz w:val="24"/>
          <w:szCs w:val="24"/>
        </w:rPr>
        <w:t>and by an extremely dynamic artisanal culture.</w:t>
      </w:r>
      <w:r w:rsidR="00521217" w:rsidRPr="00641910">
        <w:rPr>
          <w:rStyle w:val="FootnoteReference"/>
          <w:rFonts w:ascii="Times New Roman" w:hAnsi="Times New Roman" w:cs="Times New Roman"/>
          <w:color w:val="000000" w:themeColor="text1"/>
          <w:sz w:val="24"/>
          <w:szCs w:val="24"/>
        </w:rPr>
        <w:footnoteReference w:id="28"/>
      </w:r>
      <w:r w:rsidR="00521217" w:rsidRPr="00641910">
        <w:rPr>
          <w:rFonts w:ascii="Times New Roman" w:hAnsi="Times New Roman" w:cs="Times New Roman"/>
          <w:color w:val="000000" w:themeColor="text1"/>
          <w:sz w:val="24"/>
          <w:szCs w:val="24"/>
        </w:rPr>
        <w:t xml:space="preserve"> </w:t>
      </w:r>
      <w:r w:rsidR="00521217" w:rsidRPr="00641910">
        <w:rPr>
          <w:rFonts w:ascii="Times New Roman" w:hAnsi="Times New Roman" w:cs="Times New Roman"/>
          <w:sz w:val="24"/>
          <w:szCs w:val="24"/>
        </w:rPr>
        <w:t xml:space="preserve"> </w:t>
      </w:r>
    </w:p>
    <w:p w:rsidR="00521217" w:rsidRPr="00641910" w:rsidRDefault="00521217" w:rsidP="00521217">
      <w:pPr>
        <w:autoSpaceDE w:val="0"/>
        <w:autoSpaceDN w:val="0"/>
        <w:adjustRightInd w:val="0"/>
        <w:spacing w:after="0" w:line="360" w:lineRule="auto"/>
        <w:jc w:val="both"/>
        <w:rPr>
          <w:rFonts w:ascii="Times New Roman" w:hAnsi="Times New Roman" w:cs="Times New Roman"/>
          <w:color w:val="000000" w:themeColor="text1"/>
          <w:sz w:val="24"/>
          <w:szCs w:val="24"/>
        </w:rPr>
      </w:pPr>
      <w:r w:rsidRPr="00641910">
        <w:rPr>
          <w:rFonts w:ascii="Times New Roman" w:hAnsi="Times New Roman" w:cs="Times New Roman"/>
          <w:sz w:val="24"/>
          <w:szCs w:val="24"/>
        </w:rPr>
        <w:lastRenderedPageBreak/>
        <w:tab/>
      </w:r>
      <w:r w:rsidRPr="00641910">
        <w:rPr>
          <w:rFonts w:ascii="Times New Roman" w:hAnsi="Times New Roman" w:cs="Times New Roman"/>
          <w:color w:val="000000" w:themeColor="text1"/>
          <w:sz w:val="24"/>
          <w:szCs w:val="24"/>
        </w:rPr>
        <w:t xml:space="preserve">Already at the end of the fifteenth century household goods were beginning to be understood in Italian conduct literature as the elements that conferred splendour to the lord and the palace. In the words of humanist Giovanni </w:t>
      </w:r>
      <w:proofErr w:type="spellStart"/>
      <w:r w:rsidRPr="00641910">
        <w:rPr>
          <w:rFonts w:ascii="Times New Roman" w:hAnsi="Times New Roman" w:cs="Times New Roman"/>
          <w:color w:val="000000" w:themeColor="text1"/>
          <w:sz w:val="24"/>
          <w:szCs w:val="24"/>
        </w:rPr>
        <w:t>Pontano</w:t>
      </w:r>
      <w:proofErr w:type="spellEnd"/>
      <w:r w:rsidRPr="00641910">
        <w:rPr>
          <w:rFonts w:ascii="Times New Roman" w:hAnsi="Times New Roman" w:cs="Times New Roman"/>
          <w:color w:val="000000" w:themeColor="text1"/>
          <w:sz w:val="24"/>
          <w:szCs w:val="24"/>
        </w:rPr>
        <w:t xml:space="preserve"> (1498), while magnificence derives from the architecture of the building ‘splendour shines through domestic ornaments, the care of the body and </w:t>
      </w:r>
      <w:r w:rsidR="007B6BDD" w:rsidRPr="00641910">
        <w:rPr>
          <w:rFonts w:ascii="Times New Roman" w:hAnsi="Times New Roman" w:cs="Times New Roman"/>
          <w:color w:val="000000" w:themeColor="text1"/>
          <w:sz w:val="24"/>
          <w:szCs w:val="24"/>
        </w:rPr>
        <w:t>furnishings, and through the refinement of different things’.</w:t>
      </w:r>
      <w:r w:rsidR="00BF38C8" w:rsidRPr="00641910">
        <w:rPr>
          <w:rStyle w:val="FootnoteReference"/>
          <w:rFonts w:ascii="Times New Roman" w:hAnsi="Times New Roman" w:cs="Times New Roman"/>
          <w:color w:val="000000" w:themeColor="text1"/>
          <w:sz w:val="24"/>
          <w:szCs w:val="24"/>
        </w:rPr>
        <w:footnoteReference w:id="29"/>
      </w:r>
      <w:r w:rsidR="007B6BDD" w:rsidRPr="00641910">
        <w:rPr>
          <w:rFonts w:ascii="Times New Roman" w:hAnsi="Times New Roman" w:cs="Times New Roman"/>
          <w:color w:val="000000" w:themeColor="text1"/>
          <w:sz w:val="24"/>
          <w:szCs w:val="24"/>
        </w:rPr>
        <w:t xml:space="preserve">  The </w:t>
      </w:r>
      <w:r w:rsidR="00856D93" w:rsidRPr="00641910">
        <w:rPr>
          <w:rFonts w:ascii="Times New Roman" w:hAnsi="Times New Roman" w:cs="Times New Roman"/>
          <w:color w:val="000000" w:themeColor="text1"/>
          <w:sz w:val="24"/>
          <w:szCs w:val="24"/>
        </w:rPr>
        <w:t>attention</w:t>
      </w:r>
      <w:r w:rsidR="007B6BDD" w:rsidRPr="00641910">
        <w:rPr>
          <w:rFonts w:ascii="Times New Roman" w:hAnsi="Times New Roman" w:cs="Times New Roman"/>
          <w:color w:val="000000" w:themeColor="text1"/>
          <w:sz w:val="24"/>
          <w:szCs w:val="24"/>
        </w:rPr>
        <w:t xml:space="preserve"> given to these elements betrays the new role that the domestic interior was acquiring in the promotion of individual and family honour. The setting to which </w:t>
      </w:r>
      <w:proofErr w:type="spellStart"/>
      <w:r w:rsidR="007B6BDD" w:rsidRPr="00641910">
        <w:rPr>
          <w:rFonts w:ascii="Times New Roman" w:hAnsi="Times New Roman" w:cs="Times New Roman"/>
          <w:color w:val="000000" w:themeColor="text1"/>
          <w:sz w:val="24"/>
          <w:szCs w:val="24"/>
        </w:rPr>
        <w:t>Pontano</w:t>
      </w:r>
      <w:proofErr w:type="spellEnd"/>
      <w:r w:rsidR="007B6BDD" w:rsidRPr="00641910">
        <w:rPr>
          <w:rFonts w:ascii="Times New Roman" w:hAnsi="Times New Roman" w:cs="Times New Roman"/>
          <w:color w:val="000000" w:themeColor="text1"/>
          <w:sz w:val="24"/>
          <w:szCs w:val="24"/>
        </w:rPr>
        <w:t xml:space="preserve"> - secretary of two </w:t>
      </w:r>
      <w:proofErr w:type="spellStart"/>
      <w:r w:rsidR="007B6BDD" w:rsidRPr="00641910">
        <w:rPr>
          <w:rFonts w:ascii="Times New Roman" w:hAnsi="Times New Roman" w:cs="Times New Roman"/>
          <w:color w:val="000000" w:themeColor="text1"/>
          <w:sz w:val="24"/>
          <w:szCs w:val="24"/>
        </w:rPr>
        <w:t>Aragonese</w:t>
      </w:r>
      <w:proofErr w:type="spellEnd"/>
      <w:r w:rsidR="007B6BDD" w:rsidRPr="00641910">
        <w:rPr>
          <w:rFonts w:ascii="Times New Roman" w:hAnsi="Times New Roman" w:cs="Times New Roman"/>
          <w:color w:val="000000" w:themeColor="text1"/>
          <w:sz w:val="24"/>
          <w:szCs w:val="24"/>
        </w:rPr>
        <w:t xml:space="preserve"> kings of Naples and tutor of one of them   - refers at the end of the fifteenth century is that of the courtier. But in the following century this promotion of the home and its material culture to key elements in the achievement of splendour was extending beyond court circles. We witness in this period a relocation of the arena in which social status and mobility were validated, from the princely court to the homes and villas of noble and prosperous families</w:t>
      </w:r>
      <w:r w:rsidRPr="00641910">
        <w:rPr>
          <w:rFonts w:ascii="Times New Roman" w:hAnsi="Times New Roman" w:cs="Times New Roman"/>
          <w:color w:val="000000" w:themeColor="text1"/>
          <w:sz w:val="24"/>
          <w:szCs w:val="24"/>
        </w:rPr>
        <w:t>.</w:t>
      </w:r>
      <w:r w:rsidRPr="00641910">
        <w:rPr>
          <w:rStyle w:val="FootnoteReference"/>
          <w:rFonts w:ascii="Times New Roman" w:hAnsi="Times New Roman" w:cs="Times New Roman"/>
          <w:color w:val="000000" w:themeColor="text1"/>
          <w:sz w:val="24"/>
          <w:szCs w:val="24"/>
        </w:rPr>
        <w:footnoteReference w:id="30"/>
      </w:r>
      <w:r w:rsidRPr="00641910">
        <w:rPr>
          <w:rFonts w:ascii="Times New Roman" w:hAnsi="Times New Roman" w:cs="Times New Roman"/>
          <w:color w:val="000000" w:themeColor="text1"/>
          <w:sz w:val="24"/>
          <w:szCs w:val="24"/>
        </w:rPr>
        <w:t xml:space="preserve"> Increasingly</w:t>
      </w:r>
      <w:r w:rsidR="007B6BDD" w:rsidRPr="00641910">
        <w:rPr>
          <w:rFonts w:ascii="Times New Roman" w:hAnsi="Times New Roman" w:cs="Times New Roman"/>
          <w:color w:val="000000" w:themeColor="text1"/>
          <w:sz w:val="24"/>
          <w:szCs w:val="24"/>
        </w:rPr>
        <w:t>, these became</w:t>
      </w:r>
      <w:r w:rsidRPr="00641910">
        <w:rPr>
          <w:rFonts w:ascii="Times New Roman" w:hAnsi="Times New Roman" w:cs="Times New Roman"/>
          <w:color w:val="000000" w:themeColor="text1"/>
          <w:sz w:val="24"/>
          <w:szCs w:val="24"/>
        </w:rPr>
        <w:t xml:space="preserve"> sites for forms of entertainment and conviviality in which the civil credentials of householders could be deployed.</w:t>
      </w:r>
      <w:r w:rsidRPr="00641910">
        <w:rPr>
          <w:rStyle w:val="FootnoteReference"/>
          <w:rFonts w:ascii="Times New Roman" w:hAnsi="Times New Roman" w:cs="Times New Roman"/>
          <w:color w:val="000000" w:themeColor="text1"/>
          <w:sz w:val="24"/>
          <w:szCs w:val="24"/>
        </w:rPr>
        <w:footnoteReference w:id="31"/>
      </w:r>
      <w:r w:rsidRPr="00641910">
        <w:rPr>
          <w:rFonts w:ascii="Times New Roman" w:hAnsi="Times New Roman" w:cs="Times New Roman"/>
          <w:color w:val="000000" w:themeColor="text1"/>
          <w:sz w:val="24"/>
          <w:szCs w:val="24"/>
        </w:rPr>
        <w:t xml:space="preserve"> As illustrated  by </w:t>
      </w:r>
      <w:proofErr w:type="spellStart"/>
      <w:r w:rsidRPr="00641910">
        <w:rPr>
          <w:rFonts w:ascii="Times New Roman" w:hAnsi="Times New Roman" w:cs="Times New Roman"/>
          <w:color w:val="000000" w:themeColor="text1"/>
          <w:sz w:val="24"/>
          <w:szCs w:val="24"/>
        </w:rPr>
        <w:t>Guazzo’s</w:t>
      </w:r>
      <w:proofErr w:type="spellEnd"/>
      <w:r w:rsidRPr="00641910">
        <w:rPr>
          <w:rFonts w:ascii="Times New Roman" w:hAnsi="Times New Roman" w:cs="Times New Roman"/>
          <w:color w:val="000000" w:themeColor="text1"/>
          <w:sz w:val="24"/>
          <w:szCs w:val="24"/>
        </w:rPr>
        <w:t xml:space="preserve">  influential </w:t>
      </w:r>
      <w:r w:rsidRPr="00641910">
        <w:rPr>
          <w:rFonts w:ascii="Times New Roman" w:hAnsi="Times New Roman" w:cs="Times New Roman"/>
          <w:i/>
          <w:color w:val="000000" w:themeColor="text1"/>
          <w:sz w:val="24"/>
          <w:szCs w:val="24"/>
        </w:rPr>
        <w:t xml:space="preserve">On Civil Conversation, </w:t>
      </w:r>
      <w:r w:rsidRPr="00641910">
        <w:rPr>
          <w:rFonts w:ascii="Times New Roman" w:hAnsi="Times New Roman" w:cs="Times New Roman"/>
          <w:color w:val="000000" w:themeColor="text1"/>
          <w:sz w:val="24"/>
          <w:szCs w:val="24"/>
        </w:rPr>
        <w:t>1574, a text which celebrates the lives of nobles and notab</w:t>
      </w:r>
      <w:r w:rsidR="00272A42">
        <w:rPr>
          <w:rFonts w:ascii="Times New Roman" w:hAnsi="Times New Roman" w:cs="Times New Roman"/>
          <w:color w:val="000000" w:themeColor="text1"/>
          <w:sz w:val="24"/>
          <w:szCs w:val="24"/>
        </w:rPr>
        <w:t>les in Italian provincial towns</w:t>
      </w:r>
      <w:r w:rsidRPr="00641910">
        <w:rPr>
          <w:rFonts w:ascii="Times New Roman" w:hAnsi="Times New Roman" w:cs="Times New Roman"/>
          <w:color w:val="000000" w:themeColor="text1"/>
          <w:sz w:val="24"/>
          <w:szCs w:val="24"/>
        </w:rPr>
        <w:t xml:space="preserve"> </w:t>
      </w:r>
      <w:r w:rsidR="00272A42">
        <w:rPr>
          <w:rFonts w:ascii="Times New Roman" w:hAnsi="Times New Roman" w:cs="Times New Roman"/>
          <w:color w:val="000000" w:themeColor="text1"/>
          <w:sz w:val="24"/>
          <w:szCs w:val="24"/>
        </w:rPr>
        <w:t xml:space="preserve">(and </w:t>
      </w:r>
      <w:r w:rsidRPr="00641910">
        <w:rPr>
          <w:rFonts w:ascii="Times New Roman" w:hAnsi="Times New Roman" w:cs="Times New Roman"/>
          <w:color w:val="000000" w:themeColor="text1"/>
          <w:sz w:val="24"/>
          <w:szCs w:val="24"/>
        </w:rPr>
        <w:t xml:space="preserve">hence </w:t>
      </w:r>
      <w:r w:rsidR="00C32E3E" w:rsidRPr="00641910">
        <w:rPr>
          <w:rFonts w:ascii="Times New Roman" w:hAnsi="Times New Roman" w:cs="Times New Roman"/>
          <w:color w:val="000000" w:themeColor="text1"/>
          <w:sz w:val="24"/>
          <w:szCs w:val="24"/>
        </w:rPr>
        <w:t xml:space="preserve">removed from </w:t>
      </w:r>
      <w:r w:rsidRPr="00641910">
        <w:rPr>
          <w:rFonts w:ascii="Times New Roman" w:hAnsi="Times New Roman" w:cs="Times New Roman"/>
          <w:color w:val="000000" w:themeColor="text1"/>
          <w:sz w:val="24"/>
          <w:szCs w:val="24"/>
        </w:rPr>
        <w:t>princely court</w:t>
      </w:r>
      <w:r w:rsidR="00C32E3E" w:rsidRPr="00641910">
        <w:rPr>
          <w:rFonts w:ascii="Times New Roman" w:hAnsi="Times New Roman" w:cs="Times New Roman"/>
          <w:color w:val="000000" w:themeColor="text1"/>
          <w:sz w:val="24"/>
          <w:szCs w:val="24"/>
        </w:rPr>
        <w:t>s</w:t>
      </w:r>
      <w:r w:rsidR="00272A42">
        <w:rPr>
          <w:rFonts w:ascii="Times New Roman" w:hAnsi="Times New Roman" w:cs="Times New Roman"/>
          <w:color w:val="000000" w:themeColor="text1"/>
          <w:sz w:val="24"/>
          <w:szCs w:val="24"/>
        </w:rPr>
        <w:t>)</w:t>
      </w:r>
      <w:r w:rsidRPr="00641910">
        <w:rPr>
          <w:rFonts w:ascii="Times New Roman" w:hAnsi="Times New Roman" w:cs="Times New Roman"/>
          <w:color w:val="000000" w:themeColor="text1"/>
          <w:sz w:val="24"/>
          <w:szCs w:val="24"/>
        </w:rPr>
        <w:t>, education and mastery of the art of conversation learned and practised at home, were now regarded as key expressions of ‘civility’, the new hallmark of nob</w:t>
      </w:r>
      <w:r w:rsidR="00C32E3E" w:rsidRPr="00641910">
        <w:rPr>
          <w:rFonts w:ascii="Times New Roman" w:hAnsi="Times New Roman" w:cs="Times New Roman"/>
          <w:color w:val="000000" w:themeColor="text1"/>
          <w:sz w:val="24"/>
          <w:szCs w:val="24"/>
        </w:rPr>
        <w:t>le status</w:t>
      </w:r>
      <w:r w:rsidRPr="00641910">
        <w:rPr>
          <w:rFonts w:ascii="Times New Roman" w:hAnsi="Times New Roman" w:cs="Times New Roman"/>
          <w:color w:val="000000" w:themeColor="text1"/>
          <w:sz w:val="24"/>
          <w:szCs w:val="24"/>
        </w:rPr>
        <w:t>.</w:t>
      </w:r>
      <w:r w:rsidRPr="00641910">
        <w:rPr>
          <w:rStyle w:val="FootnoteReference"/>
          <w:rFonts w:ascii="Times New Roman" w:hAnsi="Times New Roman" w:cs="Times New Roman"/>
          <w:color w:val="000000" w:themeColor="text1"/>
          <w:sz w:val="24"/>
          <w:szCs w:val="24"/>
        </w:rPr>
        <w:footnoteReference w:id="32"/>
      </w:r>
      <w:r w:rsidRPr="00641910">
        <w:rPr>
          <w:rFonts w:ascii="Times New Roman" w:hAnsi="Times New Roman" w:cs="Times New Roman"/>
          <w:color w:val="000000" w:themeColor="text1"/>
          <w:sz w:val="24"/>
          <w:szCs w:val="24"/>
        </w:rPr>
        <w:t xml:space="preserve">  Indeed, in a period of intense social mobility, true nobility was no longer proved exclusively by birth and pedigree but attested </w:t>
      </w:r>
      <w:r w:rsidR="007B6BDD" w:rsidRPr="00641910">
        <w:rPr>
          <w:rFonts w:ascii="Times New Roman" w:hAnsi="Times New Roman" w:cs="Times New Roman"/>
          <w:color w:val="000000" w:themeColor="text1"/>
          <w:sz w:val="24"/>
          <w:szCs w:val="24"/>
        </w:rPr>
        <w:t>through ‘virtue’, and</w:t>
      </w:r>
      <w:r w:rsidRPr="00641910">
        <w:rPr>
          <w:rFonts w:ascii="Times New Roman" w:hAnsi="Times New Roman" w:cs="Times New Roman"/>
          <w:color w:val="000000" w:themeColor="text1"/>
          <w:sz w:val="24"/>
          <w:szCs w:val="24"/>
        </w:rPr>
        <w:t xml:space="preserve"> virtue was increasingly deployed by fulfilling the requirements of civil life in the home setting. </w:t>
      </w:r>
    </w:p>
    <w:p w:rsidR="00793A9C" w:rsidRDefault="00521217" w:rsidP="00521217">
      <w:pPr>
        <w:autoSpaceDE w:val="0"/>
        <w:autoSpaceDN w:val="0"/>
        <w:adjustRightInd w:val="0"/>
        <w:spacing w:after="0" w:line="360" w:lineRule="auto"/>
        <w:jc w:val="both"/>
        <w:rPr>
          <w:rFonts w:ascii="Times New Roman" w:hAnsi="Times New Roman" w:cs="Times New Roman"/>
          <w:color w:val="000000" w:themeColor="text1"/>
          <w:sz w:val="24"/>
          <w:szCs w:val="24"/>
        </w:rPr>
      </w:pPr>
      <w:r w:rsidRPr="00641910">
        <w:rPr>
          <w:rFonts w:ascii="Times New Roman" w:hAnsi="Times New Roman" w:cs="Times New Roman"/>
          <w:color w:val="000000" w:themeColor="text1"/>
          <w:sz w:val="24"/>
          <w:szCs w:val="24"/>
        </w:rPr>
        <w:tab/>
        <w:t xml:space="preserve">Claims </w:t>
      </w:r>
      <w:r w:rsidR="007B6BDD" w:rsidRPr="00641910">
        <w:rPr>
          <w:rFonts w:ascii="Times New Roman" w:hAnsi="Times New Roman" w:cs="Times New Roman"/>
          <w:color w:val="000000" w:themeColor="text1"/>
          <w:sz w:val="24"/>
          <w:szCs w:val="24"/>
        </w:rPr>
        <w:t xml:space="preserve">to civility and virtue, however, were also substantiated by </w:t>
      </w:r>
      <w:r w:rsidR="007B6BDD" w:rsidRPr="00641910">
        <w:rPr>
          <w:rFonts w:ascii="Times New Roman" w:hAnsi="Times New Roman" w:cs="Times New Roman"/>
          <w:sz w:val="24"/>
          <w:szCs w:val="24"/>
        </w:rPr>
        <w:t xml:space="preserve">the appearance and quality of domestic surroundings, </w:t>
      </w:r>
      <w:r w:rsidR="007B6BDD" w:rsidRPr="00641910">
        <w:rPr>
          <w:rFonts w:ascii="Times New Roman" w:hAnsi="Times New Roman" w:cs="Times New Roman"/>
          <w:color w:val="000000" w:themeColor="text1"/>
          <w:sz w:val="24"/>
          <w:szCs w:val="24"/>
        </w:rPr>
        <w:t>not just by learned and polite conversation. Domestic possessions, including those that fulfilled a role in health maintenance, were seen to certify</w:t>
      </w:r>
      <w:r w:rsidR="007B6BDD" w:rsidRPr="00641910">
        <w:rPr>
          <w:rFonts w:ascii="Georgia" w:hAnsi="Georgia" w:cs="Times New Roman"/>
          <w:color w:val="000000" w:themeColor="text1"/>
          <w:sz w:val="24"/>
          <w:szCs w:val="24"/>
        </w:rPr>
        <w:t xml:space="preserve"> </w:t>
      </w:r>
      <w:r w:rsidR="007B6BDD" w:rsidRPr="00641910">
        <w:rPr>
          <w:rFonts w:ascii="Times New Roman" w:hAnsi="Times New Roman" w:cs="Times New Roman"/>
          <w:color w:val="000000" w:themeColor="text1"/>
          <w:sz w:val="24"/>
          <w:szCs w:val="24"/>
        </w:rPr>
        <w:t>the moral qualities that make the civil man. Many have</w:t>
      </w:r>
      <w:r w:rsidR="00272A42">
        <w:rPr>
          <w:rFonts w:ascii="Times New Roman" w:hAnsi="Times New Roman" w:cs="Times New Roman"/>
          <w:color w:val="000000" w:themeColor="text1"/>
          <w:sz w:val="24"/>
          <w:szCs w:val="24"/>
        </w:rPr>
        <w:t xml:space="preserve"> commented on the attributes of</w:t>
      </w:r>
      <w:r w:rsidR="007B6BDD" w:rsidRPr="00641910">
        <w:rPr>
          <w:rFonts w:ascii="Times New Roman" w:hAnsi="Times New Roman" w:cs="Times New Roman"/>
          <w:color w:val="000000" w:themeColor="text1"/>
          <w:sz w:val="24"/>
          <w:szCs w:val="24"/>
        </w:rPr>
        <w:t xml:space="preserve"> sobriety, liberality, prudence, education, elegance, good manners and restraint expected of the true gentleman, but his virtue, I would argue, was also defined by health consciousness. He </w:t>
      </w:r>
      <w:r w:rsidR="007B6BDD" w:rsidRPr="00641910">
        <w:rPr>
          <w:rFonts w:ascii="Times New Roman" w:hAnsi="Times New Roman" w:cs="Times New Roman"/>
          <w:color w:val="000000" w:themeColor="text1"/>
          <w:sz w:val="24"/>
          <w:szCs w:val="24"/>
        </w:rPr>
        <w:lastRenderedPageBreak/>
        <w:t xml:space="preserve">was required to possess the rational faculties and governing powers necessary to preserve the health of the family, as well as its wealth and honour. </w:t>
      </w:r>
      <w:r w:rsidRPr="00641910">
        <w:rPr>
          <w:rFonts w:ascii="Times New Roman" w:hAnsi="Times New Roman" w:cs="Times New Roman"/>
          <w:color w:val="000000" w:themeColor="text1"/>
          <w:sz w:val="24"/>
          <w:szCs w:val="24"/>
        </w:rPr>
        <w:t xml:space="preserve">This is clearly documented in conduct literature.  The manuals for the correct management of the household directed to the </w:t>
      </w:r>
      <w:proofErr w:type="spellStart"/>
      <w:r w:rsidRPr="00641910">
        <w:rPr>
          <w:rFonts w:ascii="Times New Roman" w:hAnsi="Times New Roman" w:cs="Times New Roman"/>
          <w:i/>
          <w:color w:val="000000" w:themeColor="text1"/>
          <w:sz w:val="24"/>
          <w:szCs w:val="24"/>
        </w:rPr>
        <w:t>pater</w:t>
      </w:r>
      <w:proofErr w:type="spellEnd"/>
      <w:r w:rsidRPr="00641910">
        <w:rPr>
          <w:rFonts w:ascii="Times New Roman" w:hAnsi="Times New Roman" w:cs="Times New Roman"/>
          <w:i/>
          <w:color w:val="000000" w:themeColor="text1"/>
          <w:sz w:val="24"/>
          <w:szCs w:val="24"/>
        </w:rPr>
        <w:t xml:space="preserve"> </w:t>
      </w:r>
      <w:proofErr w:type="spellStart"/>
      <w:r w:rsidRPr="00641910">
        <w:rPr>
          <w:rFonts w:ascii="Times New Roman" w:hAnsi="Times New Roman" w:cs="Times New Roman"/>
          <w:i/>
          <w:color w:val="000000" w:themeColor="text1"/>
          <w:sz w:val="24"/>
          <w:szCs w:val="24"/>
        </w:rPr>
        <w:t>familias</w:t>
      </w:r>
      <w:proofErr w:type="spellEnd"/>
      <w:r w:rsidRPr="00641910">
        <w:rPr>
          <w:rFonts w:ascii="Times New Roman" w:hAnsi="Times New Roman" w:cs="Times New Roman"/>
          <w:color w:val="000000" w:themeColor="text1"/>
          <w:sz w:val="24"/>
          <w:szCs w:val="24"/>
        </w:rPr>
        <w:t xml:space="preserve">  - a genre whose growth in this period is another sign of the scrutiny to which the organisation of domestic life is subjected - contain frequent references to the duty of ensuring the healthiness of all those living in the house. The physical well-being of the family, servants included, is described as one of the head of household’s key responsibilities.</w:t>
      </w:r>
      <w:r w:rsidRPr="00641910">
        <w:rPr>
          <w:rStyle w:val="FootnoteReference"/>
          <w:rFonts w:ascii="Times New Roman" w:hAnsi="Times New Roman" w:cs="Times New Roman"/>
          <w:color w:val="000000" w:themeColor="text1"/>
          <w:sz w:val="24"/>
          <w:szCs w:val="24"/>
        </w:rPr>
        <w:footnoteReference w:id="33"/>
      </w:r>
      <w:r w:rsidRPr="00641910">
        <w:rPr>
          <w:rFonts w:ascii="Times New Roman" w:hAnsi="Times New Roman" w:cs="Times New Roman"/>
          <w:color w:val="000000" w:themeColor="text1"/>
          <w:sz w:val="24"/>
          <w:szCs w:val="24"/>
        </w:rPr>
        <w:t xml:space="preserve"> While the doctor treats the sick body, ‘preservative care’ pertains to the </w:t>
      </w:r>
      <w:proofErr w:type="spellStart"/>
      <w:r w:rsidRPr="00641910">
        <w:rPr>
          <w:rFonts w:ascii="Times New Roman" w:hAnsi="Times New Roman" w:cs="Times New Roman"/>
          <w:i/>
          <w:color w:val="000000" w:themeColor="text1"/>
          <w:sz w:val="24"/>
          <w:szCs w:val="24"/>
        </w:rPr>
        <w:t>pater</w:t>
      </w:r>
      <w:proofErr w:type="spellEnd"/>
      <w:r w:rsidRPr="00641910">
        <w:rPr>
          <w:rFonts w:ascii="Times New Roman" w:hAnsi="Times New Roman" w:cs="Times New Roman"/>
          <w:i/>
          <w:color w:val="000000" w:themeColor="text1"/>
          <w:sz w:val="24"/>
          <w:szCs w:val="24"/>
        </w:rPr>
        <w:t xml:space="preserve"> </w:t>
      </w:r>
      <w:proofErr w:type="spellStart"/>
      <w:r w:rsidRPr="00641910">
        <w:rPr>
          <w:rFonts w:ascii="Times New Roman" w:hAnsi="Times New Roman" w:cs="Times New Roman"/>
          <w:i/>
          <w:color w:val="000000" w:themeColor="text1"/>
          <w:sz w:val="24"/>
          <w:szCs w:val="24"/>
        </w:rPr>
        <w:t>familias</w:t>
      </w:r>
      <w:proofErr w:type="spellEnd"/>
      <w:r w:rsidRPr="00641910">
        <w:rPr>
          <w:rFonts w:ascii="Times New Roman" w:hAnsi="Times New Roman" w:cs="Times New Roman"/>
          <w:color w:val="000000" w:themeColor="text1"/>
          <w:sz w:val="24"/>
          <w:szCs w:val="24"/>
        </w:rPr>
        <w:t>.</w:t>
      </w:r>
      <w:r w:rsidRPr="00641910">
        <w:rPr>
          <w:rStyle w:val="FootnoteReference"/>
          <w:rFonts w:ascii="Times New Roman" w:hAnsi="Times New Roman" w:cs="Times New Roman"/>
          <w:color w:val="000000" w:themeColor="text1"/>
          <w:sz w:val="24"/>
          <w:szCs w:val="24"/>
        </w:rPr>
        <w:footnoteReference w:id="34"/>
      </w:r>
      <w:r w:rsidRPr="00641910">
        <w:rPr>
          <w:rFonts w:ascii="Times New Roman" w:hAnsi="Times New Roman" w:cs="Times New Roman"/>
          <w:color w:val="000000" w:themeColor="text1"/>
          <w:sz w:val="24"/>
          <w:szCs w:val="24"/>
        </w:rPr>
        <w:t xml:space="preserve">  This is the ‘greatest economy’ that a diligent head of household can make.</w:t>
      </w:r>
      <w:r w:rsidRPr="00641910">
        <w:rPr>
          <w:rStyle w:val="FootnoteReference"/>
          <w:rFonts w:ascii="Times New Roman" w:hAnsi="Times New Roman" w:cs="Times New Roman"/>
          <w:color w:val="000000" w:themeColor="text1"/>
          <w:sz w:val="24"/>
          <w:szCs w:val="24"/>
        </w:rPr>
        <w:footnoteReference w:id="35"/>
      </w:r>
      <w:r w:rsidRPr="00641910">
        <w:rPr>
          <w:rFonts w:ascii="Times New Roman" w:hAnsi="Times New Roman" w:cs="Times New Roman"/>
          <w:color w:val="000000" w:themeColor="text1"/>
          <w:sz w:val="24"/>
          <w:szCs w:val="24"/>
        </w:rPr>
        <w:t xml:space="preserve"> He should be aware, therefore, of the ‘medicinal rules’ to be adopted within the household</w:t>
      </w:r>
      <w:r w:rsidR="001206CD" w:rsidRPr="00641910">
        <w:rPr>
          <w:rFonts w:ascii="Times New Roman" w:hAnsi="Times New Roman" w:cs="Times New Roman"/>
          <w:color w:val="000000" w:themeColor="text1"/>
          <w:sz w:val="24"/>
          <w:szCs w:val="24"/>
        </w:rPr>
        <w:t xml:space="preserve">: </w:t>
      </w:r>
      <w:r w:rsidRPr="00641910">
        <w:rPr>
          <w:rFonts w:ascii="Times New Roman" w:hAnsi="Times New Roman" w:cs="Times New Roman"/>
          <w:color w:val="000000" w:themeColor="text1"/>
          <w:sz w:val="24"/>
          <w:szCs w:val="24"/>
        </w:rPr>
        <w:t xml:space="preserve"> </w:t>
      </w:r>
      <w:r w:rsidR="001206CD" w:rsidRPr="00641910">
        <w:rPr>
          <w:rFonts w:ascii="Times New Roman" w:hAnsi="Times New Roman" w:cs="Times New Roman"/>
          <w:color w:val="000000" w:themeColor="text1"/>
          <w:sz w:val="24"/>
          <w:szCs w:val="24"/>
        </w:rPr>
        <w:t>a</w:t>
      </w:r>
      <w:r w:rsidRPr="00641910">
        <w:rPr>
          <w:rFonts w:ascii="Times New Roman" w:hAnsi="Times New Roman" w:cs="Times New Roman"/>
          <w:color w:val="000000" w:themeColor="text1"/>
          <w:sz w:val="24"/>
          <w:szCs w:val="24"/>
        </w:rPr>
        <w:t>uthors detail the foods and drinks that are good or bad for health and when and in what manner they should be consumed</w:t>
      </w:r>
      <w:r w:rsidR="00C32162" w:rsidRPr="00641910">
        <w:rPr>
          <w:rFonts w:ascii="Times New Roman" w:hAnsi="Times New Roman" w:cs="Times New Roman"/>
          <w:color w:val="000000" w:themeColor="text1"/>
          <w:sz w:val="24"/>
          <w:szCs w:val="24"/>
        </w:rPr>
        <w:t>;</w:t>
      </w:r>
      <w:r w:rsidR="00C32162" w:rsidRPr="00641910">
        <w:rPr>
          <w:rStyle w:val="FootnoteReference"/>
          <w:rFonts w:ascii="Times New Roman" w:hAnsi="Times New Roman" w:cs="Times New Roman"/>
          <w:color w:val="000000" w:themeColor="text1"/>
          <w:sz w:val="24"/>
          <w:szCs w:val="24"/>
        </w:rPr>
        <w:footnoteReference w:id="36"/>
      </w:r>
      <w:r w:rsidR="00C32162" w:rsidRPr="00641910">
        <w:rPr>
          <w:rFonts w:ascii="Times New Roman" w:hAnsi="Times New Roman" w:cs="Times New Roman"/>
          <w:color w:val="000000" w:themeColor="text1"/>
          <w:sz w:val="24"/>
          <w:szCs w:val="24"/>
        </w:rPr>
        <w:t xml:space="preserve"> they discuss rest, which should not be too long, exercise, and the need to protect the body from severe temperature and humidity with appropriate clothing, and to avoid perturbations of the soul</w:t>
      </w:r>
      <w:r w:rsidRPr="00641910">
        <w:rPr>
          <w:rFonts w:ascii="Times New Roman" w:hAnsi="Times New Roman" w:cs="Times New Roman"/>
          <w:color w:val="000000" w:themeColor="text1"/>
          <w:sz w:val="24"/>
          <w:szCs w:val="24"/>
        </w:rPr>
        <w:t>.</w:t>
      </w:r>
      <w:r w:rsidR="00C32162" w:rsidRPr="00641910">
        <w:rPr>
          <w:rStyle w:val="FootnoteReference"/>
          <w:rFonts w:ascii="Times New Roman" w:hAnsi="Times New Roman" w:cs="Times New Roman"/>
          <w:color w:val="000000" w:themeColor="text1"/>
          <w:sz w:val="24"/>
          <w:szCs w:val="24"/>
        </w:rPr>
        <w:footnoteReference w:id="37"/>
      </w:r>
      <w:r w:rsidR="00C32162" w:rsidRPr="00641910">
        <w:rPr>
          <w:rFonts w:ascii="Times New Roman" w:hAnsi="Times New Roman" w:cs="Times New Roman"/>
          <w:color w:val="000000" w:themeColor="text1"/>
          <w:sz w:val="24"/>
          <w:szCs w:val="24"/>
        </w:rPr>
        <w:t xml:space="preserve"> </w:t>
      </w:r>
      <w:r w:rsidRPr="00641910">
        <w:rPr>
          <w:rFonts w:ascii="Times New Roman" w:hAnsi="Times New Roman" w:cs="Times New Roman"/>
          <w:color w:val="000000" w:themeColor="text1"/>
          <w:sz w:val="24"/>
          <w:szCs w:val="24"/>
        </w:rPr>
        <w:t>Air is presented as another key concern of the father of the family</w:t>
      </w:r>
      <w:r w:rsidR="00C32162" w:rsidRPr="00641910">
        <w:rPr>
          <w:rFonts w:ascii="Times New Roman" w:hAnsi="Times New Roman" w:cs="Times New Roman"/>
          <w:color w:val="000000" w:themeColor="text1"/>
          <w:sz w:val="24"/>
          <w:szCs w:val="24"/>
        </w:rPr>
        <w:t>:</w:t>
      </w:r>
      <w:r w:rsidR="00014080" w:rsidRPr="00641910">
        <w:rPr>
          <w:rFonts w:ascii="Times New Roman" w:hAnsi="Times New Roman" w:cs="Times New Roman"/>
          <w:color w:val="000000" w:themeColor="text1"/>
          <w:sz w:val="24"/>
          <w:szCs w:val="24"/>
        </w:rPr>
        <w:t xml:space="preserve"> </w:t>
      </w:r>
      <w:r w:rsidR="00C32162" w:rsidRPr="00641910">
        <w:rPr>
          <w:rFonts w:ascii="Times New Roman" w:hAnsi="Times New Roman" w:cs="Times New Roman"/>
          <w:color w:val="000000" w:themeColor="text1"/>
          <w:sz w:val="24"/>
          <w:szCs w:val="24"/>
        </w:rPr>
        <w:t>h</w:t>
      </w:r>
      <w:r w:rsidRPr="00641910">
        <w:rPr>
          <w:rFonts w:ascii="Times New Roman" w:hAnsi="Times New Roman" w:cs="Times New Roman"/>
          <w:color w:val="000000" w:themeColor="text1"/>
          <w:sz w:val="24"/>
          <w:szCs w:val="24"/>
        </w:rPr>
        <w:t xml:space="preserve">e will ensure that the house is located in a site of good, temperate air, exposed to the sun in the morning and to the </w:t>
      </w:r>
      <w:r w:rsidR="00014080" w:rsidRPr="00641910">
        <w:rPr>
          <w:rFonts w:ascii="Times New Roman" w:hAnsi="Times New Roman" w:cs="Times New Roman"/>
          <w:color w:val="000000" w:themeColor="text1"/>
          <w:sz w:val="24"/>
          <w:szCs w:val="24"/>
        </w:rPr>
        <w:t xml:space="preserve">salutary </w:t>
      </w:r>
      <w:r w:rsidRPr="00641910">
        <w:rPr>
          <w:rFonts w:ascii="Times New Roman" w:hAnsi="Times New Roman" w:cs="Times New Roman"/>
          <w:color w:val="000000" w:themeColor="text1"/>
          <w:sz w:val="24"/>
          <w:szCs w:val="24"/>
        </w:rPr>
        <w:t>Eastern winds.</w:t>
      </w:r>
      <w:r w:rsidRPr="00641910">
        <w:rPr>
          <w:rStyle w:val="FootnoteReference"/>
          <w:rFonts w:ascii="Times New Roman" w:hAnsi="Times New Roman" w:cs="Times New Roman"/>
          <w:color w:val="000000" w:themeColor="text1"/>
          <w:sz w:val="24"/>
          <w:szCs w:val="24"/>
        </w:rPr>
        <w:footnoteReference w:id="38"/>
      </w:r>
      <w:r w:rsidRPr="00641910">
        <w:rPr>
          <w:rFonts w:ascii="Times New Roman" w:hAnsi="Times New Roman" w:cs="Times New Roman"/>
          <w:color w:val="000000" w:themeColor="text1"/>
          <w:sz w:val="24"/>
          <w:szCs w:val="24"/>
        </w:rPr>
        <w:t xml:space="preserve"> The disposition of internal space is </w:t>
      </w:r>
      <w:r w:rsidR="00014080" w:rsidRPr="00641910">
        <w:rPr>
          <w:rFonts w:ascii="Times New Roman" w:hAnsi="Times New Roman" w:cs="Times New Roman"/>
          <w:color w:val="000000" w:themeColor="text1"/>
          <w:sz w:val="24"/>
          <w:szCs w:val="24"/>
        </w:rPr>
        <w:t xml:space="preserve">equally </w:t>
      </w:r>
      <w:r w:rsidRPr="00641910">
        <w:rPr>
          <w:rFonts w:ascii="Times New Roman" w:hAnsi="Times New Roman" w:cs="Times New Roman"/>
          <w:color w:val="000000" w:themeColor="text1"/>
          <w:sz w:val="24"/>
          <w:szCs w:val="24"/>
        </w:rPr>
        <w:t>relevant to health: living space for the summer period will face North, but South in winter</w:t>
      </w:r>
      <w:proofErr w:type="gramStart"/>
      <w:r w:rsidR="00974F15" w:rsidRPr="00641910">
        <w:rPr>
          <w:rFonts w:ascii="Times New Roman" w:hAnsi="Times New Roman" w:cs="Times New Roman"/>
          <w:color w:val="000000" w:themeColor="text1"/>
          <w:sz w:val="24"/>
          <w:szCs w:val="24"/>
        </w:rPr>
        <w:t>;</w:t>
      </w:r>
      <w:proofErr w:type="gramEnd"/>
      <w:r w:rsidR="00974F15" w:rsidRPr="00641910">
        <w:rPr>
          <w:rStyle w:val="FootnoteReference"/>
          <w:rFonts w:ascii="Times New Roman" w:hAnsi="Times New Roman" w:cs="Times New Roman"/>
          <w:color w:val="000000" w:themeColor="text1"/>
          <w:sz w:val="24"/>
          <w:szCs w:val="24"/>
        </w:rPr>
        <w:t xml:space="preserve"> </w:t>
      </w:r>
      <w:r w:rsidRPr="00641910">
        <w:rPr>
          <w:rFonts w:ascii="Times New Roman" w:hAnsi="Times New Roman" w:cs="Times New Roman"/>
          <w:color w:val="000000" w:themeColor="text1"/>
          <w:sz w:val="24"/>
          <w:szCs w:val="24"/>
        </w:rPr>
        <w:t>storage spaces will be differently oriented according to the good they are storing (grains or foodstuffs, books or clothing), so that these are better preserved from corruption.</w:t>
      </w:r>
      <w:r w:rsidRPr="00641910">
        <w:rPr>
          <w:rStyle w:val="FootnoteReference"/>
          <w:rFonts w:ascii="Times New Roman" w:hAnsi="Times New Roman" w:cs="Times New Roman"/>
          <w:color w:val="000000" w:themeColor="text1"/>
          <w:sz w:val="24"/>
          <w:szCs w:val="24"/>
        </w:rPr>
        <w:footnoteReference w:id="39"/>
      </w:r>
      <w:r w:rsidRPr="00641910">
        <w:rPr>
          <w:rFonts w:ascii="Times New Roman" w:hAnsi="Times New Roman" w:cs="Times New Roman"/>
          <w:color w:val="000000" w:themeColor="text1"/>
          <w:sz w:val="24"/>
          <w:szCs w:val="24"/>
        </w:rPr>
        <w:t xml:space="preserve"> The cleanliness of the house is also seen as assisting health.</w:t>
      </w:r>
      <w:r w:rsidRPr="00641910">
        <w:rPr>
          <w:rStyle w:val="FootnoteReference"/>
          <w:rFonts w:ascii="Times New Roman" w:hAnsi="Times New Roman" w:cs="Times New Roman"/>
          <w:color w:val="000000" w:themeColor="text1"/>
          <w:sz w:val="24"/>
          <w:szCs w:val="24"/>
        </w:rPr>
        <w:footnoteReference w:id="40"/>
      </w:r>
      <w:r w:rsidR="00602BAC" w:rsidRPr="00641910">
        <w:rPr>
          <w:rFonts w:ascii="Times New Roman" w:hAnsi="Times New Roman" w:cs="Times New Roman"/>
          <w:color w:val="000000" w:themeColor="text1"/>
          <w:sz w:val="24"/>
          <w:szCs w:val="24"/>
        </w:rPr>
        <w:t xml:space="preserve"> </w:t>
      </w:r>
    </w:p>
    <w:p w:rsidR="00000000" w:rsidRDefault="00793A9C">
      <w:pPr>
        <w:autoSpaceDE w:val="0"/>
        <w:autoSpaceDN w:val="0"/>
        <w:adjustRightInd w:val="0"/>
        <w:spacing w:after="0" w:line="360" w:lineRule="auto"/>
        <w:jc w:val="both"/>
        <w:rPr>
          <w:rFonts w:ascii="Times New Roman" w:hAnsi="Times New Roman" w:cs="Times New Roman"/>
          <w:sz w:val="24"/>
          <w:szCs w:val="24"/>
          <w:lang w:val="en-US" w:eastAsia="en-GB"/>
        </w:rPr>
      </w:pPr>
      <w:r>
        <w:rPr>
          <w:rFonts w:ascii="Times New Roman" w:hAnsi="Times New Roman" w:cs="Times New Roman"/>
          <w:color w:val="000000" w:themeColor="text1"/>
          <w:sz w:val="24"/>
          <w:szCs w:val="24"/>
        </w:rPr>
        <w:tab/>
      </w:r>
      <w:r w:rsidRPr="00641910">
        <w:rPr>
          <w:rFonts w:ascii="Times New Roman" w:hAnsi="Times New Roman" w:cs="Times New Roman"/>
          <w:sz w:val="24"/>
          <w:szCs w:val="24"/>
          <w:lang w:val="en-US" w:eastAsia="en-GB"/>
        </w:rPr>
        <w:t xml:space="preserve">The medical discourse about home and health </w:t>
      </w:r>
      <w:r>
        <w:rPr>
          <w:rFonts w:ascii="Times New Roman" w:hAnsi="Times New Roman" w:cs="Times New Roman"/>
          <w:sz w:val="24"/>
          <w:szCs w:val="24"/>
          <w:lang w:val="en-US" w:eastAsia="en-GB"/>
        </w:rPr>
        <w:t xml:space="preserve">therefore </w:t>
      </w:r>
      <w:r w:rsidRPr="00641910">
        <w:rPr>
          <w:rFonts w:ascii="Times New Roman" w:hAnsi="Times New Roman" w:cs="Times New Roman"/>
          <w:sz w:val="24"/>
          <w:szCs w:val="24"/>
          <w:lang w:val="en-US" w:eastAsia="en-GB"/>
        </w:rPr>
        <w:t xml:space="preserve">did not develop in a vacuum; the re-definition of elite structure in Italian cities and of nobility as a moral quality, combined with the new representational functions acquired by the </w:t>
      </w:r>
      <w:proofErr w:type="spellStart"/>
      <w:r w:rsidRPr="00641910">
        <w:rPr>
          <w:rFonts w:ascii="Times New Roman" w:hAnsi="Times New Roman" w:cs="Times New Roman"/>
          <w:sz w:val="24"/>
          <w:szCs w:val="24"/>
          <w:lang w:val="en-US" w:eastAsia="en-GB"/>
        </w:rPr>
        <w:t>residential</w:t>
      </w:r>
      <w:proofErr w:type="spellEnd"/>
      <w:r w:rsidRPr="00641910">
        <w:rPr>
          <w:rFonts w:ascii="Times New Roman" w:hAnsi="Times New Roman" w:cs="Times New Roman"/>
          <w:sz w:val="24"/>
          <w:szCs w:val="24"/>
          <w:lang w:val="en-US" w:eastAsia="en-GB"/>
        </w:rPr>
        <w:t xml:space="preserve"> palace and the rise of domestic consumerism</w:t>
      </w:r>
      <w:r>
        <w:rPr>
          <w:rFonts w:ascii="Times New Roman" w:hAnsi="Times New Roman" w:cs="Times New Roman"/>
          <w:sz w:val="24"/>
          <w:szCs w:val="24"/>
          <w:lang w:val="en-US" w:eastAsia="en-GB"/>
        </w:rPr>
        <w:t>,</w:t>
      </w:r>
      <w:r w:rsidRPr="00641910">
        <w:rPr>
          <w:rFonts w:ascii="Times New Roman" w:hAnsi="Times New Roman" w:cs="Times New Roman"/>
          <w:sz w:val="24"/>
          <w:szCs w:val="24"/>
          <w:lang w:val="en-US" w:eastAsia="en-GB"/>
        </w:rPr>
        <w:t xml:space="preserve"> were important contextual factors. They contributed to focus attention on the quality of the home environment</w:t>
      </w:r>
      <w:r w:rsidR="00120D35">
        <w:rPr>
          <w:rFonts w:ascii="Times New Roman" w:hAnsi="Times New Roman" w:cs="Times New Roman"/>
          <w:sz w:val="24"/>
          <w:szCs w:val="24"/>
          <w:lang w:val="en-US" w:eastAsia="en-GB"/>
        </w:rPr>
        <w:t xml:space="preserve"> and of lifestyle</w:t>
      </w:r>
      <w:r w:rsidRPr="00641910">
        <w:rPr>
          <w:rFonts w:ascii="Times New Roman" w:hAnsi="Times New Roman" w:cs="Times New Roman"/>
          <w:sz w:val="24"/>
          <w:szCs w:val="24"/>
          <w:lang w:val="en-US" w:eastAsia="en-GB"/>
        </w:rPr>
        <w:t xml:space="preserve">, stimulating the development of preventive concerns and of a pervasive home-based health culture.  </w:t>
      </w:r>
      <w:r w:rsidR="00521217" w:rsidRPr="00641910">
        <w:rPr>
          <w:rFonts w:ascii="Times New Roman" w:hAnsi="Times New Roman" w:cs="Times New Roman"/>
          <w:sz w:val="24"/>
          <w:szCs w:val="24"/>
          <w:lang w:val="en-US" w:eastAsia="en-GB"/>
        </w:rPr>
        <w:t xml:space="preserve">The early appearance of a preventive culture centered upon the home might therefore have been a distinctive feature of Italian urban society. </w:t>
      </w:r>
    </w:p>
    <w:p w:rsidR="006216E8" w:rsidRPr="00641910" w:rsidRDefault="006216E8" w:rsidP="00521217">
      <w:pPr>
        <w:spacing w:line="360" w:lineRule="auto"/>
        <w:rPr>
          <w:rFonts w:ascii="Times New Roman" w:hAnsi="Times New Roman" w:cs="Times New Roman"/>
          <w:sz w:val="24"/>
          <w:szCs w:val="24"/>
          <w:lang w:val="en-US" w:eastAsia="en-GB"/>
        </w:rPr>
      </w:pPr>
    </w:p>
    <w:p w:rsidR="00521217" w:rsidRPr="00641910" w:rsidRDefault="00521217" w:rsidP="00521217">
      <w:pPr>
        <w:pStyle w:val="ListParagraph"/>
        <w:numPr>
          <w:ilvl w:val="0"/>
          <w:numId w:val="1"/>
        </w:numPr>
        <w:rPr>
          <w:rFonts w:ascii="Times New Roman" w:hAnsi="Times New Roman" w:cs="Times New Roman"/>
          <w:sz w:val="24"/>
          <w:szCs w:val="24"/>
        </w:rPr>
      </w:pPr>
      <w:r w:rsidRPr="00641910">
        <w:rPr>
          <w:rFonts w:ascii="Times New Roman" w:hAnsi="Times New Roman" w:cs="Times New Roman"/>
          <w:sz w:val="24"/>
          <w:szCs w:val="24"/>
        </w:rPr>
        <w:t>Changing definitions of healthy and unhealthy air.</w:t>
      </w:r>
    </w:p>
    <w:p w:rsidR="00186930" w:rsidRDefault="00521217" w:rsidP="00521217">
      <w:pPr>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t xml:space="preserve">As highlighted also by the examples examined above, air occupies a central place in the early modern preventive discourse. Its role in health culture extends in particular in the sixteenth century and is better understood in the context of the increased concern with climate and weather that characterises the period. </w:t>
      </w:r>
      <w:r w:rsidR="009A3D23" w:rsidRPr="00641910">
        <w:rPr>
          <w:rFonts w:ascii="Times New Roman" w:hAnsi="Times New Roman" w:cs="Times New Roman"/>
          <w:sz w:val="24"/>
          <w:szCs w:val="24"/>
        </w:rPr>
        <w:t>T</w:t>
      </w:r>
      <w:r w:rsidRPr="00641910">
        <w:rPr>
          <w:rFonts w:ascii="Times New Roman" w:hAnsi="Times New Roman" w:cs="Times New Roman"/>
          <w:sz w:val="24"/>
          <w:szCs w:val="24"/>
        </w:rPr>
        <w:t>he recovery and dissemination through print of ancient texts</w:t>
      </w:r>
      <w:r w:rsidR="00F31030" w:rsidRPr="00641910">
        <w:rPr>
          <w:rFonts w:ascii="Times New Roman" w:hAnsi="Times New Roman" w:cs="Times New Roman"/>
          <w:sz w:val="24"/>
          <w:szCs w:val="24"/>
        </w:rPr>
        <w:t xml:space="preserve"> that brought to the fore</w:t>
      </w:r>
      <w:r w:rsidRPr="00641910">
        <w:rPr>
          <w:rFonts w:ascii="Times New Roman" w:hAnsi="Times New Roman" w:cs="Times New Roman"/>
          <w:sz w:val="24"/>
          <w:szCs w:val="24"/>
        </w:rPr>
        <w:t xml:space="preserve"> the </w:t>
      </w:r>
      <w:r w:rsidR="009A3D23" w:rsidRPr="00641910">
        <w:rPr>
          <w:rFonts w:ascii="Times New Roman" w:hAnsi="Times New Roman" w:cs="Times New Roman"/>
          <w:sz w:val="24"/>
          <w:szCs w:val="24"/>
        </w:rPr>
        <w:t xml:space="preserve">influence </w:t>
      </w:r>
      <w:r w:rsidRPr="00641910">
        <w:rPr>
          <w:rFonts w:ascii="Times New Roman" w:hAnsi="Times New Roman" w:cs="Times New Roman"/>
          <w:sz w:val="24"/>
          <w:szCs w:val="24"/>
        </w:rPr>
        <w:t xml:space="preserve">of the local environment on health, was a significant factor in this development. Even though medieval medicine </w:t>
      </w:r>
      <w:r w:rsidRPr="00641910">
        <w:rPr>
          <w:rFonts w:ascii="Times New Roman" w:hAnsi="Times New Roman" w:cs="Times New Roman"/>
          <w:sz w:val="24"/>
          <w:szCs w:val="24"/>
          <w:lang w:eastAsia="en-GB"/>
        </w:rPr>
        <w:t>was familiar with the idea that the climate and the quality of the air affected the physical and mental health of people living in a certain locality, it was in the Renaissance that the importance of the atmospheric constitution of a place gained special currency. One just needs to recall the extraordinary popularity that Hippocratic theories enjoyed from the second half of the sixteenth century, following the appearance in print of ‘Airs, Waters and Places’ in 152</w:t>
      </w:r>
      <w:r w:rsidR="009A3D23" w:rsidRPr="00641910">
        <w:rPr>
          <w:rFonts w:ascii="Times New Roman" w:hAnsi="Times New Roman" w:cs="Times New Roman"/>
          <w:sz w:val="24"/>
          <w:szCs w:val="24"/>
          <w:lang w:eastAsia="en-GB"/>
        </w:rPr>
        <w:t>6</w:t>
      </w:r>
      <w:r w:rsidRPr="00641910">
        <w:rPr>
          <w:rFonts w:ascii="Times New Roman" w:hAnsi="Times New Roman" w:cs="Times New Roman"/>
          <w:sz w:val="24"/>
          <w:szCs w:val="24"/>
          <w:lang w:eastAsia="en-GB"/>
        </w:rPr>
        <w:t>. Likewise, the publication in 1486 in Latin and in 1521 in Italian of</w:t>
      </w:r>
      <w:r w:rsidRPr="00641910">
        <w:rPr>
          <w:rFonts w:ascii="Times New Roman" w:hAnsi="Times New Roman" w:cs="Times New Roman"/>
          <w:sz w:val="24"/>
          <w:szCs w:val="24"/>
        </w:rPr>
        <w:t xml:space="preserve"> </w:t>
      </w:r>
      <w:r w:rsidRPr="00641910">
        <w:rPr>
          <w:rFonts w:ascii="Times New Roman" w:hAnsi="Times New Roman" w:cs="Times New Roman"/>
          <w:i/>
          <w:sz w:val="24"/>
          <w:szCs w:val="24"/>
        </w:rPr>
        <w:t xml:space="preserve">The Ten Books of Architecture </w:t>
      </w:r>
      <w:r w:rsidRPr="00641910">
        <w:rPr>
          <w:rFonts w:ascii="Times New Roman" w:hAnsi="Times New Roman" w:cs="Times New Roman"/>
          <w:sz w:val="24"/>
          <w:szCs w:val="24"/>
        </w:rPr>
        <w:t xml:space="preserve">by Vitruvius, a text imbued with preoccupations about the effects of air upon the body, </w:t>
      </w:r>
      <w:r w:rsidRPr="00641910">
        <w:rPr>
          <w:rFonts w:ascii="Times New Roman" w:hAnsi="Times New Roman" w:cs="Times New Roman"/>
          <w:sz w:val="24"/>
          <w:szCs w:val="24"/>
          <w:lang w:eastAsia="en-GB"/>
        </w:rPr>
        <w:t xml:space="preserve">clearly had a bearing on the increased attention </w:t>
      </w:r>
      <w:r w:rsidR="003574C3" w:rsidRPr="00641910">
        <w:rPr>
          <w:rFonts w:ascii="Times New Roman" w:hAnsi="Times New Roman" w:cs="Times New Roman"/>
          <w:sz w:val="24"/>
          <w:szCs w:val="24"/>
          <w:lang w:eastAsia="en-GB"/>
        </w:rPr>
        <w:t>devote</w:t>
      </w:r>
      <w:r w:rsidR="003574C3">
        <w:rPr>
          <w:rFonts w:ascii="Times New Roman" w:hAnsi="Times New Roman" w:cs="Times New Roman"/>
          <w:sz w:val="24"/>
          <w:szCs w:val="24"/>
          <w:lang w:eastAsia="en-GB"/>
        </w:rPr>
        <w:t>d</w:t>
      </w:r>
      <w:r w:rsidR="003574C3" w:rsidRPr="00641910">
        <w:rPr>
          <w:rFonts w:ascii="Times New Roman" w:hAnsi="Times New Roman" w:cs="Times New Roman"/>
          <w:sz w:val="24"/>
          <w:szCs w:val="24"/>
          <w:lang w:eastAsia="en-GB"/>
        </w:rPr>
        <w:t xml:space="preserve"> to the location, orientation and ventilation of the house</w:t>
      </w:r>
      <w:r w:rsidR="003574C3">
        <w:rPr>
          <w:rFonts w:ascii="Times New Roman" w:hAnsi="Times New Roman" w:cs="Times New Roman"/>
          <w:sz w:val="24"/>
          <w:szCs w:val="24"/>
          <w:lang w:eastAsia="en-GB"/>
        </w:rPr>
        <w:t>,</w:t>
      </w:r>
      <w:r w:rsidR="003574C3" w:rsidRPr="00641910">
        <w:rPr>
          <w:rFonts w:ascii="Times New Roman" w:hAnsi="Times New Roman" w:cs="Times New Roman"/>
          <w:sz w:val="24"/>
          <w:szCs w:val="24"/>
          <w:lang w:eastAsia="en-GB"/>
        </w:rPr>
        <w:t xml:space="preserve"> </w:t>
      </w:r>
      <w:r w:rsidR="003574C3">
        <w:rPr>
          <w:rFonts w:ascii="Times New Roman" w:hAnsi="Times New Roman" w:cs="Times New Roman"/>
          <w:sz w:val="24"/>
          <w:szCs w:val="24"/>
          <w:lang w:eastAsia="en-GB"/>
        </w:rPr>
        <w:t xml:space="preserve">found </w:t>
      </w:r>
      <w:r w:rsidR="009A3D23" w:rsidRPr="00641910">
        <w:rPr>
          <w:rFonts w:ascii="Times New Roman" w:hAnsi="Times New Roman" w:cs="Times New Roman"/>
          <w:sz w:val="24"/>
          <w:szCs w:val="24"/>
          <w:lang w:eastAsia="en-GB"/>
        </w:rPr>
        <w:t xml:space="preserve">not just </w:t>
      </w:r>
      <w:r w:rsidR="00186930">
        <w:rPr>
          <w:rFonts w:ascii="Times New Roman" w:hAnsi="Times New Roman" w:cs="Times New Roman"/>
          <w:sz w:val="24"/>
          <w:szCs w:val="24"/>
          <w:lang w:eastAsia="en-GB"/>
        </w:rPr>
        <w:t xml:space="preserve">in </w:t>
      </w:r>
      <w:r w:rsidR="009A3D23" w:rsidRPr="00641910">
        <w:rPr>
          <w:rFonts w:ascii="Times New Roman" w:hAnsi="Times New Roman" w:cs="Times New Roman"/>
          <w:sz w:val="24"/>
          <w:szCs w:val="24"/>
          <w:lang w:eastAsia="en-GB"/>
        </w:rPr>
        <w:t xml:space="preserve">the </w:t>
      </w:r>
      <w:r w:rsidRPr="00641910">
        <w:rPr>
          <w:rFonts w:ascii="Times New Roman" w:hAnsi="Times New Roman" w:cs="Times New Roman"/>
          <w:sz w:val="24"/>
          <w:szCs w:val="24"/>
          <w:lang w:eastAsia="en-GB"/>
        </w:rPr>
        <w:t xml:space="preserve">health advice literature </w:t>
      </w:r>
      <w:r w:rsidR="009A3D23" w:rsidRPr="00641910">
        <w:rPr>
          <w:rFonts w:ascii="Times New Roman" w:hAnsi="Times New Roman" w:cs="Times New Roman"/>
          <w:sz w:val="24"/>
          <w:szCs w:val="24"/>
          <w:lang w:eastAsia="en-GB"/>
        </w:rPr>
        <w:t xml:space="preserve">but </w:t>
      </w:r>
      <w:r w:rsidR="003574C3">
        <w:rPr>
          <w:rFonts w:ascii="Times New Roman" w:hAnsi="Times New Roman" w:cs="Times New Roman"/>
          <w:sz w:val="24"/>
          <w:szCs w:val="24"/>
          <w:lang w:eastAsia="en-GB"/>
        </w:rPr>
        <w:t xml:space="preserve">across </w:t>
      </w:r>
      <w:r w:rsidR="009A3D23" w:rsidRPr="00641910">
        <w:rPr>
          <w:rFonts w:ascii="Times New Roman" w:hAnsi="Times New Roman" w:cs="Times New Roman"/>
          <w:sz w:val="24"/>
          <w:szCs w:val="24"/>
          <w:lang w:eastAsia="en-GB"/>
        </w:rPr>
        <w:t>textual genres ranging from architectural treatises to conduct manuals</w:t>
      </w:r>
      <w:r w:rsidRPr="00641910">
        <w:rPr>
          <w:rFonts w:ascii="Times New Roman" w:hAnsi="Times New Roman" w:cs="Times New Roman"/>
          <w:sz w:val="24"/>
          <w:szCs w:val="24"/>
        </w:rPr>
        <w:t>.</w:t>
      </w:r>
      <w:r w:rsidR="009A3D23" w:rsidRPr="00641910">
        <w:rPr>
          <w:rStyle w:val="FootnoteReference"/>
          <w:rFonts w:ascii="Times New Roman" w:hAnsi="Times New Roman" w:cs="Times New Roman"/>
          <w:sz w:val="24"/>
          <w:szCs w:val="24"/>
        </w:rPr>
        <w:footnoteReference w:id="41"/>
      </w:r>
      <w:r w:rsidRPr="00641910">
        <w:rPr>
          <w:rFonts w:ascii="Times New Roman" w:hAnsi="Times New Roman" w:cs="Times New Roman"/>
          <w:sz w:val="24"/>
          <w:szCs w:val="24"/>
        </w:rPr>
        <w:t xml:space="preserve"> </w:t>
      </w:r>
    </w:p>
    <w:p w:rsidR="00521217" w:rsidRPr="00641910" w:rsidRDefault="00186930" w:rsidP="005212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74C3">
        <w:rPr>
          <w:rFonts w:ascii="Times New Roman" w:hAnsi="Times New Roman" w:cs="Times New Roman"/>
          <w:sz w:val="24"/>
          <w:szCs w:val="24"/>
        </w:rPr>
        <w:t>R</w:t>
      </w:r>
      <w:r w:rsidR="00521217" w:rsidRPr="00641910">
        <w:rPr>
          <w:rFonts w:ascii="Times New Roman" w:hAnsi="Times New Roman" w:cs="Times New Roman"/>
          <w:sz w:val="24"/>
          <w:szCs w:val="24"/>
          <w:lang w:eastAsia="en-GB"/>
        </w:rPr>
        <w:t>eflection upon the impact of air temperature and qualities on health also received new impetus from the increased interest in the weather of those involved in long-</w:t>
      </w:r>
      <w:r w:rsidR="007B6BDD" w:rsidRPr="00641910">
        <w:rPr>
          <w:rFonts w:ascii="Times New Roman" w:hAnsi="Times New Roman" w:cs="Times New Roman"/>
          <w:sz w:val="24"/>
          <w:szCs w:val="24"/>
          <w:lang w:eastAsia="en-GB"/>
        </w:rPr>
        <w:t xml:space="preserve">distance commerce and navigation, hence from the expansion of the boundaries of the world and of maritime trade-routes. </w:t>
      </w:r>
      <w:r w:rsidR="007B6BDD" w:rsidRPr="00641910">
        <w:rPr>
          <w:rFonts w:ascii="Times New Roman" w:hAnsi="Times New Roman" w:cs="Times New Roman"/>
          <w:sz w:val="24"/>
          <w:szCs w:val="24"/>
        </w:rPr>
        <w:t>These concerns are reflected in the</w:t>
      </w:r>
      <w:r w:rsidR="007B6BDD" w:rsidRPr="00641910">
        <w:rPr>
          <w:rFonts w:ascii="Times New Roman" w:hAnsi="Times New Roman" w:cs="Times New Roman"/>
          <w:sz w:val="24"/>
          <w:szCs w:val="24"/>
          <w:lang w:eastAsia="en-GB"/>
        </w:rPr>
        <w:t xml:space="preserve"> popularity enjoyed by ancient works such</w:t>
      </w:r>
      <w:r w:rsidR="00521217" w:rsidRPr="00641910">
        <w:rPr>
          <w:rFonts w:ascii="Times New Roman" w:hAnsi="Times New Roman" w:cs="Times New Roman"/>
          <w:sz w:val="24"/>
          <w:szCs w:val="24"/>
          <w:lang w:eastAsia="en-GB"/>
        </w:rPr>
        <w:t xml:space="preserve"> as Aristotle’s ‘</w:t>
      </w:r>
      <w:proofErr w:type="spellStart"/>
      <w:r w:rsidR="00521217" w:rsidRPr="00641910">
        <w:rPr>
          <w:rFonts w:ascii="Times New Roman" w:hAnsi="Times New Roman" w:cs="Times New Roman"/>
          <w:sz w:val="24"/>
          <w:szCs w:val="24"/>
          <w:lang w:eastAsia="en-GB"/>
        </w:rPr>
        <w:t>Meteorologica</w:t>
      </w:r>
      <w:proofErr w:type="spellEnd"/>
      <w:r w:rsidR="00521217" w:rsidRPr="00641910">
        <w:rPr>
          <w:rFonts w:ascii="Times New Roman" w:hAnsi="Times New Roman" w:cs="Times New Roman"/>
          <w:sz w:val="24"/>
          <w:szCs w:val="24"/>
          <w:lang w:eastAsia="en-GB"/>
        </w:rPr>
        <w:t xml:space="preserve">’ and Theophrastus’ ‘De </w:t>
      </w:r>
      <w:proofErr w:type="spellStart"/>
      <w:r w:rsidR="00521217" w:rsidRPr="00641910">
        <w:rPr>
          <w:rFonts w:ascii="Times New Roman" w:hAnsi="Times New Roman" w:cs="Times New Roman"/>
          <w:sz w:val="24"/>
          <w:szCs w:val="24"/>
          <w:lang w:eastAsia="en-GB"/>
        </w:rPr>
        <w:t>Ventis</w:t>
      </w:r>
      <w:proofErr w:type="spellEnd"/>
      <w:r w:rsidR="00521217" w:rsidRPr="00641910">
        <w:rPr>
          <w:rFonts w:ascii="Times New Roman" w:hAnsi="Times New Roman" w:cs="Times New Roman"/>
          <w:sz w:val="24"/>
          <w:szCs w:val="24"/>
          <w:lang w:eastAsia="en-GB"/>
        </w:rPr>
        <w:t xml:space="preserve">’. </w:t>
      </w:r>
      <w:r w:rsidR="00EC44B7" w:rsidRPr="00641910">
        <w:rPr>
          <w:rFonts w:ascii="Times New Roman" w:hAnsi="Times New Roman" w:cs="Times New Roman"/>
          <w:sz w:val="24"/>
          <w:szCs w:val="24"/>
          <w:lang w:eastAsia="en-GB"/>
        </w:rPr>
        <w:t xml:space="preserve">As </w:t>
      </w:r>
      <w:r w:rsidR="00521217" w:rsidRPr="00641910">
        <w:rPr>
          <w:rFonts w:ascii="Times New Roman" w:hAnsi="Times New Roman" w:cs="Times New Roman"/>
          <w:sz w:val="24"/>
          <w:szCs w:val="24"/>
          <w:lang w:eastAsia="en-GB"/>
        </w:rPr>
        <w:t xml:space="preserve">Craig Martin has </w:t>
      </w:r>
      <w:r w:rsidR="00EC44B7" w:rsidRPr="00641910">
        <w:rPr>
          <w:rFonts w:ascii="Times New Roman" w:hAnsi="Times New Roman" w:cs="Times New Roman"/>
          <w:sz w:val="24"/>
          <w:szCs w:val="24"/>
          <w:lang w:eastAsia="en-GB"/>
        </w:rPr>
        <w:t>suggested,</w:t>
      </w:r>
      <w:r w:rsidR="00521217" w:rsidRPr="00641910">
        <w:rPr>
          <w:rFonts w:ascii="Times New Roman" w:hAnsi="Times New Roman" w:cs="Times New Roman"/>
          <w:sz w:val="24"/>
          <w:szCs w:val="24"/>
          <w:lang w:eastAsia="en-GB"/>
        </w:rPr>
        <w:t xml:space="preserve"> interest in climates </w:t>
      </w:r>
      <w:r w:rsidR="003574C3">
        <w:rPr>
          <w:rFonts w:ascii="Times New Roman" w:hAnsi="Times New Roman" w:cs="Times New Roman"/>
          <w:sz w:val="24"/>
          <w:szCs w:val="24"/>
          <w:lang w:eastAsia="en-GB"/>
        </w:rPr>
        <w:t>peaked</w:t>
      </w:r>
      <w:r w:rsidR="00521217" w:rsidRPr="00641910">
        <w:rPr>
          <w:rFonts w:ascii="Times New Roman" w:hAnsi="Times New Roman" w:cs="Times New Roman"/>
          <w:sz w:val="24"/>
          <w:szCs w:val="24"/>
          <w:lang w:eastAsia="en-GB"/>
        </w:rPr>
        <w:t xml:space="preserve"> in sixteenth</w:t>
      </w:r>
      <w:r w:rsidR="00EC44B7" w:rsidRPr="00641910">
        <w:rPr>
          <w:rFonts w:ascii="Times New Roman" w:hAnsi="Times New Roman" w:cs="Times New Roman"/>
          <w:sz w:val="24"/>
          <w:szCs w:val="24"/>
          <w:lang w:eastAsia="en-GB"/>
        </w:rPr>
        <w:t>-</w:t>
      </w:r>
      <w:r w:rsidR="007B6BDD" w:rsidRPr="00641910">
        <w:rPr>
          <w:rFonts w:ascii="Times New Roman" w:hAnsi="Times New Roman" w:cs="Times New Roman"/>
          <w:sz w:val="24"/>
          <w:szCs w:val="24"/>
          <w:lang w:eastAsia="en-GB"/>
        </w:rPr>
        <w:t>century Italy.</w:t>
      </w:r>
      <w:r w:rsidR="00BF38C8" w:rsidRPr="00641910">
        <w:rPr>
          <w:rStyle w:val="FootnoteReference"/>
          <w:rFonts w:ascii="Times New Roman" w:hAnsi="Times New Roman" w:cs="Times New Roman"/>
          <w:sz w:val="24"/>
          <w:szCs w:val="24"/>
          <w:lang w:eastAsia="en-GB"/>
        </w:rPr>
        <w:footnoteReference w:id="42"/>
      </w:r>
      <w:r w:rsidR="007B6BDD" w:rsidRPr="00641910">
        <w:rPr>
          <w:rFonts w:ascii="Times New Roman" w:hAnsi="Times New Roman" w:cs="Times New Roman"/>
          <w:sz w:val="24"/>
          <w:szCs w:val="24"/>
          <w:lang w:eastAsia="en-GB"/>
        </w:rPr>
        <w:t xml:space="preserve"> </w:t>
      </w:r>
      <w:r w:rsidR="007B6BDD" w:rsidRPr="00641910">
        <w:rPr>
          <w:rFonts w:ascii="Times New Roman" w:hAnsi="Times New Roman" w:cs="Times New Roman"/>
          <w:sz w:val="24"/>
          <w:szCs w:val="24"/>
        </w:rPr>
        <w:t>The exploration</w:t>
      </w:r>
      <w:r w:rsidR="00521217" w:rsidRPr="00641910">
        <w:rPr>
          <w:rFonts w:ascii="Times New Roman" w:hAnsi="Times New Roman" w:cs="Times New Roman"/>
          <w:sz w:val="24"/>
          <w:szCs w:val="24"/>
        </w:rPr>
        <w:t xml:space="preserve"> of weather change</w:t>
      </w:r>
      <w:r w:rsidR="00EC44B7" w:rsidRPr="00641910">
        <w:rPr>
          <w:rFonts w:ascii="Times New Roman" w:hAnsi="Times New Roman" w:cs="Times New Roman"/>
          <w:sz w:val="24"/>
          <w:szCs w:val="24"/>
        </w:rPr>
        <w:t xml:space="preserve"> in the hope to protect crops from floods, hail and frost was further stimulated by </w:t>
      </w:r>
      <w:r w:rsidR="00EC44B7" w:rsidRPr="00641910">
        <w:rPr>
          <w:rFonts w:ascii="Times New Roman" w:hAnsi="Times New Roman" w:cs="Times New Roman"/>
          <w:sz w:val="24"/>
          <w:szCs w:val="24"/>
          <w:lang w:eastAsia="en-GB"/>
        </w:rPr>
        <w:t xml:space="preserve">the spread of innovative farming methods, stemming from new </w:t>
      </w:r>
      <w:r w:rsidR="00EC44B7" w:rsidRPr="00641910">
        <w:rPr>
          <w:rFonts w:ascii="Times New Roman" w:hAnsi="Times New Roman" w:cs="Times New Roman"/>
          <w:sz w:val="24"/>
          <w:szCs w:val="24"/>
        </w:rPr>
        <w:t>empiric approaches to agriculture.</w:t>
      </w:r>
      <w:r w:rsidR="00EC44B7" w:rsidRPr="00641910">
        <w:rPr>
          <w:rStyle w:val="FootnoteReference"/>
          <w:rFonts w:ascii="Times New Roman" w:hAnsi="Times New Roman" w:cs="Times New Roman"/>
          <w:sz w:val="24"/>
          <w:szCs w:val="24"/>
        </w:rPr>
        <w:footnoteReference w:id="43"/>
      </w:r>
      <w:r w:rsidR="00EC44B7" w:rsidRPr="00641910">
        <w:rPr>
          <w:rFonts w:ascii="Times New Roman" w:hAnsi="Times New Roman" w:cs="Times New Roman"/>
          <w:sz w:val="24"/>
          <w:szCs w:val="24"/>
        </w:rPr>
        <w:t xml:space="preserve"> </w:t>
      </w:r>
      <w:r w:rsidR="00521217" w:rsidRPr="00641910">
        <w:rPr>
          <w:rFonts w:ascii="Times New Roman" w:hAnsi="Times New Roman" w:cs="Times New Roman"/>
          <w:sz w:val="24"/>
          <w:szCs w:val="24"/>
        </w:rPr>
        <w:t xml:space="preserve">An increasing amount of effort was therefore devoted to recording correlations between climate and other natural phenomena. As noted by Katharine Park, these observations, which certainly have important medieval precedents, become more regular </w:t>
      </w:r>
      <w:r w:rsidR="00521217" w:rsidRPr="00641910">
        <w:rPr>
          <w:rFonts w:ascii="Times New Roman" w:hAnsi="Times New Roman" w:cs="Times New Roman"/>
          <w:sz w:val="24"/>
          <w:szCs w:val="24"/>
        </w:rPr>
        <w:lastRenderedPageBreak/>
        <w:t>from the end of the fifteenth century and less tied to exceptional events such as equinoxes, eclipses, and comets.</w:t>
      </w:r>
      <w:r w:rsidR="00521217" w:rsidRPr="00641910">
        <w:rPr>
          <w:rStyle w:val="FootnoteReference"/>
          <w:rFonts w:ascii="Times New Roman" w:hAnsi="Times New Roman" w:cs="Times New Roman"/>
          <w:sz w:val="24"/>
          <w:szCs w:val="24"/>
        </w:rPr>
        <w:footnoteReference w:id="44"/>
      </w:r>
      <w:r w:rsidR="00521217" w:rsidRPr="00641910">
        <w:rPr>
          <w:rFonts w:ascii="Times New Roman" w:hAnsi="Times New Roman" w:cs="Times New Roman"/>
          <w:sz w:val="24"/>
          <w:szCs w:val="24"/>
        </w:rPr>
        <w:t xml:space="preserve">  A century later, positive results in the attempt to measure air temperature (for example Galileo’s invention of the air </w:t>
      </w:r>
      <w:proofErr w:type="spellStart"/>
      <w:r w:rsidR="00521217" w:rsidRPr="00641910">
        <w:rPr>
          <w:rFonts w:ascii="Times New Roman" w:hAnsi="Times New Roman" w:cs="Times New Roman"/>
          <w:sz w:val="24"/>
          <w:szCs w:val="24"/>
        </w:rPr>
        <w:t>thermoscope</w:t>
      </w:r>
      <w:proofErr w:type="spellEnd"/>
      <w:r w:rsidR="00521217" w:rsidRPr="00641910">
        <w:rPr>
          <w:rFonts w:ascii="Times New Roman" w:hAnsi="Times New Roman" w:cs="Times New Roman"/>
          <w:sz w:val="24"/>
          <w:szCs w:val="24"/>
        </w:rPr>
        <w:t>) further stimulated faith in the possibility of establishing some control upon climate and the weather.</w:t>
      </w:r>
      <w:r w:rsidR="00521217" w:rsidRPr="00641910">
        <w:rPr>
          <w:rStyle w:val="FootnoteReference"/>
          <w:rFonts w:ascii="Times New Roman" w:hAnsi="Times New Roman" w:cs="Times New Roman"/>
          <w:sz w:val="24"/>
          <w:szCs w:val="24"/>
        </w:rPr>
        <w:footnoteReference w:id="45"/>
      </w:r>
    </w:p>
    <w:p w:rsidR="00521217" w:rsidRPr="00641910" w:rsidRDefault="00521217" w:rsidP="00521217">
      <w:pPr>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tab/>
        <w:t xml:space="preserve">Another sign of the enhanced attention to the air is the expansion of the vocabulary employed in describing the qualities of this element. </w:t>
      </w:r>
      <w:r w:rsidR="00EC44B7" w:rsidRPr="00641910">
        <w:rPr>
          <w:rFonts w:ascii="Times New Roman" w:hAnsi="Times New Roman" w:cs="Times New Roman"/>
          <w:sz w:val="24"/>
          <w:szCs w:val="24"/>
        </w:rPr>
        <w:t>This is visible not only in the</w:t>
      </w:r>
      <w:r w:rsidRPr="00641910">
        <w:rPr>
          <w:rFonts w:ascii="Times New Roman" w:hAnsi="Times New Roman" w:cs="Times New Roman"/>
          <w:sz w:val="24"/>
          <w:szCs w:val="24"/>
        </w:rPr>
        <w:t xml:space="preserve"> medical and architectural discourse about health and home</w:t>
      </w:r>
      <w:r w:rsidR="00EC44B7" w:rsidRPr="00641910">
        <w:rPr>
          <w:rFonts w:ascii="Times New Roman" w:hAnsi="Times New Roman" w:cs="Times New Roman"/>
          <w:sz w:val="24"/>
          <w:szCs w:val="24"/>
        </w:rPr>
        <w:t xml:space="preserve"> but </w:t>
      </w:r>
      <w:r w:rsidRPr="00641910">
        <w:rPr>
          <w:rFonts w:ascii="Times New Roman" w:hAnsi="Times New Roman" w:cs="Times New Roman"/>
          <w:sz w:val="24"/>
          <w:szCs w:val="24"/>
        </w:rPr>
        <w:t xml:space="preserve">in humanist texts about </w:t>
      </w:r>
      <w:proofErr w:type="spellStart"/>
      <w:r w:rsidRPr="00641910">
        <w:rPr>
          <w:rFonts w:ascii="Times New Roman" w:hAnsi="Times New Roman" w:cs="Times New Roman"/>
          <w:i/>
          <w:sz w:val="24"/>
          <w:szCs w:val="24"/>
        </w:rPr>
        <w:t>villeggiatura</w:t>
      </w:r>
      <w:proofErr w:type="spellEnd"/>
      <w:r w:rsidRPr="00641910">
        <w:rPr>
          <w:rFonts w:ascii="Times New Roman" w:hAnsi="Times New Roman" w:cs="Times New Roman"/>
          <w:i/>
          <w:sz w:val="24"/>
          <w:szCs w:val="24"/>
        </w:rPr>
        <w:t xml:space="preserve"> </w:t>
      </w:r>
      <w:r w:rsidRPr="00641910">
        <w:rPr>
          <w:rFonts w:ascii="Times New Roman" w:hAnsi="Times New Roman" w:cs="Times New Roman"/>
          <w:sz w:val="24"/>
          <w:szCs w:val="24"/>
        </w:rPr>
        <w:t>(leisured time spent withdrawing from public affairs in the country villa)</w:t>
      </w:r>
      <w:r w:rsidR="00EC44B7" w:rsidRPr="00641910">
        <w:rPr>
          <w:rFonts w:ascii="Times New Roman" w:hAnsi="Times New Roman" w:cs="Times New Roman"/>
          <w:sz w:val="24"/>
          <w:szCs w:val="24"/>
        </w:rPr>
        <w:t xml:space="preserve">. Here </w:t>
      </w:r>
      <w:r w:rsidRPr="00641910">
        <w:rPr>
          <w:rFonts w:ascii="Times New Roman" w:hAnsi="Times New Roman" w:cs="Times New Roman"/>
          <w:sz w:val="24"/>
          <w:szCs w:val="24"/>
        </w:rPr>
        <w:t xml:space="preserve">the air is </w:t>
      </w:r>
      <w:r w:rsidR="00C12FB3" w:rsidRPr="00641910">
        <w:rPr>
          <w:rFonts w:ascii="Times New Roman" w:hAnsi="Times New Roman" w:cs="Times New Roman"/>
          <w:sz w:val="24"/>
          <w:szCs w:val="24"/>
        </w:rPr>
        <w:t>presented</w:t>
      </w:r>
      <w:r w:rsidR="00EC44B7" w:rsidRPr="00641910">
        <w:rPr>
          <w:rFonts w:ascii="Times New Roman" w:hAnsi="Times New Roman" w:cs="Times New Roman"/>
          <w:sz w:val="24"/>
          <w:szCs w:val="24"/>
        </w:rPr>
        <w:t xml:space="preserve"> as </w:t>
      </w:r>
      <w:r w:rsidRPr="00641910">
        <w:rPr>
          <w:rFonts w:ascii="Times New Roman" w:hAnsi="Times New Roman" w:cs="Times New Roman"/>
          <w:sz w:val="24"/>
          <w:szCs w:val="24"/>
        </w:rPr>
        <w:t>a palpable presence, defined by its density and texture as well as by its colour and smell</w:t>
      </w:r>
      <w:r w:rsidR="00C12FB3" w:rsidRPr="00641910">
        <w:rPr>
          <w:rFonts w:ascii="Times New Roman" w:hAnsi="Times New Roman" w:cs="Times New Roman"/>
          <w:sz w:val="24"/>
          <w:szCs w:val="24"/>
        </w:rPr>
        <w:t xml:space="preserve">. </w:t>
      </w:r>
      <w:r w:rsidRPr="00641910">
        <w:rPr>
          <w:rFonts w:ascii="Times New Roman" w:hAnsi="Times New Roman" w:cs="Times New Roman"/>
          <w:sz w:val="24"/>
          <w:szCs w:val="24"/>
        </w:rPr>
        <w:t xml:space="preserve">Like objects, and in spite of its invisibility, air acquires in the narrative of the time a physicality that can be experienced by all the </w:t>
      </w:r>
      <w:proofErr w:type="gramStart"/>
      <w:r w:rsidRPr="00641910">
        <w:rPr>
          <w:rFonts w:ascii="Times New Roman" w:hAnsi="Times New Roman" w:cs="Times New Roman"/>
          <w:sz w:val="24"/>
          <w:szCs w:val="24"/>
        </w:rPr>
        <w:t>senses,</w:t>
      </w:r>
      <w:proofErr w:type="gramEnd"/>
      <w:r w:rsidRPr="00641910">
        <w:rPr>
          <w:rFonts w:ascii="Times New Roman" w:hAnsi="Times New Roman" w:cs="Times New Roman"/>
          <w:sz w:val="24"/>
          <w:szCs w:val="24"/>
        </w:rPr>
        <w:t xml:space="preserve"> </w:t>
      </w:r>
      <w:r w:rsidR="00C12FB3" w:rsidRPr="00641910">
        <w:rPr>
          <w:rFonts w:ascii="Times New Roman" w:hAnsi="Times New Roman" w:cs="Times New Roman"/>
          <w:sz w:val="24"/>
          <w:szCs w:val="24"/>
        </w:rPr>
        <w:t xml:space="preserve">and through them by the spirit, </w:t>
      </w:r>
      <w:r w:rsidRPr="00641910">
        <w:rPr>
          <w:rFonts w:ascii="Times New Roman" w:hAnsi="Times New Roman" w:cs="Times New Roman"/>
          <w:sz w:val="24"/>
          <w:szCs w:val="24"/>
        </w:rPr>
        <w:t>as we will see. Not by accident, it is in this period that artists endeavour to make the effects of air upon the body visible by capturing for example its mobility, the acoustic effects it produces as well as its sensorial and psychological impact.</w:t>
      </w:r>
      <w:r w:rsidRPr="00641910">
        <w:rPr>
          <w:rStyle w:val="FootnoteReference"/>
          <w:rFonts w:ascii="Times New Roman" w:hAnsi="Times New Roman" w:cs="Times New Roman"/>
          <w:sz w:val="24"/>
          <w:szCs w:val="24"/>
        </w:rPr>
        <w:footnoteReference w:id="46"/>
      </w:r>
      <w:r w:rsidRPr="00641910">
        <w:rPr>
          <w:rFonts w:ascii="Times New Roman" w:hAnsi="Times New Roman" w:cs="Times New Roman"/>
          <w:sz w:val="24"/>
          <w:szCs w:val="24"/>
        </w:rPr>
        <w:t xml:space="preserve"> These attributes will then be lost in modern culture, when the emphasis in thinking about the domestic interior will shift from a material idea of ‘air’ to the inherently empty concept of ‘space’.</w:t>
      </w:r>
      <w:r w:rsidRPr="00641910">
        <w:rPr>
          <w:rStyle w:val="FootnoteReference"/>
          <w:rFonts w:ascii="Times New Roman" w:hAnsi="Times New Roman" w:cs="Times New Roman"/>
          <w:sz w:val="24"/>
          <w:szCs w:val="24"/>
        </w:rPr>
        <w:footnoteReference w:id="47"/>
      </w:r>
      <w:r w:rsidRPr="00641910">
        <w:rPr>
          <w:rFonts w:ascii="Times New Roman" w:hAnsi="Times New Roman" w:cs="Times New Roman"/>
          <w:sz w:val="24"/>
          <w:szCs w:val="24"/>
        </w:rPr>
        <w:t xml:space="preserve">   But in this period air is perceived as a fundamental </w:t>
      </w:r>
      <w:r w:rsidR="00C12FB3" w:rsidRPr="00641910">
        <w:rPr>
          <w:rFonts w:ascii="Times New Roman" w:hAnsi="Times New Roman" w:cs="Times New Roman"/>
          <w:sz w:val="24"/>
          <w:szCs w:val="24"/>
        </w:rPr>
        <w:t>element in the healthfulness of the home</w:t>
      </w:r>
      <w:r w:rsidRPr="00641910">
        <w:rPr>
          <w:rFonts w:ascii="Times New Roman" w:hAnsi="Times New Roman" w:cs="Times New Roman"/>
          <w:sz w:val="24"/>
          <w:szCs w:val="24"/>
        </w:rPr>
        <w:t>.</w:t>
      </w:r>
      <w:r w:rsidRPr="00641910">
        <w:rPr>
          <w:rFonts w:ascii="Times New Roman" w:hAnsi="Times New Roman" w:cs="Times New Roman"/>
          <w:b/>
          <w:sz w:val="24"/>
          <w:szCs w:val="24"/>
        </w:rPr>
        <w:t xml:space="preserve"> </w:t>
      </w:r>
    </w:p>
    <w:p w:rsidR="00521217" w:rsidRPr="00641910" w:rsidRDefault="00521217" w:rsidP="00521217">
      <w:pPr>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tab/>
        <w:t>Sixteenth-century</w:t>
      </w:r>
      <w:r w:rsidRPr="00641910">
        <w:rPr>
          <w:rFonts w:ascii="Times New Roman" w:hAnsi="Times New Roman" w:cs="Times New Roman"/>
          <w:b/>
          <w:sz w:val="24"/>
          <w:szCs w:val="24"/>
        </w:rPr>
        <w:t xml:space="preserve"> </w:t>
      </w:r>
      <w:r w:rsidRPr="00641910">
        <w:rPr>
          <w:rFonts w:ascii="Times New Roman" w:hAnsi="Times New Roman" w:cs="Times New Roman"/>
          <w:sz w:val="24"/>
          <w:szCs w:val="24"/>
        </w:rPr>
        <w:t xml:space="preserve">doctors and other commentators describe good air as light, thin, transparent, and fresh but they also insist on it being ‘mobile’ -- air that is unconstrained is by definition pure. This is an important aspect, </w:t>
      </w:r>
      <w:r w:rsidR="00DD2167" w:rsidRPr="00641910">
        <w:rPr>
          <w:rFonts w:ascii="Times New Roman" w:hAnsi="Times New Roman" w:cs="Times New Roman"/>
          <w:sz w:val="24"/>
          <w:szCs w:val="24"/>
        </w:rPr>
        <w:t>to</w:t>
      </w:r>
      <w:r w:rsidRPr="00641910">
        <w:rPr>
          <w:rFonts w:ascii="Times New Roman" w:hAnsi="Times New Roman" w:cs="Times New Roman"/>
          <w:sz w:val="24"/>
          <w:szCs w:val="24"/>
        </w:rPr>
        <w:t xml:space="preserve"> which I will return. Bad air is on the contrary thick and heavy, dense, and turbid; it bears upon the head and afflicts the animal spirits, which, as we will see, are closely connected with sensation. Air quality therefore also has an effect upon feelings and mood. Indeed authors often attribute </w:t>
      </w:r>
      <w:r w:rsidR="00C12FB3" w:rsidRPr="00641910">
        <w:rPr>
          <w:rFonts w:ascii="Times New Roman" w:hAnsi="Times New Roman" w:cs="Times New Roman"/>
          <w:sz w:val="24"/>
          <w:szCs w:val="24"/>
        </w:rPr>
        <w:t>psychological</w:t>
      </w:r>
      <w:r w:rsidRPr="00641910">
        <w:rPr>
          <w:rFonts w:ascii="Times New Roman" w:hAnsi="Times New Roman" w:cs="Times New Roman"/>
          <w:sz w:val="24"/>
          <w:szCs w:val="24"/>
        </w:rPr>
        <w:t xml:space="preserve"> qualities to air, defining it as </w:t>
      </w:r>
      <w:r w:rsidR="00DD2167" w:rsidRPr="00641910">
        <w:rPr>
          <w:rFonts w:ascii="Times New Roman" w:hAnsi="Times New Roman" w:cs="Times New Roman"/>
          <w:sz w:val="24"/>
          <w:szCs w:val="24"/>
        </w:rPr>
        <w:t>‘</w:t>
      </w:r>
      <w:r w:rsidRPr="00641910">
        <w:rPr>
          <w:rFonts w:ascii="Times New Roman" w:hAnsi="Times New Roman" w:cs="Times New Roman"/>
          <w:sz w:val="24"/>
          <w:szCs w:val="24"/>
        </w:rPr>
        <w:t>serene’, ‘cheerful’, ‘pleasant’ or ‘delightful’, while bad air ‘clouds the heart’  and upsets the mind.</w:t>
      </w:r>
      <w:r w:rsidRPr="00641910">
        <w:rPr>
          <w:rStyle w:val="FootnoteReference"/>
          <w:rFonts w:ascii="Times New Roman" w:hAnsi="Times New Roman" w:cs="Times New Roman"/>
          <w:sz w:val="24"/>
          <w:szCs w:val="24"/>
        </w:rPr>
        <w:footnoteReference w:id="48"/>
      </w:r>
      <w:r w:rsidRPr="00641910">
        <w:rPr>
          <w:rFonts w:ascii="Times New Roman" w:hAnsi="Times New Roman" w:cs="Times New Roman"/>
          <w:sz w:val="24"/>
          <w:szCs w:val="24"/>
        </w:rPr>
        <w:t xml:space="preserve">    </w:t>
      </w:r>
    </w:p>
    <w:p w:rsidR="00521217" w:rsidRPr="00641910" w:rsidRDefault="00521217" w:rsidP="00521217">
      <w:pPr>
        <w:spacing w:after="0" w:line="360" w:lineRule="auto"/>
        <w:jc w:val="both"/>
        <w:rPr>
          <w:sz w:val="24"/>
          <w:szCs w:val="24"/>
        </w:rPr>
      </w:pPr>
      <w:r w:rsidRPr="00641910">
        <w:rPr>
          <w:rFonts w:ascii="Times New Roman" w:hAnsi="Times New Roman" w:cs="Times New Roman"/>
          <w:sz w:val="24"/>
          <w:szCs w:val="24"/>
        </w:rPr>
        <w:tab/>
        <w:t>Studies on the impact of air on health, however, have ignored these nuances</w:t>
      </w:r>
      <w:r w:rsidR="004B05E7" w:rsidRPr="00641910">
        <w:rPr>
          <w:rFonts w:ascii="Times New Roman" w:hAnsi="Times New Roman" w:cs="Times New Roman"/>
          <w:sz w:val="24"/>
          <w:szCs w:val="24"/>
        </w:rPr>
        <w:t xml:space="preserve"> and the positive attributes of certain airs</w:t>
      </w:r>
      <w:r w:rsidRPr="00641910">
        <w:rPr>
          <w:rFonts w:ascii="Times New Roman" w:hAnsi="Times New Roman" w:cs="Times New Roman"/>
          <w:sz w:val="24"/>
          <w:szCs w:val="24"/>
        </w:rPr>
        <w:t xml:space="preserve">. They have focused overwhelmingly on the ‘bad air’ that one </w:t>
      </w:r>
      <w:r w:rsidRPr="00641910">
        <w:rPr>
          <w:rFonts w:ascii="Times New Roman" w:hAnsi="Times New Roman" w:cs="Times New Roman"/>
          <w:sz w:val="24"/>
          <w:szCs w:val="24"/>
        </w:rPr>
        <w:lastRenderedPageBreak/>
        <w:t xml:space="preserve">had to avoid, and this is normally identified with the corrupt air released from stagnant water, animal carcasses and rotten vegetation. Another feature typically associated with polluted air is that this </w:t>
      </w:r>
      <w:r w:rsidR="004B05E7" w:rsidRPr="00641910">
        <w:rPr>
          <w:rFonts w:ascii="Times New Roman" w:hAnsi="Times New Roman" w:cs="Times New Roman"/>
          <w:sz w:val="24"/>
          <w:szCs w:val="24"/>
        </w:rPr>
        <w:t>could</w:t>
      </w:r>
      <w:r w:rsidRPr="00641910">
        <w:rPr>
          <w:rFonts w:ascii="Times New Roman" w:hAnsi="Times New Roman" w:cs="Times New Roman"/>
          <w:sz w:val="24"/>
          <w:szCs w:val="24"/>
        </w:rPr>
        <w:t xml:space="preserve"> travel long distance</w:t>
      </w:r>
      <w:r w:rsidR="00DD2167" w:rsidRPr="00641910">
        <w:rPr>
          <w:rFonts w:ascii="Times New Roman" w:hAnsi="Times New Roman" w:cs="Times New Roman"/>
          <w:sz w:val="24"/>
          <w:szCs w:val="24"/>
        </w:rPr>
        <w:t>s</w:t>
      </w:r>
      <w:r w:rsidRPr="00641910">
        <w:rPr>
          <w:rFonts w:ascii="Times New Roman" w:hAnsi="Times New Roman" w:cs="Times New Roman"/>
          <w:sz w:val="24"/>
          <w:szCs w:val="24"/>
        </w:rPr>
        <w:t>, carried by winds, and generate pathogenic processes miles away from the source of corruption. Frequently described as ‘</w:t>
      </w:r>
      <w:proofErr w:type="spellStart"/>
      <w:r w:rsidRPr="00641910">
        <w:rPr>
          <w:rFonts w:ascii="Times New Roman" w:hAnsi="Times New Roman" w:cs="Times New Roman"/>
          <w:sz w:val="24"/>
          <w:szCs w:val="24"/>
        </w:rPr>
        <w:t>miasmatic</w:t>
      </w:r>
      <w:proofErr w:type="spellEnd"/>
      <w:r w:rsidRPr="00641910">
        <w:rPr>
          <w:rFonts w:ascii="Times New Roman" w:hAnsi="Times New Roman" w:cs="Times New Roman"/>
          <w:sz w:val="24"/>
          <w:szCs w:val="24"/>
        </w:rPr>
        <w:t xml:space="preserve"> theory’ in the secondary literature, these views about ‘bad air’ are </w:t>
      </w:r>
      <w:r w:rsidR="00A77DF4" w:rsidRPr="00641910">
        <w:rPr>
          <w:rFonts w:ascii="Times New Roman" w:hAnsi="Times New Roman" w:cs="Times New Roman"/>
          <w:sz w:val="24"/>
          <w:szCs w:val="24"/>
        </w:rPr>
        <w:t xml:space="preserve">regarded as unchanging </w:t>
      </w:r>
      <w:r w:rsidRPr="00641910">
        <w:rPr>
          <w:rFonts w:ascii="Times New Roman" w:hAnsi="Times New Roman" w:cs="Times New Roman"/>
          <w:sz w:val="24"/>
          <w:szCs w:val="24"/>
        </w:rPr>
        <w:t xml:space="preserve">and lasting well into the nineteenth </w:t>
      </w:r>
      <w:r w:rsidR="007B6BDD" w:rsidRPr="00641910">
        <w:rPr>
          <w:rFonts w:ascii="Times New Roman" w:hAnsi="Times New Roman" w:cs="Times New Roman"/>
          <w:sz w:val="24"/>
          <w:szCs w:val="24"/>
        </w:rPr>
        <w:t>century.</w:t>
      </w:r>
      <w:r w:rsidR="007B6BDD" w:rsidRPr="00641910">
        <w:rPr>
          <w:rStyle w:val="FootnoteReference"/>
          <w:rFonts w:ascii="Times New Roman" w:hAnsi="Times New Roman" w:cs="Times New Roman"/>
          <w:sz w:val="24"/>
          <w:szCs w:val="24"/>
        </w:rPr>
        <w:footnoteReference w:id="49"/>
      </w:r>
      <w:r w:rsidRPr="00641910">
        <w:rPr>
          <w:rFonts w:ascii="Times New Roman" w:hAnsi="Times New Roman" w:cs="Times New Roman"/>
          <w:sz w:val="24"/>
          <w:szCs w:val="24"/>
        </w:rPr>
        <w:t xml:space="preserve">  The evidence from Italian sources, however, suggests that the understanding of what constituted unhealthy air changed considerably during the early modern period.   In </w:t>
      </w:r>
      <w:r w:rsidRPr="00641910">
        <w:rPr>
          <w:rFonts w:ascii="Times New Roman" w:hAnsi="Times New Roman" w:cs="Times New Roman"/>
          <w:i/>
          <w:sz w:val="24"/>
          <w:szCs w:val="24"/>
        </w:rPr>
        <w:t xml:space="preserve">Healthy Living </w:t>
      </w:r>
      <w:r w:rsidR="00C400DA" w:rsidRPr="00641910">
        <w:rPr>
          <w:rFonts w:ascii="Times New Roman" w:hAnsi="Times New Roman" w:cs="Times New Roman"/>
          <w:sz w:val="24"/>
          <w:szCs w:val="24"/>
        </w:rPr>
        <w:t xml:space="preserve">we </w:t>
      </w:r>
      <w:r w:rsidR="00CE2FDC" w:rsidRPr="00641910">
        <w:rPr>
          <w:rFonts w:ascii="Times New Roman" w:hAnsi="Times New Roman" w:cs="Times New Roman"/>
          <w:sz w:val="24"/>
          <w:szCs w:val="24"/>
        </w:rPr>
        <w:t xml:space="preserve">already </w:t>
      </w:r>
      <w:r w:rsidR="00861F41" w:rsidRPr="00641910">
        <w:rPr>
          <w:rFonts w:ascii="Times New Roman" w:hAnsi="Times New Roman" w:cs="Times New Roman"/>
          <w:sz w:val="24"/>
          <w:szCs w:val="24"/>
        </w:rPr>
        <w:t xml:space="preserve">noticed </w:t>
      </w:r>
      <w:r w:rsidRPr="00641910">
        <w:rPr>
          <w:rFonts w:ascii="Times New Roman" w:hAnsi="Times New Roman" w:cs="Times New Roman"/>
          <w:sz w:val="24"/>
          <w:szCs w:val="24"/>
        </w:rPr>
        <w:t>that from the second half of the sixteenth century air temperature (especially cold) and an excessive level of humidity (or, to a less</w:t>
      </w:r>
      <w:r w:rsidR="00186930">
        <w:rPr>
          <w:rFonts w:ascii="Times New Roman" w:hAnsi="Times New Roman" w:cs="Times New Roman"/>
          <w:sz w:val="24"/>
          <w:szCs w:val="24"/>
        </w:rPr>
        <w:t>er extent, dryness) in the air we</w:t>
      </w:r>
      <w:r w:rsidRPr="00641910">
        <w:rPr>
          <w:rFonts w:ascii="Times New Roman" w:hAnsi="Times New Roman" w:cs="Times New Roman"/>
          <w:sz w:val="24"/>
          <w:szCs w:val="24"/>
        </w:rPr>
        <w:t>re seen as a much more serious and constant health hazard than vicious and disease-infected air. These findings are interesting since they diverge from the tendency to identify early modern notions of ‘bad air’ exclusively with air corrupted by external agents</w:t>
      </w:r>
      <w:r w:rsidR="00FA3302" w:rsidRPr="00641910">
        <w:rPr>
          <w:rFonts w:ascii="Times New Roman" w:hAnsi="Times New Roman" w:cs="Times New Roman"/>
          <w:sz w:val="24"/>
          <w:szCs w:val="24"/>
        </w:rPr>
        <w:t>,</w:t>
      </w:r>
      <w:r w:rsidR="00B47FF8" w:rsidRPr="00641910">
        <w:rPr>
          <w:rFonts w:ascii="Times New Roman" w:hAnsi="Times New Roman" w:cs="Times New Roman"/>
          <w:sz w:val="24"/>
          <w:szCs w:val="24"/>
        </w:rPr>
        <w:t xml:space="preserve"> such as </w:t>
      </w:r>
      <w:r w:rsidRPr="00641910">
        <w:rPr>
          <w:rFonts w:ascii="Times New Roman" w:hAnsi="Times New Roman" w:cs="Times New Roman"/>
          <w:sz w:val="24"/>
          <w:szCs w:val="24"/>
        </w:rPr>
        <w:t>the movement of planets or the malignant vapours released from marshes, organic waste or caverns.</w:t>
      </w:r>
      <w:r w:rsidR="00CE2FDC" w:rsidRPr="00641910">
        <w:rPr>
          <w:rStyle w:val="FootnoteReference"/>
          <w:rFonts w:ascii="Times New Roman" w:hAnsi="Times New Roman" w:cs="Times New Roman"/>
          <w:sz w:val="24"/>
          <w:szCs w:val="24"/>
        </w:rPr>
        <w:footnoteReference w:id="50"/>
      </w:r>
      <w:r w:rsidRPr="00641910">
        <w:rPr>
          <w:rFonts w:ascii="Times New Roman" w:hAnsi="Times New Roman" w:cs="Times New Roman"/>
          <w:sz w:val="24"/>
          <w:szCs w:val="24"/>
        </w:rPr>
        <w:t xml:space="preserve"> </w:t>
      </w:r>
      <w:r w:rsidR="00CE2FDC" w:rsidRPr="00641910">
        <w:rPr>
          <w:rFonts w:ascii="Times New Roman" w:hAnsi="Times New Roman" w:cs="Times New Roman"/>
          <w:sz w:val="24"/>
          <w:szCs w:val="24"/>
        </w:rPr>
        <w:t xml:space="preserve">But </w:t>
      </w:r>
      <w:r w:rsidR="00861F41" w:rsidRPr="00641910">
        <w:rPr>
          <w:rFonts w:ascii="Times New Roman" w:hAnsi="Times New Roman" w:cs="Times New Roman"/>
          <w:sz w:val="24"/>
          <w:szCs w:val="24"/>
        </w:rPr>
        <w:t>the</w:t>
      </w:r>
      <w:r w:rsidR="00C400DA" w:rsidRPr="00641910">
        <w:rPr>
          <w:rFonts w:ascii="Times New Roman" w:hAnsi="Times New Roman" w:cs="Times New Roman"/>
          <w:sz w:val="24"/>
          <w:szCs w:val="24"/>
        </w:rPr>
        <w:t>re are wider</w:t>
      </w:r>
      <w:r w:rsidR="00CE2FDC" w:rsidRPr="00641910">
        <w:rPr>
          <w:rFonts w:ascii="Times New Roman" w:hAnsi="Times New Roman" w:cs="Times New Roman"/>
          <w:sz w:val="24"/>
          <w:szCs w:val="24"/>
        </w:rPr>
        <w:t xml:space="preserve"> implications</w:t>
      </w:r>
      <w:r w:rsidR="00C400DA" w:rsidRPr="00641910">
        <w:rPr>
          <w:rFonts w:ascii="Times New Roman" w:hAnsi="Times New Roman" w:cs="Times New Roman"/>
          <w:sz w:val="24"/>
          <w:szCs w:val="24"/>
        </w:rPr>
        <w:t xml:space="preserve"> to consider</w:t>
      </w:r>
      <w:r w:rsidR="00CE2FDC" w:rsidRPr="00641910">
        <w:rPr>
          <w:rFonts w:ascii="Times New Roman" w:hAnsi="Times New Roman" w:cs="Times New Roman"/>
          <w:sz w:val="24"/>
          <w:szCs w:val="24"/>
        </w:rPr>
        <w:t xml:space="preserve">. </w:t>
      </w:r>
      <w:r w:rsidR="00FA3302" w:rsidRPr="00641910">
        <w:rPr>
          <w:rFonts w:ascii="Times New Roman" w:hAnsi="Times New Roman" w:cs="Times New Roman"/>
          <w:sz w:val="24"/>
          <w:szCs w:val="24"/>
        </w:rPr>
        <w:t>This view stems</w:t>
      </w:r>
      <w:r w:rsidRPr="00641910">
        <w:rPr>
          <w:rFonts w:ascii="Times New Roman" w:hAnsi="Times New Roman" w:cs="Times New Roman"/>
          <w:sz w:val="24"/>
          <w:szCs w:val="24"/>
        </w:rPr>
        <w:t xml:space="preserve"> overwhelmingly</w:t>
      </w:r>
      <w:r w:rsidR="003574C3">
        <w:rPr>
          <w:rFonts w:ascii="Times New Roman" w:hAnsi="Times New Roman" w:cs="Times New Roman"/>
          <w:sz w:val="24"/>
          <w:szCs w:val="24"/>
        </w:rPr>
        <w:t xml:space="preserve"> from </w:t>
      </w:r>
      <w:r w:rsidR="00CE2FDC" w:rsidRPr="00641910">
        <w:rPr>
          <w:rFonts w:ascii="Times New Roman" w:hAnsi="Times New Roman" w:cs="Times New Roman"/>
          <w:sz w:val="24"/>
          <w:szCs w:val="24"/>
        </w:rPr>
        <w:t>narrative</w:t>
      </w:r>
      <w:r w:rsidR="003574C3">
        <w:rPr>
          <w:rFonts w:ascii="Times New Roman" w:hAnsi="Times New Roman" w:cs="Times New Roman"/>
          <w:sz w:val="24"/>
          <w:szCs w:val="24"/>
        </w:rPr>
        <w:t>s</w:t>
      </w:r>
      <w:r w:rsidR="00CE2FDC" w:rsidRPr="00641910">
        <w:rPr>
          <w:rFonts w:ascii="Times New Roman" w:hAnsi="Times New Roman" w:cs="Times New Roman"/>
          <w:sz w:val="24"/>
          <w:szCs w:val="24"/>
        </w:rPr>
        <w:t xml:space="preserve"> of emergency: </w:t>
      </w:r>
      <w:r w:rsidR="00FA3302" w:rsidRPr="00641910">
        <w:rPr>
          <w:rFonts w:ascii="Times New Roman" w:hAnsi="Times New Roman" w:cs="Times New Roman"/>
          <w:sz w:val="24"/>
          <w:szCs w:val="24"/>
        </w:rPr>
        <w:t xml:space="preserve">from </w:t>
      </w:r>
      <w:r w:rsidRPr="00641910">
        <w:rPr>
          <w:rFonts w:ascii="Times New Roman" w:hAnsi="Times New Roman" w:cs="Times New Roman"/>
          <w:sz w:val="24"/>
          <w:szCs w:val="24"/>
        </w:rPr>
        <w:t xml:space="preserve">descriptions of unhealthy air dominant in plague epidemics and underpinning </w:t>
      </w:r>
      <w:r w:rsidR="00CE2FDC" w:rsidRPr="00641910">
        <w:rPr>
          <w:rFonts w:ascii="Times New Roman" w:hAnsi="Times New Roman" w:cs="Times New Roman"/>
          <w:sz w:val="24"/>
          <w:szCs w:val="24"/>
        </w:rPr>
        <w:t>public health measures</w:t>
      </w:r>
      <w:r w:rsidRPr="00641910">
        <w:rPr>
          <w:rFonts w:ascii="Times New Roman" w:hAnsi="Times New Roman" w:cs="Times New Roman"/>
          <w:sz w:val="24"/>
          <w:szCs w:val="24"/>
        </w:rPr>
        <w:t xml:space="preserve">. But different sources provide different perspectives on early modern airs. Hence, regimens of health, which engage with the management of the body and the environment in the everyday, rarely include terms such as putrid, fetid or pestilential in relation to air and any expression that may suggest that air is in itself ‘infected’ and a carrier of disease. These texts devote far greater attention to the impact on health of ordinary atmospheric phenomena, such as </w:t>
      </w:r>
      <w:r w:rsidR="00186A50" w:rsidRPr="00641910">
        <w:rPr>
          <w:rFonts w:ascii="Times New Roman" w:hAnsi="Times New Roman" w:cs="Times New Roman"/>
          <w:sz w:val="24"/>
          <w:szCs w:val="24"/>
        </w:rPr>
        <w:t xml:space="preserve">the </w:t>
      </w:r>
      <w:r w:rsidR="00FA3302" w:rsidRPr="00641910">
        <w:rPr>
          <w:rFonts w:ascii="Times New Roman" w:hAnsi="Times New Roman" w:cs="Times New Roman"/>
          <w:sz w:val="24"/>
          <w:szCs w:val="24"/>
        </w:rPr>
        <w:t xml:space="preserve">characteristics of </w:t>
      </w:r>
      <w:r w:rsidR="00186A50" w:rsidRPr="00641910">
        <w:rPr>
          <w:rFonts w:ascii="Times New Roman" w:hAnsi="Times New Roman" w:cs="Times New Roman"/>
          <w:sz w:val="24"/>
          <w:szCs w:val="24"/>
        </w:rPr>
        <w:t xml:space="preserve">the </w:t>
      </w:r>
      <w:r w:rsidR="00FA3302" w:rsidRPr="00641910">
        <w:rPr>
          <w:rFonts w:ascii="Times New Roman" w:hAnsi="Times New Roman" w:cs="Times New Roman"/>
          <w:sz w:val="24"/>
          <w:szCs w:val="24"/>
        </w:rPr>
        <w:t>winds that blow in the locality and the dust</w:t>
      </w:r>
      <w:r w:rsidR="00186A50" w:rsidRPr="00641910">
        <w:rPr>
          <w:rFonts w:ascii="Times New Roman" w:hAnsi="Times New Roman" w:cs="Times New Roman"/>
          <w:sz w:val="24"/>
          <w:szCs w:val="24"/>
        </w:rPr>
        <w:t xml:space="preserve"> they produce, </w:t>
      </w:r>
      <w:r w:rsidR="00E13239" w:rsidRPr="00641910">
        <w:rPr>
          <w:rFonts w:ascii="Times New Roman" w:hAnsi="Times New Roman" w:cs="Times New Roman"/>
          <w:sz w:val="24"/>
          <w:szCs w:val="24"/>
        </w:rPr>
        <w:t xml:space="preserve">the cold and moist quality of the air during the night, </w:t>
      </w:r>
      <w:r w:rsidR="00186A50" w:rsidRPr="00641910">
        <w:rPr>
          <w:rFonts w:ascii="Times New Roman" w:hAnsi="Times New Roman" w:cs="Times New Roman"/>
          <w:sz w:val="24"/>
          <w:szCs w:val="24"/>
        </w:rPr>
        <w:t xml:space="preserve">or unseasonal occurrences such as </w:t>
      </w:r>
      <w:r w:rsidRPr="00641910">
        <w:rPr>
          <w:rFonts w:ascii="Times New Roman" w:hAnsi="Times New Roman" w:cs="Times New Roman"/>
          <w:sz w:val="24"/>
          <w:szCs w:val="24"/>
        </w:rPr>
        <w:t xml:space="preserve">sudden drops </w:t>
      </w:r>
      <w:r w:rsidR="00E13239" w:rsidRPr="00641910">
        <w:rPr>
          <w:rFonts w:ascii="Times New Roman" w:hAnsi="Times New Roman" w:cs="Times New Roman"/>
          <w:sz w:val="24"/>
          <w:szCs w:val="24"/>
        </w:rPr>
        <w:t xml:space="preserve">or increases </w:t>
      </w:r>
      <w:r w:rsidRPr="00641910">
        <w:rPr>
          <w:rFonts w:ascii="Times New Roman" w:hAnsi="Times New Roman" w:cs="Times New Roman"/>
          <w:sz w:val="24"/>
          <w:szCs w:val="24"/>
        </w:rPr>
        <w:t xml:space="preserve">in temperature.   Moreover, even when the vapours from lakes, ponds, marshes or caverns are indicated as the sources of corrupt air, these are now seen as </w:t>
      </w:r>
      <w:r w:rsidR="007B6BDD" w:rsidRPr="00641910">
        <w:rPr>
          <w:rFonts w:ascii="Times New Roman" w:hAnsi="Times New Roman" w:cs="Times New Roman"/>
          <w:sz w:val="24"/>
          <w:szCs w:val="24"/>
        </w:rPr>
        <w:t>local</w:t>
      </w:r>
      <w:r w:rsidRPr="00641910">
        <w:rPr>
          <w:rFonts w:ascii="Times New Roman" w:hAnsi="Times New Roman" w:cs="Times New Roman"/>
          <w:sz w:val="24"/>
          <w:szCs w:val="24"/>
        </w:rPr>
        <w:t xml:space="preserve"> phenomena, deriving from the environmental characteristics of the </w:t>
      </w:r>
      <w:r w:rsidR="00E13239" w:rsidRPr="00641910">
        <w:rPr>
          <w:rFonts w:ascii="Times New Roman" w:hAnsi="Times New Roman" w:cs="Times New Roman"/>
          <w:sz w:val="24"/>
          <w:szCs w:val="24"/>
        </w:rPr>
        <w:t xml:space="preserve">place </w:t>
      </w:r>
      <w:r w:rsidRPr="00641910">
        <w:rPr>
          <w:rFonts w:ascii="Times New Roman" w:hAnsi="Times New Roman" w:cs="Times New Roman"/>
          <w:sz w:val="24"/>
          <w:szCs w:val="24"/>
        </w:rPr>
        <w:t xml:space="preserve">rather than as gaseous substances released far afield and transported by </w:t>
      </w:r>
      <w:r w:rsidR="00E13239" w:rsidRPr="00641910">
        <w:rPr>
          <w:rFonts w:ascii="Times New Roman" w:hAnsi="Times New Roman" w:cs="Times New Roman"/>
          <w:sz w:val="24"/>
          <w:szCs w:val="24"/>
        </w:rPr>
        <w:t>air currents</w:t>
      </w:r>
      <w:r w:rsidRPr="00641910">
        <w:rPr>
          <w:rFonts w:ascii="Times New Roman" w:hAnsi="Times New Roman" w:cs="Times New Roman"/>
          <w:sz w:val="24"/>
          <w:szCs w:val="24"/>
        </w:rPr>
        <w:t>.</w:t>
      </w:r>
      <w:r w:rsidRPr="00641910">
        <w:rPr>
          <w:rStyle w:val="FootnoteReference"/>
          <w:rFonts w:ascii="Times New Roman" w:hAnsi="Times New Roman" w:cs="Times New Roman"/>
          <w:sz w:val="24"/>
          <w:szCs w:val="24"/>
        </w:rPr>
        <w:footnoteReference w:id="51"/>
      </w:r>
      <w:r w:rsidRPr="00641910">
        <w:rPr>
          <w:sz w:val="24"/>
          <w:szCs w:val="24"/>
        </w:rPr>
        <w:t xml:space="preserve"> </w:t>
      </w:r>
    </w:p>
    <w:p w:rsidR="00521217" w:rsidRPr="00641910" w:rsidRDefault="00521217" w:rsidP="00521217">
      <w:pPr>
        <w:pStyle w:val="FootnoteText"/>
        <w:spacing w:line="360" w:lineRule="auto"/>
        <w:jc w:val="both"/>
        <w:rPr>
          <w:sz w:val="24"/>
          <w:szCs w:val="24"/>
          <w:lang w:val="en-GB"/>
        </w:rPr>
      </w:pPr>
      <w:r w:rsidRPr="00641910">
        <w:rPr>
          <w:sz w:val="24"/>
          <w:szCs w:val="24"/>
          <w:lang w:val="en-GB"/>
        </w:rPr>
        <w:tab/>
        <w:t xml:space="preserve">This increased interest in the local climate also explains the emergence of a new  health-related textual genre: in the second half of the sixteenth century and earlier part of the seventeenth,  many doctors write in-depth analyses of the air of specific localities (Venice, </w:t>
      </w:r>
      <w:r w:rsidRPr="00641910">
        <w:rPr>
          <w:sz w:val="24"/>
          <w:szCs w:val="24"/>
          <w:lang w:val="en-GB"/>
        </w:rPr>
        <w:lastRenderedPageBreak/>
        <w:t>Genoa, Rome) or of  regions, such as Romagna, implying that a more precise understanding of the characteristics of the air and climate of the place will enable the population to protect themselves from the effects of local natural phenomena.</w:t>
      </w:r>
      <w:r w:rsidRPr="00641910">
        <w:rPr>
          <w:rStyle w:val="FootnoteReference"/>
          <w:sz w:val="24"/>
          <w:szCs w:val="24"/>
          <w:lang w:val="en-GB"/>
        </w:rPr>
        <w:footnoteReference w:id="52"/>
      </w:r>
      <w:r w:rsidRPr="00641910">
        <w:rPr>
          <w:sz w:val="24"/>
          <w:szCs w:val="24"/>
          <w:lang w:val="en-GB"/>
        </w:rPr>
        <w:t xml:space="preserve"> By contrast, the influence of the stars and planets becomes a much less significant element in writings on the weather. This is evident also in the profile of some authors, whose publishing activity turns from astrological prognostications of climate to works that display their profound knowledge of the local winds and airs.</w:t>
      </w:r>
      <w:r w:rsidRPr="00641910">
        <w:rPr>
          <w:rStyle w:val="FootnoteReference"/>
          <w:sz w:val="24"/>
          <w:szCs w:val="24"/>
          <w:lang w:val="en-GB"/>
        </w:rPr>
        <w:footnoteReference w:id="53"/>
      </w:r>
      <w:r w:rsidRPr="00641910">
        <w:rPr>
          <w:sz w:val="24"/>
          <w:szCs w:val="24"/>
          <w:lang w:val="en-GB"/>
        </w:rPr>
        <w:t xml:space="preserve"> We witness therefore a rise in meteorological medicine which sees atmospheric conditions as main sources of disease</w:t>
      </w:r>
      <w:r w:rsidR="00E13239" w:rsidRPr="00641910">
        <w:rPr>
          <w:sz w:val="24"/>
          <w:szCs w:val="24"/>
          <w:lang w:val="en-GB"/>
        </w:rPr>
        <w:t xml:space="preserve"> and</w:t>
      </w:r>
      <w:r w:rsidRPr="00641910">
        <w:rPr>
          <w:sz w:val="24"/>
          <w:szCs w:val="24"/>
          <w:lang w:val="en-GB"/>
        </w:rPr>
        <w:t xml:space="preserve"> the possibility to contr</w:t>
      </w:r>
      <w:r w:rsidR="00E13239" w:rsidRPr="00641910">
        <w:rPr>
          <w:sz w:val="24"/>
          <w:szCs w:val="24"/>
          <w:lang w:val="en-GB"/>
        </w:rPr>
        <w:t xml:space="preserve">ol </w:t>
      </w:r>
      <w:r w:rsidRPr="00641910">
        <w:rPr>
          <w:sz w:val="24"/>
          <w:szCs w:val="24"/>
          <w:lang w:val="en-GB"/>
        </w:rPr>
        <w:t xml:space="preserve">them as key to the maintenance of health. No longer inexplicable and falling in the realm of prediction, natural phenomena are now depicted as foreseeable and manageable. </w:t>
      </w:r>
      <w:r w:rsidR="006216E8" w:rsidRPr="00641910">
        <w:rPr>
          <w:sz w:val="24"/>
          <w:szCs w:val="24"/>
          <w:lang w:val="en-GB"/>
        </w:rPr>
        <w:t xml:space="preserve"> </w:t>
      </w:r>
    </w:p>
    <w:p w:rsidR="00521217" w:rsidRPr="00641910" w:rsidRDefault="00521217" w:rsidP="00521217">
      <w:pPr>
        <w:autoSpaceDE w:val="0"/>
        <w:autoSpaceDN w:val="0"/>
        <w:adjustRightInd w:val="0"/>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tab/>
      </w:r>
    </w:p>
    <w:p w:rsidR="00874623" w:rsidRPr="00641910" w:rsidRDefault="007B6BD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t>Managing Air</w:t>
      </w:r>
    </w:p>
    <w:p w:rsidR="00521217" w:rsidRPr="00641910" w:rsidRDefault="007B6BDD" w:rsidP="00521217">
      <w:pPr>
        <w:autoSpaceDE w:val="0"/>
        <w:autoSpaceDN w:val="0"/>
        <w:adjustRightInd w:val="0"/>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t xml:space="preserve">These shifts in the understanding of dangerous airs were not confined to </w:t>
      </w:r>
      <w:r w:rsidR="00EB6FA8" w:rsidRPr="00641910">
        <w:rPr>
          <w:rFonts w:ascii="Times New Roman" w:hAnsi="Times New Roman" w:cs="Times New Roman"/>
          <w:sz w:val="24"/>
          <w:szCs w:val="24"/>
        </w:rPr>
        <w:t>the realm of ideas</w:t>
      </w:r>
      <w:r w:rsidRPr="00641910">
        <w:rPr>
          <w:rFonts w:ascii="Times New Roman" w:hAnsi="Times New Roman" w:cs="Times New Roman"/>
          <w:sz w:val="24"/>
          <w:szCs w:val="24"/>
        </w:rPr>
        <w:t xml:space="preserve"> but affected also the </w:t>
      </w:r>
      <w:r w:rsidR="00EB6FA8" w:rsidRPr="00641910">
        <w:rPr>
          <w:rFonts w:ascii="Times New Roman" w:hAnsi="Times New Roman" w:cs="Times New Roman"/>
          <w:sz w:val="24"/>
          <w:szCs w:val="24"/>
        </w:rPr>
        <w:t>practice</w:t>
      </w:r>
      <w:r w:rsidRPr="00641910">
        <w:rPr>
          <w:rFonts w:ascii="Times New Roman" w:hAnsi="Times New Roman" w:cs="Times New Roman"/>
          <w:sz w:val="24"/>
          <w:szCs w:val="24"/>
        </w:rPr>
        <w:t xml:space="preserve"> of the laity.</w:t>
      </w:r>
      <w:r w:rsidR="00521217" w:rsidRPr="00641910">
        <w:rPr>
          <w:rFonts w:ascii="Times New Roman" w:hAnsi="Times New Roman" w:cs="Times New Roman"/>
          <w:sz w:val="24"/>
          <w:szCs w:val="24"/>
        </w:rPr>
        <w:t xml:space="preserve"> Numerous testimonies discussed in </w:t>
      </w:r>
      <w:r w:rsidR="00521217" w:rsidRPr="00641910">
        <w:rPr>
          <w:rFonts w:ascii="Times New Roman" w:hAnsi="Times New Roman" w:cs="Times New Roman"/>
          <w:i/>
          <w:sz w:val="24"/>
          <w:szCs w:val="24"/>
        </w:rPr>
        <w:t>Healthy Living</w:t>
      </w:r>
      <w:r w:rsidR="00521217" w:rsidRPr="00641910">
        <w:rPr>
          <w:rFonts w:ascii="Times New Roman" w:hAnsi="Times New Roman" w:cs="Times New Roman"/>
          <w:sz w:val="24"/>
          <w:szCs w:val="24"/>
        </w:rPr>
        <w:t xml:space="preserve"> </w:t>
      </w:r>
      <w:r w:rsidR="003574C3">
        <w:rPr>
          <w:rFonts w:ascii="Times New Roman" w:hAnsi="Times New Roman" w:cs="Times New Roman"/>
          <w:sz w:val="24"/>
          <w:szCs w:val="24"/>
        </w:rPr>
        <w:t>illustrated</w:t>
      </w:r>
      <w:r w:rsidR="00521217" w:rsidRPr="00641910">
        <w:rPr>
          <w:rFonts w:ascii="Times New Roman" w:hAnsi="Times New Roman" w:cs="Times New Roman"/>
          <w:sz w:val="24"/>
          <w:szCs w:val="24"/>
        </w:rPr>
        <w:t xml:space="preserve"> that from mid-sixteenth century the quality of the local air and the exposure to winds were matters of concern also for those who were </w:t>
      </w:r>
      <w:r w:rsidR="00521217" w:rsidRPr="00641910">
        <w:rPr>
          <w:rFonts w:ascii="Times New Roman" w:hAnsi="Times New Roman" w:cs="Times New Roman"/>
          <w:sz w:val="24"/>
          <w:szCs w:val="24"/>
          <w:lang w:eastAsia="en-GB"/>
        </w:rPr>
        <w:t>buying a house or villa or commissioning their building.</w:t>
      </w:r>
      <w:r w:rsidR="00521217" w:rsidRPr="00641910">
        <w:rPr>
          <w:rStyle w:val="FootnoteReference"/>
          <w:rFonts w:ascii="Times New Roman" w:hAnsi="Times New Roman" w:cs="Times New Roman"/>
          <w:sz w:val="24"/>
          <w:szCs w:val="24"/>
          <w:lang w:eastAsia="en-GB"/>
        </w:rPr>
        <w:footnoteReference w:id="54"/>
      </w:r>
      <w:r w:rsidR="003574C3">
        <w:rPr>
          <w:rFonts w:ascii="Times New Roman" w:hAnsi="Times New Roman" w:cs="Times New Roman"/>
          <w:sz w:val="24"/>
          <w:szCs w:val="24"/>
        </w:rPr>
        <w:t xml:space="preserve">  Moreover the study suggested</w:t>
      </w:r>
      <w:r w:rsidR="00521217" w:rsidRPr="00641910">
        <w:rPr>
          <w:rFonts w:ascii="Times New Roman" w:hAnsi="Times New Roman" w:cs="Times New Roman"/>
          <w:sz w:val="24"/>
          <w:szCs w:val="24"/>
        </w:rPr>
        <w:t xml:space="preserve"> that the new emphasis on cold and damp air as major health-hazards had an impact on the material culture of the home, stimulating the dissemination across the social scale of new furnishings: bed curtains and canopies, which isolated the bed from air drafts and created a warm receptacle for the sleeper, wall-hangings, which absorbed the dampness in the ambient air, and various devices for heating the ambient air (from fireplaces to portable braziers).</w:t>
      </w:r>
      <w:r w:rsidR="00521217" w:rsidRPr="00641910">
        <w:rPr>
          <w:rStyle w:val="FootnoteReference"/>
          <w:rFonts w:ascii="Times New Roman" w:hAnsi="Times New Roman" w:cs="Times New Roman"/>
          <w:sz w:val="24"/>
          <w:szCs w:val="24"/>
        </w:rPr>
        <w:footnoteReference w:id="55"/>
      </w:r>
      <w:r w:rsidR="00521217" w:rsidRPr="00641910">
        <w:rPr>
          <w:rFonts w:ascii="Times New Roman" w:hAnsi="Times New Roman" w:cs="Times New Roman"/>
          <w:sz w:val="24"/>
          <w:szCs w:val="24"/>
        </w:rPr>
        <w:t xml:space="preserve"> Increased concern for the health risks posed by freezing temperatures also encouraged the use of special headgear, padded clothes and leather garments, and the adoption of greater cautions in the approach to bad weathe</w:t>
      </w:r>
      <w:r w:rsidRPr="00641910">
        <w:rPr>
          <w:rFonts w:ascii="Times New Roman" w:hAnsi="Times New Roman" w:cs="Times New Roman"/>
          <w:sz w:val="24"/>
          <w:szCs w:val="24"/>
        </w:rPr>
        <w:t>r.</w:t>
      </w:r>
      <w:r w:rsidRPr="00641910">
        <w:rPr>
          <w:rStyle w:val="FootnoteReference"/>
          <w:rFonts w:ascii="Times New Roman" w:hAnsi="Times New Roman" w:cs="Times New Roman"/>
          <w:sz w:val="24"/>
          <w:szCs w:val="24"/>
        </w:rPr>
        <w:footnoteReference w:id="56"/>
      </w:r>
      <w:r w:rsidR="00521217" w:rsidRPr="00641910">
        <w:rPr>
          <w:rFonts w:ascii="Times New Roman" w:hAnsi="Times New Roman" w:cs="Times New Roman"/>
          <w:sz w:val="24"/>
          <w:szCs w:val="24"/>
        </w:rPr>
        <w:t xml:space="preserve">    </w:t>
      </w:r>
    </w:p>
    <w:p w:rsidR="00521217" w:rsidRPr="00641910" w:rsidRDefault="00521217" w:rsidP="00521217">
      <w:pPr>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tab/>
      </w:r>
      <w:r w:rsidR="002624A3" w:rsidRPr="00641910">
        <w:rPr>
          <w:rFonts w:ascii="Times New Roman" w:hAnsi="Times New Roman" w:cs="Times New Roman"/>
          <w:sz w:val="24"/>
          <w:szCs w:val="24"/>
        </w:rPr>
        <w:t xml:space="preserve">I would now like to explore how changing ideas about air were reflected in other spheres of ‘practice’, starting from </w:t>
      </w:r>
      <w:r w:rsidR="002624A3" w:rsidRPr="00641910">
        <w:rPr>
          <w:rFonts w:ascii="Times New Roman" w:hAnsi="Times New Roman" w:cs="Times New Roman"/>
          <w:sz w:val="24"/>
          <w:szCs w:val="24"/>
          <w:lang w:eastAsia="en-GB"/>
        </w:rPr>
        <w:t>architectural thinking and activity.</w:t>
      </w:r>
      <w:r w:rsidR="002624A3" w:rsidRPr="00641910">
        <w:rPr>
          <w:rFonts w:ascii="Times New Roman" w:hAnsi="Times New Roman" w:cs="Times New Roman"/>
          <w:sz w:val="24"/>
          <w:szCs w:val="24"/>
        </w:rPr>
        <w:t xml:space="preserve"> Here too a</w:t>
      </w:r>
      <w:r w:rsidRPr="00641910">
        <w:rPr>
          <w:rFonts w:ascii="Times New Roman" w:hAnsi="Times New Roman" w:cs="Times New Roman"/>
          <w:sz w:val="24"/>
          <w:szCs w:val="24"/>
          <w:lang w:eastAsia="en-GB"/>
        </w:rPr>
        <w:t xml:space="preserve">ir acquired </w:t>
      </w:r>
      <w:r w:rsidRPr="00641910">
        <w:rPr>
          <w:rFonts w:ascii="Times New Roman" w:hAnsi="Times New Roman" w:cs="Times New Roman"/>
          <w:sz w:val="24"/>
          <w:szCs w:val="24"/>
          <w:lang w:eastAsia="en-GB"/>
        </w:rPr>
        <w:lastRenderedPageBreak/>
        <w:t>central stage</w:t>
      </w:r>
      <w:r w:rsidR="002624A3" w:rsidRPr="00641910">
        <w:rPr>
          <w:rFonts w:ascii="Times New Roman" w:hAnsi="Times New Roman" w:cs="Times New Roman"/>
          <w:sz w:val="24"/>
          <w:szCs w:val="24"/>
          <w:lang w:eastAsia="en-GB"/>
        </w:rPr>
        <w:t>.</w:t>
      </w:r>
      <w:r w:rsidRPr="00641910">
        <w:rPr>
          <w:rFonts w:ascii="Times New Roman" w:hAnsi="Times New Roman" w:cs="Times New Roman"/>
          <w:sz w:val="24"/>
          <w:szCs w:val="24"/>
          <w:lang w:eastAsia="en-GB"/>
        </w:rPr>
        <w:t xml:space="preserve"> </w:t>
      </w:r>
      <w:r w:rsidRPr="00641910">
        <w:rPr>
          <w:rFonts w:ascii="Times New Roman" w:hAnsi="Times New Roman" w:cs="Times New Roman"/>
          <w:sz w:val="24"/>
          <w:szCs w:val="24"/>
        </w:rPr>
        <w:t>‘Designing the house with climate in mind’, as Deborah Howard has effectively stated, became the hallmark of Renaissance architecture.</w:t>
      </w:r>
      <w:r w:rsidRPr="00641910">
        <w:rPr>
          <w:rStyle w:val="FootnoteReference"/>
          <w:rFonts w:ascii="Times New Roman" w:hAnsi="Times New Roman" w:cs="Times New Roman"/>
          <w:sz w:val="24"/>
          <w:szCs w:val="24"/>
        </w:rPr>
        <w:footnoteReference w:id="57"/>
      </w:r>
      <w:r w:rsidRPr="00641910">
        <w:rPr>
          <w:rFonts w:ascii="Times New Roman" w:hAnsi="Times New Roman" w:cs="Times New Roman"/>
          <w:sz w:val="24"/>
          <w:szCs w:val="24"/>
        </w:rPr>
        <w:t xml:space="preserve"> However, we should also note that subtle shifts in emphasis differentiate the approach of earlier and late Renaissance architects. In the writings of the latter, bad air is increasingly seen as locally generated and this </w:t>
      </w:r>
      <w:r w:rsidR="00AF7CFC" w:rsidRPr="00641910">
        <w:rPr>
          <w:rFonts w:ascii="Times New Roman" w:hAnsi="Times New Roman" w:cs="Times New Roman"/>
          <w:sz w:val="24"/>
          <w:szCs w:val="24"/>
        </w:rPr>
        <w:t xml:space="preserve">also </w:t>
      </w:r>
      <w:r w:rsidRPr="00641910">
        <w:rPr>
          <w:rFonts w:ascii="Times New Roman" w:hAnsi="Times New Roman" w:cs="Times New Roman"/>
          <w:sz w:val="24"/>
          <w:szCs w:val="24"/>
        </w:rPr>
        <w:t xml:space="preserve">brings about a more positive assessment of winds than in previous generations of professionals. While </w:t>
      </w:r>
      <w:proofErr w:type="spellStart"/>
      <w:r w:rsidRPr="00641910">
        <w:rPr>
          <w:rFonts w:ascii="Times New Roman" w:hAnsi="Times New Roman" w:cs="Times New Roman"/>
          <w:sz w:val="24"/>
          <w:szCs w:val="24"/>
        </w:rPr>
        <w:t>Alberti’s</w:t>
      </w:r>
      <w:proofErr w:type="spellEnd"/>
      <w:r w:rsidRPr="00641910">
        <w:rPr>
          <w:rFonts w:ascii="Times New Roman" w:hAnsi="Times New Roman" w:cs="Times New Roman"/>
          <w:sz w:val="24"/>
          <w:szCs w:val="24"/>
        </w:rPr>
        <w:t xml:space="preserve"> </w:t>
      </w:r>
      <w:r w:rsidRPr="00641910">
        <w:rPr>
          <w:rFonts w:ascii="Times New Roman" w:hAnsi="Times New Roman" w:cs="Times New Roman"/>
          <w:i/>
          <w:sz w:val="24"/>
          <w:szCs w:val="24"/>
        </w:rPr>
        <w:t xml:space="preserve">De Re </w:t>
      </w:r>
      <w:proofErr w:type="spellStart"/>
      <w:r w:rsidRPr="00641910">
        <w:rPr>
          <w:rFonts w:ascii="Times New Roman" w:hAnsi="Times New Roman" w:cs="Times New Roman"/>
          <w:i/>
          <w:sz w:val="24"/>
          <w:szCs w:val="24"/>
        </w:rPr>
        <w:t>Aedificatoria</w:t>
      </w:r>
      <w:proofErr w:type="spellEnd"/>
      <w:r w:rsidRPr="00641910">
        <w:rPr>
          <w:rFonts w:ascii="Times New Roman" w:hAnsi="Times New Roman" w:cs="Times New Roman"/>
          <w:sz w:val="24"/>
          <w:szCs w:val="24"/>
        </w:rPr>
        <w:t xml:space="preserve"> (written in mid fifteenth century) still divides winds into salubrious and noxious and sees the latter as ‘carriers of harmful substances’, </w:t>
      </w:r>
      <w:proofErr w:type="spellStart"/>
      <w:r w:rsidRPr="00641910">
        <w:rPr>
          <w:rFonts w:ascii="Times New Roman" w:hAnsi="Times New Roman" w:cs="Times New Roman"/>
          <w:sz w:val="24"/>
          <w:szCs w:val="24"/>
        </w:rPr>
        <w:t>Scamozzi</w:t>
      </w:r>
      <w:proofErr w:type="spellEnd"/>
      <w:r w:rsidRPr="00641910">
        <w:rPr>
          <w:rFonts w:ascii="Times New Roman" w:hAnsi="Times New Roman" w:cs="Times New Roman"/>
          <w:sz w:val="24"/>
          <w:szCs w:val="24"/>
        </w:rPr>
        <w:t>, writi</w:t>
      </w:r>
      <w:r w:rsidR="006F79B7" w:rsidRPr="00641910">
        <w:rPr>
          <w:rFonts w:ascii="Times New Roman" w:hAnsi="Times New Roman" w:cs="Times New Roman"/>
          <w:sz w:val="24"/>
          <w:szCs w:val="24"/>
        </w:rPr>
        <w:t xml:space="preserve">ng a century and a half later, </w:t>
      </w:r>
      <w:r w:rsidRPr="00641910">
        <w:rPr>
          <w:rFonts w:ascii="Times New Roman" w:hAnsi="Times New Roman" w:cs="Times New Roman"/>
          <w:sz w:val="24"/>
          <w:szCs w:val="24"/>
        </w:rPr>
        <w:t>tends to see the role of winds in positive terms since, by giving motion to the air they make it pure and light and preserve it from the self-corruption generated by stagnation.</w:t>
      </w:r>
      <w:r w:rsidRPr="00641910">
        <w:rPr>
          <w:rStyle w:val="FootnoteReference"/>
          <w:rFonts w:ascii="Times New Roman" w:hAnsi="Times New Roman" w:cs="Times New Roman"/>
          <w:sz w:val="24"/>
          <w:szCs w:val="24"/>
        </w:rPr>
        <w:footnoteReference w:id="58"/>
      </w:r>
      <w:r w:rsidRPr="00641910">
        <w:rPr>
          <w:rFonts w:ascii="Times New Roman" w:hAnsi="Times New Roman" w:cs="Times New Roman"/>
          <w:sz w:val="24"/>
          <w:szCs w:val="24"/>
        </w:rPr>
        <w:t xml:space="preserve"> Two important elements are introduced here: one is the mobility of the air seen as a positive quality; the other is the idea that standing air is exposed to the risk of self-corruption.  In this respect late Renaissance architects distance themselves from the teaching of Vitruvius, who thought that winds should be kept out of the city all together and that sta</w:t>
      </w:r>
      <w:r w:rsidR="00602BAC" w:rsidRPr="00641910">
        <w:rPr>
          <w:rFonts w:ascii="Times New Roman" w:hAnsi="Times New Roman" w:cs="Times New Roman"/>
          <w:sz w:val="24"/>
          <w:szCs w:val="24"/>
        </w:rPr>
        <w:t>nding</w:t>
      </w:r>
      <w:r w:rsidRPr="00641910">
        <w:rPr>
          <w:rFonts w:ascii="Times New Roman" w:hAnsi="Times New Roman" w:cs="Times New Roman"/>
          <w:sz w:val="24"/>
          <w:szCs w:val="24"/>
        </w:rPr>
        <w:t xml:space="preserve"> air favoured health on account of its stability.</w:t>
      </w:r>
      <w:r w:rsidRPr="00641910">
        <w:rPr>
          <w:rStyle w:val="FootnoteReference"/>
          <w:rFonts w:ascii="Times New Roman" w:hAnsi="Times New Roman" w:cs="Times New Roman"/>
          <w:sz w:val="24"/>
          <w:szCs w:val="24"/>
        </w:rPr>
        <w:footnoteReference w:id="59"/>
      </w:r>
      <w:r w:rsidRPr="00641910">
        <w:rPr>
          <w:rFonts w:ascii="Times New Roman" w:hAnsi="Times New Roman" w:cs="Times New Roman"/>
          <w:sz w:val="24"/>
          <w:szCs w:val="24"/>
        </w:rPr>
        <w:t xml:space="preserve"> Unlike Vitruvius, </w:t>
      </w:r>
      <w:proofErr w:type="spellStart"/>
      <w:r w:rsidRPr="00641910">
        <w:rPr>
          <w:rFonts w:ascii="Times New Roman" w:hAnsi="Times New Roman" w:cs="Times New Roman"/>
          <w:sz w:val="24"/>
          <w:szCs w:val="24"/>
        </w:rPr>
        <w:t>Alberti</w:t>
      </w:r>
      <w:proofErr w:type="spellEnd"/>
      <w:r w:rsidRPr="00641910">
        <w:rPr>
          <w:rFonts w:ascii="Times New Roman" w:hAnsi="Times New Roman" w:cs="Times New Roman"/>
          <w:sz w:val="24"/>
          <w:szCs w:val="24"/>
        </w:rPr>
        <w:t xml:space="preserve"> does not regard all winds as noxious but maintains that they can be mastered by human action.</w:t>
      </w:r>
      <w:r w:rsidRPr="00641910">
        <w:rPr>
          <w:rStyle w:val="FootnoteReference"/>
          <w:rFonts w:ascii="Times New Roman" w:hAnsi="Times New Roman" w:cs="Times New Roman"/>
          <w:sz w:val="24"/>
          <w:szCs w:val="24"/>
        </w:rPr>
        <w:footnoteReference w:id="60"/>
      </w:r>
      <w:r w:rsidRPr="00641910">
        <w:rPr>
          <w:rFonts w:ascii="Times New Roman" w:hAnsi="Times New Roman" w:cs="Times New Roman"/>
          <w:sz w:val="24"/>
          <w:szCs w:val="24"/>
        </w:rPr>
        <w:t xml:space="preserve"> And this more pragmatic attitude to winds will then be developed by sixteenth-century architects such as Palladio and </w:t>
      </w:r>
      <w:proofErr w:type="spellStart"/>
      <w:r w:rsidRPr="00641910">
        <w:rPr>
          <w:rFonts w:ascii="Times New Roman" w:hAnsi="Times New Roman" w:cs="Times New Roman"/>
          <w:sz w:val="24"/>
          <w:szCs w:val="24"/>
        </w:rPr>
        <w:t>Scamozzi</w:t>
      </w:r>
      <w:proofErr w:type="spellEnd"/>
      <w:r w:rsidRPr="00641910">
        <w:rPr>
          <w:rFonts w:ascii="Times New Roman" w:hAnsi="Times New Roman" w:cs="Times New Roman"/>
          <w:sz w:val="24"/>
          <w:szCs w:val="24"/>
        </w:rPr>
        <w:t xml:space="preserve">, who firmly believed in the possibility </w:t>
      </w:r>
      <w:r w:rsidR="00211376" w:rsidRPr="00641910">
        <w:rPr>
          <w:rFonts w:ascii="Times New Roman" w:hAnsi="Times New Roman" w:cs="Times New Roman"/>
          <w:sz w:val="24"/>
          <w:szCs w:val="24"/>
        </w:rPr>
        <w:t>of regulating</w:t>
      </w:r>
      <w:r w:rsidRPr="00641910">
        <w:rPr>
          <w:rFonts w:ascii="Times New Roman" w:hAnsi="Times New Roman" w:cs="Times New Roman"/>
          <w:sz w:val="24"/>
          <w:szCs w:val="24"/>
        </w:rPr>
        <w:t xml:space="preserve"> the mobility of air through architectural devices. Hence they pay more attention to windows than their predecessors: for Palladio their proportion had to reflect the size of the room to enable correct ventilation, and the symmetry of rooms was to be encouraged, since it created alignment of openings.</w:t>
      </w:r>
      <w:r w:rsidRPr="00641910">
        <w:rPr>
          <w:rStyle w:val="FootnoteReference"/>
          <w:rFonts w:ascii="Times New Roman" w:hAnsi="Times New Roman" w:cs="Times New Roman"/>
          <w:sz w:val="24"/>
          <w:szCs w:val="24"/>
        </w:rPr>
        <w:footnoteReference w:id="61"/>
      </w:r>
      <w:r w:rsidRPr="00641910">
        <w:rPr>
          <w:rFonts w:ascii="Times New Roman" w:hAnsi="Times New Roman" w:cs="Times New Roman"/>
          <w:sz w:val="24"/>
          <w:szCs w:val="24"/>
        </w:rPr>
        <w:t xml:space="preserve"> </w:t>
      </w:r>
      <w:r w:rsidRPr="00641910">
        <w:rPr>
          <w:rStyle w:val="FootnoteReference"/>
          <w:rFonts w:ascii="Times New Roman" w:hAnsi="Times New Roman" w:cs="Times New Roman"/>
          <w:sz w:val="24"/>
          <w:szCs w:val="24"/>
        </w:rPr>
        <w:t xml:space="preserve"> </w:t>
      </w:r>
      <w:r w:rsidRPr="00641910">
        <w:rPr>
          <w:rFonts w:ascii="Times New Roman" w:hAnsi="Times New Roman" w:cs="Times New Roman"/>
          <w:sz w:val="24"/>
          <w:szCs w:val="24"/>
        </w:rPr>
        <w:t xml:space="preserve">Interestingly, these new architectural ideas were soon </w:t>
      </w:r>
      <w:r w:rsidR="00C76795" w:rsidRPr="00641910">
        <w:rPr>
          <w:rFonts w:ascii="Times New Roman" w:hAnsi="Times New Roman" w:cs="Times New Roman"/>
          <w:sz w:val="24"/>
          <w:szCs w:val="24"/>
        </w:rPr>
        <w:t xml:space="preserve">re-proposed </w:t>
      </w:r>
      <w:r w:rsidRPr="00641910">
        <w:rPr>
          <w:rFonts w:ascii="Times New Roman" w:hAnsi="Times New Roman" w:cs="Times New Roman"/>
          <w:sz w:val="24"/>
          <w:szCs w:val="24"/>
        </w:rPr>
        <w:t xml:space="preserve">in medical advice. Doctor </w:t>
      </w:r>
      <w:proofErr w:type="spellStart"/>
      <w:r w:rsidRPr="00641910">
        <w:rPr>
          <w:rFonts w:ascii="Times New Roman" w:hAnsi="Times New Roman" w:cs="Times New Roman"/>
          <w:sz w:val="24"/>
          <w:szCs w:val="24"/>
        </w:rPr>
        <w:t>Petronio</w:t>
      </w:r>
      <w:proofErr w:type="spellEnd"/>
      <w:r w:rsidRPr="00641910">
        <w:rPr>
          <w:rFonts w:ascii="Times New Roman" w:hAnsi="Times New Roman" w:cs="Times New Roman"/>
          <w:sz w:val="24"/>
          <w:szCs w:val="24"/>
        </w:rPr>
        <w:t xml:space="preserve"> also recommends, in his 1581 Latin regimen</w:t>
      </w:r>
      <w:r w:rsidR="00C76795" w:rsidRPr="00641910">
        <w:rPr>
          <w:rFonts w:ascii="Times New Roman" w:hAnsi="Times New Roman" w:cs="Times New Roman"/>
          <w:sz w:val="24"/>
          <w:szCs w:val="24"/>
        </w:rPr>
        <w:t xml:space="preserve"> (translated in to Italian in 1592)</w:t>
      </w:r>
      <w:r w:rsidRPr="00641910">
        <w:rPr>
          <w:rFonts w:ascii="Times New Roman" w:hAnsi="Times New Roman" w:cs="Times New Roman"/>
          <w:sz w:val="24"/>
          <w:szCs w:val="24"/>
        </w:rPr>
        <w:t>, that windows should be aligned to favour ventilation, providing an example of the cross fertilization between architectural and medical strands of reflection upon home and health that characterises the period.</w:t>
      </w:r>
      <w:r w:rsidRPr="00641910">
        <w:rPr>
          <w:rStyle w:val="FootnoteReference"/>
          <w:rFonts w:ascii="Times New Roman" w:hAnsi="Times New Roman" w:cs="Times New Roman"/>
          <w:sz w:val="24"/>
          <w:szCs w:val="24"/>
        </w:rPr>
        <w:footnoteReference w:id="62"/>
      </w:r>
      <w:r w:rsidRPr="00641910">
        <w:rPr>
          <w:rFonts w:ascii="Times New Roman" w:hAnsi="Times New Roman" w:cs="Times New Roman"/>
          <w:sz w:val="24"/>
          <w:szCs w:val="24"/>
        </w:rPr>
        <w:t xml:space="preserve">  Doctor Durante  expresses a similar concern when he  encourages readers to live in houses whose windows ‘respond to each other, from the east to the west and </w:t>
      </w:r>
      <w:r w:rsidRPr="00641910">
        <w:rPr>
          <w:rFonts w:ascii="Times New Roman" w:hAnsi="Times New Roman" w:cs="Times New Roman"/>
          <w:sz w:val="24"/>
          <w:szCs w:val="24"/>
        </w:rPr>
        <w:lastRenderedPageBreak/>
        <w:t>from the north to the south, to prevent  air from standing still for long time, as otherwise it would corrupt’.</w:t>
      </w:r>
      <w:r w:rsidRPr="00641910">
        <w:rPr>
          <w:rStyle w:val="FootnoteReference"/>
          <w:rFonts w:ascii="Times New Roman" w:hAnsi="Times New Roman" w:cs="Times New Roman"/>
          <w:sz w:val="24"/>
          <w:szCs w:val="24"/>
        </w:rPr>
        <w:footnoteReference w:id="63"/>
      </w:r>
      <w:r w:rsidRPr="00641910">
        <w:rPr>
          <w:rFonts w:ascii="Times New Roman" w:hAnsi="Times New Roman" w:cs="Times New Roman"/>
          <w:sz w:val="24"/>
          <w:szCs w:val="24"/>
        </w:rPr>
        <w:t xml:space="preserve"> </w:t>
      </w:r>
    </w:p>
    <w:p w:rsidR="00521217" w:rsidRPr="00641910" w:rsidRDefault="00521217" w:rsidP="00521217">
      <w:pPr>
        <w:spacing w:line="360" w:lineRule="auto"/>
        <w:jc w:val="both"/>
        <w:rPr>
          <w:rFonts w:ascii="Times New Roman" w:hAnsi="Times New Roman" w:cs="Times New Roman"/>
          <w:sz w:val="24"/>
          <w:szCs w:val="24"/>
        </w:rPr>
      </w:pPr>
      <w:r w:rsidRPr="00641910">
        <w:rPr>
          <w:rFonts w:ascii="Times New Roman" w:hAnsi="Times New Roman" w:cs="Times New Roman"/>
          <w:sz w:val="24"/>
          <w:szCs w:val="24"/>
        </w:rPr>
        <w:tab/>
        <w:t xml:space="preserve">Compared with </w:t>
      </w:r>
      <w:proofErr w:type="spellStart"/>
      <w:r w:rsidR="007B6BDD" w:rsidRPr="00641910">
        <w:rPr>
          <w:rFonts w:ascii="Times New Roman" w:hAnsi="Times New Roman" w:cs="Times New Roman"/>
          <w:sz w:val="24"/>
          <w:szCs w:val="24"/>
        </w:rPr>
        <w:t>Alberti’s</w:t>
      </w:r>
      <w:proofErr w:type="spellEnd"/>
      <w:r w:rsidR="007B6BDD" w:rsidRPr="00641910">
        <w:rPr>
          <w:rFonts w:ascii="Times New Roman" w:hAnsi="Times New Roman" w:cs="Times New Roman"/>
          <w:sz w:val="24"/>
          <w:szCs w:val="24"/>
        </w:rPr>
        <w:t xml:space="preserve">, </w:t>
      </w:r>
      <w:proofErr w:type="spellStart"/>
      <w:r w:rsidR="007B6BDD" w:rsidRPr="00641910">
        <w:rPr>
          <w:rFonts w:ascii="Times New Roman" w:hAnsi="Times New Roman" w:cs="Times New Roman"/>
          <w:sz w:val="24"/>
          <w:szCs w:val="24"/>
        </w:rPr>
        <w:t>Scamozzi’s</w:t>
      </w:r>
      <w:proofErr w:type="spellEnd"/>
      <w:r w:rsidR="007B6BDD" w:rsidRPr="00641910">
        <w:rPr>
          <w:rFonts w:ascii="Times New Roman" w:hAnsi="Times New Roman" w:cs="Times New Roman"/>
          <w:sz w:val="24"/>
          <w:szCs w:val="24"/>
        </w:rPr>
        <w:t xml:space="preserve"> explanations for the dangerous attributes of the air are also more climate and topography-based; the local geography and usual weather conditions of the place are seen as responsible for them, while the appearance of contagious disease is attributed to sudden</w:t>
      </w:r>
      <w:r w:rsidRPr="00641910">
        <w:rPr>
          <w:rFonts w:ascii="Times New Roman" w:hAnsi="Times New Roman" w:cs="Times New Roman"/>
          <w:sz w:val="24"/>
          <w:szCs w:val="24"/>
        </w:rPr>
        <w:t xml:space="preserve"> changes in temperature, not suited to the season as it normally manifests itself in the locality.</w:t>
      </w:r>
      <w:r w:rsidRPr="00641910">
        <w:rPr>
          <w:rStyle w:val="FootnoteReference"/>
          <w:rFonts w:ascii="Times New Roman" w:hAnsi="Times New Roman" w:cs="Times New Roman"/>
          <w:sz w:val="24"/>
          <w:szCs w:val="24"/>
        </w:rPr>
        <w:footnoteReference w:id="64"/>
      </w:r>
      <w:r w:rsidRPr="00641910">
        <w:rPr>
          <w:rFonts w:ascii="Times New Roman" w:hAnsi="Times New Roman" w:cs="Times New Roman"/>
          <w:sz w:val="24"/>
          <w:szCs w:val="24"/>
        </w:rPr>
        <w:t xml:space="preserve">  This increased attention to the qualities of the air generated by the season or characteristic of the locality is reflected in the professional practice of architects. For example, ingenious forms of environmental control were experimented</w:t>
      </w:r>
      <w:r w:rsidR="00D66A3C" w:rsidRPr="00641910">
        <w:rPr>
          <w:rFonts w:ascii="Times New Roman" w:hAnsi="Times New Roman" w:cs="Times New Roman"/>
          <w:sz w:val="24"/>
          <w:szCs w:val="24"/>
        </w:rPr>
        <w:t xml:space="preserve"> </w:t>
      </w:r>
      <w:r w:rsidRPr="00641910">
        <w:rPr>
          <w:rFonts w:ascii="Times New Roman" w:hAnsi="Times New Roman" w:cs="Times New Roman"/>
          <w:sz w:val="24"/>
          <w:szCs w:val="24"/>
        </w:rPr>
        <w:t xml:space="preserve">in the design of a number of villas in the Veneto region, </w:t>
      </w:r>
      <w:r w:rsidR="00D31EA7" w:rsidRPr="00641910">
        <w:rPr>
          <w:rFonts w:ascii="Times New Roman" w:hAnsi="Times New Roman" w:cs="Times New Roman"/>
          <w:sz w:val="24"/>
          <w:szCs w:val="24"/>
        </w:rPr>
        <w:t>country residences in which</w:t>
      </w:r>
      <w:r w:rsidRPr="00641910">
        <w:rPr>
          <w:rFonts w:ascii="Times New Roman" w:hAnsi="Times New Roman" w:cs="Times New Roman"/>
          <w:sz w:val="24"/>
          <w:szCs w:val="24"/>
        </w:rPr>
        <w:t xml:space="preserve">, </w:t>
      </w:r>
      <w:r w:rsidR="00D31EA7" w:rsidRPr="00641910">
        <w:rPr>
          <w:rFonts w:ascii="Times New Roman" w:hAnsi="Times New Roman" w:cs="Times New Roman"/>
          <w:sz w:val="24"/>
          <w:szCs w:val="24"/>
        </w:rPr>
        <w:t xml:space="preserve">following </w:t>
      </w:r>
      <w:r w:rsidRPr="00641910">
        <w:rPr>
          <w:rFonts w:ascii="Times New Roman" w:hAnsi="Times New Roman" w:cs="Times New Roman"/>
          <w:sz w:val="24"/>
          <w:szCs w:val="24"/>
        </w:rPr>
        <w:t xml:space="preserve">the rise of the fashion for </w:t>
      </w:r>
      <w:proofErr w:type="spellStart"/>
      <w:r w:rsidRPr="00641910">
        <w:rPr>
          <w:rFonts w:ascii="Times New Roman" w:hAnsi="Times New Roman" w:cs="Times New Roman"/>
          <w:i/>
          <w:sz w:val="24"/>
          <w:szCs w:val="24"/>
        </w:rPr>
        <w:t>villeggiatur</w:t>
      </w:r>
      <w:r w:rsidR="00AF7CFC" w:rsidRPr="00641910">
        <w:rPr>
          <w:rFonts w:ascii="Times New Roman" w:hAnsi="Times New Roman" w:cs="Times New Roman"/>
          <w:i/>
          <w:sz w:val="24"/>
          <w:szCs w:val="24"/>
        </w:rPr>
        <w:t>a</w:t>
      </w:r>
      <w:proofErr w:type="spellEnd"/>
      <w:r w:rsidRPr="00641910">
        <w:rPr>
          <w:rFonts w:ascii="Times New Roman" w:hAnsi="Times New Roman" w:cs="Times New Roman"/>
          <w:i/>
          <w:sz w:val="24"/>
          <w:szCs w:val="24"/>
        </w:rPr>
        <w:t xml:space="preserve"> </w:t>
      </w:r>
      <w:r w:rsidR="000035D0">
        <w:rPr>
          <w:rFonts w:ascii="Times New Roman" w:hAnsi="Times New Roman" w:cs="Times New Roman"/>
          <w:sz w:val="24"/>
          <w:szCs w:val="24"/>
        </w:rPr>
        <w:t xml:space="preserve">(villa life) </w:t>
      </w:r>
      <w:r w:rsidR="00AF7CFC" w:rsidRPr="00641910">
        <w:rPr>
          <w:rFonts w:ascii="Times New Roman" w:hAnsi="Times New Roman" w:cs="Times New Roman"/>
          <w:sz w:val="24"/>
          <w:szCs w:val="24"/>
        </w:rPr>
        <w:t>-</w:t>
      </w:r>
      <w:r w:rsidRPr="00641910">
        <w:rPr>
          <w:rFonts w:ascii="Times New Roman" w:hAnsi="Times New Roman" w:cs="Times New Roman"/>
          <w:sz w:val="24"/>
          <w:szCs w:val="24"/>
        </w:rPr>
        <w:t>another distinctively Italian practice</w:t>
      </w:r>
      <w:r w:rsidR="00AF7CFC" w:rsidRPr="00641910">
        <w:rPr>
          <w:rFonts w:ascii="Times New Roman" w:hAnsi="Times New Roman" w:cs="Times New Roman"/>
          <w:sz w:val="24"/>
          <w:szCs w:val="24"/>
        </w:rPr>
        <w:t>,</w:t>
      </w:r>
      <w:r w:rsidRPr="00641910">
        <w:rPr>
          <w:rFonts w:ascii="Times New Roman" w:hAnsi="Times New Roman" w:cs="Times New Roman"/>
          <w:sz w:val="24"/>
          <w:szCs w:val="24"/>
        </w:rPr>
        <w:t xml:space="preserve"> profoundly imbued with notions of healthy living</w:t>
      </w:r>
      <w:r w:rsidR="00AF7CFC" w:rsidRPr="00641910">
        <w:rPr>
          <w:rFonts w:ascii="Times New Roman" w:hAnsi="Times New Roman" w:cs="Times New Roman"/>
          <w:sz w:val="24"/>
          <w:szCs w:val="24"/>
        </w:rPr>
        <w:t>-</w:t>
      </w:r>
      <w:r w:rsidRPr="00641910">
        <w:rPr>
          <w:rFonts w:ascii="Times New Roman" w:hAnsi="Times New Roman" w:cs="Times New Roman"/>
          <w:sz w:val="24"/>
          <w:szCs w:val="24"/>
        </w:rPr>
        <w:t xml:space="preserve"> prosperous Italian</w:t>
      </w:r>
      <w:r w:rsidR="00AF7CFC" w:rsidRPr="00641910">
        <w:rPr>
          <w:rFonts w:ascii="Times New Roman" w:hAnsi="Times New Roman" w:cs="Times New Roman"/>
          <w:sz w:val="24"/>
          <w:szCs w:val="24"/>
        </w:rPr>
        <w:t>s</w:t>
      </w:r>
      <w:r w:rsidRPr="00641910">
        <w:rPr>
          <w:rFonts w:ascii="Times New Roman" w:hAnsi="Times New Roman" w:cs="Times New Roman"/>
          <w:sz w:val="24"/>
          <w:szCs w:val="24"/>
        </w:rPr>
        <w:t xml:space="preserve"> increasingly spent </w:t>
      </w:r>
      <w:r w:rsidR="00AF7CFC" w:rsidRPr="00641910">
        <w:rPr>
          <w:rFonts w:ascii="Times New Roman" w:hAnsi="Times New Roman" w:cs="Times New Roman"/>
          <w:sz w:val="24"/>
          <w:szCs w:val="24"/>
        </w:rPr>
        <w:t xml:space="preserve">considerable </w:t>
      </w:r>
      <w:r w:rsidRPr="00641910">
        <w:rPr>
          <w:rFonts w:ascii="Times New Roman" w:hAnsi="Times New Roman" w:cs="Times New Roman"/>
          <w:sz w:val="24"/>
          <w:szCs w:val="24"/>
        </w:rPr>
        <w:t>time in the months comprised between late Spring and early Autumn. The architects’ aim was to temper the heat of the summer, regarded as a source of physical debilitation for the villa residents, as explained by architect Palladio</w:t>
      </w:r>
      <w:r w:rsidRPr="00641910">
        <w:rPr>
          <w:rFonts w:ascii="Times New Roman" w:hAnsi="Times New Roman" w:cs="Times New Roman"/>
          <w:i/>
          <w:sz w:val="24"/>
          <w:szCs w:val="24"/>
        </w:rPr>
        <w:t>.</w:t>
      </w:r>
      <w:r w:rsidRPr="00641910">
        <w:rPr>
          <w:rStyle w:val="FootnoteReference"/>
          <w:rFonts w:ascii="Times New Roman" w:hAnsi="Times New Roman" w:cs="Times New Roman"/>
          <w:sz w:val="24"/>
          <w:szCs w:val="24"/>
        </w:rPr>
        <w:footnoteReference w:id="65"/>
      </w:r>
      <w:r w:rsidRPr="00641910">
        <w:rPr>
          <w:rFonts w:ascii="Times New Roman" w:hAnsi="Times New Roman" w:cs="Times New Roman"/>
          <w:sz w:val="24"/>
          <w:szCs w:val="24"/>
        </w:rPr>
        <w:t xml:space="preserve"> Hence the villa was situated on a complex combination of subterraneous wind-channels (</w:t>
      </w:r>
      <w:proofErr w:type="spellStart"/>
      <w:r w:rsidRPr="00641910">
        <w:rPr>
          <w:rFonts w:ascii="Times New Roman" w:hAnsi="Times New Roman" w:cs="Times New Roman"/>
          <w:i/>
          <w:sz w:val="24"/>
          <w:szCs w:val="24"/>
        </w:rPr>
        <w:t>vendiducts</w:t>
      </w:r>
      <w:proofErr w:type="spellEnd"/>
      <w:r w:rsidRPr="00641910">
        <w:rPr>
          <w:rFonts w:ascii="Times New Roman" w:hAnsi="Times New Roman" w:cs="Times New Roman"/>
          <w:sz w:val="24"/>
          <w:szCs w:val="24"/>
        </w:rPr>
        <w:t>) to produce a system</w:t>
      </w:r>
      <w:r w:rsidR="00A319D3" w:rsidRPr="00641910">
        <w:rPr>
          <w:rFonts w:ascii="Times New Roman" w:hAnsi="Times New Roman" w:cs="Times New Roman"/>
          <w:sz w:val="24"/>
          <w:szCs w:val="24"/>
        </w:rPr>
        <w:t xml:space="preserve"> of natural ventilation</w:t>
      </w:r>
      <w:r w:rsidRPr="00641910">
        <w:rPr>
          <w:rFonts w:ascii="Times New Roman" w:hAnsi="Times New Roman" w:cs="Times New Roman"/>
          <w:sz w:val="24"/>
          <w:szCs w:val="24"/>
        </w:rPr>
        <w:t>: the air was then issued from the underground chamber into the central hall through a floor grating; a central opening on the villa’s dome,  also enabled the wind to move vertically, thus producing cross-ventilation.</w:t>
      </w:r>
      <w:r w:rsidRPr="00641910">
        <w:rPr>
          <w:rStyle w:val="FootnoteReference"/>
          <w:rFonts w:ascii="Times New Roman" w:hAnsi="Times New Roman" w:cs="Times New Roman"/>
          <w:sz w:val="24"/>
          <w:szCs w:val="24"/>
        </w:rPr>
        <w:footnoteReference w:id="66"/>
      </w:r>
      <w:r w:rsidRPr="00641910">
        <w:rPr>
          <w:rFonts w:ascii="Times New Roman" w:hAnsi="Times New Roman" w:cs="Times New Roman"/>
          <w:sz w:val="24"/>
          <w:szCs w:val="24"/>
        </w:rPr>
        <w:t xml:space="preserve"> This sophisticated </w:t>
      </w:r>
      <w:r w:rsidR="00211376" w:rsidRPr="00641910">
        <w:rPr>
          <w:rFonts w:ascii="Times New Roman" w:hAnsi="Times New Roman" w:cs="Times New Roman"/>
          <w:sz w:val="24"/>
          <w:szCs w:val="24"/>
        </w:rPr>
        <w:t xml:space="preserve">air </w:t>
      </w:r>
      <w:r w:rsidRPr="00641910">
        <w:rPr>
          <w:rFonts w:ascii="Times New Roman" w:hAnsi="Times New Roman" w:cs="Times New Roman"/>
          <w:sz w:val="24"/>
          <w:szCs w:val="24"/>
        </w:rPr>
        <w:t>conditioning system was appreciated not only because it cooled the summer temperature but because it created a delightful, refreshing atmosphere which</w:t>
      </w:r>
      <w:r w:rsidR="00AF7CFC" w:rsidRPr="00641910">
        <w:rPr>
          <w:rFonts w:ascii="Times New Roman" w:hAnsi="Times New Roman" w:cs="Times New Roman"/>
          <w:sz w:val="24"/>
          <w:szCs w:val="24"/>
        </w:rPr>
        <w:t>,</w:t>
      </w:r>
      <w:r w:rsidRPr="00641910">
        <w:rPr>
          <w:rFonts w:ascii="Times New Roman" w:hAnsi="Times New Roman" w:cs="Times New Roman"/>
          <w:sz w:val="24"/>
          <w:szCs w:val="24"/>
        </w:rPr>
        <w:t xml:space="preserve"> as well as gratifying the body</w:t>
      </w:r>
      <w:r w:rsidR="00AF7CFC" w:rsidRPr="00641910">
        <w:rPr>
          <w:rFonts w:ascii="Times New Roman" w:hAnsi="Times New Roman" w:cs="Times New Roman"/>
          <w:sz w:val="24"/>
          <w:szCs w:val="24"/>
        </w:rPr>
        <w:t>,</w:t>
      </w:r>
      <w:r w:rsidRPr="00641910">
        <w:rPr>
          <w:rFonts w:ascii="Times New Roman" w:hAnsi="Times New Roman" w:cs="Times New Roman"/>
          <w:sz w:val="24"/>
          <w:szCs w:val="24"/>
        </w:rPr>
        <w:t xml:space="preserve"> uplifted the spirit of those participating in the </w:t>
      </w:r>
      <w:proofErr w:type="spellStart"/>
      <w:r w:rsidRPr="00641910">
        <w:rPr>
          <w:rFonts w:ascii="Times New Roman" w:hAnsi="Times New Roman" w:cs="Times New Roman"/>
          <w:i/>
          <w:sz w:val="24"/>
          <w:szCs w:val="24"/>
        </w:rPr>
        <w:t>villeggiatura</w:t>
      </w:r>
      <w:proofErr w:type="spellEnd"/>
      <w:r w:rsidRPr="00641910">
        <w:rPr>
          <w:rFonts w:ascii="Times New Roman" w:hAnsi="Times New Roman" w:cs="Times New Roman"/>
          <w:sz w:val="24"/>
          <w:szCs w:val="24"/>
        </w:rPr>
        <w:t xml:space="preserve">, and was commended by renowned doctors such as </w:t>
      </w:r>
      <w:proofErr w:type="spellStart"/>
      <w:r w:rsidRPr="00641910">
        <w:rPr>
          <w:rFonts w:ascii="Times New Roman" w:hAnsi="Times New Roman" w:cs="Times New Roman"/>
          <w:sz w:val="24"/>
          <w:szCs w:val="24"/>
        </w:rPr>
        <w:t>Girolamo</w:t>
      </w:r>
      <w:proofErr w:type="spellEnd"/>
      <w:r w:rsidRPr="00641910">
        <w:rPr>
          <w:rFonts w:ascii="Times New Roman" w:hAnsi="Times New Roman" w:cs="Times New Roman"/>
          <w:sz w:val="24"/>
          <w:szCs w:val="24"/>
        </w:rPr>
        <w:t xml:space="preserve"> Fabrizio </w:t>
      </w:r>
      <w:proofErr w:type="spellStart"/>
      <w:r w:rsidRPr="00641910">
        <w:rPr>
          <w:rFonts w:ascii="Times New Roman" w:hAnsi="Times New Roman" w:cs="Times New Roman"/>
          <w:sz w:val="24"/>
          <w:szCs w:val="24"/>
        </w:rPr>
        <w:t>Acquapendente</w:t>
      </w:r>
      <w:proofErr w:type="spellEnd"/>
      <w:r w:rsidRPr="00641910">
        <w:rPr>
          <w:rFonts w:ascii="Times New Roman" w:hAnsi="Times New Roman" w:cs="Times New Roman"/>
          <w:sz w:val="24"/>
          <w:szCs w:val="24"/>
        </w:rPr>
        <w:t>, assiduous visitor of these villas.</w:t>
      </w:r>
      <w:r w:rsidRPr="00641910">
        <w:rPr>
          <w:rStyle w:val="FootnoteReference"/>
          <w:rFonts w:ascii="Times New Roman" w:hAnsi="Times New Roman" w:cs="Times New Roman"/>
          <w:sz w:val="24"/>
          <w:szCs w:val="24"/>
        </w:rPr>
        <w:footnoteReference w:id="67"/>
      </w:r>
      <w:r w:rsidRPr="00641910">
        <w:rPr>
          <w:rFonts w:ascii="Times New Roman" w:hAnsi="Times New Roman" w:cs="Times New Roman"/>
          <w:sz w:val="24"/>
          <w:szCs w:val="24"/>
        </w:rPr>
        <w:t xml:space="preserve">   </w:t>
      </w:r>
    </w:p>
    <w:p w:rsidR="007322E2" w:rsidRPr="00641910" w:rsidRDefault="007322E2" w:rsidP="007322E2">
      <w:pPr>
        <w:spacing w:after="0" w:line="360" w:lineRule="auto"/>
        <w:jc w:val="both"/>
        <w:rPr>
          <w:rFonts w:ascii="Times New Roman" w:hAnsi="Times New Roman" w:cs="Times New Roman"/>
          <w:sz w:val="24"/>
          <w:szCs w:val="24"/>
        </w:rPr>
      </w:pPr>
    </w:p>
    <w:p w:rsidR="00F67707" w:rsidRPr="00641910" w:rsidRDefault="007B6BDD">
      <w:pPr>
        <w:pStyle w:val="ListParagraph"/>
        <w:numPr>
          <w:ilvl w:val="0"/>
          <w:numId w:val="1"/>
        </w:numPr>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t>Tackling the self-corruption of the air</w:t>
      </w:r>
    </w:p>
    <w:p w:rsidR="007322E2" w:rsidRPr="00641910" w:rsidRDefault="007322E2" w:rsidP="007322E2">
      <w:pPr>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t xml:space="preserve">The extension of health concerns to the home environment occurring in this period is also reflected in the increased attention to the </w:t>
      </w:r>
      <w:r w:rsidR="007B6BDD" w:rsidRPr="00641910">
        <w:rPr>
          <w:rFonts w:ascii="Times New Roman" w:hAnsi="Times New Roman" w:cs="Times New Roman"/>
          <w:sz w:val="24"/>
          <w:szCs w:val="24"/>
        </w:rPr>
        <w:t>pathogenic processes generated within the domestic</w:t>
      </w:r>
      <w:r w:rsidRPr="00641910">
        <w:rPr>
          <w:rFonts w:ascii="Times New Roman" w:hAnsi="Times New Roman" w:cs="Times New Roman"/>
          <w:sz w:val="24"/>
          <w:szCs w:val="24"/>
          <w:u w:val="single"/>
        </w:rPr>
        <w:t xml:space="preserve"> </w:t>
      </w:r>
      <w:r w:rsidR="003A7965" w:rsidRPr="00641910">
        <w:rPr>
          <w:rFonts w:ascii="Times New Roman" w:hAnsi="Times New Roman" w:cs="Times New Roman"/>
          <w:sz w:val="24"/>
          <w:szCs w:val="24"/>
        </w:rPr>
        <w:t>interior rather than external</w:t>
      </w:r>
      <w:r w:rsidR="00977223" w:rsidRPr="00641910">
        <w:rPr>
          <w:rFonts w:ascii="Times New Roman" w:hAnsi="Times New Roman" w:cs="Times New Roman"/>
          <w:sz w:val="24"/>
          <w:szCs w:val="24"/>
        </w:rPr>
        <w:t>ly</w:t>
      </w:r>
      <w:r w:rsidR="003A7965" w:rsidRPr="00641910">
        <w:rPr>
          <w:rFonts w:ascii="Times New Roman" w:hAnsi="Times New Roman" w:cs="Times New Roman"/>
          <w:sz w:val="24"/>
          <w:szCs w:val="24"/>
        </w:rPr>
        <w:t xml:space="preserve">. This </w:t>
      </w:r>
      <w:r w:rsidRPr="00641910">
        <w:rPr>
          <w:rFonts w:ascii="Times New Roman" w:hAnsi="Times New Roman" w:cs="Times New Roman"/>
          <w:sz w:val="24"/>
          <w:szCs w:val="24"/>
        </w:rPr>
        <w:t xml:space="preserve">shift in focus </w:t>
      </w:r>
      <w:r w:rsidR="003A7965" w:rsidRPr="00641910">
        <w:rPr>
          <w:rFonts w:ascii="Times New Roman" w:hAnsi="Times New Roman" w:cs="Times New Roman"/>
          <w:sz w:val="24"/>
          <w:szCs w:val="24"/>
        </w:rPr>
        <w:t xml:space="preserve">is evident in the numerous recommendation aimed to </w:t>
      </w:r>
      <w:r w:rsidRPr="00641910">
        <w:rPr>
          <w:rFonts w:ascii="Times New Roman" w:hAnsi="Times New Roman" w:cs="Times New Roman"/>
          <w:sz w:val="24"/>
          <w:szCs w:val="24"/>
        </w:rPr>
        <w:t>prevent the process of self-corruption of the air that might occur inside the home</w:t>
      </w:r>
      <w:r w:rsidR="003A7965" w:rsidRPr="00641910">
        <w:rPr>
          <w:rFonts w:ascii="Times New Roman" w:hAnsi="Times New Roman" w:cs="Times New Roman"/>
          <w:sz w:val="24"/>
          <w:szCs w:val="24"/>
        </w:rPr>
        <w:t xml:space="preserve"> </w:t>
      </w:r>
      <w:r w:rsidR="003A7965" w:rsidRPr="00641910">
        <w:rPr>
          <w:rFonts w:ascii="Times New Roman" w:hAnsi="Times New Roman" w:cs="Times New Roman"/>
          <w:sz w:val="24"/>
          <w:szCs w:val="24"/>
        </w:rPr>
        <w:lastRenderedPageBreak/>
        <w:t>contained in the health advice literature</w:t>
      </w:r>
      <w:r w:rsidRPr="00641910">
        <w:rPr>
          <w:rFonts w:ascii="Times New Roman" w:hAnsi="Times New Roman" w:cs="Times New Roman"/>
          <w:sz w:val="24"/>
          <w:szCs w:val="24"/>
        </w:rPr>
        <w:t>.</w:t>
      </w:r>
      <w:r w:rsidR="003A7965" w:rsidRPr="00641910">
        <w:rPr>
          <w:rFonts w:ascii="Times New Roman" w:hAnsi="Times New Roman" w:cs="Times New Roman"/>
          <w:sz w:val="24"/>
          <w:szCs w:val="24"/>
        </w:rPr>
        <w:t xml:space="preserve"> The air one breathed </w:t>
      </w:r>
      <w:r w:rsidR="00977223" w:rsidRPr="00641910">
        <w:rPr>
          <w:rFonts w:ascii="Times New Roman" w:hAnsi="Times New Roman" w:cs="Times New Roman"/>
          <w:sz w:val="24"/>
          <w:szCs w:val="24"/>
        </w:rPr>
        <w:t>during sleep</w:t>
      </w:r>
      <w:r w:rsidR="003A7965" w:rsidRPr="00641910">
        <w:rPr>
          <w:rFonts w:ascii="Times New Roman" w:hAnsi="Times New Roman" w:cs="Times New Roman"/>
          <w:sz w:val="24"/>
          <w:szCs w:val="24"/>
        </w:rPr>
        <w:t xml:space="preserve"> was a pr</w:t>
      </w:r>
      <w:r w:rsidR="000035D0">
        <w:rPr>
          <w:rFonts w:ascii="Times New Roman" w:hAnsi="Times New Roman" w:cs="Times New Roman"/>
          <w:sz w:val="24"/>
          <w:szCs w:val="24"/>
        </w:rPr>
        <w:t>ime target. T</w:t>
      </w:r>
      <w:r w:rsidR="003A7965" w:rsidRPr="00641910">
        <w:rPr>
          <w:rFonts w:ascii="Times New Roman" w:hAnsi="Times New Roman" w:cs="Times New Roman"/>
          <w:sz w:val="24"/>
          <w:szCs w:val="24"/>
        </w:rPr>
        <w:t>he air of the night, i</w:t>
      </w:r>
      <w:r w:rsidRPr="00641910">
        <w:rPr>
          <w:rFonts w:ascii="Times New Roman" w:hAnsi="Times New Roman" w:cs="Times New Roman"/>
          <w:sz w:val="24"/>
          <w:szCs w:val="24"/>
        </w:rPr>
        <w:t>nseparably associated w</w:t>
      </w:r>
      <w:r w:rsidR="003A7965" w:rsidRPr="00641910">
        <w:rPr>
          <w:rFonts w:ascii="Times New Roman" w:hAnsi="Times New Roman" w:cs="Times New Roman"/>
          <w:sz w:val="24"/>
          <w:szCs w:val="24"/>
        </w:rPr>
        <w:t xml:space="preserve">ith cool and moist qualities, </w:t>
      </w:r>
      <w:r w:rsidRPr="00641910">
        <w:rPr>
          <w:rFonts w:ascii="Times New Roman" w:hAnsi="Times New Roman" w:cs="Times New Roman"/>
          <w:sz w:val="24"/>
          <w:szCs w:val="24"/>
        </w:rPr>
        <w:t>was reputed particularly damaging by doctors, who recommended that windows should r</w:t>
      </w:r>
      <w:r w:rsidR="00977223" w:rsidRPr="00641910">
        <w:rPr>
          <w:rFonts w:ascii="Times New Roman" w:hAnsi="Times New Roman" w:cs="Times New Roman"/>
          <w:sz w:val="24"/>
          <w:szCs w:val="24"/>
        </w:rPr>
        <w:t>emain closed during night sleep</w:t>
      </w:r>
      <w:r w:rsidRPr="00641910">
        <w:rPr>
          <w:rFonts w:ascii="Times New Roman" w:hAnsi="Times New Roman" w:cs="Times New Roman"/>
          <w:sz w:val="24"/>
          <w:szCs w:val="24"/>
        </w:rPr>
        <w:t xml:space="preserve"> even in summer</w:t>
      </w:r>
      <w:r w:rsidR="003A7965" w:rsidRPr="00641910">
        <w:rPr>
          <w:rFonts w:ascii="Times New Roman" w:hAnsi="Times New Roman" w:cs="Times New Roman"/>
          <w:sz w:val="24"/>
          <w:szCs w:val="24"/>
        </w:rPr>
        <w:t xml:space="preserve">, but these dangers </w:t>
      </w:r>
      <w:r w:rsidRPr="00641910">
        <w:rPr>
          <w:rFonts w:ascii="Times New Roman" w:hAnsi="Times New Roman" w:cs="Times New Roman"/>
          <w:sz w:val="24"/>
          <w:szCs w:val="24"/>
        </w:rPr>
        <w:t>were supposedly exacerbated by the exhalations rising from the stomach during the process of digestion that took place while one was asleep. Hence the bedroom was expected to be ‘large and capacious, so that air could move faster, since in the tiny rooms it most easily gets corrupted’</w:t>
      </w:r>
      <w:r w:rsidR="003A7965" w:rsidRPr="00641910">
        <w:rPr>
          <w:rFonts w:ascii="Times New Roman" w:hAnsi="Times New Roman" w:cs="Times New Roman"/>
          <w:sz w:val="24"/>
          <w:szCs w:val="24"/>
        </w:rPr>
        <w:t xml:space="preserve"> – an idea that clearly reflected the new, positive emphasis on the mobility of air mentioned above.</w:t>
      </w:r>
      <w:r w:rsidRPr="00641910">
        <w:rPr>
          <w:rStyle w:val="FootnoteReference"/>
          <w:rFonts w:ascii="Times New Roman" w:hAnsi="Times New Roman" w:cs="Times New Roman"/>
          <w:sz w:val="24"/>
          <w:szCs w:val="24"/>
        </w:rPr>
        <w:t xml:space="preserve"> </w:t>
      </w:r>
      <w:r w:rsidRPr="00641910">
        <w:rPr>
          <w:rFonts w:ascii="Times New Roman" w:hAnsi="Times New Roman" w:cs="Times New Roman"/>
          <w:sz w:val="24"/>
          <w:szCs w:val="24"/>
        </w:rPr>
        <w:t>Small spaces were so dangerous that ‘according to Galen, a certain pestilence originated in Greece from those who lived in houses which were too small and where the air struggled to penetrate’.</w:t>
      </w:r>
      <w:r w:rsidRPr="00641910">
        <w:rPr>
          <w:rStyle w:val="FootnoteReference"/>
          <w:rFonts w:ascii="Times New Roman" w:hAnsi="Times New Roman" w:cs="Times New Roman"/>
          <w:sz w:val="24"/>
          <w:szCs w:val="24"/>
        </w:rPr>
        <w:footnoteReference w:id="68"/>
      </w:r>
      <w:r w:rsidRPr="00641910">
        <w:rPr>
          <w:rFonts w:ascii="Times New Roman" w:hAnsi="Times New Roman" w:cs="Times New Roman"/>
          <w:sz w:val="24"/>
          <w:szCs w:val="24"/>
        </w:rPr>
        <w:t xml:space="preserve"> Interestingly, in this quote the harming agent –even capable of generating pestilence!- is not the impure air that may penetrate the house from outside but the process of adulteration of the ambient air that may occur in a narrow and enclosed space, from a combination of scarce mobility of the air and exhalations from the body.  </w:t>
      </w:r>
    </w:p>
    <w:p w:rsidR="007322E2" w:rsidRPr="00641910" w:rsidRDefault="007322E2" w:rsidP="007322E2">
      <w:pPr>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tab/>
        <w:t xml:space="preserve">Indeed, rather than being generated </w:t>
      </w:r>
      <w:r w:rsidR="003A7965" w:rsidRPr="00641910">
        <w:rPr>
          <w:rFonts w:ascii="Times New Roman" w:hAnsi="Times New Roman" w:cs="Times New Roman"/>
          <w:sz w:val="24"/>
          <w:szCs w:val="24"/>
        </w:rPr>
        <w:t xml:space="preserve">from the outside, by </w:t>
      </w:r>
      <w:r w:rsidRPr="00641910">
        <w:rPr>
          <w:rFonts w:ascii="Times New Roman" w:hAnsi="Times New Roman" w:cs="Times New Roman"/>
          <w:sz w:val="24"/>
          <w:szCs w:val="24"/>
        </w:rPr>
        <w:t>the movement of planets, stagnant water or decomposing organic waste, bad air was increasingly understood as being</w:t>
      </w:r>
      <w:r w:rsidRPr="00641910">
        <w:rPr>
          <w:sz w:val="24"/>
          <w:szCs w:val="24"/>
        </w:rPr>
        <w:t xml:space="preserve"> </w:t>
      </w:r>
      <w:r w:rsidRPr="00641910">
        <w:rPr>
          <w:rFonts w:ascii="Times New Roman" w:hAnsi="Times New Roman" w:cs="Times New Roman"/>
          <w:sz w:val="24"/>
          <w:szCs w:val="24"/>
        </w:rPr>
        <w:t>produced by the body itself (as well as</w:t>
      </w:r>
      <w:r w:rsidR="00977223" w:rsidRPr="00641910">
        <w:rPr>
          <w:rFonts w:ascii="Times New Roman" w:hAnsi="Times New Roman" w:cs="Times New Roman"/>
          <w:sz w:val="24"/>
          <w:szCs w:val="24"/>
        </w:rPr>
        <w:t xml:space="preserve">  being triggered by </w:t>
      </w:r>
      <w:r w:rsidR="00602BAC" w:rsidRPr="00641910">
        <w:rPr>
          <w:rFonts w:ascii="Times New Roman" w:hAnsi="Times New Roman" w:cs="Times New Roman"/>
          <w:sz w:val="24"/>
          <w:szCs w:val="24"/>
        </w:rPr>
        <w:t xml:space="preserve">unseasonal </w:t>
      </w:r>
      <w:r w:rsidR="00977223" w:rsidRPr="00641910">
        <w:rPr>
          <w:rFonts w:ascii="Times New Roman" w:hAnsi="Times New Roman" w:cs="Times New Roman"/>
          <w:sz w:val="24"/>
          <w:szCs w:val="24"/>
        </w:rPr>
        <w:t>climatic conditions</w:t>
      </w:r>
      <w:r w:rsidRPr="00641910">
        <w:rPr>
          <w:rFonts w:ascii="Times New Roman" w:hAnsi="Times New Roman" w:cs="Times New Roman"/>
          <w:sz w:val="24"/>
          <w:szCs w:val="24"/>
        </w:rPr>
        <w:t>, as  we have seen above).</w:t>
      </w:r>
      <w:r w:rsidRPr="00641910">
        <w:rPr>
          <w:sz w:val="24"/>
          <w:szCs w:val="24"/>
        </w:rPr>
        <w:t xml:space="preserve"> </w:t>
      </w:r>
      <w:r w:rsidRPr="00641910">
        <w:rPr>
          <w:rFonts w:ascii="Times New Roman" w:hAnsi="Times New Roman" w:cs="Times New Roman"/>
          <w:sz w:val="24"/>
          <w:szCs w:val="24"/>
        </w:rPr>
        <w:t>According to a mid-seventeenth century regimen ‘lazy city folk’ whose rich diet and lack of exercise meant they failed to digest their food properly, were more likely to emit dangerous ‘dense exhalations’ that made even the city environment unhealthy.</w:t>
      </w:r>
      <w:r w:rsidRPr="00641910">
        <w:rPr>
          <w:rStyle w:val="FootnoteReference"/>
          <w:rFonts w:ascii="Times New Roman" w:hAnsi="Times New Roman" w:cs="Times New Roman"/>
          <w:sz w:val="24"/>
          <w:szCs w:val="24"/>
        </w:rPr>
        <w:footnoteReference w:id="69"/>
      </w:r>
      <w:r w:rsidRPr="00641910">
        <w:rPr>
          <w:rFonts w:ascii="Times New Roman" w:hAnsi="Times New Roman" w:cs="Times New Roman"/>
          <w:sz w:val="24"/>
          <w:szCs w:val="24"/>
        </w:rPr>
        <w:t xml:space="preserve"> Both the digestive process and the concentration of many people in a limited space were therefore seen as responsible for the corruption of the air. Hence, when the house is used as a venue for sociability –‘when you want to have a </w:t>
      </w:r>
      <w:r w:rsidRPr="00641910">
        <w:rPr>
          <w:rFonts w:ascii="Times New Roman" w:hAnsi="Times New Roman" w:cs="Times New Roman"/>
          <w:i/>
          <w:sz w:val="24"/>
          <w:szCs w:val="24"/>
        </w:rPr>
        <w:t>commedia</w:t>
      </w:r>
      <w:r w:rsidRPr="00641910">
        <w:rPr>
          <w:rFonts w:ascii="Times New Roman" w:hAnsi="Times New Roman" w:cs="Times New Roman"/>
          <w:sz w:val="24"/>
          <w:szCs w:val="24"/>
        </w:rPr>
        <w:t xml:space="preserve"> or other public entertainment’– there is a danger that the breath of the numerous people, as well as the torches used to light the place, will over-heat the room thus worsening the quality of the air.</w:t>
      </w:r>
      <w:r w:rsidRPr="00641910">
        <w:rPr>
          <w:rStyle w:val="FootnoteReference"/>
          <w:rFonts w:ascii="Times New Roman" w:hAnsi="Times New Roman" w:cs="Times New Roman"/>
          <w:sz w:val="24"/>
          <w:szCs w:val="24"/>
        </w:rPr>
        <w:footnoteReference w:id="70"/>
      </w:r>
      <w:r w:rsidRPr="00641910">
        <w:rPr>
          <w:rFonts w:ascii="Times New Roman" w:hAnsi="Times New Roman" w:cs="Times New Roman"/>
          <w:sz w:val="24"/>
          <w:szCs w:val="24"/>
        </w:rPr>
        <w:t xml:space="preserve"> Durante also warns against the congregation of many human beings within the rooms in summer or when it is very hot since ‘the multitude of people will </w:t>
      </w:r>
      <w:r w:rsidR="007B6BDD" w:rsidRPr="00641910">
        <w:rPr>
          <w:rFonts w:ascii="Times New Roman" w:hAnsi="Times New Roman" w:cs="Times New Roman"/>
          <w:sz w:val="24"/>
          <w:szCs w:val="24"/>
        </w:rPr>
        <w:t>excessively warm</w:t>
      </w:r>
      <w:r w:rsidRPr="00641910">
        <w:rPr>
          <w:rFonts w:ascii="Times New Roman" w:hAnsi="Times New Roman" w:cs="Times New Roman"/>
          <w:sz w:val="24"/>
          <w:szCs w:val="24"/>
        </w:rPr>
        <w:t xml:space="preserve"> them’.</w:t>
      </w:r>
      <w:r w:rsidRPr="00641910">
        <w:rPr>
          <w:rStyle w:val="FootnoteReference"/>
          <w:rFonts w:ascii="Times New Roman" w:hAnsi="Times New Roman" w:cs="Times New Roman"/>
          <w:sz w:val="24"/>
          <w:szCs w:val="24"/>
        </w:rPr>
        <w:footnoteReference w:id="71"/>
      </w:r>
      <w:r w:rsidRPr="00641910">
        <w:rPr>
          <w:rFonts w:ascii="Times New Roman" w:hAnsi="Times New Roman" w:cs="Times New Roman"/>
          <w:sz w:val="24"/>
          <w:szCs w:val="24"/>
        </w:rPr>
        <w:t xml:space="preserve">  </w:t>
      </w:r>
    </w:p>
    <w:p w:rsidR="007322E2" w:rsidRPr="00641910" w:rsidRDefault="007322E2" w:rsidP="007322E2">
      <w:pPr>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lastRenderedPageBreak/>
        <w:tab/>
        <w:t xml:space="preserve">The danger, as suggested by many authors, was that </w:t>
      </w:r>
      <w:r w:rsidR="00602BAC" w:rsidRPr="00641910">
        <w:rPr>
          <w:rFonts w:ascii="Times New Roman" w:hAnsi="Times New Roman" w:cs="Times New Roman"/>
          <w:sz w:val="24"/>
          <w:szCs w:val="24"/>
        </w:rPr>
        <w:t xml:space="preserve">the heated air combined with </w:t>
      </w:r>
      <w:r w:rsidRPr="00641910">
        <w:rPr>
          <w:rFonts w:ascii="Times New Roman" w:hAnsi="Times New Roman" w:cs="Times New Roman"/>
          <w:sz w:val="24"/>
          <w:szCs w:val="24"/>
        </w:rPr>
        <w:t>the fumes and vapours released during the course of digestion would rise and suffocate the brain.</w:t>
      </w:r>
      <w:r w:rsidRPr="00641910">
        <w:rPr>
          <w:rStyle w:val="FootnoteReference"/>
          <w:rFonts w:ascii="Times New Roman" w:hAnsi="Times New Roman" w:cs="Times New Roman"/>
          <w:sz w:val="24"/>
          <w:szCs w:val="24"/>
        </w:rPr>
        <w:footnoteReference w:id="72"/>
      </w:r>
      <w:r w:rsidRPr="00641910">
        <w:rPr>
          <w:rFonts w:ascii="Times New Roman" w:hAnsi="Times New Roman" w:cs="Times New Roman"/>
          <w:sz w:val="24"/>
          <w:szCs w:val="24"/>
        </w:rPr>
        <w:t xml:space="preserve">  The association between the quality of the air and the health of the brain was indeed very powerful. In medical terms this was justified by the fact that in </w:t>
      </w:r>
      <w:proofErr w:type="spellStart"/>
      <w:r w:rsidRPr="00641910">
        <w:rPr>
          <w:rFonts w:ascii="Times New Roman" w:hAnsi="Times New Roman" w:cs="Times New Roman"/>
          <w:sz w:val="24"/>
          <w:szCs w:val="24"/>
        </w:rPr>
        <w:t>Galenic</w:t>
      </w:r>
      <w:proofErr w:type="spellEnd"/>
      <w:r w:rsidRPr="00641910">
        <w:rPr>
          <w:rFonts w:ascii="Times New Roman" w:hAnsi="Times New Roman" w:cs="Times New Roman"/>
          <w:sz w:val="24"/>
          <w:szCs w:val="24"/>
        </w:rPr>
        <w:t xml:space="preserve"> physiology the brain, not the nose, was the olfactory organ (the nostrils were just a conduit that conveyed the air to the brain). Hence the quality of the air breathed-in directly affected one of the three cardinal organs of the body, potentially upsetting the sensory, motor and intellectual faculties for which the brain was responsible.  This view contributes to understand</w:t>
      </w:r>
      <w:r w:rsidR="00211376" w:rsidRPr="00641910">
        <w:rPr>
          <w:rFonts w:ascii="Times New Roman" w:hAnsi="Times New Roman" w:cs="Times New Roman"/>
          <w:sz w:val="24"/>
          <w:szCs w:val="24"/>
        </w:rPr>
        <w:t>ing</w:t>
      </w:r>
      <w:r w:rsidRPr="00641910">
        <w:rPr>
          <w:rFonts w:ascii="Times New Roman" w:hAnsi="Times New Roman" w:cs="Times New Roman"/>
          <w:sz w:val="24"/>
          <w:szCs w:val="24"/>
        </w:rPr>
        <w:t xml:space="preserve"> the anxiety surrounding the effects of bad air on health but it also explains, as we will see, the positive effects that pure air was supposed to have upon both mental faculties and the senses. </w:t>
      </w:r>
    </w:p>
    <w:p w:rsidR="007322E2" w:rsidRPr="00641910" w:rsidRDefault="007322E2" w:rsidP="007322E2">
      <w:pPr>
        <w:spacing w:after="0" w:line="360" w:lineRule="auto"/>
        <w:jc w:val="both"/>
        <w:rPr>
          <w:rFonts w:ascii="Times New Roman" w:hAnsi="Times New Roman" w:cs="Times New Roman"/>
          <w:sz w:val="24"/>
          <w:szCs w:val="24"/>
        </w:rPr>
      </w:pPr>
      <w:r w:rsidRPr="00641910">
        <w:rPr>
          <w:rFonts w:ascii="Times New Roman" w:eastAsia="Calibri" w:hAnsi="Times New Roman" w:cs="Times New Roman"/>
          <w:sz w:val="24"/>
          <w:szCs w:val="24"/>
        </w:rPr>
        <w:tab/>
        <w:t>The need to protect the precious brain was also at the heart of the many recommendations aimed to improve the breath found in the health advice literature.</w:t>
      </w:r>
      <w:r w:rsidRPr="00641910">
        <w:rPr>
          <w:rStyle w:val="FootnoteReference"/>
          <w:rFonts w:ascii="Times New Roman" w:eastAsia="Calibri" w:hAnsi="Times New Roman" w:cs="Times New Roman"/>
          <w:sz w:val="24"/>
          <w:szCs w:val="24"/>
        </w:rPr>
        <w:footnoteReference w:id="73"/>
      </w:r>
      <w:r w:rsidR="00977223" w:rsidRPr="00641910">
        <w:rPr>
          <w:rFonts w:ascii="Times New Roman" w:eastAsia="Calibri" w:hAnsi="Times New Roman" w:cs="Times New Roman"/>
          <w:sz w:val="24"/>
          <w:szCs w:val="24"/>
        </w:rPr>
        <w:t xml:space="preserve"> N</w:t>
      </w:r>
      <w:r w:rsidRPr="00641910">
        <w:rPr>
          <w:rFonts w:ascii="Times New Roman" w:eastAsia="Calibri" w:hAnsi="Times New Roman" w:cs="Times New Roman"/>
          <w:sz w:val="24"/>
          <w:szCs w:val="24"/>
        </w:rPr>
        <w:t xml:space="preserve">umerous recipes for the domestic manufacture of products for the hygiene of the mouth –toothpastes, mouth-washes and toothpicks- were </w:t>
      </w:r>
      <w:r w:rsidR="00977223" w:rsidRPr="00641910">
        <w:rPr>
          <w:rFonts w:ascii="Times New Roman" w:eastAsia="Calibri" w:hAnsi="Times New Roman" w:cs="Times New Roman"/>
          <w:sz w:val="24"/>
          <w:szCs w:val="24"/>
        </w:rPr>
        <w:t xml:space="preserve">also </w:t>
      </w:r>
      <w:r w:rsidRPr="00641910">
        <w:rPr>
          <w:rFonts w:ascii="Times New Roman" w:eastAsia="Calibri" w:hAnsi="Times New Roman" w:cs="Times New Roman"/>
          <w:sz w:val="24"/>
          <w:szCs w:val="24"/>
        </w:rPr>
        <w:t>present in the printed collections of recipes which became extremely popular in sixteenth-century Italy.</w:t>
      </w:r>
      <w:r w:rsidRPr="00641910">
        <w:rPr>
          <w:rStyle w:val="FootnoteReference"/>
          <w:rFonts w:ascii="Times New Roman" w:eastAsia="Calibri" w:hAnsi="Times New Roman" w:cs="Times New Roman"/>
          <w:sz w:val="24"/>
          <w:szCs w:val="24"/>
        </w:rPr>
        <w:footnoteReference w:id="74"/>
      </w:r>
      <w:r w:rsidR="009F208D" w:rsidRPr="00641910">
        <w:rPr>
          <w:rFonts w:ascii="Times New Roman" w:eastAsia="Calibri" w:hAnsi="Times New Roman" w:cs="Times New Roman"/>
          <w:sz w:val="24"/>
          <w:szCs w:val="24"/>
        </w:rPr>
        <w:t xml:space="preserve"> </w:t>
      </w:r>
      <w:r w:rsidRPr="00641910">
        <w:rPr>
          <w:rFonts w:ascii="Times New Roman" w:eastAsia="Calibri" w:hAnsi="Times New Roman" w:cs="Times New Roman"/>
          <w:sz w:val="24"/>
          <w:szCs w:val="24"/>
        </w:rPr>
        <w:t xml:space="preserve">These hygienic measures reflected the assumption that </w:t>
      </w:r>
      <w:r w:rsidR="000035D0">
        <w:rPr>
          <w:rFonts w:ascii="Times New Roman" w:eastAsia="Calibri" w:hAnsi="Times New Roman" w:cs="Times New Roman"/>
          <w:sz w:val="24"/>
          <w:szCs w:val="24"/>
        </w:rPr>
        <w:t>people</w:t>
      </w:r>
      <w:r w:rsidRPr="00641910">
        <w:rPr>
          <w:rFonts w:ascii="Times New Roman" w:eastAsia="Calibri" w:hAnsi="Times New Roman" w:cs="Times New Roman"/>
          <w:sz w:val="24"/>
          <w:szCs w:val="24"/>
        </w:rPr>
        <w:t xml:space="preserve"> could become infected </w:t>
      </w:r>
      <w:r w:rsidR="000035D0">
        <w:rPr>
          <w:rFonts w:ascii="Times New Roman" w:eastAsia="Calibri" w:hAnsi="Times New Roman" w:cs="Times New Roman"/>
          <w:sz w:val="24"/>
          <w:szCs w:val="24"/>
        </w:rPr>
        <w:t>by th</w:t>
      </w:r>
      <w:r w:rsidR="00120D35">
        <w:rPr>
          <w:rFonts w:ascii="Times New Roman" w:eastAsia="Calibri" w:hAnsi="Times New Roman" w:cs="Times New Roman"/>
          <w:sz w:val="24"/>
          <w:szCs w:val="24"/>
        </w:rPr>
        <w:t>e</w:t>
      </w:r>
      <w:r w:rsidR="000035D0">
        <w:rPr>
          <w:rFonts w:ascii="Times New Roman" w:eastAsia="Calibri" w:hAnsi="Times New Roman" w:cs="Times New Roman"/>
          <w:sz w:val="24"/>
          <w:szCs w:val="24"/>
        </w:rPr>
        <w:t>ir</w:t>
      </w:r>
      <w:r w:rsidRPr="00641910">
        <w:rPr>
          <w:rFonts w:ascii="Times New Roman" w:eastAsia="Calibri" w:hAnsi="Times New Roman" w:cs="Times New Roman"/>
          <w:sz w:val="24"/>
          <w:szCs w:val="24"/>
        </w:rPr>
        <w:t xml:space="preserve"> own </w:t>
      </w:r>
      <w:r w:rsidRPr="00641910">
        <w:rPr>
          <w:rFonts w:ascii="Times New Roman" w:hAnsi="Times New Roman" w:cs="Times New Roman"/>
          <w:sz w:val="24"/>
          <w:szCs w:val="24"/>
        </w:rPr>
        <w:t xml:space="preserve">bad breath, generated by decayed teeth and gums or resulting from poor digestion, since, once inhaled through the nose, this could damage the brain and the key functions over which this presided.  Again, underpinning these practices was the assumption that the deterioration of the air was prompted by physiological </w:t>
      </w:r>
      <w:r w:rsidR="007B6BDD" w:rsidRPr="00641910">
        <w:rPr>
          <w:rFonts w:ascii="Times New Roman" w:hAnsi="Times New Roman" w:cs="Times New Roman"/>
          <w:sz w:val="24"/>
          <w:szCs w:val="24"/>
        </w:rPr>
        <w:t>processes</w:t>
      </w:r>
      <w:r w:rsidRPr="00641910">
        <w:rPr>
          <w:rFonts w:ascii="Times New Roman" w:hAnsi="Times New Roman" w:cs="Times New Roman"/>
          <w:sz w:val="24"/>
          <w:szCs w:val="24"/>
        </w:rPr>
        <w:t xml:space="preserve"> taking place within the body rather than by external harmful agents. </w:t>
      </w:r>
    </w:p>
    <w:p w:rsidR="00521217" w:rsidRPr="00641910" w:rsidRDefault="00521217" w:rsidP="00521217">
      <w:pPr>
        <w:spacing w:line="360" w:lineRule="auto"/>
        <w:jc w:val="both"/>
        <w:rPr>
          <w:rFonts w:ascii="Times New Roman" w:hAnsi="Times New Roman" w:cs="Times New Roman"/>
          <w:sz w:val="24"/>
          <w:szCs w:val="24"/>
        </w:rPr>
      </w:pPr>
    </w:p>
    <w:p w:rsidR="00521217" w:rsidRPr="00641910" w:rsidRDefault="00521217" w:rsidP="00521217">
      <w:pPr>
        <w:pStyle w:val="ListParagraph"/>
        <w:numPr>
          <w:ilvl w:val="0"/>
          <w:numId w:val="1"/>
        </w:numPr>
        <w:rPr>
          <w:rFonts w:ascii="Times New Roman" w:hAnsi="Times New Roman" w:cs="Times New Roman"/>
          <w:sz w:val="24"/>
          <w:szCs w:val="24"/>
        </w:rPr>
      </w:pPr>
      <w:r w:rsidRPr="00641910">
        <w:rPr>
          <w:rFonts w:ascii="Times New Roman" w:hAnsi="Times New Roman" w:cs="Times New Roman"/>
          <w:sz w:val="24"/>
          <w:szCs w:val="24"/>
        </w:rPr>
        <w:t>The changing uses of scent</w:t>
      </w:r>
    </w:p>
    <w:p w:rsidR="00186930" w:rsidRDefault="00521217" w:rsidP="00521217">
      <w:pPr>
        <w:spacing w:after="0" w:line="360" w:lineRule="auto"/>
        <w:jc w:val="both"/>
        <w:rPr>
          <w:rFonts w:ascii="Times New Roman" w:hAnsi="Times New Roman" w:cs="Times New Roman"/>
          <w:sz w:val="24"/>
          <w:szCs w:val="24"/>
        </w:rPr>
      </w:pPr>
      <w:r w:rsidRPr="00641910">
        <w:rPr>
          <w:rFonts w:ascii="Times New Roman" w:hAnsi="Times New Roman" w:cs="Times New Roman"/>
          <w:sz w:val="24"/>
          <w:szCs w:val="24"/>
        </w:rPr>
        <w:t xml:space="preserve">The shifting understanding of what constituted dangerous and beneficial air highlighted so far also </w:t>
      </w:r>
      <w:r w:rsidR="005B545E" w:rsidRPr="00641910">
        <w:rPr>
          <w:rFonts w:ascii="Times New Roman" w:hAnsi="Times New Roman" w:cs="Times New Roman"/>
          <w:sz w:val="24"/>
          <w:szCs w:val="24"/>
        </w:rPr>
        <w:t>affected</w:t>
      </w:r>
      <w:r w:rsidRPr="00641910">
        <w:rPr>
          <w:rFonts w:ascii="Times New Roman" w:hAnsi="Times New Roman" w:cs="Times New Roman"/>
          <w:sz w:val="24"/>
          <w:szCs w:val="24"/>
        </w:rPr>
        <w:t xml:space="preserve"> t</w:t>
      </w:r>
      <w:r w:rsidRPr="007A08C2">
        <w:rPr>
          <w:rFonts w:ascii="Times New Roman" w:hAnsi="Times New Roman" w:cs="Times New Roman"/>
          <w:sz w:val="24"/>
          <w:szCs w:val="24"/>
        </w:rPr>
        <w:t xml:space="preserve">he </w:t>
      </w:r>
      <w:r>
        <w:rPr>
          <w:rFonts w:ascii="Times New Roman" w:hAnsi="Times New Roman" w:cs="Times New Roman"/>
          <w:sz w:val="24"/>
          <w:szCs w:val="24"/>
        </w:rPr>
        <w:t>practice</w:t>
      </w:r>
      <w:r w:rsidRPr="007A08C2">
        <w:rPr>
          <w:rFonts w:ascii="Times New Roman" w:hAnsi="Times New Roman" w:cs="Times New Roman"/>
          <w:sz w:val="24"/>
          <w:szCs w:val="24"/>
        </w:rPr>
        <w:t xml:space="preserve"> of ‘purging’ or ‘rectifying’ the air within the home with aromatic</w:t>
      </w:r>
      <w:r w:rsidRPr="007A08C2">
        <w:rPr>
          <w:rFonts w:ascii="Times New Roman" w:hAnsi="Times New Roman"/>
          <w:i/>
          <w:sz w:val="24"/>
          <w:szCs w:val="24"/>
        </w:rPr>
        <w:t xml:space="preserve"> </w:t>
      </w:r>
      <w:r w:rsidRPr="007A08C2">
        <w:rPr>
          <w:rFonts w:ascii="Times New Roman" w:hAnsi="Times New Roman"/>
          <w:sz w:val="24"/>
          <w:szCs w:val="24"/>
        </w:rPr>
        <w:t>woods, herbs and spices</w:t>
      </w:r>
      <w:r w:rsidRPr="007A08C2">
        <w:rPr>
          <w:rFonts w:ascii="Times New Roman" w:hAnsi="Times New Roman" w:cs="Times New Roman"/>
          <w:sz w:val="24"/>
          <w:szCs w:val="24"/>
        </w:rPr>
        <w:t xml:space="preserve">. </w:t>
      </w:r>
      <w:r>
        <w:rPr>
          <w:rFonts w:ascii="Times New Roman" w:hAnsi="Times New Roman" w:cs="Times New Roman"/>
          <w:sz w:val="24"/>
          <w:szCs w:val="24"/>
        </w:rPr>
        <w:t xml:space="preserve">Scholarly accounts have presented this habit as reflecting </w:t>
      </w:r>
      <w:r w:rsidRPr="009B3C19">
        <w:rPr>
          <w:rFonts w:ascii="Times New Roman" w:hAnsi="Times New Roman" w:cs="Times New Roman"/>
          <w:sz w:val="24"/>
          <w:szCs w:val="24"/>
        </w:rPr>
        <w:t>the assumption that corrupted air was associated with bad smell</w:t>
      </w:r>
      <w:r w:rsidR="00602BAC">
        <w:rPr>
          <w:rFonts w:ascii="Times New Roman" w:hAnsi="Times New Roman" w:cs="Times New Roman"/>
          <w:sz w:val="24"/>
          <w:szCs w:val="24"/>
        </w:rPr>
        <w:t>s</w:t>
      </w:r>
      <w:r w:rsidR="004440DA">
        <w:rPr>
          <w:rFonts w:ascii="Times New Roman" w:hAnsi="Times New Roman" w:cs="Times New Roman"/>
          <w:sz w:val="24"/>
          <w:szCs w:val="24"/>
        </w:rPr>
        <w:t xml:space="preserve">, and these were </w:t>
      </w:r>
      <w:r w:rsidR="00BB10A5">
        <w:rPr>
          <w:rFonts w:ascii="Times New Roman" w:hAnsi="Times New Roman" w:cs="Times New Roman"/>
          <w:sz w:val="24"/>
          <w:szCs w:val="24"/>
        </w:rPr>
        <w:t xml:space="preserve">seen to be </w:t>
      </w:r>
      <w:r w:rsidR="004440DA">
        <w:rPr>
          <w:rFonts w:ascii="Times New Roman" w:hAnsi="Times New Roman" w:cs="Times New Roman"/>
          <w:sz w:val="24"/>
          <w:szCs w:val="24"/>
        </w:rPr>
        <w:t>endowed with</w:t>
      </w:r>
      <w:r>
        <w:rPr>
          <w:rFonts w:ascii="Times New Roman" w:hAnsi="Times New Roman" w:cs="Times New Roman"/>
          <w:sz w:val="24"/>
          <w:szCs w:val="24"/>
        </w:rPr>
        <w:t xml:space="preserve"> </w:t>
      </w:r>
      <w:r w:rsidRPr="009B3C19">
        <w:rPr>
          <w:rFonts w:ascii="Times New Roman" w:hAnsi="Times New Roman" w:cs="Times New Roman"/>
          <w:sz w:val="24"/>
          <w:szCs w:val="24"/>
        </w:rPr>
        <w:t>the power to breed disease, in particular the plague</w:t>
      </w:r>
      <w:r w:rsidR="004440DA">
        <w:rPr>
          <w:rFonts w:ascii="Times New Roman" w:hAnsi="Times New Roman" w:cs="Times New Roman"/>
          <w:sz w:val="24"/>
          <w:szCs w:val="24"/>
        </w:rPr>
        <w:t xml:space="preserve">. </w:t>
      </w:r>
      <w:r w:rsidR="00BB10A5">
        <w:rPr>
          <w:rFonts w:ascii="Times New Roman" w:hAnsi="Times New Roman" w:cs="Times New Roman"/>
          <w:sz w:val="24"/>
          <w:szCs w:val="24"/>
        </w:rPr>
        <w:t xml:space="preserve">According to Richard Palmer, </w:t>
      </w:r>
      <w:r w:rsidRPr="009B3C19">
        <w:rPr>
          <w:rFonts w:ascii="Times New Roman" w:hAnsi="Times New Roman" w:cs="Times New Roman"/>
          <w:sz w:val="24"/>
          <w:szCs w:val="24"/>
        </w:rPr>
        <w:t xml:space="preserve">smells were not understood as immaterial but were seen to carry the qualities of the </w:t>
      </w:r>
      <w:r w:rsidRPr="009B3C19">
        <w:rPr>
          <w:rFonts w:ascii="Times New Roman" w:hAnsi="Times New Roman" w:cs="Times New Roman"/>
          <w:sz w:val="24"/>
          <w:szCs w:val="24"/>
        </w:rPr>
        <w:lastRenderedPageBreak/>
        <w:t>matters from which they emanated</w:t>
      </w:r>
      <w:r>
        <w:rPr>
          <w:rFonts w:ascii="Times New Roman" w:hAnsi="Times New Roman" w:cs="Times New Roman"/>
          <w:sz w:val="24"/>
          <w:szCs w:val="24"/>
        </w:rPr>
        <w:t>:</w:t>
      </w:r>
      <w:r w:rsidRPr="009B3C19">
        <w:rPr>
          <w:rFonts w:ascii="Times New Roman" w:hAnsi="Times New Roman" w:cs="Times New Roman"/>
          <w:sz w:val="24"/>
          <w:szCs w:val="24"/>
        </w:rPr>
        <w:t xml:space="preserve"> rotten organic waste or putrid water in the case of stench, flowers and other aromatic substances in the case of pleasant smells.</w:t>
      </w:r>
      <w:r w:rsidRPr="009B3C19">
        <w:rPr>
          <w:rStyle w:val="FootnoteReference"/>
          <w:rFonts w:ascii="Times New Roman" w:hAnsi="Times New Roman" w:cs="Times New Roman"/>
          <w:sz w:val="24"/>
          <w:szCs w:val="24"/>
        </w:rPr>
        <w:footnoteReference w:id="75"/>
      </w:r>
      <w:r w:rsidRPr="009B3C19">
        <w:rPr>
          <w:rFonts w:ascii="Times New Roman" w:hAnsi="Times New Roman" w:cs="Times New Roman"/>
          <w:sz w:val="24"/>
          <w:szCs w:val="24"/>
        </w:rPr>
        <w:t xml:space="preserve"> </w:t>
      </w:r>
      <w:r w:rsidR="004440DA">
        <w:rPr>
          <w:rFonts w:ascii="Times New Roman" w:hAnsi="Times New Roman" w:cs="Times New Roman"/>
          <w:sz w:val="24"/>
          <w:szCs w:val="24"/>
        </w:rPr>
        <w:t xml:space="preserve">In this </w:t>
      </w:r>
      <w:r w:rsidR="00602BAC">
        <w:rPr>
          <w:rFonts w:ascii="Times New Roman" w:hAnsi="Times New Roman" w:cs="Times New Roman"/>
          <w:sz w:val="24"/>
          <w:szCs w:val="24"/>
        </w:rPr>
        <w:t xml:space="preserve">interpretive </w:t>
      </w:r>
      <w:r w:rsidR="004440DA">
        <w:rPr>
          <w:rFonts w:ascii="Times New Roman" w:hAnsi="Times New Roman" w:cs="Times New Roman"/>
          <w:sz w:val="24"/>
          <w:szCs w:val="24"/>
        </w:rPr>
        <w:t>framework, t</w:t>
      </w:r>
      <w:r w:rsidRPr="009B3C19">
        <w:rPr>
          <w:rFonts w:ascii="Times New Roman" w:hAnsi="Times New Roman" w:cs="Times New Roman"/>
          <w:sz w:val="24"/>
          <w:szCs w:val="24"/>
        </w:rPr>
        <w:t xml:space="preserve">he common practice of sprinkling scent on the body, clothes and in the ambient air </w:t>
      </w:r>
      <w:r>
        <w:rPr>
          <w:rFonts w:ascii="Times New Roman" w:hAnsi="Times New Roman" w:cs="Times New Roman"/>
          <w:sz w:val="24"/>
          <w:szCs w:val="24"/>
        </w:rPr>
        <w:t>is</w:t>
      </w:r>
      <w:r w:rsidRPr="009B3C19">
        <w:rPr>
          <w:rFonts w:ascii="Times New Roman" w:hAnsi="Times New Roman" w:cs="Times New Roman"/>
          <w:sz w:val="24"/>
          <w:szCs w:val="24"/>
        </w:rPr>
        <w:t xml:space="preserve"> explained as a prophylactic measure </w:t>
      </w:r>
      <w:r>
        <w:rPr>
          <w:rFonts w:ascii="Times New Roman" w:hAnsi="Times New Roman" w:cs="Times New Roman"/>
          <w:sz w:val="24"/>
          <w:szCs w:val="24"/>
        </w:rPr>
        <w:t xml:space="preserve">aimed </w:t>
      </w:r>
      <w:r w:rsidRPr="009B3C19">
        <w:rPr>
          <w:rFonts w:ascii="Times New Roman" w:hAnsi="Times New Roman" w:cs="Times New Roman"/>
          <w:sz w:val="24"/>
          <w:szCs w:val="24"/>
        </w:rPr>
        <w:t>t</w:t>
      </w:r>
      <w:r>
        <w:rPr>
          <w:rFonts w:ascii="Times New Roman" w:hAnsi="Times New Roman" w:cs="Times New Roman"/>
          <w:sz w:val="24"/>
          <w:szCs w:val="24"/>
        </w:rPr>
        <w:t>o</w:t>
      </w:r>
      <w:r w:rsidRPr="009B3C19">
        <w:rPr>
          <w:rFonts w:ascii="Times New Roman" w:hAnsi="Times New Roman" w:cs="Times New Roman"/>
          <w:sz w:val="24"/>
          <w:szCs w:val="24"/>
        </w:rPr>
        <w:t xml:space="preserve"> create a protective armour around the body, and preserve it from the attack of contagious stinking vapours.</w:t>
      </w:r>
      <w:r w:rsidRPr="009B3C19">
        <w:rPr>
          <w:rStyle w:val="FootnoteReference"/>
          <w:rFonts w:ascii="Times New Roman" w:hAnsi="Times New Roman" w:cs="Times New Roman"/>
          <w:sz w:val="24"/>
          <w:szCs w:val="24"/>
        </w:rPr>
        <w:footnoteReference w:id="76"/>
      </w:r>
      <w:r w:rsidRPr="009B3C19">
        <w:rPr>
          <w:rFonts w:ascii="Times New Roman" w:hAnsi="Times New Roman" w:cs="Times New Roman"/>
          <w:sz w:val="24"/>
          <w:szCs w:val="24"/>
        </w:rPr>
        <w:t xml:space="preserve"> </w:t>
      </w:r>
      <w:r>
        <w:rPr>
          <w:rFonts w:ascii="Times New Roman" w:hAnsi="Times New Roman" w:cs="Times New Roman"/>
          <w:sz w:val="24"/>
          <w:szCs w:val="24"/>
        </w:rPr>
        <w:t xml:space="preserve">This interpretation </w:t>
      </w:r>
      <w:r w:rsidR="004440DA">
        <w:rPr>
          <w:rFonts w:ascii="Times New Roman" w:hAnsi="Times New Roman" w:cs="Times New Roman"/>
          <w:sz w:val="24"/>
          <w:szCs w:val="24"/>
        </w:rPr>
        <w:t xml:space="preserve">clearly </w:t>
      </w:r>
      <w:r w:rsidRPr="00CA38DD">
        <w:rPr>
          <w:rFonts w:ascii="Times New Roman" w:hAnsi="Times New Roman" w:cs="Times New Roman"/>
          <w:sz w:val="24"/>
          <w:szCs w:val="24"/>
        </w:rPr>
        <w:t>conflate</w:t>
      </w:r>
      <w:r>
        <w:rPr>
          <w:rFonts w:ascii="Times New Roman" w:hAnsi="Times New Roman" w:cs="Times New Roman"/>
          <w:sz w:val="24"/>
          <w:szCs w:val="24"/>
        </w:rPr>
        <w:t>s</w:t>
      </w:r>
      <w:r w:rsidRPr="00CA38DD">
        <w:rPr>
          <w:rFonts w:ascii="Times New Roman" w:hAnsi="Times New Roman" w:cs="Times New Roman"/>
          <w:sz w:val="24"/>
          <w:szCs w:val="24"/>
        </w:rPr>
        <w:t xml:space="preserve"> vicious air, </w:t>
      </w:r>
      <w:r>
        <w:rPr>
          <w:rFonts w:ascii="Times New Roman" w:hAnsi="Times New Roman" w:cs="Times New Roman"/>
          <w:sz w:val="24"/>
          <w:szCs w:val="24"/>
        </w:rPr>
        <w:t xml:space="preserve">bad </w:t>
      </w:r>
      <w:r w:rsidRPr="00CA38DD">
        <w:rPr>
          <w:rFonts w:ascii="Times New Roman" w:hAnsi="Times New Roman" w:cs="Times New Roman"/>
          <w:sz w:val="24"/>
          <w:szCs w:val="24"/>
        </w:rPr>
        <w:t>smell and infection</w:t>
      </w:r>
      <w:r w:rsidR="008215D4">
        <w:rPr>
          <w:rFonts w:ascii="Times New Roman" w:hAnsi="Times New Roman" w:cs="Times New Roman"/>
          <w:sz w:val="24"/>
          <w:szCs w:val="24"/>
        </w:rPr>
        <w:t>, elements which do not always coincide</w:t>
      </w:r>
      <w:r w:rsidR="004440DA">
        <w:rPr>
          <w:rFonts w:ascii="Times New Roman" w:hAnsi="Times New Roman" w:cs="Times New Roman"/>
          <w:sz w:val="24"/>
          <w:szCs w:val="24"/>
        </w:rPr>
        <w:t xml:space="preserve">. </w:t>
      </w:r>
      <w:r w:rsidR="00BB10A5">
        <w:rPr>
          <w:rFonts w:ascii="Times New Roman" w:hAnsi="Times New Roman" w:cs="Times New Roman"/>
          <w:sz w:val="24"/>
          <w:szCs w:val="24"/>
        </w:rPr>
        <w:t>Following this view,</w:t>
      </w:r>
      <w:r w:rsidR="004440DA" w:rsidRPr="009B3C19">
        <w:rPr>
          <w:rFonts w:ascii="Times New Roman" w:hAnsi="Times New Roman" w:cs="Times New Roman"/>
          <w:sz w:val="24"/>
          <w:szCs w:val="24"/>
        </w:rPr>
        <w:t xml:space="preserve"> the </w:t>
      </w:r>
      <w:r w:rsidR="004440DA" w:rsidRPr="004440DA">
        <w:rPr>
          <w:rFonts w:ascii="Times New Roman" w:hAnsi="Times New Roman" w:cs="Times New Roman"/>
          <w:sz w:val="24"/>
          <w:szCs w:val="24"/>
        </w:rPr>
        <w:t>medicinal use of perfuming practices</w:t>
      </w:r>
      <w:r w:rsidR="004440DA" w:rsidRPr="009B3C19">
        <w:rPr>
          <w:rFonts w:ascii="Times New Roman" w:hAnsi="Times New Roman" w:cs="Times New Roman"/>
          <w:sz w:val="24"/>
          <w:szCs w:val="24"/>
        </w:rPr>
        <w:t xml:space="preserve"> and </w:t>
      </w:r>
      <w:r w:rsidR="00B36130">
        <w:rPr>
          <w:rFonts w:ascii="Times New Roman" w:hAnsi="Times New Roman" w:cs="Times New Roman"/>
          <w:sz w:val="24"/>
          <w:szCs w:val="24"/>
        </w:rPr>
        <w:t xml:space="preserve">scented </w:t>
      </w:r>
      <w:r w:rsidR="004440DA" w:rsidRPr="009B3C19">
        <w:rPr>
          <w:rFonts w:ascii="Times New Roman" w:hAnsi="Times New Roman" w:cs="Times New Roman"/>
          <w:sz w:val="24"/>
          <w:szCs w:val="24"/>
        </w:rPr>
        <w:t xml:space="preserve">objects </w:t>
      </w:r>
      <w:r w:rsidR="00BB10A5">
        <w:rPr>
          <w:rFonts w:ascii="Times New Roman" w:hAnsi="Times New Roman" w:cs="Times New Roman"/>
          <w:sz w:val="24"/>
          <w:szCs w:val="24"/>
        </w:rPr>
        <w:t xml:space="preserve">has largely been </w:t>
      </w:r>
      <w:r w:rsidR="004440DA" w:rsidRPr="009B3C19">
        <w:rPr>
          <w:rFonts w:ascii="Times New Roman" w:hAnsi="Times New Roman" w:cs="Times New Roman"/>
          <w:sz w:val="24"/>
          <w:szCs w:val="24"/>
        </w:rPr>
        <w:t>connected with the threat posed by the plague.</w:t>
      </w:r>
      <w:r w:rsidR="00E07BE8">
        <w:rPr>
          <w:rFonts w:ascii="Times New Roman" w:hAnsi="Times New Roman" w:cs="Times New Roman"/>
          <w:sz w:val="24"/>
          <w:szCs w:val="24"/>
        </w:rPr>
        <w:t xml:space="preserve"> </w:t>
      </w:r>
      <w:r w:rsidR="004440DA" w:rsidRPr="009B3C19">
        <w:rPr>
          <w:rFonts w:ascii="Times New Roman" w:hAnsi="Times New Roman" w:cs="Times New Roman"/>
          <w:sz w:val="24"/>
          <w:szCs w:val="24"/>
        </w:rPr>
        <w:t>According to Dugan, th</w:t>
      </w:r>
      <w:r w:rsidR="004440DA">
        <w:rPr>
          <w:rFonts w:ascii="Times New Roman" w:hAnsi="Times New Roman" w:cs="Times New Roman"/>
          <w:sz w:val="24"/>
          <w:szCs w:val="24"/>
        </w:rPr>
        <w:t>e contagious nature of</w:t>
      </w:r>
      <w:r w:rsidR="004440DA" w:rsidRPr="009B3C19">
        <w:rPr>
          <w:rFonts w:ascii="Times New Roman" w:hAnsi="Times New Roman" w:cs="Times New Roman"/>
          <w:sz w:val="24"/>
          <w:szCs w:val="24"/>
        </w:rPr>
        <w:t xml:space="preserve"> smelly air was even reinforced in the sixteenth century by the penetration in medical thought of Paracels</w:t>
      </w:r>
      <w:r w:rsidR="00DC67A9">
        <w:rPr>
          <w:rFonts w:ascii="Times New Roman" w:hAnsi="Times New Roman" w:cs="Times New Roman"/>
          <w:sz w:val="24"/>
          <w:szCs w:val="24"/>
        </w:rPr>
        <w:t>us’</w:t>
      </w:r>
      <w:r w:rsidR="004440DA" w:rsidRPr="009B3C19">
        <w:rPr>
          <w:rFonts w:ascii="Times New Roman" w:hAnsi="Times New Roman" w:cs="Times New Roman"/>
          <w:sz w:val="24"/>
          <w:szCs w:val="24"/>
        </w:rPr>
        <w:t xml:space="preserve"> </w:t>
      </w:r>
      <w:r w:rsidR="00DC67A9">
        <w:rPr>
          <w:rFonts w:ascii="Times New Roman" w:hAnsi="Times New Roman" w:cs="Times New Roman"/>
          <w:sz w:val="24"/>
          <w:szCs w:val="24"/>
        </w:rPr>
        <w:t>theories, which</w:t>
      </w:r>
      <w:r w:rsidR="004440DA" w:rsidRPr="009B3C19">
        <w:rPr>
          <w:rFonts w:ascii="Times New Roman" w:hAnsi="Times New Roman" w:cs="Times New Roman"/>
          <w:sz w:val="24"/>
          <w:szCs w:val="24"/>
        </w:rPr>
        <w:t xml:space="preserve"> depict</w:t>
      </w:r>
      <w:r w:rsidR="00DC67A9">
        <w:rPr>
          <w:rFonts w:ascii="Times New Roman" w:hAnsi="Times New Roman" w:cs="Times New Roman"/>
          <w:sz w:val="24"/>
          <w:szCs w:val="24"/>
        </w:rPr>
        <w:t>ed</w:t>
      </w:r>
      <w:r w:rsidR="004440DA" w:rsidRPr="009B3C19">
        <w:rPr>
          <w:rFonts w:ascii="Times New Roman" w:hAnsi="Times New Roman" w:cs="Times New Roman"/>
          <w:sz w:val="24"/>
          <w:szCs w:val="24"/>
        </w:rPr>
        <w:t xml:space="preserve"> disease as a separate entity, whose invisible particles were carried by the air.</w:t>
      </w:r>
      <w:r w:rsidR="004440DA" w:rsidRPr="009B3C19">
        <w:rPr>
          <w:rStyle w:val="FootnoteReference"/>
          <w:rFonts w:ascii="Times New Roman" w:hAnsi="Times New Roman" w:cs="Times New Roman"/>
          <w:sz w:val="24"/>
          <w:szCs w:val="24"/>
        </w:rPr>
        <w:footnoteReference w:id="77"/>
      </w:r>
      <w:r w:rsidR="004440DA" w:rsidRPr="009B3C19">
        <w:rPr>
          <w:rFonts w:ascii="Times New Roman" w:hAnsi="Times New Roman" w:cs="Times New Roman"/>
          <w:sz w:val="24"/>
          <w:szCs w:val="24"/>
        </w:rPr>
        <w:t xml:space="preserve">  </w:t>
      </w:r>
      <w:r w:rsidR="00DC67A9">
        <w:rPr>
          <w:rFonts w:ascii="Times New Roman" w:hAnsi="Times New Roman" w:cs="Times New Roman"/>
          <w:sz w:val="24"/>
          <w:szCs w:val="24"/>
        </w:rPr>
        <w:t>These views</w:t>
      </w:r>
      <w:r w:rsidR="00602BAC">
        <w:rPr>
          <w:rFonts w:ascii="Times New Roman" w:hAnsi="Times New Roman" w:cs="Times New Roman"/>
          <w:sz w:val="24"/>
          <w:szCs w:val="24"/>
        </w:rPr>
        <w:t xml:space="preserve"> have long remained unchallenged</w:t>
      </w:r>
      <w:r w:rsidR="00DC67A9">
        <w:rPr>
          <w:rFonts w:ascii="Times New Roman" w:hAnsi="Times New Roman" w:cs="Times New Roman"/>
          <w:sz w:val="24"/>
          <w:szCs w:val="24"/>
        </w:rPr>
        <w:t xml:space="preserve">. </w:t>
      </w:r>
      <w:r w:rsidRPr="009B3C19">
        <w:rPr>
          <w:rFonts w:ascii="Times New Roman" w:hAnsi="Times New Roman" w:cs="Times New Roman"/>
          <w:sz w:val="24"/>
          <w:szCs w:val="24"/>
        </w:rPr>
        <w:t>To a close</w:t>
      </w:r>
      <w:r w:rsidR="00345BFB">
        <w:rPr>
          <w:rFonts w:ascii="Times New Roman" w:hAnsi="Times New Roman" w:cs="Times New Roman"/>
          <w:sz w:val="24"/>
          <w:szCs w:val="24"/>
        </w:rPr>
        <w:t>r</w:t>
      </w:r>
      <w:r w:rsidRPr="009B3C19">
        <w:rPr>
          <w:rFonts w:ascii="Times New Roman" w:hAnsi="Times New Roman" w:cs="Times New Roman"/>
          <w:sz w:val="24"/>
          <w:szCs w:val="24"/>
        </w:rPr>
        <w:t xml:space="preserve"> scrutin</w:t>
      </w:r>
      <w:r w:rsidR="008215D4">
        <w:rPr>
          <w:rFonts w:ascii="Times New Roman" w:hAnsi="Times New Roman" w:cs="Times New Roman"/>
          <w:sz w:val="24"/>
          <w:szCs w:val="24"/>
        </w:rPr>
        <w:t>y</w:t>
      </w:r>
      <w:r w:rsidRPr="009B3C19">
        <w:rPr>
          <w:rFonts w:ascii="Times New Roman" w:hAnsi="Times New Roman" w:cs="Times New Roman"/>
          <w:sz w:val="24"/>
          <w:szCs w:val="24"/>
        </w:rPr>
        <w:t xml:space="preserve">, </w:t>
      </w:r>
      <w:r w:rsidR="009351BD">
        <w:rPr>
          <w:rFonts w:ascii="Times New Roman" w:hAnsi="Times New Roman" w:cs="Times New Roman"/>
          <w:sz w:val="24"/>
          <w:szCs w:val="24"/>
        </w:rPr>
        <w:t xml:space="preserve">however, </w:t>
      </w:r>
      <w:r w:rsidR="00BB10A5" w:rsidRPr="009B3C19">
        <w:rPr>
          <w:rFonts w:ascii="Times New Roman" w:hAnsi="Times New Roman" w:cs="Times New Roman"/>
          <w:sz w:val="24"/>
          <w:szCs w:val="24"/>
        </w:rPr>
        <w:t xml:space="preserve">early modern </w:t>
      </w:r>
      <w:r w:rsidR="009351BD">
        <w:rPr>
          <w:rFonts w:ascii="Times New Roman" w:hAnsi="Times New Roman" w:cs="Times New Roman"/>
          <w:sz w:val="24"/>
          <w:szCs w:val="24"/>
        </w:rPr>
        <w:t xml:space="preserve">perfuming practices </w:t>
      </w:r>
      <w:r w:rsidRPr="009B3C19">
        <w:rPr>
          <w:rFonts w:ascii="Times New Roman" w:hAnsi="Times New Roman" w:cs="Times New Roman"/>
          <w:sz w:val="24"/>
          <w:szCs w:val="24"/>
        </w:rPr>
        <w:t xml:space="preserve">present subtle shifts in </w:t>
      </w:r>
      <w:r w:rsidR="007B6BDD" w:rsidRPr="007B6BDD">
        <w:rPr>
          <w:rFonts w:ascii="Times New Roman" w:hAnsi="Times New Roman" w:cs="Times New Roman"/>
          <w:sz w:val="24"/>
          <w:szCs w:val="24"/>
        </w:rPr>
        <w:t>form and</w:t>
      </w:r>
      <w:r w:rsidRPr="009B3C19">
        <w:rPr>
          <w:rFonts w:ascii="Times New Roman" w:hAnsi="Times New Roman" w:cs="Times New Roman"/>
          <w:sz w:val="24"/>
          <w:szCs w:val="24"/>
        </w:rPr>
        <w:t xml:space="preserve"> meaning </w:t>
      </w:r>
      <w:r w:rsidR="00DC67A9">
        <w:rPr>
          <w:rFonts w:ascii="Times New Roman" w:hAnsi="Times New Roman" w:cs="Times New Roman"/>
          <w:sz w:val="24"/>
          <w:szCs w:val="24"/>
        </w:rPr>
        <w:t xml:space="preserve">over the period, </w:t>
      </w:r>
      <w:r w:rsidR="00602BAC">
        <w:rPr>
          <w:rFonts w:ascii="Times New Roman" w:hAnsi="Times New Roman" w:cs="Times New Roman"/>
          <w:sz w:val="24"/>
          <w:szCs w:val="24"/>
        </w:rPr>
        <w:t>leading to question</w:t>
      </w:r>
      <w:r w:rsidR="009351BD">
        <w:rPr>
          <w:rFonts w:ascii="Times New Roman" w:hAnsi="Times New Roman" w:cs="Times New Roman"/>
          <w:sz w:val="24"/>
          <w:szCs w:val="24"/>
        </w:rPr>
        <w:t xml:space="preserve"> </w:t>
      </w:r>
      <w:r w:rsidRPr="009B3C19">
        <w:rPr>
          <w:rFonts w:ascii="Times New Roman" w:hAnsi="Times New Roman" w:cs="Times New Roman"/>
          <w:sz w:val="24"/>
          <w:szCs w:val="24"/>
        </w:rPr>
        <w:t xml:space="preserve">the </w:t>
      </w:r>
      <w:r w:rsidR="00DC67A9">
        <w:rPr>
          <w:rFonts w:ascii="Times New Roman" w:hAnsi="Times New Roman" w:cs="Times New Roman"/>
          <w:sz w:val="24"/>
          <w:szCs w:val="24"/>
        </w:rPr>
        <w:t xml:space="preserve">picture of continuity prevailing in the literature. </w:t>
      </w:r>
    </w:p>
    <w:p w:rsidR="00521217" w:rsidRDefault="00186930" w:rsidP="0052121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00521217">
        <w:rPr>
          <w:rFonts w:ascii="Times New Roman" w:hAnsi="Times New Roman" w:cs="Times New Roman"/>
          <w:sz w:val="24"/>
          <w:szCs w:val="24"/>
        </w:rPr>
        <w:t xml:space="preserve">Certainly </w:t>
      </w:r>
      <w:r w:rsidR="00DC67A9">
        <w:rPr>
          <w:rFonts w:ascii="Times New Roman" w:hAnsi="Times New Roman" w:cs="Times New Roman"/>
          <w:sz w:val="24"/>
          <w:szCs w:val="24"/>
        </w:rPr>
        <w:t xml:space="preserve">concerns for infectious disease dominate </w:t>
      </w:r>
      <w:r w:rsidR="00521217">
        <w:rPr>
          <w:rFonts w:ascii="Times New Roman" w:hAnsi="Times New Roman" w:cs="Times New Roman"/>
          <w:sz w:val="24"/>
          <w:szCs w:val="24"/>
        </w:rPr>
        <w:t xml:space="preserve">the </w:t>
      </w:r>
      <w:r w:rsidR="00DC67A9">
        <w:rPr>
          <w:rFonts w:ascii="Times New Roman" w:hAnsi="Times New Roman" w:cs="Times New Roman"/>
          <w:sz w:val="24"/>
          <w:szCs w:val="24"/>
        </w:rPr>
        <w:t>approach to scent i</w:t>
      </w:r>
      <w:r w:rsidR="00521217">
        <w:rPr>
          <w:rFonts w:ascii="Times New Roman" w:hAnsi="Times New Roman" w:cs="Times New Roman"/>
          <w:sz w:val="24"/>
          <w:szCs w:val="24"/>
        </w:rPr>
        <w:t>n</w:t>
      </w:r>
      <w:r w:rsidR="00521217" w:rsidRPr="007A08C2">
        <w:rPr>
          <w:rFonts w:ascii="Times New Roman" w:hAnsi="Times New Roman" w:cs="Times New Roman"/>
          <w:sz w:val="24"/>
          <w:szCs w:val="24"/>
        </w:rPr>
        <w:t xml:space="preserve"> late medieval regimens</w:t>
      </w:r>
      <w:r w:rsidR="00521217">
        <w:rPr>
          <w:rFonts w:ascii="Times New Roman" w:hAnsi="Times New Roman" w:cs="Times New Roman"/>
          <w:sz w:val="24"/>
          <w:szCs w:val="24"/>
        </w:rPr>
        <w:t>. Here</w:t>
      </w:r>
      <w:r w:rsidR="00521217" w:rsidRPr="007A08C2">
        <w:rPr>
          <w:rFonts w:ascii="Times New Roman" w:hAnsi="Times New Roman" w:cs="Times New Roman"/>
          <w:sz w:val="24"/>
          <w:szCs w:val="24"/>
        </w:rPr>
        <w:t xml:space="preserve">, the advice to correct problematic air in the domestic environment by scattering flowers and fragrant herbs on tables and floors and burning aromatic substances in fireplaces was exclusively related to periods of </w:t>
      </w:r>
      <w:r w:rsidR="00521217">
        <w:rPr>
          <w:rFonts w:ascii="Times New Roman" w:hAnsi="Times New Roman" w:cs="Times New Roman"/>
          <w:sz w:val="24"/>
          <w:szCs w:val="24"/>
        </w:rPr>
        <w:t>epidemics</w:t>
      </w:r>
      <w:r w:rsidR="00521217" w:rsidRPr="007A08C2">
        <w:rPr>
          <w:rFonts w:ascii="Times New Roman" w:hAnsi="Times New Roman" w:cs="Times New Roman"/>
          <w:sz w:val="24"/>
          <w:szCs w:val="24"/>
        </w:rPr>
        <w:t>.</w:t>
      </w:r>
      <w:r w:rsidR="00521217" w:rsidRPr="007A08C2">
        <w:rPr>
          <w:rStyle w:val="FootnoteReference"/>
          <w:rFonts w:ascii="Times New Roman" w:hAnsi="Times New Roman" w:cs="Times New Roman"/>
          <w:sz w:val="24"/>
          <w:szCs w:val="24"/>
        </w:rPr>
        <w:footnoteReference w:id="78"/>
      </w:r>
      <w:r w:rsidR="00521217" w:rsidRPr="007A08C2">
        <w:rPr>
          <w:rFonts w:ascii="Times New Roman" w:hAnsi="Times New Roman" w:cs="Times New Roman"/>
          <w:sz w:val="24"/>
          <w:szCs w:val="24"/>
        </w:rPr>
        <w:t xml:space="preserve"> A fifteenth-century regimen advises that if one must move home during the plague the new house should be kept shut to lock out the corrupted air that causes the disease, and the rooms should be fumigated the day before moving in by lighting a fire with juniper wood, oak and cypress, sprinkled with incense, myrrh and similar scents.</w:t>
      </w:r>
      <w:r w:rsidR="00521217" w:rsidRPr="007A08C2">
        <w:rPr>
          <w:rStyle w:val="FootnoteReference"/>
          <w:rFonts w:ascii="Times New Roman" w:hAnsi="Times New Roman" w:cs="Times New Roman"/>
          <w:sz w:val="24"/>
          <w:szCs w:val="24"/>
        </w:rPr>
        <w:footnoteReference w:id="79"/>
      </w:r>
      <w:r w:rsidR="00521217" w:rsidRPr="007A08C2">
        <w:rPr>
          <w:rFonts w:ascii="Times New Roman" w:hAnsi="Times New Roman" w:cs="Times New Roman"/>
          <w:sz w:val="24"/>
          <w:szCs w:val="24"/>
        </w:rPr>
        <w:t xml:space="preserve"> The target of these recommendations is clearly the pernicious air that may penetrate the house from outside; </w:t>
      </w:r>
      <w:r w:rsidR="007B6BDD" w:rsidRPr="007B6BDD">
        <w:rPr>
          <w:rFonts w:ascii="Times New Roman" w:hAnsi="Times New Roman" w:cs="Times New Roman"/>
          <w:sz w:val="24"/>
          <w:szCs w:val="24"/>
        </w:rPr>
        <w:t>moreover, a simple</w:t>
      </w:r>
      <w:r w:rsidR="00521217" w:rsidRPr="007A08C2">
        <w:rPr>
          <w:rFonts w:ascii="Times New Roman" w:hAnsi="Times New Roman" w:cs="Times New Roman"/>
          <w:sz w:val="24"/>
          <w:szCs w:val="24"/>
        </w:rPr>
        <w:t xml:space="preserve"> equation is </w:t>
      </w:r>
      <w:r w:rsidR="00521217" w:rsidRPr="007A08C2">
        <w:rPr>
          <w:rFonts w:ascii="Times New Roman" w:hAnsi="Times New Roman" w:cs="Times New Roman"/>
          <w:sz w:val="24"/>
          <w:szCs w:val="24"/>
        </w:rPr>
        <w:lastRenderedPageBreak/>
        <w:t>established in these texts between external air and infectious disease. This correspondence between the spread of practices aimed to correct the air and the appearance of plague epidemics is also confirmed by the diffusion of specific objects for this purpose, the perfume burners. The first exemplars are documented in Italy precisely in the late fourteenth century, after the Black Death</w:t>
      </w:r>
      <w:r w:rsidR="00521217">
        <w:rPr>
          <w:rFonts w:ascii="Times New Roman" w:hAnsi="Times New Roman" w:cs="Times New Roman"/>
          <w:sz w:val="24"/>
          <w:szCs w:val="24"/>
        </w:rPr>
        <w:t xml:space="preserve"> </w:t>
      </w:r>
      <w:r w:rsidR="00521217" w:rsidRPr="004E3D17">
        <w:rPr>
          <w:rFonts w:ascii="Times New Roman" w:hAnsi="Times New Roman" w:cs="Times New Roman"/>
          <w:sz w:val="24"/>
          <w:szCs w:val="24"/>
        </w:rPr>
        <w:t>(</w:t>
      </w:r>
      <w:r w:rsidR="007B6BDD" w:rsidRPr="007B6BDD">
        <w:rPr>
          <w:rFonts w:ascii="Times New Roman" w:hAnsi="Times New Roman" w:cs="Times New Roman"/>
          <w:sz w:val="24"/>
          <w:szCs w:val="24"/>
        </w:rPr>
        <w:t>fig.</w:t>
      </w:r>
      <w:r w:rsidR="00A319D3">
        <w:rPr>
          <w:rFonts w:ascii="Times New Roman" w:hAnsi="Times New Roman" w:cs="Times New Roman"/>
          <w:sz w:val="24"/>
          <w:szCs w:val="24"/>
        </w:rPr>
        <w:t>1</w:t>
      </w:r>
      <w:r w:rsidR="00521217" w:rsidRPr="004E3D17">
        <w:rPr>
          <w:rFonts w:ascii="Times New Roman" w:hAnsi="Times New Roman" w:cs="Times New Roman"/>
          <w:sz w:val="24"/>
          <w:szCs w:val="24"/>
        </w:rPr>
        <w:t>)</w:t>
      </w:r>
      <w:r w:rsidR="00521217" w:rsidRPr="007A08C2">
        <w:rPr>
          <w:rFonts w:ascii="Times New Roman" w:hAnsi="Times New Roman" w:cs="Times New Roman"/>
          <w:sz w:val="24"/>
          <w:szCs w:val="24"/>
        </w:rPr>
        <w:t>.</w:t>
      </w:r>
      <w:r w:rsidR="00521217" w:rsidRPr="007A08C2">
        <w:rPr>
          <w:rStyle w:val="FootnoteReference"/>
          <w:rFonts w:ascii="Times New Roman" w:hAnsi="Times New Roman" w:cs="Times New Roman"/>
          <w:sz w:val="24"/>
          <w:szCs w:val="24"/>
        </w:rPr>
        <w:footnoteReference w:id="80"/>
      </w:r>
      <w:r w:rsidR="00521217" w:rsidRPr="007A08C2">
        <w:rPr>
          <w:rFonts w:ascii="Times New Roman" w:hAnsi="Times New Roman" w:cs="Times New Roman"/>
          <w:sz w:val="24"/>
          <w:szCs w:val="24"/>
        </w:rPr>
        <w:t xml:space="preserve"> Perfumed essences were burned with coal in the receptacle </w:t>
      </w:r>
      <w:r w:rsidR="00EF1A0A">
        <w:rPr>
          <w:rFonts w:ascii="Times New Roman" w:hAnsi="Times New Roman" w:cs="Times New Roman"/>
          <w:sz w:val="24"/>
          <w:szCs w:val="24"/>
        </w:rPr>
        <w:t xml:space="preserve">placed </w:t>
      </w:r>
      <w:r w:rsidR="00521217" w:rsidRPr="007A08C2">
        <w:rPr>
          <w:rFonts w:ascii="Times New Roman" w:hAnsi="Times New Roman" w:cs="Times New Roman"/>
          <w:sz w:val="24"/>
          <w:szCs w:val="24"/>
        </w:rPr>
        <w:t xml:space="preserve">inside </w:t>
      </w:r>
      <w:r w:rsidR="00EF1A0A">
        <w:rPr>
          <w:rFonts w:ascii="Times New Roman" w:hAnsi="Times New Roman" w:cs="Times New Roman"/>
          <w:sz w:val="24"/>
          <w:szCs w:val="24"/>
        </w:rPr>
        <w:t xml:space="preserve">so that </w:t>
      </w:r>
      <w:r w:rsidR="00521217" w:rsidRPr="007A08C2">
        <w:rPr>
          <w:rFonts w:ascii="Times New Roman" w:hAnsi="Times New Roman" w:cs="Times New Roman"/>
          <w:sz w:val="24"/>
          <w:szCs w:val="24"/>
        </w:rPr>
        <w:t>these portable objects</w:t>
      </w:r>
      <w:r w:rsidR="00EF1A0A">
        <w:rPr>
          <w:rFonts w:ascii="Times New Roman" w:hAnsi="Times New Roman" w:cs="Times New Roman"/>
          <w:sz w:val="24"/>
          <w:szCs w:val="24"/>
        </w:rPr>
        <w:t xml:space="preserve"> </w:t>
      </w:r>
      <w:r w:rsidR="00521217" w:rsidRPr="007A08C2">
        <w:rPr>
          <w:rFonts w:ascii="Times New Roman" w:hAnsi="Times New Roman" w:cs="Times New Roman"/>
          <w:sz w:val="24"/>
          <w:szCs w:val="24"/>
        </w:rPr>
        <w:t xml:space="preserve">would </w:t>
      </w:r>
      <w:r w:rsidR="00EF1A0A">
        <w:rPr>
          <w:rFonts w:ascii="Times New Roman" w:hAnsi="Times New Roman" w:cs="Times New Roman"/>
          <w:sz w:val="24"/>
          <w:szCs w:val="24"/>
        </w:rPr>
        <w:t xml:space="preserve">then </w:t>
      </w:r>
      <w:r w:rsidR="00521217" w:rsidRPr="007A08C2">
        <w:rPr>
          <w:rFonts w:ascii="Times New Roman" w:hAnsi="Times New Roman" w:cs="Times New Roman"/>
          <w:sz w:val="24"/>
          <w:szCs w:val="24"/>
        </w:rPr>
        <w:t>release a fragrant smell through the</w:t>
      </w:r>
      <w:r w:rsidR="00EF1A0A">
        <w:rPr>
          <w:rFonts w:ascii="Times New Roman" w:hAnsi="Times New Roman" w:cs="Times New Roman"/>
          <w:sz w:val="24"/>
          <w:szCs w:val="24"/>
        </w:rPr>
        <w:t>ir</w:t>
      </w:r>
      <w:r w:rsidR="00521217" w:rsidRPr="007A08C2">
        <w:rPr>
          <w:rFonts w:ascii="Times New Roman" w:hAnsi="Times New Roman" w:cs="Times New Roman"/>
          <w:sz w:val="24"/>
          <w:szCs w:val="24"/>
        </w:rPr>
        <w:t xml:space="preserve"> perforated surface</w:t>
      </w:r>
      <w:r w:rsidR="00EF1A0A">
        <w:rPr>
          <w:rFonts w:ascii="Times New Roman" w:hAnsi="Times New Roman" w:cs="Times New Roman"/>
          <w:sz w:val="24"/>
          <w:szCs w:val="24"/>
        </w:rPr>
        <w:t>,</w:t>
      </w:r>
      <w:r w:rsidR="00521217">
        <w:rPr>
          <w:rFonts w:ascii="Times New Roman" w:hAnsi="Times New Roman" w:cs="Times New Roman"/>
          <w:sz w:val="24"/>
          <w:szCs w:val="24"/>
        </w:rPr>
        <w:t xml:space="preserve"> </w:t>
      </w:r>
      <w:r w:rsidR="00720D64">
        <w:rPr>
          <w:rFonts w:ascii="Times New Roman" w:hAnsi="Times New Roman" w:cs="Times New Roman"/>
          <w:sz w:val="24"/>
          <w:szCs w:val="24"/>
        </w:rPr>
        <w:t>which</w:t>
      </w:r>
      <w:r w:rsidR="00521217">
        <w:rPr>
          <w:rFonts w:ascii="Times New Roman" w:hAnsi="Times New Roman" w:cs="Times New Roman"/>
          <w:sz w:val="24"/>
          <w:szCs w:val="24"/>
        </w:rPr>
        <w:t xml:space="preserve"> would quickly infuse the whole room</w:t>
      </w:r>
      <w:proofErr w:type="gramStart"/>
      <w:r w:rsidR="00521217" w:rsidRPr="007A08C2">
        <w:rPr>
          <w:rFonts w:ascii="Times New Roman" w:hAnsi="Times New Roman" w:cs="Times New Roman"/>
          <w:sz w:val="24"/>
          <w:szCs w:val="24"/>
        </w:rPr>
        <w:t>.</w:t>
      </w:r>
      <w:r w:rsidR="006238F4">
        <w:rPr>
          <w:rFonts w:ascii="Times New Roman" w:hAnsi="Times New Roman" w:cs="Times New Roman"/>
          <w:b/>
          <w:sz w:val="24"/>
          <w:szCs w:val="24"/>
        </w:rPr>
        <w:t>(</w:t>
      </w:r>
      <w:proofErr w:type="gramEnd"/>
      <w:r w:rsidR="006238F4" w:rsidRPr="006238F4">
        <w:rPr>
          <w:rFonts w:ascii="Times New Roman" w:hAnsi="Times New Roman" w:cs="Times New Roman"/>
          <w:b/>
          <w:sz w:val="24"/>
          <w:szCs w:val="24"/>
        </w:rPr>
        <w:t>INSERT FIG.1</w:t>
      </w:r>
      <w:r w:rsidR="006238F4">
        <w:rPr>
          <w:rFonts w:ascii="Times New Roman" w:hAnsi="Times New Roman" w:cs="Times New Roman"/>
          <w:sz w:val="24"/>
          <w:szCs w:val="24"/>
        </w:rPr>
        <w:t xml:space="preserve"> HERE)</w:t>
      </w:r>
      <w:r w:rsidR="006238F4" w:rsidRPr="007A08C2">
        <w:rPr>
          <w:rFonts w:ascii="Times New Roman" w:hAnsi="Times New Roman" w:cs="Times New Roman"/>
          <w:sz w:val="24"/>
          <w:szCs w:val="24"/>
        </w:rPr>
        <w:t xml:space="preserve"> </w:t>
      </w:r>
      <w:r w:rsidR="006238F4">
        <w:rPr>
          <w:rFonts w:ascii="Times New Roman" w:hAnsi="Times New Roman" w:cs="Times New Roman"/>
          <w:i/>
          <w:sz w:val="24"/>
          <w:szCs w:val="24"/>
        </w:rPr>
        <w:t xml:space="preserve"> </w:t>
      </w:r>
      <w:r w:rsidR="00521217">
        <w:rPr>
          <w:rFonts w:ascii="Times New Roman" w:hAnsi="Times New Roman" w:cs="Times New Roman"/>
          <w:i/>
          <w:sz w:val="24"/>
          <w:szCs w:val="24"/>
        </w:rPr>
        <w:t xml:space="preserve"> </w:t>
      </w:r>
    </w:p>
    <w:p w:rsidR="00521217" w:rsidRDefault="00521217" w:rsidP="005212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A08C2">
        <w:rPr>
          <w:rFonts w:ascii="Times New Roman" w:hAnsi="Times New Roman" w:cs="Times New Roman"/>
          <w:sz w:val="24"/>
          <w:szCs w:val="24"/>
        </w:rPr>
        <w:t>Later on however, the use of aromatic substances to maintain the ambient air salubrious is no longer related to outb</w:t>
      </w:r>
      <w:r w:rsidR="00317556">
        <w:rPr>
          <w:rFonts w:ascii="Times New Roman" w:hAnsi="Times New Roman" w:cs="Times New Roman"/>
          <w:sz w:val="24"/>
          <w:szCs w:val="24"/>
        </w:rPr>
        <w:t>reaks</w:t>
      </w:r>
      <w:r w:rsidRPr="007A08C2">
        <w:rPr>
          <w:rFonts w:ascii="Times New Roman" w:hAnsi="Times New Roman" w:cs="Times New Roman"/>
          <w:sz w:val="24"/>
          <w:szCs w:val="24"/>
        </w:rPr>
        <w:t xml:space="preserve"> of plague. In the second half of the sixteenth century, regimens recommend the use of scented substances in relation to certain times of </w:t>
      </w:r>
      <w:r>
        <w:rPr>
          <w:rFonts w:ascii="Times New Roman" w:hAnsi="Times New Roman" w:cs="Times New Roman"/>
          <w:sz w:val="24"/>
          <w:szCs w:val="24"/>
        </w:rPr>
        <w:t xml:space="preserve">the </w:t>
      </w:r>
      <w:r w:rsidRPr="007A08C2">
        <w:rPr>
          <w:rFonts w:ascii="Times New Roman" w:hAnsi="Times New Roman" w:cs="Times New Roman"/>
          <w:sz w:val="24"/>
          <w:szCs w:val="24"/>
        </w:rPr>
        <w:t>year or day rather than when the area is affected by the plague.  Moreover, the purpose of the practice has change</w:t>
      </w:r>
      <w:r w:rsidR="00317556">
        <w:rPr>
          <w:rFonts w:ascii="Times New Roman" w:hAnsi="Times New Roman" w:cs="Times New Roman"/>
          <w:sz w:val="24"/>
          <w:szCs w:val="24"/>
        </w:rPr>
        <w:t xml:space="preserve">d. It </w:t>
      </w:r>
      <w:r w:rsidRPr="007A08C2">
        <w:rPr>
          <w:rFonts w:ascii="Times New Roman" w:hAnsi="Times New Roman" w:cs="Times New Roman"/>
          <w:sz w:val="24"/>
          <w:szCs w:val="24"/>
        </w:rPr>
        <w:t>no longer target</w:t>
      </w:r>
      <w:r w:rsidR="00317556">
        <w:rPr>
          <w:rFonts w:ascii="Times New Roman" w:hAnsi="Times New Roman" w:cs="Times New Roman"/>
          <w:sz w:val="24"/>
          <w:szCs w:val="24"/>
        </w:rPr>
        <w:t>s</w:t>
      </w:r>
      <w:r w:rsidRPr="007A08C2">
        <w:rPr>
          <w:rFonts w:ascii="Times New Roman" w:hAnsi="Times New Roman" w:cs="Times New Roman"/>
          <w:sz w:val="24"/>
          <w:szCs w:val="24"/>
        </w:rPr>
        <w:t xml:space="preserve"> pestilential, infected air but simply air whose </w:t>
      </w:r>
      <w:proofErr w:type="spellStart"/>
      <w:r w:rsidR="007B6BDD" w:rsidRPr="007B6BDD">
        <w:rPr>
          <w:rFonts w:ascii="Times New Roman" w:hAnsi="Times New Roman" w:cs="Times New Roman"/>
          <w:sz w:val="24"/>
          <w:szCs w:val="24"/>
        </w:rPr>
        <w:t>humo</w:t>
      </w:r>
      <w:r w:rsidR="00BE2387">
        <w:rPr>
          <w:rFonts w:ascii="Times New Roman" w:hAnsi="Times New Roman" w:cs="Times New Roman"/>
          <w:sz w:val="24"/>
          <w:szCs w:val="24"/>
        </w:rPr>
        <w:t>u</w:t>
      </w:r>
      <w:r w:rsidR="007B6BDD" w:rsidRPr="007B6BDD">
        <w:rPr>
          <w:rFonts w:ascii="Times New Roman" w:hAnsi="Times New Roman" w:cs="Times New Roman"/>
          <w:sz w:val="24"/>
          <w:szCs w:val="24"/>
        </w:rPr>
        <w:t>ral</w:t>
      </w:r>
      <w:proofErr w:type="spellEnd"/>
      <w:r w:rsidR="007B6BDD" w:rsidRPr="007B6BDD">
        <w:rPr>
          <w:rFonts w:ascii="Times New Roman" w:hAnsi="Times New Roman" w:cs="Times New Roman"/>
          <w:sz w:val="24"/>
          <w:szCs w:val="24"/>
        </w:rPr>
        <w:t xml:space="preserve"> composition is unbalanced</w:t>
      </w:r>
      <w:r w:rsidRPr="007A08C2">
        <w:rPr>
          <w:rFonts w:ascii="Times New Roman" w:hAnsi="Times New Roman" w:cs="Times New Roman"/>
          <w:sz w:val="24"/>
          <w:szCs w:val="24"/>
        </w:rPr>
        <w:t xml:space="preserve">; there is a new attention to the </w:t>
      </w:r>
      <w:proofErr w:type="spellStart"/>
      <w:r w:rsidRPr="007A08C2">
        <w:rPr>
          <w:rFonts w:ascii="Times New Roman" w:hAnsi="Times New Roman" w:cs="Times New Roman"/>
          <w:sz w:val="24"/>
          <w:szCs w:val="24"/>
        </w:rPr>
        <w:t>humoural</w:t>
      </w:r>
      <w:proofErr w:type="spellEnd"/>
      <w:r w:rsidRPr="007A08C2">
        <w:rPr>
          <w:rFonts w:ascii="Times New Roman" w:hAnsi="Times New Roman" w:cs="Times New Roman"/>
          <w:sz w:val="24"/>
          <w:szCs w:val="24"/>
        </w:rPr>
        <w:t xml:space="preserve"> characteristics of air which is in turn related to the season. For example</w:t>
      </w:r>
      <w:r>
        <w:rPr>
          <w:rFonts w:ascii="Times New Roman" w:hAnsi="Times New Roman" w:cs="Times New Roman"/>
          <w:sz w:val="24"/>
          <w:szCs w:val="24"/>
        </w:rPr>
        <w:t>,</w:t>
      </w:r>
      <w:r w:rsidRPr="007A08C2">
        <w:rPr>
          <w:rFonts w:ascii="Times New Roman" w:hAnsi="Times New Roman" w:cs="Times New Roman"/>
          <w:sz w:val="24"/>
          <w:szCs w:val="24"/>
        </w:rPr>
        <w:t xml:space="preserve"> a regimen dated 1586 suggests that: ‘when the air exceeds in any qualities it should be rectified by the contrary [qualities] ... hence if it is too hot and during the summer one should sprinkle the house with cool water and</w:t>
      </w:r>
      <w:r>
        <w:rPr>
          <w:rFonts w:ascii="Times New Roman" w:hAnsi="Times New Roman" w:cs="Times New Roman"/>
          <w:sz w:val="24"/>
          <w:szCs w:val="24"/>
        </w:rPr>
        <w:t xml:space="preserve"> </w:t>
      </w:r>
      <w:r w:rsidRPr="007A08C2">
        <w:rPr>
          <w:rFonts w:ascii="Times New Roman" w:hAnsi="Times New Roman" w:cs="Times New Roman"/>
          <w:sz w:val="24"/>
          <w:szCs w:val="24"/>
        </w:rPr>
        <w:t>vinegar, since vinegar by being cold and dry contrasts the bad vapours in the air and prevents putrefaction’.</w:t>
      </w:r>
      <w:r w:rsidRPr="007A08C2">
        <w:rPr>
          <w:rStyle w:val="FootnoteReference"/>
          <w:rFonts w:ascii="Times New Roman" w:hAnsi="Times New Roman" w:cs="Times New Roman"/>
          <w:sz w:val="24"/>
          <w:szCs w:val="24"/>
        </w:rPr>
        <w:footnoteReference w:id="81"/>
      </w:r>
      <w:r w:rsidRPr="007A08C2">
        <w:rPr>
          <w:rFonts w:ascii="Times New Roman" w:hAnsi="Times New Roman" w:cs="Times New Roman"/>
          <w:sz w:val="24"/>
          <w:szCs w:val="24"/>
        </w:rPr>
        <w:t xml:space="preserve"> </w:t>
      </w:r>
      <w:r>
        <w:rPr>
          <w:rFonts w:ascii="Times New Roman" w:hAnsi="Times New Roman" w:cs="Times New Roman"/>
          <w:sz w:val="24"/>
          <w:szCs w:val="24"/>
        </w:rPr>
        <w:t>Conversely</w:t>
      </w:r>
      <w:r w:rsidRPr="007A08C2">
        <w:rPr>
          <w:rFonts w:ascii="Times New Roman" w:hAnsi="Times New Roman" w:cs="Times New Roman"/>
          <w:sz w:val="24"/>
          <w:szCs w:val="24"/>
        </w:rPr>
        <w:t xml:space="preserve">, if the air is too cold, herbs with a hot </w:t>
      </w:r>
      <w:proofErr w:type="spellStart"/>
      <w:r w:rsidRPr="007A08C2">
        <w:rPr>
          <w:rFonts w:ascii="Times New Roman" w:hAnsi="Times New Roman" w:cs="Times New Roman"/>
          <w:sz w:val="24"/>
          <w:szCs w:val="24"/>
        </w:rPr>
        <w:t>humoural</w:t>
      </w:r>
      <w:proofErr w:type="spellEnd"/>
      <w:r w:rsidRPr="007A08C2">
        <w:rPr>
          <w:rFonts w:ascii="Times New Roman" w:hAnsi="Times New Roman" w:cs="Times New Roman"/>
          <w:sz w:val="24"/>
          <w:szCs w:val="24"/>
        </w:rPr>
        <w:t xml:space="preserve"> composition, such as mint, sage, laurel, rosemary and marjoram will be spread in the rooms, or will be sprinkled in form of decoction. </w:t>
      </w:r>
      <w:r>
        <w:rPr>
          <w:rFonts w:ascii="Times New Roman" w:hAnsi="Times New Roman" w:cs="Times New Roman"/>
          <w:sz w:val="24"/>
          <w:szCs w:val="24"/>
        </w:rPr>
        <w:t xml:space="preserve"> </w:t>
      </w:r>
      <w:r>
        <w:rPr>
          <w:rStyle w:val="FootnoteReference"/>
          <w:rFonts w:ascii="Times New Roman" w:hAnsi="Times New Roman" w:cs="Times New Roman"/>
          <w:sz w:val="24"/>
          <w:szCs w:val="24"/>
        </w:rPr>
        <w:t xml:space="preserve"> </w:t>
      </w:r>
      <w:r w:rsidRPr="005B211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1217" w:rsidRDefault="00521217" w:rsidP="0052121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Pr="007A08C2">
        <w:rPr>
          <w:rFonts w:ascii="Times New Roman" w:hAnsi="Times New Roman" w:cs="Times New Roman"/>
          <w:sz w:val="24"/>
          <w:szCs w:val="24"/>
        </w:rPr>
        <w:t>Clearly,</w:t>
      </w:r>
      <w:r>
        <w:rPr>
          <w:rFonts w:ascii="Times New Roman" w:hAnsi="Times New Roman" w:cs="Times New Roman"/>
          <w:sz w:val="24"/>
          <w:szCs w:val="24"/>
        </w:rPr>
        <w:t xml:space="preserve"> </w:t>
      </w:r>
      <w:r w:rsidRPr="007A08C2">
        <w:rPr>
          <w:rFonts w:ascii="Times New Roman" w:hAnsi="Times New Roman" w:cs="Times New Roman"/>
          <w:sz w:val="24"/>
          <w:szCs w:val="24"/>
        </w:rPr>
        <w:t>these substances are no longer meant to counter air infected with disease</w:t>
      </w:r>
      <w:r>
        <w:rPr>
          <w:rFonts w:ascii="Times New Roman" w:hAnsi="Times New Roman" w:cs="Times New Roman"/>
          <w:sz w:val="24"/>
          <w:szCs w:val="24"/>
        </w:rPr>
        <w:t xml:space="preserve"> </w:t>
      </w:r>
      <w:r w:rsidRPr="007A08C2">
        <w:rPr>
          <w:rFonts w:ascii="Times New Roman" w:hAnsi="Times New Roman" w:cs="Times New Roman"/>
          <w:sz w:val="24"/>
          <w:szCs w:val="24"/>
        </w:rPr>
        <w:t xml:space="preserve">but air that is dangerous to the body on account of its </w:t>
      </w:r>
      <w:proofErr w:type="spellStart"/>
      <w:r w:rsidRPr="007A08C2">
        <w:rPr>
          <w:rFonts w:ascii="Times New Roman" w:hAnsi="Times New Roman" w:cs="Times New Roman"/>
          <w:sz w:val="24"/>
          <w:szCs w:val="24"/>
        </w:rPr>
        <w:t>humoural</w:t>
      </w:r>
      <w:proofErr w:type="spellEnd"/>
      <w:r w:rsidRPr="007A08C2">
        <w:rPr>
          <w:rFonts w:ascii="Times New Roman" w:hAnsi="Times New Roman" w:cs="Times New Roman"/>
          <w:sz w:val="24"/>
          <w:szCs w:val="24"/>
        </w:rPr>
        <w:t xml:space="preserve"> qualities, which are now conflated with its physical, and perceivable qualities: dampness or low or high temperature. </w:t>
      </w:r>
      <w:r>
        <w:rPr>
          <w:rFonts w:ascii="Times New Roman" w:hAnsi="Times New Roman" w:cs="Times New Roman"/>
          <w:sz w:val="24"/>
          <w:szCs w:val="24"/>
        </w:rPr>
        <w:t>A second notable point is</w:t>
      </w:r>
      <w:r w:rsidRPr="007A78EB">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7B6BDD" w:rsidRPr="007B6BDD">
        <w:rPr>
          <w:rFonts w:ascii="Times New Roman" w:hAnsi="Times New Roman" w:cs="Times New Roman"/>
          <w:sz w:val="24"/>
          <w:szCs w:val="24"/>
          <w:u w:val="single"/>
        </w:rPr>
        <w:t>specific</w:t>
      </w:r>
      <w:r w:rsidRPr="007A08C2">
        <w:rPr>
          <w:rFonts w:ascii="Times New Roman" w:hAnsi="Times New Roman" w:cs="Times New Roman"/>
          <w:sz w:val="24"/>
          <w:szCs w:val="24"/>
        </w:rPr>
        <w:t xml:space="preserve"> fragrances are recommended in different seasons and for different types of air</w:t>
      </w:r>
      <w:r w:rsidR="003B63E1">
        <w:rPr>
          <w:rFonts w:ascii="Times New Roman" w:hAnsi="Times New Roman" w:cs="Times New Roman"/>
          <w:sz w:val="24"/>
          <w:szCs w:val="24"/>
        </w:rPr>
        <w:t>.</w:t>
      </w:r>
      <w:r>
        <w:rPr>
          <w:rFonts w:ascii="Times New Roman" w:hAnsi="Times New Roman" w:cs="Times New Roman"/>
          <w:sz w:val="24"/>
          <w:szCs w:val="24"/>
        </w:rPr>
        <w:t xml:space="preserve"> </w:t>
      </w:r>
      <w:r w:rsidR="00BE2387">
        <w:rPr>
          <w:rFonts w:ascii="Times New Roman" w:hAnsi="Times New Roman" w:cs="Times New Roman"/>
          <w:sz w:val="24"/>
          <w:szCs w:val="24"/>
        </w:rPr>
        <w:t>T</w:t>
      </w:r>
      <w:r>
        <w:rPr>
          <w:rFonts w:ascii="Times New Roman" w:hAnsi="Times New Roman" w:cs="Times New Roman"/>
          <w:sz w:val="24"/>
          <w:szCs w:val="24"/>
        </w:rPr>
        <w:t>he corrective power of scent does not derive</w:t>
      </w:r>
      <w:r w:rsidRPr="007A08C2">
        <w:rPr>
          <w:rFonts w:ascii="Times New Roman" w:hAnsi="Times New Roman" w:cs="Times New Roman"/>
          <w:sz w:val="24"/>
          <w:szCs w:val="24"/>
        </w:rPr>
        <w:t xml:space="preserve"> simply </w:t>
      </w:r>
      <w:r>
        <w:rPr>
          <w:rFonts w:ascii="Times New Roman" w:hAnsi="Times New Roman" w:cs="Times New Roman"/>
          <w:sz w:val="24"/>
          <w:szCs w:val="24"/>
        </w:rPr>
        <w:t>from it being sweet to the nose</w:t>
      </w:r>
      <w:r w:rsidR="003B63E1">
        <w:rPr>
          <w:rFonts w:ascii="Times New Roman" w:hAnsi="Times New Roman" w:cs="Times New Roman"/>
          <w:sz w:val="24"/>
          <w:szCs w:val="24"/>
        </w:rPr>
        <w:t>,</w:t>
      </w:r>
      <w:r>
        <w:rPr>
          <w:rFonts w:ascii="Times New Roman" w:hAnsi="Times New Roman" w:cs="Times New Roman"/>
          <w:sz w:val="24"/>
          <w:szCs w:val="24"/>
        </w:rPr>
        <w:t xml:space="preserve"> </w:t>
      </w:r>
      <w:r w:rsidRPr="007A08C2">
        <w:rPr>
          <w:rFonts w:ascii="Times New Roman" w:hAnsi="Times New Roman" w:cs="Times New Roman"/>
          <w:sz w:val="24"/>
          <w:szCs w:val="24"/>
        </w:rPr>
        <w:t xml:space="preserve">as </w:t>
      </w:r>
      <w:r>
        <w:rPr>
          <w:rFonts w:ascii="Times New Roman" w:hAnsi="Times New Roman" w:cs="Times New Roman"/>
          <w:sz w:val="24"/>
          <w:szCs w:val="24"/>
        </w:rPr>
        <w:t xml:space="preserve">implicitly </w:t>
      </w:r>
      <w:r w:rsidRPr="007A08C2">
        <w:rPr>
          <w:rFonts w:ascii="Times New Roman" w:hAnsi="Times New Roman" w:cs="Times New Roman"/>
          <w:sz w:val="24"/>
          <w:szCs w:val="24"/>
        </w:rPr>
        <w:t>assumed by previous studies, wh</w:t>
      </w:r>
      <w:r>
        <w:rPr>
          <w:rFonts w:ascii="Times New Roman" w:hAnsi="Times New Roman" w:cs="Times New Roman"/>
          <w:sz w:val="24"/>
          <w:szCs w:val="24"/>
        </w:rPr>
        <w:t>ich</w:t>
      </w:r>
      <w:r w:rsidRPr="007A08C2">
        <w:rPr>
          <w:rFonts w:ascii="Times New Roman" w:hAnsi="Times New Roman" w:cs="Times New Roman"/>
          <w:sz w:val="24"/>
          <w:szCs w:val="24"/>
        </w:rPr>
        <w:t xml:space="preserve"> </w:t>
      </w:r>
      <w:r w:rsidR="00EF1A0A">
        <w:rPr>
          <w:rFonts w:ascii="Times New Roman" w:hAnsi="Times New Roman" w:cs="Times New Roman"/>
          <w:sz w:val="24"/>
          <w:szCs w:val="24"/>
        </w:rPr>
        <w:t xml:space="preserve">limit themselves to </w:t>
      </w:r>
      <w:r w:rsidR="00BE2387">
        <w:rPr>
          <w:rFonts w:ascii="Times New Roman" w:hAnsi="Times New Roman" w:cs="Times New Roman"/>
          <w:sz w:val="24"/>
          <w:szCs w:val="24"/>
        </w:rPr>
        <w:t>comment on the pleasant or pungent character of scented substances</w:t>
      </w:r>
      <w:r w:rsidR="00EF1A0A">
        <w:rPr>
          <w:rFonts w:ascii="Times New Roman" w:hAnsi="Times New Roman" w:cs="Times New Roman"/>
          <w:sz w:val="24"/>
          <w:szCs w:val="24"/>
        </w:rPr>
        <w:t>;</w:t>
      </w:r>
      <w:r w:rsidR="00BE2387">
        <w:rPr>
          <w:rFonts w:ascii="Times New Roman" w:hAnsi="Times New Roman" w:cs="Times New Roman"/>
          <w:sz w:val="24"/>
          <w:szCs w:val="24"/>
        </w:rPr>
        <w:t xml:space="preserve"> </w:t>
      </w:r>
      <w:r w:rsidR="00345BFB">
        <w:rPr>
          <w:rFonts w:ascii="Times New Roman" w:hAnsi="Times New Roman" w:cs="Times New Roman"/>
          <w:sz w:val="24"/>
          <w:szCs w:val="24"/>
        </w:rPr>
        <w:t xml:space="preserve">rather, </w:t>
      </w:r>
      <w:r>
        <w:rPr>
          <w:rFonts w:ascii="Times New Roman" w:hAnsi="Times New Roman" w:cs="Times New Roman"/>
          <w:sz w:val="24"/>
          <w:szCs w:val="24"/>
        </w:rPr>
        <w:t xml:space="preserve">aromas are </w:t>
      </w:r>
      <w:r w:rsidR="003B63E1">
        <w:rPr>
          <w:rFonts w:ascii="Times New Roman" w:hAnsi="Times New Roman" w:cs="Times New Roman"/>
          <w:sz w:val="24"/>
          <w:szCs w:val="24"/>
        </w:rPr>
        <w:lastRenderedPageBreak/>
        <w:t>understood</w:t>
      </w:r>
      <w:r>
        <w:rPr>
          <w:rFonts w:ascii="Times New Roman" w:hAnsi="Times New Roman" w:cs="Times New Roman"/>
          <w:sz w:val="24"/>
          <w:szCs w:val="24"/>
        </w:rPr>
        <w:t xml:space="preserve"> to </w:t>
      </w:r>
      <w:r w:rsidRPr="007A08C2">
        <w:rPr>
          <w:rFonts w:ascii="Times New Roman" w:hAnsi="Times New Roman" w:cs="Times New Roman"/>
          <w:sz w:val="24"/>
          <w:szCs w:val="24"/>
        </w:rPr>
        <w:t>rectif</w:t>
      </w:r>
      <w:r>
        <w:rPr>
          <w:rFonts w:ascii="Times New Roman" w:hAnsi="Times New Roman" w:cs="Times New Roman"/>
          <w:sz w:val="24"/>
          <w:szCs w:val="24"/>
        </w:rPr>
        <w:t>y</w:t>
      </w:r>
      <w:r w:rsidRPr="007A08C2">
        <w:rPr>
          <w:rFonts w:ascii="Times New Roman" w:hAnsi="Times New Roman" w:cs="Times New Roman"/>
          <w:sz w:val="24"/>
          <w:szCs w:val="24"/>
        </w:rPr>
        <w:t xml:space="preserve"> the air </w:t>
      </w:r>
      <w:r>
        <w:rPr>
          <w:rFonts w:ascii="Times New Roman" w:hAnsi="Times New Roman" w:cs="Times New Roman"/>
          <w:sz w:val="24"/>
          <w:szCs w:val="24"/>
        </w:rPr>
        <w:t xml:space="preserve">on account of their </w:t>
      </w:r>
      <w:proofErr w:type="spellStart"/>
      <w:r>
        <w:rPr>
          <w:rFonts w:ascii="Times New Roman" w:hAnsi="Times New Roman" w:cs="Times New Roman"/>
          <w:sz w:val="24"/>
          <w:szCs w:val="24"/>
        </w:rPr>
        <w:t>humoural</w:t>
      </w:r>
      <w:proofErr w:type="spellEnd"/>
      <w:r>
        <w:rPr>
          <w:rFonts w:ascii="Times New Roman" w:hAnsi="Times New Roman" w:cs="Times New Roman"/>
          <w:sz w:val="24"/>
          <w:szCs w:val="24"/>
        </w:rPr>
        <w:t xml:space="preserve"> make-up</w:t>
      </w:r>
      <w:r w:rsidR="00EF1A0A">
        <w:rPr>
          <w:rFonts w:ascii="Times New Roman" w:hAnsi="Times New Roman" w:cs="Times New Roman"/>
          <w:sz w:val="24"/>
          <w:szCs w:val="24"/>
        </w:rPr>
        <w:t>, an aspect ignored by scholars</w:t>
      </w:r>
      <w:r w:rsidRPr="007A08C2">
        <w:rPr>
          <w:rFonts w:ascii="Times New Roman" w:hAnsi="Times New Roman" w:cs="Times New Roman"/>
          <w:sz w:val="24"/>
          <w:szCs w:val="24"/>
        </w:rPr>
        <w:t>.</w:t>
      </w:r>
      <w:r w:rsidRPr="007A08C2">
        <w:rPr>
          <w:rStyle w:val="FootnoteReference"/>
          <w:rFonts w:ascii="Times New Roman" w:hAnsi="Times New Roman" w:cs="Times New Roman"/>
          <w:sz w:val="24"/>
          <w:szCs w:val="24"/>
        </w:rPr>
        <w:footnoteReference w:id="82"/>
      </w:r>
      <w:r w:rsidRPr="007A08C2">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521217" w:rsidRDefault="00521217" w:rsidP="00874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w:t>
      </w:r>
      <w:r w:rsidRPr="009B3C19">
        <w:rPr>
          <w:rFonts w:ascii="Times New Roman" w:hAnsi="Times New Roman" w:cs="Times New Roman"/>
          <w:sz w:val="24"/>
          <w:szCs w:val="24"/>
        </w:rPr>
        <w:t xml:space="preserve">tendency to differentiate scents </w:t>
      </w:r>
      <w:r>
        <w:rPr>
          <w:rFonts w:ascii="Times New Roman" w:hAnsi="Times New Roman" w:cs="Times New Roman"/>
          <w:sz w:val="24"/>
          <w:szCs w:val="24"/>
        </w:rPr>
        <w:t>on the basis of</w:t>
      </w:r>
      <w:r w:rsidRPr="009B3C19">
        <w:rPr>
          <w:rFonts w:ascii="Times New Roman" w:hAnsi="Times New Roman" w:cs="Times New Roman"/>
          <w:sz w:val="24"/>
          <w:szCs w:val="24"/>
        </w:rPr>
        <w:t xml:space="preserve"> their </w:t>
      </w:r>
      <w:r w:rsidR="00BB1775">
        <w:rPr>
          <w:rFonts w:ascii="Times New Roman" w:hAnsi="Times New Roman" w:cs="Times New Roman"/>
          <w:sz w:val="24"/>
          <w:szCs w:val="24"/>
        </w:rPr>
        <w:t>constitution and related</w:t>
      </w:r>
      <w:r w:rsidRPr="009B3C19">
        <w:rPr>
          <w:rFonts w:ascii="Times New Roman" w:hAnsi="Times New Roman" w:cs="Times New Roman"/>
          <w:sz w:val="24"/>
          <w:szCs w:val="24"/>
        </w:rPr>
        <w:t xml:space="preserve"> healing and preventive powers</w:t>
      </w:r>
      <w:r>
        <w:rPr>
          <w:rFonts w:ascii="Times New Roman" w:hAnsi="Times New Roman" w:cs="Times New Roman"/>
          <w:sz w:val="24"/>
          <w:szCs w:val="24"/>
        </w:rPr>
        <w:t xml:space="preserve"> was likely to have been stimulated by the dissemination of knowledge about the properties of plants made possible by the introduction of print. Herbals</w:t>
      </w:r>
      <w:r w:rsidR="003B63E1">
        <w:rPr>
          <w:rFonts w:ascii="Times New Roman" w:hAnsi="Times New Roman" w:cs="Times New Roman"/>
          <w:sz w:val="24"/>
          <w:szCs w:val="24"/>
        </w:rPr>
        <w:t>,</w:t>
      </w:r>
      <w:r>
        <w:rPr>
          <w:rFonts w:ascii="Times New Roman" w:hAnsi="Times New Roman" w:cs="Times New Roman"/>
          <w:sz w:val="24"/>
          <w:szCs w:val="24"/>
        </w:rPr>
        <w:t xml:space="preserve"> which </w:t>
      </w:r>
      <w:r w:rsidR="003B63E1">
        <w:rPr>
          <w:rFonts w:ascii="Times New Roman" w:hAnsi="Times New Roman" w:cs="Times New Roman"/>
          <w:sz w:val="24"/>
          <w:szCs w:val="24"/>
        </w:rPr>
        <w:t xml:space="preserve">for the first time </w:t>
      </w:r>
      <w:r>
        <w:rPr>
          <w:rFonts w:ascii="Times New Roman" w:hAnsi="Times New Roman" w:cs="Times New Roman"/>
          <w:sz w:val="24"/>
          <w:szCs w:val="24"/>
        </w:rPr>
        <w:t xml:space="preserve">presented </w:t>
      </w:r>
      <w:r w:rsidR="003B63E1">
        <w:rPr>
          <w:rFonts w:ascii="Times New Roman" w:hAnsi="Times New Roman" w:cs="Times New Roman"/>
          <w:sz w:val="24"/>
          <w:szCs w:val="24"/>
        </w:rPr>
        <w:t xml:space="preserve">faithful representations of plants and </w:t>
      </w:r>
      <w:r>
        <w:rPr>
          <w:rFonts w:ascii="Times New Roman" w:hAnsi="Times New Roman" w:cs="Times New Roman"/>
          <w:sz w:val="24"/>
          <w:szCs w:val="24"/>
        </w:rPr>
        <w:t>far more detailed descriptions of the</w:t>
      </w:r>
      <w:r w:rsidR="003B63E1">
        <w:rPr>
          <w:rFonts w:ascii="Times New Roman" w:hAnsi="Times New Roman" w:cs="Times New Roman"/>
          <w:sz w:val="24"/>
          <w:szCs w:val="24"/>
        </w:rPr>
        <w:t>ir</w:t>
      </w:r>
      <w:r w:rsidR="00BB1775">
        <w:rPr>
          <w:rFonts w:ascii="Times New Roman" w:hAnsi="Times New Roman" w:cs="Times New Roman"/>
          <w:sz w:val="24"/>
          <w:szCs w:val="24"/>
        </w:rPr>
        <w:t xml:space="preserve"> </w:t>
      </w:r>
      <w:proofErr w:type="spellStart"/>
      <w:r w:rsidR="00BB1775">
        <w:rPr>
          <w:rFonts w:ascii="Times New Roman" w:hAnsi="Times New Roman" w:cs="Times New Roman"/>
          <w:sz w:val="24"/>
          <w:szCs w:val="24"/>
        </w:rPr>
        <w:t>humoural</w:t>
      </w:r>
      <w:proofErr w:type="spellEnd"/>
      <w:r w:rsidR="00BB1775">
        <w:rPr>
          <w:rFonts w:ascii="Times New Roman" w:hAnsi="Times New Roman" w:cs="Times New Roman"/>
          <w:sz w:val="24"/>
          <w:szCs w:val="24"/>
        </w:rPr>
        <w:t xml:space="preserve"> attributes</w:t>
      </w:r>
      <w:r>
        <w:rPr>
          <w:rFonts w:ascii="Times New Roman" w:hAnsi="Times New Roman" w:cs="Times New Roman"/>
          <w:sz w:val="24"/>
          <w:szCs w:val="24"/>
        </w:rPr>
        <w:t xml:space="preserve"> than their medieval predecessors, became a publishing success in the sixteenth century.</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The most accomplished example of this trend was precisely an Italian herbal, </w:t>
      </w:r>
      <w:proofErr w:type="spellStart"/>
      <w:r>
        <w:rPr>
          <w:rFonts w:ascii="Times New Roman" w:hAnsi="Times New Roman" w:cs="Times New Roman"/>
          <w:sz w:val="24"/>
          <w:szCs w:val="24"/>
        </w:rPr>
        <w:t>Mattioli’s</w:t>
      </w:r>
      <w:proofErr w:type="spellEnd"/>
      <w:r>
        <w:rPr>
          <w:rFonts w:ascii="Times New Roman" w:hAnsi="Times New Roman" w:cs="Times New Roman"/>
          <w:sz w:val="24"/>
          <w:szCs w:val="24"/>
        </w:rPr>
        <w:t xml:space="preserve"> commentaries to </w:t>
      </w:r>
      <w:proofErr w:type="spellStart"/>
      <w:r>
        <w:rPr>
          <w:rFonts w:ascii="Times New Roman" w:hAnsi="Times New Roman" w:cs="Times New Roman"/>
          <w:sz w:val="24"/>
          <w:szCs w:val="24"/>
        </w:rPr>
        <w:t>Dioscorides</w:t>
      </w:r>
      <w:proofErr w:type="spellEnd"/>
      <w:r>
        <w:rPr>
          <w:rFonts w:ascii="Times New Roman" w:hAnsi="Times New Roman" w:cs="Times New Roman"/>
          <w:sz w:val="24"/>
          <w:szCs w:val="24"/>
        </w:rPr>
        <w:t>, a text which underwent 16 editions just during the life time of the author and enjoyed unusually large print runs.</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It is plausible that these highly accessible texts</w:t>
      </w:r>
      <w:r w:rsidRPr="003C658A">
        <w:rPr>
          <w:rFonts w:ascii="Times New Roman" w:hAnsi="Times New Roman" w:cs="Times New Roman"/>
          <w:sz w:val="24"/>
          <w:szCs w:val="24"/>
        </w:rPr>
        <w:t xml:space="preserve"> </w:t>
      </w:r>
      <w:r>
        <w:rPr>
          <w:rFonts w:ascii="Times New Roman" w:hAnsi="Times New Roman" w:cs="Times New Roman"/>
          <w:sz w:val="24"/>
          <w:szCs w:val="24"/>
        </w:rPr>
        <w:t xml:space="preserve">made people more aware of the practical usage to which plants could be put and more capable of employing them in their daily life to redress the </w:t>
      </w:r>
      <w:proofErr w:type="spellStart"/>
      <w:r>
        <w:rPr>
          <w:rFonts w:ascii="Times New Roman" w:hAnsi="Times New Roman" w:cs="Times New Roman"/>
          <w:sz w:val="24"/>
          <w:szCs w:val="24"/>
        </w:rPr>
        <w:t>humoural</w:t>
      </w:r>
      <w:proofErr w:type="spellEnd"/>
      <w:r>
        <w:rPr>
          <w:rFonts w:ascii="Times New Roman" w:hAnsi="Times New Roman" w:cs="Times New Roman"/>
          <w:sz w:val="24"/>
          <w:szCs w:val="24"/>
        </w:rPr>
        <w:t xml:space="preserve"> balance</w:t>
      </w:r>
      <w:r w:rsidR="003B63E1">
        <w:rPr>
          <w:rFonts w:ascii="Times New Roman" w:hAnsi="Times New Roman" w:cs="Times New Roman"/>
          <w:sz w:val="24"/>
          <w:szCs w:val="24"/>
        </w:rPr>
        <w:t>,</w:t>
      </w:r>
      <w:r>
        <w:rPr>
          <w:rFonts w:ascii="Times New Roman" w:hAnsi="Times New Roman" w:cs="Times New Roman"/>
          <w:sz w:val="24"/>
          <w:szCs w:val="24"/>
        </w:rPr>
        <w:t xml:space="preserve"> not just of the  body</w:t>
      </w:r>
      <w:r w:rsidR="003B63E1">
        <w:rPr>
          <w:rFonts w:ascii="Times New Roman" w:hAnsi="Times New Roman" w:cs="Times New Roman"/>
          <w:sz w:val="24"/>
          <w:szCs w:val="24"/>
        </w:rPr>
        <w:t>,</w:t>
      </w:r>
      <w:r>
        <w:rPr>
          <w:rFonts w:ascii="Times New Roman" w:hAnsi="Times New Roman" w:cs="Times New Roman"/>
          <w:sz w:val="24"/>
          <w:szCs w:val="24"/>
        </w:rPr>
        <w:t xml:space="preserve"> but of the surrounding air.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F67707" w:rsidRDefault="00521217">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6216E8">
        <w:rPr>
          <w:rFonts w:ascii="Times New Roman" w:hAnsi="Times New Roman" w:cs="Times New Roman"/>
          <w:sz w:val="24"/>
          <w:szCs w:val="24"/>
        </w:rPr>
        <w:t xml:space="preserve"> </w:t>
      </w:r>
    </w:p>
    <w:p w:rsidR="00F67707" w:rsidRDefault="007B6BDD">
      <w:pPr>
        <w:pStyle w:val="ListParagraph"/>
        <w:numPr>
          <w:ilvl w:val="0"/>
          <w:numId w:val="1"/>
        </w:numPr>
        <w:spacing w:after="0" w:line="360" w:lineRule="auto"/>
        <w:jc w:val="both"/>
        <w:rPr>
          <w:rFonts w:ascii="Times New Roman" w:hAnsi="Times New Roman" w:cs="Times New Roman"/>
          <w:sz w:val="24"/>
          <w:szCs w:val="24"/>
        </w:rPr>
      </w:pPr>
      <w:r w:rsidRPr="007B6BDD">
        <w:rPr>
          <w:rFonts w:ascii="Times New Roman" w:hAnsi="Times New Roman" w:cs="Times New Roman"/>
          <w:sz w:val="24"/>
          <w:szCs w:val="24"/>
        </w:rPr>
        <w:t>Fragrant air</w:t>
      </w:r>
      <w:r w:rsidR="00720D64">
        <w:rPr>
          <w:rFonts w:ascii="Times New Roman" w:hAnsi="Times New Roman" w:cs="Times New Roman"/>
          <w:sz w:val="24"/>
          <w:szCs w:val="24"/>
        </w:rPr>
        <w:t xml:space="preserve"> and spiritual well</w:t>
      </w:r>
      <w:r w:rsidRPr="007B6BDD">
        <w:rPr>
          <w:rFonts w:ascii="Times New Roman" w:hAnsi="Times New Roman" w:cs="Times New Roman"/>
          <w:sz w:val="24"/>
          <w:szCs w:val="24"/>
        </w:rPr>
        <w:t>being.</w:t>
      </w:r>
    </w:p>
    <w:p w:rsidR="00F67707" w:rsidRDefault="00521217">
      <w:pPr>
        <w:spacing w:after="0" w:line="360" w:lineRule="auto"/>
        <w:jc w:val="both"/>
        <w:rPr>
          <w:rFonts w:ascii="Times New Roman" w:hAnsi="Times New Roman" w:cs="Times New Roman"/>
          <w:sz w:val="24"/>
          <w:szCs w:val="24"/>
        </w:rPr>
      </w:pPr>
      <w:r w:rsidRPr="00595ED7">
        <w:rPr>
          <w:rFonts w:ascii="Times New Roman" w:hAnsi="Times New Roman" w:cs="Times New Roman"/>
          <w:sz w:val="24"/>
          <w:szCs w:val="24"/>
        </w:rPr>
        <w:t xml:space="preserve">Not only </w:t>
      </w:r>
      <w:r w:rsidR="00345BFB">
        <w:rPr>
          <w:rFonts w:ascii="Times New Roman" w:hAnsi="Times New Roman" w:cs="Times New Roman"/>
          <w:sz w:val="24"/>
          <w:szCs w:val="24"/>
        </w:rPr>
        <w:t xml:space="preserve">did </w:t>
      </w:r>
      <w:r w:rsidRPr="00595ED7">
        <w:rPr>
          <w:rFonts w:ascii="Times New Roman" w:hAnsi="Times New Roman" w:cs="Times New Roman"/>
          <w:sz w:val="24"/>
          <w:szCs w:val="24"/>
        </w:rPr>
        <w:t xml:space="preserve">perfuming </w:t>
      </w:r>
      <w:r>
        <w:rPr>
          <w:rFonts w:ascii="Times New Roman" w:hAnsi="Times New Roman" w:cs="Times New Roman"/>
          <w:sz w:val="24"/>
          <w:szCs w:val="24"/>
        </w:rPr>
        <w:t xml:space="preserve">practices </w:t>
      </w:r>
      <w:r w:rsidRPr="00595ED7">
        <w:rPr>
          <w:rFonts w:ascii="Times New Roman" w:hAnsi="Times New Roman" w:cs="Times New Roman"/>
          <w:sz w:val="24"/>
          <w:szCs w:val="24"/>
        </w:rPr>
        <w:t xml:space="preserve">aim, as we have seen, to modify the </w:t>
      </w:r>
      <w:proofErr w:type="spellStart"/>
      <w:r w:rsidRPr="00595ED7">
        <w:rPr>
          <w:rFonts w:ascii="Times New Roman" w:hAnsi="Times New Roman" w:cs="Times New Roman"/>
          <w:sz w:val="24"/>
          <w:szCs w:val="24"/>
        </w:rPr>
        <w:t>humoural</w:t>
      </w:r>
      <w:proofErr w:type="spellEnd"/>
      <w:r w:rsidRPr="00595ED7">
        <w:rPr>
          <w:rFonts w:ascii="Times New Roman" w:hAnsi="Times New Roman" w:cs="Times New Roman"/>
          <w:sz w:val="24"/>
          <w:szCs w:val="24"/>
        </w:rPr>
        <w:t xml:space="preserve"> qualities of </w:t>
      </w:r>
      <w:r>
        <w:rPr>
          <w:rFonts w:ascii="Times New Roman" w:hAnsi="Times New Roman" w:cs="Times New Roman"/>
          <w:sz w:val="24"/>
          <w:szCs w:val="24"/>
        </w:rPr>
        <w:t xml:space="preserve">domestic </w:t>
      </w:r>
      <w:r w:rsidRPr="00595ED7">
        <w:rPr>
          <w:rFonts w:ascii="Times New Roman" w:hAnsi="Times New Roman" w:cs="Times New Roman"/>
          <w:sz w:val="24"/>
          <w:szCs w:val="24"/>
        </w:rPr>
        <w:t>air rather than to protect the body from infectious air, but – and this is my last point</w:t>
      </w:r>
      <w:r>
        <w:rPr>
          <w:rFonts w:ascii="Times New Roman" w:hAnsi="Times New Roman" w:cs="Times New Roman"/>
          <w:sz w:val="24"/>
          <w:szCs w:val="24"/>
        </w:rPr>
        <w:t xml:space="preserve"> </w:t>
      </w:r>
      <w:r w:rsidR="00345BFB">
        <w:rPr>
          <w:rFonts w:ascii="Times New Roman" w:hAnsi="Times New Roman" w:cs="Times New Roman"/>
          <w:sz w:val="24"/>
          <w:szCs w:val="24"/>
        </w:rPr>
        <w:t>– scent wa</w:t>
      </w:r>
      <w:r w:rsidRPr="00595ED7">
        <w:rPr>
          <w:rFonts w:ascii="Times New Roman" w:hAnsi="Times New Roman" w:cs="Times New Roman"/>
          <w:sz w:val="24"/>
          <w:szCs w:val="24"/>
        </w:rPr>
        <w:t>s increasingly used as an agent th</w:t>
      </w:r>
      <w:r w:rsidRPr="009B3C19">
        <w:rPr>
          <w:rFonts w:ascii="Times New Roman" w:hAnsi="Times New Roman" w:cs="Times New Roman"/>
          <w:sz w:val="24"/>
          <w:szCs w:val="24"/>
        </w:rPr>
        <w:t>at actively stimulates the brain and ‘the spirits’</w:t>
      </w:r>
      <w:r w:rsidRPr="00595ED7">
        <w:rPr>
          <w:rFonts w:ascii="Times New Roman" w:hAnsi="Times New Roman" w:cs="Times New Roman"/>
          <w:sz w:val="24"/>
          <w:szCs w:val="24"/>
        </w:rPr>
        <w:t>, rather than for pr</w:t>
      </w:r>
      <w:r>
        <w:rPr>
          <w:rFonts w:ascii="Times New Roman" w:hAnsi="Times New Roman" w:cs="Times New Roman"/>
          <w:sz w:val="24"/>
          <w:szCs w:val="24"/>
        </w:rPr>
        <w:t>eventive</w:t>
      </w:r>
      <w:r w:rsidRPr="00595ED7">
        <w:rPr>
          <w:rFonts w:ascii="Times New Roman" w:hAnsi="Times New Roman" w:cs="Times New Roman"/>
          <w:sz w:val="24"/>
          <w:szCs w:val="24"/>
        </w:rPr>
        <w:t xml:space="preserve"> reasons. </w:t>
      </w:r>
      <w:r>
        <w:rPr>
          <w:rFonts w:ascii="Times New Roman" w:hAnsi="Times New Roman" w:cs="Times New Roman"/>
          <w:sz w:val="24"/>
          <w:szCs w:val="24"/>
        </w:rPr>
        <w:t xml:space="preserve"> In the second half of the sixteenth century d</w:t>
      </w:r>
      <w:r w:rsidRPr="00595ED7">
        <w:rPr>
          <w:rFonts w:ascii="Times New Roman" w:hAnsi="Times New Roman" w:cs="Times New Roman"/>
          <w:sz w:val="24"/>
          <w:szCs w:val="24"/>
        </w:rPr>
        <w:t xml:space="preserve">octors stress the positive function </w:t>
      </w:r>
      <w:r w:rsidR="007B6BDD" w:rsidRPr="007B6BDD">
        <w:rPr>
          <w:rFonts w:ascii="Times New Roman" w:hAnsi="Times New Roman" w:cs="Times New Roman"/>
          <w:sz w:val="24"/>
          <w:szCs w:val="24"/>
        </w:rPr>
        <w:t>that certain aromatics exercise upon the brain, comforting and pleasing this important organ and lifting the spirits, responsible not only for evenly distributing natural heat throughout the body and facilitating the correct explication of vital organic functions but for acting as intermediary between physical experience and the wellbeing of the soul. Th</w:t>
      </w:r>
      <w:r w:rsidR="008648BF">
        <w:rPr>
          <w:rFonts w:ascii="Times New Roman" w:hAnsi="Times New Roman" w:cs="Times New Roman"/>
          <w:sz w:val="24"/>
          <w:szCs w:val="24"/>
        </w:rPr>
        <w:t>rough the spirits, th</w:t>
      </w:r>
      <w:r w:rsidR="007B6BDD" w:rsidRPr="007B6BDD">
        <w:rPr>
          <w:rFonts w:ascii="Times New Roman" w:hAnsi="Times New Roman" w:cs="Times New Roman"/>
          <w:sz w:val="24"/>
          <w:szCs w:val="24"/>
        </w:rPr>
        <w:t xml:space="preserve">e effects of fragrant air were </w:t>
      </w:r>
      <w:r>
        <w:rPr>
          <w:rFonts w:ascii="Times New Roman" w:hAnsi="Times New Roman" w:cs="Times New Roman"/>
          <w:sz w:val="24"/>
          <w:szCs w:val="24"/>
        </w:rPr>
        <w:t>increasingly seen to affect the realm of the incorporeal as well as the health of the body.</w:t>
      </w:r>
      <w:r w:rsidR="00453005">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But what is meant by ‘spirits’? Even though </w:t>
      </w:r>
      <w:r>
        <w:rPr>
          <w:rFonts w:ascii="Times New Roman" w:hAnsi="Times New Roman" w:cs="Times New Roman"/>
          <w:sz w:val="24"/>
          <w:szCs w:val="24"/>
        </w:rPr>
        <w:lastRenderedPageBreak/>
        <w:t>ideas about the substance, nature, properties and virtues of the spirits were contradictory,</w:t>
      </w:r>
      <w:r w:rsidR="00377482">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bodily spirits were systematically defined, from classical times to the nineteenth century, as the instrument, vehicle or engine of the soul.</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Unlike the humours, they were conceived as vaporous substances </w:t>
      </w:r>
      <w:r w:rsidR="00094A42">
        <w:rPr>
          <w:rFonts w:ascii="Times New Roman" w:hAnsi="Times New Roman" w:cs="Times New Roman"/>
          <w:sz w:val="24"/>
          <w:szCs w:val="24"/>
        </w:rPr>
        <w:t>characterised by</w:t>
      </w:r>
      <w:r w:rsidR="00ED55B2">
        <w:rPr>
          <w:rFonts w:ascii="Times New Roman" w:hAnsi="Times New Roman" w:cs="Times New Roman"/>
          <w:sz w:val="24"/>
          <w:szCs w:val="24"/>
        </w:rPr>
        <w:t xml:space="preserve"> being </w:t>
      </w:r>
      <w:r>
        <w:rPr>
          <w:rFonts w:ascii="Times New Roman" w:hAnsi="Times New Roman" w:cs="Times New Roman"/>
          <w:sz w:val="24"/>
          <w:szCs w:val="24"/>
        </w:rPr>
        <w:t>simultaneously celestial and physical entities</w:t>
      </w:r>
      <w:r w:rsidR="00ED55B2">
        <w:rPr>
          <w:rFonts w:ascii="Times New Roman" w:hAnsi="Times New Roman" w:cs="Times New Roman"/>
          <w:sz w:val="24"/>
          <w:szCs w:val="24"/>
        </w:rPr>
        <w:t>; precisely on account of these double nature</w:t>
      </w:r>
      <w:r>
        <w:rPr>
          <w:rFonts w:ascii="Times New Roman" w:hAnsi="Times New Roman" w:cs="Times New Roman"/>
          <w:sz w:val="24"/>
          <w:szCs w:val="24"/>
        </w:rPr>
        <w:t xml:space="preserve"> </w:t>
      </w:r>
      <w:r w:rsidRPr="009B3C19">
        <w:rPr>
          <w:rFonts w:ascii="Times New Roman" w:hAnsi="Times New Roman" w:cs="Times New Roman"/>
          <w:sz w:val="24"/>
          <w:szCs w:val="24"/>
        </w:rPr>
        <w:t>they</w:t>
      </w:r>
      <w:r w:rsidR="00ED55B2">
        <w:rPr>
          <w:rFonts w:ascii="Times New Roman" w:hAnsi="Times New Roman" w:cs="Times New Roman"/>
          <w:sz w:val="24"/>
          <w:szCs w:val="24"/>
        </w:rPr>
        <w:t xml:space="preserve"> </w:t>
      </w:r>
      <w:r w:rsidRPr="009B3C19">
        <w:rPr>
          <w:rFonts w:ascii="Times New Roman" w:hAnsi="Times New Roman" w:cs="Times New Roman"/>
          <w:sz w:val="24"/>
          <w:szCs w:val="24"/>
        </w:rPr>
        <w:t>fulfil</w:t>
      </w:r>
      <w:r>
        <w:rPr>
          <w:rFonts w:ascii="Times New Roman" w:hAnsi="Times New Roman" w:cs="Times New Roman"/>
          <w:sz w:val="24"/>
          <w:szCs w:val="24"/>
        </w:rPr>
        <w:t>l</w:t>
      </w:r>
      <w:r w:rsidR="00ED55B2">
        <w:rPr>
          <w:rFonts w:ascii="Times New Roman" w:hAnsi="Times New Roman" w:cs="Times New Roman"/>
          <w:sz w:val="24"/>
          <w:szCs w:val="24"/>
        </w:rPr>
        <w:t>ed</w:t>
      </w:r>
      <w:r w:rsidRPr="009B3C19">
        <w:rPr>
          <w:rFonts w:ascii="Times New Roman" w:hAnsi="Times New Roman" w:cs="Times New Roman"/>
          <w:sz w:val="24"/>
          <w:szCs w:val="24"/>
        </w:rPr>
        <w:t xml:space="preserve"> the important </w:t>
      </w:r>
      <w:r w:rsidR="00072D3D">
        <w:rPr>
          <w:rFonts w:ascii="Times New Roman" w:hAnsi="Times New Roman" w:cs="Times New Roman"/>
          <w:sz w:val="24"/>
          <w:szCs w:val="24"/>
        </w:rPr>
        <w:t>function</w:t>
      </w:r>
      <w:r w:rsidR="00072D3D" w:rsidRPr="009B3C19">
        <w:rPr>
          <w:rFonts w:ascii="Times New Roman" w:hAnsi="Times New Roman" w:cs="Times New Roman"/>
          <w:sz w:val="24"/>
          <w:szCs w:val="24"/>
        </w:rPr>
        <w:t xml:space="preserve"> </w:t>
      </w:r>
      <w:r w:rsidRPr="009B3C19">
        <w:rPr>
          <w:rFonts w:ascii="Times New Roman" w:hAnsi="Times New Roman" w:cs="Times New Roman"/>
          <w:sz w:val="24"/>
          <w:szCs w:val="24"/>
        </w:rPr>
        <w:t>of</w:t>
      </w:r>
      <w:r w:rsidR="007B6BDD" w:rsidRPr="007B6BDD">
        <w:rPr>
          <w:rFonts w:ascii="Times New Roman" w:hAnsi="Times New Roman" w:cs="Times New Roman"/>
          <w:sz w:val="24"/>
          <w:szCs w:val="24"/>
        </w:rPr>
        <w:t xml:space="preserve"> </w:t>
      </w:r>
      <w:r>
        <w:rPr>
          <w:rFonts w:ascii="Times New Roman" w:hAnsi="Times New Roman" w:cs="Times New Roman"/>
          <w:sz w:val="24"/>
          <w:szCs w:val="24"/>
        </w:rPr>
        <w:t>translating the experience of the senses into a language intelligible to the soul.</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w:t>
      </w:r>
    </w:p>
    <w:p w:rsidR="00F67707" w:rsidRDefault="00521217" w:rsidP="00C474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importance of gratifying the senses to achieve spiritual wellbeing </w:t>
      </w:r>
      <w:r w:rsidR="00D40E0E">
        <w:rPr>
          <w:rFonts w:ascii="Times New Roman" w:hAnsi="Times New Roman" w:cs="Times New Roman"/>
          <w:sz w:val="24"/>
          <w:szCs w:val="24"/>
        </w:rPr>
        <w:t>was gaining currency as suggested by</w:t>
      </w:r>
      <w:r>
        <w:rPr>
          <w:rFonts w:ascii="Times New Roman" w:hAnsi="Times New Roman" w:cs="Times New Roman"/>
          <w:sz w:val="24"/>
          <w:szCs w:val="24"/>
        </w:rPr>
        <w:t xml:space="preserve"> the numerous comments upon the</w:t>
      </w:r>
      <w:r w:rsidRPr="00E32E85">
        <w:rPr>
          <w:rFonts w:ascii="Times New Roman" w:hAnsi="Times New Roman" w:cs="Times New Roman"/>
          <w:sz w:val="24"/>
          <w:szCs w:val="24"/>
        </w:rPr>
        <w:t xml:space="preserve"> </w:t>
      </w:r>
      <w:r>
        <w:rPr>
          <w:rFonts w:ascii="Times New Roman" w:hAnsi="Times New Roman" w:cs="Times New Roman"/>
          <w:sz w:val="24"/>
          <w:szCs w:val="24"/>
        </w:rPr>
        <w:t xml:space="preserve">positive </w:t>
      </w:r>
      <w:r w:rsidRPr="00E32E85">
        <w:rPr>
          <w:rFonts w:ascii="Times New Roman" w:hAnsi="Times New Roman" w:cs="Times New Roman"/>
          <w:sz w:val="24"/>
          <w:szCs w:val="24"/>
        </w:rPr>
        <w:t>impact o</w:t>
      </w:r>
      <w:r>
        <w:rPr>
          <w:rFonts w:ascii="Times New Roman" w:hAnsi="Times New Roman" w:cs="Times New Roman"/>
          <w:sz w:val="24"/>
          <w:szCs w:val="24"/>
        </w:rPr>
        <w:t>f fragrance</w:t>
      </w:r>
      <w:r w:rsidR="00094A42">
        <w:rPr>
          <w:rFonts w:ascii="Times New Roman" w:hAnsi="Times New Roman" w:cs="Times New Roman"/>
          <w:sz w:val="24"/>
          <w:szCs w:val="24"/>
        </w:rPr>
        <w:t>s</w:t>
      </w:r>
      <w:r>
        <w:rPr>
          <w:rFonts w:ascii="Times New Roman" w:hAnsi="Times New Roman" w:cs="Times New Roman"/>
          <w:sz w:val="24"/>
          <w:szCs w:val="24"/>
        </w:rPr>
        <w:t xml:space="preserve"> on the operations of the spirits found in a vast range of </w:t>
      </w:r>
      <w:r w:rsidR="00D40E0E">
        <w:rPr>
          <w:rFonts w:ascii="Times New Roman" w:hAnsi="Times New Roman" w:cs="Times New Roman"/>
          <w:sz w:val="24"/>
          <w:szCs w:val="24"/>
        </w:rPr>
        <w:t>both learned and popular</w:t>
      </w:r>
      <w:r>
        <w:rPr>
          <w:rFonts w:ascii="Times New Roman" w:hAnsi="Times New Roman" w:cs="Times New Roman"/>
          <w:sz w:val="24"/>
          <w:szCs w:val="24"/>
        </w:rPr>
        <w:t xml:space="preserve"> texts in this period: smells that delight can ‘strengthen’, ‘revive’, ‘comfort’ and ‘overpower’ ‘the spirits’.</w:t>
      </w:r>
      <w:r w:rsidRPr="00055A34">
        <w:rPr>
          <w:rFonts w:ascii="Times New Roman" w:hAnsi="Times New Roman" w:cs="Times New Roman"/>
          <w:sz w:val="24"/>
          <w:szCs w:val="24"/>
        </w:rPr>
        <w:t xml:space="preserve"> </w:t>
      </w:r>
      <w:r>
        <w:rPr>
          <w:rFonts w:ascii="Times New Roman" w:hAnsi="Times New Roman" w:cs="Times New Roman"/>
          <w:sz w:val="24"/>
          <w:szCs w:val="24"/>
        </w:rPr>
        <w:t xml:space="preserve">The frequent references to the brain in these passages suggest that the spirits in questions were more specifically the ‘animal spirits’, those concerned with </w:t>
      </w:r>
      <w:r w:rsidR="00FC3EF7">
        <w:rPr>
          <w:rFonts w:ascii="Times New Roman" w:hAnsi="Times New Roman" w:cs="Times New Roman"/>
          <w:sz w:val="24"/>
          <w:szCs w:val="24"/>
        </w:rPr>
        <w:t xml:space="preserve">facilitating </w:t>
      </w:r>
      <w:r>
        <w:rPr>
          <w:rFonts w:ascii="Times New Roman" w:hAnsi="Times New Roman" w:cs="Times New Roman"/>
          <w:sz w:val="24"/>
          <w:szCs w:val="24"/>
        </w:rPr>
        <w:t xml:space="preserve">perception, </w:t>
      </w:r>
      <w:r w:rsidR="00FC3EF7">
        <w:rPr>
          <w:rFonts w:ascii="Times New Roman" w:hAnsi="Times New Roman" w:cs="Times New Roman"/>
          <w:sz w:val="24"/>
          <w:szCs w:val="24"/>
        </w:rPr>
        <w:t xml:space="preserve">cognition, </w:t>
      </w:r>
      <w:r>
        <w:rPr>
          <w:rFonts w:ascii="Times New Roman" w:hAnsi="Times New Roman" w:cs="Times New Roman"/>
          <w:sz w:val="24"/>
          <w:szCs w:val="24"/>
        </w:rPr>
        <w:t>motion and memory and whose sphere of action was therefore located in the brain.</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w:t>
      </w:r>
      <w:r w:rsidRPr="00E32E85">
        <w:rPr>
          <w:rFonts w:ascii="Times New Roman" w:hAnsi="Times New Roman" w:cs="Times New Roman"/>
          <w:sz w:val="24"/>
          <w:szCs w:val="24"/>
        </w:rPr>
        <w:t>For example</w:t>
      </w:r>
      <w:r>
        <w:rPr>
          <w:rFonts w:ascii="Times New Roman" w:hAnsi="Times New Roman" w:cs="Times New Roman"/>
          <w:sz w:val="24"/>
          <w:szCs w:val="24"/>
        </w:rPr>
        <w:t>,</w:t>
      </w:r>
      <w:r w:rsidRPr="00E32E85">
        <w:rPr>
          <w:rFonts w:ascii="Times New Roman" w:hAnsi="Times New Roman" w:cs="Times New Roman"/>
          <w:sz w:val="24"/>
          <w:szCs w:val="24"/>
        </w:rPr>
        <w:t xml:space="preserve"> in </w:t>
      </w:r>
      <w:proofErr w:type="spellStart"/>
      <w:r w:rsidRPr="00E32E85">
        <w:rPr>
          <w:rFonts w:ascii="Times New Roman" w:hAnsi="Times New Roman" w:cs="Times New Roman"/>
          <w:sz w:val="24"/>
          <w:szCs w:val="24"/>
        </w:rPr>
        <w:t>Benvenuto</w:t>
      </w:r>
      <w:proofErr w:type="spellEnd"/>
      <w:r w:rsidRPr="00E32E85">
        <w:rPr>
          <w:rFonts w:ascii="Times New Roman" w:hAnsi="Times New Roman" w:cs="Times New Roman"/>
          <w:sz w:val="24"/>
          <w:szCs w:val="24"/>
        </w:rPr>
        <w:t xml:space="preserve"> Cellini’s autobiography (1558-63) and </w:t>
      </w:r>
      <w:proofErr w:type="spellStart"/>
      <w:r w:rsidRPr="00E32E85">
        <w:rPr>
          <w:rFonts w:ascii="Times New Roman" w:hAnsi="Times New Roman" w:cs="Times New Roman"/>
          <w:sz w:val="24"/>
          <w:szCs w:val="24"/>
        </w:rPr>
        <w:t>Straparola’s</w:t>
      </w:r>
      <w:proofErr w:type="spellEnd"/>
      <w:r w:rsidRPr="00E32E85">
        <w:rPr>
          <w:rFonts w:ascii="Times New Roman" w:hAnsi="Times New Roman" w:cs="Times New Roman"/>
          <w:sz w:val="24"/>
          <w:szCs w:val="24"/>
        </w:rPr>
        <w:t xml:space="preserve"> </w:t>
      </w:r>
      <w:proofErr w:type="spellStart"/>
      <w:r w:rsidRPr="00E32E85">
        <w:rPr>
          <w:rFonts w:ascii="Times New Roman" w:hAnsi="Times New Roman" w:cs="Times New Roman"/>
          <w:i/>
          <w:sz w:val="24"/>
          <w:szCs w:val="24"/>
        </w:rPr>
        <w:t>Piacevoli</w:t>
      </w:r>
      <w:proofErr w:type="spellEnd"/>
      <w:r w:rsidRPr="00E32E85">
        <w:rPr>
          <w:rFonts w:ascii="Times New Roman" w:hAnsi="Times New Roman" w:cs="Times New Roman"/>
          <w:i/>
          <w:sz w:val="24"/>
          <w:szCs w:val="24"/>
        </w:rPr>
        <w:t xml:space="preserve"> </w:t>
      </w:r>
      <w:proofErr w:type="spellStart"/>
      <w:r w:rsidRPr="00E32E85">
        <w:rPr>
          <w:rFonts w:ascii="Times New Roman" w:hAnsi="Times New Roman" w:cs="Times New Roman"/>
          <w:i/>
          <w:sz w:val="24"/>
          <w:szCs w:val="24"/>
        </w:rPr>
        <w:t>Notti</w:t>
      </w:r>
      <w:proofErr w:type="spellEnd"/>
      <w:r w:rsidRPr="00E32E85">
        <w:rPr>
          <w:rFonts w:ascii="Times New Roman" w:hAnsi="Times New Roman" w:cs="Times New Roman"/>
          <w:sz w:val="24"/>
          <w:szCs w:val="24"/>
        </w:rPr>
        <w:t xml:space="preserve"> (1549) we find references to beds prepared with scattered petals of roses, violets and other scented flowers which were supposed to be of much ‘comfort to the brain’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0"/>
      </w:r>
      <w:r w:rsidRPr="00E32E85">
        <w:rPr>
          <w:rFonts w:ascii="Times New Roman" w:hAnsi="Times New Roman" w:cs="Times New Roman"/>
          <w:sz w:val="24"/>
          <w:szCs w:val="24"/>
        </w:rPr>
        <w:t xml:space="preserve"> </w:t>
      </w:r>
      <w:r>
        <w:rPr>
          <w:rFonts w:ascii="Times New Roman" w:hAnsi="Times New Roman" w:cs="Times New Roman"/>
          <w:sz w:val="24"/>
          <w:szCs w:val="24"/>
        </w:rPr>
        <w:t xml:space="preserve">A 1589 regimen directed to a popular audience </w:t>
      </w:r>
      <w:r w:rsidRPr="00FE7408">
        <w:rPr>
          <w:rFonts w:ascii="Times New Roman" w:hAnsi="Times New Roman" w:cs="Times New Roman"/>
          <w:sz w:val="24"/>
          <w:szCs w:val="24"/>
        </w:rPr>
        <w:t>goes a step further, as it states that ‘smells are the food of the soul, they open the passages of the brain and fortify all the senses’.</w:t>
      </w:r>
      <w:r w:rsidRPr="00FE7408">
        <w:rPr>
          <w:rStyle w:val="FootnoteReference"/>
          <w:rFonts w:ascii="Times New Roman" w:hAnsi="Times New Roman" w:cs="Times New Roman"/>
          <w:sz w:val="24"/>
          <w:szCs w:val="24"/>
        </w:rPr>
        <w:footnoteReference w:id="91"/>
      </w:r>
      <w:r w:rsidRPr="00FE7408">
        <w:rPr>
          <w:rFonts w:ascii="Times New Roman" w:hAnsi="Times New Roman" w:cs="Times New Roman"/>
          <w:sz w:val="24"/>
          <w:szCs w:val="24"/>
        </w:rPr>
        <w:t xml:space="preserve"> On a similar vein, Luca </w:t>
      </w:r>
      <w:proofErr w:type="spellStart"/>
      <w:r w:rsidRPr="00FE7408">
        <w:rPr>
          <w:rFonts w:ascii="Times New Roman" w:hAnsi="Times New Roman" w:cs="Times New Roman"/>
          <w:sz w:val="24"/>
          <w:szCs w:val="24"/>
        </w:rPr>
        <w:t>Contile</w:t>
      </w:r>
      <w:proofErr w:type="spellEnd"/>
      <w:r w:rsidRPr="00FE7408">
        <w:rPr>
          <w:rFonts w:ascii="Times New Roman" w:hAnsi="Times New Roman" w:cs="Times New Roman"/>
          <w:sz w:val="24"/>
          <w:szCs w:val="24"/>
        </w:rPr>
        <w:t xml:space="preserve"> in his </w:t>
      </w:r>
      <w:proofErr w:type="spellStart"/>
      <w:r w:rsidRPr="00FE7408">
        <w:rPr>
          <w:rFonts w:ascii="Times New Roman" w:hAnsi="Times New Roman" w:cs="Times New Roman"/>
          <w:i/>
          <w:sz w:val="24"/>
          <w:szCs w:val="24"/>
        </w:rPr>
        <w:t>Discorso</w:t>
      </w:r>
      <w:proofErr w:type="spellEnd"/>
      <w:r w:rsidRPr="00FE7408">
        <w:rPr>
          <w:rFonts w:ascii="Times New Roman" w:hAnsi="Times New Roman" w:cs="Times New Roman"/>
          <w:i/>
          <w:sz w:val="24"/>
          <w:szCs w:val="24"/>
        </w:rPr>
        <w:t xml:space="preserve"> </w:t>
      </w:r>
      <w:proofErr w:type="spellStart"/>
      <w:r w:rsidRPr="00FE7408">
        <w:rPr>
          <w:rFonts w:ascii="Times New Roman" w:hAnsi="Times New Roman" w:cs="Times New Roman"/>
          <w:i/>
          <w:sz w:val="24"/>
          <w:szCs w:val="24"/>
        </w:rPr>
        <w:t>sopra</w:t>
      </w:r>
      <w:proofErr w:type="spellEnd"/>
      <w:r w:rsidRPr="00FE7408">
        <w:rPr>
          <w:rFonts w:ascii="Times New Roman" w:hAnsi="Times New Roman" w:cs="Times New Roman"/>
          <w:i/>
          <w:sz w:val="24"/>
          <w:szCs w:val="24"/>
        </w:rPr>
        <w:t xml:space="preserve"> </w:t>
      </w:r>
      <w:proofErr w:type="spellStart"/>
      <w:r w:rsidRPr="00FE7408">
        <w:rPr>
          <w:rFonts w:ascii="Times New Roman" w:hAnsi="Times New Roman" w:cs="Times New Roman"/>
          <w:i/>
          <w:sz w:val="24"/>
          <w:szCs w:val="24"/>
        </w:rPr>
        <w:t>li</w:t>
      </w:r>
      <w:proofErr w:type="spellEnd"/>
      <w:r w:rsidRPr="00FE7408">
        <w:rPr>
          <w:rFonts w:ascii="Times New Roman" w:hAnsi="Times New Roman" w:cs="Times New Roman"/>
          <w:i/>
          <w:sz w:val="24"/>
          <w:szCs w:val="24"/>
        </w:rPr>
        <w:t xml:space="preserve"> </w:t>
      </w:r>
      <w:proofErr w:type="spellStart"/>
      <w:r w:rsidRPr="00FE7408">
        <w:rPr>
          <w:rFonts w:ascii="Times New Roman" w:hAnsi="Times New Roman" w:cs="Times New Roman"/>
          <w:i/>
          <w:sz w:val="24"/>
          <w:szCs w:val="24"/>
        </w:rPr>
        <w:t>cinque</w:t>
      </w:r>
      <w:proofErr w:type="spellEnd"/>
      <w:r w:rsidRPr="00FE7408">
        <w:rPr>
          <w:rFonts w:ascii="Times New Roman" w:hAnsi="Times New Roman" w:cs="Times New Roman"/>
          <w:i/>
          <w:sz w:val="24"/>
          <w:szCs w:val="24"/>
        </w:rPr>
        <w:t xml:space="preserve"> </w:t>
      </w:r>
      <w:proofErr w:type="spellStart"/>
      <w:r w:rsidRPr="00FE7408">
        <w:rPr>
          <w:rFonts w:ascii="Times New Roman" w:hAnsi="Times New Roman" w:cs="Times New Roman"/>
          <w:i/>
          <w:sz w:val="24"/>
          <w:szCs w:val="24"/>
        </w:rPr>
        <w:t>sensi</w:t>
      </w:r>
      <w:proofErr w:type="spellEnd"/>
      <w:r w:rsidRPr="00FE7408">
        <w:rPr>
          <w:rFonts w:ascii="Times New Roman" w:hAnsi="Times New Roman" w:cs="Times New Roman"/>
          <w:i/>
          <w:sz w:val="24"/>
          <w:szCs w:val="24"/>
        </w:rPr>
        <w:t xml:space="preserve"> </w:t>
      </w:r>
      <w:proofErr w:type="gramStart"/>
      <w:r w:rsidRPr="00FE7408">
        <w:rPr>
          <w:rFonts w:ascii="Times New Roman" w:hAnsi="Times New Roman" w:cs="Times New Roman"/>
          <w:i/>
          <w:sz w:val="24"/>
          <w:szCs w:val="24"/>
        </w:rPr>
        <w:t>del</w:t>
      </w:r>
      <w:proofErr w:type="gramEnd"/>
      <w:r w:rsidRPr="00FE7408">
        <w:rPr>
          <w:rFonts w:ascii="Times New Roman" w:hAnsi="Times New Roman" w:cs="Times New Roman"/>
          <w:i/>
          <w:sz w:val="24"/>
          <w:szCs w:val="24"/>
        </w:rPr>
        <w:t xml:space="preserve"> </w:t>
      </w:r>
      <w:proofErr w:type="spellStart"/>
      <w:r w:rsidRPr="00FE7408">
        <w:rPr>
          <w:rFonts w:ascii="Times New Roman" w:hAnsi="Times New Roman" w:cs="Times New Roman"/>
          <w:i/>
          <w:sz w:val="24"/>
          <w:szCs w:val="24"/>
        </w:rPr>
        <w:t>corpo</w:t>
      </w:r>
      <w:proofErr w:type="spellEnd"/>
      <w:r w:rsidRPr="00FE7408">
        <w:rPr>
          <w:rFonts w:ascii="Times New Roman" w:hAnsi="Times New Roman" w:cs="Times New Roman"/>
          <w:sz w:val="24"/>
          <w:szCs w:val="24"/>
        </w:rPr>
        <w:t xml:space="preserve"> (1552) explains that it is through the organ of smell that ‘the sweetness of scented things passes to the soul’.</w:t>
      </w:r>
      <w:r w:rsidRPr="00FE7408">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w:t>
      </w:r>
      <w:r w:rsidR="00D40E0E">
        <w:rPr>
          <w:rFonts w:ascii="Times New Roman" w:hAnsi="Times New Roman" w:cs="Times New Roman"/>
          <w:sz w:val="24"/>
          <w:szCs w:val="24"/>
        </w:rPr>
        <w:t xml:space="preserve">These </w:t>
      </w:r>
      <w:r w:rsidRPr="00595ED7">
        <w:rPr>
          <w:rFonts w:ascii="Times New Roman" w:hAnsi="Times New Roman" w:cs="Times New Roman"/>
          <w:sz w:val="24"/>
          <w:szCs w:val="24"/>
        </w:rPr>
        <w:t xml:space="preserve">works present what seems to be a simplified version of </w:t>
      </w:r>
      <w:r w:rsidR="00186930">
        <w:rPr>
          <w:rFonts w:ascii="Times New Roman" w:hAnsi="Times New Roman" w:cs="Times New Roman"/>
          <w:sz w:val="24"/>
          <w:szCs w:val="24"/>
        </w:rPr>
        <w:t>philosophical and</w:t>
      </w:r>
      <w:r w:rsidRPr="00595ED7">
        <w:rPr>
          <w:rFonts w:ascii="Times New Roman" w:hAnsi="Times New Roman" w:cs="Times New Roman"/>
          <w:sz w:val="24"/>
          <w:szCs w:val="24"/>
        </w:rPr>
        <w:t xml:space="preserve"> </w:t>
      </w:r>
      <w:r>
        <w:rPr>
          <w:rFonts w:ascii="Times New Roman" w:hAnsi="Times New Roman" w:cs="Times New Roman"/>
          <w:sz w:val="24"/>
          <w:szCs w:val="24"/>
        </w:rPr>
        <w:t xml:space="preserve">physiological </w:t>
      </w:r>
      <w:r w:rsidRPr="00595ED7">
        <w:rPr>
          <w:rFonts w:ascii="Times New Roman" w:hAnsi="Times New Roman" w:cs="Times New Roman"/>
          <w:sz w:val="24"/>
          <w:szCs w:val="24"/>
        </w:rPr>
        <w:t>views, a version which conflates spirit, soul and brain.</w:t>
      </w:r>
      <w:r>
        <w:rPr>
          <w:rFonts w:ascii="Times New Roman" w:hAnsi="Times New Roman" w:cs="Times New Roman"/>
          <w:sz w:val="24"/>
          <w:szCs w:val="24"/>
        </w:rPr>
        <w:t xml:space="preserve"> </w:t>
      </w:r>
      <w:r w:rsidRPr="00595ED7">
        <w:rPr>
          <w:rFonts w:ascii="Times New Roman" w:hAnsi="Times New Roman" w:cs="Times New Roman"/>
          <w:sz w:val="24"/>
          <w:szCs w:val="24"/>
        </w:rPr>
        <w:t>In reality the brain was not understood precisely as the seat of the soul</w:t>
      </w:r>
      <w:r>
        <w:rPr>
          <w:rFonts w:ascii="Times New Roman" w:hAnsi="Times New Roman" w:cs="Times New Roman"/>
          <w:sz w:val="24"/>
          <w:szCs w:val="24"/>
        </w:rPr>
        <w:t>,</w:t>
      </w:r>
      <w:r w:rsidRPr="00595ED7">
        <w:rPr>
          <w:rFonts w:ascii="Times New Roman" w:hAnsi="Times New Roman" w:cs="Times New Roman"/>
          <w:sz w:val="24"/>
          <w:szCs w:val="24"/>
        </w:rPr>
        <w:t xml:space="preserve"> </w:t>
      </w:r>
      <w:r>
        <w:rPr>
          <w:rFonts w:ascii="Times New Roman" w:hAnsi="Times New Roman" w:cs="Times New Roman"/>
          <w:sz w:val="24"/>
          <w:szCs w:val="24"/>
        </w:rPr>
        <w:t xml:space="preserve">as we have seen, but of that celestial animal spirit which is </w:t>
      </w:r>
      <w:r>
        <w:rPr>
          <w:rFonts w:ascii="Times New Roman" w:hAnsi="Times New Roman" w:cs="Times New Roman"/>
          <w:sz w:val="24"/>
          <w:szCs w:val="24"/>
        </w:rPr>
        <w:lastRenderedPageBreak/>
        <w:t>distilled in the brain and acts as the main instrument of the soul in sensory-cognitive operations</w:t>
      </w:r>
      <w:r w:rsidRPr="00400D5C">
        <w:rPr>
          <w:rFonts w:ascii="Times New Roman" w:hAnsi="Times New Roman" w:cs="Times New Roman"/>
          <w:sz w:val="24"/>
          <w:szCs w:val="24"/>
        </w:rPr>
        <w:t xml:space="preserve">. </w:t>
      </w:r>
      <w:r w:rsidR="00C47487">
        <w:rPr>
          <w:rFonts w:ascii="Times New Roman" w:hAnsi="Times New Roman" w:cs="Times New Roman"/>
          <w:sz w:val="24"/>
          <w:szCs w:val="24"/>
        </w:rPr>
        <w:t xml:space="preserve">These narratives, however, suggest that </w:t>
      </w:r>
      <w:r w:rsidRPr="00E32E85">
        <w:rPr>
          <w:rFonts w:ascii="Times New Roman" w:hAnsi="Times New Roman" w:cs="Times New Roman"/>
          <w:sz w:val="24"/>
          <w:szCs w:val="24"/>
        </w:rPr>
        <w:t xml:space="preserve">the expanding </w:t>
      </w:r>
      <w:r>
        <w:rPr>
          <w:rFonts w:ascii="Times New Roman" w:hAnsi="Times New Roman" w:cs="Times New Roman"/>
          <w:sz w:val="24"/>
          <w:szCs w:val="24"/>
        </w:rPr>
        <w:t xml:space="preserve">use of </w:t>
      </w:r>
      <w:r w:rsidR="00094A42">
        <w:rPr>
          <w:rFonts w:ascii="Times New Roman" w:hAnsi="Times New Roman" w:cs="Times New Roman"/>
          <w:sz w:val="24"/>
          <w:szCs w:val="24"/>
        </w:rPr>
        <w:t xml:space="preserve">scent and </w:t>
      </w:r>
      <w:r>
        <w:rPr>
          <w:rFonts w:ascii="Times New Roman" w:hAnsi="Times New Roman" w:cs="Times New Roman"/>
          <w:sz w:val="24"/>
          <w:szCs w:val="24"/>
        </w:rPr>
        <w:t>scented things in sixteenth-</w:t>
      </w:r>
      <w:r w:rsidRPr="00E32E85">
        <w:rPr>
          <w:rFonts w:ascii="Times New Roman" w:hAnsi="Times New Roman" w:cs="Times New Roman"/>
          <w:sz w:val="24"/>
          <w:szCs w:val="24"/>
        </w:rPr>
        <w:t xml:space="preserve">century </w:t>
      </w:r>
      <w:r>
        <w:rPr>
          <w:rFonts w:ascii="Times New Roman" w:hAnsi="Times New Roman" w:cs="Times New Roman"/>
          <w:sz w:val="24"/>
          <w:szCs w:val="24"/>
        </w:rPr>
        <w:t xml:space="preserve">Italy </w:t>
      </w:r>
      <w:r w:rsidRPr="00E32E85">
        <w:rPr>
          <w:rFonts w:ascii="Times New Roman" w:hAnsi="Times New Roman" w:cs="Times New Roman"/>
          <w:sz w:val="24"/>
          <w:szCs w:val="24"/>
        </w:rPr>
        <w:t xml:space="preserve">might have been more </w:t>
      </w:r>
      <w:r w:rsidR="007B6BDD" w:rsidRPr="007B6BDD">
        <w:rPr>
          <w:rFonts w:ascii="Times New Roman" w:hAnsi="Times New Roman" w:cs="Times New Roman"/>
          <w:sz w:val="24"/>
          <w:szCs w:val="24"/>
        </w:rPr>
        <w:t>connected with pleasure and the gratification of the senses than with preventive or therapeutic functions</w:t>
      </w:r>
      <w:r>
        <w:rPr>
          <w:rFonts w:ascii="Times New Roman" w:hAnsi="Times New Roman" w:cs="Times New Roman"/>
          <w:sz w:val="24"/>
          <w:szCs w:val="24"/>
        </w:rPr>
        <w:t xml:space="preserve"> in relation to infectious disease</w:t>
      </w:r>
      <w:r w:rsidRPr="00E32E85">
        <w:rPr>
          <w:rFonts w:ascii="Times New Roman" w:hAnsi="Times New Roman" w:cs="Times New Roman"/>
          <w:sz w:val="24"/>
          <w:szCs w:val="24"/>
        </w:rPr>
        <w:t xml:space="preserve">. </w:t>
      </w:r>
      <w:r>
        <w:rPr>
          <w:rFonts w:ascii="Times New Roman" w:hAnsi="Times New Roman" w:cs="Times New Roman"/>
          <w:sz w:val="24"/>
          <w:szCs w:val="24"/>
        </w:rPr>
        <w:t xml:space="preserve">Indeed, references to perfuming practices in various literary genres are strikingly lacking any mention of their </w:t>
      </w:r>
      <w:r w:rsidR="00186930">
        <w:rPr>
          <w:rFonts w:ascii="Times New Roman" w:hAnsi="Times New Roman" w:cs="Times New Roman"/>
          <w:sz w:val="24"/>
          <w:szCs w:val="24"/>
        </w:rPr>
        <w:t xml:space="preserve">physical </w:t>
      </w:r>
      <w:r w:rsidRPr="00E32E85">
        <w:rPr>
          <w:rFonts w:ascii="Times New Roman" w:hAnsi="Times New Roman" w:cs="Times New Roman"/>
          <w:sz w:val="24"/>
          <w:szCs w:val="24"/>
        </w:rPr>
        <w:t>prophylactic function</w:t>
      </w:r>
      <w:r>
        <w:rPr>
          <w:rFonts w:ascii="Times New Roman" w:hAnsi="Times New Roman" w:cs="Times New Roman"/>
          <w:sz w:val="24"/>
          <w:szCs w:val="24"/>
        </w:rPr>
        <w:t xml:space="preserve">. </w:t>
      </w:r>
    </w:p>
    <w:p w:rsidR="00F67707" w:rsidRPr="00614AA4" w:rsidRDefault="005212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95ED7">
        <w:rPr>
          <w:rFonts w:ascii="Times New Roman" w:hAnsi="Times New Roman" w:cs="Times New Roman"/>
          <w:sz w:val="24"/>
          <w:szCs w:val="24"/>
        </w:rPr>
        <w:t xml:space="preserve">This transformation in the </w:t>
      </w:r>
      <w:r>
        <w:rPr>
          <w:rFonts w:ascii="Times New Roman" w:hAnsi="Times New Roman" w:cs="Times New Roman"/>
          <w:sz w:val="24"/>
          <w:szCs w:val="24"/>
        </w:rPr>
        <w:t>purpose</w:t>
      </w:r>
      <w:r w:rsidRPr="00595ED7">
        <w:rPr>
          <w:rFonts w:ascii="Times New Roman" w:hAnsi="Times New Roman" w:cs="Times New Roman"/>
          <w:sz w:val="24"/>
          <w:szCs w:val="24"/>
        </w:rPr>
        <w:t xml:space="preserve"> of perfum</w:t>
      </w:r>
      <w:r>
        <w:rPr>
          <w:rFonts w:ascii="Times New Roman" w:hAnsi="Times New Roman" w:cs="Times New Roman"/>
          <w:sz w:val="24"/>
          <w:szCs w:val="24"/>
        </w:rPr>
        <w:t>ing</w:t>
      </w:r>
      <w:r w:rsidRPr="00595ED7">
        <w:rPr>
          <w:rFonts w:ascii="Times New Roman" w:hAnsi="Times New Roman" w:cs="Times New Roman"/>
          <w:sz w:val="24"/>
          <w:szCs w:val="24"/>
        </w:rPr>
        <w:t xml:space="preserve"> is also confirmed by the appearance of new </w:t>
      </w:r>
      <w:r>
        <w:rPr>
          <w:rFonts w:ascii="Times New Roman" w:hAnsi="Times New Roman" w:cs="Times New Roman"/>
          <w:sz w:val="24"/>
          <w:szCs w:val="24"/>
        </w:rPr>
        <w:t>scent</w:t>
      </w:r>
      <w:r w:rsidRPr="00595ED7">
        <w:rPr>
          <w:rFonts w:ascii="Times New Roman" w:hAnsi="Times New Roman" w:cs="Times New Roman"/>
          <w:sz w:val="24"/>
          <w:szCs w:val="24"/>
        </w:rPr>
        <w:t>-related objects</w:t>
      </w:r>
      <w:r>
        <w:rPr>
          <w:rFonts w:ascii="Times New Roman" w:hAnsi="Times New Roman" w:cs="Times New Roman"/>
          <w:sz w:val="24"/>
          <w:szCs w:val="24"/>
        </w:rPr>
        <w:t>:</w:t>
      </w:r>
      <w:r w:rsidRPr="00595ED7">
        <w:rPr>
          <w:rFonts w:ascii="Times New Roman" w:hAnsi="Times New Roman" w:cs="Times New Roman"/>
          <w:sz w:val="24"/>
          <w:szCs w:val="24"/>
        </w:rPr>
        <w:t xml:space="preserve"> small flasks (</w:t>
      </w:r>
      <w:r w:rsidR="007B6BDD" w:rsidRPr="007B6BDD">
        <w:rPr>
          <w:rFonts w:ascii="Times New Roman" w:hAnsi="Times New Roman" w:cs="Times New Roman"/>
          <w:sz w:val="24"/>
          <w:szCs w:val="24"/>
        </w:rPr>
        <w:t>fig.</w:t>
      </w:r>
      <w:r w:rsidR="00A319D3">
        <w:rPr>
          <w:rFonts w:ascii="Times New Roman" w:hAnsi="Times New Roman" w:cs="Times New Roman"/>
          <w:sz w:val="24"/>
          <w:szCs w:val="24"/>
        </w:rPr>
        <w:t>2</w:t>
      </w:r>
      <w:r w:rsidRPr="00874623">
        <w:rPr>
          <w:rFonts w:ascii="Times New Roman" w:hAnsi="Times New Roman" w:cs="Times New Roman"/>
          <w:sz w:val="24"/>
          <w:szCs w:val="24"/>
        </w:rPr>
        <w:t>)</w:t>
      </w:r>
      <w:r w:rsidRPr="00595ED7">
        <w:rPr>
          <w:rFonts w:ascii="Times New Roman" w:hAnsi="Times New Roman" w:cs="Times New Roman"/>
          <w:sz w:val="24"/>
          <w:szCs w:val="24"/>
        </w:rPr>
        <w:t xml:space="preserve"> </w:t>
      </w:r>
      <w:r>
        <w:rPr>
          <w:rFonts w:ascii="Times New Roman" w:hAnsi="Times New Roman" w:cs="Times New Roman"/>
          <w:sz w:val="24"/>
          <w:szCs w:val="24"/>
        </w:rPr>
        <w:t xml:space="preserve">which, unlike the </w:t>
      </w:r>
      <w:r w:rsidR="00A319D3">
        <w:rPr>
          <w:rFonts w:ascii="Times New Roman" w:hAnsi="Times New Roman" w:cs="Times New Roman"/>
          <w:sz w:val="24"/>
          <w:szCs w:val="24"/>
        </w:rPr>
        <w:t xml:space="preserve">perfume burner discussed </w:t>
      </w:r>
      <w:proofErr w:type="gramStart"/>
      <w:r w:rsidR="00A319D3">
        <w:rPr>
          <w:rFonts w:ascii="Times New Roman" w:hAnsi="Times New Roman" w:cs="Times New Roman"/>
          <w:sz w:val="24"/>
          <w:szCs w:val="24"/>
        </w:rPr>
        <w:t>above</w:t>
      </w:r>
      <w:r>
        <w:rPr>
          <w:rFonts w:ascii="Times New Roman" w:hAnsi="Times New Roman" w:cs="Times New Roman"/>
          <w:sz w:val="24"/>
          <w:szCs w:val="24"/>
        </w:rPr>
        <w:t>,</w:t>
      </w:r>
      <w:proofErr w:type="gramEnd"/>
      <w:r>
        <w:rPr>
          <w:rFonts w:ascii="Times New Roman" w:hAnsi="Times New Roman" w:cs="Times New Roman"/>
          <w:sz w:val="24"/>
          <w:szCs w:val="24"/>
        </w:rPr>
        <w:t xml:space="preserve"> do not release aromas in the ambient air but are </w:t>
      </w:r>
      <w:r w:rsidRPr="00595ED7">
        <w:rPr>
          <w:rFonts w:ascii="Times New Roman" w:hAnsi="Times New Roman" w:cs="Times New Roman"/>
          <w:sz w:val="24"/>
          <w:szCs w:val="24"/>
        </w:rPr>
        <w:t>filled with perfumed substances</w:t>
      </w:r>
      <w:r>
        <w:rPr>
          <w:rFonts w:ascii="Times New Roman" w:hAnsi="Times New Roman" w:cs="Times New Roman"/>
          <w:sz w:val="24"/>
          <w:szCs w:val="24"/>
        </w:rPr>
        <w:t xml:space="preserve"> </w:t>
      </w:r>
      <w:r w:rsidR="00094A42">
        <w:rPr>
          <w:rFonts w:ascii="Times New Roman" w:hAnsi="Times New Roman" w:cs="Times New Roman"/>
          <w:sz w:val="24"/>
          <w:szCs w:val="24"/>
        </w:rPr>
        <w:t>that are</w:t>
      </w:r>
      <w:r>
        <w:rPr>
          <w:rFonts w:ascii="Times New Roman" w:hAnsi="Times New Roman" w:cs="Times New Roman"/>
          <w:sz w:val="24"/>
          <w:szCs w:val="24"/>
        </w:rPr>
        <w:t xml:space="preserve"> sniffed</w:t>
      </w:r>
      <w:r w:rsidRPr="00595ED7">
        <w:rPr>
          <w:rFonts w:ascii="Times New Roman" w:hAnsi="Times New Roman" w:cs="Times New Roman"/>
          <w:sz w:val="24"/>
          <w:szCs w:val="24"/>
        </w:rPr>
        <w:t xml:space="preserve"> by the individual</w:t>
      </w:r>
      <w:r>
        <w:rPr>
          <w:rFonts w:ascii="Times New Roman" w:hAnsi="Times New Roman" w:cs="Times New Roman"/>
          <w:sz w:val="24"/>
          <w:szCs w:val="24"/>
        </w:rPr>
        <w:t xml:space="preserve"> for personal delight and benefit.  The physical characteristics and </w:t>
      </w:r>
      <w:r w:rsidR="001D78DF">
        <w:rPr>
          <w:rFonts w:ascii="Times New Roman" w:hAnsi="Times New Roman" w:cs="Times New Roman"/>
          <w:sz w:val="24"/>
          <w:szCs w:val="24"/>
        </w:rPr>
        <w:t>aim</w:t>
      </w:r>
      <w:r>
        <w:rPr>
          <w:rFonts w:ascii="Times New Roman" w:hAnsi="Times New Roman" w:cs="Times New Roman"/>
          <w:sz w:val="24"/>
          <w:szCs w:val="24"/>
        </w:rPr>
        <w:t xml:space="preserve">s of </w:t>
      </w:r>
      <w:r w:rsidRPr="00595ED7">
        <w:rPr>
          <w:rFonts w:ascii="Times New Roman" w:hAnsi="Times New Roman" w:cs="Times New Roman"/>
          <w:sz w:val="24"/>
          <w:szCs w:val="24"/>
        </w:rPr>
        <w:t xml:space="preserve">these </w:t>
      </w:r>
      <w:r>
        <w:rPr>
          <w:rFonts w:ascii="Times New Roman" w:hAnsi="Times New Roman" w:cs="Times New Roman"/>
          <w:sz w:val="24"/>
          <w:szCs w:val="24"/>
        </w:rPr>
        <w:t>two types of object are clearly quite different: while</w:t>
      </w:r>
      <w:r w:rsidRPr="003F1118">
        <w:rPr>
          <w:rFonts w:ascii="Times New Roman" w:hAnsi="Times New Roman" w:cs="Times New Roman"/>
          <w:sz w:val="24"/>
          <w:szCs w:val="24"/>
        </w:rPr>
        <w:t xml:space="preserve"> </w:t>
      </w:r>
      <w:r>
        <w:rPr>
          <w:rFonts w:ascii="Times New Roman" w:hAnsi="Times New Roman" w:cs="Times New Roman"/>
          <w:sz w:val="24"/>
          <w:szCs w:val="24"/>
        </w:rPr>
        <w:t>the perfume burner aims to purify the surrounding air by continuously emitting a fragrant smell th</w:t>
      </w:r>
      <w:r w:rsidR="001D78DF">
        <w:rPr>
          <w:rFonts w:ascii="Times New Roman" w:hAnsi="Times New Roman" w:cs="Times New Roman"/>
          <w:sz w:val="24"/>
          <w:szCs w:val="24"/>
        </w:rPr>
        <w:t>r</w:t>
      </w:r>
      <w:r>
        <w:rPr>
          <w:rFonts w:ascii="Times New Roman" w:hAnsi="Times New Roman" w:cs="Times New Roman"/>
          <w:sz w:val="24"/>
          <w:szCs w:val="24"/>
        </w:rPr>
        <w:t xml:space="preserve">ough its perforated surface, the scent flask is for </w:t>
      </w:r>
      <w:r w:rsidR="00094A42">
        <w:rPr>
          <w:rFonts w:ascii="Times New Roman" w:hAnsi="Times New Roman" w:cs="Times New Roman"/>
          <w:sz w:val="24"/>
          <w:szCs w:val="24"/>
        </w:rPr>
        <w:t>individual use</w:t>
      </w:r>
      <w:r>
        <w:rPr>
          <w:rFonts w:ascii="Times New Roman" w:hAnsi="Times New Roman" w:cs="Times New Roman"/>
          <w:sz w:val="24"/>
          <w:szCs w:val="24"/>
        </w:rPr>
        <w:t xml:space="preserve">, its liquid essences can be inhaled only deliberately, following the gesture of removing or unscrewing the lid and bringing </w:t>
      </w:r>
      <w:r w:rsidR="006A2059">
        <w:rPr>
          <w:rFonts w:ascii="Times New Roman" w:hAnsi="Times New Roman" w:cs="Times New Roman"/>
          <w:sz w:val="24"/>
          <w:szCs w:val="24"/>
        </w:rPr>
        <w:t xml:space="preserve">the small bottle to the nose. </w:t>
      </w:r>
      <w:r>
        <w:rPr>
          <w:rFonts w:ascii="Times New Roman" w:hAnsi="Times New Roman" w:cs="Times New Roman"/>
          <w:sz w:val="24"/>
          <w:szCs w:val="24"/>
        </w:rPr>
        <w:t>Regimens</w:t>
      </w:r>
      <w:r w:rsidRPr="00595ED7">
        <w:rPr>
          <w:rFonts w:ascii="Times New Roman" w:hAnsi="Times New Roman" w:cs="Times New Roman"/>
          <w:sz w:val="24"/>
          <w:szCs w:val="24"/>
        </w:rPr>
        <w:t xml:space="preserve"> </w:t>
      </w:r>
      <w:r>
        <w:rPr>
          <w:rFonts w:ascii="Times New Roman" w:hAnsi="Times New Roman" w:cs="Times New Roman"/>
          <w:sz w:val="24"/>
          <w:szCs w:val="24"/>
        </w:rPr>
        <w:t>explain the rationale for these smelling practices</w:t>
      </w:r>
      <w:r w:rsidRPr="00595ED7">
        <w:rPr>
          <w:rFonts w:ascii="Times New Roman" w:hAnsi="Times New Roman" w:cs="Times New Roman"/>
          <w:sz w:val="24"/>
          <w:szCs w:val="24"/>
        </w:rPr>
        <w:t xml:space="preserve">: </w:t>
      </w:r>
      <w:r w:rsidR="006234EA">
        <w:rPr>
          <w:rFonts w:ascii="Times New Roman" w:hAnsi="Times New Roman" w:cs="Times New Roman"/>
          <w:sz w:val="24"/>
          <w:szCs w:val="24"/>
        </w:rPr>
        <w:t>for</w:t>
      </w:r>
      <w:r w:rsidR="005A51BC">
        <w:rPr>
          <w:rFonts w:ascii="Times New Roman" w:hAnsi="Times New Roman" w:cs="Times New Roman"/>
          <w:sz w:val="24"/>
          <w:szCs w:val="24"/>
        </w:rPr>
        <w:t xml:space="preserve"> example, </w:t>
      </w:r>
      <w:proofErr w:type="spellStart"/>
      <w:r w:rsidRPr="00595ED7">
        <w:rPr>
          <w:rFonts w:ascii="Times New Roman" w:hAnsi="Times New Roman" w:cs="Times New Roman"/>
          <w:sz w:val="24"/>
          <w:szCs w:val="24"/>
        </w:rPr>
        <w:t>Lennio</w:t>
      </w:r>
      <w:proofErr w:type="spellEnd"/>
      <w:r w:rsidRPr="00595ED7">
        <w:rPr>
          <w:rFonts w:ascii="Times New Roman" w:hAnsi="Times New Roman" w:cs="Times New Roman"/>
          <w:sz w:val="24"/>
          <w:szCs w:val="24"/>
        </w:rPr>
        <w:t xml:space="preserve"> (1564) recommends to</w:t>
      </w:r>
      <w:r>
        <w:rPr>
          <w:rFonts w:ascii="Times New Roman" w:hAnsi="Times New Roman" w:cs="Times New Roman"/>
          <w:sz w:val="24"/>
          <w:szCs w:val="24"/>
        </w:rPr>
        <w:t xml:space="preserve"> </w:t>
      </w:r>
      <w:r w:rsidRPr="00595ED7">
        <w:rPr>
          <w:rFonts w:ascii="Times New Roman" w:hAnsi="Times New Roman" w:cs="Times New Roman"/>
          <w:sz w:val="24"/>
          <w:szCs w:val="24"/>
        </w:rPr>
        <w:t xml:space="preserve">bring to the nostrils </w:t>
      </w:r>
      <w:r>
        <w:rPr>
          <w:rFonts w:ascii="Times New Roman" w:hAnsi="Times New Roman" w:cs="Times New Roman"/>
          <w:sz w:val="24"/>
          <w:szCs w:val="24"/>
        </w:rPr>
        <w:t>‘</w:t>
      </w:r>
      <w:r w:rsidRPr="00595ED7">
        <w:rPr>
          <w:rFonts w:ascii="Times New Roman" w:hAnsi="Times New Roman" w:cs="Times New Roman"/>
          <w:sz w:val="24"/>
          <w:szCs w:val="24"/>
        </w:rPr>
        <w:t>scented things</w:t>
      </w:r>
      <w:r>
        <w:rPr>
          <w:rFonts w:ascii="Times New Roman" w:hAnsi="Times New Roman" w:cs="Times New Roman"/>
          <w:sz w:val="24"/>
          <w:szCs w:val="24"/>
        </w:rPr>
        <w:t>’</w:t>
      </w:r>
      <w:r w:rsidRPr="00595ED7">
        <w:rPr>
          <w:rFonts w:ascii="Times New Roman" w:hAnsi="Times New Roman" w:cs="Times New Roman"/>
          <w:sz w:val="24"/>
          <w:szCs w:val="24"/>
        </w:rPr>
        <w:t xml:space="preserve">, especially those colourful and of vibrant nature, such as aloe, cloves, </w:t>
      </w:r>
      <w:r w:rsidR="00A21EA5" w:rsidRPr="00A21EA5">
        <w:rPr>
          <w:rFonts w:ascii="Times New Roman" w:hAnsi="Times New Roman" w:cs="Times New Roman"/>
          <w:sz w:val="24"/>
          <w:szCs w:val="24"/>
        </w:rPr>
        <w:t>rosemary flowers and roses since their cheerful smell restores the brain and re-creates the spirits.</w:t>
      </w:r>
      <w:r w:rsidR="00BD6CAD">
        <w:rPr>
          <w:rStyle w:val="FootnoteReference"/>
          <w:rFonts w:ascii="Times New Roman" w:hAnsi="Times New Roman" w:cs="Times New Roman"/>
          <w:sz w:val="24"/>
          <w:szCs w:val="24"/>
        </w:rPr>
        <w:footnoteReference w:id="93"/>
      </w:r>
      <w:r w:rsidR="00A21EA5" w:rsidRPr="00A21EA5">
        <w:rPr>
          <w:rFonts w:ascii="Times New Roman" w:hAnsi="Times New Roman" w:cs="Times New Roman"/>
          <w:sz w:val="24"/>
          <w:szCs w:val="24"/>
        </w:rPr>
        <w:t xml:space="preserve">   </w:t>
      </w:r>
      <w:r w:rsidR="006238F4">
        <w:rPr>
          <w:rFonts w:ascii="Times New Roman" w:hAnsi="Times New Roman" w:cs="Times New Roman"/>
          <w:sz w:val="24"/>
          <w:szCs w:val="24"/>
        </w:rPr>
        <w:t>(</w:t>
      </w:r>
      <w:r w:rsidR="006238F4" w:rsidRPr="006238F4">
        <w:rPr>
          <w:rFonts w:ascii="Times New Roman" w:hAnsi="Times New Roman" w:cs="Times New Roman"/>
          <w:b/>
          <w:sz w:val="24"/>
          <w:szCs w:val="24"/>
        </w:rPr>
        <w:t>INSERT FIG.2</w:t>
      </w:r>
      <w:r w:rsidR="00A21EA5" w:rsidRPr="00A21EA5">
        <w:rPr>
          <w:rFonts w:ascii="Times New Roman" w:hAnsi="Times New Roman" w:cs="Times New Roman"/>
          <w:b/>
          <w:sz w:val="24"/>
          <w:szCs w:val="24"/>
        </w:rPr>
        <w:t xml:space="preserve"> and Fig.3 HERE, next to each others</w:t>
      </w:r>
      <w:r w:rsidR="006238F4">
        <w:rPr>
          <w:rFonts w:ascii="Times New Roman" w:hAnsi="Times New Roman" w:cs="Times New Roman"/>
          <w:sz w:val="24"/>
          <w:szCs w:val="24"/>
        </w:rPr>
        <w:t>)</w:t>
      </w:r>
    </w:p>
    <w:p w:rsidR="00521217" w:rsidRDefault="00A21EA5" w:rsidP="003D6B7F">
      <w:pPr>
        <w:spacing w:after="0" w:line="360" w:lineRule="auto"/>
        <w:jc w:val="both"/>
        <w:rPr>
          <w:rFonts w:ascii="Times New Roman" w:hAnsi="Times New Roman" w:cs="Times New Roman"/>
          <w:sz w:val="24"/>
          <w:szCs w:val="24"/>
        </w:rPr>
      </w:pPr>
      <w:r w:rsidRPr="00A21EA5">
        <w:rPr>
          <w:rFonts w:ascii="Times New Roman" w:hAnsi="Times New Roman" w:cs="Times New Roman"/>
          <w:sz w:val="24"/>
          <w:szCs w:val="24"/>
        </w:rPr>
        <w:tab/>
        <w:t>These smelling vessels also differ from the pomander, another scent-related object. Mentioned already in the late thirteen century, pomanders were perforated metal spheres holding a perfumed ball made of aromatic paste or solid balsam that continuously gave off scent</w:t>
      </w:r>
      <w:r w:rsidR="00D9518D">
        <w:rPr>
          <w:rFonts w:ascii="Times New Roman" w:hAnsi="Times New Roman" w:cs="Times New Roman"/>
          <w:sz w:val="24"/>
          <w:szCs w:val="24"/>
        </w:rPr>
        <w:t xml:space="preserve"> (fig.3)</w:t>
      </w:r>
      <w:r w:rsidRPr="00A21EA5">
        <w:rPr>
          <w:rFonts w:ascii="Times New Roman" w:hAnsi="Times New Roman" w:cs="Times New Roman"/>
          <w:sz w:val="24"/>
          <w:szCs w:val="24"/>
        </w:rPr>
        <w:t>, precisely like the perfume burner discussed above.</w:t>
      </w:r>
      <w:r w:rsidR="00BD6CAD">
        <w:rPr>
          <w:rStyle w:val="FootnoteReference"/>
          <w:rFonts w:ascii="Times New Roman" w:hAnsi="Times New Roman" w:cs="Times New Roman"/>
          <w:sz w:val="24"/>
          <w:szCs w:val="24"/>
        </w:rPr>
        <w:footnoteReference w:id="94"/>
      </w:r>
      <w:r w:rsidRPr="00A21EA5">
        <w:rPr>
          <w:rFonts w:ascii="Times New Roman" w:hAnsi="Times New Roman" w:cs="Times New Roman"/>
          <w:sz w:val="24"/>
          <w:szCs w:val="24"/>
        </w:rPr>
        <w:t xml:space="preserve"> Pomanders bear resemblance with scent flasks since they were also worn, often ha</w:t>
      </w:r>
      <w:r w:rsidR="00521217" w:rsidRPr="009B3C19">
        <w:rPr>
          <w:rFonts w:ascii="Times New Roman" w:hAnsi="Times New Roman" w:cs="Times New Roman"/>
          <w:sz w:val="24"/>
          <w:szCs w:val="24"/>
        </w:rPr>
        <w:t>nging from a necklace</w:t>
      </w:r>
      <w:r w:rsidR="00D83B4C">
        <w:rPr>
          <w:rFonts w:ascii="Times New Roman" w:hAnsi="Times New Roman" w:cs="Times New Roman"/>
          <w:sz w:val="24"/>
          <w:szCs w:val="24"/>
        </w:rPr>
        <w:t xml:space="preserve"> or belt</w:t>
      </w:r>
      <w:r w:rsidR="00521217" w:rsidRPr="009B3C19">
        <w:rPr>
          <w:rFonts w:ascii="Times New Roman" w:hAnsi="Times New Roman" w:cs="Times New Roman"/>
          <w:sz w:val="24"/>
          <w:szCs w:val="24"/>
        </w:rPr>
        <w:t xml:space="preserve"> (as many portraits doc</w:t>
      </w:r>
      <w:r w:rsidR="00521217">
        <w:rPr>
          <w:rFonts w:ascii="Times New Roman" w:hAnsi="Times New Roman" w:cs="Times New Roman"/>
          <w:sz w:val="24"/>
          <w:szCs w:val="24"/>
        </w:rPr>
        <w:t>ument)</w:t>
      </w:r>
      <w:r w:rsidR="00D83B4C">
        <w:rPr>
          <w:rFonts w:ascii="Times New Roman" w:hAnsi="Times New Roman" w:cs="Times New Roman"/>
          <w:sz w:val="24"/>
          <w:szCs w:val="24"/>
        </w:rPr>
        <w:t>, or being used as rosary beads</w:t>
      </w:r>
      <w:r w:rsidR="006234EA">
        <w:rPr>
          <w:rFonts w:ascii="Times New Roman" w:hAnsi="Times New Roman" w:cs="Times New Roman"/>
          <w:sz w:val="24"/>
          <w:szCs w:val="24"/>
        </w:rPr>
        <w:t>;</w:t>
      </w:r>
      <w:r w:rsidR="00521217" w:rsidRPr="009B3C19">
        <w:rPr>
          <w:rFonts w:ascii="Times New Roman" w:hAnsi="Times New Roman" w:cs="Times New Roman"/>
          <w:sz w:val="24"/>
          <w:szCs w:val="24"/>
        </w:rPr>
        <w:t xml:space="preserve"> </w:t>
      </w:r>
      <w:r w:rsidR="001308A8">
        <w:rPr>
          <w:rFonts w:ascii="Times New Roman" w:hAnsi="Times New Roman" w:cs="Times New Roman"/>
          <w:sz w:val="24"/>
          <w:szCs w:val="24"/>
        </w:rPr>
        <w:t xml:space="preserve">the </w:t>
      </w:r>
      <w:r w:rsidR="00521217" w:rsidRPr="009B3C19">
        <w:rPr>
          <w:rFonts w:ascii="Times New Roman" w:hAnsi="Times New Roman" w:cs="Times New Roman"/>
          <w:sz w:val="24"/>
          <w:szCs w:val="24"/>
        </w:rPr>
        <w:t>function</w:t>
      </w:r>
      <w:r w:rsidR="001308A8">
        <w:rPr>
          <w:rFonts w:ascii="Times New Roman" w:hAnsi="Times New Roman" w:cs="Times New Roman"/>
          <w:sz w:val="24"/>
          <w:szCs w:val="24"/>
        </w:rPr>
        <w:t xml:space="preserve"> of scent flasks</w:t>
      </w:r>
      <w:r w:rsidR="005A51BC">
        <w:rPr>
          <w:rFonts w:ascii="Times New Roman" w:hAnsi="Times New Roman" w:cs="Times New Roman"/>
          <w:sz w:val="24"/>
          <w:szCs w:val="24"/>
        </w:rPr>
        <w:t xml:space="preserve">, however, </w:t>
      </w:r>
      <w:r w:rsidR="00521217" w:rsidRPr="009B3C19">
        <w:rPr>
          <w:rFonts w:ascii="Times New Roman" w:hAnsi="Times New Roman" w:cs="Times New Roman"/>
          <w:sz w:val="24"/>
          <w:szCs w:val="24"/>
        </w:rPr>
        <w:t>w</w:t>
      </w:r>
      <w:r w:rsidR="006234EA">
        <w:rPr>
          <w:rFonts w:ascii="Times New Roman" w:hAnsi="Times New Roman" w:cs="Times New Roman"/>
          <w:sz w:val="24"/>
          <w:szCs w:val="24"/>
        </w:rPr>
        <w:t>as</w:t>
      </w:r>
      <w:r w:rsidR="00521217" w:rsidRPr="009B3C19">
        <w:rPr>
          <w:rFonts w:ascii="Times New Roman" w:hAnsi="Times New Roman" w:cs="Times New Roman"/>
          <w:sz w:val="24"/>
          <w:szCs w:val="24"/>
        </w:rPr>
        <w:t xml:space="preserve"> different</w:t>
      </w:r>
      <w:r w:rsidR="005A51BC">
        <w:rPr>
          <w:rFonts w:ascii="Times New Roman" w:hAnsi="Times New Roman" w:cs="Times New Roman"/>
          <w:sz w:val="24"/>
          <w:szCs w:val="24"/>
        </w:rPr>
        <w:t>, th</w:t>
      </w:r>
      <w:r w:rsidR="00521217" w:rsidRPr="009B3C19">
        <w:rPr>
          <w:rFonts w:ascii="Times New Roman" w:hAnsi="Times New Roman" w:cs="Times New Roman"/>
          <w:sz w:val="24"/>
          <w:szCs w:val="24"/>
        </w:rPr>
        <w:t>e</w:t>
      </w:r>
      <w:r w:rsidR="006234EA">
        <w:rPr>
          <w:rFonts w:ascii="Times New Roman" w:hAnsi="Times New Roman" w:cs="Times New Roman"/>
          <w:sz w:val="24"/>
          <w:szCs w:val="24"/>
        </w:rPr>
        <w:t xml:space="preserve">y </w:t>
      </w:r>
      <w:r w:rsidR="00447839">
        <w:rPr>
          <w:rFonts w:ascii="Times New Roman" w:hAnsi="Times New Roman" w:cs="Times New Roman"/>
          <w:sz w:val="24"/>
          <w:szCs w:val="24"/>
        </w:rPr>
        <w:t>promoted</w:t>
      </w:r>
      <w:r w:rsidR="00521217" w:rsidRPr="009B3C19">
        <w:rPr>
          <w:rFonts w:ascii="Times New Roman" w:hAnsi="Times New Roman" w:cs="Times New Roman"/>
          <w:sz w:val="24"/>
          <w:szCs w:val="24"/>
        </w:rPr>
        <w:t xml:space="preserve"> the health of the individual consumer</w:t>
      </w:r>
      <w:r w:rsidR="00AB393D">
        <w:rPr>
          <w:rFonts w:ascii="Times New Roman" w:hAnsi="Times New Roman" w:cs="Times New Roman"/>
          <w:sz w:val="24"/>
          <w:szCs w:val="24"/>
        </w:rPr>
        <w:t>’s brain</w:t>
      </w:r>
      <w:r w:rsidR="00521217" w:rsidRPr="009B3C19">
        <w:rPr>
          <w:rFonts w:ascii="Times New Roman" w:hAnsi="Times New Roman" w:cs="Times New Roman"/>
          <w:sz w:val="24"/>
          <w:szCs w:val="24"/>
        </w:rPr>
        <w:t xml:space="preserve">, </w:t>
      </w:r>
      <w:r w:rsidR="00AB393D">
        <w:rPr>
          <w:rFonts w:ascii="Times New Roman" w:hAnsi="Times New Roman" w:cs="Times New Roman"/>
          <w:sz w:val="24"/>
          <w:szCs w:val="24"/>
        </w:rPr>
        <w:t xml:space="preserve">vehicle of </w:t>
      </w:r>
      <w:r w:rsidR="00521217" w:rsidRPr="009B3C19">
        <w:rPr>
          <w:rFonts w:ascii="Times New Roman" w:hAnsi="Times New Roman" w:cs="Times New Roman"/>
          <w:sz w:val="24"/>
          <w:szCs w:val="24"/>
        </w:rPr>
        <w:t xml:space="preserve">his spiritual health, </w:t>
      </w:r>
      <w:r w:rsidR="00447839">
        <w:rPr>
          <w:rFonts w:ascii="Times New Roman" w:hAnsi="Times New Roman" w:cs="Times New Roman"/>
          <w:sz w:val="24"/>
          <w:szCs w:val="24"/>
        </w:rPr>
        <w:t xml:space="preserve">rather </w:t>
      </w:r>
      <w:r w:rsidR="00521217" w:rsidRPr="009B3C19">
        <w:rPr>
          <w:rFonts w:ascii="Times New Roman" w:hAnsi="Times New Roman" w:cs="Times New Roman"/>
          <w:sz w:val="24"/>
          <w:szCs w:val="24"/>
        </w:rPr>
        <w:t xml:space="preserve">than the </w:t>
      </w:r>
      <w:r w:rsidR="00712CB6">
        <w:rPr>
          <w:rFonts w:ascii="Times New Roman" w:hAnsi="Times New Roman" w:cs="Times New Roman"/>
          <w:sz w:val="24"/>
          <w:szCs w:val="24"/>
        </w:rPr>
        <w:t>soundness</w:t>
      </w:r>
      <w:r w:rsidR="00521217" w:rsidRPr="009B3C19">
        <w:rPr>
          <w:rFonts w:ascii="Times New Roman" w:hAnsi="Times New Roman" w:cs="Times New Roman"/>
          <w:sz w:val="24"/>
          <w:szCs w:val="24"/>
        </w:rPr>
        <w:t xml:space="preserve"> of domestic air.  </w:t>
      </w:r>
      <w:r w:rsidR="00521217">
        <w:rPr>
          <w:rFonts w:ascii="Times New Roman" w:hAnsi="Times New Roman" w:cs="Times New Roman"/>
          <w:sz w:val="24"/>
          <w:szCs w:val="24"/>
        </w:rPr>
        <w:t>Studies on</w:t>
      </w:r>
      <w:r w:rsidR="00521217" w:rsidRPr="009B3C19">
        <w:rPr>
          <w:rFonts w:ascii="Times New Roman" w:hAnsi="Times New Roman" w:cs="Times New Roman"/>
          <w:sz w:val="24"/>
          <w:szCs w:val="24"/>
        </w:rPr>
        <w:t xml:space="preserve"> the material culture of scent have long ignored </w:t>
      </w:r>
      <w:r w:rsidR="00521217">
        <w:rPr>
          <w:rFonts w:ascii="Times New Roman" w:hAnsi="Times New Roman" w:cs="Times New Roman"/>
          <w:sz w:val="24"/>
          <w:szCs w:val="24"/>
        </w:rPr>
        <w:t>these distinctions</w:t>
      </w:r>
      <w:r w:rsidR="00521217" w:rsidRPr="009B3C19">
        <w:rPr>
          <w:rFonts w:ascii="Times New Roman" w:hAnsi="Times New Roman" w:cs="Times New Roman"/>
          <w:sz w:val="24"/>
          <w:szCs w:val="24"/>
        </w:rPr>
        <w:t xml:space="preserve">, </w:t>
      </w:r>
      <w:r w:rsidR="00521217">
        <w:rPr>
          <w:rFonts w:ascii="Times New Roman" w:hAnsi="Times New Roman" w:cs="Times New Roman"/>
          <w:sz w:val="24"/>
          <w:szCs w:val="24"/>
        </w:rPr>
        <w:t xml:space="preserve">they have tended to define ‘pomander’ </w:t>
      </w:r>
      <w:r w:rsidR="00521217" w:rsidRPr="009B3C19">
        <w:rPr>
          <w:rFonts w:ascii="Times New Roman" w:hAnsi="Times New Roman" w:cs="Times New Roman"/>
          <w:sz w:val="24"/>
          <w:szCs w:val="24"/>
        </w:rPr>
        <w:t>any portable perfume receptacle and attribute</w:t>
      </w:r>
      <w:r w:rsidR="00521217">
        <w:rPr>
          <w:rFonts w:ascii="Times New Roman" w:hAnsi="Times New Roman" w:cs="Times New Roman"/>
          <w:sz w:val="24"/>
          <w:szCs w:val="24"/>
        </w:rPr>
        <w:t xml:space="preserve"> identical functions to all of them. Only recently </w:t>
      </w:r>
      <w:r w:rsidR="006A2059">
        <w:rPr>
          <w:rFonts w:ascii="Times New Roman" w:hAnsi="Times New Roman" w:cs="Times New Roman"/>
          <w:sz w:val="24"/>
          <w:szCs w:val="24"/>
        </w:rPr>
        <w:lastRenderedPageBreak/>
        <w:t xml:space="preserve">has </w:t>
      </w:r>
      <w:r w:rsidR="00521217">
        <w:rPr>
          <w:rFonts w:ascii="Times New Roman" w:hAnsi="Times New Roman" w:cs="Times New Roman"/>
          <w:sz w:val="24"/>
          <w:szCs w:val="24"/>
        </w:rPr>
        <w:t xml:space="preserve">the use of this umbrella term been challenged and </w:t>
      </w:r>
      <w:r w:rsidR="006A2059">
        <w:rPr>
          <w:rFonts w:ascii="Times New Roman" w:hAnsi="Times New Roman" w:cs="Times New Roman"/>
          <w:sz w:val="24"/>
          <w:szCs w:val="24"/>
        </w:rPr>
        <w:t xml:space="preserve">have </w:t>
      </w:r>
      <w:r w:rsidR="00521217">
        <w:rPr>
          <w:rFonts w:ascii="Times New Roman" w:hAnsi="Times New Roman" w:cs="Times New Roman"/>
          <w:sz w:val="24"/>
          <w:szCs w:val="24"/>
        </w:rPr>
        <w:t>important differences in the purpose of variedly shaped perfume containers begun to be drawn.</w:t>
      </w:r>
      <w:r w:rsidR="00521217">
        <w:rPr>
          <w:rStyle w:val="FootnoteReference"/>
          <w:rFonts w:ascii="Times New Roman" w:hAnsi="Times New Roman" w:cs="Times New Roman"/>
          <w:sz w:val="24"/>
          <w:szCs w:val="24"/>
        </w:rPr>
        <w:footnoteReference w:id="95"/>
      </w:r>
      <w:r w:rsidR="00521217" w:rsidRPr="00595ED7">
        <w:rPr>
          <w:rFonts w:ascii="Times New Roman" w:hAnsi="Times New Roman" w:cs="Times New Roman"/>
          <w:sz w:val="24"/>
          <w:szCs w:val="24"/>
        </w:rPr>
        <w:t xml:space="preserve"> </w:t>
      </w:r>
    </w:p>
    <w:p w:rsidR="00F67707" w:rsidRDefault="0052121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appearance of smelling flasks was facilitated by </w:t>
      </w:r>
      <w:r w:rsidR="005A51BC">
        <w:rPr>
          <w:rFonts w:ascii="Times New Roman" w:hAnsi="Times New Roman" w:cs="Times New Roman"/>
          <w:sz w:val="24"/>
          <w:szCs w:val="24"/>
        </w:rPr>
        <w:t xml:space="preserve">technological </w:t>
      </w:r>
      <w:proofErr w:type="gramStart"/>
      <w:r>
        <w:rPr>
          <w:rFonts w:ascii="Times New Roman" w:hAnsi="Times New Roman" w:cs="Times New Roman"/>
          <w:sz w:val="24"/>
          <w:szCs w:val="24"/>
        </w:rPr>
        <w:t>improvements  aimed</w:t>
      </w:r>
      <w:proofErr w:type="gramEnd"/>
      <w:r>
        <w:rPr>
          <w:rFonts w:ascii="Times New Roman" w:hAnsi="Times New Roman" w:cs="Times New Roman"/>
          <w:sz w:val="24"/>
          <w:szCs w:val="24"/>
        </w:rPr>
        <w:t xml:space="preserve"> to keep containers firmly sealed and prevent fragrances from evaporating. Indeed, tightly fitting stoppers and lids only became available in the sixteenth century, following the development of new techniques for making screws and threads.</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w:t>
      </w:r>
      <w:r w:rsidR="0059261D">
        <w:rPr>
          <w:rFonts w:ascii="Times New Roman" w:hAnsi="Times New Roman" w:cs="Times New Roman"/>
          <w:sz w:val="24"/>
          <w:szCs w:val="24"/>
        </w:rPr>
        <w:t xml:space="preserve"> H</w:t>
      </w:r>
      <w:r>
        <w:rPr>
          <w:rFonts w:ascii="Times New Roman" w:hAnsi="Times New Roman" w:cs="Times New Roman"/>
          <w:sz w:val="24"/>
          <w:szCs w:val="24"/>
        </w:rPr>
        <w:t xml:space="preserve">owever, </w:t>
      </w:r>
      <w:r w:rsidR="0059261D">
        <w:rPr>
          <w:rFonts w:ascii="Times New Roman" w:hAnsi="Times New Roman" w:cs="Times New Roman"/>
          <w:sz w:val="24"/>
          <w:szCs w:val="24"/>
        </w:rPr>
        <w:t xml:space="preserve">a key factor </w:t>
      </w:r>
      <w:r w:rsidR="00513666">
        <w:rPr>
          <w:rFonts w:ascii="Times New Roman" w:hAnsi="Times New Roman" w:cs="Times New Roman"/>
          <w:sz w:val="24"/>
          <w:szCs w:val="24"/>
        </w:rPr>
        <w:t>in</w:t>
      </w:r>
      <w:r w:rsidR="0059261D">
        <w:rPr>
          <w:rFonts w:ascii="Times New Roman" w:hAnsi="Times New Roman" w:cs="Times New Roman"/>
          <w:sz w:val="24"/>
          <w:szCs w:val="24"/>
        </w:rPr>
        <w:t xml:space="preserve"> </w:t>
      </w:r>
      <w:r>
        <w:rPr>
          <w:rFonts w:ascii="Times New Roman" w:hAnsi="Times New Roman" w:cs="Times New Roman"/>
          <w:sz w:val="24"/>
          <w:szCs w:val="24"/>
        </w:rPr>
        <w:t xml:space="preserve">the expansion </w:t>
      </w:r>
      <w:r w:rsidR="0059261D">
        <w:rPr>
          <w:rFonts w:ascii="Times New Roman" w:hAnsi="Times New Roman" w:cs="Times New Roman"/>
          <w:sz w:val="24"/>
          <w:szCs w:val="24"/>
        </w:rPr>
        <w:t>of</w:t>
      </w:r>
      <w:r>
        <w:rPr>
          <w:rFonts w:ascii="Times New Roman" w:hAnsi="Times New Roman" w:cs="Times New Roman"/>
          <w:sz w:val="24"/>
          <w:szCs w:val="24"/>
        </w:rPr>
        <w:t xml:space="preserve"> the purposes of perfuming </w:t>
      </w:r>
      <w:r w:rsidR="0059261D">
        <w:rPr>
          <w:rFonts w:ascii="Times New Roman" w:hAnsi="Times New Roman" w:cs="Times New Roman"/>
          <w:sz w:val="24"/>
          <w:szCs w:val="24"/>
        </w:rPr>
        <w:t>wa</w:t>
      </w:r>
      <w:r>
        <w:rPr>
          <w:rFonts w:ascii="Times New Roman" w:hAnsi="Times New Roman" w:cs="Times New Roman"/>
          <w:sz w:val="24"/>
          <w:szCs w:val="24"/>
        </w:rPr>
        <w:t xml:space="preserve">s the </w:t>
      </w:r>
      <w:r w:rsidR="0059261D">
        <w:rPr>
          <w:rFonts w:ascii="Times New Roman" w:hAnsi="Times New Roman" w:cs="Times New Roman"/>
          <w:sz w:val="24"/>
          <w:szCs w:val="24"/>
        </w:rPr>
        <w:t>increased</w:t>
      </w:r>
      <w:r>
        <w:rPr>
          <w:rFonts w:ascii="Times New Roman" w:hAnsi="Times New Roman" w:cs="Times New Roman"/>
          <w:sz w:val="24"/>
          <w:szCs w:val="24"/>
        </w:rPr>
        <w:t xml:space="preserve"> preoccupation with the</w:t>
      </w:r>
      <w:r w:rsidR="007B6BDD" w:rsidRPr="007B6BDD">
        <w:rPr>
          <w:rFonts w:ascii="Times New Roman" w:hAnsi="Times New Roman" w:cs="Times New Roman"/>
          <w:sz w:val="24"/>
          <w:szCs w:val="24"/>
        </w:rPr>
        <w:t xml:space="preserve"> quality</w:t>
      </w:r>
      <w:r>
        <w:rPr>
          <w:rFonts w:ascii="Times New Roman" w:hAnsi="Times New Roman" w:cs="Times New Roman"/>
          <w:sz w:val="24"/>
          <w:szCs w:val="24"/>
        </w:rPr>
        <w:t xml:space="preserve"> of sensory experience, </w:t>
      </w:r>
      <w:r w:rsidR="00310E9A">
        <w:rPr>
          <w:rFonts w:ascii="Times New Roman" w:hAnsi="Times New Roman" w:cs="Times New Roman"/>
          <w:sz w:val="24"/>
          <w:szCs w:val="24"/>
        </w:rPr>
        <w:t xml:space="preserve">regarded as </w:t>
      </w:r>
      <w:r>
        <w:rPr>
          <w:rFonts w:ascii="Times New Roman" w:hAnsi="Times New Roman" w:cs="Times New Roman"/>
          <w:sz w:val="24"/>
          <w:szCs w:val="24"/>
        </w:rPr>
        <w:t xml:space="preserve">crucial to the health of the soul, </w:t>
      </w:r>
      <w:r w:rsidR="00310E9A">
        <w:rPr>
          <w:rFonts w:ascii="Times New Roman" w:hAnsi="Times New Roman" w:cs="Times New Roman"/>
          <w:sz w:val="24"/>
          <w:szCs w:val="24"/>
        </w:rPr>
        <w:t>which</w:t>
      </w:r>
      <w:r>
        <w:rPr>
          <w:rFonts w:ascii="Times New Roman" w:hAnsi="Times New Roman" w:cs="Times New Roman"/>
          <w:sz w:val="24"/>
          <w:szCs w:val="24"/>
        </w:rPr>
        <w:t xml:space="preserve"> characterises late Renaissance culture. </w:t>
      </w:r>
      <w:r w:rsidR="0081585B">
        <w:rPr>
          <w:rFonts w:ascii="Times New Roman" w:hAnsi="Times New Roman" w:cs="Times New Roman"/>
          <w:sz w:val="24"/>
          <w:szCs w:val="24"/>
        </w:rPr>
        <w:t>Hence</w:t>
      </w:r>
      <w:r>
        <w:rPr>
          <w:rFonts w:ascii="Times New Roman" w:hAnsi="Times New Roman" w:cs="Times New Roman"/>
          <w:sz w:val="24"/>
          <w:szCs w:val="24"/>
        </w:rPr>
        <w:t xml:space="preserve"> the role that not just fragrant air but the quality of the air more in general play</w:t>
      </w:r>
      <w:r w:rsidR="0081585B">
        <w:rPr>
          <w:rFonts w:ascii="Times New Roman" w:hAnsi="Times New Roman" w:cs="Times New Roman"/>
          <w:sz w:val="24"/>
          <w:szCs w:val="24"/>
        </w:rPr>
        <w:t>ed</w:t>
      </w:r>
      <w:r w:rsidRPr="00E32E85">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32E85">
        <w:rPr>
          <w:rFonts w:ascii="Times New Roman" w:hAnsi="Times New Roman" w:cs="Times New Roman"/>
          <w:sz w:val="24"/>
          <w:szCs w:val="24"/>
        </w:rPr>
        <w:t xml:space="preserve">spiritual </w:t>
      </w:r>
      <w:r>
        <w:rPr>
          <w:rFonts w:ascii="Times New Roman" w:hAnsi="Times New Roman" w:cs="Times New Roman"/>
          <w:sz w:val="24"/>
          <w:szCs w:val="24"/>
        </w:rPr>
        <w:t>wellbeing</w:t>
      </w:r>
      <w:r w:rsidR="0081585B">
        <w:rPr>
          <w:rFonts w:ascii="Times New Roman" w:hAnsi="Times New Roman" w:cs="Times New Roman"/>
          <w:sz w:val="24"/>
          <w:szCs w:val="24"/>
        </w:rPr>
        <w:t xml:space="preserve"> wa</w:t>
      </w:r>
      <w:r>
        <w:rPr>
          <w:rFonts w:ascii="Times New Roman" w:hAnsi="Times New Roman" w:cs="Times New Roman"/>
          <w:sz w:val="24"/>
          <w:szCs w:val="24"/>
        </w:rPr>
        <w:t>s emphasised in the writings of medical authors</w:t>
      </w:r>
      <w:r w:rsidR="00310E9A">
        <w:rPr>
          <w:rFonts w:ascii="Times New Roman" w:hAnsi="Times New Roman" w:cs="Times New Roman"/>
          <w:sz w:val="24"/>
          <w:szCs w:val="24"/>
        </w:rPr>
        <w:t xml:space="preserve">, </w:t>
      </w:r>
      <w:r>
        <w:rPr>
          <w:rFonts w:ascii="Times New Roman" w:hAnsi="Times New Roman" w:cs="Times New Roman"/>
          <w:sz w:val="24"/>
          <w:szCs w:val="24"/>
        </w:rPr>
        <w:t xml:space="preserve"> architects and humanists </w:t>
      </w:r>
      <w:r w:rsidR="00310E9A">
        <w:rPr>
          <w:rFonts w:ascii="Times New Roman" w:hAnsi="Times New Roman" w:cs="Times New Roman"/>
          <w:sz w:val="24"/>
          <w:szCs w:val="24"/>
        </w:rPr>
        <w:t>alike</w:t>
      </w:r>
      <w:r>
        <w:rPr>
          <w:rFonts w:ascii="Times New Roman" w:hAnsi="Times New Roman" w:cs="Times New Roman"/>
          <w:sz w:val="24"/>
          <w:szCs w:val="24"/>
        </w:rPr>
        <w:t xml:space="preserve">. </w:t>
      </w:r>
      <w:r w:rsidRPr="00595ED7">
        <w:rPr>
          <w:rFonts w:ascii="Times New Roman" w:hAnsi="Times New Roman" w:cs="Times New Roman"/>
          <w:sz w:val="24"/>
          <w:szCs w:val="24"/>
        </w:rPr>
        <w:t xml:space="preserve">See for example how the positive effects of </w:t>
      </w:r>
      <w:r>
        <w:rPr>
          <w:rFonts w:ascii="Times New Roman" w:hAnsi="Times New Roman" w:cs="Times New Roman"/>
          <w:sz w:val="24"/>
          <w:szCs w:val="24"/>
        </w:rPr>
        <w:t xml:space="preserve">good </w:t>
      </w:r>
      <w:r w:rsidRPr="00595ED7">
        <w:rPr>
          <w:rFonts w:ascii="Times New Roman" w:hAnsi="Times New Roman" w:cs="Times New Roman"/>
          <w:sz w:val="24"/>
          <w:szCs w:val="24"/>
        </w:rPr>
        <w:t>air are described in a text on the advantages of villa life: ‘How can I express the satisfaction that we get from the pure air here, which is so refreshing to the spirit? We find it wonderfully stimulating and at the same time it soothes the brain, purges the mind, calms the spirit and strengthens the body’.</w:t>
      </w:r>
      <w:r w:rsidRPr="00595ED7">
        <w:rPr>
          <w:rStyle w:val="FootnoteReference"/>
          <w:rFonts w:ascii="Times New Roman" w:hAnsi="Times New Roman" w:cs="Times New Roman"/>
          <w:sz w:val="24"/>
          <w:szCs w:val="24"/>
        </w:rPr>
        <w:footnoteReference w:id="97"/>
      </w:r>
      <w:r w:rsidRPr="00595ED7">
        <w:rPr>
          <w:rFonts w:ascii="Times New Roman" w:hAnsi="Times New Roman" w:cs="Times New Roman"/>
          <w:sz w:val="24"/>
          <w:szCs w:val="24"/>
        </w:rPr>
        <w:t xml:space="preserve"> Architect </w:t>
      </w:r>
      <w:proofErr w:type="spellStart"/>
      <w:r w:rsidRPr="00595ED7">
        <w:rPr>
          <w:rFonts w:ascii="Times New Roman" w:hAnsi="Times New Roman" w:cs="Times New Roman"/>
          <w:sz w:val="24"/>
          <w:szCs w:val="24"/>
        </w:rPr>
        <w:t>Scamozzi</w:t>
      </w:r>
      <w:proofErr w:type="spellEnd"/>
      <w:r w:rsidRPr="00595ED7">
        <w:rPr>
          <w:rFonts w:ascii="Times New Roman" w:hAnsi="Times New Roman" w:cs="Times New Roman"/>
          <w:sz w:val="24"/>
          <w:szCs w:val="24"/>
        </w:rPr>
        <w:t xml:space="preserve"> </w:t>
      </w:r>
      <w:r w:rsidR="00F6085C">
        <w:rPr>
          <w:rFonts w:ascii="Times New Roman" w:hAnsi="Times New Roman" w:cs="Times New Roman"/>
          <w:sz w:val="24"/>
          <w:szCs w:val="24"/>
        </w:rPr>
        <w:t xml:space="preserve">is </w:t>
      </w:r>
      <w:r w:rsidR="000D2ADD">
        <w:rPr>
          <w:rFonts w:ascii="Times New Roman" w:hAnsi="Times New Roman" w:cs="Times New Roman"/>
          <w:sz w:val="24"/>
          <w:szCs w:val="24"/>
        </w:rPr>
        <w:t xml:space="preserve">even </w:t>
      </w:r>
      <w:r w:rsidR="00F6085C">
        <w:rPr>
          <w:rFonts w:ascii="Times New Roman" w:hAnsi="Times New Roman" w:cs="Times New Roman"/>
          <w:sz w:val="24"/>
          <w:szCs w:val="24"/>
        </w:rPr>
        <w:t>more explicit</w:t>
      </w:r>
      <w:r w:rsidR="000D2ADD">
        <w:rPr>
          <w:rFonts w:ascii="Times New Roman" w:hAnsi="Times New Roman" w:cs="Times New Roman"/>
          <w:sz w:val="24"/>
          <w:szCs w:val="24"/>
        </w:rPr>
        <w:t xml:space="preserve"> in </w:t>
      </w:r>
      <w:r w:rsidR="00F6085C">
        <w:rPr>
          <w:rFonts w:ascii="Times New Roman" w:hAnsi="Times New Roman" w:cs="Times New Roman"/>
          <w:sz w:val="24"/>
          <w:szCs w:val="24"/>
        </w:rPr>
        <w:t>prais</w:t>
      </w:r>
      <w:r w:rsidR="000D2ADD">
        <w:rPr>
          <w:rFonts w:ascii="Times New Roman" w:hAnsi="Times New Roman" w:cs="Times New Roman"/>
          <w:sz w:val="24"/>
          <w:szCs w:val="24"/>
        </w:rPr>
        <w:t xml:space="preserve">ing </w:t>
      </w:r>
      <w:r w:rsidR="00F6085C">
        <w:rPr>
          <w:rFonts w:ascii="Times New Roman" w:hAnsi="Times New Roman" w:cs="Times New Roman"/>
          <w:sz w:val="24"/>
          <w:szCs w:val="24"/>
        </w:rPr>
        <w:t xml:space="preserve">the holistic impact of </w:t>
      </w:r>
      <w:r w:rsidR="000D2ADD">
        <w:rPr>
          <w:rFonts w:ascii="Times New Roman" w:hAnsi="Times New Roman" w:cs="Times New Roman"/>
          <w:sz w:val="24"/>
          <w:szCs w:val="24"/>
        </w:rPr>
        <w:t>pure air</w:t>
      </w:r>
      <w:r w:rsidRPr="00595ED7">
        <w:rPr>
          <w:rFonts w:ascii="Times New Roman" w:hAnsi="Times New Roman" w:cs="Times New Roman"/>
          <w:sz w:val="24"/>
          <w:szCs w:val="24"/>
        </w:rPr>
        <w:t xml:space="preserve">: ‘the most the air is good and close to perfection, the most it benefits not only the natural things and </w:t>
      </w:r>
      <w:r w:rsidR="00F6085C">
        <w:rPr>
          <w:rFonts w:ascii="Times New Roman" w:hAnsi="Times New Roman" w:cs="Times New Roman"/>
          <w:sz w:val="24"/>
          <w:szCs w:val="24"/>
        </w:rPr>
        <w:t>are</w:t>
      </w:r>
      <w:r w:rsidRPr="00595ED7">
        <w:rPr>
          <w:rFonts w:ascii="Times New Roman" w:hAnsi="Times New Roman" w:cs="Times New Roman"/>
          <w:sz w:val="24"/>
          <w:szCs w:val="24"/>
        </w:rPr>
        <w:t xml:space="preserve"> outside of the body but all the internal parts and even the virtues of the soul.’</w:t>
      </w:r>
      <w:r>
        <w:rPr>
          <w:rFonts w:ascii="Times New Roman" w:hAnsi="Times New Roman" w:cs="Times New Roman"/>
          <w:sz w:val="24"/>
          <w:szCs w:val="24"/>
        </w:rPr>
        <w:t xml:space="preserve"> </w:t>
      </w:r>
      <w:r w:rsidR="00DC786B">
        <w:rPr>
          <w:rFonts w:ascii="Times New Roman" w:hAnsi="Times New Roman" w:cs="Times New Roman"/>
          <w:sz w:val="24"/>
          <w:szCs w:val="24"/>
        </w:rPr>
        <w:t xml:space="preserve">Through the </w:t>
      </w:r>
      <w:r w:rsidR="00DC786B" w:rsidRPr="00762303">
        <w:rPr>
          <w:rFonts w:ascii="Times New Roman" w:hAnsi="Times New Roman" w:cs="Times New Roman"/>
          <w:sz w:val="24"/>
          <w:szCs w:val="24"/>
        </w:rPr>
        <w:t xml:space="preserve">brain, the synthesizer of sensory </w:t>
      </w:r>
      <w:r w:rsidR="00DC786B">
        <w:rPr>
          <w:rFonts w:ascii="Times New Roman" w:hAnsi="Times New Roman" w:cs="Times New Roman"/>
          <w:sz w:val="24"/>
          <w:szCs w:val="24"/>
        </w:rPr>
        <w:t xml:space="preserve">perception, </w:t>
      </w:r>
      <w:r w:rsidR="00DC786B" w:rsidRPr="00762303">
        <w:rPr>
          <w:rFonts w:ascii="Times New Roman" w:hAnsi="Times New Roman" w:cs="Times New Roman"/>
          <w:sz w:val="24"/>
          <w:szCs w:val="24"/>
        </w:rPr>
        <w:t xml:space="preserve">pure air and selected fragrances were increasingly seen to affect spiritual wellbeing. </w:t>
      </w:r>
      <w:r>
        <w:rPr>
          <w:rFonts w:ascii="Times New Roman" w:hAnsi="Times New Roman" w:cs="Times New Roman"/>
          <w:sz w:val="24"/>
          <w:szCs w:val="24"/>
        </w:rPr>
        <w:t>The</w:t>
      </w:r>
      <w:r w:rsidR="0016714E">
        <w:rPr>
          <w:rFonts w:ascii="Times New Roman" w:hAnsi="Times New Roman" w:cs="Times New Roman"/>
          <w:sz w:val="24"/>
          <w:szCs w:val="24"/>
        </w:rPr>
        <w:t xml:space="preserve"> </w:t>
      </w:r>
      <w:r w:rsidR="00A214A7">
        <w:rPr>
          <w:rFonts w:ascii="Times New Roman" w:hAnsi="Times New Roman" w:cs="Times New Roman"/>
          <w:sz w:val="24"/>
          <w:szCs w:val="24"/>
        </w:rPr>
        <w:t>expanding</w:t>
      </w:r>
      <w:r w:rsidR="00251EB4">
        <w:rPr>
          <w:rFonts w:ascii="Times New Roman" w:hAnsi="Times New Roman" w:cs="Times New Roman"/>
          <w:sz w:val="24"/>
          <w:szCs w:val="24"/>
        </w:rPr>
        <w:t xml:space="preserve"> importance</w:t>
      </w:r>
      <w:r w:rsidR="0016714E">
        <w:rPr>
          <w:rFonts w:ascii="Times New Roman" w:hAnsi="Times New Roman" w:cs="Times New Roman"/>
          <w:sz w:val="24"/>
          <w:szCs w:val="24"/>
        </w:rPr>
        <w:t xml:space="preserve"> </w:t>
      </w:r>
      <w:r>
        <w:rPr>
          <w:rFonts w:ascii="Times New Roman" w:hAnsi="Times New Roman" w:cs="Times New Roman"/>
          <w:sz w:val="24"/>
          <w:szCs w:val="24"/>
        </w:rPr>
        <w:t>of</w:t>
      </w:r>
      <w:r w:rsidR="003402F3">
        <w:rPr>
          <w:rFonts w:ascii="Times New Roman" w:hAnsi="Times New Roman" w:cs="Times New Roman"/>
          <w:sz w:val="24"/>
          <w:szCs w:val="24"/>
        </w:rPr>
        <w:t xml:space="preserve"> </w:t>
      </w:r>
      <w:r w:rsidR="0016714E">
        <w:rPr>
          <w:rFonts w:ascii="Times New Roman" w:hAnsi="Times New Roman" w:cs="Times New Roman"/>
          <w:sz w:val="24"/>
          <w:szCs w:val="24"/>
        </w:rPr>
        <w:t>aromas</w:t>
      </w:r>
      <w:r w:rsidR="00A214A7">
        <w:rPr>
          <w:rFonts w:ascii="Times New Roman" w:hAnsi="Times New Roman" w:cs="Times New Roman"/>
          <w:sz w:val="24"/>
          <w:szCs w:val="24"/>
        </w:rPr>
        <w:t xml:space="preserve">, </w:t>
      </w:r>
      <w:r w:rsidR="000D2ADD">
        <w:rPr>
          <w:rFonts w:ascii="Times New Roman" w:hAnsi="Times New Roman" w:cs="Times New Roman"/>
          <w:sz w:val="24"/>
          <w:szCs w:val="24"/>
        </w:rPr>
        <w:t xml:space="preserve">the </w:t>
      </w:r>
      <w:r w:rsidR="00A214A7">
        <w:rPr>
          <w:rFonts w:ascii="Times New Roman" w:hAnsi="Times New Roman" w:cs="Times New Roman"/>
          <w:sz w:val="24"/>
          <w:szCs w:val="24"/>
        </w:rPr>
        <w:t>rise</w:t>
      </w:r>
      <w:r>
        <w:rPr>
          <w:rFonts w:ascii="Times New Roman" w:hAnsi="Times New Roman" w:cs="Times New Roman"/>
          <w:sz w:val="24"/>
          <w:szCs w:val="24"/>
        </w:rPr>
        <w:t xml:space="preserve"> of the</w:t>
      </w:r>
      <w:r w:rsidRPr="00595ED7">
        <w:rPr>
          <w:rFonts w:ascii="Times New Roman" w:hAnsi="Times New Roman" w:cs="Times New Roman"/>
          <w:sz w:val="24"/>
          <w:szCs w:val="24"/>
        </w:rPr>
        <w:t xml:space="preserve"> Italian garden </w:t>
      </w:r>
      <w:proofErr w:type="gramStart"/>
      <w:r w:rsidRPr="00595ED7">
        <w:rPr>
          <w:rFonts w:ascii="Times New Roman" w:hAnsi="Times New Roman" w:cs="Times New Roman"/>
          <w:sz w:val="24"/>
          <w:szCs w:val="24"/>
        </w:rPr>
        <w:t xml:space="preserve">and </w:t>
      </w:r>
      <w:r w:rsidR="00A214A7">
        <w:rPr>
          <w:rFonts w:ascii="Times New Roman" w:hAnsi="Times New Roman" w:cs="Times New Roman"/>
          <w:sz w:val="24"/>
          <w:szCs w:val="24"/>
        </w:rPr>
        <w:t xml:space="preserve"> the</w:t>
      </w:r>
      <w:proofErr w:type="gramEnd"/>
      <w:r w:rsidR="00A214A7">
        <w:rPr>
          <w:rFonts w:ascii="Times New Roman" w:hAnsi="Times New Roman" w:cs="Times New Roman"/>
          <w:sz w:val="24"/>
          <w:szCs w:val="24"/>
        </w:rPr>
        <w:t xml:space="preserve"> practice of</w:t>
      </w:r>
      <w:r w:rsidRPr="00595ED7">
        <w:rPr>
          <w:rFonts w:ascii="Times New Roman" w:hAnsi="Times New Roman" w:cs="Times New Roman"/>
          <w:sz w:val="24"/>
          <w:szCs w:val="24"/>
        </w:rPr>
        <w:t xml:space="preserve"> </w:t>
      </w:r>
      <w:proofErr w:type="spellStart"/>
      <w:r w:rsidRPr="00595ED7">
        <w:rPr>
          <w:rFonts w:ascii="Times New Roman" w:hAnsi="Times New Roman" w:cs="Times New Roman"/>
          <w:i/>
          <w:sz w:val="24"/>
          <w:szCs w:val="24"/>
        </w:rPr>
        <w:t>villeggiatura</w:t>
      </w:r>
      <w:proofErr w:type="spellEnd"/>
      <w:r w:rsidRPr="00595ED7">
        <w:rPr>
          <w:rFonts w:ascii="Times New Roman" w:hAnsi="Times New Roman" w:cs="Times New Roman"/>
          <w:sz w:val="24"/>
          <w:szCs w:val="24"/>
        </w:rPr>
        <w:t xml:space="preserve"> </w:t>
      </w:r>
      <w:r w:rsidR="000D2ADD">
        <w:rPr>
          <w:rFonts w:ascii="Times New Roman" w:hAnsi="Times New Roman" w:cs="Times New Roman"/>
          <w:sz w:val="24"/>
          <w:szCs w:val="24"/>
        </w:rPr>
        <w:t>were all</w:t>
      </w:r>
      <w:r w:rsidRPr="00595ED7">
        <w:rPr>
          <w:rFonts w:ascii="Times New Roman" w:hAnsi="Times New Roman" w:cs="Times New Roman"/>
          <w:sz w:val="24"/>
          <w:szCs w:val="24"/>
        </w:rPr>
        <w:t xml:space="preserve"> </w:t>
      </w:r>
      <w:r w:rsidR="00A214A7">
        <w:rPr>
          <w:rFonts w:ascii="Times New Roman" w:hAnsi="Times New Roman" w:cs="Times New Roman"/>
          <w:sz w:val="24"/>
          <w:szCs w:val="24"/>
        </w:rPr>
        <w:t>expressions of</w:t>
      </w:r>
      <w:r>
        <w:rPr>
          <w:rFonts w:ascii="Times New Roman" w:hAnsi="Times New Roman" w:cs="Times New Roman"/>
          <w:sz w:val="24"/>
          <w:szCs w:val="24"/>
        </w:rPr>
        <w:t xml:space="preserve"> this </w:t>
      </w:r>
      <w:r w:rsidR="000D2ADD">
        <w:rPr>
          <w:rFonts w:ascii="Times New Roman" w:hAnsi="Times New Roman" w:cs="Times New Roman"/>
          <w:sz w:val="24"/>
          <w:szCs w:val="24"/>
        </w:rPr>
        <w:t>view</w:t>
      </w:r>
      <w:r>
        <w:rPr>
          <w:rFonts w:ascii="Times New Roman" w:hAnsi="Times New Roman" w:cs="Times New Roman"/>
          <w:sz w:val="24"/>
          <w:szCs w:val="24"/>
        </w:rPr>
        <w:t xml:space="preserve">. </w:t>
      </w:r>
    </w:p>
    <w:p w:rsidR="00317556" w:rsidRDefault="00317556">
      <w:pPr>
        <w:spacing w:line="360" w:lineRule="auto"/>
        <w:jc w:val="both"/>
        <w:rPr>
          <w:rFonts w:ascii="Times New Roman" w:hAnsi="Times New Roman" w:cs="Times New Roman"/>
          <w:sz w:val="24"/>
          <w:szCs w:val="24"/>
        </w:rPr>
      </w:pPr>
    </w:p>
    <w:p w:rsidR="00317556" w:rsidRDefault="00AD6988">
      <w:pPr>
        <w:spacing w:line="360" w:lineRule="auto"/>
        <w:jc w:val="both"/>
        <w:rPr>
          <w:rFonts w:ascii="Times New Roman" w:hAnsi="Times New Roman" w:cs="Times New Roman"/>
          <w:sz w:val="24"/>
          <w:szCs w:val="24"/>
        </w:rPr>
      </w:pPr>
      <w:r>
        <w:rPr>
          <w:rFonts w:ascii="Times New Roman" w:hAnsi="Times New Roman" w:cs="Times New Roman"/>
          <w:sz w:val="24"/>
          <w:szCs w:val="24"/>
        </w:rPr>
        <w:t>Conclusion</w:t>
      </w:r>
    </w:p>
    <w:p w:rsidR="00F67707" w:rsidRDefault="00CB507B">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7F1E94" w:rsidRPr="009B3C19">
        <w:rPr>
          <w:rFonts w:ascii="Times New Roman" w:hAnsi="Times New Roman" w:cs="Times New Roman"/>
          <w:sz w:val="24"/>
          <w:szCs w:val="24"/>
        </w:rPr>
        <w:t xml:space="preserve">For decades </w:t>
      </w:r>
      <w:r w:rsidR="007F1E94">
        <w:rPr>
          <w:rFonts w:ascii="Times New Roman" w:hAnsi="Times New Roman" w:cs="Times New Roman"/>
          <w:sz w:val="24"/>
          <w:szCs w:val="24"/>
        </w:rPr>
        <w:t>a picture of substantial stability in medical definitions of unhealthy air and recommended corrective measures</w:t>
      </w:r>
      <w:r w:rsidR="007F1E94" w:rsidRPr="009B3C19">
        <w:rPr>
          <w:rFonts w:ascii="Times New Roman" w:hAnsi="Times New Roman" w:cs="Times New Roman"/>
          <w:sz w:val="24"/>
          <w:szCs w:val="24"/>
        </w:rPr>
        <w:t xml:space="preserve"> </w:t>
      </w:r>
      <w:r w:rsidR="007F1E94">
        <w:rPr>
          <w:rFonts w:ascii="Times New Roman" w:hAnsi="Times New Roman" w:cs="Times New Roman"/>
          <w:sz w:val="24"/>
          <w:szCs w:val="24"/>
        </w:rPr>
        <w:t xml:space="preserve">has remained unchallenged. </w:t>
      </w:r>
      <w:r w:rsidR="00A6265F">
        <w:rPr>
          <w:rFonts w:ascii="Times New Roman" w:hAnsi="Times New Roman" w:cs="Times New Roman"/>
          <w:sz w:val="24"/>
          <w:szCs w:val="24"/>
        </w:rPr>
        <w:t>T</w:t>
      </w:r>
      <w:r w:rsidR="00A6265F" w:rsidRPr="00762303">
        <w:rPr>
          <w:rFonts w:ascii="Times New Roman" w:hAnsi="Times New Roman" w:cs="Times New Roman"/>
          <w:sz w:val="24"/>
          <w:szCs w:val="24"/>
        </w:rPr>
        <w:t xml:space="preserve">his </w:t>
      </w:r>
      <w:r w:rsidR="00317556">
        <w:rPr>
          <w:rFonts w:ascii="Times New Roman" w:hAnsi="Times New Roman" w:cs="Times New Roman"/>
          <w:sz w:val="24"/>
          <w:szCs w:val="24"/>
        </w:rPr>
        <w:t>article</w:t>
      </w:r>
      <w:r w:rsidR="00A6265F" w:rsidRPr="00762303">
        <w:rPr>
          <w:rFonts w:ascii="Times New Roman" w:hAnsi="Times New Roman" w:cs="Times New Roman"/>
          <w:sz w:val="24"/>
          <w:szCs w:val="24"/>
        </w:rPr>
        <w:t xml:space="preserve"> has offered a</w:t>
      </w:r>
      <w:r w:rsidR="00D3573D">
        <w:rPr>
          <w:rFonts w:ascii="Times New Roman" w:hAnsi="Times New Roman" w:cs="Times New Roman"/>
          <w:sz w:val="24"/>
          <w:szCs w:val="24"/>
        </w:rPr>
        <w:t xml:space="preserve">n alternative, </w:t>
      </w:r>
      <w:r w:rsidR="00A6265F" w:rsidRPr="00762303">
        <w:rPr>
          <w:rFonts w:ascii="Times New Roman" w:hAnsi="Times New Roman" w:cs="Times New Roman"/>
          <w:sz w:val="24"/>
          <w:szCs w:val="24"/>
        </w:rPr>
        <w:t xml:space="preserve">dynamic </w:t>
      </w:r>
      <w:r w:rsidR="00A6265F">
        <w:rPr>
          <w:rFonts w:ascii="Times New Roman" w:hAnsi="Times New Roman" w:cs="Times New Roman"/>
          <w:sz w:val="24"/>
          <w:szCs w:val="24"/>
        </w:rPr>
        <w:t>depiction</w:t>
      </w:r>
      <w:r w:rsidR="00A6265F" w:rsidRPr="00762303">
        <w:rPr>
          <w:rFonts w:ascii="Times New Roman" w:hAnsi="Times New Roman" w:cs="Times New Roman"/>
          <w:sz w:val="24"/>
          <w:szCs w:val="24"/>
        </w:rPr>
        <w:t xml:space="preserve"> of ideas about air and health</w:t>
      </w:r>
      <w:r w:rsidR="00A6265F">
        <w:rPr>
          <w:rFonts w:ascii="Times New Roman" w:hAnsi="Times New Roman" w:cs="Times New Roman"/>
          <w:sz w:val="24"/>
          <w:szCs w:val="24"/>
        </w:rPr>
        <w:t>, and of related domestic practices, in early modern Italy</w:t>
      </w:r>
      <w:r w:rsidR="00A6265F" w:rsidRPr="00762303">
        <w:rPr>
          <w:rFonts w:ascii="Times New Roman" w:hAnsi="Times New Roman" w:cs="Times New Roman"/>
          <w:sz w:val="24"/>
          <w:szCs w:val="24"/>
        </w:rPr>
        <w:t xml:space="preserve">. </w:t>
      </w:r>
      <w:r w:rsidR="006A2059">
        <w:rPr>
          <w:rFonts w:ascii="Times New Roman" w:hAnsi="Times New Roman" w:cs="Times New Roman"/>
          <w:sz w:val="24"/>
          <w:szCs w:val="24"/>
        </w:rPr>
        <w:t>In particular, t</w:t>
      </w:r>
      <w:r w:rsidR="00F00FB6">
        <w:rPr>
          <w:rFonts w:ascii="Times New Roman" w:hAnsi="Times New Roman" w:cs="Times New Roman"/>
          <w:sz w:val="24"/>
          <w:szCs w:val="24"/>
        </w:rPr>
        <w:t xml:space="preserve">he focus on </w:t>
      </w:r>
      <w:r w:rsidR="00A6265F">
        <w:rPr>
          <w:rFonts w:ascii="Times New Roman" w:hAnsi="Times New Roman" w:cs="Times New Roman"/>
          <w:sz w:val="24"/>
          <w:szCs w:val="24"/>
        </w:rPr>
        <w:t xml:space="preserve">the home and </w:t>
      </w:r>
      <w:r>
        <w:rPr>
          <w:rFonts w:ascii="Times New Roman" w:hAnsi="Times New Roman" w:cs="Times New Roman"/>
          <w:sz w:val="24"/>
          <w:szCs w:val="24"/>
        </w:rPr>
        <w:t>its material culture</w:t>
      </w:r>
      <w:r w:rsidR="00A6265F">
        <w:rPr>
          <w:rFonts w:ascii="Times New Roman" w:hAnsi="Times New Roman" w:cs="Times New Roman"/>
          <w:sz w:val="24"/>
          <w:szCs w:val="24"/>
        </w:rPr>
        <w:t xml:space="preserve"> </w:t>
      </w:r>
      <w:r w:rsidR="00F00FB6">
        <w:rPr>
          <w:rFonts w:ascii="Times New Roman" w:hAnsi="Times New Roman" w:cs="Times New Roman"/>
          <w:sz w:val="24"/>
          <w:szCs w:val="24"/>
        </w:rPr>
        <w:t>h</w:t>
      </w:r>
      <w:r w:rsidR="00A6265F">
        <w:rPr>
          <w:rFonts w:ascii="Times New Roman" w:hAnsi="Times New Roman" w:cs="Times New Roman"/>
          <w:sz w:val="24"/>
          <w:szCs w:val="24"/>
        </w:rPr>
        <w:t xml:space="preserve">as </w:t>
      </w:r>
      <w:r w:rsidR="00267AB6">
        <w:rPr>
          <w:rFonts w:ascii="Times New Roman" w:hAnsi="Times New Roman" w:cs="Times New Roman"/>
          <w:sz w:val="24"/>
          <w:szCs w:val="24"/>
        </w:rPr>
        <w:t>ma</w:t>
      </w:r>
      <w:r w:rsidR="00A6265F">
        <w:rPr>
          <w:rFonts w:ascii="Times New Roman" w:hAnsi="Times New Roman" w:cs="Times New Roman"/>
          <w:sz w:val="24"/>
          <w:szCs w:val="24"/>
        </w:rPr>
        <w:t>de</w:t>
      </w:r>
      <w:r w:rsidR="00267AB6">
        <w:rPr>
          <w:rFonts w:ascii="Times New Roman" w:hAnsi="Times New Roman" w:cs="Times New Roman"/>
          <w:sz w:val="24"/>
          <w:szCs w:val="24"/>
        </w:rPr>
        <w:t xml:space="preserve"> it </w:t>
      </w:r>
      <w:r w:rsidR="00267AB6">
        <w:rPr>
          <w:rFonts w:ascii="Times New Roman" w:hAnsi="Times New Roman" w:cs="Times New Roman"/>
          <w:sz w:val="24"/>
          <w:szCs w:val="24"/>
        </w:rPr>
        <w:lastRenderedPageBreak/>
        <w:t xml:space="preserve">possible </w:t>
      </w:r>
      <w:r w:rsidR="00F00FB6">
        <w:rPr>
          <w:rFonts w:ascii="Times New Roman" w:hAnsi="Times New Roman" w:cs="Times New Roman"/>
          <w:sz w:val="24"/>
          <w:szCs w:val="24"/>
        </w:rPr>
        <w:t>to</w:t>
      </w:r>
      <w:r w:rsidR="00267AB6">
        <w:rPr>
          <w:rFonts w:ascii="Times New Roman" w:hAnsi="Times New Roman" w:cs="Times New Roman"/>
          <w:sz w:val="24"/>
          <w:szCs w:val="24"/>
        </w:rPr>
        <w:t xml:space="preserve"> </w:t>
      </w:r>
      <w:r w:rsidR="00A6265F">
        <w:rPr>
          <w:rFonts w:ascii="Times New Roman" w:hAnsi="Times New Roman" w:cs="Times New Roman"/>
          <w:sz w:val="24"/>
          <w:szCs w:val="24"/>
        </w:rPr>
        <w:t>identify shifts in</w:t>
      </w:r>
      <w:r w:rsidR="00F00FB6">
        <w:rPr>
          <w:rFonts w:ascii="Times New Roman" w:hAnsi="Times New Roman" w:cs="Times New Roman"/>
          <w:sz w:val="24"/>
          <w:szCs w:val="24"/>
        </w:rPr>
        <w:t xml:space="preserve"> definitions of h</w:t>
      </w:r>
      <w:r w:rsidR="00FE3CB9">
        <w:rPr>
          <w:rFonts w:ascii="Times New Roman" w:hAnsi="Times New Roman" w:cs="Times New Roman"/>
          <w:sz w:val="24"/>
          <w:szCs w:val="24"/>
        </w:rPr>
        <w:t>e</w:t>
      </w:r>
      <w:r w:rsidR="00F00FB6">
        <w:rPr>
          <w:rFonts w:ascii="Times New Roman" w:hAnsi="Times New Roman" w:cs="Times New Roman"/>
          <w:sz w:val="24"/>
          <w:szCs w:val="24"/>
        </w:rPr>
        <w:t xml:space="preserve">alth hazards that are </w:t>
      </w:r>
      <w:r>
        <w:rPr>
          <w:rFonts w:ascii="Times New Roman" w:hAnsi="Times New Roman" w:cs="Times New Roman"/>
          <w:sz w:val="24"/>
          <w:szCs w:val="24"/>
        </w:rPr>
        <w:t>otherwise difficult to pin down</w:t>
      </w:r>
      <w:r w:rsidR="00D6355C">
        <w:rPr>
          <w:rFonts w:ascii="Times New Roman" w:hAnsi="Times New Roman" w:cs="Times New Roman"/>
          <w:sz w:val="24"/>
          <w:szCs w:val="24"/>
        </w:rPr>
        <w:t xml:space="preserve">, highlighting not only </w:t>
      </w:r>
      <w:r w:rsidR="00D6355C" w:rsidRPr="00762303">
        <w:rPr>
          <w:rFonts w:ascii="Times New Roman" w:hAnsi="Times New Roman" w:cs="Times New Roman"/>
          <w:sz w:val="24"/>
          <w:szCs w:val="24"/>
        </w:rPr>
        <w:t>a growing concern for the impact of a</w:t>
      </w:r>
      <w:r w:rsidR="00D6355C">
        <w:rPr>
          <w:rFonts w:ascii="Times New Roman" w:hAnsi="Times New Roman" w:cs="Times New Roman"/>
          <w:sz w:val="24"/>
          <w:szCs w:val="24"/>
        </w:rPr>
        <w:t xml:space="preserve">ir upon the body in </w:t>
      </w:r>
      <w:r w:rsidR="00D6355C" w:rsidRPr="00762303">
        <w:rPr>
          <w:rFonts w:ascii="Times New Roman" w:hAnsi="Times New Roman" w:cs="Times New Roman"/>
          <w:sz w:val="24"/>
          <w:szCs w:val="24"/>
        </w:rPr>
        <w:t xml:space="preserve">the </w:t>
      </w:r>
      <w:r w:rsidR="00D6355C">
        <w:rPr>
          <w:rFonts w:ascii="Times New Roman" w:hAnsi="Times New Roman" w:cs="Times New Roman"/>
          <w:sz w:val="24"/>
          <w:szCs w:val="24"/>
        </w:rPr>
        <w:t>second half of the sixteen</w:t>
      </w:r>
      <w:r w:rsidR="00D6355C" w:rsidRPr="00762303">
        <w:rPr>
          <w:rFonts w:ascii="Times New Roman" w:hAnsi="Times New Roman" w:cs="Times New Roman"/>
          <w:sz w:val="24"/>
          <w:szCs w:val="24"/>
        </w:rPr>
        <w:t>th</w:t>
      </w:r>
      <w:r w:rsidR="00D6355C">
        <w:rPr>
          <w:rFonts w:ascii="Times New Roman" w:hAnsi="Times New Roman" w:cs="Times New Roman"/>
          <w:sz w:val="24"/>
          <w:szCs w:val="24"/>
        </w:rPr>
        <w:t xml:space="preserve"> century, but significant changes in the</w:t>
      </w:r>
      <w:r w:rsidR="00D6355C" w:rsidRPr="00762303">
        <w:rPr>
          <w:rFonts w:ascii="Times New Roman" w:hAnsi="Times New Roman" w:cs="Times New Roman"/>
          <w:sz w:val="24"/>
          <w:szCs w:val="24"/>
        </w:rPr>
        <w:t xml:space="preserve"> understanding of </w:t>
      </w:r>
      <w:r w:rsidR="00D6355C">
        <w:rPr>
          <w:rFonts w:ascii="Times New Roman" w:hAnsi="Times New Roman" w:cs="Times New Roman"/>
          <w:sz w:val="24"/>
          <w:szCs w:val="24"/>
        </w:rPr>
        <w:t xml:space="preserve">both </w:t>
      </w:r>
      <w:r w:rsidR="00D6355C" w:rsidRPr="00762303">
        <w:rPr>
          <w:rFonts w:ascii="Times New Roman" w:hAnsi="Times New Roman" w:cs="Times New Roman"/>
          <w:sz w:val="24"/>
          <w:szCs w:val="24"/>
        </w:rPr>
        <w:t>the sources of unhealthy air and the risks associ</w:t>
      </w:r>
      <w:r w:rsidR="00D6355C">
        <w:rPr>
          <w:rFonts w:ascii="Times New Roman" w:hAnsi="Times New Roman" w:cs="Times New Roman"/>
          <w:sz w:val="24"/>
          <w:szCs w:val="24"/>
        </w:rPr>
        <w:t>ated with breathing it.</w:t>
      </w:r>
      <w:r>
        <w:rPr>
          <w:rFonts w:ascii="Times New Roman" w:hAnsi="Times New Roman" w:cs="Times New Roman"/>
          <w:sz w:val="24"/>
          <w:szCs w:val="24"/>
        </w:rPr>
        <w:t xml:space="preserve"> </w:t>
      </w:r>
      <w:r w:rsidR="00D6355C">
        <w:rPr>
          <w:rFonts w:ascii="Times New Roman" w:hAnsi="Times New Roman" w:cs="Times New Roman"/>
          <w:sz w:val="24"/>
          <w:szCs w:val="24"/>
        </w:rPr>
        <w:t>At the same time,</w:t>
      </w:r>
      <w:r>
        <w:rPr>
          <w:rFonts w:ascii="Times New Roman" w:hAnsi="Times New Roman" w:cs="Times New Roman"/>
          <w:sz w:val="24"/>
          <w:szCs w:val="24"/>
        </w:rPr>
        <w:t xml:space="preserve"> the attention to the </w:t>
      </w:r>
      <w:r w:rsidR="00D84A57">
        <w:rPr>
          <w:rFonts w:ascii="Times New Roman" w:hAnsi="Times New Roman" w:cs="Times New Roman"/>
          <w:sz w:val="24"/>
          <w:szCs w:val="24"/>
        </w:rPr>
        <w:t xml:space="preserve">distinctive </w:t>
      </w:r>
      <w:r>
        <w:rPr>
          <w:rFonts w:ascii="Times New Roman" w:hAnsi="Times New Roman" w:cs="Times New Roman"/>
          <w:sz w:val="24"/>
          <w:szCs w:val="24"/>
        </w:rPr>
        <w:t>intellectual and social trends which exercised a key influence on</w:t>
      </w:r>
      <w:r w:rsidR="00D6355C">
        <w:rPr>
          <w:rFonts w:ascii="Times New Roman" w:hAnsi="Times New Roman" w:cs="Times New Roman"/>
          <w:sz w:val="24"/>
          <w:szCs w:val="24"/>
        </w:rPr>
        <w:t xml:space="preserve"> ideas about air and home </w:t>
      </w:r>
      <w:r w:rsidR="00656CBD">
        <w:rPr>
          <w:rFonts w:ascii="Times New Roman" w:hAnsi="Times New Roman" w:cs="Times New Roman"/>
          <w:sz w:val="24"/>
          <w:szCs w:val="24"/>
        </w:rPr>
        <w:t xml:space="preserve">in </w:t>
      </w:r>
      <w:r w:rsidR="00D3573D">
        <w:rPr>
          <w:rFonts w:ascii="Times New Roman" w:hAnsi="Times New Roman" w:cs="Times New Roman"/>
          <w:sz w:val="24"/>
          <w:szCs w:val="24"/>
        </w:rPr>
        <w:t>sixteenth-century Italy</w:t>
      </w:r>
      <w:r w:rsidR="00656CBD">
        <w:rPr>
          <w:rFonts w:ascii="Times New Roman" w:hAnsi="Times New Roman" w:cs="Times New Roman"/>
          <w:sz w:val="24"/>
          <w:szCs w:val="24"/>
        </w:rPr>
        <w:t xml:space="preserve"> </w:t>
      </w:r>
      <w:r>
        <w:rPr>
          <w:rFonts w:ascii="Times New Roman" w:hAnsi="Times New Roman" w:cs="Times New Roman"/>
          <w:sz w:val="24"/>
          <w:szCs w:val="24"/>
        </w:rPr>
        <w:t xml:space="preserve">has offered the opportunity to </w:t>
      </w:r>
      <w:r w:rsidR="00D84A57">
        <w:rPr>
          <w:rFonts w:ascii="Times New Roman" w:hAnsi="Times New Roman" w:cs="Times New Roman"/>
          <w:sz w:val="24"/>
          <w:szCs w:val="24"/>
        </w:rPr>
        <w:t xml:space="preserve">stress the geographical specificity of  </w:t>
      </w:r>
      <w:r w:rsidR="00F36DEE">
        <w:rPr>
          <w:rFonts w:ascii="Times New Roman" w:hAnsi="Times New Roman" w:cs="Times New Roman"/>
          <w:sz w:val="24"/>
          <w:szCs w:val="24"/>
        </w:rPr>
        <w:t>t</w:t>
      </w:r>
      <w:r w:rsidR="007F29F4">
        <w:rPr>
          <w:rFonts w:ascii="Times New Roman" w:hAnsi="Times New Roman" w:cs="Times New Roman"/>
          <w:sz w:val="24"/>
          <w:szCs w:val="24"/>
        </w:rPr>
        <w:t xml:space="preserve">he </w:t>
      </w:r>
      <w:r w:rsidR="00D6355C">
        <w:rPr>
          <w:rFonts w:ascii="Times New Roman" w:hAnsi="Times New Roman" w:cs="Times New Roman"/>
          <w:sz w:val="24"/>
          <w:szCs w:val="24"/>
        </w:rPr>
        <w:t xml:space="preserve">developments </w:t>
      </w:r>
      <w:r w:rsidR="00656CBD">
        <w:rPr>
          <w:rFonts w:ascii="Times New Roman" w:hAnsi="Times New Roman" w:cs="Times New Roman"/>
          <w:sz w:val="24"/>
          <w:szCs w:val="24"/>
        </w:rPr>
        <w:t xml:space="preserve">we observe </w:t>
      </w:r>
      <w:r w:rsidR="00D6355C">
        <w:rPr>
          <w:rFonts w:ascii="Times New Roman" w:hAnsi="Times New Roman" w:cs="Times New Roman"/>
          <w:sz w:val="24"/>
          <w:szCs w:val="24"/>
        </w:rPr>
        <w:t xml:space="preserve">in </w:t>
      </w:r>
      <w:r w:rsidR="00F36DEE">
        <w:rPr>
          <w:rFonts w:ascii="Times New Roman" w:hAnsi="Times New Roman" w:cs="Times New Roman"/>
          <w:sz w:val="24"/>
          <w:szCs w:val="24"/>
        </w:rPr>
        <w:t xml:space="preserve">Italian, urban </w:t>
      </w:r>
      <w:r w:rsidR="00D6355C">
        <w:rPr>
          <w:rFonts w:ascii="Times New Roman" w:hAnsi="Times New Roman" w:cs="Times New Roman"/>
          <w:sz w:val="24"/>
          <w:szCs w:val="24"/>
        </w:rPr>
        <w:t>health culture</w:t>
      </w:r>
      <w:r w:rsidR="00F36DEE">
        <w:rPr>
          <w:rFonts w:ascii="Times New Roman" w:hAnsi="Times New Roman" w:cs="Times New Roman"/>
          <w:sz w:val="24"/>
          <w:szCs w:val="24"/>
        </w:rPr>
        <w:t xml:space="preserve"> </w:t>
      </w:r>
      <w:r w:rsidR="00D84A57">
        <w:rPr>
          <w:rFonts w:ascii="Times New Roman" w:hAnsi="Times New Roman" w:cs="Times New Roman"/>
          <w:sz w:val="24"/>
          <w:szCs w:val="24"/>
        </w:rPr>
        <w:t xml:space="preserve">in this period. </w:t>
      </w:r>
      <w:r w:rsidR="00521217">
        <w:rPr>
          <w:rFonts w:ascii="Times New Roman" w:hAnsi="Times New Roman" w:cs="Times New Roman"/>
          <w:sz w:val="24"/>
          <w:szCs w:val="24"/>
        </w:rPr>
        <w:t xml:space="preserve">Reflecting </w:t>
      </w:r>
      <w:r w:rsidR="00BA01B8">
        <w:rPr>
          <w:rFonts w:ascii="Times New Roman" w:hAnsi="Times New Roman" w:cs="Times New Roman"/>
          <w:sz w:val="24"/>
          <w:szCs w:val="24"/>
        </w:rPr>
        <w:t xml:space="preserve">a new </w:t>
      </w:r>
      <w:r w:rsidR="00C6229C">
        <w:rPr>
          <w:rFonts w:ascii="Times New Roman" w:hAnsi="Times New Roman" w:cs="Times New Roman"/>
          <w:sz w:val="24"/>
          <w:szCs w:val="24"/>
        </w:rPr>
        <w:t>interest in</w:t>
      </w:r>
      <w:r w:rsidR="00BA01B8">
        <w:rPr>
          <w:rFonts w:ascii="Times New Roman" w:hAnsi="Times New Roman" w:cs="Times New Roman"/>
          <w:sz w:val="24"/>
          <w:szCs w:val="24"/>
        </w:rPr>
        <w:t xml:space="preserve"> </w:t>
      </w:r>
      <w:r w:rsidR="00521217">
        <w:rPr>
          <w:rFonts w:ascii="Times New Roman" w:hAnsi="Times New Roman" w:cs="Times New Roman"/>
          <w:sz w:val="24"/>
          <w:szCs w:val="24"/>
        </w:rPr>
        <w:t xml:space="preserve">the </w:t>
      </w:r>
      <w:r w:rsidR="007B6BDD" w:rsidRPr="007B6BDD">
        <w:rPr>
          <w:rFonts w:ascii="Times New Roman" w:hAnsi="Times New Roman" w:cs="Times New Roman"/>
          <w:sz w:val="24"/>
          <w:szCs w:val="24"/>
        </w:rPr>
        <w:t xml:space="preserve">environmental characteristics of the locality </w:t>
      </w:r>
      <w:r w:rsidR="00A6265F">
        <w:rPr>
          <w:rFonts w:ascii="Times New Roman" w:hAnsi="Times New Roman" w:cs="Times New Roman"/>
          <w:sz w:val="24"/>
          <w:szCs w:val="24"/>
        </w:rPr>
        <w:t xml:space="preserve">but also the promotion of the home to central site of social and moral self-representation, </w:t>
      </w:r>
      <w:r w:rsidR="007B6BDD" w:rsidRPr="007B6BDD">
        <w:rPr>
          <w:rFonts w:ascii="Times New Roman" w:hAnsi="Times New Roman" w:cs="Times New Roman"/>
          <w:sz w:val="24"/>
          <w:szCs w:val="24"/>
        </w:rPr>
        <w:t>bad air was increasingly conceptualised as seasonally, locally and home-produced, rather than deriving from distant and external, incontrollable agents. At the same time a new empiric attitude to nature</w:t>
      </w:r>
      <w:r w:rsidR="00D0637C">
        <w:rPr>
          <w:rFonts w:ascii="Times New Roman" w:hAnsi="Times New Roman" w:cs="Times New Roman"/>
          <w:sz w:val="24"/>
          <w:szCs w:val="24"/>
        </w:rPr>
        <w:t xml:space="preserve"> </w:t>
      </w:r>
      <w:r w:rsidR="00AB393D">
        <w:rPr>
          <w:rFonts w:ascii="Times New Roman" w:hAnsi="Times New Roman" w:cs="Times New Roman"/>
          <w:sz w:val="24"/>
          <w:szCs w:val="24"/>
        </w:rPr>
        <w:t>inspired greater confidence in the possibility</w:t>
      </w:r>
      <w:r w:rsidR="00317556">
        <w:rPr>
          <w:rFonts w:ascii="Times New Roman" w:hAnsi="Times New Roman" w:cs="Times New Roman"/>
          <w:sz w:val="24"/>
          <w:szCs w:val="24"/>
        </w:rPr>
        <w:t xml:space="preserve"> of acquiring</w:t>
      </w:r>
      <w:bookmarkStart w:id="6" w:name="_GoBack"/>
      <w:bookmarkEnd w:id="6"/>
      <w:r w:rsidR="00C6229C">
        <w:rPr>
          <w:rFonts w:ascii="Times New Roman" w:hAnsi="Times New Roman" w:cs="Times New Roman"/>
          <w:sz w:val="24"/>
          <w:szCs w:val="24"/>
        </w:rPr>
        <w:t xml:space="preserve"> a better knowledge of one’s surroundings and </w:t>
      </w:r>
      <w:r w:rsidR="00AB393D">
        <w:rPr>
          <w:rFonts w:ascii="Times New Roman" w:hAnsi="Times New Roman" w:cs="Times New Roman"/>
          <w:sz w:val="24"/>
          <w:szCs w:val="24"/>
        </w:rPr>
        <w:t xml:space="preserve">prevent </w:t>
      </w:r>
      <w:r w:rsidR="00A6265F">
        <w:rPr>
          <w:rFonts w:ascii="Times New Roman" w:hAnsi="Times New Roman" w:cs="Times New Roman"/>
          <w:sz w:val="24"/>
          <w:szCs w:val="24"/>
        </w:rPr>
        <w:t>the corruption of domestic</w:t>
      </w:r>
      <w:r w:rsidR="00D0637C">
        <w:rPr>
          <w:rFonts w:ascii="Times New Roman" w:hAnsi="Times New Roman" w:cs="Times New Roman"/>
          <w:sz w:val="24"/>
          <w:szCs w:val="24"/>
        </w:rPr>
        <w:t xml:space="preserve"> air</w:t>
      </w:r>
      <w:r w:rsidR="00AB393D">
        <w:rPr>
          <w:rFonts w:ascii="Times New Roman" w:hAnsi="Times New Roman" w:cs="Times New Roman"/>
          <w:sz w:val="24"/>
          <w:szCs w:val="24"/>
        </w:rPr>
        <w:t>.</w:t>
      </w:r>
      <w:r w:rsidR="00521217">
        <w:rPr>
          <w:rFonts w:ascii="Times New Roman" w:hAnsi="Times New Roman" w:cs="Times New Roman"/>
          <w:sz w:val="24"/>
          <w:szCs w:val="24"/>
        </w:rPr>
        <w:t xml:space="preserve"> </w:t>
      </w:r>
      <w:r w:rsidR="003F1FE9">
        <w:rPr>
          <w:rFonts w:ascii="Times New Roman" w:hAnsi="Times New Roman" w:cs="Times New Roman"/>
          <w:sz w:val="24"/>
          <w:szCs w:val="24"/>
        </w:rPr>
        <w:t>Participating in this optimistic outlook, b</w:t>
      </w:r>
      <w:r w:rsidR="00AB393D">
        <w:rPr>
          <w:rFonts w:ascii="Times New Roman" w:hAnsi="Times New Roman" w:cs="Times New Roman"/>
          <w:sz w:val="24"/>
          <w:szCs w:val="24"/>
        </w:rPr>
        <w:t xml:space="preserve">oth doctors and architects engaged in providing solutions </w:t>
      </w:r>
      <w:r w:rsidR="00B452D7">
        <w:rPr>
          <w:rFonts w:ascii="Times New Roman" w:hAnsi="Times New Roman" w:cs="Times New Roman"/>
          <w:sz w:val="24"/>
          <w:szCs w:val="24"/>
        </w:rPr>
        <w:t>and advice aimed to preserve pure a</w:t>
      </w:r>
      <w:r w:rsidR="003F1FE9">
        <w:rPr>
          <w:rFonts w:ascii="Times New Roman" w:hAnsi="Times New Roman" w:cs="Times New Roman"/>
          <w:sz w:val="24"/>
          <w:szCs w:val="24"/>
        </w:rPr>
        <w:t xml:space="preserve">ir through new building devices and through </w:t>
      </w:r>
      <w:r w:rsidR="00B452D7">
        <w:rPr>
          <w:rFonts w:ascii="Times New Roman" w:hAnsi="Times New Roman" w:cs="Times New Roman"/>
          <w:sz w:val="24"/>
          <w:szCs w:val="24"/>
        </w:rPr>
        <w:t xml:space="preserve">household practices which modified substantially </w:t>
      </w:r>
      <w:r w:rsidR="00BA01B8">
        <w:rPr>
          <w:rFonts w:ascii="Times New Roman" w:hAnsi="Times New Roman" w:cs="Times New Roman"/>
          <w:sz w:val="24"/>
          <w:szCs w:val="24"/>
        </w:rPr>
        <w:t xml:space="preserve">domestic </w:t>
      </w:r>
      <w:r w:rsidR="00B452D7">
        <w:rPr>
          <w:rFonts w:ascii="Times New Roman" w:hAnsi="Times New Roman" w:cs="Times New Roman"/>
          <w:sz w:val="24"/>
          <w:szCs w:val="24"/>
        </w:rPr>
        <w:t>consumers</w:t>
      </w:r>
      <w:r w:rsidR="00267AB6">
        <w:rPr>
          <w:rFonts w:ascii="Times New Roman" w:hAnsi="Times New Roman" w:cs="Times New Roman"/>
          <w:sz w:val="24"/>
          <w:szCs w:val="24"/>
        </w:rPr>
        <w:t>’</w:t>
      </w:r>
      <w:r w:rsidR="00B452D7">
        <w:rPr>
          <w:rFonts w:ascii="Times New Roman" w:hAnsi="Times New Roman" w:cs="Times New Roman"/>
          <w:sz w:val="24"/>
          <w:szCs w:val="24"/>
        </w:rPr>
        <w:t xml:space="preserve"> habits, making health more central to their choice</w:t>
      </w:r>
      <w:r w:rsidR="00C6229C">
        <w:rPr>
          <w:rFonts w:ascii="Times New Roman" w:hAnsi="Times New Roman" w:cs="Times New Roman"/>
          <w:sz w:val="24"/>
          <w:szCs w:val="24"/>
        </w:rPr>
        <w:t>s</w:t>
      </w:r>
      <w:r w:rsidR="007B6BDD" w:rsidRPr="007B6BDD">
        <w:rPr>
          <w:rFonts w:ascii="Times New Roman" w:hAnsi="Times New Roman" w:cs="Times New Roman"/>
          <w:sz w:val="24"/>
          <w:szCs w:val="24"/>
        </w:rPr>
        <w:t xml:space="preserve">. </w:t>
      </w:r>
      <w:r w:rsidR="00C6229C">
        <w:rPr>
          <w:rFonts w:ascii="Times New Roman" w:hAnsi="Times New Roman" w:cs="Times New Roman"/>
          <w:sz w:val="24"/>
          <w:szCs w:val="24"/>
        </w:rPr>
        <w:t>A</w:t>
      </w:r>
      <w:r w:rsidR="00AB393D">
        <w:rPr>
          <w:rFonts w:ascii="Times New Roman" w:hAnsi="Times New Roman" w:cs="Times New Roman"/>
          <w:sz w:val="24"/>
          <w:szCs w:val="24"/>
        </w:rPr>
        <w:t xml:space="preserve"> less </w:t>
      </w:r>
      <w:r w:rsidR="00521217" w:rsidRPr="00762303">
        <w:rPr>
          <w:rFonts w:ascii="Times New Roman" w:hAnsi="Times New Roman" w:cs="Times New Roman"/>
          <w:sz w:val="24"/>
          <w:szCs w:val="24"/>
        </w:rPr>
        <w:t>direct idea of the effects of bad air u</w:t>
      </w:r>
      <w:r w:rsidR="00D84A57">
        <w:rPr>
          <w:rFonts w:ascii="Times New Roman" w:hAnsi="Times New Roman" w:cs="Times New Roman"/>
          <w:sz w:val="24"/>
          <w:szCs w:val="24"/>
        </w:rPr>
        <w:t>pon health</w:t>
      </w:r>
      <w:r w:rsidR="00521217" w:rsidRPr="00762303">
        <w:rPr>
          <w:rFonts w:ascii="Times New Roman" w:hAnsi="Times New Roman" w:cs="Times New Roman"/>
          <w:sz w:val="24"/>
          <w:szCs w:val="24"/>
        </w:rPr>
        <w:t xml:space="preserve"> </w:t>
      </w:r>
      <w:r w:rsidR="00C6229C">
        <w:rPr>
          <w:rFonts w:ascii="Times New Roman" w:hAnsi="Times New Roman" w:cs="Times New Roman"/>
          <w:sz w:val="24"/>
          <w:szCs w:val="24"/>
        </w:rPr>
        <w:t xml:space="preserve">also </w:t>
      </w:r>
      <w:r w:rsidR="00521217">
        <w:rPr>
          <w:rFonts w:ascii="Times New Roman" w:hAnsi="Times New Roman" w:cs="Times New Roman"/>
          <w:sz w:val="24"/>
          <w:szCs w:val="24"/>
        </w:rPr>
        <w:t>prevail</w:t>
      </w:r>
      <w:r w:rsidR="00C6229C">
        <w:rPr>
          <w:rFonts w:ascii="Times New Roman" w:hAnsi="Times New Roman" w:cs="Times New Roman"/>
          <w:sz w:val="24"/>
          <w:szCs w:val="24"/>
        </w:rPr>
        <w:t>ed</w:t>
      </w:r>
      <w:r w:rsidR="00521217" w:rsidRPr="00762303">
        <w:rPr>
          <w:rFonts w:ascii="Times New Roman" w:hAnsi="Times New Roman" w:cs="Times New Roman"/>
          <w:sz w:val="24"/>
          <w:szCs w:val="24"/>
        </w:rPr>
        <w:t xml:space="preserve">: malign air was no longer </w:t>
      </w:r>
      <w:r w:rsidR="00BA01B8">
        <w:rPr>
          <w:rFonts w:ascii="Times New Roman" w:hAnsi="Times New Roman" w:cs="Times New Roman"/>
          <w:sz w:val="24"/>
          <w:szCs w:val="24"/>
        </w:rPr>
        <w:t>understood</w:t>
      </w:r>
      <w:r w:rsidR="00BA01B8" w:rsidRPr="00762303">
        <w:rPr>
          <w:rFonts w:ascii="Times New Roman" w:hAnsi="Times New Roman" w:cs="Times New Roman"/>
          <w:sz w:val="24"/>
          <w:szCs w:val="24"/>
        </w:rPr>
        <w:t xml:space="preserve"> </w:t>
      </w:r>
      <w:r w:rsidR="00521217" w:rsidRPr="00762303">
        <w:rPr>
          <w:rFonts w:ascii="Times New Roman" w:hAnsi="Times New Roman" w:cs="Times New Roman"/>
          <w:sz w:val="24"/>
          <w:szCs w:val="24"/>
        </w:rPr>
        <w:t xml:space="preserve">as mechanically infecting the body but </w:t>
      </w:r>
      <w:r w:rsidR="00BA01B8">
        <w:rPr>
          <w:rFonts w:ascii="Times New Roman" w:hAnsi="Times New Roman" w:cs="Times New Roman"/>
          <w:sz w:val="24"/>
          <w:szCs w:val="24"/>
        </w:rPr>
        <w:t>was</w:t>
      </w:r>
      <w:r w:rsidR="00521217" w:rsidRPr="00762303">
        <w:rPr>
          <w:rFonts w:ascii="Times New Roman" w:hAnsi="Times New Roman" w:cs="Times New Roman"/>
          <w:sz w:val="24"/>
          <w:szCs w:val="24"/>
        </w:rPr>
        <w:t xml:space="preserve"> </w:t>
      </w:r>
      <w:r w:rsidR="00AB393D">
        <w:rPr>
          <w:rFonts w:ascii="Times New Roman" w:hAnsi="Times New Roman" w:cs="Times New Roman"/>
          <w:sz w:val="24"/>
          <w:szCs w:val="24"/>
        </w:rPr>
        <w:t xml:space="preserve">seen to </w:t>
      </w:r>
      <w:r w:rsidR="00A6265F">
        <w:rPr>
          <w:rFonts w:ascii="Times New Roman" w:hAnsi="Times New Roman" w:cs="Times New Roman"/>
          <w:sz w:val="24"/>
          <w:szCs w:val="24"/>
        </w:rPr>
        <w:t>affect</w:t>
      </w:r>
      <w:r w:rsidR="00BB5CF5" w:rsidRPr="00762303">
        <w:rPr>
          <w:rFonts w:ascii="Times New Roman" w:hAnsi="Times New Roman" w:cs="Times New Roman"/>
          <w:sz w:val="24"/>
          <w:szCs w:val="24"/>
        </w:rPr>
        <w:t xml:space="preserve"> the correct functioning of </w:t>
      </w:r>
      <w:r w:rsidR="007B6BDD" w:rsidRPr="007B6BDD">
        <w:rPr>
          <w:rFonts w:ascii="Times New Roman" w:hAnsi="Times New Roman" w:cs="Times New Roman"/>
          <w:sz w:val="24"/>
          <w:szCs w:val="24"/>
        </w:rPr>
        <w:t xml:space="preserve">physiological processes by virtue of its </w:t>
      </w:r>
      <w:proofErr w:type="spellStart"/>
      <w:r w:rsidR="007B6BDD" w:rsidRPr="007B6BDD">
        <w:rPr>
          <w:rFonts w:ascii="Times New Roman" w:hAnsi="Times New Roman" w:cs="Times New Roman"/>
          <w:sz w:val="24"/>
          <w:szCs w:val="24"/>
        </w:rPr>
        <w:t>humoural</w:t>
      </w:r>
      <w:proofErr w:type="spellEnd"/>
      <w:r w:rsidR="007B6BDD" w:rsidRPr="007B6BDD">
        <w:rPr>
          <w:rFonts w:ascii="Times New Roman" w:hAnsi="Times New Roman" w:cs="Times New Roman"/>
          <w:sz w:val="24"/>
          <w:szCs w:val="24"/>
        </w:rPr>
        <w:t xml:space="preserve"> make-up. This however could also be contrasted with fragrances holding opposite </w:t>
      </w:r>
      <w:proofErr w:type="spellStart"/>
      <w:r w:rsidR="007B6BDD" w:rsidRPr="007B6BDD">
        <w:rPr>
          <w:rFonts w:ascii="Times New Roman" w:hAnsi="Times New Roman" w:cs="Times New Roman"/>
          <w:sz w:val="24"/>
          <w:szCs w:val="24"/>
        </w:rPr>
        <w:t>humoural</w:t>
      </w:r>
      <w:proofErr w:type="spellEnd"/>
      <w:r w:rsidR="007B6BDD" w:rsidRPr="007B6BDD">
        <w:rPr>
          <w:rFonts w:ascii="Times New Roman" w:hAnsi="Times New Roman" w:cs="Times New Roman"/>
          <w:sz w:val="24"/>
          <w:szCs w:val="24"/>
        </w:rPr>
        <w:t xml:space="preserve"> qualities. The focus on the </w:t>
      </w:r>
      <w:r w:rsidR="003F1FE9">
        <w:rPr>
          <w:rFonts w:ascii="Times New Roman" w:hAnsi="Times New Roman" w:cs="Times New Roman"/>
          <w:sz w:val="24"/>
          <w:szCs w:val="24"/>
        </w:rPr>
        <w:t xml:space="preserve">domestic </w:t>
      </w:r>
      <w:r w:rsidR="007B6BDD" w:rsidRPr="007B6BDD">
        <w:rPr>
          <w:rFonts w:ascii="Times New Roman" w:hAnsi="Times New Roman" w:cs="Times New Roman"/>
          <w:sz w:val="24"/>
          <w:szCs w:val="24"/>
        </w:rPr>
        <w:t>medicinal use of aromas also show</w:t>
      </w:r>
      <w:r w:rsidR="003F1FE9">
        <w:rPr>
          <w:rFonts w:ascii="Times New Roman" w:hAnsi="Times New Roman" w:cs="Times New Roman"/>
          <w:sz w:val="24"/>
          <w:szCs w:val="24"/>
        </w:rPr>
        <w:t>s</w:t>
      </w:r>
      <w:r w:rsidR="007B6BDD" w:rsidRPr="007B6BDD">
        <w:rPr>
          <w:rFonts w:ascii="Times New Roman" w:hAnsi="Times New Roman" w:cs="Times New Roman"/>
          <w:sz w:val="24"/>
          <w:szCs w:val="24"/>
        </w:rPr>
        <w:t xml:space="preserve"> that </w:t>
      </w:r>
      <w:r w:rsidR="003F1FE9">
        <w:rPr>
          <w:rFonts w:ascii="Times New Roman" w:hAnsi="Times New Roman" w:cs="Times New Roman"/>
          <w:sz w:val="24"/>
          <w:szCs w:val="24"/>
        </w:rPr>
        <w:t>these practices</w:t>
      </w:r>
      <w:r w:rsidR="007B6BDD" w:rsidRPr="007B6BDD">
        <w:rPr>
          <w:rFonts w:ascii="Times New Roman" w:hAnsi="Times New Roman" w:cs="Times New Roman"/>
          <w:sz w:val="24"/>
          <w:szCs w:val="24"/>
        </w:rPr>
        <w:t xml:space="preserve"> acquired a </w:t>
      </w:r>
      <w:r w:rsidR="007F29F4">
        <w:rPr>
          <w:rFonts w:ascii="Times New Roman" w:hAnsi="Times New Roman" w:cs="Times New Roman"/>
          <w:sz w:val="24"/>
          <w:szCs w:val="24"/>
        </w:rPr>
        <w:t xml:space="preserve">new </w:t>
      </w:r>
      <w:r w:rsidR="00F36DEE">
        <w:rPr>
          <w:rFonts w:ascii="Times New Roman" w:hAnsi="Times New Roman" w:cs="Times New Roman"/>
          <w:sz w:val="24"/>
          <w:szCs w:val="24"/>
        </w:rPr>
        <w:t>dimension</w:t>
      </w:r>
      <w:r w:rsidR="003F1FE9">
        <w:rPr>
          <w:rFonts w:ascii="Times New Roman" w:hAnsi="Times New Roman" w:cs="Times New Roman"/>
          <w:sz w:val="24"/>
          <w:szCs w:val="24"/>
        </w:rPr>
        <w:t xml:space="preserve"> </w:t>
      </w:r>
      <w:r w:rsidR="003F1FE9" w:rsidRPr="007B6BDD">
        <w:rPr>
          <w:rFonts w:ascii="Times New Roman" w:hAnsi="Times New Roman" w:cs="Times New Roman"/>
          <w:sz w:val="24"/>
          <w:szCs w:val="24"/>
        </w:rPr>
        <w:t>over th</w:t>
      </w:r>
      <w:r w:rsidR="003F1FE9">
        <w:rPr>
          <w:rFonts w:ascii="Times New Roman" w:hAnsi="Times New Roman" w:cs="Times New Roman"/>
          <w:sz w:val="24"/>
          <w:szCs w:val="24"/>
        </w:rPr>
        <w:t>e</w:t>
      </w:r>
      <w:r w:rsidR="003F1FE9" w:rsidRPr="007B6BDD">
        <w:rPr>
          <w:rFonts w:ascii="Times New Roman" w:hAnsi="Times New Roman" w:cs="Times New Roman"/>
          <w:sz w:val="24"/>
          <w:szCs w:val="24"/>
        </w:rPr>
        <w:t xml:space="preserve"> period</w:t>
      </w:r>
      <w:r w:rsidR="004179A8">
        <w:rPr>
          <w:rFonts w:ascii="Times New Roman" w:hAnsi="Times New Roman" w:cs="Times New Roman"/>
          <w:sz w:val="24"/>
          <w:szCs w:val="24"/>
        </w:rPr>
        <w:t>:</w:t>
      </w:r>
      <w:r w:rsidR="00F36DEE">
        <w:rPr>
          <w:rFonts w:ascii="Times New Roman" w:hAnsi="Times New Roman" w:cs="Times New Roman"/>
          <w:sz w:val="24"/>
          <w:szCs w:val="24"/>
        </w:rPr>
        <w:t xml:space="preserve"> the role of </w:t>
      </w:r>
      <w:r w:rsidR="007F29F4">
        <w:rPr>
          <w:rFonts w:ascii="Times New Roman" w:hAnsi="Times New Roman" w:cs="Times New Roman"/>
          <w:sz w:val="24"/>
          <w:szCs w:val="24"/>
        </w:rPr>
        <w:t xml:space="preserve">stimulating </w:t>
      </w:r>
      <w:r w:rsidR="007B6BDD" w:rsidRPr="007B6BDD">
        <w:rPr>
          <w:rFonts w:ascii="Times New Roman" w:hAnsi="Times New Roman" w:cs="Times New Roman"/>
          <w:sz w:val="24"/>
          <w:szCs w:val="24"/>
        </w:rPr>
        <w:t>the working of bodily spirits and gratif</w:t>
      </w:r>
      <w:r w:rsidR="007F29F4">
        <w:rPr>
          <w:rFonts w:ascii="Times New Roman" w:hAnsi="Times New Roman" w:cs="Times New Roman"/>
          <w:sz w:val="24"/>
          <w:szCs w:val="24"/>
        </w:rPr>
        <w:t>ying</w:t>
      </w:r>
      <w:r w:rsidR="007B6BDD" w:rsidRPr="007B6BDD">
        <w:rPr>
          <w:rFonts w:ascii="Times New Roman" w:hAnsi="Times New Roman" w:cs="Times New Roman"/>
          <w:sz w:val="24"/>
          <w:szCs w:val="24"/>
        </w:rPr>
        <w:t xml:space="preserve"> the senses and the soul. </w:t>
      </w:r>
      <w:r w:rsidR="00F36DEE">
        <w:rPr>
          <w:rFonts w:ascii="Times New Roman" w:hAnsi="Times New Roman" w:cs="Times New Roman"/>
          <w:sz w:val="24"/>
          <w:szCs w:val="24"/>
        </w:rPr>
        <w:t xml:space="preserve">Overall this study has suggested that air, and </w:t>
      </w:r>
      <w:r w:rsidR="007B6BDD" w:rsidRPr="007B6BDD">
        <w:rPr>
          <w:rFonts w:ascii="Times New Roman" w:hAnsi="Times New Roman" w:cs="Times New Roman"/>
          <w:sz w:val="24"/>
          <w:szCs w:val="24"/>
        </w:rPr>
        <w:t>early modern air</w:t>
      </w:r>
      <w:r w:rsidR="00F36DEE">
        <w:rPr>
          <w:rFonts w:ascii="Times New Roman" w:hAnsi="Times New Roman" w:cs="Times New Roman"/>
          <w:sz w:val="24"/>
          <w:szCs w:val="24"/>
        </w:rPr>
        <w:t xml:space="preserve"> in particular</w:t>
      </w:r>
      <w:r w:rsidR="007F1E94" w:rsidRPr="00762303">
        <w:rPr>
          <w:rFonts w:ascii="Times New Roman" w:hAnsi="Times New Roman" w:cs="Times New Roman"/>
          <w:sz w:val="24"/>
          <w:szCs w:val="24"/>
        </w:rPr>
        <w:t>, has a history</w:t>
      </w:r>
      <w:r w:rsidR="001C6A5C">
        <w:rPr>
          <w:rFonts w:ascii="Times New Roman" w:hAnsi="Times New Roman" w:cs="Times New Roman"/>
          <w:sz w:val="24"/>
          <w:szCs w:val="24"/>
        </w:rPr>
        <w:t>,</w:t>
      </w:r>
      <w:r w:rsidR="00F36DEE">
        <w:rPr>
          <w:rFonts w:ascii="Times New Roman" w:hAnsi="Times New Roman" w:cs="Times New Roman"/>
          <w:sz w:val="24"/>
          <w:szCs w:val="24"/>
        </w:rPr>
        <w:t xml:space="preserve"> or perhaps several histories, if we give due consideration to </w:t>
      </w:r>
      <w:r w:rsidR="001C6A5C">
        <w:rPr>
          <w:rFonts w:ascii="Times New Roman" w:hAnsi="Times New Roman" w:cs="Times New Roman"/>
          <w:sz w:val="24"/>
          <w:szCs w:val="24"/>
        </w:rPr>
        <w:t xml:space="preserve">geographical </w:t>
      </w:r>
      <w:r w:rsidR="00F36DEE">
        <w:rPr>
          <w:rFonts w:ascii="Times New Roman" w:hAnsi="Times New Roman" w:cs="Times New Roman"/>
          <w:sz w:val="24"/>
          <w:szCs w:val="24"/>
        </w:rPr>
        <w:t>contexts</w:t>
      </w:r>
      <w:r w:rsidR="007F1E94" w:rsidRPr="00762303">
        <w:rPr>
          <w:rFonts w:ascii="Times New Roman" w:hAnsi="Times New Roman" w:cs="Times New Roman"/>
          <w:sz w:val="24"/>
          <w:szCs w:val="24"/>
        </w:rPr>
        <w:t>.</w:t>
      </w:r>
      <w:r w:rsidR="007F1E94">
        <w:rPr>
          <w:rFonts w:ascii="Times New Roman" w:hAnsi="Times New Roman" w:cs="Times New Roman"/>
          <w:sz w:val="24"/>
          <w:szCs w:val="24"/>
        </w:rPr>
        <w:t xml:space="preserve"> </w:t>
      </w:r>
      <w:r w:rsidR="007F1E94" w:rsidRPr="00762303">
        <w:rPr>
          <w:rFonts w:ascii="Times New Roman" w:hAnsi="Times New Roman" w:cs="Times New Roman"/>
          <w:sz w:val="24"/>
          <w:szCs w:val="24"/>
        </w:rPr>
        <w:t xml:space="preserve"> </w:t>
      </w:r>
    </w:p>
    <w:p w:rsidR="00F67707" w:rsidRDefault="00F67707">
      <w:pPr>
        <w:spacing w:line="360" w:lineRule="auto"/>
        <w:jc w:val="both"/>
        <w:rPr>
          <w:rFonts w:ascii="Times New Roman" w:hAnsi="Times New Roman" w:cs="Times New Roman"/>
          <w:sz w:val="24"/>
          <w:szCs w:val="24"/>
        </w:rPr>
      </w:pPr>
    </w:p>
    <w:p w:rsidR="0042238A" w:rsidRDefault="00A6265F">
      <w:pPr>
        <w:spacing w:line="360" w:lineRule="auto"/>
      </w:pPr>
      <w:r>
        <w:rPr>
          <w:rFonts w:ascii="Times New Roman" w:hAnsi="Times New Roman" w:cs="Times New Roman"/>
          <w:sz w:val="24"/>
          <w:szCs w:val="24"/>
        </w:rPr>
        <w:t xml:space="preserve"> </w:t>
      </w:r>
      <w:r w:rsidR="003B63E1">
        <w:t xml:space="preserve"> </w:t>
      </w:r>
    </w:p>
    <w:sectPr w:rsidR="0042238A" w:rsidSect="00A160D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165" w:rsidRDefault="008F3165" w:rsidP="00521217">
      <w:pPr>
        <w:spacing w:after="0" w:line="240" w:lineRule="auto"/>
      </w:pPr>
      <w:r>
        <w:separator/>
      </w:r>
    </w:p>
  </w:endnote>
  <w:endnote w:type="continuationSeparator" w:id="0">
    <w:p w:rsidR="008F3165" w:rsidRDefault="008F3165" w:rsidP="00521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804"/>
      <w:docPartObj>
        <w:docPartGallery w:val="Page Numbers (Bottom of Page)"/>
        <w:docPartUnique/>
      </w:docPartObj>
    </w:sdtPr>
    <w:sdtContent>
      <w:p w:rsidR="00DF2756" w:rsidRDefault="00A21EA5">
        <w:pPr>
          <w:pStyle w:val="Footer"/>
          <w:jc w:val="right"/>
        </w:pPr>
        <w:fldSimple w:instr=" PAGE   \* MERGEFORMAT ">
          <w:r w:rsidR="00416814">
            <w:rPr>
              <w:noProof/>
            </w:rPr>
            <w:t>25</w:t>
          </w:r>
        </w:fldSimple>
      </w:p>
    </w:sdtContent>
  </w:sdt>
  <w:p w:rsidR="00DF2756" w:rsidRDefault="00DF2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165" w:rsidRDefault="008F3165" w:rsidP="00521217">
      <w:pPr>
        <w:spacing w:after="0" w:line="240" w:lineRule="auto"/>
      </w:pPr>
      <w:r>
        <w:separator/>
      </w:r>
    </w:p>
  </w:footnote>
  <w:footnote w:type="continuationSeparator" w:id="0">
    <w:p w:rsidR="008F3165" w:rsidRDefault="008F3165" w:rsidP="00521217">
      <w:pPr>
        <w:spacing w:after="0" w:line="240" w:lineRule="auto"/>
      </w:pPr>
      <w:r>
        <w:continuationSeparator/>
      </w:r>
    </w:p>
  </w:footnote>
  <w:footnote w:id="1">
    <w:p w:rsidR="00DF2756" w:rsidRDefault="00DF2756">
      <w:pPr>
        <w:autoSpaceDE w:val="0"/>
        <w:autoSpaceDN w:val="0"/>
        <w:adjustRightInd w:val="0"/>
        <w:spacing w:after="0" w:line="240" w:lineRule="auto"/>
        <w:jc w:val="both"/>
        <w:rPr>
          <w:color w:val="1F497D" w:themeColor="text2"/>
        </w:rPr>
      </w:pPr>
      <w:r w:rsidRPr="009B3C19">
        <w:rPr>
          <w:rStyle w:val="FootnoteReference"/>
          <w:rFonts w:ascii="Times New Roman" w:hAnsi="Times New Roman" w:cs="Times New Roman"/>
        </w:rPr>
        <w:footnoteRef/>
      </w:r>
      <w:r w:rsidRPr="009B3C19">
        <w:rPr>
          <w:rFonts w:ascii="Times New Roman" w:hAnsi="Times New Roman" w:cs="Times New Roman"/>
          <w:sz w:val="20"/>
          <w:szCs w:val="20"/>
        </w:rPr>
        <w:t xml:space="preserve"> </w:t>
      </w:r>
      <w:r>
        <w:rPr>
          <w:rFonts w:ascii="Times New Roman" w:hAnsi="Times New Roman" w:cs="Times New Roman"/>
          <w:sz w:val="20"/>
          <w:szCs w:val="20"/>
        </w:rPr>
        <w:t xml:space="preserve">Examples include </w:t>
      </w:r>
      <w:r w:rsidRPr="009B3C19">
        <w:rPr>
          <w:rFonts w:ascii="Times New Roman" w:hAnsi="Times New Roman" w:cs="Times New Roman"/>
          <w:sz w:val="20"/>
          <w:szCs w:val="20"/>
        </w:rPr>
        <w:t xml:space="preserve">L. </w:t>
      </w:r>
      <w:proofErr w:type="spellStart"/>
      <w:r w:rsidRPr="009B3C19">
        <w:rPr>
          <w:rFonts w:ascii="Times New Roman" w:hAnsi="Times New Roman" w:cs="Times New Roman"/>
          <w:sz w:val="20"/>
          <w:szCs w:val="20"/>
        </w:rPr>
        <w:t>Dacome</w:t>
      </w:r>
      <w:proofErr w:type="spellEnd"/>
      <w:r w:rsidRPr="009B3C19">
        <w:rPr>
          <w:rFonts w:ascii="Times New Roman" w:hAnsi="Times New Roman" w:cs="Times New Roman"/>
          <w:sz w:val="20"/>
          <w:szCs w:val="20"/>
        </w:rPr>
        <w:t xml:space="preserve">, ‘Women, Wax and Anatomy in the “Century of Things”’, </w:t>
      </w:r>
      <w:r w:rsidRPr="009B3C19">
        <w:rPr>
          <w:rFonts w:ascii="Times New Roman" w:hAnsi="Times New Roman" w:cs="Times New Roman"/>
          <w:i/>
          <w:iCs/>
          <w:sz w:val="20"/>
          <w:szCs w:val="20"/>
        </w:rPr>
        <w:t>Renaissance Studies</w:t>
      </w:r>
      <w:r>
        <w:rPr>
          <w:rFonts w:ascii="Times New Roman" w:hAnsi="Times New Roman" w:cs="Times New Roman"/>
          <w:sz w:val="20"/>
          <w:szCs w:val="20"/>
        </w:rPr>
        <w:t xml:space="preserve">, 2007, 21: 4, 522–550; </w:t>
      </w:r>
      <w:r w:rsidRPr="009B3C19">
        <w:rPr>
          <w:rFonts w:ascii="Times New Roman" w:hAnsi="Times New Roman" w:cs="Times New Roman"/>
          <w:sz w:val="20"/>
          <w:szCs w:val="20"/>
          <w:lang w:val="fr-FR"/>
        </w:rPr>
        <w:t xml:space="preserve">C. Rabier </w:t>
      </w:r>
      <w:proofErr w:type="spellStart"/>
      <w:r w:rsidRPr="009B3C19">
        <w:rPr>
          <w:rFonts w:ascii="Times New Roman" w:hAnsi="Times New Roman" w:cs="Times New Roman"/>
          <w:sz w:val="20"/>
          <w:szCs w:val="20"/>
          <w:lang w:val="fr-FR"/>
        </w:rPr>
        <w:t>ed</w:t>
      </w:r>
      <w:proofErr w:type="spellEnd"/>
      <w:r w:rsidRPr="009B3C19">
        <w:rPr>
          <w:rFonts w:ascii="Times New Roman" w:hAnsi="Times New Roman" w:cs="Times New Roman"/>
          <w:sz w:val="20"/>
          <w:szCs w:val="20"/>
          <w:lang w:val="fr-FR"/>
        </w:rPr>
        <w:t xml:space="preserve">., </w:t>
      </w:r>
      <w:r w:rsidR="00A21EA5" w:rsidRPr="00A21EA5">
        <w:rPr>
          <w:rFonts w:ascii="Times New Roman" w:hAnsi="Times New Roman" w:cs="Times New Roman"/>
          <w:i/>
          <w:sz w:val="20"/>
          <w:szCs w:val="20"/>
        </w:rPr>
        <w:t xml:space="preserve">Fitting for </w:t>
      </w:r>
      <w:r>
        <w:rPr>
          <w:rFonts w:ascii="Times New Roman" w:hAnsi="Times New Roman" w:cs="Times New Roman"/>
          <w:i/>
          <w:sz w:val="20"/>
          <w:szCs w:val="20"/>
        </w:rPr>
        <w:t>H</w:t>
      </w:r>
      <w:r w:rsidR="00A21EA5" w:rsidRPr="00A21EA5">
        <w:rPr>
          <w:rFonts w:ascii="Times New Roman" w:hAnsi="Times New Roman" w:cs="Times New Roman"/>
          <w:i/>
          <w:sz w:val="20"/>
          <w:szCs w:val="20"/>
        </w:rPr>
        <w:t>ealth</w:t>
      </w:r>
      <w:r w:rsidRPr="009B3C19">
        <w:rPr>
          <w:rFonts w:ascii="Times New Roman" w:hAnsi="Times New Roman" w:cs="Times New Roman"/>
          <w:sz w:val="20"/>
          <w:szCs w:val="20"/>
        </w:rPr>
        <w:t xml:space="preserve">, special issue of </w:t>
      </w:r>
      <w:r w:rsidRPr="009B3C19">
        <w:rPr>
          <w:rFonts w:ascii="Times New Roman" w:hAnsi="Times New Roman" w:cs="Times New Roman"/>
          <w:i/>
          <w:sz w:val="20"/>
          <w:szCs w:val="20"/>
        </w:rPr>
        <w:t>Technology and Culture</w:t>
      </w:r>
      <w:r w:rsidRPr="009B3C19">
        <w:rPr>
          <w:rFonts w:ascii="Times New Roman" w:hAnsi="Times New Roman" w:cs="Times New Roman"/>
          <w:sz w:val="20"/>
          <w:szCs w:val="20"/>
        </w:rPr>
        <w:t>,</w:t>
      </w:r>
      <w:r w:rsidRPr="009B3C19">
        <w:rPr>
          <w:rFonts w:ascii="Times New Roman" w:hAnsi="Times New Roman" w:cs="Times New Roman"/>
          <w:i/>
          <w:sz w:val="20"/>
          <w:szCs w:val="20"/>
        </w:rPr>
        <w:t xml:space="preserve"> </w:t>
      </w:r>
      <w:r w:rsidRPr="009B3C19">
        <w:rPr>
          <w:rFonts w:ascii="Times New Roman" w:hAnsi="Times New Roman" w:cs="Times New Roman"/>
          <w:sz w:val="20"/>
          <w:szCs w:val="20"/>
        </w:rPr>
        <w:t xml:space="preserve">2013, 54:3. </w:t>
      </w:r>
    </w:p>
  </w:footnote>
  <w:footnote w:id="2">
    <w:p w:rsidR="00DF2756" w:rsidRDefault="00DF2756">
      <w:pPr>
        <w:pStyle w:val="FootnoteText"/>
        <w:jc w:val="both"/>
        <w:rPr>
          <w:lang w:val="en-GB"/>
        </w:rPr>
      </w:pPr>
      <w:r w:rsidRPr="009B3C19">
        <w:rPr>
          <w:rStyle w:val="FootnoteReference"/>
        </w:rPr>
        <w:footnoteRef/>
      </w:r>
      <w:r w:rsidRPr="009B3C19">
        <w:rPr>
          <w:lang w:val="en-GB"/>
        </w:rPr>
        <w:t xml:space="preserve"> The sole exception is represented by the material culture of the kitchen, whose versatile design is seen to have made it suitable not only for cooking but for the production of medicinal remedies for the household and even for commercial purposes. </w:t>
      </w:r>
      <w:r>
        <w:rPr>
          <w:lang w:val="en-GB"/>
        </w:rPr>
        <w:t xml:space="preserve">See for example </w:t>
      </w:r>
      <w:r w:rsidRPr="009B3C19">
        <w:rPr>
          <w:lang w:val="en-GB"/>
        </w:rPr>
        <w:t xml:space="preserve">E. Leong, ‘Making Medicines in the Early Modern Household,’ </w:t>
      </w:r>
      <w:r w:rsidRPr="009B3C19">
        <w:rPr>
          <w:i/>
          <w:lang w:val="en-GB"/>
        </w:rPr>
        <w:t xml:space="preserve">Bulletin of the History of Medicine </w:t>
      </w:r>
      <w:r w:rsidRPr="009B3C19">
        <w:rPr>
          <w:lang w:val="en-GB"/>
        </w:rPr>
        <w:t xml:space="preserve">82 (2008), 145-68, esp. </w:t>
      </w:r>
      <w:r w:rsidRPr="009B3C19">
        <w:rPr>
          <w:rStyle w:val="pagefirst"/>
          <w:iCs/>
          <w:lang w:val="en-GB"/>
        </w:rPr>
        <w:t>158</w:t>
      </w:r>
      <w:r w:rsidRPr="009B3C19">
        <w:rPr>
          <w:rStyle w:val="HTMLCite"/>
          <w:lang w:val="en-GB"/>
        </w:rPr>
        <w:t>–</w:t>
      </w:r>
      <w:r w:rsidRPr="009B3C19">
        <w:rPr>
          <w:rStyle w:val="pagelast"/>
          <w:iCs/>
          <w:lang w:val="en-GB"/>
        </w:rPr>
        <w:t>165</w:t>
      </w:r>
      <w:r>
        <w:rPr>
          <w:lang w:val="en-GB"/>
        </w:rPr>
        <w:t>.</w:t>
      </w:r>
    </w:p>
  </w:footnote>
  <w:footnote w:id="3">
    <w:p w:rsidR="00DF2756" w:rsidRDefault="00DF2756">
      <w:pPr>
        <w:pStyle w:val="FootnoteText"/>
        <w:jc w:val="both"/>
        <w:rPr>
          <w:lang w:val="en-GB"/>
        </w:rPr>
      </w:pPr>
      <w:r>
        <w:rPr>
          <w:rStyle w:val="FootnoteReference"/>
        </w:rPr>
        <w:footnoteRef/>
      </w:r>
      <w:r w:rsidRPr="009B3C19">
        <w:rPr>
          <w:lang w:val="en-GB"/>
        </w:rPr>
        <w:t xml:space="preserve"> </w:t>
      </w:r>
      <w:r>
        <w:rPr>
          <w:lang w:val="en-GB"/>
        </w:rPr>
        <w:t xml:space="preserve">S. Cavallo and T. Storey, </w:t>
      </w:r>
      <w:r>
        <w:rPr>
          <w:i/>
          <w:lang w:val="en-GB"/>
        </w:rPr>
        <w:t>Healthy Living in Late Renaissance Italy</w:t>
      </w:r>
      <w:r>
        <w:rPr>
          <w:lang w:val="en-GB"/>
        </w:rPr>
        <w:t xml:space="preserve"> (Oxford: Oxford University Press 2013).</w:t>
      </w:r>
    </w:p>
  </w:footnote>
  <w:footnote w:id="4">
    <w:p w:rsidR="00DF2756" w:rsidRPr="00203419" w:rsidRDefault="00DF2756">
      <w:pPr>
        <w:pStyle w:val="FootnoteText"/>
        <w:rPr>
          <w:lang w:val="en-GB"/>
        </w:rPr>
      </w:pPr>
      <w:r>
        <w:rPr>
          <w:rStyle w:val="FootnoteReference"/>
        </w:rPr>
        <w:footnoteRef/>
      </w:r>
      <w:r w:rsidR="00A21EA5" w:rsidRPr="00A21EA5">
        <w:rPr>
          <w:lang w:val="en-GB"/>
        </w:rPr>
        <w:t xml:space="preserve"> </w:t>
      </w:r>
      <w:r>
        <w:rPr>
          <w:lang w:val="en-GB"/>
        </w:rPr>
        <w:t xml:space="preserve">See for example the chapters by Gage, Conforti and Donato, and the Introduction in S. Cavallo and T. Storey </w:t>
      </w:r>
      <w:proofErr w:type="spellStart"/>
      <w:proofErr w:type="gramStart"/>
      <w:r>
        <w:rPr>
          <w:lang w:val="en-GB"/>
        </w:rPr>
        <w:t>eds</w:t>
      </w:r>
      <w:proofErr w:type="spellEnd"/>
      <w:proofErr w:type="gramEnd"/>
      <w:r>
        <w:rPr>
          <w:lang w:val="en-GB"/>
        </w:rPr>
        <w:t xml:space="preserve">, </w:t>
      </w:r>
      <w:r w:rsidR="00A21EA5" w:rsidRPr="00A21EA5">
        <w:rPr>
          <w:i/>
          <w:lang w:val="en-GB"/>
        </w:rPr>
        <w:t>Conserving Health</w:t>
      </w:r>
      <w:r>
        <w:rPr>
          <w:i/>
          <w:lang w:val="en-GB"/>
        </w:rPr>
        <w:t xml:space="preserve"> in Early Modern Culture </w:t>
      </w:r>
      <w:r>
        <w:rPr>
          <w:lang w:val="en-GB"/>
        </w:rPr>
        <w:t xml:space="preserve">(Pickering and </w:t>
      </w:r>
      <w:proofErr w:type="spellStart"/>
      <w:r>
        <w:rPr>
          <w:lang w:val="en-GB"/>
        </w:rPr>
        <w:t>Chatto</w:t>
      </w:r>
      <w:proofErr w:type="spellEnd"/>
      <w:r>
        <w:rPr>
          <w:lang w:val="en-GB"/>
        </w:rPr>
        <w:t xml:space="preserve">, forthcoming). </w:t>
      </w:r>
    </w:p>
  </w:footnote>
  <w:footnote w:id="5">
    <w:p w:rsidR="00DF2756" w:rsidRPr="00BD1E72" w:rsidRDefault="00DF2756">
      <w:pPr>
        <w:pStyle w:val="FootnoteText"/>
        <w:rPr>
          <w:lang w:val="en-GB"/>
        </w:rPr>
      </w:pPr>
      <w:r>
        <w:rPr>
          <w:rStyle w:val="FootnoteReference"/>
        </w:rPr>
        <w:footnoteRef/>
      </w:r>
      <w:r w:rsidRPr="00BD1E72">
        <w:rPr>
          <w:lang w:val="en-GB"/>
        </w:rPr>
        <w:t xml:space="preserve"> </w:t>
      </w:r>
      <w:r>
        <w:rPr>
          <w:lang w:val="en-GB"/>
        </w:rPr>
        <w:t xml:space="preserve">The chronology, authorship and formal characteristics of this genre are analysed in S. </w:t>
      </w:r>
      <w:r w:rsidRPr="00A66B0C">
        <w:rPr>
          <w:lang w:val="en-GB"/>
        </w:rPr>
        <w:t>Cavallo</w:t>
      </w:r>
      <w:r>
        <w:rPr>
          <w:lang w:val="en-GB"/>
        </w:rPr>
        <w:t xml:space="preserve">, </w:t>
      </w:r>
      <w:r w:rsidRPr="00956613">
        <w:rPr>
          <w:lang w:val="en-GB" w:eastAsia="en-GB"/>
        </w:rPr>
        <w:t xml:space="preserve">‘Secrets to Healthy Living: The Revival of the </w:t>
      </w:r>
      <w:r>
        <w:rPr>
          <w:lang w:val="en-GB" w:eastAsia="en-GB"/>
        </w:rPr>
        <w:t>Preventive Paradigm in Late Renaissance Italy</w:t>
      </w:r>
      <w:r w:rsidRPr="00A66B0C">
        <w:rPr>
          <w:lang w:val="en-GB"/>
        </w:rPr>
        <w:t xml:space="preserve">’, </w:t>
      </w:r>
      <w:r w:rsidRPr="00956613">
        <w:rPr>
          <w:lang w:val="en-GB" w:eastAsia="en-GB"/>
        </w:rPr>
        <w:t xml:space="preserve">in </w:t>
      </w:r>
      <w:r>
        <w:rPr>
          <w:lang w:val="en-GB" w:eastAsia="en-GB"/>
        </w:rPr>
        <w:t xml:space="preserve">E. Leong and A. Rankin </w:t>
      </w:r>
      <w:r w:rsidRPr="00956613">
        <w:rPr>
          <w:lang w:val="en-GB" w:eastAsia="en-GB"/>
        </w:rPr>
        <w:t xml:space="preserve">eds., </w:t>
      </w:r>
      <w:r w:rsidRPr="00956613">
        <w:rPr>
          <w:i/>
          <w:lang w:val="en-GB" w:eastAsia="en-GB"/>
        </w:rPr>
        <w:t>Secrets and Knowledge in</w:t>
      </w:r>
      <w:r>
        <w:rPr>
          <w:i/>
          <w:lang w:val="en-GB" w:eastAsia="en-GB"/>
        </w:rPr>
        <w:t xml:space="preserve"> </w:t>
      </w:r>
      <w:r w:rsidRPr="00956613">
        <w:rPr>
          <w:i/>
          <w:lang w:val="en-GB" w:eastAsia="en-GB"/>
        </w:rPr>
        <w:t>Medicine</w:t>
      </w:r>
      <w:r w:rsidRPr="00956613">
        <w:rPr>
          <w:lang w:val="en-GB" w:eastAsia="en-GB"/>
        </w:rPr>
        <w:t xml:space="preserve"> (Aldershot</w:t>
      </w:r>
      <w:r>
        <w:rPr>
          <w:lang w:val="en-GB" w:eastAsia="en-GB"/>
        </w:rPr>
        <w:t xml:space="preserve">: </w:t>
      </w:r>
      <w:proofErr w:type="spellStart"/>
      <w:r>
        <w:rPr>
          <w:lang w:val="en-GB" w:eastAsia="en-GB"/>
        </w:rPr>
        <w:t>Ashgate</w:t>
      </w:r>
      <w:proofErr w:type="spellEnd"/>
      <w:r w:rsidRPr="00956613">
        <w:rPr>
          <w:lang w:val="en-GB" w:eastAsia="en-GB"/>
        </w:rPr>
        <w:t>, 2011), 191–212;</w:t>
      </w:r>
      <w:r w:rsidRPr="00956613">
        <w:rPr>
          <w:i/>
          <w:lang w:val="en-GB" w:eastAsia="en-GB"/>
        </w:rPr>
        <w:t xml:space="preserve"> </w:t>
      </w:r>
      <w:r w:rsidRPr="00A66B0C">
        <w:rPr>
          <w:lang w:val="en-GB"/>
        </w:rPr>
        <w:t>C</w:t>
      </w:r>
      <w:r>
        <w:rPr>
          <w:lang w:val="en-GB"/>
        </w:rPr>
        <w:t>a</w:t>
      </w:r>
      <w:r w:rsidRPr="00A66B0C">
        <w:rPr>
          <w:lang w:val="en-GB"/>
        </w:rPr>
        <w:t>vall</w:t>
      </w:r>
      <w:r>
        <w:rPr>
          <w:lang w:val="en-GB"/>
        </w:rPr>
        <w:t xml:space="preserve">o and Storey, </w:t>
      </w:r>
      <w:r>
        <w:rPr>
          <w:i/>
          <w:lang w:val="en-GB"/>
        </w:rPr>
        <w:t xml:space="preserve">Healthy </w:t>
      </w:r>
      <w:r w:rsidRPr="00641910">
        <w:rPr>
          <w:i/>
          <w:lang w:val="en-GB"/>
        </w:rPr>
        <w:t>Living</w:t>
      </w:r>
      <w:r w:rsidRPr="00641910">
        <w:rPr>
          <w:lang w:val="en-GB"/>
        </w:rPr>
        <w:t>,</w:t>
      </w:r>
      <w:r w:rsidRPr="00641910">
        <w:rPr>
          <w:i/>
          <w:lang w:val="en-GB"/>
        </w:rPr>
        <w:t xml:space="preserve"> </w:t>
      </w:r>
      <w:r w:rsidRPr="00641910">
        <w:rPr>
          <w:lang w:val="en-GB"/>
        </w:rPr>
        <w:t>13-31.</w:t>
      </w:r>
    </w:p>
  </w:footnote>
  <w:footnote w:id="6">
    <w:p w:rsidR="00DF2756" w:rsidRDefault="00DF2756">
      <w:pPr>
        <w:pStyle w:val="FootnoteText"/>
        <w:jc w:val="both"/>
        <w:rPr>
          <w:lang w:val="en-GB"/>
        </w:rPr>
      </w:pPr>
      <w:r>
        <w:rPr>
          <w:rStyle w:val="FootnoteReference"/>
        </w:rPr>
        <w:footnoteRef/>
      </w:r>
      <w:r>
        <w:t xml:space="preserve"> </w:t>
      </w:r>
      <w:r>
        <w:t xml:space="preserve">B. Pietragrassa, </w:t>
      </w:r>
      <w:r w:rsidRPr="008D1248">
        <w:rPr>
          <w:i/>
        </w:rPr>
        <w:t xml:space="preserve">Politica </w:t>
      </w:r>
      <w:r>
        <w:rPr>
          <w:i/>
        </w:rPr>
        <w:t>M</w:t>
      </w:r>
      <w:r w:rsidRPr="008D1248">
        <w:rPr>
          <w:i/>
        </w:rPr>
        <w:t xml:space="preserve">edica per il </w:t>
      </w:r>
      <w:r>
        <w:rPr>
          <w:i/>
        </w:rPr>
        <w:t>G</w:t>
      </w:r>
      <w:r w:rsidRPr="008D1248">
        <w:rPr>
          <w:i/>
        </w:rPr>
        <w:t xml:space="preserve">overno </w:t>
      </w:r>
      <w:r>
        <w:rPr>
          <w:i/>
        </w:rPr>
        <w:t>C</w:t>
      </w:r>
      <w:r w:rsidRPr="008D1248">
        <w:rPr>
          <w:i/>
        </w:rPr>
        <w:t xml:space="preserve">onservativo del </w:t>
      </w:r>
      <w:r>
        <w:rPr>
          <w:i/>
        </w:rPr>
        <w:t>C</w:t>
      </w:r>
      <w:r w:rsidRPr="008D1248">
        <w:rPr>
          <w:i/>
        </w:rPr>
        <w:t xml:space="preserve">orpo </w:t>
      </w:r>
      <w:r>
        <w:rPr>
          <w:i/>
        </w:rPr>
        <w:t>H</w:t>
      </w:r>
      <w:r w:rsidRPr="008D1248">
        <w:rPr>
          <w:i/>
        </w:rPr>
        <w:t>umano...</w:t>
      </w:r>
      <w:r w:rsidRPr="008D1248">
        <w:t xml:space="preserve"> (Pavia: Andrea Magri, 1650), 411, 415. M.</w:t>
      </w:r>
      <w:r>
        <w:t xml:space="preserve"> </w:t>
      </w:r>
      <w:r w:rsidRPr="008D1248">
        <w:t xml:space="preserve">Ficino, </w:t>
      </w:r>
      <w:r w:rsidRPr="008D1248">
        <w:rPr>
          <w:i/>
          <w:lang w:eastAsia="en-GB"/>
        </w:rPr>
        <w:t xml:space="preserve">De le </w:t>
      </w:r>
      <w:r>
        <w:rPr>
          <w:i/>
          <w:lang w:eastAsia="en-GB"/>
        </w:rPr>
        <w:t>T</w:t>
      </w:r>
      <w:r w:rsidRPr="008D1248">
        <w:rPr>
          <w:i/>
          <w:lang w:eastAsia="en-GB"/>
        </w:rPr>
        <w:t xml:space="preserve">re </w:t>
      </w:r>
      <w:r>
        <w:rPr>
          <w:i/>
          <w:lang w:eastAsia="en-GB"/>
        </w:rPr>
        <w:t>V</w:t>
      </w:r>
      <w:r w:rsidRPr="008D1248">
        <w:rPr>
          <w:i/>
          <w:lang w:eastAsia="en-GB"/>
        </w:rPr>
        <w:t xml:space="preserve">ite, cioé, a qual </w:t>
      </w:r>
      <w:r>
        <w:rPr>
          <w:i/>
          <w:lang w:eastAsia="en-GB"/>
        </w:rPr>
        <w:t>G</w:t>
      </w:r>
      <w:r w:rsidRPr="008D1248">
        <w:rPr>
          <w:i/>
          <w:lang w:eastAsia="en-GB"/>
        </w:rPr>
        <w:t xml:space="preserve">uisa si </w:t>
      </w:r>
      <w:r>
        <w:rPr>
          <w:i/>
          <w:lang w:eastAsia="en-GB"/>
        </w:rPr>
        <w:t>P</w:t>
      </w:r>
      <w:r w:rsidRPr="008D1248">
        <w:rPr>
          <w:i/>
          <w:lang w:eastAsia="en-GB"/>
        </w:rPr>
        <w:t xml:space="preserve">ossono le </w:t>
      </w:r>
      <w:r>
        <w:rPr>
          <w:i/>
          <w:lang w:eastAsia="en-GB"/>
        </w:rPr>
        <w:t>P</w:t>
      </w:r>
      <w:r w:rsidRPr="008D1248">
        <w:rPr>
          <w:i/>
          <w:lang w:eastAsia="en-GB"/>
        </w:rPr>
        <w:t xml:space="preserve">ersone </w:t>
      </w:r>
      <w:r>
        <w:rPr>
          <w:i/>
          <w:lang w:eastAsia="en-GB"/>
        </w:rPr>
        <w:t>L</w:t>
      </w:r>
      <w:r w:rsidRPr="008D1248">
        <w:rPr>
          <w:i/>
          <w:lang w:eastAsia="en-GB"/>
        </w:rPr>
        <w:t xml:space="preserve">etterate </w:t>
      </w:r>
      <w:r>
        <w:rPr>
          <w:i/>
          <w:lang w:eastAsia="en-GB"/>
        </w:rPr>
        <w:t>M</w:t>
      </w:r>
      <w:r w:rsidRPr="008D1248">
        <w:rPr>
          <w:i/>
          <w:lang w:eastAsia="en-GB"/>
        </w:rPr>
        <w:t xml:space="preserve">antenere in </w:t>
      </w:r>
      <w:r>
        <w:rPr>
          <w:i/>
          <w:lang w:eastAsia="en-GB"/>
        </w:rPr>
        <w:t>S</w:t>
      </w:r>
      <w:r w:rsidRPr="008D1248">
        <w:rPr>
          <w:i/>
          <w:lang w:eastAsia="en-GB"/>
        </w:rPr>
        <w:t>anitá</w:t>
      </w:r>
      <w:r>
        <w:rPr>
          <w:i/>
          <w:lang w:eastAsia="en-GB"/>
        </w:rPr>
        <w:t>...</w:t>
      </w:r>
      <w:r w:rsidRPr="008D1248">
        <w:rPr>
          <w:i/>
          <w:lang w:eastAsia="en-GB"/>
        </w:rPr>
        <w:t xml:space="preserve"> </w:t>
      </w:r>
      <w:r w:rsidRPr="009B3C19">
        <w:rPr>
          <w:iCs/>
          <w:lang w:val="en-GB" w:eastAsia="en-GB"/>
        </w:rPr>
        <w:t xml:space="preserve">(Venice: </w:t>
      </w:r>
      <w:proofErr w:type="spellStart"/>
      <w:r w:rsidRPr="009B3C19">
        <w:rPr>
          <w:iCs/>
          <w:lang w:val="en-GB" w:eastAsia="en-GB"/>
        </w:rPr>
        <w:t>Tramezzino</w:t>
      </w:r>
      <w:proofErr w:type="spellEnd"/>
      <w:r w:rsidRPr="009B3C19">
        <w:rPr>
          <w:iCs/>
          <w:lang w:val="en-GB" w:eastAsia="en-GB"/>
        </w:rPr>
        <w:t xml:space="preserve">, </w:t>
      </w:r>
      <w:r w:rsidRPr="009B3C19">
        <w:rPr>
          <w:lang w:val="en-GB"/>
        </w:rPr>
        <w:t>1548), 14.</w:t>
      </w:r>
    </w:p>
  </w:footnote>
  <w:footnote w:id="7">
    <w:p w:rsidR="00DF2756" w:rsidRDefault="00DF2756">
      <w:pPr>
        <w:pStyle w:val="FootnoteText"/>
        <w:jc w:val="both"/>
        <w:rPr>
          <w:lang w:val="en-GB"/>
        </w:rPr>
      </w:pPr>
      <w:r w:rsidRPr="003815F1">
        <w:rPr>
          <w:rStyle w:val="FootnoteReference"/>
        </w:rPr>
        <w:footnoteRef/>
      </w:r>
      <w:r w:rsidRPr="003815F1">
        <w:rPr>
          <w:lang w:val="en-GB"/>
        </w:rPr>
        <w:t xml:space="preserve"> J. Gage, </w:t>
      </w:r>
      <w:r w:rsidRPr="003815F1">
        <w:rPr>
          <w:i/>
          <w:lang w:val="en-GB"/>
        </w:rPr>
        <w:t xml:space="preserve">Colour and Culture: </w:t>
      </w:r>
      <w:r w:rsidRPr="003815F1">
        <w:rPr>
          <w:rFonts w:eastAsiaTheme="minorHAnsi"/>
          <w:i/>
          <w:lang w:val="en-GB"/>
        </w:rPr>
        <w:t xml:space="preserve">Practice and </w:t>
      </w:r>
      <w:r w:rsidRPr="003815F1">
        <w:rPr>
          <w:rFonts w:eastAsiaTheme="minorHAnsi"/>
          <w:bCs/>
          <w:i/>
          <w:lang w:val="en-GB"/>
        </w:rPr>
        <w:t>Meaning</w:t>
      </w:r>
      <w:r w:rsidRPr="003815F1">
        <w:rPr>
          <w:rFonts w:eastAsiaTheme="minorHAnsi"/>
          <w:i/>
          <w:lang w:val="en-GB"/>
        </w:rPr>
        <w:t xml:space="preserve"> from Antiquity to Abstraction</w:t>
      </w:r>
      <w:r>
        <w:rPr>
          <w:rFonts w:eastAsiaTheme="minorHAnsi"/>
          <w:lang w:val="en-GB"/>
        </w:rPr>
        <w:t xml:space="preserve"> (Berkeley: University of California Press, 1999), 83-84.</w:t>
      </w:r>
    </w:p>
  </w:footnote>
  <w:footnote w:id="8">
    <w:p w:rsidR="00DF2756" w:rsidRPr="00AD6988" w:rsidRDefault="00DF2756">
      <w:pPr>
        <w:pStyle w:val="FootnoteText"/>
        <w:jc w:val="both"/>
        <w:rPr>
          <w:lang w:val="en-GB"/>
        </w:rPr>
      </w:pPr>
      <w:r>
        <w:rPr>
          <w:rStyle w:val="FootnoteReference"/>
        </w:rPr>
        <w:footnoteRef/>
      </w:r>
      <w:r w:rsidRPr="009B3C19">
        <w:rPr>
          <w:lang w:val="en-GB"/>
        </w:rPr>
        <w:t xml:space="preserve"> D. </w:t>
      </w:r>
      <w:proofErr w:type="spellStart"/>
      <w:r w:rsidRPr="009B3C19">
        <w:rPr>
          <w:lang w:val="en-GB"/>
        </w:rPr>
        <w:t>Pavey</w:t>
      </w:r>
      <w:proofErr w:type="spellEnd"/>
      <w:r w:rsidRPr="006216E8">
        <w:rPr>
          <w:lang w:val="en-GB"/>
        </w:rPr>
        <w:t xml:space="preserve">, </w:t>
      </w:r>
      <w:r w:rsidRPr="006216E8">
        <w:rPr>
          <w:i/>
          <w:lang w:val="en-GB"/>
        </w:rPr>
        <w:t xml:space="preserve">Colour and </w:t>
      </w:r>
      <w:r w:rsidRPr="00AD6988">
        <w:rPr>
          <w:i/>
          <w:lang w:val="en-GB"/>
        </w:rPr>
        <w:t>Humanism</w:t>
      </w:r>
      <w:r w:rsidRPr="00AD6988">
        <w:rPr>
          <w:lang w:val="en-GB"/>
        </w:rPr>
        <w:t xml:space="preserve">, revised edition (London: Micro Academy, 2001), esp. 49-52.  </w:t>
      </w:r>
    </w:p>
  </w:footnote>
  <w:footnote w:id="9">
    <w:p w:rsidR="00DF2756" w:rsidRDefault="00DF2756">
      <w:pPr>
        <w:spacing w:line="240" w:lineRule="auto"/>
        <w:jc w:val="both"/>
        <w:rPr>
          <w:lang w:val="it-IT"/>
        </w:rPr>
      </w:pPr>
      <w:r w:rsidRPr="00AD6988">
        <w:rPr>
          <w:rStyle w:val="FootnoteReference"/>
          <w:rFonts w:ascii="Times New Roman" w:hAnsi="Times New Roman" w:cs="Times New Roman"/>
          <w:sz w:val="20"/>
          <w:szCs w:val="20"/>
        </w:rPr>
        <w:footnoteRef/>
      </w:r>
      <w:r w:rsidRPr="00AD6988">
        <w:rPr>
          <w:rFonts w:ascii="Times New Roman" w:hAnsi="Times New Roman" w:cs="Times New Roman"/>
          <w:sz w:val="20"/>
          <w:szCs w:val="20"/>
          <w:lang w:val="it-IT"/>
        </w:rPr>
        <w:t xml:space="preserve">  F. P. </w:t>
      </w:r>
      <w:r w:rsidRPr="00AD6988">
        <w:rPr>
          <w:rFonts w:ascii="Times New Roman" w:hAnsi="Times New Roman" w:cs="Times New Roman"/>
          <w:sz w:val="20"/>
          <w:szCs w:val="20"/>
          <w:lang w:val="it-IT"/>
        </w:rPr>
        <w:t xml:space="preserve">Morato, </w:t>
      </w:r>
      <w:r w:rsidRPr="00AD6988">
        <w:rPr>
          <w:rFonts w:ascii="Times New Roman" w:hAnsi="Times New Roman" w:cs="Times New Roman"/>
          <w:i/>
          <w:sz w:val="20"/>
          <w:szCs w:val="20"/>
          <w:lang w:val="it-IT"/>
        </w:rPr>
        <w:t xml:space="preserve">Del </w:t>
      </w:r>
      <w:r>
        <w:rPr>
          <w:rFonts w:ascii="Times New Roman" w:hAnsi="Times New Roman" w:cs="Times New Roman"/>
          <w:i/>
          <w:sz w:val="20"/>
          <w:szCs w:val="20"/>
          <w:lang w:val="it-IT"/>
        </w:rPr>
        <w:t>S</w:t>
      </w:r>
      <w:r w:rsidRPr="00AD6988">
        <w:rPr>
          <w:rFonts w:ascii="Times New Roman" w:hAnsi="Times New Roman" w:cs="Times New Roman"/>
          <w:i/>
          <w:sz w:val="20"/>
          <w:szCs w:val="20"/>
          <w:lang w:val="it-IT"/>
        </w:rPr>
        <w:t xml:space="preserve">ignificato de’ </w:t>
      </w:r>
      <w:r>
        <w:rPr>
          <w:rFonts w:ascii="Times New Roman" w:hAnsi="Times New Roman" w:cs="Times New Roman"/>
          <w:i/>
          <w:sz w:val="20"/>
          <w:szCs w:val="20"/>
          <w:lang w:val="it-IT"/>
        </w:rPr>
        <w:t>C</w:t>
      </w:r>
      <w:r w:rsidRPr="00AD6988">
        <w:rPr>
          <w:rFonts w:ascii="Times New Roman" w:hAnsi="Times New Roman" w:cs="Times New Roman"/>
          <w:i/>
          <w:sz w:val="20"/>
          <w:szCs w:val="20"/>
          <w:lang w:val="it-IT"/>
        </w:rPr>
        <w:t xml:space="preserve">olori, e de’ </w:t>
      </w:r>
      <w:r>
        <w:rPr>
          <w:rFonts w:ascii="Times New Roman" w:hAnsi="Times New Roman" w:cs="Times New Roman"/>
          <w:i/>
          <w:sz w:val="20"/>
          <w:szCs w:val="20"/>
          <w:lang w:val="it-IT"/>
        </w:rPr>
        <w:t>M</w:t>
      </w:r>
      <w:r w:rsidRPr="00AD6988">
        <w:rPr>
          <w:rFonts w:ascii="Times New Roman" w:hAnsi="Times New Roman" w:cs="Times New Roman"/>
          <w:i/>
          <w:sz w:val="20"/>
          <w:szCs w:val="20"/>
          <w:lang w:val="it-IT"/>
        </w:rPr>
        <w:t xml:space="preserve">azzoli </w:t>
      </w:r>
      <w:r w:rsidRPr="00AD6988">
        <w:rPr>
          <w:rFonts w:ascii="Times New Roman" w:hAnsi="Times New Roman" w:cs="Times New Roman"/>
          <w:sz w:val="20"/>
          <w:szCs w:val="20"/>
          <w:lang w:val="it-IT"/>
        </w:rPr>
        <w:t xml:space="preserve">(Venezia: F.I. Bindoni &amp; M.Pasini, 1533), which had more than 20 editions just in the sixteenth century; L.Dolce, </w:t>
      </w:r>
      <w:r w:rsidRPr="00AD6988">
        <w:rPr>
          <w:rFonts w:ascii="Times New Roman" w:hAnsi="Times New Roman" w:cs="Times New Roman"/>
          <w:i/>
          <w:sz w:val="20"/>
          <w:szCs w:val="20"/>
          <w:lang w:val="it-IT"/>
        </w:rPr>
        <w:t xml:space="preserve">Dialogo nel quale si </w:t>
      </w:r>
      <w:r>
        <w:rPr>
          <w:rFonts w:ascii="Times New Roman" w:hAnsi="Times New Roman" w:cs="Times New Roman"/>
          <w:i/>
          <w:sz w:val="20"/>
          <w:szCs w:val="20"/>
          <w:lang w:val="it-IT"/>
        </w:rPr>
        <w:t>R</w:t>
      </w:r>
      <w:r w:rsidRPr="00AD6988">
        <w:rPr>
          <w:rFonts w:ascii="Times New Roman" w:hAnsi="Times New Roman" w:cs="Times New Roman"/>
          <w:i/>
          <w:sz w:val="20"/>
          <w:szCs w:val="20"/>
          <w:lang w:val="it-IT"/>
        </w:rPr>
        <w:t>agiona</w:t>
      </w:r>
      <w:r>
        <w:rPr>
          <w:rFonts w:ascii="Times New Roman" w:hAnsi="Times New Roman" w:cs="Times New Roman"/>
          <w:i/>
          <w:sz w:val="20"/>
          <w:szCs w:val="20"/>
          <w:lang w:val="it-IT"/>
        </w:rPr>
        <w:t xml:space="preserve"> delle Qualitá, Diversitá e Propietá dei Colori</w:t>
      </w:r>
      <w:r w:rsidRPr="00AD6988">
        <w:rPr>
          <w:rFonts w:ascii="Times New Roman" w:hAnsi="Times New Roman" w:cs="Times New Roman"/>
          <w:i/>
          <w:sz w:val="20"/>
          <w:szCs w:val="20"/>
          <w:lang w:val="it-IT"/>
        </w:rPr>
        <w:t xml:space="preserve"> </w:t>
      </w:r>
      <w:r w:rsidRPr="00AD6988">
        <w:rPr>
          <w:rFonts w:ascii="Times New Roman" w:hAnsi="Times New Roman" w:cs="Times New Roman"/>
          <w:sz w:val="20"/>
          <w:szCs w:val="20"/>
          <w:lang w:val="it-IT"/>
        </w:rPr>
        <w:t>(Venice: G. B. e M. Sessa et fratelli, 1565); C.</w:t>
      </w:r>
      <w:r>
        <w:rPr>
          <w:rFonts w:ascii="Times New Roman" w:hAnsi="Times New Roman" w:cs="Times New Roman"/>
          <w:sz w:val="20"/>
          <w:szCs w:val="20"/>
          <w:lang w:val="it-IT"/>
        </w:rPr>
        <w:t xml:space="preserve"> </w:t>
      </w:r>
      <w:r w:rsidRPr="00AD6988">
        <w:rPr>
          <w:rFonts w:ascii="Times New Roman" w:hAnsi="Times New Roman" w:cs="Times New Roman"/>
          <w:sz w:val="20"/>
          <w:szCs w:val="20"/>
          <w:lang w:val="it-IT"/>
        </w:rPr>
        <w:t xml:space="preserve">Occolti, </w:t>
      </w:r>
      <w:r w:rsidRPr="00AD6988">
        <w:rPr>
          <w:rFonts w:ascii="Times New Roman" w:hAnsi="Times New Roman" w:cs="Times New Roman"/>
          <w:i/>
          <w:sz w:val="20"/>
          <w:szCs w:val="20"/>
          <w:lang w:val="it-IT"/>
        </w:rPr>
        <w:t>Trattato de’ Colori</w:t>
      </w:r>
      <w:r w:rsidRPr="00AD6988">
        <w:rPr>
          <w:rFonts w:ascii="Times New Roman" w:hAnsi="Times New Roman" w:cs="Times New Roman"/>
          <w:sz w:val="20"/>
          <w:szCs w:val="20"/>
          <w:lang w:val="it-IT"/>
        </w:rPr>
        <w:t xml:space="preserve"> (Parma: Seth Viotto, 1568); G.P. Lomazzo,</w:t>
      </w:r>
      <w:r>
        <w:rPr>
          <w:rFonts w:ascii="Times New Roman" w:hAnsi="Times New Roman" w:cs="Times New Roman"/>
          <w:sz w:val="20"/>
          <w:szCs w:val="20"/>
          <w:lang w:val="it-IT"/>
        </w:rPr>
        <w:t xml:space="preserve"> </w:t>
      </w:r>
      <w:r>
        <w:rPr>
          <w:rFonts w:ascii="Times New Roman" w:hAnsi="Times New Roman" w:cs="Times New Roman"/>
          <w:i/>
          <w:sz w:val="20"/>
          <w:szCs w:val="20"/>
          <w:lang w:val="it-IT"/>
        </w:rPr>
        <w:t>Trattato dell’Arte della Pittura, Scoltura, et Architettura</w:t>
      </w:r>
      <w:r w:rsidRPr="006216E8">
        <w:rPr>
          <w:rFonts w:ascii="Times New Roman" w:hAnsi="Times New Roman" w:cs="Times New Roman"/>
          <w:sz w:val="20"/>
          <w:szCs w:val="20"/>
          <w:lang w:val="it-IT"/>
        </w:rPr>
        <w:t xml:space="preserve"> (Milan: P.G. Pontio, 1584), </w:t>
      </w:r>
      <w:r>
        <w:rPr>
          <w:rFonts w:ascii="Times New Roman" w:hAnsi="Times New Roman" w:cs="Times New Roman"/>
          <w:sz w:val="20"/>
          <w:szCs w:val="20"/>
          <w:lang w:val="it-IT"/>
        </w:rPr>
        <w:t>book</w:t>
      </w:r>
      <w:r w:rsidRPr="006216E8">
        <w:rPr>
          <w:rFonts w:ascii="Times New Roman" w:hAnsi="Times New Roman" w:cs="Times New Roman"/>
          <w:sz w:val="20"/>
          <w:szCs w:val="20"/>
          <w:lang w:val="it-IT"/>
        </w:rPr>
        <w:t xml:space="preserve"> 2, c</w:t>
      </w:r>
      <w:r>
        <w:rPr>
          <w:rFonts w:ascii="Times New Roman" w:hAnsi="Times New Roman" w:cs="Times New Roman"/>
          <w:sz w:val="20"/>
          <w:szCs w:val="20"/>
          <w:lang w:val="it-IT"/>
        </w:rPr>
        <w:t>h</w:t>
      </w:r>
      <w:r w:rsidRPr="006216E8">
        <w:rPr>
          <w:rFonts w:ascii="Times New Roman" w:hAnsi="Times New Roman" w:cs="Times New Roman"/>
          <w:sz w:val="20"/>
          <w:szCs w:val="20"/>
          <w:lang w:val="it-IT"/>
        </w:rPr>
        <w:t xml:space="preserve">ap. XI; G. Rinaldi, </w:t>
      </w:r>
      <w:r w:rsidRPr="006216E8">
        <w:rPr>
          <w:rFonts w:ascii="Times New Roman" w:hAnsi="Times New Roman" w:cs="Times New Roman"/>
          <w:i/>
          <w:iCs/>
          <w:sz w:val="20"/>
          <w:szCs w:val="20"/>
          <w:lang w:val="it-IT"/>
        </w:rPr>
        <w:t xml:space="preserve">Il </w:t>
      </w:r>
      <w:r>
        <w:rPr>
          <w:rFonts w:ascii="Times New Roman" w:hAnsi="Times New Roman" w:cs="Times New Roman"/>
          <w:i/>
          <w:iCs/>
          <w:sz w:val="20"/>
          <w:szCs w:val="20"/>
          <w:lang w:val="it-IT"/>
        </w:rPr>
        <w:t>M</w:t>
      </w:r>
      <w:r w:rsidRPr="006216E8">
        <w:rPr>
          <w:rFonts w:ascii="Times New Roman" w:hAnsi="Times New Roman" w:cs="Times New Roman"/>
          <w:i/>
          <w:iCs/>
          <w:sz w:val="20"/>
          <w:szCs w:val="20"/>
          <w:lang w:val="it-IT"/>
        </w:rPr>
        <w:t xml:space="preserve">ostruosissimo </w:t>
      </w:r>
      <w:r>
        <w:rPr>
          <w:rFonts w:ascii="Times New Roman" w:hAnsi="Times New Roman" w:cs="Times New Roman"/>
          <w:i/>
          <w:iCs/>
          <w:sz w:val="20"/>
          <w:szCs w:val="20"/>
          <w:lang w:val="it-IT"/>
        </w:rPr>
        <w:t>M</w:t>
      </w:r>
      <w:r w:rsidRPr="006216E8">
        <w:rPr>
          <w:rFonts w:ascii="Times New Roman" w:hAnsi="Times New Roman" w:cs="Times New Roman"/>
          <w:i/>
          <w:iCs/>
          <w:sz w:val="20"/>
          <w:szCs w:val="20"/>
          <w:lang w:val="it-IT"/>
        </w:rPr>
        <w:t>ostro</w:t>
      </w:r>
      <w:r>
        <w:rPr>
          <w:rFonts w:ascii="Times New Roman" w:hAnsi="Times New Roman" w:cs="Times New Roman"/>
          <w:i/>
          <w:iCs/>
          <w:sz w:val="20"/>
          <w:szCs w:val="20"/>
          <w:lang w:val="it-IT"/>
        </w:rPr>
        <w:t>...</w:t>
      </w:r>
      <w:r w:rsidRPr="006216E8">
        <w:rPr>
          <w:rFonts w:ascii="Times New Roman" w:hAnsi="Times New Roman" w:cs="Times New Roman"/>
          <w:lang w:val="it-IT"/>
        </w:rPr>
        <w:t xml:space="preserve"> </w:t>
      </w:r>
      <w:r w:rsidRPr="009B3C19">
        <w:rPr>
          <w:rFonts w:ascii="Times New Roman" w:hAnsi="Times New Roman" w:cs="Times New Roman"/>
          <w:sz w:val="20"/>
          <w:szCs w:val="20"/>
          <w:lang w:val="it-IT"/>
        </w:rPr>
        <w:t xml:space="preserve">(Ferrara: V. Baldini, 1584); A. Calli, </w:t>
      </w:r>
      <w:r w:rsidRPr="009B3C19">
        <w:rPr>
          <w:rFonts w:ascii="Times New Roman" w:hAnsi="Times New Roman" w:cs="Times New Roman"/>
          <w:i/>
          <w:sz w:val="20"/>
          <w:szCs w:val="20"/>
          <w:lang w:val="it-IT"/>
        </w:rPr>
        <w:t>Discorso de</w:t>
      </w:r>
      <w:r>
        <w:rPr>
          <w:rFonts w:ascii="Times New Roman" w:hAnsi="Times New Roman" w:cs="Times New Roman"/>
          <w:i/>
          <w:sz w:val="20"/>
          <w:szCs w:val="20"/>
          <w:lang w:val="it-IT"/>
        </w:rPr>
        <w:t>’</w:t>
      </w:r>
      <w:r w:rsidRPr="009B3C19">
        <w:rPr>
          <w:rFonts w:ascii="Times New Roman" w:hAnsi="Times New Roman" w:cs="Times New Roman"/>
          <w:i/>
          <w:sz w:val="20"/>
          <w:szCs w:val="20"/>
          <w:lang w:val="it-IT"/>
        </w:rPr>
        <w:t xml:space="preserve"> </w:t>
      </w:r>
      <w:r>
        <w:rPr>
          <w:rFonts w:ascii="Times New Roman" w:hAnsi="Times New Roman" w:cs="Times New Roman"/>
          <w:i/>
          <w:sz w:val="20"/>
          <w:szCs w:val="20"/>
          <w:lang w:val="it-IT"/>
        </w:rPr>
        <w:t>C</w:t>
      </w:r>
      <w:r w:rsidRPr="009B3C19">
        <w:rPr>
          <w:rFonts w:ascii="Times New Roman" w:hAnsi="Times New Roman" w:cs="Times New Roman"/>
          <w:i/>
          <w:sz w:val="20"/>
          <w:szCs w:val="20"/>
          <w:lang w:val="it-IT"/>
        </w:rPr>
        <w:t>olori</w:t>
      </w:r>
      <w:r w:rsidRPr="009B3C19">
        <w:rPr>
          <w:rFonts w:ascii="Times New Roman" w:hAnsi="Times New Roman" w:cs="Times New Roman"/>
          <w:sz w:val="20"/>
          <w:szCs w:val="20"/>
          <w:lang w:val="it-IT"/>
        </w:rPr>
        <w:t xml:space="preserve"> (Padua: Lorenzo Pasquati, 1595).</w:t>
      </w:r>
    </w:p>
  </w:footnote>
  <w:footnote w:id="10">
    <w:p w:rsidR="00DF2756" w:rsidRDefault="00DF2756">
      <w:pPr>
        <w:pStyle w:val="FootnoteText"/>
        <w:jc w:val="both"/>
      </w:pPr>
      <w:r>
        <w:rPr>
          <w:rStyle w:val="FootnoteReference"/>
        </w:rPr>
        <w:footnoteRef/>
      </w:r>
      <w:r>
        <w:t xml:space="preserve"> Gage, </w:t>
      </w:r>
      <w:r w:rsidRPr="009B3C19">
        <w:rPr>
          <w:i/>
        </w:rPr>
        <w:t>Colour and Culture</w:t>
      </w:r>
      <w:r w:rsidRPr="009B3C19">
        <w:t>, 84.</w:t>
      </w:r>
    </w:p>
  </w:footnote>
  <w:footnote w:id="11">
    <w:p w:rsidR="00DF2756" w:rsidRDefault="00DF2756">
      <w:pPr>
        <w:autoSpaceDE w:val="0"/>
        <w:autoSpaceDN w:val="0"/>
        <w:adjustRightInd w:val="0"/>
        <w:spacing w:after="0" w:line="240" w:lineRule="auto"/>
        <w:jc w:val="both"/>
        <w:rPr>
          <w:lang w:val="it-IT"/>
        </w:rPr>
      </w:pPr>
      <w:r>
        <w:rPr>
          <w:rStyle w:val="FootnoteReference"/>
        </w:rPr>
        <w:footnoteRef/>
      </w:r>
      <w:r w:rsidRPr="00CA564A">
        <w:rPr>
          <w:lang w:val="it-IT"/>
        </w:rPr>
        <w:t xml:space="preserve"> </w:t>
      </w:r>
      <w:r w:rsidRPr="008210E0">
        <w:rPr>
          <w:rFonts w:ascii="Times New Roman" w:hAnsi="Times New Roman" w:cs="Times New Roman"/>
          <w:sz w:val="20"/>
          <w:szCs w:val="20"/>
          <w:lang w:val="it-IT"/>
        </w:rPr>
        <w:t xml:space="preserve">Ficino, </w:t>
      </w:r>
      <w:r>
        <w:rPr>
          <w:rFonts w:ascii="Times New Roman" w:hAnsi="Times New Roman" w:cs="Times New Roman"/>
          <w:i/>
          <w:sz w:val="20"/>
          <w:szCs w:val="20"/>
          <w:lang w:val="it-IT" w:eastAsia="en-GB"/>
        </w:rPr>
        <w:t>De le Tre v=Vite</w:t>
      </w:r>
      <w:r>
        <w:rPr>
          <w:rFonts w:ascii="Times New Roman" w:hAnsi="Times New Roman" w:cs="Times New Roman"/>
          <w:sz w:val="20"/>
          <w:szCs w:val="20"/>
          <w:lang w:val="it-IT" w:eastAsia="en-GB"/>
        </w:rPr>
        <w:t>,</w:t>
      </w:r>
      <w:r>
        <w:rPr>
          <w:rFonts w:ascii="Times New Roman" w:hAnsi="Times New Roman" w:cs="Times New Roman"/>
          <w:i/>
          <w:iCs/>
          <w:sz w:val="20"/>
          <w:szCs w:val="20"/>
          <w:lang w:val="it-IT"/>
        </w:rPr>
        <w:t xml:space="preserve"> </w:t>
      </w:r>
      <w:r>
        <w:rPr>
          <w:rFonts w:ascii="Times New Roman" w:hAnsi="Times New Roman" w:cs="Times New Roman"/>
          <w:sz w:val="20"/>
          <w:szCs w:val="20"/>
          <w:lang w:val="it-IT" w:eastAsia="en-GB"/>
        </w:rPr>
        <w:t xml:space="preserve">13; </w:t>
      </w:r>
      <w:r w:rsidRPr="00A0199A">
        <w:rPr>
          <w:rFonts w:ascii="Times New Roman" w:hAnsi="Times New Roman" w:cs="Times New Roman"/>
          <w:sz w:val="20"/>
          <w:szCs w:val="20"/>
          <w:lang w:val="it-IT"/>
        </w:rPr>
        <w:t>M</w:t>
      </w:r>
      <w:r>
        <w:rPr>
          <w:rFonts w:ascii="Times New Roman" w:hAnsi="Times New Roman" w:cs="Times New Roman"/>
          <w:sz w:val="20"/>
          <w:szCs w:val="20"/>
          <w:lang w:val="it-IT"/>
        </w:rPr>
        <w:t>.</w:t>
      </w:r>
      <w:r w:rsidRPr="00A0199A">
        <w:rPr>
          <w:rFonts w:ascii="Times New Roman" w:hAnsi="Times New Roman" w:cs="Times New Roman"/>
          <w:sz w:val="20"/>
          <w:szCs w:val="20"/>
          <w:lang w:val="it-IT"/>
        </w:rPr>
        <w:t xml:space="preserve"> Savonarola, </w:t>
      </w:r>
      <w:r w:rsidRPr="00A0199A">
        <w:rPr>
          <w:rFonts w:ascii="Times New Roman" w:hAnsi="Times New Roman" w:cs="Times New Roman"/>
          <w:i/>
          <w:sz w:val="20"/>
          <w:szCs w:val="20"/>
          <w:lang w:val="it-IT"/>
        </w:rPr>
        <w:t>Libreto</w:t>
      </w:r>
      <w:r>
        <w:rPr>
          <w:rFonts w:ascii="Times New Roman" w:hAnsi="Times New Roman" w:cs="Times New Roman"/>
          <w:i/>
          <w:iCs/>
          <w:sz w:val="20"/>
          <w:szCs w:val="20"/>
          <w:lang w:val="it-IT"/>
        </w:rPr>
        <w:t>...</w:t>
      </w:r>
      <w:r w:rsidRPr="00A0199A">
        <w:rPr>
          <w:rFonts w:ascii="Times New Roman" w:hAnsi="Times New Roman" w:cs="Times New Roman"/>
          <w:i/>
          <w:iCs/>
          <w:sz w:val="20"/>
          <w:szCs w:val="20"/>
          <w:lang w:val="it-IT"/>
        </w:rPr>
        <w:t xml:space="preserve">de </w:t>
      </w:r>
      <w:r>
        <w:rPr>
          <w:rFonts w:ascii="Times New Roman" w:hAnsi="Times New Roman" w:cs="Times New Roman"/>
          <w:i/>
          <w:iCs/>
          <w:sz w:val="20"/>
          <w:szCs w:val="20"/>
          <w:lang w:val="it-IT"/>
        </w:rPr>
        <w:t>T</w:t>
      </w:r>
      <w:r w:rsidRPr="00A0199A">
        <w:rPr>
          <w:rFonts w:ascii="Times New Roman" w:hAnsi="Times New Roman" w:cs="Times New Roman"/>
          <w:i/>
          <w:iCs/>
          <w:sz w:val="20"/>
          <w:szCs w:val="20"/>
          <w:lang w:val="it-IT"/>
        </w:rPr>
        <w:t xml:space="preserve">utte le </w:t>
      </w:r>
      <w:r>
        <w:rPr>
          <w:rFonts w:ascii="Times New Roman" w:hAnsi="Times New Roman" w:cs="Times New Roman"/>
          <w:i/>
          <w:iCs/>
          <w:sz w:val="20"/>
          <w:szCs w:val="20"/>
          <w:lang w:val="it-IT"/>
        </w:rPr>
        <w:t>C</w:t>
      </w:r>
      <w:r w:rsidRPr="00A0199A">
        <w:rPr>
          <w:rFonts w:ascii="Times New Roman" w:hAnsi="Times New Roman" w:cs="Times New Roman"/>
          <w:i/>
          <w:iCs/>
          <w:sz w:val="20"/>
          <w:szCs w:val="20"/>
          <w:lang w:val="it-IT"/>
        </w:rPr>
        <w:t xml:space="preserve">ose che se </w:t>
      </w:r>
      <w:r>
        <w:rPr>
          <w:rFonts w:ascii="Times New Roman" w:hAnsi="Times New Roman" w:cs="Times New Roman"/>
          <w:i/>
          <w:iCs/>
          <w:sz w:val="20"/>
          <w:szCs w:val="20"/>
          <w:lang w:val="it-IT"/>
        </w:rPr>
        <w:t>M</w:t>
      </w:r>
      <w:r w:rsidRPr="00A0199A">
        <w:rPr>
          <w:rFonts w:ascii="Times New Roman" w:hAnsi="Times New Roman" w:cs="Times New Roman"/>
          <w:i/>
          <w:iCs/>
          <w:sz w:val="20"/>
          <w:szCs w:val="20"/>
          <w:lang w:val="it-IT"/>
        </w:rPr>
        <w:t>anzano</w:t>
      </w:r>
      <w:r>
        <w:rPr>
          <w:rFonts w:ascii="Times New Roman" w:hAnsi="Times New Roman" w:cs="Times New Roman"/>
          <w:i/>
          <w:iCs/>
          <w:sz w:val="20"/>
          <w:szCs w:val="20"/>
          <w:lang w:val="it-IT"/>
        </w:rPr>
        <w:t>...</w:t>
      </w:r>
      <w:r w:rsidRPr="00A0199A">
        <w:rPr>
          <w:rFonts w:ascii="Times New Roman" w:hAnsi="Times New Roman" w:cs="Times New Roman"/>
          <w:i/>
          <w:iCs/>
          <w:sz w:val="20"/>
          <w:szCs w:val="20"/>
          <w:lang w:val="it-IT"/>
        </w:rPr>
        <w:t xml:space="preserve"> e de </w:t>
      </w:r>
      <w:r>
        <w:rPr>
          <w:rFonts w:ascii="Times New Roman" w:hAnsi="Times New Roman" w:cs="Times New Roman"/>
          <w:i/>
          <w:iCs/>
          <w:sz w:val="20"/>
          <w:szCs w:val="20"/>
          <w:lang w:val="it-IT"/>
        </w:rPr>
        <w:t>S</w:t>
      </w:r>
      <w:r w:rsidRPr="00A0199A">
        <w:rPr>
          <w:rFonts w:ascii="Times New Roman" w:hAnsi="Times New Roman" w:cs="Times New Roman"/>
          <w:i/>
          <w:iCs/>
          <w:sz w:val="20"/>
          <w:szCs w:val="20"/>
          <w:lang w:val="it-IT"/>
        </w:rPr>
        <w:t xml:space="preserve">ei </w:t>
      </w:r>
      <w:r>
        <w:rPr>
          <w:rFonts w:ascii="Times New Roman" w:hAnsi="Times New Roman" w:cs="Times New Roman"/>
          <w:i/>
          <w:iCs/>
          <w:sz w:val="20"/>
          <w:szCs w:val="20"/>
          <w:lang w:val="it-IT"/>
        </w:rPr>
        <w:t>C</w:t>
      </w:r>
      <w:r w:rsidRPr="00A0199A">
        <w:rPr>
          <w:rFonts w:ascii="Times New Roman" w:hAnsi="Times New Roman" w:cs="Times New Roman"/>
          <w:i/>
          <w:iCs/>
          <w:sz w:val="20"/>
          <w:szCs w:val="20"/>
          <w:lang w:val="it-IT"/>
        </w:rPr>
        <w:t xml:space="preserve">ose </w:t>
      </w:r>
      <w:r>
        <w:rPr>
          <w:rFonts w:ascii="Times New Roman" w:hAnsi="Times New Roman" w:cs="Times New Roman"/>
          <w:i/>
          <w:iCs/>
          <w:sz w:val="20"/>
          <w:szCs w:val="20"/>
          <w:lang w:val="it-IT"/>
        </w:rPr>
        <w:t>N</w:t>
      </w:r>
      <w:r w:rsidRPr="00A0199A">
        <w:rPr>
          <w:rFonts w:ascii="Times New Roman" w:hAnsi="Times New Roman" w:cs="Times New Roman"/>
          <w:i/>
          <w:iCs/>
          <w:sz w:val="20"/>
          <w:szCs w:val="20"/>
          <w:lang w:val="it-IT"/>
        </w:rPr>
        <w:t xml:space="preserve">on </w:t>
      </w:r>
      <w:r>
        <w:rPr>
          <w:rFonts w:ascii="Times New Roman" w:hAnsi="Times New Roman" w:cs="Times New Roman"/>
          <w:i/>
          <w:iCs/>
          <w:sz w:val="20"/>
          <w:szCs w:val="20"/>
          <w:lang w:val="it-IT"/>
        </w:rPr>
        <w:t>N</w:t>
      </w:r>
      <w:r w:rsidRPr="00A0199A">
        <w:rPr>
          <w:rFonts w:ascii="Times New Roman" w:hAnsi="Times New Roman" w:cs="Times New Roman"/>
          <w:i/>
          <w:iCs/>
          <w:sz w:val="20"/>
          <w:szCs w:val="20"/>
          <w:lang w:val="it-IT"/>
        </w:rPr>
        <w:t>aturali</w:t>
      </w:r>
      <w:r w:rsidRPr="00A0199A">
        <w:rPr>
          <w:rFonts w:ascii="Times New Roman" w:hAnsi="Times New Roman" w:cs="Times New Roman"/>
          <w:iCs/>
          <w:sz w:val="20"/>
          <w:szCs w:val="20"/>
          <w:lang w:val="it-IT"/>
        </w:rPr>
        <w:t xml:space="preserve"> (Venice: Bernardino Benalio</w:t>
      </w:r>
      <w:r>
        <w:rPr>
          <w:rFonts w:ascii="Times New Roman" w:hAnsi="Times New Roman" w:cs="Times New Roman"/>
          <w:iCs/>
          <w:sz w:val="20"/>
          <w:szCs w:val="20"/>
          <w:lang w:val="it-IT"/>
        </w:rPr>
        <w:t>,</w:t>
      </w:r>
      <w:r w:rsidRPr="00A0199A">
        <w:rPr>
          <w:rFonts w:ascii="Times New Roman" w:hAnsi="Times New Roman" w:cs="Times New Roman"/>
          <w:iCs/>
          <w:sz w:val="20"/>
          <w:szCs w:val="20"/>
          <w:lang w:val="it-IT"/>
        </w:rPr>
        <w:t xml:space="preserve"> 1515)</w:t>
      </w:r>
      <w:r>
        <w:rPr>
          <w:rFonts w:ascii="Times New Roman" w:hAnsi="Times New Roman" w:cs="Times New Roman"/>
          <w:sz w:val="20"/>
          <w:szCs w:val="20"/>
          <w:lang w:val="it-IT"/>
        </w:rPr>
        <w:t xml:space="preserve"> </w:t>
      </w:r>
      <w:r w:rsidRPr="007B6BDD">
        <w:rPr>
          <w:rFonts w:ascii="Times New Roman" w:hAnsi="Times New Roman" w:cs="Times New Roman"/>
          <w:sz w:val="20"/>
          <w:szCs w:val="20"/>
          <w:lang w:val="it-IT"/>
        </w:rPr>
        <w:t>56</w:t>
      </w:r>
      <w:r>
        <w:rPr>
          <w:rFonts w:ascii="Times New Roman" w:hAnsi="Times New Roman" w:cs="Times New Roman"/>
          <w:sz w:val="20"/>
          <w:szCs w:val="20"/>
          <w:lang w:val="it-IT"/>
        </w:rPr>
        <w:t>; L.A.</w:t>
      </w:r>
      <w:r w:rsidRPr="00A0199A">
        <w:rPr>
          <w:rFonts w:ascii="Times New Roman" w:hAnsi="Times New Roman" w:cs="Times New Roman"/>
          <w:sz w:val="20"/>
          <w:szCs w:val="20"/>
          <w:lang w:val="it-IT"/>
        </w:rPr>
        <w:t xml:space="preserve"> Camaffi, </w:t>
      </w:r>
      <w:r w:rsidRPr="00A0199A">
        <w:rPr>
          <w:rFonts w:ascii="Times New Roman" w:hAnsi="Times New Roman" w:cs="Times New Roman"/>
          <w:i/>
          <w:sz w:val="20"/>
          <w:szCs w:val="20"/>
          <w:lang w:val="it-IT"/>
        </w:rPr>
        <w:t xml:space="preserve">Reggimento per </w:t>
      </w:r>
      <w:r>
        <w:rPr>
          <w:rFonts w:ascii="Times New Roman" w:hAnsi="Times New Roman" w:cs="Times New Roman"/>
          <w:i/>
          <w:sz w:val="20"/>
          <w:szCs w:val="20"/>
          <w:lang w:val="it-IT"/>
        </w:rPr>
        <w:t>V</w:t>
      </w:r>
      <w:r w:rsidRPr="00A0199A">
        <w:rPr>
          <w:rFonts w:ascii="Times New Roman" w:hAnsi="Times New Roman" w:cs="Times New Roman"/>
          <w:i/>
          <w:sz w:val="20"/>
          <w:szCs w:val="20"/>
          <w:lang w:val="it-IT"/>
        </w:rPr>
        <w:t xml:space="preserve">iver </w:t>
      </w:r>
      <w:r>
        <w:rPr>
          <w:rFonts w:ascii="Times New Roman" w:hAnsi="Times New Roman" w:cs="Times New Roman"/>
          <w:i/>
          <w:sz w:val="20"/>
          <w:szCs w:val="20"/>
          <w:lang w:val="it-IT"/>
        </w:rPr>
        <w:t>S</w:t>
      </w:r>
      <w:r w:rsidRPr="00A0199A">
        <w:rPr>
          <w:rFonts w:ascii="Times New Roman" w:hAnsi="Times New Roman" w:cs="Times New Roman"/>
          <w:i/>
          <w:sz w:val="20"/>
          <w:szCs w:val="20"/>
          <w:lang w:val="it-IT"/>
        </w:rPr>
        <w:t xml:space="preserve">ano nei </w:t>
      </w:r>
      <w:r>
        <w:rPr>
          <w:rFonts w:ascii="Times New Roman" w:hAnsi="Times New Roman" w:cs="Times New Roman"/>
          <w:i/>
          <w:sz w:val="20"/>
          <w:szCs w:val="20"/>
          <w:lang w:val="it-IT"/>
        </w:rPr>
        <w:t>T</w:t>
      </w:r>
      <w:r w:rsidRPr="00A0199A">
        <w:rPr>
          <w:rFonts w:ascii="Times New Roman" w:hAnsi="Times New Roman" w:cs="Times New Roman"/>
          <w:i/>
          <w:sz w:val="20"/>
          <w:szCs w:val="20"/>
          <w:lang w:val="it-IT"/>
        </w:rPr>
        <w:t xml:space="preserve">empi </w:t>
      </w:r>
      <w:r>
        <w:rPr>
          <w:rFonts w:ascii="Times New Roman" w:hAnsi="Times New Roman" w:cs="Times New Roman"/>
          <w:i/>
          <w:sz w:val="20"/>
          <w:szCs w:val="20"/>
          <w:lang w:val="it-IT"/>
        </w:rPr>
        <w:t>C</w:t>
      </w:r>
      <w:r w:rsidRPr="00A0199A">
        <w:rPr>
          <w:rFonts w:ascii="Times New Roman" w:hAnsi="Times New Roman" w:cs="Times New Roman"/>
          <w:i/>
          <w:sz w:val="20"/>
          <w:szCs w:val="20"/>
          <w:lang w:val="it-IT"/>
        </w:rPr>
        <w:t xml:space="preserve">aldi </w:t>
      </w:r>
      <w:r w:rsidRPr="00A0199A">
        <w:rPr>
          <w:rFonts w:ascii="Times New Roman" w:hAnsi="Times New Roman" w:cs="Times New Roman"/>
          <w:sz w:val="20"/>
          <w:szCs w:val="20"/>
          <w:lang w:val="it-IT"/>
        </w:rPr>
        <w:t>(Perugia: Stamparia Augusta, 1610)</w:t>
      </w:r>
      <w:r>
        <w:rPr>
          <w:rFonts w:ascii="Times New Roman" w:hAnsi="Times New Roman" w:cs="Times New Roman"/>
          <w:sz w:val="20"/>
          <w:szCs w:val="20"/>
          <w:lang w:val="it-IT"/>
        </w:rPr>
        <w:t xml:space="preserve"> </w:t>
      </w:r>
      <w:r w:rsidRPr="00A0199A">
        <w:rPr>
          <w:rFonts w:ascii="Times New Roman" w:hAnsi="Times New Roman" w:cs="Times New Roman"/>
          <w:sz w:val="20"/>
          <w:szCs w:val="20"/>
          <w:lang w:val="it-IT"/>
        </w:rPr>
        <w:t>171.</w:t>
      </w:r>
    </w:p>
  </w:footnote>
  <w:footnote w:id="12">
    <w:p w:rsidR="00DF2756" w:rsidRPr="00F67707" w:rsidRDefault="00DF2756">
      <w:pPr>
        <w:autoSpaceDE w:val="0"/>
        <w:autoSpaceDN w:val="0"/>
        <w:adjustRightInd w:val="0"/>
        <w:spacing w:after="0" w:line="240" w:lineRule="auto"/>
        <w:jc w:val="both"/>
        <w:rPr>
          <w:rFonts w:ascii="Times New Roman" w:hAnsi="Times New Roman" w:cs="Times New Roman"/>
          <w:sz w:val="20"/>
          <w:szCs w:val="20"/>
        </w:rPr>
      </w:pPr>
      <w:r w:rsidRPr="008D1248">
        <w:rPr>
          <w:rStyle w:val="FootnoteReference"/>
          <w:rFonts w:ascii="Times New Roman" w:hAnsi="Times New Roman" w:cs="Times New Roman"/>
          <w:szCs w:val="20"/>
        </w:rPr>
        <w:footnoteRef/>
      </w:r>
      <w:r w:rsidRPr="008D1248">
        <w:rPr>
          <w:rFonts w:ascii="Times New Roman" w:hAnsi="Times New Roman" w:cs="Times New Roman"/>
          <w:sz w:val="20"/>
          <w:szCs w:val="20"/>
          <w:lang w:val="it-IT"/>
        </w:rPr>
        <w:t xml:space="preserve"> </w:t>
      </w:r>
      <w:r>
        <w:rPr>
          <w:rFonts w:ascii="Times New Roman" w:hAnsi="Times New Roman" w:cs="Times New Roman"/>
          <w:sz w:val="20"/>
          <w:szCs w:val="20"/>
          <w:lang w:val="it-IT" w:eastAsia="en-GB"/>
        </w:rPr>
        <w:t>O</w:t>
      </w:r>
      <w:r w:rsidRPr="008D1248">
        <w:rPr>
          <w:rFonts w:ascii="Times New Roman" w:hAnsi="Times New Roman" w:cs="Times New Roman"/>
          <w:sz w:val="20"/>
          <w:szCs w:val="20"/>
          <w:lang w:val="it-IT"/>
        </w:rPr>
        <w:t xml:space="preserve">n blankets E. </w:t>
      </w:r>
      <w:r w:rsidRPr="008D1248">
        <w:rPr>
          <w:rFonts w:ascii="Times New Roman" w:hAnsi="Times New Roman" w:cs="Times New Roman"/>
          <w:sz w:val="20"/>
          <w:szCs w:val="20"/>
          <w:lang w:val="it-IT"/>
        </w:rPr>
        <w:t>Frediano</w:t>
      </w:r>
      <w:r w:rsidRPr="008D1248">
        <w:rPr>
          <w:rFonts w:ascii="Times New Roman" w:hAnsi="Times New Roman" w:cs="Times New Roman"/>
          <w:iCs/>
          <w:sz w:val="20"/>
          <w:szCs w:val="20"/>
          <w:lang w:val="it-IT" w:eastAsia="en-GB"/>
        </w:rPr>
        <w:t xml:space="preserve">, </w:t>
      </w:r>
      <w:r w:rsidRPr="008D1248">
        <w:rPr>
          <w:rFonts w:ascii="Times New Roman" w:hAnsi="Times New Roman" w:cs="Times New Roman"/>
          <w:i/>
          <w:sz w:val="20"/>
          <w:szCs w:val="20"/>
          <w:lang w:val="it-IT" w:eastAsia="en-GB"/>
        </w:rPr>
        <w:t xml:space="preserve">Arca </w:t>
      </w:r>
      <w:r>
        <w:rPr>
          <w:rFonts w:ascii="Times New Roman" w:hAnsi="Times New Roman" w:cs="Times New Roman"/>
          <w:i/>
          <w:sz w:val="20"/>
          <w:szCs w:val="20"/>
          <w:lang w:val="it-IT" w:eastAsia="en-GB"/>
        </w:rPr>
        <w:t>N</w:t>
      </w:r>
      <w:r w:rsidRPr="008D1248">
        <w:rPr>
          <w:rFonts w:ascii="Times New Roman" w:hAnsi="Times New Roman" w:cs="Times New Roman"/>
          <w:i/>
          <w:sz w:val="20"/>
          <w:szCs w:val="20"/>
          <w:lang w:val="it-IT" w:eastAsia="en-GB"/>
        </w:rPr>
        <w:t xml:space="preserve">ovella di </w:t>
      </w:r>
      <w:r>
        <w:rPr>
          <w:rFonts w:ascii="Times New Roman" w:hAnsi="Times New Roman" w:cs="Times New Roman"/>
          <w:i/>
          <w:sz w:val="20"/>
          <w:szCs w:val="20"/>
          <w:lang w:val="it-IT" w:eastAsia="en-GB"/>
        </w:rPr>
        <w:t>S</w:t>
      </w:r>
      <w:r w:rsidRPr="008D1248">
        <w:rPr>
          <w:rFonts w:ascii="Times New Roman" w:hAnsi="Times New Roman" w:cs="Times New Roman"/>
          <w:i/>
          <w:sz w:val="20"/>
          <w:szCs w:val="20"/>
          <w:lang w:val="it-IT" w:eastAsia="en-GB"/>
        </w:rPr>
        <w:t>anitá</w:t>
      </w:r>
      <w:r>
        <w:rPr>
          <w:rFonts w:ascii="Times New Roman" w:hAnsi="Times New Roman" w:cs="Times New Roman"/>
          <w:i/>
          <w:sz w:val="20"/>
          <w:szCs w:val="20"/>
          <w:lang w:val="it-IT" w:eastAsia="en-GB"/>
        </w:rPr>
        <w:t>...</w:t>
      </w:r>
      <w:r w:rsidRPr="008D1248">
        <w:rPr>
          <w:rFonts w:ascii="Times New Roman" w:hAnsi="Times New Roman" w:cs="Times New Roman"/>
          <w:i/>
          <w:sz w:val="20"/>
          <w:szCs w:val="20"/>
          <w:lang w:val="it-IT" w:eastAsia="en-GB"/>
        </w:rPr>
        <w:t xml:space="preserve">con </w:t>
      </w:r>
      <w:r>
        <w:rPr>
          <w:rFonts w:ascii="Times New Roman" w:hAnsi="Times New Roman" w:cs="Times New Roman"/>
          <w:i/>
          <w:sz w:val="20"/>
          <w:szCs w:val="20"/>
          <w:lang w:val="it-IT" w:eastAsia="en-GB"/>
        </w:rPr>
        <w:t>A</w:t>
      </w:r>
      <w:r w:rsidRPr="008D1248">
        <w:rPr>
          <w:rFonts w:ascii="Times New Roman" w:hAnsi="Times New Roman" w:cs="Times New Roman"/>
          <w:i/>
          <w:sz w:val="20"/>
          <w:szCs w:val="20"/>
          <w:lang w:val="it-IT" w:eastAsia="en-GB"/>
        </w:rPr>
        <w:t xml:space="preserve">lcune </w:t>
      </w:r>
      <w:r>
        <w:rPr>
          <w:rFonts w:ascii="Times New Roman" w:hAnsi="Times New Roman" w:cs="Times New Roman"/>
          <w:i/>
          <w:sz w:val="20"/>
          <w:szCs w:val="20"/>
          <w:lang w:val="it-IT" w:eastAsia="en-GB"/>
        </w:rPr>
        <w:t>R</w:t>
      </w:r>
      <w:r w:rsidRPr="008D1248">
        <w:rPr>
          <w:rFonts w:ascii="Times New Roman" w:hAnsi="Times New Roman" w:cs="Times New Roman"/>
          <w:i/>
          <w:sz w:val="20"/>
          <w:szCs w:val="20"/>
          <w:lang w:val="it-IT" w:eastAsia="en-GB"/>
        </w:rPr>
        <w:t xml:space="preserve">egole per </w:t>
      </w:r>
      <w:r>
        <w:rPr>
          <w:rFonts w:ascii="Times New Roman" w:hAnsi="Times New Roman" w:cs="Times New Roman"/>
          <w:i/>
          <w:sz w:val="20"/>
          <w:szCs w:val="20"/>
          <w:lang w:val="it-IT" w:eastAsia="en-GB"/>
        </w:rPr>
        <w:t>C</w:t>
      </w:r>
      <w:r w:rsidRPr="008D1248">
        <w:rPr>
          <w:rFonts w:ascii="Times New Roman" w:hAnsi="Times New Roman" w:cs="Times New Roman"/>
          <w:i/>
          <w:sz w:val="20"/>
          <w:szCs w:val="20"/>
          <w:lang w:val="it-IT" w:eastAsia="en-GB"/>
        </w:rPr>
        <w:t xml:space="preserve">onservarsi </w:t>
      </w:r>
      <w:r>
        <w:rPr>
          <w:rFonts w:ascii="Times New Roman" w:hAnsi="Times New Roman" w:cs="Times New Roman"/>
          <w:i/>
          <w:sz w:val="20"/>
          <w:szCs w:val="20"/>
          <w:lang w:val="it-IT" w:eastAsia="en-GB"/>
        </w:rPr>
        <w:t>S</w:t>
      </w:r>
      <w:r w:rsidRPr="008D1248">
        <w:rPr>
          <w:rFonts w:ascii="Times New Roman" w:hAnsi="Times New Roman" w:cs="Times New Roman"/>
          <w:i/>
          <w:sz w:val="20"/>
          <w:szCs w:val="20"/>
          <w:lang w:val="it-IT" w:eastAsia="en-GB"/>
        </w:rPr>
        <w:t>ano</w:t>
      </w:r>
      <w:r>
        <w:rPr>
          <w:rFonts w:ascii="Times New Roman" w:hAnsi="Times New Roman" w:cs="Times New Roman"/>
          <w:i/>
          <w:sz w:val="20"/>
          <w:szCs w:val="20"/>
          <w:lang w:val="it-IT" w:eastAsia="en-GB"/>
        </w:rPr>
        <w:t>...</w:t>
      </w:r>
      <w:r w:rsidRPr="008D1248">
        <w:rPr>
          <w:rFonts w:ascii="Times New Roman" w:hAnsi="Times New Roman" w:cs="Times New Roman"/>
          <w:i/>
          <w:sz w:val="20"/>
          <w:szCs w:val="20"/>
          <w:lang w:val="it-IT" w:eastAsia="en-GB"/>
        </w:rPr>
        <w:t xml:space="preserve"> </w:t>
      </w:r>
      <w:r w:rsidRPr="00F67707">
        <w:rPr>
          <w:rFonts w:ascii="Times New Roman" w:hAnsi="Times New Roman" w:cs="Times New Roman"/>
          <w:iCs/>
          <w:sz w:val="20"/>
          <w:szCs w:val="20"/>
          <w:lang w:eastAsia="en-GB"/>
        </w:rPr>
        <w:t xml:space="preserve">(Lucca: </w:t>
      </w:r>
      <w:proofErr w:type="spellStart"/>
      <w:r w:rsidRPr="00F67707">
        <w:rPr>
          <w:rFonts w:ascii="Times New Roman" w:hAnsi="Times New Roman" w:cs="Times New Roman"/>
          <w:iCs/>
          <w:sz w:val="20"/>
          <w:szCs w:val="20"/>
          <w:lang w:eastAsia="en-GB"/>
        </w:rPr>
        <w:t>Iacinto</w:t>
      </w:r>
      <w:proofErr w:type="spellEnd"/>
      <w:r w:rsidRPr="00F67707">
        <w:rPr>
          <w:rFonts w:ascii="Times New Roman" w:hAnsi="Times New Roman" w:cs="Times New Roman"/>
          <w:iCs/>
          <w:sz w:val="20"/>
          <w:szCs w:val="20"/>
          <w:lang w:eastAsia="en-GB"/>
        </w:rPr>
        <w:t xml:space="preserve"> </w:t>
      </w:r>
      <w:proofErr w:type="spellStart"/>
      <w:r w:rsidRPr="00F67707">
        <w:rPr>
          <w:rFonts w:ascii="Times New Roman" w:hAnsi="Times New Roman" w:cs="Times New Roman"/>
          <w:iCs/>
          <w:sz w:val="20"/>
          <w:szCs w:val="20"/>
          <w:lang w:eastAsia="en-GB"/>
        </w:rPr>
        <w:t>Paci</w:t>
      </w:r>
      <w:proofErr w:type="spellEnd"/>
      <w:r w:rsidRPr="00F67707">
        <w:rPr>
          <w:rFonts w:ascii="Times New Roman" w:hAnsi="Times New Roman" w:cs="Times New Roman"/>
          <w:iCs/>
          <w:sz w:val="20"/>
          <w:szCs w:val="20"/>
          <w:lang w:eastAsia="en-GB"/>
        </w:rPr>
        <w:t>, 1656), 37</w:t>
      </w:r>
      <w:r w:rsidRPr="00F67707">
        <w:rPr>
          <w:rFonts w:ascii="Times New Roman" w:hAnsi="Times New Roman" w:cs="Times New Roman"/>
          <w:sz w:val="20"/>
          <w:szCs w:val="20"/>
        </w:rPr>
        <w:t xml:space="preserve">; on mattresses and wall-hangings, among others, R. Fonseca, </w:t>
      </w:r>
      <w:r w:rsidRPr="00F67707">
        <w:rPr>
          <w:rFonts w:ascii="Times New Roman" w:hAnsi="Times New Roman" w:cs="Times New Roman"/>
          <w:i/>
          <w:sz w:val="20"/>
          <w:szCs w:val="20"/>
          <w:lang w:eastAsia="en-GB"/>
        </w:rPr>
        <w:t xml:space="preserve">Del </w:t>
      </w:r>
      <w:proofErr w:type="spellStart"/>
      <w:r>
        <w:rPr>
          <w:rFonts w:ascii="Times New Roman" w:hAnsi="Times New Roman" w:cs="Times New Roman"/>
          <w:i/>
          <w:sz w:val="20"/>
          <w:szCs w:val="20"/>
          <w:lang w:eastAsia="en-GB"/>
        </w:rPr>
        <w:t>C</w:t>
      </w:r>
      <w:r w:rsidRPr="00F67707">
        <w:rPr>
          <w:rFonts w:ascii="Times New Roman" w:hAnsi="Times New Roman" w:cs="Times New Roman"/>
          <w:i/>
          <w:sz w:val="20"/>
          <w:szCs w:val="20"/>
          <w:lang w:eastAsia="en-GB"/>
        </w:rPr>
        <w:t>onservare</w:t>
      </w:r>
      <w:proofErr w:type="spellEnd"/>
      <w:r w:rsidRPr="00F67707">
        <w:rPr>
          <w:rFonts w:ascii="Times New Roman" w:hAnsi="Times New Roman" w:cs="Times New Roman"/>
          <w:i/>
          <w:sz w:val="20"/>
          <w:szCs w:val="20"/>
          <w:lang w:eastAsia="en-GB"/>
        </w:rPr>
        <w:t xml:space="preserve"> la </w:t>
      </w:r>
      <w:proofErr w:type="spellStart"/>
      <w:r>
        <w:rPr>
          <w:rFonts w:ascii="Times New Roman" w:hAnsi="Times New Roman" w:cs="Times New Roman"/>
          <w:i/>
          <w:sz w:val="20"/>
          <w:szCs w:val="20"/>
          <w:lang w:eastAsia="en-GB"/>
        </w:rPr>
        <w:t>S</w:t>
      </w:r>
      <w:r w:rsidRPr="00F67707">
        <w:rPr>
          <w:rFonts w:ascii="Times New Roman" w:hAnsi="Times New Roman" w:cs="Times New Roman"/>
          <w:i/>
          <w:sz w:val="20"/>
          <w:szCs w:val="20"/>
          <w:lang w:eastAsia="en-GB"/>
        </w:rPr>
        <w:t>anitá</w:t>
      </w:r>
      <w:proofErr w:type="spellEnd"/>
      <w:r w:rsidRPr="00F67707">
        <w:rPr>
          <w:rFonts w:ascii="Times New Roman" w:hAnsi="Times New Roman" w:cs="Times New Roman"/>
          <w:i/>
          <w:sz w:val="20"/>
          <w:szCs w:val="20"/>
          <w:lang w:eastAsia="en-GB"/>
        </w:rPr>
        <w:t xml:space="preserve"> </w:t>
      </w:r>
      <w:r w:rsidRPr="00F67707">
        <w:rPr>
          <w:rFonts w:ascii="Times New Roman" w:hAnsi="Times New Roman" w:cs="Times New Roman"/>
          <w:sz w:val="20"/>
          <w:szCs w:val="20"/>
          <w:lang w:eastAsia="en-GB"/>
        </w:rPr>
        <w:t xml:space="preserve">(Florence: </w:t>
      </w:r>
      <w:proofErr w:type="spellStart"/>
      <w:r w:rsidRPr="00F67707">
        <w:rPr>
          <w:rFonts w:ascii="Times New Roman" w:hAnsi="Times New Roman" w:cs="Times New Roman"/>
          <w:sz w:val="20"/>
          <w:szCs w:val="20"/>
          <w:lang w:eastAsia="en-GB"/>
        </w:rPr>
        <w:t>Semartelli</w:t>
      </w:r>
      <w:proofErr w:type="spellEnd"/>
      <w:r w:rsidRPr="00F67707">
        <w:rPr>
          <w:rFonts w:ascii="Times New Roman" w:hAnsi="Times New Roman" w:cs="Times New Roman"/>
          <w:sz w:val="20"/>
          <w:szCs w:val="20"/>
          <w:lang w:eastAsia="en-GB"/>
        </w:rPr>
        <w:t>, 1603),</w:t>
      </w:r>
      <w:r w:rsidRPr="00F67707">
        <w:rPr>
          <w:rFonts w:ascii="Times New Roman" w:hAnsi="Times New Roman" w:cs="Times New Roman"/>
          <w:sz w:val="20"/>
          <w:szCs w:val="20"/>
        </w:rPr>
        <w:t xml:space="preserve"> 80. </w:t>
      </w:r>
    </w:p>
  </w:footnote>
  <w:footnote w:id="13">
    <w:p w:rsidR="00DF2756" w:rsidRDefault="00DF2756">
      <w:pPr>
        <w:pStyle w:val="FootnoteText"/>
        <w:jc w:val="both"/>
        <w:rPr>
          <w:lang w:val="en-GB"/>
        </w:rPr>
      </w:pPr>
      <w:r>
        <w:rPr>
          <w:rStyle w:val="FootnoteReference"/>
        </w:rPr>
        <w:footnoteRef/>
      </w:r>
      <w:r w:rsidRPr="007B6BDD">
        <w:rPr>
          <w:lang w:val="en-GB"/>
        </w:rPr>
        <w:t xml:space="preserve"> </w:t>
      </w:r>
      <w:proofErr w:type="gramStart"/>
      <w:r w:rsidRPr="007B6BDD">
        <w:rPr>
          <w:lang w:val="en-GB"/>
        </w:rPr>
        <w:t xml:space="preserve">Cavallo and Storey, </w:t>
      </w:r>
      <w:r w:rsidRPr="007B6BDD">
        <w:rPr>
          <w:i/>
          <w:lang w:val="en-GB"/>
        </w:rPr>
        <w:t>Healthy Living</w:t>
      </w:r>
      <w:r w:rsidRPr="007B6BDD">
        <w:rPr>
          <w:lang w:val="en-GB"/>
        </w:rPr>
        <w:t>, 92-94.</w:t>
      </w:r>
      <w:proofErr w:type="gramEnd"/>
      <w:r w:rsidRPr="007B6BDD">
        <w:rPr>
          <w:lang w:val="en-GB"/>
        </w:rPr>
        <w:t xml:space="preserve"> </w:t>
      </w:r>
      <w:r>
        <w:rPr>
          <w:lang w:val="en-GB"/>
        </w:rPr>
        <w:t xml:space="preserve"> </w:t>
      </w:r>
    </w:p>
  </w:footnote>
  <w:footnote w:id="14">
    <w:p w:rsidR="00DF2756" w:rsidRDefault="00DF2756">
      <w:pPr>
        <w:pStyle w:val="FootnoteText"/>
        <w:jc w:val="both"/>
      </w:pPr>
      <w:r>
        <w:rPr>
          <w:rStyle w:val="FootnoteReference"/>
        </w:rPr>
        <w:footnoteRef/>
      </w:r>
      <w:r w:rsidRPr="007B6BDD">
        <w:t xml:space="preserve"> </w:t>
      </w:r>
      <w:r w:rsidR="00A21EA5" w:rsidRPr="00A21EA5">
        <w:rPr>
          <w:i/>
        </w:rPr>
        <w:t>Ibid</w:t>
      </w:r>
      <w:r w:rsidRPr="007B6BDD">
        <w:t>.</w:t>
      </w:r>
      <w:r>
        <w:t>,</w:t>
      </w:r>
      <w:r w:rsidRPr="007B6BDD">
        <w:t xml:space="preserve"> 137-8.</w:t>
      </w:r>
    </w:p>
  </w:footnote>
  <w:footnote w:id="15">
    <w:p w:rsidR="00DF2756" w:rsidRDefault="00DF2756">
      <w:pPr>
        <w:pStyle w:val="FootnoteText"/>
        <w:jc w:val="both"/>
      </w:pPr>
      <w:r w:rsidRPr="008D1248">
        <w:rPr>
          <w:rStyle w:val="FootnoteReference"/>
        </w:rPr>
        <w:footnoteRef/>
      </w:r>
      <w:r w:rsidRPr="008D1248">
        <w:t xml:space="preserve"> P. </w:t>
      </w:r>
      <w:r w:rsidRPr="008D1248">
        <w:t xml:space="preserve">Zacchia, </w:t>
      </w:r>
      <w:r w:rsidRPr="008D1248">
        <w:rPr>
          <w:i/>
        </w:rPr>
        <w:t xml:space="preserve">De </w:t>
      </w:r>
      <w:r>
        <w:rPr>
          <w:i/>
        </w:rPr>
        <w:t>M</w:t>
      </w:r>
      <w:r w:rsidRPr="008D1248">
        <w:rPr>
          <w:i/>
        </w:rPr>
        <w:t xml:space="preserve">ali </w:t>
      </w:r>
      <w:r>
        <w:rPr>
          <w:i/>
        </w:rPr>
        <w:t>H</w:t>
      </w:r>
      <w:r w:rsidRPr="008D1248">
        <w:rPr>
          <w:i/>
        </w:rPr>
        <w:t>ipocondriaci</w:t>
      </w:r>
      <w:r>
        <w:rPr>
          <w:i/>
        </w:rPr>
        <w:t xml:space="preserve">: Libri Due </w:t>
      </w:r>
      <w:r>
        <w:t>(</w:t>
      </w:r>
      <w:r w:rsidRPr="00581ADA">
        <w:rPr>
          <w:iCs/>
          <w:lang w:eastAsia="en-GB"/>
        </w:rPr>
        <w:t>Rome: Pietro Antonio Facciotti, 1639</w:t>
      </w:r>
      <w:r>
        <w:rPr>
          <w:iCs/>
          <w:lang w:eastAsia="en-GB"/>
        </w:rPr>
        <w:t>),</w:t>
      </w:r>
      <w:r>
        <w:rPr>
          <w:i/>
        </w:rPr>
        <w:t xml:space="preserve"> </w:t>
      </w:r>
      <w:r>
        <w:t xml:space="preserve">102; </w:t>
      </w:r>
      <w:r w:rsidRPr="00A66B0C">
        <w:rPr>
          <w:lang w:eastAsia="en-GB"/>
        </w:rPr>
        <w:t xml:space="preserve">Frediano, </w:t>
      </w:r>
      <w:r>
        <w:rPr>
          <w:i/>
          <w:lang w:eastAsia="en-GB"/>
        </w:rPr>
        <w:t>Arca Novella</w:t>
      </w:r>
      <w:r>
        <w:rPr>
          <w:lang w:eastAsia="en-GB"/>
        </w:rPr>
        <w:t>,</w:t>
      </w:r>
      <w:r w:rsidRPr="00A66B0C">
        <w:rPr>
          <w:lang w:eastAsia="en-GB"/>
        </w:rPr>
        <w:t xml:space="preserve"> 52</w:t>
      </w:r>
    </w:p>
  </w:footnote>
  <w:footnote w:id="16">
    <w:p w:rsidR="00DF2756" w:rsidRDefault="00DF2756">
      <w:pPr>
        <w:pStyle w:val="FootnoteText"/>
        <w:jc w:val="both"/>
      </w:pPr>
      <w:r>
        <w:rPr>
          <w:rStyle w:val="FootnoteReference"/>
        </w:rPr>
        <w:footnoteRef/>
      </w:r>
      <w:r w:rsidRPr="00A0199A">
        <w:t xml:space="preserve"> </w:t>
      </w:r>
      <w:r w:rsidRPr="00A0199A">
        <w:t xml:space="preserve">Fonseca, </w:t>
      </w:r>
      <w:r w:rsidRPr="00A0199A">
        <w:rPr>
          <w:i/>
          <w:lang w:eastAsia="en-GB"/>
        </w:rPr>
        <w:t xml:space="preserve">Del </w:t>
      </w:r>
      <w:r>
        <w:rPr>
          <w:i/>
          <w:lang w:eastAsia="en-GB"/>
        </w:rPr>
        <w:t>C</w:t>
      </w:r>
      <w:r w:rsidRPr="00A0199A">
        <w:rPr>
          <w:i/>
          <w:lang w:eastAsia="en-GB"/>
        </w:rPr>
        <w:t>onservare</w:t>
      </w:r>
      <w:r w:rsidRPr="00A0199A">
        <w:rPr>
          <w:lang w:eastAsia="en-GB"/>
        </w:rPr>
        <w:t>,</w:t>
      </w:r>
      <w:r w:rsidRPr="00A0199A">
        <w:rPr>
          <w:i/>
          <w:lang w:eastAsia="en-GB"/>
        </w:rPr>
        <w:t xml:space="preserve"> </w:t>
      </w:r>
      <w:r w:rsidRPr="00A0199A">
        <w:t>80.</w:t>
      </w:r>
    </w:p>
  </w:footnote>
  <w:footnote w:id="17">
    <w:p w:rsidR="00DF2756" w:rsidRDefault="00DF2756">
      <w:pPr>
        <w:autoSpaceDE w:val="0"/>
        <w:autoSpaceDN w:val="0"/>
        <w:adjustRightInd w:val="0"/>
        <w:spacing w:after="0" w:line="240" w:lineRule="auto"/>
        <w:jc w:val="both"/>
        <w:rPr>
          <w:lang w:val="it-IT"/>
        </w:rPr>
      </w:pPr>
      <w:r w:rsidRPr="00A0199A">
        <w:rPr>
          <w:rStyle w:val="FootnoteReference"/>
          <w:rFonts w:ascii="Times New Roman" w:hAnsi="Times New Roman" w:cs="Times New Roman"/>
          <w:szCs w:val="20"/>
        </w:rPr>
        <w:footnoteRef/>
      </w:r>
      <w:r w:rsidRPr="00A0199A">
        <w:rPr>
          <w:rFonts w:ascii="Times New Roman" w:hAnsi="Times New Roman" w:cs="Times New Roman"/>
          <w:sz w:val="20"/>
          <w:szCs w:val="20"/>
          <w:lang w:val="it-IT"/>
        </w:rPr>
        <w:t xml:space="preserve"> A. </w:t>
      </w:r>
      <w:r w:rsidRPr="00A0199A">
        <w:rPr>
          <w:rFonts w:ascii="Times New Roman" w:hAnsi="Times New Roman" w:cs="Times New Roman"/>
          <w:sz w:val="20"/>
          <w:szCs w:val="20"/>
          <w:lang w:val="it-IT"/>
        </w:rPr>
        <w:t xml:space="preserve">Persio, </w:t>
      </w:r>
      <w:r w:rsidRPr="00A0199A">
        <w:rPr>
          <w:rFonts w:ascii="Times New Roman" w:hAnsi="Times New Roman" w:cs="Times New Roman"/>
          <w:i/>
          <w:sz w:val="20"/>
          <w:szCs w:val="20"/>
          <w:lang w:val="it-IT" w:eastAsia="en-GB"/>
        </w:rPr>
        <w:t xml:space="preserve">Del </w:t>
      </w:r>
      <w:r>
        <w:rPr>
          <w:rFonts w:ascii="Times New Roman" w:hAnsi="Times New Roman" w:cs="Times New Roman"/>
          <w:i/>
          <w:sz w:val="20"/>
          <w:szCs w:val="20"/>
          <w:lang w:val="it-IT" w:eastAsia="en-GB"/>
        </w:rPr>
        <w:t>B</w:t>
      </w:r>
      <w:r w:rsidRPr="00A0199A">
        <w:rPr>
          <w:rFonts w:ascii="Times New Roman" w:hAnsi="Times New Roman" w:cs="Times New Roman"/>
          <w:i/>
          <w:sz w:val="20"/>
          <w:szCs w:val="20"/>
          <w:lang w:val="it-IT" w:eastAsia="en-GB"/>
        </w:rPr>
        <w:t xml:space="preserve">ever </w:t>
      </w:r>
      <w:r>
        <w:rPr>
          <w:rFonts w:ascii="Times New Roman" w:hAnsi="Times New Roman" w:cs="Times New Roman"/>
          <w:i/>
          <w:sz w:val="20"/>
          <w:szCs w:val="20"/>
          <w:lang w:val="it-IT" w:eastAsia="en-GB"/>
        </w:rPr>
        <w:t>C</w:t>
      </w:r>
      <w:r w:rsidRPr="00A0199A">
        <w:rPr>
          <w:rFonts w:ascii="Times New Roman" w:hAnsi="Times New Roman" w:cs="Times New Roman"/>
          <w:i/>
          <w:sz w:val="20"/>
          <w:szCs w:val="20"/>
          <w:lang w:val="it-IT" w:eastAsia="en-GB"/>
        </w:rPr>
        <w:t xml:space="preserve">aldo </w:t>
      </w:r>
      <w:r>
        <w:rPr>
          <w:rFonts w:ascii="Times New Roman" w:hAnsi="Times New Roman" w:cs="Times New Roman"/>
          <w:i/>
          <w:sz w:val="20"/>
          <w:szCs w:val="20"/>
          <w:lang w:val="it-IT" w:eastAsia="en-GB"/>
        </w:rPr>
        <w:t>C</w:t>
      </w:r>
      <w:r w:rsidRPr="00A0199A">
        <w:rPr>
          <w:rFonts w:ascii="Times New Roman" w:hAnsi="Times New Roman" w:cs="Times New Roman"/>
          <w:i/>
          <w:sz w:val="20"/>
          <w:szCs w:val="20"/>
          <w:lang w:val="it-IT" w:eastAsia="en-GB"/>
        </w:rPr>
        <w:t xml:space="preserve">ostumato dagli </w:t>
      </w:r>
      <w:r>
        <w:rPr>
          <w:rFonts w:ascii="Times New Roman" w:hAnsi="Times New Roman" w:cs="Times New Roman"/>
          <w:i/>
          <w:sz w:val="20"/>
          <w:szCs w:val="20"/>
          <w:lang w:val="it-IT" w:eastAsia="en-GB"/>
        </w:rPr>
        <w:t>A</w:t>
      </w:r>
      <w:r w:rsidRPr="00A0199A">
        <w:rPr>
          <w:rFonts w:ascii="Times New Roman" w:hAnsi="Times New Roman" w:cs="Times New Roman"/>
          <w:i/>
          <w:sz w:val="20"/>
          <w:szCs w:val="20"/>
          <w:lang w:val="it-IT" w:eastAsia="en-GB"/>
        </w:rPr>
        <w:t xml:space="preserve">ntichi </w:t>
      </w:r>
      <w:r>
        <w:rPr>
          <w:rFonts w:ascii="Times New Roman" w:hAnsi="Times New Roman" w:cs="Times New Roman"/>
          <w:i/>
          <w:sz w:val="20"/>
          <w:szCs w:val="20"/>
          <w:lang w:val="it-IT" w:eastAsia="en-GB"/>
        </w:rPr>
        <w:t>R</w:t>
      </w:r>
      <w:r w:rsidRPr="00A0199A">
        <w:rPr>
          <w:rFonts w:ascii="Times New Roman" w:hAnsi="Times New Roman" w:cs="Times New Roman"/>
          <w:i/>
          <w:sz w:val="20"/>
          <w:szCs w:val="20"/>
          <w:lang w:val="it-IT" w:eastAsia="en-GB"/>
        </w:rPr>
        <w:t>omani</w:t>
      </w:r>
      <w:r w:rsidRPr="00A0199A">
        <w:rPr>
          <w:rFonts w:ascii="Times New Roman" w:hAnsi="Times New Roman" w:cs="Times New Roman"/>
          <w:iCs/>
          <w:sz w:val="20"/>
          <w:szCs w:val="20"/>
          <w:lang w:val="it-IT" w:eastAsia="en-GB"/>
        </w:rPr>
        <w:t xml:space="preserve"> (Venice: Gió Battista Ciotto, 1593), </w:t>
      </w:r>
      <w:r w:rsidRPr="00A0199A">
        <w:rPr>
          <w:rFonts w:ascii="Times New Roman" w:hAnsi="Times New Roman" w:cs="Times New Roman"/>
          <w:sz w:val="20"/>
          <w:szCs w:val="20"/>
          <w:lang w:val="it-IT"/>
        </w:rPr>
        <w:t xml:space="preserve">chapter 2; </w:t>
      </w:r>
      <w:r>
        <w:rPr>
          <w:rFonts w:ascii="Times New Roman" w:hAnsi="Times New Roman" w:cs="Times New Roman"/>
          <w:sz w:val="20"/>
          <w:szCs w:val="20"/>
          <w:lang w:val="it-IT"/>
        </w:rPr>
        <w:t xml:space="preserve">Francesco </w:t>
      </w:r>
      <w:r w:rsidRPr="00A0199A">
        <w:rPr>
          <w:rFonts w:ascii="Times New Roman" w:hAnsi="Times New Roman" w:cs="Times New Roman"/>
          <w:sz w:val="20"/>
          <w:szCs w:val="20"/>
          <w:lang w:val="it-IT"/>
        </w:rPr>
        <w:t xml:space="preserve">Scacchi, </w:t>
      </w:r>
      <w:r w:rsidRPr="00A0199A">
        <w:rPr>
          <w:rFonts w:ascii="Times New Roman" w:hAnsi="Times New Roman" w:cs="Times New Roman"/>
          <w:i/>
          <w:iCs/>
          <w:sz w:val="20"/>
          <w:szCs w:val="20"/>
          <w:lang w:val="it-IT"/>
        </w:rPr>
        <w:t xml:space="preserve">De </w:t>
      </w:r>
      <w:r>
        <w:rPr>
          <w:rFonts w:ascii="Times New Roman" w:hAnsi="Times New Roman" w:cs="Times New Roman"/>
          <w:i/>
          <w:iCs/>
          <w:sz w:val="20"/>
          <w:szCs w:val="20"/>
          <w:lang w:val="it-IT"/>
        </w:rPr>
        <w:t>S</w:t>
      </w:r>
      <w:r w:rsidRPr="00A0199A">
        <w:rPr>
          <w:rFonts w:ascii="Times New Roman" w:hAnsi="Times New Roman" w:cs="Times New Roman"/>
          <w:i/>
          <w:iCs/>
          <w:sz w:val="20"/>
          <w:szCs w:val="20"/>
          <w:lang w:val="it-IT"/>
        </w:rPr>
        <w:t xml:space="preserve">alubri </w:t>
      </w:r>
      <w:r>
        <w:rPr>
          <w:rFonts w:ascii="Times New Roman" w:hAnsi="Times New Roman" w:cs="Times New Roman"/>
          <w:i/>
          <w:iCs/>
          <w:sz w:val="20"/>
          <w:szCs w:val="20"/>
          <w:lang w:val="it-IT"/>
        </w:rPr>
        <w:t>P</w:t>
      </w:r>
      <w:r w:rsidRPr="00A0199A">
        <w:rPr>
          <w:rFonts w:ascii="Times New Roman" w:hAnsi="Times New Roman" w:cs="Times New Roman"/>
          <w:i/>
          <w:iCs/>
          <w:sz w:val="20"/>
          <w:szCs w:val="20"/>
          <w:lang w:val="it-IT"/>
        </w:rPr>
        <w:t xml:space="preserve">otu </w:t>
      </w:r>
      <w:r>
        <w:rPr>
          <w:rFonts w:ascii="Times New Roman" w:hAnsi="Times New Roman" w:cs="Times New Roman"/>
          <w:i/>
          <w:iCs/>
          <w:sz w:val="20"/>
          <w:szCs w:val="20"/>
          <w:lang w:val="it-IT"/>
        </w:rPr>
        <w:t>D</w:t>
      </w:r>
      <w:r w:rsidRPr="00A0199A">
        <w:rPr>
          <w:rFonts w:ascii="Times New Roman" w:hAnsi="Times New Roman" w:cs="Times New Roman"/>
          <w:i/>
          <w:iCs/>
          <w:sz w:val="20"/>
          <w:szCs w:val="20"/>
          <w:lang w:val="it-IT"/>
        </w:rPr>
        <w:t xml:space="preserve">issertatio </w:t>
      </w:r>
      <w:r w:rsidRPr="00A0199A">
        <w:rPr>
          <w:rFonts w:ascii="Times New Roman" w:hAnsi="Times New Roman" w:cs="Times New Roman"/>
          <w:sz w:val="20"/>
          <w:szCs w:val="20"/>
          <w:lang w:val="it-IT"/>
        </w:rPr>
        <w:t>(Rom</w:t>
      </w:r>
      <w:r>
        <w:rPr>
          <w:rFonts w:ascii="Times New Roman" w:hAnsi="Times New Roman" w:cs="Times New Roman"/>
          <w:sz w:val="20"/>
          <w:szCs w:val="20"/>
          <w:lang w:val="it-IT"/>
        </w:rPr>
        <w:t>e</w:t>
      </w:r>
      <w:r w:rsidRPr="00A0199A">
        <w:rPr>
          <w:rFonts w:ascii="Times New Roman" w:hAnsi="Times New Roman" w:cs="Times New Roman"/>
          <w:sz w:val="20"/>
          <w:szCs w:val="20"/>
          <w:lang w:val="it-IT"/>
        </w:rPr>
        <w:t xml:space="preserve">: Alessandro Zanetto, 1622), </w:t>
      </w:r>
      <w:r w:rsidRPr="007B6BDD">
        <w:rPr>
          <w:rFonts w:ascii="Times New Roman" w:hAnsi="Times New Roman" w:cs="Times New Roman"/>
          <w:sz w:val="20"/>
          <w:szCs w:val="20"/>
          <w:lang w:val="it-IT"/>
        </w:rPr>
        <w:t>94–5</w:t>
      </w:r>
      <w:r w:rsidRPr="00A0199A">
        <w:rPr>
          <w:rFonts w:ascii="Times New Roman" w:hAnsi="Times New Roman" w:cs="Times New Roman"/>
          <w:sz w:val="20"/>
          <w:szCs w:val="20"/>
          <w:lang w:val="it-IT"/>
        </w:rPr>
        <w:t xml:space="preserve">. </w:t>
      </w:r>
      <w:r w:rsidRPr="009B3C19">
        <w:rPr>
          <w:rFonts w:ascii="Times New Roman" w:hAnsi="Times New Roman" w:cs="Times New Roman"/>
          <w:sz w:val="20"/>
          <w:szCs w:val="20"/>
          <w:lang w:val="it-IT"/>
        </w:rPr>
        <w:t xml:space="preserve"> </w:t>
      </w:r>
    </w:p>
  </w:footnote>
  <w:footnote w:id="18">
    <w:p w:rsidR="00DF2756" w:rsidRPr="00AD511B" w:rsidRDefault="00DF2756" w:rsidP="00CF4253">
      <w:pPr>
        <w:pStyle w:val="FootnoteText"/>
        <w:jc w:val="both"/>
        <w:rPr>
          <w:lang w:val="en-GB"/>
        </w:rPr>
      </w:pPr>
      <w:r>
        <w:rPr>
          <w:rStyle w:val="FootnoteReference"/>
        </w:rPr>
        <w:footnoteRef/>
      </w:r>
      <w:r>
        <w:t xml:space="preserve"> </w:t>
      </w:r>
      <w:r w:rsidRPr="007B6BDD">
        <w:t xml:space="preserve">Comparison has been made with </w:t>
      </w:r>
      <w:r>
        <w:t xml:space="preserve">the following medieval regimens: </w:t>
      </w:r>
      <w:r w:rsidRPr="007B6BDD">
        <w:rPr>
          <w:rFonts w:eastAsia="Times New Roman"/>
          <w:iCs/>
          <w:color w:val="000000" w:themeColor="text1"/>
          <w:lang w:eastAsia="en-GB"/>
        </w:rPr>
        <w:t>Taddd</w:t>
      </w:r>
      <w:r>
        <w:rPr>
          <w:rFonts w:eastAsia="Times New Roman"/>
          <w:iCs/>
          <w:color w:val="000000" w:themeColor="text1"/>
          <w:lang w:eastAsia="en-GB"/>
        </w:rPr>
        <w:t>e</w:t>
      </w:r>
      <w:r w:rsidRPr="007B6BDD">
        <w:rPr>
          <w:rFonts w:eastAsia="Times New Roman"/>
          <w:iCs/>
          <w:color w:val="000000" w:themeColor="text1"/>
          <w:lang w:eastAsia="en-GB"/>
        </w:rPr>
        <w:t xml:space="preserve">o Alderotti </w:t>
      </w:r>
      <w:r w:rsidRPr="007B6BDD">
        <w:rPr>
          <w:rFonts w:eastAsia="Times New Roman"/>
          <w:iCs/>
          <w:color w:val="000000" w:themeColor="text1"/>
          <w:lang w:eastAsia="en-GB"/>
        </w:rPr>
        <w:t>(d.</w:t>
      </w:r>
      <w:r>
        <w:rPr>
          <w:rFonts w:eastAsia="Times New Roman"/>
          <w:iCs/>
          <w:color w:val="000000" w:themeColor="text1"/>
          <w:lang w:eastAsia="en-GB"/>
        </w:rPr>
        <w:t>1296)</w:t>
      </w:r>
      <w:r w:rsidRPr="007B6BDD">
        <w:rPr>
          <w:rFonts w:eastAsia="Times New Roman"/>
          <w:iCs/>
          <w:color w:val="000000" w:themeColor="text1"/>
          <w:lang w:eastAsia="en-GB"/>
        </w:rPr>
        <w:t xml:space="preserve">, </w:t>
      </w:r>
      <w:r w:rsidRPr="007B6BDD">
        <w:rPr>
          <w:rFonts w:eastAsia="Times New Roman"/>
          <w:i/>
          <w:color w:val="000000" w:themeColor="text1"/>
          <w:lang w:eastAsia="en-GB"/>
        </w:rPr>
        <w:t xml:space="preserve">Libello per </w:t>
      </w:r>
      <w:r>
        <w:rPr>
          <w:rFonts w:eastAsia="Times New Roman"/>
          <w:i/>
          <w:color w:val="000000" w:themeColor="text1"/>
          <w:lang w:eastAsia="en-GB"/>
        </w:rPr>
        <w:t>C</w:t>
      </w:r>
      <w:r w:rsidRPr="007B6BDD">
        <w:rPr>
          <w:rFonts w:eastAsia="Times New Roman"/>
          <w:i/>
          <w:color w:val="000000" w:themeColor="text1"/>
          <w:lang w:eastAsia="en-GB"/>
        </w:rPr>
        <w:t xml:space="preserve">onservar la </w:t>
      </w:r>
      <w:r>
        <w:rPr>
          <w:rFonts w:eastAsia="Times New Roman"/>
          <w:i/>
          <w:color w:val="000000" w:themeColor="text1"/>
          <w:lang w:eastAsia="en-GB"/>
        </w:rPr>
        <w:t>S</w:t>
      </w:r>
      <w:r w:rsidRPr="007B6BDD">
        <w:rPr>
          <w:rFonts w:eastAsia="Times New Roman"/>
          <w:i/>
          <w:color w:val="000000" w:themeColor="text1"/>
          <w:lang w:eastAsia="en-GB"/>
        </w:rPr>
        <w:t xml:space="preserve">anità del </w:t>
      </w:r>
      <w:r>
        <w:rPr>
          <w:rFonts w:eastAsia="Times New Roman"/>
          <w:i/>
          <w:color w:val="000000" w:themeColor="text1"/>
          <w:lang w:eastAsia="en-GB"/>
        </w:rPr>
        <w:t>C</w:t>
      </w:r>
      <w:r w:rsidRPr="007B6BDD">
        <w:rPr>
          <w:rFonts w:eastAsia="Times New Roman"/>
          <w:i/>
          <w:color w:val="000000" w:themeColor="text1"/>
          <w:lang w:eastAsia="en-GB"/>
        </w:rPr>
        <w:t xml:space="preserve">orpo </w:t>
      </w:r>
      <w:r w:rsidRPr="007B6BDD">
        <w:rPr>
          <w:rFonts w:eastAsia="Times New Roman"/>
          <w:color w:val="000000" w:themeColor="text1"/>
          <w:lang w:eastAsia="en-GB"/>
        </w:rPr>
        <w:t>(</w:t>
      </w:r>
      <w:r w:rsidRPr="007B6BDD">
        <w:rPr>
          <w:rFonts w:eastAsia="Times New Roman"/>
          <w:iCs/>
          <w:color w:val="000000" w:themeColor="text1"/>
          <w:lang w:eastAsia="en-GB"/>
        </w:rPr>
        <w:t>Imola: Galeati, 1852)</w:t>
      </w:r>
      <w:r>
        <w:rPr>
          <w:rFonts w:eastAsia="Times New Roman"/>
          <w:iCs/>
          <w:color w:val="000000" w:themeColor="text1"/>
          <w:lang w:eastAsia="en-GB"/>
        </w:rPr>
        <w:t xml:space="preserve">; Arnaldo da Villanova (d. c.1312), </w:t>
      </w:r>
      <w:r w:rsidRPr="007B6BDD">
        <w:rPr>
          <w:rFonts w:eastAsia="Times New Roman"/>
          <w:i/>
          <w:color w:val="000000" w:themeColor="text1"/>
          <w:lang w:eastAsia="en-GB"/>
        </w:rPr>
        <w:t xml:space="preserve">Regimen </w:t>
      </w:r>
      <w:r>
        <w:rPr>
          <w:rFonts w:eastAsia="Times New Roman"/>
          <w:i/>
          <w:color w:val="000000" w:themeColor="text1"/>
          <w:lang w:eastAsia="en-GB"/>
        </w:rPr>
        <w:t>S</w:t>
      </w:r>
      <w:r w:rsidRPr="007B6BDD">
        <w:rPr>
          <w:rFonts w:eastAsia="Times New Roman"/>
          <w:i/>
          <w:color w:val="000000" w:themeColor="text1"/>
          <w:lang w:eastAsia="en-GB"/>
        </w:rPr>
        <w:t xml:space="preserve">anitatis ad </w:t>
      </w:r>
      <w:r>
        <w:rPr>
          <w:rFonts w:eastAsia="Times New Roman"/>
          <w:i/>
          <w:color w:val="000000" w:themeColor="text1"/>
          <w:lang w:eastAsia="en-GB"/>
        </w:rPr>
        <w:t>R</w:t>
      </w:r>
      <w:r w:rsidRPr="007B6BDD">
        <w:rPr>
          <w:rFonts w:eastAsia="Times New Roman"/>
          <w:i/>
          <w:color w:val="000000" w:themeColor="text1"/>
          <w:lang w:eastAsia="en-GB"/>
        </w:rPr>
        <w:t xml:space="preserve">egem </w:t>
      </w:r>
      <w:r>
        <w:rPr>
          <w:rFonts w:eastAsia="Times New Roman"/>
          <w:i/>
          <w:color w:val="000000" w:themeColor="text1"/>
          <w:lang w:eastAsia="en-GB"/>
        </w:rPr>
        <w:t>A</w:t>
      </w:r>
      <w:r w:rsidRPr="007B6BDD">
        <w:rPr>
          <w:rFonts w:eastAsia="Times New Roman"/>
          <w:i/>
          <w:color w:val="000000" w:themeColor="text1"/>
          <w:lang w:eastAsia="en-GB"/>
        </w:rPr>
        <w:t>ragonum</w:t>
      </w:r>
      <w:r w:rsidRPr="007B6BDD">
        <w:rPr>
          <w:rFonts w:eastAsia="Times New Roman"/>
          <w:color w:val="000000" w:themeColor="text1"/>
          <w:lang w:eastAsia="en-GB"/>
        </w:rPr>
        <w:t xml:space="preserve">, in </w:t>
      </w:r>
      <w:r w:rsidR="00A21EA5" w:rsidRPr="00A21EA5">
        <w:rPr>
          <w:rFonts w:eastAsia="Times New Roman"/>
          <w:i/>
          <w:color w:val="000000" w:themeColor="text1"/>
          <w:lang w:eastAsia="en-GB"/>
        </w:rPr>
        <w:t>Ibid</w:t>
      </w:r>
      <w:r w:rsidRPr="007B6BDD">
        <w:rPr>
          <w:rFonts w:eastAsia="Times New Roman"/>
          <w:color w:val="000000" w:themeColor="text1"/>
          <w:lang w:eastAsia="en-GB"/>
        </w:rPr>
        <w:t xml:space="preserve">. </w:t>
      </w:r>
      <w:r w:rsidRPr="007B6BDD">
        <w:rPr>
          <w:rFonts w:eastAsia="Times New Roman"/>
          <w:i/>
          <w:color w:val="000000" w:themeColor="text1"/>
          <w:lang w:eastAsia="en-GB"/>
        </w:rPr>
        <w:t xml:space="preserve">Opera </w:t>
      </w:r>
      <w:r>
        <w:rPr>
          <w:rFonts w:eastAsia="Times New Roman"/>
          <w:i/>
          <w:color w:val="000000" w:themeColor="text1"/>
          <w:lang w:eastAsia="en-GB"/>
        </w:rPr>
        <w:t>M</w:t>
      </w:r>
      <w:r w:rsidRPr="007B6BDD">
        <w:rPr>
          <w:rFonts w:eastAsia="Times New Roman"/>
          <w:i/>
          <w:color w:val="000000" w:themeColor="text1"/>
          <w:lang w:eastAsia="en-GB"/>
        </w:rPr>
        <w:t xml:space="preserve">edica </w:t>
      </w:r>
      <w:r>
        <w:rPr>
          <w:rFonts w:eastAsia="Times New Roman"/>
          <w:i/>
          <w:color w:val="000000" w:themeColor="text1"/>
          <w:lang w:eastAsia="en-GB"/>
        </w:rPr>
        <w:t>O</w:t>
      </w:r>
      <w:r w:rsidRPr="007B6BDD">
        <w:rPr>
          <w:rFonts w:eastAsia="Times New Roman"/>
          <w:i/>
          <w:color w:val="000000" w:themeColor="text1"/>
          <w:lang w:eastAsia="en-GB"/>
        </w:rPr>
        <w:t xml:space="preserve">mnia, </w:t>
      </w:r>
      <w:r w:rsidRPr="007B6BDD">
        <w:rPr>
          <w:rFonts w:eastAsia="Times New Roman"/>
          <w:iCs/>
          <w:color w:val="000000" w:themeColor="text1"/>
          <w:lang w:eastAsia="en-GB"/>
        </w:rPr>
        <w:t>X.1</w:t>
      </w:r>
      <w:r w:rsidRPr="007B6BDD">
        <w:rPr>
          <w:rFonts w:eastAsia="Times New Roman"/>
          <w:i/>
          <w:color w:val="000000" w:themeColor="text1"/>
          <w:lang w:eastAsia="en-GB"/>
        </w:rPr>
        <w:t>,</w:t>
      </w:r>
      <w:r w:rsidRPr="007B6BDD">
        <w:rPr>
          <w:rFonts w:eastAsia="Times New Roman"/>
          <w:color w:val="000000" w:themeColor="text1"/>
          <w:lang w:eastAsia="en-GB"/>
        </w:rPr>
        <w:t xml:space="preserve"> ed.</w:t>
      </w:r>
      <w:r w:rsidRPr="007B6BDD">
        <w:rPr>
          <w:rFonts w:eastAsia="Times New Roman"/>
          <w:iCs/>
          <w:color w:val="000000" w:themeColor="text1"/>
          <w:lang w:eastAsia="en-GB"/>
        </w:rPr>
        <w:t xml:space="preserve"> L.</w:t>
      </w:r>
      <w:r>
        <w:rPr>
          <w:rFonts w:eastAsia="Times New Roman"/>
          <w:iCs/>
          <w:color w:val="000000" w:themeColor="text1"/>
          <w:lang w:eastAsia="en-GB"/>
        </w:rPr>
        <w:t xml:space="preserve"> García Ballester, J.A Paniagua</w:t>
      </w:r>
      <w:r w:rsidRPr="007B6BDD">
        <w:rPr>
          <w:rFonts w:eastAsia="Times New Roman"/>
          <w:iCs/>
          <w:color w:val="000000" w:themeColor="text1"/>
          <w:lang w:eastAsia="en-GB"/>
        </w:rPr>
        <w:t xml:space="preserve"> and M.R.</w:t>
      </w:r>
      <w:r>
        <w:rPr>
          <w:rFonts w:eastAsia="Times New Roman"/>
          <w:iCs/>
          <w:color w:val="000000" w:themeColor="text1"/>
          <w:lang w:eastAsia="en-GB"/>
        </w:rPr>
        <w:t xml:space="preserve"> </w:t>
      </w:r>
      <w:r w:rsidRPr="007B6BDD">
        <w:rPr>
          <w:rFonts w:eastAsia="Times New Roman"/>
          <w:iCs/>
          <w:color w:val="000000" w:themeColor="text1"/>
          <w:lang w:eastAsia="en-GB"/>
        </w:rPr>
        <w:t>McVaugh (Barcelona: Universitat de Barcelona, 1996)</w:t>
      </w:r>
      <w:r>
        <w:rPr>
          <w:rFonts w:eastAsia="Times New Roman"/>
          <w:iCs/>
          <w:color w:val="000000" w:themeColor="text1"/>
          <w:lang w:eastAsia="en-GB"/>
        </w:rPr>
        <w:t xml:space="preserve">; and those </w:t>
      </w:r>
      <w:r w:rsidRPr="007B6BDD">
        <w:rPr>
          <w:rFonts w:eastAsia="Times New Roman"/>
          <w:iCs/>
          <w:color w:val="000000" w:themeColor="text1"/>
          <w:lang w:eastAsia="en-GB"/>
        </w:rPr>
        <w:t>by Ma</w:t>
      </w:r>
      <w:r>
        <w:rPr>
          <w:rFonts w:eastAsia="Times New Roman"/>
          <w:iCs/>
          <w:color w:val="000000" w:themeColor="text1"/>
          <w:lang w:eastAsia="en-GB"/>
        </w:rPr>
        <w:t>i</w:t>
      </w:r>
      <w:r w:rsidRPr="007B6BDD">
        <w:rPr>
          <w:rFonts w:eastAsia="Times New Roman"/>
          <w:iCs/>
          <w:color w:val="000000" w:themeColor="text1"/>
          <w:lang w:eastAsia="en-GB"/>
        </w:rPr>
        <w:t>no de Maineri and Aldobradino da Siena</w:t>
      </w:r>
      <w:r>
        <w:rPr>
          <w:rFonts w:eastAsia="Times New Roman"/>
          <w:iCs/>
          <w:color w:val="000000" w:themeColor="text1"/>
          <w:lang w:eastAsia="en-GB"/>
        </w:rPr>
        <w:t xml:space="preserve"> (see note 81)</w:t>
      </w:r>
      <w:r w:rsidRPr="007B6BDD">
        <w:rPr>
          <w:rFonts w:eastAsia="Times New Roman"/>
          <w:iCs/>
          <w:color w:val="000000" w:themeColor="text1"/>
          <w:lang w:eastAsia="en-GB"/>
        </w:rPr>
        <w:t xml:space="preserve">. </w:t>
      </w:r>
      <w:r w:rsidR="00A21EA5" w:rsidRPr="00A21EA5">
        <w:rPr>
          <w:rFonts w:eastAsia="Times New Roman"/>
          <w:iCs/>
          <w:color w:val="000000" w:themeColor="text1"/>
          <w:lang w:val="en-GB" w:eastAsia="en-GB"/>
        </w:rPr>
        <w:t xml:space="preserve">Some medieval texts, however, </w:t>
      </w:r>
      <w:r>
        <w:rPr>
          <w:rFonts w:eastAsia="Times New Roman"/>
          <w:iCs/>
          <w:color w:val="000000" w:themeColor="text1"/>
          <w:lang w:val="en-GB" w:eastAsia="en-GB"/>
        </w:rPr>
        <w:t>are concerned with</w:t>
      </w:r>
      <w:r w:rsidR="00A21EA5" w:rsidRPr="00A21EA5">
        <w:rPr>
          <w:rFonts w:eastAsia="Times New Roman"/>
          <w:iCs/>
          <w:color w:val="000000" w:themeColor="text1"/>
          <w:lang w:val="en-GB" w:eastAsia="en-GB"/>
        </w:rPr>
        <w:t xml:space="preserve"> the exposition o</w:t>
      </w:r>
      <w:r w:rsidRPr="00AD511B">
        <w:rPr>
          <w:rFonts w:eastAsia="Times New Roman"/>
          <w:iCs/>
          <w:color w:val="000000" w:themeColor="text1"/>
          <w:lang w:val="en-GB" w:eastAsia="en-GB"/>
        </w:rPr>
        <w:t xml:space="preserve">f </w:t>
      </w:r>
      <w:r>
        <w:rPr>
          <w:rFonts w:eastAsia="Times New Roman"/>
          <w:iCs/>
          <w:color w:val="000000" w:themeColor="text1"/>
          <w:lang w:val="en-GB" w:eastAsia="en-GB"/>
        </w:rPr>
        <w:t>living quarters</w:t>
      </w:r>
      <w:r w:rsidRPr="00AD511B">
        <w:rPr>
          <w:rFonts w:eastAsia="Times New Roman"/>
          <w:iCs/>
          <w:color w:val="000000" w:themeColor="text1"/>
          <w:lang w:val="en-GB" w:eastAsia="en-GB"/>
        </w:rPr>
        <w:t xml:space="preserve">, </w:t>
      </w:r>
      <w:r>
        <w:rPr>
          <w:rFonts w:eastAsia="Times New Roman"/>
          <w:iCs/>
          <w:color w:val="000000" w:themeColor="text1"/>
          <w:lang w:val="en-GB" w:eastAsia="en-GB"/>
        </w:rPr>
        <w:t>their</w:t>
      </w:r>
      <w:r w:rsidRPr="00AD511B">
        <w:rPr>
          <w:rFonts w:eastAsia="Times New Roman"/>
          <w:iCs/>
          <w:color w:val="000000" w:themeColor="text1"/>
          <w:lang w:val="en-GB" w:eastAsia="en-GB"/>
        </w:rPr>
        <w:t xml:space="preserve"> </w:t>
      </w:r>
      <w:r>
        <w:rPr>
          <w:rFonts w:eastAsia="Times New Roman"/>
          <w:iCs/>
          <w:color w:val="000000" w:themeColor="text1"/>
          <w:lang w:val="en-GB" w:eastAsia="en-GB"/>
        </w:rPr>
        <w:t>width</w:t>
      </w:r>
      <w:r w:rsidRPr="00AD511B">
        <w:rPr>
          <w:rFonts w:eastAsia="Times New Roman"/>
          <w:iCs/>
          <w:color w:val="000000" w:themeColor="text1"/>
          <w:lang w:val="en-GB" w:eastAsia="en-GB"/>
        </w:rPr>
        <w:t xml:space="preserve"> and height and </w:t>
      </w:r>
      <w:r>
        <w:rPr>
          <w:rFonts w:eastAsia="Times New Roman"/>
          <w:iCs/>
          <w:color w:val="000000" w:themeColor="text1"/>
          <w:lang w:val="en-GB" w:eastAsia="en-GB"/>
        </w:rPr>
        <w:t>with</w:t>
      </w:r>
      <w:r w:rsidRPr="00AD511B">
        <w:rPr>
          <w:rFonts w:eastAsia="Times New Roman"/>
          <w:iCs/>
          <w:color w:val="000000" w:themeColor="text1"/>
          <w:lang w:val="en-GB" w:eastAsia="en-GB"/>
        </w:rPr>
        <w:t xml:space="preserve"> building materials. P. </w:t>
      </w:r>
      <w:r w:rsidR="00A21EA5" w:rsidRPr="00A21EA5">
        <w:rPr>
          <w:rFonts w:eastAsia="Times New Roman"/>
          <w:iCs/>
          <w:color w:val="000000" w:themeColor="text1"/>
          <w:lang w:val="en-GB" w:eastAsia="en-GB"/>
        </w:rPr>
        <w:t>Gil-</w:t>
      </w:r>
      <w:proofErr w:type="spellStart"/>
      <w:r w:rsidR="00A21EA5" w:rsidRPr="00A21EA5">
        <w:rPr>
          <w:rFonts w:eastAsia="Times New Roman"/>
          <w:iCs/>
          <w:color w:val="000000" w:themeColor="text1"/>
          <w:lang w:val="en-GB" w:eastAsia="en-GB"/>
        </w:rPr>
        <w:t>Sotres</w:t>
      </w:r>
      <w:proofErr w:type="spellEnd"/>
      <w:r w:rsidR="00A21EA5" w:rsidRPr="00A21EA5">
        <w:rPr>
          <w:rFonts w:eastAsia="Times New Roman"/>
          <w:iCs/>
          <w:color w:val="000000" w:themeColor="text1"/>
          <w:lang w:val="en-GB" w:eastAsia="en-GB"/>
        </w:rPr>
        <w:t>, ‘Th</w:t>
      </w:r>
      <w:r>
        <w:rPr>
          <w:rFonts w:eastAsia="Times New Roman"/>
          <w:iCs/>
          <w:color w:val="000000" w:themeColor="text1"/>
          <w:lang w:val="en-GB" w:eastAsia="en-GB"/>
        </w:rPr>
        <w:t xml:space="preserve">e Regimens of Health’, in M. D. </w:t>
      </w:r>
      <w:proofErr w:type="spellStart"/>
      <w:r>
        <w:rPr>
          <w:rFonts w:eastAsia="Times New Roman"/>
          <w:iCs/>
          <w:color w:val="000000" w:themeColor="text1"/>
          <w:lang w:val="en-GB" w:eastAsia="en-GB"/>
        </w:rPr>
        <w:t>Grmek</w:t>
      </w:r>
      <w:proofErr w:type="spellEnd"/>
      <w:r>
        <w:rPr>
          <w:rFonts w:eastAsia="Times New Roman"/>
          <w:iCs/>
          <w:color w:val="000000" w:themeColor="text1"/>
          <w:lang w:val="en-GB" w:eastAsia="en-GB"/>
        </w:rPr>
        <w:t xml:space="preserve"> ed.</w:t>
      </w:r>
      <w:r w:rsidR="00A21EA5" w:rsidRPr="00A21EA5">
        <w:rPr>
          <w:rFonts w:eastAsia="Times New Roman"/>
          <w:iCs/>
          <w:color w:val="000000" w:themeColor="text1"/>
          <w:lang w:val="en-GB" w:eastAsia="en-GB"/>
        </w:rPr>
        <w:t>,</w:t>
      </w:r>
      <w:r w:rsidR="00A21EA5" w:rsidRPr="00A21EA5">
        <w:rPr>
          <w:rFonts w:eastAsia="Times New Roman"/>
          <w:i/>
          <w:color w:val="000000" w:themeColor="text1"/>
          <w:lang w:val="en-GB" w:eastAsia="en-GB"/>
        </w:rPr>
        <w:t xml:space="preserve"> Western Medical Thought from Antiquity to the Middle Ages</w:t>
      </w:r>
      <w:r w:rsidR="00A21EA5" w:rsidRPr="00A21EA5">
        <w:rPr>
          <w:rFonts w:eastAsia="Times New Roman"/>
          <w:iCs/>
          <w:color w:val="000000" w:themeColor="text1"/>
          <w:lang w:val="en-GB" w:eastAsia="en-GB"/>
        </w:rPr>
        <w:t xml:space="preserve"> (Cambridge Mass.</w:t>
      </w:r>
      <w:r>
        <w:rPr>
          <w:rFonts w:eastAsia="Times New Roman"/>
          <w:iCs/>
          <w:color w:val="000000" w:themeColor="text1"/>
          <w:lang w:val="en-GB" w:eastAsia="en-GB"/>
        </w:rPr>
        <w:t>: Harvard University Press</w:t>
      </w:r>
      <w:r w:rsidR="00A21EA5" w:rsidRPr="00A21EA5">
        <w:rPr>
          <w:rFonts w:eastAsia="Times New Roman"/>
          <w:iCs/>
          <w:color w:val="000000" w:themeColor="text1"/>
          <w:lang w:val="en-GB" w:eastAsia="en-GB"/>
        </w:rPr>
        <w:t>, 1998), 291–396</w:t>
      </w:r>
      <w:r>
        <w:rPr>
          <w:rFonts w:eastAsia="Times New Roman"/>
          <w:iCs/>
          <w:color w:val="000000" w:themeColor="text1"/>
          <w:lang w:val="en-GB" w:eastAsia="en-GB"/>
        </w:rPr>
        <w:t>, 302-04</w:t>
      </w:r>
      <w:r w:rsidR="00A21EA5" w:rsidRPr="00A21EA5">
        <w:rPr>
          <w:rFonts w:eastAsia="Times New Roman"/>
          <w:iCs/>
          <w:color w:val="000000" w:themeColor="text1"/>
          <w:lang w:val="en-GB" w:eastAsia="en-GB"/>
        </w:rPr>
        <w:t>.</w:t>
      </w:r>
      <w:r w:rsidR="00A21EA5" w:rsidRPr="00A21EA5">
        <w:rPr>
          <w:rFonts w:eastAsia="Times New Roman"/>
          <w:i/>
          <w:color w:val="000000" w:themeColor="text1"/>
          <w:lang w:val="en-GB" w:eastAsia="en-GB"/>
        </w:rPr>
        <w:t xml:space="preserve">  </w:t>
      </w:r>
    </w:p>
  </w:footnote>
  <w:footnote w:id="19">
    <w:p w:rsidR="00DF2756" w:rsidRDefault="00DF2756">
      <w:pPr>
        <w:pStyle w:val="FootnoteText"/>
        <w:jc w:val="both"/>
        <w:rPr>
          <w:lang w:val="en-GB"/>
        </w:rPr>
      </w:pPr>
      <w:r>
        <w:rPr>
          <w:rStyle w:val="FootnoteReference"/>
        </w:rPr>
        <w:footnoteRef/>
      </w:r>
      <w:r w:rsidRPr="003B61DC">
        <w:rPr>
          <w:lang w:val="en-GB"/>
        </w:rPr>
        <w:t xml:space="preserve"> </w:t>
      </w:r>
      <w:r>
        <w:rPr>
          <w:lang w:val="en-GB"/>
        </w:rPr>
        <w:t xml:space="preserve">Published posthumous in 1501, </w:t>
      </w:r>
      <w:r w:rsidRPr="003B61DC">
        <w:rPr>
          <w:lang w:val="en-GB"/>
        </w:rPr>
        <w:t xml:space="preserve">Savonarola’s </w:t>
      </w:r>
      <w:proofErr w:type="spellStart"/>
      <w:r w:rsidRPr="003B61DC">
        <w:rPr>
          <w:i/>
          <w:lang w:val="en-GB"/>
        </w:rPr>
        <w:t>Libreto</w:t>
      </w:r>
      <w:proofErr w:type="spellEnd"/>
      <w:r w:rsidRPr="003B61DC">
        <w:rPr>
          <w:lang w:val="en-GB"/>
        </w:rPr>
        <w:t xml:space="preserve"> was written a</w:t>
      </w:r>
      <w:r>
        <w:rPr>
          <w:lang w:val="en-GB"/>
        </w:rPr>
        <w:t xml:space="preserve">round mid-fifteenth century directly in Italian; </w:t>
      </w:r>
      <w:proofErr w:type="spellStart"/>
      <w:r w:rsidRPr="003B61DC">
        <w:rPr>
          <w:lang w:val="en-GB"/>
        </w:rPr>
        <w:t>Ficino’s</w:t>
      </w:r>
      <w:proofErr w:type="spellEnd"/>
      <w:r w:rsidRPr="003B61DC">
        <w:rPr>
          <w:lang w:val="en-GB"/>
        </w:rPr>
        <w:t xml:space="preserve"> </w:t>
      </w:r>
      <w:r w:rsidRPr="003B61DC">
        <w:rPr>
          <w:i/>
          <w:lang w:val="en-GB"/>
        </w:rPr>
        <w:t xml:space="preserve">De </w:t>
      </w:r>
      <w:proofErr w:type="spellStart"/>
      <w:r>
        <w:rPr>
          <w:i/>
          <w:lang w:val="en-GB"/>
        </w:rPr>
        <w:t>Triplici</w:t>
      </w:r>
      <w:proofErr w:type="spellEnd"/>
      <w:r>
        <w:rPr>
          <w:i/>
          <w:lang w:val="en-GB"/>
        </w:rPr>
        <w:t xml:space="preserve"> Vita </w:t>
      </w:r>
      <w:r w:rsidRPr="003B61DC">
        <w:rPr>
          <w:lang w:val="en-GB"/>
        </w:rPr>
        <w:t xml:space="preserve">was </w:t>
      </w:r>
      <w:r>
        <w:rPr>
          <w:lang w:val="en-GB"/>
        </w:rPr>
        <w:t xml:space="preserve">originally </w:t>
      </w:r>
      <w:r w:rsidRPr="003B61DC">
        <w:rPr>
          <w:lang w:val="en-GB"/>
        </w:rPr>
        <w:t>compiled in Latin and cir</w:t>
      </w:r>
      <w:r>
        <w:rPr>
          <w:lang w:val="en-GB"/>
        </w:rPr>
        <w:t xml:space="preserve">culated in manuscript form until its appearance in print in 1489. It was published in vernacular only in 1548. </w:t>
      </w:r>
    </w:p>
  </w:footnote>
  <w:footnote w:id="20">
    <w:p w:rsidR="00DF2756" w:rsidRPr="00971D7E" w:rsidRDefault="00DF2756">
      <w:pPr>
        <w:pStyle w:val="FootnoteText"/>
        <w:jc w:val="both"/>
      </w:pPr>
      <w:r>
        <w:rPr>
          <w:rStyle w:val="FootnoteReference"/>
        </w:rPr>
        <w:footnoteRef/>
      </w:r>
      <w:r w:rsidRPr="00F712BC">
        <w:rPr>
          <w:lang w:val="en-GB"/>
        </w:rPr>
        <w:t xml:space="preserve"> On changing bed-sheets and undergarments T. </w:t>
      </w:r>
      <w:proofErr w:type="spellStart"/>
      <w:r w:rsidRPr="00F712BC">
        <w:rPr>
          <w:lang w:val="en-GB"/>
        </w:rPr>
        <w:t>Rangoni</w:t>
      </w:r>
      <w:proofErr w:type="spellEnd"/>
      <w:r w:rsidRPr="00F712BC">
        <w:rPr>
          <w:lang w:val="en-GB"/>
        </w:rPr>
        <w:t xml:space="preserve">, </w:t>
      </w:r>
      <w:proofErr w:type="spellStart"/>
      <w:r w:rsidRPr="00F712BC">
        <w:rPr>
          <w:i/>
          <w:iCs/>
          <w:lang w:val="en-GB"/>
        </w:rPr>
        <w:t>Consiglio</w:t>
      </w:r>
      <w:proofErr w:type="spellEnd"/>
      <w:r w:rsidRPr="00F712BC">
        <w:rPr>
          <w:i/>
          <w:iCs/>
          <w:lang w:val="en-GB"/>
        </w:rPr>
        <w:t xml:space="preserve"> </w:t>
      </w:r>
      <w:proofErr w:type="gramStart"/>
      <w:r w:rsidRPr="00F712BC">
        <w:rPr>
          <w:i/>
          <w:iCs/>
          <w:lang w:val="en-GB"/>
        </w:rPr>
        <w:t>del</w:t>
      </w:r>
      <w:proofErr w:type="gramEnd"/>
      <w:r w:rsidRPr="00F712BC">
        <w:rPr>
          <w:i/>
          <w:iCs/>
          <w:lang w:val="en-GB"/>
        </w:rPr>
        <w:t xml:space="preserve"> </w:t>
      </w:r>
      <w:proofErr w:type="spellStart"/>
      <w:r>
        <w:rPr>
          <w:i/>
          <w:iCs/>
          <w:lang w:val="en-GB"/>
        </w:rPr>
        <w:t>M</w:t>
      </w:r>
      <w:r w:rsidRPr="00F712BC">
        <w:rPr>
          <w:i/>
          <w:iCs/>
          <w:lang w:val="en-GB"/>
        </w:rPr>
        <w:t>agnifico</w:t>
      </w:r>
      <w:proofErr w:type="spellEnd"/>
      <w:r w:rsidRPr="00F712BC">
        <w:rPr>
          <w:i/>
          <w:iCs/>
          <w:lang w:val="en-GB"/>
        </w:rPr>
        <w:t xml:space="preserve"> </w:t>
      </w:r>
      <w:proofErr w:type="spellStart"/>
      <w:r>
        <w:rPr>
          <w:i/>
          <w:iCs/>
          <w:lang w:val="en-GB"/>
        </w:rPr>
        <w:t>C</w:t>
      </w:r>
      <w:r w:rsidRPr="00F712BC">
        <w:rPr>
          <w:i/>
          <w:iCs/>
          <w:lang w:val="en-GB"/>
        </w:rPr>
        <w:t>aualiere</w:t>
      </w:r>
      <w:proofErr w:type="spellEnd"/>
      <w:r w:rsidRPr="00F712BC">
        <w:rPr>
          <w:i/>
          <w:iCs/>
          <w:lang w:val="en-GB"/>
        </w:rPr>
        <w:t xml:space="preserve">... </w:t>
      </w:r>
      <w:r w:rsidRPr="003C6321">
        <w:rPr>
          <w:i/>
          <w:iCs/>
        </w:rPr>
        <w:t xml:space="preserve">Come i </w:t>
      </w:r>
      <w:r>
        <w:rPr>
          <w:i/>
          <w:iCs/>
        </w:rPr>
        <w:t>V</w:t>
      </w:r>
      <w:r w:rsidRPr="003C6321">
        <w:rPr>
          <w:i/>
          <w:iCs/>
        </w:rPr>
        <w:t xml:space="preserve">enetiani </w:t>
      </w:r>
      <w:r>
        <w:rPr>
          <w:i/>
          <w:iCs/>
        </w:rPr>
        <w:t>P</w:t>
      </w:r>
      <w:r w:rsidRPr="003C6321">
        <w:rPr>
          <w:i/>
          <w:iCs/>
        </w:rPr>
        <w:t xml:space="preserve">ossano </w:t>
      </w:r>
      <w:r>
        <w:rPr>
          <w:i/>
          <w:iCs/>
        </w:rPr>
        <w:t>V</w:t>
      </w:r>
      <w:r w:rsidRPr="003C6321">
        <w:rPr>
          <w:i/>
          <w:iCs/>
        </w:rPr>
        <w:t xml:space="preserve">iuere </w:t>
      </w:r>
      <w:r>
        <w:rPr>
          <w:i/>
          <w:iCs/>
        </w:rPr>
        <w:t>S</w:t>
      </w:r>
      <w:r w:rsidRPr="003C6321">
        <w:rPr>
          <w:i/>
          <w:iCs/>
        </w:rPr>
        <w:t xml:space="preserve">empre </w:t>
      </w:r>
      <w:r>
        <w:rPr>
          <w:i/>
          <w:iCs/>
        </w:rPr>
        <w:t>S</w:t>
      </w:r>
      <w:r w:rsidRPr="003C6321">
        <w:rPr>
          <w:i/>
          <w:iCs/>
        </w:rPr>
        <w:t>ani</w:t>
      </w:r>
      <w:r w:rsidRPr="003C6321">
        <w:t xml:space="preserve"> (Venice: Francesco de' Patriani, 1565), 11. </w:t>
      </w:r>
    </w:p>
  </w:footnote>
  <w:footnote w:id="21">
    <w:p w:rsidR="00DF2756" w:rsidRDefault="00DF2756">
      <w:pPr>
        <w:pStyle w:val="FootnoteText"/>
        <w:ind w:right="-472"/>
        <w:jc w:val="both"/>
        <w:rPr>
          <w:rFonts w:asciiTheme="minorHAnsi" w:hAnsiTheme="minorHAnsi"/>
        </w:rPr>
      </w:pPr>
      <w:r w:rsidRPr="00B54B76">
        <w:rPr>
          <w:rStyle w:val="FootnoteReference"/>
          <w:rFonts w:asciiTheme="minorHAnsi" w:hAnsiTheme="minorHAnsi"/>
        </w:rPr>
        <w:footnoteRef/>
      </w:r>
      <w:r w:rsidRPr="00A0199A">
        <w:rPr>
          <w:rFonts w:asciiTheme="minorHAnsi" w:hAnsiTheme="minorHAnsi"/>
        </w:rPr>
        <w:t xml:space="preserve"> </w:t>
      </w:r>
      <w:r w:rsidRPr="006F1E5A">
        <w:t xml:space="preserve">Fonseca, </w:t>
      </w:r>
      <w:r w:rsidRPr="006F1E5A">
        <w:rPr>
          <w:i/>
          <w:lang w:eastAsia="en-GB"/>
        </w:rPr>
        <w:t xml:space="preserve">Del </w:t>
      </w:r>
      <w:r>
        <w:rPr>
          <w:i/>
          <w:lang w:eastAsia="en-GB"/>
        </w:rPr>
        <w:t>C</w:t>
      </w:r>
      <w:r w:rsidRPr="00111FA1">
        <w:rPr>
          <w:i/>
          <w:lang w:eastAsia="en-GB"/>
        </w:rPr>
        <w:t>onservare</w:t>
      </w:r>
      <w:r>
        <w:rPr>
          <w:lang w:eastAsia="en-GB"/>
        </w:rPr>
        <w:t>,</w:t>
      </w:r>
      <w:r w:rsidRPr="00A0199A">
        <w:rPr>
          <w:sz w:val="22"/>
          <w:szCs w:val="22"/>
        </w:rPr>
        <w:t xml:space="preserve"> 85.</w:t>
      </w:r>
      <w:r w:rsidRPr="00A0199A">
        <w:rPr>
          <w:rFonts w:asciiTheme="minorHAnsi" w:hAnsiTheme="minorHAnsi"/>
        </w:rPr>
        <w:t xml:space="preserve"> </w:t>
      </w:r>
    </w:p>
  </w:footnote>
  <w:footnote w:id="22">
    <w:p w:rsidR="00DF2756" w:rsidRDefault="00DF2756">
      <w:pPr>
        <w:pStyle w:val="FootnoteText"/>
        <w:jc w:val="both"/>
      </w:pPr>
      <w:r>
        <w:rPr>
          <w:rStyle w:val="FootnoteReference"/>
        </w:rPr>
        <w:footnoteRef/>
      </w:r>
      <w:r>
        <w:t xml:space="preserve"> </w:t>
      </w:r>
      <w:r w:rsidRPr="007B6BDD">
        <w:t xml:space="preserve">Rangoni, </w:t>
      </w:r>
      <w:r w:rsidRPr="007B6BDD">
        <w:rPr>
          <w:i/>
        </w:rPr>
        <w:t>Consiglio</w:t>
      </w:r>
      <w:r w:rsidRPr="007B6BDD">
        <w:t>,</w:t>
      </w:r>
      <w:r w:rsidRPr="007B6BDD">
        <w:rPr>
          <w:i/>
        </w:rPr>
        <w:t xml:space="preserve"> </w:t>
      </w:r>
      <w:r w:rsidRPr="007B6BDD">
        <w:t xml:space="preserve">11.  </w:t>
      </w:r>
    </w:p>
  </w:footnote>
  <w:footnote w:id="23">
    <w:p w:rsidR="00DF2756" w:rsidRDefault="00DF2756">
      <w:pPr>
        <w:pStyle w:val="FootnoteText"/>
        <w:jc w:val="both"/>
      </w:pPr>
      <w:r>
        <w:rPr>
          <w:rStyle w:val="FootnoteReference"/>
        </w:rPr>
        <w:footnoteRef/>
      </w:r>
      <w:r w:rsidRPr="007B6BDD">
        <w:t xml:space="preserve"> </w:t>
      </w:r>
      <w:r w:rsidRPr="007B6BDD">
        <w:rPr>
          <w:lang w:eastAsia="en-GB"/>
        </w:rPr>
        <w:t xml:space="preserve">Fonseca, </w:t>
      </w:r>
      <w:r w:rsidRPr="007B6BDD">
        <w:rPr>
          <w:i/>
          <w:lang w:eastAsia="en-GB"/>
        </w:rPr>
        <w:t xml:space="preserve">Del </w:t>
      </w:r>
      <w:r>
        <w:rPr>
          <w:i/>
          <w:lang w:eastAsia="en-GB"/>
        </w:rPr>
        <w:t>C</w:t>
      </w:r>
      <w:r w:rsidRPr="007B6BDD">
        <w:rPr>
          <w:i/>
          <w:lang w:eastAsia="en-GB"/>
        </w:rPr>
        <w:t>onservare</w:t>
      </w:r>
      <w:r w:rsidRPr="007B6BDD">
        <w:rPr>
          <w:lang w:eastAsia="en-GB"/>
        </w:rPr>
        <w:t>, 79.</w:t>
      </w:r>
    </w:p>
  </w:footnote>
  <w:footnote w:id="24">
    <w:p w:rsidR="00DF2756" w:rsidRDefault="00DF2756">
      <w:pPr>
        <w:pStyle w:val="FootnoteText"/>
        <w:jc w:val="both"/>
        <w:rPr>
          <w:lang w:val="en-GB"/>
        </w:rPr>
      </w:pPr>
      <w:r>
        <w:rPr>
          <w:rStyle w:val="FootnoteReference"/>
        </w:rPr>
        <w:footnoteRef/>
      </w:r>
      <w:r w:rsidRPr="009B3C19">
        <w:rPr>
          <w:lang w:val="en-GB"/>
        </w:rPr>
        <w:t xml:space="preserve"> </w:t>
      </w:r>
      <w:proofErr w:type="gramStart"/>
      <w:r>
        <w:rPr>
          <w:lang w:val="en-GB"/>
        </w:rPr>
        <w:t xml:space="preserve">On technical writing see, among others, W. </w:t>
      </w:r>
      <w:proofErr w:type="spellStart"/>
      <w:r>
        <w:rPr>
          <w:lang w:val="en-GB"/>
        </w:rPr>
        <w:t>Eamon</w:t>
      </w:r>
      <w:proofErr w:type="spellEnd"/>
      <w:r>
        <w:rPr>
          <w:lang w:val="en-GB"/>
        </w:rPr>
        <w:t>,</w:t>
      </w:r>
      <w:r w:rsidRPr="009B3C19">
        <w:rPr>
          <w:i/>
          <w:lang w:val="en-GB"/>
        </w:rPr>
        <w:t xml:space="preserve"> </w:t>
      </w:r>
      <w:r>
        <w:rPr>
          <w:i/>
          <w:lang w:val="en-GB"/>
        </w:rPr>
        <w:t>Science and the Secrets of Nature.</w:t>
      </w:r>
      <w:proofErr w:type="gramEnd"/>
      <w:r w:rsidRPr="009B3C19">
        <w:rPr>
          <w:i/>
          <w:lang w:val="en-GB"/>
        </w:rPr>
        <w:t xml:space="preserve"> Books of Secrets in Medieval and Early Modern Culture</w:t>
      </w:r>
      <w:r>
        <w:rPr>
          <w:lang w:val="en-GB"/>
        </w:rPr>
        <w:t xml:space="preserve"> (Princeton: Princeton University Press, 1993); P.O. Long, </w:t>
      </w:r>
      <w:r w:rsidRPr="009B3C19">
        <w:rPr>
          <w:i/>
          <w:lang w:val="en-GB"/>
        </w:rPr>
        <w:t>Open</w:t>
      </w:r>
      <w:r>
        <w:rPr>
          <w:i/>
          <w:lang w:val="en-GB"/>
        </w:rPr>
        <w:t>n</w:t>
      </w:r>
      <w:r w:rsidRPr="009B3C19">
        <w:rPr>
          <w:i/>
          <w:lang w:val="en-GB"/>
        </w:rPr>
        <w:t xml:space="preserve">ess, Secrecy, Authorship: Technical Arts and the Culture of </w:t>
      </w:r>
      <w:r>
        <w:rPr>
          <w:i/>
          <w:lang w:val="en-GB"/>
        </w:rPr>
        <w:t>K</w:t>
      </w:r>
      <w:r w:rsidRPr="009B3C19">
        <w:rPr>
          <w:i/>
          <w:lang w:val="en-GB"/>
        </w:rPr>
        <w:t>nowledge from Antiquity to the Renaissance</w:t>
      </w:r>
      <w:r>
        <w:rPr>
          <w:lang w:val="en-GB"/>
        </w:rPr>
        <w:t xml:space="preserve"> (Baltimore: Johns Hopkins, 2001); N. </w:t>
      </w:r>
      <w:proofErr w:type="spellStart"/>
      <w:r>
        <w:rPr>
          <w:lang w:val="en-GB"/>
        </w:rPr>
        <w:t>Glayser</w:t>
      </w:r>
      <w:proofErr w:type="spellEnd"/>
      <w:r>
        <w:rPr>
          <w:lang w:val="en-GB"/>
        </w:rPr>
        <w:t xml:space="preserve"> and S. Pennell </w:t>
      </w:r>
      <w:proofErr w:type="spellStart"/>
      <w:proofErr w:type="gramStart"/>
      <w:r>
        <w:rPr>
          <w:lang w:val="en-GB"/>
        </w:rPr>
        <w:t>eds</w:t>
      </w:r>
      <w:proofErr w:type="spellEnd"/>
      <w:proofErr w:type="gramEnd"/>
      <w:r>
        <w:rPr>
          <w:lang w:val="en-GB"/>
        </w:rPr>
        <w:t xml:space="preserve">, </w:t>
      </w:r>
      <w:r w:rsidRPr="009B3C19">
        <w:rPr>
          <w:i/>
          <w:lang w:val="en-GB"/>
        </w:rPr>
        <w:t xml:space="preserve">Didactic Literature in England 1500-1800: Expertise Constructed </w:t>
      </w:r>
      <w:r>
        <w:rPr>
          <w:lang w:val="en-GB"/>
        </w:rPr>
        <w:t xml:space="preserve">(Aldershot: </w:t>
      </w:r>
      <w:proofErr w:type="spellStart"/>
      <w:r>
        <w:rPr>
          <w:lang w:val="en-GB"/>
        </w:rPr>
        <w:t>Ashgate</w:t>
      </w:r>
      <w:proofErr w:type="spellEnd"/>
      <w:r>
        <w:rPr>
          <w:lang w:val="en-GB"/>
        </w:rPr>
        <w:t>, 2003).</w:t>
      </w:r>
    </w:p>
  </w:footnote>
  <w:footnote w:id="25">
    <w:p w:rsidR="00DF2756" w:rsidRDefault="00DF2756">
      <w:pPr>
        <w:pStyle w:val="FootnoteText"/>
        <w:jc w:val="both"/>
        <w:rPr>
          <w:lang w:val="en-GB"/>
        </w:rPr>
      </w:pPr>
      <w:r>
        <w:rPr>
          <w:rStyle w:val="FootnoteReference"/>
        </w:rPr>
        <w:footnoteRef/>
      </w:r>
      <w:r w:rsidRPr="00A66B0C">
        <w:rPr>
          <w:lang w:val="en-GB"/>
        </w:rPr>
        <w:t xml:space="preserve"> </w:t>
      </w:r>
      <w:r>
        <w:rPr>
          <w:lang w:val="en-GB"/>
        </w:rPr>
        <w:t xml:space="preserve">R. A. </w:t>
      </w:r>
      <w:r w:rsidRPr="007B53C4">
        <w:rPr>
          <w:lang w:val="en-GB"/>
        </w:rPr>
        <w:t>Goldthwaite, ‘The Empire of Things: Consumer Demand in Renaissance It</w:t>
      </w:r>
      <w:r>
        <w:rPr>
          <w:lang w:val="en-GB"/>
        </w:rPr>
        <w:t>aly’, in F. W. Kent and P.</w:t>
      </w:r>
      <w:r w:rsidRPr="007B53C4">
        <w:rPr>
          <w:lang w:val="en-GB"/>
        </w:rPr>
        <w:t xml:space="preserve"> </w:t>
      </w:r>
      <w:proofErr w:type="gramStart"/>
      <w:r w:rsidRPr="007B53C4">
        <w:rPr>
          <w:lang w:val="en-GB"/>
        </w:rPr>
        <w:t xml:space="preserve">Simons </w:t>
      </w:r>
      <w:proofErr w:type="spellStart"/>
      <w:r w:rsidRPr="007B53C4">
        <w:rPr>
          <w:lang w:val="en-GB"/>
        </w:rPr>
        <w:t>eds</w:t>
      </w:r>
      <w:proofErr w:type="spellEnd"/>
      <w:proofErr w:type="gramEnd"/>
      <w:r w:rsidRPr="007B53C4">
        <w:rPr>
          <w:lang w:val="en-GB"/>
        </w:rPr>
        <w:t>,</w:t>
      </w:r>
      <w:r w:rsidRPr="007B53C4">
        <w:rPr>
          <w:i/>
          <w:iCs/>
          <w:lang w:val="en-GB"/>
        </w:rPr>
        <w:t xml:space="preserve"> Patronage, Art and Society in Renaissance Italy</w:t>
      </w:r>
      <w:r w:rsidRPr="007B53C4">
        <w:rPr>
          <w:lang w:val="en-GB"/>
        </w:rPr>
        <w:t xml:space="preserve"> (Oxford: Oxford</w:t>
      </w:r>
      <w:r w:rsidRPr="00A66B0C">
        <w:rPr>
          <w:lang w:val="en-GB"/>
        </w:rPr>
        <w:t xml:space="preserve"> University Press, 1987), 155-75</w:t>
      </w:r>
      <w:r>
        <w:rPr>
          <w:lang w:val="en-GB"/>
        </w:rPr>
        <w:t xml:space="preserve">. </w:t>
      </w:r>
    </w:p>
  </w:footnote>
  <w:footnote w:id="26">
    <w:p w:rsidR="00DF2756" w:rsidRDefault="00DF2756">
      <w:pPr>
        <w:pStyle w:val="FootnoteText"/>
        <w:jc w:val="both"/>
      </w:pPr>
      <w:r>
        <w:rPr>
          <w:rStyle w:val="FootnoteReference"/>
        </w:rPr>
        <w:footnoteRef/>
      </w:r>
      <w:r w:rsidRPr="00A756F6">
        <w:t xml:space="preserve"> On Verona see </w:t>
      </w:r>
      <w:r w:rsidRPr="009B3C19">
        <w:t xml:space="preserve">O. Brugnoli and A. Sandrini eds, </w:t>
      </w:r>
      <w:r>
        <w:rPr>
          <w:i/>
        </w:rPr>
        <w:t>L’Architettura a Verona nell’Etá della Serenissima</w:t>
      </w:r>
      <w:r>
        <w:t xml:space="preserve"> (Verona: Mondadori 1988), vol. </w:t>
      </w:r>
      <w:r>
        <w:rPr>
          <w:lang w:val="en-GB"/>
        </w:rPr>
        <w:t xml:space="preserve">I. For Rome see the case of the </w:t>
      </w:r>
      <w:proofErr w:type="spellStart"/>
      <w:r>
        <w:rPr>
          <w:lang w:val="en-GB"/>
        </w:rPr>
        <w:t>Spada</w:t>
      </w:r>
      <w:proofErr w:type="spellEnd"/>
      <w:r>
        <w:rPr>
          <w:lang w:val="en-GB"/>
        </w:rPr>
        <w:t xml:space="preserve"> family reconstructed in Cavallo and Storey, </w:t>
      </w:r>
      <w:r>
        <w:rPr>
          <w:i/>
          <w:lang w:val="en-GB"/>
        </w:rPr>
        <w:t>Healthy Living</w:t>
      </w:r>
      <w:r>
        <w:rPr>
          <w:lang w:val="en-GB"/>
        </w:rPr>
        <w:t xml:space="preserve">, 49-55. </w:t>
      </w:r>
      <w:r w:rsidR="00A21EA5" w:rsidRPr="00416814">
        <w:rPr>
          <w:rPrChange w:id="0" w:author="sandra" w:date="2015-10-18T11:19:00Z">
            <w:rPr>
              <w:lang w:val="en-GB"/>
            </w:rPr>
          </w:rPrChange>
        </w:rPr>
        <w:t xml:space="preserve">For the distinctive traits of the Italian nobility, C. Donati, ‘Nobiltá’, in </w:t>
      </w:r>
      <w:r w:rsidR="00A21EA5" w:rsidRPr="00416814">
        <w:rPr>
          <w:rStyle w:val="oo1"/>
          <w:rFonts w:ascii="Times New Roman" w:hAnsi="Times New Roman"/>
          <w:i/>
          <w:sz w:val="20"/>
          <w:szCs w:val="20"/>
          <w:rPrChange w:id="1" w:author="sandra" w:date="2015-10-18T11:19:00Z">
            <w:rPr>
              <w:rStyle w:val="oo1"/>
              <w:rFonts w:ascii="Times New Roman" w:hAnsi="Times New Roman"/>
              <w:i/>
              <w:sz w:val="20"/>
              <w:szCs w:val="20"/>
              <w:lang w:val="en-GB"/>
            </w:rPr>
          </w:rPrChange>
        </w:rPr>
        <w:t xml:space="preserve">Enciclopedia delle Scienze </w:t>
      </w:r>
      <w:r w:rsidRPr="00416814">
        <w:rPr>
          <w:rStyle w:val="oo1"/>
          <w:rFonts w:ascii="Times New Roman" w:hAnsi="Times New Roman"/>
          <w:i/>
          <w:sz w:val="20"/>
          <w:szCs w:val="20"/>
          <w:rPrChange w:id="2" w:author="sandra" w:date="2015-10-18T11:19:00Z">
            <w:rPr>
              <w:rStyle w:val="oo1"/>
              <w:rFonts w:ascii="Times New Roman" w:hAnsi="Times New Roman"/>
              <w:i/>
              <w:sz w:val="20"/>
              <w:szCs w:val="20"/>
              <w:lang w:val="en-GB"/>
            </w:rPr>
          </w:rPrChange>
        </w:rPr>
        <w:t>S</w:t>
      </w:r>
      <w:r w:rsidR="00A21EA5" w:rsidRPr="00416814">
        <w:rPr>
          <w:rStyle w:val="oo1"/>
          <w:rFonts w:ascii="Times New Roman" w:hAnsi="Times New Roman"/>
          <w:i/>
          <w:sz w:val="20"/>
          <w:szCs w:val="20"/>
          <w:rPrChange w:id="3" w:author="sandra" w:date="2015-10-18T11:19:00Z">
            <w:rPr>
              <w:rStyle w:val="oo1"/>
              <w:rFonts w:ascii="Times New Roman" w:hAnsi="Times New Roman"/>
              <w:i/>
              <w:sz w:val="20"/>
              <w:szCs w:val="20"/>
              <w:lang w:val="en-GB"/>
            </w:rPr>
          </w:rPrChange>
        </w:rPr>
        <w:t>ociali</w:t>
      </w:r>
      <w:r w:rsidR="00A21EA5" w:rsidRPr="00416814">
        <w:rPr>
          <w:rStyle w:val="oo1"/>
          <w:rFonts w:ascii="Times New Roman" w:hAnsi="Times New Roman"/>
          <w:sz w:val="20"/>
          <w:szCs w:val="20"/>
          <w:rPrChange w:id="4" w:author="sandra" w:date="2015-10-18T11:19:00Z">
            <w:rPr>
              <w:rStyle w:val="oo1"/>
              <w:rFonts w:ascii="Times New Roman" w:hAnsi="Times New Roman"/>
              <w:sz w:val="20"/>
              <w:szCs w:val="20"/>
              <w:lang w:val="en-GB"/>
            </w:rPr>
          </w:rPrChange>
        </w:rPr>
        <w:t xml:space="preserve"> (</w:t>
      </w:r>
      <w:r w:rsidR="00A21EA5" w:rsidRPr="00416814">
        <w:rPr>
          <w:rPrChange w:id="5" w:author="sandra" w:date="2015-10-18T11:19:00Z">
            <w:rPr>
              <w:lang w:val="en-GB"/>
            </w:rPr>
          </w:rPrChange>
        </w:rPr>
        <w:t xml:space="preserve">Roma: Istituto della Enciclopedia Italiana, 1996), vol. </w:t>
      </w:r>
      <w:r w:rsidRPr="007B6BDD">
        <w:t>VI, 235-246.</w:t>
      </w:r>
    </w:p>
  </w:footnote>
  <w:footnote w:id="27">
    <w:p w:rsidR="00DF2756" w:rsidRDefault="00DF2756">
      <w:pPr>
        <w:pStyle w:val="FootnoteText"/>
        <w:jc w:val="both"/>
        <w:rPr>
          <w:lang w:val="en-GB"/>
        </w:rPr>
      </w:pPr>
      <w:r w:rsidRPr="00F725A2">
        <w:rPr>
          <w:rStyle w:val="FootnoteReference"/>
        </w:rPr>
        <w:footnoteRef/>
      </w:r>
      <w:r>
        <w:t xml:space="preserve"> For example </w:t>
      </w:r>
      <w:r w:rsidRPr="00521217">
        <w:t xml:space="preserve">G. Lanteri </w:t>
      </w:r>
      <w:r w:rsidRPr="00521217">
        <w:rPr>
          <w:i/>
        </w:rPr>
        <w:t>Della Economica</w:t>
      </w:r>
      <w:r w:rsidRPr="00521217">
        <w:t xml:space="preserve">.. </w:t>
      </w:r>
      <w:r>
        <w:t xml:space="preserve">(Venice: Valgrisi, 1560); </w:t>
      </w:r>
      <w:r w:rsidRPr="00F725A2">
        <w:t xml:space="preserve">G.B. Assandri, </w:t>
      </w:r>
      <w:r w:rsidRPr="009B3C19">
        <w:rPr>
          <w:i/>
        </w:rPr>
        <w:t>Della Econo</w:t>
      </w:r>
      <w:r>
        <w:rPr>
          <w:i/>
        </w:rPr>
        <w:t>mica overo Disciplina Domestica</w:t>
      </w:r>
      <w:r w:rsidRPr="009B3C19">
        <w:rPr>
          <w:i/>
        </w:rPr>
        <w:t xml:space="preserve"> </w:t>
      </w:r>
      <w:r>
        <w:t>(Cremona: B</w:t>
      </w:r>
      <w:r w:rsidRPr="00F725A2">
        <w:t>elpiero, 1616)</w:t>
      </w:r>
      <w:r>
        <w:t xml:space="preserve">. </w:t>
      </w:r>
      <w:r w:rsidRPr="009B3C19">
        <w:rPr>
          <w:lang w:val="en-GB"/>
        </w:rPr>
        <w:t>‘</w:t>
      </w:r>
      <w:proofErr w:type="spellStart"/>
      <w:r>
        <w:rPr>
          <w:lang w:val="en-GB"/>
        </w:rPr>
        <w:t>Masserizie</w:t>
      </w:r>
      <w:proofErr w:type="spellEnd"/>
      <w:r>
        <w:rPr>
          <w:lang w:val="en-GB"/>
        </w:rPr>
        <w:t>’, also a common expression for household goods, had more practical connotations.</w:t>
      </w:r>
    </w:p>
  </w:footnote>
  <w:footnote w:id="28">
    <w:p w:rsidR="00DF2756" w:rsidRDefault="00DF2756">
      <w:pPr>
        <w:pStyle w:val="FootnoteText"/>
        <w:jc w:val="both"/>
        <w:rPr>
          <w:lang w:val="en-GB"/>
        </w:rPr>
      </w:pPr>
      <w:r>
        <w:rPr>
          <w:rStyle w:val="FootnoteReference"/>
        </w:rPr>
        <w:footnoteRef/>
      </w:r>
      <w:r w:rsidRPr="00A66B0C">
        <w:rPr>
          <w:lang w:val="en-GB"/>
        </w:rPr>
        <w:t xml:space="preserve"> </w:t>
      </w:r>
      <w:r>
        <w:rPr>
          <w:lang w:val="en-GB"/>
        </w:rPr>
        <w:t>R. Goldthwaite,</w:t>
      </w:r>
      <w:r w:rsidRPr="006A1735">
        <w:rPr>
          <w:lang w:val="en-GB"/>
        </w:rPr>
        <w:t xml:space="preserve"> </w:t>
      </w:r>
      <w:r w:rsidRPr="00956613">
        <w:rPr>
          <w:i/>
          <w:lang w:val="en-GB" w:eastAsia="en-GB"/>
        </w:rPr>
        <w:t>Wealth and the Demand for Art in Italy, 1300–1600</w:t>
      </w:r>
      <w:r w:rsidRPr="00956613">
        <w:rPr>
          <w:lang w:val="en-GB"/>
        </w:rPr>
        <w:t xml:space="preserve"> (</w:t>
      </w:r>
      <w:r w:rsidRPr="00956613">
        <w:rPr>
          <w:lang w:val="en-GB" w:eastAsia="en-GB"/>
        </w:rPr>
        <w:t>Baltimore</w:t>
      </w:r>
      <w:r>
        <w:rPr>
          <w:lang w:val="en-GB" w:eastAsia="en-GB"/>
        </w:rPr>
        <w:t>: Johns Hopkins</w:t>
      </w:r>
      <w:r w:rsidRPr="00956613">
        <w:rPr>
          <w:lang w:val="en-GB" w:eastAsia="en-GB"/>
        </w:rPr>
        <w:t>,</w:t>
      </w:r>
      <w:r>
        <w:rPr>
          <w:lang w:val="en-GB" w:eastAsia="en-GB"/>
        </w:rPr>
        <w:t xml:space="preserve"> 1993).</w:t>
      </w:r>
    </w:p>
  </w:footnote>
  <w:footnote w:id="29">
    <w:p w:rsidR="00DF2756" w:rsidRDefault="00DF2756">
      <w:pPr>
        <w:pStyle w:val="Heading1"/>
        <w:spacing w:after="0" w:afterAutospacing="0"/>
        <w:jc w:val="both"/>
      </w:pPr>
      <w:r w:rsidRPr="00B04F2C">
        <w:rPr>
          <w:rStyle w:val="FootnoteReference"/>
          <w:b w:val="0"/>
          <w:sz w:val="20"/>
          <w:szCs w:val="20"/>
        </w:rPr>
        <w:footnoteRef/>
      </w:r>
      <w:r w:rsidRPr="00B04F2C">
        <w:rPr>
          <w:b w:val="0"/>
          <w:sz w:val="20"/>
          <w:szCs w:val="20"/>
        </w:rPr>
        <w:t xml:space="preserve"> Cited</w:t>
      </w:r>
      <w:r w:rsidRPr="009B3C19">
        <w:rPr>
          <w:b w:val="0"/>
          <w:sz w:val="20"/>
          <w:szCs w:val="20"/>
        </w:rPr>
        <w:t xml:space="preserve"> in J. R. </w:t>
      </w:r>
      <w:proofErr w:type="spellStart"/>
      <w:r w:rsidRPr="009B3C19">
        <w:rPr>
          <w:b w:val="0"/>
          <w:sz w:val="20"/>
          <w:szCs w:val="20"/>
        </w:rPr>
        <w:t>Lindow</w:t>
      </w:r>
      <w:proofErr w:type="spellEnd"/>
      <w:r w:rsidRPr="009B3C19">
        <w:rPr>
          <w:b w:val="0"/>
          <w:sz w:val="20"/>
          <w:szCs w:val="20"/>
        </w:rPr>
        <w:t xml:space="preserve">, </w:t>
      </w:r>
      <w:r w:rsidRPr="009B3C19">
        <w:rPr>
          <w:b w:val="0"/>
          <w:i/>
          <w:sz w:val="20"/>
          <w:szCs w:val="20"/>
        </w:rPr>
        <w:t xml:space="preserve">The Renaissance Palace in Florence. Magnificence and Splendour in Fifteenth-Century </w:t>
      </w:r>
      <w:proofErr w:type="gramStart"/>
      <w:r w:rsidRPr="009B3C19">
        <w:rPr>
          <w:b w:val="0"/>
          <w:i/>
          <w:sz w:val="20"/>
          <w:szCs w:val="20"/>
        </w:rPr>
        <w:t>Italy</w:t>
      </w:r>
      <w:r w:rsidRPr="009B3C19">
        <w:rPr>
          <w:b w:val="0"/>
          <w:sz w:val="20"/>
          <w:szCs w:val="20"/>
        </w:rPr>
        <w:t xml:space="preserve">  </w:t>
      </w:r>
      <w:r>
        <w:rPr>
          <w:b w:val="0"/>
          <w:sz w:val="20"/>
          <w:szCs w:val="20"/>
        </w:rPr>
        <w:t>(</w:t>
      </w:r>
      <w:proofErr w:type="gramEnd"/>
      <w:r>
        <w:rPr>
          <w:b w:val="0"/>
          <w:sz w:val="20"/>
          <w:szCs w:val="20"/>
        </w:rPr>
        <w:t xml:space="preserve">Aldershot: </w:t>
      </w:r>
      <w:proofErr w:type="spellStart"/>
      <w:r>
        <w:rPr>
          <w:b w:val="0"/>
          <w:sz w:val="20"/>
          <w:szCs w:val="20"/>
        </w:rPr>
        <w:t>Ashgate</w:t>
      </w:r>
      <w:proofErr w:type="spellEnd"/>
      <w:r>
        <w:rPr>
          <w:b w:val="0"/>
          <w:sz w:val="20"/>
          <w:szCs w:val="20"/>
        </w:rPr>
        <w:t xml:space="preserve">, 2007) </w:t>
      </w:r>
      <w:r w:rsidRPr="009B3C19">
        <w:rPr>
          <w:b w:val="0"/>
          <w:sz w:val="20"/>
          <w:szCs w:val="20"/>
        </w:rPr>
        <w:t>7, n.1, my translation.</w:t>
      </w:r>
    </w:p>
  </w:footnote>
  <w:footnote w:id="30">
    <w:p w:rsidR="00DF2756" w:rsidRDefault="00DF2756">
      <w:pPr>
        <w:pStyle w:val="FootnoteText"/>
        <w:jc w:val="both"/>
        <w:rPr>
          <w:lang w:val="en-GB"/>
        </w:rPr>
      </w:pPr>
      <w:r>
        <w:rPr>
          <w:rStyle w:val="FootnoteReference"/>
        </w:rPr>
        <w:footnoteRef/>
      </w:r>
      <w:r w:rsidRPr="009B3C19">
        <w:rPr>
          <w:lang w:val="en-GB"/>
        </w:rPr>
        <w:t xml:space="preserve"> A. A. </w:t>
      </w:r>
      <w:r>
        <w:rPr>
          <w:lang w:val="en-GB"/>
        </w:rPr>
        <w:t xml:space="preserve">Smith, ‘Revisiting the Renaissance Household in Theory and Practice’, </w:t>
      </w:r>
      <w:r w:rsidRPr="009B3C19">
        <w:rPr>
          <w:lang w:val="en-GB"/>
        </w:rPr>
        <w:t xml:space="preserve">in </w:t>
      </w:r>
      <w:r w:rsidRPr="009B3C19">
        <w:rPr>
          <w:rFonts w:eastAsia="Times New Roman"/>
          <w:color w:val="333333"/>
          <w:lang w:val="en-GB" w:eastAsia="en-GB"/>
        </w:rPr>
        <w:t>K</w:t>
      </w:r>
      <w:r w:rsidRPr="009B3C19">
        <w:rPr>
          <w:color w:val="333333"/>
          <w:lang w:val="en-GB"/>
        </w:rPr>
        <w:t>.</w:t>
      </w:r>
      <w:r w:rsidRPr="009B3C19">
        <w:rPr>
          <w:rFonts w:eastAsia="Times New Roman"/>
          <w:color w:val="333333"/>
          <w:lang w:val="en-GB" w:eastAsia="en-GB"/>
        </w:rPr>
        <w:t xml:space="preserve"> A. McIver</w:t>
      </w:r>
      <w:r w:rsidRPr="009B3C19">
        <w:rPr>
          <w:color w:val="333333"/>
          <w:lang w:val="en-GB"/>
        </w:rPr>
        <w:t xml:space="preserve"> ed.,</w:t>
      </w:r>
      <w:r w:rsidRPr="009B3C19">
        <w:rPr>
          <w:b/>
          <w:i/>
          <w:color w:val="333333"/>
          <w:lang w:val="en-GB"/>
        </w:rPr>
        <w:t xml:space="preserve"> </w:t>
      </w:r>
      <w:r w:rsidRPr="009B3C19">
        <w:rPr>
          <w:i/>
          <w:color w:val="333333"/>
          <w:lang w:val="en-GB"/>
        </w:rPr>
        <w:t>Wives, Widows, Mistresses, and Nuns in Early Modern Italy: Making the Invisible Visible through Art and Patronage</w:t>
      </w:r>
      <w:r w:rsidRPr="009B3C19">
        <w:rPr>
          <w:color w:val="333333"/>
          <w:lang w:val="en-GB"/>
        </w:rPr>
        <w:t xml:space="preserve"> (Aldershot</w:t>
      </w:r>
      <w:r w:rsidRPr="009B3C19">
        <w:rPr>
          <w:b/>
          <w:color w:val="333333"/>
          <w:lang w:val="en-GB"/>
        </w:rPr>
        <w:t xml:space="preserve">: </w:t>
      </w:r>
      <w:proofErr w:type="spellStart"/>
      <w:r w:rsidRPr="009B3C19">
        <w:rPr>
          <w:color w:val="333333"/>
          <w:lang w:val="en-GB"/>
        </w:rPr>
        <w:t>Ashgate</w:t>
      </w:r>
      <w:proofErr w:type="spellEnd"/>
      <w:r>
        <w:rPr>
          <w:color w:val="333333"/>
          <w:lang w:val="en-GB"/>
        </w:rPr>
        <w:t>,</w:t>
      </w:r>
      <w:r w:rsidRPr="009B3C19">
        <w:rPr>
          <w:color w:val="333333"/>
          <w:lang w:val="en-GB"/>
        </w:rPr>
        <w:t xml:space="preserve"> 2012)</w:t>
      </w:r>
      <w:r>
        <w:rPr>
          <w:color w:val="333333"/>
          <w:lang w:val="en-GB"/>
        </w:rPr>
        <w:t>, 141-57</w:t>
      </w:r>
      <w:r w:rsidRPr="009B3C19">
        <w:rPr>
          <w:color w:val="333333"/>
          <w:lang w:val="en-GB"/>
        </w:rPr>
        <w:t>.</w:t>
      </w:r>
    </w:p>
  </w:footnote>
  <w:footnote w:id="31">
    <w:p w:rsidR="00DF2756" w:rsidRDefault="00DF2756">
      <w:pPr>
        <w:pStyle w:val="FootnoteText"/>
        <w:jc w:val="both"/>
        <w:rPr>
          <w:lang w:val="en-GB"/>
        </w:rPr>
      </w:pPr>
      <w:r>
        <w:rPr>
          <w:rStyle w:val="FootnoteReference"/>
        </w:rPr>
        <w:footnoteRef/>
      </w:r>
      <w:r w:rsidRPr="009B3C19">
        <w:rPr>
          <w:lang w:val="en-GB"/>
        </w:rPr>
        <w:t xml:space="preserve"> </w:t>
      </w:r>
      <w:proofErr w:type="gramStart"/>
      <w:r>
        <w:rPr>
          <w:lang w:val="en-GB"/>
        </w:rPr>
        <w:t>On the growth of home sociability M. Ajmar-</w:t>
      </w:r>
      <w:proofErr w:type="spellStart"/>
      <w:r>
        <w:rPr>
          <w:lang w:val="en-GB"/>
        </w:rPr>
        <w:t>Wollheim</w:t>
      </w:r>
      <w:proofErr w:type="spellEnd"/>
      <w:r>
        <w:rPr>
          <w:lang w:val="en-GB"/>
        </w:rPr>
        <w:t>,</w:t>
      </w:r>
      <w:r w:rsidRPr="008A7C4D">
        <w:rPr>
          <w:lang w:val="en-GB"/>
        </w:rPr>
        <w:t xml:space="preserve"> ‘Sociability’</w:t>
      </w:r>
      <w:r>
        <w:rPr>
          <w:lang w:val="en-GB"/>
        </w:rPr>
        <w:t xml:space="preserve"> in </w:t>
      </w:r>
      <w:r w:rsidRPr="008A7C4D">
        <w:rPr>
          <w:lang w:val="en-GB"/>
        </w:rPr>
        <w:t>Ajmar-</w:t>
      </w:r>
      <w:proofErr w:type="spellStart"/>
      <w:r w:rsidRPr="008A7C4D">
        <w:rPr>
          <w:lang w:val="en-GB"/>
        </w:rPr>
        <w:t>Wollheim</w:t>
      </w:r>
      <w:proofErr w:type="spellEnd"/>
      <w:r>
        <w:rPr>
          <w:lang w:val="en-GB"/>
        </w:rPr>
        <w:t xml:space="preserve"> </w:t>
      </w:r>
      <w:r w:rsidRPr="008A7C4D">
        <w:rPr>
          <w:lang w:val="en-GB"/>
        </w:rPr>
        <w:t xml:space="preserve">and Dennis, </w:t>
      </w:r>
      <w:r>
        <w:rPr>
          <w:i/>
          <w:lang w:val="en-GB"/>
        </w:rPr>
        <w:t>At Home</w:t>
      </w:r>
      <w:r>
        <w:rPr>
          <w:lang w:val="en-GB"/>
        </w:rPr>
        <w:t>, 206-21.</w:t>
      </w:r>
      <w:proofErr w:type="gramEnd"/>
    </w:p>
  </w:footnote>
  <w:footnote w:id="32">
    <w:p w:rsidR="00DF2756" w:rsidRDefault="00DF2756">
      <w:pPr>
        <w:pStyle w:val="Heading1"/>
        <w:spacing w:before="0" w:beforeAutospacing="0" w:after="0" w:afterAutospacing="0"/>
        <w:jc w:val="both"/>
        <w:rPr>
          <w:b w:val="0"/>
          <w:color w:val="333333"/>
          <w:sz w:val="20"/>
          <w:szCs w:val="20"/>
          <w:lang w:val="it-IT"/>
        </w:rPr>
      </w:pPr>
      <w:r w:rsidRPr="00B04F2C">
        <w:rPr>
          <w:rStyle w:val="FootnoteReference"/>
          <w:b w:val="0"/>
          <w:sz w:val="20"/>
          <w:szCs w:val="20"/>
        </w:rPr>
        <w:footnoteRef/>
      </w:r>
      <w:r w:rsidRPr="00B04F2C">
        <w:rPr>
          <w:b w:val="0"/>
          <w:sz w:val="20"/>
          <w:szCs w:val="20"/>
          <w:lang w:val="it-IT"/>
        </w:rPr>
        <w:t xml:space="preserve"> E.</w:t>
      </w:r>
      <w:r w:rsidRPr="009B3C19">
        <w:rPr>
          <w:b w:val="0"/>
          <w:sz w:val="20"/>
          <w:szCs w:val="20"/>
          <w:lang w:val="it-IT"/>
        </w:rPr>
        <w:t xml:space="preserve"> </w:t>
      </w:r>
      <w:r w:rsidRPr="009B3C19">
        <w:rPr>
          <w:b w:val="0"/>
          <w:sz w:val="20"/>
          <w:szCs w:val="20"/>
          <w:lang w:val="it-IT"/>
        </w:rPr>
        <w:t>Speciale, ‘</w:t>
      </w:r>
      <w:r>
        <w:rPr>
          <w:b w:val="0"/>
          <w:sz w:val="20"/>
          <w:szCs w:val="20"/>
          <w:lang w:val="it-IT"/>
        </w:rPr>
        <w:t>Il Discorso del Gentiluomo’,</w:t>
      </w:r>
      <w:r w:rsidRPr="009B3C19">
        <w:rPr>
          <w:b w:val="0"/>
          <w:sz w:val="20"/>
          <w:szCs w:val="20"/>
          <w:lang w:val="it-IT"/>
        </w:rPr>
        <w:t xml:space="preserve"> in G. Patrizi ed</w:t>
      </w:r>
      <w:r w:rsidRPr="009B3C19">
        <w:rPr>
          <w:b w:val="0"/>
          <w:i/>
          <w:sz w:val="20"/>
          <w:szCs w:val="20"/>
          <w:lang w:val="it-IT"/>
        </w:rPr>
        <w:t>.,</w:t>
      </w:r>
      <w:r>
        <w:rPr>
          <w:b w:val="0"/>
          <w:sz w:val="20"/>
          <w:szCs w:val="20"/>
          <w:lang w:val="it-IT"/>
        </w:rPr>
        <w:t xml:space="preserve"> </w:t>
      </w:r>
      <w:r>
        <w:rPr>
          <w:b w:val="0"/>
          <w:i/>
          <w:sz w:val="20"/>
          <w:szCs w:val="20"/>
          <w:lang w:val="it-IT"/>
        </w:rPr>
        <w:t>Stefano Guazzo e la Civil</w:t>
      </w:r>
      <w:r w:rsidRPr="009B3C19">
        <w:rPr>
          <w:b w:val="0"/>
          <w:i/>
          <w:sz w:val="20"/>
          <w:szCs w:val="20"/>
          <w:lang w:val="it-IT"/>
        </w:rPr>
        <w:t xml:space="preserve"> Conversazione</w:t>
      </w:r>
      <w:r>
        <w:rPr>
          <w:b w:val="0"/>
          <w:sz w:val="20"/>
          <w:szCs w:val="20"/>
          <w:lang w:val="it-IT"/>
        </w:rPr>
        <w:t xml:space="preserve"> (Rome: Bulzoni,</w:t>
      </w:r>
      <w:r w:rsidRPr="009B3C19">
        <w:rPr>
          <w:b w:val="0"/>
          <w:sz w:val="20"/>
          <w:szCs w:val="20"/>
          <w:lang w:val="it-IT"/>
        </w:rPr>
        <w:t xml:space="preserve"> </w:t>
      </w:r>
      <w:r>
        <w:rPr>
          <w:b w:val="0"/>
          <w:sz w:val="20"/>
          <w:szCs w:val="20"/>
          <w:lang w:val="it-IT"/>
        </w:rPr>
        <w:t xml:space="preserve">1990). </w:t>
      </w:r>
    </w:p>
    <w:p w:rsidR="00DF2756" w:rsidRDefault="00DF2756">
      <w:pPr>
        <w:pStyle w:val="FootnoteText"/>
        <w:jc w:val="both"/>
      </w:pPr>
      <w:r w:rsidRPr="009B3C19">
        <w:rPr>
          <w:rFonts w:eastAsia="Times New Roman"/>
          <w:color w:val="333333"/>
          <w:lang w:eastAsia="en-GB"/>
        </w:rPr>
        <w:t xml:space="preserve">  </w:t>
      </w:r>
    </w:p>
  </w:footnote>
  <w:footnote w:id="33">
    <w:p w:rsidR="00DF2756" w:rsidRPr="008501F5" w:rsidRDefault="00DF2756">
      <w:pPr>
        <w:pStyle w:val="FootnoteText"/>
        <w:jc w:val="both"/>
        <w:rPr>
          <w:highlight w:val="yellow"/>
          <w:lang w:val="en-GB"/>
        </w:rPr>
      </w:pPr>
      <w:r w:rsidRPr="007B6BDD">
        <w:rPr>
          <w:rStyle w:val="FootnoteReference"/>
        </w:rPr>
        <w:footnoteRef/>
      </w:r>
      <w:r w:rsidRPr="007B6BDD">
        <w:t xml:space="preserve"> </w:t>
      </w:r>
      <w:r>
        <w:t xml:space="preserve">T. </w:t>
      </w:r>
      <w:r w:rsidRPr="007B6BDD">
        <w:t xml:space="preserve">Tasso, </w:t>
      </w:r>
      <w:r w:rsidRPr="007B6BDD">
        <w:rPr>
          <w:i/>
        </w:rPr>
        <w:t xml:space="preserve">Il </w:t>
      </w:r>
      <w:r>
        <w:rPr>
          <w:i/>
        </w:rPr>
        <w:t>P</w:t>
      </w:r>
      <w:r w:rsidRPr="007B6BDD">
        <w:rPr>
          <w:i/>
        </w:rPr>
        <w:t xml:space="preserve">adre di </w:t>
      </w:r>
      <w:r>
        <w:rPr>
          <w:i/>
        </w:rPr>
        <w:t>F</w:t>
      </w:r>
      <w:r w:rsidRPr="007B6BDD">
        <w:rPr>
          <w:i/>
        </w:rPr>
        <w:t xml:space="preserve">amiglia </w:t>
      </w:r>
      <w:r w:rsidRPr="007B6BDD">
        <w:t>(Venice: Aldo Manuzio</w:t>
      </w:r>
      <w:r>
        <w:t>,</w:t>
      </w:r>
      <w:r w:rsidRPr="007B6BDD">
        <w:t xml:space="preserve"> 1583), 75-6; </w:t>
      </w:r>
      <w:r w:rsidRPr="007B6BDD">
        <w:rPr>
          <w:color w:val="000000" w:themeColor="text1"/>
        </w:rPr>
        <w:t xml:space="preserve">Assandri, </w:t>
      </w:r>
      <w:r w:rsidRPr="007B6BDD">
        <w:rPr>
          <w:i/>
          <w:color w:val="000000" w:themeColor="text1"/>
        </w:rPr>
        <w:t>Della Economica</w:t>
      </w:r>
      <w:r w:rsidRPr="007B6BDD">
        <w:rPr>
          <w:color w:val="000000" w:themeColor="text1"/>
        </w:rPr>
        <w:t xml:space="preserve">, </w:t>
      </w:r>
      <w:r>
        <w:rPr>
          <w:color w:val="000000" w:themeColor="text1"/>
        </w:rPr>
        <w:t>3</w:t>
      </w:r>
      <w:r w:rsidRPr="007B6BDD">
        <w:rPr>
          <w:color w:val="000000" w:themeColor="text1"/>
        </w:rPr>
        <w:t>0</w:t>
      </w:r>
      <w:r>
        <w:rPr>
          <w:color w:val="000000" w:themeColor="text1"/>
        </w:rPr>
        <w:t xml:space="preserve">7. </w:t>
      </w:r>
      <w:r w:rsidR="00A21EA5" w:rsidRPr="00A21EA5">
        <w:rPr>
          <w:color w:val="000000" w:themeColor="text1"/>
          <w:lang w:val="en-GB"/>
        </w:rPr>
        <w:t xml:space="preserve">This author devoted three full chapters to health preservation.  </w:t>
      </w:r>
    </w:p>
  </w:footnote>
  <w:footnote w:id="34">
    <w:p w:rsidR="00DF2756" w:rsidRPr="00D9518D" w:rsidRDefault="00DF2756">
      <w:pPr>
        <w:pStyle w:val="FootnoteText"/>
        <w:jc w:val="both"/>
        <w:rPr>
          <w:lang w:val="en-GB"/>
        </w:rPr>
      </w:pPr>
      <w:r w:rsidRPr="007B6BDD">
        <w:rPr>
          <w:rStyle w:val="FootnoteReference"/>
        </w:rPr>
        <w:footnoteRef/>
      </w:r>
      <w:r w:rsidR="00A21EA5" w:rsidRPr="00A21EA5">
        <w:rPr>
          <w:lang w:val="en-GB"/>
        </w:rPr>
        <w:t xml:space="preserve"> </w:t>
      </w:r>
      <w:r w:rsidR="00A21EA5" w:rsidRPr="00A21EA5">
        <w:rPr>
          <w:color w:val="000000" w:themeColor="text1"/>
          <w:lang w:val="en-GB"/>
        </w:rPr>
        <w:t xml:space="preserve">B. </w:t>
      </w:r>
      <w:proofErr w:type="spellStart"/>
      <w:r w:rsidR="00A21EA5" w:rsidRPr="00A21EA5">
        <w:rPr>
          <w:color w:val="000000" w:themeColor="text1"/>
          <w:lang w:val="en-GB"/>
        </w:rPr>
        <w:t>Frigerio</w:t>
      </w:r>
      <w:proofErr w:type="spellEnd"/>
      <w:r w:rsidR="00A21EA5" w:rsidRPr="00A21EA5">
        <w:rPr>
          <w:color w:val="000000" w:themeColor="text1"/>
          <w:lang w:val="en-GB"/>
        </w:rPr>
        <w:t xml:space="preserve">, </w:t>
      </w:r>
      <w:r w:rsidR="00A21EA5" w:rsidRPr="00A21EA5">
        <w:rPr>
          <w:i/>
          <w:iCs/>
          <w:lang w:val="en-GB"/>
        </w:rPr>
        <w:t xml:space="preserve">Arte </w:t>
      </w:r>
      <w:proofErr w:type="spellStart"/>
      <w:r w:rsidR="00A21EA5" w:rsidRPr="00A21EA5">
        <w:rPr>
          <w:i/>
          <w:iCs/>
          <w:lang w:val="en-GB"/>
        </w:rPr>
        <w:t>d’</w:t>
      </w:r>
      <w:r w:rsidR="00ED056C" w:rsidRPr="00D9518D">
        <w:rPr>
          <w:i/>
          <w:iCs/>
          <w:lang w:val="en-GB"/>
        </w:rPr>
        <w:t>A</w:t>
      </w:r>
      <w:r w:rsidR="00A21EA5" w:rsidRPr="00A21EA5">
        <w:rPr>
          <w:i/>
          <w:iCs/>
          <w:lang w:val="en-GB"/>
        </w:rPr>
        <w:t>cquistar</w:t>
      </w:r>
      <w:proofErr w:type="spellEnd"/>
      <w:r w:rsidR="00A21EA5" w:rsidRPr="00A21EA5">
        <w:rPr>
          <w:i/>
          <w:iCs/>
          <w:lang w:val="en-GB"/>
        </w:rPr>
        <w:t xml:space="preserve"> e </w:t>
      </w:r>
      <w:proofErr w:type="spellStart"/>
      <w:r w:rsidR="00A21EA5" w:rsidRPr="00A21EA5">
        <w:rPr>
          <w:i/>
          <w:iCs/>
          <w:lang w:val="en-GB"/>
        </w:rPr>
        <w:t>Conservar</w:t>
      </w:r>
      <w:proofErr w:type="spellEnd"/>
      <w:r w:rsidR="00A21EA5" w:rsidRPr="00A21EA5">
        <w:rPr>
          <w:i/>
          <w:iCs/>
          <w:lang w:val="en-GB"/>
        </w:rPr>
        <w:t xml:space="preserve"> la </w:t>
      </w:r>
      <w:proofErr w:type="spellStart"/>
      <w:r w:rsidR="00A21EA5" w:rsidRPr="00A21EA5">
        <w:rPr>
          <w:i/>
          <w:iCs/>
          <w:lang w:val="en-GB"/>
        </w:rPr>
        <w:t>Robba</w:t>
      </w:r>
      <w:proofErr w:type="spellEnd"/>
      <w:r w:rsidR="00A21EA5" w:rsidRPr="00A21EA5">
        <w:rPr>
          <w:i/>
          <w:iCs/>
          <w:lang w:val="en-GB"/>
        </w:rPr>
        <w:t xml:space="preserve"> </w:t>
      </w:r>
      <w:r w:rsidR="00A21EA5" w:rsidRPr="00A21EA5">
        <w:rPr>
          <w:iCs/>
          <w:lang w:val="en-GB"/>
        </w:rPr>
        <w:t xml:space="preserve">(Rome: </w:t>
      </w:r>
      <w:proofErr w:type="spellStart"/>
      <w:r w:rsidR="00A21EA5" w:rsidRPr="00A21EA5">
        <w:rPr>
          <w:iCs/>
          <w:lang w:val="en-GB"/>
        </w:rPr>
        <w:t>Grignani</w:t>
      </w:r>
      <w:proofErr w:type="spellEnd"/>
      <w:r w:rsidR="00A21EA5" w:rsidRPr="00A21EA5">
        <w:rPr>
          <w:iCs/>
          <w:lang w:val="en-GB"/>
        </w:rPr>
        <w:t>, 1650, first ed. 1629)</w:t>
      </w:r>
      <w:r w:rsidR="00ED056C" w:rsidRPr="00D9518D">
        <w:rPr>
          <w:iCs/>
          <w:lang w:val="en-GB"/>
        </w:rPr>
        <w:t>,</w:t>
      </w:r>
      <w:r w:rsidR="00A21EA5" w:rsidRPr="00A21EA5">
        <w:rPr>
          <w:color w:val="000000" w:themeColor="text1"/>
          <w:lang w:val="en-GB"/>
        </w:rPr>
        <w:t xml:space="preserve"> 122-23.</w:t>
      </w:r>
    </w:p>
  </w:footnote>
  <w:footnote w:id="35">
    <w:p w:rsidR="00DF2756" w:rsidRDefault="00DF2756">
      <w:pPr>
        <w:pStyle w:val="FootnoteText"/>
        <w:jc w:val="both"/>
        <w:rPr>
          <w:highlight w:val="yellow"/>
        </w:rPr>
      </w:pPr>
      <w:r w:rsidRPr="007B6BDD">
        <w:rPr>
          <w:rStyle w:val="FootnoteReference"/>
        </w:rPr>
        <w:footnoteRef/>
      </w:r>
      <w:r w:rsidRPr="007B6BDD">
        <w:t xml:space="preserve"> </w:t>
      </w:r>
      <w:r w:rsidRPr="007B6BDD">
        <w:t>V</w:t>
      </w:r>
      <w:r>
        <w:t>.</w:t>
      </w:r>
      <w:r>
        <w:rPr>
          <w:iCs/>
          <w:lang w:eastAsia="en-GB"/>
        </w:rPr>
        <w:t xml:space="preserve">Tanara, </w:t>
      </w:r>
      <w:r w:rsidRPr="00D805E3">
        <w:rPr>
          <w:i/>
          <w:lang w:eastAsia="en-GB"/>
        </w:rPr>
        <w:t>L’</w:t>
      </w:r>
      <w:r>
        <w:rPr>
          <w:i/>
          <w:lang w:eastAsia="en-GB"/>
        </w:rPr>
        <w:t>E</w:t>
      </w:r>
      <w:r w:rsidRPr="00D805E3">
        <w:rPr>
          <w:i/>
          <w:lang w:eastAsia="en-GB"/>
        </w:rPr>
        <w:t xml:space="preserve">conomia del </w:t>
      </w:r>
      <w:r>
        <w:rPr>
          <w:i/>
          <w:lang w:eastAsia="en-GB"/>
        </w:rPr>
        <w:t>C</w:t>
      </w:r>
      <w:r w:rsidRPr="00D805E3">
        <w:rPr>
          <w:i/>
          <w:lang w:eastAsia="en-GB"/>
        </w:rPr>
        <w:t xml:space="preserve">ittadino in </w:t>
      </w:r>
      <w:r>
        <w:rPr>
          <w:i/>
          <w:lang w:eastAsia="en-GB"/>
        </w:rPr>
        <w:t>V</w:t>
      </w:r>
      <w:r w:rsidRPr="00D805E3">
        <w:rPr>
          <w:i/>
          <w:lang w:eastAsia="en-GB"/>
        </w:rPr>
        <w:t>illa</w:t>
      </w:r>
      <w:r w:rsidRPr="00D805E3">
        <w:t xml:space="preserve"> (</w:t>
      </w:r>
      <w:r w:rsidRPr="00D805E3">
        <w:rPr>
          <w:iCs/>
          <w:lang w:eastAsia="en-GB"/>
        </w:rPr>
        <w:t>Venice</w:t>
      </w:r>
      <w:r w:rsidRPr="00D805E3">
        <w:t xml:space="preserve">: </w:t>
      </w:r>
      <w:r w:rsidRPr="00D805E3">
        <w:rPr>
          <w:iCs/>
          <w:lang w:eastAsia="en-GB"/>
        </w:rPr>
        <w:t>Bertani</w:t>
      </w:r>
      <w:r w:rsidRPr="00D805E3">
        <w:t xml:space="preserve">, </w:t>
      </w:r>
      <w:r w:rsidRPr="00D805E3">
        <w:rPr>
          <w:iCs/>
          <w:lang w:eastAsia="en-GB"/>
        </w:rPr>
        <w:t>1661</w:t>
      </w:r>
      <w:r>
        <w:rPr>
          <w:iCs/>
          <w:lang w:eastAsia="en-GB"/>
        </w:rPr>
        <w:t xml:space="preserve">, </w:t>
      </w:r>
      <w:r>
        <w:t>first ed.1644)</w:t>
      </w:r>
      <w:r w:rsidRPr="00D805E3">
        <w:t xml:space="preserve"> 6</w:t>
      </w:r>
      <w:r w:rsidRPr="00D805E3">
        <w:rPr>
          <w:iCs/>
          <w:lang w:eastAsia="en-GB"/>
        </w:rPr>
        <w:t>.</w:t>
      </w:r>
    </w:p>
  </w:footnote>
  <w:footnote w:id="36">
    <w:p w:rsidR="00DF2756" w:rsidRDefault="00DF2756">
      <w:pPr>
        <w:pStyle w:val="FootnoteText"/>
        <w:jc w:val="both"/>
      </w:pPr>
      <w:r w:rsidRPr="00A22E25">
        <w:rPr>
          <w:rStyle w:val="FootnoteReference"/>
        </w:rPr>
        <w:footnoteRef/>
      </w:r>
      <w:r w:rsidRPr="00A22E25">
        <w:rPr>
          <w:color w:val="000000" w:themeColor="text1"/>
        </w:rPr>
        <w:t xml:space="preserve"> </w:t>
      </w:r>
      <w:r w:rsidRPr="00A22E25">
        <w:rPr>
          <w:color w:val="000000" w:themeColor="text1"/>
        </w:rPr>
        <w:t xml:space="preserve">Assandri, </w:t>
      </w:r>
      <w:r w:rsidRPr="00A22E25">
        <w:rPr>
          <w:i/>
          <w:color w:val="000000" w:themeColor="text1"/>
        </w:rPr>
        <w:t xml:space="preserve">Della </w:t>
      </w:r>
      <w:r>
        <w:rPr>
          <w:i/>
          <w:color w:val="000000" w:themeColor="text1"/>
        </w:rPr>
        <w:t>E</w:t>
      </w:r>
      <w:r w:rsidRPr="00A22E25">
        <w:rPr>
          <w:i/>
          <w:color w:val="000000" w:themeColor="text1"/>
        </w:rPr>
        <w:t>conomica</w:t>
      </w:r>
      <w:r w:rsidRPr="00A22E25">
        <w:rPr>
          <w:color w:val="000000" w:themeColor="text1"/>
        </w:rPr>
        <w:t>, 308-10.</w:t>
      </w:r>
      <w:r w:rsidRPr="00A22E25">
        <w:rPr>
          <w:i/>
          <w:color w:val="000000" w:themeColor="text1"/>
        </w:rPr>
        <w:t xml:space="preserve"> </w:t>
      </w:r>
    </w:p>
  </w:footnote>
  <w:footnote w:id="37">
    <w:p w:rsidR="00DF2756" w:rsidRDefault="00DF2756">
      <w:pPr>
        <w:pStyle w:val="FootnoteText"/>
        <w:jc w:val="both"/>
      </w:pPr>
      <w:r w:rsidRPr="00A22E25">
        <w:rPr>
          <w:rStyle w:val="FootnoteReference"/>
        </w:rPr>
        <w:footnoteRef/>
      </w:r>
      <w:r w:rsidRPr="00A22E25">
        <w:t xml:space="preserve"> </w:t>
      </w:r>
      <w:r w:rsidRPr="00A22E25">
        <w:rPr>
          <w:i/>
        </w:rPr>
        <w:t>Ibid.</w:t>
      </w:r>
      <w:r w:rsidRPr="00A22E25">
        <w:t>, 308;</w:t>
      </w:r>
      <w:r w:rsidRPr="00A22E25">
        <w:rPr>
          <w:i/>
        </w:rPr>
        <w:t xml:space="preserve"> </w:t>
      </w:r>
      <w:r w:rsidRPr="00A22E25">
        <w:t xml:space="preserve">Frigerio, </w:t>
      </w:r>
      <w:r w:rsidRPr="00A22E25">
        <w:rPr>
          <w:i/>
          <w:iCs/>
        </w:rPr>
        <w:t>Arte</w:t>
      </w:r>
      <w:r w:rsidRPr="00A22E25">
        <w:rPr>
          <w:iCs/>
        </w:rPr>
        <w:t>,</w:t>
      </w:r>
      <w:r w:rsidRPr="00A22E25">
        <w:t xml:space="preserve"> </w:t>
      </w:r>
      <w:r w:rsidRPr="00A22E25">
        <w:t xml:space="preserve">122-23; Tasso, </w:t>
      </w:r>
      <w:r w:rsidRPr="00A22E25">
        <w:rPr>
          <w:i/>
        </w:rPr>
        <w:t xml:space="preserve">Il </w:t>
      </w:r>
      <w:r>
        <w:rPr>
          <w:i/>
        </w:rPr>
        <w:t>P</w:t>
      </w:r>
      <w:r w:rsidRPr="00A22E25">
        <w:rPr>
          <w:i/>
        </w:rPr>
        <w:t>adre</w:t>
      </w:r>
      <w:r w:rsidRPr="00A22E25">
        <w:t>,</w:t>
      </w:r>
      <w:r w:rsidRPr="00A22E25">
        <w:rPr>
          <w:i/>
        </w:rPr>
        <w:t xml:space="preserve"> </w:t>
      </w:r>
      <w:r w:rsidRPr="00A22E25">
        <w:t>76.</w:t>
      </w:r>
    </w:p>
  </w:footnote>
  <w:footnote w:id="38">
    <w:p w:rsidR="00DF2756" w:rsidRDefault="00DF2756">
      <w:pPr>
        <w:pStyle w:val="FootnoteText"/>
        <w:jc w:val="both"/>
      </w:pPr>
      <w:r w:rsidRPr="007B6BDD">
        <w:rPr>
          <w:rStyle w:val="FootnoteReference"/>
        </w:rPr>
        <w:footnoteRef/>
      </w:r>
      <w:r w:rsidRPr="007B6BDD">
        <w:t xml:space="preserve"> </w:t>
      </w:r>
      <w:r w:rsidRPr="007B6BDD">
        <w:rPr>
          <w:color w:val="000000" w:themeColor="text1"/>
        </w:rPr>
        <w:t xml:space="preserve">P. </w:t>
      </w:r>
      <w:r w:rsidRPr="007B6BDD">
        <w:rPr>
          <w:color w:val="000000" w:themeColor="text1"/>
        </w:rPr>
        <w:t xml:space="preserve">Caggio, </w:t>
      </w:r>
      <w:r w:rsidRPr="007B6BDD">
        <w:rPr>
          <w:i/>
          <w:color w:val="000000" w:themeColor="text1"/>
        </w:rPr>
        <w:t>Iconomica</w:t>
      </w:r>
      <w:r w:rsidRPr="007B6BDD">
        <w:rPr>
          <w:color w:val="000000" w:themeColor="text1"/>
        </w:rPr>
        <w:t xml:space="preserve"> (</w:t>
      </w:r>
      <w:r w:rsidRPr="007B6BDD">
        <w:t xml:space="preserve">Venice: </w:t>
      </w:r>
      <w:r w:rsidRPr="007B6BDD">
        <w:rPr>
          <w:color w:val="000000"/>
        </w:rPr>
        <w:t>Andrea Arrivabene</w:t>
      </w:r>
      <w:r>
        <w:rPr>
          <w:color w:val="000000"/>
        </w:rPr>
        <w:t>,</w:t>
      </w:r>
      <w:r w:rsidRPr="007B6BDD">
        <w:t xml:space="preserve"> 1552)</w:t>
      </w:r>
      <w:r>
        <w:t>,</w:t>
      </w:r>
      <w:r w:rsidRPr="007B6BDD">
        <w:t xml:space="preserve"> </w:t>
      </w:r>
      <w:r>
        <w:t>57-8</w:t>
      </w:r>
      <w:r>
        <w:rPr>
          <w:color w:val="000000" w:themeColor="text1"/>
        </w:rPr>
        <w:t xml:space="preserve">; </w:t>
      </w:r>
      <w:r w:rsidRPr="007B6BDD">
        <w:t xml:space="preserve">Assandri, </w:t>
      </w:r>
      <w:r w:rsidRPr="007B6BDD">
        <w:rPr>
          <w:i/>
          <w:color w:val="000000" w:themeColor="text1"/>
        </w:rPr>
        <w:t xml:space="preserve">Della </w:t>
      </w:r>
      <w:r>
        <w:rPr>
          <w:i/>
          <w:color w:val="000000" w:themeColor="text1"/>
        </w:rPr>
        <w:t>E</w:t>
      </w:r>
      <w:r w:rsidRPr="007B6BDD">
        <w:rPr>
          <w:i/>
          <w:color w:val="000000" w:themeColor="text1"/>
        </w:rPr>
        <w:t>conomica</w:t>
      </w:r>
      <w:r w:rsidRPr="007B6BDD">
        <w:rPr>
          <w:color w:val="000000" w:themeColor="text1"/>
        </w:rPr>
        <w:t xml:space="preserve">, </w:t>
      </w:r>
      <w:r w:rsidRPr="007B6BDD">
        <w:t xml:space="preserve">313-14. </w:t>
      </w:r>
    </w:p>
  </w:footnote>
  <w:footnote w:id="39">
    <w:p w:rsidR="00DF2756" w:rsidRDefault="00DF2756">
      <w:pPr>
        <w:pStyle w:val="FootnoteText"/>
        <w:jc w:val="both"/>
        <w:rPr>
          <w:highlight w:val="yellow"/>
        </w:rPr>
      </w:pPr>
      <w:r w:rsidRPr="007B6BDD">
        <w:rPr>
          <w:rStyle w:val="FootnoteReference"/>
        </w:rPr>
        <w:footnoteRef/>
      </w:r>
      <w:r w:rsidRPr="007B6BDD">
        <w:t xml:space="preserve"> </w:t>
      </w:r>
      <w:r w:rsidRPr="007B6BDD">
        <w:rPr>
          <w:i/>
        </w:rPr>
        <w:t>Ibid.</w:t>
      </w:r>
      <w:r w:rsidRPr="007B6BDD">
        <w:t xml:space="preserve">, </w:t>
      </w:r>
      <w:r w:rsidRPr="007B6BDD">
        <w:rPr>
          <w:color w:val="000000" w:themeColor="text1"/>
        </w:rPr>
        <w:t xml:space="preserve">318, </w:t>
      </w:r>
      <w:r w:rsidRPr="007B6BDD">
        <w:rPr>
          <w:color w:val="000000" w:themeColor="text1"/>
        </w:rPr>
        <w:t>283; Lanteri,</w:t>
      </w:r>
      <w:r w:rsidRPr="007B6BDD">
        <w:rPr>
          <w:i/>
          <w:color w:val="000000" w:themeColor="text1"/>
        </w:rPr>
        <w:t xml:space="preserve"> Della </w:t>
      </w:r>
      <w:r>
        <w:rPr>
          <w:i/>
          <w:color w:val="000000" w:themeColor="text1"/>
        </w:rPr>
        <w:t>E</w:t>
      </w:r>
      <w:r w:rsidRPr="007B6BDD">
        <w:rPr>
          <w:i/>
          <w:color w:val="000000" w:themeColor="text1"/>
        </w:rPr>
        <w:t>conomica</w:t>
      </w:r>
      <w:r w:rsidRPr="007B6BDD">
        <w:rPr>
          <w:color w:val="000000" w:themeColor="text1"/>
        </w:rPr>
        <w:t>, 19, 22, 35, 37-</w:t>
      </w:r>
      <w:r>
        <w:rPr>
          <w:color w:val="000000" w:themeColor="text1"/>
        </w:rPr>
        <w:t>9</w:t>
      </w:r>
      <w:r w:rsidRPr="007B6BDD">
        <w:rPr>
          <w:color w:val="000000" w:themeColor="text1"/>
        </w:rPr>
        <w:t>.</w:t>
      </w:r>
    </w:p>
  </w:footnote>
  <w:footnote w:id="40">
    <w:p w:rsidR="00DF2756" w:rsidRDefault="00DF2756">
      <w:pPr>
        <w:pStyle w:val="FootnoteText"/>
        <w:jc w:val="both"/>
      </w:pPr>
      <w:r w:rsidRPr="007B6BDD">
        <w:rPr>
          <w:rStyle w:val="FootnoteReference"/>
        </w:rPr>
        <w:footnoteRef/>
      </w:r>
      <w:r w:rsidRPr="007B6BDD">
        <w:t xml:space="preserve"> </w:t>
      </w:r>
      <w:r w:rsidRPr="007B6BDD">
        <w:rPr>
          <w:color w:val="000000" w:themeColor="text1"/>
        </w:rPr>
        <w:t xml:space="preserve">Tasso, </w:t>
      </w:r>
      <w:r w:rsidRPr="007B6BDD">
        <w:rPr>
          <w:i/>
        </w:rPr>
        <w:t xml:space="preserve">Il </w:t>
      </w:r>
      <w:r>
        <w:rPr>
          <w:i/>
        </w:rPr>
        <w:t>P</w:t>
      </w:r>
      <w:r w:rsidRPr="007B6BDD">
        <w:rPr>
          <w:i/>
        </w:rPr>
        <w:t>adre</w:t>
      </w:r>
      <w:r w:rsidRPr="007B6BDD">
        <w:t>, 53.</w:t>
      </w:r>
    </w:p>
  </w:footnote>
  <w:footnote w:id="41">
    <w:p w:rsidR="00DF2756" w:rsidRDefault="00DF2756">
      <w:pPr>
        <w:pStyle w:val="FootnoteText"/>
        <w:jc w:val="both"/>
        <w:rPr>
          <w:i/>
          <w:lang w:val="en-GB"/>
        </w:rPr>
      </w:pPr>
      <w:r w:rsidRPr="00641910">
        <w:rPr>
          <w:rStyle w:val="FootnoteReference"/>
        </w:rPr>
        <w:footnoteRef/>
      </w:r>
      <w:r w:rsidRPr="00641910">
        <w:rPr>
          <w:lang w:val="en-GB"/>
        </w:rPr>
        <w:t xml:space="preserve"> The influence of these two texts is discussed in Cavallo and Storey, </w:t>
      </w:r>
      <w:r w:rsidRPr="00641910">
        <w:rPr>
          <w:i/>
          <w:lang w:val="en-GB"/>
        </w:rPr>
        <w:t>Healthy Living</w:t>
      </w:r>
      <w:r w:rsidRPr="00641910">
        <w:rPr>
          <w:lang w:val="en-GB"/>
        </w:rPr>
        <w:t>, 78-83.</w:t>
      </w:r>
      <w:r>
        <w:rPr>
          <w:i/>
          <w:lang w:val="en-GB"/>
        </w:rPr>
        <w:t xml:space="preserve"> </w:t>
      </w:r>
    </w:p>
  </w:footnote>
  <w:footnote w:id="42">
    <w:p w:rsidR="00DF2756" w:rsidRDefault="00DF2756">
      <w:pPr>
        <w:pStyle w:val="FootnoteText"/>
        <w:jc w:val="both"/>
        <w:rPr>
          <w:lang w:val="en-GB"/>
        </w:rPr>
      </w:pPr>
      <w:r>
        <w:rPr>
          <w:rStyle w:val="FootnoteReference"/>
        </w:rPr>
        <w:footnoteRef/>
      </w:r>
      <w:r>
        <w:rPr>
          <w:lang w:val="en-GB"/>
        </w:rPr>
        <w:t xml:space="preserve"> </w:t>
      </w:r>
      <w:r w:rsidRPr="007B6BDD">
        <w:rPr>
          <w:lang w:val="en-GB"/>
        </w:rPr>
        <w:t>C. Martin,</w:t>
      </w:r>
      <w:r>
        <w:rPr>
          <w:lang w:val="en-GB"/>
        </w:rPr>
        <w:t xml:space="preserve"> </w:t>
      </w:r>
      <w:r w:rsidRPr="007B6BDD">
        <w:rPr>
          <w:i/>
          <w:lang w:val="en-GB"/>
        </w:rPr>
        <w:t xml:space="preserve">Renaissance Meteorology: </w:t>
      </w:r>
      <w:proofErr w:type="spellStart"/>
      <w:r w:rsidRPr="007B6BDD">
        <w:rPr>
          <w:i/>
          <w:lang w:val="en-GB"/>
        </w:rPr>
        <w:t>Pomponazzi</w:t>
      </w:r>
      <w:proofErr w:type="spellEnd"/>
      <w:r w:rsidRPr="007B6BDD">
        <w:rPr>
          <w:i/>
          <w:lang w:val="en-GB"/>
        </w:rPr>
        <w:t xml:space="preserve"> to Descartes</w:t>
      </w:r>
      <w:r w:rsidRPr="007B6BDD">
        <w:rPr>
          <w:lang w:val="en-GB"/>
        </w:rPr>
        <w:t xml:space="preserve"> (Baltimore: Johns Hopkins</w:t>
      </w:r>
      <w:r>
        <w:rPr>
          <w:lang w:val="en-GB"/>
        </w:rPr>
        <w:t>,</w:t>
      </w:r>
      <w:r w:rsidRPr="007B6BDD">
        <w:rPr>
          <w:lang w:val="en-GB"/>
        </w:rPr>
        <w:t xml:space="preserve"> 2011), 3.</w:t>
      </w:r>
    </w:p>
  </w:footnote>
  <w:footnote w:id="43">
    <w:p w:rsidR="00DF2756" w:rsidRDefault="00DF2756">
      <w:pPr>
        <w:pStyle w:val="FootnoteText"/>
        <w:jc w:val="both"/>
        <w:rPr>
          <w:lang w:val="en-GB"/>
        </w:rPr>
      </w:pPr>
      <w:r>
        <w:rPr>
          <w:rStyle w:val="FootnoteReference"/>
        </w:rPr>
        <w:footnoteRef/>
      </w:r>
      <w:r w:rsidRPr="006B1644">
        <w:rPr>
          <w:lang w:val="en-GB"/>
        </w:rPr>
        <w:t xml:space="preserve"> </w:t>
      </w:r>
      <w:r>
        <w:rPr>
          <w:lang w:val="en-GB"/>
        </w:rPr>
        <w:t>On scientific developments in agriculture and their links with vernacular agronomy publications M.</w:t>
      </w:r>
      <w:r w:rsidRPr="00B60BF4">
        <w:rPr>
          <w:lang w:val="en-GB"/>
        </w:rPr>
        <w:t xml:space="preserve"> </w:t>
      </w:r>
      <w:proofErr w:type="spellStart"/>
      <w:r w:rsidRPr="00B60BF4">
        <w:rPr>
          <w:lang w:val="en-GB"/>
        </w:rPr>
        <w:t>Ambrosoli</w:t>
      </w:r>
      <w:proofErr w:type="spellEnd"/>
      <w:r w:rsidRPr="00B60BF4">
        <w:rPr>
          <w:lang w:val="en-GB"/>
        </w:rPr>
        <w:t xml:space="preserve">, </w:t>
      </w:r>
      <w:r w:rsidRPr="00AA60CA">
        <w:rPr>
          <w:rFonts w:eastAsiaTheme="minorHAnsi"/>
          <w:i/>
          <w:lang w:val="en-GB"/>
        </w:rPr>
        <w:t xml:space="preserve">The Wild and the </w:t>
      </w:r>
      <w:r w:rsidRPr="00AA60CA">
        <w:rPr>
          <w:rFonts w:eastAsiaTheme="minorHAnsi"/>
          <w:bCs/>
          <w:i/>
          <w:lang w:val="en-GB"/>
        </w:rPr>
        <w:t>Sown</w:t>
      </w:r>
      <w:r w:rsidRPr="00B60BF4">
        <w:rPr>
          <w:rFonts w:eastAsiaTheme="minorHAnsi"/>
          <w:i/>
          <w:lang w:val="en-GB"/>
        </w:rPr>
        <w:t xml:space="preserve"> Botany and Agriculture in Western Europe, 1350-1850</w:t>
      </w:r>
      <w:r w:rsidRPr="00B60BF4">
        <w:rPr>
          <w:rFonts w:eastAsiaTheme="minorHAnsi"/>
          <w:lang w:val="en-GB"/>
        </w:rPr>
        <w:t xml:space="preserve"> (</w:t>
      </w:r>
      <w:r>
        <w:rPr>
          <w:rFonts w:eastAsiaTheme="minorHAnsi"/>
          <w:lang w:val="en-GB"/>
        </w:rPr>
        <w:t>Cambridge: Cambridge University Press, 1997</w:t>
      </w:r>
      <w:r w:rsidRPr="00B60BF4">
        <w:rPr>
          <w:rFonts w:eastAsiaTheme="minorHAnsi"/>
          <w:lang w:val="en-GB"/>
        </w:rPr>
        <w:t>)</w:t>
      </w:r>
      <w:r>
        <w:rPr>
          <w:rFonts w:eastAsiaTheme="minorHAnsi"/>
          <w:lang w:val="en-GB"/>
        </w:rPr>
        <w:t>.</w:t>
      </w:r>
    </w:p>
  </w:footnote>
  <w:footnote w:id="44">
    <w:p w:rsidR="00DF2756" w:rsidRDefault="00DF2756">
      <w:pPr>
        <w:pStyle w:val="FootnoteText"/>
        <w:jc w:val="both"/>
        <w:rPr>
          <w:lang w:val="en-GB"/>
        </w:rPr>
      </w:pPr>
      <w:r>
        <w:rPr>
          <w:rStyle w:val="FootnoteReference"/>
        </w:rPr>
        <w:footnoteRef/>
      </w:r>
      <w:r w:rsidRPr="009B3C19">
        <w:rPr>
          <w:lang w:val="en-GB"/>
        </w:rPr>
        <w:t xml:space="preserve"> </w:t>
      </w:r>
      <w:r>
        <w:rPr>
          <w:lang w:val="en-GB"/>
        </w:rPr>
        <w:t xml:space="preserve">K. </w:t>
      </w:r>
      <w:r w:rsidRPr="00AA6937">
        <w:rPr>
          <w:lang w:val="en-GB"/>
        </w:rPr>
        <w:t>Park</w:t>
      </w:r>
      <w:r>
        <w:rPr>
          <w:lang w:val="en-GB"/>
        </w:rPr>
        <w:t>, ‘Observation in the Margins, 500-1500’, in</w:t>
      </w:r>
      <w:r w:rsidRPr="00AA6937">
        <w:rPr>
          <w:lang w:val="en-GB"/>
        </w:rPr>
        <w:t xml:space="preserve"> </w:t>
      </w:r>
      <w:r>
        <w:rPr>
          <w:lang w:val="en-GB"/>
        </w:rPr>
        <w:t xml:space="preserve">L. </w:t>
      </w:r>
      <w:proofErr w:type="spellStart"/>
      <w:r w:rsidRPr="00AA6937">
        <w:rPr>
          <w:lang w:val="en-GB"/>
        </w:rPr>
        <w:t>Daston</w:t>
      </w:r>
      <w:proofErr w:type="spellEnd"/>
      <w:r w:rsidRPr="00AA6937">
        <w:rPr>
          <w:lang w:val="en-GB"/>
        </w:rPr>
        <w:t xml:space="preserve"> and </w:t>
      </w:r>
      <w:r>
        <w:rPr>
          <w:lang w:val="en-GB"/>
        </w:rPr>
        <w:t xml:space="preserve">E. </w:t>
      </w:r>
      <w:proofErr w:type="spellStart"/>
      <w:r w:rsidRPr="00AA6937">
        <w:rPr>
          <w:lang w:val="en-GB"/>
        </w:rPr>
        <w:t>Lumbeck</w:t>
      </w:r>
      <w:proofErr w:type="spellEnd"/>
      <w:r w:rsidRPr="00AA6937">
        <w:rPr>
          <w:lang w:val="en-GB"/>
        </w:rPr>
        <w:t xml:space="preserve"> </w:t>
      </w:r>
      <w:proofErr w:type="spellStart"/>
      <w:proofErr w:type="gramStart"/>
      <w:r w:rsidRPr="00AA6937">
        <w:rPr>
          <w:lang w:val="en-GB"/>
        </w:rPr>
        <w:t>eds</w:t>
      </w:r>
      <w:proofErr w:type="spellEnd"/>
      <w:proofErr w:type="gramEnd"/>
      <w:r w:rsidRPr="00AA6937">
        <w:rPr>
          <w:lang w:val="en-GB"/>
        </w:rPr>
        <w:t xml:space="preserve">, </w:t>
      </w:r>
      <w:r>
        <w:rPr>
          <w:i/>
          <w:lang w:val="en-GB"/>
        </w:rPr>
        <w:t>Histories of Scientific O</w:t>
      </w:r>
      <w:r w:rsidRPr="00AA6937">
        <w:rPr>
          <w:i/>
          <w:lang w:val="en-GB"/>
        </w:rPr>
        <w:t>bservation</w:t>
      </w:r>
      <w:r>
        <w:rPr>
          <w:i/>
          <w:lang w:val="en-GB"/>
        </w:rPr>
        <w:t xml:space="preserve"> </w:t>
      </w:r>
      <w:r>
        <w:rPr>
          <w:lang w:val="en-GB"/>
        </w:rPr>
        <w:t>(Chicago: Chicago University Press), 2011, 15-44, esp. 31-37.</w:t>
      </w:r>
    </w:p>
  </w:footnote>
  <w:footnote w:id="45">
    <w:p w:rsidR="00DF2756" w:rsidRDefault="00DF2756">
      <w:pPr>
        <w:spacing w:after="0" w:line="240" w:lineRule="auto"/>
        <w:ind w:hanging="720"/>
        <w:jc w:val="both"/>
      </w:pPr>
      <w:r>
        <w:tab/>
      </w:r>
      <w:r>
        <w:rPr>
          <w:rStyle w:val="FootnoteReference"/>
        </w:rPr>
        <w:footnoteRef/>
      </w:r>
      <w:r w:rsidRPr="002A2509">
        <w:t xml:space="preserve"> </w:t>
      </w:r>
      <w:r w:rsidRPr="00DD64F2">
        <w:rPr>
          <w:rFonts w:ascii="Times New Roman" w:hAnsi="Times New Roman" w:cs="Times New Roman"/>
          <w:sz w:val="20"/>
          <w:szCs w:val="20"/>
        </w:rPr>
        <w:t xml:space="preserve">R. </w:t>
      </w:r>
      <w:proofErr w:type="spellStart"/>
      <w:r w:rsidRPr="00DD64F2">
        <w:rPr>
          <w:rFonts w:ascii="Times New Roman" w:hAnsi="Times New Roman" w:cs="Times New Roman"/>
          <w:sz w:val="20"/>
          <w:szCs w:val="20"/>
        </w:rPr>
        <w:t>Thévenot</w:t>
      </w:r>
      <w:proofErr w:type="spellEnd"/>
      <w:r w:rsidRPr="00DD64F2">
        <w:rPr>
          <w:rFonts w:ascii="Times New Roman" w:hAnsi="Times New Roman" w:cs="Times New Roman"/>
          <w:sz w:val="20"/>
          <w:szCs w:val="20"/>
        </w:rPr>
        <w:t xml:space="preserve">, </w:t>
      </w:r>
      <w:proofErr w:type="gramStart"/>
      <w:r w:rsidRPr="00DD64F2">
        <w:rPr>
          <w:rFonts w:ascii="Times New Roman" w:hAnsi="Times New Roman" w:cs="Times New Roman"/>
          <w:i/>
          <w:sz w:val="20"/>
          <w:szCs w:val="20"/>
        </w:rPr>
        <w:t>A</w:t>
      </w:r>
      <w:proofErr w:type="gramEnd"/>
      <w:r w:rsidRPr="00DD64F2">
        <w:rPr>
          <w:rFonts w:ascii="Times New Roman" w:hAnsi="Times New Roman" w:cs="Times New Roman"/>
          <w:i/>
          <w:sz w:val="20"/>
          <w:szCs w:val="20"/>
        </w:rPr>
        <w:t xml:space="preserve"> History o</w:t>
      </w:r>
      <w:r>
        <w:rPr>
          <w:rFonts w:ascii="Times New Roman" w:hAnsi="Times New Roman" w:cs="Times New Roman"/>
          <w:i/>
          <w:sz w:val="20"/>
          <w:szCs w:val="20"/>
        </w:rPr>
        <w:t>f Refrigeration Throughout the W</w:t>
      </w:r>
      <w:r w:rsidRPr="00DD64F2">
        <w:rPr>
          <w:rFonts w:ascii="Times New Roman" w:hAnsi="Times New Roman" w:cs="Times New Roman"/>
          <w:i/>
          <w:sz w:val="20"/>
          <w:szCs w:val="20"/>
        </w:rPr>
        <w:t>orld</w:t>
      </w:r>
      <w:r>
        <w:rPr>
          <w:rFonts w:ascii="Times New Roman" w:hAnsi="Times New Roman" w:cs="Times New Roman"/>
          <w:sz w:val="20"/>
          <w:szCs w:val="20"/>
        </w:rPr>
        <w:t xml:space="preserve"> (</w:t>
      </w:r>
      <w:r w:rsidRPr="00DD64F2">
        <w:rPr>
          <w:rFonts w:ascii="Times New Roman" w:hAnsi="Times New Roman" w:cs="Times New Roman"/>
          <w:sz w:val="20"/>
          <w:szCs w:val="20"/>
        </w:rPr>
        <w:t xml:space="preserve">Paris: </w:t>
      </w:r>
      <w:r w:rsidRPr="00114953">
        <w:rPr>
          <w:rFonts w:ascii="Times New Roman" w:hAnsi="Times New Roman" w:cs="Times New Roman"/>
          <w:sz w:val="20"/>
          <w:szCs w:val="20"/>
        </w:rPr>
        <w:t>International Institute of Refrigeration</w:t>
      </w:r>
      <w:r w:rsidRPr="00DD64F2">
        <w:rPr>
          <w:rFonts w:ascii="Times New Roman" w:hAnsi="Times New Roman" w:cs="Times New Roman"/>
          <w:sz w:val="20"/>
          <w:szCs w:val="20"/>
        </w:rPr>
        <w:t>, 1979</w:t>
      </w:r>
      <w:r>
        <w:rPr>
          <w:rFonts w:ascii="Times New Roman" w:hAnsi="Times New Roman" w:cs="Times New Roman"/>
          <w:sz w:val="20"/>
          <w:szCs w:val="20"/>
        </w:rPr>
        <w:t>),</w:t>
      </w:r>
      <w:r w:rsidRPr="00594DC3">
        <w:t xml:space="preserve"> </w:t>
      </w:r>
      <w:r w:rsidRPr="00DD64F2">
        <w:rPr>
          <w:rFonts w:ascii="Times New Roman" w:hAnsi="Times New Roman" w:cs="Times New Roman"/>
          <w:sz w:val="20"/>
          <w:szCs w:val="20"/>
        </w:rPr>
        <w:t>25</w:t>
      </w:r>
      <w:r>
        <w:rPr>
          <w:rFonts w:ascii="Times New Roman" w:hAnsi="Times New Roman" w:cs="Times New Roman"/>
          <w:sz w:val="20"/>
          <w:szCs w:val="20"/>
        </w:rPr>
        <w:t>. I am grateful to Jane Levi for this reference.</w:t>
      </w:r>
    </w:p>
  </w:footnote>
  <w:footnote w:id="46">
    <w:p w:rsidR="00DF2756" w:rsidRDefault="00DF2756">
      <w:pPr>
        <w:pStyle w:val="FootnoteText"/>
        <w:jc w:val="both"/>
      </w:pPr>
      <w:r w:rsidRPr="009B3C19">
        <w:rPr>
          <w:rStyle w:val="FootnoteReference"/>
        </w:rPr>
        <w:footnoteRef/>
      </w:r>
      <w:r>
        <w:rPr>
          <w:lang w:val="en-GB"/>
        </w:rPr>
        <w:t xml:space="preserve"> </w:t>
      </w:r>
      <w:r w:rsidRPr="009B3C19">
        <w:rPr>
          <w:lang w:val="en-GB"/>
        </w:rPr>
        <w:t xml:space="preserve">Theorised by </w:t>
      </w:r>
      <w:proofErr w:type="spellStart"/>
      <w:r w:rsidRPr="009B3C19">
        <w:rPr>
          <w:lang w:val="en-GB"/>
        </w:rPr>
        <w:t>Alberti</w:t>
      </w:r>
      <w:proofErr w:type="spellEnd"/>
      <w:r w:rsidRPr="009B3C19">
        <w:rPr>
          <w:lang w:val="en-GB"/>
        </w:rPr>
        <w:t xml:space="preserve"> in his </w:t>
      </w:r>
      <w:r w:rsidRPr="009B3C19">
        <w:rPr>
          <w:i/>
          <w:lang w:val="en-GB"/>
        </w:rPr>
        <w:t xml:space="preserve">Della </w:t>
      </w:r>
      <w:proofErr w:type="spellStart"/>
      <w:r w:rsidRPr="009B3C19">
        <w:rPr>
          <w:i/>
          <w:lang w:val="en-GB"/>
        </w:rPr>
        <w:t>Pittura</w:t>
      </w:r>
      <w:proofErr w:type="spellEnd"/>
      <w:r w:rsidRPr="009B3C19">
        <w:rPr>
          <w:i/>
          <w:lang w:val="en-GB"/>
        </w:rPr>
        <w:t xml:space="preserve"> </w:t>
      </w:r>
      <w:r w:rsidRPr="009B3C19">
        <w:rPr>
          <w:lang w:val="en-GB"/>
        </w:rPr>
        <w:t>(1435) the attainment of a mimetic represent</w:t>
      </w:r>
      <w:r>
        <w:rPr>
          <w:lang w:val="en-GB"/>
        </w:rPr>
        <w:t xml:space="preserve">ation of natural phenomena -particularly </w:t>
      </w:r>
      <w:r w:rsidRPr="009B3C19">
        <w:rPr>
          <w:lang w:val="en-GB"/>
        </w:rPr>
        <w:t>air and winds</w:t>
      </w:r>
      <w:r>
        <w:rPr>
          <w:lang w:val="en-GB"/>
        </w:rPr>
        <w:t>-</w:t>
      </w:r>
      <w:r w:rsidRPr="009B3C19">
        <w:rPr>
          <w:lang w:val="en-GB"/>
        </w:rPr>
        <w:t xml:space="preserve"> reaches its highest point in the sixteenth century in </w:t>
      </w:r>
      <w:r>
        <w:rPr>
          <w:lang w:val="en-GB"/>
        </w:rPr>
        <w:t xml:space="preserve">Leonardo’s </w:t>
      </w:r>
      <w:r w:rsidRPr="009B3C19">
        <w:rPr>
          <w:lang w:val="en-GB"/>
        </w:rPr>
        <w:t xml:space="preserve">drawings.  </w:t>
      </w:r>
      <w:r w:rsidRPr="009B3C19">
        <w:t xml:space="preserve">A. Nova, </w:t>
      </w:r>
      <w:r w:rsidRPr="009B3C19">
        <w:rPr>
          <w:i/>
        </w:rPr>
        <w:t>Il Libro del Vento. Rappresentare l’Invisibile</w:t>
      </w:r>
      <w:r w:rsidRPr="009B3C19">
        <w:t xml:space="preserve"> (Milan: Marietti, 2007), 65-68, 72-73,76-77.</w:t>
      </w:r>
    </w:p>
  </w:footnote>
  <w:footnote w:id="47">
    <w:p w:rsidR="00DF2756" w:rsidRDefault="00DF2756">
      <w:pPr>
        <w:pStyle w:val="FootnoteText"/>
        <w:jc w:val="both"/>
        <w:rPr>
          <w:lang w:val="en-GB"/>
        </w:rPr>
      </w:pPr>
      <w:r w:rsidRPr="009B3C19">
        <w:rPr>
          <w:rStyle w:val="FootnoteReference"/>
        </w:rPr>
        <w:footnoteRef/>
      </w:r>
      <w:r w:rsidRPr="009B3C19">
        <w:rPr>
          <w:lang w:val="en-GB"/>
        </w:rPr>
        <w:t xml:space="preserve"> </w:t>
      </w:r>
      <w:proofErr w:type="gramStart"/>
      <w:r w:rsidRPr="009B3C19">
        <w:rPr>
          <w:lang w:val="en-GB"/>
        </w:rPr>
        <w:t xml:space="preserve">Paul Emmons and Marco </w:t>
      </w:r>
      <w:proofErr w:type="spellStart"/>
      <w:r w:rsidRPr="009B3C19">
        <w:rPr>
          <w:lang w:val="en-GB"/>
        </w:rPr>
        <w:t>Frascari</w:t>
      </w:r>
      <w:proofErr w:type="spellEnd"/>
      <w:r w:rsidRPr="009B3C19">
        <w:rPr>
          <w:lang w:val="en-GB"/>
        </w:rPr>
        <w:t xml:space="preserve">, ‘Making </w:t>
      </w:r>
      <w:r>
        <w:rPr>
          <w:lang w:val="en-GB"/>
        </w:rPr>
        <w:t>V</w:t>
      </w:r>
      <w:r w:rsidRPr="009B3C19">
        <w:rPr>
          <w:lang w:val="en-GB"/>
        </w:rPr>
        <w:t xml:space="preserve">isible the </w:t>
      </w:r>
      <w:r>
        <w:rPr>
          <w:lang w:val="en-GB"/>
        </w:rPr>
        <w:t>I</w:t>
      </w:r>
      <w:r w:rsidRPr="009B3C19">
        <w:rPr>
          <w:lang w:val="en-GB"/>
        </w:rPr>
        <w:t>nvisible.</w:t>
      </w:r>
      <w:proofErr w:type="gramEnd"/>
      <w:r w:rsidRPr="009B3C19">
        <w:rPr>
          <w:lang w:val="en-GB"/>
        </w:rPr>
        <w:t xml:space="preserve"> Signs of </w:t>
      </w:r>
      <w:r>
        <w:rPr>
          <w:lang w:val="en-GB"/>
        </w:rPr>
        <w:t>A</w:t>
      </w:r>
      <w:r w:rsidRPr="009B3C19">
        <w:rPr>
          <w:lang w:val="en-GB"/>
        </w:rPr>
        <w:t xml:space="preserve">ir in </w:t>
      </w:r>
      <w:r>
        <w:rPr>
          <w:lang w:val="en-GB"/>
        </w:rPr>
        <w:t>A</w:t>
      </w:r>
      <w:r w:rsidRPr="009B3C19">
        <w:rPr>
          <w:lang w:val="en-GB"/>
        </w:rPr>
        <w:t xml:space="preserve">rchitectural </w:t>
      </w:r>
      <w:r>
        <w:rPr>
          <w:lang w:val="en-GB"/>
        </w:rPr>
        <w:t>T</w:t>
      </w:r>
      <w:r w:rsidRPr="009B3C19">
        <w:rPr>
          <w:lang w:val="en-GB"/>
        </w:rPr>
        <w:t xml:space="preserve">reatises’, in B. </w:t>
      </w:r>
      <w:proofErr w:type="spellStart"/>
      <w:r w:rsidRPr="009B3C19">
        <w:rPr>
          <w:lang w:val="en-GB"/>
        </w:rPr>
        <w:t>Kenda</w:t>
      </w:r>
      <w:proofErr w:type="spellEnd"/>
      <w:r w:rsidRPr="009B3C19">
        <w:rPr>
          <w:lang w:val="en-GB"/>
        </w:rPr>
        <w:t xml:space="preserve"> ed., </w:t>
      </w:r>
      <w:r w:rsidRPr="009B3C19">
        <w:rPr>
          <w:i/>
          <w:lang w:val="en-GB"/>
        </w:rPr>
        <w:t>Aeolian Winds and the Spirit in Renaissance Architecture</w:t>
      </w:r>
      <w:r w:rsidRPr="009B3C19">
        <w:rPr>
          <w:lang w:val="en-GB"/>
        </w:rPr>
        <w:t xml:space="preserve"> (London: </w:t>
      </w:r>
      <w:proofErr w:type="spellStart"/>
      <w:r w:rsidRPr="009B3C19">
        <w:rPr>
          <w:lang w:val="en-GB"/>
        </w:rPr>
        <w:t>Routledge</w:t>
      </w:r>
      <w:proofErr w:type="spellEnd"/>
      <w:r>
        <w:rPr>
          <w:lang w:val="en-GB"/>
        </w:rPr>
        <w:t>,</w:t>
      </w:r>
      <w:r w:rsidRPr="009B3C19">
        <w:rPr>
          <w:lang w:val="en-GB"/>
        </w:rPr>
        <w:t xml:space="preserve"> 2006), 87</w:t>
      </w:r>
      <w:r>
        <w:rPr>
          <w:lang w:val="en-GB"/>
        </w:rPr>
        <w:t>-102, 87</w:t>
      </w:r>
      <w:r w:rsidRPr="009B3C19">
        <w:rPr>
          <w:lang w:val="en-GB"/>
        </w:rPr>
        <w:t xml:space="preserve">. </w:t>
      </w:r>
      <w:proofErr w:type="gramStart"/>
      <w:r>
        <w:rPr>
          <w:lang w:val="en-GB"/>
        </w:rPr>
        <w:t>My thanks</w:t>
      </w:r>
      <w:r w:rsidRPr="009B3C19">
        <w:rPr>
          <w:lang w:val="en-GB"/>
        </w:rPr>
        <w:t xml:space="preserve"> to</w:t>
      </w:r>
      <w:r>
        <w:rPr>
          <w:lang w:val="en-GB"/>
        </w:rPr>
        <w:t xml:space="preserve"> Laurence Lumley for</w:t>
      </w:r>
      <w:r w:rsidRPr="009B3C19">
        <w:rPr>
          <w:lang w:val="en-GB"/>
        </w:rPr>
        <w:t xml:space="preserve"> this </w:t>
      </w:r>
      <w:r>
        <w:rPr>
          <w:lang w:val="en-GB"/>
        </w:rPr>
        <w:t>reference</w:t>
      </w:r>
      <w:r w:rsidRPr="009B3C19">
        <w:rPr>
          <w:lang w:val="en-GB"/>
        </w:rPr>
        <w:t>.</w:t>
      </w:r>
      <w:proofErr w:type="gramEnd"/>
    </w:p>
  </w:footnote>
  <w:footnote w:id="48">
    <w:p w:rsidR="00DF2756" w:rsidRDefault="00DF2756">
      <w:pPr>
        <w:pStyle w:val="FootnoteText"/>
        <w:jc w:val="both"/>
        <w:rPr>
          <w:color w:val="1F497D" w:themeColor="text2"/>
          <w:lang w:val="en-GB"/>
        </w:rPr>
      </w:pPr>
      <w:r w:rsidRPr="00640CB7">
        <w:rPr>
          <w:rStyle w:val="FootnoteReference"/>
          <w:color w:val="1F497D" w:themeColor="text2"/>
        </w:rPr>
        <w:footnoteRef/>
      </w:r>
      <w:r w:rsidRPr="007B6BDD">
        <w:rPr>
          <w:color w:val="1F497D" w:themeColor="text2"/>
          <w:lang w:val="en-GB"/>
        </w:rPr>
        <w:t xml:space="preserve"> </w:t>
      </w:r>
      <w:r w:rsidRPr="007B6BDD">
        <w:rPr>
          <w:lang w:val="en-GB"/>
        </w:rPr>
        <w:t xml:space="preserve">Durante, </w:t>
      </w:r>
      <w:proofErr w:type="gramStart"/>
      <w:r w:rsidRPr="007B6BDD">
        <w:rPr>
          <w:i/>
          <w:iCs/>
          <w:lang w:val="en-GB"/>
        </w:rPr>
        <w:t>Il</w:t>
      </w:r>
      <w:proofErr w:type="gramEnd"/>
      <w:r w:rsidRPr="007B6BDD">
        <w:rPr>
          <w:i/>
          <w:iCs/>
          <w:lang w:val="en-GB"/>
        </w:rPr>
        <w:t xml:space="preserve"> </w:t>
      </w:r>
      <w:r>
        <w:rPr>
          <w:i/>
          <w:iCs/>
          <w:lang w:val="en-GB"/>
        </w:rPr>
        <w:t>T</w:t>
      </w:r>
      <w:r w:rsidRPr="007B6BDD">
        <w:rPr>
          <w:i/>
          <w:iCs/>
          <w:lang w:val="en-GB"/>
        </w:rPr>
        <w:t>esoro</w:t>
      </w:r>
      <w:r w:rsidRPr="007B6BDD">
        <w:rPr>
          <w:iCs/>
          <w:lang w:val="en-GB"/>
        </w:rPr>
        <w:t>,</w:t>
      </w:r>
      <w:r w:rsidRPr="007B6BDD">
        <w:rPr>
          <w:lang w:val="en-GB"/>
        </w:rPr>
        <w:t xml:space="preserve"> 8.</w:t>
      </w:r>
    </w:p>
  </w:footnote>
  <w:footnote w:id="49">
    <w:p w:rsidR="00DF2756" w:rsidRDefault="00DF2756">
      <w:pPr>
        <w:pStyle w:val="FootnoteText"/>
        <w:jc w:val="both"/>
        <w:rPr>
          <w:lang w:val="en-GB"/>
        </w:rPr>
      </w:pPr>
      <w:r>
        <w:rPr>
          <w:rStyle w:val="FootnoteReference"/>
        </w:rPr>
        <w:footnoteRef/>
      </w:r>
      <w:r w:rsidRPr="007B6BDD">
        <w:rPr>
          <w:lang w:val="en-GB"/>
        </w:rPr>
        <w:t xml:space="preserve"> </w:t>
      </w:r>
      <w:r w:rsidRPr="00E32E85">
        <w:rPr>
          <w:lang w:val="en-GB"/>
        </w:rPr>
        <w:t xml:space="preserve">C. </w:t>
      </w:r>
      <w:proofErr w:type="spellStart"/>
      <w:r w:rsidRPr="009B3C19">
        <w:rPr>
          <w:lang w:val="en-GB"/>
        </w:rPr>
        <w:t>Hannaway</w:t>
      </w:r>
      <w:proofErr w:type="spellEnd"/>
      <w:r w:rsidRPr="009B3C19">
        <w:rPr>
          <w:lang w:val="en-GB"/>
        </w:rPr>
        <w:t xml:space="preserve">, ‘Environment and </w:t>
      </w:r>
      <w:proofErr w:type="spellStart"/>
      <w:r w:rsidRPr="009B3C19">
        <w:rPr>
          <w:lang w:val="en-GB"/>
        </w:rPr>
        <w:t>Miasmata</w:t>
      </w:r>
      <w:proofErr w:type="spellEnd"/>
      <w:r w:rsidRPr="009B3C19">
        <w:rPr>
          <w:lang w:val="en-GB"/>
        </w:rPr>
        <w:t xml:space="preserve">’, in W.F. Bynum and R. Porter </w:t>
      </w:r>
      <w:proofErr w:type="spellStart"/>
      <w:r w:rsidRPr="009B3C19">
        <w:rPr>
          <w:lang w:val="en-GB"/>
        </w:rPr>
        <w:t>eds</w:t>
      </w:r>
      <w:proofErr w:type="spellEnd"/>
      <w:r w:rsidRPr="009B3C19">
        <w:rPr>
          <w:lang w:val="en-GB"/>
        </w:rPr>
        <w:t xml:space="preserve">, </w:t>
      </w:r>
      <w:r w:rsidRPr="009B3C19">
        <w:rPr>
          <w:i/>
          <w:color w:val="333333"/>
          <w:lang w:val="en-GB"/>
        </w:rPr>
        <w:t xml:space="preserve">Companion </w:t>
      </w:r>
      <w:proofErr w:type="spellStart"/>
      <w:r w:rsidRPr="009B3C19">
        <w:rPr>
          <w:i/>
          <w:color w:val="333333"/>
          <w:lang w:val="en-GB"/>
        </w:rPr>
        <w:t>Encyclopedia</w:t>
      </w:r>
      <w:proofErr w:type="spellEnd"/>
      <w:r w:rsidRPr="009B3C19">
        <w:rPr>
          <w:i/>
          <w:color w:val="333333"/>
          <w:lang w:val="en-GB"/>
        </w:rPr>
        <w:t xml:space="preserve"> of the History of Medicine</w:t>
      </w:r>
      <w:r w:rsidRPr="009B3C19">
        <w:rPr>
          <w:color w:val="333333"/>
          <w:lang w:val="en-GB"/>
        </w:rPr>
        <w:t xml:space="preserve">, 2 vols. (London: </w:t>
      </w:r>
      <w:proofErr w:type="spellStart"/>
      <w:r w:rsidRPr="009B3C19">
        <w:rPr>
          <w:color w:val="333333"/>
          <w:lang w:val="en-GB"/>
        </w:rPr>
        <w:t>Routledge</w:t>
      </w:r>
      <w:proofErr w:type="spellEnd"/>
      <w:r w:rsidRPr="009B3C19">
        <w:rPr>
          <w:color w:val="333333"/>
          <w:lang w:val="en-GB"/>
        </w:rPr>
        <w:t xml:space="preserve"> 1997),</w:t>
      </w:r>
      <w:r w:rsidRPr="009B3C19">
        <w:rPr>
          <w:lang w:val="en-GB"/>
        </w:rPr>
        <w:t xml:space="preserve"> </w:t>
      </w:r>
      <w:r w:rsidRPr="009B3C19">
        <w:rPr>
          <w:color w:val="333333"/>
          <w:lang w:val="en-GB"/>
        </w:rPr>
        <w:t>Volume 1</w:t>
      </w:r>
      <w:r>
        <w:rPr>
          <w:color w:val="333333"/>
          <w:lang w:val="en-GB"/>
        </w:rPr>
        <w:t xml:space="preserve">, 292-308, </w:t>
      </w:r>
      <w:r w:rsidRPr="007B6BDD">
        <w:rPr>
          <w:lang w:val="en-GB"/>
        </w:rPr>
        <w:t>is representative of this wide tendency</w:t>
      </w:r>
      <w:r w:rsidRPr="009B3C19">
        <w:rPr>
          <w:color w:val="333333"/>
          <w:lang w:val="en-GB"/>
        </w:rPr>
        <w:t>. For an alternative view see M.P</w:t>
      </w:r>
      <w:r>
        <w:rPr>
          <w:color w:val="333333"/>
          <w:lang w:val="en-GB"/>
        </w:rPr>
        <w:t xml:space="preserve">. Donato, </w:t>
      </w:r>
      <w:r w:rsidRPr="009B3C19">
        <w:rPr>
          <w:lang w:val="en-GB"/>
        </w:rPr>
        <w:t xml:space="preserve">‘The Afterlife of the </w:t>
      </w:r>
      <w:r>
        <w:rPr>
          <w:lang w:val="en-GB"/>
        </w:rPr>
        <w:t>N</w:t>
      </w:r>
      <w:r w:rsidRPr="009B3C19">
        <w:rPr>
          <w:lang w:val="en-GB"/>
        </w:rPr>
        <w:t>on-</w:t>
      </w:r>
      <w:r>
        <w:rPr>
          <w:lang w:val="en-GB"/>
        </w:rPr>
        <w:t>Naturals in the Early Eighteenth-c</w:t>
      </w:r>
      <w:r w:rsidRPr="009B3C19">
        <w:rPr>
          <w:lang w:val="en-GB"/>
        </w:rPr>
        <w:t xml:space="preserve">entury: from the </w:t>
      </w:r>
      <w:r>
        <w:rPr>
          <w:lang w:val="en-GB"/>
        </w:rPr>
        <w:t>Healthy Individual to a H</w:t>
      </w:r>
      <w:r w:rsidRPr="009B3C19">
        <w:rPr>
          <w:lang w:val="en-GB"/>
        </w:rPr>
        <w:t xml:space="preserve">ealthy </w:t>
      </w:r>
      <w:r>
        <w:rPr>
          <w:lang w:val="en-GB"/>
        </w:rPr>
        <w:t>P</w:t>
      </w:r>
      <w:r w:rsidRPr="009B3C19">
        <w:rPr>
          <w:lang w:val="en-GB"/>
        </w:rPr>
        <w:t>opulation’</w:t>
      </w:r>
      <w:r>
        <w:rPr>
          <w:lang w:val="en-GB"/>
        </w:rPr>
        <w:t xml:space="preserve">, in Cavallo and </w:t>
      </w:r>
      <w:r w:rsidRPr="009B3C19">
        <w:rPr>
          <w:lang w:val="en-GB"/>
        </w:rPr>
        <w:t xml:space="preserve">Storey </w:t>
      </w:r>
      <w:proofErr w:type="spellStart"/>
      <w:proofErr w:type="gramStart"/>
      <w:r w:rsidRPr="009B3C19">
        <w:rPr>
          <w:lang w:val="en-GB"/>
        </w:rPr>
        <w:t>eds</w:t>
      </w:r>
      <w:proofErr w:type="spellEnd"/>
      <w:proofErr w:type="gramEnd"/>
      <w:r w:rsidRPr="009B3C19">
        <w:rPr>
          <w:lang w:val="en-GB"/>
        </w:rPr>
        <w:t xml:space="preserve">, </w:t>
      </w:r>
      <w:r w:rsidRPr="009B3C19">
        <w:rPr>
          <w:i/>
          <w:lang w:val="en-GB"/>
        </w:rPr>
        <w:t>Conserving Health</w:t>
      </w:r>
      <w:r>
        <w:rPr>
          <w:i/>
          <w:lang w:val="en-GB"/>
        </w:rPr>
        <w:t>.</w:t>
      </w:r>
      <w:r w:rsidRPr="009B3C19">
        <w:rPr>
          <w:i/>
          <w:lang w:val="en-GB"/>
        </w:rPr>
        <w:t xml:space="preserve"> </w:t>
      </w:r>
    </w:p>
  </w:footnote>
  <w:footnote w:id="50">
    <w:p w:rsidR="00DF2756" w:rsidRPr="00CE2FDC" w:rsidRDefault="00DF2756">
      <w:pPr>
        <w:pStyle w:val="FootnoteText"/>
        <w:rPr>
          <w:lang w:val="en-GB"/>
        </w:rPr>
      </w:pPr>
      <w:r w:rsidRPr="00641910">
        <w:rPr>
          <w:rStyle w:val="FootnoteReference"/>
        </w:rPr>
        <w:footnoteRef/>
      </w:r>
      <w:r w:rsidRPr="00641910">
        <w:rPr>
          <w:lang w:val="en-GB"/>
        </w:rPr>
        <w:t xml:space="preserve"> </w:t>
      </w:r>
      <w:proofErr w:type="gramStart"/>
      <w:r w:rsidRPr="00641910">
        <w:rPr>
          <w:lang w:val="en-GB"/>
        </w:rPr>
        <w:t xml:space="preserve">Cavallo and Storey, </w:t>
      </w:r>
      <w:r w:rsidRPr="00641910">
        <w:rPr>
          <w:i/>
          <w:lang w:val="en-GB"/>
        </w:rPr>
        <w:t>Healthy Living</w:t>
      </w:r>
      <w:r w:rsidRPr="00641910">
        <w:rPr>
          <w:lang w:val="en-GB"/>
        </w:rPr>
        <w:t xml:space="preserve">, </w:t>
      </w:r>
      <w:proofErr w:type="spellStart"/>
      <w:r w:rsidRPr="00641910">
        <w:rPr>
          <w:lang w:val="en-GB"/>
        </w:rPr>
        <w:t>ch</w:t>
      </w:r>
      <w:proofErr w:type="spellEnd"/>
      <w:r w:rsidRPr="00641910">
        <w:rPr>
          <w:lang w:val="en-GB"/>
        </w:rPr>
        <w:t>. 3.</w:t>
      </w:r>
      <w:proofErr w:type="gramEnd"/>
    </w:p>
  </w:footnote>
  <w:footnote w:id="51">
    <w:p w:rsidR="00DF2756" w:rsidRDefault="00DF2756">
      <w:pPr>
        <w:pStyle w:val="FootnoteText"/>
        <w:jc w:val="both"/>
        <w:rPr>
          <w:color w:val="FF0000"/>
          <w:lang w:val="en-US"/>
        </w:rPr>
      </w:pPr>
      <w:r w:rsidRPr="0049441E">
        <w:rPr>
          <w:rStyle w:val="FootnoteReference"/>
        </w:rPr>
        <w:footnoteRef/>
      </w:r>
      <w:r w:rsidRPr="0049441E">
        <w:rPr>
          <w:lang w:val="en-US"/>
        </w:rPr>
        <w:t xml:space="preserve"> See for example the definitions of bad and </w:t>
      </w:r>
      <w:r>
        <w:rPr>
          <w:lang w:val="en-US"/>
        </w:rPr>
        <w:t xml:space="preserve">good airs in the best-seller Durante, </w:t>
      </w:r>
      <w:proofErr w:type="gramStart"/>
      <w:r w:rsidRPr="009B3C19">
        <w:rPr>
          <w:i/>
          <w:iCs/>
          <w:lang w:val="en-GB"/>
        </w:rPr>
        <w:t>Il</w:t>
      </w:r>
      <w:proofErr w:type="gramEnd"/>
      <w:r w:rsidRPr="009B3C19">
        <w:rPr>
          <w:i/>
          <w:iCs/>
          <w:lang w:val="en-GB"/>
        </w:rPr>
        <w:t xml:space="preserve"> </w:t>
      </w:r>
      <w:r>
        <w:rPr>
          <w:i/>
          <w:iCs/>
          <w:lang w:val="en-GB"/>
        </w:rPr>
        <w:t>T</w:t>
      </w:r>
      <w:r w:rsidRPr="009B3C19">
        <w:rPr>
          <w:i/>
          <w:iCs/>
          <w:lang w:val="en-GB"/>
        </w:rPr>
        <w:t>esoro</w:t>
      </w:r>
      <w:r w:rsidRPr="009B3C19">
        <w:rPr>
          <w:iCs/>
          <w:lang w:val="en-GB"/>
        </w:rPr>
        <w:t>,</w:t>
      </w:r>
      <w:r w:rsidRPr="0049441E">
        <w:rPr>
          <w:lang w:val="en-US"/>
        </w:rPr>
        <w:t xml:space="preserve"> 7-8.</w:t>
      </w:r>
    </w:p>
  </w:footnote>
  <w:footnote w:id="52">
    <w:p w:rsidR="00DF2756" w:rsidRDefault="00DF2756">
      <w:pPr>
        <w:pStyle w:val="FootnoteText"/>
        <w:jc w:val="both"/>
        <w:rPr>
          <w:lang w:val="en-GB"/>
        </w:rPr>
      </w:pPr>
      <w:r>
        <w:rPr>
          <w:rStyle w:val="FootnoteReference"/>
        </w:rPr>
        <w:footnoteRef/>
      </w:r>
      <w:r w:rsidRPr="009B3C19">
        <w:rPr>
          <w:lang w:val="en-GB"/>
        </w:rPr>
        <w:t xml:space="preserve"> </w:t>
      </w:r>
      <w:r>
        <w:rPr>
          <w:lang w:val="en-GB"/>
        </w:rPr>
        <w:t xml:space="preserve">Examples include doctor </w:t>
      </w:r>
      <w:proofErr w:type="spellStart"/>
      <w:r>
        <w:rPr>
          <w:lang w:val="en-GB"/>
        </w:rPr>
        <w:t>Matteo</w:t>
      </w:r>
      <w:proofErr w:type="spellEnd"/>
      <w:r>
        <w:rPr>
          <w:lang w:val="en-GB"/>
        </w:rPr>
        <w:t xml:space="preserve"> </w:t>
      </w:r>
      <w:proofErr w:type="spellStart"/>
      <w:r>
        <w:rPr>
          <w:lang w:val="en-GB"/>
        </w:rPr>
        <w:t>Bruni’s</w:t>
      </w:r>
      <w:proofErr w:type="spellEnd"/>
      <w:r>
        <w:rPr>
          <w:lang w:val="en-GB"/>
        </w:rPr>
        <w:t xml:space="preserve"> </w:t>
      </w:r>
      <w:r w:rsidRPr="009B3C19">
        <w:rPr>
          <w:rStyle w:val="st1"/>
          <w:bCs/>
          <w:i/>
          <w:lang w:val="en-GB"/>
        </w:rPr>
        <w:t xml:space="preserve">Note </w:t>
      </w:r>
      <w:proofErr w:type="spellStart"/>
      <w:r>
        <w:rPr>
          <w:rStyle w:val="st1"/>
          <w:bCs/>
          <w:i/>
          <w:lang w:val="en-GB"/>
        </w:rPr>
        <w:t>C</w:t>
      </w:r>
      <w:r w:rsidRPr="009B3C19">
        <w:rPr>
          <w:rStyle w:val="st1"/>
          <w:bCs/>
          <w:i/>
          <w:lang w:val="en-GB"/>
        </w:rPr>
        <w:t>limatologiche</w:t>
      </w:r>
      <w:proofErr w:type="spellEnd"/>
      <w:r w:rsidRPr="009B3C19">
        <w:rPr>
          <w:rStyle w:val="st1"/>
          <w:bCs/>
          <w:i/>
          <w:lang w:val="en-GB"/>
        </w:rPr>
        <w:t xml:space="preserve"> </w:t>
      </w:r>
      <w:proofErr w:type="spellStart"/>
      <w:r w:rsidRPr="009B3C19">
        <w:rPr>
          <w:rStyle w:val="st1"/>
          <w:bCs/>
          <w:i/>
          <w:lang w:val="en-GB"/>
        </w:rPr>
        <w:t>sulla</w:t>
      </w:r>
      <w:proofErr w:type="spellEnd"/>
      <w:r w:rsidRPr="009B3C19">
        <w:rPr>
          <w:rStyle w:val="st1"/>
          <w:bCs/>
          <w:i/>
          <w:lang w:val="en-GB"/>
        </w:rPr>
        <w:t xml:space="preserve"> </w:t>
      </w:r>
      <w:proofErr w:type="spellStart"/>
      <w:r>
        <w:rPr>
          <w:rStyle w:val="st1"/>
          <w:bCs/>
          <w:i/>
          <w:lang w:val="en-GB"/>
        </w:rPr>
        <w:t>B</w:t>
      </w:r>
      <w:r w:rsidRPr="009B3C19">
        <w:rPr>
          <w:rStyle w:val="st1"/>
          <w:bCs/>
          <w:i/>
          <w:lang w:val="en-GB"/>
        </w:rPr>
        <w:t>assa</w:t>
      </w:r>
      <w:proofErr w:type="spellEnd"/>
      <w:r w:rsidRPr="009B3C19">
        <w:rPr>
          <w:rStyle w:val="st1"/>
          <w:bCs/>
          <w:i/>
          <w:lang w:val="en-GB"/>
        </w:rPr>
        <w:t xml:space="preserve"> </w:t>
      </w:r>
      <w:r>
        <w:rPr>
          <w:rStyle w:val="st1"/>
          <w:bCs/>
          <w:i/>
          <w:lang w:val="en-GB"/>
        </w:rPr>
        <w:t>R</w:t>
      </w:r>
      <w:r w:rsidRPr="009B3C19">
        <w:rPr>
          <w:rStyle w:val="st1"/>
          <w:bCs/>
          <w:i/>
          <w:lang w:val="en-GB"/>
        </w:rPr>
        <w:t>omagna</w:t>
      </w:r>
      <w:r w:rsidRPr="009B3C19">
        <w:rPr>
          <w:rStyle w:val="st1"/>
          <w:lang w:val="en-GB"/>
        </w:rPr>
        <w:t xml:space="preserve"> </w:t>
      </w:r>
      <w:r w:rsidRPr="009B3C19">
        <w:rPr>
          <w:i/>
          <w:vanish/>
          <w:lang w:val="en-GB"/>
        </w:rPr>
        <w:br/>
      </w:r>
      <w:r w:rsidRPr="009B3C19">
        <w:rPr>
          <w:rStyle w:val="st1"/>
          <w:i/>
          <w:lang w:val="en-GB"/>
        </w:rPr>
        <w:t>1570-1590</w:t>
      </w:r>
      <w:r>
        <w:rPr>
          <w:rStyle w:val="st1"/>
          <w:lang w:val="en-GB"/>
        </w:rPr>
        <w:t xml:space="preserve"> </w:t>
      </w:r>
      <w:proofErr w:type="gramStart"/>
      <w:r>
        <w:rPr>
          <w:rStyle w:val="st1"/>
          <w:lang w:val="en-GB"/>
        </w:rPr>
        <w:t>and</w:t>
      </w:r>
      <w:r w:rsidRPr="009B3C19">
        <w:rPr>
          <w:rStyle w:val="st1"/>
          <w:i/>
          <w:lang w:val="en-GB"/>
        </w:rPr>
        <w:t xml:space="preserve"> </w:t>
      </w:r>
      <w:r w:rsidRPr="009B3C19">
        <w:rPr>
          <w:rStyle w:val="st1"/>
          <w:lang w:val="en-GB"/>
        </w:rPr>
        <w:t xml:space="preserve"> </w:t>
      </w:r>
      <w:r>
        <w:rPr>
          <w:rStyle w:val="st1"/>
          <w:lang w:val="en-GB"/>
        </w:rPr>
        <w:t>d</w:t>
      </w:r>
      <w:r w:rsidRPr="009B3C19">
        <w:rPr>
          <w:rStyle w:val="st1"/>
          <w:lang w:val="en-GB"/>
        </w:rPr>
        <w:t>octor</w:t>
      </w:r>
      <w:proofErr w:type="gramEnd"/>
      <w:r w:rsidRPr="009B3C19">
        <w:rPr>
          <w:rStyle w:val="st1"/>
          <w:lang w:val="en-GB"/>
        </w:rPr>
        <w:t xml:space="preserve"> </w:t>
      </w:r>
      <w:proofErr w:type="spellStart"/>
      <w:r w:rsidRPr="009B3C19">
        <w:rPr>
          <w:rStyle w:val="st1"/>
          <w:lang w:val="en-GB"/>
        </w:rPr>
        <w:t>Domenico</w:t>
      </w:r>
      <w:proofErr w:type="spellEnd"/>
      <w:r w:rsidRPr="009B3C19">
        <w:rPr>
          <w:rStyle w:val="st1"/>
          <w:lang w:val="en-GB"/>
        </w:rPr>
        <w:t xml:space="preserve"> </w:t>
      </w:r>
      <w:proofErr w:type="spellStart"/>
      <w:r w:rsidRPr="009B3C19">
        <w:rPr>
          <w:rStyle w:val="st1"/>
          <w:lang w:val="en-GB"/>
        </w:rPr>
        <w:t>Panaroli’s</w:t>
      </w:r>
      <w:proofErr w:type="spellEnd"/>
      <w:r w:rsidRPr="009B3C19">
        <w:rPr>
          <w:rStyle w:val="st1"/>
          <w:lang w:val="en-GB"/>
        </w:rPr>
        <w:t xml:space="preserve"> </w:t>
      </w:r>
      <w:proofErr w:type="spellStart"/>
      <w:r>
        <w:rPr>
          <w:rStyle w:val="st1"/>
          <w:i/>
          <w:lang w:val="en-GB"/>
        </w:rPr>
        <w:t>L’Aria</w:t>
      </w:r>
      <w:proofErr w:type="spellEnd"/>
      <w:r>
        <w:rPr>
          <w:rStyle w:val="st1"/>
          <w:i/>
          <w:lang w:val="en-GB"/>
        </w:rPr>
        <w:t xml:space="preserve"> </w:t>
      </w:r>
      <w:proofErr w:type="spellStart"/>
      <w:r>
        <w:rPr>
          <w:rStyle w:val="st1"/>
          <w:i/>
          <w:lang w:val="en-GB"/>
        </w:rPr>
        <w:t>Celimontana</w:t>
      </w:r>
      <w:proofErr w:type="spellEnd"/>
      <w:r w:rsidRPr="009B3C19">
        <w:rPr>
          <w:rStyle w:val="st1"/>
          <w:lang w:val="en-GB"/>
        </w:rPr>
        <w:t xml:space="preserve"> on the air of one of the Roman hills, Mount </w:t>
      </w:r>
      <w:proofErr w:type="spellStart"/>
      <w:r w:rsidRPr="009B3C19">
        <w:rPr>
          <w:rStyle w:val="st1"/>
          <w:lang w:val="en-GB"/>
        </w:rPr>
        <w:t>Celio</w:t>
      </w:r>
      <w:proofErr w:type="spellEnd"/>
      <w:r w:rsidRPr="009B3C19">
        <w:rPr>
          <w:rStyle w:val="st1"/>
          <w:lang w:val="en-GB"/>
        </w:rPr>
        <w:t xml:space="preserve"> (1642).</w:t>
      </w:r>
    </w:p>
  </w:footnote>
  <w:footnote w:id="53">
    <w:p w:rsidR="00DF2756" w:rsidRDefault="00DF2756">
      <w:pPr>
        <w:pStyle w:val="FootnoteText"/>
        <w:jc w:val="both"/>
        <w:rPr>
          <w:lang w:val="en-GB"/>
        </w:rPr>
      </w:pPr>
      <w:r>
        <w:rPr>
          <w:rStyle w:val="FootnoteReference"/>
        </w:rPr>
        <w:footnoteRef/>
      </w:r>
      <w:r w:rsidRPr="000F127A">
        <w:rPr>
          <w:lang w:val="en-GB"/>
        </w:rPr>
        <w:t xml:space="preserve"> </w:t>
      </w:r>
      <w:r w:rsidRPr="000F127A">
        <w:rPr>
          <w:lang w:val="en-US"/>
        </w:rPr>
        <w:t xml:space="preserve">A case in point is represented by Doctor </w:t>
      </w:r>
      <w:proofErr w:type="spellStart"/>
      <w:r w:rsidRPr="000F127A">
        <w:rPr>
          <w:lang w:val="en-US"/>
        </w:rPr>
        <w:t>Rangoni</w:t>
      </w:r>
      <w:proofErr w:type="spellEnd"/>
      <w:r>
        <w:rPr>
          <w:lang w:val="en-US"/>
        </w:rPr>
        <w:t xml:space="preserve">: </w:t>
      </w:r>
      <w:r w:rsidRPr="000F127A">
        <w:rPr>
          <w:lang w:val="en-US"/>
        </w:rPr>
        <w:t>a renowned astrologer, author of numerous climatic predictions</w:t>
      </w:r>
      <w:r>
        <w:rPr>
          <w:lang w:val="en-US"/>
        </w:rPr>
        <w:t>,</w:t>
      </w:r>
      <w:r w:rsidRPr="000F127A">
        <w:rPr>
          <w:lang w:val="en-US"/>
        </w:rPr>
        <w:t xml:space="preserve"> </w:t>
      </w:r>
      <w:r>
        <w:rPr>
          <w:lang w:val="en-US"/>
        </w:rPr>
        <w:t xml:space="preserve">he then </w:t>
      </w:r>
      <w:r w:rsidRPr="000F127A">
        <w:rPr>
          <w:lang w:val="en-US"/>
        </w:rPr>
        <w:t>refashion</w:t>
      </w:r>
      <w:r>
        <w:rPr>
          <w:lang w:val="en-US"/>
        </w:rPr>
        <w:t>ed</w:t>
      </w:r>
      <w:r w:rsidRPr="000F127A">
        <w:rPr>
          <w:lang w:val="en-US"/>
        </w:rPr>
        <w:t xml:space="preserve"> as natural philosopher and author</w:t>
      </w:r>
      <w:r>
        <w:rPr>
          <w:lang w:val="en-US"/>
        </w:rPr>
        <w:t>ed</w:t>
      </w:r>
      <w:r w:rsidRPr="000F127A">
        <w:rPr>
          <w:lang w:val="en-US"/>
        </w:rPr>
        <w:t xml:space="preserve"> the first city-related regimen</w:t>
      </w:r>
      <w:r>
        <w:rPr>
          <w:lang w:val="en-US"/>
        </w:rPr>
        <w:t xml:space="preserve">, </w:t>
      </w:r>
      <w:r w:rsidRPr="000F127A">
        <w:rPr>
          <w:lang w:val="en-US"/>
        </w:rPr>
        <w:t xml:space="preserve">which contains a detailed analysis of </w:t>
      </w:r>
      <w:r>
        <w:rPr>
          <w:lang w:val="en-US"/>
        </w:rPr>
        <w:t xml:space="preserve">Venetian </w:t>
      </w:r>
      <w:r w:rsidRPr="000F127A">
        <w:rPr>
          <w:lang w:val="en-US"/>
        </w:rPr>
        <w:t>air.</w:t>
      </w:r>
      <w:r w:rsidRPr="00910167">
        <w:rPr>
          <w:color w:val="1F497D" w:themeColor="text2"/>
          <w:sz w:val="24"/>
          <w:szCs w:val="24"/>
          <w:lang w:val="en-US"/>
        </w:rPr>
        <w:t xml:space="preserve"> </w:t>
      </w:r>
      <w:r w:rsidRPr="00910167">
        <w:rPr>
          <w:color w:val="1F497D" w:themeColor="text2"/>
          <w:sz w:val="24"/>
          <w:szCs w:val="24"/>
          <w:lang w:val="en-GB"/>
        </w:rPr>
        <w:t xml:space="preserve"> </w:t>
      </w:r>
    </w:p>
  </w:footnote>
  <w:footnote w:id="54">
    <w:p w:rsidR="00DF2756" w:rsidRDefault="00DF2756">
      <w:pPr>
        <w:spacing w:line="240" w:lineRule="auto"/>
        <w:jc w:val="both"/>
        <w:rPr>
          <w:i/>
        </w:rPr>
      </w:pPr>
      <w:r>
        <w:rPr>
          <w:rStyle w:val="FootnoteReference"/>
        </w:rPr>
        <w:footnoteRef/>
      </w:r>
      <w:r w:rsidRPr="00A41933">
        <w:t xml:space="preserve"> </w:t>
      </w:r>
      <w:proofErr w:type="gramStart"/>
      <w:r w:rsidRPr="009B3C19">
        <w:rPr>
          <w:rFonts w:ascii="Times New Roman" w:hAnsi="Times New Roman" w:cs="Times New Roman"/>
          <w:sz w:val="20"/>
          <w:szCs w:val="20"/>
        </w:rPr>
        <w:t xml:space="preserve">Cavallo and Storey, </w:t>
      </w:r>
      <w:r w:rsidRPr="009B3C19">
        <w:rPr>
          <w:rFonts w:ascii="Times New Roman" w:hAnsi="Times New Roman" w:cs="Times New Roman"/>
          <w:i/>
          <w:sz w:val="20"/>
          <w:szCs w:val="20"/>
        </w:rPr>
        <w:t>Healthy Living</w:t>
      </w:r>
      <w:r w:rsidRPr="009B3C19">
        <w:rPr>
          <w:rFonts w:ascii="Times New Roman" w:hAnsi="Times New Roman" w:cs="Times New Roman"/>
          <w:sz w:val="20"/>
          <w:szCs w:val="20"/>
        </w:rPr>
        <w:t>,</w:t>
      </w:r>
      <w:r>
        <w:rPr>
          <w:rFonts w:ascii="Times New Roman" w:hAnsi="Times New Roman" w:cs="Times New Roman"/>
          <w:sz w:val="20"/>
          <w:szCs w:val="20"/>
        </w:rPr>
        <w:t xml:space="preserve"> 84, 87, 91.</w:t>
      </w:r>
      <w:proofErr w:type="gramEnd"/>
      <w:r>
        <w:rPr>
          <w:rFonts w:ascii="Times New Roman" w:hAnsi="Times New Roman" w:cs="Times New Roman"/>
          <w:sz w:val="20"/>
          <w:szCs w:val="20"/>
        </w:rPr>
        <w:t xml:space="preserve">  </w:t>
      </w:r>
      <w:r w:rsidRPr="009B3C19">
        <w:rPr>
          <w:rFonts w:ascii="Times New Roman" w:hAnsi="Times New Roman" w:cs="Times New Roman"/>
          <w:sz w:val="20"/>
          <w:szCs w:val="20"/>
        </w:rPr>
        <w:t xml:space="preserve">See also </w:t>
      </w:r>
      <w:r>
        <w:rPr>
          <w:rFonts w:ascii="Times New Roman" w:hAnsi="Times New Roman" w:cs="Times New Roman"/>
          <w:sz w:val="20"/>
          <w:szCs w:val="20"/>
        </w:rPr>
        <w:t xml:space="preserve">the examples in </w:t>
      </w:r>
      <w:r w:rsidRPr="009B3C19">
        <w:rPr>
          <w:rFonts w:ascii="Times New Roman" w:hAnsi="Times New Roman" w:cs="Times New Roman"/>
          <w:sz w:val="20"/>
          <w:szCs w:val="20"/>
        </w:rPr>
        <w:t xml:space="preserve">F. Gage, </w:t>
      </w:r>
      <w:r>
        <w:rPr>
          <w:rFonts w:ascii="Times New Roman" w:hAnsi="Times New Roman" w:cs="Times New Roman"/>
          <w:sz w:val="20"/>
          <w:szCs w:val="20"/>
        </w:rPr>
        <w:t>‘</w:t>
      </w:r>
      <w:r w:rsidRPr="009B3C19">
        <w:rPr>
          <w:rFonts w:ascii="Times New Roman" w:hAnsi="Times New Roman" w:cs="Times New Roman"/>
          <w:sz w:val="20"/>
          <w:szCs w:val="20"/>
        </w:rPr>
        <w:t xml:space="preserve">Chasing </w:t>
      </w:r>
      <w:r>
        <w:rPr>
          <w:rFonts w:ascii="Times New Roman" w:hAnsi="Times New Roman" w:cs="Times New Roman"/>
          <w:sz w:val="20"/>
          <w:szCs w:val="20"/>
        </w:rPr>
        <w:t>“g</w:t>
      </w:r>
      <w:r w:rsidRPr="009B3C19">
        <w:rPr>
          <w:rFonts w:ascii="Times New Roman" w:hAnsi="Times New Roman" w:cs="Times New Roman"/>
          <w:sz w:val="20"/>
          <w:szCs w:val="20"/>
        </w:rPr>
        <w:t xml:space="preserve">ood </w:t>
      </w:r>
      <w:r>
        <w:rPr>
          <w:rFonts w:ascii="Times New Roman" w:hAnsi="Times New Roman" w:cs="Times New Roman"/>
          <w:sz w:val="20"/>
          <w:szCs w:val="20"/>
        </w:rPr>
        <w:t>a</w:t>
      </w:r>
      <w:r w:rsidRPr="009B3C19">
        <w:rPr>
          <w:rFonts w:ascii="Times New Roman" w:hAnsi="Times New Roman" w:cs="Times New Roman"/>
          <w:sz w:val="20"/>
          <w:szCs w:val="20"/>
        </w:rPr>
        <w:t>ir</w:t>
      </w:r>
      <w:r>
        <w:rPr>
          <w:rFonts w:ascii="Times New Roman" w:hAnsi="Times New Roman" w:cs="Times New Roman"/>
          <w:sz w:val="20"/>
          <w:szCs w:val="20"/>
        </w:rPr>
        <w:t>”</w:t>
      </w:r>
      <w:r w:rsidRPr="009B3C19">
        <w:rPr>
          <w:rFonts w:ascii="Times New Roman" w:hAnsi="Times New Roman" w:cs="Times New Roman"/>
          <w:sz w:val="20"/>
          <w:szCs w:val="20"/>
        </w:rPr>
        <w:t xml:space="preserve"> and </w:t>
      </w:r>
      <w:r>
        <w:rPr>
          <w:rFonts w:ascii="Times New Roman" w:hAnsi="Times New Roman" w:cs="Times New Roman"/>
          <w:sz w:val="20"/>
          <w:szCs w:val="20"/>
        </w:rPr>
        <w:t>v</w:t>
      </w:r>
      <w:r w:rsidRPr="009B3C19">
        <w:rPr>
          <w:rFonts w:ascii="Times New Roman" w:hAnsi="Times New Roman" w:cs="Times New Roman"/>
          <w:sz w:val="20"/>
          <w:szCs w:val="20"/>
        </w:rPr>
        <w:t xml:space="preserve">iewing </w:t>
      </w:r>
      <w:r>
        <w:rPr>
          <w:rFonts w:ascii="Times New Roman" w:hAnsi="Times New Roman" w:cs="Times New Roman"/>
          <w:sz w:val="20"/>
          <w:szCs w:val="20"/>
        </w:rPr>
        <w:t>b</w:t>
      </w:r>
      <w:r w:rsidRPr="009B3C19">
        <w:rPr>
          <w:rFonts w:ascii="Times New Roman" w:hAnsi="Times New Roman" w:cs="Times New Roman"/>
          <w:sz w:val="20"/>
          <w:szCs w:val="20"/>
        </w:rPr>
        <w:t xml:space="preserve">eautiful </w:t>
      </w:r>
      <w:r>
        <w:rPr>
          <w:rFonts w:ascii="Times New Roman" w:hAnsi="Times New Roman" w:cs="Times New Roman"/>
          <w:sz w:val="20"/>
          <w:szCs w:val="20"/>
        </w:rPr>
        <w:t>p</w:t>
      </w:r>
      <w:r w:rsidRPr="009B3C19">
        <w:rPr>
          <w:rFonts w:ascii="Times New Roman" w:hAnsi="Times New Roman" w:cs="Times New Roman"/>
          <w:sz w:val="20"/>
          <w:szCs w:val="20"/>
        </w:rPr>
        <w:t xml:space="preserve">erspectives: </w:t>
      </w:r>
      <w:r>
        <w:rPr>
          <w:rFonts w:ascii="Times New Roman" w:hAnsi="Times New Roman" w:cs="Times New Roman"/>
          <w:sz w:val="20"/>
          <w:szCs w:val="20"/>
        </w:rPr>
        <w:t>p</w:t>
      </w:r>
      <w:r w:rsidRPr="009B3C19">
        <w:rPr>
          <w:rFonts w:ascii="Times New Roman" w:hAnsi="Times New Roman" w:cs="Times New Roman"/>
          <w:sz w:val="20"/>
          <w:szCs w:val="20"/>
        </w:rPr>
        <w:t xml:space="preserve">ainting and </w:t>
      </w:r>
      <w:r>
        <w:rPr>
          <w:rFonts w:ascii="Times New Roman" w:hAnsi="Times New Roman" w:cs="Times New Roman"/>
          <w:sz w:val="20"/>
          <w:szCs w:val="20"/>
        </w:rPr>
        <w:t>h</w:t>
      </w:r>
      <w:r w:rsidRPr="009B3C19">
        <w:rPr>
          <w:rFonts w:ascii="Times New Roman" w:hAnsi="Times New Roman" w:cs="Times New Roman"/>
          <w:sz w:val="20"/>
          <w:szCs w:val="20"/>
        </w:rPr>
        <w:t xml:space="preserve">ealth </w:t>
      </w:r>
      <w:r>
        <w:rPr>
          <w:rFonts w:ascii="Times New Roman" w:hAnsi="Times New Roman" w:cs="Times New Roman"/>
          <w:sz w:val="20"/>
          <w:szCs w:val="20"/>
        </w:rPr>
        <w:t>p</w:t>
      </w:r>
      <w:r w:rsidRPr="009B3C19">
        <w:rPr>
          <w:rFonts w:ascii="Times New Roman" w:hAnsi="Times New Roman" w:cs="Times New Roman"/>
          <w:sz w:val="20"/>
          <w:szCs w:val="20"/>
        </w:rPr>
        <w:t>reservation</w:t>
      </w:r>
      <w:r>
        <w:rPr>
          <w:rFonts w:ascii="Times New Roman" w:hAnsi="Times New Roman" w:cs="Times New Roman"/>
          <w:sz w:val="20"/>
          <w:szCs w:val="20"/>
        </w:rPr>
        <w:t xml:space="preserve"> i</w:t>
      </w:r>
      <w:r w:rsidRPr="009B3C19">
        <w:rPr>
          <w:rFonts w:ascii="Times New Roman" w:hAnsi="Times New Roman" w:cs="Times New Roman"/>
          <w:sz w:val="20"/>
          <w:szCs w:val="20"/>
        </w:rPr>
        <w:t xml:space="preserve">n </w:t>
      </w:r>
      <w:r>
        <w:rPr>
          <w:rFonts w:ascii="Times New Roman" w:hAnsi="Times New Roman" w:cs="Times New Roman"/>
          <w:sz w:val="20"/>
          <w:szCs w:val="20"/>
        </w:rPr>
        <w:t>s</w:t>
      </w:r>
      <w:r w:rsidRPr="009B3C19">
        <w:rPr>
          <w:rFonts w:ascii="Times New Roman" w:hAnsi="Times New Roman" w:cs="Times New Roman"/>
          <w:sz w:val="20"/>
          <w:szCs w:val="20"/>
        </w:rPr>
        <w:t>eventeenth-</w:t>
      </w:r>
      <w:r>
        <w:rPr>
          <w:rFonts w:ascii="Times New Roman" w:hAnsi="Times New Roman" w:cs="Times New Roman"/>
          <w:sz w:val="20"/>
          <w:szCs w:val="20"/>
        </w:rPr>
        <w:t>c</w:t>
      </w:r>
      <w:r w:rsidRPr="009B3C19">
        <w:rPr>
          <w:rFonts w:ascii="Times New Roman" w:hAnsi="Times New Roman" w:cs="Times New Roman"/>
          <w:sz w:val="20"/>
          <w:szCs w:val="20"/>
        </w:rPr>
        <w:t>entury Rome</w:t>
      </w:r>
      <w:r>
        <w:rPr>
          <w:rFonts w:ascii="Times New Roman" w:hAnsi="Times New Roman" w:cs="Times New Roman"/>
          <w:sz w:val="20"/>
          <w:szCs w:val="20"/>
        </w:rPr>
        <w:t xml:space="preserve">’, in Cavallo and Storey </w:t>
      </w:r>
      <w:proofErr w:type="spellStart"/>
      <w:proofErr w:type="gramStart"/>
      <w:r>
        <w:rPr>
          <w:rFonts w:ascii="Times New Roman" w:hAnsi="Times New Roman" w:cs="Times New Roman"/>
          <w:sz w:val="20"/>
          <w:szCs w:val="20"/>
        </w:rPr>
        <w:t>eds</w:t>
      </w:r>
      <w:proofErr w:type="spellEnd"/>
      <w:proofErr w:type="gramEnd"/>
      <w:r>
        <w:rPr>
          <w:rFonts w:ascii="Times New Roman" w:hAnsi="Times New Roman" w:cs="Times New Roman"/>
          <w:sz w:val="20"/>
          <w:szCs w:val="20"/>
        </w:rPr>
        <w:t xml:space="preserve">, </w:t>
      </w:r>
      <w:r>
        <w:rPr>
          <w:rFonts w:ascii="Times New Roman" w:hAnsi="Times New Roman" w:cs="Times New Roman"/>
          <w:i/>
          <w:sz w:val="20"/>
          <w:szCs w:val="20"/>
        </w:rPr>
        <w:t xml:space="preserve">Conserving Health. </w:t>
      </w:r>
    </w:p>
  </w:footnote>
  <w:footnote w:id="55">
    <w:p w:rsidR="00DF2756" w:rsidRDefault="00DF2756">
      <w:pPr>
        <w:pStyle w:val="FootnoteText"/>
        <w:jc w:val="both"/>
        <w:rPr>
          <w:lang w:val="en-GB"/>
        </w:rPr>
      </w:pPr>
      <w:r>
        <w:rPr>
          <w:rStyle w:val="FootnoteReference"/>
        </w:rPr>
        <w:footnoteRef/>
      </w:r>
      <w:r w:rsidRPr="009B3C19">
        <w:rPr>
          <w:lang w:val="en-GB"/>
        </w:rPr>
        <w:t xml:space="preserve"> </w:t>
      </w:r>
      <w:r>
        <w:rPr>
          <w:lang w:val="en-GB"/>
        </w:rPr>
        <w:t xml:space="preserve">Cavallo and Storey, </w:t>
      </w:r>
      <w:r w:rsidRPr="00A41933">
        <w:rPr>
          <w:i/>
          <w:lang w:val="en-GB"/>
        </w:rPr>
        <w:t>Healthy Living</w:t>
      </w:r>
      <w:r>
        <w:rPr>
          <w:lang w:val="en-GB"/>
        </w:rPr>
        <w:t>,</w:t>
      </w:r>
      <w:r w:rsidRPr="00074288">
        <w:rPr>
          <w:lang w:val="en-GB"/>
        </w:rPr>
        <w:t xml:space="preserve"> </w:t>
      </w:r>
      <w:r w:rsidRPr="009B3C19">
        <w:rPr>
          <w:lang w:val="en-GB"/>
        </w:rPr>
        <w:t>beds 91-98, 133-38</w:t>
      </w:r>
      <w:r w:rsidRPr="002B5E87">
        <w:rPr>
          <w:lang w:val="en-GB"/>
        </w:rPr>
        <w:t>.</w:t>
      </w:r>
      <w:r>
        <w:rPr>
          <w:lang w:val="en-GB"/>
        </w:rPr>
        <w:t xml:space="preserve">  </w:t>
      </w:r>
    </w:p>
  </w:footnote>
  <w:footnote w:id="56">
    <w:p w:rsidR="00DF2756" w:rsidRDefault="00DF2756">
      <w:pPr>
        <w:pStyle w:val="FootnoteText"/>
        <w:jc w:val="both"/>
        <w:rPr>
          <w:lang w:val="en-GB"/>
        </w:rPr>
      </w:pPr>
      <w:r>
        <w:rPr>
          <w:rStyle w:val="FootnoteReference"/>
        </w:rPr>
        <w:footnoteRef/>
      </w:r>
      <w:r w:rsidRPr="009B3C19">
        <w:rPr>
          <w:lang w:val="en-GB"/>
        </w:rPr>
        <w:t xml:space="preserve"> </w:t>
      </w:r>
      <w:proofErr w:type="gramStart"/>
      <w:r w:rsidR="00A21EA5" w:rsidRPr="00A21EA5">
        <w:rPr>
          <w:i/>
          <w:lang w:val="en-GB"/>
        </w:rPr>
        <w:t>Ibid</w:t>
      </w:r>
      <w:r>
        <w:rPr>
          <w:lang w:val="en-GB"/>
        </w:rPr>
        <w:t>. 75, 105-6; 107-11.</w:t>
      </w:r>
      <w:proofErr w:type="gramEnd"/>
      <w:r>
        <w:rPr>
          <w:lang w:val="en-GB"/>
        </w:rPr>
        <w:t xml:space="preserve"> </w:t>
      </w:r>
    </w:p>
  </w:footnote>
  <w:footnote w:id="57">
    <w:p w:rsidR="00DF2756" w:rsidRDefault="00DF2756">
      <w:pPr>
        <w:pStyle w:val="FootnoteText"/>
        <w:jc w:val="both"/>
        <w:rPr>
          <w:lang w:val="en-GB"/>
        </w:rPr>
      </w:pPr>
      <w:r>
        <w:rPr>
          <w:rStyle w:val="FootnoteReference"/>
        </w:rPr>
        <w:footnoteRef/>
      </w:r>
      <w:r w:rsidRPr="002C6396">
        <w:rPr>
          <w:lang w:val="en-GB"/>
        </w:rPr>
        <w:t xml:space="preserve"> </w:t>
      </w:r>
      <w:r>
        <w:rPr>
          <w:lang w:val="en-GB"/>
        </w:rPr>
        <w:t>D. Howard, ‘</w:t>
      </w:r>
      <w:r>
        <w:rPr>
          <w:rStyle w:val="st1"/>
          <w:color w:val="222222"/>
          <w:lang w:val="en-GB"/>
        </w:rPr>
        <w:t>Seasonal Apartments in R</w:t>
      </w:r>
      <w:r w:rsidRPr="002C6396">
        <w:rPr>
          <w:rStyle w:val="st1"/>
          <w:color w:val="222222"/>
          <w:lang w:val="en-GB"/>
        </w:rPr>
        <w:t xml:space="preserve">enaissance Italy’, </w:t>
      </w:r>
      <w:proofErr w:type="spellStart"/>
      <w:r w:rsidRPr="002C6396">
        <w:rPr>
          <w:rStyle w:val="st1"/>
          <w:i/>
          <w:color w:val="222222"/>
          <w:lang w:val="en-GB"/>
        </w:rPr>
        <w:t>Artibus</w:t>
      </w:r>
      <w:proofErr w:type="spellEnd"/>
      <w:r w:rsidRPr="002C6396">
        <w:rPr>
          <w:rStyle w:val="st1"/>
          <w:i/>
          <w:color w:val="222222"/>
          <w:lang w:val="en-GB"/>
        </w:rPr>
        <w:t xml:space="preserve"> and </w:t>
      </w:r>
      <w:proofErr w:type="spellStart"/>
      <w:r w:rsidRPr="002C6396">
        <w:rPr>
          <w:rStyle w:val="st1"/>
          <w:i/>
          <w:color w:val="222222"/>
          <w:lang w:val="en-GB"/>
        </w:rPr>
        <w:t>Historiae</w:t>
      </w:r>
      <w:proofErr w:type="spellEnd"/>
      <w:r w:rsidRPr="002C6396">
        <w:rPr>
          <w:rStyle w:val="st1"/>
          <w:color w:val="222222"/>
          <w:lang w:val="en-GB"/>
        </w:rPr>
        <w:t xml:space="preserve">, </w:t>
      </w:r>
      <w:r>
        <w:rPr>
          <w:rStyle w:val="st1"/>
          <w:color w:val="222222"/>
          <w:lang w:val="en-GB"/>
        </w:rPr>
        <w:t>22:43 (</w:t>
      </w:r>
      <w:r w:rsidRPr="002C6396">
        <w:rPr>
          <w:rStyle w:val="st1"/>
          <w:color w:val="222222"/>
          <w:lang w:val="en-GB"/>
        </w:rPr>
        <w:t>2001</w:t>
      </w:r>
      <w:r>
        <w:rPr>
          <w:rStyle w:val="st1"/>
          <w:color w:val="222222"/>
          <w:lang w:val="en-GB"/>
        </w:rPr>
        <w:t>), 127-35, 128. Howard discusses the issue only in relation to room orientation and seasonal living quarters.</w:t>
      </w:r>
    </w:p>
  </w:footnote>
  <w:footnote w:id="58">
    <w:p w:rsidR="00DF2756" w:rsidRPr="00A149F7" w:rsidRDefault="00DF2756">
      <w:pPr>
        <w:pStyle w:val="FootnoteText"/>
        <w:jc w:val="both"/>
      </w:pPr>
      <w:r>
        <w:rPr>
          <w:rStyle w:val="FootnoteReference"/>
        </w:rPr>
        <w:footnoteRef/>
      </w:r>
      <w:r w:rsidRPr="00A149F7">
        <w:t xml:space="preserve"> L. B. Alberti, </w:t>
      </w:r>
      <w:r w:rsidRPr="00A149F7">
        <w:rPr>
          <w:i/>
        </w:rPr>
        <w:t>L’Architettura: De Re Aedificatoria</w:t>
      </w:r>
      <w:r w:rsidRPr="00A149F7">
        <w:t>, Latin text and translation into Italian by G. Orlandi with notes by P. Portoghesi</w:t>
      </w:r>
      <w:r w:rsidRPr="00A149F7">
        <w:rPr>
          <w:i/>
        </w:rPr>
        <w:t xml:space="preserve"> </w:t>
      </w:r>
      <w:r w:rsidRPr="00A149F7">
        <w:t xml:space="preserve">(Milan: Il Polifilo, 1966), 30-31; V. Scamozzi, </w:t>
      </w:r>
      <w:r w:rsidRPr="00A149F7">
        <w:rPr>
          <w:i/>
        </w:rPr>
        <w:t xml:space="preserve">Dell’Idea dell’Architettura Universale </w:t>
      </w:r>
      <w:r w:rsidRPr="00A149F7">
        <w:t xml:space="preserve"> (Venezia: Girolam</w:t>
      </w:r>
      <w:r>
        <w:t xml:space="preserve">o Albrizzi, 1715, first ed. </w:t>
      </w:r>
      <w:r w:rsidRPr="00A149F7">
        <w:t>1615), Part I, 135.</w:t>
      </w:r>
    </w:p>
  </w:footnote>
  <w:footnote w:id="59">
    <w:p w:rsidR="00DF2756" w:rsidRDefault="00DF2756">
      <w:pPr>
        <w:pStyle w:val="FootnoteText"/>
        <w:jc w:val="both"/>
        <w:rPr>
          <w:lang w:val="en-GB"/>
        </w:rPr>
      </w:pPr>
      <w:r>
        <w:rPr>
          <w:rStyle w:val="FootnoteReference"/>
        </w:rPr>
        <w:footnoteRef/>
      </w:r>
      <w:r w:rsidRPr="009B3C19">
        <w:rPr>
          <w:lang w:val="en-GB"/>
        </w:rPr>
        <w:t xml:space="preserve"> </w:t>
      </w:r>
      <w:r w:rsidRPr="00AA7F70">
        <w:rPr>
          <w:lang w:val="en-GB"/>
        </w:rPr>
        <w:t xml:space="preserve">A. Nova, ‘The </w:t>
      </w:r>
      <w:r>
        <w:rPr>
          <w:lang w:val="en-GB"/>
        </w:rPr>
        <w:t>R</w:t>
      </w:r>
      <w:r w:rsidRPr="00AA7F70">
        <w:rPr>
          <w:lang w:val="en-GB"/>
        </w:rPr>
        <w:t xml:space="preserve">ole of the </w:t>
      </w:r>
      <w:r>
        <w:rPr>
          <w:lang w:val="en-GB"/>
        </w:rPr>
        <w:t>W</w:t>
      </w:r>
      <w:r w:rsidRPr="00AA7F70">
        <w:rPr>
          <w:lang w:val="en-GB"/>
        </w:rPr>
        <w:t xml:space="preserve">inds in </w:t>
      </w:r>
      <w:r>
        <w:rPr>
          <w:lang w:val="en-GB"/>
        </w:rPr>
        <w:t>A</w:t>
      </w:r>
      <w:r w:rsidRPr="00AA7F70">
        <w:rPr>
          <w:lang w:val="en-GB"/>
        </w:rPr>
        <w:t xml:space="preserve">rchitectural </w:t>
      </w:r>
      <w:r>
        <w:rPr>
          <w:lang w:val="en-GB"/>
        </w:rPr>
        <w:t>T</w:t>
      </w:r>
      <w:r w:rsidRPr="00AA7F70">
        <w:rPr>
          <w:lang w:val="en-GB"/>
        </w:rPr>
        <w:t xml:space="preserve">heory from Vitruvius to </w:t>
      </w:r>
      <w:proofErr w:type="spellStart"/>
      <w:r w:rsidRPr="00AA7F70">
        <w:rPr>
          <w:lang w:val="en-GB"/>
        </w:rPr>
        <w:t>Scamozzi</w:t>
      </w:r>
      <w:proofErr w:type="spellEnd"/>
      <w:r w:rsidRPr="00AA7F70">
        <w:rPr>
          <w:lang w:val="en-GB"/>
        </w:rPr>
        <w:t xml:space="preserve">’, in </w:t>
      </w:r>
      <w:proofErr w:type="spellStart"/>
      <w:r w:rsidRPr="00AA7F70">
        <w:rPr>
          <w:lang w:val="en-GB"/>
        </w:rPr>
        <w:t>Kenda</w:t>
      </w:r>
      <w:proofErr w:type="spellEnd"/>
      <w:r w:rsidRPr="00AA7F70">
        <w:rPr>
          <w:lang w:val="en-GB"/>
        </w:rPr>
        <w:t xml:space="preserve"> ed., </w:t>
      </w:r>
      <w:r w:rsidRPr="00AA7F70">
        <w:rPr>
          <w:i/>
          <w:lang w:val="en-GB"/>
        </w:rPr>
        <w:t>Aeolian Winds</w:t>
      </w:r>
      <w:r>
        <w:rPr>
          <w:lang w:val="en-GB"/>
        </w:rPr>
        <w:t>, 74</w:t>
      </w:r>
      <w:r w:rsidRPr="00AA7F70">
        <w:rPr>
          <w:lang w:val="en-GB"/>
        </w:rPr>
        <w:t>.</w:t>
      </w:r>
    </w:p>
  </w:footnote>
  <w:footnote w:id="60">
    <w:p w:rsidR="00DF2756" w:rsidRDefault="00DF2756">
      <w:pPr>
        <w:pStyle w:val="FootnoteText"/>
        <w:jc w:val="both"/>
        <w:rPr>
          <w:lang w:val="en-GB"/>
        </w:rPr>
      </w:pPr>
      <w:r>
        <w:rPr>
          <w:rStyle w:val="FootnoteReference"/>
        </w:rPr>
        <w:footnoteRef/>
      </w:r>
      <w:r w:rsidRPr="009B3C19">
        <w:rPr>
          <w:lang w:val="en-GB"/>
        </w:rPr>
        <w:t xml:space="preserve"> </w:t>
      </w:r>
      <w:proofErr w:type="gramStart"/>
      <w:r>
        <w:rPr>
          <w:i/>
          <w:lang w:val="en-GB"/>
        </w:rPr>
        <w:t>Ibid.</w:t>
      </w:r>
      <w:r>
        <w:rPr>
          <w:lang w:val="en-GB"/>
        </w:rPr>
        <w:t>,</w:t>
      </w:r>
      <w:proofErr w:type="gramEnd"/>
      <w:r>
        <w:rPr>
          <w:lang w:val="en-GB"/>
        </w:rPr>
        <w:t xml:space="preserve"> 75.</w:t>
      </w:r>
      <w:r>
        <w:rPr>
          <w:i/>
          <w:lang w:val="en-GB"/>
        </w:rPr>
        <w:t xml:space="preserve"> </w:t>
      </w:r>
    </w:p>
  </w:footnote>
  <w:footnote w:id="61">
    <w:p w:rsidR="00DF2756" w:rsidRDefault="00DF2756">
      <w:pPr>
        <w:pStyle w:val="FootnoteText"/>
        <w:jc w:val="both"/>
        <w:rPr>
          <w:lang w:val="en-GB"/>
        </w:rPr>
      </w:pPr>
      <w:r>
        <w:rPr>
          <w:rStyle w:val="FootnoteReference"/>
        </w:rPr>
        <w:footnoteRef/>
      </w:r>
      <w:r w:rsidRPr="00C3207E">
        <w:rPr>
          <w:lang w:val="en-GB"/>
        </w:rPr>
        <w:t xml:space="preserve"> </w:t>
      </w:r>
      <w:r>
        <w:rPr>
          <w:lang w:val="en-GB"/>
        </w:rPr>
        <w:t>M. Hardy,</w:t>
      </w:r>
      <w:r w:rsidRPr="00E32E85">
        <w:rPr>
          <w:lang w:val="en-GB"/>
        </w:rPr>
        <w:t xml:space="preserve"> ‘”Study t</w:t>
      </w:r>
      <w:r>
        <w:rPr>
          <w:lang w:val="en-GB"/>
        </w:rPr>
        <w:t>h</w:t>
      </w:r>
      <w:r w:rsidRPr="00E32E85">
        <w:rPr>
          <w:lang w:val="en-GB"/>
        </w:rPr>
        <w:t>e</w:t>
      </w:r>
      <w:r>
        <w:rPr>
          <w:lang w:val="en-GB"/>
        </w:rPr>
        <w:t xml:space="preserve"> W</w:t>
      </w:r>
      <w:r w:rsidRPr="00E32E85">
        <w:rPr>
          <w:lang w:val="en-GB"/>
        </w:rPr>
        <w:t xml:space="preserve">arm </w:t>
      </w:r>
      <w:r>
        <w:rPr>
          <w:lang w:val="en-GB"/>
        </w:rPr>
        <w:t>W</w:t>
      </w:r>
      <w:r w:rsidRPr="00E32E85">
        <w:rPr>
          <w:lang w:val="en-GB"/>
        </w:rPr>
        <w:t>inds and the c</w:t>
      </w:r>
      <w:r>
        <w:rPr>
          <w:lang w:val="en-GB"/>
        </w:rPr>
        <w:t>=C</w:t>
      </w:r>
      <w:r w:rsidRPr="00E32E85">
        <w:rPr>
          <w:lang w:val="en-GB"/>
        </w:rPr>
        <w:t xml:space="preserve">old”. </w:t>
      </w:r>
      <w:proofErr w:type="gramStart"/>
      <w:r w:rsidRPr="00E32E85">
        <w:rPr>
          <w:lang w:val="en-GB"/>
        </w:rPr>
        <w:t>Hippocrates and the</w:t>
      </w:r>
      <w:r>
        <w:rPr>
          <w:lang w:val="en-GB"/>
        </w:rPr>
        <w:t xml:space="preserve"> </w:t>
      </w:r>
      <w:r w:rsidRPr="00E32E85">
        <w:rPr>
          <w:lang w:val="en-GB"/>
        </w:rPr>
        <w:t xml:space="preserve">Renaissance </w:t>
      </w:r>
      <w:r>
        <w:rPr>
          <w:lang w:val="en-GB"/>
        </w:rPr>
        <w:t>V</w:t>
      </w:r>
      <w:r w:rsidRPr="00E32E85">
        <w:rPr>
          <w:lang w:val="en-GB"/>
        </w:rPr>
        <w:t xml:space="preserve">illa’, in </w:t>
      </w:r>
      <w:r w:rsidRPr="00C3207E">
        <w:rPr>
          <w:i/>
          <w:lang w:val="en-GB"/>
        </w:rPr>
        <w:t>Ibid</w:t>
      </w:r>
      <w:r>
        <w:rPr>
          <w:lang w:val="en-GB"/>
        </w:rPr>
        <w:t>, 48-69, 54.</w:t>
      </w:r>
      <w:proofErr w:type="gramEnd"/>
    </w:p>
  </w:footnote>
  <w:footnote w:id="62">
    <w:p w:rsidR="00DF2756" w:rsidRDefault="00DF2756">
      <w:pPr>
        <w:pStyle w:val="FootnoteText"/>
        <w:jc w:val="both"/>
      </w:pPr>
      <w:r>
        <w:rPr>
          <w:rStyle w:val="FootnoteReference"/>
        </w:rPr>
        <w:footnoteRef/>
      </w:r>
      <w:r w:rsidRPr="00417185">
        <w:t xml:space="preserve"> </w:t>
      </w:r>
      <w:r>
        <w:t xml:space="preserve">A. </w:t>
      </w:r>
      <w:r w:rsidRPr="00417185">
        <w:t xml:space="preserve">Petronio, </w:t>
      </w:r>
      <w:r w:rsidRPr="00417185">
        <w:rPr>
          <w:i/>
          <w:iCs/>
        </w:rPr>
        <w:t xml:space="preserve">Del </w:t>
      </w:r>
      <w:r>
        <w:rPr>
          <w:i/>
          <w:iCs/>
        </w:rPr>
        <w:t>V</w:t>
      </w:r>
      <w:r w:rsidRPr="00417185">
        <w:rPr>
          <w:i/>
          <w:iCs/>
        </w:rPr>
        <w:t xml:space="preserve">iver delli </w:t>
      </w:r>
      <w:r>
        <w:rPr>
          <w:i/>
          <w:iCs/>
        </w:rPr>
        <w:t>R</w:t>
      </w:r>
      <w:r w:rsidRPr="00417185">
        <w:rPr>
          <w:i/>
          <w:iCs/>
        </w:rPr>
        <w:t xml:space="preserve">omani et di </w:t>
      </w:r>
      <w:r>
        <w:rPr>
          <w:i/>
          <w:iCs/>
        </w:rPr>
        <w:t>C</w:t>
      </w:r>
      <w:r w:rsidRPr="00417185">
        <w:rPr>
          <w:i/>
          <w:iCs/>
        </w:rPr>
        <w:t xml:space="preserve">onservar la </w:t>
      </w:r>
      <w:r>
        <w:rPr>
          <w:i/>
          <w:iCs/>
        </w:rPr>
        <w:t>S</w:t>
      </w:r>
      <w:r w:rsidRPr="00417185">
        <w:rPr>
          <w:i/>
          <w:iCs/>
        </w:rPr>
        <w:t>anità</w:t>
      </w:r>
      <w:r>
        <w:rPr>
          <w:i/>
        </w:rPr>
        <w:t xml:space="preserve"> </w:t>
      </w:r>
      <w:r>
        <w:rPr>
          <w:rStyle w:val="st1"/>
          <w:color w:val="222222"/>
        </w:rPr>
        <w:t xml:space="preserve"> (</w:t>
      </w:r>
      <w:r>
        <w:t>Roma: Domenico Basa, 1592</w:t>
      </w:r>
      <w:r>
        <w:rPr>
          <w:rStyle w:val="st1"/>
          <w:color w:val="222222"/>
        </w:rPr>
        <w:t>)</w:t>
      </w:r>
      <w:r>
        <w:t xml:space="preserve"> 301.  </w:t>
      </w:r>
    </w:p>
  </w:footnote>
  <w:footnote w:id="63">
    <w:p w:rsidR="00DF2756" w:rsidRDefault="00DF2756">
      <w:pPr>
        <w:pStyle w:val="FootnoteText"/>
        <w:jc w:val="both"/>
      </w:pPr>
      <w:r>
        <w:rPr>
          <w:rStyle w:val="FootnoteReference"/>
        </w:rPr>
        <w:footnoteRef/>
      </w:r>
      <w:r w:rsidRPr="009F063C">
        <w:t xml:space="preserve"> Durante</w:t>
      </w:r>
      <w:r>
        <w:t xml:space="preserve">, </w:t>
      </w:r>
      <w:r>
        <w:rPr>
          <w:i/>
        </w:rPr>
        <w:t>Il Tesoro</w:t>
      </w:r>
      <w:r>
        <w:t>,</w:t>
      </w:r>
      <w:r>
        <w:rPr>
          <w:i/>
        </w:rPr>
        <w:t xml:space="preserve"> </w:t>
      </w:r>
      <w:r>
        <w:t>11.</w:t>
      </w:r>
    </w:p>
  </w:footnote>
  <w:footnote w:id="64">
    <w:p w:rsidR="00DF2756" w:rsidRDefault="00DF2756">
      <w:pPr>
        <w:pStyle w:val="FootnoteText"/>
        <w:jc w:val="both"/>
      </w:pPr>
      <w:r>
        <w:rPr>
          <w:rStyle w:val="FootnoteReference"/>
        </w:rPr>
        <w:footnoteRef/>
      </w:r>
      <w:r w:rsidRPr="009B3C19">
        <w:t xml:space="preserve"> Scamozzi,</w:t>
      </w:r>
      <w:r w:rsidRPr="009B3C19">
        <w:rPr>
          <w:i/>
        </w:rPr>
        <w:t xml:space="preserve"> Dell’Idea</w:t>
      </w:r>
      <w:r w:rsidRPr="009B3C19">
        <w:t>,</w:t>
      </w:r>
      <w:r w:rsidRPr="009B3C19">
        <w:rPr>
          <w:i/>
        </w:rPr>
        <w:t xml:space="preserve"> </w:t>
      </w:r>
      <w:r w:rsidRPr="009B3C19">
        <w:t>136-37, 147-50.</w:t>
      </w:r>
    </w:p>
  </w:footnote>
  <w:footnote w:id="65">
    <w:p w:rsidR="00DF2756" w:rsidRDefault="00DF2756">
      <w:pPr>
        <w:pStyle w:val="FootnoteText"/>
        <w:jc w:val="both"/>
        <w:rPr>
          <w:lang w:val="en-GB"/>
        </w:rPr>
      </w:pPr>
      <w:r>
        <w:rPr>
          <w:rStyle w:val="FootnoteReference"/>
        </w:rPr>
        <w:footnoteRef/>
      </w:r>
      <w:r w:rsidRPr="006F7380">
        <w:rPr>
          <w:lang w:val="en-GB"/>
        </w:rPr>
        <w:t xml:space="preserve"> </w:t>
      </w:r>
      <w:r>
        <w:rPr>
          <w:lang w:val="en-GB"/>
        </w:rPr>
        <w:t>Hardy,</w:t>
      </w:r>
      <w:r w:rsidRPr="00E32E85">
        <w:rPr>
          <w:lang w:val="en-GB"/>
        </w:rPr>
        <w:t xml:space="preserve"> ‘”Study t</w:t>
      </w:r>
      <w:r>
        <w:rPr>
          <w:lang w:val="en-GB"/>
        </w:rPr>
        <w:t>h</w:t>
      </w:r>
      <w:r w:rsidRPr="00E32E85">
        <w:rPr>
          <w:lang w:val="en-GB"/>
        </w:rPr>
        <w:t>e</w:t>
      </w:r>
      <w:r>
        <w:rPr>
          <w:lang w:val="en-GB"/>
        </w:rPr>
        <w:t xml:space="preserve"> Warm Winds and the Cold”’,</w:t>
      </w:r>
      <w:r w:rsidRPr="00E32E85">
        <w:rPr>
          <w:lang w:val="en-GB"/>
        </w:rPr>
        <w:t xml:space="preserve"> </w:t>
      </w:r>
      <w:r>
        <w:rPr>
          <w:lang w:val="en-GB"/>
        </w:rPr>
        <w:t>53.</w:t>
      </w:r>
    </w:p>
  </w:footnote>
  <w:footnote w:id="66">
    <w:p w:rsidR="00DF2756" w:rsidRDefault="00DF2756">
      <w:pPr>
        <w:pStyle w:val="FootnoteText"/>
        <w:jc w:val="both"/>
        <w:rPr>
          <w:lang w:val="en-GB"/>
        </w:rPr>
      </w:pPr>
      <w:r>
        <w:rPr>
          <w:rStyle w:val="FootnoteReference"/>
        </w:rPr>
        <w:footnoteRef/>
      </w:r>
      <w:r w:rsidRPr="009B3C19">
        <w:rPr>
          <w:lang w:val="en-GB"/>
        </w:rPr>
        <w:t xml:space="preserve"> </w:t>
      </w:r>
      <w:r>
        <w:rPr>
          <w:lang w:val="en-GB"/>
        </w:rPr>
        <w:t xml:space="preserve">B. </w:t>
      </w:r>
      <w:proofErr w:type="spellStart"/>
      <w:r>
        <w:rPr>
          <w:lang w:val="en-GB"/>
        </w:rPr>
        <w:t>Kenda</w:t>
      </w:r>
      <w:proofErr w:type="spellEnd"/>
      <w:r>
        <w:rPr>
          <w:lang w:val="en-GB"/>
        </w:rPr>
        <w:t xml:space="preserve">, ‘Aeolian Winds and the Spirit of Renaissance Architecture’, in </w:t>
      </w:r>
      <w:proofErr w:type="spellStart"/>
      <w:r w:rsidRPr="00AA7F70">
        <w:rPr>
          <w:lang w:val="en-GB"/>
        </w:rPr>
        <w:t>Kenda</w:t>
      </w:r>
      <w:proofErr w:type="spellEnd"/>
      <w:r w:rsidRPr="00AA7F70">
        <w:rPr>
          <w:lang w:val="en-GB"/>
        </w:rPr>
        <w:t xml:space="preserve"> ed., </w:t>
      </w:r>
      <w:r w:rsidRPr="00AA7F70">
        <w:rPr>
          <w:i/>
          <w:lang w:val="en-GB"/>
        </w:rPr>
        <w:t>Aeolian Winds</w:t>
      </w:r>
      <w:r>
        <w:rPr>
          <w:lang w:val="en-GB"/>
        </w:rPr>
        <w:t>, 6-16.</w:t>
      </w:r>
    </w:p>
  </w:footnote>
  <w:footnote w:id="67">
    <w:p w:rsidR="00DF2756" w:rsidRDefault="00DF2756">
      <w:pPr>
        <w:pStyle w:val="FootnoteText"/>
        <w:jc w:val="both"/>
      </w:pPr>
      <w:r>
        <w:rPr>
          <w:rStyle w:val="FootnoteReference"/>
        </w:rPr>
        <w:footnoteRef/>
      </w:r>
      <w:r w:rsidRPr="007B6BDD">
        <w:t xml:space="preserve"> </w:t>
      </w:r>
      <w:r w:rsidRPr="007B6BDD">
        <w:rPr>
          <w:i/>
        </w:rPr>
        <w:t>Ibid</w:t>
      </w:r>
      <w:r w:rsidRPr="007B6BDD">
        <w:t>.,16.</w:t>
      </w:r>
    </w:p>
  </w:footnote>
  <w:footnote w:id="68">
    <w:p w:rsidR="00DF2756" w:rsidRDefault="00DF2756">
      <w:pPr>
        <w:pStyle w:val="FootnoteText"/>
        <w:jc w:val="both"/>
      </w:pPr>
      <w:r w:rsidRPr="00AA7CAC">
        <w:rPr>
          <w:rStyle w:val="FootnoteReference"/>
        </w:rPr>
        <w:footnoteRef/>
      </w:r>
      <w:r w:rsidRPr="00E32E85">
        <w:t xml:space="preserve"> </w:t>
      </w:r>
      <w:r>
        <w:t>‘</w:t>
      </w:r>
      <w:r w:rsidRPr="00EA53E4">
        <w:t xml:space="preserve">la stanza del letto sia grande e capace dove l’aria </w:t>
      </w:r>
      <w:r w:rsidRPr="0049441E">
        <w:t>abbia libera uscita</w:t>
      </w:r>
      <w:r w:rsidRPr="00E54904">
        <w:t xml:space="preserve">, </w:t>
      </w:r>
      <w:r w:rsidRPr="0049441E">
        <w:t>acciò possa più speditamente muoversi perchè negli stanzini più facilmente si può corrompere</w:t>
      </w:r>
      <w:r w:rsidRPr="00EA53E4">
        <w:t>. Laonde racconta Galeno che una certa peste in Grecia ebbe origine da coloro che in piccole e poco dall’aria penetrate case habitavano’.</w:t>
      </w:r>
      <w:r>
        <w:t xml:space="preserve"> </w:t>
      </w:r>
      <w:r w:rsidRPr="009F063C">
        <w:t xml:space="preserve">Fonseca, </w:t>
      </w:r>
      <w:r w:rsidRPr="009F063C">
        <w:rPr>
          <w:i/>
          <w:lang w:eastAsia="en-GB"/>
        </w:rPr>
        <w:t xml:space="preserve">Del </w:t>
      </w:r>
      <w:r>
        <w:rPr>
          <w:i/>
          <w:lang w:eastAsia="en-GB"/>
        </w:rPr>
        <w:t>C</w:t>
      </w:r>
      <w:r w:rsidRPr="009F063C">
        <w:rPr>
          <w:i/>
          <w:lang w:eastAsia="en-GB"/>
        </w:rPr>
        <w:t>onservare</w:t>
      </w:r>
      <w:r w:rsidRPr="009F063C">
        <w:rPr>
          <w:lang w:eastAsia="en-GB"/>
        </w:rPr>
        <w:t>, 80.</w:t>
      </w:r>
      <w:r w:rsidRPr="009F063C">
        <w:rPr>
          <w:color w:val="FF0000"/>
        </w:rPr>
        <w:t xml:space="preserve">  </w:t>
      </w:r>
    </w:p>
  </w:footnote>
  <w:footnote w:id="69">
    <w:p w:rsidR="00DF2756" w:rsidRDefault="00DF2756">
      <w:pPr>
        <w:pStyle w:val="FootnoteText"/>
        <w:jc w:val="both"/>
      </w:pPr>
      <w:r>
        <w:rPr>
          <w:rStyle w:val="FootnoteReference"/>
        </w:rPr>
        <w:footnoteRef/>
      </w:r>
      <w:r>
        <w:t xml:space="preserve"> </w:t>
      </w:r>
      <w:r w:rsidRPr="00AA7CAC">
        <w:t xml:space="preserve">‘Ci sono </w:t>
      </w:r>
      <w:r w:rsidRPr="00EF017A">
        <w:t xml:space="preserve">esalazioni dense . . . </w:t>
      </w:r>
      <w:r w:rsidRPr="00EF017A">
        <w:t xml:space="preserve">perché gli habitanti delle cittá di rado sono famelici, tardi digeriscono, hanno i sensi non molto purgati, sono di piena e quadrata corporatura e fatti molto pigri al </w:t>
      </w:r>
      <w:r w:rsidRPr="00EF017A">
        <w:t xml:space="preserve">moto.’ </w:t>
      </w:r>
      <w:r w:rsidRPr="009B3C19">
        <w:t xml:space="preserve">Pietragrassa, </w:t>
      </w:r>
      <w:r w:rsidRPr="009B3C19">
        <w:rPr>
          <w:i/>
        </w:rPr>
        <w:t xml:space="preserve">Politica </w:t>
      </w:r>
      <w:r>
        <w:rPr>
          <w:i/>
        </w:rPr>
        <w:t>M</w:t>
      </w:r>
      <w:r w:rsidRPr="009B3C19">
        <w:rPr>
          <w:i/>
        </w:rPr>
        <w:t>edica</w:t>
      </w:r>
      <w:r w:rsidRPr="009B3C19">
        <w:t>, 388.</w:t>
      </w:r>
    </w:p>
  </w:footnote>
  <w:footnote w:id="70">
    <w:p w:rsidR="00DF2756" w:rsidRDefault="00DF2756">
      <w:pPr>
        <w:pStyle w:val="FootnoteText"/>
        <w:jc w:val="both"/>
      </w:pPr>
      <w:r w:rsidRPr="00EF017A">
        <w:rPr>
          <w:rStyle w:val="FootnoteReference"/>
        </w:rPr>
        <w:footnoteRef/>
      </w:r>
      <w:r w:rsidRPr="009B3C19">
        <w:t xml:space="preserve"> Panaroli, </w:t>
      </w:r>
      <w:r w:rsidRPr="009B3C19">
        <w:rPr>
          <w:i/>
        </w:rPr>
        <w:t>Aerologia</w:t>
      </w:r>
      <w:r w:rsidRPr="009B3C19">
        <w:t>, 87</w:t>
      </w:r>
      <w:r>
        <w:t>.</w:t>
      </w:r>
      <w:r w:rsidRPr="009B3C19">
        <w:t xml:space="preserve"> </w:t>
      </w:r>
      <w:r>
        <w:t xml:space="preserve">  </w:t>
      </w:r>
    </w:p>
  </w:footnote>
  <w:footnote w:id="71">
    <w:p w:rsidR="00DF2756" w:rsidRDefault="00DF2756">
      <w:pPr>
        <w:pStyle w:val="FootnoteText"/>
        <w:jc w:val="both"/>
      </w:pPr>
      <w:r>
        <w:rPr>
          <w:rStyle w:val="FootnoteReference"/>
        </w:rPr>
        <w:footnoteRef/>
      </w:r>
      <w:r>
        <w:t xml:space="preserve"> </w:t>
      </w:r>
      <w:r w:rsidRPr="007707EF">
        <w:t xml:space="preserve">Durante, </w:t>
      </w:r>
      <w:r w:rsidRPr="009B3C19">
        <w:rPr>
          <w:i/>
        </w:rPr>
        <w:t>Il Tesoro</w:t>
      </w:r>
      <w:r w:rsidRPr="009B3C19">
        <w:t xml:space="preserve">, </w:t>
      </w:r>
      <w:r>
        <w:t>9.</w:t>
      </w:r>
    </w:p>
  </w:footnote>
  <w:footnote w:id="72">
    <w:p w:rsidR="00DF2756" w:rsidRDefault="00DF2756">
      <w:pPr>
        <w:pStyle w:val="FootnoteText"/>
        <w:jc w:val="both"/>
      </w:pPr>
      <w:r>
        <w:rPr>
          <w:rStyle w:val="FootnoteReference"/>
        </w:rPr>
        <w:footnoteRef/>
      </w:r>
      <w:r w:rsidRPr="009B3C19">
        <w:t xml:space="preserve"> </w:t>
      </w:r>
      <w:r>
        <w:t xml:space="preserve">L. </w:t>
      </w:r>
      <w:r w:rsidRPr="009B3C19">
        <w:t>Lennio,</w:t>
      </w:r>
      <w:r w:rsidRPr="009B3C19">
        <w:rPr>
          <w:sz w:val="22"/>
          <w:szCs w:val="22"/>
        </w:rPr>
        <w:t xml:space="preserve"> </w:t>
      </w:r>
      <w:r w:rsidRPr="009B3C19">
        <w:rPr>
          <w:i/>
        </w:rPr>
        <w:t xml:space="preserve">Della </w:t>
      </w:r>
      <w:r>
        <w:rPr>
          <w:i/>
        </w:rPr>
        <w:t>C</w:t>
      </w:r>
      <w:r w:rsidRPr="009B3C19">
        <w:rPr>
          <w:i/>
        </w:rPr>
        <w:t>omplessione</w:t>
      </w:r>
      <w:r>
        <w:rPr>
          <w:i/>
        </w:rPr>
        <w:t xml:space="preserve"> del Corpo Humano... </w:t>
      </w:r>
      <w:r>
        <w:t>(Venice: Domenico Nicolino, 1564)</w:t>
      </w:r>
      <w:r w:rsidRPr="009B3C19">
        <w:t>,</w:t>
      </w:r>
      <w:r w:rsidRPr="009B3C19">
        <w:rPr>
          <w:sz w:val="22"/>
          <w:szCs w:val="22"/>
        </w:rPr>
        <w:t xml:space="preserve"> 100.</w:t>
      </w:r>
      <w:r w:rsidRPr="009B3C19">
        <w:rPr>
          <w:color w:val="FF0000"/>
          <w:sz w:val="24"/>
          <w:szCs w:val="24"/>
        </w:rPr>
        <w:t xml:space="preserve"> </w:t>
      </w:r>
    </w:p>
  </w:footnote>
  <w:footnote w:id="73">
    <w:p w:rsidR="00DF2756" w:rsidRDefault="00DF2756">
      <w:pPr>
        <w:pStyle w:val="FootnoteText"/>
        <w:jc w:val="both"/>
      </w:pPr>
      <w:r>
        <w:rPr>
          <w:rStyle w:val="FootnoteReference"/>
        </w:rPr>
        <w:footnoteRef/>
      </w:r>
      <w:r>
        <w:t xml:space="preserve"> </w:t>
      </w:r>
      <w:r w:rsidRPr="00E32E85">
        <w:t xml:space="preserve">For example </w:t>
      </w:r>
      <w:r w:rsidRPr="00390A5B">
        <w:rPr>
          <w:i/>
          <w:iCs/>
        </w:rPr>
        <w:t xml:space="preserve">Scuola </w:t>
      </w:r>
      <w:r>
        <w:rPr>
          <w:i/>
          <w:iCs/>
        </w:rPr>
        <w:t>S</w:t>
      </w:r>
      <w:r w:rsidRPr="00390A5B">
        <w:rPr>
          <w:i/>
          <w:iCs/>
        </w:rPr>
        <w:t>alernitana de</w:t>
      </w:r>
      <w:r>
        <w:rPr>
          <w:i/>
          <w:iCs/>
        </w:rPr>
        <w:t>l Modo di Conseruarsi in Sanità</w:t>
      </w:r>
      <w:r w:rsidRPr="00390A5B">
        <w:rPr>
          <w:i/>
          <w:iCs/>
        </w:rPr>
        <w:t xml:space="preserve"> </w:t>
      </w:r>
      <w:r>
        <w:t>(</w:t>
      </w:r>
      <w:r w:rsidRPr="00390A5B">
        <w:t>Perugia: Pietroiacomo Petrucci</w:t>
      </w:r>
      <w:r>
        <w:t>,</w:t>
      </w:r>
      <w:r w:rsidRPr="00390A5B">
        <w:t xml:space="preserve"> 1587</w:t>
      </w:r>
      <w:r>
        <w:t>), 54;</w:t>
      </w:r>
      <w:r w:rsidRPr="007223A6">
        <w:rPr>
          <w:b/>
        </w:rPr>
        <w:t xml:space="preserve"> </w:t>
      </w:r>
      <w:r w:rsidRPr="009B3C19">
        <w:t xml:space="preserve">Durante, </w:t>
      </w:r>
      <w:r w:rsidRPr="009B3C19">
        <w:rPr>
          <w:i/>
        </w:rPr>
        <w:t>Il tesoro</w:t>
      </w:r>
      <w:r w:rsidRPr="009B3C19">
        <w:t>, 10;</w:t>
      </w:r>
      <w:r>
        <w:rPr>
          <w:b/>
        </w:rPr>
        <w:t xml:space="preserve"> </w:t>
      </w:r>
      <w:r w:rsidRPr="00E32E85">
        <w:t>D. Auda,</w:t>
      </w:r>
      <w:r w:rsidRPr="00E32E85">
        <w:rPr>
          <w:i/>
          <w:iCs/>
        </w:rPr>
        <w:t xml:space="preserve"> Breve compendio</w:t>
      </w:r>
      <w:r>
        <w:rPr>
          <w:i/>
          <w:iCs/>
        </w:rPr>
        <w:t xml:space="preserve"> </w:t>
      </w:r>
      <w:r w:rsidRPr="00E32E85">
        <w:rPr>
          <w:i/>
          <w:iCs/>
        </w:rPr>
        <w:t xml:space="preserve">... Con un </w:t>
      </w:r>
      <w:r>
        <w:rPr>
          <w:i/>
          <w:iCs/>
        </w:rPr>
        <w:t>T</w:t>
      </w:r>
      <w:r w:rsidRPr="00E32E85">
        <w:rPr>
          <w:i/>
          <w:iCs/>
        </w:rPr>
        <w:t xml:space="preserve">rattato per </w:t>
      </w:r>
      <w:r>
        <w:rPr>
          <w:i/>
          <w:iCs/>
        </w:rPr>
        <w:t>C</w:t>
      </w:r>
      <w:r w:rsidRPr="00E32E85">
        <w:rPr>
          <w:i/>
          <w:iCs/>
        </w:rPr>
        <w:t xml:space="preserve">onservarsi in </w:t>
      </w:r>
      <w:r>
        <w:rPr>
          <w:i/>
          <w:iCs/>
        </w:rPr>
        <w:t>S</w:t>
      </w:r>
      <w:r w:rsidRPr="00E32E85">
        <w:rPr>
          <w:i/>
          <w:iCs/>
        </w:rPr>
        <w:t>anità</w:t>
      </w:r>
      <w:r w:rsidRPr="00E32E85">
        <w:t xml:space="preserve"> (</w:t>
      </w:r>
      <w:r>
        <w:rPr>
          <w:sz w:val="19"/>
          <w:szCs w:val="19"/>
        </w:rPr>
        <w:t>Rome</w:t>
      </w:r>
      <w:r w:rsidRPr="00E32E85">
        <w:rPr>
          <w:sz w:val="19"/>
          <w:szCs w:val="19"/>
        </w:rPr>
        <w:t>: Ignatio de’ Lazari, 1652)</w:t>
      </w:r>
      <w:r w:rsidRPr="00E32E85">
        <w:t xml:space="preserve"> 272.</w:t>
      </w:r>
    </w:p>
  </w:footnote>
  <w:footnote w:id="74">
    <w:p w:rsidR="00DF2756" w:rsidRDefault="00DF2756">
      <w:pPr>
        <w:pStyle w:val="FootnoteText"/>
        <w:jc w:val="both"/>
        <w:rPr>
          <w:lang w:val="en-GB"/>
        </w:rPr>
      </w:pPr>
      <w:r>
        <w:rPr>
          <w:rStyle w:val="FootnoteReference"/>
        </w:rPr>
        <w:footnoteRef/>
      </w:r>
      <w:r w:rsidRPr="009B3C19">
        <w:rPr>
          <w:lang w:val="en-GB"/>
        </w:rPr>
        <w:t xml:space="preserve"> On this genre and its preventive cha</w:t>
      </w:r>
      <w:r>
        <w:rPr>
          <w:lang w:val="en-GB"/>
        </w:rPr>
        <w:t xml:space="preserve">racters </w:t>
      </w:r>
      <w:r w:rsidRPr="009B3C19">
        <w:rPr>
          <w:lang w:val="en-GB"/>
        </w:rPr>
        <w:t>S.</w:t>
      </w:r>
      <w:r>
        <w:rPr>
          <w:lang w:val="en-GB"/>
        </w:rPr>
        <w:t xml:space="preserve"> </w:t>
      </w:r>
      <w:r w:rsidRPr="009B3C19">
        <w:rPr>
          <w:lang w:val="en-GB"/>
        </w:rPr>
        <w:t>Cavallo, ‘</w:t>
      </w:r>
      <w:r>
        <w:rPr>
          <w:lang w:val="en-GB"/>
        </w:rPr>
        <w:t>Secrets’.</w:t>
      </w:r>
    </w:p>
  </w:footnote>
  <w:footnote w:id="75">
    <w:p w:rsidR="00DF2756" w:rsidRDefault="00DF2756">
      <w:pPr>
        <w:pStyle w:val="FootnoteText"/>
        <w:jc w:val="both"/>
        <w:rPr>
          <w:lang w:val="en-GB"/>
        </w:rPr>
      </w:pPr>
      <w:r>
        <w:rPr>
          <w:rStyle w:val="FootnoteReference"/>
        </w:rPr>
        <w:footnoteRef/>
      </w:r>
      <w:r w:rsidRPr="009B3C19">
        <w:rPr>
          <w:lang w:val="en-GB"/>
        </w:rPr>
        <w:t xml:space="preserve"> R. Palmer, ‘</w:t>
      </w:r>
      <w:proofErr w:type="gramStart"/>
      <w:r w:rsidRPr="009B3C19">
        <w:rPr>
          <w:lang w:val="en-GB"/>
        </w:rPr>
        <w:t>In</w:t>
      </w:r>
      <w:proofErr w:type="gramEnd"/>
      <w:r w:rsidRPr="009B3C19">
        <w:rPr>
          <w:lang w:val="en-GB"/>
        </w:rPr>
        <w:t xml:space="preserve"> bad odour: smell and its significance in medicine from antiquity to the seventeenth century’, in W.F. Bynum and R.</w:t>
      </w:r>
      <w:r>
        <w:rPr>
          <w:lang w:val="en-GB"/>
        </w:rPr>
        <w:t xml:space="preserve"> </w:t>
      </w:r>
      <w:r w:rsidRPr="009B3C19">
        <w:rPr>
          <w:lang w:val="en-GB"/>
        </w:rPr>
        <w:t xml:space="preserve">Porter </w:t>
      </w:r>
      <w:proofErr w:type="spellStart"/>
      <w:r w:rsidRPr="009B3C19">
        <w:rPr>
          <w:lang w:val="en-GB"/>
        </w:rPr>
        <w:t>eds</w:t>
      </w:r>
      <w:proofErr w:type="spellEnd"/>
      <w:r w:rsidRPr="009B3C19">
        <w:rPr>
          <w:lang w:val="en-GB"/>
        </w:rPr>
        <w:t xml:space="preserve">, </w:t>
      </w:r>
      <w:r w:rsidRPr="009B3C19">
        <w:rPr>
          <w:i/>
          <w:lang w:val="en-GB"/>
        </w:rPr>
        <w:t xml:space="preserve">Medicine and the Five Senses </w:t>
      </w:r>
      <w:r w:rsidRPr="009B3C19">
        <w:rPr>
          <w:lang w:val="en-GB"/>
        </w:rPr>
        <w:t xml:space="preserve">(Cambridge: Cambridge University Press, 1993), </w:t>
      </w:r>
      <w:r>
        <w:rPr>
          <w:lang w:val="en-GB"/>
        </w:rPr>
        <w:t>61-68, esp. 63, 65.</w:t>
      </w:r>
    </w:p>
  </w:footnote>
  <w:footnote w:id="76">
    <w:p w:rsidR="00DF2756" w:rsidRDefault="00DF2756">
      <w:pPr>
        <w:pStyle w:val="NormalWeb"/>
        <w:shd w:val="clear" w:color="auto" w:fill="FFFFFF"/>
        <w:jc w:val="both"/>
      </w:pPr>
      <w:r w:rsidRPr="009B3C19">
        <w:rPr>
          <w:rStyle w:val="FootnoteReference"/>
          <w:szCs w:val="20"/>
        </w:rPr>
        <w:footnoteRef/>
      </w:r>
      <w:r w:rsidRPr="009B3C19">
        <w:rPr>
          <w:sz w:val="20"/>
          <w:szCs w:val="20"/>
        </w:rPr>
        <w:t xml:space="preserve"> </w:t>
      </w:r>
      <w:r w:rsidR="00A21EA5" w:rsidRPr="00A21EA5">
        <w:rPr>
          <w:i/>
          <w:sz w:val="20"/>
          <w:szCs w:val="20"/>
        </w:rPr>
        <w:t>Ibid</w:t>
      </w:r>
      <w:r w:rsidRPr="009B3C19">
        <w:rPr>
          <w:sz w:val="20"/>
          <w:szCs w:val="20"/>
        </w:rPr>
        <w:t>.</w:t>
      </w:r>
      <w:r>
        <w:rPr>
          <w:sz w:val="20"/>
          <w:szCs w:val="20"/>
        </w:rPr>
        <w:t xml:space="preserve"> 66-67, and, among others,</w:t>
      </w:r>
      <w:r w:rsidRPr="009B3C19">
        <w:rPr>
          <w:sz w:val="20"/>
          <w:szCs w:val="20"/>
        </w:rPr>
        <w:t xml:space="preserve"> </w:t>
      </w:r>
      <w:r>
        <w:rPr>
          <w:sz w:val="20"/>
          <w:szCs w:val="20"/>
        </w:rPr>
        <w:t xml:space="preserve">H. </w:t>
      </w:r>
      <w:r w:rsidRPr="009B3C19">
        <w:rPr>
          <w:sz w:val="20"/>
          <w:szCs w:val="20"/>
        </w:rPr>
        <w:t xml:space="preserve">Dugan, </w:t>
      </w:r>
      <w:r w:rsidRPr="009B3C19">
        <w:rPr>
          <w:i/>
          <w:sz w:val="20"/>
          <w:szCs w:val="20"/>
        </w:rPr>
        <w:t xml:space="preserve">The </w:t>
      </w:r>
      <w:r>
        <w:rPr>
          <w:i/>
          <w:sz w:val="20"/>
          <w:szCs w:val="20"/>
        </w:rPr>
        <w:t>E</w:t>
      </w:r>
      <w:r w:rsidRPr="009B3C19">
        <w:rPr>
          <w:i/>
          <w:sz w:val="20"/>
          <w:szCs w:val="20"/>
        </w:rPr>
        <w:t xml:space="preserve">phemeral </w:t>
      </w:r>
      <w:r>
        <w:rPr>
          <w:i/>
          <w:sz w:val="20"/>
          <w:szCs w:val="20"/>
        </w:rPr>
        <w:t>H</w:t>
      </w:r>
      <w:r w:rsidRPr="009B3C19">
        <w:rPr>
          <w:i/>
          <w:sz w:val="20"/>
          <w:szCs w:val="20"/>
        </w:rPr>
        <w:t>istory</w:t>
      </w:r>
      <w:r>
        <w:rPr>
          <w:i/>
          <w:sz w:val="20"/>
          <w:szCs w:val="20"/>
        </w:rPr>
        <w:t xml:space="preserve"> of Perfume</w:t>
      </w:r>
      <w:r>
        <w:rPr>
          <w:sz w:val="20"/>
          <w:szCs w:val="20"/>
        </w:rPr>
        <w:t>,</w:t>
      </w:r>
      <w:r w:rsidRPr="009B3C19">
        <w:rPr>
          <w:i/>
          <w:sz w:val="20"/>
          <w:szCs w:val="20"/>
        </w:rPr>
        <w:t xml:space="preserve"> </w:t>
      </w:r>
      <w:r>
        <w:rPr>
          <w:i/>
          <w:sz w:val="20"/>
          <w:szCs w:val="20"/>
        </w:rPr>
        <w:t xml:space="preserve">Scent and Sense in Early Modern England </w:t>
      </w:r>
      <w:r>
        <w:rPr>
          <w:sz w:val="20"/>
          <w:szCs w:val="20"/>
        </w:rPr>
        <w:t xml:space="preserve">(Baltimore: Johns Hopkins 2011), </w:t>
      </w:r>
      <w:proofErr w:type="spellStart"/>
      <w:r>
        <w:rPr>
          <w:sz w:val="20"/>
          <w:szCs w:val="20"/>
        </w:rPr>
        <w:t>ch</w:t>
      </w:r>
      <w:proofErr w:type="spellEnd"/>
      <w:r>
        <w:rPr>
          <w:sz w:val="20"/>
          <w:szCs w:val="20"/>
        </w:rPr>
        <w:t>. 4</w:t>
      </w:r>
      <w:r w:rsidRPr="009B3C19">
        <w:rPr>
          <w:sz w:val="20"/>
          <w:szCs w:val="20"/>
        </w:rPr>
        <w:t>; E.</w:t>
      </w:r>
      <w:r>
        <w:rPr>
          <w:sz w:val="20"/>
          <w:szCs w:val="20"/>
        </w:rPr>
        <w:t xml:space="preserve"> </w:t>
      </w:r>
      <w:r w:rsidRPr="009B3C19">
        <w:rPr>
          <w:sz w:val="20"/>
          <w:szCs w:val="20"/>
        </w:rPr>
        <w:t xml:space="preserve">Welch, ‘Perfumed Buttons and Scented Gloves: Smelling Things in Renaissance Italy,’ in B. Mirabella ed., </w:t>
      </w:r>
      <w:proofErr w:type="spellStart"/>
      <w:r w:rsidRPr="009B3C19">
        <w:rPr>
          <w:i/>
          <w:sz w:val="20"/>
          <w:szCs w:val="20"/>
        </w:rPr>
        <w:t>Ornamentalism</w:t>
      </w:r>
      <w:proofErr w:type="spellEnd"/>
      <w:r w:rsidRPr="009B3C19">
        <w:rPr>
          <w:i/>
          <w:sz w:val="20"/>
          <w:szCs w:val="20"/>
        </w:rPr>
        <w:t>: Accessories in the Renaissance</w:t>
      </w:r>
      <w:r w:rsidRPr="009B3C19">
        <w:rPr>
          <w:sz w:val="20"/>
          <w:szCs w:val="20"/>
        </w:rPr>
        <w:t xml:space="preserve"> (Ann </w:t>
      </w:r>
      <w:proofErr w:type="spellStart"/>
      <w:r w:rsidRPr="009B3C19">
        <w:rPr>
          <w:sz w:val="20"/>
          <w:szCs w:val="20"/>
        </w:rPr>
        <w:t>Arbor</w:t>
      </w:r>
      <w:proofErr w:type="spellEnd"/>
      <w:r w:rsidRPr="009B3C19">
        <w:rPr>
          <w:sz w:val="20"/>
          <w:szCs w:val="20"/>
        </w:rPr>
        <w:t>: T</w:t>
      </w:r>
      <w:r>
        <w:rPr>
          <w:sz w:val="20"/>
          <w:szCs w:val="20"/>
        </w:rPr>
        <w:t>he University of Michigan Press, 2011), 13–39.  I have also re-proposed this view in my ‘Secrets’, 194-95.</w:t>
      </w:r>
      <w:r w:rsidRPr="009B3C19">
        <w:rPr>
          <w:sz w:val="20"/>
          <w:szCs w:val="20"/>
        </w:rPr>
        <w:t xml:space="preserve"> </w:t>
      </w:r>
    </w:p>
  </w:footnote>
  <w:footnote w:id="77">
    <w:p w:rsidR="00DF2756" w:rsidRDefault="00DF2756">
      <w:pPr>
        <w:pStyle w:val="FootnoteText"/>
        <w:jc w:val="both"/>
      </w:pPr>
      <w:r>
        <w:rPr>
          <w:rStyle w:val="FootnoteReference"/>
        </w:rPr>
        <w:footnoteRef/>
      </w:r>
      <w:r w:rsidRPr="00F22136">
        <w:t xml:space="preserve"> </w:t>
      </w:r>
      <w:r w:rsidRPr="00F67707">
        <w:t xml:space="preserve">Dugan, </w:t>
      </w:r>
      <w:r w:rsidRPr="00F67707">
        <w:rPr>
          <w:i/>
        </w:rPr>
        <w:t xml:space="preserve">The </w:t>
      </w:r>
      <w:r>
        <w:rPr>
          <w:i/>
        </w:rPr>
        <w:t>E</w:t>
      </w:r>
      <w:r w:rsidRPr="00F67707">
        <w:rPr>
          <w:i/>
        </w:rPr>
        <w:t xml:space="preserve">phemeral </w:t>
      </w:r>
      <w:r>
        <w:rPr>
          <w:i/>
        </w:rPr>
        <w:t>H</w:t>
      </w:r>
      <w:r w:rsidRPr="00F67707">
        <w:rPr>
          <w:i/>
        </w:rPr>
        <w:t>istory,</w:t>
      </w:r>
      <w:r>
        <w:t xml:space="preserve"> </w:t>
      </w:r>
      <w:r w:rsidRPr="00F22136">
        <w:t>105-6</w:t>
      </w:r>
      <w:r>
        <w:t>.</w:t>
      </w:r>
    </w:p>
  </w:footnote>
  <w:footnote w:id="78">
    <w:p w:rsidR="00DF2756" w:rsidRDefault="00DF2756">
      <w:pPr>
        <w:autoSpaceDE w:val="0"/>
        <w:autoSpaceDN w:val="0"/>
        <w:adjustRightInd w:val="0"/>
        <w:spacing w:after="0" w:line="240" w:lineRule="auto"/>
        <w:jc w:val="both"/>
        <w:rPr>
          <w:rFonts w:ascii="Times New Roman" w:hAnsi="Times New Roman" w:cs="Times New Roman"/>
          <w:sz w:val="20"/>
          <w:szCs w:val="20"/>
          <w:lang w:val="it-IT"/>
        </w:rPr>
      </w:pPr>
      <w:r w:rsidRPr="007B6BDD">
        <w:rPr>
          <w:rStyle w:val="FootnoteReference"/>
          <w:rFonts w:ascii="Times New Roman" w:hAnsi="Times New Roman" w:cs="Times New Roman"/>
          <w:sz w:val="20"/>
          <w:szCs w:val="20"/>
        </w:rPr>
        <w:footnoteRef/>
      </w:r>
      <w:r w:rsidRPr="00085F21">
        <w:rPr>
          <w:rFonts w:ascii="Times New Roman" w:hAnsi="Times New Roman" w:cs="Times New Roman"/>
          <w:sz w:val="20"/>
          <w:szCs w:val="20"/>
          <w:lang w:val="it-IT"/>
        </w:rPr>
        <w:t xml:space="preserve"> </w:t>
      </w:r>
      <w:r w:rsidRPr="00085F21">
        <w:rPr>
          <w:rFonts w:ascii="Times New Roman" w:hAnsi="Times New Roman" w:cs="Times New Roman"/>
          <w:sz w:val="20"/>
          <w:szCs w:val="20"/>
          <w:lang w:val="it-IT"/>
        </w:rPr>
        <w:t xml:space="preserve">[Maino de </w:t>
      </w:r>
      <w:r w:rsidRPr="00085F21">
        <w:rPr>
          <w:rFonts w:ascii="Times New Roman" w:hAnsi="Times New Roman" w:cs="Times New Roman"/>
          <w:sz w:val="20"/>
          <w:szCs w:val="20"/>
          <w:lang w:val="it-IT"/>
        </w:rPr>
        <w:t>Maineri (d.13</w:t>
      </w:r>
      <w:r>
        <w:rPr>
          <w:rFonts w:ascii="Times New Roman" w:hAnsi="Times New Roman" w:cs="Times New Roman"/>
          <w:sz w:val="20"/>
          <w:szCs w:val="20"/>
          <w:lang w:val="it-IT"/>
        </w:rPr>
        <w:t>68</w:t>
      </w:r>
      <w:r w:rsidRPr="00085F21">
        <w:rPr>
          <w:rFonts w:ascii="Times New Roman" w:hAnsi="Times New Roman" w:cs="Times New Roman"/>
          <w:sz w:val="20"/>
          <w:szCs w:val="20"/>
          <w:lang w:val="it-IT"/>
        </w:rPr>
        <w:t xml:space="preserve">)], </w:t>
      </w:r>
      <w:r w:rsidRPr="007B6BDD">
        <w:rPr>
          <w:rFonts w:ascii="Times New Roman" w:hAnsi="Times New Roman" w:cs="Times New Roman"/>
          <w:i/>
          <w:iCs/>
          <w:sz w:val="20"/>
          <w:szCs w:val="20"/>
          <w:lang w:val="it-IT"/>
        </w:rPr>
        <w:t xml:space="preserve">Opera </w:t>
      </w:r>
      <w:r>
        <w:rPr>
          <w:rFonts w:ascii="Times New Roman" w:hAnsi="Times New Roman" w:cs="Times New Roman"/>
          <w:i/>
          <w:iCs/>
          <w:sz w:val="20"/>
          <w:szCs w:val="20"/>
          <w:lang w:val="it-IT"/>
        </w:rPr>
        <w:t>U</w:t>
      </w:r>
      <w:r w:rsidRPr="007B6BDD">
        <w:rPr>
          <w:rFonts w:ascii="Times New Roman" w:hAnsi="Times New Roman" w:cs="Times New Roman"/>
          <w:i/>
          <w:iCs/>
          <w:sz w:val="20"/>
          <w:szCs w:val="20"/>
          <w:lang w:val="it-IT"/>
        </w:rPr>
        <w:t xml:space="preserve">tilissima di Arnaldo da Villanova di </w:t>
      </w:r>
      <w:r>
        <w:rPr>
          <w:rFonts w:ascii="Times New Roman" w:hAnsi="Times New Roman" w:cs="Times New Roman"/>
          <w:i/>
          <w:iCs/>
          <w:sz w:val="20"/>
          <w:szCs w:val="20"/>
          <w:lang w:val="it-IT"/>
        </w:rPr>
        <w:t>C</w:t>
      </w:r>
      <w:r w:rsidRPr="007B6BDD">
        <w:rPr>
          <w:rFonts w:ascii="Times New Roman" w:hAnsi="Times New Roman" w:cs="Times New Roman"/>
          <w:i/>
          <w:iCs/>
          <w:sz w:val="20"/>
          <w:szCs w:val="20"/>
          <w:lang w:val="it-IT"/>
        </w:rPr>
        <w:t xml:space="preserve">onservare la </w:t>
      </w:r>
      <w:r>
        <w:rPr>
          <w:rFonts w:ascii="Times New Roman" w:hAnsi="Times New Roman" w:cs="Times New Roman"/>
          <w:i/>
          <w:iCs/>
          <w:sz w:val="20"/>
          <w:szCs w:val="20"/>
          <w:lang w:val="it-IT"/>
        </w:rPr>
        <w:t>S</w:t>
      </w:r>
      <w:r w:rsidRPr="007B6BDD">
        <w:rPr>
          <w:rFonts w:ascii="Times New Roman" w:hAnsi="Times New Roman" w:cs="Times New Roman"/>
          <w:i/>
          <w:iCs/>
          <w:sz w:val="20"/>
          <w:szCs w:val="20"/>
          <w:lang w:val="it-IT"/>
        </w:rPr>
        <w:t xml:space="preserve">anità </w:t>
      </w:r>
      <w:r w:rsidRPr="007B6BDD">
        <w:rPr>
          <w:rFonts w:ascii="Times New Roman" w:hAnsi="Times New Roman" w:cs="Times New Roman"/>
          <w:sz w:val="20"/>
          <w:szCs w:val="20"/>
          <w:lang w:val="it-IT"/>
        </w:rPr>
        <w:t>(Venice:</w:t>
      </w:r>
      <w:r>
        <w:rPr>
          <w:rFonts w:ascii="Times New Roman" w:hAnsi="Times New Roman" w:cs="Times New Roman"/>
          <w:sz w:val="20"/>
          <w:szCs w:val="20"/>
          <w:lang w:val="it-IT"/>
        </w:rPr>
        <w:t xml:space="preserve"> </w:t>
      </w:r>
      <w:r w:rsidRPr="007B6BDD">
        <w:rPr>
          <w:rFonts w:ascii="Times New Roman" w:hAnsi="Times New Roman" w:cs="Times New Roman"/>
          <w:sz w:val="20"/>
          <w:szCs w:val="20"/>
          <w:lang w:val="it-IT"/>
        </w:rPr>
        <w:t xml:space="preserve">Tramezzino, 1549), 104; </w:t>
      </w:r>
      <w:r w:rsidRPr="007B6BDD">
        <w:rPr>
          <w:rFonts w:ascii="Times New Roman" w:hAnsi="Times New Roman" w:cs="Times New Roman"/>
          <w:i/>
          <w:iCs/>
          <w:sz w:val="20"/>
          <w:szCs w:val="20"/>
          <w:lang w:val="it-IT"/>
        </w:rPr>
        <w:t xml:space="preserve">Libro di Arnaldo di Villa Nuova ... del </w:t>
      </w:r>
      <w:r>
        <w:rPr>
          <w:rFonts w:ascii="Times New Roman" w:hAnsi="Times New Roman" w:cs="Times New Roman"/>
          <w:i/>
          <w:iCs/>
          <w:sz w:val="20"/>
          <w:szCs w:val="20"/>
          <w:lang w:val="it-IT"/>
        </w:rPr>
        <w:t>M</w:t>
      </w:r>
      <w:r w:rsidRPr="007B6BDD">
        <w:rPr>
          <w:rFonts w:ascii="Times New Roman" w:hAnsi="Times New Roman" w:cs="Times New Roman"/>
          <w:i/>
          <w:iCs/>
          <w:sz w:val="20"/>
          <w:szCs w:val="20"/>
          <w:lang w:val="it-IT"/>
        </w:rPr>
        <w:t xml:space="preserve">odo di </w:t>
      </w:r>
      <w:r>
        <w:rPr>
          <w:rFonts w:ascii="Times New Roman" w:hAnsi="Times New Roman" w:cs="Times New Roman"/>
          <w:i/>
          <w:iCs/>
          <w:sz w:val="20"/>
          <w:szCs w:val="20"/>
          <w:lang w:val="it-IT"/>
        </w:rPr>
        <w:t>C</w:t>
      </w:r>
      <w:r w:rsidRPr="007B6BDD">
        <w:rPr>
          <w:rFonts w:ascii="Times New Roman" w:hAnsi="Times New Roman" w:cs="Times New Roman"/>
          <w:i/>
          <w:iCs/>
          <w:sz w:val="20"/>
          <w:szCs w:val="20"/>
          <w:lang w:val="it-IT"/>
        </w:rPr>
        <w:t xml:space="preserve">onservar la </w:t>
      </w:r>
      <w:r>
        <w:rPr>
          <w:rFonts w:ascii="Times New Roman" w:hAnsi="Times New Roman" w:cs="Times New Roman"/>
          <w:i/>
          <w:iCs/>
          <w:sz w:val="20"/>
          <w:szCs w:val="20"/>
          <w:lang w:val="it-IT"/>
        </w:rPr>
        <w:t>G</w:t>
      </w:r>
      <w:r w:rsidRPr="007B6BDD">
        <w:rPr>
          <w:rFonts w:ascii="Times New Roman" w:hAnsi="Times New Roman" w:cs="Times New Roman"/>
          <w:i/>
          <w:iCs/>
          <w:sz w:val="20"/>
          <w:szCs w:val="20"/>
          <w:lang w:val="it-IT"/>
        </w:rPr>
        <w:t xml:space="preserve">ioventù e </w:t>
      </w:r>
      <w:r>
        <w:rPr>
          <w:rFonts w:ascii="Times New Roman" w:hAnsi="Times New Roman" w:cs="Times New Roman"/>
          <w:i/>
          <w:iCs/>
          <w:sz w:val="20"/>
          <w:szCs w:val="20"/>
          <w:lang w:val="it-IT"/>
        </w:rPr>
        <w:t>R</w:t>
      </w:r>
      <w:r w:rsidRPr="007B6BDD">
        <w:rPr>
          <w:rFonts w:ascii="Times New Roman" w:hAnsi="Times New Roman" w:cs="Times New Roman"/>
          <w:i/>
          <w:iCs/>
          <w:sz w:val="20"/>
          <w:szCs w:val="20"/>
          <w:lang w:val="it-IT"/>
        </w:rPr>
        <w:t xml:space="preserve">itardar la </w:t>
      </w:r>
      <w:r>
        <w:rPr>
          <w:rFonts w:ascii="Times New Roman" w:hAnsi="Times New Roman" w:cs="Times New Roman"/>
          <w:i/>
          <w:iCs/>
          <w:sz w:val="20"/>
          <w:szCs w:val="20"/>
          <w:lang w:val="it-IT"/>
        </w:rPr>
        <w:t>V</w:t>
      </w:r>
      <w:r w:rsidRPr="007B6BDD">
        <w:rPr>
          <w:rFonts w:ascii="Times New Roman" w:hAnsi="Times New Roman" w:cs="Times New Roman"/>
          <w:i/>
          <w:iCs/>
          <w:sz w:val="20"/>
          <w:szCs w:val="20"/>
          <w:lang w:val="it-IT"/>
        </w:rPr>
        <w:t>ecchiezza</w:t>
      </w:r>
      <w:r w:rsidRPr="007B6BDD">
        <w:rPr>
          <w:rFonts w:ascii="Times New Roman" w:hAnsi="Times New Roman" w:cs="Times New Roman"/>
          <w:sz w:val="20"/>
          <w:szCs w:val="20"/>
          <w:lang w:val="it-IT"/>
        </w:rPr>
        <w:t xml:space="preserve">, annexed to Pictorius, </w:t>
      </w:r>
      <w:r w:rsidRPr="007B6BDD">
        <w:rPr>
          <w:rFonts w:ascii="Times New Roman" w:hAnsi="Times New Roman" w:cs="Times New Roman"/>
          <w:i/>
          <w:iCs/>
          <w:sz w:val="20"/>
          <w:szCs w:val="20"/>
          <w:lang w:val="it-IT"/>
        </w:rPr>
        <w:t>Dialogi</w:t>
      </w:r>
      <w:r w:rsidRPr="007B6BDD">
        <w:rPr>
          <w:rFonts w:ascii="Times New Roman" w:hAnsi="Times New Roman" w:cs="Times New Roman"/>
          <w:sz w:val="20"/>
          <w:szCs w:val="20"/>
          <w:lang w:val="it-IT"/>
        </w:rPr>
        <w:t xml:space="preserve">... (Venice: Bottega d’Erasmo di Vincenzo Valgrisi, 1550) 107;   </w:t>
      </w:r>
      <w:r w:rsidRPr="007B6BDD">
        <w:rPr>
          <w:rFonts w:ascii="Times New Roman" w:eastAsia="Times New Roman" w:hAnsi="Times New Roman" w:cs="Times New Roman"/>
          <w:iCs/>
          <w:color w:val="000000" w:themeColor="text1"/>
          <w:sz w:val="20"/>
          <w:szCs w:val="20"/>
          <w:lang w:val="it-IT" w:eastAsia="en-GB"/>
        </w:rPr>
        <w:t>Aldobrandino da Siena</w:t>
      </w:r>
      <w:r>
        <w:rPr>
          <w:rFonts w:ascii="Times New Roman" w:eastAsia="Times New Roman" w:hAnsi="Times New Roman" w:cs="Times New Roman"/>
          <w:iCs/>
          <w:color w:val="000000" w:themeColor="text1"/>
          <w:sz w:val="20"/>
          <w:szCs w:val="20"/>
          <w:lang w:val="it-IT" w:eastAsia="en-GB"/>
        </w:rPr>
        <w:t xml:space="preserve"> (d. c.1287)</w:t>
      </w:r>
      <w:r w:rsidRPr="007B6BDD">
        <w:rPr>
          <w:rFonts w:ascii="Times New Roman" w:eastAsia="Times New Roman" w:hAnsi="Times New Roman" w:cs="Times New Roman"/>
          <w:i/>
          <w:color w:val="000000" w:themeColor="text1"/>
          <w:sz w:val="20"/>
          <w:szCs w:val="20"/>
          <w:lang w:val="it-IT" w:eastAsia="en-GB"/>
        </w:rPr>
        <w:t>, Le régime du </w:t>
      </w:r>
      <w:r>
        <w:rPr>
          <w:rFonts w:ascii="Times New Roman" w:eastAsia="Times New Roman" w:hAnsi="Times New Roman" w:cs="Times New Roman"/>
          <w:i/>
          <w:color w:val="000000" w:themeColor="text1"/>
          <w:sz w:val="20"/>
          <w:szCs w:val="20"/>
          <w:lang w:val="it-IT" w:eastAsia="en-GB"/>
        </w:rPr>
        <w:t>C</w:t>
      </w:r>
      <w:r w:rsidRPr="007B6BDD">
        <w:rPr>
          <w:rFonts w:ascii="Times New Roman" w:eastAsia="Times New Roman" w:hAnsi="Times New Roman" w:cs="Times New Roman"/>
          <w:i/>
          <w:color w:val="000000" w:themeColor="text1"/>
          <w:sz w:val="20"/>
          <w:szCs w:val="20"/>
          <w:lang w:val="it-IT" w:eastAsia="en-GB"/>
        </w:rPr>
        <w:t xml:space="preserve">orps...Texte </w:t>
      </w:r>
      <w:r>
        <w:rPr>
          <w:rFonts w:ascii="Times New Roman" w:eastAsia="Times New Roman" w:hAnsi="Times New Roman" w:cs="Times New Roman"/>
          <w:i/>
          <w:color w:val="000000" w:themeColor="text1"/>
          <w:sz w:val="20"/>
          <w:szCs w:val="20"/>
          <w:lang w:val="it-IT" w:eastAsia="en-GB"/>
        </w:rPr>
        <w:t>F</w:t>
      </w:r>
      <w:r w:rsidRPr="007B6BDD">
        <w:rPr>
          <w:rFonts w:ascii="Times New Roman" w:eastAsia="Times New Roman" w:hAnsi="Times New Roman" w:cs="Times New Roman"/>
          <w:i/>
          <w:color w:val="000000" w:themeColor="text1"/>
          <w:sz w:val="20"/>
          <w:szCs w:val="20"/>
          <w:lang w:val="it-IT" w:eastAsia="en-GB"/>
        </w:rPr>
        <w:t xml:space="preserve">rançais du XIIIe </w:t>
      </w:r>
      <w:r>
        <w:rPr>
          <w:rFonts w:ascii="Times New Roman" w:eastAsia="Times New Roman" w:hAnsi="Times New Roman" w:cs="Times New Roman"/>
          <w:i/>
          <w:color w:val="000000" w:themeColor="text1"/>
          <w:sz w:val="20"/>
          <w:szCs w:val="20"/>
          <w:lang w:val="it-IT" w:eastAsia="en-GB"/>
        </w:rPr>
        <w:t>S</w:t>
      </w:r>
      <w:r w:rsidRPr="007B6BDD">
        <w:rPr>
          <w:rFonts w:ascii="Times New Roman" w:eastAsia="Times New Roman" w:hAnsi="Times New Roman" w:cs="Times New Roman"/>
          <w:i/>
          <w:color w:val="000000" w:themeColor="text1"/>
          <w:sz w:val="20"/>
          <w:szCs w:val="20"/>
          <w:lang w:val="it-IT" w:eastAsia="en-GB"/>
        </w:rPr>
        <w:t>iècle</w:t>
      </w:r>
      <w:r w:rsidRPr="007B6BDD">
        <w:rPr>
          <w:rFonts w:ascii="Times New Roman" w:eastAsia="Times New Roman" w:hAnsi="Times New Roman" w:cs="Times New Roman"/>
          <w:color w:val="000000" w:themeColor="text1"/>
          <w:sz w:val="20"/>
          <w:szCs w:val="20"/>
          <w:lang w:val="it-IT" w:eastAsia="en-GB"/>
        </w:rPr>
        <w:t>, eds L.</w:t>
      </w:r>
      <w:r>
        <w:rPr>
          <w:rFonts w:ascii="Times New Roman" w:eastAsia="Times New Roman" w:hAnsi="Times New Roman" w:cs="Times New Roman"/>
          <w:color w:val="000000" w:themeColor="text1"/>
          <w:sz w:val="20"/>
          <w:szCs w:val="20"/>
          <w:lang w:val="it-IT" w:eastAsia="en-GB"/>
        </w:rPr>
        <w:t xml:space="preserve"> </w:t>
      </w:r>
      <w:r w:rsidRPr="007B6BDD">
        <w:rPr>
          <w:rFonts w:ascii="Times New Roman" w:eastAsia="Times New Roman" w:hAnsi="Times New Roman" w:cs="Times New Roman"/>
          <w:color w:val="000000" w:themeColor="text1"/>
          <w:sz w:val="20"/>
          <w:szCs w:val="20"/>
          <w:lang w:val="it-IT" w:eastAsia="en-GB"/>
        </w:rPr>
        <w:t>Landouzy and  R. Pépin</w:t>
      </w:r>
      <w:r w:rsidRPr="007B6BDD">
        <w:rPr>
          <w:rFonts w:ascii="Times New Roman" w:eastAsia="Times New Roman" w:hAnsi="Times New Roman" w:cs="Times New Roman"/>
          <w:iCs/>
          <w:color w:val="000000" w:themeColor="text1"/>
          <w:sz w:val="20"/>
          <w:szCs w:val="20"/>
          <w:lang w:val="it-IT" w:eastAsia="en-GB"/>
        </w:rPr>
        <w:t> (Paris: H. Champion, 1911), 103.</w:t>
      </w:r>
      <w:r w:rsidRPr="007B6BDD">
        <w:rPr>
          <w:rFonts w:ascii="Times New Roman" w:hAnsi="Times New Roman" w:cs="Times New Roman"/>
          <w:sz w:val="20"/>
          <w:szCs w:val="20"/>
          <w:lang w:val="it-IT"/>
        </w:rPr>
        <w:t xml:space="preserve"> </w:t>
      </w:r>
    </w:p>
  </w:footnote>
  <w:footnote w:id="79">
    <w:p w:rsidR="00DF2756" w:rsidRDefault="00DF2756">
      <w:pPr>
        <w:autoSpaceDE w:val="0"/>
        <w:autoSpaceDN w:val="0"/>
        <w:adjustRightInd w:val="0"/>
        <w:spacing w:after="0" w:line="240" w:lineRule="auto"/>
        <w:jc w:val="both"/>
      </w:pPr>
      <w:r w:rsidRPr="007B6BDD">
        <w:rPr>
          <w:rStyle w:val="FootnoteReference"/>
          <w:rFonts w:ascii="Times New Roman" w:hAnsi="Times New Roman" w:cs="Times New Roman"/>
          <w:sz w:val="20"/>
          <w:szCs w:val="20"/>
        </w:rPr>
        <w:footnoteRef/>
      </w:r>
      <w:r w:rsidRPr="00085F21">
        <w:rPr>
          <w:rFonts w:ascii="Times New Roman" w:hAnsi="Times New Roman" w:cs="Times New Roman"/>
          <w:sz w:val="20"/>
          <w:szCs w:val="20"/>
          <w:lang w:val="it-IT"/>
        </w:rPr>
        <w:t xml:space="preserve"> U. </w:t>
      </w:r>
      <w:r w:rsidRPr="00085F21">
        <w:rPr>
          <w:rFonts w:ascii="Times New Roman" w:hAnsi="Times New Roman" w:cs="Times New Roman"/>
          <w:sz w:val="20"/>
          <w:szCs w:val="20"/>
          <w:lang w:val="it-IT"/>
        </w:rPr>
        <w:t xml:space="preserve">Benzi, </w:t>
      </w:r>
      <w:r w:rsidRPr="007B6BDD">
        <w:rPr>
          <w:rFonts w:ascii="Times New Roman" w:hAnsi="Times New Roman" w:cs="Times New Roman"/>
          <w:i/>
          <w:iCs/>
          <w:sz w:val="20"/>
          <w:szCs w:val="20"/>
          <w:lang w:val="it-IT"/>
        </w:rPr>
        <w:t xml:space="preserve">Tractato </w:t>
      </w:r>
      <w:r>
        <w:rPr>
          <w:rFonts w:ascii="Times New Roman" w:hAnsi="Times New Roman" w:cs="Times New Roman"/>
          <w:i/>
          <w:iCs/>
          <w:sz w:val="20"/>
          <w:szCs w:val="20"/>
          <w:lang w:val="it-IT"/>
        </w:rPr>
        <w:t>U</w:t>
      </w:r>
      <w:r w:rsidRPr="007B6BDD">
        <w:rPr>
          <w:rFonts w:ascii="Times New Roman" w:hAnsi="Times New Roman" w:cs="Times New Roman"/>
          <w:i/>
          <w:iCs/>
          <w:sz w:val="20"/>
          <w:szCs w:val="20"/>
          <w:lang w:val="it-IT"/>
        </w:rPr>
        <w:t xml:space="preserve">tilissimo </w:t>
      </w:r>
      <w:r>
        <w:rPr>
          <w:rFonts w:ascii="Times New Roman" w:hAnsi="Times New Roman" w:cs="Times New Roman"/>
          <w:i/>
          <w:iCs/>
          <w:sz w:val="20"/>
          <w:szCs w:val="20"/>
          <w:lang w:val="it-IT"/>
        </w:rPr>
        <w:t>C</w:t>
      </w:r>
      <w:r w:rsidRPr="007B6BDD">
        <w:rPr>
          <w:rFonts w:ascii="Times New Roman" w:hAnsi="Times New Roman" w:cs="Times New Roman"/>
          <w:i/>
          <w:iCs/>
          <w:sz w:val="20"/>
          <w:szCs w:val="20"/>
          <w:lang w:val="it-IT"/>
        </w:rPr>
        <w:t xml:space="preserve">irca lo </w:t>
      </w:r>
      <w:r>
        <w:rPr>
          <w:rFonts w:ascii="Times New Roman" w:hAnsi="Times New Roman" w:cs="Times New Roman"/>
          <w:i/>
          <w:iCs/>
          <w:sz w:val="20"/>
          <w:szCs w:val="20"/>
          <w:lang w:val="it-IT"/>
        </w:rPr>
        <w:t>R</w:t>
      </w:r>
      <w:r w:rsidRPr="007B6BDD">
        <w:rPr>
          <w:rFonts w:ascii="Times New Roman" w:hAnsi="Times New Roman" w:cs="Times New Roman"/>
          <w:i/>
          <w:iCs/>
          <w:sz w:val="20"/>
          <w:szCs w:val="20"/>
          <w:lang w:val="it-IT"/>
        </w:rPr>
        <w:t xml:space="preserve">egimento et </w:t>
      </w:r>
      <w:r>
        <w:rPr>
          <w:rFonts w:ascii="Times New Roman" w:hAnsi="Times New Roman" w:cs="Times New Roman"/>
          <w:i/>
          <w:iCs/>
          <w:sz w:val="20"/>
          <w:szCs w:val="20"/>
          <w:lang w:val="it-IT"/>
        </w:rPr>
        <w:t>C</w:t>
      </w:r>
      <w:r w:rsidRPr="007B6BDD">
        <w:rPr>
          <w:rFonts w:ascii="Times New Roman" w:hAnsi="Times New Roman" w:cs="Times New Roman"/>
          <w:i/>
          <w:iCs/>
          <w:sz w:val="20"/>
          <w:szCs w:val="20"/>
          <w:lang w:val="it-IT"/>
        </w:rPr>
        <w:t xml:space="preserve">onservatione de la </w:t>
      </w:r>
      <w:r>
        <w:rPr>
          <w:rFonts w:ascii="Times New Roman" w:hAnsi="Times New Roman" w:cs="Times New Roman"/>
          <w:i/>
          <w:iCs/>
          <w:sz w:val="20"/>
          <w:szCs w:val="20"/>
          <w:lang w:val="it-IT"/>
        </w:rPr>
        <w:t>S</w:t>
      </w:r>
      <w:r w:rsidRPr="007B6BDD">
        <w:rPr>
          <w:rFonts w:ascii="Times New Roman" w:hAnsi="Times New Roman" w:cs="Times New Roman"/>
          <w:i/>
          <w:iCs/>
          <w:sz w:val="20"/>
          <w:szCs w:val="20"/>
          <w:lang w:val="it-IT"/>
        </w:rPr>
        <w:t xml:space="preserve">anitade </w:t>
      </w:r>
      <w:r w:rsidRPr="007B6BDD">
        <w:rPr>
          <w:rFonts w:ascii="Times New Roman" w:hAnsi="Times New Roman" w:cs="Times New Roman"/>
          <w:sz w:val="20"/>
          <w:szCs w:val="20"/>
          <w:lang w:val="it-IT"/>
        </w:rPr>
        <w:t xml:space="preserve">(Milan: Petromartire, 1508), 4r. </w:t>
      </w:r>
      <w:r w:rsidRPr="007B6BDD">
        <w:rPr>
          <w:rFonts w:ascii="Times New Roman" w:hAnsi="Times New Roman" w:cs="Times New Roman"/>
          <w:sz w:val="20"/>
          <w:szCs w:val="20"/>
        </w:rPr>
        <w:t>First published in 1481 this work is in reality a translation</w:t>
      </w:r>
      <w:r w:rsidRPr="00E32E85">
        <w:rPr>
          <w:rFonts w:ascii="Times New Roman" w:hAnsi="Times New Roman" w:cs="Times New Roman"/>
          <w:sz w:val="20"/>
          <w:szCs w:val="20"/>
        </w:rPr>
        <w:t xml:space="preserve"> of </w:t>
      </w:r>
      <w:proofErr w:type="spellStart"/>
      <w:r w:rsidRPr="00E32E85">
        <w:rPr>
          <w:rFonts w:ascii="Times New Roman" w:hAnsi="Times New Roman" w:cs="Times New Roman"/>
          <w:sz w:val="20"/>
          <w:szCs w:val="20"/>
        </w:rPr>
        <w:t>Reguardati’s</w:t>
      </w:r>
      <w:proofErr w:type="spellEnd"/>
      <w:r w:rsidRPr="00E32E85">
        <w:rPr>
          <w:rFonts w:ascii="Times New Roman" w:hAnsi="Times New Roman" w:cs="Times New Roman"/>
          <w:sz w:val="20"/>
          <w:szCs w:val="20"/>
        </w:rPr>
        <w:t xml:space="preserve"> 1475 Latin regimen</w:t>
      </w:r>
      <w:r>
        <w:rPr>
          <w:rFonts w:ascii="Times New Roman" w:hAnsi="Times New Roman" w:cs="Times New Roman"/>
          <w:sz w:val="20"/>
          <w:szCs w:val="20"/>
        </w:rPr>
        <w:t xml:space="preserve">, see H. Cotton, </w:t>
      </w:r>
      <w:r w:rsidRPr="00E32E85">
        <w:rPr>
          <w:rFonts w:ascii="Times New Roman" w:hAnsi="Times New Roman" w:cs="Times New Roman"/>
          <w:sz w:val="20"/>
          <w:szCs w:val="20"/>
        </w:rPr>
        <w:t>‘</w:t>
      </w:r>
      <w:proofErr w:type="spellStart"/>
      <w:r w:rsidRPr="00E32E85">
        <w:rPr>
          <w:rFonts w:ascii="Times New Roman" w:hAnsi="Times New Roman" w:cs="Times New Roman"/>
          <w:sz w:val="20"/>
          <w:szCs w:val="20"/>
        </w:rPr>
        <w:t>Benedetto</w:t>
      </w:r>
      <w:proofErr w:type="spellEnd"/>
      <w:r w:rsidRPr="00E32E85">
        <w:rPr>
          <w:rFonts w:ascii="Times New Roman" w:hAnsi="Times New Roman" w:cs="Times New Roman"/>
          <w:sz w:val="20"/>
          <w:szCs w:val="20"/>
        </w:rPr>
        <w:t xml:space="preserve"> </w:t>
      </w:r>
      <w:proofErr w:type="spellStart"/>
      <w:r w:rsidRPr="00E32E85">
        <w:rPr>
          <w:rFonts w:ascii="Times New Roman" w:hAnsi="Times New Roman" w:cs="Times New Roman"/>
          <w:sz w:val="20"/>
          <w:szCs w:val="20"/>
        </w:rPr>
        <w:t>Reguardati</w:t>
      </w:r>
      <w:proofErr w:type="spellEnd"/>
      <w:r w:rsidRPr="00E32E85">
        <w:rPr>
          <w:rFonts w:ascii="Times New Roman" w:hAnsi="Times New Roman" w:cs="Times New Roman"/>
          <w:sz w:val="20"/>
          <w:szCs w:val="20"/>
        </w:rPr>
        <w:t xml:space="preserve">: Author of </w:t>
      </w:r>
      <w:proofErr w:type="spellStart"/>
      <w:r w:rsidRPr="00E32E85">
        <w:rPr>
          <w:rFonts w:ascii="Times New Roman" w:hAnsi="Times New Roman" w:cs="Times New Roman"/>
          <w:sz w:val="20"/>
          <w:szCs w:val="20"/>
        </w:rPr>
        <w:t>Ugo</w:t>
      </w:r>
      <w:proofErr w:type="spellEnd"/>
      <w:r w:rsidRPr="00E32E85">
        <w:rPr>
          <w:rFonts w:ascii="Times New Roman" w:hAnsi="Times New Roman" w:cs="Times New Roman"/>
          <w:sz w:val="20"/>
          <w:szCs w:val="20"/>
        </w:rPr>
        <w:t xml:space="preserve"> </w:t>
      </w:r>
      <w:proofErr w:type="spellStart"/>
      <w:r w:rsidRPr="00E32E85">
        <w:rPr>
          <w:rFonts w:ascii="Times New Roman" w:hAnsi="Times New Roman" w:cs="Times New Roman"/>
          <w:sz w:val="20"/>
          <w:szCs w:val="20"/>
        </w:rPr>
        <w:t>Benzi’s</w:t>
      </w:r>
      <w:proofErr w:type="spellEnd"/>
      <w:r w:rsidRPr="00E32E85">
        <w:rPr>
          <w:rFonts w:ascii="Times New Roman" w:hAnsi="Times New Roman" w:cs="Times New Roman"/>
          <w:sz w:val="20"/>
          <w:szCs w:val="20"/>
        </w:rPr>
        <w:t xml:space="preserve"> </w:t>
      </w:r>
      <w:proofErr w:type="spellStart"/>
      <w:r w:rsidRPr="00E32E85">
        <w:rPr>
          <w:rFonts w:ascii="Times New Roman" w:hAnsi="Times New Roman" w:cs="Times New Roman"/>
          <w:i/>
          <w:iCs/>
          <w:sz w:val="20"/>
          <w:szCs w:val="20"/>
        </w:rPr>
        <w:t>Tractato</w:t>
      </w:r>
      <w:proofErr w:type="spellEnd"/>
      <w:r w:rsidRPr="00E32E85">
        <w:rPr>
          <w:rFonts w:ascii="Times New Roman" w:hAnsi="Times New Roman" w:cs="Times New Roman"/>
          <w:i/>
          <w:iCs/>
          <w:sz w:val="20"/>
          <w:szCs w:val="20"/>
        </w:rPr>
        <w:t xml:space="preserve"> d</w:t>
      </w:r>
      <w:r>
        <w:rPr>
          <w:rFonts w:ascii="Times New Roman" w:hAnsi="Times New Roman" w:cs="Times New Roman"/>
          <w:i/>
          <w:iCs/>
          <w:sz w:val="20"/>
          <w:szCs w:val="20"/>
        </w:rPr>
        <w:t xml:space="preserve">e la Conservation de la </w:t>
      </w:r>
      <w:proofErr w:type="spellStart"/>
      <w:r>
        <w:rPr>
          <w:rFonts w:ascii="Times New Roman" w:hAnsi="Times New Roman" w:cs="Times New Roman"/>
          <w:i/>
          <w:iCs/>
          <w:sz w:val="20"/>
          <w:szCs w:val="20"/>
        </w:rPr>
        <w:t>Sanitade</w:t>
      </w:r>
      <w:proofErr w:type="spellEnd"/>
      <w:r>
        <w:rPr>
          <w:rFonts w:ascii="Times New Roman" w:hAnsi="Times New Roman" w:cs="Times New Roman"/>
          <w:i/>
          <w:iCs/>
          <w:sz w:val="20"/>
          <w:szCs w:val="20"/>
        </w:rPr>
        <w:t>’</w:t>
      </w:r>
      <w:r w:rsidRPr="00E32E85">
        <w:rPr>
          <w:rFonts w:ascii="Times New Roman" w:hAnsi="Times New Roman" w:cs="Times New Roman"/>
          <w:sz w:val="20"/>
          <w:szCs w:val="20"/>
        </w:rPr>
        <w:t xml:space="preserve">, </w:t>
      </w:r>
      <w:r w:rsidRPr="00E32E85">
        <w:rPr>
          <w:rFonts w:ascii="Times New Roman" w:hAnsi="Times New Roman" w:cs="Times New Roman"/>
          <w:i/>
          <w:iCs/>
          <w:sz w:val="20"/>
          <w:szCs w:val="20"/>
        </w:rPr>
        <w:t>Medical History</w:t>
      </w:r>
      <w:r w:rsidRPr="00E32E85">
        <w:rPr>
          <w:rFonts w:ascii="Times New Roman" w:hAnsi="Times New Roman" w:cs="Times New Roman"/>
          <w:sz w:val="20"/>
          <w:szCs w:val="20"/>
        </w:rPr>
        <w:t>, 12</w:t>
      </w:r>
      <w:r>
        <w:rPr>
          <w:rFonts w:ascii="Times New Roman" w:hAnsi="Times New Roman" w:cs="Times New Roman"/>
          <w:sz w:val="20"/>
          <w:szCs w:val="20"/>
        </w:rPr>
        <w:t xml:space="preserve">, </w:t>
      </w:r>
      <w:r w:rsidRPr="00E32E85">
        <w:rPr>
          <w:rFonts w:ascii="Times New Roman" w:hAnsi="Times New Roman" w:cs="Times New Roman"/>
          <w:sz w:val="20"/>
          <w:szCs w:val="20"/>
        </w:rPr>
        <w:t>1968,</w:t>
      </w:r>
      <w:r w:rsidRPr="008261C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32E85">
        <w:rPr>
          <w:rFonts w:ascii="Times New Roman" w:hAnsi="Times New Roman" w:cs="Times New Roman"/>
          <w:sz w:val="20"/>
          <w:szCs w:val="20"/>
        </w:rPr>
        <w:t xml:space="preserve"> 175–89. </w:t>
      </w:r>
    </w:p>
  </w:footnote>
  <w:footnote w:id="80">
    <w:p w:rsidR="00DF2756" w:rsidRDefault="00DF2756">
      <w:pPr>
        <w:pStyle w:val="FootnoteText"/>
        <w:jc w:val="both"/>
        <w:rPr>
          <w:lang w:val="en-GB"/>
        </w:rPr>
      </w:pPr>
      <w:r>
        <w:rPr>
          <w:rStyle w:val="FootnoteReference"/>
        </w:rPr>
        <w:footnoteRef/>
      </w:r>
      <w:r>
        <w:rPr>
          <w:lang w:val="en-GB"/>
        </w:rPr>
        <w:t xml:space="preserve"> See A. </w:t>
      </w:r>
      <w:proofErr w:type="spellStart"/>
      <w:r>
        <w:rPr>
          <w:lang w:val="en-GB"/>
        </w:rPr>
        <w:t>Contadini</w:t>
      </w:r>
      <w:proofErr w:type="spellEnd"/>
      <w:r>
        <w:rPr>
          <w:lang w:val="en-GB"/>
        </w:rPr>
        <w:t xml:space="preserve">,  ‘Middle Eastern Objects’, in </w:t>
      </w:r>
      <w:r w:rsidRPr="008A7C4D">
        <w:rPr>
          <w:lang w:val="en-GB"/>
        </w:rPr>
        <w:t>Ajmar-</w:t>
      </w:r>
      <w:proofErr w:type="spellStart"/>
      <w:r w:rsidRPr="008A7C4D">
        <w:rPr>
          <w:lang w:val="en-GB"/>
        </w:rPr>
        <w:t>Wollheim</w:t>
      </w:r>
      <w:proofErr w:type="spellEnd"/>
      <w:r>
        <w:rPr>
          <w:lang w:val="en-GB"/>
        </w:rPr>
        <w:t xml:space="preserve"> </w:t>
      </w:r>
      <w:r w:rsidRPr="008A7C4D">
        <w:rPr>
          <w:lang w:val="en-GB"/>
        </w:rPr>
        <w:t xml:space="preserve">and Dennis, </w:t>
      </w:r>
      <w:r>
        <w:rPr>
          <w:i/>
          <w:lang w:val="en-GB"/>
        </w:rPr>
        <w:t>At Home</w:t>
      </w:r>
      <w:r>
        <w:rPr>
          <w:lang w:val="en-GB"/>
        </w:rPr>
        <w:t>, 308-21, 314-15, and the bibliography cited there.</w:t>
      </w:r>
    </w:p>
  </w:footnote>
  <w:footnote w:id="81">
    <w:p w:rsidR="00DF2756" w:rsidRDefault="00DF2756">
      <w:pPr>
        <w:pStyle w:val="FootnoteText"/>
        <w:jc w:val="both"/>
        <w:rPr>
          <w:highlight w:val="green"/>
          <w:lang w:val="en-GB"/>
        </w:rPr>
      </w:pPr>
      <w:r>
        <w:rPr>
          <w:rStyle w:val="FootnoteReference"/>
        </w:rPr>
        <w:footnoteRef/>
      </w:r>
      <w:r w:rsidRPr="0049441E">
        <w:t xml:space="preserve"> ‘quando l’aere eccede in qualch</w:t>
      </w:r>
      <w:r>
        <w:t xml:space="preserve">e qualitá si deve correggere col suo contrario ... onde se sará troppo caldo e di state si asperga la casa di acqua fresca e aceto perché l’aceto, con la sua frigiditá e siccitá corregge i cattivi vapori dell’aere e proibisce la putredine’. </w:t>
      </w:r>
      <w:r>
        <w:t xml:space="preserve">Durante, </w:t>
      </w:r>
      <w:r>
        <w:rPr>
          <w:i/>
        </w:rPr>
        <w:t>Il Tesoro</w:t>
      </w:r>
      <w:r>
        <w:t>,</w:t>
      </w:r>
      <w:r w:rsidRPr="009B3C19">
        <w:t xml:space="preserve"> 9.</w:t>
      </w:r>
      <w:r>
        <w:t xml:space="preserve"> S</w:t>
      </w:r>
      <w:r w:rsidRPr="009B3C19">
        <w:t xml:space="preserve">imilar advice is found in </w:t>
      </w:r>
      <w:r w:rsidRPr="007B6BDD">
        <w:t>B</w:t>
      </w:r>
      <w:r>
        <w:rPr>
          <w:b/>
        </w:rPr>
        <w:t xml:space="preserve">. </w:t>
      </w:r>
      <w:r w:rsidRPr="009B3C19">
        <w:t xml:space="preserve">Boldo, </w:t>
      </w:r>
      <w:r w:rsidRPr="009B3C19">
        <w:rPr>
          <w:i/>
        </w:rPr>
        <w:t xml:space="preserve">Libro della </w:t>
      </w:r>
      <w:r>
        <w:rPr>
          <w:i/>
        </w:rPr>
        <w:t>N</w:t>
      </w:r>
      <w:r w:rsidRPr="009B3C19">
        <w:rPr>
          <w:i/>
        </w:rPr>
        <w:t xml:space="preserve">atura et </w:t>
      </w:r>
      <w:r>
        <w:rPr>
          <w:i/>
        </w:rPr>
        <w:t>V</w:t>
      </w:r>
      <w:r w:rsidRPr="009B3C19">
        <w:rPr>
          <w:i/>
        </w:rPr>
        <w:t xml:space="preserve">irtu delle </w:t>
      </w:r>
      <w:r>
        <w:rPr>
          <w:i/>
        </w:rPr>
        <w:t>C</w:t>
      </w:r>
      <w:r w:rsidRPr="009B3C19">
        <w:rPr>
          <w:i/>
        </w:rPr>
        <w:t xml:space="preserve">ose, che </w:t>
      </w:r>
      <w:r>
        <w:rPr>
          <w:i/>
        </w:rPr>
        <w:t>N</w:t>
      </w:r>
      <w:r w:rsidRPr="009B3C19">
        <w:rPr>
          <w:i/>
        </w:rPr>
        <w:t xml:space="preserve">utriscono, et delle </w:t>
      </w:r>
      <w:r>
        <w:rPr>
          <w:i/>
        </w:rPr>
        <w:t>C</w:t>
      </w:r>
      <w:r w:rsidRPr="009B3C19">
        <w:rPr>
          <w:i/>
        </w:rPr>
        <w:t xml:space="preserve">ose </w:t>
      </w:r>
      <w:r>
        <w:rPr>
          <w:i/>
        </w:rPr>
        <w:t>N</w:t>
      </w:r>
      <w:r w:rsidRPr="009B3C19">
        <w:rPr>
          <w:i/>
        </w:rPr>
        <w:t xml:space="preserve">on </w:t>
      </w:r>
      <w:r>
        <w:rPr>
          <w:i/>
        </w:rPr>
        <w:t>N</w:t>
      </w:r>
      <w:r w:rsidRPr="009B3C19">
        <w:rPr>
          <w:i/>
        </w:rPr>
        <w:t>aturali</w:t>
      </w:r>
      <w:r>
        <w:rPr>
          <w:i/>
        </w:rPr>
        <w:t>...</w:t>
      </w:r>
      <w:r w:rsidRPr="009B3C19">
        <w:t xml:space="preserve"> </w:t>
      </w:r>
      <w:proofErr w:type="gramStart"/>
      <w:r w:rsidR="00ED056C" w:rsidRPr="00D9518D">
        <w:rPr>
          <w:lang w:val="en-GB"/>
        </w:rPr>
        <w:t xml:space="preserve">(Venice: </w:t>
      </w:r>
      <w:proofErr w:type="spellStart"/>
      <w:r w:rsidR="00ED056C" w:rsidRPr="00D9518D">
        <w:rPr>
          <w:lang w:val="en-GB"/>
        </w:rPr>
        <w:t>Domenico</w:t>
      </w:r>
      <w:proofErr w:type="spellEnd"/>
      <w:r w:rsidR="00ED056C" w:rsidRPr="00D9518D">
        <w:rPr>
          <w:lang w:val="en-GB"/>
        </w:rPr>
        <w:t xml:space="preserve"> &amp;</w:t>
      </w:r>
      <w:r w:rsidR="006B6AE1">
        <w:rPr>
          <w:lang w:val="en-GB"/>
        </w:rPr>
        <w:t xml:space="preserve"> </w:t>
      </w:r>
      <w:proofErr w:type="spellStart"/>
      <w:r w:rsidR="006B6AE1">
        <w:rPr>
          <w:lang w:val="en-GB"/>
        </w:rPr>
        <w:t>Giovan</w:t>
      </w:r>
      <w:proofErr w:type="spellEnd"/>
      <w:r w:rsidR="006B6AE1">
        <w:rPr>
          <w:lang w:val="en-GB"/>
        </w:rPr>
        <w:t xml:space="preserve"> Battista Guerra </w:t>
      </w:r>
      <w:proofErr w:type="spellStart"/>
      <w:r w:rsidR="006B6AE1">
        <w:rPr>
          <w:lang w:val="en-GB"/>
        </w:rPr>
        <w:t>fratelli</w:t>
      </w:r>
      <w:proofErr w:type="spellEnd"/>
      <w:r w:rsidR="006B6AE1">
        <w:rPr>
          <w:lang w:val="en-GB"/>
        </w:rPr>
        <w:t>, 1575), 212.</w:t>
      </w:r>
      <w:proofErr w:type="gramEnd"/>
      <w:r w:rsidR="006B6AE1">
        <w:rPr>
          <w:lang w:val="en-GB"/>
        </w:rPr>
        <w:t xml:space="preserve"> </w:t>
      </w:r>
      <w:r w:rsidRPr="007B6BDD">
        <w:rPr>
          <w:lang w:val="en-GB"/>
        </w:rPr>
        <w:t>In</w:t>
      </w:r>
      <w:r>
        <w:rPr>
          <w:lang w:val="en-GB"/>
        </w:rPr>
        <w:t xml:space="preserve"> other cases the </w:t>
      </w:r>
      <w:proofErr w:type="spellStart"/>
      <w:r>
        <w:rPr>
          <w:lang w:val="en-GB"/>
        </w:rPr>
        <w:t>humoural</w:t>
      </w:r>
      <w:proofErr w:type="spellEnd"/>
      <w:r>
        <w:rPr>
          <w:lang w:val="en-GB"/>
        </w:rPr>
        <w:t xml:space="preserve"> characteristics of plants are not explicitly discussed but authors still specify which plants are suitable for the purpose.     </w:t>
      </w:r>
    </w:p>
  </w:footnote>
  <w:footnote w:id="82">
    <w:p w:rsidR="00DF2756" w:rsidRDefault="00DF2756">
      <w:pPr>
        <w:pStyle w:val="FootnoteText"/>
        <w:jc w:val="both"/>
        <w:rPr>
          <w:i/>
          <w:lang w:val="en-GB"/>
        </w:rPr>
      </w:pPr>
      <w:r>
        <w:rPr>
          <w:rStyle w:val="FootnoteReference"/>
        </w:rPr>
        <w:footnoteRef/>
      </w:r>
      <w:r w:rsidRPr="009B3C19">
        <w:rPr>
          <w:lang w:val="en-GB"/>
        </w:rPr>
        <w:t xml:space="preserve"> The fact that what makes smells good for the circumstance are their </w:t>
      </w:r>
      <w:proofErr w:type="spellStart"/>
      <w:r w:rsidRPr="009B3C19">
        <w:rPr>
          <w:lang w:val="en-GB"/>
        </w:rPr>
        <w:t>humoural</w:t>
      </w:r>
      <w:proofErr w:type="spellEnd"/>
      <w:r w:rsidRPr="009B3C19">
        <w:rPr>
          <w:lang w:val="en-GB"/>
        </w:rPr>
        <w:t xml:space="preserve"> qualities is mentioned in the first pages of Richard Palmer’s pioneering article</w:t>
      </w:r>
      <w:r>
        <w:rPr>
          <w:lang w:val="en-GB"/>
        </w:rPr>
        <w:t xml:space="preserve"> (see note 78)</w:t>
      </w:r>
      <w:r w:rsidRPr="009B3C19">
        <w:rPr>
          <w:lang w:val="en-GB"/>
        </w:rPr>
        <w:t xml:space="preserve">, but the point is then lost. </w:t>
      </w:r>
      <w:r>
        <w:rPr>
          <w:lang w:val="en-GB"/>
        </w:rPr>
        <w:t xml:space="preserve"> </w:t>
      </w:r>
    </w:p>
  </w:footnote>
  <w:footnote w:id="83">
    <w:p w:rsidR="00DF2756" w:rsidRDefault="00DF2756">
      <w:pPr>
        <w:pStyle w:val="FootnoteText"/>
        <w:jc w:val="both"/>
        <w:rPr>
          <w:lang w:val="en-GB"/>
        </w:rPr>
      </w:pPr>
      <w:r>
        <w:rPr>
          <w:rStyle w:val="FootnoteReference"/>
        </w:rPr>
        <w:footnoteRef/>
      </w:r>
      <w:r w:rsidRPr="003F6708">
        <w:rPr>
          <w:lang w:val="en-GB"/>
        </w:rPr>
        <w:t xml:space="preserve"> B. Elliott, ‘The world of the Renaissance herbal’, </w:t>
      </w:r>
      <w:r w:rsidRPr="003F6708">
        <w:rPr>
          <w:i/>
          <w:lang w:val="en-GB"/>
        </w:rPr>
        <w:t>Renaissance Studies</w:t>
      </w:r>
      <w:r>
        <w:rPr>
          <w:i/>
          <w:lang w:val="en-GB"/>
        </w:rPr>
        <w:t>,</w:t>
      </w:r>
      <w:r w:rsidRPr="003F6708">
        <w:rPr>
          <w:lang w:val="en-GB"/>
        </w:rPr>
        <w:t xml:space="preserve"> 25:1, 2011, </w:t>
      </w:r>
      <w:r>
        <w:rPr>
          <w:lang w:val="en-GB"/>
        </w:rPr>
        <w:t xml:space="preserve">24-41, </w:t>
      </w:r>
      <w:r w:rsidRPr="003F6708">
        <w:rPr>
          <w:lang w:val="en-GB"/>
        </w:rPr>
        <w:t>26-29.</w:t>
      </w:r>
      <w:r>
        <w:rPr>
          <w:lang w:val="en-GB"/>
        </w:rPr>
        <w:t xml:space="preserve"> Sixteenth-century herbals were the first to include life-scale representations of plants drawn from the actual original. </w:t>
      </w:r>
    </w:p>
  </w:footnote>
  <w:footnote w:id="84">
    <w:p w:rsidR="00DF2756" w:rsidRDefault="00DF2756">
      <w:pPr>
        <w:pStyle w:val="FootnoteText"/>
        <w:jc w:val="both"/>
      </w:pPr>
      <w:r>
        <w:rPr>
          <w:rStyle w:val="FootnoteReference"/>
        </w:rPr>
        <w:footnoteRef/>
      </w:r>
      <w:r w:rsidRPr="003F6708">
        <w:t xml:space="preserve"> </w:t>
      </w:r>
      <w:r w:rsidRPr="003F6708">
        <w:rPr>
          <w:i/>
        </w:rPr>
        <w:t>Ibid.</w:t>
      </w:r>
      <w:r w:rsidRPr="003F6708">
        <w:t>,</w:t>
      </w:r>
      <w:r>
        <w:t xml:space="preserve"> 29; </w:t>
      </w:r>
      <w:r w:rsidRPr="003F6708">
        <w:t>T</w:t>
      </w:r>
      <w:r>
        <w:t>.</w:t>
      </w:r>
      <w:r w:rsidRPr="003F6708">
        <w:t xml:space="preserve"> </w:t>
      </w:r>
      <w:r w:rsidRPr="003F6708">
        <w:t xml:space="preserve">Pesenti, ‘Il “Dioscoride” di Pier </w:t>
      </w:r>
      <w:r w:rsidRPr="003F6708">
        <w:t>Andrea Mattioli e l’</w:t>
      </w:r>
      <w:r>
        <w:t>E</w:t>
      </w:r>
      <w:r w:rsidRPr="003F6708">
        <w:t xml:space="preserve">ditoria </w:t>
      </w:r>
      <w:r>
        <w:t>B</w:t>
      </w:r>
      <w:r w:rsidRPr="003F6708">
        <w:t xml:space="preserve">otanica’, in </w:t>
      </w:r>
      <w:r w:rsidRPr="003F6708">
        <w:rPr>
          <w:smallCaps/>
        </w:rPr>
        <w:t>aa.vv.,</w:t>
      </w:r>
      <w:r w:rsidRPr="003F6708">
        <w:t xml:space="preserve"> </w:t>
      </w:r>
      <w:r w:rsidRPr="003F6708">
        <w:rPr>
          <w:i/>
        </w:rPr>
        <w:t xml:space="preserve">Trattati di </w:t>
      </w:r>
      <w:r>
        <w:rPr>
          <w:i/>
        </w:rPr>
        <w:t>P</w:t>
      </w:r>
      <w:r w:rsidRPr="003F6708">
        <w:rPr>
          <w:i/>
        </w:rPr>
        <w:t xml:space="preserve">rospettiva, </w:t>
      </w:r>
      <w:r>
        <w:rPr>
          <w:i/>
        </w:rPr>
        <w:t>A</w:t>
      </w:r>
      <w:r w:rsidRPr="003F6708">
        <w:rPr>
          <w:i/>
        </w:rPr>
        <w:t xml:space="preserve">rchitettura </w:t>
      </w:r>
      <w:r>
        <w:rPr>
          <w:i/>
        </w:rPr>
        <w:t>M</w:t>
      </w:r>
      <w:r w:rsidRPr="003F6708">
        <w:rPr>
          <w:i/>
        </w:rPr>
        <w:t xml:space="preserve">ilitare, </w:t>
      </w:r>
      <w:r>
        <w:rPr>
          <w:i/>
        </w:rPr>
        <w:t>I</w:t>
      </w:r>
      <w:r w:rsidRPr="003F6708">
        <w:rPr>
          <w:i/>
        </w:rPr>
        <w:t xml:space="preserve">draulica e </w:t>
      </w:r>
      <w:r>
        <w:rPr>
          <w:i/>
        </w:rPr>
        <w:t>A</w:t>
      </w:r>
      <w:r w:rsidRPr="003F6708">
        <w:rPr>
          <w:i/>
        </w:rPr>
        <w:t xml:space="preserve">ltre </w:t>
      </w:r>
      <w:r>
        <w:rPr>
          <w:i/>
        </w:rPr>
        <w:t>d</w:t>
      </w:r>
      <w:r w:rsidRPr="003F6708">
        <w:rPr>
          <w:i/>
        </w:rPr>
        <w:t>iscipline</w:t>
      </w:r>
      <w:r>
        <w:t xml:space="preserve"> (Vicenza: Neri Pozza, 1985)</w:t>
      </w:r>
      <w:r w:rsidRPr="003F6708">
        <w:t xml:space="preserve">, 61-103; S. Ferri ed., </w:t>
      </w:r>
      <w:r w:rsidRPr="003F6708">
        <w:rPr>
          <w:i/>
        </w:rPr>
        <w:t xml:space="preserve">Pietro Andrea Mattioli Siena 1501-Trento 1578: la </w:t>
      </w:r>
      <w:r>
        <w:rPr>
          <w:i/>
        </w:rPr>
        <w:t>V</w:t>
      </w:r>
      <w:r w:rsidRPr="003F6708">
        <w:rPr>
          <w:i/>
        </w:rPr>
        <w:t xml:space="preserve">ita, le </w:t>
      </w:r>
      <w:r>
        <w:rPr>
          <w:i/>
        </w:rPr>
        <w:t>O</w:t>
      </w:r>
      <w:r w:rsidRPr="003F6708">
        <w:rPr>
          <w:i/>
        </w:rPr>
        <w:t>pere con l’</w:t>
      </w:r>
      <w:r>
        <w:rPr>
          <w:i/>
        </w:rPr>
        <w:t>I</w:t>
      </w:r>
      <w:r w:rsidRPr="003F6708">
        <w:rPr>
          <w:i/>
        </w:rPr>
        <w:t xml:space="preserve">dentificzione delle </w:t>
      </w:r>
      <w:r>
        <w:rPr>
          <w:i/>
        </w:rPr>
        <w:t>P</w:t>
      </w:r>
      <w:r w:rsidRPr="003F6708">
        <w:rPr>
          <w:i/>
        </w:rPr>
        <w:t>iante</w:t>
      </w:r>
      <w:r w:rsidRPr="003F6708">
        <w:t xml:space="preserve"> (Perugia: Quattroemme, 1997).</w:t>
      </w:r>
    </w:p>
  </w:footnote>
  <w:footnote w:id="85">
    <w:p w:rsidR="00DF2756" w:rsidRPr="00D40E0E" w:rsidRDefault="00DF2756">
      <w:pPr>
        <w:pStyle w:val="FootnoteText"/>
        <w:jc w:val="both"/>
        <w:rPr>
          <w:lang w:val="en-GB"/>
        </w:rPr>
      </w:pPr>
      <w:r>
        <w:rPr>
          <w:rStyle w:val="FootnoteReference"/>
        </w:rPr>
        <w:footnoteRef/>
      </w:r>
      <w:r w:rsidRPr="007B6BDD">
        <w:rPr>
          <w:lang w:val="en-GB"/>
        </w:rPr>
        <w:t xml:space="preserve"> </w:t>
      </w:r>
      <w:r>
        <w:rPr>
          <w:lang w:val="en-GB"/>
        </w:rPr>
        <w:t xml:space="preserve">This tendency should be related to the growing assumption of close ties between body and soul, characteristic of Renaissance Aristotelian psychology. See among other, K. Park, </w:t>
      </w:r>
      <w:r w:rsidRPr="007B6BDD">
        <w:rPr>
          <w:rFonts w:eastAsia="Times New Roman"/>
          <w:iCs/>
          <w:color w:val="000000" w:themeColor="text1"/>
          <w:lang w:val="en-GB" w:eastAsia="en-GB"/>
        </w:rPr>
        <w:t>'The Organic Soul', in Q. Skinner</w:t>
      </w:r>
      <w:r>
        <w:rPr>
          <w:rFonts w:eastAsia="Times New Roman"/>
          <w:iCs/>
          <w:color w:val="000000" w:themeColor="text1"/>
          <w:lang w:val="en-GB" w:eastAsia="en-GB"/>
        </w:rPr>
        <w:t xml:space="preserve">, </w:t>
      </w:r>
      <w:r w:rsidRPr="007B6BDD">
        <w:rPr>
          <w:rFonts w:eastAsia="Times New Roman"/>
          <w:iCs/>
          <w:color w:val="000000" w:themeColor="text1"/>
          <w:lang w:val="en-GB" w:eastAsia="en-GB"/>
        </w:rPr>
        <w:t xml:space="preserve">E. Kessler and J. </w:t>
      </w:r>
      <w:proofErr w:type="spellStart"/>
      <w:r w:rsidRPr="007B6BDD">
        <w:rPr>
          <w:rFonts w:eastAsia="Times New Roman"/>
          <w:iCs/>
          <w:color w:val="000000" w:themeColor="text1"/>
          <w:lang w:val="en-GB" w:eastAsia="en-GB"/>
        </w:rPr>
        <w:t>Kraye</w:t>
      </w:r>
      <w:proofErr w:type="spellEnd"/>
      <w:r w:rsidRPr="007B6BDD">
        <w:rPr>
          <w:rFonts w:eastAsia="Times New Roman"/>
          <w:iCs/>
          <w:color w:val="000000" w:themeColor="text1"/>
          <w:lang w:val="en-GB" w:eastAsia="en-GB"/>
        </w:rPr>
        <w:t xml:space="preserve"> </w:t>
      </w:r>
      <w:proofErr w:type="spellStart"/>
      <w:proofErr w:type="gramStart"/>
      <w:r>
        <w:rPr>
          <w:rFonts w:eastAsia="Times New Roman"/>
          <w:iCs/>
          <w:color w:val="000000" w:themeColor="text1"/>
          <w:lang w:val="en-GB" w:eastAsia="en-GB"/>
        </w:rPr>
        <w:t>eds</w:t>
      </w:r>
      <w:proofErr w:type="spellEnd"/>
      <w:proofErr w:type="gramEnd"/>
      <w:r w:rsidRPr="007B6BDD">
        <w:rPr>
          <w:rFonts w:eastAsia="Times New Roman"/>
          <w:iCs/>
          <w:color w:val="000000" w:themeColor="text1"/>
          <w:lang w:val="en-GB" w:eastAsia="en-GB"/>
        </w:rPr>
        <w:t xml:space="preserve">, </w:t>
      </w:r>
      <w:r w:rsidRPr="007B6BDD">
        <w:rPr>
          <w:rFonts w:eastAsia="Times New Roman"/>
          <w:i/>
          <w:color w:val="000000" w:themeColor="text1"/>
          <w:lang w:val="en-GB" w:eastAsia="en-GB"/>
        </w:rPr>
        <w:t>The Cambridge History of Renaissance Philosophy</w:t>
      </w:r>
      <w:r>
        <w:rPr>
          <w:rFonts w:eastAsia="Times New Roman"/>
          <w:iCs/>
          <w:color w:val="000000" w:themeColor="text1"/>
          <w:lang w:val="en-GB" w:eastAsia="en-GB"/>
        </w:rPr>
        <w:t xml:space="preserve"> (Cambridge: Cambridge University Press, </w:t>
      </w:r>
      <w:r w:rsidRPr="007B6BDD">
        <w:rPr>
          <w:rFonts w:eastAsia="Times New Roman"/>
          <w:iCs/>
          <w:color w:val="000000" w:themeColor="text1"/>
          <w:lang w:val="en-GB" w:eastAsia="en-GB"/>
        </w:rPr>
        <w:t xml:space="preserve">1988), </w:t>
      </w:r>
      <w:r>
        <w:rPr>
          <w:rFonts w:eastAsia="Times New Roman"/>
          <w:iCs/>
          <w:color w:val="000000" w:themeColor="text1"/>
          <w:lang w:val="en-GB" w:eastAsia="en-GB"/>
        </w:rPr>
        <w:t xml:space="preserve">464-84. </w:t>
      </w:r>
      <w:r w:rsidRPr="00AA79C7">
        <w:rPr>
          <w:rFonts w:eastAsia="Times New Roman"/>
          <w:iCs/>
          <w:color w:val="000000" w:themeColor="text1"/>
          <w:lang w:val="en-GB" w:eastAsia="en-GB"/>
        </w:rPr>
        <w:t xml:space="preserve">For the centrality of the spirits in the writings of sixteenth-century Italian humanists </w:t>
      </w:r>
      <w:proofErr w:type="spellStart"/>
      <w:r w:rsidRPr="00AA79C7">
        <w:rPr>
          <w:rFonts w:eastAsia="Times New Roman"/>
          <w:iCs/>
          <w:color w:val="000000" w:themeColor="text1"/>
          <w:lang w:val="en-GB" w:eastAsia="en-GB"/>
        </w:rPr>
        <w:t>E.Garin</w:t>
      </w:r>
      <w:proofErr w:type="spellEnd"/>
      <w:r w:rsidRPr="00AA79C7">
        <w:rPr>
          <w:rFonts w:eastAsia="Times New Roman"/>
          <w:iCs/>
          <w:color w:val="000000" w:themeColor="text1"/>
          <w:lang w:val="en-GB" w:eastAsia="en-GB"/>
        </w:rPr>
        <w:t xml:space="preserve">, ‘Il </w:t>
      </w:r>
      <w:proofErr w:type="spellStart"/>
      <w:r>
        <w:rPr>
          <w:rFonts w:eastAsia="Times New Roman"/>
          <w:iCs/>
          <w:color w:val="000000" w:themeColor="text1"/>
          <w:lang w:val="en-GB" w:eastAsia="en-GB"/>
        </w:rPr>
        <w:t>T</w:t>
      </w:r>
      <w:r w:rsidRPr="00AA79C7">
        <w:rPr>
          <w:rFonts w:eastAsia="Times New Roman"/>
          <w:iCs/>
          <w:color w:val="000000" w:themeColor="text1"/>
          <w:lang w:val="en-GB" w:eastAsia="en-GB"/>
        </w:rPr>
        <w:t>ermine</w:t>
      </w:r>
      <w:proofErr w:type="spellEnd"/>
      <w:r w:rsidRPr="00AA79C7">
        <w:rPr>
          <w:rFonts w:eastAsia="Times New Roman"/>
          <w:iCs/>
          <w:color w:val="000000" w:themeColor="text1"/>
          <w:lang w:val="en-GB" w:eastAsia="en-GB"/>
        </w:rPr>
        <w:t xml:space="preserve"> ‘</w:t>
      </w:r>
      <w:proofErr w:type="spellStart"/>
      <w:r>
        <w:rPr>
          <w:rFonts w:eastAsia="Times New Roman"/>
          <w:iCs/>
          <w:color w:val="000000" w:themeColor="text1"/>
          <w:lang w:val="en-GB" w:eastAsia="en-GB"/>
        </w:rPr>
        <w:t>S</w:t>
      </w:r>
      <w:r w:rsidRPr="00AA79C7">
        <w:rPr>
          <w:rFonts w:eastAsia="Times New Roman"/>
          <w:iCs/>
          <w:color w:val="000000" w:themeColor="text1"/>
          <w:lang w:val="en-GB" w:eastAsia="en-GB"/>
        </w:rPr>
        <w:t>piritus</w:t>
      </w:r>
      <w:proofErr w:type="spellEnd"/>
      <w:r w:rsidRPr="00AA79C7">
        <w:rPr>
          <w:rFonts w:eastAsia="Times New Roman"/>
          <w:iCs/>
          <w:color w:val="000000" w:themeColor="text1"/>
          <w:lang w:val="en-GB" w:eastAsia="en-GB"/>
        </w:rPr>
        <w:t xml:space="preserve">’ in </w:t>
      </w:r>
      <w:proofErr w:type="spellStart"/>
      <w:r>
        <w:rPr>
          <w:rFonts w:eastAsia="Times New Roman"/>
          <w:iCs/>
          <w:color w:val="000000" w:themeColor="text1"/>
          <w:lang w:val="en-GB" w:eastAsia="en-GB"/>
        </w:rPr>
        <w:t>A</w:t>
      </w:r>
      <w:r w:rsidRPr="00AA79C7">
        <w:rPr>
          <w:rFonts w:eastAsia="Times New Roman"/>
          <w:iCs/>
          <w:color w:val="000000" w:themeColor="text1"/>
          <w:lang w:val="en-GB" w:eastAsia="en-GB"/>
        </w:rPr>
        <w:t>lcune</w:t>
      </w:r>
      <w:proofErr w:type="spellEnd"/>
      <w:r w:rsidRPr="00AA79C7">
        <w:rPr>
          <w:rFonts w:eastAsia="Times New Roman"/>
          <w:iCs/>
          <w:color w:val="000000" w:themeColor="text1"/>
          <w:lang w:val="en-GB" w:eastAsia="en-GB"/>
        </w:rPr>
        <w:t xml:space="preserve"> </w:t>
      </w:r>
      <w:proofErr w:type="spellStart"/>
      <w:r>
        <w:rPr>
          <w:rFonts w:eastAsia="Times New Roman"/>
          <w:iCs/>
          <w:color w:val="000000" w:themeColor="text1"/>
          <w:lang w:val="en-GB" w:eastAsia="en-GB"/>
        </w:rPr>
        <w:t>D</w:t>
      </w:r>
      <w:r w:rsidRPr="00AA79C7">
        <w:rPr>
          <w:rFonts w:eastAsia="Times New Roman"/>
          <w:iCs/>
          <w:color w:val="000000" w:themeColor="text1"/>
          <w:lang w:val="en-GB" w:eastAsia="en-GB"/>
        </w:rPr>
        <w:t>iscussioni</w:t>
      </w:r>
      <w:proofErr w:type="spellEnd"/>
      <w:r w:rsidRPr="00AA79C7">
        <w:rPr>
          <w:rFonts w:eastAsia="Times New Roman"/>
          <w:iCs/>
          <w:color w:val="000000" w:themeColor="text1"/>
          <w:lang w:val="en-GB" w:eastAsia="en-GB"/>
        </w:rPr>
        <w:t xml:space="preserve"> </w:t>
      </w:r>
      <w:proofErr w:type="spellStart"/>
      <w:r w:rsidRPr="00AA79C7">
        <w:rPr>
          <w:rFonts w:eastAsia="Times New Roman"/>
          <w:iCs/>
          <w:color w:val="000000" w:themeColor="text1"/>
          <w:lang w:val="en-GB" w:eastAsia="en-GB"/>
        </w:rPr>
        <w:t>tra</w:t>
      </w:r>
      <w:proofErr w:type="spellEnd"/>
      <w:r w:rsidRPr="00AA79C7">
        <w:rPr>
          <w:rFonts w:eastAsia="Times New Roman"/>
          <w:iCs/>
          <w:color w:val="000000" w:themeColor="text1"/>
          <w:lang w:val="en-GB" w:eastAsia="en-GB"/>
        </w:rPr>
        <w:t xml:space="preserve"> Quattro e Cinquecento’, in his </w:t>
      </w:r>
      <w:proofErr w:type="spellStart"/>
      <w:r w:rsidRPr="00AA79C7">
        <w:rPr>
          <w:rFonts w:eastAsia="Times New Roman"/>
          <w:i/>
          <w:iCs/>
          <w:color w:val="000000" w:themeColor="text1"/>
          <w:lang w:val="en-GB" w:eastAsia="en-GB"/>
        </w:rPr>
        <w:t>Umanisti</w:t>
      </w:r>
      <w:proofErr w:type="spellEnd"/>
      <w:r w:rsidRPr="00AA79C7">
        <w:rPr>
          <w:rFonts w:eastAsia="Times New Roman"/>
          <w:i/>
          <w:iCs/>
          <w:color w:val="000000" w:themeColor="text1"/>
          <w:lang w:val="en-GB" w:eastAsia="en-GB"/>
        </w:rPr>
        <w:t xml:space="preserve">, </w:t>
      </w:r>
      <w:proofErr w:type="spellStart"/>
      <w:r w:rsidRPr="00AA79C7">
        <w:rPr>
          <w:rFonts w:eastAsia="Times New Roman"/>
          <w:i/>
          <w:iCs/>
          <w:color w:val="000000" w:themeColor="text1"/>
          <w:lang w:val="en-GB" w:eastAsia="en-GB"/>
        </w:rPr>
        <w:t>Artisti</w:t>
      </w:r>
      <w:proofErr w:type="spellEnd"/>
      <w:r w:rsidRPr="00AA79C7">
        <w:rPr>
          <w:rFonts w:eastAsia="Times New Roman"/>
          <w:i/>
          <w:iCs/>
          <w:color w:val="000000" w:themeColor="text1"/>
          <w:lang w:val="en-GB" w:eastAsia="en-GB"/>
        </w:rPr>
        <w:t xml:space="preserve">, </w:t>
      </w:r>
      <w:proofErr w:type="spellStart"/>
      <w:r w:rsidRPr="00AA79C7">
        <w:rPr>
          <w:rFonts w:eastAsia="Times New Roman"/>
          <w:i/>
          <w:iCs/>
          <w:color w:val="000000" w:themeColor="text1"/>
          <w:lang w:val="en-GB" w:eastAsia="en-GB"/>
        </w:rPr>
        <w:t>Scienziati</w:t>
      </w:r>
      <w:proofErr w:type="spellEnd"/>
      <w:r w:rsidRPr="00AA79C7">
        <w:rPr>
          <w:rFonts w:eastAsia="Times New Roman"/>
          <w:i/>
          <w:iCs/>
          <w:color w:val="000000" w:themeColor="text1"/>
          <w:lang w:val="en-GB" w:eastAsia="en-GB"/>
        </w:rPr>
        <w:t xml:space="preserve"> </w:t>
      </w:r>
      <w:r w:rsidRPr="00AA79C7">
        <w:rPr>
          <w:rFonts w:eastAsia="Times New Roman"/>
          <w:iCs/>
          <w:color w:val="000000" w:themeColor="text1"/>
          <w:lang w:val="en-GB" w:eastAsia="en-GB"/>
        </w:rPr>
        <w:t xml:space="preserve">(Rome: </w:t>
      </w:r>
      <w:proofErr w:type="spellStart"/>
      <w:r w:rsidRPr="00AA79C7">
        <w:rPr>
          <w:rFonts w:eastAsia="Times New Roman"/>
          <w:iCs/>
          <w:color w:val="000000" w:themeColor="text1"/>
          <w:lang w:val="en-GB" w:eastAsia="en-GB"/>
        </w:rPr>
        <w:t>Editori</w:t>
      </w:r>
      <w:proofErr w:type="spellEnd"/>
      <w:r w:rsidRPr="00AA79C7">
        <w:rPr>
          <w:rFonts w:eastAsia="Times New Roman"/>
          <w:iCs/>
          <w:color w:val="000000" w:themeColor="text1"/>
          <w:lang w:val="en-GB" w:eastAsia="en-GB"/>
        </w:rPr>
        <w:t xml:space="preserve"> </w:t>
      </w:r>
      <w:proofErr w:type="spellStart"/>
      <w:r w:rsidRPr="00AA79C7">
        <w:rPr>
          <w:rFonts w:eastAsia="Times New Roman"/>
          <w:iCs/>
          <w:color w:val="000000" w:themeColor="text1"/>
          <w:lang w:val="en-GB" w:eastAsia="en-GB"/>
        </w:rPr>
        <w:t>Riuniti</w:t>
      </w:r>
      <w:proofErr w:type="spellEnd"/>
      <w:r w:rsidRPr="00AA79C7">
        <w:rPr>
          <w:rFonts w:eastAsia="Times New Roman"/>
          <w:iCs/>
          <w:color w:val="000000" w:themeColor="text1"/>
          <w:lang w:val="en-GB" w:eastAsia="en-GB"/>
        </w:rPr>
        <w:t>, 1989)</w:t>
      </w:r>
      <w:r>
        <w:rPr>
          <w:rFonts w:eastAsia="Times New Roman"/>
          <w:iCs/>
          <w:color w:val="000000" w:themeColor="text1"/>
          <w:lang w:val="en-GB" w:eastAsia="en-GB"/>
        </w:rPr>
        <w:t>, 259-303</w:t>
      </w:r>
      <w:r w:rsidRPr="00AA79C7">
        <w:rPr>
          <w:rFonts w:eastAsia="Times New Roman"/>
          <w:iCs/>
          <w:color w:val="000000" w:themeColor="text1"/>
          <w:lang w:val="en-GB" w:eastAsia="en-GB"/>
        </w:rPr>
        <w:t>.</w:t>
      </w:r>
      <w:r w:rsidRPr="00AA79C7">
        <w:rPr>
          <w:rFonts w:eastAsia="Times New Roman"/>
          <w:i/>
          <w:iCs/>
          <w:color w:val="000000" w:themeColor="text1"/>
          <w:lang w:val="en-GB" w:eastAsia="en-GB"/>
        </w:rPr>
        <w:t xml:space="preserve"> </w:t>
      </w:r>
      <w:r>
        <w:rPr>
          <w:lang w:val="en-GB"/>
        </w:rPr>
        <w:t>T</w:t>
      </w:r>
      <w:r w:rsidRPr="000B74D8">
        <w:rPr>
          <w:lang w:val="en-GB"/>
        </w:rPr>
        <w:t>his trend</w:t>
      </w:r>
      <w:r>
        <w:rPr>
          <w:lang w:val="en-GB"/>
        </w:rPr>
        <w:t xml:space="preserve"> had been anticipated by</w:t>
      </w:r>
      <w:r w:rsidRPr="00D40E0E">
        <w:rPr>
          <w:lang w:val="en-GB"/>
        </w:rPr>
        <w:t xml:space="preserve"> </w:t>
      </w:r>
      <w:proofErr w:type="spellStart"/>
      <w:r w:rsidRPr="000B74D8">
        <w:rPr>
          <w:lang w:val="en-GB"/>
        </w:rPr>
        <w:t>Marsilio</w:t>
      </w:r>
      <w:proofErr w:type="spellEnd"/>
      <w:r w:rsidRPr="000B74D8">
        <w:rPr>
          <w:lang w:val="en-GB"/>
        </w:rPr>
        <w:t xml:space="preserve"> </w:t>
      </w:r>
      <w:proofErr w:type="spellStart"/>
      <w:r w:rsidRPr="000B74D8">
        <w:rPr>
          <w:lang w:val="en-GB"/>
        </w:rPr>
        <w:t>Ficino</w:t>
      </w:r>
      <w:proofErr w:type="spellEnd"/>
      <w:r w:rsidRPr="000B74D8">
        <w:rPr>
          <w:lang w:val="en-GB"/>
        </w:rPr>
        <w:t>.</w:t>
      </w:r>
    </w:p>
  </w:footnote>
  <w:footnote w:id="86">
    <w:p w:rsidR="00DF2756" w:rsidRDefault="00DF2756">
      <w:pPr>
        <w:pStyle w:val="FootnoteText"/>
        <w:jc w:val="both"/>
        <w:rPr>
          <w:lang w:val="en-GB"/>
        </w:rPr>
      </w:pPr>
      <w:r>
        <w:rPr>
          <w:rStyle w:val="FootnoteReference"/>
        </w:rPr>
        <w:footnoteRef/>
      </w:r>
      <w:r w:rsidRPr="007B6BDD">
        <w:rPr>
          <w:lang w:val="en-GB"/>
        </w:rPr>
        <w:t xml:space="preserve"> Danielle </w:t>
      </w:r>
      <w:proofErr w:type="spellStart"/>
      <w:r w:rsidRPr="007B6BDD">
        <w:rPr>
          <w:lang w:val="en-GB"/>
        </w:rPr>
        <w:t>Jacquart</w:t>
      </w:r>
      <w:proofErr w:type="spellEnd"/>
      <w:r w:rsidRPr="007B6BDD">
        <w:rPr>
          <w:lang w:val="en-GB"/>
        </w:rPr>
        <w:t xml:space="preserve"> comments that ‘There are as many descriptions of spirits as there are authors’. Cited in C.</w:t>
      </w:r>
      <w:r>
        <w:rPr>
          <w:lang w:val="en-GB"/>
        </w:rPr>
        <w:t xml:space="preserve"> </w:t>
      </w:r>
      <w:r w:rsidRPr="007B6BDD">
        <w:rPr>
          <w:lang w:val="en-GB"/>
        </w:rPr>
        <w:t xml:space="preserve">Gagnon, ‘The </w:t>
      </w:r>
      <w:r>
        <w:rPr>
          <w:lang w:val="en-GB"/>
        </w:rPr>
        <w:t>A</w:t>
      </w:r>
      <w:r w:rsidRPr="007B6BDD">
        <w:rPr>
          <w:lang w:val="en-GB"/>
        </w:rPr>
        <w:t xml:space="preserve">nimism of </w:t>
      </w:r>
      <w:r>
        <w:rPr>
          <w:lang w:val="en-GB"/>
        </w:rPr>
        <w:t>A</w:t>
      </w:r>
      <w:r w:rsidRPr="007B6BDD">
        <w:rPr>
          <w:lang w:val="en-GB"/>
        </w:rPr>
        <w:t xml:space="preserve">mbient </w:t>
      </w:r>
      <w:r>
        <w:rPr>
          <w:lang w:val="en-GB"/>
        </w:rPr>
        <w:t>A</w:t>
      </w:r>
      <w:r w:rsidRPr="007B6BDD">
        <w:rPr>
          <w:lang w:val="en-GB"/>
        </w:rPr>
        <w:t xml:space="preserve">ir at the </w:t>
      </w:r>
      <w:r>
        <w:rPr>
          <w:lang w:val="en-GB"/>
        </w:rPr>
        <w:t>E</w:t>
      </w:r>
      <w:r w:rsidRPr="007B6BDD">
        <w:rPr>
          <w:lang w:val="en-GB"/>
        </w:rPr>
        <w:t xml:space="preserve">nd of the </w:t>
      </w:r>
      <w:r>
        <w:rPr>
          <w:lang w:val="en-GB"/>
        </w:rPr>
        <w:t>M</w:t>
      </w:r>
      <w:r w:rsidRPr="007B6BDD">
        <w:rPr>
          <w:lang w:val="en-GB"/>
        </w:rPr>
        <w:t xml:space="preserve">iddle Ages’, in C.L. Carlin ed., </w:t>
      </w:r>
      <w:r w:rsidRPr="007B6BDD">
        <w:rPr>
          <w:i/>
          <w:lang w:val="en-GB"/>
        </w:rPr>
        <w:t>Imagining Contagion in Early Modern Europe</w:t>
      </w:r>
      <w:r w:rsidRPr="007B6BDD">
        <w:rPr>
          <w:lang w:val="en-GB"/>
        </w:rPr>
        <w:t xml:space="preserve"> (Ba</w:t>
      </w:r>
      <w:r>
        <w:rPr>
          <w:lang w:val="en-GB"/>
        </w:rPr>
        <w:t>s</w:t>
      </w:r>
      <w:r w:rsidRPr="007B6BDD">
        <w:rPr>
          <w:lang w:val="en-GB"/>
        </w:rPr>
        <w:t>ingstoke: Palgrave, 2005) 26.</w:t>
      </w:r>
    </w:p>
  </w:footnote>
  <w:footnote w:id="87">
    <w:p w:rsidR="00DF2756" w:rsidRDefault="00DF2756">
      <w:pPr>
        <w:autoSpaceDE w:val="0"/>
        <w:autoSpaceDN w:val="0"/>
        <w:adjustRightInd w:val="0"/>
        <w:spacing w:after="0" w:line="240" w:lineRule="auto"/>
        <w:jc w:val="both"/>
      </w:pPr>
      <w:r w:rsidRPr="007B6BDD">
        <w:rPr>
          <w:rStyle w:val="FootnoteReference"/>
          <w:rFonts w:ascii="Times New Roman" w:hAnsi="Times New Roman" w:cs="Times New Roman"/>
          <w:sz w:val="20"/>
          <w:szCs w:val="20"/>
        </w:rPr>
        <w:footnoteRef/>
      </w:r>
      <w:r w:rsidRPr="007B6BDD">
        <w:rPr>
          <w:rFonts w:ascii="Times New Roman" w:hAnsi="Times New Roman" w:cs="Times New Roman"/>
          <w:sz w:val="20"/>
          <w:szCs w:val="20"/>
        </w:rPr>
        <w:t xml:space="preserve"> C. </w:t>
      </w:r>
      <w:proofErr w:type="spellStart"/>
      <w:r w:rsidRPr="007B6BDD">
        <w:rPr>
          <w:rFonts w:ascii="Times New Roman" w:hAnsi="Times New Roman" w:cs="Times New Roman"/>
          <w:sz w:val="20"/>
          <w:szCs w:val="20"/>
        </w:rPr>
        <w:t>Gottler</w:t>
      </w:r>
      <w:proofErr w:type="spellEnd"/>
      <w:r w:rsidRPr="007B6BDD">
        <w:rPr>
          <w:rFonts w:ascii="Times New Roman" w:hAnsi="Times New Roman" w:cs="Times New Roman"/>
          <w:sz w:val="20"/>
          <w:szCs w:val="20"/>
        </w:rPr>
        <w:t xml:space="preserve">, ‘Preface: </w:t>
      </w:r>
      <w:r>
        <w:rPr>
          <w:rFonts w:ascii="Times New Roman" w:hAnsi="Times New Roman" w:cs="Times New Roman"/>
          <w:sz w:val="20"/>
          <w:szCs w:val="20"/>
        </w:rPr>
        <w:t>V</w:t>
      </w:r>
      <w:r w:rsidRPr="007B6BDD">
        <w:rPr>
          <w:rFonts w:ascii="Times New Roman" w:hAnsi="Times New Roman" w:cs="Times New Roman"/>
          <w:sz w:val="20"/>
          <w:szCs w:val="20"/>
        </w:rPr>
        <w:t xml:space="preserve">apours and </w:t>
      </w:r>
      <w:r>
        <w:rPr>
          <w:rFonts w:ascii="Times New Roman" w:hAnsi="Times New Roman" w:cs="Times New Roman"/>
          <w:sz w:val="20"/>
          <w:szCs w:val="20"/>
        </w:rPr>
        <w:t>V</w:t>
      </w:r>
      <w:r w:rsidRPr="007B6BDD">
        <w:rPr>
          <w:rFonts w:ascii="Times New Roman" w:hAnsi="Times New Roman" w:cs="Times New Roman"/>
          <w:sz w:val="20"/>
          <w:szCs w:val="20"/>
        </w:rPr>
        <w:t xml:space="preserve">eils, the </w:t>
      </w:r>
      <w:r>
        <w:rPr>
          <w:rFonts w:ascii="Times New Roman" w:hAnsi="Times New Roman" w:cs="Times New Roman"/>
          <w:sz w:val="20"/>
          <w:szCs w:val="20"/>
        </w:rPr>
        <w:t>E</w:t>
      </w:r>
      <w:r w:rsidRPr="007B6BDD">
        <w:rPr>
          <w:rFonts w:ascii="Times New Roman" w:hAnsi="Times New Roman" w:cs="Times New Roman"/>
          <w:sz w:val="20"/>
          <w:szCs w:val="20"/>
        </w:rPr>
        <w:t xml:space="preserve">dge of the </w:t>
      </w:r>
      <w:r>
        <w:rPr>
          <w:rFonts w:ascii="Times New Roman" w:hAnsi="Times New Roman" w:cs="Times New Roman"/>
          <w:sz w:val="20"/>
          <w:szCs w:val="20"/>
        </w:rPr>
        <w:t>U</w:t>
      </w:r>
      <w:r w:rsidRPr="007B6BDD">
        <w:rPr>
          <w:rFonts w:ascii="Times New Roman" w:hAnsi="Times New Roman" w:cs="Times New Roman"/>
          <w:sz w:val="20"/>
          <w:szCs w:val="20"/>
        </w:rPr>
        <w:t xml:space="preserve">nseen’, in C. </w:t>
      </w:r>
      <w:proofErr w:type="spellStart"/>
      <w:r w:rsidRPr="007B6BDD">
        <w:rPr>
          <w:rFonts w:ascii="Times New Roman" w:hAnsi="Times New Roman" w:cs="Times New Roman"/>
          <w:sz w:val="20"/>
          <w:szCs w:val="20"/>
        </w:rPr>
        <w:t>Gottler</w:t>
      </w:r>
      <w:proofErr w:type="spellEnd"/>
      <w:r w:rsidRPr="007B6BDD">
        <w:rPr>
          <w:rFonts w:ascii="Times New Roman" w:hAnsi="Times New Roman" w:cs="Times New Roman"/>
          <w:sz w:val="20"/>
          <w:szCs w:val="20"/>
        </w:rPr>
        <w:t xml:space="preserve"> and W. </w:t>
      </w:r>
      <w:proofErr w:type="spellStart"/>
      <w:r w:rsidRPr="007B6BDD">
        <w:rPr>
          <w:rFonts w:ascii="Times New Roman" w:hAnsi="Times New Roman" w:cs="Times New Roman"/>
          <w:sz w:val="20"/>
          <w:szCs w:val="20"/>
        </w:rPr>
        <w:t>Neuber</w:t>
      </w:r>
      <w:proofErr w:type="spellEnd"/>
      <w:r w:rsidRPr="007B6BDD">
        <w:rPr>
          <w:rFonts w:ascii="Times New Roman" w:hAnsi="Times New Roman" w:cs="Times New Roman"/>
          <w:sz w:val="20"/>
          <w:szCs w:val="20"/>
        </w:rPr>
        <w:t xml:space="preserve">, eds., </w:t>
      </w:r>
      <w:r w:rsidRPr="007B6BDD">
        <w:rPr>
          <w:rFonts w:ascii="Times New Roman" w:hAnsi="Times New Roman" w:cs="Times New Roman"/>
          <w:i/>
          <w:sz w:val="20"/>
          <w:szCs w:val="20"/>
        </w:rPr>
        <w:t xml:space="preserve">Spirits Unseen: The Representation of Subtle Bodies in Early Modern European Culture </w:t>
      </w:r>
      <w:r w:rsidRPr="007B6BDD">
        <w:rPr>
          <w:rFonts w:ascii="Times New Roman" w:hAnsi="Times New Roman" w:cs="Times New Roman"/>
          <w:sz w:val="20"/>
          <w:szCs w:val="20"/>
        </w:rPr>
        <w:t>(Leiden:</w:t>
      </w:r>
      <w:r>
        <w:rPr>
          <w:rFonts w:ascii="Times New Roman" w:hAnsi="Times New Roman" w:cs="Times New Roman"/>
          <w:sz w:val="20"/>
          <w:szCs w:val="20"/>
        </w:rPr>
        <w:t xml:space="preserve"> Brill,</w:t>
      </w:r>
      <w:r w:rsidRPr="007B6BDD">
        <w:rPr>
          <w:rFonts w:ascii="Times New Roman" w:hAnsi="Times New Roman" w:cs="Times New Roman"/>
          <w:sz w:val="20"/>
          <w:szCs w:val="20"/>
        </w:rPr>
        <w:t xml:space="preserve"> 2008), </w:t>
      </w:r>
      <w:r>
        <w:rPr>
          <w:rFonts w:ascii="Times New Roman" w:hAnsi="Times New Roman" w:cs="Times New Roman"/>
          <w:sz w:val="20"/>
          <w:szCs w:val="20"/>
        </w:rPr>
        <w:t xml:space="preserve">XV-XXV, </w:t>
      </w:r>
      <w:r w:rsidRPr="007B6BDD">
        <w:rPr>
          <w:rFonts w:ascii="Times New Roman" w:hAnsi="Times New Roman" w:cs="Times New Roman"/>
          <w:sz w:val="20"/>
          <w:szCs w:val="20"/>
        </w:rPr>
        <w:t xml:space="preserve">XXII. </w:t>
      </w:r>
    </w:p>
  </w:footnote>
  <w:footnote w:id="88">
    <w:p w:rsidR="00DF2756" w:rsidRDefault="00DF2756">
      <w:pPr>
        <w:pStyle w:val="FootnoteText"/>
        <w:jc w:val="both"/>
        <w:rPr>
          <w:lang w:val="en-GB"/>
        </w:rPr>
      </w:pPr>
      <w:r>
        <w:rPr>
          <w:rStyle w:val="FootnoteReference"/>
        </w:rPr>
        <w:footnoteRef/>
      </w:r>
      <w:r w:rsidRPr="003E26A4">
        <w:rPr>
          <w:lang w:val="en-GB"/>
        </w:rPr>
        <w:t xml:space="preserve"> </w:t>
      </w:r>
      <w:r>
        <w:rPr>
          <w:lang w:val="en-GB"/>
        </w:rPr>
        <w:t>For a clear account of these views, E. Carrera, ‘Anger and the Mind-Body C</w:t>
      </w:r>
      <w:r w:rsidRPr="00DE209B">
        <w:rPr>
          <w:lang w:val="en-GB"/>
        </w:rPr>
        <w:t>onnection</w:t>
      </w:r>
      <w:r>
        <w:rPr>
          <w:lang w:val="en-GB"/>
        </w:rPr>
        <w:t xml:space="preserve"> in Medieval and Early Modern Medicine’</w:t>
      </w:r>
      <w:r w:rsidRPr="00DE209B">
        <w:rPr>
          <w:lang w:val="en-GB"/>
        </w:rPr>
        <w:t xml:space="preserve">, in </w:t>
      </w:r>
      <w:r>
        <w:rPr>
          <w:i/>
          <w:lang w:val="en-GB"/>
        </w:rPr>
        <w:t xml:space="preserve">Emotions and Health 1200-1700 </w:t>
      </w:r>
      <w:r>
        <w:rPr>
          <w:lang w:val="en-GB"/>
        </w:rPr>
        <w:t xml:space="preserve">(Leiden: Brill, 2013), 95-146, 112-15. </w:t>
      </w:r>
    </w:p>
  </w:footnote>
  <w:footnote w:id="89">
    <w:p w:rsidR="00DF2756" w:rsidRDefault="00DF2756">
      <w:pPr>
        <w:pStyle w:val="FootnoteText"/>
        <w:jc w:val="both"/>
        <w:rPr>
          <w:b/>
          <w:lang w:val="en-GB"/>
        </w:rPr>
      </w:pPr>
      <w:r>
        <w:rPr>
          <w:rStyle w:val="FootnoteReference"/>
        </w:rPr>
        <w:footnoteRef/>
      </w:r>
      <w:r w:rsidRPr="009B3C19">
        <w:rPr>
          <w:lang w:val="en-GB"/>
        </w:rPr>
        <w:t xml:space="preserve"> Besides them, the v</w:t>
      </w:r>
      <w:r>
        <w:rPr>
          <w:lang w:val="en-GB"/>
        </w:rPr>
        <w:t>ital spirits resided in the heart and spread life to the entire body, moving about in the arteries, while the</w:t>
      </w:r>
      <w:r w:rsidRPr="00E2342C">
        <w:rPr>
          <w:lang w:val="en-GB"/>
        </w:rPr>
        <w:t xml:space="preserve"> </w:t>
      </w:r>
      <w:r>
        <w:rPr>
          <w:lang w:val="en-GB"/>
        </w:rPr>
        <w:t xml:space="preserve">natural spirits, whose site was the liver, circulated via the venous system and governed nutrition and generation.   </w:t>
      </w:r>
    </w:p>
  </w:footnote>
  <w:footnote w:id="90">
    <w:p w:rsidR="00DF2756" w:rsidRDefault="00DF2756">
      <w:pPr>
        <w:pStyle w:val="FootnoteText"/>
        <w:jc w:val="both"/>
        <w:rPr>
          <w:lang w:val="en-GB"/>
        </w:rPr>
      </w:pPr>
      <w:r>
        <w:rPr>
          <w:rStyle w:val="FootnoteReference"/>
        </w:rPr>
        <w:footnoteRef/>
      </w:r>
      <w:r w:rsidRPr="009B3C19">
        <w:rPr>
          <w:lang w:val="en-GB"/>
        </w:rPr>
        <w:t xml:space="preserve"> </w:t>
      </w:r>
      <w:r>
        <w:rPr>
          <w:lang w:val="en-GB"/>
        </w:rPr>
        <w:t xml:space="preserve">Cited in </w:t>
      </w:r>
      <w:r w:rsidRPr="00071F49">
        <w:rPr>
          <w:lang w:val="en-GB"/>
        </w:rPr>
        <w:t xml:space="preserve">F. </w:t>
      </w:r>
      <w:proofErr w:type="spellStart"/>
      <w:r w:rsidRPr="00071F49">
        <w:rPr>
          <w:lang w:val="en-GB"/>
        </w:rPr>
        <w:t>Quiviger</w:t>
      </w:r>
      <w:proofErr w:type="spellEnd"/>
      <w:r w:rsidRPr="00071F49">
        <w:rPr>
          <w:lang w:val="en-GB"/>
        </w:rPr>
        <w:t xml:space="preserve">, </w:t>
      </w:r>
      <w:r w:rsidRPr="00071F49">
        <w:rPr>
          <w:i/>
          <w:lang w:val="en-GB"/>
        </w:rPr>
        <w:t>T</w:t>
      </w:r>
      <w:r>
        <w:rPr>
          <w:i/>
          <w:lang w:val="en-GB"/>
        </w:rPr>
        <w:t>he Sensory W</w:t>
      </w:r>
      <w:r w:rsidRPr="00071F49">
        <w:rPr>
          <w:i/>
          <w:lang w:val="en-GB"/>
        </w:rPr>
        <w:t xml:space="preserve">orld of Italian </w:t>
      </w:r>
      <w:r w:rsidRPr="00675BA7">
        <w:rPr>
          <w:i/>
          <w:lang w:val="en-GB"/>
        </w:rPr>
        <w:t>Renaissance Art</w:t>
      </w:r>
      <w:r w:rsidRPr="00675BA7">
        <w:rPr>
          <w:lang w:val="en-GB"/>
        </w:rPr>
        <w:t xml:space="preserve"> (London: </w:t>
      </w:r>
      <w:proofErr w:type="spellStart"/>
      <w:r w:rsidRPr="00675BA7">
        <w:rPr>
          <w:lang w:val="en-GB"/>
        </w:rPr>
        <w:t>Reaktion</w:t>
      </w:r>
      <w:proofErr w:type="spellEnd"/>
      <w:r w:rsidRPr="00675BA7">
        <w:rPr>
          <w:lang w:val="en-GB"/>
        </w:rPr>
        <w:t xml:space="preserve"> Books</w:t>
      </w:r>
      <w:r>
        <w:rPr>
          <w:lang w:val="en-GB"/>
        </w:rPr>
        <w:t xml:space="preserve">, 2010), </w:t>
      </w:r>
      <w:r w:rsidRPr="009B3C19">
        <w:rPr>
          <w:lang w:val="en-GB"/>
        </w:rPr>
        <w:t>128-29.</w:t>
      </w:r>
    </w:p>
  </w:footnote>
  <w:footnote w:id="91">
    <w:p w:rsidR="00DF2756" w:rsidRDefault="00DF2756">
      <w:pPr>
        <w:pStyle w:val="FootnoteText"/>
        <w:jc w:val="both"/>
        <w:rPr>
          <w:lang w:val="en-GB"/>
        </w:rPr>
      </w:pPr>
      <w:r>
        <w:rPr>
          <w:rStyle w:val="FootnoteReference"/>
        </w:rPr>
        <w:footnoteRef/>
      </w:r>
      <w:r w:rsidRPr="00E32E85">
        <w:t xml:space="preserve"> </w:t>
      </w:r>
      <w:r>
        <w:t xml:space="preserve">‘gli </w:t>
      </w:r>
      <w:r w:rsidRPr="00E32E85">
        <w:t>odori cibo dell’animo, aprono le serrature del cervello e tutti i sensi fortificano</w:t>
      </w:r>
      <w:r>
        <w:t>’,</w:t>
      </w:r>
      <w:r w:rsidRPr="00E32E85">
        <w:t xml:space="preserve"> </w:t>
      </w:r>
      <w:r>
        <w:t xml:space="preserve">L. </w:t>
      </w:r>
      <w:r>
        <w:t xml:space="preserve">Anguillara, </w:t>
      </w:r>
      <w:r w:rsidRPr="00306239">
        <w:rPr>
          <w:i/>
        </w:rPr>
        <w:t xml:space="preserve">Vaticinio et </w:t>
      </w:r>
      <w:r w:rsidR="000706D6">
        <w:rPr>
          <w:i/>
        </w:rPr>
        <w:t>A</w:t>
      </w:r>
      <w:r w:rsidRPr="00306239">
        <w:rPr>
          <w:i/>
        </w:rPr>
        <w:t xml:space="preserve">vertimenti per </w:t>
      </w:r>
      <w:r w:rsidR="000706D6">
        <w:rPr>
          <w:i/>
        </w:rPr>
        <w:t>C</w:t>
      </w:r>
      <w:r w:rsidRPr="00306239">
        <w:rPr>
          <w:i/>
        </w:rPr>
        <w:t xml:space="preserve">onservare la </w:t>
      </w:r>
      <w:r w:rsidR="000706D6">
        <w:rPr>
          <w:i/>
        </w:rPr>
        <w:t>S</w:t>
      </w:r>
      <w:r w:rsidRPr="00306239">
        <w:rPr>
          <w:i/>
        </w:rPr>
        <w:t>anità</w:t>
      </w:r>
      <w:r w:rsidR="00961A58">
        <w:rPr>
          <w:i/>
        </w:rPr>
        <w:t xml:space="preserve"> ...</w:t>
      </w:r>
      <w:r w:rsidRPr="00306239">
        <w:rPr>
          <w:i/>
        </w:rPr>
        <w:t xml:space="preserve"> </w:t>
      </w:r>
      <w:r w:rsidR="00A21EA5" w:rsidRPr="00A21EA5">
        <w:rPr>
          <w:lang w:val="en-GB"/>
        </w:rPr>
        <w:t>(Ferrara: Vittorio Baldini, 1589),</w:t>
      </w:r>
      <w:r w:rsidR="00A21EA5" w:rsidRPr="00A21EA5">
        <w:rPr>
          <w:i/>
          <w:lang w:val="en-GB"/>
        </w:rPr>
        <w:t xml:space="preserve"> </w:t>
      </w:r>
      <w:r w:rsidR="00A21EA5" w:rsidRPr="00A21EA5">
        <w:rPr>
          <w:lang w:val="en-GB"/>
        </w:rPr>
        <w:t xml:space="preserve">23-24. </w:t>
      </w:r>
      <w:r w:rsidRPr="00DC0BDE">
        <w:rPr>
          <w:lang w:val="en-GB"/>
        </w:rPr>
        <w:t xml:space="preserve">On these </w:t>
      </w:r>
      <w:r>
        <w:rPr>
          <w:lang w:val="en-GB"/>
        </w:rPr>
        <w:t xml:space="preserve">popular regimens, which targeted an </w:t>
      </w:r>
      <w:r w:rsidRPr="00E32E85">
        <w:rPr>
          <w:lang w:val="en-GB"/>
        </w:rPr>
        <w:t xml:space="preserve">unrefined audience by presenting </w:t>
      </w:r>
      <w:r>
        <w:rPr>
          <w:lang w:val="en-GB"/>
        </w:rPr>
        <w:t xml:space="preserve">content in a basic form, Cavallo and Storey, </w:t>
      </w:r>
      <w:r w:rsidRPr="00114953">
        <w:rPr>
          <w:i/>
          <w:lang w:val="en-GB"/>
        </w:rPr>
        <w:t>Healthy Living</w:t>
      </w:r>
      <w:r>
        <w:rPr>
          <w:lang w:val="en-GB"/>
        </w:rPr>
        <w:t xml:space="preserve">, 15, 18, </w:t>
      </w:r>
      <w:proofErr w:type="gramStart"/>
      <w:r>
        <w:rPr>
          <w:lang w:val="en-GB"/>
        </w:rPr>
        <w:t>25</w:t>
      </w:r>
      <w:proofErr w:type="gramEnd"/>
      <w:r>
        <w:rPr>
          <w:lang w:val="en-GB"/>
        </w:rPr>
        <w:t>.</w:t>
      </w:r>
    </w:p>
  </w:footnote>
  <w:footnote w:id="92">
    <w:p w:rsidR="00DF2756" w:rsidRDefault="00DF2756">
      <w:pPr>
        <w:pStyle w:val="FootnoteText"/>
        <w:jc w:val="both"/>
        <w:rPr>
          <w:lang w:val="en-GB"/>
        </w:rPr>
      </w:pPr>
      <w:r>
        <w:rPr>
          <w:rStyle w:val="FootnoteReference"/>
        </w:rPr>
        <w:footnoteRef/>
      </w:r>
      <w:r>
        <w:rPr>
          <w:lang w:val="en-GB"/>
        </w:rPr>
        <w:t xml:space="preserve"> C</w:t>
      </w:r>
      <w:r w:rsidRPr="00114953">
        <w:rPr>
          <w:lang w:val="en-GB"/>
        </w:rPr>
        <w:t xml:space="preserve">ited in </w:t>
      </w:r>
      <w:proofErr w:type="spellStart"/>
      <w:r w:rsidRPr="00114953">
        <w:rPr>
          <w:lang w:val="en-GB"/>
        </w:rPr>
        <w:t>Q</w:t>
      </w:r>
      <w:r>
        <w:rPr>
          <w:lang w:val="en-GB"/>
        </w:rPr>
        <w:t>uiviger</w:t>
      </w:r>
      <w:proofErr w:type="spellEnd"/>
      <w:r>
        <w:rPr>
          <w:lang w:val="en-GB"/>
        </w:rPr>
        <w:t xml:space="preserve">, </w:t>
      </w:r>
      <w:r w:rsidRPr="00071F49">
        <w:rPr>
          <w:i/>
          <w:lang w:val="en-GB"/>
        </w:rPr>
        <w:t>T</w:t>
      </w:r>
      <w:r>
        <w:rPr>
          <w:i/>
          <w:lang w:val="en-GB"/>
        </w:rPr>
        <w:t>he Sensory W</w:t>
      </w:r>
      <w:r w:rsidRPr="00071F49">
        <w:rPr>
          <w:i/>
          <w:lang w:val="en-GB"/>
        </w:rPr>
        <w:t>orld</w:t>
      </w:r>
      <w:r>
        <w:rPr>
          <w:lang w:val="en-GB"/>
        </w:rPr>
        <w:t>,</w:t>
      </w:r>
      <w:r w:rsidRPr="00114953">
        <w:rPr>
          <w:lang w:val="en-GB"/>
        </w:rPr>
        <w:t xml:space="preserve"> 130</w:t>
      </w:r>
      <w:r>
        <w:rPr>
          <w:lang w:val="en-GB"/>
        </w:rPr>
        <w:t>.</w:t>
      </w:r>
    </w:p>
  </w:footnote>
  <w:footnote w:id="93">
    <w:p w:rsidR="00DF2756" w:rsidRPr="00F67707" w:rsidRDefault="00DF2756">
      <w:pPr>
        <w:pStyle w:val="FootnoteText"/>
        <w:jc w:val="both"/>
        <w:rPr>
          <w:lang w:val="en-GB"/>
        </w:rPr>
      </w:pPr>
      <w:r>
        <w:rPr>
          <w:rStyle w:val="FootnoteReference"/>
        </w:rPr>
        <w:footnoteRef/>
      </w:r>
      <w:r w:rsidRPr="00F67707">
        <w:rPr>
          <w:lang w:val="en-GB"/>
        </w:rPr>
        <w:t xml:space="preserve"> </w:t>
      </w:r>
      <w:proofErr w:type="spellStart"/>
      <w:r w:rsidRPr="00F67707">
        <w:rPr>
          <w:lang w:val="en-GB"/>
        </w:rPr>
        <w:t>Lennio</w:t>
      </w:r>
      <w:proofErr w:type="spellEnd"/>
      <w:r>
        <w:rPr>
          <w:lang w:val="en-GB"/>
        </w:rPr>
        <w:t>,</w:t>
      </w:r>
      <w:r w:rsidRPr="00F67707">
        <w:rPr>
          <w:i/>
          <w:lang w:val="en-GB"/>
        </w:rPr>
        <w:t xml:space="preserve"> Della </w:t>
      </w:r>
      <w:proofErr w:type="spellStart"/>
      <w:r w:rsidR="000706D6">
        <w:rPr>
          <w:i/>
          <w:lang w:val="en-GB"/>
        </w:rPr>
        <w:t>C</w:t>
      </w:r>
      <w:r w:rsidRPr="00F67707">
        <w:rPr>
          <w:i/>
          <w:lang w:val="en-GB"/>
        </w:rPr>
        <w:t>omplessione</w:t>
      </w:r>
      <w:proofErr w:type="spellEnd"/>
      <w:r w:rsidRPr="00F67707">
        <w:rPr>
          <w:lang w:val="en-GB"/>
        </w:rPr>
        <w:t>,</w:t>
      </w:r>
      <w:r>
        <w:rPr>
          <w:sz w:val="22"/>
          <w:szCs w:val="22"/>
          <w:lang w:val="en-GB"/>
        </w:rPr>
        <w:t xml:space="preserve"> </w:t>
      </w:r>
      <w:r w:rsidRPr="00F67707">
        <w:rPr>
          <w:sz w:val="22"/>
          <w:szCs w:val="22"/>
          <w:lang w:val="en-GB"/>
        </w:rPr>
        <w:t>100.</w:t>
      </w:r>
    </w:p>
  </w:footnote>
  <w:footnote w:id="94">
    <w:p w:rsidR="00DF2756" w:rsidRDefault="00DF2756">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9B3C19">
        <w:rPr>
          <w:rFonts w:ascii="Times New Roman" w:hAnsi="Times New Roman" w:cs="Times New Roman"/>
          <w:sz w:val="20"/>
          <w:szCs w:val="20"/>
        </w:rPr>
        <w:t>In reality pomanders were more often attached to a chain hanging from the waist, as Luisa Coscarelli has noted. She provides a fascinating explanation for this habit</w:t>
      </w:r>
      <w:r>
        <w:rPr>
          <w:rFonts w:ascii="Times New Roman" w:hAnsi="Times New Roman" w:cs="Times New Roman"/>
          <w:sz w:val="20"/>
          <w:szCs w:val="20"/>
        </w:rPr>
        <w:t xml:space="preserve"> in her</w:t>
      </w:r>
      <w:r w:rsidRPr="009B3C19">
        <w:rPr>
          <w:rFonts w:ascii="Times New Roman" w:hAnsi="Times New Roman" w:cs="Times New Roman"/>
          <w:sz w:val="20"/>
          <w:szCs w:val="20"/>
        </w:rPr>
        <w:t xml:space="preserve"> </w:t>
      </w:r>
      <w:r>
        <w:rPr>
          <w:rFonts w:ascii="Times New Roman" w:hAnsi="Times New Roman" w:cs="Times New Roman"/>
          <w:sz w:val="20"/>
          <w:szCs w:val="20"/>
        </w:rPr>
        <w:t>‘</w:t>
      </w:r>
      <w:r w:rsidRPr="009B3C19">
        <w:rPr>
          <w:rFonts w:ascii="Times New Roman" w:hAnsi="Times New Roman" w:cs="Times New Roman"/>
          <w:sz w:val="20"/>
          <w:szCs w:val="20"/>
        </w:rPr>
        <w:t xml:space="preserve">Pomander and </w:t>
      </w:r>
      <w:proofErr w:type="spellStart"/>
      <w:r w:rsidRPr="009B3C19">
        <w:rPr>
          <w:rFonts w:ascii="Times New Roman" w:hAnsi="Times New Roman" w:cs="Times New Roman"/>
          <w:i/>
          <w:iCs/>
          <w:sz w:val="20"/>
          <w:szCs w:val="20"/>
        </w:rPr>
        <w:t>Balsambüchse</w:t>
      </w:r>
      <w:proofErr w:type="spellEnd"/>
      <w:r w:rsidRPr="009B3C19">
        <w:rPr>
          <w:rFonts w:ascii="Times New Roman" w:hAnsi="Times New Roman" w:cs="Times New Roman"/>
          <w:i/>
          <w:iCs/>
          <w:sz w:val="20"/>
          <w:szCs w:val="20"/>
        </w:rPr>
        <w:t xml:space="preserve"> </w:t>
      </w:r>
      <w:r w:rsidRPr="009B3C19">
        <w:rPr>
          <w:rFonts w:ascii="Times New Roman" w:hAnsi="Times New Roman" w:cs="Times New Roman"/>
          <w:sz w:val="20"/>
          <w:szCs w:val="20"/>
        </w:rPr>
        <w:t>-</w:t>
      </w:r>
    </w:p>
    <w:p w:rsidR="00DF2756" w:rsidRDefault="006177C0">
      <w:pPr>
        <w:autoSpaceDE w:val="0"/>
        <w:autoSpaceDN w:val="0"/>
        <w:adjustRightInd w:val="0"/>
        <w:spacing w:after="0" w:line="240" w:lineRule="auto"/>
        <w:jc w:val="both"/>
      </w:pPr>
      <w:proofErr w:type="gramStart"/>
      <w:r>
        <w:rPr>
          <w:rFonts w:ascii="Times New Roman" w:hAnsi="Times New Roman" w:cs="Times New Roman"/>
          <w:sz w:val="20"/>
          <w:szCs w:val="20"/>
        </w:rPr>
        <w:t>A</w:t>
      </w:r>
      <w:r w:rsidR="00DF2756" w:rsidRPr="009B3C19">
        <w:rPr>
          <w:rFonts w:ascii="Times New Roman" w:hAnsi="Times New Roman" w:cs="Times New Roman"/>
          <w:sz w:val="20"/>
          <w:szCs w:val="20"/>
        </w:rPr>
        <w:t xml:space="preserve">gents in the </w:t>
      </w:r>
      <w:r>
        <w:rPr>
          <w:rFonts w:ascii="Times New Roman" w:hAnsi="Times New Roman" w:cs="Times New Roman"/>
          <w:sz w:val="20"/>
          <w:szCs w:val="20"/>
        </w:rPr>
        <w:t>M</w:t>
      </w:r>
      <w:r w:rsidR="00DF2756" w:rsidRPr="009B3C19">
        <w:rPr>
          <w:rFonts w:ascii="Times New Roman" w:hAnsi="Times New Roman" w:cs="Times New Roman"/>
          <w:sz w:val="20"/>
          <w:szCs w:val="20"/>
        </w:rPr>
        <w:t xml:space="preserve">aterial </w:t>
      </w:r>
      <w:r>
        <w:rPr>
          <w:rFonts w:ascii="Times New Roman" w:hAnsi="Times New Roman" w:cs="Times New Roman"/>
          <w:sz w:val="20"/>
          <w:szCs w:val="20"/>
        </w:rPr>
        <w:t>C</w:t>
      </w:r>
      <w:r w:rsidR="00DF2756" w:rsidRPr="009B3C19">
        <w:rPr>
          <w:rFonts w:ascii="Times New Roman" w:hAnsi="Times New Roman" w:cs="Times New Roman"/>
          <w:sz w:val="20"/>
          <w:szCs w:val="20"/>
        </w:rPr>
        <w:t xml:space="preserve">ulture of </w:t>
      </w:r>
      <w:r>
        <w:rPr>
          <w:rFonts w:ascii="Times New Roman" w:hAnsi="Times New Roman" w:cs="Times New Roman"/>
          <w:sz w:val="20"/>
          <w:szCs w:val="20"/>
        </w:rPr>
        <w:t>S</w:t>
      </w:r>
      <w:r w:rsidR="00DF2756" w:rsidRPr="009B3C19">
        <w:rPr>
          <w:rFonts w:ascii="Times New Roman" w:hAnsi="Times New Roman" w:cs="Times New Roman"/>
          <w:sz w:val="20"/>
          <w:szCs w:val="20"/>
        </w:rPr>
        <w:t xml:space="preserve">ixteenth- and </w:t>
      </w:r>
      <w:r>
        <w:rPr>
          <w:rFonts w:ascii="Times New Roman" w:hAnsi="Times New Roman" w:cs="Times New Roman"/>
          <w:sz w:val="20"/>
          <w:szCs w:val="20"/>
        </w:rPr>
        <w:t>S</w:t>
      </w:r>
      <w:r w:rsidR="00DF2756" w:rsidRPr="009B3C19">
        <w:rPr>
          <w:rFonts w:ascii="Times New Roman" w:hAnsi="Times New Roman" w:cs="Times New Roman"/>
          <w:sz w:val="20"/>
          <w:szCs w:val="20"/>
        </w:rPr>
        <w:t>eventeenth</w:t>
      </w:r>
      <w:r w:rsidR="00DF2756">
        <w:rPr>
          <w:rFonts w:ascii="Times New Roman" w:hAnsi="Times New Roman" w:cs="Times New Roman"/>
          <w:sz w:val="20"/>
          <w:szCs w:val="20"/>
        </w:rPr>
        <w:t>-</w:t>
      </w:r>
      <w:r>
        <w:rPr>
          <w:rFonts w:ascii="Times New Roman" w:hAnsi="Times New Roman" w:cs="Times New Roman"/>
          <w:sz w:val="20"/>
          <w:szCs w:val="20"/>
        </w:rPr>
        <w:t>C</w:t>
      </w:r>
      <w:r w:rsidR="00DF2756" w:rsidRPr="009B3C19">
        <w:rPr>
          <w:rFonts w:ascii="Times New Roman" w:hAnsi="Times New Roman" w:cs="Times New Roman"/>
          <w:sz w:val="20"/>
          <w:szCs w:val="20"/>
        </w:rPr>
        <w:t>entury</w:t>
      </w:r>
      <w:r w:rsidR="00DF2756">
        <w:rPr>
          <w:rFonts w:ascii="Times New Roman" w:hAnsi="Times New Roman" w:cs="Times New Roman"/>
          <w:sz w:val="20"/>
          <w:szCs w:val="20"/>
        </w:rPr>
        <w:t xml:space="preserve"> </w:t>
      </w:r>
      <w:r>
        <w:rPr>
          <w:rFonts w:ascii="Times New Roman" w:hAnsi="Times New Roman" w:cs="Times New Roman"/>
          <w:sz w:val="20"/>
          <w:szCs w:val="20"/>
        </w:rPr>
        <w:t>G</w:t>
      </w:r>
      <w:r w:rsidR="00DF2756" w:rsidRPr="009B3C19">
        <w:rPr>
          <w:rFonts w:ascii="Times New Roman" w:hAnsi="Times New Roman" w:cs="Times New Roman"/>
          <w:sz w:val="20"/>
          <w:szCs w:val="20"/>
        </w:rPr>
        <w:t xml:space="preserve">erman </w:t>
      </w:r>
      <w:r>
        <w:rPr>
          <w:rFonts w:ascii="Times New Roman" w:hAnsi="Times New Roman" w:cs="Times New Roman"/>
          <w:sz w:val="20"/>
          <w:szCs w:val="20"/>
        </w:rPr>
        <w:t>M</w:t>
      </w:r>
      <w:r w:rsidR="00DF2756" w:rsidRPr="009B3C19">
        <w:rPr>
          <w:rFonts w:ascii="Times New Roman" w:hAnsi="Times New Roman" w:cs="Times New Roman"/>
          <w:sz w:val="20"/>
          <w:szCs w:val="20"/>
        </w:rPr>
        <w:t xml:space="preserve">edicine in the European </w:t>
      </w:r>
      <w:r>
        <w:rPr>
          <w:rFonts w:ascii="Times New Roman" w:hAnsi="Times New Roman" w:cs="Times New Roman"/>
          <w:sz w:val="20"/>
          <w:szCs w:val="20"/>
        </w:rPr>
        <w:t>C</w:t>
      </w:r>
      <w:r w:rsidR="00DF2756" w:rsidRPr="009B3C19">
        <w:rPr>
          <w:rFonts w:ascii="Times New Roman" w:hAnsi="Times New Roman" w:cs="Times New Roman"/>
          <w:sz w:val="20"/>
          <w:szCs w:val="20"/>
        </w:rPr>
        <w:t>ontext</w:t>
      </w:r>
      <w:r w:rsidR="00DF2756">
        <w:rPr>
          <w:rFonts w:ascii="Times New Roman" w:hAnsi="Times New Roman" w:cs="Times New Roman"/>
          <w:sz w:val="20"/>
          <w:szCs w:val="20"/>
        </w:rPr>
        <w:t xml:space="preserve">’, </w:t>
      </w:r>
      <w:r w:rsidR="00DF2756" w:rsidRPr="009B3C19">
        <w:rPr>
          <w:rFonts w:ascii="Times New Roman" w:hAnsi="Times New Roman" w:cs="Times New Roman"/>
          <w:sz w:val="20"/>
          <w:szCs w:val="20"/>
        </w:rPr>
        <w:t>V&amp;A/RCA History of Design MA dissertation, 2014</w:t>
      </w:r>
      <w:r w:rsidR="00DF2756">
        <w:rPr>
          <w:rFonts w:ascii="Times New Roman" w:hAnsi="Times New Roman" w:cs="Times New Roman"/>
          <w:sz w:val="20"/>
          <w:szCs w:val="20"/>
        </w:rPr>
        <w:t>, ch.3</w:t>
      </w:r>
      <w:r w:rsidR="00DF2756" w:rsidRPr="009B3C19">
        <w:rPr>
          <w:rFonts w:ascii="Times New Roman" w:hAnsi="Times New Roman" w:cs="Times New Roman"/>
          <w:sz w:val="20"/>
          <w:szCs w:val="20"/>
        </w:rPr>
        <w:t>.</w:t>
      </w:r>
      <w:proofErr w:type="gramEnd"/>
      <w:r w:rsidR="00DF2756">
        <w:t xml:space="preserve"> </w:t>
      </w:r>
    </w:p>
  </w:footnote>
  <w:footnote w:id="95">
    <w:p w:rsidR="00DF2756" w:rsidRDefault="00DF2756">
      <w:pPr>
        <w:pStyle w:val="FootnoteText"/>
        <w:jc w:val="both"/>
        <w:rPr>
          <w:lang w:val="en-GB"/>
        </w:rPr>
      </w:pPr>
      <w:r>
        <w:rPr>
          <w:rStyle w:val="FootnoteReference"/>
        </w:rPr>
        <w:footnoteRef/>
      </w:r>
      <w:r w:rsidRPr="00822F80">
        <w:rPr>
          <w:lang w:val="en-GB"/>
        </w:rPr>
        <w:t xml:space="preserve"> </w:t>
      </w:r>
      <w:r w:rsidRPr="009B3C19">
        <w:rPr>
          <w:lang w:val="en-GB"/>
        </w:rPr>
        <w:t>Coscarelli</w:t>
      </w:r>
      <w:r>
        <w:rPr>
          <w:lang w:val="en-GB"/>
        </w:rPr>
        <w:t>,</w:t>
      </w:r>
      <w:r w:rsidRPr="009B3C19">
        <w:rPr>
          <w:lang w:val="en-GB"/>
        </w:rPr>
        <w:t xml:space="preserve"> for example</w:t>
      </w:r>
      <w:r>
        <w:rPr>
          <w:lang w:val="en-GB"/>
        </w:rPr>
        <w:t>,</w:t>
      </w:r>
      <w:r w:rsidRPr="009B3C19">
        <w:rPr>
          <w:lang w:val="en-GB"/>
        </w:rPr>
        <w:t xml:space="preserve"> </w:t>
      </w:r>
      <w:r>
        <w:rPr>
          <w:lang w:val="en-GB"/>
        </w:rPr>
        <w:t xml:space="preserve">has highlighted important differences in use between proper </w:t>
      </w:r>
      <w:r w:rsidRPr="009B3C19">
        <w:rPr>
          <w:lang w:val="en-GB"/>
        </w:rPr>
        <w:t xml:space="preserve">pomanders and </w:t>
      </w:r>
      <w:r>
        <w:rPr>
          <w:lang w:val="en-GB"/>
        </w:rPr>
        <w:t xml:space="preserve">balsam containers: these were usually shaped like an orange than opens up when the screw stopper is loosened, revealing individual compartments, each filled with a different balsam, which could be scooped out with a little spoon and applied to the body. </w:t>
      </w:r>
      <w:proofErr w:type="gramStart"/>
      <w:r w:rsidR="00A21EA5" w:rsidRPr="00A21EA5">
        <w:rPr>
          <w:i/>
          <w:lang w:val="en-GB"/>
        </w:rPr>
        <w:t>Ibid</w:t>
      </w:r>
      <w:r>
        <w:rPr>
          <w:lang w:val="en-GB"/>
        </w:rPr>
        <w:t>.,</w:t>
      </w:r>
      <w:proofErr w:type="gramEnd"/>
      <w:r>
        <w:rPr>
          <w:lang w:val="en-GB"/>
        </w:rPr>
        <w:t xml:space="preserve"> 44-53, 99-110.</w:t>
      </w:r>
    </w:p>
  </w:footnote>
  <w:footnote w:id="96">
    <w:p w:rsidR="00DF2756" w:rsidRDefault="00DF2756">
      <w:pPr>
        <w:pStyle w:val="NormalWeb"/>
        <w:shd w:val="clear" w:color="auto" w:fill="FFFFFF"/>
        <w:jc w:val="both"/>
      </w:pPr>
      <w:r w:rsidRPr="009B3C19">
        <w:rPr>
          <w:rStyle w:val="FootnoteReference"/>
          <w:szCs w:val="20"/>
        </w:rPr>
        <w:footnoteRef/>
      </w:r>
      <w:r>
        <w:rPr>
          <w:sz w:val="20"/>
          <w:szCs w:val="20"/>
        </w:rPr>
        <w:t xml:space="preserve"> </w:t>
      </w:r>
      <w:r w:rsidRPr="009B3C19">
        <w:rPr>
          <w:sz w:val="20"/>
          <w:szCs w:val="20"/>
        </w:rPr>
        <w:t>C</w:t>
      </w:r>
      <w:r>
        <w:t xml:space="preserve">. </w:t>
      </w:r>
      <w:proofErr w:type="spellStart"/>
      <w:r>
        <w:rPr>
          <w:sz w:val="20"/>
          <w:szCs w:val="20"/>
        </w:rPr>
        <w:t>Habrich</w:t>
      </w:r>
      <w:proofErr w:type="spellEnd"/>
      <w:r>
        <w:rPr>
          <w:sz w:val="20"/>
          <w:szCs w:val="20"/>
        </w:rPr>
        <w:t xml:space="preserve">, H. </w:t>
      </w:r>
      <w:proofErr w:type="spellStart"/>
      <w:r>
        <w:rPr>
          <w:sz w:val="20"/>
          <w:szCs w:val="20"/>
        </w:rPr>
        <w:t>Meininghaus</w:t>
      </w:r>
      <w:proofErr w:type="spellEnd"/>
      <w:r>
        <w:rPr>
          <w:sz w:val="20"/>
          <w:szCs w:val="20"/>
        </w:rPr>
        <w:t xml:space="preserve"> and T.</w:t>
      </w:r>
      <w:r w:rsidRPr="00414D9B">
        <w:rPr>
          <w:sz w:val="20"/>
          <w:szCs w:val="20"/>
        </w:rPr>
        <w:t xml:space="preserve"> </w:t>
      </w:r>
      <w:proofErr w:type="spellStart"/>
      <w:r w:rsidRPr="00414D9B">
        <w:rPr>
          <w:sz w:val="20"/>
          <w:szCs w:val="20"/>
        </w:rPr>
        <w:t>Volz</w:t>
      </w:r>
      <w:proofErr w:type="spellEnd"/>
      <w:r w:rsidRPr="00414D9B">
        <w:rPr>
          <w:sz w:val="20"/>
          <w:szCs w:val="20"/>
        </w:rPr>
        <w:t xml:space="preserve"> </w:t>
      </w:r>
      <w:proofErr w:type="spellStart"/>
      <w:r w:rsidRPr="00414D9B">
        <w:rPr>
          <w:sz w:val="20"/>
          <w:szCs w:val="20"/>
        </w:rPr>
        <w:t>eds</w:t>
      </w:r>
      <w:proofErr w:type="spellEnd"/>
      <w:r w:rsidRPr="00414D9B">
        <w:rPr>
          <w:sz w:val="20"/>
          <w:szCs w:val="20"/>
        </w:rPr>
        <w:t xml:space="preserve">, </w:t>
      </w:r>
      <w:r>
        <w:rPr>
          <w:i/>
          <w:sz w:val="20"/>
          <w:szCs w:val="20"/>
        </w:rPr>
        <w:t>Five Centuries of S</w:t>
      </w:r>
      <w:r w:rsidRPr="00414D9B">
        <w:rPr>
          <w:i/>
          <w:sz w:val="20"/>
          <w:szCs w:val="20"/>
        </w:rPr>
        <w:t>cent a</w:t>
      </w:r>
      <w:r>
        <w:rPr>
          <w:i/>
          <w:sz w:val="20"/>
          <w:szCs w:val="20"/>
        </w:rPr>
        <w:t>nd Elegant F</w:t>
      </w:r>
      <w:r w:rsidRPr="00414D9B">
        <w:rPr>
          <w:i/>
          <w:sz w:val="20"/>
          <w:szCs w:val="20"/>
        </w:rPr>
        <w:t>lacons</w:t>
      </w:r>
      <w:r w:rsidRPr="00414D9B">
        <w:rPr>
          <w:sz w:val="20"/>
          <w:szCs w:val="20"/>
        </w:rPr>
        <w:t xml:space="preserve"> </w:t>
      </w:r>
      <w:r>
        <w:rPr>
          <w:sz w:val="20"/>
          <w:szCs w:val="20"/>
        </w:rPr>
        <w:t>(</w:t>
      </w:r>
      <w:proofErr w:type="spellStart"/>
      <w:r w:rsidRPr="00414D9B">
        <w:rPr>
          <w:sz w:val="20"/>
          <w:szCs w:val="20"/>
        </w:rPr>
        <w:t>Stutgart</w:t>
      </w:r>
      <w:proofErr w:type="spellEnd"/>
      <w:r>
        <w:rPr>
          <w:sz w:val="20"/>
          <w:szCs w:val="20"/>
        </w:rPr>
        <w:t xml:space="preserve">: </w:t>
      </w:r>
      <w:proofErr w:type="spellStart"/>
      <w:r w:rsidRPr="007B6BDD">
        <w:rPr>
          <w:color w:val="333333"/>
          <w:sz w:val="20"/>
          <w:szCs w:val="20"/>
          <w:bdr w:val="none" w:sz="0" w:space="0" w:color="auto" w:frame="1"/>
        </w:rPr>
        <w:t>Arnoldsche</w:t>
      </w:r>
      <w:proofErr w:type="spellEnd"/>
      <w:r>
        <w:rPr>
          <w:sz w:val="20"/>
          <w:szCs w:val="20"/>
        </w:rPr>
        <w:t>,</w:t>
      </w:r>
      <w:r w:rsidRPr="00414D9B">
        <w:rPr>
          <w:sz w:val="20"/>
          <w:szCs w:val="20"/>
        </w:rPr>
        <w:t xml:space="preserve"> 1998</w:t>
      </w:r>
      <w:r>
        <w:rPr>
          <w:sz w:val="20"/>
          <w:szCs w:val="20"/>
        </w:rPr>
        <w:t>).</w:t>
      </w:r>
    </w:p>
  </w:footnote>
  <w:footnote w:id="97">
    <w:p w:rsidR="00DF2756" w:rsidRDefault="00DF2756">
      <w:pPr>
        <w:autoSpaceDE w:val="0"/>
        <w:autoSpaceDN w:val="0"/>
        <w:adjustRightInd w:val="0"/>
        <w:spacing w:after="0" w:line="240" w:lineRule="auto"/>
        <w:jc w:val="both"/>
      </w:pPr>
      <w:r>
        <w:rPr>
          <w:rStyle w:val="FootnoteReference"/>
        </w:rPr>
        <w:footnoteRef/>
      </w:r>
      <w:r w:rsidRPr="007B6BDD">
        <w:t xml:space="preserve"> </w:t>
      </w:r>
      <w:r w:rsidRPr="007B6BDD">
        <w:rPr>
          <w:rFonts w:ascii="Times New Roman" w:hAnsi="Times New Roman" w:cs="Times New Roman"/>
          <w:sz w:val="20"/>
          <w:szCs w:val="20"/>
        </w:rPr>
        <w:t xml:space="preserve">A. Gallo, </w:t>
      </w:r>
      <w:r w:rsidRPr="007B6BDD">
        <w:rPr>
          <w:rFonts w:ascii="Times New Roman" w:hAnsi="Times New Roman" w:cs="Times New Roman"/>
          <w:i/>
          <w:iCs/>
          <w:sz w:val="20"/>
          <w:szCs w:val="20"/>
        </w:rPr>
        <w:t xml:space="preserve">Le </w:t>
      </w:r>
      <w:proofErr w:type="spellStart"/>
      <w:r w:rsidRPr="007B6BDD">
        <w:rPr>
          <w:rFonts w:ascii="Times New Roman" w:hAnsi="Times New Roman" w:cs="Times New Roman"/>
          <w:i/>
          <w:iCs/>
          <w:sz w:val="20"/>
          <w:szCs w:val="20"/>
        </w:rPr>
        <w:t>dieci</w:t>
      </w:r>
      <w:proofErr w:type="spellEnd"/>
      <w:r w:rsidRPr="007B6BDD">
        <w:rPr>
          <w:rFonts w:ascii="Times New Roman" w:hAnsi="Times New Roman" w:cs="Times New Roman"/>
          <w:i/>
          <w:iCs/>
          <w:sz w:val="20"/>
          <w:szCs w:val="20"/>
        </w:rPr>
        <w:t xml:space="preserve"> </w:t>
      </w:r>
      <w:proofErr w:type="spellStart"/>
      <w:r w:rsidRPr="007B6BDD">
        <w:rPr>
          <w:rFonts w:ascii="Times New Roman" w:hAnsi="Times New Roman" w:cs="Times New Roman"/>
          <w:i/>
          <w:iCs/>
          <w:sz w:val="20"/>
          <w:szCs w:val="20"/>
        </w:rPr>
        <w:t>giornate</w:t>
      </w:r>
      <w:proofErr w:type="spellEnd"/>
      <w:r w:rsidRPr="007B6BDD">
        <w:rPr>
          <w:rFonts w:ascii="Times New Roman" w:hAnsi="Times New Roman" w:cs="Times New Roman"/>
          <w:i/>
          <w:iCs/>
          <w:sz w:val="20"/>
          <w:szCs w:val="20"/>
        </w:rPr>
        <w:t xml:space="preserve"> </w:t>
      </w:r>
      <w:proofErr w:type="spellStart"/>
      <w:proofErr w:type="gramStart"/>
      <w:r w:rsidRPr="007B6BDD">
        <w:rPr>
          <w:rFonts w:ascii="Times New Roman" w:hAnsi="Times New Roman" w:cs="Times New Roman"/>
          <w:i/>
          <w:iCs/>
          <w:sz w:val="20"/>
          <w:szCs w:val="20"/>
        </w:rPr>
        <w:t>della</w:t>
      </w:r>
      <w:proofErr w:type="spellEnd"/>
      <w:r w:rsidRPr="007B6BDD">
        <w:rPr>
          <w:rFonts w:ascii="Times New Roman" w:hAnsi="Times New Roman" w:cs="Times New Roman"/>
          <w:i/>
          <w:iCs/>
          <w:sz w:val="20"/>
          <w:szCs w:val="20"/>
        </w:rPr>
        <w:t xml:space="preserve"> </w:t>
      </w:r>
      <w:proofErr w:type="spellStart"/>
      <w:r w:rsidRPr="007B6BDD">
        <w:rPr>
          <w:rFonts w:ascii="Times New Roman" w:hAnsi="Times New Roman" w:cs="Times New Roman"/>
          <w:i/>
          <w:iCs/>
          <w:sz w:val="20"/>
          <w:szCs w:val="20"/>
        </w:rPr>
        <w:t>vera</w:t>
      </w:r>
      <w:proofErr w:type="spellEnd"/>
      <w:proofErr w:type="gramEnd"/>
      <w:r w:rsidRPr="007B6BDD">
        <w:rPr>
          <w:rFonts w:ascii="Times New Roman" w:hAnsi="Times New Roman" w:cs="Times New Roman"/>
          <w:i/>
          <w:iCs/>
          <w:sz w:val="20"/>
          <w:szCs w:val="20"/>
        </w:rPr>
        <w:t xml:space="preserve"> </w:t>
      </w:r>
      <w:proofErr w:type="spellStart"/>
      <w:r w:rsidRPr="007B6BDD">
        <w:rPr>
          <w:rFonts w:ascii="Times New Roman" w:hAnsi="Times New Roman" w:cs="Times New Roman"/>
          <w:i/>
          <w:iCs/>
          <w:sz w:val="20"/>
          <w:szCs w:val="20"/>
        </w:rPr>
        <w:t>agricoltura</w:t>
      </w:r>
      <w:proofErr w:type="spellEnd"/>
      <w:r w:rsidRPr="007B6BDD">
        <w:rPr>
          <w:rFonts w:ascii="Times New Roman" w:hAnsi="Times New Roman" w:cs="Times New Roman"/>
          <w:i/>
          <w:iCs/>
          <w:sz w:val="20"/>
          <w:szCs w:val="20"/>
        </w:rPr>
        <w:t xml:space="preserve">, e </w:t>
      </w:r>
      <w:proofErr w:type="spellStart"/>
      <w:r w:rsidRPr="007B6BDD">
        <w:rPr>
          <w:rFonts w:ascii="Times New Roman" w:hAnsi="Times New Roman" w:cs="Times New Roman"/>
          <w:i/>
          <w:iCs/>
          <w:sz w:val="20"/>
          <w:szCs w:val="20"/>
        </w:rPr>
        <w:t>piaceri</w:t>
      </w:r>
      <w:proofErr w:type="spellEnd"/>
      <w:r w:rsidRPr="007B6BDD">
        <w:rPr>
          <w:rFonts w:ascii="Times New Roman" w:hAnsi="Times New Roman" w:cs="Times New Roman"/>
          <w:i/>
          <w:iCs/>
          <w:sz w:val="20"/>
          <w:szCs w:val="20"/>
        </w:rPr>
        <w:t xml:space="preserve"> </w:t>
      </w:r>
      <w:proofErr w:type="spellStart"/>
      <w:r w:rsidRPr="007B6BDD">
        <w:rPr>
          <w:rFonts w:ascii="Times New Roman" w:hAnsi="Times New Roman" w:cs="Times New Roman"/>
          <w:i/>
          <w:iCs/>
          <w:sz w:val="20"/>
          <w:szCs w:val="20"/>
        </w:rPr>
        <w:t>della</w:t>
      </w:r>
      <w:proofErr w:type="spellEnd"/>
      <w:r w:rsidRPr="007B6BDD">
        <w:rPr>
          <w:rFonts w:ascii="Times New Roman" w:hAnsi="Times New Roman" w:cs="Times New Roman"/>
          <w:i/>
          <w:iCs/>
          <w:sz w:val="20"/>
          <w:szCs w:val="20"/>
        </w:rPr>
        <w:t xml:space="preserve"> villa </w:t>
      </w:r>
      <w:r>
        <w:rPr>
          <w:rFonts w:ascii="Times New Roman" w:hAnsi="Times New Roman" w:cs="Times New Roman"/>
          <w:sz w:val="20"/>
          <w:szCs w:val="20"/>
        </w:rPr>
        <w:t>(</w:t>
      </w:r>
      <w:r w:rsidRPr="007B6BDD">
        <w:rPr>
          <w:rFonts w:ascii="Times New Roman" w:hAnsi="Times New Roman" w:cs="Times New Roman"/>
          <w:sz w:val="20"/>
          <w:szCs w:val="20"/>
        </w:rPr>
        <w:t xml:space="preserve">1566), </w:t>
      </w:r>
      <w:proofErr w:type="spellStart"/>
      <w:r w:rsidRPr="007B6BDD">
        <w:rPr>
          <w:rFonts w:ascii="Times New Roman" w:hAnsi="Times New Roman" w:cs="Times New Roman"/>
          <w:sz w:val="20"/>
          <w:szCs w:val="20"/>
        </w:rPr>
        <w:t>trasl</w:t>
      </w:r>
      <w:proofErr w:type="spellEnd"/>
      <w:r w:rsidRPr="007B6BDD">
        <w:rPr>
          <w:rFonts w:ascii="Times New Roman" w:hAnsi="Times New Roman" w:cs="Times New Roman"/>
          <w:sz w:val="20"/>
          <w:szCs w:val="20"/>
        </w:rPr>
        <w:t xml:space="preserv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w:t>
      </w:r>
      <w:r w:rsidRPr="007B6BDD">
        <w:rPr>
          <w:rFonts w:ascii="Times New Roman" w:hAnsi="Times New Roman" w:cs="Times New Roman"/>
          <w:sz w:val="20"/>
          <w:szCs w:val="20"/>
        </w:rPr>
        <w:t>J.S. Ackerman</w:t>
      </w:r>
      <w:r>
        <w:rPr>
          <w:rFonts w:ascii="Times New Roman" w:hAnsi="Times New Roman" w:cs="Times New Roman"/>
          <w:sz w:val="20"/>
          <w:szCs w:val="20"/>
        </w:rPr>
        <w:t>,</w:t>
      </w:r>
      <w:r w:rsidRPr="007B6BDD">
        <w:rPr>
          <w:rFonts w:ascii="Times New Roman" w:hAnsi="Times New Roman" w:cs="Times New Roman"/>
          <w:sz w:val="20"/>
          <w:szCs w:val="20"/>
        </w:rPr>
        <w:t xml:space="preserve"> </w:t>
      </w:r>
      <w:r w:rsidRPr="007B6BDD">
        <w:rPr>
          <w:rFonts w:ascii="Times New Roman" w:hAnsi="Times New Roman" w:cs="Times New Roman"/>
          <w:i/>
          <w:sz w:val="20"/>
          <w:szCs w:val="20"/>
        </w:rPr>
        <w:t>The Villa</w:t>
      </w:r>
      <w:r w:rsidRPr="00F6085C">
        <w:rPr>
          <w:rFonts w:ascii="Times New Roman" w:hAnsi="Times New Roman" w:cs="Times New Roman"/>
          <w:i/>
          <w:sz w:val="20"/>
          <w:szCs w:val="20"/>
        </w:rPr>
        <w:t xml:space="preserve"> </w:t>
      </w:r>
      <w:r w:rsidRPr="00EB607C">
        <w:rPr>
          <w:rFonts w:ascii="Times New Roman" w:hAnsi="Times New Roman" w:cs="Times New Roman"/>
          <w:i/>
          <w:sz w:val="20"/>
          <w:szCs w:val="20"/>
        </w:rPr>
        <w:t>Form and Ideology of Country Houses</w:t>
      </w:r>
      <w:r w:rsidRPr="00EB607C">
        <w:rPr>
          <w:rFonts w:ascii="Times New Roman" w:hAnsi="Times New Roman" w:cs="Times New Roman"/>
          <w:sz w:val="20"/>
          <w:szCs w:val="20"/>
        </w:rPr>
        <w:t xml:space="preserve"> (Princeton: P</w:t>
      </w:r>
      <w:r>
        <w:rPr>
          <w:rFonts w:ascii="Times New Roman" w:hAnsi="Times New Roman" w:cs="Times New Roman"/>
          <w:sz w:val="20"/>
          <w:szCs w:val="20"/>
        </w:rPr>
        <w:t>rinceton University Press, 1985)</w:t>
      </w:r>
      <w:r w:rsidRPr="007B6BDD">
        <w:rPr>
          <w:rFonts w:ascii="Times New Roman" w:hAnsi="Times New Roman" w:cs="Times New Roman"/>
          <w:sz w:val="20"/>
          <w:szCs w:val="20"/>
        </w:rPr>
        <w:t>, 130.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6A29"/>
    <w:multiLevelType w:val="multilevel"/>
    <w:tmpl w:val="C63E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44D5B"/>
    <w:multiLevelType w:val="hybridMultilevel"/>
    <w:tmpl w:val="A072B1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4C12F1"/>
    <w:multiLevelType w:val="hybridMultilevel"/>
    <w:tmpl w:val="2F924E98"/>
    <w:lvl w:ilvl="0" w:tplc="034A93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trackRevisions/>
  <w:defaultTabStop w:val="720"/>
  <w:characterSpacingControl w:val="doNotCompress"/>
  <w:footnotePr>
    <w:footnote w:id="-1"/>
    <w:footnote w:id="0"/>
  </w:footnotePr>
  <w:endnotePr>
    <w:endnote w:id="-1"/>
    <w:endnote w:id="0"/>
  </w:endnotePr>
  <w:compat/>
  <w:rsids>
    <w:rsidRoot w:val="00521217"/>
    <w:rsid w:val="000001F5"/>
    <w:rsid w:val="000035D0"/>
    <w:rsid w:val="00014080"/>
    <w:rsid w:val="000340B2"/>
    <w:rsid w:val="000370C3"/>
    <w:rsid w:val="00051026"/>
    <w:rsid w:val="00054B70"/>
    <w:rsid w:val="0005679C"/>
    <w:rsid w:val="000706D6"/>
    <w:rsid w:val="00072D3D"/>
    <w:rsid w:val="00085F21"/>
    <w:rsid w:val="00086F61"/>
    <w:rsid w:val="00091114"/>
    <w:rsid w:val="0009422F"/>
    <w:rsid w:val="00094A42"/>
    <w:rsid w:val="0009568F"/>
    <w:rsid w:val="000B74D8"/>
    <w:rsid w:val="000C2AF4"/>
    <w:rsid w:val="000C6706"/>
    <w:rsid w:val="000C7B46"/>
    <w:rsid w:val="000D1282"/>
    <w:rsid w:val="000D2ADD"/>
    <w:rsid w:val="000E0211"/>
    <w:rsid w:val="000F68B2"/>
    <w:rsid w:val="001162CF"/>
    <w:rsid w:val="001206CD"/>
    <w:rsid w:val="00120D35"/>
    <w:rsid w:val="001308A8"/>
    <w:rsid w:val="00130E52"/>
    <w:rsid w:val="0013175B"/>
    <w:rsid w:val="001330A8"/>
    <w:rsid w:val="001354A3"/>
    <w:rsid w:val="0013658E"/>
    <w:rsid w:val="0013743C"/>
    <w:rsid w:val="0014629E"/>
    <w:rsid w:val="00147BC7"/>
    <w:rsid w:val="00154DFA"/>
    <w:rsid w:val="0016201D"/>
    <w:rsid w:val="0016714E"/>
    <w:rsid w:val="001775EF"/>
    <w:rsid w:val="00186930"/>
    <w:rsid w:val="00186A50"/>
    <w:rsid w:val="001A6B92"/>
    <w:rsid w:val="001B6294"/>
    <w:rsid w:val="001C6A5C"/>
    <w:rsid w:val="001D4270"/>
    <w:rsid w:val="001D78DF"/>
    <w:rsid w:val="001E0DBC"/>
    <w:rsid w:val="001E25C5"/>
    <w:rsid w:val="001E2EEB"/>
    <w:rsid w:val="001F4480"/>
    <w:rsid w:val="00203419"/>
    <w:rsid w:val="00206E07"/>
    <w:rsid w:val="00211376"/>
    <w:rsid w:val="00232DF4"/>
    <w:rsid w:val="00245D0E"/>
    <w:rsid w:val="00251EB4"/>
    <w:rsid w:val="00262317"/>
    <w:rsid w:val="002624A3"/>
    <w:rsid w:val="00267AB6"/>
    <w:rsid w:val="00272631"/>
    <w:rsid w:val="00272A42"/>
    <w:rsid w:val="00294440"/>
    <w:rsid w:val="002B0451"/>
    <w:rsid w:val="002B7730"/>
    <w:rsid w:val="002C46B9"/>
    <w:rsid w:val="002E1BA4"/>
    <w:rsid w:val="002E60A0"/>
    <w:rsid w:val="002F3017"/>
    <w:rsid w:val="003030E4"/>
    <w:rsid w:val="00310E9A"/>
    <w:rsid w:val="00317556"/>
    <w:rsid w:val="00324BF8"/>
    <w:rsid w:val="003402F3"/>
    <w:rsid w:val="003412D0"/>
    <w:rsid w:val="00345BFB"/>
    <w:rsid w:val="003574C3"/>
    <w:rsid w:val="00357EBE"/>
    <w:rsid w:val="003621C8"/>
    <w:rsid w:val="00377482"/>
    <w:rsid w:val="00394938"/>
    <w:rsid w:val="003A7965"/>
    <w:rsid w:val="003B63E1"/>
    <w:rsid w:val="003C6321"/>
    <w:rsid w:val="003D17EB"/>
    <w:rsid w:val="003D21C9"/>
    <w:rsid w:val="003D6B7F"/>
    <w:rsid w:val="003D72F9"/>
    <w:rsid w:val="003E59B9"/>
    <w:rsid w:val="003E770A"/>
    <w:rsid w:val="003F050D"/>
    <w:rsid w:val="003F1FE9"/>
    <w:rsid w:val="00405383"/>
    <w:rsid w:val="00416814"/>
    <w:rsid w:val="004179A8"/>
    <w:rsid w:val="00421C59"/>
    <w:rsid w:val="0042238A"/>
    <w:rsid w:val="0043493D"/>
    <w:rsid w:val="004440DA"/>
    <w:rsid w:val="00446783"/>
    <w:rsid w:val="0044740D"/>
    <w:rsid w:val="00447839"/>
    <w:rsid w:val="00451A83"/>
    <w:rsid w:val="00453005"/>
    <w:rsid w:val="00454E29"/>
    <w:rsid w:val="00460109"/>
    <w:rsid w:val="00465329"/>
    <w:rsid w:val="00471DD4"/>
    <w:rsid w:val="00473E04"/>
    <w:rsid w:val="004855CB"/>
    <w:rsid w:val="004866D3"/>
    <w:rsid w:val="0049582D"/>
    <w:rsid w:val="004B05E7"/>
    <w:rsid w:val="004B604D"/>
    <w:rsid w:val="004C5D89"/>
    <w:rsid w:val="004D59F5"/>
    <w:rsid w:val="004D6A82"/>
    <w:rsid w:val="004D78E7"/>
    <w:rsid w:val="004F2E8B"/>
    <w:rsid w:val="004F4CF6"/>
    <w:rsid w:val="004F745D"/>
    <w:rsid w:val="0050242E"/>
    <w:rsid w:val="005024C8"/>
    <w:rsid w:val="00505E49"/>
    <w:rsid w:val="0051255C"/>
    <w:rsid w:val="00513666"/>
    <w:rsid w:val="00521217"/>
    <w:rsid w:val="00530166"/>
    <w:rsid w:val="00535B76"/>
    <w:rsid w:val="005554F6"/>
    <w:rsid w:val="005628CF"/>
    <w:rsid w:val="00564B5D"/>
    <w:rsid w:val="0059261D"/>
    <w:rsid w:val="005A2D4D"/>
    <w:rsid w:val="005A51BC"/>
    <w:rsid w:val="005B1497"/>
    <w:rsid w:val="005B545E"/>
    <w:rsid w:val="005B6E9D"/>
    <w:rsid w:val="005C5EA6"/>
    <w:rsid w:val="005E7269"/>
    <w:rsid w:val="005E7C26"/>
    <w:rsid w:val="00601978"/>
    <w:rsid w:val="006022EF"/>
    <w:rsid w:val="00602BAC"/>
    <w:rsid w:val="00605984"/>
    <w:rsid w:val="00614AA4"/>
    <w:rsid w:val="00615A7D"/>
    <w:rsid w:val="006177C0"/>
    <w:rsid w:val="006216E8"/>
    <w:rsid w:val="006234EA"/>
    <w:rsid w:val="006238F4"/>
    <w:rsid w:val="00641910"/>
    <w:rsid w:val="00641B7D"/>
    <w:rsid w:val="006553EA"/>
    <w:rsid w:val="00656CBD"/>
    <w:rsid w:val="00662E05"/>
    <w:rsid w:val="00664A22"/>
    <w:rsid w:val="00674359"/>
    <w:rsid w:val="006A09AA"/>
    <w:rsid w:val="006A0A80"/>
    <w:rsid w:val="006A2059"/>
    <w:rsid w:val="006A6793"/>
    <w:rsid w:val="006B4F2A"/>
    <w:rsid w:val="006B6AE1"/>
    <w:rsid w:val="006C51D2"/>
    <w:rsid w:val="006D66AB"/>
    <w:rsid w:val="006E320D"/>
    <w:rsid w:val="006E6D52"/>
    <w:rsid w:val="006E7C91"/>
    <w:rsid w:val="006F1A1A"/>
    <w:rsid w:val="006F2947"/>
    <w:rsid w:val="006F37BC"/>
    <w:rsid w:val="006F79B7"/>
    <w:rsid w:val="00712CB6"/>
    <w:rsid w:val="007136E3"/>
    <w:rsid w:val="00717521"/>
    <w:rsid w:val="00720D64"/>
    <w:rsid w:val="007258E0"/>
    <w:rsid w:val="007322E2"/>
    <w:rsid w:val="0073237B"/>
    <w:rsid w:val="007569A7"/>
    <w:rsid w:val="007744E0"/>
    <w:rsid w:val="00787565"/>
    <w:rsid w:val="00787DF8"/>
    <w:rsid w:val="00793A9C"/>
    <w:rsid w:val="00797D42"/>
    <w:rsid w:val="007A6BAA"/>
    <w:rsid w:val="007B1F0F"/>
    <w:rsid w:val="007B49DE"/>
    <w:rsid w:val="007B6BDD"/>
    <w:rsid w:val="007D4CB5"/>
    <w:rsid w:val="007E4EC9"/>
    <w:rsid w:val="007E539B"/>
    <w:rsid w:val="007E5C22"/>
    <w:rsid w:val="007F1E94"/>
    <w:rsid w:val="007F29F4"/>
    <w:rsid w:val="007F7EED"/>
    <w:rsid w:val="00811D70"/>
    <w:rsid w:val="0081585B"/>
    <w:rsid w:val="0081709D"/>
    <w:rsid w:val="008215D4"/>
    <w:rsid w:val="00832353"/>
    <w:rsid w:val="008442AC"/>
    <w:rsid w:val="008501F5"/>
    <w:rsid w:val="00854250"/>
    <w:rsid w:val="00856D93"/>
    <w:rsid w:val="00857E64"/>
    <w:rsid w:val="00861F41"/>
    <w:rsid w:val="008639D9"/>
    <w:rsid w:val="008648BF"/>
    <w:rsid w:val="008665C5"/>
    <w:rsid w:val="008675B4"/>
    <w:rsid w:val="00872D63"/>
    <w:rsid w:val="00874623"/>
    <w:rsid w:val="008837DA"/>
    <w:rsid w:val="008B42F8"/>
    <w:rsid w:val="008F2741"/>
    <w:rsid w:val="008F3165"/>
    <w:rsid w:val="008F5FA4"/>
    <w:rsid w:val="008F61AA"/>
    <w:rsid w:val="00921C5F"/>
    <w:rsid w:val="009351BD"/>
    <w:rsid w:val="0094033D"/>
    <w:rsid w:val="00941277"/>
    <w:rsid w:val="0096042C"/>
    <w:rsid w:val="00961A58"/>
    <w:rsid w:val="00970510"/>
    <w:rsid w:val="00971D7E"/>
    <w:rsid w:val="00974F15"/>
    <w:rsid w:val="00977223"/>
    <w:rsid w:val="00977E1B"/>
    <w:rsid w:val="00990E28"/>
    <w:rsid w:val="009952B7"/>
    <w:rsid w:val="009968B5"/>
    <w:rsid w:val="0099799C"/>
    <w:rsid w:val="009A0C2A"/>
    <w:rsid w:val="009A2607"/>
    <w:rsid w:val="009A3D23"/>
    <w:rsid w:val="009A6EF6"/>
    <w:rsid w:val="009C21CA"/>
    <w:rsid w:val="009C3135"/>
    <w:rsid w:val="009D2F63"/>
    <w:rsid w:val="009D2F95"/>
    <w:rsid w:val="009E03E3"/>
    <w:rsid w:val="009E2C60"/>
    <w:rsid w:val="009E517C"/>
    <w:rsid w:val="009E7546"/>
    <w:rsid w:val="009F208D"/>
    <w:rsid w:val="00A04364"/>
    <w:rsid w:val="00A10CE0"/>
    <w:rsid w:val="00A149F7"/>
    <w:rsid w:val="00A160DA"/>
    <w:rsid w:val="00A214A7"/>
    <w:rsid w:val="00A21539"/>
    <w:rsid w:val="00A21EA5"/>
    <w:rsid w:val="00A22E25"/>
    <w:rsid w:val="00A24D7C"/>
    <w:rsid w:val="00A319D3"/>
    <w:rsid w:val="00A35858"/>
    <w:rsid w:val="00A42341"/>
    <w:rsid w:val="00A428DF"/>
    <w:rsid w:val="00A44085"/>
    <w:rsid w:val="00A46BA4"/>
    <w:rsid w:val="00A60721"/>
    <w:rsid w:val="00A6265F"/>
    <w:rsid w:val="00A64051"/>
    <w:rsid w:val="00A756F6"/>
    <w:rsid w:val="00A77DF4"/>
    <w:rsid w:val="00A967DE"/>
    <w:rsid w:val="00AA79C7"/>
    <w:rsid w:val="00AB393D"/>
    <w:rsid w:val="00AB5E61"/>
    <w:rsid w:val="00AC6964"/>
    <w:rsid w:val="00AD2874"/>
    <w:rsid w:val="00AD2D8F"/>
    <w:rsid w:val="00AD511B"/>
    <w:rsid w:val="00AD6988"/>
    <w:rsid w:val="00AE6730"/>
    <w:rsid w:val="00AF7CFC"/>
    <w:rsid w:val="00B03C41"/>
    <w:rsid w:val="00B04F2C"/>
    <w:rsid w:val="00B25252"/>
    <w:rsid w:val="00B36130"/>
    <w:rsid w:val="00B452D7"/>
    <w:rsid w:val="00B473F9"/>
    <w:rsid w:val="00B47FF8"/>
    <w:rsid w:val="00B5332B"/>
    <w:rsid w:val="00B8629D"/>
    <w:rsid w:val="00B86499"/>
    <w:rsid w:val="00B94940"/>
    <w:rsid w:val="00B979E2"/>
    <w:rsid w:val="00BA01B8"/>
    <w:rsid w:val="00BB10A5"/>
    <w:rsid w:val="00BB1775"/>
    <w:rsid w:val="00BB4FBE"/>
    <w:rsid w:val="00BB5CF5"/>
    <w:rsid w:val="00BD1E72"/>
    <w:rsid w:val="00BD3B0B"/>
    <w:rsid w:val="00BD6CAD"/>
    <w:rsid w:val="00BE2387"/>
    <w:rsid w:val="00BF0396"/>
    <w:rsid w:val="00BF2CE6"/>
    <w:rsid w:val="00BF38C8"/>
    <w:rsid w:val="00BF4772"/>
    <w:rsid w:val="00BF6914"/>
    <w:rsid w:val="00BF768D"/>
    <w:rsid w:val="00C12FB3"/>
    <w:rsid w:val="00C17522"/>
    <w:rsid w:val="00C25AEA"/>
    <w:rsid w:val="00C32162"/>
    <w:rsid w:val="00C32E3E"/>
    <w:rsid w:val="00C400DA"/>
    <w:rsid w:val="00C43D43"/>
    <w:rsid w:val="00C47487"/>
    <w:rsid w:val="00C6229C"/>
    <w:rsid w:val="00C7492B"/>
    <w:rsid w:val="00C76795"/>
    <w:rsid w:val="00C910A3"/>
    <w:rsid w:val="00CA4AC1"/>
    <w:rsid w:val="00CB507B"/>
    <w:rsid w:val="00CB636B"/>
    <w:rsid w:val="00CB7651"/>
    <w:rsid w:val="00CD094B"/>
    <w:rsid w:val="00CD5568"/>
    <w:rsid w:val="00CD5A56"/>
    <w:rsid w:val="00CD63F0"/>
    <w:rsid w:val="00CE2FDC"/>
    <w:rsid w:val="00CE4F7E"/>
    <w:rsid w:val="00CF4253"/>
    <w:rsid w:val="00D0637C"/>
    <w:rsid w:val="00D20654"/>
    <w:rsid w:val="00D24786"/>
    <w:rsid w:val="00D31EA7"/>
    <w:rsid w:val="00D3573D"/>
    <w:rsid w:val="00D40E0E"/>
    <w:rsid w:val="00D417A5"/>
    <w:rsid w:val="00D57E8B"/>
    <w:rsid w:val="00D61A33"/>
    <w:rsid w:val="00D624E0"/>
    <w:rsid w:val="00D6355C"/>
    <w:rsid w:val="00D6670F"/>
    <w:rsid w:val="00D66A3C"/>
    <w:rsid w:val="00D7604B"/>
    <w:rsid w:val="00D76471"/>
    <w:rsid w:val="00D83B4C"/>
    <w:rsid w:val="00D84A57"/>
    <w:rsid w:val="00D914DC"/>
    <w:rsid w:val="00D9518D"/>
    <w:rsid w:val="00D96B8F"/>
    <w:rsid w:val="00DA1A42"/>
    <w:rsid w:val="00DA6BF5"/>
    <w:rsid w:val="00DB116D"/>
    <w:rsid w:val="00DB40A4"/>
    <w:rsid w:val="00DC67A9"/>
    <w:rsid w:val="00DC786B"/>
    <w:rsid w:val="00DD096C"/>
    <w:rsid w:val="00DD2167"/>
    <w:rsid w:val="00DD55B2"/>
    <w:rsid w:val="00DE34A8"/>
    <w:rsid w:val="00DF2756"/>
    <w:rsid w:val="00E06EF5"/>
    <w:rsid w:val="00E07BE8"/>
    <w:rsid w:val="00E12298"/>
    <w:rsid w:val="00E13239"/>
    <w:rsid w:val="00E14BDA"/>
    <w:rsid w:val="00E163B8"/>
    <w:rsid w:val="00E16B30"/>
    <w:rsid w:val="00E3008F"/>
    <w:rsid w:val="00E64305"/>
    <w:rsid w:val="00E758B2"/>
    <w:rsid w:val="00E82688"/>
    <w:rsid w:val="00E94C1F"/>
    <w:rsid w:val="00E97AF6"/>
    <w:rsid w:val="00EA2D15"/>
    <w:rsid w:val="00EB0B91"/>
    <w:rsid w:val="00EB5217"/>
    <w:rsid w:val="00EB6FA8"/>
    <w:rsid w:val="00EC2076"/>
    <w:rsid w:val="00EC41DB"/>
    <w:rsid w:val="00EC44B7"/>
    <w:rsid w:val="00EC4793"/>
    <w:rsid w:val="00EC5E5B"/>
    <w:rsid w:val="00ED056C"/>
    <w:rsid w:val="00ED319E"/>
    <w:rsid w:val="00ED55B2"/>
    <w:rsid w:val="00EE020A"/>
    <w:rsid w:val="00EE7B5B"/>
    <w:rsid w:val="00EF0577"/>
    <w:rsid w:val="00EF1A0A"/>
    <w:rsid w:val="00EF2F99"/>
    <w:rsid w:val="00F00FB6"/>
    <w:rsid w:val="00F22136"/>
    <w:rsid w:val="00F31030"/>
    <w:rsid w:val="00F36DEE"/>
    <w:rsid w:val="00F6085C"/>
    <w:rsid w:val="00F63123"/>
    <w:rsid w:val="00F64139"/>
    <w:rsid w:val="00F67707"/>
    <w:rsid w:val="00F712BC"/>
    <w:rsid w:val="00F772BA"/>
    <w:rsid w:val="00F916D5"/>
    <w:rsid w:val="00FA0B9D"/>
    <w:rsid w:val="00FA3302"/>
    <w:rsid w:val="00FA491B"/>
    <w:rsid w:val="00FC3A78"/>
    <w:rsid w:val="00FC3EF7"/>
    <w:rsid w:val="00FD236E"/>
    <w:rsid w:val="00FD446F"/>
    <w:rsid w:val="00FE162A"/>
    <w:rsid w:val="00FE3CB9"/>
    <w:rsid w:val="00FE3EC1"/>
    <w:rsid w:val="00FF2D48"/>
    <w:rsid w:val="00FF61C4"/>
    <w:rsid w:val="00FF6413"/>
    <w:rsid w:val="00FF74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17"/>
  </w:style>
  <w:style w:type="paragraph" w:styleId="Heading1">
    <w:name w:val="heading 1"/>
    <w:basedOn w:val="Normal"/>
    <w:link w:val="Heading1Char"/>
    <w:uiPriority w:val="9"/>
    <w:qFormat/>
    <w:rsid w:val="00521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212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2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2121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1217"/>
    <w:pPr>
      <w:ind w:left="720"/>
      <w:contextualSpacing/>
    </w:pPr>
  </w:style>
  <w:style w:type="paragraph" w:customStyle="1" w:styleId="Default">
    <w:name w:val="Default"/>
    <w:rsid w:val="00521217"/>
    <w:pPr>
      <w:autoSpaceDE w:val="0"/>
      <w:autoSpaceDN w:val="0"/>
      <w:adjustRightInd w:val="0"/>
      <w:spacing w:after="0" w:line="240" w:lineRule="auto"/>
    </w:pPr>
    <w:rPr>
      <w:rFonts w:ascii="Georgia" w:eastAsia="SimSun" w:hAnsi="Georgia" w:cs="Georgia"/>
      <w:color w:val="000000"/>
      <w:sz w:val="24"/>
      <w:szCs w:val="24"/>
      <w:lang w:val="it-IT" w:eastAsia="zh-CN"/>
    </w:rPr>
  </w:style>
  <w:style w:type="paragraph" w:styleId="FootnoteText">
    <w:name w:val="footnote text"/>
    <w:basedOn w:val="Normal"/>
    <w:link w:val="FootnoteTextChar1"/>
    <w:uiPriority w:val="99"/>
    <w:rsid w:val="00521217"/>
    <w:pPr>
      <w:spacing w:after="0" w:line="240" w:lineRule="auto"/>
    </w:pPr>
    <w:rPr>
      <w:rFonts w:ascii="Times New Roman" w:eastAsia="Calibri" w:hAnsi="Times New Roman" w:cs="Times New Roman"/>
      <w:sz w:val="20"/>
      <w:szCs w:val="20"/>
      <w:lang w:val="it-IT"/>
    </w:rPr>
  </w:style>
  <w:style w:type="character" w:customStyle="1" w:styleId="FootnoteTextChar1">
    <w:name w:val="Footnote Text Char1"/>
    <w:link w:val="FootnoteText"/>
    <w:uiPriority w:val="99"/>
    <w:locked/>
    <w:rsid w:val="00521217"/>
    <w:rPr>
      <w:rFonts w:ascii="Times New Roman" w:eastAsia="Calibri" w:hAnsi="Times New Roman" w:cs="Times New Roman"/>
      <w:sz w:val="20"/>
      <w:szCs w:val="20"/>
      <w:lang w:val="it-IT"/>
    </w:rPr>
  </w:style>
  <w:style w:type="character" w:customStyle="1" w:styleId="FootnoteTextChar">
    <w:name w:val="Footnote Text Char"/>
    <w:basedOn w:val="DefaultParagraphFont"/>
    <w:uiPriority w:val="99"/>
    <w:rsid w:val="00521217"/>
    <w:rPr>
      <w:sz w:val="20"/>
      <w:szCs w:val="20"/>
    </w:rPr>
  </w:style>
  <w:style w:type="character" w:customStyle="1" w:styleId="CommentTextChar">
    <w:name w:val="Comment Text Char"/>
    <w:basedOn w:val="DefaultParagraphFont"/>
    <w:link w:val="CommentText"/>
    <w:uiPriority w:val="99"/>
    <w:semiHidden/>
    <w:rsid w:val="00521217"/>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rsid w:val="00521217"/>
    <w:pPr>
      <w:spacing w:after="0" w:line="240" w:lineRule="auto"/>
    </w:pPr>
    <w:rPr>
      <w:rFonts w:ascii="Times New Roman" w:eastAsia="Times New Roman" w:hAnsi="Times New Roman" w:cs="Times New Roman"/>
      <w:sz w:val="20"/>
      <w:szCs w:val="20"/>
      <w:lang w:val="en-US"/>
    </w:rPr>
  </w:style>
  <w:style w:type="character" w:customStyle="1" w:styleId="CommentTextChar1">
    <w:name w:val="Comment Text Char1"/>
    <w:basedOn w:val="DefaultParagraphFont"/>
    <w:uiPriority w:val="99"/>
    <w:semiHidden/>
    <w:rsid w:val="00521217"/>
    <w:rPr>
      <w:sz w:val="20"/>
      <w:szCs w:val="20"/>
    </w:rPr>
  </w:style>
  <w:style w:type="character" w:customStyle="1" w:styleId="StyleFootnoteReference12pt">
    <w:name w:val="Style Footnote Reference + 12 pt"/>
    <w:rsid w:val="00521217"/>
    <w:rPr>
      <w:sz w:val="20"/>
      <w:vertAlign w:val="superscript"/>
    </w:rPr>
  </w:style>
  <w:style w:type="character" w:styleId="FootnoteReference">
    <w:name w:val="footnote reference"/>
    <w:uiPriority w:val="99"/>
    <w:rsid w:val="00521217"/>
    <w:rPr>
      <w:vertAlign w:val="superscript"/>
    </w:rPr>
  </w:style>
  <w:style w:type="character" w:customStyle="1" w:styleId="BalloonTextChar">
    <w:name w:val="Balloon Text Char"/>
    <w:basedOn w:val="DefaultParagraphFont"/>
    <w:link w:val="BalloonText"/>
    <w:uiPriority w:val="99"/>
    <w:semiHidden/>
    <w:rsid w:val="00521217"/>
    <w:rPr>
      <w:rFonts w:ascii="Tahoma" w:hAnsi="Tahoma" w:cs="Tahoma"/>
      <w:sz w:val="16"/>
      <w:szCs w:val="16"/>
    </w:rPr>
  </w:style>
  <w:style w:type="paragraph" w:styleId="BalloonText">
    <w:name w:val="Balloon Text"/>
    <w:basedOn w:val="Normal"/>
    <w:link w:val="BalloonTextChar"/>
    <w:uiPriority w:val="99"/>
    <w:semiHidden/>
    <w:unhideWhenUsed/>
    <w:rsid w:val="00521217"/>
    <w:pPr>
      <w:spacing w:after="0" w:line="240" w:lineRule="auto"/>
    </w:pPr>
    <w:rPr>
      <w:rFonts w:ascii="Tahoma" w:hAnsi="Tahoma" w:cs="Tahoma"/>
      <w:sz w:val="16"/>
      <w:szCs w:val="16"/>
    </w:rPr>
  </w:style>
  <w:style w:type="paragraph" w:styleId="Header">
    <w:name w:val="header"/>
    <w:basedOn w:val="Normal"/>
    <w:link w:val="HeaderChar"/>
    <w:uiPriority w:val="99"/>
    <w:unhideWhenUsed/>
    <w:rsid w:val="00521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217"/>
  </w:style>
  <w:style w:type="paragraph" w:styleId="Footer">
    <w:name w:val="footer"/>
    <w:basedOn w:val="Normal"/>
    <w:link w:val="FooterChar"/>
    <w:uiPriority w:val="99"/>
    <w:unhideWhenUsed/>
    <w:rsid w:val="00521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217"/>
  </w:style>
  <w:style w:type="paragraph" w:customStyle="1" w:styleId="DefaultText">
    <w:name w:val="Default Text"/>
    <w:basedOn w:val="Normal"/>
    <w:link w:val="DefaultTextChar"/>
    <w:rsid w:val="00521217"/>
    <w:pPr>
      <w:widowControl w:val="0"/>
      <w:spacing w:after="0" w:line="240" w:lineRule="auto"/>
    </w:pPr>
    <w:rPr>
      <w:rFonts w:ascii="Times New Roman" w:eastAsia="Times New Roman" w:hAnsi="Times New Roman" w:cs="Times New Roman"/>
      <w:snapToGrid w:val="0"/>
      <w:sz w:val="24"/>
      <w:szCs w:val="24"/>
      <w:lang w:val="en-US" w:eastAsia="it-IT"/>
    </w:rPr>
  </w:style>
  <w:style w:type="character" w:customStyle="1" w:styleId="DefaultTextChar">
    <w:name w:val="Default Text Char"/>
    <w:basedOn w:val="DefaultParagraphFont"/>
    <w:link w:val="DefaultText"/>
    <w:rsid w:val="00521217"/>
    <w:rPr>
      <w:rFonts w:ascii="Times New Roman" w:eastAsia="Times New Roman" w:hAnsi="Times New Roman" w:cs="Times New Roman"/>
      <w:snapToGrid w:val="0"/>
      <w:sz w:val="24"/>
      <w:szCs w:val="24"/>
      <w:lang w:val="en-US" w:eastAsia="it-IT"/>
    </w:rPr>
  </w:style>
  <w:style w:type="paragraph" w:customStyle="1" w:styleId="REF">
    <w:name w:val="REF"/>
    <w:rsid w:val="00521217"/>
    <w:pPr>
      <w:tabs>
        <w:tab w:val="left" w:pos="432"/>
        <w:tab w:val="left" w:pos="576"/>
        <w:tab w:val="left" w:pos="720"/>
        <w:tab w:val="left" w:pos="864"/>
        <w:tab w:val="left" w:pos="1008"/>
        <w:tab w:val="left" w:pos="1152"/>
        <w:tab w:val="left" w:pos="1296"/>
        <w:tab w:val="left" w:pos="1440"/>
      </w:tabs>
      <w:spacing w:after="0" w:line="360" w:lineRule="auto"/>
      <w:ind w:left="389" w:hanging="245"/>
    </w:pPr>
    <w:rPr>
      <w:rFonts w:ascii="Times New Roman" w:eastAsia="Times New Roman" w:hAnsi="Times New Roman" w:cs="Times New Roman"/>
      <w:sz w:val="24"/>
      <w:szCs w:val="20"/>
      <w:lang w:val="en-US"/>
    </w:rPr>
  </w:style>
  <w:style w:type="paragraph" w:customStyle="1" w:styleId="FN">
    <w:name w:val="FN"/>
    <w:basedOn w:val="Normal"/>
    <w:rsid w:val="00521217"/>
    <w:pPr>
      <w:spacing w:before="60" w:after="60" w:line="300" w:lineRule="exact"/>
      <w:ind w:left="245" w:hanging="245"/>
    </w:pPr>
    <w:rPr>
      <w:rFonts w:ascii="Times New Roman" w:eastAsia="Times New Roman" w:hAnsi="Times New Roman" w:cs="Times New Roman"/>
      <w:lang w:val="en-US"/>
    </w:rPr>
  </w:style>
  <w:style w:type="character" w:customStyle="1" w:styleId="st1">
    <w:name w:val="st1"/>
    <w:basedOn w:val="DefaultParagraphFont"/>
    <w:rsid w:val="00521217"/>
  </w:style>
  <w:style w:type="character" w:styleId="Emphasis">
    <w:name w:val="Emphasis"/>
    <w:basedOn w:val="DefaultParagraphFont"/>
    <w:uiPriority w:val="20"/>
    <w:qFormat/>
    <w:rsid w:val="00521217"/>
    <w:rPr>
      <w:i/>
      <w:iCs/>
    </w:rPr>
  </w:style>
  <w:style w:type="character" w:styleId="Strong">
    <w:name w:val="Strong"/>
    <w:basedOn w:val="DefaultParagraphFont"/>
    <w:uiPriority w:val="22"/>
    <w:qFormat/>
    <w:rsid w:val="00521217"/>
    <w:rPr>
      <w:b/>
      <w:bCs/>
      <w:color w:val="646464"/>
    </w:rPr>
  </w:style>
  <w:style w:type="paragraph" w:customStyle="1" w:styleId="Footnotetext0">
    <w:name w:val="Footnote text"/>
    <w:basedOn w:val="FootnoteText"/>
    <w:link w:val="FootnotetextChar0"/>
    <w:rsid w:val="00521217"/>
    <w:pPr>
      <w:spacing w:line="360" w:lineRule="auto"/>
    </w:pPr>
    <w:rPr>
      <w:rFonts w:eastAsia="Times New Roman"/>
      <w:bCs/>
      <w:lang w:val="en-GB"/>
    </w:rPr>
  </w:style>
  <w:style w:type="character" w:customStyle="1" w:styleId="FootnotetextChar0">
    <w:name w:val="Footnote text Char"/>
    <w:basedOn w:val="DefaultParagraphFont"/>
    <w:link w:val="Footnotetext0"/>
    <w:rsid w:val="00521217"/>
    <w:rPr>
      <w:rFonts w:ascii="Times New Roman" w:eastAsia="Times New Roman" w:hAnsi="Times New Roman" w:cs="Times New Roman"/>
      <w:bCs/>
      <w:sz w:val="20"/>
      <w:szCs w:val="20"/>
    </w:rPr>
  </w:style>
  <w:style w:type="character" w:customStyle="1" w:styleId="EndnoteTextChar">
    <w:name w:val="Endnote Text Char"/>
    <w:basedOn w:val="DefaultParagraphFont"/>
    <w:link w:val="EndnoteText"/>
    <w:uiPriority w:val="99"/>
    <w:semiHidden/>
    <w:rsid w:val="00521217"/>
    <w:rPr>
      <w:rFonts w:ascii="Times New Roman" w:eastAsia="Times New Roman" w:hAnsi="Times New Roman" w:cs="Times New Roman"/>
      <w:sz w:val="20"/>
      <w:szCs w:val="20"/>
      <w:lang w:val="it-IT"/>
    </w:rPr>
  </w:style>
  <w:style w:type="paragraph" w:styleId="EndnoteText">
    <w:name w:val="endnote text"/>
    <w:basedOn w:val="Normal"/>
    <w:link w:val="EndnoteTextChar"/>
    <w:uiPriority w:val="99"/>
    <w:semiHidden/>
    <w:unhideWhenUsed/>
    <w:rsid w:val="00521217"/>
    <w:pPr>
      <w:spacing w:after="0" w:line="240" w:lineRule="auto"/>
    </w:pPr>
    <w:rPr>
      <w:rFonts w:ascii="Times New Roman" w:eastAsia="Times New Roman" w:hAnsi="Times New Roman" w:cs="Times New Roman"/>
      <w:sz w:val="20"/>
      <w:szCs w:val="20"/>
      <w:lang w:val="it-IT"/>
    </w:rPr>
  </w:style>
  <w:style w:type="character" w:customStyle="1" w:styleId="EndnoteTextChar1">
    <w:name w:val="Endnote Text Char1"/>
    <w:basedOn w:val="DefaultParagraphFont"/>
    <w:uiPriority w:val="99"/>
    <w:semiHidden/>
    <w:rsid w:val="00521217"/>
    <w:rPr>
      <w:sz w:val="20"/>
      <w:szCs w:val="20"/>
    </w:rPr>
  </w:style>
  <w:style w:type="character" w:customStyle="1" w:styleId="CommentSubjectChar">
    <w:name w:val="Comment Subject Char"/>
    <w:basedOn w:val="CommentTextChar"/>
    <w:link w:val="CommentSubject"/>
    <w:uiPriority w:val="99"/>
    <w:semiHidden/>
    <w:rsid w:val="005212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1217"/>
    <w:pPr>
      <w:spacing w:after="200"/>
    </w:pPr>
  </w:style>
  <w:style w:type="character" w:customStyle="1" w:styleId="CommentSubjectChar1">
    <w:name w:val="Comment Subject Char1"/>
    <w:basedOn w:val="CommentTextChar1"/>
    <w:uiPriority w:val="99"/>
    <w:semiHidden/>
    <w:rsid w:val="00521217"/>
    <w:rPr>
      <w:b/>
      <w:bCs/>
      <w:sz w:val="20"/>
      <w:szCs w:val="20"/>
    </w:rPr>
  </w:style>
  <w:style w:type="paragraph" w:customStyle="1" w:styleId="P1">
    <w:name w:val="P1"/>
    <w:rsid w:val="00521217"/>
    <w:pPr>
      <w:spacing w:after="0" w:line="400" w:lineRule="exact"/>
      <w:ind w:firstLine="432"/>
    </w:pPr>
    <w:rPr>
      <w:rFonts w:ascii="Times New Roman" w:eastAsia="Times New Roman" w:hAnsi="Times New Roman" w:cs="Times New Roman"/>
      <w:sz w:val="24"/>
      <w:szCs w:val="20"/>
      <w:lang w:val="en-US"/>
    </w:rPr>
  </w:style>
  <w:style w:type="character" w:styleId="Hyperlink">
    <w:name w:val="Hyperlink"/>
    <w:basedOn w:val="DefaultParagraphFont"/>
    <w:rsid w:val="00521217"/>
    <w:rPr>
      <w:color w:val="D62226"/>
      <w:u w:val="single"/>
    </w:rPr>
  </w:style>
  <w:style w:type="character" w:customStyle="1" w:styleId="product-dateinfo">
    <w:name w:val="product-dateinfo"/>
    <w:basedOn w:val="DefaultParagraphFont"/>
    <w:rsid w:val="00521217"/>
  </w:style>
  <w:style w:type="character" w:customStyle="1" w:styleId="additionalfields">
    <w:name w:val="additionalfields"/>
    <w:basedOn w:val="DefaultParagraphFont"/>
    <w:rsid w:val="00521217"/>
  </w:style>
  <w:style w:type="character" w:customStyle="1" w:styleId="itemsavailheader">
    <w:name w:val="itemsavailheader"/>
    <w:basedOn w:val="DefaultParagraphFont"/>
    <w:rsid w:val="00521217"/>
  </w:style>
  <w:style w:type="character" w:customStyle="1" w:styleId="refworksexport">
    <w:name w:val="refworksexport"/>
    <w:basedOn w:val="DefaultParagraphFont"/>
    <w:rsid w:val="00521217"/>
  </w:style>
  <w:style w:type="character" w:customStyle="1" w:styleId="endnoteexport">
    <w:name w:val="endnoteexport"/>
    <w:basedOn w:val="DefaultParagraphFont"/>
    <w:rsid w:val="00521217"/>
  </w:style>
  <w:style w:type="character" w:customStyle="1" w:styleId="bookcartitem">
    <w:name w:val="bookcartitem"/>
    <w:basedOn w:val="DefaultParagraphFont"/>
    <w:rsid w:val="00521217"/>
  </w:style>
  <w:style w:type="character" w:customStyle="1" w:styleId="browseanchorwrapper">
    <w:name w:val="browseanchorwrapper"/>
    <w:basedOn w:val="DefaultParagraphFont"/>
    <w:rsid w:val="00521217"/>
  </w:style>
  <w:style w:type="character" w:customStyle="1" w:styleId="itemmediadescription2">
    <w:name w:val="itemmediadescription2"/>
    <w:basedOn w:val="DefaultParagraphFont"/>
    <w:rsid w:val="00521217"/>
    <w:rPr>
      <w:vanish/>
      <w:webHidden w:val="0"/>
      <w:specVanish w:val="0"/>
    </w:rPr>
  </w:style>
  <w:style w:type="character" w:customStyle="1" w:styleId="itemmediayear1">
    <w:name w:val="itemmediayear1"/>
    <w:basedOn w:val="DefaultParagraphFont"/>
    <w:rsid w:val="00521217"/>
    <w:rPr>
      <w:vanish w:val="0"/>
      <w:webHidden w:val="0"/>
      <w:specVanish w:val="0"/>
    </w:rPr>
  </w:style>
  <w:style w:type="character" w:customStyle="1" w:styleId="body">
    <w:name w:val="body"/>
    <w:rsid w:val="00521217"/>
  </w:style>
  <w:style w:type="paragraph" w:customStyle="1" w:styleId="Primarysourcestyle">
    <w:name w:val="Primarysourcestyle"/>
    <w:basedOn w:val="Normal"/>
    <w:rsid w:val="00521217"/>
    <w:pPr>
      <w:spacing w:after="0" w:line="360" w:lineRule="auto"/>
      <w:jc w:val="both"/>
    </w:pPr>
    <w:rPr>
      <w:rFonts w:ascii="Bookman Old Style" w:eastAsia="Times New Roman" w:hAnsi="Bookman Old Style" w:cs="Times New Roman"/>
      <w:sz w:val="24"/>
      <w:szCs w:val="24"/>
      <w:lang w:eastAsia="en-GB"/>
    </w:rPr>
  </w:style>
  <w:style w:type="character" w:styleId="HTMLCite">
    <w:name w:val="HTML Cite"/>
    <w:basedOn w:val="DefaultParagraphFont"/>
    <w:uiPriority w:val="99"/>
    <w:semiHidden/>
    <w:unhideWhenUsed/>
    <w:rsid w:val="00521217"/>
    <w:rPr>
      <w:i/>
      <w:iCs/>
    </w:rPr>
  </w:style>
  <w:style w:type="character" w:customStyle="1" w:styleId="pagefirst">
    <w:name w:val="pagefirst"/>
    <w:basedOn w:val="DefaultParagraphFont"/>
    <w:rsid w:val="00521217"/>
  </w:style>
  <w:style w:type="character" w:customStyle="1" w:styleId="pagelast">
    <w:name w:val="pagelast"/>
    <w:basedOn w:val="DefaultParagraphFont"/>
    <w:rsid w:val="00521217"/>
  </w:style>
  <w:style w:type="character" w:customStyle="1" w:styleId="addmd1">
    <w:name w:val="addmd1"/>
    <w:basedOn w:val="DefaultParagraphFont"/>
    <w:rsid w:val="00521217"/>
    <w:rPr>
      <w:sz w:val="20"/>
      <w:szCs w:val="20"/>
    </w:rPr>
  </w:style>
  <w:style w:type="character" w:customStyle="1" w:styleId="oo1">
    <w:name w:val="oo1"/>
    <w:basedOn w:val="DefaultParagraphFont"/>
    <w:rsid w:val="00521217"/>
    <w:rPr>
      <w:rFonts w:ascii="Georgia" w:hAnsi="Georgia" w:hint="default"/>
      <w:sz w:val="16"/>
      <w:szCs w:val="16"/>
    </w:rPr>
  </w:style>
  <w:style w:type="paragraph" w:styleId="NormalWeb">
    <w:name w:val="Normal (Web)"/>
    <w:basedOn w:val="Normal"/>
    <w:uiPriority w:val="99"/>
    <w:unhideWhenUsed/>
    <w:rsid w:val="00521217"/>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5EA6"/>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17"/>
  </w:style>
  <w:style w:type="paragraph" w:styleId="Heading1">
    <w:name w:val="heading 1"/>
    <w:basedOn w:val="Normal"/>
    <w:link w:val="Heading1Char"/>
    <w:uiPriority w:val="9"/>
    <w:qFormat/>
    <w:rsid w:val="00521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212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2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2121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1217"/>
    <w:pPr>
      <w:ind w:left="720"/>
      <w:contextualSpacing/>
    </w:pPr>
  </w:style>
  <w:style w:type="paragraph" w:customStyle="1" w:styleId="Default">
    <w:name w:val="Default"/>
    <w:rsid w:val="00521217"/>
    <w:pPr>
      <w:autoSpaceDE w:val="0"/>
      <w:autoSpaceDN w:val="0"/>
      <w:adjustRightInd w:val="0"/>
      <w:spacing w:after="0" w:line="240" w:lineRule="auto"/>
    </w:pPr>
    <w:rPr>
      <w:rFonts w:ascii="Georgia" w:eastAsia="SimSun" w:hAnsi="Georgia" w:cs="Georgia"/>
      <w:color w:val="000000"/>
      <w:sz w:val="24"/>
      <w:szCs w:val="24"/>
      <w:lang w:val="it-IT" w:eastAsia="zh-CN"/>
    </w:rPr>
  </w:style>
  <w:style w:type="paragraph" w:styleId="FootnoteText">
    <w:name w:val="footnote text"/>
    <w:basedOn w:val="Normal"/>
    <w:link w:val="FootnoteTextChar1"/>
    <w:uiPriority w:val="99"/>
    <w:rsid w:val="00521217"/>
    <w:pPr>
      <w:spacing w:after="0" w:line="240" w:lineRule="auto"/>
    </w:pPr>
    <w:rPr>
      <w:rFonts w:ascii="Times New Roman" w:eastAsia="Calibri" w:hAnsi="Times New Roman" w:cs="Times New Roman"/>
      <w:sz w:val="20"/>
      <w:szCs w:val="20"/>
      <w:lang w:val="it-IT"/>
    </w:rPr>
  </w:style>
  <w:style w:type="character" w:customStyle="1" w:styleId="FootnoteTextChar1">
    <w:name w:val="Footnote Text Char1"/>
    <w:link w:val="FootnoteText"/>
    <w:uiPriority w:val="99"/>
    <w:locked/>
    <w:rsid w:val="00521217"/>
    <w:rPr>
      <w:rFonts w:ascii="Times New Roman" w:eastAsia="Calibri" w:hAnsi="Times New Roman" w:cs="Times New Roman"/>
      <w:sz w:val="20"/>
      <w:szCs w:val="20"/>
      <w:lang w:val="it-IT"/>
    </w:rPr>
  </w:style>
  <w:style w:type="character" w:customStyle="1" w:styleId="FootnoteTextChar">
    <w:name w:val="Footnote Text Char"/>
    <w:basedOn w:val="DefaultParagraphFont"/>
    <w:uiPriority w:val="99"/>
    <w:rsid w:val="00521217"/>
    <w:rPr>
      <w:sz w:val="20"/>
      <w:szCs w:val="20"/>
    </w:rPr>
  </w:style>
  <w:style w:type="character" w:customStyle="1" w:styleId="CommentTextChar">
    <w:name w:val="Comment Text Char"/>
    <w:basedOn w:val="DefaultParagraphFont"/>
    <w:link w:val="CommentText"/>
    <w:uiPriority w:val="99"/>
    <w:semiHidden/>
    <w:rsid w:val="00521217"/>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rsid w:val="00521217"/>
    <w:pPr>
      <w:spacing w:after="0" w:line="240" w:lineRule="auto"/>
    </w:pPr>
    <w:rPr>
      <w:rFonts w:ascii="Times New Roman" w:eastAsia="Times New Roman" w:hAnsi="Times New Roman" w:cs="Times New Roman"/>
      <w:sz w:val="20"/>
      <w:szCs w:val="20"/>
      <w:lang w:val="en-US"/>
    </w:rPr>
  </w:style>
  <w:style w:type="character" w:customStyle="1" w:styleId="CommentTextChar1">
    <w:name w:val="Comment Text Char1"/>
    <w:basedOn w:val="DefaultParagraphFont"/>
    <w:uiPriority w:val="99"/>
    <w:semiHidden/>
    <w:rsid w:val="00521217"/>
    <w:rPr>
      <w:sz w:val="20"/>
      <w:szCs w:val="20"/>
    </w:rPr>
  </w:style>
  <w:style w:type="character" w:customStyle="1" w:styleId="StyleFootnoteReference12pt">
    <w:name w:val="Style Footnote Reference + 12 pt"/>
    <w:rsid w:val="00521217"/>
    <w:rPr>
      <w:sz w:val="20"/>
      <w:vertAlign w:val="superscript"/>
    </w:rPr>
  </w:style>
  <w:style w:type="character" w:styleId="FootnoteReference">
    <w:name w:val="footnote reference"/>
    <w:uiPriority w:val="99"/>
    <w:rsid w:val="00521217"/>
    <w:rPr>
      <w:vertAlign w:val="superscript"/>
    </w:rPr>
  </w:style>
  <w:style w:type="character" w:customStyle="1" w:styleId="BalloonTextChar">
    <w:name w:val="Balloon Text Char"/>
    <w:basedOn w:val="DefaultParagraphFont"/>
    <w:link w:val="BalloonText"/>
    <w:uiPriority w:val="99"/>
    <w:semiHidden/>
    <w:rsid w:val="00521217"/>
    <w:rPr>
      <w:rFonts w:ascii="Tahoma" w:hAnsi="Tahoma" w:cs="Tahoma"/>
      <w:sz w:val="16"/>
      <w:szCs w:val="16"/>
    </w:rPr>
  </w:style>
  <w:style w:type="paragraph" w:styleId="BalloonText">
    <w:name w:val="Balloon Text"/>
    <w:basedOn w:val="Normal"/>
    <w:link w:val="BalloonTextChar"/>
    <w:uiPriority w:val="99"/>
    <w:semiHidden/>
    <w:unhideWhenUsed/>
    <w:rsid w:val="00521217"/>
    <w:pPr>
      <w:spacing w:after="0" w:line="240" w:lineRule="auto"/>
    </w:pPr>
    <w:rPr>
      <w:rFonts w:ascii="Tahoma" w:hAnsi="Tahoma" w:cs="Tahoma"/>
      <w:sz w:val="16"/>
      <w:szCs w:val="16"/>
    </w:rPr>
  </w:style>
  <w:style w:type="paragraph" w:styleId="Header">
    <w:name w:val="header"/>
    <w:basedOn w:val="Normal"/>
    <w:link w:val="HeaderChar"/>
    <w:uiPriority w:val="99"/>
    <w:unhideWhenUsed/>
    <w:rsid w:val="00521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217"/>
  </w:style>
  <w:style w:type="paragraph" w:styleId="Footer">
    <w:name w:val="footer"/>
    <w:basedOn w:val="Normal"/>
    <w:link w:val="FooterChar"/>
    <w:uiPriority w:val="99"/>
    <w:unhideWhenUsed/>
    <w:rsid w:val="00521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217"/>
  </w:style>
  <w:style w:type="paragraph" w:customStyle="1" w:styleId="DefaultText">
    <w:name w:val="Default Text"/>
    <w:basedOn w:val="Normal"/>
    <w:link w:val="DefaultTextChar"/>
    <w:rsid w:val="00521217"/>
    <w:pPr>
      <w:widowControl w:val="0"/>
      <w:spacing w:after="0" w:line="240" w:lineRule="auto"/>
    </w:pPr>
    <w:rPr>
      <w:rFonts w:ascii="Times New Roman" w:eastAsia="Times New Roman" w:hAnsi="Times New Roman" w:cs="Times New Roman"/>
      <w:snapToGrid w:val="0"/>
      <w:sz w:val="24"/>
      <w:szCs w:val="24"/>
      <w:lang w:val="en-US" w:eastAsia="it-IT"/>
    </w:rPr>
  </w:style>
  <w:style w:type="character" w:customStyle="1" w:styleId="DefaultTextChar">
    <w:name w:val="Default Text Char"/>
    <w:basedOn w:val="DefaultParagraphFont"/>
    <w:link w:val="DefaultText"/>
    <w:rsid w:val="00521217"/>
    <w:rPr>
      <w:rFonts w:ascii="Times New Roman" w:eastAsia="Times New Roman" w:hAnsi="Times New Roman" w:cs="Times New Roman"/>
      <w:snapToGrid w:val="0"/>
      <w:sz w:val="24"/>
      <w:szCs w:val="24"/>
      <w:lang w:val="en-US" w:eastAsia="it-IT"/>
    </w:rPr>
  </w:style>
  <w:style w:type="paragraph" w:customStyle="1" w:styleId="REF">
    <w:name w:val="REF"/>
    <w:rsid w:val="00521217"/>
    <w:pPr>
      <w:tabs>
        <w:tab w:val="left" w:pos="432"/>
        <w:tab w:val="left" w:pos="576"/>
        <w:tab w:val="left" w:pos="720"/>
        <w:tab w:val="left" w:pos="864"/>
        <w:tab w:val="left" w:pos="1008"/>
        <w:tab w:val="left" w:pos="1152"/>
        <w:tab w:val="left" w:pos="1296"/>
        <w:tab w:val="left" w:pos="1440"/>
      </w:tabs>
      <w:spacing w:after="0" w:line="360" w:lineRule="auto"/>
      <w:ind w:left="389" w:hanging="245"/>
    </w:pPr>
    <w:rPr>
      <w:rFonts w:ascii="Times New Roman" w:eastAsia="Times New Roman" w:hAnsi="Times New Roman" w:cs="Times New Roman"/>
      <w:sz w:val="24"/>
      <w:szCs w:val="20"/>
      <w:lang w:val="en-US"/>
    </w:rPr>
  </w:style>
  <w:style w:type="paragraph" w:customStyle="1" w:styleId="FN">
    <w:name w:val="FN"/>
    <w:basedOn w:val="Normal"/>
    <w:rsid w:val="00521217"/>
    <w:pPr>
      <w:spacing w:before="60" w:after="60" w:line="300" w:lineRule="exact"/>
      <w:ind w:left="245" w:hanging="245"/>
    </w:pPr>
    <w:rPr>
      <w:rFonts w:ascii="Times New Roman" w:eastAsia="Times New Roman" w:hAnsi="Times New Roman" w:cs="Times New Roman"/>
      <w:lang w:val="en-US"/>
    </w:rPr>
  </w:style>
  <w:style w:type="character" w:customStyle="1" w:styleId="st1">
    <w:name w:val="st1"/>
    <w:basedOn w:val="DefaultParagraphFont"/>
    <w:rsid w:val="00521217"/>
  </w:style>
  <w:style w:type="character" w:styleId="Emphasis">
    <w:name w:val="Emphasis"/>
    <w:basedOn w:val="DefaultParagraphFont"/>
    <w:uiPriority w:val="20"/>
    <w:qFormat/>
    <w:rsid w:val="00521217"/>
    <w:rPr>
      <w:i/>
      <w:iCs/>
    </w:rPr>
  </w:style>
  <w:style w:type="character" w:styleId="Strong">
    <w:name w:val="Strong"/>
    <w:basedOn w:val="DefaultParagraphFont"/>
    <w:uiPriority w:val="22"/>
    <w:qFormat/>
    <w:rsid w:val="00521217"/>
    <w:rPr>
      <w:b/>
      <w:bCs/>
      <w:color w:val="646464"/>
    </w:rPr>
  </w:style>
  <w:style w:type="paragraph" w:customStyle="1" w:styleId="Footnotetext0">
    <w:name w:val="Footnote text"/>
    <w:basedOn w:val="FootnoteText"/>
    <w:link w:val="FootnotetextChar0"/>
    <w:rsid w:val="00521217"/>
    <w:pPr>
      <w:spacing w:line="360" w:lineRule="auto"/>
    </w:pPr>
    <w:rPr>
      <w:rFonts w:eastAsia="Times New Roman"/>
      <w:bCs/>
      <w:lang w:val="en-GB"/>
    </w:rPr>
  </w:style>
  <w:style w:type="character" w:customStyle="1" w:styleId="FootnotetextChar0">
    <w:name w:val="Footnote text Char"/>
    <w:basedOn w:val="DefaultParagraphFont"/>
    <w:link w:val="Footnotetext0"/>
    <w:rsid w:val="00521217"/>
    <w:rPr>
      <w:rFonts w:ascii="Times New Roman" w:eastAsia="Times New Roman" w:hAnsi="Times New Roman" w:cs="Times New Roman"/>
      <w:bCs/>
      <w:sz w:val="20"/>
      <w:szCs w:val="20"/>
    </w:rPr>
  </w:style>
  <w:style w:type="character" w:customStyle="1" w:styleId="EndnoteTextChar">
    <w:name w:val="Endnote Text Char"/>
    <w:basedOn w:val="DefaultParagraphFont"/>
    <w:link w:val="EndnoteText"/>
    <w:uiPriority w:val="99"/>
    <w:semiHidden/>
    <w:rsid w:val="00521217"/>
    <w:rPr>
      <w:rFonts w:ascii="Times New Roman" w:eastAsia="Times New Roman" w:hAnsi="Times New Roman" w:cs="Times New Roman"/>
      <w:sz w:val="20"/>
      <w:szCs w:val="20"/>
      <w:lang w:val="it-IT"/>
    </w:rPr>
  </w:style>
  <w:style w:type="paragraph" w:styleId="EndnoteText">
    <w:name w:val="endnote text"/>
    <w:basedOn w:val="Normal"/>
    <w:link w:val="EndnoteTextChar"/>
    <w:uiPriority w:val="99"/>
    <w:semiHidden/>
    <w:unhideWhenUsed/>
    <w:rsid w:val="00521217"/>
    <w:pPr>
      <w:spacing w:after="0" w:line="240" w:lineRule="auto"/>
    </w:pPr>
    <w:rPr>
      <w:rFonts w:ascii="Times New Roman" w:eastAsia="Times New Roman" w:hAnsi="Times New Roman" w:cs="Times New Roman"/>
      <w:sz w:val="20"/>
      <w:szCs w:val="20"/>
      <w:lang w:val="it-IT"/>
    </w:rPr>
  </w:style>
  <w:style w:type="character" w:customStyle="1" w:styleId="EndnoteTextChar1">
    <w:name w:val="Endnote Text Char1"/>
    <w:basedOn w:val="DefaultParagraphFont"/>
    <w:uiPriority w:val="99"/>
    <w:semiHidden/>
    <w:rsid w:val="00521217"/>
    <w:rPr>
      <w:sz w:val="20"/>
      <w:szCs w:val="20"/>
    </w:rPr>
  </w:style>
  <w:style w:type="character" w:customStyle="1" w:styleId="CommentSubjectChar">
    <w:name w:val="Comment Subject Char"/>
    <w:basedOn w:val="CommentTextChar"/>
    <w:link w:val="CommentSubject"/>
    <w:uiPriority w:val="99"/>
    <w:semiHidden/>
    <w:rsid w:val="005212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1217"/>
    <w:pPr>
      <w:spacing w:after="200"/>
    </w:pPr>
  </w:style>
  <w:style w:type="character" w:customStyle="1" w:styleId="CommentSubjectChar1">
    <w:name w:val="Comment Subject Char1"/>
    <w:basedOn w:val="CommentTextChar1"/>
    <w:uiPriority w:val="99"/>
    <w:semiHidden/>
    <w:rsid w:val="00521217"/>
    <w:rPr>
      <w:b/>
      <w:bCs/>
      <w:sz w:val="20"/>
      <w:szCs w:val="20"/>
    </w:rPr>
  </w:style>
  <w:style w:type="paragraph" w:customStyle="1" w:styleId="P1">
    <w:name w:val="P1"/>
    <w:rsid w:val="00521217"/>
    <w:pPr>
      <w:spacing w:after="0" w:line="400" w:lineRule="exact"/>
      <w:ind w:firstLine="432"/>
    </w:pPr>
    <w:rPr>
      <w:rFonts w:ascii="Times New Roman" w:eastAsia="Times New Roman" w:hAnsi="Times New Roman" w:cs="Times New Roman"/>
      <w:sz w:val="24"/>
      <w:szCs w:val="20"/>
      <w:lang w:val="en-US"/>
    </w:rPr>
  </w:style>
  <w:style w:type="character" w:styleId="Hyperlink">
    <w:name w:val="Hyperlink"/>
    <w:basedOn w:val="DefaultParagraphFont"/>
    <w:rsid w:val="00521217"/>
    <w:rPr>
      <w:color w:val="D62226"/>
      <w:u w:val="single"/>
    </w:rPr>
  </w:style>
  <w:style w:type="character" w:customStyle="1" w:styleId="product-dateinfo">
    <w:name w:val="product-dateinfo"/>
    <w:basedOn w:val="DefaultParagraphFont"/>
    <w:rsid w:val="00521217"/>
  </w:style>
  <w:style w:type="character" w:customStyle="1" w:styleId="additionalfields">
    <w:name w:val="additionalfields"/>
    <w:basedOn w:val="DefaultParagraphFont"/>
    <w:rsid w:val="00521217"/>
  </w:style>
  <w:style w:type="character" w:customStyle="1" w:styleId="itemsavailheader">
    <w:name w:val="itemsavailheader"/>
    <w:basedOn w:val="DefaultParagraphFont"/>
    <w:rsid w:val="00521217"/>
  </w:style>
  <w:style w:type="character" w:customStyle="1" w:styleId="refworksexport">
    <w:name w:val="refworksexport"/>
    <w:basedOn w:val="DefaultParagraphFont"/>
    <w:rsid w:val="00521217"/>
  </w:style>
  <w:style w:type="character" w:customStyle="1" w:styleId="endnoteexport">
    <w:name w:val="endnoteexport"/>
    <w:basedOn w:val="DefaultParagraphFont"/>
    <w:rsid w:val="00521217"/>
  </w:style>
  <w:style w:type="character" w:customStyle="1" w:styleId="bookcartitem">
    <w:name w:val="bookcartitem"/>
    <w:basedOn w:val="DefaultParagraphFont"/>
    <w:rsid w:val="00521217"/>
  </w:style>
  <w:style w:type="character" w:customStyle="1" w:styleId="browseanchorwrapper">
    <w:name w:val="browseanchorwrapper"/>
    <w:basedOn w:val="DefaultParagraphFont"/>
    <w:rsid w:val="00521217"/>
  </w:style>
  <w:style w:type="character" w:customStyle="1" w:styleId="itemmediadescription2">
    <w:name w:val="itemmediadescription2"/>
    <w:basedOn w:val="DefaultParagraphFont"/>
    <w:rsid w:val="00521217"/>
    <w:rPr>
      <w:vanish/>
      <w:webHidden w:val="0"/>
      <w:specVanish w:val="0"/>
    </w:rPr>
  </w:style>
  <w:style w:type="character" w:customStyle="1" w:styleId="itemmediayear1">
    <w:name w:val="itemmediayear1"/>
    <w:basedOn w:val="DefaultParagraphFont"/>
    <w:rsid w:val="00521217"/>
    <w:rPr>
      <w:vanish w:val="0"/>
      <w:webHidden w:val="0"/>
      <w:specVanish w:val="0"/>
    </w:rPr>
  </w:style>
  <w:style w:type="character" w:customStyle="1" w:styleId="body">
    <w:name w:val="body"/>
    <w:rsid w:val="00521217"/>
  </w:style>
  <w:style w:type="paragraph" w:customStyle="1" w:styleId="Primarysourcestyle">
    <w:name w:val="Primarysourcestyle"/>
    <w:basedOn w:val="Normal"/>
    <w:rsid w:val="00521217"/>
    <w:pPr>
      <w:spacing w:after="0" w:line="360" w:lineRule="auto"/>
      <w:jc w:val="both"/>
    </w:pPr>
    <w:rPr>
      <w:rFonts w:ascii="Bookman Old Style" w:eastAsia="Times New Roman" w:hAnsi="Bookman Old Style" w:cs="Times New Roman"/>
      <w:sz w:val="24"/>
      <w:szCs w:val="24"/>
      <w:lang w:eastAsia="en-GB"/>
    </w:rPr>
  </w:style>
  <w:style w:type="character" w:styleId="HTMLCite">
    <w:name w:val="HTML Cite"/>
    <w:basedOn w:val="DefaultParagraphFont"/>
    <w:uiPriority w:val="99"/>
    <w:semiHidden/>
    <w:unhideWhenUsed/>
    <w:rsid w:val="00521217"/>
    <w:rPr>
      <w:i/>
      <w:iCs/>
    </w:rPr>
  </w:style>
  <w:style w:type="character" w:customStyle="1" w:styleId="pagefirst">
    <w:name w:val="pagefirst"/>
    <w:basedOn w:val="DefaultParagraphFont"/>
    <w:rsid w:val="00521217"/>
  </w:style>
  <w:style w:type="character" w:customStyle="1" w:styleId="pagelast">
    <w:name w:val="pagelast"/>
    <w:basedOn w:val="DefaultParagraphFont"/>
    <w:rsid w:val="00521217"/>
  </w:style>
  <w:style w:type="character" w:customStyle="1" w:styleId="addmd1">
    <w:name w:val="addmd1"/>
    <w:basedOn w:val="DefaultParagraphFont"/>
    <w:rsid w:val="00521217"/>
    <w:rPr>
      <w:sz w:val="20"/>
      <w:szCs w:val="20"/>
    </w:rPr>
  </w:style>
  <w:style w:type="character" w:customStyle="1" w:styleId="oo1">
    <w:name w:val="oo1"/>
    <w:basedOn w:val="DefaultParagraphFont"/>
    <w:rsid w:val="00521217"/>
    <w:rPr>
      <w:rFonts w:ascii="Georgia" w:hAnsi="Georgia" w:hint="default"/>
      <w:sz w:val="16"/>
      <w:szCs w:val="16"/>
    </w:rPr>
  </w:style>
  <w:style w:type="paragraph" w:styleId="NormalWeb">
    <w:name w:val="Normal (Web)"/>
    <w:basedOn w:val="Normal"/>
    <w:uiPriority w:val="99"/>
    <w:unhideWhenUsed/>
    <w:rsid w:val="00521217"/>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5EA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1</Pages>
  <Words>8828</Words>
  <Characters>50320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102</cp:revision>
  <cp:lastPrinted>2015-09-15T08:50:00Z</cp:lastPrinted>
  <dcterms:created xsi:type="dcterms:W3CDTF">2015-03-25T12:51:00Z</dcterms:created>
  <dcterms:modified xsi:type="dcterms:W3CDTF">2015-10-18T10:19:00Z</dcterms:modified>
</cp:coreProperties>
</file>