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F321" w14:textId="0BA7B58C" w:rsidR="00F546DE" w:rsidRPr="002437DD" w:rsidRDefault="00F546DE" w:rsidP="001D728A">
      <w:pPr>
        <w:jc w:val="center"/>
        <w:rPr>
          <w:color w:val="auto"/>
        </w:rPr>
      </w:pPr>
      <w:r w:rsidRPr="002437DD">
        <w:rPr>
          <w:color w:val="auto"/>
        </w:rPr>
        <w:t>Paper for DISCOURSE &amp; COMMUNICATION</w:t>
      </w:r>
    </w:p>
    <w:p w14:paraId="65AC365D" w14:textId="77777777" w:rsidR="00F546DE" w:rsidRPr="002437DD" w:rsidRDefault="00F546DE" w:rsidP="00BB40FF">
      <w:pPr>
        <w:jc w:val="center"/>
        <w:rPr>
          <w:color w:val="auto"/>
        </w:rPr>
      </w:pPr>
    </w:p>
    <w:p w14:paraId="3BEC7AF3" w14:textId="77777777" w:rsidR="001D728A" w:rsidRPr="002437DD" w:rsidRDefault="001D728A" w:rsidP="00BB40FF">
      <w:pPr>
        <w:jc w:val="center"/>
        <w:rPr>
          <w:color w:val="auto"/>
        </w:rPr>
      </w:pPr>
    </w:p>
    <w:p w14:paraId="5E2CA059" w14:textId="4DAB6570" w:rsidR="00EE7D4A" w:rsidRPr="002437DD" w:rsidRDefault="00EE7D4A" w:rsidP="00BB40FF">
      <w:pPr>
        <w:jc w:val="center"/>
        <w:rPr>
          <w:color w:val="auto"/>
        </w:rPr>
      </w:pPr>
      <w:r w:rsidRPr="002437DD">
        <w:rPr>
          <w:color w:val="auto"/>
        </w:rPr>
        <w:t xml:space="preserve">‘MIXING’ AND ‘BENDING’: THE RECONTEXTUALISATION OF DISCOURSES OF SUSTAINABILITY IN INTEGRATED REPORTING </w:t>
      </w:r>
    </w:p>
    <w:p w14:paraId="711067C5" w14:textId="77777777" w:rsidR="00EE7D4A" w:rsidRPr="002437DD" w:rsidRDefault="00EE7D4A" w:rsidP="00BB40FF">
      <w:pPr>
        <w:rPr>
          <w:b/>
          <w:color w:val="auto"/>
        </w:rPr>
      </w:pPr>
    </w:p>
    <w:p w14:paraId="1D69F0EC" w14:textId="02F661EA" w:rsidR="00EE7D4A" w:rsidRPr="002437DD" w:rsidRDefault="00954A55" w:rsidP="00BB40FF">
      <w:pPr>
        <w:jc w:val="center"/>
        <w:rPr>
          <w:i/>
          <w:color w:val="auto"/>
          <w:lang w:val="it-IT"/>
        </w:rPr>
      </w:pPr>
      <w:r w:rsidRPr="002437DD">
        <w:rPr>
          <w:i/>
          <w:color w:val="auto"/>
          <w:lang w:val="it-IT"/>
        </w:rPr>
        <w:t xml:space="preserve">Dr. </w:t>
      </w:r>
      <w:r w:rsidR="00EE7D4A" w:rsidRPr="002437DD">
        <w:rPr>
          <w:i/>
          <w:color w:val="auto"/>
          <w:lang w:val="it-IT"/>
        </w:rPr>
        <w:t xml:space="preserve">Franco Zappettini &amp; </w:t>
      </w:r>
      <w:r w:rsidRPr="002437DD">
        <w:rPr>
          <w:i/>
          <w:color w:val="auto"/>
          <w:lang w:val="it-IT"/>
        </w:rPr>
        <w:t>Prof</w:t>
      </w:r>
      <w:r w:rsidR="001038B6">
        <w:rPr>
          <w:i/>
          <w:color w:val="auto"/>
          <w:lang w:val="it-IT"/>
        </w:rPr>
        <w:t>essor</w:t>
      </w:r>
      <w:r w:rsidRPr="002437DD">
        <w:rPr>
          <w:i/>
          <w:color w:val="auto"/>
          <w:lang w:val="it-IT"/>
        </w:rPr>
        <w:t xml:space="preserve"> </w:t>
      </w:r>
      <w:r w:rsidR="00EE7D4A" w:rsidRPr="002437DD">
        <w:rPr>
          <w:i/>
          <w:color w:val="auto"/>
          <w:lang w:val="it-IT"/>
        </w:rPr>
        <w:t>Jeffrey Unerman</w:t>
      </w:r>
    </w:p>
    <w:p w14:paraId="20F4D968" w14:textId="77777777" w:rsidR="00954A55" w:rsidRPr="002437DD" w:rsidRDefault="00954A55" w:rsidP="00BB40FF">
      <w:pPr>
        <w:jc w:val="center"/>
        <w:rPr>
          <w:i/>
          <w:color w:val="auto"/>
        </w:rPr>
      </w:pPr>
      <w:r w:rsidRPr="002437DD">
        <w:rPr>
          <w:i/>
          <w:color w:val="auto"/>
        </w:rPr>
        <w:t xml:space="preserve">School of Management </w:t>
      </w:r>
    </w:p>
    <w:p w14:paraId="044C470F" w14:textId="6C452A8B" w:rsidR="00EE7D4A" w:rsidRPr="002437DD" w:rsidRDefault="00EE7D4A" w:rsidP="00BB40FF">
      <w:pPr>
        <w:jc w:val="center"/>
        <w:rPr>
          <w:i/>
          <w:color w:val="auto"/>
        </w:rPr>
      </w:pPr>
      <w:r w:rsidRPr="002437DD">
        <w:rPr>
          <w:i/>
          <w:color w:val="auto"/>
        </w:rPr>
        <w:t>Royal Holloway, University of London</w:t>
      </w:r>
    </w:p>
    <w:p w14:paraId="32CCCB38" w14:textId="759CF1CA" w:rsidR="00954A55" w:rsidRPr="002437DD" w:rsidRDefault="00954A55" w:rsidP="00BB40FF">
      <w:pPr>
        <w:jc w:val="center"/>
        <w:rPr>
          <w:i/>
          <w:color w:val="auto"/>
        </w:rPr>
      </w:pPr>
      <w:r w:rsidRPr="002437DD">
        <w:rPr>
          <w:i/>
          <w:color w:val="auto"/>
        </w:rPr>
        <w:t>Egham, Surrey UK TW20 0EX</w:t>
      </w:r>
    </w:p>
    <w:p w14:paraId="7D4EBC33" w14:textId="77777777" w:rsidR="00EE7D4A" w:rsidRPr="002437DD" w:rsidRDefault="00EE7D4A" w:rsidP="00BB40FF">
      <w:pPr>
        <w:jc w:val="center"/>
        <w:rPr>
          <w:i/>
          <w:color w:val="auto"/>
        </w:rPr>
      </w:pPr>
      <w:r w:rsidRPr="002437DD">
        <w:rPr>
          <w:i/>
          <w:color w:val="auto"/>
        </w:rPr>
        <w:t>franco.zappettini@rhul.ac.uk</w:t>
      </w:r>
    </w:p>
    <w:p w14:paraId="5096E1BE" w14:textId="2272C81A" w:rsidR="00EE7D4A" w:rsidRPr="002437DD" w:rsidRDefault="00EE7D4A" w:rsidP="00BB40FF">
      <w:pPr>
        <w:jc w:val="center"/>
        <w:rPr>
          <w:i/>
          <w:color w:val="auto"/>
        </w:rPr>
      </w:pPr>
      <w:r w:rsidRPr="002437DD">
        <w:rPr>
          <w:i/>
          <w:color w:val="auto"/>
        </w:rPr>
        <w:t>jeffrey.unerman@rhul.ac.uk</w:t>
      </w:r>
    </w:p>
    <w:p w14:paraId="475F218C" w14:textId="77777777" w:rsidR="00EE7D4A" w:rsidRPr="002437DD" w:rsidRDefault="00EE7D4A" w:rsidP="00BB40FF">
      <w:pPr>
        <w:rPr>
          <w:color w:val="auto"/>
        </w:rPr>
      </w:pPr>
    </w:p>
    <w:p w14:paraId="516391FD" w14:textId="77777777" w:rsidR="001D728A" w:rsidRPr="002437DD" w:rsidRDefault="001D728A" w:rsidP="00BB40FF">
      <w:pPr>
        <w:rPr>
          <w:color w:val="auto"/>
        </w:rPr>
      </w:pPr>
    </w:p>
    <w:p w14:paraId="73E48979" w14:textId="77777777" w:rsidR="001D728A" w:rsidRPr="002437DD" w:rsidRDefault="001D728A" w:rsidP="00BB40FF">
      <w:pPr>
        <w:rPr>
          <w:color w:val="auto"/>
        </w:rPr>
      </w:pPr>
    </w:p>
    <w:p w14:paraId="217ADCBF" w14:textId="77777777" w:rsidR="001D728A" w:rsidRPr="002437DD" w:rsidRDefault="001D728A" w:rsidP="00BB40FF">
      <w:pPr>
        <w:rPr>
          <w:color w:val="auto"/>
        </w:rPr>
      </w:pPr>
    </w:p>
    <w:p w14:paraId="4EB5FD26" w14:textId="5B93C035" w:rsidR="00F546DE" w:rsidRPr="002437DD" w:rsidRDefault="00F546DE" w:rsidP="00F546DE">
      <w:pPr>
        <w:jc w:val="left"/>
        <w:rPr>
          <w:color w:val="auto"/>
        </w:rPr>
      </w:pPr>
      <w:r w:rsidRPr="002437DD">
        <w:rPr>
          <w:color w:val="auto"/>
        </w:rPr>
        <w:t>Version</w:t>
      </w:r>
      <w:r w:rsidR="001D728A" w:rsidRPr="002437DD">
        <w:rPr>
          <w:color w:val="auto"/>
        </w:rPr>
        <w:t xml:space="preserve"> </w:t>
      </w:r>
      <w:r w:rsidRPr="002437DD">
        <w:rPr>
          <w:color w:val="auto"/>
        </w:rPr>
        <w:t xml:space="preserve">3.1 submitted </w:t>
      </w:r>
      <w:r w:rsidR="00E174FE">
        <w:rPr>
          <w:color w:val="auto"/>
        </w:rPr>
        <w:t>2</w:t>
      </w:r>
      <w:r w:rsidR="00E8048B">
        <w:rPr>
          <w:color w:val="auto"/>
        </w:rPr>
        <w:t>1</w:t>
      </w:r>
      <w:bookmarkStart w:id="0" w:name="_GoBack"/>
      <w:bookmarkEnd w:id="0"/>
      <w:r w:rsidRPr="002437DD">
        <w:rPr>
          <w:color w:val="auto"/>
        </w:rPr>
        <w:t xml:space="preserve"> February 2016</w:t>
      </w:r>
    </w:p>
    <w:p w14:paraId="78BD08F8" w14:textId="77777777" w:rsidR="00F546DE" w:rsidRPr="002437DD" w:rsidRDefault="00F546DE" w:rsidP="00F546DE">
      <w:pPr>
        <w:jc w:val="left"/>
        <w:rPr>
          <w:color w:val="auto"/>
        </w:rPr>
      </w:pPr>
    </w:p>
    <w:p w14:paraId="0408B68F" w14:textId="3BA90AA2" w:rsidR="00F546DE" w:rsidRPr="002437DD" w:rsidRDefault="001D728A" w:rsidP="00F546DE">
      <w:pPr>
        <w:jc w:val="left"/>
        <w:rPr>
          <w:color w:val="auto"/>
        </w:rPr>
      </w:pPr>
      <w:r w:rsidRPr="002437DD">
        <w:rPr>
          <w:color w:val="auto"/>
        </w:rPr>
        <w:t>S</w:t>
      </w:r>
      <w:r w:rsidR="00F546DE" w:rsidRPr="002437DD">
        <w:rPr>
          <w:color w:val="auto"/>
        </w:rPr>
        <w:t xml:space="preserve">hort title for running head: </w:t>
      </w:r>
      <w:r w:rsidR="001A5DD0">
        <w:rPr>
          <w:color w:val="auto"/>
        </w:rPr>
        <w:t>‘</w:t>
      </w:r>
      <w:r w:rsidR="00E174FE">
        <w:rPr>
          <w:color w:val="auto"/>
        </w:rPr>
        <w:t xml:space="preserve">The </w:t>
      </w:r>
      <w:proofErr w:type="spellStart"/>
      <w:r w:rsidR="00E174FE">
        <w:rPr>
          <w:color w:val="auto"/>
        </w:rPr>
        <w:t>Recontextualisation</w:t>
      </w:r>
      <w:proofErr w:type="spellEnd"/>
      <w:r w:rsidR="00E174FE">
        <w:rPr>
          <w:color w:val="auto"/>
        </w:rPr>
        <w:t xml:space="preserve"> o</w:t>
      </w:r>
      <w:r w:rsidR="00F546DE" w:rsidRPr="002437DD">
        <w:rPr>
          <w:color w:val="auto"/>
        </w:rPr>
        <w:t xml:space="preserve">f Sustainability </w:t>
      </w:r>
      <w:r w:rsidR="00E174FE">
        <w:rPr>
          <w:color w:val="auto"/>
        </w:rPr>
        <w:t>i</w:t>
      </w:r>
      <w:r w:rsidR="00F546DE" w:rsidRPr="002437DD">
        <w:rPr>
          <w:color w:val="auto"/>
        </w:rPr>
        <w:t>n Integrated Reporting</w:t>
      </w:r>
      <w:r w:rsidR="001A5DD0">
        <w:rPr>
          <w:color w:val="auto"/>
        </w:rPr>
        <w:t>’</w:t>
      </w:r>
    </w:p>
    <w:p w14:paraId="070E1AFE" w14:textId="77777777" w:rsidR="00F546DE" w:rsidRPr="002437DD" w:rsidRDefault="00F546DE" w:rsidP="00F546DE">
      <w:pPr>
        <w:jc w:val="left"/>
        <w:rPr>
          <w:color w:val="auto"/>
        </w:rPr>
      </w:pPr>
    </w:p>
    <w:p w14:paraId="3CFA1875" w14:textId="616A29CE" w:rsidR="00C66401" w:rsidRDefault="00F546DE" w:rsidP="001D728A">
      <w:pPr>
        <w:jc w:val="left"/>
        <w:rPr>
          <w:color w:val="auto"/>
        </w:rPr>
      </w:pPr>
      <w:r w:rsidRPr="002437DD">
        <w:rPr>
          <w:color w:val="auto"/>
        </w:rPr>
        <w:t xml:space="preserve">Word </w:t>
      </w:r>
      <w:r w:rsidRPr="00072202">
        <w:rPr>
          <w:color w:val="auto"/>
        </w:rPr>
        <w:t xml:space="preserve">count: </w:t>
      </w:r>
      <w:r w:rsidR="000D6C8F" w:rsidRPr="00072202">
        <w:rPr>
          <w:color w:val="auto"/>
        </w:rPr>
        <w:t>9111</w:t>
      </w:r>
    </w:p>
    <w:p w14:paraId="61891146" w14:textId="77777777" w:rsidR="00C66401" w:rsidRPr="002437DD" w:rsidRDefault="00C66401" w:rsidP="00BB40FF">
      <w:pPr>
        <w:rPr>
          <w:color w:val="auto"/>
        </w:rPr>
      </w:pPr>
    </w:p>
    <w:p w14:paraId="6268A34A" w14:textId="77777777" w:rsidR="00C66401" w:rsidRPr="002437DD" w:rsidRDefault="00C66401" w:rsidP="00BB40FF">
      <w:pPr>
        <w:rPr>
          <w:color w:val="auto"/>
        </w:rPr>
      </w:pPr>
    </w:p>
    <w:p w14:paraId="634D2732" w14:textId="21E596C9" w:rsidR="00C66401" w:rsidRPr="002437DD" w:rsidRDefault="00C66401">
      <w:pPr>
        <w:spacing w:line="240" w:lineRule="auto"/>
        <w:jc w:val="left"/>
        <w:rPr>
          <w:color w:val="auto"/>
        </w:rPr>
      </w:pPr>
      <w:r w:rsidRPr="002437DD">
        <w:rPr>
          <w:color w:val="auto"/>
        </w:rPr>
        <w:br w:type="page"/>
      </w:r>
    </w:p>
    <w:p w14:paraId="7FD66CE4" w14:textId="77777777" w:rsidR="00C66401" w:rsidRPr="002437DD" w:rsidRDefault="00C66401" w:rsidP="00BB40FF">
      <w:pPr>
        <w:rPr>
          <w:color w:val="auto"/>
        </w:rPr>
      </w:pPr>
    </w:p>
    <w:p w14:paraId="5DFAC897" w14:textId="284DBE7E" w:rsidR="00EE7D4A" w:rsidRPr="002437DD" w:rsidRDefault="00F546DE" w:rsidP="00BB40FF">
      <w:pPr>
        <w:rPr>
          <w:color w:val="auto"/>
        </w:rPr>
      </w:pPr>
      <w:r w:rsidRPr="002437DD">
        <w:rPr>
          <w:color w:val="auto"/>
        </w:rPr>
        <w:t>ABSTRAC</w:t>
      </w:r>
      <w:r w:rsidR="00EE7D4A" w:rsidRPr="002437DD">
        <w:rPr>
          <w:color w:val="auto"/>
        </w:rPr>
        <w:t>T</w:t>
      </w:r>
    </w:p>
    <w:p w14:paraId="78EE22C4" w14:textId="2BAC6830" w:rsidR="00EE7D4A" w:rsidRPr="002437DD" w:rsidRDefault="00EE7D4A" w:rsidP="00BB40FF">
      <w:pPr>
        <w:rPr>
          <w:color w:val="auto"/>
        </w:rPr>
      </w:pPr>
      <w:r w:rsidRPr="002437DD">
        <w:rPr>
          <w:color w:val="auto"/>
        </w:rPr>
        <w:t xml:space="preserve">Since their emergence, discourses of sustainability have been widely </w:t>
      </w:r>
      <w:proofErr w:type="spellStart"/>
      <w:r w:rsidRPr="002437DD">
        <w:rPr>
          <w:color w:val="auto"/>
        </w:rPr>
        <w:t>resemioticised</w:t>
      </w:r>
      <w:proofErr w:type="spellEnd"/>
      <w:r w:rsidRPr="002437DD">
        <w:rPr>
          <w:color w:val="auto"/>
        </w:rPr>
        <w:t xml:space="preserve"> in different genres and have intertextually merged with other discourses and practices. This paper examines the emergence of Integrated Report (IR) as a new hybrid genre in which, along with financial information, organisations may choose to report the social and environmental impacts of their activities in one single document.  Specifically, this paper analyses a selected sample of IRs produced by early adopters to explore how discourses of sustainability have been </w:t>
      </w:r>
      <w:proofErr w:type="spellStart"/>
      <w:r w:rsidRPr="002437DD">
        <w:rPr>
          <w:color w:val="auto"/>
        </w:rPr>
        <w:t>recontextualised</w:t>
      </w:r>
      <w:proofErr w:type="spellEnd"/>
      <w:r w:rsidRPr="002437DD">
        <w:rPr>
          <w:color w:val="auto"/>
        </w:rPr>
        <w:t xml:space="preserve"> into financial and economic macro discourses and how different </w:t>
      </w:r>
      <w:proofErr w:type="spellStart"/>
      <w:r w:rsidRPr="002437DD">
        <w:rPr>
          <w:color w:val="auto"/>
        </w:rPr>
        <w:t>intertextual</w:t>
      </w:r>
      <w:proofErr w:type="spellEnd"/>
      <w:r w:rsidRPr="002437DD">
        <w:rPr>
          <w:color w:val="auto"/>
        </w:rPr>
        <w:t>/</w:t>
      </w:r>
      <w:proofErr w:type="spellStart"/>
      <w:r w:rsidRPr="002437DD">
        <w:rPr>
          <w:color w:val="auto"/>
        </w:rPr>
        <w:t>interdiscursive</w:t>
      </w:r>
      <w:proofErr w:type="spellEnd"/>
      <w:r w:rsidRPr="002437DD">
        <w:rPr>
          <w:color w:val="auto"/>
        </w:rPr>
        <w:t xml:space="preserve"> relations have played out in linguistic constructions of ‘sustainability’. We contend that, by and large, the term sustainability has been appropriated, mixed with other discourses and semantically ‘bent’ to construct the organization itself as being financially sustainable i.e. viable and profitable and for the primary benefit of shareholders</w:t>
      </w:r>
      <w:r w:rsidR="00502845">
        <w:rPr>
          <w:color w:val="auto"/>
        </w:rPr>
        <w:t xml:space="preserve">. </w:t>
      </w:r>
      <w:r w:rsidRPr="002437DD">
        <w:rPr>
          <w:color w:val="auto"/>
        </w:rPr>
        <w:t xml:space="preserve">From this stance, we </w:t>
      </w:r>
      <w:r w:rsidR="00502845">
        <w:rPr>
          <w:color w:val="auto"/>
        </w:rPr>
        <w:t xml:space="preserve">argue that, through the hybridity of IR, </w:t>
      </w:r>
      <w:r w:rsidR="00CF520C">
        <w:rPr>
          <w:color w:val="auto"/>
        </w:rPr>
        <w:t xml:space="preserve">most </w:t>
      </w:r>
      <w:r w:rsidR="00502845">
        <w:rPr>
          <w:color w:val="auto"/>
        </w:rPr>
        <w:t>companies have primarily colonized discourses of sustainability for the rhetorical purpose of self- legitimation</w:t>
      </w:r>
      <w:r w:rsidR="00502845" w:rsidRPr="002437DD">
        <w:rPr>
          <w:color w:val="auto"/>
        </w:rPr>
        <w:t xml:space="preserve">. </w:t>
      </w:r>
    </w:p>
    <w:p w14:paraId="394064E0" w14:textId="77777777" w:rsidR="007C232D" w:rsidRPr="002437DD" w:rsidRDefault="007C232D" w:rsidP="00BB40FF">
      <w:pPr>
        <w:rPr>
          <w:color w:val="auto"/>
        </w:rPr>
      </w:pPr>
    </w:p>
    <w:p w14:paraId="3A87483A" w14:textId="40D2BB59" w:rsidR="00C66401" w:rsidRPr="002437DD" w:rsidRDefault="007C232D" w:rsidP="00BB40FF">
      <w:pPr>
        <w:rPr>
          <w:color w:val="auto"/>
        </w:rPr>
      </w:pPr>
      <w:r w:rsidRPr="002437DD">
        <w:rPr>
          <w:color w:val="auto"/>
        </w:rPr>
        <w:t xml:space="preserve">Keywords: </w:t>
      </w:r>
      <w:proofErr w:type="spellStart"/>
      <w:r w:rsidRPr="002437DD">
        <w:rPr>
          <w:color w:val="auto"/>
        </w:rPr>
        <w:t>Recontextualisation</w:t>
      </w:r>
      <w:proofErr w:type="spellEnd"/>
      <w:r w:rsidR="0078691F" w:rsidRPr="002437DD">
        <w:rPr>
          <w:color w:val="auto"/>
        </w:rPr>
        <w:t xml:space="preserve">, </w:t>
      </w:r>
      <w:proofErr w:type="spellStart"/>
      <w:r w:rsidR="0078691F" w:rsidRPr="002437DD">
        <w:rPr>
          <w:color w:val="auto"/>
        </w:rPr>
        <w:t>Interdiscursivity</w:t>
      </w:r>
      <w:proofErr w:type="spellEnd"/>
      <w:r w:rsidR="0078691F" w:rsidRPr="002437DD">
        <w:rPr>
          <w:color w:val="auto"/>
        </w:rPr>
        <w:t xml:space="preserve">, </w:t>
      </w:r>
      <w:r w:rsidR="001B2C24">
        <w:rPr>
          <w:color w:val="auto"/>
        </w:rPr>
        <w:t xml:space="preserve">Genre Analysis, </w:t>
      </w:r>
      <w:r w:rsidR="0078691F" w:rsidRPr="002437DD">
        <w:rPr>
          <w:color w:val="auto"/>
        </w:rPr>
        <w:t xml:space="preserve">Sustainability, </w:t>
      </w:r>
      <w:r w:rsidR="00745FEC">
        <w:rPr>
          <w:color w:val="auto"/>
        </w:rPr>
        <w:t xml:space="preserve">Accountability, </w:t>
      </w:r>
      <w:r w:rsidRPr="002437DD">
        <w:rPr>
          <w:color w:val="auto"/>
        </w:rPr>
        <w:t xml:space="preserve">Corporate </w:t>
      </w:r>
      <w:r w:rsidR="0078691F">
        <w:rPr>
          <w:color w:val="auto"/>
        </w:rPr>
        <w:t>S</w:t>
      </w:r>
      <w:r w:rsidRPr="002437DD">
        <w:rPr>
          <w:color w:val="auto"/>
        </w:rPr>
        <w:t xml:space="preserve">ocial </w:t>
      </w:r>
      <w:r w:rsidR="0078691F">
        <w:rPr>
          <w:color w:val="auto"/>
        </w:rPr>
        <w:t>R</w:t>
      </w:r>
      <w:r w:rsidRPr="002437DD">
        <w:rPr>
          <w:color w:val="auto"/>
        </w:rPr>
        <w:t>esponsibility</w:t>
      </w:r>
      <w:r w:rsidR="0078691F" w:rsidRPr="002437DD">
        <w:rPr>
          <w:color w:val="auto"/>
        </w:rPr>
        <w:t>, Accounting, Integrated Reporting</w:t>
      </w:r>
      <w:r w:rsidR="001B2C24">
        <w:rPr>
          <w:color w:val="auto"/>
        </w:rPr>
        <w:t>, Hybridity, C</w:t>
      </w:r>
      <w:r w:rsidR="00A95CA0">
        <w:rPr>
          <w:color w:val="auto"/>
        </w:rPr>
        <w:t xml:space="preserve">ritical </w:t>
      </w:r>
      <w:r w:rsidR="001B2C24">
        <w:rPr>
          <w:color w:val="auto"/>
        </w:rPr>
        <w:t>D</w:t>
      </w:r>
      <w:r w:rsidR="00A95CA0">
        <w:rPr>
          <w:color w:val="auto"/>
        </w:rPr>
        <w:t xml:space="preserve">iscourse </w:t>
      </w:r>
      <w:r w:rsidR="001B2C24">
        <w:rPr>
          <w:color w:val="auto"/>
        </w:rPr>
        <w:t>A</w:t>
      </w:r>
      <w:r w:rsidR="00A95CA0">
        <w:rPr>
          <w:color w:val="auto"/>
        </w:rPr>
        <w:t>nalysis</w:t>
      </w:r>
      <w:r w:rsidR="00E2300A">
        <w:rPr>
          <w:color w:val="auto"/>
        </w:rPr>
        <w:t>, Discourse Historical Approach</w:t>
      </w:r>
      <w:r w:rsidR="000D6C8F">
        <w:rPr>
          <w:color w:val="auto"/>
        </w:rPr>
        <w:t>, Semantic Bending, Financial Communication</w:t>
      </w:r>
      <w:r w:rsidR="0078691F" w:rsidRPr="002437DD">
        <w:rPr>
          <w:color w:val="auto"/>
        </w:rPr>
        <w:t>.</w:t>
      </w:r>
    </w:p>
    <w:p w14:paraId="72EAA2CC" w14:textId="77777777" w:rsidR="00C66401" w:rsidRPr="002437DD" w:rsidRDefault="00C66401" w:rsidP="00BB40FF">
      <w:pPr>
        <w:rPr>
          <w:color w:val="auto"/>
        </w:rPr>
      </w:pPr>
    </w:p>
    <w:p w14:paraId="2D0F5D9C" w14:textId="3AD0B39C" w:rsidR="00C66401" w:rsidRPr="002437DD" w:rsidRDefault="00C66401" w:rsidP="00C66401">
      <w:pPr>
        <w:rPr>
          <w:color w:val="auto"/>
        </w:rPr>
      </w:pPr>
      <w:r w:rsidRPr="002437DD">
        <w:rPr>
          <w:color w:val="auto"/>
        </w:rPr>
        <w:br w:type="page"/>
      </w:r>
      <w:r w:rsidRPr="002437DD">
        <w:rPr>
          <w:color w:val="auto"/>
        </w:rPr>
        <w:lastRenderedPageBreak/>
        <w:t>Short bio</w:t>
      </w:r>
      <w:r w:rsidR="00E41C6E">
        <w:rPr>
          <w:color w:val="auto"/>
        </w:rPr>
        <w:t xml:space="preserve"> </w:t>
      </w:r>
      <w:r w:rsidRPr="002437DD">
        <w:rPr>
          <w:color w:val="auto"/>
        </w:rPr>
        <w:t>not</w:t>
      </w:r>
      <w:r w:rsidR="00E2300A">
        <w:rPr>
          <w:color w:val="auto"/>
        </w:rPr>
        <w:t>e</w:t>
      </w:r>
      <w:r w:rsidR="005B23CA">
        <w:rPr>
          <w:color w:val="auto"/>
        </w:rPr>
        <w:t>s</w:t>
      </w:r>
      <w:r w:rsidR="00E2300A">
        <w:rPr>
          <w:color w:val="auto"/>
        </w:rPr>
        <w:t xml:space="preserve"> </w:t>
      </w:r>
    </w:p>
    <w:p w14:paraId="26921F02" w14:textId="77777777" w:rsidR="00C66401" w:rsidRPr="002437DD" w:rsidRDefault="00C66401" w:rsidP="00C66401">
      <w:pPr>
        <w:rPr>
          <w:color w:val="auto"/>
        </w:rPr>
      </w:pPr>
    </w:p>
    <w:p w14:paraId="4EBC5449" w14:textId="76BAC158" w:rsidR="00C66401" w:rsidRPr="002437DD" w:rsidRDefault="00702055" w:rsidP="00C66401">
      <w:pPr>
        <w:rPr>
          <w:color w:val="auto"/>
        </w:rPr>
      </w:pPr>
      <w:r>
        <w:rPr>
          <w:color w:val="auto"/>
        </w:rPr>
        <w:t xml:space="preserve">Franco Zappettini is a Researcher in the School of Management at Royal Holloway </w:t>
      </w:r>
      <w:r w:rsidR="00DA51DB">
        <w:rPr>
          <w:color w:val="auto"/>
        </w:rPr>
        <w:t xml:space="preserve">where he </w:t>
      </w:r>
      <w:r w:rsidR="001B4EA7">
        <w:rPr>
          <w:color w:val="auto"/>
        </w:rPr>
        <w:t>co-</w:t>
      </w:r>
      <w:r>
        <w:rPr>
          <w:color w:val="auto"/>
        </w:rPr>
        <w:t>investigat</w:t>
      </w:r>
      <w:r w:rsidR="00DA51DB">
        <w:rPr>
          <w:color w:val="auto"/>
        </w:rPr>
        <w:t>es</w:t>
      </w:r>
      <w:r>
        <w:rPr>
          <w:color w:val="auto"/>
        </w:rPr>
        <w:t xml:space="preserve"> </w:t>
      </w:r>
      <w:r w:rsidR="001B4EA7">
        <w:rPr>
          <w:color w:val="auto"/>
        </w:rPr>
        <w:t>with Prof</w:t>
      </w:r>
      <w:r w:rsidR="00E96F99">
        <w:rPr>
          <w:color w:val="auto"/>
        </w:rPr>
        <w:t>essor</w:t>
      </w:r>
      <w:r w:rsidR="001B4EA7">
        <w:rPr>
          <w:color w:val="auto"/>
        </w:rPr>
        <w:t xml:space="preserve"> Unerman </w:t>
      </w:r>
      <w:r>
        <w:rPr>
          <w:color w:val="auto"/>
        </w:rPr>
        <w:t xml:space="preserve">the construction of sustainability in organisational discourses and accounting practices. He holds a PhD in Applied Linguistics from the </w:t>
      </w:r>
      <w:r w:rsidR="00DA51DB">
        <w:rPr>
          <w:color w:val="auto"/>
        </w:rPr>
        <w:t>U</w:t>
      </w:r>
      <w:r>
        <w:rPr>
          <w:color w:val="auto"/>
        </w:rPr>
        <w:t xml:space="preserve">niversity of London. </w:t>
      </w:r>
      <w:r w:rsidR="001B4EA7">
        <w:rPr>
          <w:color w:val="auto"/>
        </w:rPr>
        <w:t>He is also a Guest L</w:t>
      </w:r>
      <w:r w:rsidR="006103B2">
        <w:rPr>
          <w:color w:val="auto"/>
        </w:rPr>
        <w:t>ecturer of English in the Department of Education at the University of Genoa, Italy.</w:t>
      </w:r>
      <w:r w:rsidR="001B4EA7">
        <w:rPr>
          <w:color w:val="auto"/>
        </w:rPr>
        <w:t xml:space="preserve"> </w:t>
      </w:r>
      <w:r w:rsidR="00DA51DB">
        <w:rPr>
          <w:color w:val="auto"/>
        </w:rPr>
        <w:t xml:space="preserve">He has published </w:t>
      </w:r>
      <w:r w:rsidR="001B4EA7">
        <w:rPr>
          <w:color w:val="auto"/>
        </w:rPr>
        <w:t xml:space="preserve">in discourse journals </w:t>
      </w:r>
      <w:r w:rsidR="00DA51DB">
        <w:rPr>
          <w:color w:val="auto"/>
        </w:rPr>
        <w:t xml:space="preserve">on the subjects of language, </w:t>
      </w:r>
      <w:r w:rsidR="001B4EA7">
        <w:rPr>
          <w:color w:val="auto"/>
        </w:rPr>
        <w:t xml:space="preserve">European </w:t>
      </w:r>
      <w:r w:rsidR="00DA51DB">
        <w:rPr>
          <w:color w:val="auto"/>
        </w:rPr>
        <w:t>identity, and transnationalism.</w:t>
      </w:r>
    </w:p>
    <w:p w14:paraId="29FA5614" w14:textId="77777777" w:rsidR="00C66401" w:rsidRPr="002437DD" w:rsidRDefault="00C66401" w:rsidP="00C66401">
      <w:pPr>
        <w:rPr>
          <w:color w:val="auto"/>
        </w:rPr>
      </w:pPr>
    </w:p>
    <w:p w14:paraId="7AC4A56C" w14:textId="5F09CB3B" w:rsidR="00C66401" w:rsidRPr="002437DD" w:rsidRDefault="00702055" w:rsidP="001B4EA7">
      <w:pPr>
        <w:rPr>
          <w:color w:val="auto"/>
        </w:rPr>
      </w:pPr>
      <w:r w:rsidRPr="00702055">
        <w:rPr>
          <w:color w:val="auto"/>
        </w:rPr>
        <w:t>Jeffrey Unerman is Professor of Accounting and Corporate Accountability and Head of the School of Management at Royal Holloway, University of London. His research and public policy work focuses on the role of accounting and accountability practices in helping organi</w:t>
      </w:r>
      <w:r w:rsidR="001B4EA7">
        <w:rPr>
          <w:color w:val="auto"/>
        </w:rPr>
        <w:t>zations become more sustainable</w:t>
      </w:r>
      <w:r w:rsidRPr="00702055">
        <w:rPr>
          <w:color w:val="auto"/>
        </w:rPr>
        <w:t>.</w:t>
      </w:r>
      <w:r w:rsidR="00DA51DB">
        <w:rPr>
          <w:color w:val="auto"/>
        </w:rPr>
        <w:t xml:space="preserve"> </w:t>
      </w:r>
      <w:r w:rsidR="001B4EA7">
        <w:rPr>
          <w:color w:val="auto"/>
        </w:rPr>
        <w:t>He has published extensively on accountability and sustainability issues in world’s leading</w:t>
      </w:r>
      <w:r w:rsidR="004037E0">
        <w:rPr>
          <w:color w:val="auto"/>
        </w:rPr>
        <w:t xml:space="preserve"> accounting academic</w:t>
      </w:r>
      <w:r w:rsidR="001B4EA7">
        <w:rPr>
          <w:color w:val="auto"/>
        </w:rPr>
        <w:t xml:space="preserve"> journals and in books. </w:t>
      </w:r>
    </w:p>
    <w:p w14:paraId="6AABDA51" w14:textId="77777777" w:rsidR="004037E0" w:rsidRDefault="004037E0">
      <w:pPr>
        <w:spacing w:line="240" w:lineRule="auto"/>
        <w:jc w:val="left"/>
        <w:rPr>
          <w:rFonts w:eastAsiaTheme="majorEastAsia" w:cstheme="majorBidi"/>
          <w:b/>
          <w:bCs/>
          <w:color w:val="auto"/>
          <w:sz w:val="28"/>
          <w:szCs w:val="28"/>
        </w:rPr>
      </w:pPr>
      <w:r>
        <w:rPr>
          <w:color w:val="auto"/>
        </w:rPr>
        <w:br w:type="page"/>
      </w:r>
    </w:p>
    <w:p w14:paraId="45FB5EE7" w14:textId="7BA53E61" w:rsidR="00EE7D4A" w:rsidRPr="002437DD" w:rsidRDefault="00EE7D4A" w:rsidP="00CB272D">
      <w:pPr>
        <w:pStyle w:val="Heading1"/>
        <w:rPr>
          <w:color w:val="auto"/>
        </w:rPr>
      </w:pPr>
      <w:r w:rsidRPr="002437DD">
        <w:rPr>
          <w:color w:val="auto"/>
        </w:rPr>
        <w:lastRenderedPageBreak/>
        <w:t>Introduction: the genesis of discourses of sustainability and the emerge</w:t>
      </w:r>
      <w:r w:rsidR="00E174FE">
        <w:rPr>
          <w:color w:val="auto"/>
        </w:rPr>
        <w:t>nce of Integrated Reporting</w:t>
      </w:r>
      <w:r w:rsidRPr="002437DD">
        <w:rPr>
          <w:color w:val="auto"/>
        </w:rPr>
        <w:t xml:space="preserve"> as a hybrid genre </w:t>
      </w:r>
    </w:p>
    <w:p w14:paraId="5774A327" w14:textId="77777777" w:rsidR="00EE7D4A" w:rsidRPr="002437DD" w:rsidRDefault="00EE7D4A" w:rsidP="00BB40FF">
      <w:pPr>
        <w:rPr>
          <w:color w:val="auto"/>
        </w:rPr>
      </w:pPr>
    </w:p>
    <w:p w14:paraId="33106EFD" w14:textId="2BD952A7" w:rsidR="00EE7D4A" w:rsidRPr="002437DD" w:rsidRDefault="00EE7D4A" w:rsidP="002437DD">
      <w:r w:rsidRPr="002437DD">
        <w:rPr>
          <w:color w:val="auto"/>
        </w:rPr>
        <w:t xml:space="preserve">Early records of terms equivalent to sustainability are found in the context of forest resources management in the German </w:t>
      </w:r>
      <w:proofErr w:type="spellStart"/>
      <w:r w:rsidRPr="002437DD">
        <w:rPr>
          <w:i/>
          <w:color w:val="auto"/>
        </w:rPr>
        <w:t>Nachhaltigkeit</w:t>
      </w:r>
      <w:proofErr w:type="spellEnd"/>
      <w:r w:rsidRPr="002437DD">
        <w:rPr>
          <w:color w:val="auto"/>
        </w:rPr>
        <w:t xml:space="preserve"> or ‘lastingness’ (von </w:t>
      </w:r>
      <w:proofErr w:type="spellStart"/>
      <w:r w:rsidRPr="002437DD">
        <w:rPr>
          <w:color w:val="auto"/>
        </w:rPr>
        <w:t>Carlowitz</w:t>
      </w:r>
      <w:proofErr w:type="spellEnd"/>
      <w:r w:rsidRPr="002437DD">
        <w:rPr>
          <w:color w:val="auto"/>
        </w:rPr>
        <w:t xml:space="preserve"> 1713 quoted in Van </w:t>
      </w:r>
      <w:proofErr w:type="spellStart"/>
      <w:r w:rsidRPr="002437DD">
        <w:rPr>
          <w:color w:val="auto"/>
        </w:rPr>
        <w:t>Zon</w:t>
      </w:r>
      <w:proofErr w:type="spellEnd"/>
      <w:r w:rsidRPr="002437DD">
        <w:rPr>
          <w:color w:val="auto"/>
        </w:rPr>
        <w:t xml:space="preserve">, 2002), in the French </w:t>
      </w:r>
      <w:proofErr w:type="spellStart"/>
      <w:r w:rsidRPr="002437DD">
        <w:rPr>
          <w:i/>
          <w:color w:val="auto"/>
        </w:rPr>
        <w:t>durabilite</w:t>
      </w:r>
      <w:proofErr w:type="spellEnd"/>
      <w:r w:rsidRPr="002437DD">
        <w:rPr>
          <w:i/>
          <w:color w:val="auto"/>
        </w:rPr>
        <w:t>´</w:t>
      </w:r>
      <w:r w:rsidRPr="002437DD">
        <w:rPr>
          <w:color w:val="auto"/>
        </w:rPr>
        <w:t xml:space="preserve"> and the Dutch </w:t>
      </w:r>
      <w:proofErr w:type="spellStart"/>
      <w:r w:rsidRPr="002437DD">
        <w:rPr>
          <w:i/>
          <w:color w:val="auto"/>
        </w:rPr>
        <w:t>duurzaamheid</w:t>
      </w:r>
      <w:proofErr w:type="spellEnd"/>
      <w:r w:rsidRPr="002437DD">
        <w:rPr>
          <w:color w:val="auto"/>
        </w:rPr>
        <w:t xml:space="preserve"> (Van </w:t>
      </w:r>
      <w:proofErr w:type="spellStart"/>
      <w:r w:rsidRPr="002437DD">
        <w:rPr>
          <w:color w:val="auto"/>
        </w:rPr>
        <w:t>Zon</w:t>
      </w:r>
      <w:proofErr w:type="spellEnd"/>
      <w:r w:rsidR="00E2300A">
        <w:rPr>
          <w:color w:val="auto"/>
        </w:rPr>
        <w:t>,</w:t>
      </w:r>
      <w:r w:rsidRPr="002437DD">
        <w:rPr>
          <w:color w:val="auto"/>
        </w:rPr>
        <w:t xml:space="preserve"> 2002).</w:t>
      </w:r>
      <w:r w:rsidR="002437DD" w:rsidRPr="002437DD">
        <w:rPr>
          <w:color w:val="auto"/>
        </w:rPr>
        <w:t xml:space="preserve"> </w:t>
      </w:r>
      <w:r w:rsidRPr="002437DD">
        <w:t xml:space="preserve">Whilst in English, the term sustainable has been used in the sense of ‘bearable’ since 1610s and in the sense of ‘defensible’ since 1845, the meaning of </w:t>
      </w:r>
      <w:r w:rsidR="00DA51DB">
        <w:t>‘</w:t>
      </w:r>
      <w:r w:rsidRPr="00DA51DB">
        <w:t>capable of being continued at a certain level</w:t>
      </w:r>
      <w:r w:rsidR="00DA51DB">
        <w:t>’</w:t>
      </w:r>
      <w:r w:rsidRPr="002437DD">
        <w:t xml:space="preserve"> made its first appearance in 1965 (Oxford English Dictionary). Du </w:t>
      </w:r>
      <w:proofErr w:type="spellStart"/>
      <w:r w:rsidRPr="002437DD">
        <w:t>Pisani</w:t>
      </w:r>
      <w:proofErr w:type="spellEnd"/>
      <w:r w:rsidRPr="002437DD">
        <w:t xml:space="preserve"> (2007) sees this latest use of </w:t>
      </w:r>
      <w:r w:rsidR="00E2300A">
        <w:t>the term ‘</w:t>
      </w:r>
      <w:r w:rsidRPr="00DA51DB">
        <w:t>sustainable</w:t>
      </w:r>
      <w:r w:rsidR="00E2300A">
        <w:t>’</w:t>
      </w:r>
      <w:r w:rsidRPr="002437DD">
        <w:t xml:space="preserve"> historically emerging as a counter discourse to the Enlightenment narrative of progress and modernity that has been appropriated since the 18</w:t>
      </w:r>
      <w:r w:rsidRPr="002437DD">
        <w:rPr>
          <w:vertAlign w:val="superscript"/>
        </w:rPr>
        <w:t>th</w:t>
      </w:r>
      <w:r w:rsidRPr="002437DD">
        <w:t xml:space="preserve"> century to support neoliberal and capitalist arguments for economic growth and material advancement of production. In particular, for Du </w:t>
      </w:r>
      <w:proofErr w:type="spellStart"/>
      <w:r w:rsidRPr="002437DD">
        <w:t>Pisani</w:t>
      </w:r>
      <w:proofErr w:type="spellEnd"/>
      <w:r w:rsidRPr="002437DD">
        <w:t xml:space="preserve">, discourses of sustainability emerged in the field of environmental studies in the wake of an increased awareness about ecological issues fostered, </w:t>
      </w:r>
      <w:r w:rsidRPr="002437DD">
        <w:rPr>
          <w:i/>
        </w:rPr>
        <w:t>inter alia</w:t>
      </w:r>
      <w:r w:rsidRPr="002437DD">
        <w:t>, by green movements in the 1960s which questioned the logic of growth. This notion of sustainability was captured by a pool of scientists and economists (the Club of Rome) who warned</w:t>
      </w:r>
      <w:r w:rsidR="009576F6" w:rsidRPr="009576F6">
        <w:t xml:space="preserve"> </w:t>
      </w:r>
      <w:r w:rsidR="009576F6" w:rsidRPr="002437DD">
        <w:t xml:space="preserve">in a seminal report called ‘The limits to growth’ </w:t>
      </w:r>
      <w:r w:rsidR="009576F6" w:rsidRPr="002437DD">
        <w:rPr>
          <w:noProof/>
        </w:rPr>
        <w:t>(Meadows, 1972)</w:t>
      </w:r>
      <w:r w:rsidRPr="002437DD">
        <w:t xml:space="preserve"> about a scenario of world population increasingly unable to cope with finite resources.  </w:t>
      </w:r>
    </w:p>
    <w:p w14:paraId="187EBAA7" w14:textId="77777777" w:rsidR="00EE7D4A" w:rsidRPr="002437DD" w:rsidRDefault="00EE7D4A" w:rsidP="00BB40FF">
      <w:pPr>
        <w:rPr>
          <w:color w:val="auto"/>
        </w:rPr>
      </w:pPr>
    </w:p>
    <w:p w14:paraId="50CB4ADF" w14:textId="0FF6C642" w:rsidR="002437DD" w:rsidRPr="002437DD" w:rsidRDefault="00EE7D4A" w:rsidP="00BB40FF">
      <w:pPr>
        <w:rPr>
          <w:color w:val="auto"/>
        </w:rPr>
      </w:pPr>
      <w:r w:rsidRPr="002437DD">
        <w:rPr>
          <w:color w:val="auto"/>
        </w:rPr>
        <w:t xml:space="preserve">Since </w:t>
      </w:r>
      <w:r w:rsidR="002B5CE4">
        <w:rPr>
          <w:color w:val="auto"/>
        </w:rPr>
        <w:t xml:space="preserve">publication of </w:t>
      </w:r>
      <w:r w:rsidR="00445525">
        <w:rPr>
          <w:color w:val="auto"/>
        </w:rPr>
        <w:t xml:space="preserve">the </w:t>
      </w:r>
      <w:r w:rsidR="002B5CE4">
        <w:rPr>
          <w:color w:val="auto"/>
        </w:rPr>
        <w:t xml:space="preserve">UN-commissioned </w:t>
      </w:r>
      <w:proofErr w:type="spellStart"/>
      <w:r w:rsidR="002B5CE4" w:rsidRPr="002437DD">
        <w:rPr>
          <w:color w:val="auto"/>
        </w:rPr>
        <w:t>Bruntdland</w:t>
      </w:r>
      <w:proofErr w:type="spellEnd"/>
      <w:r w:rsidR="002B5CE4" w:rsidRPr="002437DD">
        <w:rPr>
          <w:color w:val="auto"/>
        </w:rPr>
        <w:t xml:space="preserve"> Report</w:t>
      </w:r>
      <w:r w:rsidR="002B5CE4">
        <w:rPr>
          <w:color w:val="auto"/>
        </w:rPr>
        <w:t xml:space="preserve"> in 1987 </w:t>
      </w:r>
      <w:r w:rsidR="002B5CE4" w:rsidRPr="002437DD">
        <w:rPr>
          <w:noProof/>
          <w:color w:val="auto"/>
        </w:rPr>
        <w:t>(</w:t>
      </w:r>
      <w:r w:rsidR="002B5CE4">
        <w:rPr>
          <w:noProof/>
          <w:color w:val="auto"/>
        </w:rPr>
        <w:t>WCED</w:t>
      </w:r>
      <w:r w:rsidR="002B5CE4" w:rsidRPr="002437DD">
        <w:rPr>
          <w:noProof/>
          <w:color w:val="auto"/>
        </w:rPr>
        <w:t>, 1987)</w:t>
      </w:r>
      <w:r w:rsidR="002B5CE4">
        <w:rPr>
          <w:color w:val="auto"/>
        </w:rPr>
        <w:t>, the term</w:t>
      </w:r>
      <w:r w:rsidR="002B5CE4" w:rsidRPr="002437DD">
        <w:rPr>
          <w:color w:val="auto"/>
        </w:rPr>
        <w:t xml:space="preserve"> </w:t>
      </w:r>
      <w:r w:rsidRPr="002437DD">
        <w:rPr>
          <w:color w:val="auto"/>
        </w:rPr>
        <w:t>‘sustainable development’</w:t>
      </w:r>
      <w:r w:rsidR="005B23CA">
        <w:rPr>
          <w:color w:val="auto"/>
        </w:rPr>
        <w:t xml:space="preserve"> </w:t>
      </w:r>
      <w:r w:rsidR="005B23CA">
        <w:rPr>
          <w:rStyle w:val="EndnoteReference"/>
          <w:color w:val="auto"/>
        </w:rPr>
        <w:endnoteReference w:id="1"/>
      </w:r>
      <w:r w:rsidRPr="002437DD">
        <w:rPr>
          <w:color w:val="auto"/>
        </w:rPr>
        <w:t xml:space="preserve"> has gained currency in public discourses</w:t>
      </w:r>
      <w:r w:rsidR="001233A7" w:rsidRPr="002437DD">
        <w:rPr>
          <w:noProof/>
          <w:color w:val="auto"/>
        </w:rPr>
        <w:t xml:space="preserve">. </w:t>
      </w:r>
      <w:r w:rsidR="002437DD" w:rsidRPr="002437DD">
        <w:rPr>
          <w:color w:val="auto"/>
        </w:rPr>
        <w:t xml:space="preserve">This notion of </w:t>
      </w:r>
      <w:r w:rsidR="002437DD" w:rsidRPr="00DA51DB">
        <w:rPr>
          <w:color w:val="auto"/>
        </w:rPr>
        <w:t xml:space="preserve">sustainable development </w:t>
      </w:r>
      <w:r w:rsidR="002437DD" w:rsidRPr="002437DD">
        <w:rPr>
          <w:color w:val="auto"/>
        </w:rPr>
        <w:t xml:space="preserve">was given further impetus by the Rio Earth Summit in 1992 and subsequent summits contributing to an </w:t>
      </w:r>
      <w:r w:rsidR="002437DD" w:rsidRPr="002437DD">
        <w:rPr>
          <w:color w:val="auto"/>
        </w:rPr>
        <w:lastRenderedPageBreak/>
        <w:t>exponential growth of interest in issues of sustainability in academic and public discourses over the last two decades.</w:t>
      </w:r>
    </w:p>
    <w:p w14:paraId="22041B50" w14:textId="77777777" w:rsidR="002437DD" w:rsidRPr="002437DD" w:rsidRDefault="002437DD" w:rsidP="00BB40FF">
      <w:pPr>
        <w:rPr>
          <w:color w:val="auto"/>
        </w:rPr>
      </w:pPr>
    </w:p>
    <w:p w14:paraId="12989EC9" w14:textId="5EE1606A" w:rsidR="002437DD" w:rsidRPr="002437DD" w:rsidRDefault="002437DD" w:rsidP="00BB40FF">
      <w:pPr>
        <w:rPr>
          <w:color w:val="auto"/>
        </w:rPr>
      </w:pPr>
      <w:r w:rsidRPr="002437DD">
        <w:rPr>
          <w:color w:val="auto"/>
        </w:rPr>
        <w:t>Organisational practice is one of the many social fields which have been permeated by discourses of sustainability. An increasing number of organisations have produced voluntary reports (differently labelled as ‘sustainability reports’, ‘CSR</w:t>
      </w:r>
      <w:r w:rsidR="0057255B" w:rsidRPr="002437DD">
        <w:rPr>
          <w:rStyle w:val="EndnoteReference"/>
          <w:color w:val="auto"/>
        </w:rPr>
        <w:endnoteReference w:id="2"/>
      </w:r>
      <w:r w:rsidRPr="002437DD">
        <w:rPr>
          <w:color w:val="auto"/>
        </w:rPr>
        <w:t xml:space="preserve"> reports’, ‘environmental reports’, etc.) in which they account for the social and environmental sustainability impacts of their activities.</w:t>
      </w:r>
      <w:r w:rsidR="002B5CE4">
        <w:rPr>
          <w:color w:val="auto"/>
        </w:rPr>
        <w:t xml:space="preserve"> A common basis for such accounting is known as the ‘triple bottom line’</w:t>
      </w:r>
      <w:r w:rsidRPr="002437DD">
        <w:rPr>
          <w:color w:val="auto"/>
        </w:rPr>
        <w:t xml:space="preserve"> </w:t>
      </w:r>
      <w:r w:rsidR="00A6156A">
        <w:rPr>
          <w:color w:val="auto"/>
        </w:rPr>
        <w:t>- ‘profit, people, planet’ (</w:t>
      </w:r>
      <w:proofErr w:type="spellStart"/>
      <w:r w:rsidR="00A6156A">
        <w:rPr>
          <w:color w:val="auto"/>
        </w:rPr>
        <w:t>Elkington</w:t>
      </w:r>
      <w:proofErr w:type="spellEnd"/>
      <w:r w:rsidR="00A6156A">
        <w:rPr>
          <w:color w:val="auto"/>
        </w:rPr>
        <w:t xml:space="preserve">, 2004) - </w:t>
      </w:r>
      <w:r w:rsidR="002B5CE4">
        <w:rPr>
          <w:color w:val="auto"/>
        </w:rPr>
        <w:t xml:space="preserve">which seeks to account for financial profitability alongside an organisation’s social and ecological impacts. </w:t>
      </w:r>
      <w:r w:rsidRPr="002437DD">
        <w:rPr>
          <w:color w:val="auto"/>
        </w:rPr>
        <w:t xml:space="preserve">CSR </w:t>
      </w:r>
      <w:r w:rsidR="002B5CE4">
        <w:rPr>
          <w:color w:val="auto"/>
        </w:rPr>
        <w:t>and organisational self-reporting of CSR activities</w:t>
      </w:r>
      <w:r w:rsidR="002B5CE4" w:rsidRPr="002437DD">
        <w:rPr>
          <w:color w:val="auto"/>
        </w:rPr>
        <w:t xml:space="preserve"> </w:t>
      </w:r>
      <w:r w:rsidRPr="002437DD">
        <w:rPr>
          <w:color w:val="auto"/>
        </w:rPr>
        <w:t>ha</w:t>
      </w:r>
      <w:r w:rsidR="00E174FE">
        <w:rPr>
          <w:color w:val="auto"/>
        </w:rPr>
        <w:t>ve</w:t>
      </w:r>
      <w:r w:rsidRPr="002437DD">
        <w:rPr>
          <w:color w:val="auto"/>
        </w:rPr>
        <w:t xml:space="preserve"> been analysed by a wealth of social and environmental accounting academic literature which has differently seen th</w:t>
      </w:r>
      <w:r w:rsidR="002B5CE4">
        <w:rPr>
          <w:color w:val="auto"/>
        </w:rPr>
        <w:t>is</w:t>
      </w:r>
      <w:r w:rsidRPr="002437DD">
        <w:rPr>
          <w:color w:val="auto"/>
        </w:rPr>
        <w:t xml:space="preserve">, at one end of the spectrum, as encouraging attempts to engage in social change </w:t>
      </w:r>
      <w:r w:rsidRPr="002437DD">
        <w:rPr>
          <w:noProof/>
          <w:color w:val="auto"/>
        </w:rPr>
        <w:t>(Burchell and Cook, 2006)</w:t>
      </w:r>
      <w:r w:rsidRPr="002437DD">
        <w:rPr>
          <w:color w:val="auto"/>
        </w:rPr>
        <w:t xml:space="preserve"> and, at the other end, as self-promotion exercises </w:t>
      </w:r>
      <w:r w:rsidRPr="002437DD">
        <w:rPr>
          <w:noProof/>
          <w:color w:val="auto"/>
        </w:rPr>
        <w:t>(Bhatia, 2012a)</w:t>
      </w:r>
      <w:r w:rsidRPr="002437DD">
        <w:rPr>
          <w:color w:val="auto"/>
        </w:rPr>
        <w:t xml:space="preserve"> and ‘</w:t>
      </w:r>
      <w:proofErr w:type="spellStart"/>
      <w:r w:rsidRPr="002437DD">
        <w:rPr>
          <w:color w:val="auto"/>
        </w:rPr>
        <w:t>greenwashing</w:t>
      </w:r>
      <w:proofErr w:type="spellEnd"/>
      <w:r w:rsidRPr="002437DD">
        <w:rPr>
          <w:color w:val="auto"/>
        </w:rPr>
        <w:t xml:space="preserve">’ opportunities through which organisations seek a social licence to operate vis-à-vis public opinion </w:t>
      </w:r>
      <w:r w:rsidRPr="002437DD">
        <w:rPr>
          <w:noProof/>
          <w:color w:val="auto"/>
        </w:rPr>
        <w:t>(Laine, 2009)</w:t>
      </w:r>
      <w:r w:rsidRPr="002437DD">
        <w:rPr>
          <w:color w:val="auto"/>
        </w:rPr>
        <w:t>.</w:t>
      </w:r>
    </w:p>
    <w:p w14:paraId="04104CE1" w14:textId="77777777" w:rsidR="002437DD" w:rsidRPr="002437DD" w:rsidRDefault="002437DD" w:rsidP="00BB40FF">
      <w:pPr>
        <w:rPr>
          <w:color w:val="auto"/>
        </w:rPr>
      </w:pPr>
    </w:p>
    <w:p w14:paraId="00620EA3" w14:textId="209607FB" w:rsidR="002437DD" w:rsidRPr="002437DD" w:rsidRDefault="002437DD" w:rsidP="00685118">
      <w:pPr>
        <w:rPr>
          <w:color w:val="auto"/>
        </w:rPr>
      </w:pPr>
      <w:r w:rsidRPr="002437DD">
        <w:rPr>
          <w:color w:val="auto"/>
        </w:rPr>
        <w:t xml:space="preserve">Over the last few years, Integrated Reporting (henceforth IR) </w:t>
      </w:r>
      <w:r w:rsidR="008C3A66">
        <w:rPr>
          <w:color w:val="auto"/>
        </w:rPr>
        <w:t>has</w:t>
      </w:r>
      <w:r w:rsidR="008C3A66" w:rsidRPr="002437DD">
        <w:rPr>
          <w:color w:val="auto"/>
        </w:rPr>
        <w:t xml:space="preserve"> </w:t>
      </w:r>
      <w:r w:rsidRPr="002437DD">
        <w:rPr>
          <w:color w:val="auto"/>
        </w:rPr>
        <w:t>emerg</w:t>
      </w:r>
      <w:r w:rsidR="008C3A66">
        <w:rPr>
          <w:color w:val="auto"/>
        </w:rPr>
        <w:t>ed</w:t>
      </w:r>
      <w:r w:rsidRPr="002437DD">
        <w:rPr>
          <w:color w:val="auto"/>
        </w:rPr>
        <w:t xml:space="preserve"> as a new organisational practice whereby </w:t>
      </w:r>
      <w:r w:rsidR="008C3A66">
        <w:rPr>
          <w:color w:val="auto"/>
        </w:rPr>
        <w:t xml:space="preserve">organisational </w:t>
      </w:r>
      <w:r w:rsidRPr="002437DD">
        <w:rPr>
          <w:color w:val="auto"/>
        </w:rPr>
        <w:t>disclosures on social and environmental performance</w:t>
      </w:r>
      <w:r w:rsidR="008C3A66">
        <w:rPr>
          <w:color w:val="auto"/>
        </w:rPr>
        <w:t xml:space="preserve"> and impacts</w:t>
      </w:r>
      <w:r w:rsidRPr="002437DD">
        <w:rPr>
          <w:color w:val="auto"/>
        </w:rPr>
        <w:t xml:space="preserve"> </w:t>
      </w:r>
      <w:r w:rsidR="008C3A66">
        <w:rPr>
          <w:color w:val="auto"/>
        </w:rPr>
        <w:t>are</w:t>
      </w:r>
      <w:r w:rsidRPr="002437DD">
        <w:rPr>
          <w:color w:val="auto"/>
        </w:rPr>
        <w:t xml:space="preserve"> incorporated with economic and financial information (some of which is a legal requirement) in one document. In this sense, IR can be seen as a hybrid text which brings together different discursive practices, by conflating financial, </w:t>
      </w:r>
      <w:r w:rsidR="008C3A66">
        <w:rPr>
          <w:color w:val="auto"/>
        </w:rPr>
        <w:t>social</w:t>
      </w:r>
      <w:r w:rsidRPr="002437DD">
        <w:rPr>
          <w:color w:val="auto"/>
        </w:rPr>
        <w:t xml:space="preserve">, and environmental reports, </w:t>
      </w:r>
      <w:r w:rsidRPr="002437DD">
        <w:rPr>
          <w:color w:val="auto"/>
        </w:rPr>
        <w:lastRenderedPageBreak/>
        <w:t xml:space="preserve">each of which </w:t>
      </w:r>
      <w:r w:rsidR="008C3A66">
        <w:rPr>
          <w:color w:val="auto"/>
        </w:rPr>
        <w:t xml:space="preserve">may </w:t>
      </w:r>
      <w:r w:rsidRPr="002437DD">
        <w:rPr>
          <w:color w:val="auto"/>
        </w:rPr>
        <w:t>perform different functions (public relation</w:t>
      </w:r>
      <w:r w:rsidR="008C3A66">
        <w:rPr>
          <w:color w:val="auto"/>
        </w:rPr>
        <w:t>s</w:t>
      </w:r>
      <w:r w:rsidRPr="002437DD">
        <w:rPr>
          <w:color w:val="auto"/>
        </w:rPr>
        <w:t xml:space="preserve"> tool, legal and financial document), aims to achieve different objectives (appealing to potential investors, retaining current shareholders and winning or retaining other economically powerful stakeholders), gives a stage to different speakers, and addresses different hearers. Moreover, IR can be seen as a ‘sounding box’ for a polyphonic narrative </w:t>
      </w:r>
      <w:r w:rsidRPr="002437DD">
        <w:rPr>
          <w:noProof/>
          <w:color w:val="auto"/>
        </w:rPr>
        <w:t>(Bakhtin and Holquist, 1981)</w:t>
      </w:r>
      <w:r w:rsidRPr="002437DD">
        <w:rPr>
          <w:color w:val="auto"/>
        </w:rPr>
        <w:t xml:space="preserve"> which is voiced by different organisational and societal actors (such as the company’s chairman, its CEO, the board of directors, as well as auditors/certifiers, stakeholders, etc.). </w:t>
      </w:r>
    </w:p>
    <w:p w14:paraId="4CD82DD9" w14:textId="77777777" w:rsidR="002437DD" w:rsidRPr="002437DD" w:rsidRDefault="002437DD" w:rsidP="00BB40FF">
      <w:pPr>
        <w:rPr>
          <w:color w:val="auto"/>
        </w:rPr>
      </w:pPr>
    </w:p>
    <w:p w14:paraId="1C63C53D" w14:textId="2E44F460" w:rsidR="002437DD" w:rsidRPr="002437DD" w:rsidRDefault="002437DD" w:rsidP="00BB40FF">
      <w:pPr>
        <w:rPr>
          <w:color w:val="auto"/>
        </w:rPr>
      </w:pPr>
      <w:r w:rsidRPr="002437DD">
        <w:rPr>
          <w:color w:val="auto"/>
        </w:rPr>
        <w:t xml:space="preserve">Although still a recent development and, in most countries, a voluntary practice, IR has gained momentum with the emergence of the International Integrated Report Council (IIRC), </w:t>
      </w:r>
      <w:r w:rsidR="008C3A66">
        <w:rPr>
          <w:color w:val="auto"/>
        </w:rPr>
        <w:t>which has</w:t>
      </w:r>
      <w:r w:rsidRPr="002437DD">
        <w:rPr>
          <w:color w:val="auto"/>
        </w:rPr>
        <w:t xml:space="preserve"> define</w:t>
      </w:r>
      <w:r w:rsidR="008C3A66">
        <w:rPr>
          <w:color w:val="auto"/>
        </w:rPr>
        <w:t>d</w:t>
      </w:r>
      <w:r w:rsidRPr="002437DD">
        <w:rPr>
          <w:color w:val="auto"/>
        </w:rPr>
        <w:t xml:space="preserve"> guidelines for the production of IR and which, </w:t>
      </w:r>
      <w:r w:rsidRPr="002437DD">
        <w:rPr>
          <w:i/>
          <w:color w:val="auto"/>
        </w:rPr>
        <w:t>de facto</w:t>
      </w:r>
      <w:r w:rsidRPr="002437DD">
        <w:rPr>
          <w:color w:val="auto"/>
        </w:rPr>
        <w:t>, has been driving the agenda for a</w:t>
      </w:r>
      <w:r w:rsidR="008C3A66">
        <w:rPr>
          <w:color w:val="auto"/>
        </w:rPr>
        <w:t xml:space="preserve"> global</w:t>
      </w:r>
      <w:r w:rsidRPr="002437DD">
        <w:rPr>
          <w:color w:val="auto"/>
        </w:rPr>
        <w:t xml:space="preserve"> standardisation of IR (</w:t>
      </w:r>
      <w:proofErr w:type="spellStart"/>
      <w:r w:rsidRPr="002437DD">
        <w:rPr>
          <w:color w:val="auto"/>
        </w:rPr>
        <w:t>Humphry</w:t>
      </w:r>
      <w:proofErr w:type="spellEnd"/>
      <w:r w:rsidRPr="002437DD">
        <w:rPr>
          <w:color w:val="auto"/>
        </w:rPr>
        <w:t xml:space="preserve"> et al. 2015)</w:t>
      </w:r>
      <w:r w:rsidRPr="002437DD">
        <w:rPr>
          <w:rStyle w:val="EndnoteReference"/>
          <w:color w:val="auto"/>
        </w:rPr>
        <w:endnoteReference w:id="3"/>
      </w:r>
      <w:r w:rsidRPr="002437DD">
        <w:rPr>
          <w:color w:val="auto"/>
        </w:rPr>
        <w:t xml:space="preserve">. As part of an active campaign of communication about the developments and potential of IR, the IIRC has showcased a number of examples of IR best practice on a database publically available online </w:t>
      </w:r>
      <w:r w:rsidRPr="002437DD">
        <w:rPr>
          <w:rStyle w:val="EndnoteReference"/>
          <w:color w:val="auto"/>
        </w:rPr>
        <w:endnoteReference w:id="4"/>
      </w:r>
      <w:r w:rsidRPr="002437DD">
        <w:rPr>
          <w:color w:val="auto"/>
        </w:rPr>
        <w:t xml:space="preserve">. Drawing from this database, we analyse a sample of IR documents to examine how discourses of sustainability are articulated with specific regards to their interplay with financial and economic discourses. Our main aim is to identify how the </w:t>
      </w:r>
      <w:proofErr w:type="spellStart"/>
      <w:r w:rsidRPr="002437DD">
        <w:rPr>
          <w:i/>
          <w:color w:val="auto"/>
        </w:rPr>
        <w:t>recontextualisation</w:t>
      </w:r>
      <w:proofErr w:type="spellEnd"/>
      <w:r w:rsidRPr="002437DD">
        <w:rPr>
          <w:color w:val="auto"/>
        </w:rPr>
        <w:t xml:space="preserve"> (a concept on which we elaborate further below) of discourses of environmental and social sustainability has occurred in the IRs produced by early adopters.</w:t>
      </w:r>
    </w:p>
    <w:p w14:paraId="3A926A23" w14:textId="77777777" w:rsidR="002437DD" w:rsidRPr="002437DD" w:rsidRDefault="002437DD" w:rsidP="00BB40FF">
      <w:pPr>
        <w:rPr>
          <w:color w:val="auto"/>
        </w:rPr>
      </w:pPr>
    </w:p>
    <w:p w14:paraId="0117E2D8" w14:textId="43686A41" w:rsidR="002437DD" w:rsidRPr="002437DD" w:rsidRDefault="002437DD" w:rsidP="00BB40FF">
      <w:pPr>
        <w:rPr>
          <w:color w:val="auto"/>
        </w:rPr>
      </w:pPr>
      <w:r w:rsidRPr="002437DD">
        <w:t>The contribution of this paper is twofold: first, it bridge</w:t>
      </w:r>
      <w:r w:rsidR="00C835F0">
        <w:t>s</w:t>
      </w:r>
      <w:r w:rsidRPr="002437DD">
        <w:t xml:space="preserve"> accounting and linguistic disciplines which, as pointed out by </w:t>
      </w:r>
      <w:r w:rsidRPr="002437DD">
        <w:rPr>
          <w:noProof/>
        </w:rPr>
        <w:t>Grant and Iedema (2005)</w:t>
      </w:r>
      <w:r w:rsidRPr="002437DD">
        <w:t xml:space="preserve">, have so </w:t>
      </w:r>
      <w:r w:rsidRPr="002437DD">
        <w:lastRenderedPageBreak/>
        <w:t xml:space="preserve">far made </w:t>
      </w:r>
      <w:r w:rsidR="00C835F0">
        <w:t>little</w:t>
      </w:r>
      <w:r w:rsidR="00C835F0" w:rsidRPr="002437DD">
        <w:t xml:space="preserve"> </w:t>
      </w:r>
      <w:r w:rsidRPr="002437DD">
        <w:t xml:space="preserve">synergic use of each other’s analytical strength and practical applications. Second, </w:t>
      </w:r>
      <w:r w:rsidR="00C835F0">
        <w:t>it</w:t>
      </w:r>
      <w:r w:rsidRPr="002437DD">
        <w:t xml:space="preserve"> contribute</w:t>
      </w:r>
      <w:r w:rsidR="00C835F0">
        <w:t>s</w:t>
      </w:r>
      <w:r w:rsidRPr="002437DD">
        <w:t xml:space="preserve"> critical insights to both disciplines by highlighting how </w:t>
      </w:r>
      <w:proofErr w:type="spellStart"/>
      <w:r w:rsidRPr="002437DD">
        <w:t>recontextualisation</w:t>
      </w:r>
      <w:proofErr w:type="spellEnd"/>
      <w:r w:rsidRPr="002437DD">
        <w:t xml:space="preserve"> can act as a colonising practice of dominant discourses in the process of institutionalisation of the current IR model.</w:t>
      </w:r>
      <w:r w:rsidR="005F4BD4">
        <w:t xml:space="preserve"> </w:t>
      </w:r>
      <w:r w:rsidRPr="002437DD">
        <w:rPr>
          <w:color w:val="auto"/>
        </w:rPr>
        <w:t xml:space="preserve">The remainder of this paper will develop as follows: in section </w:t>
      </w:r>
      <w:r w:rsidRPr="002437DD">
        <w:rPr>
          <w:color w:val="auto"/>
        </w:rPr>
        <w:fldChar w:fldCharType="begin"/>
      </w:r>
      <w:r w:rsidRPr="002437DD">
        <w:rPr>
          <w:color w:val="auto"/>
        </w:rPr>
        <w:instrText xml:space="preserve"> REF _Ref418158746 \r \h </w:instrText>
      </w:r>
      <w:r>
        <w:rPr>
          <w:color w:val="auto"/>
        </w:rPr>
        <w:instrText xml:space="preserve"> \* MERGEFORMAT </w:instrText>
      </w:r>
      <w:r w:rsidRPr="002437DD">
        <w:rPr>
          <w:color w:val="auto"/>
        </w:rPr>
      </w:r>
      <w:r w:rsidRPr="002437DD">
        <w:rPr>
          <w:color w:val="auto"/>
        </w:rPr>
        <w:fldChar w:fldCharType="separate"/>
      </w:r>
      <w:r w:rsidR="00E35E41">
        <w:rPr>
          <w:color w:val="auto"/>
        </w:rPr>
        <w:t>2</w:t>
      </w:r>
      <w:r w:rsidRPr="002437DD">
        <w:rPr>
          <w:color w:val="auto"/>
        </w:rPr>
        <w:fldChar w:fldCharType="end"/>
      </w:r>
      <w:r w:rsidRPr="002437DD">
        <w:rPr>
          <w:color w:val="auto"/>
        </w:rPr>
        <w:t xml:space="preserve"> we outline our theoretical approach to </w:t>
      </w:r>
      <w:proofErr w:type="spellStart"/>
      <w:r w:rsidRPr="002437DD">
        <w:rPr>
          <w:color w:val="auto"/>
        </w:rPr>
        <w:t>recontextualisation</w:t>
      </w:r>
      <w:proofErr w:type="spellEnd"/>
      <w:r w:rsidRPr="002437DD">
        <w:rPr>
          <w:color w:val="auto"/>
        </w:rPr>
        <w:t xml:space="preserve"> and genre hybridization. Data and methods are discussed in section </w:t>
      </w:r>
      <w:r w:rsidRPr="002437DD">
        <w:rPr>
          <w:color w:val="auto"/>
        </w:rPr>
        <w:fldChar w:fldCharType="begin"/>
      </w:r>
      <w:r w:rsidRPr="002437DD">
        <w:rPr>
          <w:color w:val="auto"/>
        </w:rPr>
        <w:instrText xml:space="preserve"> REF _Ref418158797 \r \h </w:instrText>
      </w:r>
      <w:r>
        <w:rPr>
          <w:color w:val="auto"/>
        </w:rPr>
        <w:instrText xml:space="preserve"> \* MERGEFORMAT </w:instrText>
      </w:r>
      <w:r w:rsidRPr="002437DD">
        <w:rPr>
          <w:color w:val="auto"/>
        </w:rPr>
      </w:r>
      <w:r w:rsidRPr="002437DD">
        <w:rPr>
          <w:color w:val="auto"/>
        </w:rPr>
        <w:fldChar w:fldCharType="separate"/>
      </w:r>
      <w:r w:rsidR="00E35E41">
        <w:rPr>
          <w:color w:val="auto"/>
        </w:rPr>
        <w:t>3</w:t>
      </w:r>
      <w:r w:rsidRPr="002437DD">
        <w:rPr>
          <w:color w:val="auto"/>
        </w:rPr>
        <w:fldChar w:fldCharType="end"/>
      </w:r>
      <w:r w:rsidRPr="002437DD">
        <w:rPr>
          <w:color w:val="auto"/>
        </w:rPr>
        <w:t xml:space="preserve"> whilst in section </w:t>
      </w:r>
      <w:r w:rsidRPr="002437DD">
        <w:rPr>
          <w:color w:val="auto"/>
        </w:rPr>
        <w:fldChar w:fldCharType="begin"/>
      </w:r>
      <w:r w:rsidRPr="002437DD">
        <w:rPr>
          <w:color w:val="auto"/>
        </w:rPr>
        <w:instrText xml:space="preserve"> REF _Ref418158829 \r \h </w:instrText>
      </w:r>
      <w:r>
        <w:rPr>
          <w:color w:val="auto"/>
        </w:rPr>
        <w:instrText xml:space="preserve"> \* MERGEFORMAT </w:instrText>
      </w:r>
      <w:r w:rsidRPr="002437DD">
        <w:rPr>
          <w:color w:val="auto"/>
        </w:rPr>
      </w:r>
      <w:r w:rsidRPr="002437DD">
        <w:rPr>
          <w:color w:val="auto"/>
        </w:rPr>
        <w:fldChar w:fldCharType="separate"/>
      </w:r>
      <w:r w:rsidR="00E35E41">
        <w:rPr>
          <w:color w:val="auto"/>
        </w:rPr>
        <w:t>4</w:t>
      </w:r>
      <w:r w:rsidRPr="002437DD">
        <w:rPr>
          <w:color w:val="auto"/>
        </w:rPr>
        <w:fldChar w:fldCharType="end"/>
      </w:r>
      <w:r w:rsidRPr="002437DD">
        <w:rPr>
          <w:color w:val="auto"/>
        </w:rPr>
        <w:t xml:space="preserve"> we present and discuss our findings. Section </w:t>
      </w:r>
      <w:r w:rsidRPr="002437DD">
        <w:rPr>
          <w:color w:val="auto"/>
        </w:rPr>
        <w:fldChar w:fldCharType="begin"/>
      </w:r>
      <w:r w:rsidRPr="002437DD">
        <w:rPr>
          <w:color w:val="auto"/>
        </w:rPr>
        <w:instrText xml:space="preserve"> REF _Ref418158881 \r \h </w:instrText>
      </w:r>
      <w:r>
        <w:rPr>
          <w:color w:val="auto"/>
        </w:rPr>
        <w:instrText xml:space="preserve"> \* MERGEFORMAT </w:instrText>
      </w:r>
      <w:r w:rsidRPr="002437DD">
        <w:rPr>
          <w:color w:val="auto"/>
        </w:rPr>
      </w:r>
      <w:r w:rsidRPr="002437DD">
        <w:rPr>
          <w:color w:val="auto"/>
        </w:rPr>
        <w:fldChar w:fldCharType="separate"/>
      </w:r>
      <w:r w:rsidR="00E35E41">
        <w:rPr>
          <w:color w:val="auto"/>
        </w:rPr>
        <w:t>5</w:t>
      </w:r>
      <w:r w:rsidRPr="002437DD">
        <w:rPr>
          <w:color w:val="auto"/>
        </w:rPr>
        <w:fldChar w:fldCharType="end"/>
      </w:r>
      <w:r w:rsidRPr="002437DD">
        <w:rPr>
          <w:color w:val="auto"/>
        </w:rPr>
        <w:t xml:space="preserve"> provides some concluding remarks.</w:t>
      </w:r>
    </w:p>
    <w:p w14:paraId="0C662428" w14:textId="77777777" w:rsidR="002437DD" w:rsidRPr="002437DD" w:rsidRDefault="002437DD" w:rsidP="00BB40FF">
      <w:pPr>
        <w:rPr>
          <w:color w:val="auto"/>
        </w:rPr>
      </w:pPr>
    </w:p>
    <w:p w14:paraId="4585C209" w14:textId="77777777" w:rsidR="002437DD" w:rsidRPr="002437DD" w:rsidRDefault="002437DD" w:rsidP="00CB272D">
      <w:pPr>
        <w:pStyle w:val="Heading1"/>
        <w:rPr>
          <w:color w:val="auto"/>
        </w:rPr>
      </w:pPr>
      <w:bookmarkStart w:id="1" w:name="_Ref418158746"/>
      <w:bookmarkStart w:id="2" w:name="_Ref417151495"/>
      <w:proofErr w:type="spellStart"/>
      <w:r w:rsidRPr="002437DD">
        <w:rPr>
          <w:color w:val="auto"/>
        </w:rPr>
        <w:t>Recontextualizing</w:t>
      </w:r>
      <w:proofErr w:type="spellEnd"/>
      <w:r w:rsidRPr="002437DD">
        <w:rPr>
          <w:color w:val="auto"/>
        </w:rPr>
        <w:t xml:space="preserve"> discourses and hybridizing genres: a theoretical approach</w:t>
      </w:r>
      <w:bookmarkEnd w:id="1"/>
      <w:r w:rsidRPr="002437DD">
        <w:rPr>
          <w:color w:val="auto"/>
        </w:rPr>
        <w:t xml:space="preserve"> </w:t>
      </w:r>
      <w:bookmarkEnd w:id="2"/>
    </w:p>
    <w:p w14:paraId="3771BEC1" w14:textId="77777777" w:rsidR="002437DD" w:rsidRPr="002437DD" w:rsidRDefault="002437DD" w:rsidP="00BB40FF">
      <w:pPr>
        <w:rPr>
          <w:color w:val="auto"/>
        </w:rPr>
      </w:pPr>
    </w:p>
    <w:p w14:paraId="2179E358" w14:textId="2C9ECA0D" w:rsidR="002437DD" w:rsidRPr="002437DD" w:rsidRDefault="002437DD" w:rsidP="002C7143">
      <w:pPr>
        <w:rPr>
          <w:color w:val="auto"/>
        </w:rPr>
      </w:pPr>
      <w:r w:rsidRPr="002437DD">
        <w:rPr>
          <w:color w:val="auto"/>
        </w:rPr>
        <w:t xml:space="preserve">A large body of critical literature has theorised discourse as ‘language in use’ to account for the fact that texts do not exist in isolation but, as they are produced and interpreted for specific purposes, they must be seen in a dialogical relation with society </w:t>
      </w:r>
      <w:r w:rsidRPr="002437DD">
        <w:rPr>
          <w:noProof/>
          <w:color w:val="auto"/>
        </w:rPr>
        <w:t>(Fairclough and Wodak, 1997; van Dijk 1993)</w:t>
      </w:r>
      <w:r w:rsidRPr="002437DD">
        <w:rPr>
          <w:color w:val="auto"/>
        </w:rPr>
        <w:t xml:space="preserve">. From this stance, texts can be conveniently differentiated in </w:t>
      </w:r>
      <w:r w:rsidRPr="002437DD">
        <w:rPr>
          <w:i/>
          <w:color w:val="auto"/>
        </w:rPr>
        <w:t>genres</w:t>
      </w:r>
      <w:r w:rsidRPr="002437DD">
        <w:rPr>
          <w:color w:val="auto"/>
        </w:rPr>
        <w:t xml:space="preserve"> to account for the way in which the use of language is associated with specific sets of communicative events or purposes and shared by the members of specific discourse communities </w:t>
      </w:r>
      <w:r w:rsidRPr="002437DD">
        <w:rPr>
          <w:noProof/>
          <w:color w:val="auto"/>
        </w:rPr>
        <w:t>(Bhatia, 1993; Swales, 1990)</w:t>
      </w:r>
      <w:r w:rsidRPr="002437DD">
        <w:rPr>
          <w:color w:val="auto"/>
        </w:rPr>
        <w:t xml:space="preserve">. A text can therefore be seen as belonging to a certain genre in that it is characterised by, or expected to be recognisable via, certain structural and stylistic features, in order to perform certain social functions in the specific ‘field of action’ in which the text is produced or consumed. For example, a magazine advertisement will typically have features, purposes, and audiences which are distinct from, say, those of a piece of legislation, a medicine </w:t>
      </w:r>
      <w:r w:rsidRPr="002437DD">
        <w:rPr>
          <w:color w:val="auto"/>
        </w:rPr>
        <w:lastRenderedPageBreak/>
        <w:t xml:space="preserve">textbook, etc. </w:t>
      </w:r>
      <w:r w:rsidR="006F5B39">
        <w:rPr>
          <w:color w:val="auto"/>
        </w:rPr>
        <w:t>D</w:t>
      </w:r>
      <w:r w:rsidRPr="002437DD">
        <w:rPr>
          <w:color w:val="auto"/>
        </w:rPr>
        <w:t xml:space="preserve">ifferent genres of discourse are also defined by the context of the communicative situation made up of Setting, Participants, Social Acts, Goals, etc. and macro/micro contextual models subjectively held by participants about the communicative situation (van </w:t>
      </w:r>
      <w:proofErr w:type="spellStart"/>
      <w:r w:rsidRPr="002437DD">
        <w:rPr>
          <w:color w:val="auto"/>
        </w:rPr>
        <w:t>Dijk</w:t>
      </w:r>
      <w:proofErr w:type="spellEnd"/>
      <w:r w:rsidRPr="002437DD">
        <w:rPr>
          <w:color w:val="auto"/>
        </w:rPr>
        <w:t>, 2014).</w:t>
      </w:r>
    </w:p>
    <w:p w14:paraId="708EFD0B" w14:textId="77777777" w:rsidR="002437DD" w:rsidRPr="002437DD" w:rsidRDefault="002437DD" w:rsidP="00BB40FF">
      <w:pPr>
        <w:rPr>
          <w:color w:val="auto"/>
        </w:rPr>
      </w:pPr>
    </w:p>
    <w:p w14:paraId="388E79D8" w14:textId="2924C409" w:rsidR="002437DD" w:rsidRPr="002437DD" w:rsidRDefault="002437DD" w:rsidP="00BB40FF">
      <w:pPr>
        <w:rPr>
          <w:color w:val="auto"/>
        </w:rPr>
      </w:pPr>
      <w:r w:rsidRPr="002437DD">
        <w:rPr>
          <w:color w:val="auto"/>
        </w:rPr>
        <w:t xml:space="preserve">Whilst the institutionalisation of certain discursive practices can contribute to the association of specific genres with specific discourses, genres and discourses are never rigidly fixed since topics, meanings, and discursive practices can be reformulated and transformed by moving across texts and fields in processes of </w:t>
      </w:r>
      <w:r w:rsidRPr="002437DD">
        <w:rPr>
          <w:i/>
          <w:color w:val="auto"/>
        </w:rPr>
        <w:t xml:space="preserve">hybridisation of genres </w:t>
      </w:r>
      <w:r w:rsidRPr="002437DD">
        <w:rPr>
          <w:color w:val="auto"/>
        </w:rPr>
        <w:t xml:space="preserve">and </w:t>
      </w:r>
      <w:r w:rsidRPr="002437DD">
        <w:rPr>
          <w:i/>
          <w:color w:val="auto"/>
        </w:rPr>
        <w:t>(de-)</w:t>
      </w:r>
      <w:proofErr w:type="spellStart"/>
      <w:r w:rsidRPr="002437DD">
        <w:rPr>
          <w:i/>
          <w:color w:val="auto"/>
        </w:rPr>
        <w:t>recontextualisation</w:t>
      </w:r>
      <w:proofErr w:type="spellEnd"/>
      <w:r w:rsidRPr="002437DD">
        <w:rPr>
          <w:i/>
          <w:color w:val="auto"/>
        </w:rPr>
        <w:t xml:space="preserve"> of discourses.</w:t>
      </w:r>
      <w:r w:rsidRPr="002437DD">
        <w:rPr>
          <w:color w:val="auto"/>
        </w:rPr>
        <w:t xml:space="preserve"> </w:t>
      </w:r>
      <w:r w:rsidRPr="002437DD">
        <w:rPr>
          <w:noProof/>
          <w:color w:val="auto"/>
        </w:rPr>
        <w:t>Fairclough (2003)</w:t>
      </w:r>
      <w:r w:rsidRPr="002437DD">
        <w:rPr>
          <w:color w:val="auto"/>
        </w:rPr>
        <w:t xml:space="preserve"> regards </w:t>
      </w:r>
      <w:proofErr w:type="spellStart"/>
      <w:r w:rsidRPr="002437DD">
        <w:rPr>
          <w:color w:val="auto"/>
        </w:rPr>
        <w:t>recontextualisation</w:t>
      </w:r>
      <w:proofErr w:type="spellEnd"/>
      <w:r w:rsidRPr="002437DD">
        <w:rPr>
          <w:color w:val="auto"/>
        </w:rPr>
        <w:t xml:space="preserve"> as a process that occurs through systematic movement of discourses along a ‘chain’ of rather stable and institutionalised genres. He uses the term </w:t>
      </w:r>
      <w:r w:rsidRPr="002437DD">
        <w:rPr>
          <w:rStyle w:val="Emphasis"/>
          <w:color w:val="auto"/>
        </w:rPr>
        <w:t>hybridity</w:t>
      </w:r>
      <w:r w:rsidRPr="002437DD">
        <w:rPr>
          <w:rStyle w:val="st"/>
          <w:color w:val="auto"/>
        </w:rPr>
        <w:t xml:space="preserve"> to describe the blurring of boundaries between </w:t>
      </w:r>
      <w:r w:rsidRPr="002437DD">
        <w:rPr>
          <w:color w:val="auto"/>
        </w:rPr>
        <w:t>genres, discourses and social functions</w:t>
      </w:r>
      <w:r w:rsidRPr="002437DD">
        <w:rPr>
          <w:rStyle w:val="st"/>
          <w:color w:val="auto"/>
        </w:rPr>
        <w:t xml:space="preserve">, and the term </w:t>
      </w:r>
      <w:proofErr w:type="spellStart"/>
      <w:r w:rsidRPr="002437DD">
        <w:rPr>
          <w:i/>
          <w:color w:val="auto"/>
        </w:rPr>
        <w:t>interdiscursivity</w:t>
      </w:r>
      <w:proofErr w:type="spellEnd"/>
      <w:r w:rsidRPr="002437DD">
        <w:rPr>
          <w:color w:val="auto"/>
        </w:rPr>
        <w:t xml:space="preserve"> to account for both the relation between different genres and discourses coexisting in a text and the ‘travelling’ of texts along the chain of genres</w:t>
      </w:r>
      <w:r w:rsidRPr="002437DD">
        <w:rPr>
          <w:rStyle w:val="EndnoteReference"/>
          <w:color w:val="auto"/>
        </w:rPr>
        <w:t xml:space="preserve"> </w:t>
      </w:r>
      <w:r w:rsidRPr="002437DD">
        <w:rPr>
          <w:rStyle w:val="EndnoteReference"/>
          <w:color w:val="auto"/>
        </w:rPr>
        <w:endnoteReference w:id="5"/>
      </w:r>
      <w:r w:rsidRPr="002437DD">
        <w:rPr>
          <w:color w:val="auto"/>
        </w:rPr>
        <w:t xml:space="preserve">. Furthermore, in line with his dialectical-relational approach to discourse and society, for </w:t>
      </w:r>
      <w:proofErr w:type="spellStart"/>
      <w:r w:rsidRPr="002437DD">
        <w:rPr>
          <w:color w:val="auto"/>
        </w:rPr>
        <w:t>Fairclough</w:t>
      </w:r>
      <w:proofErr w:type="spellEnd"/>
      <w:r w:rsidRPr="002437DD">
        <w:rPr>
          <w:color w:val="auto"/>
        </w:rPr>
        <w:t xml:space="preserve">, the </w:t>
      </w:r>
      <w:proofErr w:type="spellStart"/>
      <w:r w:rsidRPr="002437DD">
        <w:rPr>
          <w:color w:val="auto"/>
        </w:rPr>
        <w:t>recontextualisation</w:t>
      </w:r>
      <w:proofErr w:type="spellEnd"/>
      <w:r w:rsidRPr="002437DD">
        <w:rPr>
          <w:color w:val="auto"/>
        </w:rPr>
        <w:t xml:space="preserve"> of certain categories of discourse into new genres can also be seen as an index of the transformation of the whole relationship between distinct social fields and meanings associated with certain social practices or network of practices. </w:t>
      </w:r>
      <w:proofErr w:type="spellStart"/>
      <w:r w:rsidRPr="002437DD">
        <w:rPr>
          <w:color w:val="auto"/>
        </w:rPr>
        <w:t>Fairclough</w:t>
      </w:r>
      <w:proofErr w:type="spellEnd"/>
      <w:r w:rsidRPr="002437DD">
        <w:rPr>
          <w:color w:val="auto"/>
        </w:rPr>
        <w:t xml:space="preserve"> relates these changes to macro contexts of historical and social change which he sees primarily driven by power dynamics. This way, </w:t>
      </w:r>
      <w:proofErr w:type="spellStart"/>
      <w:r w:rsidRPr="002437DD">
        <w:rPr>
          <w:color w:val="auto"/>
        </w:rPr>
        <w:t>recontextualisation</w:t>
      </w:r>
      <w:proofErr w:type="spellEnd"/>
      <w:r w:rsidRPr="002437DD">
        <w:rPr>
          <w:color w:val="auto"/>
        </w:rPr>
        <w:t xml:space="preserve"> can be read as the semiotic relation of hegemony between discourses and, at the same time, as a tool whereby some social actors can achieve hegemony through the reordering of </w:t>
      </w:r>
      <w:r w:rsidRPr="002437DD">
        <w:rPr>
          <w:color w:val="auto"/>
        </w:rPr>
        <w:lastRenderedPageBreak/>
        <w:t xml:space="preserve">discourses, the </w:t>
      </w:r>
      <w:proofErr w:type="spellStart"/>
      <w:r w:rsidRPr="002437DD">
        <w:rPr>
          <w:color w:val="auto"/>
        </w:rPr>
        <w:t>resemioticization</w:t>
      </w:r>
      <w:proofErr w:type="spellEnd"/>
      <w:r w:rsidRPr="002437DD">
        <w:rPr>
          <w:color w:val="auto"/>
        </w:rPr>
        <w:t xml:space="preserve"> of meanings, the colonisation of practices, and the closure of voices </w:t>
      </w:r>
      <w:r w:rsidRPr="002437DD">
        <w:rPr>
          <w:noProof/>
          <w:color w:val="auto"/>
        </w:rPr>
        <w:t xml:space="preserve">(cf. Habermas, 1984; Chouliaraki and Fairclough, 1999; </w:t>
      </w:r>
      <w:r w:rsidR="006B1E5C" w:rsidRPr="002437DD">
        <w:rPr>
          <w:noProof/>
          <w:color w:val="auto"/>
        </w:rPr>
        <w:t>Iedema, 1999</w:t>
      </w:r>
      <w:r w:rsidR="006B1E5C">
        <w:rPr>
          <w:noProof/>
          <w:color w:val="auto"/>
        </w:rPr>
        <w:t xml:space="preserve">; </w:t>
      </w:r>
      <w:r w:rsidRPr="002437DD">
        <w:rPr>
          <w:noProof/>
          <w:color w:val="auto"/>
        </w:rPr>
        <w:t>Iedema, 2001)</w:t>
      </w:r>
      <w:r w:rsidRPr="002437DD">
        <w:rPr>
          <w:color w:val="auto"/>
        </w:rPr>
        <w:t>.</w:t>
      </w:r>
    </w:p>
    <w:p w14:paraId="157966E8" w14:textId="77777777" w:rsidR="005F4BD4" w:rsidRDefault="005F4BD4" w:rsidP="00BB40FF">
      <w:pPr>
        <w:rPr>
          <w:color w:val="auto"/>
        </w:rPr>
      </w:pPr>
    </w:p>
    <w:p w14:paraId="0F2A7FD3" w14:textId="193F827F" w:rsidR="002437DD" w:rsidRPr="002437DD" w:rsidRDefault="002437DD" w:rsidP="00BB40FF">
      <w:pPr>
        <w:rPr>
          <w:color w:val="auto"/>
        </w:rPr>
      </w:pPr>
      <w:r w:rsidRPr="002437DD">
        <w:rPr>
          <w:color w:val="auto"/>
        </w:rPr>
        <w:t xml:space="preserve">From a similar perspective, </w:t>
      </w:r>
      <w:r w:rsidRPr="002437DD">
        <w:rPr>
          <w:noProof/>
          <w:color w:val="auto"/>
        </w:rPr>
        <w:t>(Wodak, 2011)</w:t>
      </w:r>
      <w:r w:rsidRPr="002437DD">
        <w:rPr>
          <w:color w:val="auto"/>
        </w:rPr>
        <w:t xml:space="preserve"> sees </w:t>
      </w:r>
      <w:proofErr w:type="spellStart"/>
      <w:r w:rsidRPr="002437DD">
        <w:rPr>
          <w:color w:val="auto"/>
        </w:rPr>
        <w:t>recontextualization</w:t>
      </w:r>
      <w:proofErr w:type="spellEnd"/>
      <w:r w:rsidRPr="002437DD">
        <w:rPr>
          <w:color w:val="auto"/>
        </w:rPr>
        <w:t xml:space="preserve"> as </w:t>
      </w:r>
      <w:r w:rsidR="00DA51DB">
        <w:rPr>
          <w:color w:val="auto"/>
        </w:rPr>
        <w:t>‘</w:t>
      </w:r>
      <w:r w:rsidRPr="00892DE8">
        <w:rPr>
          <w:color w:val="auto"/>
        </w:rPr>
        <w:t>one of the salient linguistic processes governing historical change</w:t>
      </w:r>
      <w:r w:rsidR="00DA51DB">
        <w:rPr>
          <w:color w:val="auto"/>
        </w:rPr>
        <w:t>’</w:t>
      </w:r>
      <w:r w:rsidRPr="00892DE8">
        <w:rPr>
          <w:color w:val="auto"/>
        </w:rPr>
        <w:t xml:space="preserve"> </w:t>
      </w:r>
      <w:r w:rsidRPr="002437DD">
        <w:rPr>
          <w:i/>
          <w:color w:val="auto"/>
        </w:rPr>
        <w:t>(p. 629)</w:t>
      </w:r>
      <w:r w:rsidRPr="002437DD">
        <w:rPr>
          <w:color w:val="auto"/>
        </w:rPr>
        <w:t xml:space="preserve">. For </w:t>
      </w:r>
      <w:proofErr w:type="spellStart"/>
      <w:r w:rsidRPr="002437DD">
        <w:rPr>
          <w:color w:val="auto"/>
        </w:rPr>
        <w:t>Wodak</w:t>
      </w:r>
      <w:proofErr w:type="spellEnd"/>
      <w:r w:rsidRPr="002437DD">
        <w:rPr>
          <w:color w:val="auto"/>
        </w:rPr>
        <w:t xml:space="preserve"> </w:t>
      </w:r>
      <w:proofErr w:type="spellStart"/>
      <w:r w:rsidRPr="002437DD">
        <w:rPr>
          <w:color w:val="auto"/>
        </w:rPr>
        <w:t>recontextualisation</w:t>
      </w:r>
      <w:proofErr w:type="spellEnd"/>
      <w:r w:rsidRPr="002437DD">
        <w:rPr>
          <w:color w:val="auto"/>
        </w:rPr>
        <w:t xml:space="preserve"> amounts to </w:t>
      </w:r>
    </w:p>
    <w:p w14:paraId="6C766996" w14:textId="1352D09E" w:rsidR="002437DD" w:rsidRPr="002437DD" w:rsidRDefault="002437DD" w:rsidP="00BB40FF">
      <w:pPr>
        <w:pStyle w:val="Quote"/>
      </w:pPr>
      <w:r w:rsidRPr="002437DD">
        <w:t>[s]</w:t>
      </w:r>
      <w:proofErr w:type="spellStart"/>
      <w:r w:rsidRPr="002437DD">
        <w:t>patial</w:t>
      </w:r>
      <w:proofErr w:type="spellEnd"/>
      <w:r w:rsidRPr="002437DD">
        <w:t xml:space="preserve"> and temporal relationships between texts […] whereby texts (and the discourses, genres and arguments which they deploy) move between […] different contexts, and are subject to transformations whose nature depends upon the relationships and differences between such contexts</w:t>
      </w:r>
      <w:r w:rsidR="00892DE8">
        <w:t xml:space="preserve"> </w:t>
      </w:r>
      <w:r w:rsidRPr="002437DD">
        <w:t xml:space="preserve">(ibid). </w:t>
      </w:r>
    </w:p>
    <w:p w14:paraId="15BD9894" w14:textId="2C522BFA" w:rsidR="002437DD" w:rsidRPr="002437DD" w:rsidRDefault="002437DD" w:rsidP="00BB40FF">
      <w:pPr>
        <w:rPr>
          <w:color w:val="auto"/>
        </w:rPr>
      </w:pPr>
      <w:proofErr w:type="spellStart"/>
      <w:r w:rsidRPr="002437DD">
        <w:rPr>
          <w:color w:val="auto"/>
        </w:rPr>
        <w:t>Wodak</w:t>
      </w:r>
      <w:proofErr w:type="spellEnd"/>
      <w:r w:rsidRPr="002437DD">
        <w:rPr>
          <w:color w:val="auto"/>
        </w:rPr>
        <w:t xml:space="preserve"> a</w:t>
      </w:r>
      <w:r w:rsidR="00DA51DB">
        <w:rPr>
          <w:color w:val="auto"/>
        </w:rPr>
        <w:t xml:space="preserve">rgues that </w:t>
      </w:r>
      <w:proofErr w:type="spellStart"/>
      <w:r w:rsidR="00DA51DB">
        <w:rPr>
          <w:color w:val="auto"/>
        </w:rPr>
        <w:t>recontextualisation</w:t>
      </w:r>
      <w:proofErr w:type="spellEnd"/>
      <w:r w:rsidR="00DA51DB">
        <w:rPr>
          <w:color w:val="auto"/>
        </w:rPr>
        <w:t xml:space="preserve"> ‘</w:t>
      </w:r>
      <w:r w:rsidRPr="002437DD">
        <w:rPr>
          <w:color w:val="auto"/>
        </w:rPr>
        <w:t xml:space="preserve">is concretely manifested in the intertextuality and </w:t>
      </w:r>
      <w:proofErr w:type="spellStart"/>
      <w:r w:rsidRPr="002437DD">
        <w:rPr>
          <w:color w:val="auto"/>
        </w:rPr>
        <w:t>interdiscursivity</w:t>
      </w:r>
      <w:proofErr w:type="spellEnd"/>
      <w:r w:rsidRPr="002437DD">
        <w:rPr>
          <w:color w:val="auto"/>
        </w:rPr>
        <w:t xml:space="preserve"> of texts</w:t>
      </w:r>
      <w:r w:rsidR="00DA51DB">
        <w:rPr>
          <w:color w:val="auto"/>
        </w:rPr>
        <w:t>’</w:t>
      </w:r>
      <w:r w:rsidRPr="002437DD">
        <w:rPr>
          <w:color w:val="auto"/>
        </w:rPr>
        <w:t xml:space="preserve"> and it is typically realised through</w:t>
      </w:r>
    </w:p>
    <w:p w14:paraId="25932DA0" w14:textId="5DDB8BCE" w:rsidR="002437DD" w:rsidRPr="002437DD" w:rsidRDefault="002437DD" w:rsidP="00BB40FF">
      <w:pPr>
        <w:pStyle w:val="Quote"/>
      </w:pPr>
      <w:r w:rsidRPr="002437DD">
        <w:t xml:space="preserve">the mixing of ‘new’ </w:t>
      </w:r>
      <w:proofErr w:type="spellStart"/>
      <w:r w:rsidRPr="002437DD">
        <w:t>recontextualized</w:t>
      </w:r>
      <w:proofErr w:type="spellEnd"/>
      <w:r w:rsidRPr="002437DD">
        <w:t xml:space="preserve"> elements and ‘old’ elements, such as particular words, expressions, arguments, topoi, rhetorical devices and so forth, discourses and genres (p.630).</w:t>
      </w:r>
    </w:p>
    <w:p w14:paraId="1A4A0E05" w14:textId="1E62B369" w:rsidR="002437DD" w:rsidRPr="002437DD" w:rsidRDefault="002437DD" w:rsidP="00BB40FF">
      <w:pPr>
        <w:rPr>
          <w:color w:val="auto"/>
        </w:rPr>
      </w:pPr>
      <w:r w:rsidRPr="002437DD">
        <w:rPr>
          <w:color w:val="auto"/>
        </w:rPr>
        <w:t xml:space="preserve">Processes of </w:t>
      </w:r>
      <w:proofErr w:type="spellStart"/>
      <w:r w:rsidRPr="002437DD">
        <w:rPr>
          <w:color w:val="auto"/>
        </w:rPr>
        <w:t>recontextualisation</w:t>
      </w:r>
      <w:proofErr w:type="spellEnd"/>
      <w:r w:rsidRPr="002437DD">
        <w:rPr>
          <w:color w:val="auto"/>
        </w:rPr>
        <w:t xml:space="preserve"> have been the focus of considerable work in the analysis of organizational discourses. From the perspective of different professional practices (including accounting), </w:t>
      </w:r>
      <w:r w:rsidRPr="002437DD">
        <w:rPr>
          <w:noProof/>
          <w:color w:val="auto"/>
        </w:rPr>
        <w:t>Bhatia (2010)</w:t>
      </w:r>
      <w:r w:rsidRPr="002437DD">
        <w:rPr>
          <w:color w:val="auto"/>
        </w:rPr>
        <w:t xml:space="preserve"> offers an elaboration on the notion of intertextuality and </w:t>
      </w:r>
      <w:proofErr w:type="spellStart"/>
      <w:r w:rsidRPr="002437DD">
        <w:rPr>
          <w:color w:val="auto"/>
        </w:rPr>
        <w:t>interdiscursivity</w:t>
      </w:r>
      <w:proofErr w:type="spellEnd"/>
      <w:r w:rsidRPr="002437DD">
        <w:rPr>
          <w:color w:val="auto"/>
        </w:rPr>
        <w:t xml:space="preserve"> which he views as </w:t>
      </w:r>
      <w:r w:rsidR="00DA51DB">
        <w:rPr>
          <w:color w:val="auto"/>
        </w:rPr>
        <w:t>‘</w:t>
      </w:r>
      <w:r w:rsidRPr="00DA51DB">
        <w:rPr>
          <w:color w:val="auto"/>
        </w:rPr>
        <w:t>tactical appropriations of all forms of semiotic resources across texts, genres, social practices, and cultures […] to achieve ‘private intentions’</w:t>
      </w:r>
      <w:r w:rsidRPr="002437DD">
        <w:rPr>
          <w:color w:val="auto"/>
        </w:rPr>
        <w:t xml:space="preserve"> (p. 37). For </w:t>
      </w:r>
      <w:r w:rsidRPr="002437DD">
        <w:rPr>
          <w:noProof/>
          <w:color w:val="auto"/>
        </w:rPr>
        <w:t>Bhatia (2012b)</w:t>
      </w:r>
      <w:r w:rsidRPr="002437DD">
        <w:rPr>
          <w:color w:val="auto"/>
        </w:rPr>
        <w:t xml:space="preserve"> such appropriation can occur via different practices of </w:t>
      </w:r>
      <w:proofErr w:type="spellStart"/>
      <w:r w:rsidRPr="002437DD">
        <w:rPr>
          <w:color w:val="auto"/>
        </w:rPr>
        <w:lastRenderedPageBreak/>
        <w:t>recontextualisation</w:t>
      </w:r>
      <w:proofErr w:type="spellEnd"/>
      <w:r w:rsidRPr="002437DD">
        <w:rPr>
          <w:color w:val="auto"/>
        </w:rPr>
        <w:t xml:space="preserve">, reframing, </w:t>
      </w:r>
      <w:proofErr w:type="spellStart"/>
      <w:r w:rsidRPr="002437DD">
        <w:rPr>
          <w:color w:val="auto"/>
        </w:rPr>
        <w:t>resemioticisation</w:t>
      </w:r>
      <w:proofErr w:type="spellEnd"/>
      <w:r w:rsidRPr="002437DD">
        <w:rPr>
          <w:color w:val="auto"/>
        </w:rPr>
        <w:t xml:space="preserve">, and reformulation of discourses which can result in hybrid texts where different genres are ‘mixed’, ‘embedded’, or ‘bent’ (p.25) to realise intended meanings. For example, in a study focussing on corporate disclosure of 15 Hong Kong Stock Exchange listed companies, </w:t>
      </w:r>
      <w:r w:rsidRPr="002437DD">
        <w:rPr>
          <w:noProof/>
          <w:color w:val="auto"/>
        </w:rPr>
        <w:t>Bhatia (2012c)</w:t>
      </w:r>
      <w:r w:rsidRPr="002437DD">
        <w:rPr>
          <w:color w:val="auto"/>
        </w:rPr>
        <w:t xml:space="preserve"> contends that companies tend to merge two distinct discourses (Accounting and Public </w:t>
      </w:r>
      <w:r w:rsidR="008D264B">
        <w:rPr>
          <w:color w:val="auto"/>
        </w:rPr>
        <w:t>R</w:t>
      </w:r>
      <w:r w:rsidRPr="002437DD">
        <w:rPr>
          <w:color w:val="auto"/>
        </w:rPr>
        <w:t xml:space="preserve">elations) functional to two distinct purposes (reporting financial data and promoting the company’s image respectively) in one single text (the annual report). Bhatia argues that the strategic combination of legally required and factual data on the one hand, and the rhetorical and sentiment-led language on the other results in a hybrid and mixed genre and that, crucially, </w:t>
      </w:r>
    </w:p>
    <w:p w14:paraId="2608A6D1" w14:textId="30C1694F" w:rsidR="002437DD" w:rsidRPr="008D264B" w:rsidRDefault="002437DD" w:rsidP="00BB40FF">
      <w:pPr>
        <w:pStyle w:val="Quote"/>
      </w:pPr>
      <w:r w:rsidRPr="00E174FE">
        <w:t>such textual proximity is likely to lend marketing and public relations discourse the same factual reliability and hence credibility that is often presupposed from the use of numerical data (p. 396).</w:t>
      </w:r>
      <w:r w:rsidRPr="008D264B">
        <w:t xml:space="preserve">  </w:t>
      </w:r>
    </w:p>
    <w:p w14:paraId="585934B3" w14:textId="77777777" w:rsidR="002437DD" w:rsidRPr="002437DD" w:rsidRDefault="002437DD" w:rsidP="00BB40FF">
      <w:pPr>
        <w:rPr>
          <w:color w:val="auto"/>
        </w:rPr>
      </w:pPr>
    </w:p>
    <w:p w14:paraId="1DB1A465" w14:textId="77777777" w:rsidR="008D264B" w:rsidRDefault="002437DD" w:rsidP="00BB40FF">
      <w:pPr>
        <w:rPr>
          <w:color w:val="auto"/>
        </w:rPr>
      </w:pPr>
      <w:r w:rsidRPr="002437DD">
        <w:rPr>
          <w:color w:val="auto"/>
        </w:rPr>
        <w:t xml:space="preserve">Building on the aforementioned discussion, in this paper we approach the analysis of IR as: </w:t>
      </w:r>
    </w:p>
    <w:p w14:paraId="68EF0060" w14:textId="77305A0C" w:rsidR="008D264B" w:rsidRPr="00E96F99" w:rsidRDefault="002437DD" w:rsidP="003D1A61">
      <w:pPr>
        <w:pStyle w:val="ListParagraph"/>
        <w:numPr>
          <w:ilvl w:val="0"/>
          <w:numId w:val="31"/>
        </w:numPr>
      </w:pPr>
      <w:r w:rsidRPr="003D1A61">
        <w:rPr>
          <w:sz w:val="24"/>
          <w:szCs w:val="24"/>
        </w:rPr>
        <w:t xml:space="preserve">a hybrid text comprising distinct financial, economic, social, and environmental discourses realised through different genres, narratives, styles, and registers; </w:t>
      </w:r>
    </w:p>
    <w:p w14:paraId="5AD1CE25" w14:textId="14FB6FBB" w:rsidR="008D264B" w:rsidRPr="00E96F99" w:rsidRDefault="002437DD" w:rsidP="003D1A61">
      <w:pPr>
        <w:pStyle w:val="ListParagraph"/>
        <w:numPr>
          <w:ilvl w:val="0"/>
          <w:numId w:val="31"/>
        </w:numPr>
      </w:pPr>
      <w:r w:rsidRPr="003D1A61">
        <w:rPr>
          <w:sz w:val="24"/>
          <w:szCs w:val="24"/>
        </w:rPr>
        <w:t xml:space="preserve">a new discursive practice emerging out of the ‘institutional swirl’ </w:t>
      </w:r>
      <w:r w:rsidRPr="003D1A61">
        <w:rPr>
          <w:noProof/>
          <w:sz w:val="24"/>
          <w:szCs w:val="24"/>
        </w:rPr>
        <w:t>(Higgins et al., 2014)</w:t>
      </w:r>
      <w:r w:rsidRPr="003D1A61">
        <w:rPr>
          <w:sz w:val="24"/>
          <w:szCs w:val="24"/>
        </w:rPr>
        <w:t xml:space="preserve"> in which different vested interests compete to establish an order of discourses of sustainability in the field of accounting; and</w:t>
      </w:r>
    </w:p>
    <w:p w14:paraId="1269C143" w14:textId="0CFA05AB" w:rsidR="008D264B" w:rsidRPr="00E96F99" w:rsidRDefault="002437DD" w:rsidP="003D1A61">
      <w:pPr>
        <w:pStyle w:val="ListParagraph"/>
        <w:numPr>
          <w:ilvl w:val="0"/>
          <w:numId w:val="31"/>
        </w:numPr>
      </w:pPr>
      <w:proofErr w:type="gramStart"/>
      <w:r w:rsidRPr="00E174FE">
        <w:rPr>
          <w:sz w:val="24"/>
          <w:szCs w:val="24"/>
        </w:rPr>
        <w:lastRenderedPageBreak/>
        <w:t>a</w:t>
      </w:r>
      <w:proofErr w:type="gramEnd"/>
      <w:r w:rsidRPr="00E174FE">
        <w:rPr>
          <w:sz w:val="24"/>
          <w:szCs w:val="24"/>
        </w:rPr>
        <w:t xml:space="preserve"> communicative event defined by a contextual model of knowledge about setting, participants, and goals (as summarised in </w:t>
      </w:r>
      <w:r w:rsidRPr="00E174FE">
        <w:rPr>
          <w:sz w:val="24"/>
          <w:szCs w:val="24"/>
        </w:rPr>
        <w:fldChar w:fldCharType="begin"/>
      </w:r>
      <w:r w:rsidRPr="00E174FE">
        <w:rPr>
          <w:sz w:val="24"/>
          <w:szCs w:val="24"/>
        </w:rPr>
        <w:instrText xml:space="preserve"> REF _Ref434835211 \h  \* MERGEFORMAT </w:instrText>
      </w:r>
      <w:r w:rsidRPr="00E174FE">
        <w:rPr>
          <w:sz w:val="24"/>
          <w:szCs w:val="24"/>
        </w:rPr>
      </w:r>
      <w:r w:rsidRPr="00E174FE">
        <w:rPr>
          <w:sz w:val="24"/>
          <w:szCs w:val="24"/>
        </w:rPr>
        <w:fldChar w:fldCharType="separate"/>
      </w:r>
      <w:r w:rsidR="00E35E41" w:rsidRPr="00E35E41">
        <w:rPr>
          <w:sz w:val="24"/>
          <w:szCs w:val="24"/>
        </w:rPr>
        <w:t xml:space="preserve">Table </w:t>
      </w:r>
      <w:r w:rsidR="00E35E41" w:rsidRPr="00E35E41">
        <w:rPr>
          <w:noProof/>
          <w:sz w:val="24"/>
          <w:szCs w:val="24"/>
        </w:rPr>
        <w:t>1</w:t>
      </w:r>
      <w:r w:rsidRPr="00E174FE">
        <w:rPr>
          <w:sz w:val="24"/>
          <w:szCs w:val="24"/>
        </w:rPr>
        <w:fldChar w:fldCharType="end"/>
      </w:r>
      <w:r w:rsidRPr="00E174FE">
        <w:rPr>
          <w:sz w:val="24"/>
          <w:szCs w:val="24"/>
        </w:rPr>
        <w:t xml:space="preserve">). </w:t>
      </w:r>
    </w:p>
    <w:p w14:paraId="74A0A7B7" w14:textId="77777777" w:rsidR="008D264B" w:rsidRDefault="008D264B" w:rsidP="00BB40FF">
      <w:pPr>
        <w:rPr>
          <w:color w:val="auto"/>
        </w:rPr>
      </w:pPr>
    </w:p>
    <w:p w14:paraId="648FCBCC" w14:textId="7E27DC50" w:rsidR="002437DD" w:rsidRPr="002437DD" w:rsidRDefault="002437DD" w:rsidP="00BB40FF">
      <w:pPr>
        <w:rPr>
          <w:color w:val="auto"/>
        </w:rPr>
      </w:pPr>
      <w:r w:rsidRPr="002437DD">
        <w:rPr>
          <w:color w:val="auto"/>
        </w:rPr>
        <w:t xml:space="preserve">From these stances we aim to address the following research questions: </w:t>
      </w:r>
    </w:p>
    <w:p w14:paraId="1E38B0AF" w14:textId="53159448" w:rsidR="002437DD" w:rsidRPr="002437DD" w:rsidRDefault="00427C47" w:rsidP="001509F7">
      <w:pPr>
        <w:pStyle w:val="ListParagraph"/>
        <w:numPr>
          <w:ilvl w:val="0"/>
          <w:numId w:val="30"/>
        </w:numPr>
        <w:rPr>
          <w:sz w:val="24"/>
          <w:szCs w:val="24"/>
        </w:rPr>
      </w:pPr>
      <w:r>
        <w:rPr>
          <w:sz w:val="24"/>
          <w:szCs w:val="24"/>
        </w:rPr>
        <w:t>H</w:t>
      </w:r>
      <w:r w:rsidR="002437DD" w:rsidRPr="002437DD">
        <w:rPr>
          <w:sz w:val="24"/>
          <w:szCs w:val="24"/>
        </w:rPr>
        <w:t xml:space="preserve">ow do discourses of sustainability interplay with other discourses in the IRs of early adopters analysed? </w:t>
      </w:r>
    </w:p>
    <w:p w14:paraId="7F59558A" w14:textId="16991575" w:rsidR="002437DD" w:rsidRPr="002437DD" w:rsidRDefault="00427C47" w:rsidP="001509F7">
      <w:pPr>
        <w:pStyle w:val="ListParagraph"/>
        <w:numPr>
          <w:ilvl w:val="0"/>
          <w:numId w:val="30"/>
        </w:numPr>
        <w:rPr>
          <w:sz w:val="24"/>
          <w:szCs w:val="24"/>
        </w:rPr>
      </w:pPr>
      <w:r>
        <w:rPr>
          <w:sz w:val="24"/>
          <w:szCs w:val="24"/>
        </w:rPr>
        <w:t>H</w:t>
      </w:r>
      <w:r w:rsidR="002437DD" w:rsidRPr="002437DD">
        <w:rPr>
          <w:sz w:val="24"/>
          <w:szCs w:val="24"/>
        </w:rPr>
        <w:t>ow are such discourses specifically articulated and circulated in the hybrid context of the IR genre?</w:t>
      </w:r>
    </w:p>
    <w:p w14:paraId="7FDEF1F4" w14:textId="77777777" w:rsidR="002437DD" w:rsidRPr="002437DD" w:rsidRDefault="002437DD" w:rsidP="00BB40FF">
      <w:pPr>
        <w:rPr>
          <w:color w:val="auto"/>
        </w:rPr>
      </w:pPr>
    </w:p>
    <w:p w14:paraId="64DE002B" w14:textId="6BD95631" w:rsidR="002437DD" w:rsidRPr="002437DD" w:rsidRDefault="002437DD" w:rsidP="006048F3">
      <w:pPr>
        <w:pStyle w:val="Caption"/>
      </w:pPr>
      <w:bookmarkStart w:id="3" w:name="_Ref434835211"/>
      <w:r w:rsidRPr="002437DD">
        <w:t xml:space="preserve">Table </w:t>
      </w:r>
      <w:r w:rsidR="00072202">
        <w:fldChar w:fldCharType="begin"/>
      </w:r>
      <w:r w:rsidR="00072202">
        <w:instrText xml:space="preserve"> SEQ Table \* ARABIC </w:instrText>
      </w:r>
      <w:r w:rsidR="00072202">
        <w:fldChar w:fldCharType="separate"/>
      </w:r>
      <w:r w:rsidR="00E35E41">
        <w:rPr>
          <w:noProof/>
        </w:rPr>
        <w:t>1</w:t>
      </w:r>
      <w:r w:rsidR="00072202">
        <w:rPr>
          <w:noProof/>
        </w:rPr>
        <w:fldChar w:fldCharType="end"/>
      </w:r>
      <w:bookmarkEnd w:id="3"/>
      <w:r w:rsidRPr="002437DD">
        <w:t xml:space="preserve"> A contextual model of IR as a communicative situation</w:t>
      </w:r>
    </w:p>
    <w:tbl>
      <w:tblPr>
        <w:tblStyle w:val="TableGrid"/>
        <w:tblW w:w="92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557"/>
      </w:tblGrid>
      <w:tr w:rsidR="002437DD" w:rsidRPr="00E41C6E" w14:paraId="1CB87930" w14:textId="77777777" w:rsidTr="00E174FE">
        <w:tc>
          <w:tcPr>
            <w:tcW w:w="3652" w:type="dxa"/>
          </w:tcPr>
          <w:p w14:paraId="46FC89F0" w14:textId="7E178489" w:rsidR="002437DD" w:rsidRPr="00E41C6E" w:rsidRDefault="002437DD" w:rsidP="00E174FE">
            <w:pPr>
              <w:spacing w:after="240" w:line="240" w:lineRule="auto"/>
              <w:jc w:val="left"/>
              <w:rPr>
                <w:i/>
                <w:color w:val="auto"/>
                <w:sz w:val="22"/>
                <w:szCs w:val="22"/>
              </w:rPr>
            </w:pPr>
            <w:r w:rsidRPr="00E41C6E">
              <w:rPr>
                <w:i/>
                <w:color w:val="auto"/>
                <w:sz w:val="22"/>
                <w:szCs w:val="22"/>
              </w:rPr>
              <w:t>Setting (Place and time)</w:t>
            </w:r>
          </w:p>
        </w:tc>
        <w:tc>
          <w:tcPr>
            <w:tcW w:w="5557" w:type="dxa"/>
          </w:tcPr>
          <w:p w14:paraId="4F23C8F2" w14:textId="77777777" w:rsidR="002437DD" w:rsidRPr="00E41C6E" w:rsidRDefault="002437DD" w:rsidP="00E174FE">
            <w:pPr>
              <w:pStyle w:val="ListParagraph"/>
              <w:numPr>
                <w:ilvl w:val="0"/>
                <w:numId w:val="27"/>
              </w:numPr>
              <w:spacing w:after="240" w:line="240" w:lineRule="auto"/>
              <w:contextualSpacing w:val="0"/>
              <w:jc w:val="left"/>
              <w:rPr>
                <w:i/>
              </w:rPr>
            </w:pPr>
            <w:r w:rsidRPr="00E41C6E">
              <w:rPr>
                <w:i/>
              </w:rPr>
              <w:t>Internal production/external consumption</w:t>
            </w:r>
          </w:p>
          <w:p w14:paraId="6144853E" w14:textId="65B83228" w:rsidR="002437DD" w:rsidRPr="00E41C6E" w:rsidRDefault="002437DD" w:rsidP="00E174FE">
            <w:pPr>
              <w:pStyle w:val="ListParagraph"/>
              <w:numPr>
                <w:ilvl w:val="0"/>
                <w:numId w:val="27"/>
              </w:numPr>
              <w:spacing w:after="240" w:line="240" w:lineRule="auto"/>
              <w:contextualSpacing w:val="0"/>
              <w:jc w:val="left"/>
              <w:rPr>
                <w:i/>
              </w:rPr>
            </w:pPr>
            <w:r w:rsidRPr="00E41C6E">
              <w:rPr>
                <w:i/>
              </w:rPr>
              <w:t>Previous financial year</w:t>
            </w:r>
          </w:p>
        </w:tc>
      </w:tr>
      <w:tr w:rsidR="002437DD" w:rsidRPr="00E41C6E" w14:paraId="415328C2" w14:textId="77777777" w:rsidTr="00E174FE">
        <w:tc>
          <w:tcPr>
            <w:tcW w:w="3652" w:type="dxa"/>
          </w:tcPr>
          <w:p w14:paraId="6C0DDBDC" w14:textId="3FB640EC" w:rsidR="00E174FE" w:rsidRPr="00E41C6E" w:rsidRDefault="002437DD" w:rsidP="00E174FE">
            <w:pPr>
              <w:spacing w:after="240" w:line="240" w:lineRule="auto"/>
              <w:jc w:val="left"/>
              <w:rPr>
                <w:i/>
                <w:color w:val="auto"/>
                <w:sz w:val="22"/>
                <w:szCs w:val="22"/>
              </w:rPr>
            </w:pPr>
            <w:r w:rsidRPr="00E41C6E">
              <w:rPr>
                <w:i/>
                <w:color w:val="auto"/>
                <w:sz w:val="22"/>
                <w:szCs w:val="22"/>
              </w:rPr>
              <w:t>Participants (Identities, Roles, Relations)</w:t>
            </w:r>
          </w:p>
        </w:tc>
        <w:tc>
          <w:tcPr>
            <w:tcW w:w="5557" w:type="dxa"/>
          </w:tcPr>
          <w:p w14:paraId="6AB87451" w14:textId="523CD73E" w:rsidR="002437DD" w:rsidRPr="00E41C6E" w:rsidRDefault="002437DD" w:rsidP="00E174FE">
            <w:pPr>
              <w:pStyle w:val="ListParagraph"/>
              <w:numPr>
                <w:ilvl w:val="0"/>
                <w:numId w:val="27"/>
              </w:numPr>
              <w:spacing w:after="240" w:line="240" w:lineRule="auto"/>
              <w:contextualSpacing w:val="0"/>
              <w:jc w:val="left"/>
              <w:rPr>
                <w:i/>
              </w:rPr>
            </w:pPr>
            <w:r w:rsidRPr="00E41C6E">
              <w:rPr>
                <w:i/>
              </w:rPr>
              <w:t>Organisational ‘we’; chairman, CEO, board of directors, auditors/certifiers, stakeholders addressing current and perspective investors</w:t>
            </w:r>
          </w:p>
        </w:tc>
      </w:tr>
      <w:tr w:rsidR="002437DD" w:rsidRPr="00E41C6E" w14:paraId="0BE9D3AE" w14:textId="77777777" w:rsidTr="00E174FE">
        <w:tc>
          <w:tcPr>
            <w:tcW w:w="3652" w:type="dxa"/>
          </w:tcPr>
          <w:p w14:paraId="2E4F7272" w14:textId="77777777" w:rsidR="002437DD" w:rsidRPr="00E41C6E" w:rsidRDefault="002437DD" w:rsidP="00E174FE">
            <w:pPr>
              <w:spacing w:after="240" w:line="240" w:lineRule="auto"/>
              <w:jc w:val="left"/>
              <w:rPr>
                <w:i/>
                <w:color w:val="auto"/>
                <w:sz w:val="22"/>
                <w:szCs w:val="22"/>
              </w:rPr>
            </w:pPr>
            <w:r w:rsidRPr="00E41C6E">
              <w:rPr>
                <w:i/>
                <w:color w:val="auto"/>
                <w:sz w:val="22"/>
                <w:szCs w:val="22"/>
              </w:rPr>
              <w:t>Social Acts, Goals</w:t>
            </w:r>
          </w:p>
        </w:tc>
        <w:tc>
          <w:tcPr>
            <w:tcW w:w="5557" w:type="dxa"/>
          </w:tcPr>
          <w:p w14:paraId="38E63C55" w14:textId="77777777" w:rsidR="002437DD" w:rsidRPr="00E41C6E" w:rsidRDefault="002437DD" w:rsidP="00E174FE">
            <w:pPr>
              <w:pStyle w:val="ListParagraph"/>
              <w:numPr>
                <w:ilvl w:val="0"/>
                <w:numId w:val="27"/>
              </w:numPr>
              <w:spacing w:after="240" w:line="240" w:lineRule="auto"/>
              <w:contextualSpacing w:val="0"/>
              <w:jc w:val="left"/>
              <w:rPr>
                <w:i/>
              </w:rPr>
            </w:pPr>
            <w:r w:rsidRPr="00E41C6E">
              <w:rPr>
                <w:i/>
              </w:rPr>
              <w:t>Providing public information about the company</w:t>
            </w:r>
          </w:p>
          <w:p w14:paraId="05BBA2DD" w14:textId="4732E62B" w:rsidR="002437DD" w:rsidRPr="00E41C6E" w:rsidRDefault="002437DD" w:rsidP="00E174FE">
            <w:pPr>
              <w:pStyle w:val="ListParagraph"/>
              <w:numPr>
                <w:ilvl w:val="0"/>
                <w:numId w:val="27"/>
              </w:numPr>
              <w:spacing w:after="240" w:line="240" w:lineRule="auto"/>
              <w:contextualSpacing w:val="0"/>
              <w:jc w:val="left"/>
              <w:rPr>
                <w:i/>
              </w:rPr>
            </w:pPr>
            <w:r w:rsidRPr="00E41C6E">
              <w:rPr>
                <w:i/>
              </w:rPr>
              <w:t>Complying with legal requirements</w:t>
            </w:r>
          </w:p>
          <w:p w14:paraId="73A55634" w14:textId="031A57A5" w:rsidR="002437DD" w:rsidRPr="00E41C6E" w:rsidRDefault="002437DD" w:rsidP="00E174FE">
            <w:pPr>
              <w:pStyle w:val="ListParagraph"/>
              <w:numPr>
                <w:ilvl w:val="0"/>
                <w:numId w:val="27"/>
              </w:numPr>
              <w:spacing w:after="240" w:line="240" w:lineRule="auto"/>
              <w:contextualSpacing w:val="0"/>
              <w:jc w:val="left"/>
              <w:rPr>
                <w:i/>
              </w:rPr>
            </w:pPr>
            <w:r w:rsidRPr="00E41C6E">
              <w:rPr>
                <w:i/>
              </w:rPr>
              <w:t xml:space="preserve">Accounting for organisations’ strategy and activities </w:t>
            </w:r>
          </w:p>
          <w:p w14:paraId="28E8F41D" w14:textId="0E802BB3" w:rsidR="002437DD" w:rsidRPr="00E41C6E" w:rsidRDefault="002437DD" w:rsidP="00E174FE">
            <w:pPr>
              <w:pStyle w:val="ListParagraph"/>
              <w:numPr>
                <w:ilvl w:val="0"/>
                <w:numId w:val="27"/>
              </w:numPr>
              <w:spacing w:after="240" w:line="240" w:lineRule="auto"/>
              <w:contextualSpacing w:val="0"/>
              <w:jc w:val="left"/>
              <w:rPr>
                <w:i/>
              </w:rPr>
            </w:pPr>
            <w:r w:rsidRPr="00E41C6E">
              <w:rPr>
                <w:i/>
              </w:rPr>
              <w:t>Building/maintaining shareholders’ trust</w:t>
            </w:r>
          </w:p>
        </w:tc>
      </w:tr>
      <w:tr w:rsidR="002437DD" w:rsidRPr="00E41C6E" w14:paraId="7B9E242C" w14:textId="77777777" w:rsidTr="00E174FE">
        <w:tc>
          <w:tcPr>
            <w:tcW w:w="3652" w:type="dxa"/>
          </w:tcPr>
          <w:p w14:paraId="246A7734" w14:textId="77777777" w:rsidR="002437DD" w:rsidRPr="00E41C6E" w:rsidRDefault="002437DD" w:rsidP="0021336F">
            <w:pPr>
              <w:spacing w:after="240" w:line="240" w:lineRule="auto"/>
              <w:rPr>
                <w:i/>
                <w:color w:val="auto"/>
                <w:sz w:val="22"/>
                <w:szCs w:val="22"/>
              </w:rPr>
            </w:pPr>
          </w:p>
        </w:tc>
        <w:tc>
          <w:tcPr>
            <w:tcW w:w="5557" w:type="dxa"/>
          </w:tcPr>
          <w:p w14:paraId="236BDA30" w14:textId="77777777" w:rsidR="002437DD" w:rsidRPr="00E41C6E" w:rsidRDefault="002437DD" w:rsidP="0021336F">
            <w:pPr>
              <w:spacing w:after="240" w:line="240" w:lineRule="auto"/>
              <w:rPr>
                <w:i/>
                <w:color w:val="auto"/>
                <w:sz w:val="22"/>
                <w:szCs w:val="22"/>
              </w:rPr>
            </w:pPr>
            <w:r w:rsidRPr="00E41C6E">
              <w:rPr>
                <w:i/>
                <w:color w:val="auto"/>
                <w:sz w:val="22"/>
                <w:szCs w:val="22"/>
              </w:rPr>
              <w:t xml:space="preserve"> </w:t>
            </w:r>
          </w:p>
        </w:tc>
      </w:tr>
    </w:tbl>
    <w:p w14:paraId="0349F56E" w14:textId="77777777" w:rsidR="002437DD" w:rsidRPr="002437DD" w:rsidRDefault="002437DD" w:rsidP="00BB40FF">
      <w:pPr>
        <w:rPr>
          <w:color w:val="auto"/>
        </w:rPr>
      </w:pPr>
    </w:p>
    <w:p w14:paraId="21731CA7" w14:textId="77777777" w:rsidR="002437DD" w:rsidRPr="002437DD" w:rsidRDefault="002437DD" w:rsidP="00CB272D">
      <w:pPr>
        <w:pStyle w:val="Heading1"/>
        <w:rPr>
          <w:color w:val="auto"/>
        </w:rPr>
      </w:pPr>
      <w:bookmarkStart w:id="4" w:name="_Ref418158797"/>
      <w:r w:rsidRPr="002437DD">
        <w:rPr>
          <w:color w:val="auto"/>
        </w:rPr>
        <w:t>Data and methods</w:t>
      </w:r>
      <w:bookmarkEnd w:id="4"/>
    </w:p>
    <w:p w14:paraId="581EFD4C" w14:textId="77777777" w:rsidR="002437DD" w:rsidRPr="002437DD" w:rsidRDefault="002437DD" w:rsidP="00BB40FF">
      <w:pPr>
        <w:rPr>
          <w:color w:val="auto"/>
        </w:rPr>
      </w:pPr>
    </w:p>
    <w:p w14:paraId="37E82327" w14:textId="6E784F79" w:rsidR="002437DD" w:rsidRPr="002437DD" w:rsidRDefault="002437DD" w:rsidP="00BB40FF">
      <w:pPr>
        <w:rPr>
          <w:color w:val="auto"/>
        </w:rPr>
      </w:pPr>
      <w:r w:rsidRPr="002437DD">
        <w:rPr>
          <w:color w:val="auto"/>
        </w:rPr>
        <w:t>Our data come from the IIRC online database which, at the time of our search in late 2014, contained 92 examples of reports released by a total of 72 different organisations in relation to the financial years 2011, 2012, and 2013. Th</w:t>
      </w:r>
      <w:r w:rsidR="008D264B">
        <w:rPr>
          <w:color w:val="auto"/>
        </w:rPr>
        <w:t>is</w:t>
      </w:r>
      <w:r w:rsidRPr="002437DD">
        <w:rPr>
          <w:color w:val="auto"/>
        </w:rPr>
        <w:t xml:space="preserve"> database was selected because, </w:t>
      </w:r>
      <w:r w:rsidR="008D264B">
        <w:rPr>
          <w:color w:val="auto"/>
        </w:rPr>
        <w:t xml:space="preserve">in </w:t>
      </w:r>
      <w:r w:rsidRPr="002437DD">
        <w:rPr>
          <w:color w:val="auto"/>
        </w:rPr>
        <w:t xml:space="preserve">effect, reports </w:t>
      </w:r>
      <w:r w:rsidR="008D264B">
        <w:rPr>
          <w:color w:val="auto"/>
        </w:rPr>
        <w:t>were</w:t>
      </w:r>
      <w:r w:rsidR="008D264B" w:rsidRPr="002437DD">
        <w:rPr>
          <w:color w:val="auto"/>
        </w:rPr>
        <w:t xml:space="preserve"> </w:t>
      </w:r>
      <w:r w:rsidRPr="002437DD">
        <w:rPr>
          <w:color w:val="auto"/>
        </w:rPr>
        <w:t xml:space="preserve">endorsed by the IIRC as </w:t>
      </w:r>
      <w:r w:rsidRPr="002437DD">
        <w:rPr>
          <w:color w:val="auto"/>
        </w:rPr>
        <w:lastRenderedPageBreak/>
        <w:t xml:space="preserve">good examples of the then emerging IR practices, examples that other adopters might chose to follow </w:t>
      </w:r>
      <w:r w:rsidRPr="002437DD">
        <w:rPr>
          <w:rStyle w:val="EndnoteReference"/>
          <w:color w:val="auto"/>
        </w:rPr>
        <w:endnoteReference w:id="6"/>
      </w:r>
      <w:r w:rsidRPr="002437DD">
        <w:rPr>
          <w:color w:val="auto"/>
        </w:rPr>
        <w:t>.</w:t>
      </w:r>
    </w:p>
    <w:p w14:paraId="5F996123" w14:textId="77777777" w:rsidR="002437DD" w:rsidRPr="002437DD" w:rsidRDefault="002437DD" w:rsidP="00BB40FF">
      <w:pPr>
        <w:rPr>
          <w:color w:val="auto"/>
        </w:rPr>
      </w:pPr>
    </w:p>
    <w:p w14:paraId="0C8543C0" w14:textId="188DD816" w:rsidR="008D264B" w:rsidRDefault="002437DD" w:rsidP="00BB40FF">
      <w:pPr>
        <w:rPr>
          <w:color w:val="auto"/>
        </w:rPr>
      </w:pPr>
      <w:r w:rsidRPr="002437DD">
        <w:rPr>
          <w:color w:val="auto"/>
        </w:rPr>
        <w:t>From the IIRC database we selected a sample of 34 reports based on the criteria that the company publishing the report had to have a report available on the IIRC database for at least two of the three-year range covered at the time by the search engine (2011-2013) to ensure a degree of methodological consistency. The corpus of reports represent</w:t>
      </w:r>
      <w:r w:rsidR="008D264B">
        <w:rPr>
          <w:color w:val="auto"/>
        </w:rPr>
        <w:t>s</w:t>
      </w:r>
      <w:r w:rsidRPr="002437DD">
        <w:rPr>
          <w:color w:val="auto"/>
        </w:rPr>
        <w:t xml:space="preserve"> a good sample of different industries including telecommunications, financial services, oil, pharmaceutical, estate management, food, mining, and energy. A list of organisations, documents and relevant details is provided in the appendix. Documents were analysed at ‘thematic’ (or macro) and ‘in-depth’ (or micro) linguistic levels </w:t>
      </w:r>
      <w:r w:rsidRPr="002437DD">
        <w:rPr>
          <w:noProof/>
          <w:color w:val="auto"/>
        </w:rPr>
        <w:t>(Krzyżanowski, 2010)</w:t>
      </w:r>
      <w:r w:rsidRPr="002437DD">
        <w:rPr>
          <w:color w:val="auto"/>
        </w:rPr>
        <w:t xml:space="preserve">. </w:t>
      </w:r>
    </w:p>
    <w:p w14:paraId="5429BEC5" w14:textId="77777777" w:rsidR="008D264B" w:rsidRDefault="008D264B" w:rsidP="00BB40FF">
      <w:pPr>
        <w:rPr>
          <w:color w:val="auto"/>
        </w:rPr>
      </w:pPr>
    </w:p>
    <w:p w14:paraId="1A3070FB" w14:textId="76E7108A" w:rsidR="002437DD" w:rsidRPr="002437DD" w:rsidRDefault="002437DD" w:rsidP="00BB40FF">
      <w:pPr>
        <w:rPr>
          <w:color w:val="auto"/>
        </w:rPr>
      </w:pPr>
      <w:r w:rsidRPr="002437DD">
        <w:rPr>
          <w:color w:val="auto"/>
        </w:rPr>
        <w:t xml:space="preserve">Each report was downloaded in PDF format and initially examined at a macro-level in its combination of texts, figures, charts, diagrams, financial data, and pictures for two purposes. The first purpose was to yield a taxonomy of the different functional sections, ‘voices’, (sub)genres, and macro discursive themes that made up each IR. The second purpose was to assess the distribution of discourses of sustainability across and within each document and their main relations with different functional sections. To achieve this objective, we traced the lemma </w:t>
      </w:r>
      <w:r w:rsidRPr="002437DD">
        <w:rPr>
          <w:i/>
          <w:color w:val="auto"/>
        </w:rPr>
        <w:t>sustain</w:t>
      </w:r>
      <w:r w:rsidRPr="002437DD">
        <w:rPr>
          <w:color w:val="auto"/>
        </w:rPr>
        <w:t xml:space="preserve">* through the ‘concordance plot’ tool in </w:t>
      </w:r>
      <w:proofErr w:type="spellStart"/>
      <w:r w:rsidRPr="002437DD">
        <w:rPr>
          <w:color w:val="auto"/>
        </w:rPr>
        <w:t>Antconc</w:t>
      </w:r>
      <w:proofErr w:type="spellEnd"/>
      <w:r w:rsidRPr="002437DD">
        <w:rPr>
          <w:color w:val="auto"/>
        </w:rPr>
        <w:t xml:space="preserve"> </w:t>
      </w:r>
      <w:r w:rsidRPr="002437DD">
        <w:rPr>
          <w:noProof/>
          <w:color w:val="auto"/>
        </w:rPr>
        <w:t>(Anthony, 2012)</w:t>
      </w:r>
      <w:r w:rsidRPr="002437DD">
        <w:rPr>
          <w:color w:val="auto"/>
        </w:rPr>
        <w:t xml:space="preserve"> (see below for details).</w:t>
      </w:r>
      <w:r w:rsidR="008D264B">
        <w:rPr>
          <w:color w:val="auto"/>
        </w:rPr>
        <w:t xml:space="preserve"> W</w:t>
      </w:r>
      <w:r w:rsidRPr="002437DD">
        <w:rPr>
          <w:color w:val="auto"/>
        </w:rPr>
        <w:t xml:space="preserve">e </w:t>
      </w:r>
      <w:r w:rsidR="008D264B">
        <w:rPr>
          <w:color w:val="auto"/>
        </w:rPr>
        <w:t>also used</w:t>
      </w:r>
      <w:r w:rsidRPr="002437DD">
        <w:rPr>
          <w:color w:val="auto"/>
        </w:rPr>
        <w:t xml:space="preserve"> indexes or tables of content as stated in each IR as proxies for how discourses were ‘ordered’.  </w:t>
      </w:r>
    </w:p>
    <w:p w14:paraId="4F6B0AED" w14:textId="77777777" w:rsidR="002437DD" w:rsidRPr="002437DD" w:rsidRDefault="002437DD" w:rsidP="00BB40FF">
      <w:pPr>
        <w:rPr>
          <w:color w:val="auto"/>
        </w:rPr>
      </w:pPr>
    </w:p>
    <w:p w14:paraId="5AC82D24" w14:textId="78675EF9" w:rsidR="00DD3BBA" w:rsidRDefault="002437DD" w:rsidP="00BB40FF">
      <w:pPr>
        <w:rPr>
          <w:color w:val="auto"/>
        </w:rPr>
      </w:pPr>
      <w:r w:rsidRPr="002437DD">
        <w:rPr>
          <w:color w:val="auto"/>
        </w:rPr>
        <w:lastRenderedPageBreak/>
        <w:t xml:space="preserve">At this stage, a preliminary analysis enabled us to establish that, although textual and other data were idiosyncratically organised, two main sections were clearly distinguishable </w:t>
      </w:r>
      <w:r w:rsidR="008D264B" w:rsidRPr="002437DD">
        <w:rPr>
          <w:color w:val="auto"/>
        </w:rPr>
        <w:t>in each IR analysed</w:t>
      </w:r>
      <w:r w:rsidR="008D264B">
        <w:rPr>
          <w:color w:val="auto"/>
        </w:rPr>
        <w:t>. These</w:t>
      </w:r>
      <w:r w:rsidRPr="002437DD">
        <w:rPr>
          <w:color w:val="auto"/>
        </w:rPr>
        <w:t xml:space="preserve"> supported different functions: a section containing the organisation’s financial statements (performing a legal requirement) and a section discussing the organisation in relation to ‘governance’ and ‘marketplace’ narratives (which we primarily regard as </w:t>
      </w:r>
      <w:r w:rsidR="00DD3BBA">
        <w:rPr>
          <w:color w:val="auto"/>
        </w:rPr>
        <w:t>fulfilling</w:t>
      </w:r>
      <w:r w:rsidRPr="002437DD">
        <w:rPr>
          <w:color w:val="auto"/>
        </w:rPr>
        <w:t xml:space="preserve"> broader accountability or public relations functions). </w:t>
      </w:r>
    </w:p>
    <w:p w14:paraId="4A155C48" w14:textId="77777777" w:rsidR="00DD3BBA" w:rsidRDefault="00DD3BBA" w:rsidP="00BB40FF">
      <w:pPr>
        <w:rPr>
          <w:color w:val="auto"/>
        </w:rPr>
      </w:pPr>
    </w:p>
    <w:p w14:paraId="588EF359" w14:textId="07A95FEF" w:rsidR="002437DD" w:rsidRPr="002437DD" w:rsidRDefault="002437DD" w:rsidP="00BB40FF">
      <w:pPr>
        <w:rPr>
          <w:color w:val="auto"/>
        </w:rPr>
      </w:pPr>
      <w:r w:rsidRPr="002437DD">
        <w:rPr>
          <w:color w:val="auto"/>
        </w:rPr>
        <w:t>The financial data section contained: the annual financial report; information on boards of directors (hierarchy, biographies, etc.); factual information including how the report was compiled (compliance with standards); and an audit and assurance section. As this</w:t>
      </w:r>
      <w:r w:rsidR="00DD3BBA">
        <w:rPr>
          <w:color w:val="auto"/>
        </w:rPr>
        <w:t xml:space="preserve"> </w:t>
      </w:r>
      <w:r w:rsidRPr="002437DD">
        <w:rPr>
          <w:color w:val="auto"/>
        </w:rPr>
        <w:t>information required by regulations follows a conventional format, uses technical terms, and largely relies on figures, it falls outside the scope of our research aims (i.e. providing insights on the discursive articulations of sustainability) and, therefore, was excluded from our linguistic analysis. Instead, we concentrated on the</w:t>
      </w:r>
      <w:r w:rsidR="00DD3BBA">
        <w:rPr>
          <w:color w:val="auto"/>
        </w:rPr>
        <w:t xml:space="preserve"> more flexible and lesser regulated</w:t>
      </w:r>
      <w:r w:rsidRPr="002437DD">
        <w:rPr>
          <w:color w:val="auto"/>
        </w:rPr>
        <w:t xml:space="preserve"> ‘governance’ and ‘marketplace’ sections to unpack discourses of sustainability in terms of their semantic and discursive features (see next section).  </w:t>
      </w:r>
    </w:p>
    <w:p w14:paraId="7F1A8195" w14:textId="77777777" w:rsidR="002437DD" w:rsidRPr="002437DD" w:rsidRDefault="002437DD" w:rsidP="00BB40FF">
      <w:pPr>
        <w:rPr>
          <w:color w:val="auto"/>
        </w:rPr>
      </w:pPr>
    </w:p>
    <w:p w14:paraId="36EA32AE" w14:textId="1A318983" w:rsidR="002437DD" w:rsidRPr="002437DD" w:rsidRDefault="002437DD" w:rsidP="00BB40FF">
      <w:pPr>
        <w:rPr>
          <w:color w:val="auto"/>
        </w:rPr>
      </w:pPr>
      <w:r w:rsidRPr="002437DD">
        <w:rPr>
          <w:color w:val="auto"/>
        </w:rPr>
        <w:t>PDFs were subsequently converted into TXT format to conduct an in-depth textual analysis. At this stage, our analytical concern was the identification of discourses of sustainability, their co-articulation with(in) other discourses, and their specific linguistic realisations. We conducted our in-depth analysis on discourse-pragmatic levels and lexical-semantic, aiming to combine a heuristic approach in the former with corpus linguistic methods in the latter</w:t>
      </w:r>
      <w:r w:rsidRPr="002437DD">
        <w:rPr>
          <w:rStyle w:val="EndnoteReference"/>
          <w:color w:val="auto"/>
        </w:rPr>
        <w:endnoteReference w:id="7"/>
      </w:r>
      <w:r w:rsidRPr="002437DD">
        <w:rPr>
          <w:color w:val="auto"/>
        </w:rPr>
        <w:t xml:space="preserve">. </w:t>
      </w:r>
    </w:p>
    <w:p w14:paraId="51A7194C" w14:textId="77777777" w:rsidR="002437DD" w:rsidRPr="002437DD" w:rsidRDefault="002437DD" w:rsidP="00BB40FF">
      <w:pPr>
        <w:rPr>
          <w:color w:val="auto"/>
        </w:rPr>
      </w:pPr>
    </w:p>
    <w:p w14:paraId="12825B85" w14:textId="07D1FFD0" w:rsidR="002437DD" w:rsidRPr="002437DD" w:rsidRDefault="002437DD" w:rsidP="00BB40FF">
      <w:pPr>
        <w:rPr>
          <w:color w:val="auto"/>
        </w:rPr>
      </w:pPr>
      <w:r w:rsidRPr="002437DD">
        <w:rPr>
          <w:color w:val="auto"/>
        </w:rPr>
        <w:t xml:space="preserve">At a discursive-pragmatic level the analysis followed </w:t>
      </w:r>
      <w:proofErr w:type="spellStart"/>
      <w:r w:rsidRPr="002437DD">
        <w:rPr>
          <w:color w:val="auto"/>
        </w:rPr>
        <w:t>Wodak</w:t>
      </w:r>
      <w:proofErr w:type="spellEnd"/>
      <w:r w:rsidRPr="002437DD">
        <w:rPr>
          <w:color w:val="auto"/>
        </w:rPr>
        <w:t xml:space="preserve"> et al.’s </w:t>
      </w:r>
      <w:r w:rsidRPr="002437DD">
        <w:rPr>
          <w:noProof/>
          <w:color w:val="auto"/>
        </w:rPr>
        <w:t>(2009)</w:t>
      </w:r>
      <w:r w:rsidRPr="002437DD">
        <w:rPr>
          <w:color w:val="auto"/>
        </w:rPr>
        <w:t xml:space="preserve"> multilevel model focusing on: epistemic orientation of statements; argumentation schemes or frames; linguistic strategies (e.g. justification); </w:t>
      </w:r>
      <w:r w:rsidRPr="002437DD">
        <w:rPr>
          <w:i/>
          <w:color w:val="auto"/>
        </w:rPr>
        <w:t>topoi</w:t>
      </w:r>
      <w:r w:rsidRPr="002437DD">
        <w:rPr>
          <w:color w:val="auto"/>
        </w:rPr>
        <w:t xml:space="preserve"> (i.e. implicit/explicit assumptions or premises that warrant an argument). At a lexical-semantic level we focused on systematic linguistic features through which arguments were realised. To do so, we initially conducted a corpus analysis with </w:t>
      </w:r>
      <w:proofErr w:type="spellStart"/>
      <w:r w:rsidRPr="002437DD">
        <w:rPr>
          <w:color w:val="auto"/>
        </w:rPr>
        <w:t>Antcon</w:t>
      </w:r>
      <w:proofErr w:type="spellEnd"/>
      <w:r w:rsidRPr="002437DD">
        <w:rPr>
          <w:color w:val="auto"/>
        </w:rPr>
        <w:t xml:space="preserve"> to trace occurrences of the lemma </w:t>
      </w:r>
      <w:r w:rsidRPr="002437DD">
        <w:rPr>
          <w:i/>
          <w:color w:val="auto"/>
        </w:rPr>
        <w:t>sustain</w:t>
      </w:r>
      <w:r w:rsidRPr="002437DD">
        <w:rPr>
          <w:color w:val="auto"/>
        </w:rPr>
        <w:t>* and their concordance.</w:t>
      </w:r>
      <w:r w:rsidR="00DD3BBA">
        <w:rPr>
          <w:color w:val="auto"/>
        </w:rPr>
        <w:t xml:space="preserve"> W</w:t>
      </w:r>
      <w:r w:rsidRPr="002437DD">
        <w:rPr>
          <w:color w:val="auto"/>
        </w:rPr>
        <w:t xml:space="preserve">e examined the context or collocation of each occurrence (by making use of the KWIC tool in </w:t>
      </w:r>
      <w:proofErr w:type="spellStart"/>
      <w:r w:rsidRPr="002437DD">
        <w:rPr>
          <w:color w:val="auto"/>
        </w:rPr>
        <w:t>Antcon</w:t>
      </w:r>
      <w:proofErr w:type="spellEnd"/>
      <w:r w:rsidRPr="002437DD">
        <w:rPr>
          <w:color w:val="auto"/>
        </w:rPr>
        <w:t xml:space="preserve">) to map a semantic field of </w:t>
      </w:r>
      <w:r w:rsidRPr="002437DD">
        <w:rPr>
          <w:i/>
          <w:color w:val="auto"/>
        </w:rPr>
        <w:t>sustain</w:t>
      </w:r>
      <w:r w:rsidRPr="002437DD">
        <w:rPr>
          <w:color w:val="auto"/>
        </w:rPr>
        <w:t xml:space="preserve">* aimed at defining who or what was represented as ‘(un)sustainable’ and whom or what ‘sustainability’ was attributed to. </w:t>
      </w:r>
    </w:p>
    <w:p w14:paraId="2DFDA7CD" w14:textId="77777777" w:rsidR="002437DD" w:rsidRPr="002437DD" w:rsidRDefault="002437DD" w:rsidP="00BB40FF">
      <w:pPr>
        <w:rPr>
          <w:color w:val="auto"/>
        </w:rPr>
      </w:pPr>
      <w:r w:rsidRPr="002437DD">
        <w:rPr>
          <w:color w:val="auto"/>
        </w:rPr>
        <w:t xml:space="preserve">  </w:t>
      </w:r>
    </w:p>
    <w:p w14:paraId="771B3CEF" w14:textId="77777777" w:rsidR="002437DD" w:rsidRPr="002437DD" w:rsidRDefault="002437DD" w:rsidP="00CB272D">
      <w:pPr>
        <w:pStyle w:val="Heading1"/>
        <w:rPr>
          <w:color w:val="auto"/>
        </w:rPr>
      </w:pPr>
      <w:bookmarkStart w:id="5" w:name="_Ref418158829"/>
      <w:r w:rsidRPr="002437DD">
        <w:rPr>
          <w:color w:val="auto"/>
        </w:rPr>
        <w:t xml:space="preserve">Findings </w:t>
      </w:r>
      <w:bookmarkEnd w:id="5"/>
    </w:p>
    <w:p w14:paraId="6AFD9861" w14:textId="77777777" w:rsidR="002437DD" w:rsidRPr="002437DD" w:rsidRDefault="002437DD" w:rsidP="00BB40FF">
      <w:pPr>
        <w:rPr>
          <w:color w:val="auto"/>
        </w:rPr>
      </w:pPr>
    </w:p>
    <w:p w14:paraId="1DCBAF4F" w14:textId="4DE56690" w:rsidR="002437DD" w:rsidRPr="002437DD" w:rsidRDefault="002437DD" w:rsidP="00A97E4A">
      <w:pPr>
        <w:pStyle w:val="Heading2"/>
      </w:pPr>
      <w:r w:rsidRPr="002437DD">
        <w:t>Thematic analysis</w:t>
      </w:r>
    </w:p>
    <w:p w14:paraId="2A113D19" w14:textId="77777777" w:rsidR="002437DD" w:rsidRPr="002437DD" w:rsidRDefault="002437DD" w:rsidP="00BB40FF">
      <w:pPr>
        <w:rPr>
          <w:color w:val="auto"/>
        </w:rPr>
      </w:pPr>
    </w:p>
    <w:p w14:paraId="7261A1ED" w14:textId="25EEFC20" w:rsidR="002437DD" w:rsidRDefault="002437DD" w:rsidP="00BB40FF">
      <w:pPr>
        <w:rPr>
          <w:color w:val="auto"/>
        </w:rPr>
      </w:pPr>
      <w:r w:rsidRPr="002437DD">
        <w:rPr>
          <w:color w:val="auto"/>
        </w:rPr>
        <w:t>The ‘governance’ and ‘marketplace’ sections of the reports typically contained a presentation/discussion of the organisation (</w:t>
      </w:r>
      <w:r w:rsidRPr="002437DD">
        <w:rPr>
          <w:i/>
          <w:color w:val="auto"/>
        </w:rPr>
        <w:t>‘who we are’</w:t>
      </w:r>
      <w:r w:rsidRPr="002437DD">
        <w:rPr>
          <w:color w:val="auto"/>
        </w:rPr>
        <w:t>); its line of business (</w:t>
      </w:r>
      <w:r w:rsidRPr="002437DD">
        <w:rPr>
          <w:i/>
          <w:color w:val="auto"/>
        </w:rPr>
        <w:t>‘what we do’</w:t>
      </w:r>
      <w:r w:rsidRPr="002437DD">
        <w:rPr>
          <w:color w:val="auto"/>
        </w:rPr>
        <w:t>); its position in the market (</w:t>
      </w:r>
      <w:r w:rsidRPr="002437DD">
        <w:rPr>
          <w:i/>
          <w:color w:val="auto"/>
        </w:rPr>
        <w:t>‘where we are’</w:t>
      </w:r>
      <w:r w:rsidRPr="002437DD">
        <w:rPr>
          <w:color w:val="auto"/>
        </w:rPr>
        <w:t xml:space="preserve">); its performance and business model </w:t>
      </w:r>
      <w:r w:rsidRPr="002437DD">
        <w:rPr>
          <w:i/>
          <w:color w:val="auto"/>
        </w:rPr>
        <w:t>(‘what we have done and how’</w:t>
      </w:r>
      <w:r w:rsidRPr="002437DD">
        <w:rPr>
          <w:color w:val="auto"/>
        </w:rPr>
        <w:t xml:space="preserve">); its strategy and vision for the future and its model of risk management </w:t>
      </w:r>
      <w:r w:rsidRPr="002437DD">
        <w:rPr>
          <w:i/>
          <w:color w:val="auto"/>
        </w:rPr>
        <w:t>(‘where we want to go, how and at what cost’</w:t>
      </w:r>
      <w:r w:rsidRPr="002437DD">
        <w:rPr>
          <w:color w:val="auto"/>
        </w:rPr>
        <w:t xml:space="preserve">). Embedded within the ‘governance’ and ‘marketplace’ sections (usually in early parts of these sections), most documents featured two distinctive texts recognisable as the Chairperson’s and the Chief Executive’s statements. These </w:t>
      </w:r>
      <w:r w:rsidRPr="002437DD">
        <w:rPr>
          <w:color w:val="auto"/>
        </w:rPr>
        <w:lastRenderedPageBreak/>
        <w:t>typically consist</w:t>
      </w:r>
      <w:r w:rsidR="00DD3BBA">
        <w:rPr>
          <w:color w:val="auto"/>
        </w:rPr>
        <w:t>ed</w:t>
      </w:r>
      <w:r w:rsidRPr="002437DD">
        <w:rPr>
          <w:color w:val="auto"/>
        </w:rPr>
        <w:t xml:space="preserve"> of a ‘letter to s</w:t>
      </w:r>
      <w:r w:rsidR="00DD3BBA">
        <w:rPr>
          <w:color w:val="auto"/>
        </w:rPr>
        <w:t>hare</w:t>
      </w:r>
      <w:r w:rsidRPr="002437DD">
        <w:rPr>
          <w:color w:val="auto"/>
        </w:rPr>
        <w:t xml:space="preserve">holders’ reporting on the company performance and its future strategy </w:t>
      </w:r>
      <w:r w:rsidR="00DD3BBA">
        <w:rPr>
          <w:color w:val="auto"/>
        </w:rPr>
        <w:t>in a way that</w:t>
      </w:r>
      <w:r w:rsidRPr="002437DD">
        <w:rPr>
          <w:color w:val="auto"/>
        </w:rPr>
        <w:t xml:space="preserve"> rhetorically validat</w:t>
      </w:r>
      <w:r w:rsidR="00DD3BBA">
        <w:rPr>
          <w:color w:val="auto"/>
        </w:rPr>
        <w:t>ed</w:t>
      </w:r>
      <w:r w:rsidRPr="002437DD">
        <w:rPr>
          <w:color w:val="auto"/>
        </w:rPr>
        <w:t xml:space="preserve"> the organisation’s narratives through a ‘leadership voice’. A summary of the main discursive themes, genres, voices, and semiotic realisations found in the ‘governance’ and ‘marketplace’ sections is presented in </w:t>
      </w:r>
      <w:r w:rsidRPr="002437DD">
        <w:rPr>
          <w:color w:val="auto"/>
        </w:rPr>
        <w:fldChar w:fldCharType="begin"/>
      </w:r>
      <w:r w:rsidRPr="002437DD">
        <w:rPr>
          <w:color w:val="auto"/>
        </w:rPr>
        <w:instrText xml:space="preserve"> REF _Ref427066298 \h </w:instrText>
      </w:r>
      <w:r>
        <w:rPr>
          <w:color w:val="auto"/>
        </w:rPr>
        <w:instrText xml:space="preserve"> \* MERGEFORMAT </w:instrText>
      </w:r>
      <w:r w:rsidRPr="002437DD">
        <w:rPr>
          <w:color w:val="auto"/>
        </w:rPr>
      </w:r>
      <w:r w:rsidRPr="002437DD">
        <w:rPr>
          <w:color w:val="auto"/>
        </w:rPr>
        <w:fldChar w:fldCharType="separate"/>
      </w:r>
      <w:r w:rsidR="00E35E41" w:rsidRPr="00E35E41">
        <w:rPr>
          <w:color w:val="auto"/>
        </w:rPr>
        <w:t xml:space="preserve">Table </w:t>
      </w:r>
      <w:r w:rsidR="00E35E41" w:rsidRPr="00E35E41">
        <w:rPr>
          <w:noProof/>
          <w:color w:val="auto"/>
        </w:rPr>
        <w:t>2</w:t>
      </w:r>
      <w:r w:rsidRPr="002437DD">
        <w:rPr>
          <w:color w:val="auto"/>
        </w:rPr>
        <w:fldChar w:fldCharType="end"/>
      </w:r>
      <w:r w:rsidRPr="002437DD">
        <w:rPr>
          <w:color w:val="auto"/>
        </w:rPr>
        <w:t>.</w:t>
      </w:r>
    </w:p>
    <w:p w14:paraId="210D2E22" w14:textId="11AF8979" w:rsidR="006048F3" w:rsidRDefault="006048F3">
      <w:pPr>
        <w:spacing w:line="240" w:lineRule="auto"/>
        <w:jc w:val="left"/>
        <w:rPr>
          <w:color w:val="auto"/>
        </w:rPr>
      </w:pPr>
      <w:r>
        <w:rPr>
          <w:color w:val="auto"/>
        </w:rPr>
        <w:br w:type="page"/>
      </w:r>
    </w:p>
    <w:p w14:paraId="1639A680" w14:textId="77777777" w:rsidR="006048F3" w:rsidRDefault="006048F3" w:rsidP="00BB40FF">
      <w:pPr>
        <w:rPr>
          <w:color w:val="auto"/>
        </w:rPr>
      </w:pPr>
    </w:p>
    <w:p w14:paraId="33FD60A0" w14:textId="3584111D" w:rsidR="002437DD" w:rsidRPr="002437DD" w:rsidRDefault="002437DD" w:rsidP="006048F3">
      <w:pPr>
        <w:pStyle w:val="Caption"/>
      </w:pPr>
      <w:bookmarkStart w:id="6" w:name="_Ref427066298"/>
      <w:r w:rsidRPr="002437DD">
        <w:t xml:space="preserve">Table </w:t>
      </w:r>
      <w:r w:rsidR="00072202">
        <w:fldChar w:fldCharType="begin"/>
      </w:r>
      <w:r w:rsidR="00072202">
        <w:instrText xml:space="preserve"> SEQ Table \* ARABIC </w:instrText>
      </w:r>
      <w:r w:rsidR="00072202">
        <w:fldChar w:fldCharType="separate"/>
      </w:r>
      <w:r w:rsidR="00E35E41">
        <w:rPr>
          <w:noProof/>
        </w:rPr>
        <w:t>2</w:t>
      </w:r>
      <w:r w:rsidR="00072202">
        <w:rPr>
          <w:noProof/>
        </w:rPr>
        <w:fldChar w:fldCharType="end"/>
      </w:r>
      <w:bookmarkEnd w:id="6"/>
      <w:r w:rsidRPr="002437DD">
        <w:t>. Summary of the main discursive themes, macro-propositions, genres, voices, and semiotic realisations found in the ‘governance’ and ‘marketplace’ sections</w:t>
      </w:r>
    </w:p>
    <w:tbl>
      <w:tblPr>
        <w:tblStyle w:val="TableGrid"/>
        <w:tblW w:w="8732" w:type="dxa"/>
        <w:tblLook w:val="04A0" w:firstRow="1" w:lastRow="0" w:firstColumn="1" w:lastColumn="0" w:noHBand="0" w:noVBand="1"/>
      </w:tblPr>
      <w:tblGrid>
        <w:gridCol w:w="967"/>
        <w:gridCol w:w="7765"/>
      </w:tblGrid>
      <w:tr w:rsidR="002437DD" w:rsidRPr="002437DD" w14:paraId="0BCA3C26" w14:textId="77777777" w:rsidTr="003D1A61">
        <w:trPr>
          <w:trHeight w:val="1475"/>
        </w:trPr>
        <w:tc>
          <w:tcPr>
            <w:tcW w:w="967" w:type="dxa"/>
            <w:textDirection w:val="btLr"/>
            <w:hideMark/>
          </w:tcPr>
          <w:p w14:paraId="71E2AED2" w14:textId="77777777" w:rsidR="002437DD" w:rsidRPr="002437DD" w:rsidRDefault="002437DD" w:rsidP="008E74DE">
            <w:pPr>
              <w:spacing w:after="480" w:line="240" w:lineRule="auto"/>
              <w:jc w:val="left"/>
              <w:rPr>
                <w:color w:val="auto"/>
                <w:sz w:val="20"/>
                <w:szCs w:val="20"/>
              </w:rPr>
            </w:pPr>
            <w:r w:rsidRPr="002437DD">
              <w:rPr>
                <w:color w:val="auto"/>
                <w:sz w:val="20"/>
                <w:szCs w:val="20"/>
              </w:rPr>
              <w:t>SEMIOTIC REALISATIONS</w:t>
            </w:r>
          </w:p>
        </w:tc>
        <w:tc>
          <w:tcPr>
            <w:tcW w:w="7765" w:type="dxa"/>
            <w:textDirection w:val="btLr"/>
            <w:hideMark/>
          </w:tcPr>
          <w:p w14:paraId="29DB9CDE" w14:textId="7C25E69B" w:rsidR="002437DD" w:rsidRPr="002437DD" w:rsidRDefault="002437DD" w:rsidP="008E74DE">
            <w:pPr>
              <w:spacing w:after="480" w:line="240" w:lineRule="auto"/>
              <w:jc w:val="left"/>
              <w:rPr>
                <w:color w:val="auto"/>
                <w:sz w:val="20"/>
                <w:szCs w:val="20"/>
              </w:rPr>
            </w:pPr>
            <w:r w:rsidRPr="002437DD">
              <w:rPr>
                <w:color w:val="auto"/>
                <w:sz w:val="20"/>
                <w:szCs w:val="20"/>
              </w:rPr>
              <w:t xml:space="preserve">Text </w:t>
            </w:r>
          </w:p>
          <w:p w14:paraId="333C39A2" w14:textId="550CB507" w:rsidR="002437DD" w:rsidRPr="002437DD" w:rsidRDefault="002437DD" w:rsidP="008E74DE">
            <w:pPr>
              <w:spacing w:after="480" w:line="240" w:lineRule="auto"/>
              <w:jc w:val="left"/>
              <w:rPr>
                <w:color w:val="auto"/>
                <w:sz w:val="20"/>
                <w:szCs w:val="20"/>
              </w:rPr>
            </w:pPr>
            <w:r w:rsidRPr="002437DD">
              <w:rPr>
                <w:color w:val="auto"/>
                <w:sz w:val="20"/>
                <w:szCs w:val="20"/>
              </w:rPr>
              <w:t>Pictures</w:t>
            </w:r>
          </w:p>
          <w:p w14:paraId="2DE7C555" w14:textId="6389BCF6" w:rsidR="002437DD" w:rsidRPr="002437DD" w:rsidRDefault="002437DD" w:rsidP="008E74DE">
            <w:pPr>
              <w:spacing w:after="480" w:line="240" w:lineRule="auto"/>
              <w:jc w:val="left"/>
              <w:rPr>
                <w:color w:val="auto"/>
                <w:sz w:val="20"/>
                <w:szCs w:val="20"/>
              </w:rPr>
            </w:pPr>
            <w:r w:rsidRPr="002437DD">
              <w:rPr>
                <w:color w:val="auto"/>
                <w:sz w:val="20"/>
                <w:szCs w:val="20"/>
              </w:rPr>
              <w:t>Typeface</w:t>
            </w:r>
          </w:p>
          <w:p w14:paraId="612E3A82" w14:textId="36230707" w:rsidR="002437DD" w:rsidRPr="002437DD" w:rsidRDefault="002437DD" w:rsidP="008E74DE">
            <w:pPr>
              <w:spacing w:after="480" w:line="240" w:lineRule="auto"/>
              <w:jc w:val="left"/>
              <w:rPr>
                <w:color w:val="auto"/>
                <w:sz w:val="20"/>
                <w:szCs w:val="20"/>
              </w:rPr>
            </w:pPr>
            <w:r w:rsidRPr="002437DD">
              <w:rPr>
                <w:color w:val="auto"/>
                <w:sz w:val="20"/>
                <w:szCs w:val="20"/>
              </w:rPr>
              <w:t>Icons/symbols</w:t>
            </w:r>
          </w:p>
          <w:p w14:paraId="773920F5" w14:textId="78D17354" w:rsidR="002437DD" w:rsidRPr="002437DD" w:rsidRDefault="002437DD" w:rsidP="008E74DE">
            <w:pPr>
              <w:spacing w:after="480" w:line="240" w:lineRule="auto"/>
              <w:jc w:val="left"/>
              <w:rPr>
                <w:color w:val="auto"/>
                <w:sz w:val="20"/>
                <w:szCs w:val="20"/>
              </w:rPr>
            </w:pPr>
            <w:r w:rsidRPr="002437DD">
              <w:rPr>
                <w:color w:val="auto"/>
                <w:sz w:val="20"/>
                <w:szCs w:val="20"/>
              </w:rPr>
              <w:t>Numbers</w:t>
            </w:r>
          </w:p>
          <w:p w14:paraId="0289A374" w14:textId="16424AEA" w:rsidR="002437DD" w:rsidRPr="002437DD" w:rsidRDefault="002437DD" w:rsidP="008E74DE">
            <w:pPr>
              <w:spacing w:after="480" w:line="240" w:lineRule="auto"/>
              <w:jc w:val="left"/>
              <w:rPr>
                <w:color w:val="auto"/>
                <w:sz w:val="20"/>
                <w:szCs w:val="20"/>
              </w:rPr>
            </w:pPr>
            <w:r w:rsidRPr="002437DD">
              <w:rPr>
                <w:color w:val="auto"/>
                <w:sz w:val="20"/>
                <w:szCs w:val="20"/>
              </w:rPr>
              <w:t>Diagrams</w:t>
            </w:r>
          </w:p>
          <w:p w14:paraId="26DFA0D2" w14:textId="345F27CA" w:rsidR="002437DD" w:rsidRPr="002437DD" w:rsidRDefault="002437DD" w:rsidP="008E74DE">
            <w:pPr>
              <w:spacing w:after="480" w:line="240" w:lineRule="auto"/>
              <w:jc w:val="left"/>
              <w:rPr>
                <w:color w:val="auto"/>
                <w:sz w:val="20"/>
                <w:szCs w:val="20"/>
              </w:rPr>
            </w:pPr>
            <w:r w:rsidRPr="002437DD">
              <w:rPr>
                <w:color w:val="auto"/>
                <w:sz w:val="20"/>
                <w:szCs w:val="20"/>
              </w:rPr>
              <w:t>Charts</w:t>
            </w:r>
          </w:p>
          <w:p w14:paraId="6C2969BC" w14:textId="77777777" w:rsidR="002437DD" w:rsidRPr="002437DD" w:rsidRDefault="002437DD" w:rsidP="008E74DE">
            <w:pPr>
              <w:spacing w:after="480" w:line="240" w:lineRule="auto"/>
              <w:jc w:val="left"/>
              <w:rPr>
                <w:color w:val="auto"/>
                <w:sz w:val="20"/>
                <w:szCs w:val="20"/>
              </w:rPr>
            </w:pPr>
            <w:r w:rsidRPr="002437DD">
              <w:rPr>
                <w:color w:val="auto"/>
                <w:sz w:val="20"/>
                <w:szCs w:val="20"/>
              </w:rPr>
              <w:t>Maps</w:t>
            </w:r>
          </w:p>
        </w:tc>
      </w:tr>
      <w:tr w:rsidR="002437DD" w:rsidRPr="002437DD" w14:paraId="14ACECFC" w14:textId="77777777" w:rsidTr="003D1A61">
        <w:trPr>
          <w:trHeight w:val="1529"/>
        </w:trPr>
        <w:tc>
          <w:tcPr>
            <w:tcW w:w="967" w:type="dxa"/>
            <w:textDirection w:val="btLr"/>
            <w:hideMark/>
          </w:tcPr>
          <w:p w14:paraId="6872322D" w14:textId="77777777" w:rsidR="002437DD" w:rsidRPr="002437DD" w:rsidRDefault="002437DD" w:rsidP="008E74DE">
            <w:pPr>
              <w:spacing w:after="480" w:line="240" w:lineRule="auto"/>
              <w:jc w:val="left"/>
              <w:rPr>
                <w:color w:val="auto"/>
                <w:sz w:val="20"/>
                <w:szCs w:val="20"/>
              </w:rPr>
            </w:pPr>
            <w:r w:rsidRPr="002437DD">
              <w:rPr>
                <w:color w:val="auto"/>
                <w:sz w:val="20"/>
                <w:szCs w:val="20"/>
              </w:rPr>
              <w:t>VOICES</w:t>
            </w:r>
          </w:p>
        </w:tc>
        <w:tc>
          <w:tcPr>
            <w:tcW w:w="7765" w:type="dxa"/>
            <w:textDirection w:val="btLr"/>
            <w:hideMark/>
          </w:tcPr>
          <w:p w14:paraId="7DE45D17" w14:textId="700D5A08" w:rsidR="002437DD" w:rsidRPr="002437DD" w:rsidRDefault="002437DD" w:rsidP="008E74DE">
            <w:pPr>
              <w:spacing w:after="480" w:line="240" w:lineRule="auto"/>
              <w:jc w:val="left"/>
              <w:rPr>
                <w:color w:val="auto"/>
                <w:sz w:val="20"/>
                <w:szCs w:val="20"/>
              </w:rPr>
            </w:pPr>
            <w:r w:rsidRPr="002437DD">
              <w:rPr>
                <w:color w:val="auto"/>
                <w:sz w:val="20"/>
                <w:szCs w:val="20"/>
              </w:rPr>
              <w:t>Organisational ‘we’</w:t>
            </w:r>
          </w:p>
          <w:p w14:paraId="33EF7ADB" w14:textId="4B43D034" w:rsidR="002437DD" w:rsidRPr="002437DD" w:rsidRDefault="002437DD" w:rsidP="008E74DE">
            <w:pPr>
              <w:spacing w:after="480" w:line="240" w:lineRule="auto"/>
              <w:jc w:val="left"/>
              <w:rPr>
                <w:color w:val="auto"/>
                <w:sz w:val="20"/>
                <w:szCs w:val="20"/>
              </w:rPr>
            </w:pPr>
            <w:r w:rsidRPr="002437DD">
              <w:rPr>
                <w:color w:val="auto"/>
                <w:sz w:val="20"/>
                <w:szCs w:val="20"/>
              </w:rPr>
              <w:t>Chairperson</w:t>
            </w:r>
          </w:p>
          <w:p w14:paraId="57F81439" w14:textId="039738EE" w:rsidR="002437DD" w:rsidRPr="002437DD" w:rsidRDefault="002437DD" w:rsidP="008E74DE">
            <w:pPr>
              <w:spacing w:after="480" w:line="240" w:lineRule="auto"/>
              <w:jc w:val="left"/>
              <w:rPr>
                <w:color w:val="auto"/>
                <w:sz w:val="20"/>
                <w:szCs w:val="20"/>
              </w:rPr>
            </w:pPr>
            <w:r w:rsidRPr="002437DD">
              <w:rPr>
                <w:color w:val="auto"/>
                <w:sz w:val="20"/>
                <w:szCs w:val="20"/>
              </w:rPr>
              <w:t>Chief Executive</w:t>
            </w:r>
          </w:p>
          <w:p w14:paraId="44DA628E" w14:textId="5B6FB45D" w:rsidR="002437DD" w:rsidRPr="002437DD" w:rsidRDefault="002437DD" w:rsidP="008E74DE">
            <w:pPr>
              <w:spacing w:after="480" w:line="240" w:lineRule="auto"/>
              <w:jc w:val="left"/>
              <w:rPr>
                <w:color w:val="auto"/>
                <w:sz w:val="20"/>
                <w:szCs w:val="20"/>
              </w:rPr>
            </w:pPr>
            <w:r w:rsidRPr="002437DD">
              <w:rPr>
                <w:color w:val="auto"/>
                <w:sz w:val="20"/>
                <w:szCs w:val="20"/>
              </w:rPr>
              <w:t>Other (non)execs</w:t>
            </w:r>
          </w:p>
          <w:p w14:paraId="6F8D7284" w14:textId="67672C93" w:rsidR="002437DD" w:rsidRPr="002437DD" w:rsidRDefault="002437DD" w:rsidP="008E74DE">
            <w:pPr>
              <w:spacing w:after="480" w:line="240" w:lineRule="auto"/>
              <w:jc w:val="left"/>
              <w:rPr>
                <w:color w:val="auto"/>
                <w:sz w:val="20"/>
                <w:szCs w:val="20"/>
              </w:rPr>
            </w:pPr>
            <w:r w:rsidRPr="002437DD">
              <w:rPr>
                <w:color w:val="auto"/>
                <w:sz w:val="20"/>
                <w:szCs w:val="20"/>
              </w:rPr>
              <w:t>Reported quotations attributed to directors, managers, and stakeholders</w:t>
            </w:r>
          </w:p>
          <w:p w14:paraId="19275322" w14:textId="67B34872" w:rsidR="002437DD" w:rsidRPr="002437DD" w:rsidRDefault="002437DD" w:rsidP="008E74DE">
            <w:pPr>
              <w:spacing w:after="480" w:line="240" w:lineRule="auto"/>
              <w:jc w:val="left"/>
              <w:rPr>
                <w:color w:val="auto"/>
                <w:sz w:val="20"/>
                <w:szCs w:val="20"/>
              </w:rPr>
            </w:pPr>
            <w:r w:rsidRPr="002437DD">
              <w:rPr>
                <w:color w:val="auto"/>
                <w:sz w:val="20"/>
                <w:szCs w:val="20"/>
              </w:rPr>
              <w:t>Auditors</w:t>
            </w:r>
          </w:p>
        </w:tc>
      </w:tr>
      <w:tr w:rsidR="002437DD" w:rsidRPr="002437DD" w14:paraId="28F5A00D" w14:textId="77777777" w:rsidTr="003D1A61">
        <w:trPr>
          <w:trHeight w:val="1700"/>
        </w:trPr>
        <w:tc>
          <w:tcPr>
            <w:tcW w:w="967" w:type="dxa"/>
            <w:textDirection w:val="btLr"/>
            <w:hideMark/>
          </w:tcPr>
          <w:p w14:paraId="490C4AC6" w14:textId="77777777" w:rsidR="002437DD" w:rsidRPr="002437DD" w:rsidRDefault="002437DD" w:rsidP="008E74DE">
            <w:pPr>
              <w:spacing w:after="480" w:line="240" w:lineRule="auto"/>
              <w:jc w:val="left"/>
              <w:rPr>
                <w:color w:val="auto"/>
                <w:sz w:val="20"/>
                <w:szCs w:val="20"/>
              </w:rPr>
            </w:pPr>
            <w:r w:rsidRPr="002437DD">
              <w:rPr>
                <w:color w:val="auto"/>
                <w:sz w:val="20"/>
                <w:szCs w:val="20"/>
              </w:rPr>
              <w:t>GENRES &amp; (sub)GENRES</w:t>
            </w:r>
          </w:p>
        </w:tc>
        <w:tc>
          <w:tcPr>
            <w:tcW w:w="7765" w:type="dxa"/>
            <w:textDirection w:val="btLr"/>
            <w:hideMark/>
          </w:tcPr>
          <w:p w14:paraId="6EBF29EC" w14:textId="288F7B89" w:rsidR="002437DD" w:rsidRPr="002437DD" w:rsidRDefault="002437DD" w:rsidP="008E74DE">
            <w:pPr>
              <w:spacing w:after="480" w:line="240" w:lineRule="auto"/>
              <w:jc w:val="left"/>
              <w:rPr>
                <w:color w:val="auto"/>
                <w:sz w:val="20"/>
                <w:szCs w:val="20"/>
              </w:rPr>
            </w:pPr>
            <w:r w:rsidRPr="002437DD">
              <w:rPr>
                <w:color w:val="auto"/>
                <w:sz w:val="20"/>
                <w:szCs w:val="20"/>
              </w:rPr>
              <w:t xml:space="preserve">Commercial Brochure </w:t>
            </w:r>
          </w:p>
          <w:p w14:paraId="54C1D062" w14:textId="2382EFA4" w:rsidR="002437DD" w:rsidRPr="002437DD" w:rsidRDefault="002437DD" w:rsidP="008E74DE">
            <w:pPr>
              <w:spacing w:after="480" w:line="240" w:lineRule="auto"/>
              <w:jc w:val="left"/>
              <w:rPr>
                <w:color w:val="auto"/>
                <w:sz w:val="20"/>
                <w:szCs w:val="20"/>
              </w:rPr>
            </w:pPr>
            <w:r w:rsidRPr="002437DD">
              <w:rPr>
                <w:color w:val="auto"/>
                <w:sz w:val="20"/>
                <w:szCs w:val="20"/>
              </w:rPr>
              <w:t>Magazine-style featured report</w:t>
            </w:r>
          </w:p>
          <w:p w14:paraId="5F27DF17" w14:textId="71303B3F" w:rsidR="002437DD" w:rsidRPr="002437DD" w:rsidRDefault="002437DD" w:rsidP="008E74DE">
            <w:pPr>
              <w:spacing w:after="480" w:line="240" w:lineRule="auto"/>
              <w:jc w:val="left"/>
              <w:rPr>
                <w:color w:val="auto"/>
                <w:sz w:val="20"/>
                <w:szCs w:val="20"/>
              </w:rPr>
            </w:pPr>
            <w:r w:rsidRPr="002437DD">
              <w:rPr>
                <w:color w:val="auto"/>
                <w:sz w:val="20"/>
                <w:szCs w:val="20"/>
              </w:rPr>
              <w:t xml:space="preserve">Interview/ Qs &amp; As, </w:t>
            </w:r>
          </w:p>
          <w:p w14:paraId="634FD64A" w14:textId="625DC377" w:rsidR="002437DD" w:rsidRPr="002437DD" w:rsidRDefault="002437DD" w:rsidP="008E74DE">
            <w:pPr>
              <w:spacing w:after="480" w:line="240" w:lineRule="auto"/>
              <w:jc w:val="left"/>
              <w:rPr>
                <w:color w:val="auto"/>
                <w:sz w:val="20"/>
                <w:szCs w:val="20"/>
              </w:rPr>
            </w:pPr>
            <w:r w:rsidRPr="002437DD">
              <w:rPr>
                <w:color w:val="auto"/>
                <w:sz w:val="20"/>
                <w:szCs w:val="20"/>
              </w:rPr>
              <w:t>Chairperson’s /Chief Executive’s Statements</w:t>
            </w:r>
            <w:proofErr w:type="gramStart"/>
            <w:r w:rsidRPr="002437DD">
              <w:rPr>
                <w:color w:val="auto"/>
                <w:sz w:val="20"/>
                <w:szCs w:val="20"/>
              </w:rPr>
              <w:t>/  Letter</w:t>
            </w:r>
            <w:proofErr w:type="gramEnd"/>
            <w:r w:rsidRPr="002437DD">
              <w:rPr>
                <w:color w:val="auto"/>
                <w:sz w:val="20"/>
                <w:szCs w:val="20"/>
              </w:rPr>
              <w:t xml:space="preserve"> to Shareholders</w:t>
            </w:r>
          </w:p>
          <w:p w14:paraId="186C3B3F" w14:textId="77145791" w:rsidR="002437DD" w:rsidRPr="002437DD" w:rsidRDefault="002437DD" w:rsidP="008E74DE">
            <w:pPr>
              <w:spacing w:after="480" w:line="240" w:lineRule="auto"/>
              <w:jc w:val="left"/>
              <w:rPr>
                <w:color w:val="auto"/>
                <w:sz w:val="20"/>
                <w:szCs w:val="20"/>
              </w:rPr>
            </w:pPr>
            <w:r w:rsidRPr="002437DD">
              <w:rPr>
                <w:color w:val="auto"/>
                <w:sz w:val="20"/>
                <w:szCs w:val="20"/>
              </w:rPr>
              <w:t>Factual information</w:t>
            </w:r>
          </w:p>
          <w:p w14:paraId="3B40331C" w14:textId="5AB98C49" w:rsidR="002437DD" w:rsidRPr="002437DD" w:rsidRDefault="002437DD" w:rsidP="008E74DE">
            <w:pPr>
              <w:spacing w:after="480" w:line="240" w:lineRule="auto"/>
              <w:jc w:val="left"/>
              <w:rPr>
                <w:color w:val="auto"/>
                <w:sz w:val="20"/>
                <w:szCs w:val="20"/>
              </w:rPr>
            </w:pPr>
            <w:r w:rsidRPr="002437DD">
              <w:rPr>
                <w:color w:val="auto"/>
                <w:sz w:val="20"/>
                <w:szCs w:val="20"/>
              </w:rPr>
              <w:t>Case studies</w:t>
            </w:r>
          </w:p>
        </w:tc>
      </w:tr>
      <w:tr w:rsidR="002437DD" w:rsidRPr="002437DD" w14:paraId="36DF8DF0" w14:textId="77777777" w:rsidTr="00E174FE">
        <w:trPr>
          <w:trHeight w:val="4544"/>
        </w:trPr>
        <w:tc>
          <w:tcPr>
            <w:tcW w:w="967" w:type="dxa"/>
            <w:textDirection w:val="btLr"/>
            <w:hideMark/>
          </w:tcPr>
          <w:p w14:paraId="7209D542" w14:textId="77777777" w:rsidR="002437DD" w:rsidRPr="002437DD" w:rsidRDefault="002437DD" w:rsidP="008E74DE">
            <w:pPr>
              <w:spacing w:after="480" w:line="240" w:lineRule="auto"/>
              <w:jc w:val="left"/>
              <w:rPr>
                <w:color w:val="auto"/>
                <w:sz w:val="20"/>
                <w:szCs w:val="20"/>
              </w:rPr>
            </w:pPr>
            <w:r w:rsidRPr="002437DD">
              <w:rPr>
                <w:color w:val="auto"/>
                <w:sz w:val="20"/>
                <w:szCs w:val="20"/>
              </w:rPr>
              <w:t>MACRO PROPOSITIONS ABOUT THE COMPANY</w:t>
            </w:r>
          </w:p>
        </w:tc>
        <w:tc>
          <w:tcPr>
            <w:tcW w:w="7765" w:type="dxa"/>
            <w:textDirection w:val="btLr"/>
            <w:hideMark/>
          </w:tcPr>
          <w:p w14:paraId="0B2AF605" w14:textId="27055A05" w:rsidR="002437DD" w:rsidRPr="002437DD" w:rsidRDefault="002437DD" w:rsidP="008E74DE">
            <w:pPr>
              <w:spacing w:after="480" w:line="240" w:lineRule="auto"/>
              <w:jc w:val="left"/>
              <w:rPr>
                <w:color w:val="auto"/>
                <w:sz w:val="20"/>
                <w:szCs w:val="20"/>
              </w:rPr>
            </w:pPr>
            <w:r w:rsidRPr="002437DD">
              <w:rPr>
                <w:color w:val="auto"/>
                <w:sz w:val="20"/>
                <w:szCs w:val="20"/>
              </w:rPr>
              <w:t>It is a global player; it is knowledgeable and it has a vision</w:t>
            </w:r>
          </w:p>
          <w:p w14:paraId="73800643" w14:textId="135B2E96" w:rsidR="002437DD" w:rsidRPr="002437DD" w:rsidRDefault="002437DD" w:rsidP="008E74DE">
            <w:pPr>
              <w:spacing w:after="480" w:line="240" w:lineRule="auto"/>
              <w:jc w:val="left"/>
              <w:rPr>
                <w:color w:val="auto"/>
                <w:sz w:val="20"/>
                <w:szCs w:val="20"/>
              </w:rPr>
            </w:pPr>
            <w:r w:rsidRPr="002437DD">
              <w:rPr>
                <w:color w:val="auto"/>
                <w:sz w:val="20"/>
                <w:szCs w:val="20"/>
              </w:rPr>
              <w:t>It has performed well and has met its targets; it will continue to grow and perform well</w:t>
            </w:r>
          </w:p>
          <w:p w14:paraId="0987D9EC" w14:textId="2C16EFE2" w:rsidR="002437DD" w:rsidRPr="002437DD" w:rsidRDefault="002437DD" w:rsidP="008E74DE">
            <w:pPr>
              <w:spacing w:after="480" w:line="240" w:lineRule="auto"/>
              <w:jc w:val="left"/>
              <w:rPr>
                <w:color w:val="auto"/>
                <w:sz w:val="20"/>
                <w:szCs w:val="20"/>
              </w:rPr>
            </w:pPr>
            <w:r w:rsidRPr="002437DD">
              <w:rPr>
                <w:color w:val="auto"/>
                <w:sz w:val="20"/>
                <w:szCs w:val="20"/>
              </w:rPr>
              <w:t xml:space="preserve">It creates and adds value through its operations and it contributes to the economic growth of society </w:t>
            </w:r>
          </w:p>
          <w:p w14:paraId="4CD84CD0" w14:textId="06FD7E35" w:rsidR="002437DD" w:rsidRPr="002437DD" w:rsidRDefault="002437DD" w:rsidP="008E74DE">
            <w:pPr>
              <w:spacing w:after="480" w:line="240" w:lineRule="auto"/>
              <w:jc w:val="left"/>
              <w:rPr>
                <w:color w:val="auto"/>
                <w:sz w:val="20"/>
                <w:szCs w:val="20"/>
              </w:rPr>
            </w:pPr>
            <w:r w:rsidRPr="002437DD">
              <w:rPr>
                <w:color w:val="auto"/>
                <w:sz w:val="20"/>
                <w:szCs w:val="20"/>
              </w:rPr>
              <w:t>It is careful about the risks it takes with its business; it adapts and thrives through new opportunities</w:t>
            </w:r>
          </w:p>
          <w:p w14:paraId="3E6E4B14" w14:textId="45DF6735" w:rsidR="002437DD" w:rsidRPr="002437DD" w:rsidRDefault="002437DD" w:rsidP="008E74DE">
            <w:pPr>
              <w:spacing w:after="480" w:line="240" w:lineRule="auto"/>
              <w:jc w:val="left"/>
              <w:rPr>
                <w:color w:val="auto"/>
                <w:sz w:val="20"/>
                <w:szCs w:val="20"/>
              </w:rPr>
            </w:pPr>
            <w:r w:rsidRPr="002437DD">
              <w:rPr>
                <w:color w:val="auto"/>
                <w:sz w:val="20"/>
                <w:szCs w:val="20"/>
              </w:rPr>
              <w:t>It cares for customers; it engages with stakeholders and works with partners; it manages relations with workforce positively</w:t>
            </w:r>
          </w:p>
          <w:p w14:paraId="3222E86B" w14:textId="26873FB0" w:rsidR="002437DD" w:rsidRPr="002437DD" w:rsidRDefault="002437DD" w:rsidP="008E74DE">
            <w:pPr>
              <w:spacing w:after="480" w:line="240" w:lineRule="auto"/>
              <w:jc w:val="left"/>
              <w:rPr>
                <w:color w:val="auto"/>
                <w:sz w:val="20"/>
                <w:szCs w:val="20"/>
              </w:rPr>
            </w:pPr>
            <w:r w:rsidRPr="002437DD">
              <w:rPr>
                <w:color w:val="auto"/>
                <w:sz w:val="20"/>
                <w:szCs w:val="20"/>
              </w:rPr>
              <w:t>It is transparent, accountable, responsible</w:t>
            </w:r>
          </w:p>
          <w:p w14:paraId="79AE709B" w14:textId="2DA2F7D7" w:rsidR="002437DD" w:rsidRPr="002437DD" w:rsidRDefault="002437DD" w:rsidP="008E74DE">
            <w:pPr>
              <w:spacing w:after="480" w:line="240" w:lineRule="auto"/>
              <w:jc w:val="left"/>
              <w:rPr>
                <w:color w:val="auto"/>
                <w:sz w:val="20"/>
                <w:szCs w:val="20"/>
              </w:rPr>
            </w:pPr>
            <w:r w:rsidRPr="002437DD">
              <w:rPr>
                <w:color w:val="auto"/>
                <w:sz w:val="20"/>
                <w:szCs w:val="20"/>
              </w:rPr>
              <w:t>It cares for the environment; it acts on water consumption, waste management, carbon emission</w:t>
            </w:r>
          </w:p>
          <w:p w14:paraId="3422D203" w14:textId="77777777" w:rsidR="002437DD" w:rsidRPr="002437DD" w:rsidRDefault="002437DD" w:rsidP="008E74DE">
            <w:pPr>
              <w:spacing w:after="480" w:line="240" w:lineRule="auto"/>
              <w:jc w:val="left"/>
              <w:rPr>
                <w:color w:val="auto"/>
                <w:sz w:val="20"/>
                <w:szCs w:val="20"/>
              </w:rPr>
            </w:pPr>
            <w:r w:rsidRPr="002437DD">
              <w:rPr>
                <w:color w:val="auto"/>
                <w:sz w:val="20"/>
                <w:szCs w:val="20"/>
              </w:rPr>
              <w:t>It cares for local communities; it takes actions that have a positive impact on the local economy</w:t>
            </w:r>
          </w:p>
        </w:tc>
      </w:tr>
      <w:tr w:rsidR="002437DD" w:rsidRPr="002437DD" w14:paraId="7F6EB878" w14:textId="77777777" w:rsidTr="003D1A61">
        <w:trPr>
          <w:trHeight w:val="2339"/>
        </w:trPr>
        <w:tc>
          <w:tcPr>
            <w:tcW w:w="967" w:type="dxa"/>
            <w:textDirection w:val="btLr"/>
            <w:hideMark/>
          </w:tcPr>
          <w:p w14:paraId="395509A7" w14:textId="77777777" w:rsidR="002437DD" w:rsidRPr="002437DD" w:rsidRDefault="002437DD" w:rsidP="008E74DE">
            <w:pPr>
              <w:spacing w:after="480" w:line="240" w:lineRule="auto"/>
              <w:jc w:val="left"/>
              <w:rPr>
                <w:color w:val="auto"/>
                <w:sz w:val="20"/>
                <w:szCs w:val="20"/>
              </w:rPr>
            </w:pPr>
            <w:r w:rsidRPr="002437DD">
              <w:rPr>
                <w:color w:val="auto"/>
                <w:sz w:val="20"/>
                <w:szCs w:val="20"/>
              </w:rPr>
              <w:t>MACRO DISCURSIVE THEMES</w:t>
            </w:r>
          </w:p>
        </w:tc>
        <w:tc>
          <w:tcPr>
            <w:tcW w:w="7765" w:type="dxa"/>
            <w:textDirection w:val="btLr"/>
            <w:hideMark/>
          </w:tcPr>
          <w:p w14:paraId="6BF354B8" w14:textId="0FD2E45D" w:rsidR="002437DD" w:rsidRPr="008E74DE" w:rsidRDefault="002437DD" w:rsidP="008E74DE">
            <w:pPr>
              <w:spacing w:after="480" w:line="240" w:lineRule="auto"/>
              <w:jc w:val="left"/>
              <w:rPr>
                <w:i/>
                <w:iCs/>
                <w:color w:val="auto"/>
                <w:sz w:val="20"/>
                <w:szCs w:val="20"/>
              </w:rPr>
            </w:pPr>
            <w:r w:rsidRPr="002437DD">
              <w:rPr>
                <w:color w:val="auto"/>
                <w:sz w:val="20"/>
                <w:szCs w:val="20"/>
              </w:rPr>
              <w:t>Discussing the organisation and its activities – ‘</w:t>
            </w:r>
            <w:r w:rsidRPr="002437DD">
              <w:rPr>
                <w:i/>
                <w:iCs/>
                <w:color w:val="auto"/>
                <w:sz w:val="20"/>
                <w:szCs w:val="20"/>
              </w:rPr>
              <w:t>who we are’</w:t>
            </w:r>
            <w:r w:rsidR="008E74DE">
              <w:rPr>
                <w:i/>
                <w:iCs/>
                <w:color w:val="auto"/>
                <w:sz w:val="20"/>
                <w:szCs w:val="20"/>
              </w:rPr>
              <w:t>; ‘what we do’ - ‘where we are’</w:t>
            </w:r>
          </w:p>
          <w:p w14:paraId="3F87B1F9" w14:textId="600AAFB9" w:rsidR="002437DD" w:rsidRPr="008E74DE" w:rsidRDefault="002437DD" w:rsidP="008E74DE">
            <w:pPr>
              <w:spacing w:after="480" w:line="240" w:lineRule="auto"/>
              <w:jc w:val="left"/>
              <w:rPr>
                <w:i/>
                <w:iCs/>
                <w:color w:val="auto"/>
                <w:sz w:val="20"/>
                <w:szCs w:val="20"/>
              </w:rPr>
            </w:pPr>
            <w:r w:rsidRPr="002437DD">
              <w:rPr>
                <w:color w:val="auto"/>
                <w:sz w:val="20"/>
                <w:szCs w:val="20"/>
              </w:rPr>
              <w:t xml:space="preserve">Reporting performance results - </w:t>
            </w:r>
            <w:r w:rsidRPr="002437DD">
              <w:rPr>
                <w:i/>
                <w:iCs/>
                <w:color w:val="auto"/>
                <w:sz w:val="20"/>
                <w:szCs w:val="20"/>
              </w:rPr>
              <w:t>‘what we have done and how’</w:t>
            </w:r>
          </w:p>
          <w:p w14:paraId="27BFAD79" w14:textId="1C676F95" w:rsidR="002437DD" w:rsidRPr="002437DD" w:rsidRDefault="002437DD" w:rsidP="008E74DE">
            <w:pPr>
              <w:spacing w:after="480" w:line="240" w:lineRule="auto"/>
              <w:jc w:val="left"/>
              <w:rPr>
                <w:color w:val="auto"/>
                <w:sz w:val="20"/>
                <w:szCs w:val="20"/>
              </w:rPr>
            </w:pPr>
            <w:r w:rsidRPr="002437DD">
              <w:rPr>
                <w:color w:val="auto"/>
                <w:sz w:val="20"/>
                <w:szCs w:val="20"/>
              </w:rPr>
              <w:t xml:space="preserve">Discussing the ‘future’: strategy, risks and opportunities - </w:t>
            </w:r>
            <w:r w:rsidRPr="002437DD">
              <w:rPr>
                <w:i/>
                <w:iCs/>
                <w:color w:val="auto"/>
                <w:sz w:val="20"/>
                <w:szCs w:val="20"/>
              </w:rPr>
              <w:t>‘where we want to go, how and at what cost’</w:t>
            </w:r>
          </w:p>
        </w:tc>
      </w:tr>
    </w:tbl>
    <w:p w14:paraId="0B4E526B" w14:textId="77777777" w:rsidR="002437DD" w:rsidRDefault="002437DD" w:rsidP="00BB40FF">
      <w:pPr>
        <w:rPr>
          <w:color w:val="auto"/>
        </w:rPr>
      </w:pPr>
    </w:p>
    <w:p w14:paraId="5F0FBB40" w14:textId="77777777" w:rsidR="009E0182" w:rsidRPr="002437DD" w:rsidRDefault="009E0182" w:rsidP="00BB40FF">
      <w:pPr>
        <w:rPr>
          <w:color w:val="auto"/>
        </w:rPr>
      </w:pPr>
    </w:p>
    <w:p w14:paraId="3C6C75DE" w14:textId="76512C17" w:rsidR="002437DD" w:rsidRPr="002437DD" w:rsidRDefault="002437DD" w:rsidP="00BB40FF">
      <w:pPr>
        <w:rPr>
          <w:color w:val="auto"/>
          <w:lang w:val="en-US"/>
        </w:rPr>
      </w:pPr>
      <w:r w:rsidRPr="002437DD">
        <w:rPr>
          <w:color w:val="auto"/>
        </w:rPr>
        <w:t xml:space="preserve">The results from the ‘concordance plot’ in </w:t>
      </w:r>
      <w:proofErr w:type="spellStart"/>
      <w:r w:rsidRPr="002437DD">
        <w:rPr>
          <w:color w:val="auto"/>
        </w:rPr>
        <w:t>Antconc</w:t>
      </w:r>
      <w:proofErr w:type="spellEnd"/>
      <w:r w:rsidRPr="002437DD">
        <w:rPr>
          <w:color w:val="auto"/>
        </w:rPr>
        <w:t xml:space="preserve"> showed no consistent pattern of distribution across documents, whereas, in relation to the distribution within each document, we were able to identify two contrasting patterns. The first pattern (occurring in roughly half </w:t>
      </w:r>
      <w:r w:rsidR="00E41C6E">
        <w:rPr>
          <w:color w:val="auto"/>
        </w:rPr>
        <w:t>the</w:t>
      </w:r>
      <w:r w:rsidR="00E41C6E" w:rsidRPr="002437DD">
        <w:rPr>
          <w:color w:val="auto"/>
        </w:rPr>
        <w:t xml:space="preserve"> </w:t>
      </w:r>
      <w:r w:rsidRPr="002437DD">
        <w:rPr>
          <w:color w:val="auto"/>
        </w:rPr>
        <w:t xml:space="preserve">documents analysed) was the fairly homogenous distribution of </w:t>
      </w:r>
      <w:r w:rsidRPr="002437DD">
        <w:rPr>
          <w:i/>
          <w:color w:val="auto"/>
        </w:rPr>
        <w:t>sustain*</w:t>
      </w:r>
      <w:r w:rsidRPr="002437DD">
        <w:rPr>
          <w:color w:val="auto"/>
        </w:rPr>
        <w:t xml:space="preserve"> in the texts</w:t>
      </w:r>
      <w:r w:rsidR="00E41C6E">
        <w:rPr>
          <w:color w:val="auto"/>
        </w:rPr>
        <w:t>,</w:t>
      </w:r>
      <w:r w:rsidRPr="002437DD">
        <w:rPr>
          <w:color w:val="auto"/>
        </w:rPr>
        <w:t xml:space="preserve"> which was arguably the result of recursive </w:t>
      </w:r>
      <w:proofErr w:type="spellStart"/>
      <w:r w:rsidRPr="002437DD">
        <w:rPr>
          <w:color w:val="auto"/>
        </w:rPr>
        <w:t>intratextuality</w:t>
      </w:r>
      <w:proofErr w:type="spellEnd"/>
      <w:r w:rsidRPr="002437DD">
        <w:rPr>
          <w:color w:val="auto"/>
        </w:rPr>
        <w:t xml:space="preserve"> (i.e. the frequent referencing to other utterances, sections, links, or pages in the document). The second pattern relates to the occurrence of clusters of discourses of sustainability which, consistent with the analysis conducted via the table of contents, showed that some IRs discussed sustainability under distinct headings within the ‘governance’ and ‘marketplace’ sections.  For example all of the company </w:t>
      </w:r>
      <w:r w:rsidRPr="003D1A61">
        <w:rPr>
          <w:i/>
          <w:color w:val="auto"/>
        </w:rPr>
        <w:t>AMR</w:t>
      </w:r>
      <w:r w:rsidRPr="002437DD">
        <w:rPr>
          <w:color w:val="auto"/>
        </w:rPr>
        <w:t xml:space="preserve">’s reports had a stand-alone sub-section on ‘(corporate responsibility and) sustainability’.  Similarly, </w:t>
      </w:r>
      <w:r w:rsidRPr="003D1A61">
        <w:rPr>
          <w:i/>
          <w:color w:val="auto"/>
        </w:rPr>
        <w:t xml:space="preserve">The Crown Estate </w:t>
      </w:r>
      <w:r w:rsidRPr="002437DD">
        <w:rPr>
          <w:color w:val="auto"/>
        </w:rPr>
        <w:t xml:space="preserve">2011 report had a 10-page long section on ‘Sustainability’ and the </w:t>
      </w:r>
      <w:proofErr w:type="spellStart"/>
      <w:r w:rsidRPr="003D1A61">
        <w:rPr>
          <w:i/>
          <w:color w:val="auto"/>
        </w:rPr>
        <w:t>Masisa</w:t>
      </w:r>
      <w:proofErr w:type="spellEnd"/>
      <w:r w:rsidRPr="002437DD">
        <w:rPr>
          <w:color w:val="auto"/>
        </w:rPr>
        <w:t xml:space="preserve"> 2012 IR had a ‘sustainability policy’ discussion under the ‘corporate governance’ chapter. </w:t>
      </w:r>
      <w:r w:rsidR="00E41C6E">
        <w:rPr>
          <w:color w:val="auto"/>
        </w:rPr>
        <w:t>A</w:t>
      </w:r>
      <w:r w:rsidRPr="002437DD">
        <w:rPr>
          <w:color w:val="auto"/>
        </w:rPr>
        <w:t xml:space="preserve"> number of IRs </w:t>
      </w:r>
      <w:r w:rsidR="00E41C6E">
        <w:rPr>
          <w:color w:val="auto"/>
        </w:rPr>
        <w:t xml:space="preserve">also </w:t>
      </w:r>
      <w:r w:rsidRPr="002437DD">
        <w:rPr>
          <w:color w:val="auto"/>
        </w:rPr>
        <w:t xml:space="preserve">had distinct sub-sections which discussed sustainability within specific </w:t>
      </w:r>
      <w:r w:rsidRPr="002437DD">
        <w:rPr>
          <w:color w:val="auto"/>
          <w:lang w:val="en-US"/>
        </w:rPr>
        <w:t xml:space="preserve">organizational foci, contexts, or objectives. For example, </w:t>
      </w:r>
      <w:proofErr w:type="spellStart"/>
      <w:r w:rsidRPr="003D1A61">
        <w:rPr>
          <w:i/>
          <w:color w:val="auto"/>
          <w:lang w:val="en-US"/>
        </w:rPr>
        <w:t>Tullow</w:t>
      </w:r>
      <w:proofErr w:type="spellEnd"/>
      <w:r w:rsidRPr="002437DD">
        <w:rPr>
          <w:color w:val="auto"/>
          <w:lang w:val="en-US"/>
        </w:rPr>
        <w:t xml:space="preserve"> 2011, </w:t>
      </w:r>
      <w:r w:rsidRPr="003D1A61">
        <w:rPr>
          <w:i/>
          <w:color w:val="auto"/>
        </w:rPr>
        <w:t>Eskom</w:t>
      </w:r>
      <w:r w:rsidRPr="002437DD">
        <w:rPr>
          <w:color w:val="auto"/>
        </w:rPr>
        <w:t xml:space="preserve"> 2011/12, </w:t>
      </w:r>
      <w:r w:rsidRPr="003D1A61">
        <w:rPr>
          <w:i/>
          <w:color w:val="auto"/>
        </w:rPr>
        <w:t>Goldfields</w:t>
      </w:r>
      <w:r w:rsidRPr="002437DD">
        <w:rPr>
          <w:color w:val="auto"/>
        </w:rPr>
        <w:t xml:space="preserve"> 2012, and </w:t>
      </w:r>
      <w:r w:rsidRPr="003D1A61">
        <w:rPr>
          <w:i/>
          <w:color w:val="auto"/>
          <w:lang w:val="en-US"/>
        </w:rPr>
        <w:t>Unilever</w:t>
      </w:r>
      <w:r w:rsidRPr="002437DD">
        <w:rPr>
          <w:color w:val="auto"/>
          <w:lang w:val="en-US"/>
        </w:rPr>
        <w:t xml:space="preserve"> 2011</w:t>
      </w:r>
      <w:r w:rsidRPr="002437DD">
        <w:rPr>
          <w:b/>
          <w:color w:val="auto"/>
        </w:rPr>
        <w:t xml:space="preserve"> </w:t>
      </w:r>
      <w:r w:rsidRPr="002437DD">
        <w:rPr>
          <w:color w:val="auto"/>
          <w:lang w:val="en-US"/>
        </w:rPr>
        <w:t xml:space="preserve">had the following (sub)headings respectively in which discourses of sustainability were mainly clustered: ‘Sustainable supply chain’; </w:t>
      </w:r>
      <w:r w:rsidRPr="002437DD">
        <w:rPr>
          <w:color w:val="auto"/>
        </w:rPr>
        <w:t xml:space="preserve">‘Ensuring financial sustainability’; </w:t>
      </w:r>
      <w:r w:rsidR="001A5DD0">
        <w:rPr>
          <w:color w:val="auto"/>
        </w:rPr>
        <w:t>‘</w:t>
      </w:r>
      <w:r w:rsidRPr="002437DD">
        <w:rPr>
          <w:color w:val="auto"/>
          <w:lang w:val="en-US"/>
        </w:rPr>
        <w:t>Sustainability and the new growth environment</w:t>
      </w:r>
      <w:r w:rsidR="001A5DD0">
        <w:rPr>
          <w:color w:val="auto"/>
          <w:lang w:val="en-US"/>
        </w:rPr>
        <w:t>’</w:t>
      </w:r>
      <w:r w:rsidRPr="002437DD">
        <w:rPr>
          <w:color w:val="auto"/>
          <w:lang w:val="en-US"/>
        </w:rPr>
        <w:t>; ‘</w:t>
      </w:r>
      <w:r w:rsidR="006E4B66">
        <w:rPr>
          <w:color w:val="auto"/>
          <w:lang w:val="en-US"/>
        </w:rPr>
        <w:t>O</w:t>
      </w:r>
      <w:r w:rsidRPr="002437DD">
        <w:rPr>
          <w:color w:val="auto"/>
          <w:lang w:val="en-US"/>
        </w:rPr>
        <w:t xml:space="preserve">ur business model for sustainable growth’. </w:t>
      </w:r>
    </w:p>
    <w:p w14:paraId="27F298E5" w14:textId="77777777" w:rsidR="002437DD" w:rsidRPr="002437DD" w:rsidRDefault="002437DD" w:rsidP="00BB40FF">
      <w:pPr>
        <w:rPr>
          <w:color w:val="auto"/>
          <w:lang w:val="en-US"/>
        </w:rPr>
      </w:pPr>
    </w:p>
    <w:p w14:paraId="584F6F32" w14:textId="42B53B9A" w:rsidR="002437DD" w:rsidRPr="002437DD" w:rsidRDefault="002437DD" w:rsidP="00BB40FF">
      <w:pPr>
        <w:rPr>
          <w:color w:val="auto"/>
        </w:rPr>
      </w:pPr>
      <w:r w:rsidRPr="002437DD">
        <w:rPr>
          <w:color w:val="auto"/>
          <w:lang w:val="en-US"/>
        </w:rPr>
        <w:t xml:space="preserve">The next sub-section will investigate in more depth the above and other </w:t>
      </w:r>
      <w:proofErr w:type="spellStart"/>
      <w:r w:rsidRPr="002437DD">
        <w:rPr>
          <w:color w:val="auto"/>
          <w:lang w:val="en-US"/>
        </w:rPr>
        <w:t>interdiscursive</w:t>
      </w:r>
      <w:proofErr w:type="spellEnd"/>
      <w:r w:rsidRPr="002437DD">
        <w:rPr>
          <w:color w:val="auto"/>
          <w:lang w:val="en-US"/>
        </w:rPr>
        <w:t xml:space="preserve"> relations that emerged in </w:t>
      </w:r>
      <w:r w:rsidR="00E174FE" w:rsidRPr="002437DD">
        <w:rPr>
          <w:color w:val="auto"/>
          <w:lang w:val="en-US"/>
        </w:rPr>
        <w:t>analysis</w:t>
      </w:r>
      <w:r w:rsidR="00E174FE">
        <w:rPr>
          <w:color w:val="auto"/>
          <w:lang w:val="en-US"/>
        </w:rPr>
        <w:t xml:space="preserve"> of</w:t>
      </w:r>
      <w:r w:rsidR="00E174FE" w:rsidRPr="002437DD">
        <w:rPr>
          <w:color w:val="auto"/>
          <w:lang w:val="en-US"/>
        </w:rPr>
        <w:t xml:space="preserve"> </w:t>
      </w:r>
      <w:r w:rsidRPr="002437DD">
        <w:rPr>
          <w:color w:val="auto"/>
          <w:lang w:val="en-US"/>
        </w:rPr>
        <w:t>the documents.</w:t>
      </w:r>
    </w:p>
    <w:p w14:paraId="7A69C646" w14:textId="77777777" w:rsidR="002437DD" w:rsidRPr="002437DD" w:rsidRDefault="002437DD" w:rsidP="00BB40FF">
      <w:pPr>
        <w:rPr>
          <w:color w:val="auto"/>
        </w:rPr>
      </w:pPr>
    </w:p>
    <w:p w14:paraId="46E867F6" w14:textId="3DAE3E3C" w:rsidR="002437DD" w:rsidRPr="002437DD" w:rsidRDefault="002437DD" w:rsidP="005F39F8">
      <w:pPr>
        <w:pStyle w:val="Heading2"/>
      </w:pPr>
      <w:bookmarkStart w:id="7" w:name="_Ref417896810"/>
      <w:r w:rsidRPr="002437DD">
        <w:t>In-depth analysis</w:t>
      </w:r>
      <w:bookmarkEnd w:id="7"/>
    </w:p>
    <w:p w14:paraId="5CE91E02" w14:textId="6F1AED12" w:rsidR="002437DD" w:rsidRPr="002437DD" w:rsidRDefault="002437DD" w:rsidP="005F39F8">
      <w:pPr>
        <w:pStyle w:val="Heading3"/>
      </w:pPr>
      <w:r w:rsidRPr="002437DD">
        <w:t xml:space="preserve">Discourse-pragmatic </w:t>
      </w:r>
      <w:r w:rsidRPr="00E41C6E">
        <w:t>analysis</w:t>
      </w:r>
      <w:r w:rsidRPr="002437DD">
        <w:t>: holistic and particularised discursive strategic orientations</w:t>
      </w:r>
    </w:p>
    <w:p w14:paraId="241CA91E" w14:textId="77777777" w:rsidR="002437DD" w:rsidRPr="002437DD" w:rsidRDefault="002437DD" w:rsidP="0004551D">
      <w:pPr>
        <w:rPr>
          <w:color w:val="auto"/>
        </w:rPr>
      </w:pPr>
    </w:p>
    <w:p w14:paraId="080E6FF4" w14:textId="77777777" w:rsidR="002C0C1E" w:rsidRDefault="002437DD" w:rsidP="00183C24">
      <w:pPr>
        <w:rPr>
          <w:color w:val="auto"/>
        </w:rPr>
      </w:pPr>
      <w:r w:rsidRPr="002437DD">
        <w:rPr>
          <w:color w:val="auto"/>
        </w:rPr>
        <w:t xml:space="preserve">The discourse-pragmatic analysis revealed that discourses of sustainability were often predicated upon two major representations of sustainability which can be conveniently summarised as </w:t>
      </w:r>
      <w:r w:rsidRPr="002437DD">
        <w:rPr>
          <w:i/>
          <w:color w:val="auto"/>
        </w:rPr>
        <w:t>holistic</w:t>
      </w:r>
      <w:r w:rsidRPr="002437DD">
        <w:rPr>
          <w:color w:val="auto"/>
        </w:rPr>
        <w:t xml:space="preserve"> and </w:t>
      </w:r>
      <w:r w:rsidRPr="002437DD">
        <w:rPr>
          <w:i/>
          <w:color w:val="auto"/>
        </w:rPr>
        <w:t>particularised</w:t>
      </w:r>
      <w:r w:rsidRPr="002437DD">
        <w:rPr>
          <w:color w:val="auto"/>
        </w:rPr>
        <w:t xml:space="preserve"> visions and objects of sustainability. </w:t>
      </w:r>
    </w:p>
    <w:p w14:paraId="19797E83" w14:textId="77777777" w:rsidR="002C0C1E" w:rsidRDefault="002C0C1E" w:rsidP="00183C24">
      <w:pPr>
        <w:rPr>
          <w:color w:val="auto"/>
        </w:rPr>
      </w:pPr>
    </w:p>
    <w:p w14:paraId="681997DE" w14:textId="32F33A88" w:rsidR="002437DD" w:rsidRPr="002437DD" w:rsidRDefault="002437DD" w:rsidP="00183C24">
      <w:pPr>
        <w:rPr>
          <w:color w:val="auto"/>
        </w:rPr>
      </w:pPr>
      <w:r w:rsidRPr="002437DD">
        <w:rPr>
          <w:color w:val="auto"/>
        </w:rPr>
        <w:t xml:space="preserve">Sustainability emerged as a </w:t>
      </w:r>
      <w:r w:rsidRPr="003D1A61">
        <w:rPr>
          <w:i/>
          <w:color w:val="auto"/>
        </w:rPr>
        <w:t>holistic</w:t>
      </w:r>
      <w:r w:rsidRPr="002437DD">
        <w:rPr>
          <w:color w:val="auto"/>
        </w:rPr>
        <w:t xml:space="preserve"> objective through discourses which constructed organisations as embedded in, and contributing to, an interrelated system of socio-economic-environmental dynamics and rationales (consistent with the ‘triple bottom line’ approach). In this respect many organisational narratives of sustainability represent</w:t>
      </w:r>
      <w:r w:rsidR="002C0C1E">
        <w:rPr>
          <w:color w:val="auto"/>
        </w:rPr>
        <w:t>ed</w:t>
      </w:r>
      <w:r w:rsidRPr="002437DD">
        <w:rPr>
          <w:color w:val="auto"/>
        </w:rPr>
        <w:t xml:space="preserve"> the business activities </w:t>
      </w:r>
      <w:r w:rsidR="002C0C1E">
        <w:rPr>
          <w:color w:val="auto"/>
        </w:rPr>
        <w:t xml:space="preserve">as </w:t>
      </w:r>
      <w:r w:rsidRPr="002437DD">
        <w:rPr>
          <w:color w:val="auto"/>
        </w:rPr>
        <w:t xml:space="preserve">compatible with social and environmental expectations. Within this scenario, most organisations claimed a commitment to ‘doing their bit’ (e.g. waste and emissions reduction, safety policies) through their activities and strategic plans, with some organisations prominently featuring specifically designed initiatives and programmes (for example </w:t>
      </w:r>
      <w:r w:rsidRPr="003D1A61">
        <w:rPr>
          <w:i/>
          <w:color w:val="auto"/>
        </w:rPr>
        <w:t>M&amp;S</w:t>
      </w:r>
      <w:r w:rsidRPr="002437DD">
        <w:rPr>
          <w:color w:val="auto"/>
        </w:rPr>
        <w:t xml:space="preserve">’ ‘Plan A’; </w:t>
      </w:r>
      <w:r w:rsidRPr="003D1A61">
        <w:rPr>
          <w:i/>
          <w:color w:val="auto"/>
        </w:rPr>
        <w:t>Gold Fields</w:t>
      </w:r>
      <w:r w:rsidRPr="002437DD">
        <w:rPr>
          <w:color w:val="auto"/>
        </w:rPr>
        <w:t xml:space="preserve">’ ‘zero harm’; </w:t>
      </w:r>
      <w:r w:rsidRPr="003D1A61">
        <w:rPr>
          <w:i/>
          <w:color w:val="auto"/>
        </w:rPr>
        <w:t>Novo Nordisk</w:t>
      </w:r>
      <w:r w:rsidRPr="002437DD">
        <w:rPr>
          <w:color w:val="auto"/>
        </w:rPr>
        <w:t xml:space="preserve">’s ‘Blueprint for Change’; </w:t>
      </w:r>
      <w:r w:rsidRPr="003D1A61">
        <w:rPr>
          <w:i/>
          <w:color w:val="auto"/>
        </w:rPr>
        <w:t>Unilever</w:t>
      </w:r>
      <w:r w:rsidRPr="002437DD">
        <w:rPr>
          <w:color w:val="auto"/>
        </w:rPr>
        <w:t xml:space="preserve">’s ‘Sustainable Living Plan’). The main discursive strategies relating to this holistic dimension of sustainability appeared aimed at achieving positive representations of the organisation and of the external impact of its activities. These representations were reliant, inter alia, on </w:t>
      </w:r>
      <w:r w:rsidRPr="002437DD">
        <w:rPr>
          <w:i/>
          <w:color w:val="auto"/>
        </w:rPr>
        <w:t>topoi of mutual compatibility</w:t>
      </w:r>
      <w:r w:rsidRPr="002437DD">
        <w:rPr>
          <w:color w:val="auto"/>
        </w:rPr>
        <w:t xml:space="preserve"> such as the </w:t>
      </w:r>
      <w:proofErr w:type="spellStart"/>
      <w:r w:rsidRPr="002437DD">
        <w:rPr>
          <w:i/>
          <w:color w:val="auto"/>
        </w:rPr>
        <w:t>topos</w:t>
      </w:r>
      <w:proofErr w:type="spellEnd"/>
      <w:r w:rsidRPr="002437DD">
        <w:rPr>
          <w:i/>
          <w:color w:val="auto"/>
        </w:rPr>
        <w:t xml:space="preserve"> of win-win</w:t>
      </w:r>
      <w:r w:rsidRPr="002437DD">
        <w:rPr>
          <w:color w:val="auto"/>
        </w:rPr>
        <w:t xml:space="preserve"> (i.e. certain actions </w:t>
      </w:r>
      <w:r w:rsidRPr="002437DD">
        <w:rPr>
          <w:color w:val="auto"/>
        </w:rPr>
        <w:lastRenderedPageBreak/>
        <w:t xml:space="preserve">will benefit both society and the organisation).  In some other cases, the positive representation of the company was achieved via </w:t>
      </w:r>
      <w:r w:rsidRPr="002437DD">
        <w:rPr>
          <w:i/>
          <w:color w:val="auto"/>
        </w:rPr>
        <w:t>ethical topoi</w:t>
      </w:r>
      <w:r w:rsidRPr="002437DD">
        <w:rPr>
          <w:color w:val="auto"/>
        </w:rPr>
        <w:t xml:space="preserve"> such as the </w:t>
      </w:r>
      <w:proofErr w:type="spellStart"/>
      <w:r w:rsidRPr="002437DD">
        <w:rPr>
          <w:i/>
          <w:color w:val="auto"/>
        </w:rPr>
        <w:t>topos</w:t>
      </w:r>
      <w:proofErr w:type="spellEnd"/>
      <w:r w:rsidRPr="002437DD">
        <w:rPr>
          <w:i/>
          <w:color w:val="auto"/>
        </w:rPr>
        <w:t xml:space="preserve"> of health and safety</w:t>
      </w:r>
      <w:r w:rsidRPr="002437DD">
        <w:rPr>
          <w:color w:val="auto"/>
        </w:rPr>
        <w:t xml:space="preserve"> and the </w:t>
      </w:r>
      <w:proofErr w:type="spellStart"/>
      <w:r w:rsidRPr="002437DD">
        <w:rPr>
          <w:i/>
          <w:color w:val="auto"/>
        </w:rPr>
        <w:t>topos</w:t>
      </w:r>
      <w:proofErr w:type="spellEnd"/>
      <w:r w:rsidRPr="002437DD">
        <w:rPr>
          <w:i/>
          <w:color w:val="auto"/>
        </w:rPr>
        <w:t xml:space="preserve"> of prevention</w:t>
      </w:r>
      <w:r w:rsidRPr="002437DD">
        <w:rPr>
          <w:color w:val="auto"/>
        </w:rPr>
        <w:t xml:space="preserve"> through which the organisation claimed to care for its staff and other stakeholders. For example, invoking its ‘Zero Harm’ commitment, </w:t>
      </w:r>
      <w:r w:rsidRPr="003D1A61">
        <w:rPr>
          <w:i/>
          <w:color w:val="auto"/>
        </w:rPr>
        <w:t>Gold Fields</w:t>
      </w:r>
      <w:r w:rsidRPr="002437DD">
        <w:rPr>
          <w:color w:val="auto"/>
        </w:rPr>
        <w:t xml:space="preserve"> emphasized its safety priorities via the metonymical use of harm for potential causes of risk (effect for cause): </w:t>
      </w:r>
    </w:p>
    <w:p w14:paraId="34719DAD" w14:textId="77777777" w:rsidR="002437DD" w:rsidRPr="002437DD" w:rsidRDefault="002437DD" w:rsidP="00183C24">
      <w:pPr>
        <w:rPr>
          <w:color w:val="auto"/>
        </w:rPr>
      </w:pPr>
    </w:p>
    <w:p w14:paraId="3C8FD911" w14:textId="67C96697" w:rsidR="002437DD" w:rsidRPr="002437DD" w:rsidRDefault="002437DD" w:rsidP="00256B97">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1</w:t>
      </w:r>
      <w:r w:rsidR="00072202">
        <w:rPr>
          <w:noProof/>
        </w:rPr>
        <w:fldChar w:fldCharType="end"/>
      </w:r>
    </w:p>
    <w:p w14:paraId="12CA9B5C" w14:textId="49D5880C" w:rsidR="002437DD" w:rsidRPr="002437DD" w:rsidRDefault="001A5DD0" w:rsidP="001B0182">
      <w:pPr>
        <w:pStyle w:val="quoteinItalian"/>
      </w:pPr>
      <w:r>
        <w:t>‘</w:t>
      </w:r>
      <w:r w:rsidR="002437DD" w:rsidRPr="002437DD">
        <w:t xml:space="preserve">We seek to eliminate all harm to our people and to all contractors working on our sites. If we cannot mine safely, we will not mine (Gold Fields 2012 p. 86). </w:t>
      </w:r>
    </w:p>
    <w:p w14:paraId="3E71C35B" w14:textId="3283425E" w:rsidR="002437DD" w:rsidRPr="002437DD" w:rsidRDefault="002437DD" w:rsidP="00BB40FF">
      <w:pPr>
        <w:rPr>
          <w:i/>
          <w:color w:val="auto"/>
        </w:rPr>
      </w:pPr>
      <w:r w:rsidRPr="002437DD">
        <w:rPr>
          <w:color w:val="auto"/>
        </w:rPr>
        <w:t>Far more frequently</w:t>
      </w:r>
      <w:r w:rsidR="00103C0C">
        <w:rPr>
          <w:color w:val="auto"/>
        </w:rPr>
        <w:t>, however,</w:t>
      </w:r>
      <w:r w:rsidRPr="002437DD">
        <w:rPr>
          <w:color w:val="auto"/>
        </w:rPr>
        <w:t xml:space="preserve"> than holistic representations of sustainability, the analysis found that discourses of social and environmental sustainability</w:t>
      </w:r>
      <w:r w:rsidR="00103C0C">
        <w:rPr>
          <w:color w:val="auto"/>
        </w:rPr>
        <w:t xml:space="preserve"> within the hybrid genre of IR</w:t>
      </w:r>
      <w:r w:rsidRPr="002437DD">
        <w:rPr>
          <w:color w:val="auto"/>
        </w:rPr>
        <w:t xml:space="preserve"> were mixed with economic and financial discourses and embedded into organisational goals and strategies to construct </w:t>
      </w:r>
      <w:r w:rsidRPr="002B659A">
        <w:rPr>
          <w:i/>
          <w:color w:val="auto"/>
        </w:rPr>
        <w:t>particularised</w:t>
      </w:r>
      <w:r w:rsidRPr="002437DD">
        <w:rPr>
          <w:color w:val="auto"/>
        </w:rPr>
        <w:t xml:space="preserve"> meanings of sustainability bent towards specific organisational narratives. In this sense, most discourses of sustainability were aimed at emphasizing internal sustainability, that is at portraying the organisation and its activities as being (financially, economically, and commercially) viable and capable of achieving set objectives for the primary benefit of shareholders. This specific orientation, which was clearly addressing an audience of investors, was achieved through different topoi, notably the </w:t>
      </w:r>
      <w:proofErr w:type="spellStart"/>
      <w:r w:rsidRPr="002437DD">
        <w:rPr>
          <w:i/>
          <w:color w:val="auto"/>
        </w:rPr>
        <w:t>topos</w:t>
      </w:r>
      <w:proofErr w:type="spellEnd"/>
      <w:r w:rsidRPr="002437DD">
        <w:rPr>
          <w:i/>
          <w:color w:val="auto"/>
        </w:rPr>
        <w:t xml:space="preserve"> of growth, </w:t>
      </w:r>
      <w:proofErr w:type="spellStart"/>
      <w:r w:rsidRPr="002437DD">
        <w:rPr>
          <w:i/>
          <w:color w:val="auto"/>
        </w:rPr>
        <w:t>topos</w:t>
      </w:r>
      <w:proofErr w:type="spellEnd"/>
      <w:r w:rsidRPr="002437DD">
        <w:rPr>
          <w:i/>
          <w:color w:val="auto"/>
        </w:rPr>
        <w:t xml:space="preserve"> of strategy, </w:t>
      </w:r>
      <w:proofErr w:type="spellStart"/>
      <w:r w:rsidRPr="002437DD">
        <w:rPr>
          <w:i/>
          <w:color w:val="auto"/>
        </w:rPr>
        <w:t>topos</w:t>
      </w:r>
      <w:proofErr w:type="spellEnd"/>
      <w:r w:rsidRPr="002437DD">
        <w:rPr>
          <w:i/>
          <w:color w:val="auto"/>
        </w:rPr>
        <w:t xml:space="preserve"> of financial and commercial viability</w:t>
      </w:r>
      <w:r w:rsidRPr="002437DD">
        <w:rPr>
          <w:color w:val="auto"/>
        </w:rPr>
        <w:t xml:space="preserve">, </w:t>
      </w:r>
      <w:proofErr w:type="spellStart"/>
      <w:r w:rsidRPr="002437DD">
        <w:rPr>
          <w:i/>
          <w:color w:val="auto"/>
        </w:rPr>
        <w:t>topos</w:t>
      </w:r>
      <w:proofErr w:type="spellEnd"/>
      <w:r w:rsidRPr="002437DD">
        <w:rPr>
          <w:i/>
          <w:color w:val="auto"/>
        </w:rPr>
        <w:t xml:space="preserve"> of competitiveness, </w:t>
      </w:r>
      <w:proofErr w:type="spellStart"/>
      <w:r w:rsidRPr="002437DD">
        <w:rPr>
          <w:i/>
          <w:color w:val="auto"/>
        </w:rPr>
        <w:t>topos</w:t>
      </w:r>
      <w:proofErr w:type="spellEnd"/>
      <w:r w:rsidRPr="002437DD">
        <w:rPr>
          <w:i/>
          <w:color w:val="auto"/>
        </w:rPr>
        <w:t xml:space="preserve"> of return,</w:t>
      </w:r>
      <w:r w:rsidRPr="002437DD">
        <w:rPr>
          <w:color w:val="auto"/>
        </w:rPr>
        <w:t xml:space="preserve"> </w:t>
      </w:r>
      <w:proofErr w:type="spellStart"/>
      <w:r w:rsidRPr="002437DD">
        <w:rPr>
          <w:i/>
          <w:color w:val="auto"/>
        </w:rPr>
        <w:t>topos</w:t>
      </w:r>
      <w:proofErr w:type="spellEnd"/>
      <w:r w:rsidRPr="002437DD">
        <w:rPr>
          <w:i/>
          <w:color w:val="auto"/>
        </w:rPr>
        <w:t xml:space="preserve"> of value, and the </w:t>
      </w:r>
      <w:proofErr w:type="spellStart"/>
      <w:r w:rsidRPr="002437DD">
        <w:rPr>
          <w:i/>
          <w:color w:val="auto"/>
        </w:rPr>
        <w:t>topos</w:t>
      </w:r>
      <w:proofErr w:type="spellEnd"/>
      <w:r w:rsidRPr="002437DD">
        <w:rPr>
          <w:i/>
          <w:color w:val="auto"/>
        </w:rPr>
        <w:t xml:space="preserve"> of performance </w:t>
      </w:r>
      <w:r w:rsidRPr="002437DD">
        <w:rPr>
          <w:color w:val="auto"/>
        </w:rPr>
        <w:t>which we discuss below.</w:t>
      </w:r>
    </w:p>
    <w:p w14:paraId="251A696F" w14:textId="77777777" w:rsidR="002437DD" w:rsidRPr="002437DD" w:rsidRDefault="002437DD" w:rsidP="00BB40FF">
      <w:pPr>
        <w:rPr>
          <w:color w:val="auto"/>
        </w:rPr>
      </w:pPr>
    </w:p>
    <w:p w14:paraId="4811EAA1" w14:textId="4D5F0EAF" w:rsidR="002437DD" w:rsidRPr="002437DD" w:rsidRDefault="002437DD" w:rsidP="004F07B3">
      <w:pPr>
        <w:pStyle w:val="Heading6"/>
        <w:numPr>
          <w:ilvl w:val="0"/>
          <w:numId w:val="0"/>
        </w:numPr>
        <w:ind w:left="1152" w:hanging="1152"/>
        <w:rPr>
          <w:rFonts w:asciiTheme="minorHAnsi" w:hAnsiTheme="minorHAnsi"/>
          <w:color w:val="auto"/>
        </w:rPr>
      </w:pPr>
      <w:proofErr w:type="spellStart"/>
      <w:r w:rsidRPr="002437DD">
        <w:rPr>
          <w:rFonts w:asciiTheme="minorHAnsi" w:hAnsiTheme="minorHAnsi"/>
          <w:color w:val="auto"/>
        </w:rPr>
        <w:lastRenderedPageBreak/>
        <w:t>Topos</w:t>
      </w:r>
      <w:proofErr w:type="spellEnd"/>
      <w:r w:rsidRPr="002437DD">
        <w:rPr>
          <w:rFonts w:asciiTheme="minorHAnsi" w:hAnsiTheme="minorHAnsi"/>
          <w:color w:val="auto"/>
        </w:rPr>
        <w:t xml:space="preserve"> of growth </w:t>
      </w:r>
    </w:p>
    <w:p w14:paraId="2B921F1B" w14:textId="77777777" w:rsidR="002437DD" w:rsidRPr="002437DD" w:rsidRDefault="002437DD" w:rsidP="00A50A11">
      <w:pPr>
        <w:rPr>
          <w:color w:val="auto"/>
          <w:lang w:eastAsia="en-GB"/>
        </w:rPr>
      </w:pPr>
    </w:p>
    <w:p w14:paraId="14CAAA3E" w14:textId="0FD7A28B" w:rsidR="002437DD" w:rsidRPr="002437DD" w:rsidRDefault="002437DD" w:rsidP="005A23F7">
      <w:pPr>
        <w:rPr>
          <w:color w:val="auto"/>
        </w:rPr>
      </w:pPr>
      <w:r w:rsidRPr="002437DD">
        <w:rPr>
          <w:color w:val="auto"/>
        </w:rPr>
        <w:t xml:space="preserve">The </w:t>
      </w:r>
      <w:proofErr w:type="spellStart"/>
      <w:r w:rsidRPr="002437DD">
        <w:rPr>
          <w:i/>
          <w:color w:val="auto"/>
        </w:rPr>
        <w:t>topos</w:t>
      </w:r>
      <w:proofErr w:type="spellEnd"/>
      <w:r w:rsidRPr="002437DD">
        <w:rPr>
          <w:i/>
          <w:color w:val="auto"/>
        </w:rPr>
        <w:t xml:space="preserve"> of growth </w:t>
      </w:r>
      <w:r w:rsidRPr="002437DD">
        <w:rPr>
          <w:color w:val="auto"/>
        </w:rPr>
        <w:t xml:space="preserve">(i.e. in time a company is expected to increase its production output, market share, number of customers, etc.) was an overarching driver of most discourses in the IRs analysed.  Through the </w:t>
      </w:r>
      <w:proofErr w:type="spellStart"/>
      <w:r w:rsidRPr="002437DD">
        <w:rPr>
          <w:i/>
          <w:color w:val="auto"/>
        </w:rPr>
        <w:t>topos</w:t>
      </w:r>
      <w:proofErr w:type="spellEnd"/>
      <w:r w:rsidRPr="002437DD">
        <w:rPr>
          <w:i/>
          <w:color w:val="auto"/>
        </w:rPr>
        <w:t xml:space="preserve"> of growth,</w:t>
      </w:r>
      <w:r w:rsidRPr="002437DD">
        <w:rPr>
          <w:color w:val="auto"/>
        </w:rPr>
        <w:t xml:space="preserve"> sustainability was embedded into discourses of organisational strategies and its meaning tended to be bent towards particularised notions of continuous </w:t>
      </w:r>
      <w:r w:rsidRPr="002437DD">
        <w:rPr>
          <w:i/>
          <w:color w:val="auto"/>
        </w:rPr>
        <w:t>expansion</w:t>
      </w:r>
      <w:r w:rsidRPr="002437DD">
        <w:rPr>
          <w:color w:val="auto"/>
        </w:rPr>
        <w:t xml:space="preserve"> and </w:t>
      </w:r>
      <w:r w:rsidRPr="002437DD">
        <w:rPr>
          <w:i/>
          <w:color w:val="auto"/>
        </w:rPr>
        <w:t>profitability</w:t>
      </w:r>
      <w:r w:rsidRPr="002437DD">
        <w:rPr>
          <w:color w:val="auto"/>
        </w:rPr>
        <w:t xml:space="preserve"> of the business.</w:t>
      </w:r>
      <w:r w:rsidRPr="002437DD">
        <w:rPr>
          <w:color w:val="auto"/>
          <w:lang w:eastAsia="en-GB"/>
        </w:rPr>
        <w:t xml:space="preserve"> </w:t>
      </w:r>
      <w:r w:rsidR="00103C0C">
        <w:rPr>
          <w:color w:val="auto"/>
          <w:lang w:eastAsia="en-GB"/>
        </w:rPr>
        <w:t>T</w:t>
      </w:r>
      <w:r w:rsidRPr="002437DD">
        <w:rPr>
          <w:color w:val="auto"/>
          <w:lang w:eastAsia="en-GB"/>
        </w:rPr>
        <w:t xml:space="preserve">he metonymic substitution of economic growth for development was widespread in most IRs. Discourses of sustainability were ‘bent’ to support </w:t>
      </w:r>
      <w:r w:rsidRPr="002437DD">
        <w:rPr>
          <w:color w:val="auto"/>
        </w:rPr>
        <w:t>argumentative schemes of growth and</w:t>
      </w:r>
      <w:r w:rsidRPr="002437DD">
        <w:rPr>
          <w:color w:val="auto"/>
          <w:lang w:eastAsia="en-GB"/>
        </w:rPr>
        <w:t xml:space="preserve"> the legitimation of company’s goals</w:t>
      </w:r>
      <w:r w:rsidR="00103C0C">
        <w:rPr>
          <w:color w:val="auto"/>
          <w:lang w:eastAsia="en-GB"/>
        </w:rPr>
        <w:t>,</w:t>
      </w:r>
      <w:r w:rsidRPr="002437DD">
        <w:rPr>
          <w:color w:val="auto"/>
          <w:lang w:eastAsia="en-GB"/>
        </w:rPr>
        <w:t xml:space="preserve"> even when discussed more holistically from a ‘responsible’ stance. </w:t>
      </w:r>
      <w:r w:rsidRPr="002437DD">
        <w:rPr>
          <w:color w:val="auto"/>
        </w:rPr>
        <w:t xml:space="preserve">For example, in their 2012 Annual Report, </w:t>
      </w:r>
      <w:r w:rsidRPr="002B659A">
        <w:rPr>
          <w:i/>
          <w:color w:val="auto"/>
        </w:rPr>
        <w:t>Unilever</w:t>
      </w:r>
      <w:r w:rsidRPr="002437DD">
        <w:rPr>
          <w:color w:val="auto"/>
        </w:rPr>
        <w:t xml:space="preserve"> </w:t>
      </w:r>
      <w:r w:rsidR="00C85827">
        <w:rPr>
          <w:color w:val="auto"/>
        </w:rPr>
        <w:t xml:space="preserve">embeds the </w:t>
      </w:r>
      <w:r w:rsidRPr="002437DD">
        <w:rPr>
          <w:color w:val="auto"/>
        </w:rPr>
        <w:t>discuss</w:t>
      </w:r>
      <w:r w:rsidR="00C85827">
        <w:rPr>
          <w:color w:val="auto"/>
        </w:rPr>
        <w:t xml:space="preserve">ion of </w:t>
      </w:r>
      <w:r w:rsidR="00964EEA">
        <w:rPr>
          <w:color w:val="auto"/>
        </w:rPr>
        <w:t>their ‘S</w:t>
      </w:r>
      <w:r w:rsidR="00C85827">
        <w:rPr>
          <w:color w:val="auto"/>
        </w:rPr>
        <w:t>ustainab</w:t>
      </w:r>
      <w:r w:rsidR="00964EEA">
        <w:rPr>
          <w:color w:val="auto"/>
        </w:rPr>
        <w:t xml:space="preserve">le Living Plan’ </w:t>
      </w:r>
      <w:r w:rsidR="00C85827">
        <w:rPr>
          <w:color w:val="auto"/>
        </w:rPr>
        <w:t xml:space="preserve">within the ‘company strategy’ section. In particular, Unilever discussed </w:t>
      </w:r>
      <w:r w:rsidRPr="002437DD">
        <w:rPr>
          <w:color w:val="auto"/>
        </w:rPr>
        <w:t>their business model placing ‘</w:t>
      </w:r>
      <w:r w:rsidR="00964EEA">
        <w:rPr>
          <w:color w:val="auto"/>
        </w:rPr>
        <w:t>S</w:t>
      </w:r>
      <w:r w:rsidRPr="002437DD">
        <w:rPr>
          <w:color w:val="auto"/>
        </w:rPr>
        <w:t xml:space="preserve">ustainable </w:t>
      </w:r>
      <w:r w:rsidR="00964EEA">
        <w:rPr>
          <w:color w:val="auto"/>
        </w:rPr>
        <w:t>L</w:t>
      </w:r>
      <w:r w:rsidRPr="002437DD">
        <w:rPr>
          <w:color w:val="auto"/>
        </w:rPr>
        <w:t xml:space="preserve">iving’ at the core of a ‘virtuous circle of growth’ (p.9) </w:t>
      </w:r>
      <w:r w:rsidR="00964EEA">
        <w:rPr>
          <w:color w:val="auto"/>
        </w:rPr>
        <w:t xml:space="preserve">– supported by various graphic representations of the ‘cycle’ - </w:t>
      </w:r>
      <w:r w:rsidRPr="002437DD">
        <w:rPr>
          <w:color w:val="auto"/>
        </w:rPr>
        <w:t xml:space="preserve">that would see the company </w:t>
      </w:r>
      <w:r w:rsidR="001A5DD0">
        <w:rPr>
          <w:i/>
          <w:color w:val="auto"/>
        </w:rPr>
        <w:t>‘</w:t>
      </w:r>
      <w:proofErr w:type="spellStart"/>
      <w:r w:rsidRPr="002437DD">
        <w:rPr>
          <w:i/>
          <w:color w:val="auto"/>
        </w:rPr>
        <w:t>doubl</w:t>
      </w:r>
      <w:proofErr w:type="spellEnd"/>
      <w:r w:rsidRPr="002437DD">
        <w:rPr>
          <w:i/>
          <w:color w:val="auto"/>
        </w:rPr>
        <w:t>[</w:t>
      </w:r>
      <w:proofErr w:type="spellStart"/>
      <w:r w:rsidRPr="002437DD">
        <w:rPr>
          <w:i/>
          <w:color w:val="auto"/>
        </w:rPr>
        <w:t>ing</w:t>
      </w:r>
      <w:proofErr w:type="spellEnd"/>
      <w:r w:rsidRPr="002437DD">
        <w:rPr>
          <w:i/>
          <w:color w:val="auto"/>
        </w:rPr>
        <w:t>] the size of the business, whilst reducing [their] environmental footprint and increasing [their] positive social impact</w:t>
      </w:r>
      <w:r w:rsidR="001A5DD0">
        <w:rPr>
          <w:i/>
          <w:color w:val="auto"/>
        </w:rPr>
        <w:t>’</w:t>
      </w:r>
      <w:r w:rsidRPr="002437DD">
        <w:rPr>
          <w:i/>
          <w:color w:val="auto"/>
        </w:rPr>
        <w:t xml:space="preserve"> (p. 8).</w:t>
      </w:r>
    </w:p>
    <w:p w14:paraId="028FC170" w14:textId="77777777" w:rsidR="002437DD" w:rsidRPr="002437DD" w:rsidRDefault="002437DD" w:rsidP="005A23F7">
      <w:pPr>
        <w:rPr>
          <w:color w:val="auto"/>
        </w:rPr>
      </w:pPr>
    </w:p>
    <w:p w14:paraId="0CF04DBF" w14:textId="7BB60A58" w:rsidR="002437DD" w:rsidRPr="002437DD" w:rsidRDefault="002437DD" w:rsidP="00A50A11">
      <w:pPr>
        <w:rPr>
          <w:color w:val="auto"/>
        </w:rPr>
      </w:pPr>
      <w:r w:rsidRPr="002B659A">
        <w:rPr>
          <w:i/>
          <w:color w:val="auto"/>
        </w:rPr>
        <w:t>Unilever</w:t>
      </w:r>
      <w:r w:rsidRPr="002437DD">
        <w:rPr>
          <w:color w:val="auto"/>
        </w:rPr>
        <w:t xml:space="preserve"> initially discusses its </w:t>
      </w:r>
      <w:r w:rsidR="00964EEA">
        <w:rPr>
          <w:color w:val="auto"/>
        </w:rPr>
        <w:t>‘</w:t>
      </w:r>
      <w:r w:rsidRPr="002437DD">
        <w:rPr>
          <w:color w:val="auto"/>
        </w:rPr>
        <w:t>Sustainable Living Plan</w:t>
      </w:r>
      <w:r w:rsidR="00964EEA">
        <w:rPr>
          <w:color w:val="auto"/>
        </w:rPr>
        <w:t>’</w:t>
      </w:r>
      <w:r w:rsidRPr="002437DD">
        <w:rPr>
          <w:color w:val="auto"/>
        </w:rPr>
        <w:t xml:space="preserve"> from a holistic perspective recognising the potential role of business in driving change and by addressing issues of waste reduction, carbon footprint, and the management of scarce resources such as water. When the Sustainable Living Plan is unpacked to make the business case for sustainability, the discourse shifts to more </w:t>
      </w:r>
      <w:r w:rsidRPr="002437DD">
        <w:rPr>
          <w:color w:val="auto"/>
        </w:rPr>
        <w:lastRenderedPageBreak/>
        <w:t>particularised meanings of sustainability as is clearly inferable in the following passage:</w:t>
      </w:r>
    </w:p>
    <w:p w14:paraId="618CF1A5" w14:textId="7CDF4FB5" w:rsidR="002437DD" w:rsidRPr="002437DD" w:rsidRDefault="002437DD" w:rsidP="000C3F3F">
      <w:pPr>
        <w:pStyle w:val="Default"/>
        <w:rPr>
          <w:rFonts w:asciiTheme="minorHAnsi" w:hAnsiTheme="minorHAnsi"/>
          <w:color w:val="auto"/>
        </w:rPr>
      </w:pPr>
    </w:p>
    <w:p w14:paraId="65C660A7" w14:textId="1489E027" w:rsidR="002437DD" w:rsidRPr="002437DD" w:rsidRDefault="002437DD" w:rsidP="00E56242">
      <w:pPr>
        <w:pStyle w:val="Caption"/>
      </w:pPr>
      <w:bookmarkStart w:id="8" w:name="_Ref434312425"/>
      <w:r w:rsidRPr="002437DD">
        <w:t xml:space="preserve">Extract </w:t>
      </w:r>
      <w:r w:rsidR="00072202">
        <w:fldChar w:fldCharType="begin"/>
      </w:r>
      <w:r w:rsidR="00072202">
        <w:instrText xml:space="preserve"> SEQ Extract \* ARABIC </w:instrText>
      </w:r>
      <w:r w:rsidR="00072202">
        <w:fldChar w:fldCharType="separate"/>
      </w:r>
      <w:r w:rsidR="00E35E41">
        <w:rPr>
          <w:noProof/>
        </w:rPr>
        <w:t>2</w:t>
      </w:r>
      <w:r w:rsidR="00072202">
        <w:rPr>
          <w:noProof/>
        </w:rPr>
        <w:fldChar w:fldCharType="end"/>
      </w:r>
      <w:bookmarkEnd w:id="8"/>
    </w:p>
    <w:p w14:paraId="06BB51A4" w14:textId="1FEDB235" w:rsidR="002437DD" w:rsidRPr="002437DD" w:rsidRDefault="001A5DD0" w:rsidP="000C3F3F">
      <w:pPr>
        <w:pStyle w:val="quoteinItalian"/>
      </w:pPr>
      <w:r>
        <w:t>‘</w:t>
      </w:r>
      <w:r w:rsidR="002437DD" w:rsidRPr="002437DD">
        <w:t xml:space="preserve">With 7 billion people on our planet, the earth’s resources can be strained. This means </w:t>
      </w:r>
      <w:r w:rsidR="002437DD" w:rsidRPr="002437DD">
        <w:rPr>
          <w:u w:val="single"/>
        </w:rPr>
        <w:t>sustainable</w:t>
      </w:r>
      <w:r w:rsidR="002437DD" w:rsidRPr="002437DD">
        <w:t xml:space="preserve">, equitable growth is the only acceptable model of growth for our business. We believe growth and </w:t>
      </w:r>
      <w:r w:rsidR="002437DD" w:rsidRPr="002437DD">
        <w:rPr>
          <w:u w:val="single"/>
        </w:rPr>
        <w:t>sustainability</w:t>
      </w:r>
      <w:r w:rsidR="002437DD" w:rsidRPr="002437DD">
        <w:t xml:space="preserve"> are not in conflict. In fact, in our experience, </w:t>
      </w:r>
      <w:r w:rsidR="002437DD" w:rsidRPr="002437DD">
        <w:rPr>
          <w:u w:val="single"/>
        </w:rPr>
        <w:t>sustainability</w:t>
      </w:r>
      <w:r w:rsidR="002437DD" w:rsidRPr="002437DD">
        <w:t xml:space="preserve"> drives growth. By focusing on </w:t>
      </w:r>
      <w:r w:rsidR="002437DD" w:rsidRPr="002437DD">
        <w:rPr>
          <w:u w:val="single"/>
        </w:rPr>
        <w:t>sustainable</w:t>
      </w:r>
      <w:r w:rsidR="002437DD" w:rsidRPr="002437DD">
        <w:t xml:space="preserve"> living needs, we can build brands with a significant purpose. By reducing waste, we create efficiencies and reduce costs, which helps to improve our margins.</w:t>
      </w:r>
      <w:r>
        <w:t>’</w:t>
      </w:r>
      <w:r w:rsidR="002437DD" w:rsidRPr="002437DD">
        <w:t xml:space="preserve">  (Unilever Annual Report 2012, p. 11)</w:t>
      </w:r>
    </w:p>
    <w:p w14:paraId="02AFB3B5" w14:textId="4838C44B" w:rsidR="004758D1" w:rsidRDefault="002437DD" w:rsidP="00A50A11">
      <w:pPr>
        <w:rPr>
          <w:color w:val="auto"/>
        </w:rPr>
      </w:pPr>
      <w:r w:rsidRPr="002437DD">
        <w:rPr>
          <w:color w:val="auto"/>
        </w:rPr>
        <w:t xml:space="preserve">The main discursive strategy in </w:t>
      </w:r>
      <w:r w:rsidRPr="002B659A">
        <w:rPr>
          <w:i/>
          <w:color w:val="auto"/>
        </w:rPr>
        <w:t>Unilever</w:t>
      </w:r>
      <w:r w:rsidRPr="002437DD">
        <w:rPr>
          <w:color w:val="auto"/>
        </w:rPr>
        <w:t xml:space="preserve">’s argument is to justify the claim that the business is or should be operating in pursuit of its own growth and through commercial and financial objectives. </w:t>
      </w:r>
      <w:r w:rsidR="004758D1">
        <w:rPr>
          <w:color w:val="auto"/>
        </w:rPr>
        <w:t>This</w:t>
      </w:r>
      <w:r w:rsidR="004758D1" w:rsidRPr="002437DD">
        <w:rPr>
          <w:color w:val="auto"/>
        </w:rPr>
        <w:t xml:space="preserve"> </w:t>
      </w:r>
      <w:r w:rsidRPr="002437DD">
        <w:rPr>
          <w:color w:val="auto"/>
        </w:rPr>
        <w:t>claim is backed by a) a rebuttal of the ‘limits to growth’ argument (that is, a limited amount of resources which ha</w:t>
      </w:r>
      <w:r w:rsidR="004758D1">
        <w:rPr>
          <w:color w:val="auto"/>
        </w:rPr>
        <w:t>ve</w:t>
      </w:r>
      <w:r w:rsidRPr="002437DD">
        <w:rPr>
          <w:color w:val="auto"/>
        </w:rPr>
        <w:t xml:space="preserve"> to be shared by an increasing number of people would not allow everyone to grow sustainably and equitably) and b) a particularised representation of the ‘virtuous circle of growth’ which focuses on the perceived positive repercussions for the business generated by its activities. </w:t>
      </w:r>
    </w:p>
    <w:p w14:paraId="439208BE" w14:textId="77777777" w:rsidR="004758D1" w:rsidRDefault="004758D1" w:rsidP="00A50A11">
      <w:pPr>
        <w:rPr>
          <w:color w:val="auto"/>
        </w:rPr>
      </w:pPr>
    </w:p>
    <w:p w14:paraId="546647AD" w14:textId="66BCF74C" w:rsidR="004758D1" w:rsidRDefault="002437DD" w:rsidP="00A50A11">
      <w:pPr>
        <w:rPr>
          <w:color w:val="auto"/>
        </w:rPr>
      </w:pPr>
      <w:r w:rsidRPr="002437DD">
        <w:rPr>
          <w:color w:val="auto"/>
        </w:rPr>
        <w:t xml:space="preserve">The rebuttal of the ‘limits to growth’ argument allows the narrator to introduce the argument of growth even in the face of the contradicting premise about ‘strained resources’ that suggests growth cannot be sustainable and equitable at the same time. This contradiction is subsequently reinforced when the </w:t>
      </w:r>
      <w:proofErr w:type="spellStart"/>
      <w:r w:rsidRPr="002437DD">
        <w:rPr>
          <w:i/>
          <w:color w:val="auto"/>
        </w:rPr>
        <w:t>topos</w:t>
      </w:r>
      <w:proofErr w:type="spellEnd"/>
      <w:r w:rsidRPr="002437DD">
        <w:rPr>
          <w:i/>
          <w:color w:val="auto"/>
        </w:rPr>
        <w:t xml:space="preserve"> of the virtuous circle of growth</w:t>
      </w:r>
      <w:r w:rsidRPr="002437DD">
        <w:rPr>
          <w:color w:val="auto"/>
        </w:rPr>
        <w:t xml:space="preserve"> is invoked to explain how the adoption of </w:t>
      </w:r>
      <w:r w:rsidRPr="002437DD">
        <w:rPr>
          <w:color w:val="auto"/>
        </w:rPr>
        <w:lastRenderedPageBreak/>
        <w:t xml:space="preserve">sustainable practices would benefit the company. Deploying marketing discourse, it is claimed that the company will consolidate their brands by identifying and catering for </w:t>
      </w:r>
      <w:r w:rsidR="001A5DD0">
        <w:rPr>
          <w:color w:val="auto"/>
        </w:rPr>
        <w:t>‘</w:t>
      </w:r>
      <w:r w:rsidRPr="002437DD">
        <w:rPr>
          <w:color w:val="auto"/>
        </w:rPr>
        <w:t>sustainable living needs</w:t>
      </w:r>
      <w:r w:rsidR="001A5DD0">
        <w:rPr>
          <w:color w:val="auto"/>
        </w:rPr>
        <w:t>’</w:t>
      </w:r>
      <w:r w:rsidRPr="002437DD">
        <w:rPr>
          <w:color w:val="auto"/>
        </w:rPr>
        <w:t>. This claim is reinforced by examples of how waste re</w:t>
      </w:r>
      <w:r w:rsidR="006048F3">
        <w:rPr>
          <w:color w:val="auto"/>
        </w:rPr>
        <w:t>duction is correlated with cost</w:t>
      </w:r>
      <w:r w:rsidRPr="002437DD">
        <w:rPr>
          <w:color w:val="auto"/>
        </w:rPr>
        <w:t xml:space="preserve"> reduction and </w:t>
      </w:r>
      <w:r w:rsidR="006048F3" w:rsidRPr="002437DD">
        <w:rPr>
          <w:color w:val="auto"/>
        </w:rPr>
        <w:t xml:space="preserve">increase </w:t>
      </w:r>
      <w:r w:rsidR="006048F3">
        <w:rPr>
          <w:color w:val="auto"/>
        </w:rPr>
        <w:t xml:space="preserve">in </w:t>
      </w:r>
      <w:r w:rsidRPr="002437DD">
        <w:rPr>
          <w:color w:val="auto"/>
        </w:rPr>
        <w:t xml:space="preserve">margins.  </w:t>
      </w:r>
    </w:p>
    <w:p w14:paraId="7879A8B2" w14:textId="77777777" w:rsidR="004758D1" w:rsidRDefault="004758D1" w:rsidP="00A50A11">
      <w:pPr>
        <w:rPr>
          <w:color w:val="auto"/>
        </w:rPr>
      </w:pPr>
    </w:p>
    <w:p w14:paraId="687C28CF" w14:textId="32D39CC0" w:rsidR="002437DD" w:rsidRPr="002437DD" w:rsidRDefault="002437DD" w:rsidP="00A50A11">
      <w:pPr>
        <w:rPr>
          <w:color w:val="auto"/>
        </w:rPr>
      </w:pPr>
      <w:r w:rsidRPr="002B659A">
        <w:rPr>
          <w:i/>
          <w:color w:val="auto"/>
        </w:rPr>
        <w:t>Unilever</w:t>
      </w:r>
      <w:r w:rsidRPr="002437DD">
        <w:rPr>
          <w:color w:val="auto"/>
        </w:rPr>
        <w:t>’s argument is realised through representations of sustainability as a tool and a holistic goal</w:t>
      </w:r>
      <w:r w:rsidR="004758D1">
        <w:rPr>
          <w:color w:val="auto"/>
        </w:rPr>
        <w:t>,</w:t>
      </w:r>
      <w:r w:rsidRPr="002437DD">
        <w:rPr>
          <w:color w:val="auto"/>
        </w:rPr>
        <w:t xml:space="preserve"> and it clearly focuses on the organisation as an ultimate beneficiary of initiatives which are labelled as sustainable. </w:t>
      </w:r>
      <w:r w:rsidR="004758D1">
        <w:rPr>
          <w:color w:val="auto"/>
        </w:rPr>
        <w:t>M</w:t>
      </w:r>
      <w:r w:rsidR="004758D1" w:rsidRPr="002437DD">
        <w:rPr>
          <w:color w:val="auto"/>
        </w:rPr>
        <w:t xml:space="preserve">any arguments </w:t>
      </w:r>
      <w:r w:rsidR="004758D1">
        <w:rPr>
          <w:color w:val="auto"/>
        </w:rPr>
        <w:t>t</w:t>
      </w:r>
      <w:r w:rsidRPr="002437DD">
        <w:rPr>
          <w:color w:val="auto"/>
        </w:rPr>
        <w:t xml:space="preserve">hroughout </w:t>
      </w:r>
      <w:r w:rsidRPr="002B659A">
        <w:rPr>
          <w:i/>
          <w:color w:val="auto"/>
        </w:rPr>
        <w:t>Unil</w:t>
      </w:r>
      <w:r w:rsidR="004758D1" w:rsidRPr="002B659A">
        <w:rPr>
          <w:i/>
          <w:color w:val="auto"/>
        </w:rPr>
        <w:t>e</w:t>
      </w:r>
      <w:r w:rsidRPr="002B659A">
        <w:rPr>
          <w:i/>
          <w:color w:val="auto"/>
        </w:rPr>
        <w:t>ver</w:t>
      </w:r>
      <w:r w:rsidRPr="002437DD">
        <w:rPr>
          <w:color w:val="auto"/>
        </w:rPr>
        <w:t xml:space="preserve">’s IR documents were linguistically realised through the semantic ambiguity of </w:t>
      </w:r>
      <w:r w:rsidRPr="002B659A">
        <w:rPr>
          <w:i/>
          <w:color w:val="auto"/>
        </w:rPr>
        <w:t>sustain*</w:t>
      </w:r>
      <w:r w:rsidRPr="002437DD">
        <w:rPr>
          <w:color w:val="auto"/>
        </w:rPr>
        <w:t xml:space="preserve"> lexemes (sustainably, sustainable, etc.) which were often devoid of specific environmental or social connotations </w:t>
      </w:r>
      <w:r w:rsidR="004758D1">
        <w:rPr>
          <w:color w:val="auto"/>
        </w:rPr>
        <w:t>–</w:t>
      </w:r>
      <w:r w:rsidRPr="002437DD">
        <w:rPr>
          <w:color w:val="auto"/>
        </w:rPr>
        <w:t xml:space="preserve"> as defined by the </w:t>
      </w:r>
      <w:proofErr w:type="spellStart"/>
      <w:r w:rsidRPr="002437DD">
        <w:rPr>
          <w:color w:val="auto"/>
        </w:rPr>
        <w:t>Bruntland’s</w:t>
      </w:r>
      <w:proofErr w:type="spellEnd"/>
      <w:r w:rsidRPr="002437DD">
        <w:rPr>
          <w:color w:val="auto"/>
        </w:rPr>
        <w:t xml:space="preserve"> report </w:t>
      </w:r>
      <w:r w:rsidR="004758D1">
        <w:rPr>
          <w:color w:val="auto"/>
        </w:rPr>
        <w:t>–</w:t>
      </w:r>
      <w:r w:rsidRPr="002437DD">
        <w:rPr>
          <w:color w:val="auto"/>
        </w:rPr>
        <w:t xml:space="preserve"> and either deployed as empty signifiers or as self-referential terms. For instance we can infer from </w:t>
      </w:r>
      <w:r w:rsidRPr="002B659A">
        <w:rPr>
          <w:i/>
          <w:color w:val="auto"/>
        </w:rPr>
        <w:t>Unilever</w:t>
      </w:r>
      <w:r w:rsidRPr="002437DD">
        <w:rPr>
          <w:color w:val="auto"/>
        </w:rPr>
        <w:t xml:space="preserve">’s discourse that its ‘sustainable living plan’ will benefit its consumers and suppliers, whilst at the same time the plan is concerned with winning market share with ‘sustainable </w:t>
      </w:r>
      <w:proofErr w:type="gramStart"/>
      <w:r w:rsidRPr="002437DD">
        <w:rPr>
          <w:color w:val="auto"/>
        </w:rPr>
        <w:t>products’ which</w:t>
      </w:r>
      <w:proofErr w:type="gramEnd"/>
      <w:r w:rsidRPr="002437DD">
        <w:rPr>
          <w:color w:val="auto"/>
        </w:rPr>
        <w:t xml:space="preserve"> will result in the company ‘growing sustainably’. </w:t>
      </w:r>
    </w:p>
    <w:p w14:paraId="4FB375D6" w14:textId="77777777" w:rsidR="002437DD" w:rsidRPr="002437DD" w:rsidRDefault="002437DD" w:rsidP="00A50A11">
      <w:pPr>
        <w:rPr>
          <w:color w:val="auto"/>
          <w:lang w:eastAsia="en-GB"/>
        </w:rPr>
      </w:pPr>
    </w:p>
    <w:p w14:paraId="79BF3A8F" w14:textId="5E27CCAD" w:rsidR="002437DD" w:rsidRPr="002437DD" w:rsidRDefault="002437DD" w:rsidP="00A50A11">
      <w:pPr>
        <w:rPr>
          <w:color w:val="auto"/>
          <w:lang w:eastAsia="en-GB"/>
        </w:rPr>
      </w:pPr>
      <w:r w:rsidRPr="002437DD">
        <w:rPr>
          <w:color w:val="auto"/>
          <w:lang w:eastAsia="en-GB"/>
        </w:rPr>
        <w:t xml:space="preserve">In contrast to </w:t>
      </w:r>
      <w:r w:rsidRPr="002B659A">
        <w:rPr>
          <w:i/>
          <w:color w:val="auto"/>
          <w:lang w:eastAsia="en-GB"/>
        </w:rPr>
        <w:t>Unilever</w:t>
      </w:r>
      <w:r w:rsidRPr="002437DD">
        <w:rPr>
          <w:color w:val="auto"/>
          <w:lang w:eastAsia="en-GB"/>
        </w:rPr>
        <w:t xml:space="preserve">’s more holistic sustainability discourse, other companies deployed argumentative schemes that focused primarily on particularised economic orientations of sustainability. For example, a particularised construction of sustainability driven by the </w:t>
      </w:r>
      <w:proofErr w:type="spellStart"/>
      <w:r w:rsidRPr="002437DD">
        <w:rPr>
          <w:i/>
          <w:color w:val="auto"/>
          <w:lang w:eastAsia="en-GB"/>
        </w:rPr>
        <w:t>topos</w:t>
      </w:r>
      <w:proofErr w:type="spellEnd"/>
      <w:r w:rsidRPr="002437DD">
        <w:rPr>
          <w:i/>
          <w:color w:val="auto"/>
          <w:lang w:eastAsia="en-GB"/>
        </w:rPr>
        <w:t xml:space="preserve"> of growth</w:t>
      </w:r>
      <w:r w:rsidRPr="002437DD">
        <w:rPr>
          <w:color w:val="auto"/>
          <w:lang w:eastAsia="en-GB"/>
        </w:rPr>
        <w:t xml:space="preserve"> is illustrated in the passage below extracted from </w:t>
      </w:r>
      <w:r w:rsidRPr="002B659A">
        <w:rPr>
          <w:i/>
          <w:color w:val="auto"/>
          <w:lang w:eastAsia="en-GB"/>
        </w:rPr>
        <w:t>Sasol</w:t>
      </w:r>
      <w:r w:rsidRPr="002437DD">
        <w:rPr>
          <w:color w:val="auto"/>
        </w:rPr>
        <w:t xml:space="preserve"> </w:t>
      </w:r>
      <w:r w:rsidRPr="002437DD">
        <w:rPr>
          <w:color w:val="auto"/>
          <w:lang w:eastAsia="en-GB"/>
        </w:rPr>
        <w:t>Chairman’s letter to stakeholders:</w:t>
      </w:r>
    </w:p>
    <w:p w14:paraId="6ACF3FB8" w14:textId="77777777" w:rsidR="002437DD" w:rsidRPr="002437DD" w:rsidRDefault="002437DD" w:rsidP="00A50A11">
      <w:pPr>
        <w:rPr>
          <w:color w:val="auto"/>
          <w:lang w:eastAsia="en-GB"/>
        </w:rPr>
      </w:pPr>
    </w:p>
    <w:p w14:paraId="3836864C" w14:textId="77777777" w:rsidR="002437DD" w:rsidRPr="002437DD" w:rsidRDefault="002437DD" w:rsidP="00A50A11">
      <w:pPr>
        <w:pStyle w:val="Caption"/>
        <w:rPr>
          <w:lang w:eastAsia="en-GB"/>
        </w:rPr>
      </w:pPr>
      <w:r w:rsidRPr="002437DD">
        <w:lastRenderedPageBreak/>
        <w:t xml:space="preserve">Extract </w:t>
      </w:r>
      <w:r w:rsidR="00072202">
        <w:fldChar w:fldCharType="begin"/>
      </w:r>
      <w:r w:rsidR="00072202">
        <w:instrText xml:space="preserve"> SEQ Extract \* ARABIC </w:instrText>
      </w:r>
      <w:r w:rsidR="00072202">
        <w:fldChar w:fldCharType="separate"/>
      </w:r>
      <w:r w:rsidR="00E35E41">
        <w:rPr>
          <w:noProof/>
        </w:rPr>
        <w:t>3</w:t>
      </w:r>
      <w:r w:rsidR="00072202">
        <w:rPr>
          <w:noProof/>
        </w:rPr>
        <w:fldChar w:fldCharType="end"/>
      </w:r>
    </w:p>
    <w:p w14:paraId="1ECADF50" w14:textId="4A443659" w:rsidR="002437DD" w:rsidRPr="002437DD" w:rsidRDefault="001A5DD0" w:rsidP="00A50A11">
      <w:pPr>
        <w:pStyle w:val="Quote"/>
      </w:pPr>
      <w:r>
        <w:t>‘</w:t>
      </w:r>
      <w:r w:rsidR="002437DD" w:rsidRPr="002437DD">
        <w:t xml:space="preserve">It is pleasing to report that Sasol has once again delivered value to its stakeholders through its focus on responsible growth. Growth cannot be pursued at any cost – besides seeking to grow profitably, we must also understand what is required to </w:t>
      </w:r>
      <w:r w:rsidR="002437DD" w:rsidRPr="002437DD">
        <w:rPr>
          <w:u w:val="single"/>
        </w:rPr>
        <w:t>grow sustainably</w:t>
      </w:r>
      <w:r w:rsidR="002437DD" w:rsidRPr="002437DD">
        <w:t xml:space="preserve">. To this end, we seek a careful balance between meeting some of the more immediate expectations of our shareholders and other stakeholders, and the need to make significant investments to </w:t>
      </w:r>
      <w:r w:rsidR="002437DD" w:rsidRPr="002437DD">
        <w:rPr>
          <w:u w:val="single"/>
        </w:rPr>
        <w:t>sustain our growth</w:t>
      </w:r>
      <w:r w:rsidR="002437DD" w:rsidRPr="002437DD">
        <w:t xml:space="preserve"> over the longer term.</w:t>
      </w:r>
      <w:r>
        <w:t>’</w:t>
      </w:r>
      <w:r w:rsidR="002437DD" w:rsidRPr="002437DD">
        <w:t xml:space="preserve"> (Sasol Annual Review 2011, p.13)</w:t>
      </w:r>
    </w:p>
    <w:p w14:paraId="10CA4ECE" w14:textId="77777777" w:rsidR="002437DD" w:rsidRPr="002437DD" w:rsidRDefault="002437DD" w:rsidP="00B120EE">
      <w:pPr>
        <w:rPr>
          <w:color w:val="auto"/>
        </w:rPr>
      </w:pPr>
    </w:p>
    <w:p w14:paraId="41A31C43" w14:textId="7A681E22" w:rsidR="004768EB" w:rsidRDefault="00ED551F" w:rsidP="004768EB">
      <w:pPr>
        <w:rPr>
          <w:color w:val="auto"/>
        </w:rPr>
      </w:pPr>
      <w:r>
        <w:rPr>
          <w:color w:val="auto"/>
        </w:rPr>
        <w:t>The formulation of this statement</w:t>
      </w:r>
      <w:r w:rsidR="00A333F0">
        <w:rPr>
          <w:color w:val="auto"/>
        </w:rPr>
        <w:t>,</w:t>
      </w:r>
      <w:r>
        <w:rPr>
          <w:color w:val="auto"/>
        </w:rPr>
        <w:t xml:space="preserve"> </w:t>
      </w:r>
      <w:r w:rsidR="00A333F0">
        <w:rPr>
          <w:color w:val="auto"/>
        </w:rPr>
        <w:t>in</w:t>
      </w:r>
      <w:r>
        <w:rPr>
          <w:color w:val="auto"/>
        </w:rPr>
        <w:t xml:space="preserve"> the typical </w:t>
      </w:r>
      <w:r w:rsidR="00A333F0">
        <w:rPr>
          <w:color w:val="auto"/>
        </w:rPr>
        <w:t xml:space="preserve">rhetorical </w:t>
      </w:r>
      <w:r>
        <w:rPr>
          <w:color w:val="auto"/>
        </w:rPr>
        <w:t xml:space="preserve">register of the </w:t>
      </w:r>
      <w:r w:rsidR="00A333F0">
        <w:rPr>
          <w:color w:val="auto"/>
        </w:rPr>
        <w:t>‘</w:t>
      </w:r>
      <w:r>
        <w:rPr>
          <w:color w:val="auto"/>
        </w:rPr>
        <w:t>reporting</w:t>
      </w:r>
      <w:r w:rsidR="00A333F0">
        <w:rPr>
          <w:color w:val="auto"/>
        </w:rPr>
        <w:t xml:space="preserve"> to investors’</w:t>
      </w:r>
      <w:r>
        <w:rPr>
          <w:color w:val="auto"/>
        </w:rPr>
        <w:t xml:space="preserve"> </w:t>
      </w:r>
      <w:r w:rsidR="00A333F0">
        <w:rPr>
          <w:color w:val="auto"/>
        </w:rPr>
        <w:t xml:space="preserve">genre (cf. pleasing) is aimed at affirming the production of ‘value’ (see below). </w:t>
      </w:r>
      <w:r w:rsidR="002437DD" w:rsidRPr="002437DD">
        <w:rPr>
          <w:color w:val="auto"/>
        </w:rPr>
        <w:t xml:space="preserve">On the face of it, the qualifying statement that </w:t>
      </w:r>
      <w:r w:rsidR="001A5DD0">
        <w:rPr>
          <w:color w:val="auto"/>
        </w:rPr>
        <w:t>‘</w:t>
      </w:r>
      <w:r w:rsidR="002437DD" w:rsidRPr="002437DD">
        <w:rPr>
          <w:color w:val="auto"/>
        </w:rPr>
        <w:t>growth cannot be pursued at any cost</w:t>
      </w:r>
      <w:r w:rsidR="001A5DD0">
        <w:rPr>
          <w:color w:val="auto"/>
        </w:rPr>
        <w:t>’</w:t>
      </w:r>
      <w:r w:rsidR="002437DD" w:rsidRPr="002437DD">
        <w:rPr>
          <w:color w:val="auto"/>
        </w:rPr>
        <w:t xml:space="preserve"> and the differentiation between ‘sustainably’ and ‘profitably’ seem to limit the scope of the argument for growth as they suggest a considerate assessment of the wider impact of </w:t>
      </w:r>
      <w:r w:rsidR="002437DD" w:rsidRPr="002B659A">
        <w:rPr>
          <w:i/>
          <w:color w:val="auto"/>
        </w:rPr>
        <w:t>Sasol</w:t>
      </w:r>
      <w:r w:rsidR="002437DD" w:rsidRPr="002437DD">
        <w:rPr>
          <w:color w:val="auto"/>
        </w:rPr>
        <w:t xml:space="preserve">’s activities in line with holistic representations of sustainability. However, albeit in such limited form, the </w:t>
      </w:r>
      <w:proofErr w:type="spellStart"/>
      <w:r w:rsidR="002437DD" w:rsidRPr="002437DD">
        <w:rPr>
          <w:i/>
          <w:color w:val="auto"/>
        </w:rPr>
        <w:t>topos</w:t>
      </w:r>
      <w:proofErr w:type="spellEnd"/>
      <w:r w:rsidR="002437DD" w:rsidRPr="002437DD">
        <w:rPr>
          <w:i/>
          <w:color w:val="auto"/>
        </w:rPr>
        <w:t xml:space="preserve"> of growth </w:t>
      </w:r>
      <w:r w:rsidR="002437DD" w:rsidRPr="002437DD">
        <w:rPr>
          <w:color w:val="auto"/>
        </w:rPr>
        <w:t xml:space="preserve">is still invoked to warrant the conclusion that justifies investments to meet short-term shareholders’ and stakeholders’ needs, and the longer-term company’s goals. The linguistic realisation of this argument strongly suggests a </w:t>
      </w:r>
      <w:proofErr w:type="spellStart"/>
      <w:r w:rsidR="002437DD" w:rsidRPr="002437DD">
        <w:rPr>
          <w:color w:val="auto"/>
        </w:rPr>
        <w:t>recontextualisation</w:t>
      </w:r>
      <w:proofErr w:type="spellEnd"/>
      <w:r w:rsidR="002437DD" w:rsidRPr="002437DD">
        <w:rPr>
          <w:color w:val="auto"/>
        </w:rPr>
        <w:t xml:space="preserve"> of </w:t>
      </w:r>
      <w:proofErr w:type="spellStart"/>
      <w:r w:rsidR="002437DD" w:rsidRPr="002437DD">
        <w:rPr>
          <w:color w:val="auto"/>
        </w:rPr>
        <w:t>Bruntland’s</w:t>
      </w:r>
      <w:proofErr w:type="spellEnd"/>
      <w:r w:rsidR="002437DD" w:rsidRPr="002437DD">
        <w:rPr>
          <w:color w:val="auto"/>
        </w:rPr>
        <w:t xml:space="preserve"> original definition of sustainable development (</w:t>
      </w:r>
      <w:r w:rsidR="001A5DD0">
        <w:rPr>
          <w:color w:val="auto"/>
        </w:rPr>
        <w:t>‘</w:t>
      </w:r>
      <w:r w:rsidR="002437DD" w:rsidRPr="002437DD">
        <w:rPr>
          <w:color w:val="auto"/>
        </w:rPr>
        <w:t>development which meets the needs of the present without compromising the ability of future generations to meet their own needs</w:t>
      </w:r>
      <w:r w:rsidR="001A5DD0">
        <w:rPr>
          <w:color w:val="auto"/>
        </w:rPr>
        <w:t>’</w:t>
      </w:r>
      <w:r w:rsidR="002437DD" w:rsidRPr="002437DD">
        <w:rPr>
          <w:color w:val="auto"/>
        </w:rPr>
        <w:t xml:space="preserve">) in which a significant discursive ‘bending’ was operated by substituting the future generation for the </w:t>
      </w:r>
      <w:r w:rsidR="002437DD" w:rsidRPr="00E174FE">
        <w:rPr>
          <w:i/>
          <w:color w:val="auto"/>
        </w:rPr>
        <w:t>company</w:t>
      </w:r>
      <w:r w:rsidR="004758D1">
        <w:rPr>
          <w:color w:val="auto"/>
        </w:rPr>
        <w:t>,</w:t>
      </w:r>
      <w:r w:rsidR="002437DD" w:rsidRPr="002437DD">
        <w:rPr>
          <w:color w:val="auto"/>
        </w:rPr>
        <w:t xml:space="preserve"> and development for </w:t>
      </w:r>
      <w:r w:rsidR="002437DD" w:rsidRPr="00E174FE">
        <w:rPr>
          <w:i/>
          <w:color w:val="auto"/>
        </w:rPr>
        <w:t>growth</w:t>
      </w:r>
      <w:r w:rsidR="002437DD" w:rsidRPr="002437DD">
        <w:rPr>
          <w:color w:val="auto"/>
        </w:rPr>
        <w:t xml:space="preserve">. Through this </w:t>
      </w:r>
      <w:r w:rsidR="002437DD" w:rsidRPr="002437DD">
        <w:rPr>
          <w:color w:val="auto"/>
        </w:rPr>
        <w:lastRenderedPageBreak/>
        <w:t xml:space="preserve">substitution the speaker effectively reiterates the organisational ‘order of discourses’ of growth and return and excludes the wider societal aspect involved in </w:t>
      </w:r>
      <w:proofErr w:type="spellStart"/>
      <w:r w:rsidR="002437DD" w:rsidRPr="002437DD">
        <w:rPr>
          <w:color w:val="auto"/>
        </w:rPr>
        <w:t>Bruntland’s</w:t>
      </w:r>
      <w:proofErr w:type="spellEnd"/>
      <w:r w:rsidR="002437DD" w:rsidRPr="002437DD">
        <w:rPr>
          <w:color w:val="auto"/>
        </w:rPr>
        <w:t xml:space="preserve"> proposition.</w:t>
      </w:r>
      <w:r w:rsidR="004768EB">
        <w:rPr>
          <w:color w:val="auto"/>
        </w:rPr>
        <w:t xml:space="preserve"> In this sense</w:t>
      </w:r>
      <w:r w:rsidR="00F25079">
        <w:rPr>
          <w:color w:val="auto"/>
        </w:rPr>
        <w:t xml:space="preserve"> </w:t>
      </w:r>
      <w:r w:rsidR="004768EB">
        <w:rPr>
          <w:color w:val="auto"/>
        </w:rPr>
        <w:t xml:space="preserve">the </w:t>
      </w:r>
      <w:r w:rsidR="00415525">
        <w:rPr>
          <w:color w:val="auto"/>
        </w:rPr>
        <w:t xml:space="preserve">rhetorical </w:t>
      </w:r>
      <w:r w:rsidR="00F25079">
        <w:rPr>
          <w:color w:val="auto"/>
        </w:rPr>
        <w:t xml:space="preserve">process </w:t>
      </w:r>
      <w:r w:rsidR="004768EB">
        <w:rPr>
          <w:color w:val="auto"/>
        </w:rPr>
        <w:t xml:space="preserve">of </w:t>
      </w:r>
      <w:r w:rsidR="00F25079">
        <w:rPr>
          <w:color w:val="auto"/>
        </w:rPr>
        <w:t xml:space="preserve">addressing the audience’s expectations of growth drives representations of </w:t>
      </w:r>
      <w:r w:rsidR="00415525">
        <w:rPr>
          <w:color w:val="auto"/>
        </w:rPr>
        <w:t xml:space="preserve">the company </w:t>
      </w:r>
      <w:r w:rsidR="00F25079">
        <w:rPr>
          <w:color w:val="auto"/>
        </w:rPr>
        <w:t xml:space="preserve">as </w:t>
      </w:r>
      <w:r w:rsidR="00415525">
        <w:rPr>
          <w:color w:val="auto"/>
        </w:rPr>
        <w:t xml:space="preserve">a responsible agent </w:t>
      </w:r>
      <w:r w:rsidR="00F25079">
        <w:rPr>
          <w:color w:val="auto"/>
        </w:rPr>
        <w:t xml:space="preserve">and </w:t>
      </w:r>
      <w:r w:rsidR="004768EB">
        <w:rPr>
          <w:color w:val="auto"/>
        </w:rPr>
        <w:t>transpose</w:t>
      </w:r>
      <w:r w:rsidR="00F25079">
        <w:rPr>
          <w:color w:val="auto"/>
        </w:rPr>
        <w:t>s</w:t>
      </w:r>
      <w:r w:rsidR="004768EB">
        <w:rPr>
          <w:color w:val="auto"/>
        </w:rPr>
        <w:t xml:space="preserve"> </w:t>
      </w:r>
      <w:r w:rsidR="00F25079">
        <w:rPr>
          <w:color w:val="auto"/>
        </w:rPr>
        <w:t xml:space="preserve">discourses of sustainability </w:t>
      </w:r>
      <w:r w:rsidR="004768EB">
        <w:rPr>
          <w:color w:val="auto"/>
        </w:rPr>
        <w:t>into the realm of govern</w:t>
      </w:r>
      <w:r w:rsidR="00415525">
        <w:rPr>
          <w:color w:val="auto"/>
        </w:rPr>
        <w:t xml:space="preserve">ance and </w:t>
      </w:r>
      <w:r w:rsidR="00F25079">
        <w:rPr>
          <w:color w:val="auto"/>
        </w:rPr>
        <w:t>strategy</w:t>
      </w:r>
      <w:r w:rsidR="00415525">
        <w:rPr>
          <w:color w:val="auto"/>
        </w:rPr>
        <w:t xml:space="preserve"> where </w:t>
      </w:r>
      <w:r w:rsidR="00F25079">
        <w:rPr>
          <w:color w:val="auto"/>
        </w:rPr>
        <w:t>they are deployed</w:t>
      </w:r>
      <w:r w:rsidR="00415525">
        <w:rPr>
          <w:color w:val="auto"/>
        </w:rPr>
        <w:t xml:space="preserve"> to justify </w:t>
      </w:r>
      <w:r w:rsidR="00EE042E">
        <w:rPr>
          <w:color w:val="auto"/>
        </w:rPr>
        <w:t>and validate the logic of the business ’bottom line’.</w:t>
      </w:r>
    </w:p>
    <w:p w14:paraId="17A78B61" w14:textId="77777777" w:rsidR="002437DD" w:rsidRPr="002437DD" w:rsidRDefault="002437DD" w:rsidP="00B120EE">
      <w:pPr>
        <w:rPr>
          <w:color w:val="auto"/>
        </w:rPr>
      </w:pPr>
    </w:p>
    <w:p w14:paraId="1501CC54" w14:textId="114E3675" w:rsidR="002437DD" w:rsidRPr="002437DD" w:rsidRDefault="002437DD" w:rsidP="004F07B3">
      <w:pPr>
        <w:pStyle w:val="Heading6"/>
        <w:numPr>
          <w:ilvl w:val="0"/>
          <w:numId w:val="0"/>
        </w:numPr>
        <w:ind w:left="1152" w:hanging="1152"/>
        <w:rPr>
          <w:rFonts w:asciiTheme="minorHAnsi" w:hAnsiTheme="minorHAnsi"/>
          <w:color w:val="auto"/>
        </w:rPr>
      </w:pPr>
      <w:r w:rsidRPr="002437DD">
        <w:rPr>
          <w:rFonts w:asciiTheme="minorHAnsi" w:hAnsiTheme="minorHAnsi"/>
          <w:color w:val="auto"/>
        </w:rPr>
        <w:t>Topoi of financial and commercial viability, of competitiveness, and of return</w:t>
      </w:r>
    </w:p>
    <w:p w14:paraId="1F9001ED" w14:textId="77777777" w:rsidR="002437DD" w:rsidRPr="002437DD" w:rsidRDefault="002437DD" w:rsidP="00B120EE">
      <w:pPr>
        <w:rPr>
          <w:color w:val="auto"/>
          <w:lang w:val="en-US"/>
        </w:rPr>
      </w:pPr>
    </w:p>
    <w:p w14:paraId="38DBFA89" w14:textId="64B88EB2" w:rsidR="002437DD" w:rsidRPr="002437DD" w:rsidRDefault="002437DD" w:rsidP="00FB52FF">
      <w:pPr>
        <w:rPr>
          <w:color w:val="auto"/>
        </w:rPr>
      </w:pPr>
      <w:r w:rsidRPr="002437DD">
        <w:rPr>
          <w:color w:val="auto"/>
        </w:rPr>
        <w:t xml:space="preserve">The discursive distortion of sustainability towards financial and commercial referents as illustrated in the previous example, was found in a significant number of IRs. It emerged clearly, for instance, in the </w:t>
      </w:r>
      <w:r w:rsidRPr="002B659A">
        <w:rPr>
          <w:i/>
          <w:color w:val="auto"/>
        </w:rPr>
        <w:t>Gold Fields</w:t>
      </w:r>
      <w:r w:rsidRPr="002437DD">
        <w:rPr>
          <w:color w:val="auto"/>
        </w:rPr>
        <w:t xml:space="preserve"> 2011 report where, under the title </w:t>
      </w:r>
      <w:r w:rsidR="001A5DD0">
        <w:rPr>
          <w:color w:val="auto"/>
        </w:rPr>
        <w:t>‘</w:t>
      </w:r>
      <w:r w:rsidRPr="002437DD">
        <w:rPr>
          <w:color w:val="auto"/>
        </w:rPr>
        <w:t>Securing our future responsibly</w:t>
      </w:r>
      <w:r w:rsidR="001A5DD0">
        <w:rPr>
          <w:color w:val="auto"/>
        </w:rPr>
        <w:t>’</w:t>
      </w:r>
      <w:r w:rsidRPr="002437DD">
        <w:rPr>
          <w:color w:val="auto"/>
        </w:rPr>
        <w:t xml:space="preserve"> presented in the genre of an interview, </w:t>
      </w:r>
      <w:r w:rsidRPr="002B659A">
        <w:rPr>
          <w:i/>
          <w:color w:val="auto"/>
        </w:rPr>
        <w:t>Gold Fields</w:t>
      </w:r>
      <w:r w:rsidRPr="002437DD">
        <w:rPr>
          <w:color w:val="auto"/>
        </w:rPr>
        <w:t xml:space="preserve">’ Chief Executive Officer reports on the company’s strategy. In this case, the distortion was not operated through word substitution, but rather via a particularised construction of sustainable development, and it was driven by the </w:t>
      </w:r>
      <w:proofErr w:type="spellStart"/>
      <w:r w:rsidRPr="002437DD">
        <w:rPr>
          <w:i/>
          <w:color w:val="auto"/>
        </w:rPr>
        <w:t>topos</w:t>
      </w:r>
      <w:proofErr w:type="spellEnd"/>
      <w:r w:rsidRPr="002437DD">
        <w:rPr>
          <w:i/>
          <w:color w:val="auto"/>
        </w:rPr>
        <w:t xml:space="preserve"> of financial viability</w:t>
      </w:r>
      <w:r w:rsidRPr="002437DD">
        <w:rPr>
          <w:color w:val="auto"/>
        </w:rPr>
        <w:t xml:space="preserve"> as demonstrated by the extract below:</w:t>
      </w:r>
    </w:p>
    <w:p w14:paraId="6A273D32" w14:textId="77777777" w:rsidR="002437DD" w:rsidRPr="002437DD" w:rsidRDefault="002437DD" w:rsidP="00FB52FF">
      <w:pPr>
        <w:rPr>
          <w:color w:val="auto"/>
        </w:rPr>
      </w:pPr>
      <w:r w:rsidRPr="002437DD">
        <w:rPr>
          <w:color w:val="auto"/>
        </w:rPr>
        <w:t xml:space="preserve">  </w:t>
      </w:r>
    </w:p>
    <w:p w14:paraId="7E63A8C9" w14:textId="77777777" w:rsidR="002437DD" w:rsidRPr="002437DD" w:rsidRDefault="002437DD" w:rsidP="00FB52FF">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4</w:t>
      </w:r>
      <w:r w:rsidR="00072202">
        <w:rPr>
          <w:noProof/>
        </w:rPr>
        <w:fldChar w:fldCharType="end"/>
      </w:r>
    </w:p>
    <w:p w14:paraId="504F305D" w14:textId="77777777" w:rsidR="002437DD" w:rsidRPr="002437DD" w:rsidRDefault="002437DD" w:rsidP="00FB52FF">
      <w:pPr>
        <w:pStyle w:val="Quote"/>
      </w:pPr>
      <w:r w:rsidRPr="002437DD">
        <w:t xml:space="preserve">Q. […] why do you place such emphasis on </w:t>
      </w:r>
      <w:r w:rsidRPr="002437DD">
        <w:rPr>
          <w:u w:val="single"/>
        </w:rPr>
        <w:t>sustainable development</w:t>
      </w:r>
      <w:r w:rsidRPr="002437DD">
        <w:t>?</w:t>
      </w:r>
    </w:p>
    <w:p w14:paraId="08FF37AE" w14:textId="77777777" w:rsidR="002437DD" w:rsidRPr="002437DD" w:rsidRDefault="002437DD" w:rsidP="00FB52FF">
      <w:pPr>
        <w:pStyle w:val="Quote"/>
      </w:pPr>
      <w:r w:rsidRPr="002437DD">
        <w:t xml:space="preserve">A. This is very much about effective risk management and ‘business sustainability’. In practice, this means developing and implementing fully integrated strategies at operational, regional and Group-level to </w:t>
      </w:r>
      <w:r w:rsidRPr="002437DD">
        <w:lastRenderedPageBreak/>
        <w:t xml:space="preserve">ensure we are identifying the risks and opportunities facing our business and that we are managing these in a way that supports our </w:t>
      </w:r>
      <w:r w:rsidRPr="002437DD">
        <w:rPr>
          <w:u w:val="single"/>
        </w:rPr>
        <w:t>long-term profitability</w:t>
      </w:r>
      <w:r w:rsidRPr="002437DD">
        <w:t xml:space="preserve"> and ensures the </w:t>
      </w:r>
      <w:r w:rsidRPr="002437DD">
        <w:rPr>
          <w:u w:val="single"/>
        </w:rPr>
        <w:t>long-term sustainability of our business</w:t>
      </w:r>
      <w:r w:rsidRPr="002437DD">
        <w:t>. (Gold Fields Integrated Annual Review 2011, Q&amp;A with the Chief Executive Officer, p. 11)</w:t>
      </w:r>
    </w:p>
    <w:p w14:paraId="4207C429" w14:textId="77777777" w:rsidR="002437DD" w:rsidRPr="002437DD" w:rsidRDefault="002437DD" w:rsidP="00FB52FF">
      <w:pPr>
        <w:rPr>
          <w:color w:val="auto"/>
        </w:rPr>
      </w:pPr>
    </w:p>
    <w:p w14:paraId="3EFD2A58" w14:textId="69A32BFA" w:rsidR="002437DD" w:rsidRPr="002437DD" w:rsidRDefault="002437DD" w:rsidP="00FB52FF">
      <w:pPr>
        <w:rPr>
          <w:color w:val="auto"/>
        </w:rPr>
      </w:pPr>
      <w:r w:rsidRPr="002437DD">
        <w:rPr>
          <w:color w:val="auto"/>
        </w:rPr>
        <w:t xml:space="preserve">Crucially, developing his argument in response to the question ‘why do you place such emphasis on sustainable development?’ the speaker explicitly constructs sustainable development as a case of financial viability of the business and as an internal strategy aimed at assessing risks and opportunities the organisation is confronted with. This distorted premise allows him to achieve a strategy of legitimation to reassure investors that the company and its profitability are prioritised by governance objectives. </w:t>
      </w:r>
    </w:p>
    <w:p w14:paraId="4AC928B1" w14:textId="5CB323DC" w:rsidR="002437DD" w:rsidRPr="002437DD" w:rsidRDefault="002437DD" w:rsidP="00B120EE">
      <w:pPr>
        <w:rPr>
          <w:color w:val="auto"/>
        </w:rPr>
      </w:pPr>
    </w:p>
    <w:p w14:paraId="43ADA268" w14:textId="1DECE5D4" w:rsidR="002437DD" w:rsidRPr="002437DD" w:rsidRDefault="002437DD" w:rsidP="00A5098A">
      <w:pPr>
        <w:rPr>
          <w:color w:val="auto"/>
        </w:rPr>
      </w:pPr>
      <w:r w:rsidRPr="002437DD">
        <w:rPr>
          <w:color w:val="auto"/>
        </w:rPr>
        <w:t xml:space="preserve">Similar strategic orientations were found in a conspicuous number of IRs where, along with </w:t>
      </w:r>
      <w:r w:rsidRPr="002437DD">
        <w:rPr>
          <w:i/>
          <w:color w:val="auto"/>
        </w:rPr>
        <w:t>topoi of financial and commercial viability</w:t>
      </w:r>
      <w:r w:rsidRPr="002437DD">
        <w:rPr>
          <w:color w:val="auto"/>
        </w:rPr>
        <w:t xml:space="preserve">, sustainability talk was often also driven by </w:t>
      </w:r>
      <w:r w:rsidRPr="002437DD">
        <w:rPr>
          <w:i/>
          <w:color w:val="auto"/>
        </w:rPr>
        <w:t xml:space="preserve">topoi of competitiveness, and topoi of return </w:t>
      </w:r>
      <w:r w:rsidRPr="002437DD">
        <w:rPr>
          <w:color w:val="auto"/>
        </w:rPr>
        <w:t>through which distinct company-centric meanings of sustainability were constructed. Extracts below will illustrate this point:</w:t>
      </w:r>
    </w:p>
    <w:p w14:paraId="44B2B6BB" w14:textId="77777777" w:rsidR="002437DD" w:rsidRPr="002437DD" w:rsidRDefault="002437DD" w:rsidP="00B120EE">
      <w:pPr>
        <w:rPr>
          <w:color w:val="auto"/>
        </w:rPr>
      </w:pPr>
    </w:p>
    <w:p w14:paraId="2C42D205" w14:textId="77777777" w:rsidR="002437DD" w:rsidRPr="002437DD" w:rsidRDefault="002437DD" w:rsidP="00CB272D">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5</w:t>
      </w:r>
      <w:r w:rsidR="00072202">
        <w:rPr>
          <w:noProof/>
        </w:rPr>
        <w:fldChar w:fldCharType="end"/>
      </w:r>
    </w:p>
    <w:p w14:paraId="1A7FDCC4" w14:textId="2E0D1D8D" w:rsidR="002437DD" w:rsidRPr="002437DD" w:rsidRDefault="002437DD" w:rsidP="00CB272D">
      <w:pPr>
        <w:pStyle w:val="Quote"/>
      </w:pPr>
      <w:r w:rsidRPr="002437DD">
        <w:t xml:space="preserve"> </w:t>
      </w:r>
      <w:r w:rsidR="001A5DD0">
        <w:t>‘</w:t>
      </w:r>
      <w:r w:rsidRPr="002437DD">
        <w:t xml:space="preserve">We took steps to strengthen </w:t>
      </w:r>
      <w:r w:rsidRPr="002437DD">
        <w:rPr>
          <w:u w:val="single"/>
        </w:rPr>
        <w:t>financial sustainability</w:t>
      </w:r>
      <w:r w:rsidRPr="002437DD">
        <w:t>, earning a surplus which will be re-invested to fund capital expansion over the next six years and to reduce debt.</w:t>
      </w:r>
      <w:r w:rsidR="001A5DD0">
        <w:t>’</w:t>
      </w:r>
      <w:r w:rsidRPr="002437DD">
        <w:t xml:space="preserve"> (Eskom Integrated Report 2011, p.17)</w:t>
      </w:r>
    </w:p>
    <w:p w14:paraId="72A4C78A" w14:textId="77777777" w:rsidR="002437DD" w:rsidRPr="002437DD" w:rsidRDefault="002437DD" w:rsidP="00BB40FF">
      <w:pPr>
        <w:pStyle w:val="Caption"/>
      </w:pPr>
    </w:p>
    <w:p w14:paraId="1D515A6E" w14:textId="77777777" w:rsidR="002437DD" w:rsidRPr="002437DD" w:rsidRDefault="002437DD" w:rsidP="00BB40FF">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6</w:t>
      </w:r>
      <w:r w:rsidR="00072202">
        <w:rPr>
          <w:noProof/>
        </w:rPr>
        <w:fldChar w:fldCharType="end"/>
      </w:r>
    </w:p>
    <w:p w14:paraId="5506FDFC" w14:textId="30D89A75" w:rsidR="002437DD" w:rsidRPr="002437DD" w:rsidRDefault="001A5DD0" w:rsidP="00BB40FF">
      <w:pPr>
        <w:ind w:left="993" w:right="935"/>
        <w:jc w:val="left"/>
        <w:rPr>
          <w:rStyle w:val="QuoteChar"/>
          <w:color w:val="auto"/>
        </w:rPr>
      </w:pPr>
      <w:r>
        <w:rPr>
          <w:rStyle w:val="QuoteChar"/>
          <w:color w:val="auto"/>
        </w:rPr>
        <w:t>‘</w:t>
      </w:r>
      <w:r w:rsidR="002437DD" w:rsidRPr="002437DD">
        <w:rPr>
          <w:rStyle w:val="QuoteChar"/>
          <w:color w:val="auto"/>
        </w:rPr>
        <w:t xml:space="preserve">We maintained our focus on growing production in line with our 2015 Group Goal, whilst optimising our NCE margin. This is within a context in which we are seeking to ensure the long-term </w:t>
      </w:r>
      <w:r w:rsidR="002437DD" w:rsidRPr="002437DD">
        <w:rPr>
          <w:rStyle w:val="QuoteChar"/>
          <w:color w:val="auto"/>
          <w:u w:val="single"/>
        </w:rPr>
        <w:t>commercial sustainability</w:t>
      </w:r>
      <w:r w:rsidR="002437DD" w:rsidRPr="002437DD">
        <w:rPr>
          <w:rStyle w:val="QuoteChar"/>
          <w:color w:val="auto"/>
        </w:rPr>
        <w:t xml:space="preserve"> of our operations in Ghana</w:t>
      </w:r>
      <w:r>
        <w:rPr>
          <w:rStyle w:val="QuoteChar"/>
          <w:color w:val="auto"/>
        </w:rPr>
        <w:t>’</w:t>
      </w:r>
      <w:r w:rsidR="002437DD" w:rsidRPr="002437DD">
        <w:rPr>
          <w:rStyle w:val="QuoteChar"/>
          <w:color w:val="auto"/>
        </w:rPr>
        <w:t xml:space="preserve"> (Gold Fields Annual Report 2011, p.92).</w:t>
      </w:r>
    </w:p>
    <w:p w14:paraId="10F028CF" w14:textId="77777777" w:rsidR="002437DD" w:rsidRPr="002437DD" w:rsidRDefault="002437DD" w:rsidP="00BB40FF">
      <w:pPr>
        <w:ind w:left="993" w:right="935"/>
        <w:jc w:val="left"/>
        <w:rPr>
          <w:rStyle w:val="QuoteChar"/>
          <w:color w:val="auto"/>
        </w:rPr>
      </w:pPr>
    </w:p>
    <w:p w14:paraId="6A58D40B" w14:textId="77777777" w:rsidR="002437DD" w:rsidRPr="002437DD" w:rsidRDefault="002437DD" w:rsidP="00AE0920">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7</w:t>
      </w:r>
      <w:r w:rsidR="00072202">
        <w:rPr>
          <w:noProof/>
        </w:rPr>
        <w:fldChar w:fldCharType="end"/>
      </w:r>
    </w:p>
    <w:p w14:paraId="6CCB8ED9" w14:textId="626181E3" w:rsidR="002437DD" w:rsidRPr="002437DD" w:rsidRDefault="001A5DD0" w:rsidP="00AE0920">
      <w:pPr>
        <w:pStyle w:val="Quote"/>
      </w:pPr>
      <w:r>
        <w:t>‘</w:t>
      </w:r>
      <w:r w:rsidR="002437DD" w:rsidRPr="002437DD">
        <w:t xml:space="preserve">Building trust and loyalty among our customers and giving them what they want is vital to </w:t>
      </w:r>
      <w:r w:rsidR="002437DD" w:rsidRPr="002437DD">
        <w:rPr>
          <w:u w:val="single"/>
        </w:rPr>
        <w:t>our sustainability</w:t>
      </w:r>
      <w:r w:rsidR="002437DD" w:rsidRPr="002437DD">
        <w:t xml:space="preserve"> in an increasingly competitive industry</w:t>
      </w:r>
      <w:r>
        <w:t>’</w:t>
      </w:r>
      <w:r w:rsidR="002437DD" w:rsidRPr="002437DD">
        <w:t xml:space="preserve"> (Vodacom Integrated Report 2012, p.25)</w:t>
      </w:r>
    </w:p>
    <w:p w14:paraId="22460118" w14:textId="77777777" w:rsidR="002437DD" w:rsidRPr="002437DD" w:rsidRDefault="002437DD" w:rsidP="004079E7">
      <w:pPr>
        <w:rPr>
          <w:color w:val="auto"/>
        </w:rPr>
      </w:pPr>
    </w:p>
    <w:p w14:paraId="661D7AD0" w14:textId="1A0A9014" w:rsidR="002437DD" w:rsidRPr="002437DD" w:rsidRDefault="002437DD" w:rsidP="004079E7">
      <w:pPr>
        <w:pStyle w:val="Caption"/>
        <w:rPr>
          <w:b/>
        </w:rPr>
      </w:pPr>
      <w:r w:rsidRPr="002437DD">
        <w:t xml:space="preserve">Extract </w:t>
      </w:r>
      <w:r w:rsidR="00072202">
        <w:fldChar w:fldCharType="begin"/>
      </w:r>
      <w:r w:rsidR="00072202">
        <w:instrText xml:space="preserve"> SEQ Extract \* ARABIC </w:instrText>
      </w:r>
      <w:r w:rsidR="00072202">
        <w:fldChar w:fldCharType="separate"/>
      </w:r>
      <w:r w:rsidR="00E35E41">
        <w:rPr>
          <w:noProof/>
        </w:rPr>
        <w:t>8</w:t>
      </w:r>
      <w:r w:rsidR="00072202">
        <w:rPr>
          <w:noProof/>
        </w:rPr>
        <w:fldChar w:fldCharType="end"/>
      </w:r>
    </w:p>
    <w:p w14:paraId="13FD7813" w14:textId="52C611F9" w:rsidR="002437DD" w:rsidRPr="002437DD" w:rsidRDefault="001A5DD0" w:rsidP="004079E7">
      <w:pPr>
        <w:pStyle w:val="Quote"/>
      </w:pPr>
      <w:r>
        <w:t>‘</w:t>
      </w:r>
      <w:r w:rsidR="002437DD" w:rsidRPr="002437DD">
        <w:t xml:space="preserve">Our long-term goal is to create </w:t>
      </w:r>
      <w:r w:rsidR="002437DD" w:rsidRPr="002437DD">
        <w:rPr>
          <w:u w:val="single"/>
        </w:rPr>
        <w:t>sustainable earnings growth</w:t>
      </w:r>
      <w:r w:rsidR="002437DD" w:rsidRPr="002437DD">
        <w:t>, an improved risk-return profile for our investors, and a company focused on the needs of its customers.</w:t>
      </w:r>
      <w:r>
        <w:t>’</w:t>
      </w:r>
      <w:r w:rsidR="002437DD" w:rsidRPr="002437DD">
        <w:t xml:space="preserve">  (</w:t>
      </w:r>
      <w:proofErr w:type="spellStart"/>
      <w:r w:rsidR="002437DD" w:rsidRPr="002437DD">
        <w:t>Aegon</w:t>
      </w:r>
      <w:proofErr w:type="spellEnd"/>
      <w:r w:rsidR="002437DD" w:rsidRPr="002437DD">
        <w:t xml:space="preserve"> 2011 Annual Review, p.12)</w:t>
      </w:r>
    </w:p>
    <w:p w14:paraId="3687E076" w14:textId="77777777" w:rsidR="002437DD" w:rsidRPr="002437DD" w:rsidRDefault="002437DD" w:rsidP="004079E7">
      <w:pPr>
        <w:rPr>
          <w:color w:val="auto"/>
        </w:rPr>
      </w:pPr>
    </w:p>
    <w:p w14:paraId="36DA3E24" w14:textId="3513C46C" w:rsidR="002437DD" w:rsidRPr="002437DD" w:rsidRDefault="002437DD" w:rsidP="004F07B3">
      <w:pPr>
        <w:pStyle w:val="Heading6"/>
        <w:numPr>
          <w:ilvl w:val="0"/>
          <w:numId w:val="0"/>
        </w:numPr>
        <w:ind w:left="1152" w:hanging="1152"/>
        <w:rPr>
          <w:rFonts w:asciiTheme="minorHAnsi" w:hAnsiTheme="minorHAnsi"/>
          <w:color w:val="auto"/>
        </w:rPr>
      </w:pPr>
      <w:proofErr w:type="spellStart"/>
      <w:r w:rsidRPr="002437DD">
        <w:rPr>
          <w:rFonts w:asciiTheme="minorHAnsi" w:hAnsiTheme="minorHAnsi"/>
          <w:color w:val="auto"/>
        </w:rPr>
        <w:t>Topos</w:t>
      </w:r>
      <w:proofErr w:type="spellEnd"/>
      <w:r w:rsidRPr="002437DD">
        <w:rPr>
          <w:rFonts w:asciiTheme="minorHAnsi" w:hAnsiTheme="minorHAnsi"/>
          <w:color w:val="auto"/>
        </w:rPr>
        <w:t xml:space="preserve"> of value </w:t>
      </w:r>
    </w:p>
    <w:p w14:paraId="52632732" w14:textId="77777777" w:rsidR="002437DD" w:rsidRPr="002437DD" w:rsidRDefault="002437DD" w:rsidP="008A723C">
      <w:pPr>
        <w:rPr>
          <w:color w:val="auto"/>
        </w:rPr>
      </w:pPr>
    </w:p>
    <w:p w14:paraId="79A3F316" w14:textId="2BA37F48" w:rsidR="002437DD" w:rsidRDefault="002437DD" w:rsidP="00D34907">
      <w:pPr>
        <w:rPr>
          <w:color w:val="auto"/>
        </w:rPr>
      </w:pPr>
      <w:r w:rsidRPr="002437DD">
        <w:rPr>
          <w:color w:val="auto"/>
        </w:rPr>
        <w:t xml:space="preserve">The </w:t>
      </w:r>
      <w:proofErr w:type="spellStart"/>
      <w:r w:rsidRPr="002437DD">
        <w:rPr>
          <w:i/>
          <w:color w:val="auto"/>
        </w:rPr>
        <w:t>topos</w:t>
      </w:r>
      <w:proofErr w:type="spellEnd"/>
      <w:r w:rsidRPr="002437DD">
        <w:rPr>
          <w:i/>
          <w:color w:val="auto"/>
        </w:rPr>
        <w:t xml:space="preserve"> of</w:t>
      </w:r>
      <w:r w:rsidRPr="002437DD">
        <w:rPr>
          <w:color w:val="auto"/>
        </w:rPr>
        <w:t xml:space="preserve"> </w:t>
      </w:r>
      <w:r w:rsidRPr="002437DD">
        <w:rPr>
          <w:i/>
          <w:color w:val="auto"/>
        </w:rPr>
        <w:t>value</w:t>
      </w:r>
      <w:r w:rsidRPr="002437DD">
        <w:rPr>
          <w:color w:val="auto"/>
        </w:rPr>
        <w:t xml:space="preserve"> emerged as another prominent driver of discourses of sustainability as, in most IRs, the narration aims to demonstrate how the company creates value for its shareholders/stakeholders. This discursive strategy harks back to t</w:t>
      </w:r>
      <w:r w:rsidRPr="002437DD">
        <w:rPr>
          <w:noProof/>
          <w:color w:val="auto"/>
          <w:lang w:eastAsia="en-GB"/>
        </w:rPr>
        <w:t xml:space="preserve">he ‘creation of value’ and its communication to external audiences which were identified as key objectives of </w:t>
      </w:r>
      <w:r w:rsidR="008349A3">
        <w:rPr>
          <w:noProof/>
          <w:color w:val="auto"/>
          <w:lang w:eastAsia="en-GB"/>
        </w:rPr>
        <w:t>IR</w:t>
      </w:r>
      <w:r w:rsidRPr="002437DD">
        <w:rPr>
          <w:noProof/>
          <w:color w:val="auto"/>
          <w:lang w:eastAsia="en-GB"/>
        </w:rPr>
        <w:t xml:space="preserve"> practices in the IIRC’s framework (</w:t>
      </w:r>
      <w:r w:rsidR="00482D14">
        <w:rPr>
          <w:noProof/>
          <w:color w:val="auto"/>
          <w:lang w:eastAsia="en-GB"/>
        </w:rPr>
        <w:t>IIRC, 2013</w:t>
      </w:r>
      <w:r w:rsidRPr="002437DD">
        <w:rPr>
          <w:noProof/>
          <w:color w:val="auto"/>
          <w:lang w:eastAsia="en-GB"/>
        </w:rPr>
        <w:t>). In this sense, t</w:t>
      </w:r>
      <w:r w:rsidRPr="002437DD">
        <w:rPr>
          <w:color w:val="auto"/>
        </w:rPr>
        <w:t xml:space="preserve">he analysis found that, by and large, IRs </w:t>
      </w:r>
      <w:proofErr w:type="spellStart"/>
      <w:r w:rsidRPr="002437DD">
        <w:rPr>
          <w:color w:val="auto"/>
        </w:rPr>
        <w:lastRenderedPageBreak/>
        <w:t>recontextualised</w:t>
      </w:r>
      <w:proofErr w:type="spellEnd"/>
      <w:r w:rsidRPr="002437DD">
        <w:rPr>
          <w:color w:val="auto"/>
        </w:rPr>
        <w:t xml:space="preserve"> the IIRC’s notion of value creation as an input/output process inside the organisation that has some outwards impact. However, whilst the IIRC’s framework defines value in terms of financial, manufacturing, intellectual, and human capitals, it makes no reference to sustainability. Our analysis of IRs, instead, has revealed that in the </w:t>
      </w:r>
      <w:proofErr w:type="spellStart"/>
      <w:r w:rsidRPr="002437DD">
        <w:rPr>
          <w:color w:val="auto"/>
        </w:rPr>
        <w:t>recontextualisation</w:t>
      </w:r>
      <w:proofErr w:type="spellEnd"/>
      <w:r w:rsidRPr="002437DD">
        <w:rPr>
          <w:color w:val="auto"/>
        </w:rPr>
        <w:t xml:space="preserve"> of IIRC’s discourses about value, sustainability was appropriated by the discourse of business and finance and it was typically constructed as the organization’s own prolonged competitiveness and its ability to produce a return for its investors. Notably, the term ‘value’ was often qualified as ‘sustainable’ in the sense of ‘desirable for investors’ and used as a byword for </w:t>
      </w:r>
      <w:r w:rsidRPr="002437DD">
        <w:rPr>
          <w:noProof/>
          <w:color w:val="auto"/>
          <w:lang w:eastAsia="en-GB"/>
        </w:rPr>
        <w:t>the market value of one’s company shares</w:t>
      </w:r>
      <w:r w:rsidRPr="002437DD">
        <w:rPr>
          <w:color w:val="auto"/>
        </w:rPr>
        <w:t xml:space="preserve">. </w:t>
      </w:r>
      <w:proofErr w:type="gramStart"/>
      <w:r w:rsidRPr="002437DD">
        <w:rPr>
          <w:color w:val="auto"/>
        </w:rPr>
        <w:t xml:space="preserve">The </w:t>
      </w:r>
      <w:proofErr w:type="spellStart"/>
      <w:r w:rsidRPr="002437DD">
        <w:rPr>
          <w:color w:val="auto"/>
        </w:rPr>
        <w:t>topos</w:t>
      </w:r>
      <w:proofErr w:type="spellEnd"/>
      <w:r w:rsidRPr="002437DD">
        <w:rPr>
          <w:color w:val="auto"/>
        </w:rPr>
        <w:t xml:space="preserve"> of value was thus typically encapsulated in the proposition ‘We create sustainable value for shareholders/stakeholders’ as illustrated by </w:t>
      </w:r>
      <w:r w:rsidRPr="002437DD">
        <w:rPr>
          <w:color w:val="auto"/>
        </w:rPr>
        <w:fldChar w:fldCharType="begin"/>
      </w:r>
      <w:r w:rsidRPr="002437DD">
        <w:rPr>
          <w:color w:val="auto"/>
        </w:rPr>
        <w:instrText xml:space="preserve"> REF _Ref434325438 \h </w:instrText>
      </w:r>
      <w:r>
        <w:rPr>
          <w:color w:val="auto"/>
        </w:rPr>
        <w:instrText xml:space="preserve"> \* MERGEFORMAT </w:instrText>
      </w:r>
      <w:r w:rsidRPr="002437DD">
        <w:rPr>
          <w:color w:val="auto"/>
        </w:rPr>
      </w:r>
      <w:r w:rsidRPr="002437DD">
        <w:rPr>
          <w:color w:val="auto"/>
        </w:rPr>
        <w:fldChar w:fldCharType="separate"/>
      </w:r>
      <w:r w:rsidR="00E35E41" w:rsidRPr="002437DD">
        <w:rPr>
          <w:color w:val="auto"/>
        </w:rPr>
        <w:t xml:space="preserve">Figure </w:t>
      </w:r>
      <w:r w:rsidR="00E35E41">
        <w:rPr>
          <w:noProof/>
          <w:color w:val="auto"/>
        </w:rPr>
        <w:t>1</w:t>
      </w:r>
      <w:r w:rsidRPr="002437DD">
        <w:rPr>
          <w:color w:val="auto"/>
        </w:rPr>
        <w:fldChar w:fldCharType="end"/>
      </w:r>
      <w:r w:rsidRPr="002437DD">
        <w:rPr>
          <w:color w:val="auto"/>
        </w:rPr>
        <w:t xml:space="preserve"> below</w:t>
      </w:r>
      <w:proofErr w:type="gramEnd"/>
      <w:r w:rsidRPr="002437DD">
        <w:rPr>
          <w:color w:val="auto"/>
        </w:rPr>
        <w:t xml:space="preserve">. </w:t>
      </w:r>
    </w:p>
    <w:p w14:paraId="5992B291" w14:textId="77777777" w:rsidR="006048F3" w:rsidRPr="002437DD" w:rsidRDefault="006048F3" w:rsidP="00D34907">
      <w:pPr>
        <w:rPr>
          <w:color w:val="auto"/>
        </w:rPr>
      </w:pPr>
    </w:p>
    <w:p w14:paraId="0148B1BD" w14:textId="19B62B69" w:rsidR="002437DD" w:rsidRPr="006048F3" w:rsidRDefault="006048F3" w:rsidP="006048F3">
      <w:pPr>
        <w:pStyle w:val="Caption"/>
      </w:pPr>
      <w:bookmarkStart w:id="9" w:name="_Ref434325438"/>
      <w:r w:rsidRPr="002437DD">
        <w:t xml:space="preserve">Figure </w:t>
      </w:r>
      <w:r w:rsidR="00072202">
        <w:fldChar w:fldCharType="begin"/>
      </w:r>
      <w:r w:rsidR="00072202">
        <w:instrText xml:space="preserve"> SEQ Figure \* ARABIC </w:instrText>
      </w:r>
      <w:r w:rsidR="00072202">
        <w:fldChar w:fldCharType="separate"/>
      </w:r>
      <w:r w:rsidR="00E35E41">
        <w:rPr>
          <w:noProof/>
        </w:rPr>
        <w:t>1</w:t>
      </w:r>
      <w:r w:rsidR="00072202">
        <w:rPr>
          <w:noProof/>
        </w:rPr>
        <w:fldChar w:fldCharType="end"/>
      </w:r>
      <w:bookmarkEnd w:id="9"/>
      <w:r w:rsidRPr="002437DD">
        <w:t>.  A typical discursive chains and semantic field emerged in relation to discourses of ‘value c</w:t>
      </w:r>
      <w:r>
        <w:t>reation’ from the IRs analysed.</w:t>
      </w:r>
    </w:p>
    <w:p w14:paraId="21B17FF1" w14:textId="77777777" w:rsidR="002437DD" w:rsidRPr="002437DD" w:rsidRDefault="002437DD" w:rsidP="00D34907">
      <w:pPr>
        <w:rPr>
          <w:color w:val="auto"/>
        </w:rPr>
      </w:pPr>
      <w:r w:rsidRPr="002437DD">
        <w:rPr>
          <w:noProof/>
          <w:color w:val="auto"/>
          <w:lang w:val="en-US"/>
        </w:rPr>
        <w:drawing>
          <wp:inline distT="0" distB="0" distL="0" distR="0" wp14:anchorId="7B907AF8" wp14:editId="70CA7B3F">
            <wp:extent cx="5744210" cy="22472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210" cy="2247265"/>
                    </a:xfrm>
                    <a:prstGeom prst="rect">
                      <a:avLst/>
                    </a:prstGeom>
                    <a:noFill/>
                    <a:ln>
                      <a:noFill/>
                    </a:ln>
                  </pic:spPr>
                </pic:pic>
              </a:graphicData>
            </a:graphic>
          </wp:inline>
        </w:drawing>
      </w:r>
    </w:p>
    <w:p w14:paraId="76528143" w14:textId="52E4C39F" w:rsidR="002437DD" w:rsidRPr="002437DD" w:rsidRDefault="002437DD" w:rsidP="00BB40FF">
      <w:pPr>
        <w:rPr>
          <w:color w:val="auto"/>
        </w:rPr>
      </w:pPr>
    </w:p>
    <w:p w14:paraId="255E2120" w14:textId="4E716677" w:rsidR="002437DD" w:rsidRPr="002437DD" w:rsidRDefault="00BD3F98" w:rsidP="000467CF">
      <w:pPr>
        <w:rPr>
          <w:color w:val="auto"/>
        </w:rPr>
      </w:pPr>
      <w:r>
        <w:rPr>
          <w:color w:val="auto"/>
        </w:rPr>
        <w:t>These</w:t>
      </w:r>
      <w:r w:rsidR="002437DD" w:rsidRPr="002437DD">
        <w:rPr>
          <w:color w:val="auto"/>
        </w:rPr>
        <w:t xml:space="preserve"> discourses explaining the process of value creation were strategically aimed at legitimising the company’s strategy and activities against its </w:t>
      </w:r>
      <w:r w:rsidR="002437DD" w:rsidRPr="002437DD">
        <w:rPr>
          <w:color w:val="auto"/>
        </w:rPr>
        <w:lastRenderedPageBreak/>
        <w:t>shareholders’ expectations and at portraying the organisation as financially healthy as exemplified by the following extracts:</w:t>
      </w:r>
    </w:p>
    <w:p w14:paraId="20DEB545" w14:textId="77777777" w:rsidR="002437DD" w:rsidRPr="002437DD" w:rsidRDefault="002437DD" w:rsidP="006607BD">
      <w:pPr>
        <w:pStyle w:val="Caption"/>
      </w:pPr>
    </w:p>
    <w:p w14:paraId="7FD30442" w14:textId="77777777" w:rsidR="002437DD" w:rsidRPr="002437DD" w:rsidRDefault="002437DD" w:rsidP="00BB40FF">
      <w:pPr>
        <w:pStyle w:val="Caption"/>
        <w:rPr>
          <w:noProof/>
          <w:lang w:eastAsia="en-GB"/>
        </w:rPr>
      </w:pPr>
      <w:r w:rsidRPr="002437DD">
        <w:t xml:space="preserve">Extract </w:t>
      </w:r>
      <w:r w:rsidR="00072202">
        <w:fldChar w:fldCharType="begin"/>
      </w:r>
      <w:r w:rsidR="00072202">
        <w:instrText xml:space="preserve"> SEQ Extract \* ARABIC </w:instrText>
      </w:r>
      <w:r w:rsidR="00072202">
        <w:fldChar w:fldCharType="separate"/>
      </w:r>
      <w:r w:rsidR="00E35E41">
        <w:rPr>
          <w:noProof/>
        </w:rPr>
        <w:t>9</w:t>
      </w:r>
      <w:r w:rsidR="00072202">
        <w:rPr>
          <w:noProof/>
        </w:rPr>
        <w:fldChar w:fldCharType="end"/>
      </w:r>
    </w:p>
    <w:p w14:paraId="5D574645" w14:textId="42B37E43" w:rsidR="002437DD" w:rsidRPr="002437DD" w:rsidRDefault="002437DD" w:rsidP="00BB40FF">
      <w:pPr>
        <w:pStyle w:val="Quote"/>
      </w:pPr>
      <w:r w:rsidRPr="002437DD">
        <w:t xml:space="preserve"> </w:t>
      </w:r>
      <w:r w:rsidR="001A5DD0">
        <w:t>‘</w:t>
      </w:r>
      <w:r w:rsidRPr="002437DD">
        <w:t xml:space="preserve">In paying dividends, we try to offer the best possible returns for our investors. One of our priorities is to make sure we pay </w:t>
      </w:r>
      <w:r w:rsidRPr="002437DD">
        <w:rPr>
          <w:u w:val="single"/>
        </w:rPr>
        <w:t>sustainable</w:t>
      </w:r>
      <w:r w:rsidRPr="002437DD">
        <w:t xml:space="preserve"> dividends to our shareholders.</w:t>
      </w:r>
      <w:r w:rsidR="001A5DD0">
        <w:t>’</w:t>
      </w:r>
      <w:r w:rsidRPr="002437DD">
        <w:t xml:space="preserve"> (</w:t>
      </w:r>
      <w:proofErr w:type="spellStart"/>
      <w:r w:rsidRPr="002437DD">
        <w:t>Aegon</w:t>
      </w:r>
      <w:proofErr w:type="spellEnd"/>
      <w:r w:rsidRPr="002437DD">
        <w:t xml:space="preserve"> 2013 Integrated Review, p. 44)</w:t>
      </w:r>
    </w:p>
    <w:p w14:paraId="782FAD4A" w14:textId="77777777" w:rsidR="002437DD" w:rsidRPr="002437DD" w:rsidRDefault="002437DD" w:rsidP="00BB40FF">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10</w:t>
      </w:r>
      <w:r w:rsidR="00072202">
        <w:rPr>
          <w:noProof/>
        </w:rPr>
        <w:fldChar w:fldCharType="end"/>
      </w:r>
    </w:p>
    <w:p w14:paraId="5817E31F" w14:textId="54799634" w:rsidR="002437DD" w:rsidRPr="002437DD" w:rsidRDefault="001A5DD0" w:rsidP="00BB40FF">
      <w:pPr>
        <w:pStyle w:val="Quote"/>
        <w:rPr>
          <w:noProof/>
          <w:lang w:eastAsia="en-GB"/>
        </w:rPr>
      </w:pPr>
      <w:r>
        <w:rPr>
          <w:noProof/>
          <w:lang w:eastAsia="en-GB"/>
        </w:rPr>
        <w:t>‘</w:t>
      </w:r>
      <w:r w:rsidR="002437DD" w:rsidRPr="002437DD">
        <w:rPr>
          <w:noProof/>
          <w:lang w:eastAsia="en-GB"/>
        </w:rPr>
        <w:t xml:space="preserve">The Board of Directors of HSBC Holdings […] exists to promote the long-term success of the Company and deliver </w:t>
      </w:r>
      <w:r w:rsidR="002437DD" w:rsidRPr="002437DD">
        <w:rPr>
          <w:noProof/>
          <w:u w:val="single"/>
          <w:lang w:eastAsia="en-GB"/>
        </w:rPr>
        <w:t>sustainable</w:t>
      </w:r>
      <w:r w:rsidR="002437DD" w:rsidRPr="002437DD">
        <w:rPr>
          <w:noProof/>
          <w:lang w:eastAsia="en-GB"/>
        </w:rPr>
        <w:t xml:space="preserve"> value to our shareholders</w:t>
      </w:r>
      <w:r>
        <w:rPr>
          <w:noProof/>
          <w:lang w:eastAsia="en-GB"/>
        </w:rPr>
        <w:t>’</w:t>
      </w:r>
      <w:r w:rsidR="002437DD" w:rsidRPr="002437DD">
        <w:rPr>
          <w:noProof/>
          <w:lang w:eastAsia="en-GB"/>
        </w:rPr>
        <w:t xml:space="preserve"> (HSBC Annual Report 2013, p.338)</w:t>
      </w:r>
    </w:p>
    <w:p w14:paraId="292B78AE" w14:textId="77777777" w:rsidR="006F702E" w:rsidRDefault="006F702E" w:rsidP="006F702E">
      <w:pPr>
        <w:pStyle w:val="Caption"/>
      </w:pPr>
    </w:p>
    <w:p w14:paraId="03C1820F" w14:textId="00551786" w:rsidR="006F702E" w:rsidRDefault="006F702E" w:rsidP="00E174FE">
      <w:pPr>
        <w:pStyle w:val="Caption"/>
        <w:spacing w:line="480" w:lineRule="auto"/>
        <w:rPr>
          <w:i w:val="0"/>
        </w:rPr>
      </w:pPr>
      <w:r>
        <w:rPr>
          <w:i w:val="0"/>
        </w:rPr>
        <w:t xml:space="preserve">In some other cases the rhetorical process of emphasizing the creation of value was achieved with </w:t>
      </w:r>
      <w:r w:rsidR="00EB1903">
        <w:rPr>
          <w:i w:val="0"/>
        </w:rPr>
        <w:t>a mix of topoi of</w:t>
      </w:r>
      <w:r>
        <w:rPr>
          <w:i w:val="0"/>
        </w:rPr>
        <w:t xml:space="preserve"> competitiveness and performance</w:t>
      </w:r>
      <w:r w:rsidR="00EB1903">
        <w:rPr>
          <w:i w:val="0"/>
        </w:rPr>
        <w:t>:</w:t>
      </w:r>
    </w:p>
    <w:p w14:paraId="0F1BE87C" w14:textId="77777777" w:rsidR="006F702E" w:rsidRPr="002437DD" w:rsidRDefault="006F702E" w:rsidP="006F702E">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11</w:t>
      </w:r>
      <w:r w:rsidR="00072202">
        <w:rPr>
          <w:noProof/>
        </w:rPr>
        <w:fldChar w:fldCharType="end"/>
      </w:r>
    </w:p>
    <w:p w14:paraId="3CB28F2D" w14:textId="77777777" w:rsidR="006F702E" w:rsidRPr="002437DD" w:rsidRDefault="006F702E" w:rsidP="006F702E">
      <w:pPr>
        <w:pStyle w:val="Quote"/>
        <w:rPr>
          <w:spacing w:val="1"/>
        </w:rPr>
      </w:pPr>
      <w:r w:rsidRPr="002437DD">
        <w:t>I</w:t>
      </w:r>
      <w:r w:rsidRPr="002437DD">
        <w:rPr>
          <w:spacing w:val="1"/>
        </w:rPr>
        <w:t>n</w:t>
      </w:r>
      <w:r w:rsidRPr="002437DD">
        <w:t>vesti</w:t>
      </w:r>
      <w:r w:rsidRPr="002437DD">
        <w:rPr>
          <w:spacing w:val="1"/>
        </w:rPr>
        <w:t>n</w:t>
      </w:r>
      <w:r w:rsidRPr="002437DD">
        <w:t>g</w:t>
      </w:r>
      <w:r w:rsidRPr="002437DD">
        <w:rPr>
          <w:spacing w:val="33"/>
        </w:rPr>
        <w:t xml:space="preserve"> </w:t>
      </w:r>
      <w:r w:rsidRPr="002437DD">
        <w:t>in</w:t>
      </w:r>
      <w:r w:rsidRPr="002437DD">
        <w:rPr>
          <w:spacing w:val="33"/>
        </w:rPr>
        <w:t xml:space="preserve"> </w:t>
      </w:r>
      <w:r w:rsidRPr="002437DD">
        <w:rPr>
          <w:spacing w:val="1"/>
        </w:rPr>
        <w:t>an</w:t>
      </w:r>
      <w:r w:rsidRPr="002437DD">
        <w:t>d</w:t>
      </w:r>
      <w:r w:rsidRPr="002437DD">
        <w:rPr>
          <w:w w:val="102"/>
        </w:rPr>
        <w:t xml:space="preserve"> </w:t>
      </w:r>
      <w:r w:rsidRPr="002437DD">
        <w:t>ret</w:t>
      </w:r>
      <w:r w:rsidRPr="002437DD">
        <w:rPr>
          <w:spacing w:val="1"/>
        </w:rPr>
        <w:t>a</w:t>
      </w:r>
      <w:r w:rsidRPr="002437DD">
        <w:t>i</w:t>
      </w:r>
      <w:r w:rsidRPr="002437DD">
        <w:rPr>
          <w:spacing w:val="1"/>
        </w:rPr>
        <w:t>n</w:t>
      </w:r>
      <w:r w:rsidRPr="002437DD">
        <w:t>i</w:t>
      </w:r>
      <w:r w:rsidRPr="002437DD">
        <w:rPr>
          <w:spacing w:val="1"/>
        </w:rPr>
        <w:t>n</w:t>
      </w:r>
      <w:r w:rsidRPr="002437DD">
        <w:t>g</w:t>
      </w:r>
      <w:r w:rsidRPr="002437DD">
        <w:rPr>
          <w:spacing w:val="9"/>
        </w:rPr>
        <w:t xml:space="preserve"> </w:t>
      </w:r>
      <w:r w:rsidRPr="002437DD">
        <w:rPr>
          <w:spacing w:val="1"/>
        </w:rPr>
        <w:t>ou</w:t>
      </w:r>
      <w:r w:rsidRPr="002437DD">
        <w:t>r</w:t>
      </w:r>
      <w:r w:rsidRPr="002437DD">
        <w:rPr>
          <w:spacing w:val="8"/>
        </w:rPr>
        <w:t xml:space="preserve"> </w:t>
      </w:r>
      <w:r w:rsidRPr="002437DD">
        <w:t>t</w:t>
      </w:r>
      <w:r w:rsidRPr="002437DD">
        <w:rPr>
          <w:spacing w:val="1"/>
        </w:rPr>
        <w:t>a</w:t>
      </w:r>
      <w:r w:rsidRPr="002437DD">
        <w:t>le</w:t>
      </w:r>
      <w:r w:rsidRPr="002437DD">
        <w:rPr>
          <w:spacing w:val="1"/>
        </w:rPr>
        <w:t>n</w:t>
      </w:r>
      <w:r w:rsidRPr="002437DD">
        <w:t>t</w:t>
      </w:r>
      <w:r w:rsidRPr="002437DD">
        <w:rPr>
          <w:spacing w:val="9"/>
        </w:rPr>
        <w:t xml:space="preserve"> </w:t>
      </w:r>
      <w:r w:rsidRPr="002437DD">
        <w:t>is</w:t>
      </w:r>
      <w:r w:rsidRPr="002437DD">
        <w:rPr>
          <w:spacing w:val="9"/>
        </w:rPr>
        <w:t xml:space="preserve"> </w:t>
      </w:r>
      <w:r w:rsidRPr="002437DD">
        <w:rPr>
          <w:spacing w:val="1"/>
        </w:rPr>
        <w:t>on</w:t>
      </w:r>
      <w:r w:rsidRPr="002437DD">
        <w:t>e</w:t>
      </w:r>
      <w:r w:rsidRPr="002437DD">
        <w:rPr>
          <w:spacing w:val="9"/>
        </w:rPr>
        <w:t xml:space="preserve"> </w:t>
      </w:r>
      <w:r w:rsidRPr="002437DD">
        <w:rPr>
          <w:spacing w:val="1"/>
        </w:rPr>
        <w:t>o</w:t>
      </w:r>
      <w:r w:rsidRPr="002437DD">
        <w:t>f</w:t>
      </w:r>
      <w:r w:rsidRPr="002437DD">
        <w:rPr>
          <w:spacing w:val="8"/>
        </w:rPr>
        <w:t xml:space="preserve"> </w:t>
      </w:r>
      <w:r w:rsidRPr="002437DD">
        <w:t>t</w:t>
      </w:r>
      <w:r w:rsidRPr="002437DD">
        <w:rPr>
          <w:spacing w:val="1"/>
        </w:rPr>
        <w:t>h</w:t>
      </w:r>
      <w:r w:rsidRPr="002437DD">
        <w:t>e</w:t>
      </w:r>
      <w:r w:rsidRPr="002437DD">
        <w:rPr>
          <w:spacing w:val="9"/>
        </w:rPr>
        <w:t xml:space="preserve"> </w:t>
      </w:r>
      <w:r w:rsidRPr="002437DD">
        <w:rPr>
          <w:spacing w:val="1"/>
        </w:rPr>
        <w:t>wa</w:t>
      </w:r>
      <w:r w:rsidRPr="002437DD">
        <w:t>ys</w:t>
      </w:r>
      <w:r w:rsidRPr="002437DD">
        <w:rPr>
          <w:spacing w:val="9"/>
        </w:rPr>
        <w:t xml:space="preserve"> </w:t>
      </w:r>
      <w:r w:rsidRPr="002437DD">
        <w:t>in</w:t>
      </w:r>
      <w:r w:rsidRPr="002437DD">
        <w:rPr>
          <w:spacing w:val="9"/>
        </w:rPr>
        <w:t xml:space="preserve"> </w:t>
      </w:r>
      <w:r w:rsidRPr="002437DD">
        <w:rPr>
          <w:spacing w:val="1"/>
        </w:rPr>
        <w:t>wh</w:t>
      </w:r>
      <w:r w:rsidRPr="002437DD">
        <w:t>ich</w:t>
      </w:r>
      <w:r w:rsidRPr="002437DD">
        <w:rPr>
          <w:spacing w:val="9"/>
        </w:rPr>
        <w:t xml:space="preserve"> </w:t>
      </w:r>
      <w:r w:rsidRPr="002437DD">
        <w:rPr>
          <w:spacing w:val="1"/>
        </w:rPr>
        <w:t>w</w:t>
      </w:r>
      <w:r w:rsidRPr="002437DD">
        <w:t>e</w:t>
      </w:r>
      <w:r w:rsidRPr="002437DD">
        <w:rPr>
          <w:spacing w:val="9"/>
        </w:rPr>
        <w:t xml:space="preserve"> </w:t>
      </w:r>
      <w:r w:rsidRPr="002437DD">
        <w:rPr>
          <w:spacing w:val="1"/>
        </w:rPr>
        <w:t>a</w:t>
      </w:r>
      <w:r w:rsidRPr="002437DD">
        <w:t>re</w:t>
      </w:r>
      <w:r w:rsidRPr="002437DD">
        <w:rPr>
          <w:spacing w:val="9"/>
        </w:rPr>
        <w:t xml:space="preserve"> </w:t>
      </w:r>
      <w:r w:rsidRPr="002437DD">
        <w:rPr>
          <w:spacing w:val="1"/>
        </w:rPr>
        <w:t>ab</w:t>
      </w:r>
      <w:r w:rsidRPr="002437DD">
        <w:t>le</w:t>
      </w:r>
      <w:r w:rsidRPr="002437DD">
        <w:rPr>
          <w:spacing w:val="9"/>
        </w:rPr>
        <w:t xml:space="preserve"> </w:t>
      </w:r>
      <w:r w:rsidRPr="002437DD">
        <w:t>to</w:t>
      </w:r>
      <w:r w:rsidRPr="002437DD">
        <w:rPr>
          <w:spacing w:val="9"/>
        </w:rPr>
        <w:t xml:space="preserve"> </w:t>
      </w:r>
      <w:r w:rsidRPr="002437DD">
        <w:rPr>
          <w:spacing w:val="1"/>
        </w:rPr>
        <w:t>d</w:t>
      </w:r>
      <w:r w:rsidRPr="002437DD">
        <w:t>eliver</w:t>
      </w:r>
      <w:r w:rsidRPr="002437DD">
        <w:rPr>
          <w:spacing w:val="9"/>
        </w:rPr>
        <w:t xml:space="preserve"> </w:t>
      </w:r>
      <w:r w:rsidRPr="002437DD">
        <w:rPr>
          <w:spacing w:val="1"/>
        </w:rPr>
        <w:t>ou</w:t>
      </w:r>
      <w:r w:rsidRPr="002437DD">
        <w:t>tst</w:t>
      </w:r>
      <w:r w:rsidRPr="002437DD">
        <w:rPr>
          <w:spacing w:val="1"/>
        </w:rPr>
        <w:t>and</w:t>
      </w:r>
      <w:r w:rsidRPr="002437DD">
        <w:t>i</w:t>
      </w:r>
      <w:r w:rsidRPr="002437DD">
        <w:rPr>
          <w:spacing w:val="1"/>
        </w:rPr>
        <w:t>n</w:t>
      </w:r>
      <w:r w:rsidRPr="002437DD">
        <w:t>g</w:t>
      </w:r>
      <w:r w:rsidRPr="002437DD">
        <w:rPr>
          <w:w w:val="102"/>
        </w:rPr>
        <w:t xml:space="preserve"> </w:t>
      </w:r>
      <w:r w:rsidRPr="002437DD">
        <w:rPr>
          <w:spacing w:val="1"/>
        </w:rPr>
        <w:t>p</w:t>
      </w:r>
      <w:r w:rsidRPr="002437DD">
        <w:t>erf</w:t>
      </w:r>
      <w:r w:rsidRPr="002437DD">
        <w:rPr>
          <w:spacing w:val="1"/>
        </w:rPr>
        <w:t>o</w:t>
      </w:r>
      <w:r w:rsidRPr="002437DD">
        <w:t>r</w:t>
      </w:r>
      <w:r w:rsidRPr="002437DD">
        <w:rPr>
          <w:spacing w:val="2"/>
        </w:rPr>
        <w:t>m</w:t>
      </w:r>
      <w:r w:rsidRPr="002437DD">
        <w:rPr>
          <w:spacing w:val="1"/>
        </w:rPr>
        <w:t>an</w:t>
      </w:r>
      <w:r w:rsidRPr="002437DD">
        <w:t>ce</w:t>
      </w:r>
      <w:r w:rsidRPr="002437DD">
        <w:rPr>
          <w:spacing w:val="41"/>
        </w:rPr>
        <w:t xml:space="preserve"> </w:t>
      </w:r>
      <w:r w:rsidRPr="002437DD">
        <w:rPr>
          <w:spacing w:val="1"/>
        </w:rPr>
        <w:t>an</w:t>
      </w:r>
      <w:r w:rsidRPr="002437DD">
        <w:t>d</w:t>
      </w:r>
      <w:r w:rsidRPr="002437DD">
        <w:rPr>
          <w:spacing w:val="42"/>
        </w:rPr>
        <w:t xml:space="preserve"> </w:t>
      </w:r>
      <w:r w:rsidRPr="002437DD">
        <w:t>v</w:t>
      </w:r>
      <w:r w:rsidRPr="002437DD">
        <w:rPr>
          <w:spacing w:val="1"/>
        </w:rPr>
        <w:t>a</w:t>
      </w:r>
      <w:r w:rsidRPr="002437DD">
        <w:t>l</w:t>
      </w:r>
      <w:r w:rsidRPr="002437DD">
        <w:rPr>
          <w:spacing w:val="1"/>
        </w:rPr>
        <w:t>u</w:t>
      </w:r>
      <w:r w:rsidRPr="002437DD">
        <w:t>e</w:t>
      </w:r>
      <w:r w:rsidRPr="002437DD">
        <w:rPr>
          <w:spacing w:val="42"/>
        </w:rPr>
        <w:t xml:space="preserve"> </w:t>
      </w:r>
      <w:r w:rsidRPr="002437DD">
        <w:t>to</w:t>
      </w:r>
      <w:r w:rsidRPr="002437DD">
        <w:rPr>
          <w:spacing w:val="1"/>
        </w:rPr>
        <w:t xml:space="preserve"> ou</w:t>
      </w:r>
      <w:r w:rsidRPr="002437DD">
        <w:t>r</w:t>
      </w:r>
      <w:r w:rsidRPr="002437DD">
        <w:rPr>
          <w:spacing w:val="41"/>
        </w:rPr>
        <w:t xml:space="preserve"> </w:t>
      </w:r>
      <w:r w:rsidRPr="002437DD">
        <w:t>s</w:t>
      </w:r>
      <w:r w:rsidRPr="002437DD">
        <w:rPr>
          <w:spacing w:val="1"/>
        </w:rPr>
        <w:t>ha</w:t>
      </w:r>
      <w:r w:rsidRPr="002437DD">
        <w:t>re</w:t>
      </w:r>
      <w:r w:rsidRPr="002437DD">
        <w:rPr>
          <w:spacing w:val="1"/>
        </w:rPr>
        <w:t>ho</w:t>
      </w:r>
      <w:r w:rsidRPr="002437DD">
        <w:t>l</w:t>
      </w:r>
      <w:r w:rsidRPr="002437DD">
        <w:rPr>
          <w:spacing w:val="1"/>
        </w:rPr>
        <w:t>d</w:t>
      </w:r>
      <w:r w:rsidRPr="002437DD">
        <w:t>ers</w:t>
      </w:r>
      <w:r w:rsidRPr="002437DD">
        <w:rPr>
          <w:spacing w:val="42"/>
        </w:rPr>
        <w:t xml:space="preserve"> </w:t>
      </w:r>
      <w:r w:rsidRPr="002437DD">
        <w:rPr>
          <w:spacing w:val="1"/>
        </w:rPr>
        <w:t>a</w:t>
      </w:r>
      <w:r w:rsidRPr="002437DD">
        <w:t>s</w:t>
      </w:r>
      <w:r w:rsidRPr="002437DD">
        <w:rPr>
          <w:spacing w:val="42"/>
        </w:rPr>
        <w:t xml:space="preserve"> </w:t>
      </w:r>
      <w:r w:rsidRPr="002437DD">
        <w:rPr>
          <w:spacing w:val="1"/>
        </w:rPr>
        <w:t>w</w:t>
      </w:r>
      <w:r w:rsidRPr="002437DD">
        <w:t>ell</w:t>
      </w:r>
      <w:r w:rsidRPr="002437DD">
        <w:rPr>
          <w:spacing w:val="41"/>
        </w:rPr>
        <w:t xml:space="preserve"> </w:t>
      </w:r>
      <w:r w:rsidRPr="002437DD">
        <w:rPr>
          <w:spacing w:val="1"/>
        </w:rPr>
        <w:t>a</w:t>
      </w:r>
      <w:r w:rsidRPr="002437DD">
        <w:t>s</w:t>
      </w:r>
      <w:r w:rsidRPr="002437DD">
        <w:rPr>
          <w:spacing w:val="41"/>
        </w:rPr>
        <w:t xml:space="preserve"> </w:t>
      </w:r>
      <w:r w:rsidRPr="002437DD">
        <w:rPr>
          <w:spacing w:val="1"/>
        </w:rPr>
        <w:t>p</w:t>
      </w:r>
      <w:r w:rsidRPr="002437DD">
        <w:t>r</w:t>
      </w:r>
      <w:r w:rsidRPr="002437DD">
        <w:rPr>
          <w:spacing w:val="1"/>
        </w:rPr>
        <w:t>o</w:t>
      </w:r>
      <w:r w:rsidRPr="002437DD">
        <w:t>vi</w:t>
      </w:r>
      <w:r w:rsidRPr="002437DD">
        <w:rPr>
          <w:spacing w:val="1"/>
        </w:rPr>
        <w:t>d</w:t>
      </w:r>
      <w:r w:rsidRPr="002437DD">
        <w:t>e</w:t>
      </w:r>
      <w:r w:rsidRPr="002437DD">
        <w:rPr>
          <w:spacing w:val="42"/>
        </w:rPr>
        <w:t xml:space="preserve"> </w:t>
      </w:r>
      <w:r w:rsidRPr="002437DD">
        <w:t>a</w:t>
      </w:r>
      <w:r w:rsidRPr="002437DD">
        <w:rPr>
          <w:spacing w:val="41"/>
        </w:rPr>
        <w:t xml:space="preserve"> </w:t>
      </w:r>
      <w:r w:rsidRPr="002437DD">
        <w:rPr>
          <w:u w:val="single" w:color="000000"/>
        </w:rPr>
        <w:t>sust</w:t>
      </w:r>
      <w:r w:rsidRPr="002437DD">
        <w:rPr>
          <w:spacing w:val="1"/>
          <w:u w:val="single" w:color="000000"/>
        </w:rPr>
        <w:t>a</w:t>
      </w:r>
      <w:r w:rsidRPr="002437DD">
        <w:rPr>
          <w:u w:val="single" w:color="000000"/>
        </w:rPr>
        <w:t>i</w:t>
      </w:r>
      <w:r w:rsidRPr="002437DD">
        <w:rPr>
          <w:spacing w:val="1"/>
          <w:u w:val="single" w:color="000000"/>
        </w:rPr>
        <w:t>nab</w:t>
      </w:r>
      <w:r w:rsidRPr="002437DD">
        <w:rPr>
          <w:u w:val="single" w:color="000000"/>
        </w:rPr>
        <w:t>le</w:t>
      </w:r>
      <w:r w:rsidRPr="002437DD">
        <w:rPr>
          <w:spacing w:val="41"/>
          <w:u w:val="single" w:color="000000"/>
        </w:rPr>
        <w:t xml:space="preserve"> </w:t>
      </w:r>
      <w:r w:rsidRPr="002437DD">
        <w:t>so</w:t>
      </w:r>
      <w:r w:rsidRPr="002437DD">
        <w:rPr>
          <w:spacing w:val="1"/>
        </w:rPr>
        <w:t>u</w:t>
      </w:r>
      <w:r w:rsidRPr="002437DD">
        <w:t>rce</w:t>
      </w:r>
      <w:r w:rsidRPr="002437DD">
        <w:rPr>
          <w:spacing w:val="42"/>
        </w:rPr>
        <w:t xml:space="preserve"> </w:t>
      </w:r>
      <w:r w:rsidRPr="002437DD">
        <w:rPr>
          <w:spacing w:val="1"/>
        </w:rPr>
        <w:t>o</w:t>
      </w:r>
      <w:r w:rsidRPr="002437DD">
        <w:t>f</w:t>
      </w:r>
      <w:r w:rsidRPr="002437DD">
        <w:rPr>
          <w:w w:val="102"/>
        </w:rPr>
        <w:t xml:space="preserve"> </w:t>
      </w:r>
      <w:r w:rsidRPr="002437DD">
        <w:t>c</w:t>
      </w:r>
      <w:r w:rsidRPr="002437DD">
        <w:rPr>
          <w:spacing w:val="1"/>
        </w:rPr>
        <w:t>o</w:t>
      </w:r>
      <w:r w:rsidRPr="002437DD">
        <w:rPr>
          <w:spacing w:val="2"/>
        </w:rPr>
        <w:t>m</w:t>
      </w:r>
      <w:r w:rsidRPr="002437DD">
        <w:rPr>
          <w:spacing w:val="1"/>
        </w:rPr>
        <w:t>p</w:t>
      </w:r>
      <w:r w:rsidRPr="002437DD">
        <w:t>etitive</w:t>
      </w:r>
      <w:r w:rsidRPr="002437DD">
        <w:rPr>
          <w:spacing w:val="30"/>
        </w:rPr>
        <w:t xml:space="preserve"> </w:t>
      </w:r>
      <w:r w:rsidRPr="002437DD">
        <w:rPr>
          <w:spacing w:val="1"/>
        </w:rPr>
        <w:t>ad</w:t>
      </w:r>
      <w:r w:rsidRPr="002437DD">
        <w:t>v</w:t>
      </w:r>
      <w:r w:rsidRPr="002437DD">
        <w:rPr>
          <w:spacing w:val="1"/>
        </w:rPr>
        <w:t>an</w:t>
      </w:r>
      <w:r w:rsidRPr="002437DD">
        <w:t>t</w:t>
      </w:r>
      <w:r w:rsidRPr="002437DD">
        <w:rPr>
          <w:spacing w:val="1"/>
        </w:rPr>
        <w:t>ag</w:t>
      </w:r>
      <w:r w:rsidRPr="002437DD">
        <w:t>e.</w:t>
      </w:r>
      <w:r w:rsidRPr="002437DD">
        <w:rPr>
          <w:spacing w:val="30"/>
        </w:rPr>
        <w:t xml:space="preserve"> </w:t>
      </w:r>
      <w:r w:rsidRPr="002437DD">
        <w:t>(S</w:t>
      </w:r>
      <w:r w:rsidRPr="002437DD">
        <w:rPr>
          <w:spacing w:val="1"/>
        </w:rPr>
        <w:t>a</w:t>
      </w:r>
      <w:r w:rsidRPr="002437DD">
        <w:t>s</w:t>
      </w:r>
      <w:r w:rsidRPr="002437DD">
        <w:rPr>
          <w:spacing w:val="1"/>
        </w:rPr>
        <w:t>o</w:t>
      </w:r>
      <w:r w:rsidRPr="002437DD">
        <w:t>l,</w:t>
      </w:r>
      <w:r w:rsidRPr="002437DD">
        <w:rPr>
          <w:spacing w:val="29"/>
        </w:rPr>
        <w:t xml:space="preserve"> </w:t>
      </w:r>
      <w:r w:rsidRPr="002437DD">
        <w:t>I</w:t>
      </w:r>
      <w:r w:rsidRPr="002437DD">
        <w:rPr>
          <w:spacing w:val="1"/>
        </w:rPr>
        <w:t>n</w:t>
      </w:r>
      <w:r w:rsidRPr="002437DD">
        <w:t>te</w:t>
      </w:r>
      <w:r w:rsidRPr="002437DD">
        <w:rPr>
          <w:spacing w:val="1"/>
        </w:rPr>
        <w:t>g</w:t>
      </w:r>
      <w:r w:rsidRPr="002437DD">
        <w:t>r</w:t>
      </w:r>
      <w:r w:rsidRPr="002437DD">
        <w:rPr>
          <w:spacing w:val="1"/>
        </w:rPr>
        <w:t>a</w:t>
      </w:r>
      <w:r w:rsidRPr="002437DD">
        <w:t>ted</w:t>
      </w:r>
      <w:r w:rsidRPr="002437DD">
        <w:rPr>
          <w:spacing w:val="31"/>
        </w:rPr>
        <w:t xml:space="preserve"> </w:t>
      </w:r>
      <w:r w:rsidRPr="002437DD">
        <w:rPr>
          <w:spacing w:val="1"/>
        </w:rPr>
        <w:t>R</w:t>
      </w:r>
      <w:r w:rsidRPr="002437DD">
        <w:t>e</w:t>
      </w:r>
      <w:r w:rsidRPr="002437DD">
        <w:rPr>
          <w:spacing w:val="1"/>
        </w:rPr>
        <w:t>po</w:t>
      </w:r>
      <w:r w:rsidRPr="002437DD">
        <w:t>rt</w:t>
      </w:r>
      <w:r w:rsidRPr="002437DD">
        <w:rPr>
          <w:spacing w:val="29"/>
        </w:rPr>
        <w:t xml:space="preserve"> </w:t>
      </w:r>
      <w:r w:rsidRPr="002437DD">
        <w:rPr>
          <w:spacing w:val="1"/>
        </w:rPr>
        <w:t>2011, p. 59)</w:t>
      </w:r>
    </w:p>
    <w:p w14:paraId="501B2FA6" w14:textId="7B740010" w:rsidR="002437DD" w:rsidRPr="002437DD" w:rsidRDefault="002437DD" w:rsidP="007A54D7">
      <w:pPr>
        <w:pStyle w:val="Caption"/>
        <w:rPr>
          <w:lang w:eastAsia="en-GB"/>
        </w:rPr>
      </w:pPr>
      <w:r w:rsidRPr="002437DD">
        <w:t xml:space="preserve">Extract </w:t>
      </w:r>
      <w:r w:rsidR="00072202">
        <w:fldChar w:fldCharType="begin"/>
      </w:r>
      <w:r w:rsidR="00072202">
        <w:instrText xml:space="preserve"> SEQ Extract \* ARABIC </w:instrText>
      </w:r>
      <w:r w:rsidR="00072202">
        <w:fldChar w:fldCharType="separate"/>
      </w:r>
      <w:r w:rsidR="00E35E41">
        <w:rPr>
          <w:noProof/>
        </w:rPr>
        <w:t>12</w:t>
      </w:r>
      <w:r w:rsidR="00072202">
        <w:rPr>
          <w:noProof/>
        </w:rPr>
        <w:fldChar w:fldCharType="end"/>
      </w:r>
    </w:p>
    <w:p w14:paraId="40FD4A61" w14:textId="5BDD7C63" w:rsidR="002437DD" w:rsidRPr="002437DD" w:rsidRDefault="001A5DD0" w:rsidP="007A54D7">
      <w:pPr>
        <w:pStyle w:val="Quote"/>
        <w:rPr>
          <w:noProof/>
          <w:lang w:eastAsia="en-GB"/>
        </w:rPr>
      </w:pPr>
      <w:r>
        <w:rPr>
          <w:noProof/>
          <w:lang w:eastAsia="en-GB"/>
        </w:rPr>
        <w:t>‘</w:t>
      </w:r>
      <w:r w:rsidR="002437DD" w:rsidRPr="002437DD">
        <w:rPr>
          <w:noProof/>
          <w:lang w:eastAsia="en-GB"/>
        </w:rPr>
        <w:t xml:space="preserve">We want to build a business with an unrivalled competitive position that is differentiated from our peers.[…] Success will be </w:t>
      </w:r>
      <w:r w:rsidR="002437DD" w:rsidRPr="002437DD">
        <w:rPr>
          <w:noProof/>
          <w:u w:val="single"/>
          <w:lang w:eastAsia="en-GB"/>
        </w:rPr>
        <w:t>sustainable</w:t>
      </w:r>
      <w:r w:rsidR="002437DD" w:rsidRPr="002437DD">
        <w:rPr>
          <w:noProof/>
          <w:lang w:eastAsia="en-GB"/>
        </w:rPr>
        <w:t xml:space="preserve"> value growth for Tullow, substantial long-term returns to shareholders and shared prosperity for our stakeholders.</w:t>
      </w:r>
      <w:r>
        <w:rPr>
          <w:noProof/>
          <w:lang w:eastAsia="en-GB"/>
        </w:rPr>
        <w:t>’</w:t>
      </w:r>
      <w:r w:rsidR="002437DD" w:rsidRPr="002437DD">
        <w:rPr>
          <w:noProof/>
          <w:lang w:eastAsia="en-GB"/>
        </w:rPr>
        <w:t xml:space="preserve"> (Tullow Oil Annual Report 2013, p.15)</w:t>
      </w:r>
    </w:p>
    <w:p w14:paraId="18578A69" w14:textId="68A47D85" w:rsidR="00727D4C" w:rsidRDefault="00EB1903" w:rsidP="00EB1903">
      <w:pPr>
        <w:rPr>
          <w:color w:val="auto"/>
          <w:lang w:eastAsia="en-GB"/>
        </w:rPr>
      </w:pPr>
      <w:r>
        <w:rPr>
          <w:color w:val="auto"/>
          <w:lang w:eastAsia="en-GB"/>
        </w:rPr>
        <w:t>These discursive strategies are further analysed below.</w:t>
      </w:r>
    </w:p>
    <w:p w14:paraId="6EBD926B" w14:textId="77777777" w:rsidR="00E35E41" w:rsidRPr="002437DD" w:rsidRDefault="00E35E41" w:rsidP="00EB1903">
      <w:pPr>
        <w:rPr>
          <w:color w:val="auto"/>
          <w:lang w:eastAsia="en-GB"/>
        </w:rPr>
      </w:pPr>
    </w:p>
    <w:p w14:paraId="35562877" w14:textId="1BAE3BBA" w:rsidR="002437DD" w:rsidRPr="002437DD" w:rsidRDefault="002437DD" w:rsidP="004F07B3">
      <w:pPr>
        <w:pStyle w:val="Heading3"/>
        <w:numPr>
          <w:ilvl w:val="0"/>
          <w:numId w:val="0"/>
        </w:numPr>
        <w:ind w:left="720" w:hanging="720"/>
      </w:pPr>
      <w:r w:rsidRPr="002437DD">
        <w:t>Topoi of performance and strategy</w:t>
      </w:r>
    </w:p>
    <w:p w14:paraId="7171C9C3" w14:textId="77777777" w:rsidR="002437DD" w:rsidRPr="002437DD" w:rsidRDefault="002437DD" w:rsidP="00474FB6">
      <w:pPr>
        <w:rPr>
          <w:color w:val="auto"/>
        </w:rPr>
      </w:pPr>
    </w:p>
    <w:p w14:paraId="7387AADF" w14:textId="3A56B59D" w:rsidR="002437DD" w:rsidRPr="002437DD" w:rsidRDefault="002437DD" w:rsidP="00474FB6">
      <w:pPr>
        <w:rPr>
          <w:color w:val="auto"/>
        </w:rPr>
      </w:pPr>
      <w:r w:rsidRPr="002437DD">
        <w:rPr>
          <w:color w:val="auto"/>
        </w:rPr>
        <w:t>Our analysis identified prominent examples of how organisational discourses mixed with and colonised discourses of sustainability in relation to themes of</w:t>
      </w:r>
      <w:r w:rsidRPr="002437DD">
        <w:rPr>
          <w:i/>
          <w:color w:val="auto"/>
        </w:rPr>
        <w:t xml:space="preserve"> </w:t>
      </w:r>
      <w:r w:rsidRPr="002437DD">
        <w:rPr>
          <w:color w:val="auto"/>
        </w:rPr>
        <w:t xml:space="preserve">performance. The </w:t>
      </w:r>
      <w:r w:rsidRPr="002437DD">
        <w:rPr>
          <w:i/>
          <w:color w:val="auto"/>
        </w:rPr>
        <w:t xml:space="preserve">topoi of performance </w:t>
      </w:r>
      <w:r w:rsidRPr="002437DD">
        <w:rPr>
          <w:color w:val="auto"/>
        </w:rPr>
        <w:t xml:space="preserve">and </w:t>
      </w:r>
      <w:r w:rsidRPr="002437DD">
        <w:rPr>
          <w:i/>
          <w:color w:val="auto"/>
        </w:rPr>
        <w:t>of strategy</w:t>
      </w:r>
      <w:r w:rsidRPr="002437DD">
        <w:rPr>
          <w:color w:val="auto"/>
        </w:rPr>
        <w:t xml:space="preserve"> (i.e. a company is expected to set and achieve certain measurable goals) were frequently invoked to achieve different linguistic constructions of sustainability. In some cases, these topoi supported the claim (typically backed with statistical/numerical data) that the company’s activities were sustainable as some specific targets (e.g. energy consumption reduction) had been met. In other cases, the </w:t>
      </w:r>
      <w:r w:rsidRPr="002437DD">
        <w:rPr>
          <w:i/>
          <w:color w:val="auto"/>
        </w:rPr>
        <w:t>topoi of performance</w:t>
      </w:r>
      <w:r w:rsidRPr="002437DD">
        <w:rPr>
          <w:color w:val="auto"/>
        </w:rPr>
        <w:t xml:space="preserve"> and </w:t>
      </w:r>
      <w:r w:rsidRPr="002437DD">
        <w:rPr>
          <w:i/>
          <w:color w:val="auto"/>
        </w:rPr>
        <w:t>strategy</w:t>
      </w:r>
      <w:r w:rsidRPr="002437DD">
        <w:rPr>
          <w:color w:val="auto"/>
        </w:rPr>
        <w:t xml:space="preserve"> underpinned companies’ account of their achievement of more generic corporate goals or justified their actions to achieve the desired objectives. Crucially, in this case, the notion of sustainability was appropriated to connote certain business strategies (defined as ‘sustainable’) and to characterise the outcome of such strategies as ‘sustainable’. The following example in which </w:t>
      </w:r>
      <w:r w:rsidRPr="00715D1C">
        <w:rPr>
          <w:i/>
          <w:color w:val="auto"/>
        </w:rPr>
        <w:t>HSBC</w:t>
      </w:r>
      <w:r w:rsidRPr="002437DD">
        <w:rPr>
          <w:color w:val="auto"/>
        </w:rPr>
        <w:t xml:space="preserve"> discusses the ‘sustainability’ of its workforce illustrates our point:</w:t>
      </w:r>
    </w:p>
    <w:p w14:paraId="36B32858" w14:textId="77777777" w:rsidR="002437DD" w:rsidRPr="002437DD" w:rsidRDefault="002437DD" w:rsidP="00474FB6">
      <w:pPr>
        <w:rPr>
          <w:color w:val="auto"/>
        </w:rPr>
      </w:pPr>
    </w:p>
    <w:p w14:paraId="121F9136" w14:textId="77777777" w:rsidR="002437DD" w:rsidRPr="002437DD" w:rsidRDefault="002437DD" w:rsidP="00474FB6">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13</w:t>
      </w:r>
      <w:r w:rsidR="00072202">
        <w:rPr>
          <w:noProof/>
        </w:rPr>
        <w:fldChar w:fldCharType="end"/>
      </w:r>
    </w:p>
    <w:p w14:paraId="601284E7" w14:textId="0A0AB3D8" w:rsidR="002437DD" w:rsidRPr="002437DD" w:rsidRDefault="002437DD" w:rsidP="00474FB6">
      <w:pPr>
        <w:pStyle w:val="Quote"/>
      </w:pPr>
      <w:r w:rsidRPr="002437DD">
        <w:t xml:space="preserve"> </w:t>
      </w:r>
      <w:r w:rsidR="001A5DD0">
        <w:t>‘</w:t>
      </w:r>
      <w:r w:rsidRPr="002437DD">
        <w:t xml:space="preserve">By running a </w:t>
      </w:r>
      <w:r w:rsidRPr="002437DD">
        <w:rPr>
          <w:u w:val="single"/>
        </w:rPr>
        <w:t>sustainable</w:t>
      </w:r>
      <w:r w:rsidRPr="002437DD">
        <w:t xml:space="preserve"> business, HSBC is able to make a valuable contribution to the economy by paying dividends to our shareholders; salaries to our employees; payments to suppliers; and tax revenues to governments in the countries and territories where we operate […] Attracting, retaining and developing our high-performing talent ensures that HSBC is a </w:t>
      </w:r>
      <w:r w:rsidRPr="002437DD">
        <w:rPr>
          <w:u w:val="single"/>
        </w:rPr>
        <w:t>sustainable</w:t>
      </w:r>
      <w:r w:rsidRPr="002437DD">
        <w:t xml:space="preserve"> business. We have a clear strategy </w:t>
      </w:r>
      <w:r w:rsidRPr="002437DD">
        <w:lastRenderedPageBreak/>
        <w:t xml:space="preserve">for identifying and developing high performers who have the capability and ambition for leadership in a challenging operating environment across our emerging and developed markets [...]HSBC’s reward strategy focuses on both short-term and </w:t>
      </w:r>
      <w:r w:rsidRPr="002437DD">
        <w:rPr>
          <w:u w:val="single"/>
        </w:rPr>
        <w:t>sustainable</w:t>
      </w:r>
      <w:r w:rsidRPr="002437DD">
        <w:t>, long-term performance. It aims to reward success, never failure, and considers performance and commensurate reward within the context of our risk appetite statement, which describes and measures the amount and types of risk that HSBC is prepared to undertake in executing our strategy.</w:t>
      </w:r>
      <w:r w:rsidR="001A5DD0">
        <w:t>’</w:t>
      </w:r>
      <w:r w:rsidRPr="002437DD">
        <w:t xml:space="preserve"> (HSBC Sustainability report 2011, p. 21/23)</w:t>
      </w:r>
    </w:p>
    <w:p w14:paraId="41818C47" w14:textId="77777777" w:rsidR="002437DD" w:rsidRPr="002437DD" w:rsidRDefault="002437DD" w:rsidP="00474FB6">
      <w:pPr>
        <w:rPr>
          <w:color w:val="auto"/>
        </w:rPr>
      </w:pPr>
    </w:p>
    <w:p w14:paraId="15E4C9FB" w14:textId="2CF3BB9C" w:rsidR="002437DD" w:rsidRDefault="002437DD" w:rsidP="00590BE8">
      <w:pPr>
        <w:rPr>
          <w:color w:val="auto"/>
        </w:rPr>
      </w:pPr>
      <w:r w:rsidRPr="00715D1C">
        <w:rPr>
          <w:i/>
          <w:color w:val="auto"/>
        </w:rPr>
        <w:t>HSBC</w:t>
      </w:r>
      <w:r w:rsidRPr="002437DD">
        <w:rPr>
          <w:color w:val="auto"/>
        </w:rPr>
        <w:t xml:space="preserve">’s argumentative scheme is clearly embedded in a financially-driven macro discourse about the execution of its business strategy and the conduct of its financial operations. The company’s discourse appears substantially aimed at justifying the contribution of a high remuneration policy (paying salaries and bonuses related to the revenues generated) to the realisation of </w:t>
      </w:r>
      <w:r w:rsidRPr="00715D1C">
        <w:rPr>
          <w:i/>
          <w:color w:val="auto"/>
        </w:rPr>
        <w:t>HSBC</w:t>
      </w:r>
      <w:r w:rsidRPr="002437DD">
        <w:rPr>
          <w:color w:val="auto"/>
        </w:rPr>
        <w:t xml:space="preserve">’s goals (i.e. profit) as well as at legitimising the organisation’s activities </w:t>
      </w:r>
      <w:r w:rsidRPr="002437DD">
        <w:rPr>
          <w:i/>
          <w:color w:val="auto"/>
        </w:rPr>
        <w:t>vis-à-vis</w:t>
      </w:r>
      <w:r w:rsidRPr="002437DD">
        <w:rPr>
          <w:color w:val="auto"/>
        </w:rPr>
        <w:t xml:space="preserve"> its investors. </w:t>
      </w:r>
      <w:r w:rsidRPr="00715D1C">
        <w:rPr>
          <w:i/>
          <w:color w:val="auto"/>
        </w:rPr>
        <w:t>HSBC</w:t>
      </w:r>
      <w:r w:rsidRPr="002437DD">
        <w:rPr>
          <w:color w:val="auto"/>
        </w:rPr>
        <w:t xml:space="preserve">’s claim to run a sustainable business must be interpreted in the sense of being a profitable business as it is logically linked to the economic benefits and the financial redistribution that the organisation is allegedly able to operate, an argument supported by the neoliberal </w:t>
      </w:r>
      <w:proofErr w:type="spellStart"/>
      <w:r w:rsidRPr="002437DD">
        <w:rPr>
          <w:i/>
          <w:color w:val="auto"/>
        </w:rPr>
        <w:t>topos</w:t>
      </w:r>
      <w:proofErr w:type="spellEnd"/>
      <w:r w:rsidRPr="002437DD">
        <w:rPr>
          <w:i/>
          <w:color w:val="auto"/>
        </w:rPr>
        <w:t xml:space="preserve"> of the ‘trickle down effect’</w:t>
      </w:r>
      <w:r w:rsidRPr="002437DD">
        <w:rPr>
          <w:color w:val="auto"/>
        </w:rPr>
        <w:t xml:space="preserve">. </w:t>
      </w:r>
      <w:r w:rsidRPr="00715D1C">
        <w:rPr>
          <w:i/>
          <w:color w:val="auto"/>
        </w:rPr>
        <w:t>HSBC</w:t>
      </w:r>
      <w:r w:rsidRPr="002437DD">
        <w:rPr>
          <w:color w:val="auto"/>
        </w:rPr>
        <w:t>’s ‘sustainability’ thus rests on the premise that its operations will generate enough revenue to keep the trickle going. Latching on to this premise, the narration tells us -in typical business jargon- that, to enable this virtuous process, the organisation needs ambitious and high-performing employees who will be rewarded for their success (</w:t>
      </w:r>
      <w:proofErr w:type="spellStart"/>
      <w:r w:rsidRPr="002437DD">
        <w:rPr>
          <w:i/>
          <w:color w:val="auto"/>
        </w:rPr>
        <w:t>topos</w:t>
      </w:r>
      <w:proofErr w:type="spellEnd"/>
      <w:r w:rsidRPr="002437DD">
        <w:rPr>
          <w:i/>
          <w:color w:val="auto"/>
        </w:rPr>
        <w:t xml:space="preserve"> of performance</w:t>
      </w:r>
      <w:r w:rsidRPr="002437DD">
        <w:rPr>
          <w:color w:val="auto"/>
        </w:rPr>
        <w:t xml:space="preserve">). The company </w:t>
      </w:r>
      <w:r w:rsidRPr="002437DD">
        <w:rPr>
          <w:color w:val="auto"/>
        </w:rPr>
        <w:lastRenderedPageBreak/>
        <w:t xml:space="preserve">therefore can proclaim itself ‘sustainable’ because it ensures the reproduction of the ‘high performers/high rewards’ business model which contributes to the organisations’ ultimate financial goals. </w:t>
      </w:r>
    </w:p>
    <w:p w14:paraId="5B425525" w14:textId="4D007C22" w:rsidR="002437DD" w:rsidRPr="002437DD" w:rsidRDefault="002437DD" w:rsidP="00474FB6">
      <w:pPr>
        <w:rPr>
          <w:color w:val="auto"/>
        </w:rPr>
      </w:pPr>
    </w:p>
    <w:p w14:paraId="6CC04D3E" w14:textId="77777777" w:rsidR="002437DD" w:rsidRPr="002437DD" w:rsidRDefault="002437DD" w:rsidP="005F39F8">
      <w:pPr>
        <w:pStyle w:val="Heading3"/>
      </w:pPr>
      <w:r w:rsidRPr="002437DD">
        <w:t>Corpus analysis: lexical-semantic features</w:t>
      </w:r>
    </w:p>
    <w:p w14:paraId="286043F4" w14:textId="77777777" w:rsidR="002437DD" w:rsidRPr="002437DD" w:rsidRDefault="002437DD" w:rsidP="00BB40FF">
      <w:pPr>
        <w:rPr>
          <w:color w:val="auto"/>
        </w:rPr>
      </w:pPr>
    </w:p>
    <w:p w14:paraId="101BA802" w14:textId="3C38E2A8" w:rsidR="002437DD" w:rsidRPr="002437DD" w:rsidRDefault="00C22E9E" w:rsidP="00BB40FF">
      <w:pPr>
        <w:rPr>
          <w:color w:val="auto"/>
        </w:rPr>
      </w:pPr>
      <w:r>
        <w:rPr>
          <w:color w:val="auto"/>
        </w:rPr>
        <w:t xml:space="preserve">The </w:t>
      </w:r>
      <w:r w:rsidR="002437DD" w:rsidRPr="002437DD">
        <w:rPr>
          <w:color w:val="auto"/>
        </w:rPr>
        <w:t xml:space="preserve">corpus analysis showed that the lemma </w:t>
      </w:r>
      <w:r w:rsidR="002437DD" w:rsidRPr="00715D1C">
        <w:rPr>
          <w:i/>
          <w:color w:val="auto"/>
        </w:rPr>
        <w:t>sustain*</w:t>
      </w:r>
      <w:r w:rsidR="002437DD" w:rsidRPr="002437DD">
        <w:rPr>
          <w:color w:val="auto"/>
        </w:rPr>
        <w:t xml:space="preserve"> occurred most frequently as the following lexemes: </w:t>
      </w:r>
      <w:r w:rsidR="002437DD" w:rsidRPr="002437DD">
        <w:rPr>
          <w:i/>
          <w:color w:val="auto"/>
        </w:rPr>
        <w:t xml:space="preserve">sustainability </w:t>
      </w:r>
      <w:r w:rsidR="002437DD" w:rsidRPr="002437DD">
        <w:rPr>
          <w:color w:val="auto"/>
        </w:rPr>
        <w:t xml:space="preserve">(1486), </w:t>
      </w:r>
      <w:r w:rsidR="002437DD" w:rsidRPr="002437DD">
        <w:rPr>
          <w:i/>
          <w:color w:val="auto"/>
        </w:rPr>
        <w:t>sustainable</w:t>
      </w:r>
      <w:r w:rsidR="002437DD" w:rsidRPr="002437DD">
        <w:rPr>
          <w:color w:val="auto"/>
        </w:rPr>
        <w:t xml:space="preserve"> (898), </w:t>
      </w:r>
      <w:r w:rsidR="002437DD" w:rsidRPr="002437DD">
        <w:rPr>
          <w:i/>
          <w:color w:val="auto"/>
        </w:rPr>
        <w:t>sustained</w:t>
      </w:r>
      <w:r w:rsidR="002437DD" w:rsidRPr="002437DD">
        <w:rPr>
          <w:color w:val="auto"/>
        </w:rPr>
        <w:t xml:space="preserve"> (76), </w:t>
      </w:r>
      <w:r w:rsidR="002437DD" w:rsidRPr="002437DD">
        <w:rPr>
          <w:i/>
          <w:color w:val="auto"/>
        </w:rPr>
        <w:t>sustainably</w:t>
      </w:r>
      <w:r w:rsidR="002437DD" w:rsidRPr="002437DD">
        <w:rPr>
          <w:color w:val="auto"/>
        </w:rPr>
        <w:t xml:space="preserve"> (66), </w:t>
      </w:r>
      <w:r w:rsidR="002437DD" w:rsidRPr="002437DD">
        <w:rPr>
          <w:i/>
          <w:color w:val="auto"/>
        </w:rPr>
        <w:t xml:space="preserve">sustain </w:t>
      </w:r>
      <w:r w:rsidR="002437DD" w:rsidRPr="002437DD">
        <w:rPr>
          <w:color w:val="auto"/>
        </w:rPr>
        <w:t xml:space="preserve">(51), and </w:t>
      </w:r>
      <w:r w:rsidR="002437DD" w:rsidRPr="002437DD">
        <w:rPr>
          <w:i/>
          <w:color w:val="auto"/>
        </w:rPr>
        <w:t>sustaining</w:t>
      </w:r>
      <w:r w:rsidR="002437DD" w:rsidRPr="002437DD">
        <w:rPr>
          <w:color w:val="auto"/>
        </w:rPr>
        <w:t xml:space="preserve"> (29). </w:t>
      </w:r>
    </w:p>
    <w:p w14:paraId="10090954" w14:textId="77777777" w:rsidR="002437DD" w:rsidRPr="002437DD" w:rsidRDefault="002437DD" w:rsidP="00BB40FF">
      <w:pPr>
        <w:rPr>
          <w:color w:val="auto"/>
        </w:rPr>
      </w:pPr>
    </w:p>
    <w:p w14:paraId="45B7A29F" w14:textId="5C331426" w:rsidR="002437DD" w:rsidRPr="002437DD" w:rsidRDefault="002437DD" w:rsidP="00BB40FF">
      <w:pPr>
        <w:rPr>
          <w:color w:val="auto"/>
        </w:rPr>
      </w:pPr>
      <w:r w:rsidRPr="002437DD">
        <w:rPr>
          <w:i/>
          <w:color w:val="auto"/>
        </w:rPr>
        <w:t>Sustainability</w:t>
      </w:r>
      <w:r w:rsidRPr="002437DD">
        <w:rPr>
          <w:color w:val="auto"/>
        </w:rPr>
        <w:t xml:space="preserve"> was used as a noun qualified by the following most frequent non-grammatical left collocates: </w:t>
      </w:r>
      <w:r w:rsidRPr="002437DD">
        <w:rPr>
          <w:i/>
          <w:color w:val="auto"/>
        </w:rPr>
        <w:t>corporate (52),</w:t>
      </w:r>
      <w:r w:rsidRPr="002437DD">
        <w:rPr>
          <w:color w:val="auto"/>
        </w:rPr>
        <w:t xml:space="preserve"> </w:t>
      </w:r>
      <w:r w:rsidRPr="002437DD">
        <w:rPr>
          <w:i/>
          <w:color w:val="auto"/>
        </w:rPr>
        <w:t>financial (39), long(</w:t>
      </w:r>
      <w:proofErr w:type="spellStart"/>
      <w:r w:rsidRPr="002437DD">
        <w:rPr>
          <w:i/>
          <w:color w:val="auto"/>
        </w:rPr>
        <w:t>er</w:t>
      </w:r>
      <w:proofErr w:type="spellEnd"/>
      <w:r w:rsidRPr="002437DD">
        <w:rPr>
          <w:i/>
          <w:color w:val="auto"/>
        </w:rPr>
        <w:t xml:space="preserve">)-term (38), performance (29), environmental (17), operational (16), and business (11). </w:t>
      </w:r>
      <w:r w:rsidRPr="002437DD">
        <w:rPr>
          <w:color w:val="auto"/>
        </w:rPr>
        <w:t xml:space="preserve"> Sustainability was used as a qualifier of the following right collocates: </w:t>
      </w:r>
      <w:r w:rsidRPr="002437DD">
        <w:rPr>
          <w:i/>
          <w:color w:val="auto"/>
        </w:rPr>
        <w:t>report (175),</w:t>
      </w:r>
      <w:r w:rsidRPr="002437DD">
        <w:rPr>
          <w:color w:val="auto"/>
        </w:rPr>
        <w:t xml:space="preserve"> </w:t>
      </w:r>
      <w:r w:rsidRPr="002437DD">
        <w:rPr>
          <w:i/>
          <w:color w:val="auto"/>
        </w:rPr>
        <w:t xml:space="preserve">Committee (55), strategy (44), performance (41), statement, risk, and governance (39) (see </w:t>
      </w:r>
      <w:r w:rsidRPr="002437DD">
        <w:rPr>
          <w:i/>
          <w:color w:val="auto"/>
        </w:rPr>
        <w:fldChar w:fldCharType="begin"/>
      </w:r>
      <w:r w:rsidRPr="002437DD">
        <w:rPr>
          <w:i/>
          <w:color w:val="auto"/>
        </w:rPr>
        <w:instrText xml:space="preserve"> REF _Ref427066061 \h </w:instrText>
      </w:r>
      <w:r>
        <w:rPr>
          <w:i/>
          <w:color w:val="auto"/>
        </w:rPr>
        <w:instrText xml:space="preserve"> \* MERGEFORMAT </w:instrText>
      </w:r>
      <w:r w:rsidRPr="002437DD">
        <w:rPr>
          <w:i/>
          <w:color w:val="auto"/>
        </w:rPr>
      </w:r>
      <w:r w:rsidRPr="002437DD">
        <w:rPr>
          <w:i/>
          <w:color w:val="auto"/>
        </w:rPr>
        <w:fldChar w:fldCharType="separate"/>
      </w:r>
      <w:r w:rsidR="00E35E41" w:rsidRPr="002437DD">
        <w:rPr>
          <w:color w:val="auto"/>
        </w:rPr>
        <w:t xml:space="preserve">Table </w:t>
      </w:r>
      <w:r w:rsidR="00E35E41">
        <w:rPr>
          <w:noProof/>
          <w:color w:val="auto"/>
        </w:rPr>
        <w:t>3</w:t>
      </w:r>
      <w:r w:rsidRPr="002437DD">
        <w:rPr>
          <w:i/>
          <w:color w:val="auto"/>
        </w:rPr>
        <w:fldChar w:fldCharType="end"/>
      </w:r>
      <w:r w:rsidRPr="002437DD">
        <w:rPr>
          <w:i/>
          <w:color w:val="auto"/>
        </w:rPr>
        <w:t xml:space="preserve">). </w:t>
      </w:r>
      <w:r w:rsidRPr="002437DD">
        <w:rPr>
          <w:color w:val="auto"/>
        </w:rPr>
        <w:t xml:space="preserve">Similarly, the corpus analysis suggested that the use of </w:t>
      </w:r>
      <w:r w:rsidRPr="002437DD">
        <w:rPr>
          <w:i/>
          <w:color w:val="auto"/>
        </w:rPr>
        <w:t>sustained</w:t>
      </w:r>
      <w:r w:rsidRPr="002437DD">
        <w:rPr>
          <w:color w:val="auto"/>
        </w:rPr>
        <w:t xml:space="preserve"> and </w:t>
      </w:r>
      <w:r w:rsidRPr="002437DD">
        <w:rPr>
          <w:i/>
          <w:color w:val="auto"/>
        </w:rPr>
        <w:t>sustaining</w:t>
      </w:r>
      <w:r w:rsidRPr="002437DD">
        <w:rPr>
          <w:color w:val="auto"/>
        </w:rPr>
        <w:t xml:space="preserve"> – which occurred almost exclusively within the context of organisations reporting on their economic performance - related to discourses of growth, cash flow operations, and production.</w:t>
      </w:r>
    </w:p>
    <w:p w14:paraId="30E69610" w14:textId="77777777" w:rsidR="002437DD" w:rsidRPr="002437DD" w:rsidRDefault="002437DD" w:rsidP="00BB40FF">
      <w:pPr>
        <w:rPr>
          <w:color w:val="auto"/>
        </w:rPr>
      </w:pPr>
    </w:p>
    <w:p w14:paraId="1917B7A9" w14:textId="17D325D4" w:rsidR="002437DD" w:rsidRPr="002437DD" w:rsidRDefault="002437DD" w:rsidP="00BB40FF">
      <w:pPr>
        <w:rPr>
          <w:color w:val="auto"/>
        </w:rPr>
      </w:pPr>
      <w:r w:rsidRPr="002437DD">
        <w:rPr>
          <w:color w:val="auto"/>
        </w:rPr>
        <w:t xml:space="preserve">The corpus analysis also showed that the adjective </w:t>
      </w:r>
      <w:r w:rsidRPr="002437DD">
        <w:rPr>
          <w:i/>
          <w:color w:val="auto"/>
        </w:rPr>
        <w:t xml:space="preserve">sustainable </w:t>
      </w:r>
      <w:r w:rsidRPr="002437DD">
        <w:rPr>
          <w:color w:val="auto"/>
        </w:rPr>
        <w:t xml:space="preserve">was most frequently used as a qualifier of </w:t>
      </w:r>
      <w:r w:rsidRPr="002437DD">
        <w:rPr>
          <w:i/>
          <w:color w:val="auto"/>
        </w:rPr>
        <w:t xml:space="preserve">development (175), living (66), business (63), growth (58), value (25), cost (23), gold (16), success, performance, and operations (15) </w:t>
      </w:r>
      <w:r w:rsidRPr="002437DD">
        <w:rPr>
          <w:color w:val="auto"/>
        </w:rPr>
        <w:t xml:space="preserve">(see </w:t>
      </w:r>
      <w:r w:rsidRPr="002437DD">
        <w:rPr>
          <w:color w:val="auto"/>
        </w:rPr>
        <w:fldChar w:fldCharType="begin"/>
      </w:r>
      <w:r w:rsidRPr="002437DD">
        <w:rPr>
          <w:color w:val="auto"/>
        </w:rPr>
        <w:instrText xml:space="preserve"> REF _Ref308539895 \h </w:instrText>
      </w:r>
      <w:r>
        <w:rPr>
          <w:color w:val="auto"/>
        </w:rPr>
        <w:instrText xml:space="preserve"> \* MERGEFORMAT </w:instrText>
      </w:r>
      <w:r w:rsidRPr="002437DD">
        <w:rPr>
          <w:color w:val="auto"/>
        </w:rPr>
      </w:r>
      <w:r w:rsidRPr="002437DD">
        <w:rPr>
          <w:color w:val="auto"/>
        </w:rPr>
        <w:fldChar w:fldCharType="separate"/>
      </w:r>
      <w:r w:rsidR="00E35E41" w:rsidRPr="002437DD">
        <w:rPr>
          <w:color w:val="auto"/>
        </w:rPr>
        <w:t xml:space="preserve">Table </w:t>
      </w:r>
      <w:r w:rsidR="00E35E41">
        <w:rPr>
          <w:noProof/>
          <w:color w:val="auto"/>
        </w:rPr>
        <w:t>4</w:t>
      </w:r>
      <w:r w:rsidR="00E35E41" w:rsidRPr="002437DD">
        <w:rPr>
          <w:color w:val="auto"/>
        </w:rPr>
        <w:t xml:space="preserve"> Frequency of terms co-occurring with SUSTAINABLE (level 1R, 1L)</w:t>
      </w:r>
      <w:r w:rsidR="00E35E41">
        <w:rPr>
          <w:color w:val="auto"/>
        </w:rPr>
        <w:t xml:space="preserve"> </w:t>
      </w:r>
      <w:r w:rsidRPr="002437DD">
        <w:rPr>
          <w:color w:val="auto"/>
        </w:rPr>
        <w:fldChar w:fldCharType="end"/>
      </w:r>
      <w:r w:rsidRPr="002437DD">
        <w:rPr>
          <w:color w:val="auto"/>
        </w:rPr>
        <w:t xml:space="preserve">) some of which we have discussed in their pragmatic implications in the </w:t>
      </w:r>
      <w:r w:rsidRPr="002437DD">
        <w:rPr>
          <w:color w:val="auto"/>
        </w:rPr>
        <w:lastRenderedPageBreak/>
        <w:t xml:space="preserve">previous section. It must be noted that the noun phrase </w:t>
      </w:r>
      <w:r w:rsidRPr="002437DD">
        <w:rPr>
          <w:i/>
          <w:color w:val="auto"/>
        </w:rPr>
        <w:t>sustainable development</w:t>
      </w:r>
      <w:r w:rsidRPr="002437DD">
        <w:rPr>
          <w:color w:val="auto"/>
        </w:rPr>
        <w:t xml:space="preserve"> was often deployed to connote an office or a function within the organisation (cf., for example, </w:t>
      </w:r>
      <w:r w:rsidRPr="00715D1C">
        <w:rPr>
          <w:i/>
          <w:color w:val="auto"/>
        </w:rPr>
        <w:t>Gold Fields</w:t>
      </w:r>
      <w:r w:rsidRPr="002437DD">
        <w:rPr>
          <w:color w:val="auto"/>
        </w:rPr>
        <w:t xml:space="preserve">’ </w:t>
      </w:r>
      <w:r w:rsidRPr="002437DD">
        <w:rPr>
          <w:i/>
          <w:color w:val="auto"/>
        </w:rPr>
        <w:t>Safety Health and Sustainable Development Committee</w:t>
      </w:r>
      <w:r w:rsidRPr="002437DD">
        <w:rPr>
          <w:color w:val="auto"/>
        </w:rPr>
        <w:t xml:space="preserve"> or </w:t>
      </w:r>
      <w:r w:rsidRPr="00715D1C">
        <w:rPr>
          <w:i/>
          <w:color w:val="auto"/>
        </w:rPr>
        <w:t>Unilever</w:t>
      </w:r>
      <w:r w:rsidRPr="002437DD">
        <w:rPr>
          <w:color w:val="auto"/>
        </w:rPr>
        <w:t xml:space="preserve">’s </w:t>
      </w:r>
      <w:r w:rsidRPr="002437DD">
        <w:rPr>
          <w:i/>
          <w:color w:val="auto"/>
        </w:rPr>
        <w:t>Sustainable Development Group</w:t>
      </w:r>
      <w:r w:rsidRPr="002437DD">
        <w:rPr>
          <w:color w:val="auto"/>
        </w:rPr>
        <w:t xml:space="preserve">). The term </w:t>
      </w:r>
      <w:r w:rsidRPr="002437DD">
        <w:rPr>
          <w:i/>
          <w:color w:val="auto"/>
        </w:rPr>
        <w:t>sustainable</w:t>
      </w:r>
      <w:r w:rsidRPr="002437DD">
        <w:rPr>
          <w:color w:val="auto"/>
        </w:rPr>
        <w:t xml:space="preserve"> was also used to qualify a range of organisational activities or products in the context of financial and market discourses, as illustrated by the following examples:</w:t>
      </w:r>
    </w:p>
    <w:p w14:paraId="3DED8BB0" w14:textId="77777777" w:rsidR="002437DD" w:rsidRPr="002437DD" w:rsidRDefault="002437DD" w:rsidP="00BB40FF">
      <w:pPr>
        <w:rPr>
          <w:color w:val="auto"/>
        </w:rPr>
      </w:pPr>
    </w:p>
    <w:p w14:paraId="5D14A8BE" w14:textId="77777777" w:rsidR="002437DD" w:rsidRPr="002437DD" w:rsidRDefault="002437DD" w:rsidP="00BB40FF">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14</w:t>
      </w:r>
      <w:r w:rsidR="00072202">
        <w:rPr>
          <w:noProof/>
        </w:rPr>
        <w:fldChar w:fldCharType="end"/>
      </w:r>
    </w:p>
    <w:p w14:paraId="7C9A57A3" w14:textId="2908C929" w:rsidR="002437DD" w:rsidRPr="002437DD" w:rsidRDefault="001A5DD0" w:rsidP="00BB40FF">
      <w:pPr>
        <w:pStyle w:val="Quote"/>
      </w:pPr>
      <w:r>
        <w:t>‘</w:t>
      </w:r>
      <w:r w:rsidR="002437DD" w:rsidRPr="002437DD">
        <w:t xml:space="preserve">Further penetration of mobile services in our International markets is expected to boost their </w:t>
      </w:r>
      <w:r w:rsidR="002437DD" w:rsidRPr="002437DD">
        <w:rPr>
          <w:u w:val="single"/>
        </w:rPr>
        <w:t>sustainable</w:t>
      </w:r>
      <w:r w:rsidR="002437DD" w:rsidRPr="002437DD">
        <w:t xml:space="preserve"> rate of economic growth</w:t>
      </w:r>
      <w:r>
        <w:t>’</w:t>
      </w:r>
      <w:r w:rsidR="002437DD" w:rsidRPr="002437DD">
        <w:t xml:space="preserve"> (Vodacom Integrated Report 2011, p.10)</w:t>
      </w:r>
    </w:p>
    <w:p w14:paraId="48210785" w14:textId="77777777" w:rsidR="002437DD" w:rsidRPr="002437DD" w:rsidRDefault="002437DD" w:rsidP="00BB40FF">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15</w:t>
      </w:r>
      <w:r w:rsidR="00072202">
        <w:rPr>
          <w:noProof/>
        </w:rPr>
        <w:fldChar w:fldCharType="end"/>
      </w:r>
    </w:p>
    <w:p w14:paraId="362A442C" w14:textId="199FE6E7" w:rsidR="002437DD" w:rsidRPr="002437DD" w:rsidRDefault="001A5DD0" w:rsidP="00BB40FF">
      <w:pPr>
        <w:ind w:left="851"/>
        <w:rPr>
          <w:rStyle w:val="QuoteChar"/>
          <w:color w:val="auto"/>
        </w:rPr>
      </w:pPr>
      <w:r>
        <w:rPr>
          <w:rStyle w:val="QuoteChar"/>
          <w:color w:val="auto"/>
        </w:rPr>
        <w:t>‘</w:t>
      </w:r>
      <w:r w:rsidR="002437DD" w:rsidRPr="002437DD">
        <w:rPr>
          <w:rStyle w:val="QuoteChar"/>
          <w:color w:val="auto"/>
        </w:rPr>
        <w:t xml:space="preserve">[…] continue business re-engineering across the Group to achieve a </w:t>
      </w:r>
      <w:r w:rsidR="002437DD" w:rsidRPr="00E35E41">
        <w:rPr>
          <w:rStyle w:val="QuoteChar"/>
          <w:color w:val="auto"/>
          <w:u w:val="single"/>
        </w:rPr>
        <w:t>sustainable</w:t>
      </w:r>
      <w:r w:rsidR="002437DD" w:rsidRPr="002437DD">
        <w:rPr>
          <w:rStyle w:val="QuoteChar"/>
          <w:color w:val="auto"/>
        </w:rPr>
        <w:t xml:space="preserve"> free cash flow and an NCE margin of 20% at each mine in the short-term and 25% in the medium- to long-term at </w:t>
      </w:r>
      <w:r w:rsidR="002437DD" w:rsidRPr="002437DD">
        <w:rPr>
          <w:rStyle w:val="QuoteChar"/>
          <w:color w:val="auto"/>
          <w:u w:val="single"/>
        </w:rPr>
        <w:t>sustainable</w:t>
      </w:r>
      <w:r w:rsidR="002437DD" w:rsidRPr="002437DD">
        <w:rPr>
          <w:rStyle w:val="QuoteChar"/>
          <w:color w:val="auto"/>
        </w:rPr>
        <w:t xml:space="preserve"> gold prices</w:t>
      </w:r>
      <w:r>
        <w:rPr>
          <w:rStyle w:val="QuoteChar"/>
          <w:color w:val="auto"/>
        </w:rPr>
        <w:t>’</w:t>
      </w:r>
      <w:r w:rsidR="002437DD" w:rsidRPr="002437DD">
        <w:rPr>
          <w:rStyle w:val="QuoteChar"/>
          <w:color w:val="auto"/>
        </w:rPr>
        <w:t xml:space="preserve"> (Gold Fields Annual Report2011, p.18)</w:t>
      </w:r>
    </w:p>
    <w:p w14:paraId="0E861112" w14:textId="77777777" w:rsidR="002437DD" w:rsidRPr="002437DD" w:rsidRDefault="002437DD" w:rsidP="00BB40FF">
      <w:pPr>
        <w:ind w:left="851"/>
        <w:rPr>
          <w:rStyle w:val="QuoteChar"/>
          <w:color w:val="auto"/>
        </w:rPr>
      </w:pPr>
    </w:p>
    <w:p w14:paraId="4849A526" w14:textId="77777777" w:rsidR="002437DD" w:rsidRPr="002437DD" w:rsidRDefault="002437DD" w:rsidP="00BB40FF">
      <w:pPr>
        <w:pStyle w:val="Caption"/>
      </w:pPr>
      <w:r w:rsidRPr="002437DD">
        <w:t xml:space="preserve">Extract </w:t>
      </w:r>
      <w:r w:rsidR="00072202">
        <w:fldChar w:fldCharType="begin"/>
      </w:r>
      <w:r w:rsidR="00072202">
        <w:instrText xml:space="preserve"> SEQ Extract \* ARABIC </w:instrText>
      </w:r>
      <w:r w:rsidR="00072202">
        <w:fldChar w:fldCharType="separate"/>
      </w:r>
      <w:r w:rsidR="00E35E41">
        <w:rPr>
          <w:noProof/>
        </w:rPr>
        <w:t>16</w:t>
      </w:r>
      <w:r w:rsidR="00072202">
        <w:rPr>
          <w:noProof/>
        </w:rPr>
        <w:fldChar w:fldCharType="end"/>
      </w:r>
    </w:p>
    <w:p w14:paraId="4C5172D4" w14:textId="4CABBAE5" w:rsidR="002437DD" w:rsidRPr="002437DD" w:rsidRDefault="001A5DD0" w:rsidP="00BB40FF">
      <w:pPr>
        <w:pStyle w:val="Quote"/>
        <w:rPr>
          <w:lang w:val="en-US"/>
        </w:rPr>
      </w:pPr>
      <w:r>
        <w:rPr>
          <w:lang w:val="en-US"/>
        </w:rPr>
        <w:t>‘</w:t>
      </w:r>
      <w:r w:rsidR="002437DD" w:rsidRPr="002437DD">
        <w:rPr>
          <w:lang w:val="en-US"/>
        </w:rPr>
        <w:t xml:space="preserve">We achieved an additional US$1.5bn of </w:t>
      </w:r>
      <w:r w:rsidR="002437DD" w:rsidRPr="002437DD">
        <w:rPr>
          <w:u w:val="single"/>
          <w:lang w:val="en-US"/>
        </w:rPr>
        <w:t>sustainable</w:t>
      </w:r>
      <w:r w:rsidR="002437DD" w:rsidRPr="002437DD">
        <w:rPr>
          <w:lang w:val="en-US"/>
        </w:rPr>
        <w:t xml:space="preserve"> cost savings bringing our total </w:t>
      </w:r>
      <w:proofErr w:type="spellStart"/>
      <w:r w:rsidR="002437DD" w:rsidRPr="002437DD">
        <w:rPr>
          <w:lang w:val="en-US"/>
        </w:rPr>
        <w:t>annualised</w:t>
      </w:r>
      <w:proofErr w:type="spellEnd"/>
      <w:r w:rsidR="002437DD" w:rsidRPr="002437DD">
        <w:rPr>
          <w:lang w:val="en-US"/>
        </w:rPr>
        <w:t xml:space="preserve"> </w:t>
      </w:r>
      <w:r w:rsidR="002437DD" w:rsidRPr="002437DD">
        <w:rPr>
          <w:u w:val="single"/>
          <w:lang w:val="en-US"/>
        </w:rPr>
        <w:t>sustainable</w:t>
      </w:r>
      <w:r w:rsidR="002437DD" w:rsidRPr="002437DD">
        <w:rPr>
          <w:lang w:val="en-US"/>
        </w:rPr>
        <w:t xml:space="preserve"> cost savings to US$4.9bn since 2011.</w:t>
      </w:r>
      <w:r>
        <w:rPr>
          <w:lang w:val="en-US"/>
        </w:rPr>
        <w:t>’</w:t>
      </w:r>
      <w:r w:rsidR="002437DD" w:rsidRPr="002437DD">
        <w:rPr>
          <w:lang w:val="en-US"/>
        </w:rPr>
        <w:t xml:space="preserve"> (Group Chief Executive’s Review, HSBC Annual Report 2013, p.6)</w:t>
      </w:r>
    </w:p>
    <w:p w14:paraId="5C0CEC80" w14:textId="45C8DD1A" w:rsidR="002437DD" w:rsidRPr="002437DD" w:rsidRDefault="002437DD" w:rsidP="00BB40FF">
      <w:pPr>
        <w:rPr>
          <w:color w:val="auto"/>
        </w:rPr>
      </w:pPr>
      <w:r w:rsidRPr="002437DD">
        <w:rPr>
          <w:color w:val="auto"/>
        </w:rPr>
        <w:t xml:space="preserve">Overall, the corpus analysis has suggested that lexemes related to </w:t>
      </w:r>
      <w:r w:rsidRPr="002437DD">
        <w:rPr>
          <w:i/>
          <w:color w:val="auto"/>
        </w:rPr>
        <w:t>sustain*</w:t>
      </w:r>
      <w:r w:rsidRPr="002437DD">
        <w:rPr>
          <w:color w:val="auto"/>
        </w:rPr>
        <w:t xml:space="preserve"> were primarily deployed in relation to functions within the organisation or in relation to organisational goals. The semantic value of </w:t>
      </w:r>
      <w:r w:rsidRPr="002437DD">
        <w:rPr>
          <w:i/>
          <w:color w:val="auto"/>
        </w:rPr>
        <w:t xml:space="preserve">sustain* </w:t>
      </w:r>
      <w:r w:rsidR="00E35E41">
        <w:rPr>
          <w:color w:val="auto"/>
        </w:rPr>
        <w:t>in the IRs</w:t>
      </w:r>
      <w:r w:rsidRPr="002437DD">
        <w:rPr>
          <w:color w:val="auto"/>
        </w:rPr>
        <w:t xml:space="preserve"> analysed was strongly oriented towards a corporate-centric field of meaning with lexemes </w:t>
      </w:r>
      <w:r w:rsidRPr="002437DD">
        <w:rPr>
          <w:color w:val="auto"/>
        </w:rPr>
        <w:lastRenderedPageBreak/>
        <w:t xml:space="preserve">associated with </w:t>
      </w:r>
      <w:r w:rsidRPr="002437DD">
        <w:rPr>
          <w:i/>
          <w:color w:val="auto"/>
        </w:rPr>
        <w:t xml:space="preserve">sustain* </w:t>
      </w:r>
      <w:r w:rsidRPr="002437DD">
        <w:rPr>
          <w:color w:val="auto"/>
        </w:rPr>
        <w:t xml:space="preserve">being primarily used as synonyms for prolonged, durable, and also profitable business.  </w:t>
      </w:r>
    </w:p>
    <w:p w14:paraId="1F5320FB" w14:textId="77777777" w:rsidR="002437DD" w:rsidRPr="002437DD" w:rsidRDefault="002437DD" w:rsidP="00BB40FF">
      <w:pPr>
        <w:rPr>
          <w:color w:val="auto"/>
        </w:rPr>
      </w:pPr>
    </w:p>
    <w:p w14:paraId="772B4FE9" w14:textId="325C7491" w:rsidR="001D4C35" w:rsidRPr="002437DD" w:rsidRDefault="002437DD" w:rsidP="001D4C35">
      <w:pPr>
        <w:rPr>
          <w:noProof/>
          <w:color w:val="auto"/>
          <w:lang w:eastAsia="en-GB"/>
        </w:rPr>
      </w:pPr>
      <w:r w:rsidRPr="002437DD">
        <w:rPr>
          <w:color w:val="auto"/>
        </w:rPr>
        <w:t xml:space="preserve">The analysis has also found that in some cases the idiosyncratic use of the term sustainability was driven by specific organisational narratives. For example, </w:t>
      </w:r>
      <w:r w:rsidRPr="00E35E41">
        <w:rPr>
          <w:i/>
          <w:color w:val="auto"/>
        </w:rPr>
        <w:t>CIMA</w:t>
      </w:r>
      <w:r w:rsidRPr="002437DD">
        <w:rPr>
          <w:color w:val="auto"/>
        </w:rPr>
        <w:t xml:space="preserve">’s IRs featured the highest frequency of the collocates ‘sustainable success’ which were primarily used in reference to </w:t>
      </w:r>
      <w:r w:rsidRPr="00E35E41">
        <w:rPr>
          <w:i/>
          <w:color w:val="auto"/>
        </w:rPr>
        <w:t>CIMA</w:t>
      </w:r>
      <w:r w:rsidRPr="002437DD">
        <w:rPr>
          <w:color w:val="auto"/>
        </w:rPr>
        <w:t xml:space="preserve"> qualifications and future job opportunities</w:t>
      </w:r>
      <w:r w:rsidRPr="002437DD">
        <w:rPr>
          <w:rStyle w:val="EndnoteReference"/>
          <w:color w:val="auto"/>
        </w:rPr>
        <w:endnoteReference w:id="8"/>
      </w:r>
      <w:r w:rsidRPr="002437DD">
        <w:rPr>
          <w:color w:val="auto"/>
        </w:rPr>
        <w:t>.</w:t>
      </w:r>
      <w:r w:rsidR="00A97E4A" w:rsidRPr="002437DD">
        <w:rPr>
          <w:color w:val="auto"/>
        </w:rPr>
        <w:t xml:space="preserve"> </w:t>
      </w:r>
      <w:r w:rsidR="001D4C35" w:rsidRPr="002437DD">
        <w:rPr>
          <w:color w:val="auto"/>
        </w:rPr>
        <w:t>Finally, the corpus analysis found that</w:t>
      </w:r>
      <w:r w:rsidR="007B160E" w:rsidRPr="002437DD">
        <w:rPr>
          <w:color w:val="auto"/>
        </w:rPr>
        <w:t>,</w:t>
      </w:r>
      <w:r w:rsidR="001D4C35" w:rsidRPr="002437DD">
        <w:rPr>
          <w:color w:val="auto"/>
        </w:rPr>
        <w:t xml:space="preserve"> whilst </w:t>
      </w:r>
      <w:r w:rsidR="001A289F" w:rsidRPr="002437DD">
        <w:rPr>
          <w:color w:val="auto"/>
        </w:rPr>
        <w:t xml:space="preserve">otherwise </w:t>
      </w:r>
      <w:r w:rsidR="001D4C35" w:rsidRPr="002437DD">
        <w:rPr>
          <w:color w:val="auto"/>
        </w:rPr>
        <w:t>absent in all</w:t>
      </w:r>
      <w:r w:rsidR="007B160E" w:rsidRPr="002437DD">
        <w:rPr>
          <w:color w:val="auto"/>
        </w:rPr>
        <w:t xml:space="preserve"> other</w:t>
      </w:r>
      <w:r w:rsidR="001D4C35" w:rsidRPr="002437DD">
        <w:rPr>
          <w:color w:val="auto"/>
        </w:rPr>
        <w:t xml:space="preserve"> IRs, </w:t>
      </w:r>
      <w:r w:rsidR="001A289F" w:rsidRPr="00E35E41">
        <w:rPr>
          <w:i/>
          <w:noProof/>
          <w:color w:val="auto"/>
          <w:lang w:eastAsia="en-GB"/>
        </w:rPr>
        <w:t>AMR</w:t>
      </w:r>
      <w:r w:rsidR="001A289F" w:rsidRPr="002437DD">
        <w:rPr>
          <w:noProof/>
          <w:color w:val="auto"/>
          <w:lang w:eastAsia="en-GB"/>
        </w:rPr>
        <w:t xml:space="preserve">’s reports featured </w:t>
      </w:r>
      <w:r w:rsidR="001D4C35" w:rsidRPr="002437DD">
        <w:rPr>
          <w:noProof/>
          <w:color w:val="auto"/>
          <w:lang w:eastAsia="en-GB"/>
        </w:rPr>
        <w:t xml:space="preserve">118 occurrences of </w:t>
      </w:r>
      <w:r w:rsidR="001A289F" w:rsidRPr="002437DD">
        <w:rPr>
          <w:noProof/>
          <w:color w:val="auto"/>
          <w:lang w:eastAsia="en-GB"/>
        </w:rPr>
        <w:t xml:space="preserve">the term ecosystem. This however was not used in a biological sense but metaphorically to refer to a working environment where </w:t>
      </w:r>
      <w:r w:rsidR="001A289F" w:rsidRPr="00E35E41">
        <w:rPr>
          <w:i/>
          <w:noProof/>
          <w:color w:val="auto"/>
          <w:lang w:eastAsia="en-GB"/>
        </w:rPr>
        <w:t>AMR</w:t>
      </w:r>
      <w:r w:rsidR="001A289F" w:rsidRPr="002437DD">
        <w:rPr>
          <w:noProof/>
          <w:color w:val="auto"/>
          <w:lang w:eastAsia="en-GB"/>
        </w:rPr>
        <w:t xml:space="preserve"> </w:t>
      </w:r>
      <w:r w:rsidR="001D4C35" w:rsidRPr="002437DD">
        <w:rPr>
          <w:noProof/>
          <w:color w:val="auto"/>
          <w:lang w:eastAsia="en-GB"/>
        </w:rPr>
        <w:t>work</w:t>
      </w:r>
      <w:r w:rsidR="001A289F" w:rsidRPr="002437DD">
        <w:rPr>
          <w:noProof/>
          <w:color w:val="auto"/>
          <w:lang w:eastAsia="en-GB"/>
        </w:rPr>
        <w:t>s</w:t>
      </w:r>
      <w:r w:rsidR="001D4C35" w:rsidRPr="002437DD">
        <w:rPr>
          <w:noProof/>
          <w:color w:val="auto"/>
          <w:lang w:eastAsia="en-GB"/>
        </w:rPr>
        <w:t xml:space="preserve"> closely together with </w:t>
      </w:r>
      <w:r w:rsidR="001A289F" w:rsidRPr="002437DD">
        <w:rPr>
          <w:noProof/>
          <w:color w:val="auto"/>
          <w:lang w:eastAsia="en-GB"/>
        </w:rPr>
        <w:t>its suppliers</w:t>
      </w:r>
      <w:r w:rsidR="001D4C35" w:rsidRPr="002437DD">
        <w:rPr>
          <w:noProof/>
          <w:color w:val="auto"/>
          <w:lang w:eastAsia="en-GB"/>
        </w:rPr>
        <w:t xml:space="preserve"> around specific lines of products (e.g. mobile phones, semiconductors, etc). </w:t>
      </w:r>
    </w:p>
    <w:p w14:paraId="34E80BC0" w14:textId="56BC9987" w:rsidR="00EE7D4A" w:rsidRPr="002437DD" w:rsidRDefault="001D4C35" w:rsidP="00BB40FF">
      <w:pPr>
        <w:rPr>
          <w:color w:val="auto"/>
        </w:rPr>
      </w:pPr>
      <w:r w:rsidRPr="002437DD">
        <w:rPr>
          <w:noProof/>
          <w:color w:val="auto"/>
          <w:lang w:eastAsia="en-GB"/>
        </w:rPr>
        <w:t xml:space="preserve">  </w:t>
      </w:r>
    </w:p>
    <w:p w14:paraId="45178869" w14:textId="77777777" w:rsidR="00EE7D4A" w:rsidRPr="002437DD" w:rsidRDefault="00EE7D4A" w:rsidP="00E35E41">
      <w:pPr>
        <w:pStyle w:val="Caption"/>
      </w:pPr>
      <w:bookmarkStart w:id="10" w:name="_Ref427066061"/>
      <w:r w:rsidRPr="002437DD">
        <w:t xml:space="preserve">Table </w:t>
      </w:r>
      <w:r w:rsidR="00072202">
        <w:fldChar w:fldCharType="begin"/>
      </w:r>
      <w:r w:rsidR="00072202">
        <w:instrText xml:space="preserve"> SEQ Table \* ARABIC </w:instrText>
      </w:r>
      <w:r w:rsidR="00072202">
        <w:fldChar w:fldCharType="separate"/>
      </w:r>
      <w:r w:rsidR="00E35E41">
        <w:rPr>
          <w:noProof/>
        </w:rPr>
        <w:t>3</w:t>
      </w:r>
      <w:r w:rsidR="00072202">
        <w:rPr>
          <w:noProof/>
        </w:rPr>
        <w:fldChar w:fldCharType="end"/>
      </w:r>
      <w:bookmarkEnd w:id="10"/>
      <w:r w:rsidRPr="002437DD">
        <w:t xml:space="preserve"> Frequency of terms co-</w:t>
      </w:r>
      <w:r w:rsidRPr="00E35E41">
        <w:t>occurring</w:t>
      </w:r>
      <w:r w:rsidRPr="002437DD">
        <w:t xml:space="preserve"> with SUSTAINABILITY (level 1R, 1L)</w:t>
      </w:r>
    </w:p>
    <w:tbl>
      <w:tblPr>
        <w:tblW w:w="7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2"/>
        <w:gridCol w:w="567"/>
        <w:gridCol w:w="2693"/>
        <w:gridCol w:w="434"/>
        <w:gridCol w:w="569"/>
        <w:gridCol w:w="2599"/>
      </w:tblGrid>
      <w:tr w:rsidR="00FB52FF" w:rsidRPr="002437DD" w14:paraId="7F30D78D" w14:textId="77777777" w:rsidTr="007B160E">
        <w:trPr>
          <w:cantSplit/>
          <w:trHeight w:val="1710"/>
        </w:trPr>
        <w:tc>
          <w:tcPr>
            <w:tcW w:w="392" w:type="dxa"/>
            <w:shd w:val="clear" w:color="auto" w:fill="auto"/>
            <w:textDirection w:val="btLr"/>
            <w:vAlign w:val="center"/>
            <w:hideMark/>
          </w:tcPr>
          <w:p w14:paraId="32D8FECF" w14:textId="77777777" w:rsidR="00EE7D4A" w:rsidRPr="002437DD" w:rsidRDefault="00EE7D4A" w:rsidP="00BB40FF">
            <w:pPr>
              <w:ind w:left="113" w:right="113"/>
              <w:jc w:val="left"/>
              <w:rPr>
                <w:color w:val="auto"/>
                <w:sz w:val="20"/>
                <w:szCs w:val="20"/>
              </w:rPr>
            </w:pPr>
            <w:r w:rsidRPr="002437DD">
              <w:rPr>
                <w:color w:val="auto"/>
                <w:sz w:val="20"/>
                <w:szCs w:val="20"/>
              </w:rPr>
              <w:t>RANKING</w:t>
            </w:r>
          </w:p>
        </w:tc>
        <w:tc>
          <w:tcPr>
            <w:tcW w:w="567" w:type="dxa"/>
            <w:shd w:val="clear" w:color="auto" w:fill="auto"/>
            <w:textDirection w:val="btLr"/>
            <w:vAlign w:val="center"/>
            <w:hideMark/>
          </w:tcPr>
          <w:p w14:paraId="49B41CCC" w14:textId="77777777" w:rsidR="00EE7D4A" w:rsidRPr="002437DD" w:rsidRDefault="00EE7D4A" w:rsidP="00BB40FF">
            <w:pPr>
              <w:ind w:left="113" w:right="113"/>
              <w:jc w:val="left"/>
              <w:rPr>
                <w:color w:val="auto"/>
                <w:sz w:val="20"/>
                <w:szCs w:val="20"/>
              </w:rPr>
            </w:pPr>
            <w:r w:rsidRPr="002437DD">
              <w:rPr>
                <w:color w:val="auto"/>
                <w:sz w:val="20"/>
                <w:szCs w:val="20"/>
              </w:rPr>
              <w:t>FREQUENCY</w:t>
            </w:r>
          </w:p>
        </w:tc>
        <w:tc>
          <w:tcPr>
            <w:tcW w:w="2693" w:type="dxa"/>
            <w:shd w:val="clear" w:color="auto" w:fill="auto"/>
            <w:vAlign w:val="center"/>
            <w:hideMark/>
          </w:tcPr>
          <w:p w14:paraId="1DC19088" w14:textId="77777777" w:rsidR="00EE7D4A" w:rsidRPr="002437DD" w:rsidRDefault="00EE7D4A" w:rsidP="00BB40FF">
            <w:pPr>
              <w:jc w:val="left"/>
              <w:rPr>
                <w:color w:val="auto"/>
                <w:sz w:val="20"/>
                <w:szCs w:val="20"/>
              </w:rPr>
            </w:pPr>
            <w:r w:rsidRPr="002437DD">
              <w:rPr>
                <w:color w:val="auto"/>
                <w:sz w:val="20"/>
                <w:szCs w:val="20"/>
              </w:rPr>
              <w:t>RIGHT-OCCURING COLLOCATE</w:t>
            </w:r>
          </w:p>
        </w:tc>
        <w:tc>
          <w:tcPr>
            <w:tcW w:w="434" w:type="dxa"/>
            <w:shd w:val="clear" w:color="auto" w:fill="auto"/>
            <w:textDirection w:val="btLr"/>
            <w:vAlign w:val="center"/>
            <w:hideMark/>
          </w:tcPr>
          <w:p w14:paraId="25D283C1" w14:textId="77777777" w:rsidR="00EE7D4A" w:rsidRPr="002437DD" w:rsidRDefault="00EE7D4A" w:rsidP="00BB40FF">
            <w:pPr>
              <w:ind w:left="113" w:right="113"/>
              <w:jc w:val="left"/>
              <w:rPr>
                <w:color w:val="auto"/>
                <w:sz w:val="20"/>
                <w:szCs w:val="20"/>
              </w:rPr>
            </w:pPr>
            <w:r w:rsidRPr="002437DD">
              <w:rPr>
                <w:color w:val="auto"/>
                <w:sz w:val="20"/>
                <w:szCs w:val="20"/>
              </w:rPr>
              <w:t>RANKING</w:t>
            </w:r>
          </w:p>
        </w:tc>
        <w:tc>
          <w:tcPr>
            <w:tcW w:w="569" w:type="dxa"/>
            <w:shd w:val="clear" w:color="auto" w:fill="auto"/>
            <w:textDirection w:val="btLr"/>
            <w:vAlign w:val="center"/>
            <w:hideMark/>
          </w:tcPr>
          <w:p w14:paraId="18154E7E" w14:textId="77777777" w:rsidR="00EE7D4A" w:rsidRPr="002437DD" w:rsidRDefault="00EE7D4A" w:rsidP="00BB40FF">
            <w:pPr>
              <w:ind w:left="113" w:right="113"/>
              <w:jc w:val="left"/>
              <w:rPr>
                <w:color w:val="auto"/>
                <w:sz w:val="20"/>
                <w:szCs w:val="20"/>
              </w:rPr>
            </w:pPr>
            <w:r w:rsidRPr="002437DD">
              <w:rPr>
                <w:color w:val="auto"/>
                <w:sz w:val="20"/>
                <w:szCs w:val="20"/>
              </w:rPr>
              <w:t>FREQUENCY</w:t>
            </w:r>
          </w:p>
        </w:tc>
        <w:tc>
          <w:tcPr>
            <w:tcW w:w="2599" w:type="dxa"/>
            <w:shd w:val="clear" w:color="auto" w:fill="auto"/>
            <w:vAlign w:val="center"/>
            <w:hideMark/>
          </w:tcPr>
          <w:p w14:paraId="04710747" w14:textId="77777777" w:rsidR="00EE7D4A" w:rsidRPr="002437DD" w:rsidRDefault="00EE7D4A" w:rsidP="00BB40FF">
            <w:pPr>
              <w:jc w:val="left"/>
              <w:rPr>
                <w:color w:val="auto"/>
                <w:sz w:val="20"/>
                <w:szCs w:val="20"/>
              </w:rPr>
            </w:pPr>
            <w:r w:rsidRPr="002437DD">
              <w:rPr>
                <w:color w:val="auto"/>
                <w:sz w:val="20"/>
                <w:szCs w:val="20"/>
              </w:rPr>
              <w:t>RIGHT-OCCURING COLLOCATE (excluding grammatical items)</w:t>
            </w:r>
          </w:p>
        </w:tc>
      </w:tr>
      <w:tr w:rsidR="00FB52FF" w:rsidRPr="002437DD" w14:paraId="68EAB2F7" w14:textId="77777777" w:rsidTr="007B160E">
        <w:trPr>
          <w:cantSplit/>
          <w:trHeight w:hRule="exact" w:val="344"/>
        </w:trPr>
        <w:tc>
          <w:tcPr>
            <w:tcW w:w="392" w:type="dxa"/>
            <w:shd w:val="clear" w:color="auto" w:fill="auto"/>
            <w:noWrap/>
            <w:vAlign w:val="center"/>
            <w:hideMark/>
          </w:tcPr>
          <w:p w14:paraId="0FCA353C" w14:textId="77777777" w:rsidR="00EE7D4A" w:rsidRPr="002437DD" w:rsidRDefault="00EE7D4A" w:rsidP="00BB40FF">
            <w:pPr>
              <w:jc w:val="left"/>
              <w:rPr>
                <w:color w:val="auto"/>
                <w:sz w:val="20"/>
                <w:szCs w:val="20"/>
              </w:rPr>
            </w:pPr>
            <w:r w:rsidRPr="002437DD">
              <w:rPr>
                <w:color w:val="auto"/>
                <w:sz w:val="20"/>
                <w:szCs w:val="20"/>
              </w:rPr>
              <w:t>1</w:t>
            </w:r>
          </w:p>
        </w:tc>
        <w:tc>
          <w:tcPr>
            <w:tcW w:w="567" w:type="dxa"/>
            <w:shd w:val="clear" w:color="auto" w:fill="auto"/>
            <w:noWrap/>
            <w:vAlign w:val="center"/>
            <w:hideMark/>
          </w:tcPr>
          <w:p w14:paraId="5B68FFC2" w14:textId="77777777" w:rsidR="00EE7D4A" w:rsidRPr="002437DD" w:rsidRDefault="00EE7D4A" w:rsidP="00BB40FF">
            <w:pPr>
              <w:jc w:val="left"/>
              <w:rPr>
                <w:color w:val="auto"/>
                <w:sz w:val="20"/>
                <w:szCs w:val="20"/>
              </w:rPr>
            </w:pPr>
            <w:r w:rsidRPr="002437DD">
              <w:rPr>
                <w:color w:val="auto"/>
                <w:sz w:val="20"/>
                <w:szCs w:val="20"/>
              </w:rPr>
              <w:t>52</w:t>
            </w:r>
          </w:p>
        </w:tc>
        <w:tc>
          <w:tcPr>
            <w:tcW w:w="2693" w:type="dxa"/>
            <w:shd w:val="clear" w:color="auto" w:fill="auto"/>
            <w:noWrap/>
            <w:vAlign w:val="center"/>
            <w:hideMark/>
          </w:tcPr>
          <w:p w14:paraId="6628A1D2" w14:textId="77777777" w:rsidR="00EE7D4A" w:rsidRPr="002437DD" w:rsidRDefault="00EE7D4A" w:rsidP="00BB40FF">
            <w:pPr>
              <w:jc w:val="left"/>
              <w:rPr>
                <w:color w:val="auto"/>
                <w:sz w:val="20"/>
                <w:szCs w:val="20"/>
              </w:rPr>
            </w:pPr>
            <w:r w:rsidRPr="002437DD">
              <w:rPr>
                <w:color w:val="auto"/>
                <w:sz w:val="20"/>
                <w:szCs w:val="20"/>
              </w:rPr>
              <w:t>corporate sustainability</w:t>
            </w:r>
          </w:p>
        </w:tc>
        <w:tc>
          <w:tcPr>
            <w:tcW w:w="434" w:type="dxa"/>
            <w:shd w:val="clear" w:color="auto" w:fill="auto"/>
            <w:noWrap/>
            <w:vAlign w:val="center"/>
          </w:tcPr>
          <w:p w14:paraId="3FD4E828" w14:textId="77777777" w:rsidR="00EE7D4A" w:rsidRPr="002437DD" w:rsidRDefault="00EE7D4A" w:rsidP="00BB40FF">
            <w:pPr>
              <w:jc w:val="left"/>
              <w:rPr>
                <w:color w:val="auto"/>
                <w:sz w:val="20"/>
                <w:szCs w:val="20"/>
              </w:rPr>
            </w:pPr>
            <w:r w:rsidRPr="002437DD">
              <w:rPr>
                <w:color w:val="auto"/>
                <w:sz w:val="20"/>
                <w:szCs w:val="20"/>
              </w:rPr>
              <w:t>1</w:t>
            </w:r>
          </w:p>
        </w:tc>
        <w:tc>
          <w:tcPr>
            <w:tcW w:w="569" w:type="dxa"/>
            <w:shd w:val="clear" w:color="auto" w:fill="auto"/>
            <w:noWrap/>
            <w:vAlign w:val="center"/>
            <w:hideMark/>
          </w:tcPr>
          <w:p w14:paraId="65DB0B77" w14:textId="77777777" w:rsidR="00EE7D4A" w:rsidRPr="002437DD" w:rsidRDefault="00EE7D4A" w:rsidP="00BB40FF">
            <w:pPr>
              <w:jc w:val="left"/>
              <w:rPr>
                <w:color w:val="auto"/>
                <w:sz w:val="20"/>
                <w:szCs w:val="20"/>
              </w:rPr>
            </w:pPr>
            <w:r w:rsidRPr="002437DD">
              <w:rPr>
                <w:color w:val="auto"/>
                <w:sz w:val="20"/>
                <w:szCs w:val="20"/>
              </w:rPr>
              <w:t>175</w:t>
            </w:r>
          </w:p>
        </w:tc>
        <w:tc>
          <w:tcPr>
            <w:tcW w:w="2599" w:type="dxa"/>
            <w:shd w:val="clear" w:color="auto" w:fill="auto"/>
            <w:noWrap/>
            <w:vAlign w:val="center"/>
            <w:hideMark/>
          </w:tcPr>
          <w:p w14:paraId="1F53B245" w14:textId="77777777" w:rsidR="00EE7D4A" w:rsidRPr="002437DD" w:rsidRDefault="00EE7D4A" w:rsidP="00BB40FF">
            <w:pPr>
              <w:jc w:val="left"/>
              <w:rPr>
                <w:color w:val="auto"/>
                <w:sz w:val="20"/>
                <w:szCs w:val="20"/>
              </w:rPr>
            </w:pPr>
            <w:r w:rsidRPr="002437DD">
              <w:rPr>
                <w:color w:val="auto"/>
                <w:sz w:val="20"/>
                <w:szCs w:val="20"/>
              </w:rPr>
              <w:t>sustainability report</w:t>
            </w:r>
          </w:p>
        </w:tc>
      </w:tr>
      <w:tr w:rsidR="00FB52FF" w:rsidRPr="002437DD" w14:paraId="431EB26C" w14:textId="77777777" w:rsidTr="007B160E">
        <w:trPr>
          <w:cantSplit/>
          <w:trHeight w:hRule="exact" w:val="344"/>
        </w:trPr>
        <w:tc>
          <w:tcPr>
            <w:tcW w:w="392" w:type="dxa"/>
            <w:shd w:val="clear" w:color="auto" w:fill="auto"/>
            <w:noWrap/>
            <w:vAlign w:val="center"/>
            <w:hideMark/>
          </w:tcPr>
          <w:p w14:paraId="0EE0ACE3" w14:textId="77777777" w:rsidR="00EE7D4A" w:rsidRPr="002437DD" w:rsidRDefault="00EE7D4A" w:rsidP="00BB40FF">
            <w:pPr>
              <w:jc w:val="left"/>
              <w:rPr>
                <w:color w:val="auto"/>
                <w:sz w:val="20"/>
                <w:szCs w:val="20"/>
              </w:rPr>
            </w:pPr>
            <w:r w:rsidRPr="002437DD">
              <w:rPr>
                <w:color w:val="auto"/>
                <w:sz w:val="20"/>
                <w:szCs w:val="20"/>
              </w:rPr>
              <w:t>2</w:t>
            </w:r>
          </w:p>
        </w:tc>
        <w:tc>
          <w:tcPr>
            <w:tcW w:w="567" w:type="dxa"/>
            <w:shd w:val="clear" w:color="auto" w:fill="auto"/>
            <w:noWrap/>
            <w:vAlign w:val="center"/>
          </w:tcPr>
          <w:p w14:paraId="5C553D4E" w14:textId="77777777" w:rsidR="00EE7D4A" w:rsidRPr="002437DD" w:rsidRDefault="00EE7D4A" w:rsidP="00BB40FF">
            <w:pPr>
              <w:jc w:val="left"/>
              <w:rPr>
                <w:color w:val="auto"/>
                <w:sz w:val="20"/>
                <w:szCs w:val="20"/>
              </w:rPr>
            </w:pPr>
            <w:r w:rsidRPr="002437DD">
              <w:rPr>
                <w:color w:val="auto"/>
                <w:sz w:val="20"/>
                <w:szCs w:val="20"/>
              </w:rPr>
              <w:t>39</w:t>
            </w:r>
          </w:p>
        </w:tc>
        <w:tc>
          <w:tcPr>
            <w:tcW w:w="2693" w:type="dxa"/>
            <w:shd w:val="clear" w:color="auto" w:fill="auto"/>
            <w:noWrap/>
            <w:vAlign w:val="center"/>
          </w:tcPr>
          <w:p w14:paraId="4D1DC60E" w14:textId="77777777" w:rsidR="00EE7D4A" w:rsidRPr="002437DD" w:rsidRDefault="00EE7D4A" w:rsidP="00BB40FF">
            <w:pPr>
              <w:jc w:val="left"/>
              <w:rPr>
                <w:color w:val="auto"/>
                <w:sz w:val="20"/>
                <w:szCs w:val="20"/>
              </w:rPr>
            </w:pPr>
            <w:r w:rsidRPr="002437DD">
              <w:rPr>
                <w:color w:val="auto"/>
                <w:sz w:val="20"/>
                <w:szCs w:val="20"/>
              </w:rPr>
              <w:t>financial sustainability</w:t>
            </w:r>
          </w:p>
        </w:tc>
        <w:tc>
          <w:tcPr>
            <w:tcW w:w="434" w:type="dxa"/>
            <w:shd w:val="clear" w:color="auto" w:fill="auto"/>
            <w:noWrap/>
            <w:vAlign w:val="center"/>
          </w:tcPr>
          <w:p w14:paraId="0A43F66F" w14:textId="77777777" w:rsidR="00EE7D4A" w:rsidRPr="002437DD" w:rsidRDefault="00EE7D4A" w:rsidP="00BB40FF">
            <w:pPr>
              <w:jc w:val="left"/>
              <w:rPr>
                <w:color w:val="auto"/>
                <w:sz w:val="20"/>
                <w:szCs w:val="20"/>
              </w:rPr>
            </w:pPr>
            <w:r w:rsidRPr="002437DD">
              <w:rPr>
                <w:color w:val="auto"/>
                <w:sz w:val="20"/>
                <w:szCs w:val="20"/>
              </w:rPr>
              <w:t>4</w:t>
            </w:r>
          </w:p>
        </w:tc>
        <w:tc>
          <w:tcPr>
            <w:tcW w:w="569" w:type="dxa"/>
            <w:shd w:val="clear" w:color="auto" w:fill="auto"/>
            <w:noWrap/>
            <w:vAlign w:val="center"/>
            <w:hideMark/>
          </w:tcPr>
          <w:p w14:paraId="6C51B0A7" w14:textId="77777777" w:rsidR="00EE7D4A" w:rsidRPr="002437DD" w:rsidRDefault="00EE7D4A" w:rsidP="00BB40FF">
            <w:pPr>
              <w:jc w:val="left"/>
              <w:rPr>
                <w:color w:val="auto"/>
                <w:sz w:val="20"/>
                <w:szCs w:val="20"/>
              </w:rPr>
            </w:pPr>
            <w:r w:rsidRPr="002437DD">
              <w:rPr>
                <w:color w:val="auto"/>
                <w:sz w:val="20"/>
                <w:szCs w:val="20"/>
              </w:rPr>
              <w:t>55</w:t>
            </w:r>
          </w:p>
        </w:tc>
        <w:tc>
          <w:tcPr>
            <w:tcW w:w="2599" w:type="dxa"/>
            <w:shd w:val="clear" w:color="auto" w:fill="auto"/>
            <w:noWrap/>
            <w:vAlign w:val="center"/>
            <w:hideMark/>
          </w:tcPr>
          <w:p w14:paraId="14F2D694" w14:textId="77777777" w:rsidR="00EE7D4A" w:rsidRPr="002437DD" w:rsidRDefault="00EE7D4A" w:rsidP="00BB40FF">
            <w:pPr>
              <w:jc w:val="left"/>
              <w:rPr>
                <w:color w:val="auto"/>
                <w:sz w:val="20"/>
                <w:szCs w:val="20"/>
              </w:rPr>
            </w:pPr>
            <w:r w:rsidRPr="002437DD">
              <w:rPr>
                <w:color w:val="auto"/>
                <w:sz w:val="20"/>
                <w:szCs w:val="20"/>
              </w:rPr>
              <w:t>sustainability committee</w:t>
            </w:r>
          </w:p>
        </w:tc>
      </w:tr>
      <w:tr w:rsidR="00FB52FF" w:rsidRPr="002437DD" w14:paraId="6B444BCE" w14:textId="77777777" w:rsidTr="007B160E">
        <w:trPr>
          <w:cantSplit/>
          <w:trHeight w:hRule="exact" w:val="344"/>
        </w:trPr>
        <w:tc>
          <w:tcPr>
            <w:tcW w:w="392" w:type="dxa"/>
            <w:shd w:val="clear" w:color="auto" w:fill="auto"/>
            <w:noWrap/>
            <w:vAlign w:val="center"/>
            <w:hideMark/>
          </w:tcPr>
          <w:p w14:paraId="0BAFBE17" w14:textId="77777777" w:rsidR="00EE7D4A" w:rsidRPr="002437DD" w:rsidRDefault="00EE7D4A" w:rsidP="00BB40FF">
            <w:pPr>
              <w:jc w:val="left"/>
              <w:rPr>
                <w:color w:val="auto"/>
                <w:sz w:val="20"/>
                <w:szCs w:val="20"/>
              </w:rPr>
            </w:pPr>
            <w:r w:rsidRPr="002437DD">
              <w:rPr>
                <w:color w:val="auto"/>
                <w:sz w:val="20"/>
                <w:szCs w:val="20"/>
              </w:rPr>
              <w:t>3</w:t>
            </w:r>
          </w:p>
        </w:tc>
        <w:tc>
          <w:tcPr>
            <w:tcW w:w="567" w:type="dxa"/>
            <w:shd w:val="clear" w:color="auto" w:fill="auto"/>
            <w:noWrap/>
            <w:vAlign w:val="center"/>
          </w:tcPr>
          <w:p w14:paraId="701C3E90" w14:textId="77777777" w:rsidR="00EE7D4A" w:rsidRPr="002437DD" w:rsidRDefault="00EE7D4A" w:rsidP="00BB40FF">
            <w:pPr>
              <w:jc w:val="left"/>
              <w:rPr>
                <w:color w:val="auto"/>
                <w:sz w:val="20"/>
                <w:szCs w:val="20"/>
              </w:rPr>
            </w:pPr>
            <w:r w:rsidRPr="002437DD">
              <w:rPr>
                <w:color w:val="auto"/>
                <w:sz w:val="20"/>
                <w:szCs w:val="20"/>
              </w:rPr>
              <w:t>38</w:t>
            </w:r>
          </w:p>
        </w:tc>
        <w:tc>
          <w:tcPr>
            <w:tcW w:w="2693" w:type="dxa"/>
            <w:shd w:val="clear" w:color="auto" w:fill="auto"/>
            <w:noWrap/>
            <w:vAlign w:val="center"/>
          </w:tcPr>
          <w:p w14:paraId="0698FBB9" w14:textId="77777777" w:rsidR="00EE7D4A" w:rsidRPr="002437DD" w:rsidRDefault="00EE7D4A" w:rsidP="00BB40FF">
            <w:pPr>
              <w:jc w:val="left"/>
              <w:rPr>
                <w:color w:val="auto"/>
                <w:sz w:val="20"/>
                <w:szCs w:val="20"/>
              </w:rPr>
            </w:pPr>
            <w:r w:rsidRPr="002437DD">
              <w:rPr>
                <w:color w:val="auto"/>
                <w:sz w:val="20"/>
                <w:szCs w:val="20"/>
              </w:rPr>
              <w:t>long(</w:t>
            </w:r>
            <w:proofErr w:type="spellStart"/>
            <w:r w:rsidRPr="002437DD">
              <w:rPr>
                <w:color w:val="auto"/>
                <w:sz w:val="20"/>
                <w:szCs w:val="20"/>
              </w:rPr>
              <w:t>er</w:t>
            </w:r>
            <w:proofErr w:type="spellEnd"/>
            <w:r w:rsidRPr="002437DD">
              <w:rPr>
                <w:color w:val="auto"/>
                <w:sz w:val="20"/>
                <w:szCs w:val="20"/>
              </w:rPr>
              <w:t>)-term sustainability</w:t>
            </w:r>
          </w:p>
        </w:tc>
        <w:tc>
          <w:tcPr>
            <w:tcW w:w="434" w:type="dxa"/>
            <w:shd w:val="clear" w:color="auto" w:fill="auto"/>
            <w:noWrap/>
            <w:vAlign w:val="center"/>
          </w:tcPr>
          <w:p w14:paraId="35FDA0C7" w14:textId="77777777" w:rsidR="00EE7D4A" w:rsidRPr="002437DD" w:rsidRDefault="00EE7D4A" w:rsidP="00BB40FF">
            <w:pPr>
              <w:jc w:val="left"/>
              <w:rPr>
                <w:color w:val="auto"/>
                <w:sz w:val="20"/>
                <w:szCs w:val="20"/>
              </w:rPr>
            </w:pPr>
            <w:r w:rsidRPr="002437DD">
              <w:rPr>
                <w:color w:val="auto"/>
                <w:sz w:val="20"/>
                <w:szCs w:val="20"/>
              </w:rPr>
              <w:t>5</w:t>
            </w:r>
          </w:p>
        </w:tc>
        <w:tc>
          <w:tcPr>
            <w:tcW w:w="569" w:type="dxa"/>
            <w:shd w:val="clear" w:color="auto" w:fill="auto"/>
            <w:noWrap/>
            <w:vAlign w:val="center"/>
            <w:hideMark/>
          </w:tcPr>
          <w:p w14:paraId="5E0DD173" w14:textId="77777777" w:rsidR="00EE7D4A" w:rsidRPr="002437DD" w:rsidRDefault="00EE7D4A" w:rsidP="00BB40FF">
            <w:pPr>
              <w:jc w:val="left"/>
              <w:rPr>
                <w:color w:val="auto"/>
                <w:sz w:val="20"/>
                <w:szCs w:val="20"/>
              </w:rPr>
            </w:pPr>
            <w:r w:rsidRPr="002437DD">
              <w:rPr>
                <w:color w:val="auto"/>
                <w:sz w:val="20"/>
                <w:szCs w:val="20"/>
              </w:rPr>
              <w:t>44</w:t>
            </w:r>
          </w:p>
        </w:tc>
        <w:tc>
          <w:tcPr>
            <w:tcW w:w="2599" w:type="dxa"/>
            <w:shd w:val="clear" w:color="auto" w:fill="auto"/>
            <w:noWrap/>
            <w:vAlign w:val="center"/>
            <w:hideMark/>
          </w:tcPr>
          <w:p w14:paraId="53291CD7" w14:textId="77777777" w:rsidR="00EE7D4A" w:rsidRPr="002437DD" w:rsidRDefault="00EE7D4A" w:rsidP="00BB40FF">
            <w:pPr>
              <w:jc w:val="left"/>
              <w:rPr>
                <w:color w:val="auto"/>
                <w:sz w:val="20"/>
                <w:szCs w:val="20"/>
              </w:rPr>
            </w:pPr>
            <w:r w:rsidRPr="002437DD">
              <w:rPr>
                <w:color w:val="auto"/>
                <w:sz w:val="20"/>
                <w:szCs w:val="20"/>
              </w:rPr>
              <w:t>sustainability strategy</w:t>
            </w:r>
          </w:p>
        </w:tc>
      </w:tr>
      <w:tr w:rsidR="00FB52FF" w:rsidRPr="002437DD" w14:paraId="776129EF" w14:textId="77777777" w:rsidTr="007B160E">
        <w:trPr>
          <w:cantSplit/>
          <w:trHeight w:hRule="exact" w:val="344"/>
        </w:trPr>
        <w:tc>
          <w:tcPr>
            <w:tcW w:w="392" w:type="dxa"/>
            <w:tcBorders>
              <w:bottom w:val="single" w:sz="8" w:space="0" w:color="auto"/>
            </w:tcBorders>
            <w:shd w:val="clear" w:color="auto" w:fill="auto"/>
            <w:noWrap/>
            <w:vAlign w:val="center"/>
            <w:hideMark/>
          </w:tcPr>
          <w:p w14:paraId="361D06A9" w14:textId="77777777" w:rsidR="00EE7D4A" w:rsidRPr="002437DD" w:rsidRDefault="00EE7D4A" w:rsidP="00BB40FF">
            <w:pPr>
              <w:jc w:val="left"/>
              <w:rPr>
                <w:color w:val="auto"/>
                <w:sz w:val="20"/>
                <w:szCs w:val="20"/>
              </w:rPr>
            </w:pPr>
            <w:r w:rsidRPr="002437DD">
              <w:rPr>
                <w:color w:val="auto"/>
                <w:sz w:val="20"/>
                <w:szCs w:val="20"/>
              </w:rPr>
              <w:t>4</w:t>
            </w:r>
          </w:p>
        </w:tc>
        <w:tc>
          <w:tcPr>
            <w:tcW w:w="567" w:type="dxa"/>
            <w:tcBorders>
              <w:bottom w:val="single" w:sz="8" w:space="0" w:color="auto"/>
            </w:tcBorders>
            <w:shd w:val="clear" w:color="auto" w:fill="auto"/>
            <w:noWrap/>
            <w:vAlign w:val="center"/>
          </w:tcPr>
          <w:p w14:paraId="12955FBB" w14:textId="77777777" w:rsidR="00EE7D4A" w:rsidRPr="002437DD" w:rsidRDefault="00EE7D4A" w:rsidP="00BB40FF">
            <w:pPr>
              <w:jc w:val="left"/>
              <w:rPr>
                <w:color w:val="auto"/>
                <w:sz w:val="20"/>
                <w:szCs w:val="20"/>
              </w:rPr>
            </w:pPr>
            <w:r w:rsidRPr="002437DD">
              <w:rPr>
                <w:color w:val="auto"/>
                <w:sz w:val="20"/>
                <w:szCs w:val="20"/>
              </w:rPr>
              <w:t>29</w:t>
            </w:r>
          </w:p>
        </w:tc>
        <w:tc>
          <w:tcPr>
            <w:tcW w:w="2693" w:type="dxa"/>
            <w:tcBorders>
              <w:bottom w:val="single" w:sz="8" w:space="0" w:color="auto"/>
            </w:tcBorders>
            <w:shd w:val="clear" w:color="auto" w:fill="auto"/>
            <w:noWrap/>
            <w:vAlign w:val="center"/>
          </w:tcPr>
          <w:p w14:paraId="078656B7" w14:textId="77777777" w:rsidR="00EE7D4A" w:rsidRPr="002437DD" w:rsidRDefault="00EE7D4A" w:rsidP="00BB40FF">
            <w:pPr>
              <w:jc w:val="left"/>
              <w:rPr>
                <w:color w:val="auto"/>
                <w:sz w:val="20"/>
                <w:szCs w:val="20"/>
              </w:rPr>
            </w:pPr>
            <w:r w:rsidRPr="002437DD">
              <w:rPr>
                <w:color w:val="auto"/>
                <w:sz w:val="20"/>
                <w:szCs w:val="20"/>
              </w:rPr>
              <w:t>performance sustainability</w:t>
            </w:r>
          </w:p>
        </w:tc>
        <w:tc>
          <w:tcPr>
            <w:tcW w:w="434" w:type="dxa"/>
            <w:tcBorders>
              <w:bottom w:val="single" w:sz="8" w:space="0" w:color="auto"/>
            </w:tcBorders>
            <w:shd w:val="clear" w:color="auto" w:fill="auto"/>
            <w:noWrap/>
            <w:vAlign w:val="center"/>
          </w:tcPr>
          <w:p w14:paraId="47B94C6C" w14:textId="77777777" w:rsidR="00EE7D4A" w:rsidRPr="002437DD" w:rsidRDefault="00EE7D4A" w:rsidP="00BB40FF">
            <w:pPr>
              <w:jc w:val="left"/>
              <w:rPr>
                <w:color w:val="auto"/>
                <w:sz w:val="20"/>
                <w:szCs w:val="20"/>
              </w:rPr>
            </w:pPr>
            <w:r w:rsidRPr="002437DD">
              <w:rPr>
                <w:color w:val="auto"/>
                <w:sz w:val="20"/>
                <w:szCs w:val="20"/>
              </w:rPr>
              <w:t>6</w:t>
            </w:r>
          </w:p>
        </w:tc>
        <w:tc>
          <w:tcPr>
            <w:tcW w:w="569" w:type="dxa"/>
            <w:tcBorders>
              <w:bottom w:val="single" w:sz="8" w:space="0" w:color="auto"/>
            </w:tcBorders>
            <w:shd w:val="clear" w:color="auto" w:fill="auto"/>
            <w:noWrap/>
            <w:vAlign w:val="center"/>
            <w:hideMark/>
          </w:tcPr>
          <w:p w14:paraId="2AB5AFF1" w14:textId="77777777" w:rsidR="00EE7D4A" w:rsidRPr="002437DD" w:rsidRDefault="00EE7D4A" w:rsidP="00BB40FF">
            <w:pPr>
              <w:jc w:val="left"/>
              <w:rPr>
                <w:color w:val="auto"/>
                <w:sz w:val="20"/>
                <w:szCs w:val="20"/>
              </w:rPr>
            </w:pPr>
            <w:r w:rsidRPr="002437DD">
              <w:rPr>
                <w:color w:val="auto"/>
                <w:sz w:val="20"/>
                <w:szCs w:val="20"/>
              </w:rPr>
              <w:t>41</w:t>
            </w:r>
          </w:p>
        </w:tc>
        <w:tc>
          <w:tcPr>
            <w:tcW w:w="2599" w:type="dxa"/>
            <w:tcBorders>
              <w:bottom w:val="single" w:sz="8" w:space="0" w:color="auto"/>
            </w:tcBorders>
            <w:shd w:val="clear" w:color="auto" w:fill="auto"/>
            <w:noWrap/>
            <w:vAlign w:val="center"/>
            <w:hideMark/>
          </w:tcPr>
          <w:p w14:paraId="172B68D3" w14:textId="77777777" w:rsidR="00EE7D4A" w:rsidRPr="002437DD" w:rsidRDefault="00EE7D4A" w:rsidP="00BB40FF">
            <w:pPr>
              <w:jc w:val="left"/>
              <w:rPr>
                <w:color w:val="auto"/>
                <w:sz w:val="20"/>
                <w:szCs w:val="20"/>
              </w:rPr>
            </w:pPr>
            <w:r w:rsidRPr="002437DD">
              <w:rPr>
                <w:color w:val="auto"/>
                <w:sz w:val="20"/>
                <w:szCs w:val="20"/>
              </w:rPr>
              <w:t xml:space="preserve">sustainability performance  </w:t>
            </w:r>
            <w:proofErr w:type="spellStart"/>
            <w:r w:rsidRPr="002437DD">
              <w:rPr>
                <w:color w:val="auto"/>
                <w:sz w:val="20"/>
                <w:szCs w:val="20"/>
              </w:rPr>
              <w:t>pformanceities</w:t>
            </w:r>
            <w:proofErr w:type="spellEnd"/>
          </w:p>
        </w:tc>
      </w:tr>
      <w:tr w:rsidR="00FB52FF" w:rsidRPr="002437DD" w14:paraId="1BCF0A8A" w14:textId="77777777" w:rsidTr="007B160E">
        <w:trPr>
          <w:cantSplit/>
          <w:trHeight w:hRule="exact" w:val="344"/>
        </w:trPr>
        <w:tc>
          <w:tcPr>
            <w:tcW w:w="392" w:type="dxa"/>
            <w:shd w:val="clear" w:color="auto" w:fill="auto"/>
            <w:noWrap/>
            <w:vAlign w:val="center"/>
            <w:hideMark/>
          </w:tcPr>
          <w:p w14:paraId="6592BA5F" w14:textId="77777777" w:rsidR="00EE7D4A" w:rsidRPr="002437DD" w:rsidRDefault="00EE7D4A" w:rsidP="00BB40FF">
            <w:pPr>
              <w:jc w:val="left"/>
              <w:rPr>
                <w:color w:val="auto"/>
                <w:sz w:val="20"/>
                <w:szCs w:val="20"/>
              </w:rPr>
            </w:pPr>
            <w:r w:rsidRPr="002437DD">
              <w:rPr>
                <w:color w:val="auto"/>
                <w:sz w:val="20"/>
                <w:szCs w:val="20"/>
              </w:rPr>
              <w:t>5</w:t>
            </w:r>
          </w:p>
        </w:tc>
        <w:tc>
          <w:tcPr>
            <w:tcW w:w="567" w:type="dxa"/>
            <w:shd w:val="clear" w:color="auto" w:fill="auto"/>
            <w:noWrap/>
            <w:vAlign w:val="center"/>
          </w:tcPr>
          <w:p w14:paraId="4904B4CA" w14:textId="77777777" w:rsidR="00EE7D4A" w:rsidRPr="002437DD" w:rsidRDefault="00EE7D4A" w:rsidP="00BB40FF">
            <w:pPr>
              <w:jc w:val="left"/>
              <w:rPr>
                <w:color w:val="auto"/>
                <w:sz w:val="20"/>
                <w:szCs w:val="20"/>
              </w:rPr>
            </w:pPr>
            <w:r w:rsidRPr="002437DD">
              <w:rPr>
                <w:color w:val="auto"/>
                <w:sz w:val="20"/>
                <w:szCs w:val="20"/>
              </w:rPr>
              <w:t>16</w:t>
            </w:r>
          </w:p>
        </w:tc>
        <w:tc>
          <w:tcPr>
            <w:tcW w:w="2693" w:type="dxa"/>
            <w:shd w:val="clear" w:color="auto" w:fill="auto"/>
            <w:noWrap/>
            <w:vAlign w:val="center"/>
          </w:tcPr>
          <w:p w14:paraId="549880E6" w14:textId="77777777" w:rsidR="00EE7D4A" w:rsidRPr="002437DD" w:rsidRDefault="00EE7D4A" w:rsidP="00BB40FF">
            <w:pPr>
              <w:jc w:val="left"/>
              <w:rPr>
                <w:color w:val="auto"/>
                <w:sz w:val="20"/>
                <w:szCs w:val="20"/>
              </w:rPr>
            </w:pPr>
            <w:r w:rsidRPr="002437DD">
              <w:rPr>
                <w:color w:val="auto"/>
                <w:sz w:val="20"/>
                <w:szCs w:val="20"/>
              </w:rPr>
              <w:t xml:space="preserve">environmental </w:t>
            </w:r>
            <w:proofErr w:type="spellStart"/>
            <w:r w:rsidRPr="002437DD">
              <w:rPr>
                <w:color w:val="auto"/>
                <w:sz w:val="20"/>
                <w:szCs w:val="20"/>
              </w:rPr>
              <w:t>sustainab</w:t>
            </w:r>
            <w:proofErr w:type="spellEnd"/>
          </w:p>
        </w:tc>
        <w:tc>
          <w:tcPr>
            <w:tcW w:w="434" w:type="dxa"/>
            <w:shd w:val="clear" w:color="auto" w:fill="auto"/>
            <w:noWrap/>
            <w:vAlign w:val="center"/>
          </w:tcPr>
          <w:p w14:paraId="7995D763" w14:textId="77777777" w:rsidR="00EE7D4A" w:rsidRPr="002437DD" w:rsidRDefault="00EE7D4A" w:rsidP="00BB40FF">
            <w:pPr>
              <w:jc w:val="left"/>
              <w:rPr>
                <w:color w:val="auto"/>
                <w:sz w:val="20"/>
                <w:szCs w:val="20"/>
              </w:rPr>
            </w:pPr>
            <w:r w:rsidRPr="002437DD">
              <w:rPr>
                <w:color w:val="auto"/>
                <w:sz w:val="20"/>
                <w:szCs w:val="20"/>
              </w:rPr>
              <w:t>7</w:t>
            </w:r>
          </w:p>
        </w:tc>
        <w:tc>
          <w:tcPr>
            <w:tcW w:w="569" w:type="dxa"/>
            <w:shd w:val="clear" w:color="auto" w:fill="auto"/>
            <w:noWrap/>
            <w:vAlign w:val="center"/>
            <w:hideMark/>
          </w:tcPr>
          <w:p w14:paraId="0474D705" w14:textId="77777777" w:rsidR="00EE7D4A" w:rsidRPr="002437DD" w:rsidRDefault="00EE7D4A" w:rsidP="00BB40FF">
            <w:pPr>
              <w:jc w:val="left"/>
              <w:rPr>
                <w:color w:val="auto"/>
                <w:sz w:val="20"/>
                <w:szCs w:val="20"/>
              </w:rPr>
            </w:pPr>
            <w:r w:rsidRPr="002437DD">
              <w:rPr>
                <w:color w:val="auto"/>
                <w:sz w:val="20"/>
                <w:szCs w:val="20"/>
              </w:rPr>
              <w:t>39</w:t>
            </w:r>
          </w:p>
        </w:tc>
        <w:tc>
          <w:tcPr>
            <w:tcW w:w="2599" w:type="dxa"/>
            <w:shd w:val="clear" w:color="auto" w:fill="auto"/>
            <w:noWrap/>
            <w:vAlign w:val="center"/>
            <w:hideMark/>
          </w:tcPr>
          <w:p w14:paraId="11699D95" w14:textId="77777777" w:rsidR="00EE7D4A" w:rsidRPr="002437DD" w:rsidRDefault="00EE7D4A" w:rsidP="00BB40FF">
            <w:pPr>
              <w:jc w:val="left"/>
              <w:rPr>
                <w:color w:val="auto"/>
                <w:sz w:val="20"/>
                <w:szCs w:val="20"/>
              </w:rPr>
            </w:pPr>
            <w:r w:rsidRPr="002437DD">
              <w:rPr>
                <w:color w:val="auto"/>
                <w:sz w:val="20"/>
                <w:szCs w:val="20"/>
              </w:rPr>
              <w:t>sustainability statement</w:t>
            </w:r>
          </w:p>
        </w:tc>
      </w:tr>
      <w:tr w:rsidR="00FB52FF" w:rsidRPr="002437DD" w14:paraId="68998838" w14:textId="77777777" w:rsidTr="007B160E">
        <w:trPr>
          <w:cantSplit/>
          <w:trHeight w:hRule="exact" w:val="344"/>
        </w:trPr>
        <w:tc>
          <w:tcPr>
            <w:tcW w:w="392" w:type="dxa"/>
            <w:shd w:val="clear" w:color="auto" w:fill="auto"/>
            <w:noWrap/>
            <w:vAlign w:val="center"/>
            <w:hideMark/>
          </w:tcPr>
          <w:p w14:paraId="70D40674" w14:textId="0B141CFA" w:rsidR="00EE7D4A" w:rsidRPr="002437DD" w:rsidRDefault="00EE7D4A" w:rsidP="00BB40FF">
            <w:pPr>
              <w:jc w:val="left"/>
              <w:rPr>
                <w:color w:val="auto"/>
                <w:sz w:val="20"/>
                <w:szCs w:val="20"/>
              </w:rPr>
            </w:pPr>
            <w:r w:rsidRPr="002437DD">
              <w:rPr>
                <w:color w:val="auto"/>
                <w:sz w:val="20"/>
                <w:szCs w:val="20"/>
              </w:rPr>
              <w:t>6</w:t>
            </w:r>
          </w:p>
        </w:tc>
        <w:tc>
          <w:tcPr>
            <w:tcW w:w="567" w:type="dxa"/>
            <w:shd w:val="clear" w:color="auto" w:fill="auto"/>
            <w:noWrap/>
            <w:vAlign w:val="center"/>
          </w:tcPr>
          <w:p w14:paraId="1108846F" w14:textId="77777777" w:rsidR="00EE7D4A" w:rsidRPr="002437DD" w:rsidRDefault="00EE7D4A" w:rsidP="00BB40FF">
            <w:pPr>
              <w:jc w:val="left"/>
              <w:rPr>
                <w:color w:val="auto"/>
                <w:sz w:val="20"/>
                <w:szCs w:val="20"/>
              </w:rPr>
            </w:pPr>
            <w:r w:rsidRPr="002437DD">
              <w:rPr>
                <w:color w:val="auto"/>
                <w:sz w:val="20"/>
                <w:szCs w:val="20"/>
              </w:rPr>
              <w:t>15</w:t>
            </w:r>
          </w:p>
        </w:tc>
        <w:tc>
          <w:tcPr>
            <w:tcW w:w="2693" w:type="dxa"/>
            <w:shd w:val="clear" w:color="auto" w:fill="auto"/>
            <w:noWrap/>
            <w:vAlign w:val="center"/>
          </w:tcPr>
          <w:p w14:paraId="0ECD4635" w14:textId="77777777" w:rsidR="00EE7D4A" w:rsidRPr="002437DD" w:rsidRDefault="00EE7D4A" w:rsidP="00BB40FF">
            <w:pPr>
              <w:jc w:val="left"/>
              <w:rPr>
                <w:color w:val="auto"/>
                <w:sz w:val="20"/>
                <w:szCs w:val="20"/>
              </w:rPr>
            </w:pPr>
            <w:r w:rsidRPr="002437DD">
              <w:rPr>
                <w:color w:val="auto"/>
                <w:sz w:val="20"/>
                <w:szCs w:val="20"/>
              </w:rPr>
              <w:t>operational sustainability</w:t>
            </w:r>
          </w:p>
        </w:tc>
        <w:tc>
          <w:tcPr>
            <w:tcW w:w="434" w:type="dxa"/>
            <w:shd w:val="clear" w:color="auto" w:fill="auto"/>
            <w:noWrap/>
            <w:vAlign w:val="center"/>
          </w:tcPr>
          <w:p w14:paraId="740B1559" w14:textId="77777777" w:rsidR="00EE7D4A" w:rsidRPr="002437DD" w:rsidRDefault="00EE7D4A" w:rsidP="00BB40FF">
            <w:pPr>
              <w:jc w:val="left"/>
              <w:rPr>
                <w:color w:val="auto"/>
                <w:sz w:val="20"/>
                <w:szCs w:val="20"/>
              </w:rPr>
            </w:pPr>
            <w:r w:rsidRPr="002437DD">
              <w:rPr>
                <w:color w:val="auto"/>
                <w:sz w:val="20"/>
                <w:szCs w:val="20"/>
              </w:rPr>
              <w:t>8</w:t>
            </w:r>
          </w:p>
        </w:tc>
        <w:tc>
          <w:tcPr>
            <w:tcW w:w="569" w:type="dxa"/>
            <w:shd w:val="clear" w:color="auto" w:fill="auto"/>
            <w:noWrap/>
            <w:vAlign w:val="center"/>
            <w:hideMark/>
          </w:tcPr>
          <w:p w14:paraId="683EFD14" w14:textId="77777777" w:rsidR="00EE7D4A" w:rsidRPr="002437DD" w:rsidRDefault="00EE7D4A" w:rsidP="00BB40FF">
            <w:pPr>
              <w:jc w:val="left"/>
              <w:rPr>
                <w:color w:val="auto"/>
                <w:sz w:val="20"/>
                <w:szCs w:val="20"/>
              </w:rPr>
            </w:pPr>
            <w:r w:rsidRPr="002437DD">
              <w:rPr>
                <w:color w:val="auto"/>
                <w:sz w:val="20"/>
                <w:szCs w:val="20"/>
              </w:rPr>
              <w:t>39</w:t>
            </w:r>
          </w:p>
        </w:tc>
        <w:tc>
          <w:tcPr>
            <w:tcW w:w="2599" w:type="dxa"/>
            <w:shd w:val="clear" w:color="auto" w:fill="auto"/>
            <w:noWrap/>
            <w:vAlign w:val="center"/>
            <w:hideMark/>
          </w:tcPr>
          <w:p w14:paraId="537FCAF2" w14:textId="77777777" w:rsidR="00EE7D4A" w:rsidRPr="002437DD" w:rsidRDefault="00EE7D4A" w:rsidP="00BB40FF">
            <w:pPr>
              <w:jc w:val="left"/>
              <w:rPr>
                <w:color w:val="auto"/>
                <w:sz w:val="20"/>
                <w:szCs w:val="20"/>
              </w:rPr>
            </w:pPr>
            <w:r w:rsidRPr="002437DD">
              <w:rPr>
                <w:color w:val="auto"/>
                <w:sz w:val="20"/>
                <w:szCs w:val="20"/>
              </w:rPr>
              <w:t>sustainability risk</w:t>
            </w:r>
          </w:p>
        </w:tc>
      </w:tr>
      <w:tr w:rsidR="00EE7D4A" w:rsidRPr="002437DD" w14:paraId="385F8B8D" w14:textId="77777777" w:rsidTr="007B160E">
        <w:trPr>
          <w:cantSplit/>
          <w:trHeight w:hRule="exact" w:val="344"/>
        </w:trPr>
        <w:tc>
          <w:tcPr>
            <w:tcW w:w="392" w:type="dxa"/>
            <w:shd w:val="clear" w:color="auto" w:fill="auto"/>
            <w:noWrap/>
            <w:vAlign w:val="center"/>
            <w:hideMark/>
          </w:tcPr>
          <w:p w14:paraId="650BB22B" w14:textId="77777777" w:rsidR="00EE7D4A" w:rsidRPr="002437DD" w:rsidRDefault="00EE7D4A" w:rsidP="00BB40FF">
            <w:pPr>
              <w:jc w:val="left"/>
              <w:rPr>
                <w:color w:val="auto"/>
                <w:sz w:val="20"/>
                <w:szCs w:val="20"/>
              </w:rPr>
            </w:pPr>
            <w:r w:rsidRPr="002437DD">
              <w:rPr>
                <w:color w:val="auto"/>
                <w:sz w:val="20"/>
                <w:szCs w:val="20"/>
              </w:rPr>
              <w:t>7</w:t>
            </w:r>
          </w:p>
        </w:tc>
        <w:tc>
          <w:tcPr>
            <w:tcW w:w="567" w:type="dxa"/>
            <w:shd w:val="clear" w:color="auto" w:fill="auto"/>
            <w:noWrap/>
            <w:vAlign w:val="center"/>
          </w:tcPr>
          <w:p w14:paraId="0CBF160F" w14:textId="77777777" w:rsidR="00EE7D4A" w:rsidRPr="002437DD" w:rsidRDefault="00EE7D4A" w:rsidP="00BB40FF">
            <w:pPr>
              <w:jc w:val="left"/>
              <w:rPr>
                <w:color w:val="auto"/>
                <w:sz w:val="20"/>
                <w:szCs w:val="20"/>
              </w:rPr>
            </w:pPr>
            <w:r w:rsidRPr="002437DD">
              <w:rPr>
                <w:color w:val="auto"/>
                <w:sz w:val="20"/>
                <w:szCs w:val="20"/>
              </w:rPr>
              <w:t>11</w:t>
            </w:r>
          </w:p>
        </w:tc>
        <w:tc>
          <w:tcPr>
            <w:tcW w:w="2693" w:type="dxa"/>
            <w:shd w:val="clear" w:color="auto" w:fill="auto"/>
            <w:noWrap/>
            <w:vAlign w:val="center"/>
          </w:tcPr>
          <w:p w14:paraId="19BDE949" w14:textId="77777777" w:rsidR="00EE7D4A" w:rsidRPr="002437DD" w:rsidRDefault="00EE7D4A" w:rsidP="00BB40FF">
            <w:pPr>
              <w:jc w:val="left"/>
              <w:rPr>
                <w:color w:val="auto"/>
                <w:sz w:val="20"/>
                <w:szCs w:val="20"/>
              </w:rPr>
            </w:pPr>
            <w:r w:rsidRPr="002437DD">
              <w:rPr>
                <w:color w:val="auto"/>
                <w:sz w:val="20"/>
                <w:szCs w:val="20"/>
              </w:rPr>
              <w:t>business sustainability</w:t>
            </w:r>
          </w:p>
        </w:tc>
        <w:tc>
          <w:tcPr>
            <w:tcW w:w="434" w:type="dxa"/>
            <w:shd w:val="clear" w:color="auto" w:fill="auto"/>
            <w:noWrap/>
            <w:vAlign w:val="center"/>
          </w:tcPr>
          <w:p w14:paraId="25AB52F6" w14:textId="77777777" w:rsidR="00EE7D4A" w:rsidRPr="002437DD" w:rsidRDefault="00EE7D4A" w:rsidP="00BB40FF">
            <w:pPr>
              <w:jc w:val="left"/>
              <w:rPr>
                <w:color w:val="auto"/>
                <w:sz w:val="20"/>
                <w:szCs w:val="20"/>
              </w:rPr>
            </w:pPr>
            <w:r w:rsidRPr="002437DD">
              <w:rPr>
                <w:color w:val="auto"/>
                <w:sz w:val="20"/>
                <w:szCs w:val="20"/>
              </w:rPr>
              <w:t>9</w:t>
            </w:r>
          </w:p>
        </w:tc>
        <w:tc>
          <w:tcPr>
            <w:tcW w:w="569" w:type="dxa"/>
            <w:shd w:val="clear" w:color="auto" w:fill="auto"/>
            <w:noWrap/>
            <w:vAlign w:val="center"/>
            <w:hideMark/>
          </w:tcPr>
          <w:p w14:paraId="389A7F1C" w14:textId="77777777" w:rsidR="00EE7D4A" w:rsidRPr="002437DD" w:rsidRDefault="00EE7D4A" w:rsidP="00BB40FF">
            <w:pPr>
              <w:jc w:val="left"/>
              <w:rPr>
                <w:color w:val="auto"/>
                <w:sz w:val="20"/>
                <w:szCs w:val="20"/>
              </w:rPr>
            </w:pPr>
            <w:r w:rsidRPr="002437DD">
              <w:rPr>
                <w:color w:val="auto"/>
                <w:sz w:val="20"/>
                <w:szCs w:val="20"/>
              </w:rPr>
              <w:t>39</w:t>
            </w:r>
          </w:p>
        </w:tc>
        <w:tc>
          <w:tcPr>
            <w:tcW w:w="2599" w:type="dxa"/>
            <w:shd w:val="clear" w:color="auto" w:fill="auto"/>
            <w:noWrap/>
            <w:vAlign w:val="center"/>
            <w:hideMark/>
          </w:tcPr>
          <w:p w14:paraId="1A0B238D" w14:textId="77777777" w:rsidR="00EE7D4A" w:rsidRPr="002437DD" w:rsidRDefault="00EE7D4A" w:rsidP="00BB40FF">
            <w:pPr>
              <w:jc w:val="left"/>
              <w:rPr>
                <w:color w:val="auto"/>
                <w:sz w:val="20"/>
                <w:szCs w:val="20"/>
              </w:rPr>
            </w:pPr>
            <w:r w:rsidRPr="002437DD">
              <w:rPr>
                <w:color w:val="auto"/>
                <w:sz w:val="20"/>
                <w:szCs w:val="20"/>
              </w:rPr>
              <w:t>sustainability governance</w:t>
            </w:r>
          </w:p>
        </w:tc>
      </w:tr>
    </w:tbl>
    <w:p w14:paraId="7FFC8FA2" w14:textId="1C5AB4E6" w:rsidR="00EE7D4A" w:rsidRPr="002437DD" w:rsidRDefault="00EE7D4A">
      <w:pPr>
        <w:spacing w:line="240" w:lineRule="auto"/>
        <w:jc w:val="left"/>
        <w:rPr>
          <w:color w:val="auto"/>
        </w:rPr>
      </w:pPr>
    </w:p>
    <w:p w14:paraId="2228B240" w14:textId="77777777" w:rsidR="00EE7D4A" w:rsidRDefault="00EE7D4A" w:rsidP="00BB40FF">
      <w:pPr>
        <w:rPr>
          <w:color w:val="auto"/>
        </w:rPr>
      </w:pPr>
    </w:p>
    <w:p w14:paraId="2161166E" w14:textId="77777777" w:rsidR="005378A8" w:rsidRDefault="005378A8" w:rsidP="00BB40FF">
      <w:pPr>
        <w:rPr>
          <w:color w:val="auto"/>
        </w:rPr>
      </w:pPr>
    </w:p>
    <w:p w14:paraId="24A6396D" w14:textId="77777777" w:rsidR="005378A8" w:rsidRPr="002437DD" w:rsidRDefault="005378A8" w:rsidP="00BB40FF">
      <w:pPr>
        <w:rPr>
          <w:color w:val="auto"/>
        </w:rPr>
      </w:pPr>
    </w:p>
    <w:p w14:paraId="0E4AF7A7" w14:textId="6C5EC763" w:rsidR="00EE7D4A" w:rsidRPr="002437DD" w:rsidRDefault="005378A8" w:rsidP="005378A8">
      <w:pPr>
        <w:pStyle w:val="Caption"/>
      </w:pPr>
      <w:r w:rsidRPr="002437DD">
        <w:lastRenderedPageBreak/>
        <w:t xml:space="preserve">Table </w:t>
      </w:r>
      <w:r w:rsidR="00072202">
        <w:fldChar w:fldCharType="begin"/>
      </w:r>
      <w:r w:rsidR="00072202">
        <w:instrText xml:space="preserve"> SEQ Table \* ARABIC </w:instrText>
      </w:r>
      <w:r w:rsidR="00072202">
        <w:fldChar w:fldCharType="separate"/>
      </w:r>
      <w:r>
        <w:rPr>
          <w:noProof/>
        </w:rPr>
        <w:t>4</w:t>
      </w:r>
      <w:r w:rsidR="00072202">
        <w:rPr>
          <w:noProof/>
        </w:rPr>
        <w:fldChar w:fldCharType="end"/>
      </w:r>
      <w:r w:rsidRPr="002437DD">
        <w:t xml:space="preserve"> Frequency of terms co-occurring with SUSTAINABLE (level 1R, 1L</w:t>
      </w:r>
      <w:r>
        <w:t>)</w:t>
      </w:r>
    </w:p>
    <w:tbl>
      <w:tblPr>
        <w:tblpPr w:leftFromText="180" w:rightFromText="180" w:vertAnchor="text" w:horzAnchor="page" w:tblpX="2170" w:tblpY="242"/>
        <w:tblW w:w="7165" w:type="dxa"/>
        <w:tblLayout w:type="fixed"/>
        <w:tblLook w:val="04A0" w:firstRow="1" w:lastRow="0" w:firstColumn="1" w:lastColumn="0" w:noHBand="0" w:noVBand="1"/>
      </w:tblPr>
      <w:tblGrid>
        <w:gridCol w:w="445"/>
        <w:gridCol w:w="572"/>
        <w:gridCol w:w="2430"/>
        <w:gridCol w:w="572"/>
        <w:gridCol w:w="572"/>
        <w:gridCol w:w="2574"/>
      </w:tblGrid>
      <w:tr w:rsidR="00FB52FF" w:rsidRPr="002437DD" w14:paraId="414B4EDE" w14:textId="77777777" w:rsidTr="00BB40FF">
        <w:trPr>
          <w:cantSplit/>
          <w:trHeight w:val="1507"/>
        </w:trPr>
        <w:tc>
          <w:tcPr>
            <w:tcW w:w="44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D0B7032" w14:textId="77777777" w:rsidR="00EE7D4A" w:rsidRPr="002437DD" w:rsidRDefault="00EE7D4A" w:rsidP="00BB40FF">
            <w:pPr>
              <w:ind w:left="113" w:right="113"/>
              <w:jc w:val="center"/>
              <w:rPr>
                <w:color w:val="auto"/>
                <w:sz w:val="20"/>
                <w:szCs w:val="20"/>
              </w:rPr>
            </w:pPr>
            <w:r w:rsidRPr="002437DD">
              <w:rPr>
                <w:color w:val="auto"/>
                <w:sz w:val="20"/>
                <w:szCs w:val="20"/>
              </w:rPr>
              <w:t>RANKING</w:t>
            </w:r>
          </w:p>
        </w:tc>
        <w:tc>
          <w:tcPr>
            <w:tcW w:w="572" w:type="dxa"/>
            <w:tcBorders>
              <w:top w:val="single" w:sz="8" w:space="0" w:color="auto"/>
              <w:left w:val="nil"/>
              <w:bottom w:val="single" w:sz="8" w:space="0" w:color="auto"/>
              <w:right w:val="single" w:sz="8" w:space="0" w:color="auto"/>
            </w:tcBorders>
            <w:shd w:val="clear" w:color="auto" w:fill="auto"/>
            <w:textDirection w:val="btLr"/>
            <w:vAlign w:val="center"/>
            <w:hideMark/>
          </w:tcPr>
          <w:p w14:paraId="6ADC26A5" w14:textId="77777777" w:rsidR="00EE7D4A" w:rsidRPr="002437DD" w:rsidRDefault="00EE7D4A" w:rsidP="00BB40FF">
            <w:pPr>
              <w:ind w:left="113" w:right="113"/>
              <w:jc w:val="center"/>
              <w:rPr>
                <w:color w:val="auto"/>
                <w:sz w:val="20"/>
                <w:szCs w:val="20"/>
              </w:rPr>
            </w:pPr>
            <w:r w:rsidRPr="002437DD">
              <w:rPr>
                <w:color w:val="auto"/>
                <w:sz w:val="20"/>
                <w:szCs w:val="20"/>
              </w:rPr>
              <w:t>FREQUENCY</w:t>
            </w:r>
          </w:p>
        </w:tc>
        <w:tc>
          <w:tcPr>
            <w:tcW w:w="2430" w:type="dxa"/>
            <w:tcBorders>
              <w:top w:val="single" w:sz="8" w:space="0" w:color="auto"/>
              <w:left w:val="nil"/>
              <w:bottom w:val="single" w:sz="8" w:space="0" w:color="auto"/>
              <w:right w:val="single" w:sz="8" w:space="0" w:color="auto"/>
            </w:tcBorders>
            <w:shd w:val="clear" w:color="auto" w:fill="auto"/>
            <w:vAlign w:val="center"/>
            <w:hideMark/>
          </w:tcPr>
          <w:p w14:paraId="1AC38B25" w14:textId="77777777" w:rsidR="00EE7D4A" w:rsidRPr="002437DD" w:rsidRDefault="00EE7D4A" w:rsidP="00BB40FF">
            <w:pPr>
              <w:rPr>
                <w:color w:val="auto"/>
                <w:sz w:val="20"/>
                <w:szCs w:val="20"/>
              </w:rPr>
            </w:pPr>
            <w:r w:rsidRPr="002437DD">
              <w:rPr>
                <w:color w:val="auto"/>
                <w:sz w:val="20"/>
                <w:szCs w:val="20"/>
              </w:rPr>
              <w:t>RIGHT-OCCURING COLLOCATE</w:t>
            </w:r>
          </w:p>
        </w:tc>
        <w:tc>
          <w:tcPr>
            <w:tcW w:w="572" w:type="dxa"/>
            <w:tcBorders>
              <w:top w:val="single" w:sz="8" w:space="0" w:color="auto"/>
              <w:left w:val="nil"/>
              <w:bottom w:val="single" w:sz="8" w:space="0" w:color="auto"/>
              <w:right w:val="single" w:sz="8" w:space="0" w:color="auto"/>
            </w:tcBorders>
            <w:shd w:val="clear" w:color="auto" w:fill="auto"/>
            <w:textDirection w:val="btLr"/>
            <w:vAlign w:val="center"/>
            <w:hideMark/>
          </w:tcPr>
          <w:p w14:paraId="5ABDC004" w14:textId="77777777" w:rsidR="00EE7D4A" w:rsidRPr="002437DD" w:rsidRDefault="00EE7D4A" w:rsidP="00BB40FF">
            <w:pPr>
              <w:ind w:left="113" w:right="113"/>
              <w:jc w:val="left"/>
              <w:rPr>
                <w:color w:val="auto"/>
                <w:sz w:val="20"/>
                <w:szCs w:val="20"/>
              </w:rPr>
            </w:pPr>
            <w:r w:rsidRPr="002437DD">
              <w:rPr>
                <w:color w:val="auto"/>
                <w:sz w:val="20"/>
                <w:szCs w:val="20"/>
              </w:rPr>
              <w:t xml:space="preserve">RANKING </w:t>
            </w:r>
          </w:p>
        </w:tc>
        <w:tc>
          <w:tcPr>
            <w:tcW w:w="572" w:type="dxa"/>
            <w:tcBorders>
              <w:top w:val="single" w:sz="8" w:space="0" w:color="auto"/>
              <w:left w:val="nil"/>
              <w:bottom w:val="single" w:sz="8" w:space="0" w:color="auto"/>
              <w:right w:val="single" w:sz="8" w:space="0" w:color="auto"/>
            </w:tcBorders>
            <w:shd w:val="clear" w:color="auto" w:fill="auto"/>
            <w:textDirection w:val="btLr"/>
            <w:vAlign w:val="center"/>
            <w:hideMark/>
          </w:tcPr>
          <w:p w14:paraId="3C7C2E6C" w14:textId="77777777" w:rsidR="00EE7D4A" w:rsidRPr="002437DD" w:rsidRDefault="00EE7D4A" w:rsidP="00BB40FF">
            <w:pPr>
              <w:ind w:left="113" w:right="113"/>
              <w:jc w:val="left"/>
              <w:rPr>
                <w:color w:val="auto"/>
                <w:sz w:val="20"/>
                <w:szCs w:val="20"/>
              </w:rPr>
            </w:pPr>
            <w:r w:rsidRPr="002437DD">
              <w:rPr>
                <w:color w:val="auto"/>
                <w:sz w:val="20"/>
                <w:szCs w:val="20"/>
              </w:rPr>
              <w:t>FREQUENCY</w:t>
            </w:r>
          </w:p>
        </w:tc>
        <w:tc>
          <w:tcPr>
            <w:tcW w:w="2574" w:type="dxa"/>
            <w:tcBorders>
              <w:top w:val="single" w:sz="8" w:space="0" w:color="auto"/>
              <w:left w:val="nil"/>
              <w:bottom w:val="single" w:sz="8" w:space="0" w:color="auto"/>
              <w:right w:val="single" w:sz="8" w:space="0" w:color="auto"/>
            </w:tcBorders>
            <w:shd w:val="clear" w:color="auto" w:fill="auto"/>
            <w:vAlign w:val="center"/>
            <w:hideMark/>
          </w:tcPr>
          <w:p w14:paraId="030DBE54" w14:textId="77777777" w:rsidR="00EE7D4A" w:rsidRPr="002437DD" w:rsidRDefault="00EE7D4A" w:rsidP="00BB40FF">
            <w:pPr>
              <w:jc w:val="left"/>
              <w:rPr>
                <w:color w:val="auto"/>
                <w:sz w:val="20"/>
                <w:szCs w:val="20"/>
              </w:rPr>
            </w:pPr>
            <w:r w:rsidRPr="002437DD">
              <w:rPr>
                <w:color w:val="auto"/>
                <w:sz w:val="20"/>
                <w:szCs w:val="20"/>
              </w:rPr>
              <w:t>RIGHT-OCCURING COLLOCATE (excluding grammatical items)</w:t>
            </w:r>
          </w:p>
        </w:tc>
      </w:tr>
      <w:tr w:rsidR="00FB52FF" w:rsidRPr="002437DD" w14:paraId="052028B3"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011D76E4" w14:textId="77777777" w:rsidR="00EE7D4A" w:rsidRPr="002437DD" w:rsidRDefault="00EE7D4A" w:rsidP="00BB40FF">
            <w:pPr>
              <w:jc w:val="center"/>
              <w:rPr>
                <w:color w:val="auto"/>
                <w:sz w:val="20"/>
                <w:szCs w:val="20"/>
              </w:rPr>
            </w:pPr>
            <w:r w:rsidRPr="002437DD">
              <w:rPr>
                <w:color w:val="auto"/>
                <w:sz w:val="20"/>
                <w:szCs w:val="20"/>
              </w:rPr>
              <w:t>1</w:t>
            </w:r>
          </w:p>
        </w:tc>
        <w:tc>
          <w:tcPr>
            <w:tcW w:w="572" w:type="dxa"/>
            <w:tcBorders>
              <w:top w:val="nil"/>
              <w:left w:val="nil"/>
              <w:bottom w:val="single" w:sz="8" w:space="0" w:color="auto"/>
              <w:right w:val="single" w:sz="8" w:space="0" w:color="auto"/>
            </w:tcBorders>
            <w:shd w:val="clear" w:color="auto" w:fill="auto"/>
            <w:noWrap/>
            <w:vAlign w:val="center"/>
            <w:hideMark/>
          </w:tcPr>
          <w:p w14:paraId="6266C3F2" w14:textId="77777777" w:rsidR="00EE7D4A" w:rsidRPr="002437DD" w:rsidRDefault="00EE7D4A" w:rsidP="00BB40FF">
            <w:pPr>
              <w:jc w:val="center"/>
              <w:rPr>
                <w:color w:val="auto"/>
                <w:sz w:val="20"/>
                <w:szCs w:val="20"/>
              </w:rPr>
            </w:pPr>
            <w:r w:rsidRPr="002437DD">
              <w:rPr>
                <w:color w:val="auto"/>
                <w:sz w:val="20"/>
                <w:szCs w:val="20"/>
              </w:rPr>
              <w:t>175</w:t>
            </w:r>
          </w:p>
        </w:tc>
        <w:tc>
          <w:tcPr>
            <w:tcW w:w="2430" w:type="dxa"/>
            <w:tcBorders>
              <w:top w:val="nil"/>
              <w:left w:val="nil"/>
              <w:bottom w:val="single" w:sz="8" w:space="0" w:color="auto"/>
              <w:right w:val="single" w:sz="8" w:space="0" w:color="auto"/>
            </w:tcBorders>
            <w:shd w:val="clear" w:color="auto" w:fill="auto"/>
            <w:noWrap/>
            <w:vAlign w:val="center"/>
            <w:hideMark/>
          </w:tcPr>
          <w:p w14:paraId="1B7800D2" w14:textId="77777777" w:rsidR="00EE7D4A" w:rsidRPr="002437DD" w:rsidRDefault="00EE7D4A" w:rsidP="00BB40FF">
            <w:pPr>
              <w:rPr>
                <w:color w:val="auto"/>
                <w:sz w:val="20"/>
                <w:szCs w:val="20"/>
              </w:rPr>
            </w:pPr>
            <w:r w:rsidRPr="002437DD">
              <w:rPr>
                <w:color w:val="auto"/>
                <w:sz w:val="20"/>
                <w:szCs w:val="20"/>
              </w:rPr>
              <w:t>sustainable development</w:t>
            </w:r>
          </w:p>
        </w:tc>
        <w:tc>
          <w:tcPr>
            <w:tcW w:w="572" w:type="dxa"/>
            <w:tcBorders>
              <w:top w:val="nil"/>
              <w:left w:val="nil"/>
              <w:bottom w:val="single" w:sz="8" w:space="0" w:color="auto"/>
              <w:right w:val="single" w:sz="8" w:space="0" w:color="auto"/>
            </w:tcBorders>
            <w:shd w:val="clear" w:color="auto" w:fill="auto"/>
            <w:noWrap/>
            <w:vAlign w:val="center"/>
          </w:tcPr>
          <w:p w14:paraId="65C4386D" w14:textId="77777777" w:rsidR="00EE7D4A" w:rsidRPr="002437DD" w:rsidRDefault="00EE7D4A" w:rsidP="00BB40FF">
            <w:pPr>
              <w:jc w:val="left"/>
              <w:rPr>
                <w:color w:val="auto"/>
                <w:sz w:val="20"/>
                <w:szCs w:val="20"/>
              </w:rPr>
            </w:pPr>
            <w:r w:rsidRPr="002437DD">
              <w:rPr>
                <w:color w:val="auto"/>
                <w:sz w:val="20"/>
                <w:szCs w:val="20"/>
              </w:rPr>
              <w:t>6</w:t>
            </w:r>
          </w:p>
        </w:tc>
        <w:tc>
          <w:tcPr>
            <w:tcW w:w="572" w:type="dxa"/>
            <w:tcBorders>
              <w:top w:val="nil"/>
              <w:left w:val="nil"/>
              <w:bottom w:val="single" w:sz="8" w:space="0" w:color="auto"/>
              <w:right w:val="single" w:sz="8" w:space="0" w:color="auto"/>
            </w:tcBorders>
            <w:shd w:val="clear" w:color="auto" w:fill="auto"/>
            <w:noWrap/>
            <w:vAlign w:val="center"/>
            <w:hideMark/>
          </w:tcPr>
          <w:p w14:paraId="33B59A05" w14:textId="77777777" w:rsidR="00EE7D4A" w:rsidRPr="002437DD" w:rsidRDefault="00EE7D4A" w:rsidP="00BB40FF">
            <w:pPr>
              <w:jc w:val="left"/>
              <w:rPr>
                <w:color w:val="auto"/>
                <w:sz w:val="20"/>
                <w:szCs w:val="20"/>
              </w:rPr>
            </w:pPr>
            <w:r w:rsidRPr="002437DD">
              <w:rPr>
                <w:color w:val="auto"/>
                <w:sz w:val="20"/>
                <w:szCs w:val="20"/>
              </w:rPr>
              <w:t>37</w:t>
            </w:r>
          </w:p>
        </w:tc>
        <w:tc>
          <w:tcPr>
            <w:tcW w:w="2574" w:type="dxa"/>
            <w:tcBorders>
              <w:top w:val="nil"/>
              <w:left w:val="nil"/>
              <w:bottom w:val="single" w:sz="8" w:space="0" w:color="auto"/>
              <w:right w:val="single" w:sz="8" w:space="0" w:color="auto"/>
            </w:tcBorders>
            <w:shd w:val="clear" w:color="auto" w:fill="auto"/>
            <w:noWrap/>
            <w:vAlign w:val="center"/>
            <w:hideMark/>
          </w:tcPr>
          <w:p w14:paraId="58E28549" w14:textId="77777777" w:rsidR="00EE7D4A" w:rsidRPr="002437DD" w:rsidRDefault="00EE7D4A" w:rsidP="00BB40FF">
            <w:pPr>
              <w:jc w:val="left"/>
              <w:rPr>
                <w:color w:val="auto"/>
                <w:sz w:val="20"/>
                <w:szCs w:val="20"/>
              </w:rPr>
            </w:pPr>
            <w:r w:rsidRPr="002437DD">
              <w:rPr>
                <w:color w:val="auto"/>
                <w:sz w:val="20"/>
                <w:szCs w:val="20"/>
              </w:rPr>
              <w:t>more sustainable</w:t>
            </w:r>
          </w:p>
        </w:tc>
      </w:tr>
      <w:tr w:rsidR="00FB52FF" w:rsidRPr="002437DD" w14:paraId="4F82ACBF"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3DC61313" w14:textId="77777777" w:rsidR="00EE7D4A" w:rsidRPr="002437DD" w:rsidRDefault="00EE7D4A" w:rsidP="00BB40FF">
            <w:pPr>
              <w:jc w:val="center"/>
              <w:rPr>
                <w:color w:val="auto"/>
                <w:sz w:val="20"/>
                <w:szCs w:val="20"/>
              </w:rPr>
            </w:pPr>
            <w:r w:rsidRPr="002437DD">
              <w:rPr>
                <w:color w:val="auto"/>
                <w:sz w:val="20"/>
                <w:szCs w:val="20"/>
              </w:rPr>
              <w:t>2</w:t>
            </w:r>
          </w:p>
        </w:tc>
        <w:tc>
          <w:tcPr>
            <w:tcW w:w="572" w:type="dxa"/>
            <w:tcBorders>
              <w:top w:val="nil"/>
              <w:left w:val="nil"/>
              <w:bottom w:val="single" w:sz="8" w:space="0" w:color="auto"/>
              <w:right w:val="single" w:sz="8" w:space="0" w:color="auto"/>
            </w:tcBorders>
            <w:shd w:val="clear" w:color="auto" w:fill="auto"/>
            <w:noWrap/>
            <w:vAlign w:val="center"/>
          </w:tcPr>
          <w:p w14:paraId="72D694A5" w14:textId="77777777" w:rsidR="00EE7D4A" w:rsidRPr="002437DD" w:rsidRDefault="00EE7D4A" w:rsidP="00BB40FF">
            <w:pPr>
              <w:jc w:val="center"/>
              <w:rPr>
                <w:color w:val="auto"/>
                <w:sz w:val="20"/>
                <w:szCs w:val="20"/>
              </w:rPr>
            </w:pPr>
            <w:r w:rsidRPr="002437DD">
              <w:rPr>
                <w:color w:val="auto"/>
                <w:sz w:val="20"/>
                <w:szCs w:val="20"/>
              </w:rPr>
              <w:t>66</w:t>
            </w:r>
          </w:p>
        </w:tc>
        <w:tc>
          <w:tcPr>
            <w:tcW w:w="2430" w:type="dxa"/>
            <w:tcBorders>
              <w:top w:val="nil"/>
              <w:left w:val="nil"/>
              <w:bottom w:val="single" w:sz="8" w:space="0" w:color="auto"/>
              <w:right w:val="single" w:sz="8" w:space="0" w:color="auto"/>
            </w:tcBorders>
            <w:shd w:val="clear" w:color="auto" w:fill="auto"/>
            <w:noWrap/>
            <w:vAlign w:val="center"/>
          </w:tcPr>
          <w:p w14:paraId="2D11687E" w14:textId="77777777" w:rsidR="00EE7D4A" w:rsidRPr="002437DD" w:rsidRDefault="00EE7D4A" w:rsidP="00BB40FF">
            <w:pPr>
              <w:rPr>
                <w:color w:val="auto"/>
                <w:sz w:val="20"/>
                <w:szCs w:val="20"/>
              </w:rPr>
            </w:pPr>
            <w:r w:rsidRPr="002437DD">
              <w:rPr>
                <w:color w:val="auto"/>
                <w:sz w:val="20"/>
                <w:szCs w:val="20"/>
              </w:rPr>
              <w:t>sustainable living</w:t>
            </w:r>
          </w:p>
        </w:tc>
        <w:tc>
          <w:tcPr>
            <w:tcW w:w="572" w:type="dxa"/>
            <w:tcBorders>
              <w:top w:val="nil"/>
              <w:left w:val="nil"/>
              <w:bottom w:val="single" w:sz="8" w:space="0" w:color="auto"/>
              <w:right w:val="single" w:sz="8" w:space="0" w:color="auto"/>
            </w:tcBorders>
            <w:shd w:val="clear" w:color="auto" w:fill="auto"/>
            <w:noWrap/>
            <w:vAlign w:val="center"/>
          </w:tcPr>
          <w:p w14:paraId="0FE268A4" w14:textId="77777777" w:rsidR="00EE7D4A" w:rsidRPr="002437DD" w:rsidRDefault="00EE7D4A" w:rsidP="00BB40FF">
            <w:pPr>
              <w:jc w:val="left"/>
              <w:rPr>
                <w:color w:val="auto"/>
                <w:sz w:val="20"/>
                <w:szCs w:val="20"/>
              </w:rPr>
            </w:pPr>
            <w:r w:rsidRPr="002437DD">
              <w:rPr>
                <w:color w:val="auto"/>
                <w:sz w:val="20"/>
                <w:szCs w:val="20"/>
              </w:rPr>
              <w:t>8</w:t>
            </w:r>
          </w:p>
        </w:tc>
        <w:tc>
          <w:tcPr>
            <w:tcW w:w="572" w:type="dxa"/>
            <w:tcBorders>
              <w:top w:val="nil"/>
              <w:left w:val="nil"/>
              <w:bottom w:val="single" w:sz="8" w:space="0" w:color="auto"/>
              <w:right w:val="single" w:sz="8" w:space="0" w:color="auto"/>
            </w:tcBorders>
            <w:shd w:val="clear" w:color="auto" w:fill="auto"/>
            <w:noWrap/>
            <w:vAlign w:val="center"/>
            <w:hideMark/>
          </w:tcPr>
          <w:p w14:paraId="7BD51E43" w14:textId="77777777" w:rsidR="00EE7D4A" w:rsidRPr="002437DD" w:rsidRDefault="00EE7D4A" w:rsidP="00BB40FF">
            <w:pPr>
              <w:jc w:val="left"/>
              <w:rPr>
                <w:color w:val="auto"/>
                <w:sz w:val="20"/>
                <w:szCs w:val="20"/>
              </w:rPr>
            </w:pPr>
            <w:r w:rsidRPr="002437DD">
              <w:rPr>
                <w:color w:val="auto"/>
                <w:sz w:val="20"/>
                <w:szCs w:val="20"/>
              </w:rPr>
              <w:t>10</w:t>
            </w:r>
          </w:p>
        </w:tc>
        <w:tc>
          <w:tcPr>
            <w:tcW w:w="2574" w:type="dxa"/>
            <w:tcBorders>
              <w:top w:val="nil"/>
              <w:left w:val="nil"/>
              <w:bottom w:val="single" w:sz="8" w:space="0" w:color="auto"/>
              <w:right w:val="single" w:sz="8" w:space="0" w:color="auto"/>
            </w:tcBorders>
            <w:shd w:val="clear" w:color="auto" w:fill="auto"/>
            <w:noWrap/>
            <w:vAlign w:val="center"/>
            <w:hideMark/>
          </w:tcPr>
          <w:p w14:paraId="39F6E381" w14:textId="77777777" w:rsidR="00EE7D4A" w:rsidRPr="002437DD" w:rsidRDefault="00EE7D4A" w:rsidP="00BB40FF">
            <w:pPr>
              <w:jc w:val="left"/>
              <w:rPr>
                <w:color w:val="auto"/>
                <w:sz w:val="20"/>
                <w:szCs w:val="20"/>
              </w:rPr>
            </w:pPr>
            <w:r w:rsidRPr="002437DD">
              <w:rPr>
                <w:color w:val="auto"/>
                <w:sz w:val="20"/>
                <w:szCs w:val="20"/>
              </w:rPr>
              <w:t xml:space="preserve">for sustainable </w:t>
            </w:r>
          </w:p>
        </w:tc>
      </w:tr>
      <w:tr w:rsidR="00FB52FF" w:rsidRPr="002437DD" w14:paraId="6E8BCFF1"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6329EFE7" w14:textId="77777777" w:rsidR="00EE7D4A" w:rsidRPr="002437DD" w:rsidRDefault="00EE7D4A" w:rsidP="00BB40FF">
            <w:pPr>
              <w:jc w:val="center"/>
              <w:rPr>
                <w:color w:val="auto"/>
                <w:sz w:val="20"/>
                <w:szCs w:val="20"/>
              </w:rPr>
            </w:pPr>
            <w:r w:rsidRPr="002437DD">
              <w:rPr>
                <w:color w:val="auto"/>
                <w:sz w:val="20"/>
                <w:szCs w:val="20"/>
              </w:rPr>
              <w:t>3</w:t>
            </w:r>
          </w:p>
        </w:tc>
        <w:tc>
          <w:tcPr>
            <w:tcW w:w="572" w:type="dxa"/>
            <w:tcBorders>
              <w:top w:val="nil"/>
              <w:left w:val="nil"/>
              <w:bottom w:val="single" w:sz="8" w:space="0" w:color="auto"/>
              <w:right w:val="single" w:sz="8" w:space="0" w:color="auto"/>
            </w:tcBorders>
            <w:shd w:val="clear" w:color="auto" w:fill="auto"/>
            <w:noWrap/>
            <w:vAlign w:val="center"/>
          </w:tcPr>
          <w:p w14:paraId="5AE56CEC" w14:textId="77777777" w:rsidR="00EE7D4A" w:rsidRPr="002437DD" w:rsidRDefault="00EE7D4A" w:rsidP="00BB40FF">
            <w:pPr>
              <w:jc w:val="center"/>
              <w:rPr>
                <w:color w:val="auto"/>
                <w:sz w:val="20"/>
                <w:szCs w:val="20"/>
              </w:rPr>
            </w:pPr>
            <w:r w:rsidRPr="002437DD">
              <w:rPr>
                <w:color w:val="auto"/>
                <w:sz w:val="20"/>
                <w:szCs w:val="20"/>
              </w:rPr>
              <w:t>63</w:t>
            </w:r>
          </w:p>
        </w:tc>
        <w:tc>
          <w:tcPr>
            <w:tcW w:w="2430" w:type="dxa"/>
            <w:tcBorders>
              <w:top w:val="nil"/>
              <w:left w:val="nil"/>
              <w:bottom w:val="single" w:sz="8" w:space="0" w:color="auto"/>
              <w:right w:val="single" w:sz="8" w:space="0" w:color="auto"/>
            </w:tcBorders>
            <w:shd w:val="clear" w:color="auto" w:fill="auto"/>
            <w:noWrap/>
            <w:vAlign w:val="center"/>
          </w:tcPr>
          <w:p w14:paraId="2E908B2D" w14:textId="77777777" w:rsidR="00EE7D4A" w:rsidRPr="002437DD" w:rsidRDefault="00EE7D4A" w:rsidP="00BB40FF">
            <w:pPr>
              <w:rPr>
                <w:color w:val="auto"/>
                <w:sz w:val="20"/>
                <w:szCs w:val="20"/>
              </w:rPr>
            </w:pPr>
            <w:r w:rsidRPr="002437DD">
              <w:rPr>
                <w:color w:val="auto"/>
                <w:sz w:val="20"/>
                <w:szCs w:val="20"/>
              </w:rPr>
              <w:t>sustainable business</w:t>
            </w:r>
          </w:p>
        </w:tc>
        <w:tc>
          <w:tcPr>
            <w:tcW w:w="572" w:type="dxa"/>
            <w:tcBorders>
              <w:top w:val="nil"/>
              <w:left w:val="nil"/>
              <w:bottom w:val="single" w:sz="8" w:space="0" w:color="auto"/>
              <w:right w:val="single" w:sz="8" w:space="0" w:color="auto"/>
            </w:tcBorders>
            <w:shd w:val="clear" w:color="auto" w:fill="auto"/>
            <w:noWrap/>
            <w:vAlign w:val="center"/>
          </w:tcPr>
          <w:p w14:paraId="7A381755" w14:textId="77777777" w:rsidR="00EE7D4A" w:rsidRPr="002437DD" w:rsidRDefault="00EE7D4A" w:rsidP="00BB40FF">
            <w:pPr>
              <w:jc w:val="left"/>
              <w:rPr>
                <w:color w:val="auto"/>
                <w:sz w:val="20"/>
                <w:szCs w:val="20"/>
              </w:rPr>
            </w:pPr>
            <w:r w:rsidRPr="002437DD">
              <w:rPr>
                <w:color w:val="auto"/>
                <w:sz w:val="20"/>
                <w:szCs w:val="20"/>
              </w:rPr>
              <w:t>9</w:t>
            </w:r>
          </w:p>
        </w:tc>
        <w:tc>
          <w:tcPr>
            <w:tcW w:w="572" w:type="dxa"/>
            <w:tcBorders>
              <w:top w:val="nil"/>
              <w:left w:val="nil"/>
              <w:bottom w:val="single" w:sz="8" w:space="0" w:color="auto"/>
              <w:right w:val="single" w:sz="8" w:space="0" w:color="auto"/>
            </w:tcBorders>
            <w:shd w:val="clear" w:color="auto" w:fill="auto"/>
            <w:noWrap/>
            <w:vAlign w:val="center"/>
            <w:hideMark/>
          </w:tcPr>
          <w:p w14:paraId="54E41DDA" w14:textId="77777777" w:rsidR="00EE7D4A" w:rsidRPr="002437DD" w:rsidRDefault="00EE7D4A" w:rsidP="00BB40FF">
            <w:pPr>
              <w:jc w:val="left"/>
              <w:rPr>
                <w:color w:val="auto"/>
                <w:sz w:val="20"/>
                <w:szCs w:val="20"/>
              </w:rPr>
            </w:pPr>
            <w:r w:rsidRPr="002437DD">
              <w:rPr>
                <w:color w:val="auto"/>
                <w:sz w:val="20"/>
                <w:szCs w:val="20"/>
              </w:rPr>
              <w:t>9</w:t>
            </w:r>
          </w:p>
        </w:tc>
        <w:tc>
          <w:tcPr>
            <w:tcW w:w="2574" w:type="dxa"/>
            <w:tcBorders>
              <w:top w:val="nil"/>
              <w:left w:val="nil"/>
              <w:bottom w:val="single" w:sz="8" w:space="0" w:color="auto"/>
              <w:right w:val="single" w:sz="8" w:space="0" w:color="auto"/>
            </w:tcBorders>
            <w:shd w:val="clear" w:color="auto" w:fill="auto"/>
            <w:noWrap/>
            <w:vAlign w:val="center"/>
            <w:hideMark/>
          </w:tcPr>
          <w:p w14:paraId="4E5A0558" w14:textId="77777777" w:rsidR="00EE7D4A" w:rsidRPr="002437DD" w:rsidRDefault="00EE7D4A" w:rsidP="00BB40FF">
            <w:pPr>
              <w:jc w:val="left"/>
              <w:rPr>
                <w:color w:val="auto"/>
                <w:sz w:val="20"/>
                <w:szCs w:val="20"/>
              </w:rPr>
            </w:pPr>
            <w:r w:rsidRPr="002437DD">
              <w:rPr>
                <w:color w:val="auto"/>
                <w:sz w:val="20"/>
                <w:szCs w:val="20"/>
              </w:rPr>
              <w:t xml:space="preserve">our sustainable </w:t>
            </w:r>
          </w:p>
        </w:tc>
      </w:tr>
      <w:tr w:rsidR="00FB52FF" w:rsidRPr="002437DD" w14:paraId="553D9C34"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04B53BA1" w14:textId="77777777" w:rsidR="00EE7D4A" w:rsidRPr="002437DD" w:rsidRDefault="00EE7D4A" w:rsidP="00BB40FF">
            <w:pPr>
              <w:jc w:val="center"/>
              <w:rPr>
                <w:color w:val="auto"/>
                <w:sz w:val="20"/>
                <w:szCs w:val="20"/>
              </w:rPr>
            </w:pPr>
            <w:r w:rsidRPr="002437DD">
              <w:rPr>
                <w:color w:val="auto"/>
                <w:sz w:val="20"/>
                <w:szCs w:val="20"/>
              </w:rPr>
              <w:t>4</w:t>
            </w:r>
          </w:p>
        </w:tc>
        <w:tc>
          <w:tcPr>
            <w:tcW w:w="572" w:type="dxa"/>
            <w:tcBorders>
              <w:top w:val="nil"/>
              <w:left w:val="nil"/>
              <w:bottom w:val="single" w:sz="8" w:space="0" w:color="auto"/>
              <w:right w:val="single" w:sz="8" w:space="0" w:color="auto"/>
            </w:tcBorders>
            <w:shd w:val="clear" w:color="auto" w:fill="auto"/>
            <w:noWrap/>
            <w:vAlign w:val="center"/>
          </w:tcPr>
          <w:p w14:paraId="37BD3255" w14:textId="77777777" w:rsidR="00EE7D4A" w:rsidRPr="002437DD" w:rsidRDefault="00EE7D4A" w:rsidP="00BB40FF">
            <w:pPr>
              <w:jc w:val="center"/>
              <w:rPr>
                <w:color w:val="auto"/>
                <w:sz w:val="20"/>
                <w:szCs w:val="20"/>
              </w:rPr>
            </w:pPr>
            <w:r w:rsidRPr="002437DD">
              <w:rPr>
                <w:color w:val="auto"/>
                <w:sz w:val="20"/>
                <w:szCs w:val="20"/>
              </w:rPr>
              <w:t>58</w:t>
            </w:r>
          </w:p>
        </w:tc>
        <w:tc>
          <w:tcPr>
            <w:tcW w:w="2430" w:type="dxa"/>
            <w:tcBorders>
              <w:top w:val="nil"/>
              <w:left w:val="nil"/>
              <w:bottom w:val="single" w:sz="8" w:space="0" w:color="auto"/>
              <w:right w:val="single" w:sz="8" w:space="0" w:color="auto"/>
            </w:tcBorders>
            <w:shd w:val="clear" w:color="auto" w:fill="auto"/>
            <w:noWrap/>
            <w:vAlign w:val="center"/>
          </w:tcPr>
          <w:p w14:paraId="7040AC1C" w14:textId="77777777" w:rsidR="00EE7D4A" w:rsidRPr="002437DD" w:rsidRDefault="00EE7D4A" w:rsidP="00BB40FF">
            <w:pPr>
              <w:rPr>
                <w:color w:val="auto"/>
                <w:sz w:val="20"/>
                <w:szCs w:val="20"/>
              </w:rPr>
            </w:pPr>
            <w:r w:rsidRPr="002437DD">
              <w:rPr>
                <w:color w:val="auto"/>
                <w:sz w:val="20"/>
                <w:szCs w:val="20"/>
              </w:rPr>
              <w:t>sustainable growth</w:t>
            </w:r>
          </w:p>
        </w:tc>
        <w:tc>
          <w:tcPr>
            <w:tcW w:w="572" w:type="dxa"/>
            <w:tcBorders>
              <w:top w:val="nil"/>
              <w:left w:val="nil"/>
              <w:bottom w:val="single" w:sz="8" w:space="0" w:color="auto"/>
              <w:right w:val="single" w:sz="8" w:space="0" w:color="auto"/>
            </w:tcBorders>
            <w:shd w:val="clear" w:color="auto" w:fill="auto"/>
            <w:noWrap/>
            <w:vAlign w:val="center"/>
          </w:tcPr>
          <w:p w14:paraId="7C17A814" w14:textId="77777777" w:rsidR="00EE7D4A" w:rsidRPr="002437DD" w:rsidRDefault="00EE7D4A" w:rsidP="00BB40FF">
            <w:pPr>
              <w:jc w:val="left"/>
              <w:rPr>
                <w:color w:val="auto"/>
                <w:sz w:val="20"/>
                <w:szCs w:val="20"/>
              </w:rPr>
            </w:pPr>
            <w:r w:rsidRPr="002437DD">
              <w:rPr>
                <w:color w:val="auto"/>
                <w:sz w:val="20"/>
                <w:szCs w:val="20"/>
              </w:rPr>
              <w:t>14</w:t>
            </w:r>
          </w:p>
        </w:tc>
        <w:tc>
          <w:tcPr>
            <w:tcW w:w="572" w:type="dxa"/>
            <w:tcBorders>
              <w:top w:val="nil"/>
              <w:left w:val="nil"/>
              <w:bottom w:val="single" w:sz="8" w:space="0" w:color="auto"/>
              <w:right w:val="single" w:sz="8" w:space="0" w:color="auto"/>
            </w:tcBorders>
            <w:shd w:val="clear" w:color="auto" w:fill="auto"/>
            <w:noWrap/>
            <w:vAlign w:val="center"/>
            <w:hideMark/>
          </w:tcPr>
          <w:p w14:paraId="3297F57C" w14:textId="77777777" w:rsidR="00EE7D4A" w:rsidRPr="002437DD" w:rsidRDefault="00EE7D4A" w:rsidP="00BB40FF">
            <w:pPr>
              <w:jc w:val="left"/>
              <w:rPr>
                <w:color w:val="auto"/>
                <w:sz w:val="20"/>
                <w:szCs w:val="20"/>
              </w:rPr>
            </w:pPr>
            <w:r w:rsidRPr="002437DD">
              <w:rPr>
                <w:color w:val="auto"/>
                <w:sz w:val="20"/>
                <w:szCs w:val="20"/>
              </w:rPr>
              <w:t>13</w:t>
            </w:r>
          </w:p>
        </w:tc>
        <w:tc>
          <w:tcPr>
            <w:tcW w:w="2574" w:type="dxa"/>
            <w:tcBorders>
              <w:top w:val="nil"/>
              <w:left w:val="nil"/>
              <w:bottom w:val="single" w:sz="8" w:space="0" w:color="auto"/>
              <w:right w:val="single" w:sz="8" w:space="0" w:color="auto"/>
            </w:tcBorders>
            <w:shd w:val="clear" w:color="auto" w:fill="auto"/>
            <w:noWrap/>
            <w:vAlign w:val="center"/>
            <w:hideMark/>
          </w:tcPr>
          <w:p w14:paraId="0AB17762" w14:textId="77777777" w:rsidR="00EE7D4A" w:rsidRPr="002437DD" w:rsidRDefault="00EE7D4A" w:rsidP="00BB40FF">
            <w:pPr>
              <w:jc w:val="left"/>
              <w:rPr>
                <w:color w:val="auto"/>
                <w:sz w:val="20"/>
                <w:szCs w:val="20"/>
              </w:rPr>
            </w:pPr>
            <w:r w:rsidRPr="002437DD">
              <w:rPr>
                <w:color w:val="auto"/>
                <w:sz w:val="20"/>
                <w:szCs w:val="20"/>
              </w:rPr>
              <w:t>most sustainable communities</w:t>
            </w:r>
          </w:p>
        </w:tc>
      </w:tr>
      <w:tr w:rsidR="00FB52FF" w:rsidRPr="002437DD" w14:paraId="453E6DF8"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379E5A2C" w14:textId="77777777" w:rsidR="00EE7D4A" w:rsidRPr="002437DD" w:rsidRDefault="00EE7D4A" w:rsidP="00BB40FF">
            <w:pPr>
              <w:jc w:val="center"/>
              <w:rPr>
                <w:color w:val="auto"/>
                <w:sz w:val="20"/>
                <w:szCs w:val="20"/>
              </w:rPr>
            </w:pPr>
            <w:r w:rsidRPr="002437DD">
              <w:rPr>
                <w:color w:val="auto"/>
                <w:sz w:val="20"/>
                <w:szCs w:val="20"/>
              </w:rPr>
              <w:t>5</w:t>
            </w:r>
          </w:p>
        </w:tc>
        <w:tc>
          <w:tcPr>
            <w:tcW w:w="572" w:type="dxa"/>
            <w:tcBorders>
              <w:top w:val="nil"/>
              <w:left w:val="nil"/>
              <w:bottom w:val="single" w:sz="8" w:space="0" w:color="auto"/>
              <w:right w:val="single" w:sz="8" w:space="0" w:color="auto"/>
            </w:tcBorders>
            <w:shd w:val="clear" w:color="auto" w:fill="auto"/>
            <w:noWrap/>
            <w:vAlign w:val="center"/>
          </w:tcPr>
          <w:p w14:paraId="50F6174F" w14:textId="77777777" w:rsidR="00EE7D4A" w:rsidRPr="002437DD" w:rsidRDefault="00EE7D4A" w:rsidP="00BB40FF">
            <w:pPr>
              <w:jc w:val="center"/>
              <w:rPr>
                <w:color w:val="auto"/>
                <w:sz w:val="20"/>
                <w:szCs w:val="20"/>
              </w:rPr>
            </w:pPr>
            <w:r w:rsidRPr="002437DD">
              <w:rPr>
                <w:color w:val="auto"/>
                <w:sz w:val="20"/>
                <w:szCs w:val="20"/>
              </w:rPr>
              <w:t>25</w:t>
            </w:r>
          </w:p>
        </w:tc>
        <w:tc>
          <w:tcPr>
            <w:tcW w:w="2430" w:type="dxa"/>
            <w:tcBorders>
              <w:top w:val="nil"/>
              <w:left w:val="nil"/>
              <w:bottom w:val="single" w:sz="8" w:space="0" w:color="auto"/>
              <w:right w:val="single" w:sz="8" w:space="0" w:color="auto"/>
            </w:tcBorders>
            <w:shd w:val="clear" w:color="auto" w:fill="auto"/>
            <w:noWrap/>
            <w:vAlign w:val="center"/>
          </w:tcPr>
          <w:p w14:paraId="0BE91CED" w14:textId="77777777" w:rsidR="00EE7D4A" w:rsidRPr="002437DD" w:rsidRDefault="00EE7D4A" w:rsidP="00BB40FF">
            <w:pPr>
              <w:rPr>
                <w:color w:val="auto"/>
                <w:sz w:val="20"/>
                <w:szCs w:val="20"/>
              </w:rPr>
            </w:pPr>
            <w:r w:rsidRPr="002437DD">
              <w:rPr>
                <w:color w:val="auto"/>
                <w:sz w:val="20"/>
                <w:szCs w:val="20"/>
              </w:rPr>
              <w:t>sustainable value</w:t>
            </w:r>
          </w:p>
        </w:tc>
        <w:tc>
          <w:tcPr>
            <w:tcW w:w="572" w:type="dxa"/>
            <w:tcBorders>
              <w:top w:val="nil"/>
              <w:left w:val="nil"/>
              <w:bottom w:val="single" w:sz="8" w:space="0" w:color="auto"/>
              <w:right w:val="single" w:sz="8" w:space="0" w:color="auto"/>
            </w:tcBorders>
            <w:shd w:val="clear" w:color="auto" w:fill="auto"/>
            <w:noWrap/>
            <w:vAlign w:val="center"/>
          </w:tcPr>
          <w:p w14:paraId="090760CE" w14:textId="77777777" w:rsidR="00EE7D4A" w:rsidRPr="002437DD" w:rsidRDefault="00EE7D4A" w:rsidP="00BB40FF">
            <w:pPr>
              <w:jc w:val="left"/>
              <w:rPr>
                <w:color w:val="auto"/>
                <w:sz w:val="20"/>
                <w:szCs w:val="20"/>
              </w:rPr>
            </w:pPr>
            <w:r w:rsidRPr="002437DD">
              <w:rPr>
                <w:color w:val="auto"/>
                <w:sz w:val="20"/>
                <w:szCs w:val="20"/>
              </w:rPr>
              <w:t>15</w:t>
            </w:r>
          </w:p>
        </w:tc>
        <w:tc>
          <w:tcPr>
            <w:tcW w:w="572" w:type="dxa"/>
            <w:tcBorders>
              <w:top w:val="nil"/>
              <w:left w:val="nil"/>
              <w:bottom w:val="single" w:sz="8" w:space="0" w:color="auto"/>
              <w:right w:val="single" w:sz="8" w:space="0" w:color="auto"/>
            </w:tcBorders>
            <w:shd w:val="clear" w:color="auto" w:fill="auto"/>
            <w:noWrap/>
            <w:vAlign w:val="center"/>
            <w:hideMark/>
          </w:tcPr>
          <w:p w14:paraId="7B1974DB" w14:textId="77777777" w:rsidR="00EE7D4A" w:rsidRPr="002437DD" w:rsidRDefault="00EE7D4A" w:rsidP="00BB40FF">
            <w:pPr>
              <w:jc w:val="left"/>
              <w:rPr>
                <w:color w:val="auto"/>
                <w:sz w:val="20"/>
                <w:szCs w:val="20"/>
              </w:rPr>
            </w:pPr>
            <w:r w:rsidRPr="002437DD">
              <w:rPr>
                <w:color w:val="auto"/>
                <w:sz w:val="20"/>
                <w:szCs w:val="20"/>
              </w:rPr>
              <w:t>7</w:t>
            </w:r>
          </w:p>
        </w:tc>
        <w:tc>
          <w:tcPr>
            <w:tcW w:w="2574" w:type="dxa"/>
            <w:tcBorders>
              <w:top w:val="nil"/>
              <w:left w:val="nil"/>
              <w:bottom w:val="single" w:sz="8" w:space="0" w:color="auto"/>
              <w:right w:val="single" w:sz="8" w:space="0" w:color="auto"/>
            </w:tcBorders>
            <w:shd w:val="clear" w:color="auto" w:fill="auto"/>
            <w:noWrap/>
            <w:vAlign w:val="center"/>
            <w:hideMark/>
          </w:tcPr>
          <w:p w14:paraId="1AA4F457" w14:textId="77777777" w:rsidR="00EE7D4A" w:rsidRPr="002437DD" w:rsidRDefault="00EE7D4A" w:rsidP="00BB40FF">
            <w:pPr>
              <w:jc w:val="left"/>
              <w:rPr>
                <w:color w:val="auto"/>
                <w:sz w:val="20"/>
                <w:szCs w:val="20"/>
              </w:rPr>
            </w:pPr>
            <w:r w:rsidRPr="002437DD">
              <w:rPr>
                <w:color w:val="auto"/>
                <w:sz w:val="20"/>
                <w:szCs w:val="20"/>
              </w:rPr>
              <w:t>deliver sustainable generation</w:t>
            </w:r>
          </w:p>
        </w:tc>
      </w:tr>
      <w:tr w:rsidR="00FB52FF" w:rsidRPr="002437DD" w14:paraId="1E0BCDE8"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070D9E0F" w14:textId="77777777" w:rsidR="00EE7D4A" w:rsidRPr="002437DD" w:rsidRDefault="00EE7D4A" w:rsidP="00BB40FF">
            <w:pPr>
              <w:jc w:val="center"/>
              <w:rPr>
                <w:color w:val="auto"/>
                <w:sz w:val="20"/>
                <w:szCs w:val="20"/>
              </w:rPr>
            </w:pPr>
            <w:r w:rsidRPr="002437DD">
              <w:rPr>
                <w:color w:val="auto"/>
                <w:sz w:val="20"/>
                <w:szCs w:val="20"/>
              </w:rPr>
              <w:t>6</w:t>
            </w:r>
          </w:p>
        </w:tc>
        <w:tc>
          <w:tcPr>
            <w:tcW w:w="572" w:type="dxa"/>
            <w:tcBorders>
              <w:top w:val="nil"/>
              <w:left w:val="nil"/>
              <w:bottom w:val="single" w:sz="8" w:space="0" w:color="auto"/>
              <w:right w:val="single" w:sz="8" w:space="0" w:color="auto"/>
            </w:tcBorders>
            <w:shd w:val="clear" w:color="auto" w:fill="auto"/>
            <w:noWrap/>
            <w:vAlign w:val="center"/>
          </w:tcPr>
          <w:p w14:paraId="30756C8F" w14:textId="77777777" w:rsidR="00EE7D4A" w:rsidRPr="002437DD" w:rsidRDefault="00EE7D4A" w:rsidP="00BB40FF">
            <w:pPr>
              <w:jc w:val="center"/>
              <w:rPr>
                <w:color w:val="auto"/>
                <w:sz w:val="20"/>
                <w:szCs w:val="20"/>
              </w:rPr>
            </w:pPr>
            <w:r w:rsidRPr="002437DD">
              <w:rPr>
                <w:color w:val="auto"/>
                <w:sz w:val="20"/>
                <w:szCs w:val="20"/>
              </w:rPr>
              <w:t>23</w:t>
            </w:r>
          </w:p>
        </w:tc>
        <w:tc>
          <w:tcPr>
            <w:tcW w:w="2430" w:type="dxa"/>
            <w:tcBorders>
              <w:top w:val="nil"/>
              <w:left w:val="nil"/>
              <w:bottom w:val="single" w:sz="8" w:space="0" w:color="auto"/>
              <w:right w:val="single" w:sz="8" w:space="0" w:color="auto"/>
            </w:tcBorders>
            <w:shd w:val="clear" w:color="auto" w:fill="auto"/>
            <w:noWrap/>
            <w:vAlign w:val="center"/>
          </w:tcPr>
          <w:p w14:paraId="23D26BE3" w14:textId="77777777" w:rsidR="00EE7D4A" w:rsidRPr="002437DD" w:rsidRDefault="00EE7D4A" w:rsidP="00BB40FF">
            <w:pPr>
              <w:rPr>
                <w:color w:val="auto"/>
                <w:sz w:val="20"/>
                <w:szCs w:val="20"/>
              </w:rPr>
            </w:pPr>
            <w:r w:rsidRPr="002437DD">
              <w:rPr>
                <w:color w:val="auto"/>
                <w:sz w:val="20"/>
                <w:szCs w:val="20"/>
              </w:rPr>
              <w:t>sustainable cost</w:t>
            </w:r>
          </w:p>
        </w:tc>
        <w:tc>
          <w:tcPr>
            <w:tcW w:w="572" w:type="dxa"/>
            <w:tcBorders>
              <w:top w:val="nil"/>
              <w:left w:val="nil"/>
              <w:bottom w:val="single" w:sz="8" w:space="0" w:color="auto"/>
              <w:right w:val="single" w:sz="8" w:space="0" w:color="auto"/>
            </w:tcBorders>
            <w:shd w:val="clear" w:color="auto" w:fill="auto"/>
            <w:noWrap/>
            <w:vAlign w:val="center"/>
          </w:tcPr>
          <w:p w14:paraId="5A81B74F" w14:textId="77777777" w:rsidR="00EE7D4A" w:rsidRPr="002437DD" w:rsidRDefault="00EE7D4A" w:rsidP="00BB40FF">
            <w:pPr>
              <w:jc w:val="left"/>
              <w:rPr>
                <w:color w:val="auto"/>
                <w:sz w:val="20"/>
                <w:szCs w:val="20"/>
              </w:rPr>
            </w:pPr>
            <w:r w:rsidRPr="002437DD">
              <w:rPr>
                <w:color w:val="auto"/>
                <w:sz w:val="20"/>
                <w:szCs w:val="20"/>
              </w:rPr>
              <w:t>16</w:t>
            </w:r>
          </w:p>
        </w:tc>
        <w:tc>
          <w:tcPr>
            <w:tcW w:w="572" w:type="dxa"/>
            <w:tcBorders>
              <w:top w:val="nil"/>
              <w:left w:val="nil"/>
              <w:bottom w:val="single" w:sz="8" w:space="0" w:color="auto"/>
              <w:right w:val="single" w:sz="8" w:space="0" w:color="auto"/>
            </w:tcBorders>
            <w:shd w:val="clear" w:color="auto" w:fill="auto"/>
            <w:noWrap/>
            <w:vAlign w:val="center"/>
            <w:hideMark/>
          </w:tcPr>
          <w:p w14:paraId="3D62355B" w14:textId="77777777" w:rsidR="00EE7D4A" w:rsidRPr="002437DD" w:rsidRDefault="00EE7D4A" w:rsidP="00BB40FF">
            <w:pPr>
              <w:jc w:val="left"/>
              <w:rPr>
                <w:color w:val="auto"/>
                <w:sz w:val="20"/>
                <w:szCs w:val="20"/>
              </w:rPr>
            </w:pPr>
            <w:r w:rsidRPr="002437DD">
              <w:rPr>
                <w:color w:val="auto"/>
                <w:sz w:val="20"/>
                <w:szCs w:val="20"/>
              </w:rPr>
              <w:t>7</w:t>
            </w:r>
          </w:p>
        </w:tc>
        <w:tc>
          <w:tcPr>
            <w:tcW w:w="2574" w:type="dxa"/>
            <w:tcBorders>
              <w:top w:val="nil"/>
              <w:left w:val="nil"/>
              <w:bottom w:val="single" w:sz="8" w:space="0" w:color="auto"/>
              <w:right w:val="single" w:sz="8" w:space="0" w:color="auto"/>
            </w:tcBorders>
            <w:shd w:val="clear" w:color="auto" w:fill="auto"/>
            <w:noWrap/>
            <w:vAlign w:val="center"/>
            <w:hideMark/>
          </w:tcPr>
          <w:p w14:paraId="7BA5ADDC" w14:textId="77777777" w:rsidR="00EE7D4A" w:rsidRPr="002437DD" w:rsidRDefault="00EE7D4A" w:rsidP="00BB40FF">
            <w:pPr>
              <w:jc w:val="left"/>
              <w:rPr>
                <w:color w:val="auto"/>
                <w:sz w:val="20"/>
                <w:szCs w:val="20"/>
              </w:rPr>
            </w:pPr>
            <w:r w:rsidRPr="002437DD">
              <w:rPr>
                <w:color w:val="auto"/>
                <w:sz w:val="20"/>
                <w:szCs w:val="20"/>
              </w:rPr>
              <w:t xml:space="preserve">creating sustainable </w:t>
            </w:r>
          </w:p>
        </w:tc>
      </w:tr>
      <w:tr w:rsidR="00FB52FF" w:rsidRPr="002437DD" w14:paraId="0ACF3721"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45E6EFDC" w14:textId="77777777" w:rsidR="00EE7D4A" w:rsidRPr="002437DD" w:rsidRDefault="00EE7D4A" w:rsidP="00BB40FF">
            <w:pPr>
              <w:jc w:val="center"/>
              <w:rPr>
                <w:color w:val="auto"/>
                <w:sz w:val="20"/>
                <w:szCs w:val="20"/>
              </w:rPr>
            </w:pPr>
            <w:r w:rsidRPr="002437DD">
              <w:rPr>
                <w:color w:val="auto"/>
                <w:sz w:val="20"/>
                <w:szCs w:val="20"/>
              </w:rPr>
              <w:t>7</w:t>
            </w:r>
          </w:p>
        </w:tc>
        <w:tc>
          <w:tcPr>
            <w:tcW w:w="572" w:type="dxa"/>
            <w:tcBorders>
              <w:top w:val="nil"/>
              <w:left w:val="nil"/>
              <w:bottom w:val="single" w:sz="8" w:space="0" w:color="auto"/>
              <w:right w:val="single" w:sz="8" w:space="0" w:color="auto"/>
            </w:tcBorders>
            <w:shd w:val="clear" w:color="auto" w:fill="auto"/>
            <w:noWrap/>
            <w:vAlign w:val="center"/>
          </w:tcPr>
          <w:p w14:paraId="478C95B3" w14:textId="77777777" w:rsidR="00EE7D4A" w:rsidRPr="002437DD" w:rsidRDefault="00EE7D4A" w:rsidP="00BB40FF">
            <w:pPr>
              <w:jc w:val="center"/>
              <w:rPr>
                <w:color w:val="auto"/>
                <w:sz w:val="20"/>
                <w:szCs w:val="20"/>
              </w:rPr>
            </w:pPr>
            <w:r w:rsidRPr="002437DD">
              <w:rPr>
                <w:color w:val="auto"/>
                <w:sz w:val="20"/>
                <w:szCs w:val="20"/>
              </w:rPr>
              <w:t>16</w:t>
            </w:r>
          </w:p>
        </w:tc>
        <w:tc>
          <w:tcPr>
            <w:tcW w:w="2430" w:type="dxa"/>
            <w:tcBorders>
              <w:top w:val="nil"/>
              <w:left w:val="nil"/>
              <w:bottom w:val="single" w:sz="8" w:space="0" w:color="auto"/>
              <w:right w:val="single" w:sz="8" w:space="0" w:color="auto"/>
            </w:tcBorders>
            <w:shd w:val="clear" w:color="auto" w:fill="auto"/>
            <w:noWrap/>
            <w:vAlign w:val="center"/>
          </w:tcPr>
          <w:p w14:paraId="7757D881" w14:textId="77777777" w:rsidR="00EE7D4A" w:rsidRPr="002437DD" w:rsidRDefault="00EE7D4A" w:rsidP="00BB40FF">
            <w:pPr>
              <w:rPr>
                <w:color w:val="auto"/>
                <w:sz w:val="20"/>
                <w:szCs w:val="20"/>
              </w:rPr>
            </w:pPr>
            <w:r w:rsidRPr="002437DD">
              <w:rPr>
                <w:color w:val="auto"/>
                <w:sz w:val="20"/>
                <w:szCs w:val="20"/>
              </w:rPr>
              <w:t>sustainable gold</w:t>
            </w:r>
          </w:p>
        </w:tc>
        <w:tc>
          <w:tcPr>
            <w:tcW w:w="572" w:type="dxa"/>
            <w:tcBorders>
              <w:top w:val="nil"/>
              <w:left w:val="nil"/>
              <w:bottom w:val="single" w:sz="8" w:space="0" w:color="auto"/>
              <w:right w:val="single" w:sz="8" w:space="0" w:color="auto"/>
            </w:tcBorders>
            <w:shd w:val="clear" w:color="auto" w:fill="auto"/>
            <w:noWrap/>
            <w:vAlign w:val="center"/>
          </w:tcPr>
          <w:p w14:paraId="0019BCF6" w14:textId="77777777" w:rsidR="00EE7D4A" w:rsidRPr="002437DD" w:rsidRDefault="00EE7D4A" w:rsidP="00BB40FF">
            <w:pPr>
              <w:jc w:val="left"/>
              <w:rPr>
                <w:color w:val="auto"/>
                <w:sz w:val="20"/>
                <w:szCs w:val="20"/>
              </w:rPr>
            </w:pPr>
            <w:r w:rsidRPr="002437DD">
              <w:rPr>
                <w:color w:val="auto"/>
                <w:sz w:val="20"/>
                <w:szCs w:val="20"/>
              </w:rPr>
              <w:t>18</w:t>
            </w:r>
          </w:p>
        </w:tc>
        <w:tc>
          <w:tcPr>
            <w:tcW w:w="572" w:type="dxa"/>
            <w:tcBorders>
              <w:top w:val="nil"/>
              <w:left w:val="nil"/>
              <w:bottom w:val="single" w:sz="8" w:space="0" w:color="auto"/>
              <w:right w:val="single" w:sz="8" w:space="0" w:color="auto"/>
            </w:tcBorders>
            <w:shd w:val="clear" w:color="auto" w:fill="auto"/>
            <w:noWrap/>
            <w:vAlign w:val="center"/>
            <w:hideMark/>
          </w:tcPr>
          <w:p w14:paraId="7672D2A6" w14:textId="77777777" w:rsidR="00EE7D4A" w:rsidRPr="002437DD" w:rsidRDefault="00EE7D4A" w:rsidP="00BB40FF">
            <w:pPr>
              <w:jc w:val="left"/>
              <w:rPr>
                <w:color w:val="auto"/>
                <w:sz w:val="20"/>
                <w:szCs w:val="20"/>
              </w:rPr>
            </w:pPr>
            <w:r w:rsidRPr="002437DD">
              <w:rPr>
                <w:color w:val="auto"/>
                <w:sz w:val="20"/>
                <w:szCs w:val="20"/>
              </w:rPr>
              <w:t>7</w:t>
            </w:r>
          </w:p>
        </w:tc>
        <w:tc>
          <w:tcPr>
            <w:tcW w:w="2574" w:type="dxa"/>
            <w:tcBorders>
              <w:top w:val="nil"/>
              <w:left w:val="nil"/>
              <w:bottom w:val="single" w:sz="8" w:space="0" w:color="auto"/>
              <w:right w:val="single" w:sz="8" w:space="0" w:color="auto"/>
            </w:tcBorders>
            <w:shd w:val="clear" w:color="auto" w:fill="auto"/>
            <w:noWrap/>
            <w:vAlign w:val="center"/>
            <w:hideMark/>
          </w:tcPr>
          <w:p w14:paraId="2E082DBB" w14:textId="77777777" w:rsidR="00EE7D4A" w:rsidRPr="002437DD" w:rsidRDefault="00EE7D4A" w:rsidP="00BB40FF">
            <w:pPr>
              <w:jc w:val="left"/>
              <w:rPr>
                <w:color w:val="auto"/>
                <w:sz w:val="20"/>
                <w:szCs w:val="20"/>
              </w:rPr>
            </w:pPr>
            <w:r w:rsidRPr="002437DD">
              <w:rPr>
                <w:color w:val="auto"/>
                <w:sz w:val="20"/>
                <w:szCs w:val="20"/>
              </w:rPr>
              <w:t>achieve sustainable</w:t>
            </w:r>
          </w:p>
        </w:tc>
      </w:tr>
      <w:tr w:rsidR="00FB52FF" w:rsidRPr="002437DD" w14:paraId="551C1357" w14:textId="77777777" w:rsidTr="00BB40FF">
        <w:trPr>
          <w:cantSplit/>
          <w:trHeight w:hRule="exact" w:val="303"/>
        </w:trPr>
        <w:tc>
          <w:tcPr>
            <w:tcW w:w="445" w:type="dxa"/>
            <w:tcBorders>
              <w:top w:val="nil"/>
              <w:left w:val="single" w:sz="8" w:space="0" w:color="auto"/>
              <w:bottom w:val="single" w:sz="8" w:space="0" w:color="auto"/>
              <w:right w:val="single" w:sz="8" w:space="0" w:color="auto"/>
            </w:tcBorders>
            <w:shd w:val="clear" w:color="auto" w:fill="auto"/>
            <w:noWrap/>
            <w:vAlign w:val="center"/>
            <w:hideMark/>
          </w:tcPr>
          <w:p w14:paraId="4A829872" w14:textId="77777777" w:rsidR="00EE7D4A" w:rsidRPr="002437DD" w:rsidRDefault="00EE7D4A" w:rsidP="00BB40FF">
            <w:pPr>
              <w:jc w:val="center"/>
              <w:rPr>
                <w:color w:val="auto"/>
                <w:sz w:val="20"/>
                <w:szCs w:val="20"/>
              </w:rPr>
            </w:pPr>
            <w:r w:rsidRPr="002437DD">
              <w:rPr>
                <w:color w:val="auto"/>
                <w:sz w:val="20"/>
                <w:szCs w:val="20"/>
              </w:rPr>
              <w:t>8</w:t>
            </w:r>
          </w:p>
        </w:tc>
        <w:tc>
          <w:tcPr>
            <w:tcW w:w="572" w:type="dxa"/>
            <w:tcBorders>
              <w:top w:val="nil"/>
              <w:left w:val="nil"/>
              <w:bottom w:val="single" w:sz="8" w:space="0" w:color="auto"/>
              <w:right w:val="single" w:sz="8" w:space="0" w:color="auto"/>
            </w:tcBorders>
            <w:shd w:val="clear" w:color="auto" w:fill="auto"/>
            <w:noWrap/>
            <w:vAlign w:val="center"/>
          </w:tcPr>
          <w:p w14:paraId="0F1F34BE" w14:textId="77777777" w:rsidR="00EE7D4A" w:rsidRPr="002437DD" w:rsidRDefault="00EE7D4A" w:rsidP="00BB40FF">
            <w:pPr>
              <w:jc w:val="center"/>
              <w:rPr>
                <w:color w:val="auto"/>
                <w:sz w:val="20"/>
                <w:szCs w:val="20"/>
              </w:rPr>
            </w:pPr>
            <w:r w:rsidRPr="002437DD">
              <w:rPr>
                <w:color w:val="auto"/>
                <w:sz w:val="20"/>
                <w:szCs w:val="20"/>
              </w:rPr>
              <w:t>15</w:t>
            </w:r>
          </w:p>
        </w:tc>
        <w:tc>
          <w:tcPr>
            <w:tcW w:w="2430" w:type="dxa"/>
            <w:tcBorders>
              <w:top w:val="nil"/>
              <w:left w:val="nil"/>
              <w:bottom w:val="single" w:sz="8" w:space="0" w:color="auto"/>
              <w:right w:val="single" w:sz="8" w:space="0" w:color="auto"/>
            </w:tcBorders>
            <w:shd w:val="clear" w:color="auto" w:fill="auto"/>
            <w:noWrap/>
            <w:vAlign w:val="center"/>
          </w:tcPr>
          <w:p w14:paraId="3B372302" w14:textId="77777777" w:rsidR="00EE7D4A" w:rsidRPr="002437DD" w:rsidRDefault="00EE7D4A" w:rsidP="00BB40FF">
            <w:pPr>
              <w:rPr>
                <w:color w:val="auto"/>
                <w:sz w:val="20"/>
                <w:szCs w:val="20"/>
              </w:rPr>
            </w:pPr>
            <w:r w:rsidRPr="002437DD">
              <w:rPr>
                <w:color w:val="auto"/>
                <w:sz w:val="20"/>
                <w:szCs w:val="20"/>
              </w:rPr>
              <w:t>sustainable operations</w:t>
            </w:r>
          </w:p>
        </w:tc>
        <w:tc>
          <w:tcPr>
            <w:tcW w:w="572" w:type="dxa"/>
            <w:tcBorders>
              <w:top w:val="nil"/>
              <w:left w:val="nil"/>
              <w:bottom w:val="single" w:sz="8" w:space="0" w:color="auto"/>
              <w:right w:val="single" w:sz="8" w:space="0" w:color="auto"/>
            </w:tcBorders>
            <w:shd w:val="clear" w:color="auto" w:fill="auto"/>
            <w:noWrap/>
            <w:vAlign w:val="center"/>
          </w:tcPr>
          <w:p w14:paraId="4D46D03A" w14:textId="77777777" w:rsidR="00EE7D4A" w:rsidRPr="002437DD" w:rsidRDefault="00EE7D4A" w:rsidP="00BB40FF">
            <w:pPr>
              <w:jc w:val="left"/>
              <w:rPr>
                <w:color w:val="auto"/>
                <w:sz w:val="20"/>
                <w:szCs w:val="20"/>
              </w:rPr>
            </w:pPr>
            <w:r w:rsidRPr="002437DD">
              <w:rPr>
                <w:color w:val="auto"/>
                <w:sz w:val="20"/>
                <w:szCs w:val="20"/>
              </w:rPr>
              <w:t>19</w:t>
            </w:r>
          </w:p>
        </w:tc>
        <w:tc>
          <w:tcPr>
            <w:tcW w:w="572" w:type="dxa"/>
            <w:tcBorders>
              <w:top w:val="nil"/>
              <w:left w:val="nil"/>
              <w:bottom w:val="single" w:sz="8" w:space="0" w:color="auto"/>
              <w:right w:val="single" w:sz="8" w:space="0" w:color="auto"/>
            </w:tcBorders>
            <w:shd w:val="clear" w:color="auto" w:fill="auto"/>
            <w:noWrap/>
            <w:vAlign w:val="center"/>
            <w:hideMark/>
          </w:tcPr>
          <w:p w14:paraId="30AF2C5E" w14:textId="77777777" w:rsidR="00EE7D4A" w:rsidRPr="002437DD" w:rsidRDefault="00EE7D4A" w:rsidP="00BB40FF">
            <w:pPr>
              <w:jc w:val="left"/>
              <w:rPr>
                <w:color w:val="auto"/>
                <w:sz w:val="20"/>
                <w:szCs w:val="20"/>
              </w:rPr>
            </w:pPr>
            <w:r w:rsidRPr="002437DD">
              <w:rPr>
                <w:color w:val="auto"/>
                <w:sz w:val="20"/>
                <w:szCs w:val="20"/>
              </w:rPr>
              <w:t>6</w:t>
            </w:r>
          </w:p>
        </w:tc>
        <w:tc>
          <w:tcPr>
            <w:tcW w:w="2574" w:type="dxa"/>
            <w:tcBorders>
              <w:top w:val="nil"/>
              <w:left w:val="nil"/>
              <w:bottom w:val="single" w:sz="8" w:space="0" w:color="auto"/>
              <w:right w:val="single" w:sz="8" w:space="0" w:color="auto"/>
            </w:tcBorders>
            <w:shd w:val="clear" w:color="auto" w:fill="auto"/>
            <w:noWrap/>
            <w:vAlign w:val="center"/>
            <w:hideMark/>
          </w:tcPr>
          <w:p w14:paraId="4B45F02F" w14:textId="77777777" w:rsidR="00EE7D4A" w:rsidRPr="002437DD" w:rsidRDefault="00EE7D4A" w:rsidP="00BB40FF">
            <w:pPr>
              <w:jc w:val="left"/>
              <w:rPr>
                <w:color w:val="auto"/>
                <w:sz w:val="20"/>
                <w:szCs w:val="20"/>
              </w:rPr>
            </w:pPr>
            <w:r w:rsidRPr="002437DD">
              <w:rPr>
                <w:color w:val="auto"/>
                <w:sz w:val="20"/>
                <w:szCs w:val="20"/>
              </w:rPr>
              <w:t>create sustainable</w:t>
            </w:r>
          </w:p>
        </w:tc>
      </w:tr>
      <w:tr w:rsidR="00FB52FF" w:rsidRPr="002437DD" w14:paraId="4668EB37" w14:textId="77777777" w:rsidTr="003F329F">
        <w:trPr>
          <w:cantSplit/>
          <w:trHeight w:hRule="exact" w:val="303"/>
        </w:trPr>
        <w:tc>
          <w:tcPr>
            <w:tcW w:w="445" w:type="dxa"/>
            <w:tcBorders>
              <w:top w:val="nil"/>
              <w:left w:val="single" w:sz="8" w:space="0" w:color="auto"/>
              <w:bottom w:val="single" w:sz="4" w:space="0" w:color="auto"/>
              <w:right w:val="single" w:sz="8" w:space="0" w:color="auto"/>
            </w:tcBorders>
            <w:shd w:val="clear" w:color="auto" w:fill="auto"/>
            <w:noWrap/>
            <w:vAlign w:val="center"/>
            <w:hideMark/>
          </w:tcPr>
          <w:p w14:paraId="311EC966" w14:textId="77777777" w:rsidR="00EE7D4A" w:rsidRPr="002437DD" w:rsidRDefault="00EE7D4A" w:rsidP="00BB40FF">
            <w:pPr>
              <w:jc w:val="center"/>
              <w:rPr>
                <w:color w:val="auto"/>
                <w:sz w:val="20"/>
                <w:szCs w:val="20"/>
              </w:rPr>
            </w:pPr>
            <w:r w:rsidRPr="002437DD">
              <w:rPr>
                <w:color w:val="auto"/>
                <w:sz w:val="20"/>
                <w:szCs w:val="20"/>
              </w:rPr>
              <w:t>9</w:t>
            </w:r>
          </w:p>
        </w:tc>
        <w:tc>
          <w:tcPr>
            <w:tcW w:w="572" w:type="dxa"/>
            <w:tcBorders>
              <w:top w:val="nil"/>
              <w:left w:val="nil"/>
              <w:bottom w:val="single" w:sz="4" w:space="0" w:color="auto"/>
              <w:right w:val="single" w:sz="8" w:space="0" w:color="auto"/>
            </w:tcBorders>
            <w:shd w:val="clear" w:color="auto" w:fill="auto"/>
            <w:noWrap/>
            <w:vAlign w:val="center"/>
          </w:tcPr>
          <w:p w14:paraId="05210AE6" w14:textId="77777777" w:rsidR="00EE7D4A" w:rsidRPr="002437DD" w:rsidRDefault="00EE7D4A" w:rsidP="00BB40FF">
            <w:pPr>
              <w:jc w:val="center"/>
              <w:rPr>
                <w:color w:val="auto"/>
                <w:sz w:val="20"/>
                <w:szCs w:val="20"/>
              </w:rPr>
            </w:pPr>
            <w:r w:rsidRPr="002437DD">
              <w:rPr>
                <w:color w:val="auto"/>
                <w:sz w:val="20"/>
                <w:szCs w:val="20"/>
              </w:rPr>
              <w:t>15</w:t>
            </w:r>
          </w:p>
        </w:tc>
        <w:tc>
          <w:tcPr>
            <w:tcW w:w="2430" w:type="dxa"/>
            <w:tcBorders>
              <w:top w:val="nil"/>
              <w:left w:val="nil"/>
              <w:bottom w:val="single" w:sz="4" w:space="0" w:color="auto"/>
              <w:right w:val="single" w:sz="8" w:space="0" w:color="auto"/>
            </w:tcBorders>
            <w:shd w:val="clear" w:color="auto" w:fill="auto"/>
            <w:noWrap/>
            <w:vAlign w:val="center"/>
          </w:tcPr>
          <w:p w14:paraId="5FABDFE9" w14:textId="77777777" w:rsidR="00EE7D4A" w:rsidRPr="002437DD" w:rsidRDefault="00EE7D4A" w:rsidP="00BB40FF">
            <w:pPr>
              <w:rPr>
                <w:color w:val="auto"/>
                <w:sz w:val="20"/>
                <w:szCs w:val="20"/>
              </w:rPr>
            </w:pPr>
            <w:r w:rsidRPr="002437DD">
              <w:rPr>
                <w:color w:val="auto"/>
                <w:sz w:val="20"/>
                <w:szCs w:val="20"/>
              </w:rPr>
              <w:t>sustainable performance</w:t>
            </w:r>
          </w:p>
        </w:tc>
        <w:tc>
          <w:tcPr>
            <w:tcW w:w="572" w:type="dxa"/>
            <w:tcBorders>
              <w:top w:val="nil"/>
              <w:left w:val="nil"/>
              <w:bottom w:val="single" w:sz="4" w:space="0" w:color="auto"/>
              <w:right w:val="single" w:sz="8" w:space="0" w:color="auto"/>
            </w:tcBorders>
            <w:shd w:val="clear" w:color="auto" w:fill="auto"/>
            <w:noWrap/>
            <w:vAlign w:val="center"/>
          </w:tcPr>
          <w:p w14:paraId="5FB9DCFD" w14:textId="77777777" w:rsidR="00EE7D4A" w:rsidRPr="002437DD" w:rsidRDefault="00EE7D4A" w:rsidP="00BB40FF">
            <w:pPr>
              <w:jc w:val="left"/>
              <w:rPr>
                <w:color w:val="auto"/>
                <w:sz w:val="20"/>
                <w:szCs w:val="20"/>
              </w:rPr>
            </w:pPr>
            <w:r w:rsidRPr="002437DD">
              <w:rPr>
                <w:color w:val="auto"/>
                <w:sz w:val="20"/>
                <w:szCs w:val="20"/>
              </w:rPr>
              <w:t>21</w:t>
            </w:r>
          </w:p>
        </w:tc>
        <w:tc>
          <w:tcPr>
            <w:tcW w:w="572" w:type="dxa"/>
            <w:tcBorders>
              <w:top w:val="nil"/>
              <w:left w:val="nil"/>
              <w:bottom w:val="single" w:sz="4" w:space="0" w:color="auto"/>
              <w:right w:val="single" w:sz="8" w:space="0" w:color="auto"/>
            </w:tcBorders>
            <w:shd w:val="clear" w:color="auto" w:fill="auto"/>
            <w:noWrap/>
            <w:vAlign w:val="center"/>
            <w:hideMark/>
          </w:tcPr>
          <w:p w14:paraId="785FAC99" w14:textId="77777777" w:rsidR="00EE7D4A" w:rsidRPr="002437DD" w:rsidRDefault="00EE7D4A" w:rsidP="00BB40FF">
            <w:pPr>
              <w:jc w:val="left"/>
              <w:rPr>
                <w:color w:val="auto"/>
                <w:sz w:val="20"/>
                <w:szCs w:val="20"/>
              </w:rPr>
            </w:pPr>
            <w:r w:rsidRPr="002437DD">
              <w:rPr>
                <w:color w:val="auto"/>
                <w:sz w:val="20"/>
                <w:szCs w:val="20"/>
              </w:rPr>
              <w:t>6</w:t>
            </w:r>
          </w:p>
        </w:tc>
        <w:tc>
          <w:tcPr>
            <w:tcW w:w="2574" w:type="dxa"/>
            <w:tcBorders>
              <w:top w:val="nil"/>
              <w:left w:val="nil"/>
              <w:bottom w:val="single" w:sz="4" w:space="0" w:color="auto"/>
              <w:right w:val="single" w:sz="8" w:space="0" w:color="auto"/>
            </w:tcBorders>
            <w:shd w:val="clear" w:color="auto" w:fill="auto"/>
            <w:noWrap/>
            <w:vAlign w:val="center"/>
            <w:hideMark/>
          </w:tcPr>
          <w:p w14:paraId="096D6FDB" w14:textId="77777777" w:rsidR="00EE7D4A" w:rsidRPr="002437DD" w:rsidRDefault="00EE7D4A" w:rsidP="00BB40FF">
            <w:pPr>
              <w:jc w:val="left"/>
              <w:rPr>
                <w:color w:val="auto"/>
                <w:sz w:val="20"/>
                <w:szCs w:val="20"/>
              </w:rPr>
            </w:pPr>
            <w:r w:rsidRPr="002437DD">
              <w:rPr>
                <w:color w:val="auto"/>
                <w:sz w:val="20"/>
                <w:szCs w:val="20"/>
              </w:rPr>
              <w:t xml:space="preserve">provide sustainable </w:t>
            </w:r>
          </w:p>
        </w:tc>
      </w:tr>
      <w:tr w:rsidR="00FB52FF" w:rsidRPr="002437DD" w14:paraId="00619976" w14:textId="77777777" w:rsidTr="003F329F">
        <w:trPr>
          <w:cantSplit/>
          <w:trHeight w:hRule="exact" w:val="303"/>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81D6" w14:textId="77777777" w:rsidR="00EE7D4A" w:rsidRPr="002437DD" w:rsidRDefault="00EE7D4A" w:rsidP="00BB40FF">
            <w:pPr>
              <w:jc w:val="center"/>
              <w:rPr>
                <w:color w:val="auto"/>
                <w:sz w:val="20"/>
                <w:szCs w:val="20"/>
              </w:rPr>
            </w:pPr>
            <w:r w:rsidRPr="002437DD">
              <w:rPr>
                <w:color w:val="auto"/>
                <w:sz w:val="20"/>
                <w:szCs w:val="20"/>
              </w:rPr>
              <w:t>10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5B4F4" w14:textId="77777777" w:rsidR="00EE7D4A" w:rsidRPr="002437DD" w:rsidRDefault="00EE7D4A" w:rsidP="00BB40FF">
            <w:pPr>
              <w:jc w:val="center"/>
              <w:rPr>
                <w:color w:val="auto"/>
                <w:sz w:val="20"/>
                <w:szCs w:val="20"/>
              </w:rPr>
            </w:pPr>
            <w:r w:rsidRPr="002437DD">
              <w:rPr>
                <w:color w:val="auto"/>
                <w:sz w:val="20"/>
                <w:szCs w:val="20"/>
              </w:rPr>
              <w:t>13</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AFAF" w14:textId="77777777" w:rsidR="00EE7D4A" w:rsidRPr="002437DD" w:rsidRDefault="00EE7D4A" w:rsidP="00BB40FF">
            <w:pPr>
              <w:rPr>
                <w:color w:val="auto"/>
                <w:sz w:val="20"/>
                <w:szCs w:val="20"/>
              </w:rPr>
            </w:pPr>
            <w:r w:rsidRPr="002437DD">
              <w:rPr>
                <w:color w:val="auto"/>
                <w:sz w:val="20"/>
                <w:szCs w:val="20"/>
              </w:rPr>
              <w:t>sustainable success</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FAB82" w14:textId="77777777" w:rsidR="00EE7D4A" w:rsidRPr="002437DD" w:rsidRDefault="00EE7D4A" w:rsidP="00BB40FF">
            <w:pPr>
              <w:jc w:val="left"/>
              <w:rPr>
                <w:color w:val="auto"/>
                <w:sz w:val="20"/>
                <w:szCs w:val="20"/>
              </w:rPr>
            </w:pPr>
            <w:r w:rsidRPr="002437DD">
              <w:rPr>
                <w:color w:val="auto"/>
                <w:sz w:val="20"/>
                <w:szCs w:val="20"/>
              </w:rPr>
              <w:t>22</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7964" w14:textId="77777777" w:rsidR="00EE7D4A" w:rsidRPr="002437DD" w:rsidRDefault="00EE7D4A" w:rsidP="00BB40FF">
            <w:pPr>
              <w:jc w:val="left"/>
              <w:rPr>
                <w:color w:val="auto"/>
                <w:sz w:val="20"/>
                <w:szCs w:val="20"/>
              </w:rPr>
            </w:pPr>
            <w:r w:rsidRPr="002437DD">
              <w:rPr>
                <w:color w:val="auto"/>
                <w:sz w:val="20"/>
                <w:szCs w:val="20"/>
              </w:rPr>
              <w:t>5</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98AB" w14:textId="77777777" w:rsidR="00EE7D4A" w:rsidRPr="002437DD" w:rsidRDefault="00EE7D4A" w:rsidP="00BB40FF">
            <w:pPr>
              <w:jc w:val="left"/>
              <w:rPr>
                <w:color w:val="auto"/>
                <w:sz w:val="20"/>
                <w:szCs w:val="20"/>
              </w:rPr>
            </w:pPr>
            <w:r w:rsidRPr="002437DD">
              <w:rPr>
                <w:color w:val="auto"/>
                <w:sz w:val="20"/>
                <w:szCs w:val="20"/>
              </w:rPr>
              <w:t xml:space="preserve">promote sustainable </w:t>
            </w:r>
          </w:p>
        </w:tc>
      </w:tr>
    </w:tbl>
    <w:p w14:paraId="3B490654" w14:textId="77777777" w:rsidR="00EE7D4A" w:rsidRPr="002437DD" w:rsidRDefault="00EE7D4A" w:rsidP="00BB40FF">
      <w:pPr>
        <w:rPr>
          <w:color w:val="auto"/>
        </w:rPr>
      </w:pPr>
    </w:p>
    <w:p w14:paraId="7B84A2C6" w14:textId="77777777" w:rsidR="00EE7D4A" w:rsidRPr="002437DD" w:rsidRDefault="00EE7D4A" w:rsidP="00BB40FF">
      <w:pPr>
        <w:rPr>
          <w:color w:val="auto"/>
        </w:rPr>
      </w:pPr>
    </w:p>
    <w:p w14:paraId="2A65817D" w14:textId="77777777" w:rsidR="00EE7D4A" w:rsidRPr="002437DD" w:rsidRDefault="00EE7D4A" w:rsidP="00BB40FF">
      <w:pPr>
        <w:rPr>
          <w:color w:val="auto"/>
        </w:rPr>
      </w:pPr>
    </w:p>
    <w:p w14:paraId="1325601F" w14:textId="77777777" w:rsidR="00EE7D4A" w:rsidRPr="002437DD" w:rsidRDefault="00EE7D4A" w:rsidP="00BB40FF">
      <w:pPr>
        <w:rPr>
          <w:color w:val="auto"/>
        </w:rPr>
      </w:pPr>
    </w:p>
    <w:p w14:paraId="1BE53239" w14:textId="77777777" w:rsidR="00EE7D4A" w:rsidRPr="002437DD" w:rsidRDefault="00EE7D4A" w:rsidP="00BB40FF">
      <w:pPr>
        <w:rPr>
          <w:color w:val="auto"/>
        </w:rPr>
      </w:pPr>
    </w:p>
    <w:p w14:paraId="42C46795" w14:textId="77777777" w:rsidR="00EE7D4A" w:rsidRPr="002437DD" w:rsidRDefault="00EE7D4A" w:rsidP="00BB40FF">
      <w:pPr>
        <w:rPr>
          <w:color w:val="auto"/>
        </w:rPr>
      </w:pPr>
    </w:p>
    <w:p w14:paraId="03C6A5C9" w14:textId="77777777" w:rsidR="00EE7D4A" w:rsidRPr="002437DD" w:rsidRDefault="00EE7D4A" w:rsidP="00BB40FF">
      <w:pPr>
        <w:rPr>
          <w:color w:val="auto"/>
        </w:rPr>
      </w:pPr>
    </w:p>
    <w:p w14:paraId="76D2BDA6" w14:textId="77777777" w:rsidR="00EE7D4A" w:rsidRPr="002437DD" w:rsidRDefault="00EE7D4A" w:rsidP="00BB40FF">
      <w:pPr>
        <w:rPr>
          <w:color w:val="auto"/>
        </w:rPr>
      </w:pPr>
    </w:p>
    <w:p w14:paraId="0DC27AE6" w14:textId="77777777" w:rsidR="00EE7D4A" w:rsidRPr="002437DD" w:rsidRDefault="00EE7D4A" w:rsidP="00BB40FF">
      <w:pPr>
        <w:rPr>
          <w:color w:val="auto"/>
        </w:rPr>
      </w:pPr>
    </w:p>
    <w:p w14:paraId="769EAB4A" w14:textId="77777777" w:rsidR="00974A02" w:rsidRPr="002437DD" w:rsidRDefault="00974A02" w:rsidP="00BB40FF">
      <w:pPr>
        <w:rPr>
          <w:color w:val="auto"/>
        </w:rPr>
      </w:pPr>
    </w:p>
    <w:p w14:paraId="31E06721" w14:textId="77777777" w:rsidR="00974A02" w:rsidRPr="002437DD" w:rsidRDefault="00974A02" w:rsidP="005378A8">
      <w:pPr>
        <w:pStyle w:val="Caption"/>
      </w:pPr>
      <w:r w:rsidRPr="002437DD">
        <w:t xml:space="preserve">Table </w:t>
      </w:r>
      <w:r w:rsidR="00072202">
        <w:fldChar w:fldCharType="begin"/>
      </w:r>
      <w:r w:rsidR="00072202">
        <w:instrText xml:space="preserve"> SEQ Table \* ARABIC </w:instrText>
      </w:r>
      <w:r w:rsidR="00072202">
        <w:fldChar w:fldCharType="separate"/>
      </w:r>
      <w:r w:rsidR="00E35E41">
        <w:rPr>
          <w:noProof/>
        </w:rPr>
        <w:t>5</w:t>
      </w:r>
      <w:r w:rsidR="00072202">
        <w:rPr>
          <w:noProof/>
        </w:rPr>
        <w:fldChar w:fldCharType="end"/>
      </w:r>
      <w:r w:rsidRPr="002437DD">
        <w:t xml:space="preserve"> Summary of the main strategies topoi and linguistic features used in the discursive construction of sustainability in the IRs analysed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734"/>
        <w:gridCol w:w="2839"/>
      </w:tblGrid>
      <w:tr w:rsidR="00974A02" w:rsidRPr="002437DD" w14:paraId="61AE30D8" w14:textId="77777777" w:rsidTr="00974A02">
        <w:tc>
          <w:tcPr>
            <w:tcW w:w="2943" w:type="dxa"/>
            <w:tcBorders>
              <w:top w:val="single" w:sz="4" w:space="0" w:color="auto"/>
              <w:left w:val="single" w:sz="4" w:space="0" w:color="auto"/>
              <w:bottom w:val="single" w:sz="4" w:space="0" w:color="auto"/>
              <w:right w:val="single" w:sz="4" w:space="0" w:color="auto"/>
            </w:tcBorders>
            <w:hideMark/>
          </w:tcPr>
          <w:p w14:paraId="2F22A0C0" w14:textId="77777777" w:rsidR="00974A02" w:rsidRPr="002437DD" w:rsidRDefault="00974A02">
            <w:pPr>
              <w:jc w:val="center"/>
              <w:rPr>
                <w:color w:val="auto"/>
                <w:sz w:val="20"/>
                <w:szCs w:val="20"/>
                <w:lang w:val="en-US"/>
              </w:rPr>
            </w:pPr>
            <w:r w:rsidRPr="002437DD">
              <w:rPr>
                <w:color w:val="auto"/>
                <w:sz w:val="20"/>
                <w:szCs w:val="20"/>
                <w:lang w:val="en-US"/>
              </w:rPr>
              <w:t>DISCURSIVE STRATEGIES</w:t>
            </w:r>
          </w:p>
        </w:tc>
        <w:tc>
          <w:tcPr>
            <w:tcW w:w="2734" w:type="dxa"/>
            <w:tcBorders>
              <w:top w:val="single" w:sz="4" w:space="0" w:color="auto"/>
              <w:left w:val="single" w:sz="4" w:space="0" w:color="auto"/>
              <w:bottom w:val="single" w:sz="4" w:space="0" w:color="auto"/>
              <w:right w:val="single" w:sz="4" w:space="0" w:color="auto"/>
            </w:tcBorders>
            <w:hideMark/>
          </w:tcPr>
          <w:p w14:paraId="5E7DAB6F" w14:textId="77777777" w:rsidR="00974A02" w:rsidRPr="002437DD" w:rsidRDefault="00974A02">
            <w:pPr>
              <w:jc w:val="center"/>
              <w:rPr>
                <w:color w:val="auto"/>
                <w:sz w:val="20"/>
                <w:szCs w:val="20"/>
                <w:lang w:val="en-US"/>
              </w:rPr>
            </w:pPr>
            <w:r w:rsidRPr="002437DD">
              <w:rPr>
                <w:color w:val="auto"/>
                <w:sz w:val="20"/>
                <w:szCs w:val="20"/>
                <w:lang w:val="en-US"/>
              </w:rPr>
              <w:t xml:space="preserve">TOPOI </w:t>
            </w:r>
          </w:p>
        </w:tc>
        <w:tc>
          <w:tcPr>
            <w:tcW w:w="2839" w:type="dxa"/>
            <w:tcBorders>
              <w:top w:val="single" w:sz="4" w:space="0" w:color="auto"/>
              <w:left w:val="single" w:sz="4" w:space="0" w:color="auto"/>
              <w:bottom w:val="single" w:sz="4" w:space="0" w:color="auto"/>
              <w:right w:val="single" w:sz="4" w:space="0" w:color="auto"/>
            </w:tcBorders>
            <w:hideMark/>
          </w:tcPr>
          <w:p w14:paraId="16269852" w14:textId="77777777" w:rsidR="00974A02" w:rsidRPr="002437DD" w:rsidRDefault="00974A02">
            <w:pPr>
              <w:jc w:val="center"/>
              <w:rPr>
                <w:color w:val="auto"/>
                <w:sz w:val="20"/>
                <w:szCs w:val="20"/>
                <w:lang w:val="en-US"/>
              </w:rPr>
            </w:pPr>
            <w:r w:rsidRPr="002437DD">
              <w:rPr>
                <w:color w:val="auto"/>
                <w:sz w:val="20"/>
                <w:szCs w:val="20"/>
                <w:lang w:val="en-US"/>
              </w:rPr>
              <w:t>LINGUISTIC FEATURES</w:t>
            </w:r>
          </w:p>
        </w:tc>
      </w:tr>
      <w:tr w:rsidR="00974A02" w:rsidRPr="002437DD" w14:paraId="4C712BB7" w14:textId="77777777" w:rsidTr="00974A02">
        <w:trPr>
          <w:trHeight w:val="413"/>
        </w:trPr>
        <w:tc>
          <w:tcPr>
            <w:tcW w:w="8516" w:type="dxa"/>
            <w:gridSpan w:val="3"/>
            <w:tcBorders>
              <w:top w:val="single" w:sz="4" w:space="0" w:color="auto"/>
              <w:left w:val="single" w:sz="4" w:space="0" w:color="auto"/>
              <w:bottom w:val="single" w:sz="4" w:space="0" w:color="auto"/>
              <w:right w:val="single" w:sz="4" w:space="0" w:color="auto"/>
            </w:tcBorders>
            <w:hideMark/>
          </w:tcPr>
          <w:p w14:paraId="3B749386" w14:textId="77777777" w:rsidR="001D3872" w:rsidRPr="002437DD" w:rsidRDefault="001D3872">
            <w:pPr>
              <w:jc w:val="center"/>
              <w:rPr>
                <w:color w:val="auto"/>
                <w:sz w:val="20"/>
                <w:szCs w:val="20"/>
                <w:lang w:val="en-US"/>
              </w:rPr>
            </w:pPr>
          </w:p>
          <w:p w14:paraId="7294AB01" w14:textId="77777777" w:rsidR="00974A02" w:rsidRPr="002437DD" w:rsidRDefault="00974A02">
            <w:pPr>
              <w:jc w:val="center"/>
              <w:rPr>
                <w:color w:val="auto"/>
                <w:sz w:val="20"/>
                <w:szCs w:val="20"/>
                <w:lang w:val="en-US"/>
              </w:rPr>
            </w:pPr>
            <w:r w:rsidRPr="002437DD">
              <w:rPr>
                <w:color w:val="auto"/>
                <w:sz w:val="20"/>
                <w:szCs w:val="20"/>
                <w:lang w:val="en-US"/>
              </w:rPr>
              <w:t>Discursive orientation1: Holistic representations of sustainability</w:t>
            </w:r>
          </w:p>
        </w:tc>
      </w:tr>
      <w:tr w:rsidR="00974A02" w:rsidRPr="002437DD" w14:paraId="4A71ABE8" w14:textId="77777777" w:rsidTr="00974A02">
        <w:tc>
          <w:tcPr>
            <w:tcW w:w="2943" w:type="dxa"/>
            <w:tcBorders>
              <w:top w:val="single" w:sz="4" w:space="0" w:color="auto"/>
              <w:left w:val="single" w:sz="4" w:space="0" w:color="auto"/>
              <w:bottom w:val="single" w:sz="4" w:space="0" w:color="auto"/>
              <w:right w:val="single" w:sz="4" w:space="0" w:color="auto"/>
            </w:tcBorders>
          </w:tcPr>
          <w:p w14:paraId="2CA6EA1E" w14:textId="77777777" w:rsidR="00974A02" w:rsidRPr="002437DD" w:rsidRDefault="00974A02" w:rsidP="001D3872">
            <w:pPr>
              <w:spacing w:line="276" w:lineRule="auto"/>
              <w:jc w:val="left"/>
              <w:rPr>
                <w:color w:val="auto"/>
                <w:sz w:val="20"/>
                <w:szCs w:val="20"/>
                <w:lang w:val="en-US"/>
              </w:rPr>
            </w:pPr>
            <w:r w:rsidRPr="002437DD">
              <w:rPr>
                <w:color w:val="auto"/>
                <w:sz w:val="20"/>
                <w:szCs w:val="20"/>
                <w:lang w:val="en-US"/>
              </w:rPr>
              <w:t>Constructing sustainability as an interrelated environmental, social, and economic phenomenon</w:t>
            </w:r>
          </w:p>
          <w:p w14:paraId="1A704430" w14:textId="77777777" w:rsidR="00974A02" w:rsidRPr="002437DD" w:rsidRDefault="00974A02" w:rsidP="001D3872">
            <w:pPr>
              <w:spacing w:line="276" w:lineRule="auto"/>
              <w:jc w:val="left"/>
              <w:rPr>
                <w:color w:val="auto"/>
                <w:sz w:val="20"/>
                <w:szCs w:val="20"/>
                <w:lang w:val="en-US"/>
              </w:rPr>
            </w:pPr>
          </w:p>
          <w:p w14:paraId="664F5C42" w14:textId="15FFE872" w:rsidR="00974A02" w:rsidRPr="002437DD" w:rsidRDefault="00974A02" w:rsidP="001D3872">
            <w:pPr>
              <w:spacing w:line="276" w:lineRule="auto"/>
              <w:jc w:val="left"/>
              <w:rPr>
                <w:color w:val="auto"/>
                <w:sz w:val="20"/>
                <w:szCs w:val="20"/>
                <w:lang w:val="en-US"/>
              </w:rPr>
            </w:pPr>
            <w:r w:rsidRPr="002437DD">
              <w:rPr>
                <w:color w:val="auto"/>
                <w:sz w:val="20"/>
                <w:szCs w:val="20"/>
                <w:lang w:val="en-US"/>
              </w:rPr>
              <w:t xml:space="preserve">Representing positively </w:t>
            </w:r>
            <w:proofErr w:type="spellStart"/>
            <w:r w:rsidRPr="002437DD">
              <w:rPr>
                <w:color w:val="auto"/>
                <w:sz w:val="20"/>
                <w:szCs w:val="20"/>
                <w:lang w:val="en-US"/>
              </w:rPr>
              <w:t>organisation’s</w:t>
            </w:r>
            <w:proofErr w:type="spellEnd"/>
            <w:r w:rsidRPr="002437DD">
              <w:rPr>
                <w:color w:val="auto"/>
                <w:sz w:val="20"/>
                <w:szCs w:val="20"/>
                <w:lang w:val="en-US"/>
              </w:rPr>
              <w:t xml:space="preserve"> actions and its consequences for stakeholders</w:t>
            </w:r>
          </w:p>
        </w:tc>
        <w:tc>
          <w:tcPr>
            <w:tcW w:w="2734" w:type="dxa"/>
            <w:tcBorders>
              <w:top w:val="single" w:sz="4" w:space="0" w:color="auto"/>
              <w:left w:val="single" w:sz="4" w:space="0" w:color="auto"/>
              <w:bottom w:val="single" w:sz="4" w:space="0" w:color="auto"/>
              <w:right w:val="single" w:sz="4" w:space="0" w:color="auto"/>
            </w:tcBorders>
          </w:tcPr>
          <w:p w14:paraId="0D9333EF" w14:textId="77777777" w:rsidR="00974A02" w:rsidRPr="002437DD" w:rsidRDefault="00974A0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ethical concerns </w:t>
            </w:r>
          </w:p>
          <w:p w14:paraId="633C1723" w14:textId="77777777" w:rsidR="00974A02" w:rsidRPr="002437DD" w:rsidRDefault="00974A0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health and safety </w:t>
            </w:r>
          </w:p>
          <w:p w14:paraId="13508637" w14:textId="77777777" w:rsidR="00974A02" w:rsidRPr="002437DD" w:rsidRDefault="00974A0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prevention</w:t>
            </w:r>
          </w:p>
          <w:p w14:paraId="1339A00F" w14:textId="77777777" w:rsidR="00974A02" w:rsidRPr="002437DD" w:rsidRDefault="00974A0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win-win </w:t>
            </w:r>
          </w:p>
          <w:p w14:paraId="24BE1C25" w14:textId="77777777" w:rsidR="00974A02" w:rsidRPr="002437DD" w:rsidRDefault="00974A0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engagement </w:t>
            </w:r>
          </w:p>
          <w:p w14:paraId="57AE4B2B" w14:textId="2E081F71" w:rsidR="00974A02" w:rsidRPr="002437DD" w:rsidRDefault="00974A02" w:rsidP="001D387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responsible growth</w:t>
            </w:r>
          </w:p>
        </w:tc>
        <w:tc>
          <w:tcPr>
            <w:tcW w:w="2839" w:type="dxa"/>
            <w:tcBorders>
              <w:top w:val="single" w:sz="4" w:space="0" w:color="auto"/>
              <w:left w:val="single" w:sz="4" w:space="0" w:color="auto"/>
              <w:bottom w:val="single" w:sz="4" w:space="0" w:color="auto"/>
              <w:right w:val="single" w:sz="4" w:space="0" w:color="auto"/>
            </w:tcBorders>
            <w:hideMark/>
          </w:tcPr>
          <w:p w14:paraId="54869792" w14:textId="1EE45049" w:rsidR="00974A02" w:rsidRPr="002437DD" w:rsidRDefault="001D3872">
            <w:pPr>
              <w:jc w:val="left"/>
              <w:rPr>
                <w:color w:val="auto"/>
                <w:sz w:val="20"/>
                <w:szCs w:val="20"/>
                <w:lang w:val="en-US"/>
              </w:rPr>
            </w:pPr>
            <w:r w:rsidRPr="002437DD">
              <w:rPr>
                <w:color w:val="auto"/>
                <w:sz w:val="20"/>
                <w:szCs w:val="20"/>
                <w:lang w:val="en-US"/>
              </w:rPr>
              <w:t xml:space="preserve">sustain* lexemes semantically related to </w:t>
            </w:r>
            <w:proofErr w:type="spellStart"/>
            <w:r w:rsidRPr="002437DD">
              <w:rPr>
                <w:color w:val="auto"/>
                <w:sz w:val="20"/>
                <w:szCs w:val="20"/>
                <w:lang w:val="en-US"/>
              </w:rPr>
              <w:t>Brundtland’s</w:t>
            </w:r>
            <w:proofErr w:type="spellEnd"/>
            <w:r w:rsidRPr="002437DD">
              <w:rPr>
                <w:color w:val="auto"/>
                <w:sz w:val="20"/>
                <w:szCs w:val="20"/>
                <w:lang w:val="en-US"/>
              </w:rPr>
              <w:t xml:space="preserve"> definition</w:t>
            </w:r>
          </w:p>
        </w:tc>
      </w:tr>
      <w:tr w:rsidR="00974A02" w:rsidRPr="002437DD" w14:paraId="0166F365" w14:textId="77777777" w:rsidTr="00974A02">
        <w:tc>
          <w:tcPr>
            <w:tcW w:w="8516" w:type="dxa"/>
            <w:gridSpan w:val="3"/>
            <w:tcBorders>
              <w:top w:val="single" w:sz="4" w:space="0" w:color="auto"/>
              <w:left w:val="single" w:sz="4" w:space="0" w:color="auto"/>
              <w:bottom w:val="single" w:sz="4" w:space="0" w:color="auto"/>
              <w:right w:val="single" w:sz="4" w:space="0" w:color="auto"/>
            </w:tcBorders>
            <w:hideMark/>
          </w:tcPr>
          <w:p w14:paraId="215B0251" w14:textId="77777777" w:rsidR="001D3872" w:rsidRPr="002437DD" w:rsidRDefault="001D3872" w:rsidP="001D3872">
            <w:pPr>
              <w:jc w:val="center"/>
              <w:rPr>
                <w:color w:val="auto"/>
                <w:sz w:val="20"/>
                <w:szCs w:val="20"/>
                <w:lang w:val="en-US"/>
              </w:rPr>
            </w:pPr>
          </w:p>
          <w:p w14:paraId="05DCC464" w14:textId="16ADB73B" w:rsidR="00974A02" w:rsidRPr="002437DD" w:rsidRDefault="00974A02" w:rsidP="001D3872">
            <w:pPr>
              <w:jc w:val="center"/>
              <w:rPr>
                <w:color w:val="auto"/>
                <w:sz w:val="20"/>
                <w:szCs w:val="20"/>
                <w:lang w:val="en-US"/>
              </w:rPr>
            </w:pPr>
            <w:r w:rsidRPr="002437DD">
              <w:rPr>
                <w:color w:val="auto"/>
                <w:sz w:val="20"/>
                <w:szCs w:val="20"/>
                <w:lang w:val="en-US"/>
              </w:rPr>
              <w:t>Discursive orientation 2:</w:t>
            </w:r>
            <w:r w:rsidR="001D3872" w:rsidRPr="002437DD">
              <w:rPr>
                <w:color w:val="auto"/>
                <w:sz w:val="20"/>
                <w:szCs w:val="20"/>
                <w:lang w:val="en-US"/>
              </w:rPr>
              <w:t xml:space="preserve"> </w:t>
            </w:r>
            <w:proofErr w:type="spellStart"/>
            <w:r w:rsidR="001D3872" w:rsidRPr="002437DD">
              <w:rPr>
                <w:color w:val="auto"/>
                <w:sz w:val="20"/>
                <w:szCs w:val="20"/>
                <w:lang w:val="en-US"/>
              </w:rPr>
              <w:t>Particularised</w:t>
            </w:r>
            <w:proofErr w:type="spellEnd"/>
            <w:r w:rsidR="001D3872" w:rsidRPr="002437DD">
              <w:rPr>
                <w:color w:val="auto"/>
                <w:sz w:val="20"/>
                <w:szCs w:val="20"/>
                <w:lang w:val="en-US"/>
              </w:rPr>
              <w:t xml:space="preserve"> r</w:t>
            </w:r>
            <w:r w:rsidRPr="002437DD">
              <w:rPr>
                <w:color w:val="auto"/>
                <w:sz w:val="20"/>
                <w:szCs w:val="20"/>
                <w:lang w:val="en-US"/>
              </w:rPr>
              <w:t xml:space="preserve">epresentations of sustainability </w:t>
            </w:r>
          </w:p>
        </w:tc>
      </w:tr>
      <w:tr w:rsidR="00974A02" w:rsidRPr="002437DD" w14:paraId="669CDDDF" w14:textId="77777777" w:rsidTr="00974A02">
        <w:tc>
          <w:tcPr>
            <w:tcW w:w="2943" w:type="dxa"/>
            <w:tcBorders>
              <w:top w:val="single" w:sz="4" w:space="0" w:color="auto"/>
              <w:left w:val="single" w:sz="4" w:space="0" w:color="auto"/>
              <w:bottom w:val="single" w:sz="4" w:space="0" w:color="auto"/>
              <w:right w:val="single" w:sz="4" w:space="0" w:color="auto"/>
            </w:tcBorders>
          </w:tcPr>
          <w:p w14:paraId="65940C9B" w14:textId="77777777" w:rsidR="00974A02" w:rsidRPr="002437DD" w:rsidRDefault="00974A02" w:rsidP="001D3872">
            <w:pPr>
              <w:spacing w:line="276" w:lineRule="auto"/>
              <w:ind w:left="-76"/>
              <w:jc w:val="left"/>
              <w:rPr>
                <w:color w:val="auto"/>
                <w:sz w:val="20"/>
                <w:szCs w:val="20"/>
                <w:lang w:val="en-US"/>
              </w:rPr>
            </w:pPr>
            <w:r w:rsidRPr="002437DD">
              <w:rPr>
                <w:color w:val="auto"/>
                <w:sz w:val="20"/>
                <w:szCs w:val="20"/>
                <w:lang w:val="en-US"/>
              </w:rPr>
              <w:t xml:space="preserve">Representing the </w:t>
            </w:r>
            <w:proofErr w:type="spellStart"/>
            <w:r w:rsidRPr="002437DD">
              <w:rPr>
                <w:color w:val="auto"/>
                <w:sz w:val="20"/>
                <w:szCs w:val="20"/>
                <w:lang w:val="en-US"/>
              </w:rPr>
              <w:t>organisation</w:t>
            </w:r>
            <w:proofErr w:type="spellEnd"/>
            <w:r w:rsidRPr="002437DD">
              <w:rPr>
                <w:color w:val="auto"/>
                <w:sz w:val="20"/>
                <w:szCs w:val="20"/>
                <w:lang w:val="en-US"/>
              </w:rPr>
              <w:t xml:space="preserve"> as financially viable and profitable</w:t>
            </w:r>
          </w:p>
          <w:p w14:paraId="307A64E0" w14:textId="77777777" w:rsidR="001D3872" w:rsidRPr="002437DD" w:rsidRDefault="001D3872" w:rsidP="001D3872">
            <w:pPr>
              <w:spacing w:line="276" w:lineRule="auto"/>
              <w:ind w:left="-76"/>
              <w:jc w:val="left"/>
              <w:rPr>
                <w:color w:val="auto"/>
                <w:sz w:val="20"/>
                <w:szCs w:val="20"/>
                <w:lang w:val="en-US"/>
              </w:rPr>
            </w:pPr>
          </w:p>
          <w:p w14:paraId="7BB488DF" w14:textId="77777777" w:rsidR="00974A02" w:rsidRPr="002437DD" w:rsidRDefault="00974A02" w:rsidP="001D3872">
            <w:pPr>
              <w:spacing w:line="276" w:lineRule="auto"/>
              <w:ind w:left="-76"/>
              <w:jc w:val="left"/>
              <w:rPr>
                <w:color w:val="auto"/>
                <w:sz w:val="20"/>
                <w:szCs w:val="20"/>
                <w:lang w:val="en-US"/>
              </w:rPr>
            </w:pPr>
            <w:proofErr w:type="spellStart"/>
            <w:r w:rsidRPr="002437DD">
              <w:rPr>
                <w:color w:val="auto"/>
                <w:sz w:val="20"/>
                <w:szCs w:val="20"/>
                <w:lang w:val="en-US"/>
              </w:rPr>
              <w:t>Legitimising</w:t>
            </w:r>
            <w:proofErr w:type="spellEnd"/>
            <w:r w:rsidRPr="002437DD">
              <w:rPr>
                <w:color w:val="auto"/>
                <w:sz w:val="20"/>
                <w:szCs w:val="20"/>
                <w:lang w:val="en-US"/>
              </w:rPr>
              <w:t xml:space="preserve"> the company’s business strategy and its activities</w:t>
            </w:r>
          </w:p>
          <w:p w14:paraId="627CB3AD" w14:textId="77777777" w:rsidR="001D3872" w:rsidRPr="002437DD" w:rsidRDefault="001D3872" w:rsidP="001D3872">
            <w:pPr>
              <w:spacing w:line="276" w:lineRule="auto"/>
              <w:ind w:left="-76"/>
              <w:jc w:val="left"/>
              <w:rPr>
                <w:color w:val="auto"/>
                <w:sz w:val="20"/>
                <w:szCs w:val="20"/>
                <w:lang w:val="en-US"/>
              </w:rPr>
            </w:pPr>
          </w:p>
          <w:p w14:paraId="57F3D443" w14:textId="77777777" w:rsidR="00974A02" w:rsidRPr="002437DD" w:rsidRDefault="00974A02" w:rsidP="001D3872">
            <w:pPr>
              <w:spacing w:line="276" w:lineRule="auto"/>
              <w:ind w:left="-76"/>
              <w:jc w:val="left"/>
              <w:rPr>
                <w:color w:val="auto"/>
                <w:sz w:val="20"/>
                <w:szCs w:val="20"/>
                <w:lang w:val="en-US"/>
              </w:rPr>
            </w:pPr>
            <w:r w:rsidRPr="002437DD">
              <w:rPr>
                <w:color w:val="auto"/>
                <w:sz w:val="20"/>
                <w:szCs w:val="20"/>
                <w:lang w:val="en-US"/>
              </w:rPr>
              <w:t xml:space="preserve">Communicating and </w:t>
            </w:r>
            <w:proofErr w:type="gramStart"/>
            <w:r w:rsidRPr="002437DD">
              <w:rPr>
                <w:color w:val="auto"/>
                <w:sz w:val="20"/>
                <w:szCs w:val="20"/>
                <w:lang w:val="en-US"/>
              </w:rPr>
              <w:t>emphasizing  the</w:t>
            </w:r>
            <w:proofErr w:type="gramEnd"/>
            <w:r w:rsidRPr="002437DD">
              <w:rPr>
                <w:color w:val="auto"/>
                <w:sz w:val="20"/>
                <w:szCs w:val="20"/>
                <w:lang w:val="en-US"/>
              </w:rPr>
              <w:t xml:space="preserve"> ‘creation of value’ </w:t>
            </w:r>
          </w:p>
          <w:p w14:paraId="4022F4EB" w14:textId="77777777" w:rsidR="00974A02" w:rsidRPr="002437DD" w:rsidRDefault="00974A02" w:rsidP="001D3872">
            <w:pPr>
              <w:spacing w:line="276" w:lineRule="auto"/>
              <w:jc w:val="left"/>
              <w:rPr>
                <w:color w:val="auto"/>
                <w:sz w:val="20"/>
                <w:szCs w:val="20"/>
                <w:lang w:val="en-US"/>
              </w:rPr>
            </w:pPr>
          </w:p>
        </w:tc>
        <w:tc>
          <w:tcPr>
            <w:tcW w:w="2734" w:type="dxa"/>
            <w:tcBorders>
              <w:top w:val="single" w:sz="4" w:space="0" w:color="auto"/>
              <w:left w:val="single" w:sz="4" w:space="0" w:color="auto"/>
              <w:bottom w:val="single" w:sz="4" w:space="0" w:color="auto"/>
              <w:right w:val="single" w:sz="4" w:space="0" w:color="auto"/>
            </w:tcBorders>
            <w:hideMark/>
          </w:tcPr>
          <w:p w14:paraId="6505DD92" w14:textId="2D120F32" w:rsidR="001D3872" w:rsidRPr="002437DD" w:rsidRDefault="00974A02" w:rsidP="001D3872">
            <w:pPr>
              <w:ind w:left="-42"/>
              <w:jc w:val="left"/>
              <w:rPr>
                <w:color w:val="auto"/>
                <w:sz w:val="20"/>
                <w:szCs w:val="20"/>
                <w:lang w:val="en-US"/>
              </w:rPr>
            </w:pPr>
            <w:proofErr w:type="spellStart"/>
            <w:r w:rsidRPr="002437DD">
              <w:rPr>
                <w:color w:val="auto"/>
                <w:sz w:val="20"/>
                <w:szCs w:val="20"/>
                <w:lang w:val="en-US"/>
              </w:rPr>
              <w:lastRenderedPageBreak/>
              <w:t>Topos</w:t>
            </w:r>
            <w:proofErr w:type="spellEnd"/>
            <w:r w:rsidRPr="002437DD">
              <w:rPr>
                <w:color w:val="auto"/>
                <w:sz w:val="20"/>
                <w:szCs w:val="20"/>
                <w:lang w:val="en-US"/>
              </w:rPr>
              <w:t xml:space="preserve"> of value</w:t>
            </w:r>
          </w:p>
          <w:p w14:paraId="51BB2067" w14:textId="77777777" w:rsidR="00974A02" w:rsidRPr="002437DD" w:rsidRDefault="00974A02" w:rsidP="001D387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growth</w:t>
            </w:r>
          </w:p>
          <w:p w14:paraId="12D6F6F9" w14:textId="77777777" w:rsidR="00974A02" w:rsidRPr="002437DD" w:rsidRDefault="00974A02" w:rsidP="001D387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trickle down</w:t>
            </w:r>
          </w:p>
          <w:p w14:paraId="5BCD62FB" w14:textId="77777777" w:rsidR="00974A02" w:rsidRPr="002437DD" w:rsidRDefault="00974A02" w:rsidP="001D387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business strategy</w:t>
            </w:r>
          </w:p>
          <w:p w14:paraId="715B1DAF" w14:textId="77777777" w:rsidR="00974A02" w:rsidRPr="002437DD" w:rsidRDefault="00974A02" w:rsidP="001D3872">
            <w:pPr>
              <w:ind w:left="-42"/>
              <w:jc w:val="left"/>
              <w:rPr>
                <w:color w:val="auto"/>
                <w:sz w:val="20"/>
                <w:szCs w:val="20"/>
                <w:lang w:val="en-US"/>
              </w:rPr>
            </w:pPr>
            <w:proofErr w:type="spellStart"/>
            <w:r w:rsidRPr="002437DD">
              <w:rPr>
                <w:color w:val="auto"/>
                <w:sz w:val="20"/>
                <w:szCs w:val="20"/>
                <w:lang w:val="en-US"/>
              </w:rPr>
              <w:lastRenderedPageBreak/>
              <w:t>Topos</w:t>
            </w:r>
            <w:proofErr w:type="spellEnd"/>
            <w:r w:rsidRPr="002437DD">
              <w:rPr>
                <w:color w:val="auto"/>
                <w:sz w:val="20"/>
                <w:szCs w:val="20"/>
                <w:lang w:val="en-US"/>
              </w:rPr>
              <w:t xml:space="preserve"> of financial and commercial viability</w:t>
            </w:r>
          </w:p>
          <w:p w14:paraId="4F8EAEFF" w14:textId="77777777" w:rsidR="00974A02" w:rsidRPr="002437DD" w:rsidRDefault="00974A02" w:rsidP="001D387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competitiveness</w:t>
            </w:r>
          </w:p>
          <w:p w14:paraId="2FDC402F" w14:textId="77777777" w:rsidR="00974A02" w:rsidRPr="002437DD" w:rsidRDefault="00974A02" w:rsidP="001D3872">
            <w:pPr>
              <w:ind w:left="-42"/>
              <w:jc w:val="left"/>
              <w:rPr>
                <w:color w:val="auto"/>
                <w:sz w:val="20"/>
                <w:szCs w:val="20"/>
                <w:lang w:val="en-US"/>
              </w:rPr>
            </w:pPr>
            <w:proofErr w:type="spellStart"/>
            <w:r w:rsidRPr="002437DD">
              <w:rPr>
                <w:color w:val="auto"/>
                <w:sz w:val="20"/>
                <w:szCs w:val="20"/>
                <w:lang w:val="en-US"/>
              </w:rPr>
              <w:t>Topos</w:t>
            </w:r>
            <w:proofErr w:type="spellEnd"/>
            <w:r w:rsidRPr="002437DD">
              <w:rPr>
                <w:color w:val="auto"/>
                <w:sz w:val="20"/>
                <w:szCs w:val="20"/>
                <w:lang w:val="en-US"/>
              </w:rPr>
              <w:t xml:space="preserve"> of return</w:t>
            </w:r>
          </w:p>
        </w:tc>
        <w:tc>
          <w:tcPr>
            <w:tcW w:w="2839" w:type="dxa"/>
            <w:tcBorders>
              <w:top w:val="single" w:sz="4" w:space="0" w:color="auto"/>
              <w:left w:val="single" w:sz="4" w:space="0" w:color="auto"/>
              <w:bottom w:val="single" w:sz="4" w:space="0" w:color="auto"/>
              <w:right w:val="single" w:sz="4" w:space="0" w:color="auto"/>
            </w:tcBorders>
          </w:tcPr>
          <w:p w14:paraId="2F9712DB" w14:textId="77777777" w:rsidR="00974A02" w:rsidRPr="002437DD" w:rsidRDefault="00974A02" w:rsidP="001D3872">
            <w:pPr>
              <w:spacing w:line="276" w:lineRule="auto"/>
              <w:ind w:left="-83"/>
              <w:jc w:val="left"/>
              <w:rPr>
                <w:color w:val="auto"/>
                <w:sz w:val="20"/>
                <w:szCs w:val="20"/>
                <w:lang w:val="en-US"/>
              </w:rPr>
            </w:pPr>
            <w:r w:rsidRPr="002437DD">
              <w:rPr>
                <w:color w:val="auto"/>
                <w:sz w:val="20"/>
                <w:szCs w:val="20"/>
                <w:lang w:val="en-US"/>
              </w:rPr>
              <w:lastRenderedPageBreak/>
              <w:t xml:space="preserve">Semantic ambiguity, </w:t>
            </w:r>
            <w:proofErr w:type="spellStart"/>
            <w:r w:rsidRPr="002437DD">
              <w:rPr>
                <w:color w:val="auto"/>
                <w:sz w:val="20"/>
                <w:szCs w:val="20"/>
                <w:lang w:val="en-US"/>
              </w:rPr>
              <w:t>particularisation</w:t>
            </w:r>
            <w:proofErr w:type="spellEnd"/>
            <w:r w:rsidRPr="002437DD">
              <w:rPr>
                <w:color w:val="auto"/>
                <w:sz w:val="20"/>
                <w:szCs w:val="20"/>
                <w:lang w:val="en-US"/>
              </w:rPr>
              <w:t>, and self-</w:t>
            </w:r>
            <w:proofErr w:type="spellStart"/>
            <w:r w:rsidRPr="002437DD">
              <w:rPr>
                <w:color w:val="auto"/>
                <w:sz w:val="20"/>
                <w:szCs w:val="20"/>
                <w:lang w:val="en-US"/>
              </w:rPr>
              <w:t>referentiality</w:t>
            </w:r>
            <w:proofErr w:type="spellEnd"/>
            <w:r w:rsidRPr="002437DD">
              <w:rPr>
                <w:color w:val="auto"/>
                <w:sz w:val="20"/>
                <w:szCs w:val="20"/>
                <w:lang w:val="en-US"/>
              </w:rPr>
              <w:t xml:space="preserve"> of sustain* lexemes </w:t>
            </w:r>
          </w:p>
          <w:p w14:paraId="51BB35D9" w14:textId="77777777" w:rsidR="00974A02" w:rsidRPr="002437DD" w:rsidRDefault="00974A02" w:rsidP="001D3872">
            <w:pPr>
              <w:spacing w:line="276" w:lineRule="auto"/>
              <w:ind w:left="-83"/>
              <w:jc w:val="left"/>
              <w:rPr>
                <w:color w:val="auto"/>
                <w:sz w:val="20"/>
                <w:szCs w:val="20"/>
                <w:lang w:val="en-US"/>
              </w:rPr>
            </w:pPr>
            <w:proofErr w:type="spellStart"/>
            <w:r w:rsidRPr="002437DD">
              <w:rPr>
                <w:color w:val="auto"/>
                <w:sz w:val="20"/>
                <w:szCs w:val="20"/>
                <w:lang w:val="en-US"/>
              </w:rPr>
              <w:t>Metonomy</w:t>
            </w:r>
            <w:proofErr w:type="spellEnd"/>
            <w:r w:rsidRPr="002437DD">
              <w:rPr>
                <w:color w:val="auto"/>
                <w:sz w:val="20"/>
                <w:szCs w:val="20"/>
                <w:lang w:val="en-US"/>
              </w:rPr>
              <w:t xml:space="preserve"> of </w:t>
            </w:r>
            <w:r w:rsidRPr="002437DD">
              <w:rPr>
                <w:i/>
                <w:color w:val="auto"/>
                <w:sz w:val="20"/>
                <w:szCs w:val="20"/>
                <w:lang w:val="en-US"/>
              </w:rPr>
              <w:t>growth</w:t>
            </w:r>
            <w:r w:rsidRPr="002437DD">
              <w:rPr>
                <w:color w:val="auto"/>
                <w:sz w:val="20"/>
                <w:szCs w:val="20"/>
                <w:lang w:val="en-US"/>
              </w:rPr>
              <w:t xml:space="preserve"> for </w:t>
            </w:r>
            <w:r w:rsidRPr="002437DD">
              <w:rPr>
                <w:i/>
                <w:color w:val="auto"/>
                <w:sz w:val="20"/>
                <w:szCs w:val="20"/>
                <w:lang w:val="en-US"/>
              </w:rPr>
              <w:t>development</w:t>
            </w:r>
            <w:r w:rsidRPr="002437DD">
              <w:rPr>
                <w:color w:val="auto"/>
                <w:sz w:val="20"/>
                <w:szCs w:val="20"/>
                <w:lang w:val="en-US"/>
              </w:rPr>
              <w:t xml:space="preserve"> </w:t>
            </w:r>
          </w:p>
          <w:p w14:paraId="160D9AF4" w14:textId="77777777" w:rsidR="00974A02" w:rsidRPr="002437DD" w:rsidRDefault="00974A02" w:rsidP="001D3872">
            <w:pPr>
              <w:spacing w:line="276" w:lineRule="auto"/>
              <w:ind w:left="-83"/>
              <w:jc w:val="left"/>
              <w:rPr>
                <w:color w:val="auto"/>
                <w:sz w:val="20"/>
                <w:szCs w:val="20"/>
                <w:lang w:val="en-US"/>
              </w:rPr>
            </w:pPr>
            <w:proofErr w:type="spellStart"/>
            <w:r w:rsidRPr="002437DD">
              <w:rPr>
                <w:color w:val="auto"/>
                <w:sz w:val="20"/>
                <w:szCs w:val="20"/>
                <w:lang w:val="en-US"/>
              </w:rPr>
              <w:t>Particularised</w:t>
            </w:r>
            <w:proofErr w:type="spellEnd"/>
            <w:r w:rsidRPr="002437DD">
              <w:rPr>
                <w:color w:val="auto"/>
                <w:sz w:val="20"/>
                <w:szCs w:val="20"/>
                <w:lang w:val="en-US"/>
              </w:rPr>
              <w:t xml:space="preserve"> </w:t>
            </w:r>
            <w:proofErr w:type="spellStart"/>
            <w:proofErr w:type="gramStart"/>
            <w:r w:rsidRPr="002437DD">
              <w:rPr>
                <w:color w:val="auto"/>
                <w:sz w:val="20"/>
                <w:szCs w:val="20"/>
                <w:lang w:val="en-US"/>
              </w:rPr>
              <w:lastRenderedPageBreak/>
              <w:t>recontextualisation</w:t>
            </w:r>
            <w:proofErr w:type="spellEnd"/>
            <w:r w:rsidRPr="002437DD">
              <w:rPr>
                <w:color w:val="auto"/>
                <w:sz w:val="20"/>
                <w:szCs w:val="20"/>
                <w:lang w:val="en-US"/>
              </w:rPr>
              <w:t xml:space="preserve">  of</w:t>
            </w:r>
            <w:proofErr w:type="gramEnd"/>
            <w:r w:rsidRPr="002437DD">
              <w:rPr>
                <w:color w:val="auto"/>
                <w:sz w:val="20"/>
                <w:szCs w:val="20"/>
                <w:lang w:val="en-US"/>
              </w:rPr>
              <w:t xml:space="preserve"> </w:t>
            </w:r>
            <w:proofErr w:type="spellStart"/>
            <w:r w:rsidRPr="002437DD">
              <w:rPr>
                <w:color w:val="auto"/>
                <w:sz w:val="20"/>
                <w:szCs w:val="20"/>
                <w:lang w:val="en-US"/>
              </w:rPr>
              <w:t>Brundtland’s</w:t>
            </w:r>
            <w:proofErr w:type="spellEnd"/>
            <w:r w:rsidRPr="002437DD">
              <w:rPr>
                <w:color w:val="auto"/>
                <w:sz w:val="20"/>
                <w:szCs w:val="20"/>
                <w:lang w:val="en-US"/>
              </w:rPr>
              <w:t xml:space="preserve"> definition</w:t>
            </w:r>
          </w:p>
          <w:p w14:paraId="442BFD2F" w14:textId="464E576B" w:rsidR="00974A02" w:rsidRPr="002437DD" w:rsidRDefault="00974A02" w:rsidP="001D3872">
            <w:pPr>
              <w:spacing w:line="276" w:lineRule="auto"/>
              <w:ind w:left="-83"/>
              <w:jc w:val="left"/>
              <w:rPr>
                <w:color w:val="auto"/>
                <w:sz w:val="20"/>
                <w:szCs w:val="20"/>
                <w:lang w:val="en-US"/>
              </w:rPr>
            </w:pPr>
            <w:proofErr w:type="spellStart"/>
            <w:r w:rsidRPr="002437DD">
              <w:rPr>
                <w:color w:val="auto"/>
                <w:sz w:val="20"/>
                <w:szCs w:val="20"/>
                <w:lang w:val="en-US"/>
              </w:rPr>
              <w:t>Particularising</w:t>
            </w:r>
            <w:proofErr w:type="spellEnd"/>
            <w:r w:rsidRPr="002437DD">
              <w:rPr>
                <w:color w:val="auto"/>
                <w:sz w:val="20"/>
                <w:szCs w:val="20"/>
                <w:lang w:val="en-US"/>
              </w:rPr>
              <w:t xml:space="preserve"> the beneficiaries of sustainability (shareholders for stakeholders)</w:t>
            </w:r>
          </w:p>
        </w:tc>
      </w:tr>
    </w:tbl>
    <w:p w14:paraId="401E3A22" w14:textId="77777777" w:rsidR="00974A02" w:rsidRPr="002437DD" w:rsidRDefault="00974A02" w:rsidP="00BB40FF">
      <w:pPr>
        <w:rPr>
          <w:color w:val="auto"/>
        </w:rPr>
      </w:pPr>
    </w:p>
    <w:p w14:paraId="363B929E" w14:textId="77777777" w:rsidR="00EE7D4A" w:rsidRPr="002437DD" w:rsidRDefault="00EE7D4A" w:rsidP="00CB272D">
      <w:pPr>
        <w:pStyle w:val="Heading1"/>
        <w:rPr>
          <w:color w:val="auto"/>
        </w:rPr>
      </w:pPr>
      <w:bookmarkStart w:id="11" w:name="_Ref418158881"/>
      <w:r w:rsidRPr="002437DD">
        <w:rPr>
          <w:color w:val="auto"/>
        </w:rPr>
        <w:t>Conclusions</w:t>
      </w:r>
      <w:bookmarkEnd w:id="11"/>
    </w:p>
    <w:p w14:paraId="26749762" w14:textId="77777777" w:rsidR="00EE7D4A" w:rsidRPr="002437DD" w:rsidRDefault="00EE7D4A" w:rsidP="00BB40FF">
      <w:pPr>
        <w:rPr>
          <w:color w:val="auto"/>
        </w:rPr>
      </w:pPr>
    </w:p>
    <w:p w14:paraId="6414489E" w14:textId="1BCBB91A" w:rsidR="00F07204" w:rsidRDefault="00EE7D4A" w:rsidP="00BB40FF">
      <w:pPr>
        <w:rPr>
          <w:color w:val="auto"/>
        </w:rPr>
      </w:pPr>
      <w:r w:rsidRPr="002437DD">
        <w:rPr>
          <w:color w:val="auto"/>
        </w:rPr>
        <w:t xml:space="preserve">This paper analysed a sample of early </w:t>
      </w:r>
      <w:r w:rsidR="002A34E2">
        <w:rPr>
          <w:color w:val="auto"/>
        </w:rPr>
        <w:t>IRs</w:t>
      </w:r>
      <w:r w:rsidRPr="002437DD">
        <w:rPr>
          <w:color w:val="auto"/>
        </w:rPr>
        <w:t>, treating them as emer</w:t>
      </w:r>
      <w:r w:rsidR="003F329F" w:rsidRPr="002437DD">
        <w:rPr>
          <w:color w:val="auto"/>
        </w:rPr>
        <w:t xml:space="preserve">ging forms of hybrid genres producing and consuming </w:t>
      </w:r>
      <w:r w:rsidRPr="002437DD">
        <w:rPr>
          <w:color w:val="auto"/>
        </w:rPr>
        <w:t xml:space="preserve">mixed discourses. Our general aim was to identify processes of </w:t>
      </w:r>
      <w:proofErr w:type="spellStart"/>
      <w:r w:rsidRPr="002437DD">
        <w:rPr>
          <w:color w:val="auto"/>
        </w:rPr>
        <w:t>recontextualisation</w:t>
      </w:r>
      <w:proofErr w:type="spellEnd"/>
      <w:r w:rsidRPr="002437DD">
        <w:rPr>
          <w:color w:val="auto"/>
        </w:rPr>
        <w:t xml:space="preserve"> by establishing, in particular, how sustainability was discursively represented and how it related to other discourses. Our analysis was conducted at both lexical-semantic and discursive-pragmatic levels. The lexical-semantic analysis suggested that lexemes related to </w:t>
      </w:r>
      <w:r w:rsidRPr="002437DD">
        <w:rPr>
          <w:i/>
          <w:color w:val="auto"/>
        </w:rPr>
        <w:t>sustain*</w:t>
      </w:r>
      <w:r w:rsidRPr="002437DD">
        <w:rPr>
          <w:color w:val="auto"/>
        </w:rPr>
        <w:t xml:space="preserve"> were primarily deployed in relation to organisational perspectives. We found that the semantic orientation of </w:t>
      </w:r>
      <w:r w:rsidRPr="002437DD">
        <w:rPr>
          <w:i/>
          <w:color w:val="auto"/>
        </w:rPr>
        <w:t xml:space="preserve">sustain* </w:t>
      </w:r>
      <w:r w:rsidRPr="002437DD">
        <w:rPr>
          <w:color w:val="auto"/>
        </w:rPr>
        <w:t xml:space="preserve">was partial to a particularisation of meaning which restricted its relevance to an internal, corporate-centric interpretation. In other words, </w:t>
      </w:r>
      <w:r w:rsidRPr="002437DD">
        <w:rPr>
          <w:i/>
          <w:color w:val="auto"/>
        </w:rPr>
        <w:t xml:space="preserve">sustain* </w:t>
      </w:r>
      <w:r w:rsidRPr="002437DD">
        <w:rPr>
          <w:color w:val="auto"/>
        </w:rPr>
        <w:t xml:space="preserve">terms were primarily attributed to the organisation and they were primarily used as synonyms for prolonged, durable, and profitable business rather than relating to social or environmental issues. </w:t>
      </w:r>
    </w:p>
    <w:p w14:paraId="50EFA232" w14:textId="77777777" w:rsidR="000A23E2" w:rsidRPr="002437DD" w:rsidRDefault="000A23E2" w:rsidP="00BB40FF">
      <w:pPr>
        <w:rPr>
          <w:color w:val="auto"/>
        </w:rPr>
      </w:pPr>
    </w:p>
    <w:p w14:paraId="6989929C" w14:textId="77777777" w:rsidR="000A23E2" w:rsidRDefault="00EE7D4A" w:rsidP="00BB40FF">
      <w:pPr>
        <w:rPr>
          <w:color w:val="auto"/>
        </w:rPr>
      </w:pPr>
      <w:r w:rsidRPr="002437DD">
        <w:rPr>
          <w:color w:val="auto"/>
        </w:rPr>
        <w:t>Likewise,</w:t>
      </w:r>
      <w:r w:rsidR="00F07204" w:rsidRPr="002437DD">
        <w:rPr>
          <w:color w:val="auto"/>
        </w:rPr>
        <w:t xml:space="preserve"> t</w:t>
      </w:r>
      <w:r w:rsidR="00A47E98" w:rsidRPr="002437DD">
        <w:rPr>
          <w:color w:val="auto"/>
        </w:rPr>
        <w:t>he discourse-pragmatic analysis revealed that discourses of sustainability were often constructed around internal</w:t>
      </w:r>
      <w:r w:rsidR="00F07204" w:rsidRPr="002437DD">
        <w:rPr>
          <w:color w:val="auto"/>
        </w:rPr>
        <w:t xml:space="preserve"> and particularised, </w:t>
      </w:r>
      <w:r w:rsidR="0076558F" w:rsidRPr="002437DD">
        <w:rPr>
          <w:color w:val="auto"/>
        </w:rPr>
        <w:t>more</w:t>
      </w:r>
      <w:r w:rsidR="00F07204" w:rsidRPr="002437DD">
        <w:rPr>
          <w:color w:val="auto"/>
        </w:rPr>
        <w:t xml:space="preserve"> than external and holistic discursive orientations</w:t>
      </w:r>
      <w:r w:rsidR="00804542">
        <w:rPr>
          <w:color w:val="auto"/>
        </w:rPr>
        <w:t xml:space="preserve">. </w:t>
      </w:r>
      <w:r w:rsidR="007E2C10" w:rsidRPr="002437DD">
        <w:rPr>
          <w:color w:val="auto"/>
        </w:rPr>
        <w:t>Our analysis suggested that</w:t>
      </w:r>
      <w:r w:rsidR="00704FA9" w:rsidRPr="002437DD">
        <w:rPr>
          <w:color w:val="auto"/>
        </w:rPr>
        <w:t>,</w:t>
      </w:r>
      <w:r w:rsidR="007E2C10" w:rsidRPr="002437DD">
        <w:rPr>
          <w:color w:val="auto"/>
        </w:rPr>
        <w:t xml:space="preserve"> within th</w:t>
      </w:r>
      <w:r w:rsidR="00804542">
        <w:rPr>
          <w:color w:val="auto"/>
        </w:rPr>
        <w:t>e</w:t>
      </w:r>
      <w:r w:rsidR="007E2C10" w:rsidRPr="002437DD">
        <w:rPr>
          <w:color w:val="auto"/>
        </w:rPr>
        <w:t xml:space="preserve"> </w:t>
      </w:r>
      <w:r w:rsidR="00804542">
        <w:rPr>
          <w:color w:val="auto"/>
        </w:rPr>
        <w:t xml:space="preserve">IR </w:t>
      </w:r>
      <w:r w:rsidR="007E2C10" w:rsidRPr="002437DD">
        <w:rPr>
          <w:color w:val="auto"/>
        </w:rPr>
        <w:t>discursive mix</w:t>
      </w:r>
      <w:r w:rsidR="00224D4B" w:rsidRPr="002437DD">
        <w:rPr>
          <w:color w:val="auto"/>
        </w:rPr>
        <w:t xml:space="preserve"> and driven by macro topoi of growth, performance, and value (for shareholder)</w:t>
      </w:r>
      <w:r w:rsidR="00704FA9" w:rsidRPr="002437DD">
        <w:rPr>
          <w:color w:val="auto"/>
        </w:rPr>
        <w:t>,</w:t>
      </w:r>
      <w:r w:rsidR="00224D4B" w:rsidRPr="002437DD">
        <w:rPr>
          <w:color w:val="auto"/>
        </w:rPr>
        <w:t xml:space="preserve"> </w:t>
      </w:r>
      <w:r w:rsidR="007E2C10" w:rsidRPr="002437DD">
        <w:rPr>
          <w:color w:val="auto"/>
        </w:rPr>
        <w:t xml:space="preserve">organisations appropriated discourses of sustainability to primarily represent themselves as being or becoming </w:t>
      </w:r>
      <w:r w:rsidR="007E2C10" w:rsidRPr="002437DD">
        <w:rPr>
          <w:color w:val="auto"/>
        </w:rPr>
        <w:lastRenderedPageBreak/>
        <w:t>(financially, economically, and commercially)</w:t>
      </w:r>
      <w:r w:rsidR="00224D4B" w:rsidRPr="002437DD">
        <w:rPr>
          <w:color w:val="auto"/>
        </w:rPr>
        <w:t xml:space="preserve"> sustainable</w:t>
      </w:r>
      <w:r w:rsidR="007E2C10" w:rsidRPr="002437DD">
        <w:rPr>
          <w:color w:val="auto"/>
        </w:rPr>
        <w:t xml:space="preserve"> and </w:t>
      </w:r>
      <w:r w:rsidR="00224D4B" w:rsidRPr="002437DD">
        <w:rPr>
          <w:color w:val="auto"/>
        </w:rPr>
        <w:t>to characterise certain actions or decisions that would benefit shareholders as sustainable</w:t>
      </w:r>
      <w:r w:rsidR="00FC5884" w:rsidRPr="002437DD">
        <w:rPr>
          <w:color w:val="auto"/>
        </w:rPr>
        <w:t>,</w:t>
      </w:r>
      <w:r w:rsidR="00224D4B" w:rsidRPr="002437DD">
        <w:rPr>
          <w:color w:val="auto"/>
        </w:rPr>
        <w:t xml:space="preserve"> thus </w:t>
      </w:r>
      <w:r w:rsidR="00FC5884" w:rsidRPr="002437DD">
        <w:rPr>
          <w:color w:val="auto"/>
        </w:rPr>
        <w:t>(</w:t>
      </w:r>
      <w:r w:rsidR="00704FA9" w:rsidRPr="002437DD">
        <w:rPr>
          <w:color w:val="auto"/>
        </w:rPr>
        <w:t>re</w:t>
      </w:r>
      <w:r w:rsidR="00FC5884" w:rsidRPr="002437DD">
        <w:rPr>
          <w:color w:val="auto"/>
        </w:rPr>
        <w:t>)</w:t>
      </w:r>
      <w:r w:rsidR="00704FA9" w:rsidRPr="002437DD">
        <w:rPr>
          <w:color w:val="auto"/>
        </w:rPr>
        <w:t>constructing</w:t>
      </w:r>
      <w:r w:rsidR="00224D4B" w:rsidRPr="002437DD">
        <w:rPr>
          <w:color w:val="auto"/>
        </w:rPr>
        <w:t xml:space="preserve"> sustainability as the company’s own growth and profitability. </w:t>
      </w:r>
    </w:p>
    <w:p w14:paraId="377BDBAE" w14:textId="77777777" w:rsidR="000A23E2" w:rsidRDefault="000A23E2" w:rsidP="00BB40FF">
      <w:pPr>
        <w:rPr>
          <w:color w:val="auto"/>
        </w:rPr>
      </w:pPr>
    </w:p>
    <w:p w14:paraId="45C6B398" w14:textId="4CEBB8E0" w:rsidR="00FD3592" w:rsidRDefault="00484CD6" w:rsidP="00FD3592">
      <w:pPr>
        <w:rPr>
          <w:color w:val="auto"/>
        </w:rPr>
      </w:pPr>
      <w:r>
        <w:rPr>
          <w:color w:val="auto"/>
        </w:rPr>
        <w:t xml:space="preserve">Overall, </w:t>
      </w:r>
      <w:r>
        <w:t>d</w:t>
      </w:r>
      <w:r>
        <w:rPr>
          <w:color w:val="auto"/>
        </w:rPr>
        <w:t xml:space="preserve">iscourses of sustainability were frequently mixed with, embedded in, and bent towards financial and macro economic propositions to suit specific organisational narratives and </w:t>
      </w:r>
      <w:r>
        <w:t>communicative purposes</w:t>
      </w:r>
      <w:r>
        <w:rPr>
          <w:color w:val="auto"/>
        </w:rPr>
        <w:t xml:space="preserve"> (i.e.</w:t>
      </w:r>
      <w:r>
        <w:t xml:space="preserve"> </w:t>
      </w:r>
      <w:r w:rsidR="003B5885">
        <w:t>legitimising the</w:t>
      </w:r>
      <w:r w:rsidR="004E1B6F">
        <w:t xml:space="preserve"> organisation in the marketplace</w:t>
      </w:r>
      <w:r>
        <w:rPr>
          <w:color w:val="auto"/>
        </w:rPr>
        <w:t>)</w:t>
      </w:r>
      <w:r w:rsidR="000A23E2">
        <w:rPr>
          <w:color w:val="auto"/>
        </w:rPr>
        <w:t xml:space="preserve"> with the widespread </w:t>
      </w:r>
      <w:proofErr w:type="spellStart"/>
      <w:r w:rsidR="000A23E2">
        <w:rPr>
          <w:color w:val="auto"/>
        </w:rPr>
        <w:t>recontextualisation</w:t>
      </w:r>
      <w:proofErr w:type="spellEnd"/>
      <w:r w:rsidR="000A23E2">
        <w:rPr>
          <w:color w:val="auto"/>
        </w:rPr>
        <w:t xml:space="preserve"> of </w:t>
      </w:r>
      <w:r w:rsidR="000A23E2" w:rsidRPr="00E174FE">
        <w:rPr>
          <w:i/>
          <w:color w:val="auto"/>
        </w:rPr>
        <w:t>development</w:t>
      </w:r>
      <w:r w:rsidR="000A23E2">
        <w:rPr>
          <w:color w:val="auto"/>
        </w:rPr>
        <w:t xml:space="preserve"> as </w:t>
      </w:r>
      <w:r w:rsidR="000A23E2" w:rsidRPr="00E174FE">
        <w:rPr>
          <w:i/>
          <w:color w:val="auto"/>
        </w:rPr>
        <w:t>growth</w:t>
      </w:r>
      <w:r w:rsidR="000A23E2">
        <w:rPr>
          <w:color w:val="auto"/>
        </w:rPr>
        <w:t xml:space="preserve"> in most discourses</w:t>
      </w:r>
      <w:r>
        <w:rPr>
          <w:color w:val="auto"/>
        </w:rPr>
        <w:t xml:space="preserve">. </w:t>
      </w:r>
      <w:r>
        <w:t>In particular our analysis has highlighted how</w:t>
      </w:r>
      <w:r w:rsidR="00266EA0">
        <w:t xml:space="preserve"> in IRs</w:t>
      </w:r>
      <w:r>
        <w:t xml:space="preserve"> </w:t>
      </w:r>
      <w:r w:rsidR="00266EA0">
        <w:t>‘</w:t>
      </w:r>
      <w:r>
        <w:t>sustainability talk</w:t>
      </w:r>
      <w:r w:rsidR="00266EA0">
        <w:t>’</w:t>
      </w:r>
      <w:r>
        <w:t xml:space="preserve"> was appropriated as a legitimacy tool in the rhetorical process of validating the organisatio</w:t>
      </w:r>
      <w:r w:rsidR="005378A8">
        <w:t>n</w:t>
      </w:r>
      <w:r>
        <w:t>s</w:t>
      </w:r>
      <w:r w:rsidR="005378A8">
        <w:t>’</w:t>
      </w:r>
      <w:r>
        <w:t xml:space="preserve"> activities and portraying the organisation as </w:t>
      </w:r>
      <w:r w:rsidR="00266EA0">
        <w:t xml:space="preserve">a </w:t>
      </w:r>
      <w:r w:rsidR="003B5885">
        <w:t>trustworthy</w:t>
      </w:r>
      <w:r w:rsidR="004E1B6F">
        <w:t xml:space="preserve"> </w:t>
      </w:r>
      <w:r w:rsidR="00266EA0">
        <w:t>agent in the eyes of external audiences</w:t>
      </w:r>
      <w:r w:rsidR="00E83BC5">
        <w:t xml:space="preserve"> (often realised through discursive strategies of </w:t>
      </w:r>
      <w:r w:rsidR="00E83BC5" w:rsidRPr="00E23AC4">
        <w:t>emphasizing the ‘creation of value’</w:t>
      </w:r>
      <w:r w:rsidR="00E83BC5">
        <w:t>).</w:t>
      </w:r>
      <w:r w:rsidR="002A34E2">
        <w:t xml:space="preserve"> O</w:t>
      </w:r>
      <w:r w:rsidR="00266EA0">
        <w:t>ur investigation has also</w:t>
      </w:r>
      <w:r>
        <w:t xml:space="preserve"> suggest</w:t>
      </w:r>
      <w:r w:rsidR="00266EA0">
        <w:t>ed</w:t>
      </w:r>
      <w:r>
        <w:t xml:space="preserve"> that rhetorical processes involved in the construction of IRs appear to be informed by </w:t>
      </w:r>
      <w:r w:rsidR="004E1B6F">
        <w:t xml:space="preserve">distinct </w:t>
      </w:r>
      <w:r>
        <w:t>socio</w:t>
      </w:r>
      <w:r w:rsidR="00266EA0">
        <w:t>-</w:t>
      </w:r>
      <w:r>
        <w:t>co</w:t>
      </w:r>
      <w:r w:rsidR="004E1B6F">
        <w:t xml:space="preserve">gnitive schemas of ‘investment’, </w:t>
      </w:r>
      <w:r>
        <w:t>‘return’</w:t>
      </w:r>
      <w:r w:rsidR="004E1B6F">
        <w:t>, and ‘value’</w:t>
      </w:r>
      <w:r>
        <w:t xml:space="preserve"> on which the financial </w:t>
      </w:r>
      <w:r w:rsidR="004E1B6F">
        <w:t xml:space="preserve">and accounting </w:t>
      </w:r>
      <w:r>
        <w:t>communit</w:t>
      </w:r>
      <w:r w:rsidR="004E1B6F">
        <w:t xml:space="preserve">ies </w:t>
      </w:r>
      <w:r>
        <w:t xml:space="preserve">of practice rely on to interpret discourses of sustainability (as </w:t>
      </w:r>
      <w:r w:rsidR="00266EA0">
        <w:t xml:space="preserve">supported by the use of </w:t>
      </w:r>
      <w:r>
        <w:t>topoi of growth, performance, and value</w:t>
      </w:r>
      <w:r w:rsidR="00722A97">
        <w:t xml:space="preserve"> that strongly dovetail with </w:t>
      </w:r>
      <w:r w:rsidR="007451CF">
        <w:t xml:space="preserve">similar </w:t>
      </w:r>
      <w:r w:rsidR="00722A97">
        <w:t>discourses introduced</w:t>
      </w:r>
      <w:r w:rsidR="007451CF">
        <w:t xml:space="preserve"> and </w:t>
      </w:r>
      <w:r w:rsidR="00FD3592">
        <w:t>promoted by the IIRC</w:t>
      </w:r>
      <w:r>
        <w:t>).</w:t>
      </w:r>
      <w:r w:rsidRPr="00672337">
        <w:t xml:space="preserve"> </w:t>
      </w:r>
      <w:r w:rsidR="00640B29">
        <w:rPr>
          <w:color w:val="auto"/>
        </w:rPr>
        <w:t xml:space="preserve">The hybridity of the ‘IR genre’ enables the rhetoric of sustainability to criss-cross different discursive fields and to create new frames of understanding </w:t>
      </w:r>
      <w:r w:rsidR="00640B29" w:rsidRPr="00E174FE">
        <w:rPr>
          <w:i/>
          <w:color w:val="auto"/>
        </w:rPr>
        <w:t>who</w:t>
      </w:r>
      <w:r w:rsidR="00640B29">
        <w:rPr>
          <w:color w:val="auto"/>
        </w:rPr>
        <w:t xml:space="preserve"> or </w:t>
      </w:r>
      <w:r w:rsidR="00640B29" w:rsidRPr="00E174FE">
        <w:rPr>
          <w:i/>
          <w:color w:val="auto"/>
        </w:rPr>
        <w:t>what</w:t>
      </w:r>
      <w:r w:rsidR="00640B29">
        <w:rPr>
          <w:color w:val="auto"/>
        </w:rPr>
        <w:t xml:space="preserve"> is sustainable </w:t>
      </w:r>
      <w:r w:rsidR="007451CF">
        <w:rPr>
          <w:color w:val="auto"/>
        </w:rPr>
        <w:t xml:space="preserve">in </w:t>
      </w:r>
      <w:r w:rsidR="00640B29">
        <w:rPr>
          <w:color w:val="auto"/>
        </w:rPr>
        <w:t xml:space="preserve">the realm of </w:t>
      </w:r>
      <w:r w:rsidR="007451CF">
        <w:rPr>
          <w:color w:val="auto"/>
        </w:rPr>
        <w:t>accounting practices</w:t>
      </w:r>
      <w:r w:rsidR="00640B29">
        <w:rPr>
          <w:color w:val="auto"/>
        </w:rPr>
        <w:t xml:space="preserve">. </w:t>
      </w:r>
      <w:r w:rsidR="007451CF">
        <w:rPr>
          <w:color w:val="auto"/>
        </w:rPr>
        <w:t>T</w:t>
      </w:r>
      <w:r w:rsidR="00EE7D4A" w:rsidRPr="002437DD">
        <w:rPr>
          <w:color w:val="auto"/>
        </w:rPr>
        <w:t xml:space="preserve">he </w:t>
      </w:r>
      <w:r w:rsidR="001B4EA7">
        <w:rPr>
          <w:color w:val="auto"/>
        </w:rPr>
        <w:t xml:space="preserve">reformulation of meanings of </w:t>
      </w:r>
      <w:r w:rsidR="00EE7D4A" w:rsidRPr="002437DD">
        <w:rPr>
          <w:color w:val="auto"/>
        </w:rPr>
        <w:t xml:space="preserve">sustainability in IR – which primarily constitutes a document produced and consumed for financial purposes </w:t>
      </w:r>
      <w:r w:rsidR="002A34E2">
        <w:rPr>
          <w:color w:val="auto"/>
        </w:rPr>
        <w:t>–</w:t>
      </w:r>
      <w:r w:rsidR="00EE7D4A" w:rsidRPr="002437DD">
        <w:rPr>
          <w:color w:val="auto"/>
        </w:rPr>
        <w:t xml:space="preserve"> can allow for a </w:t>
      </w:r>
      <w:proofErr w:type="spellStart"/>
      <w:r w:rsidR="00207855">
        <w:rPr>
          <w:color w:val="auto"/>
        </w:rPr>
        <w:t>resemiotization</w:t>
      </w:r>
      <w:proofErr w:type="spellEnd"/>
      <w:r w:rsidR="00207855">
        <w:rPr>
          <w:color w:val="auto"/>
        </w:rPr>
        <w:t xml:space="preserve"> of discourses of sustainability as ‘sub-headings’ of the governance and </w:t>
      </w:r>
      <w:r w:rsidR="00207855">
        <w:rPr>
          <w:color w:val="auto"/>
        </w:rPr>
        <w:lastRenderedPageBreak/>
        <w:t xml:space="preserve">marketplace sections. This </w:t>
      </w:r>
      <w:r w:rsidR="00EE7D4A" w:rsidRPr="002437DD">
        <w:rPr>
          <w:color w:val="auto"/>
        </w:rPr>
        <w:t>re-ordering of discourses tend</w:t>
      </w:r>
      <w:r w:rsidR="00207855">
        <w:rPr>
          <w:color w:val="auto"/>
        </w:rPr>
        <w:t>s</w:t>
      </w:r>
      <w:r w:rsidR="00EE7D4A" w:rsidRPr="002437DD">
        <w:rPr>
          <w:color w:val="auto"/>
        </w:rPr>
        <w:t xml:space="preserve"> to validate </w:t>
      </w:r>
      <w:r w:rsidR="007451CF">
        <w:rPr>
          <w:color w:val="auto"/>
        </w:rPr>
        <w:t>financial</w:t>
      </w:r>
      <w:r w:rsidR="007451CF" w:rsidRPr="002437DD">
        <w:rPr>
          <w:color w:val="auto"/>
        </w:rPr>
        <w:t xml:space="preserve"> </w:t>
      </w:r>
      <w:r w:rsidR="007451CF">
        <w:rPr>
          <w:color w:val="auto"/>
        </w:rPr>
        <w:t xml:space="preserve">and </w:t>
      </w:r>
      <w:r w:rsidR="00EE7D4A" w:rsidRPr="002437DD">
        <w:rPr>
          <w:color w:val="auto"/>
        </w:rPr>
        <w:t xml:space="preserve">economic logics and the closure of certain </w:t>
      </w:r>
      <w:r w:rsidR="003B5885">
        <w:rPr>
          <w:color w:val="auto"/>
        </w:rPr>
        <w:t xml:space="preserve">environmental and social </w:t>
      </w:r>
      <w:r w:rsidR="00207855">
        <w:rPr>
          <w:color w:val="auto"/>
        </w:rPr>
        <w:t>theme</w:t>
      </w:r>
      <w:r w:rsidR="00207855" w:rsidRPr="002437DD">
        <w:rPr>
          <w:color w:val="auto"/>
        </w:rPr>
        <w:t>s</w:t>
      </w:r>
      <w:r w:rsidR="00EE7D4A" w:rsidRPr="002437DD">
        <w:rPr>
          <w:color w:val="auto"/>
        </w:rPr>
        <w:t>.</w:t>
      </w:r>
      <w:r w:rsidR="004E1B6F">
        <w:rPr>
          <w:color w:val="auto"/>
        </w:rPr>
        <w:t xml:space="preserve"> </w:t>
      </w:r>
    </w:p>
    <w:p w14:paraId="0A203F3F" w14:textId="77777777" w:rsidR="005378A8" w:rsidRDefault="005378A8" w:rsidP="00BB40FF">
      <w:pPr>
        <w:rPr>
          <w:color w:val="auto"/>
        </w:rPr>
      </w:pPr>
    </w:p>
    <w:p w14:paraId="7B8A8CF0" w14:textId="2AC9B91F" w:rsidR="00EE7D4A" w:rsidRPr="002437DD" w:rsidRDefault="00EE7D4A" w:rsidP="00BB40FF">
      <w:pPr>
        <w:rPr>
          <w:color w:val="auto"/>
        </w:rPr>
      </w:pPr>
      <w:r w:rsidRPr="002437DD">
        <w:rPr>
          <w:color w:val="auto"/>
        </w:rPr>
        <w:t xml:space="preserve">The inclusion of sustainability issues into an organisation’s business model and its ‘integrated’ communication was for some time thought of as having the potential to change business as usual.  Our data would suggest that </w:t>
      </w:r>
      <w:r w:rsidR="00F327A0" w:rsidRPr="002437DD">
        <w:rPr>
          <w:color w:val="auto"/>
        </w:rPr>
        <w:t xml:space="preserve">early examples of </w:t>
      </w:r>
      <w:r w:rsidRPr="002437DD">
        <w:rPr>
          <w:color w:val="auto"/>
        </w:rPr>
        <w:t>IR ha</w:t>
      </w:r>
      <w:r w:rsidR="00F327A0" w:rsidRPr="002437DD">
        <w:rPr>
          <w:color w:val="auto"/>
        </w:rPr>
        <w:t>ve not yet</w:t>
      </w:r>
      <w:r w:rsidRPr="002437DD">
        <w:rPr>
          <w:color w:val="auto"/>
        </w:rPr>
        <w:t xml:space="preserve"> deliver</w:t>
      </w:r>
      <w:r w:rsidR="00F327A0" w:rsidRPr="002437DD">
        <w:rPr>
          <w:color w:val="auto"/>
        </w:rPr>
        <w:t>ed</w:t>
      </w:r>
      <w:r w:rsidRPr="002437DD">
        <w:rPr>
          <w:color w:val="auto"/>
        </w:rPr>
        <w:t xml:space="preserve"> that potential. Instead, </w:t>
      </w:r>
      <w:r w:rsidR="00F327A0" w:rsidRPr="002437DD">
        <w:rPr>
          <w:color w:val="auto"/>
        </w:rPr>
        <w:t xml:space="preserve">these </w:t>
      </w:r>
      <w:r w:rsidRPr="002437DD">
        <w:rPr>
          <w:color w:val="auto"/>
        </w:rPr>
        <w:t xml:space="preserve">IR </w:t>
      </w:r>
      <w:r w:rsidR="00F327A0" w:rsidRPr="002437DD">
        <w:rPr>
          <w:color w:val="auto"/>
        </w:rPr>
        <w:t xml:space="preserve">examples </w:t>
      </w:r>
      <w:r w:rsidRPr="002437DD">
        <w:rPr>
          <w:color w:val="auto"/>
        </w:rPr>
        <w:t xml:space="preserve">could be seen as an </w:t>
      </w:r>
      <w:r w:rsidR="00F327A0" w:rsidRPr="002437DD">
        <w:rPr>
          <w:color w:val="auto"/>
        </w:rPr>
        <w:t>instance</w:t>
      </w:r>
      <w:r w:rsidRPr="002437DD">
        <w:rPr>
          <w:color w:val="auto"/>
        </w:rPr>
        <w:t xml:space="preserve"> of how, as discourses of sustainability go up the ‘chain’ (in our case they become institutionalised through regulato</w:t>
      </w:r>
      <w:r w:rsidR="005378A8">
        <w:rPr>
          <w:color w:val="auto"/>
        </w:rPr>
        <w:t xml:space="preserve">ry bodies and are likely to be </w:t>
      </w:r>
      <w:proofErr w:type="spellStart"/>
      <w:r w:rsidR="005378A8">
        <w:rPr>
          <w:color w:val="auto"/>
        </w:rPr>
        <w:t>isomorphically</w:t>
      </w:r>
      <w:proofErr w:type="spellEnd"/>
      <w:r w:rsidRPr="002437DD">
        <w:rPr>
          <w:color w:val="auto"/>
        </w:rPr>
        <w:t xml:space="preserve"> adopted by other organisations), they are transformed and become colonised by dominant (i.e. economic) discourses.</w:t>
      </w:r>
      <w:r w:rsidR="00266EA0">
        <w:rPr>
          <w:color w:val="auto"/>
        </w:rPr>
        <w:t xml:space="preserve"> </w:t>
      </w:r>
    </w:p>
    <w:p w14:paraId="0D4DD81D" w14:textId="77777777" w:rsidR="00EE7D4A" w:rsidRPr="002437DD" w:rsidRDefault="00EE7D4A" w:rsidP="00BB40FF">
      <w:pPr>
        <w:rPr>
          <w:color w:val="auto"/>
        </w:rPr>
      </w:pPr>
    </w:p>
    <w:p w14:paraId="3D4C0C2C" w14:textId="77777777" w:rsidR="00FD3592" w:rsidRDefault="00FD3592" w:rsidP="00BB40FF">
      <w:pPr>
        <w:rPr>
          <w:color w:val="auto"/>
        </w:rPr>
      </w:pPr>
    </w:p>
    <w:p w14:paraId="0BF6293F" w14:textId="77777777" w:rsidR="00EE7D4A" w:rsidRPr="002437DD" w:rsidRDefault="00EE7D4A" w:rsidP="00CB272D">
      <w:pPr>
        <w:pStyle w:val="Heading1"/>
        <w:rPr>
          <w:color w:val="auto"/>
        </w:rPr>
      </w:pPr>
      <w:r w:rsidRPr="002437DD">
        <w:rPr>
          <w:color w:val="auto"/>
        </w:rPr>
        <w:t>Bibliography</w:t>
      </w:r>
    </w:p>
    <w:p w14:paraId="7D990D41" w14:textId="77777777" w:rsidR="00EE7D4A" w:rsidRPr="002437DD" w:rsidRDefault="00EE7D4A" w:rsidP="00BB40FF">
      <w:pPr>
        <w:spacing w:before="40" w:after="40" w:line="240" w:lineRule="auto"/>
        <w:rPr>
          <w:color w:val="auto"/>
        </w:rPr>
      </w:pPr>
    </w:p>
    <w:p w14:paraId="739E7FBB" w14:textId="77777777" w:rsidR="00EE7D4A" w:rsidRPr="002437DD" w:rsidRDefault="00EE7D4A" w:rsidP="00BB40FF">
      <w:pPr>
        <w:spacing w:before="40" w:after="40" w:line="240" w:lineRule="auto"/>
        <w:jc w:val="left"/>
        <w:rPr>
          <w:color w:val="auto"/>
          <w:sz w:val="22"/>
          <w:szCs w:val="22"/>
        </w:rPr>
      </w:pPr>
    </w:p>
    <w:p w14:paraId="2297125C" w14:textId="77777777" w:rsidR="00EE7D4A" w:rsidRPr="002437DD" w:rsidRDefault="00EE7D4A" w:rsidP="00BB40FF">
      <w:pPr>
        <w:pStyle w:val="EndNoteBibliography"/>
        <w:numPr>
          <w:ilvl w:val="0"/>
          <w:numId w:val="14"/>
        </w:numPr>
        <w:spacing w:before="40" w:after="40"/>
        <w:ind w:left="426" w:hanging="426"/>
        <w:rPr>
          <w:rFonts w:asciiTheme="minorHAnsi" w:hAnsiTheme="minorHAnsi"/>
          <w:noProof/>
          <w:color w:val="auto"/>
          <w:sz w:val="22"/>
          <w:szCs w:val="22"/>
        </w:rPr>
      </w:pPr>
      <w:r w:rsidRPr="002437DD">
        <w:rPr>
          <w:rFonts w:asciiTheme="minorHAnsi" w:hAnsiTheme="minorHAnsi"/>
          <w:noProof/>
          <w:color w:val="auto"/>
          <w:sz w:val="22"/>
          <w:szCs w:val="22"/>
        </w:rPr>
        <w:t>(2009). Oxford English Dictionary. Oxford University Press, USA.</w:t>
      </w:r>
    </w:p>
    <w:p w14:paraId="18A81CC8" w14:textId="77777777" w:rsidR="00EE7D4A" w:rsidRPr="002437DD" w:rsidRDefault="00EE7D4A" w:rsidP="00BB40FF">
      <w:pPr>
        <w:pStyle w:val="EndNoteBibliography"/>
        <w:spacing w:before="40" w:after="40"/>
        <w:ind w:left="360"/>
        <w:rPr>
          <w:rFonts w:asciiTheme="minorHAnsi" w:hAnsiTheme="minorHAnsi"/>
          <w:noProof/>
          <w:color w:val="auto"/>
          <w:sz w:val="22"/>
          <w:szCs w:val="22"/>
        </w:rPr>
      </w:pPr>
    </w:p>
    <w:p w14:paraId="0464D178" w14:textId="77777777" w:rsidR="00EE7D4A" w:rsidRPr="002437DD" w:rsidRDefault="00EE7D4A" w:rsidP="00BB40FF">
      <w:pPr>
        <w:spacing w:before="40" w:after="40" w:line="240" w:lineRule="auto"/>
        <w:rPr>
          <w:color w:val="auto"/>
          <w:sz w:val="22"/>
          <w:szCs w:val="22"/>
        </w:rPr>
      </w:pPr>
      <w:r w:rsidRPr="002437DD">
        <w:rPr>
          <w:color w:val="auto"/>
          <w:sz w:val="22"/>
          <w:szCs w:val="22"/>
        </w:rPr>
        <w:t xml:space="preserve">Anthony L. (2012) </w:t>
      </w:r>
      <w:proofErr w:type="spellStart"/>
      <w:r w:rsidRPr="002437DD">
        <w:rPr>
          <w:color w:val="auto"/>
          <w:sz w:val="22"/>
          <w:szCs w:val="22"/>
        </w:rPr>
        <w:t>AntConc</w:t>
      </w:r>
      <w:proofErr w:type="spellEnd"/>
      <w:r w:rsidRPr="002437DD">
        <w:rPr>
          <w:color w:val="auto"/>
          <w:sz w:val="22"/>
          <w:szCs w:val="22"/>
        </w:rPr>
        <w:t xml:space="preserve"> (Version 3.3.2), Tokyo, Japan: </w:t>
      </w:r>
      <w:proofErr w:type="spellStart"/>
      <w:r w:rsidRPr="002437DD">
        <w:rPr>
          <w:color w:val="auto"/>
          <w:sz w:val="22"/>
          <w:szCs w:val="22"/>
        </w:rPr>
        <w:t>Waseda</w:t>
      </w:r>
      <w:proofErr w:type="spellEnd"/>
      <w:r w:rsidRPr="002437DD">
        <w:rPr>
          <w:color w:val="auto"/>
          <w:sz w:val="22"/>
          <w:szCs w:val="22"/>
        </w:rPr>
        <w:t xml:space="preserve"> University.</w:t>
      </w:r>
    </w:p>
    <w:p w14:paraId="2AC48D89" w14:textId="77777777" w:rsidR="00EE7D4A" w:rsidRPr="002437DD" w:rsidRDefault="00EE7D4A" w:rsidP="00BB40FF">
      <w:pPr>
        <w:spacing w:before="40" w:after="40" w:line="240" w:lineRule="auto"/>
        <w:rPr>
          <w:color w:val="auto"/>
          <w:sz w:val="22"/>
          <w:szCs w:val="22"/>
        </w:rPr>
      </w:pPr>
    </w:p>
    <w:p w14:paraId="5176894D"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Bakhtin</w:t>
      </w:r>
      <w:proofErr w:type="spellEnd"/>
      <w:r w:rsidRPr="002437DD">
        <w:rPr>
          <w:color w:val="auto"/>
          <w:sz w:val="22"/>
          <w:szCs w:val="22"/>
        </w:rPr>
        <w:t xml:space="preserve"> M.M. and </w:t>
      </w:r>
      <w:proofErr w:type="spellStart"/>
      <w:r w:rsidRPr="002437DD">
        <w:rPr>
          <w:color w:val="auto"/>
          <w:sz w:val="22"/>
          <w:szCs w:val="22"/>
        </w:rPr>
        <w:t>Holquist</w:t>
      </w:r>
      <w:proofErr w:type="spellEnd"/>
      <w:r w:rsidRPr="002437DD">
        <w:rPr>
          <w:color w:val="auto"/>
          <w:sz w:val="22"/>
          <w:szCs w:val="22"/>
        </w:rPr>
        <w:t xml:space="preserve"> J.M. (1981) The dialogic imagination: four essays. Austin: University of Texas Press.</w:t>
      </w:r>
    </w:p>
    <w:p w14:paraId="4B7E2238" w14:textId="77777777" w:rsidR="00EE7D4A" w:rsidRPr="002437DD" w:rsidRDefault="00EE7D4A" w:rsidP="00BB40FF">
      <w:pPr>
        <w:spacing w:before="40" w:after="40" w:line="240" w:lineRule="auto"/>
        <w:rPr>
          <w:color w:val="auto"/>
          <w:sz w:val="22"/>
          <w:szCs w:val="22"/>
        </w:rPr>
      </w:pPr>
    </w:p>
    <w:p w14:paraId="40F3909E" w14:textId="565E8196" w:rsidR="00EE7D4A" w:rsidRPr="002437DD" w:rsidRDefault="00EE7D4A" w:rsidP="00BB40FF">
      <w:pPr>
        <w:spacing w:before="40" w:after="40" w:line="240" w:lineRule="auto"/>
        <w:rPr>
          <w:color w:val="auto"/>
          <w:sz w:val="22"/>
          <w:szCs w:val="22"/>
        </w:rPr>
      </w:pPr>
      <w:r w:rsidRPr="002437DD">
        <w:rPr>
          <w:color w:val="auto"/>
          <w:sz w:val="22"/>
          <w:szCs w:val="22"/>
        </w:rPr>
        <w:t xml:space="preserve">Bhatia A. (2012a) The Corporate Social Responsibility Report: The Hybridization of a </w:t>
      </w:r>
      <w:r w:rsidR="001A5DD0">
        <w:rPr>
          <w:color w:val="auto"/>
          <w:sz w:val="22"/>
          <w:szCs w:val="22"/>
        </w:rPr>
        <w:t>‘</w:t>
      </w:r>
      <w:r w:rsidRPr="002437DD">
        <w:rPr>
          <w:color w:val="auto"/>
          <w:sz w:val="22"/>
          <w:szCs w:val="22"/>
        </w:rPr>
        <w:t>Confused</w:t>
      </w:r>
      <w:r w:rsidR="001A5DD0">
        <w:rPr>
          <w:color w:val="auto"/>
          <w:sz w:val="22"/>
          <w:szCs w:val="22"/>
        </w:rPr>
        <w:t>’</w:t>
      </w:r>
      <w:r w:rsidRPr="002437DD">
        <w:rPr>
          <w:color w:val="auto"/>
          <w:sz w:val="22"/>
          <w:szCs w:val="22"/>
        </w:rPr>
        <w:t xml:space="preserve"> Genre (2007–2011), IEEE Transactions on Professional Communication 55: 221-238.</w:t>
      </w:r>
    </w:p>
    <w:p w14:paraId="5AFFC1CF" w14:textId="77777777" w:rsidR="00EE7D4A" w:rsidRPr="002437DD" w:rsidRDefault="00EE7D4A" w:rsidP="00BB40FF">
      <w:pPr>
        <w:spacing w:before="40" w:after="40" w:line="240" w:lineRule="auto"/>
        <w:rPr>
          <w:color w:val="auto"/>
          <w:sz w:val="22"/>
          <w:szCs w:val="22"/>
        </w:rPr>
      </w:pPr>
    </w:p>
    <w:p w14:paraId="20BAF5D2" w14:textId="77777777" w:rsidR="00EE7D4A" w:rsidRPr="002437DD" w:rsidRDefault="00EE7D4A" w:rsidP="00BB40FF">
      <w:pPr>
        <w:spacing w:before="40" w:after="40" w:line="240" w:lineRule="auto"/>
        <w:rPr>
          <w:color w:val="auto"/>
          <w:sz w:val="22"/>
          <w:szCs w:val="22"/>
        </w:rPr>
      </w:pPr>
      <w:r w:rsidRPr="002437DD">
        <w:rPr>
          <w:color w:val="auto"/>
          <w:sz w:val="22"/>
          <w:szCs w:val="22"/>
        </w:rPr>
        <w:t>Bhatia VK. (1993) Analysing Genre: Language Use in Professional Settings: Longman.</w:t>
      </w:r>
    </w:p>
    <w:p w14:paraId="3F75480A" w14:textId="77777777" w:rsidR="00EE7D4A" w:rsidRPr="002437DD" w:rsidRDefault="00EE7D4A" w:rsidP="00BB40FF">
      <w:pPr>
        <w:spacing w:before="40" w:after="40" w:line="240" w:lineRule="auto"/>
        <w:rPr>
          <w:color w:val="auto"/>
          <w:sz w:val="22"/>
          <w:szCs w:val="22"/>
        </w:rPr>
      </w:pPr>
    </w:p>
    <w:p w14:paraId="11597DCE" w14:textId="00B83C8A" w:rsidR="00EE7D4A" w:rsidRPr="002437DD" w:rsidRDefault="00EE7D4A" w:rsidP="00BB40FF">
      <w:pPr>
        <w:spacing w:before="40" w:after="40" w:line="240" w:lineRule="auto"/>
        <w:rPr>
          <w:color w:val="auto"/>
          <w:sz w:val="22"/>
          <w:szCs w:val="22"/>
        </w:rPr>
      </w:pPr>
      <w:r w:rsidRPr="002437DD">
        <w:rPr>
          <w:color w:val="auto"/>
          <w:sz w:val="22"/>
          <w:szCs w:val="22"/>
        </w:rPr>
        <w:t xml:space="preserve">Bhatia VK. (2010) </w:t>
      </w:r>
      <w:proofErr w:type="spellStart"/>
      <w:r w:rsidRPr="002437DD">
        <w:rPr>
          <w:color w:val="auto"/>
          <w:sz w:val="22"/>
          <w:szCs w:val="22"/>
        </w:rPr>
        <w:t>Interdiscursivity</w:t>
      </w:r>
      <w:proofErr w:type="spellEnd"/>
      <w:r w:rsidRPr="002437DD">
        <w:rPr>
          <w:color w:val="auto"/>
          <w:sz w:val="22"/>
          <w:szCs w:val="22"/>
        </w:rPr>
        <w:t xml:space="preserve"> in professional communication. </w:t>
      </w:r>
      <w:r w:rsidR="00B45789" w:rsidRPr="002437DD">
        <w:rPr>
          <w:color w:val="auto"/>
          <w:sz w:val="22"/>
          <w:szCs w:val="22"/>
        </w:rPr>
        <w:t>DISCOURSE &amp; COMMUNICATION</w:t>
      </w:r>
      <w:r w:rsidRPr="002437DD">
        <w:rPr>
          <w:color w:val="auto"/>
          <w:sz w:val="22"/>
          <w:szCs w:val="22"/>
        </w:rPr>
        <w:t xml:space="preserve"> 4: 32-50.</w:t>
      </w:r>
    </w:p>
    <w:p w14:paraId="313BF6F8" w14:textId="77777777" w:rsidR="00EE7D4A" w:rsidRPr="002437DD" w:rsidRDefault="00EE7D4A" w:rsidP="00BB40FF">
      <w:pPr>
        <w:spacing w:before="40" w:after="40" w:line="240" w:lineRule="auto"/>
        <w:rPr>
          <w:color w:val="auto"/>
          <w:sz w:val="22"/>
          <w:szCs w:val="22"/>
        </w:rPr>
      </w:pPr>
    </w:p>
    <w:p w14:paraId="647E453C" w14:textId="77777777" w:rsidR="00EE7D4A" w:rsidRPr="002437DD" w:rsidRDefault="00EE7D4A" w:rsidP="00BB40FF">
      <w:pPr>
        <w:spacing w:before="40" w:after="40" w:line="240" w:lineRule="auto"/>
        <w:rPr>
          <w:color w:val="auto"/>
          <w:sz w:val="22"/>
          <w:szCs w:val="22"/>
        </w:rPr>
      </w:pPr>
      <w:r w:rsidRPr="002437DD">
        <w:rPr>
          <w:color w:val="auto"/>
          <w:sz w:val="22"/>
          <w:szCs w:val="22"/>
        </w:rPr>
        <w:t xml:space="preserve">Bhatia VK. (2012b) Critical Reflections on Genre Analysis. </w:t>
      </w:r>
      <w:proofErr w:type="spellStart"/>
      <w:r w:rsidRPr="002437DD">
        <w:rPr>
          <w:color w:val="auto"/>
          <w:sz w:val="22"/>
          <w:szCs w:val="22"/>
        </w:rPr>
        <w:t>Iberica</w:t>
      </w:r>
      <w:proofErr w:type="spellEnd"/>
      <w:r w:rsidRPr="002437DD">
        <w:rPr>
          <w:color w:val="auto"/>
          <w:sz w:val="22"/>
          <w:szCs w:val="22"/>
        </w:rPr>
        <w:t xml:space="preserve"> 24: 17-28.</w:t>
      </w:r>
    </w:p>
    <w:p w14:paraId="5B32F107" w14:textId="77777777" w:rsidR="00EE7D4A" w:rsidRPr="002437DD" w:rsidRDefault="00EE7D4A" w:rsidP="00BB40FF">
      <w:pPr>
        <w:spacing w:before="40" w:after="40" w:line="240" w:lineRule="auto"/>
        <w:rPr>
          <w:color w:val="auto"/>
          <w:sz w:val="22"/>
          <w:szCs w:val="22"/>
        </w:rPr>
      </w:pPr>
    </w:p>
    <w:p w14:paraId="4C557867" w14:textId="77777777" w:rsidR="00EE7D4A" w:rsidRPr="002437DD" w:rsidRDefault="00EE7D4A" w:rsidP="00BB40FF">
      <w:pPr>
        <w:spacing w:before="40" w:after="40" w:line="240" w:lineRule="auto"/>
        <w:rPr>
          <w:color w:val="auto"/>
          <w:sz w:val="22"/>
          <w:szCs w:val="22"/>
        </w:rPr>
      </w:pPr>
      <w:r w:rsidRPr="002437DD">
        <w:rPr>
          <w:color w:val="auto"/>
          <w:sz w:val="22"/>
          <w:szCs w:val="22"/>
        </w:rPr>
        <w:lastRenderedPageBreak/>
        <w:t xml:space="preserve">Bhatia VK. (2012c) </w:t>
      </w:r>
      <w:proofErr w:type="spellStart"/>
      <w:r w:rsidRPr="002437DD">
        <w:rPr>
          <w:color w:val="auto"/>
          <w:sz w:val="22"/>
          <w:szCs w:val="22"/>
        </w:rPr>
        <w:t>Interdiscursivity</w:t>
      </w:r>
      <w:proofErr w:type="spellEnd"/>
      <w:r w:rsidRPr="002437DD">
        <w:rPr>
          <w:color w:val="auto"/>
          <w:sz w:val="22"/>
          <w:szCs w:val="22"/>
        </w:rPr>
        <w:t xml:space="preserve"> in Critical Genre Analysis. In A. </w:t>
      </w:r>
      <w:proofErr w:type="spellStart"/>
      <w:r w:rsidRPr="002437DD">
        <w:rPr>
          <w:color w:val="auto"/>
          <w:sz w:val="22"/>
          <w:szCs w:val="22"/>
        </w:rPr>
        <w:t>Bonini</w:t>
      </w:r>
      <w:proofErr w:type="spellEnd"/>
      <w:r w:rsidRPr="002437DD">
        <w:rPr>
          <w:color w:val="auto"/>
          <w:sz w:val="22"/>
          <w:szCs w:val="22"/>
        </w:rPr>
        <w:t xml:space="preserve">, D. C. </w:t>
      </w:r>
      <w:proofErr w:type="spellStart"/>
      <w:r w:rsidRPr="002437DD">
        <w:rPr>
          <w:color w:val="auto"/>
          <w:sz w:val="22"/>
          <w:szCs w:val="22"/>
        </w:rPr>
        <w:t>Figueiredo</w:t>
      </w:r>
      <w:proofErr w:type="spellEnd"/>
      <w:r w:rsidRPr="002437DD">
        <w:rPr>
          <w:color w:val="auto"/>
          <w:sz w:val="22"/>
          <w:szCs w:val="22"/>
        </w:rPr>
        <w:t xml:space="preserve"> and F. </w:t>
      </w:r>
      <w:proofErr w:type="spellStart"/>
      <w:r w:rsidRPr="002437DD">
        <w:rPr>
          <w:color w:val="auto"/>
          <w:sz w:val="22"/>
          <w:szCs w:val="22"/>
        </w:rPr>
        <w:t>Rauen</w:t>
      </w:r>
      <w:proofErr w:type="spellEnd"/>
      <w:r w:rsidRPr="002437DD">
        <w:rPr>
          <w:color w:val="auto"/>
          <w:sz w:val="22"/>
          <w:szCs w:val="22"/>
        </w:rPr>
        <w:t xml:space="preserve"> (Orgs.) Proceedings from the 4th international symposium on gender studies SIGET </w:t>
      </w:r>
      <w:proofErr w:type="spellStart"/>
      <w:r w:rsidRPr="002437DD">
        <w:rPr>
          <w:color w:val="auto"/>
          <w:sz w:val="22"/>
          <w:szCs w:val="22"/>
        </w:rPr>
        <w:t>Tubarao</w:t>
      </w:r>
      <w:proofErr w:type="spellEnd"/>
      <w:r w:rsidRPr="002437DD">
        <w:rPr>
          <w:color w:val="auto"/>
          <w:sz w:val="22"/>
          <w:szCs w:val="22"/>
        </w:rPr>
        <w:t xml:space="preserve">: </w:t>
      </w:r>
      <w:proofErr w:type="spellStart"/>
      <w:r w:rsidRPr="002437DD">
        <w:rPr>
          <w:color w:val="auto"/>
          <w:sz w:val="22"/>
          <w:szCs w:val="22"/>
        </w:rPr>
        <w:t>Unisul</w:t>
      </w:r>
      <w:proofErr w:type="spellEnd"/>
      <w:r w:rsidRPr="002437DD">
        <w:rPr>
          <w:color w:val="auto"/>
          <w:sz w:val="22"/>
          <w:szCs w:val="22"/>
        </w:rPr>
        <w:t>. Vol1, 391-400.</w:t>
      </w:r>
    </w:p>
    <w:p w14:paraId="05F8DF9D" w14:textId="77777777" w:rsidR="00EE7D4A" w:rsidRPr="002437DD" w:rsidRDefault="00EE7D4A" w:rsidP="00BB40FF">
      <w:pPr>
        <w:spacing w:before="40" w:after="40" w:line="240" w:lineRule="auto"/>
        <w:rPr>
          <w:color w:val="auto"/>
          <w:sz w:val="22"/>
          <w:szCs w:val="22"/>
        </w:rPr>
      </w:pPr>
    </w:p>
    <w:p w14:paraId="37A7357F" w14:textId="453103DF" w:rsidR="00EE7D4A" w:rsidRPr="002437DD" w:rsidRDefault="00EE7D4A" w:rsidP="00BB40FF">
      <w:pPr>
        <w:spacing w:before="40" w:after="40" w:line="240" w:lineRule="auto"/>
        <w:rPr>
          <w:color w:val="auto"/>
          <w:sz w:val="22"/>
          <w:szCs w:val="22"/>
        </w:rPr>
      </w:pPr>
      <w:proofErr w:type="spellStart"/>
      <w:r w:rsidRPr="002437DD">
        <w:rPr>
          <w:color w:val="auto"/>
          <w:sz w:val="22"/>
          <w:szCs w:val="22"/>
        </w:rPr>
        <w:t>Burchell</w:t>
      </w:r>
      <w:proofErr w:type="spellEnd"/>
      <w:r w:rsidRPr="002437DD">
        <w:rPr>
          <w:color w:val="auto"/>
          <w:sz w:val="22"/>
          <w:szCs w:val="22"/>
        </w:rPr>
        <w:t xml:space="preserve"> J and Cook J. (2006) Confronting the </w:t>
      </w:r>
      <w:r w:rsidR="001A5DD0">
        <w:rPr>
          <w:color w:val="auto"/>
          <w:sz w:val="22"/>
          <w:szCs w:val="22"/>
        </w:rPr>
        <w:t>‘</w:t>
      </w:r>
      <w:r w:rsidRPr="002437DD">
        <w:rPr>
          <w:color w:val="auto"/>
          <w:sz w:val="22"/>
          <w:szCs w:val="22"/>
        </w:rPr>
        <w:t>corporate citizen</w:t>
      </w:r>
      <w:r w:rsidR="001A5DD0">
        <w:rPr>
          <w:color w:val="auto"/>
          <w:sz w:val="22"/>
          <w:szCs w:val="22"/>
        </w:rPr>
        <w:t>’</w:t>
      </w:r>
      <w:r w:rsidRPr="002437DD">
        <w:rPr>
          <w:color w:val="auto"/>
          <w:sz w:val="22"/>
          <w:szCs w:val="22"/>
        </w:rPr>
        <w:t>. International Journal of Sociology and Social Policy 26: 121-137.</w:t>
      </w:r>
    </w:p>
    <w:p w14:paraId="24BC0A1A" w14:textId="77777777" w:rsidR="00EE7D4A" w:rsidRPr="002437DD" w:rsidRDefault="00EE7D4A" w:rsidP="00BB40FF">
      <w:pPr>
        <w:spacing w:before="40" w:after="40" w:line="240" w:lineRule="auto"/>
        <w:rPr>
          <w:color w:val="auto"/>
          <w:sz w:val="22"/>
          <w:szCs w:val="22"/>
        </w:rPr>
      </w:pPr>
    </w:p>
    <w:p w14:paraId="5CDC4D6D"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Chouliaraki</w:t>
      </w:r>
      <w:proofErr w:type="spellEnd"/>
      <w:r w:rsidRPr="002437DD">
        <w:rPr>
          <w:color w:val="auto"/>
          <w:sz w:val="22"/>
          <w:szCs w:val="22"/>
        </w:rPr>
        <w:t xml:space="preserve"> L and </w:t>
      </w:r>
      <w:proofErr w:type="spellStart"/>
      <w:r w:rsidRPr="002437DD">
        <w:rPr>
          <w:color w:val="auto"/>
          <w:sz w:val="22"/>
          <w:szCs w:val="22"/>
        </w:rPr>
        <w:t>Fairclough</w:t>
      </w:r>
      <w:proofErr w:type="spellEnd"/>
      <w:r w:rsidRPr="002437DD">
        <w:rPr>
          <w:color w:val="auto"/>
          <w:sz w:val="22"/>
          <w:szCs w:val="22"/>
        </w:rPr>
        <w:t xml:space="preserve"> N. (1999) Discourse in late modernity: rethinking critical discourse analysis: Edinburgh University Press.</w:t>
      </w:r>
    </w:p>
    <w:p w14:paraId="0A934177" w14:textId="77777777" w:rsidR="00EE7D4A" w:rsidRPr="002437DD" w:rsidRDefault="00EE7D4A" w:rsidP="00BB40FF">
      <w:pPr>
        <w:spacing w:before="40" w:after="40" w:line="240" w:lineRule="auto"/>
        <w:rPr>
          <w:color w:val="auto"/>
          <w:sz w:val="22"/>
          <w:szCs w:val="22"/>
        </w:rPr>
      </w:pPr>
    </w:p>
    <w:p w14:paraId="4E43372A" w14:textId="77777777" w:rsidR="00EE7D4A" w:rsidRPr="002437DD" w:rsidRDefault="00EE7D4A" w:rsidP="00BB40FF">
      <w:pPr>
        <w:spacing w:before="40" w:after="40" w:line="240" w:lineRule="auto"/>
        <w:rPr>
          <w:color w:val="auto"/>
          <w:sz w:val="22"/>
          <w:szCs w:val="22"/>
        </w:rPr>
      </w:pPr>
      <w:r w:rsidRPr="002437DD">
        <w:rPr>
          <w:color w:val="auto"/>
          <w:sz w:val="22"/>
          <w:szCs w:val="22"/>
        </w:rPr>
        <w:t xml:space="preserve">Du </w:t>
      </w:r>
      <w:proofErr w:type="spellStart"/>
      <w:r w:rsidRPr="002437DD">
        <w:rPr>
          <w:color w:val="auto"/>
          <w:sz w:val="22"/>
          <w:szCs w:val="22"/>
        </w:rPr>
        <w:t>Pisani</w:t>
      </w:r>
      <w:proofErr w:type="spellEnd"/>
      <w:r w:rsidRPr="002437DD">
        <w:rPr>
          <w:color w:val="auto"/>
          <w:sz w:val="22"/>
          <w:szCs w:val="22"/>
        </w:rPr>
        <w:t xml:space="preserve"> JA. (2006) Sustainable development – historical roots of the concept. Environmental Sciences 3: 83-96.</w:t>
      </w:r>
    </w:p>
    <w:p w14:paraId="03A8244C" w14:textId="77777777" w:rsidR="00EE7D4A" w:rsidRPr="002437DD" w:rsidRDefault="00EE7D4A" w:rsidP="00BB40FF">
      <w:pPr>
        <w:spacing w:before="40" w:after="40" w:line="240" w:lineRule="auto"/>
        <w:rPr>
          <w:color w:val="auto"/>
          <w:sz w:val="22"/>
          <w:szCs w:val="22"/>
        </w:rPr>
      </w:pPr>
    </w:p>
    <w:p w14:paraId="4FBD2F67" w14:textId="305E54DF" w:rsidR="00A6156A" w:rsidRDefault="003F7453" w:rsidP="003F7453">
      <w:pPr>
        <w:spacing w:before="40" w:after="40" w:line="240" w:lineRule="auto"/>
        <w:rPr>
          <w:color w:val="auto"/>
          <w:sz w:val="22"/>
          <w:szCs w:val="22"/>
        </w:rPr>
      </w:pPr>
      <w:proofErr w:type="spellStart"/>
      <w:r w:rsidRPr="003F7453">
        <w:rPr>
          <w:color w:val="auto"/>
          <w:sz w:val="22"/>
          <w:szCs w:val="22"/>
        </w:rPr>
        <w:t>Elkington</w:t>
      </w:r>
      <w:proofErr w:type="spellEnd"/>
      <w:r w:rsidRPr="003F7453">
        <w:rPr>
          <w:color w:val="auto"/>
          <w:sz w:val="22"/>
          <w:szCs w:val="22"/>
        </w:rPr>
        <w:t xml:space="preserve">, J. (2004). Enter the triple bottom line. In A. </w:t>
      </w:r>
      <w:proofErr w:type="spellStart"/>
      <w:r w:rsidRPr="003F7453">
        <w:rPr>
          <w:color w:val="auto"/>
          <w:sz w:val="22"/>
          <w:szCs w:val="22"/>
        </w:rPr>
        <w:t>Henriques</w:t>
      </w:r>
      <w:proofErr w:type="spellEnd"/>
      <w:r w:rsidRPr="003F7453">
        <w:rPr>
          <w:color w:val="auto"/>
          <w:sz w:val="22"/>
          <w:szCs w:val="22"/>
        </w:rPr>
        <w:t xml:space="preserve"> &amp; J. Richardson (</w:t>
      </w:r>
      <w:proofErr w:type="spellStart"/>
      <w:r w:rsidRPr="003F7453">
        <w:rPr>
          <w:color w:val="auto"/>
          <w:sz w:val="22"/>
          <w:szCs w:val="22"/>
        </w:rPr>
        <w:t>Eds</w:t>
      </w:r>
      <w:proofErr w:type="spellEnd"/>
      <w:r w:rsidRPr="003F7453">
        <w:rPr>
          <w:color w:val="auto"/>
          <w:sz w:val="22"/>
          <w:szCs w:val="22"/>
        </w:rPr>
        <w:t>) The triple bottom</w:t>
      </w:r>
      <w:r>
        <w:rPr>
          <w:color w:val="auto"/>
          <w:sz w:val="22"/>
          <w:szCs w:val="22"/>
        </w:rPr>
        <w:t xml:space="preserve"> </w:t>
      </w:r>
      <w:r w:rsidRPr="003F7453">
        <w:rPr>
          <w:color w:val="auto"/>
          <w:sz w:val="22"/>
          <w:szCs w:val="22"/>
        </w:rPr>
        <w:t>line, does it all add up? Assessing the sustainabilit</w:t>
      </w:r>
      <w:r>
        <w:rPr>
          <w:color w:val="auto"/>
          <w:sz w:val="22"/>
          <w:szCs w:val="22"/>
        </w:rPr>
        <w:t>y of business and CSR</w:t>
      </w:r>
      <w:r w:rsidRPr="003F7453">
        <w:rPr>
          <w:color w:val="auto"/>
          <w:sz w:val="22"/>
          <w:szCs w:val="22"/>
        </w:rPr>
        <w:t xml:space="preserve">. London: </w:t>
      </w:r>
      <w:proofErr w:type="spellStart"/>
      <w:r w:rsidRPr="003F7453">
        <w:rPr>
          <w:color w:val="auto"/>
          <w:sz w:val="22"/>
          <w:szCs w:val="22"/>
        </w:rPr>
        <w:t>Earthscan</w:t>
      </w:r>
      <w:proofErr w:type="spellEnd"/>
      <w:r>
        <w:rPr>
          <w:color w:val="auto"/>
          <w:sz w:val="22"/>
          <w:szCs w:val="22"/>
        </w:rPr>
        <w:t xml:space="preserve"> </w:t>
      </w:r>
      <w:r w:rsidRPr="003F7453">
        <w:rPr>
          <w:color w:val="auto"/>
          <w:sz w:val="22"/>
          <w:szCs w:val="22"/>
        </w:rPr>
        <w:t>Publications Ltd</w:t>
      </w:r>
      <w:r>
        <w:rPr>
          <w:color w:val="auto"/>
          <w:sz w:val="22"/>
          <w:szCs w:val="22"/>
        </w:rPr>
        <w:t>:1-16.</w:t>
      </w:r>
    </w:p>
    <w:p w14:paraId="3B7061CF" w14:textId="77777777" w:rsidR="003F7453" w:rsidRDefault="003F7453" w:rsidP="003F7453">
      <w:pPr>
        <w:spacing w:before="40" w:after="40" w:line="240" w:lineRule="auto"/>
        <w:rPr>
          <w:color w:val="auto"/>
          <w:sz w:val="22"/>
          <w:szCs w:val="22"/>
        </w:rPr>
      </w:pPr>
    </w:p>
    <w:p w14:paraId="64852982" w14:textId="4853A2DA" w:rsidR="00EE7D4A" w:rsidRPr="002437DD" w:rsidRDefault="00EE7D4A" w:rsidP="00A6156A">
      <w:pPr>
        <w:spacing w:before="40" w:after="40" w:line="240" w:lineRule="auto"/>
        <w:rPr>
          <w:color w:val="auto"/>
          <w:sz w:val="22"/>
          <w:szCs w:val="22"/>
        </w:rPr>
      </w:pPr>
      <w:proofErr w:type="spellStart"/>
      <w:r w:rsidRPr="002437DD">
        <w:rPr>
          <w:color w:val="auto"/>
          <w:sz w:val="22"/>
          <w:szCs w:val="22"/>
        </w:rPr>
        <w:t>Fairclough</w:t>
      </w:r>
      <w:proofErr w:type="spellEnd"/>
      <w:r w:rsidRPr="002437DD">
        <w:rPr>
          <w:color w:val="auto"/>
          <w:sz w:val="22"/>
          <w:szCs w:val="22"/>
        </w:rPr>
        <w:t xml:space="preserve"> N. (2003) Analysing Discourse: Textual Analysis for Social Research, London: Routledge.</w:t>
      </w:r>
    </w:p>
    <w:p w14:paraId="63965F61" w14:textId="77777777" w:rsidR="00EE7D4A" w:rsidRPr="002437DD" w:rsidRDefault="00EE7D4A" w:rsidP="00BB40FF">
      <w:pPr>
        <w:spacing w:before="40" w:after="40" w:line="240" w:lineRule="auto"/>
        <w:rPr>
          <w:color w:val="auto"/>
          <w:sz w:val="22"/>
          <w:szCs w:val="22"/>
        </w:rPr>
      </w:pPr>
    </w:p>
    <w:p w14:paraId="1AD5EF72"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Fairclough</w:t>
      </w:r>
      <w:proofErr w:type="spellEnd"/>
      <w:r w:rsidRPr="002437DD">
        <w:rPr>
          <w:color w:val="auto"/>
          <w:sz w:val="22"/>
          <w:szCs w:val="22"/>
        </w:rPr>
        <w:t xml:space="preserve">, N. and R. </w:t>
      </w:r>
      <w:proofErr w:type="spellStart"/>
      <w:r w:rsidRPr="002437DD">
        <w:rPr>
          <w:color w:val="auto"/>
          <w:sz w:val="22"/>
          <w:szCs w:val="22"/>
        </w:rPr>
        <w:t>Wodak</w:t>
      </w:r>
      <w:proofErr w:type="spellEnd"/>
      <w:r w:rsidRPr="002437DD">
        <w:rPr>
          <w:color w:val="auto"/>
          <w:sz w:val="22"/>
          <w:szCs w:val="22"/>
        </w:rPr>
        <w:t xml:space="preserve"> (1997). Critical Discourse Analysis. In T. A. v. </w:t>
      </w:r>
      <w:proofErr w:type="spellStart"/>
      <w:r w:rsidRPr="002437DD">
        <w:rPr>
          <w:color w:val="auto"/>
          <w:sz w:val="22"/>
          <w:szCs w:val="22"/>
        </w:rPr>
        <w:t>Dijk</w:t>
      </w:r>
      <w:proofErr w:type="spellEnd"/>
      <w:r w:rsidRPr="002437DD">
        <w:rPr>
          <w:color w:val="auto"/>
          <w:sz w:val="22"/>
          <w:szCs w:val="22"/>
        </w:rPr>
        <w:t xml:space="preserve"> (ed.) Discourse studies: a multidisciplinary introduction. London; Thousand Oaks, Calif., Sage Publications: 357-378.</w:t>
      </w:r>
    </w:p>
    <w:p w14:paraId="1C4FAEC6" w14:textId="77777777" w:rsidR="00EE7D4A" w:rsidRPr="002437DD" w:rsidRDefault="00EE7D4A" w:rsidP="00BB40FF">
      <w:pPr>
        <w:spacing w:before="40" w:after="40" w:line="240" w:lineRule="auto"/>
        <w:rPr>
          <w:color w:val="auto"/>
          <w:sz w:val="22"/>
          <w:szCs w:val="22"/>
        </w:rPr>
      </w:pPr>
    </w:p>
    <w:p w14:paraId="01905A28" w14:textId="77777777" w:rsidR="00EE7D4A" w:rsidRPr="002437DD" w:rsidRDefault="00EE7D4A" w:rsidP="00BB40FF">
      <w:pPr>
        <w:spacing w:before="40" w:after="40" w:line="240" w:lineRule="auto"/>
        <w:rPr>
          <w:color w:val="auto"/>
          <w:sz w:val="22"/>
          <w:szCs w:val="22"/>
        </w:rPr>
      </w:pPr>
      <w:r w:rsidRPr="002437DD">
        <w:rPr>
          <w:color w:val="auto"/>
          <w:sz w:val="22"/>
          <w:szCs w:val="22"/>
        </w:rPr>
        <w:t xml:space="preserve">Grant D. and </w:t>
      </w:r>
      <w:proofErr w:type="spellStart"/>
      <w:r w:rsidRPr="002437DD">
        <w:rPr>
          <w:color w:val="auto"/>
          <w:sz w:val="22"/>
          <w:szCs w:val="22"/>
        </w:rPr>
        <w:t>Iedema</w:t>
      </w:r>
      <w:proofErr w:type="spellEnd"/>
      <w:r w:rsidRPr="002437DD">
        <w:rPr>
          <w:color w:val="auto"/>
          <w:sz w:val="22"/>
          <w:szCs w:val="22"/>
        </w:rPr>
        <w:t xml:space="preserve"> R. (2005) Discourse Analysis and the Study of Organizations. Text - Interdisciplinary Journal for the Study of Discourse 25: 37-66.</w:t>
      </w:r>
    </w:p>
    <w:p w14:paraId="7423B3EF" w14:textId="77777777" w:rsidR="00EE7D4A" w:rsidRPr="002437DD" w:rsidRDefault="00EE7D4A" w:rsidP="00BB40FF">
      <w:pPr>
        <w:spacing w:before="40" w:after="40" w:line="240" w:lineRule="auto"/>
        <w:rPr>
          <w:color w:val="auto"/>
          <w:sz w:val="22"/>
          <w:szCs w:val="22"/>
        </w:rPr>
      </w:pPr>
    </w:p>
    <w:p w14:paraId="18BAC7E2"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Habermas</w:t>
      </w:r>
      <w:proofErr w:type="spellEnd"/>
      <w:r w:rsidRPr="002437DD">
        <w:rPr>
          <w:color w:val="auto"/>
          <w:sz w:val="22"/>
          <w:szCs w:val="22"/>
        </w:rPr>
        <w:t xml:space="preserve"> J. (1984) The theory of communicative action, Boston: Beacon Press.</w:t>
      </w:r>
    </w:p>
    <w:p w14:paraId="5092E21F" w14:textId="77777777" w:rsidR="00EE7D4A" w:rsidRPr="002437DD" w:rsidRDefault="00EE7D4A" w:rsidP="00BB40FF">
      <w:pPr>
        <w:spacing w:before="40" w:after="40" w:line="240" w:lineRule="auto"/>
        <w:rPr>
          <w:color w:val="auto"/>
          <w:sz w:val="22"/>
          <w:szCs w:val="22"/>
        </w:rPr>
      </w:pPr>
    </w:p>
    <w:p w14:paraId="2DF9A1DE" w14:textId="77777777" w:rsidR="00EE7D4A" w:rsidRPr="002437DD" w:rsidRDefault="00EE7D4A" w:rsidP="00BB40FF">
      <w:pPr>
        <w:spacing w:before="40" w:after="40" w:line="240" w:lineRule="auto"/>
        <w:rPr>
          <w:color w:val="auto"/>
          <w:sz w:val="22"/>
          <w:szCs w:val="22"/>
        </w:rPr>
      </w:pPr>
      <w:r w:rsidRPr="002437DD">
        <w:rPr>
          <w:color w:val="auto"/>
          <w:sz w:val="22"/>
          <w:szCs w:val="22"/>
        </w:rPr>
        <w:t>Higgins C, Stubbs W and Love T. (2014) Walking the talk (s): Organisational narratives of integrated reporting. Accounting, Auditing &amp; Accountability Journal 27: 1090-1119.</w:t>
      </w:r>
    </w:p>
    <w:p w14:paraId="5CC39CFC" w14:textId="77777777" w:rsidR="00EE7D4A" w:rsidRPr="002437DD" w:rsidRDefault="00EE7D4A" w:rsidP="00BB40FF">
      <w:pPr>
        <w:spacing w:before="40" w:after="40" w:line="240" w:lineRule="auto"/>
        <w:rPr>
          <w:color w:val="auto"/>
          <w:sz w:val="22"/>
          <w:szCs w:val="22"/>
        </w:rPr>
      </w:pPr>
    </w:p>
    <w:p w14:paraId="6624C135" w14:textId="00FB470F" w:rsidR="007A4E22" w:rsidRPr="002437DD" w:rsidRDefault="007A4E22" w:rsidP="007A4E22">
      <w:pPr>
        <w:spacing w:before="40" w:after="40" w:line="240" w:lineRule="auto"/>
        <w:rPr>
          <w:color w:val="auto"/>
          <w:sz w:val="22"/>
          <w:szCs w:val="22"/>
        </w:rPr>
      </w:pPr>
      <w:proofErr w:type="spellStart"/>
      <w:r w:rsidRPr="002437DD">
        <w:rPr>
          <w:color w:val="auto"/>
          <w:sz w:val="22"/>
          <w:szCs w:val="22"/>
        </w:rPr>
        <w:t>Humphry</w:t>
      </w:r>
      <w:proofErr w:type="spellEnd"/>
      <w:r w:rsidRPr="002437DD">
        <w:rPr>
          <w:color w:val="auto"/>
          <w:sz w:val="22"/>
          <w:szCs w:val="22"/>
        </w:rPr>
        <w:t xml:space="preserve">, C., </w:t>
      </w:r>
      <w:proofErr w:type="spellStart"/>
      <w:r w:rsidRPr="002437DD">
        <w:rPr>
          <w:color w:val="auto"/>
          <w:sz w:val="22"/>
          <w:szCs w:val="22"/>
        </w:rPr>
        <w:t>O’Dwyer</w:t>
      </w:r>
      <w:proofErr w:type="spellEnd"/>
      <w:r w:rsidRPr="002437DD">
        <w:rPr>
          <w:color w:val="auto"/>
          <w:sz w:val="22"/>
          <w:szCs w:val="22"/>
        </w:rPr>
        <w:t xml:space="preserve">, B., and Unerman, J. (2015) The rise of integrated reporting: understanding attempts to institutionalize a new reporting framework. Paper presented at the British Accounting and Finance Association annual conference. Manchester, 23-25 March 2015.  </w:t>
      </w:r>
    </w:p>
    <w:p w14:paraId="4966DEA7" w14:textId="77777777" w:rsidR="00482D14" w:rsidRDefault="00482D14" w:rsidP="00BB40FF">
      <w:pPr>
        <w:spacing w:before="40" w:after="40" w:line="240" w:lineRule="auto"/>
        <w:rPr>
          <w:color w:val="auto"/>
          <w:sz w:val="22"/>
          <w:szCs w:val="22"/>
        </w:rPr>
      </w:pPr>
    </w:p>
    <w:p w14:paraId="1FCE8776" w14:textId="721AC818" w:rsidR="00482D14" w:rsidRDefault="00482D14" w:rsidP="00BB40FF">
      <w:pPr>
        <w:spacing w:before="40" w:after="40" w:line="240" w:lineRule="auto"/>
        <w:rPr>
          <w:color w:val="auto"/>
          <w:sz w:val="22"/>
          <w:szCs w:val="22"/>
        </w:rPr>
      </w:pPr>
      <w:r w:rsidRPr="00482D14">
        <w:rPr>
          <w:color w:val="auto"/>
          <w:sz w:val="22"/>
          <w:szCs w:val="22"/>
        </w:rPr>
        <w:t>IIRC (2013) The International &lt;IR&gt; Framework Available from http://integratedreporting.org/wp-content/uploads/2013/12/13-12-08-THE-INTERNATIONAL-IR-FRAMEWORK-2-1.pdf. Accessed 17 February 2016.</w:t>
      </w:r>
    </w:p>
    <w:p w14:paraId="087B225B" w14:textId="77777777" w:rsidR="00482D14" w:rsidRDefault="00482D14" w:rsidP="00BB40FF">
      <w:pPr>
        <w:spacing w:before="40" w:after="40" w:line="240" w:lineRule="auto"/>
        <w:rPr>
          <w:color w:val="auto"/>
          <w:sz w:val="22"/>
          <w:szCs w:val="22"/>
        </w:rPr>
      </w:pPr>
    </w:p>
    <w:p w14:paraId="576A597F" w14:textId="108F4C42" w:rsidR="00EE7D4A" w:rsidRPr="002437DD" w:rsidRDefault="00EE7D4A" w:rsidP="00BB40FF">
      <w:pPr>
        <w:spacing w:before="40" w:after="40" w:line="240" w:lineRule="auto"/>
        <w:rPr>
          <w:color w:val="auto"/>
          <w:sz w:val="22"/>
          <w:szCs w:val="22"/>
        </w:rPr>
      </w:pPr>
      <w:proofErr w:type="spellStart"/>
      <w:r w:rsidRPr="002437DD">
        <w:rPr>
          <w:color w:val="auto"/>
          <w:sz w:val="22"/>
          <w:szCs w:val="22"/>
        </w:rPr>
        <w:t>Iedema</w:t>
      </w:r>
      <w:proofErr w:type="spellEnd"/>
      <w:r w:rsidRPr="002437DD">
        <w:rPr>
          <w:color w:val="auto"/>
          <w:sz w:val="22"/>
          <w:szCs w:val="22"/>
        </w:rPr>
        <w:t xml:space="preserve"> R. (1999) Formalizing organizational meaning. </w:t>
      </w:r>
      <w:r w:rsidR="00B45789" w:rsidRPr="002437DD">
        <w:rPr>
          <w:color w:val="auto"/>
          <w:sz w:val="22"/>
          <w:szCs w:val="22"/>
        </w:rPr>
        <w:t>DISCOURSE &amp; SOCIETY</w:t>
      </w:r>
      <w:r w:rsidR="001233A7" w:rsidRPr="002437DD">
        <w:rPr>
          <w:color w:val="auto"/>
          <w:sz w:val="22"/>
          <w:szCs w:val="22"/>
        </w:rPr>
        <w:t xml:space="preserve"> </w:t>
      </w:r>
      <w:r w:rsidRPr="002437DD">
        <w:rPr>
          <w:color w:val="auto"/>
          <w:sz w:val="22"/>
          <w:szCs w:val="22"/>
        </w:rPr>
        <w:t>10: 49-65.</w:t>
      </w:r>
    </w:p>
    <w:p w14:paraId="25F830D5" w14:textId="77777777" w:rsidR="00EE7D4A" w:rsidRPr="002437DD" w:rsidRDefault="00EE7D4A" w:rsidP="00BB40FF">
      <w:pPr>
        <w:spacing w:before="40" w:after="40" w:line="240" w:lineRule="auto"/>
        <w:rPr>
          <w:color w:val="auto"/>
          <w:sz w:val="22"/>
          <w:szCs w:val="22"/>
        </w:rPr>
      </w:pPr>
    </w:p>
    <w:p w14:paraId="3D763119"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Iedema</w:t>
      </w:r>
      <w:proofErr w:type="spellEnd"/>
      <w:r w:rsidRPr="002437DD">
        <w:rPr>
          <w:color w:val="auto"/>
          <w:sz w:val="22"/>
          <w:szCs w:val="22"/>
        </w:rPr>
        <w:t xml:space="preserve"> R. (2001) </w:t>
      </w:r>
      <w:proofErr w:type="spellStart"/>
      <w:r w:rsidRPr="002437DD">
        <w:rPr>
          <w:color w:val="auto"/>
          <w:sz w:val="22"/>
          <w:szCs w:val="22"/>
        </w:rPr>
        <w:t>Resemiotization</w:t>
      </w:r>
      <w:proofErr w:type="spellEnd"/>
      <w:r w:rsidRPr="002437DD">
        <w:rPr>
          <w:color w:val="auto"/>
          <w:sz w:val="22"/>
          <w:szCs w:val="22"/>
        </w:rPr>
        <w:t xml:space="preserve">. </w:t>
      </w:r>
      <w:proofErr w:type="spellStart"/>
      <w:r w:rsidRPr="002437DD">
        <w:rPr>
          <w:color w:val="auto"/>
          <w:sz w:val="22"/>
          <w:szCs w:val="22"/>
        </w:rPr>
        <w:t>Semiotica</w:t>
      </w:r>
      <w:proofErr w:type="spellEnd"/>
      <w:r w:rsidRPr="002437DD">
        <w:rPr>
          <w:color w:val="auto"/>
          <w:sz w:val="22"/>
          <w:szCs w:val="22"/>
        </w:rPr>
        <w:t>; 137.</w:t>
      </w:r>
    </w:p>
    <w:p w14:paraId="7A465E20" w14:textId="77777777" w:rsidR="00EE7D4A" w:rsidRPr="002437DD" w:rsidRDefault="00EE7D4A" w:rsidP="00BB40FF">
      <w:pPr>
        <w:spacing w:before="40" w:after="40" w:line="240" w:lineRule="auto"/>
        <w:rPr>
          <w:color w:val="auto"/>
          <w:sz w:val="22"/>
          <w:szCs w:val="22"/>
        </w:rPr>
      </w:pPr>
    </w:p>
    <w:p w14:paraId="73B6C3EF"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Krzyżanowski</w:t>
      </w:r>
      <w:proofErr w:type="spellEnd"/>
      <w:r w:rsidRPr="002437DD">
        <w:rPr>
          <w:color w:val="auto"/>
          <w:sz w:val="22"/>
          <w:szCs w:val="22"/>
        </w:rPr>
        <w:t xml:space="preserve"> M. (2010) The Discursive Construction of European Identities: A Multi-level Approach to Discourse and Identity in the Transforming European Union, Frankfurt am Main: Peter Lang </w:t>
      </w:r>
    </w:p>
    <w:p w14:paraId="4587ADA5" w14:textId="77777777" w:rsidR="00EE7D4A" w:rsidRPr="002437DD" w:rsidRDefault="00EE7D4A" w:rsidP="00BB40FF">
      <w:pPr>
        <w:spacing w:before="40" w:after="40" w:line="240" w:lineRule="auto"/>
        <w:rPr>
          <w:color w:val="auto"/>
          <w:sz w:val="22"/>
          <w:szCs w:val="22"/>
        </w:rPr>
      </w:pPr>
    </w:p>
    <w:p w14:paraId="011D7CAB"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Laine</w:t>
      </w:r>
      <w:proofErr w:type="spellEnd"/>
      <w:r w:rsidRPr="002437DD">
        <w:rPr>
          <w:color w:val="auto"/>
          <w:sz w:val="22"/>
          <w:szCs w:val="22"/>
        </w:rPr>
        <w:t xml:space="preserve"> M. (2009) Ensuring legitimacy through rhetorical changes? A longitudinal interpretation of the environmental disclosures of a leading Finnish chemical company. Accounting, Auditing &amp; Accountability Journal 22: 1029-1054.</w:t>
      </w:r>
    </w:p>
    <w:p w14:paraId="63446AE9" w14:textId="77777777" w:rsidR="00EE7D4A" w:rsidRPr="002437DD" w:rsidRDefault="00EE7D4A" w:rsidP="00BB40FF">
      <w:pPr>
        <w:spacing w:before="40" w:after="40" w:line="240" w:lineRule="auto"/>
        <w:rPr>
          <w:color w:val="auto"/>
          <w:sz w:val="22"/>
          <w:szCs w:val="22"/>
        </w:rPr>
      </w:pPr>
    </w:p>
    <w:p w14:paraId="52C64EBA" w14:textId="77777777" w:rsidR="00EE7D4A" w:rsidRPr="002437DD" w:rsidRDefault="00EE7D4A" w:rsidP="00BB40FF">
      <w:pPr>
        <w:spacing w:before="40" w:after="40" w:line="240" w:lineRule="auto"/>
        <w:rPr>
          <w:color w:val="auto"/>
          <w:sz w:val="22"/>
          <w:szCs w:val="22"/>
        </w:rPr>
      </w:pPr>
      <w:r w:rsidRPr="002437DD">
        <w:rPr>
          <w:color w:val="auto"/>
          <w:sz w:val="22"/>
          <w:szCs w:val="22"/>
        </w:rPr>
        <w:t>Meadows DH. (1972) The Limits to growth: a report for the Club of Rome's project on the predicament of mankind: Universe Books.</w:t>
      </w:r>
    </w:p>
    <w:p w14:paraId="1CC711F6" w14:textId="77777777" w:rsidR="00EE7D4A" w:rsidRPr="002437DD" w:rsidRDefault="00EE7D4A" w:rsidP="00BB40FF">
      <w:pPr>
        <w:spacing w:before="40" w:after="40" w:line="240" w:lineRule="auto"/>
        <w:rPr>
          <w:color w:val="auto"/>
          <w:sz w:val="22"/>
          <w:szCs w:val="22"/>
        </w:rPr>
      </w:pPr>
    </w:p>
    <w:p w14:paraId="79C8378B" w14:textId="77777777" w:rsidR="00EE7D4A" w:rsidRPr="002437DD" w:rsidRDefault="00EE7D4A" w:rsidP="00BB40FF">
      <w:pPr>
        <w:spacing w:before="40" w:after="40" w:line="240" w:lineRule="auto"/>
        <w:rPr>
          <w:color w:val="auto"/>
          <w:sz w:val="22"/>
          <w:szCs w:val="22"/>
        </w:rPr>
      </w:pPr>
      <w:r w:rsidRPr="002437DD">
        <w:rPr>
          <w:color w:val="auto"/>
          <w:sz w:val="22"/>
          <w:szCs w:val="22"/>
        </w:rPr>
        <w:t>Swales J. (1990) Genre analysis: English in academic and research settings: Cambridge University Press.</w:t>
      </w:r>
    </w:p>
    <w:p w14:paraId="1107BCF8" w14:textId="77777777" w:rsidR="00EE7D4A" w:rsidRPr="002437DD" w:rsidRDefault="00EE7D4A" w:rsidP="00BB40FF">
      <w:pPr>
        <w:spacing w:before="40" w:after="40" w:line="240" w:lineRule="auto"/>
        <w:rPr>
          <w:color w:val="auto"/>
          <w:sz w:val="22"/>
          <w:szCs w:val="22"/>
        </w:rPr>
      </w:pPr>
    </w:p>
    <w:p w14:paraId="70E9381A" w14:textId="18C707CA" w:rsidR="00EE7D4A" w:rsidRPr="002437DD" w:rsidRDefault="009576F6" w:rsidP="00BB40FF">
      <w:pPr>
        <w:spacing w:before="40" w:after="40" w:line="240" w:lineRule="auto"/>
        <w:rPr>
          <w:color w:val="auto"/>
          <w:sz w:val="22"/>
          <w:szCs w:val="22"/>
        </w:rPr>
      </w:pPr>
      <w:r>
        <w:rPr>
          <w:color w:val="auto"/>
          <w:sz w:val="22"/>
          <w:szCs w:val="22"/>
        </w:rPr>
        <w:t xml:space="preserve">WCED. </w:t>
      </w:r>
      <w:r w:rsidR="00EE7D4A" w:rsidRPr="002437DD">
        <w:rPr>
          <w:color w:val="auto"/>
          <w:sz w:val="22"/>
          <w:szCs w:val="22"/>
        </w:rPr>
        <w:t xml:space="preserve">(1987) Our Common Future (also known as the </w:t>
      </w:r>
      <w:proofErr w:type="spellStart"/>
      <w:r w:rsidR="00EE7D4A" w:rsidRPr="002437DD">
        <w:rPr>
          <w:color w:val="auto"/>
          <w:sz w:val="22"/>
          <w:szCs w:val="22"/>
        </w:rPr>
        <w:t>Brundtland</w:t>
      </w:r>
      <w:proofErr w:type="spellEnd"/>
      <w:r w:rsidR="00EE7D4A" w:rsidRPr="002437DD">
        <w:rPr>
          <w:color w:val="auto"/>
          <w:sz w:val="22"/>
          <w:szCs w:val="22"/>
        </w:rPr>
        <w:t xml:space="preserve"> Report), </w:t>
      </w:r>
      <w:r w:rsidRPr="002437DD">
        <w:rPr>
          <w:color w:val="auto"/>
          <w:sz w:val="22"/>
          <w:szCs w:val="22"/>
        </w:rPr>
        <w:t xml:space="preserve">The World Commission on Environment and Development. </w:t>
      </w:r>
      <w:r w:rsidR="00EE7D4A" w:rsidRPr="002437DD">
        <w:rPr>
          <w:color w:val="auto"/>
          <w:sz w:val="22"/>
          <w:szCs w:val="22"/>
        </w:rPr>
        <w:t>Oxford: Oxford University Press.</w:t>
      </w:r>
    </w:p>
    <w:p w14:paraId="3E1A3E9F" w14:textId="2F060ADE" w:rsidR="00EE7D4A" w:rsidRPr="002437DD" w:rsidRDefault="00EE7D4A" w:rsidP="00BB40FF">
      <w:pPr>
        <w:spacing w:before="40" w:after="40" w:line="240" w:lineRule="auto"/>
        <w:rPr>
          <w:color w:val="auto"/>
          <w:sz w:val="22"/>
          <w:szCs w:val="22"/>
        </w:rPr>
      </w:pPr>
    </w:p>
    <w:p w14:paraId="0FE1394C" w14:textId="260FAFDC" w:rsidR="00EE7D4A" w:rsidRPr="002437DD" w:rsidRDefault="00EE7D4A" w:rsidP="00BB40FF">
      <w:pPr>
        <w:spacing w:before="40" w:after="40" w:line="240" w:lineRule="auto"/>
        <w:rPr>
          <w:color w:val="auto"/>
          <w:sz w:val="22"/>
          <w:szCs w:val="22"/>
        </w:rPr>
      </w:pPr>
      <w:r w:rsidRPr="002437DD">
        <w:rPr>
          <w:color w:val="auto"/>
          <w:sz w:val="22"/>
          <w:szCs w:val="22"/>
        </w:rPr>
        <w:t>Unerman, J</w:t>
      </w:r>
      <w:r w:rsidR="001233A7" w:rsidRPr="002437DD">
        <w:rPr>
          <w:color w:val="auto"/>
          <w:sz w:val="22"/>
          <w:szCs w:val="22"/>
        </w:rPr>
        <w:t xml:space="preserve"> and</w:t>
      </w:r>
      <w:r w:rsidRPr="002437DD">
        <w:rPr>
          <w:color w:val="auto"/>
          <w:sz w:val="22"/>
          <w:szCs w:val="22"/>
        </w:rPr>
        <w:t xml:space="preserve"> Zappettini, F</w:t>
      </w:r>
      <w:r w:rsidR="001233A7" w:rsidRPr="002437DD">
        <w:rPr>
          <w:color w:val="auto"/>
          <w:sz w:val="22"/>
          <w:szCs w:val="22"/>
        </w:rPr>
        <w:t xml:space="preserve">. (2015) </w:t>
      </w:r>
      <w:r w:rsidRPr="002437DD">
        <w:rPr>
          <w:color w:val="auto"/>
          <w:sz w:val="22"/>
          <w:szCs w:val="22"/>
        </w:rPr>
        <w:t>The meaning of sustainability in early Integrated Reports: A critical discursive analysis. Papers presented at the IPA Conference 2015 Stockholm Business School</w:t>
      </w:r>
      <w:r w:rsidR="001233A7" w:rsidRPr="002437DD">
        <w:rPr>
          <w:color w:val="auto"/>
          <w:sz w:val="22"/>
          <w:szCs w:val="22"/>
        </w:rPr>
        <w:t xml:space="preserve">, </w:t>
      </w:r>
      <w:r w:rsidRPr="002437DD">
        <w:rPr>
          <w:color w:val="auto"/>
          <w:sz w:val="22"/>
          <w:szCs w:val="22"/>
        </w:rPr>
        <w:t>8-10 July</w:t>
      </w:r>
      <w:r w:rsidR="001233A7" w:rsidRPr="002437DD">
        <w:rPr>
          <w:color w:val="auto"/>
          <w:sz w:val="22"/>
          <w:szCs w:val="22"/>
        </w:rPr>
        <w:t xml:space="preserve"> 2015.</w:t>
      </w:r>
    </w:p>
    <w:p w14:paraId="4E5FE2CA" w14:textId="77777777" w:rsidR="00EE7D4A" w:rsidRPr="002437DD" w:rsidRDefault="00EE7D4A" w:rsidP="00BB40FF">
      <w:pPr>
        <w:spacing w:before="40" w:after="40" w:line="240" w:lineRule="auto"/>
        <w:rPr>
          <w:color w:val="auto"/>
          <w:sz w:val="22"/>
          <w:szCs w:val="22"/>
        </w:rPr>
      </w:pPr>
    </w:p>
    <w:p w14:paraId="4F8C327A" w14:textId="4FE25234" w:rsidR="00EE7D4A" w:rsidRPr="002437DD" w:rsidRDefault="00EE7D4A" w:rsidP="00BB40FF">
      <w:pPr>
        <w:spacing w:before="40" w:after="40" w:line="240" w:lineRule="auto"/>
        <w:rPr>
          <w:color w:val="auto"/>
          <w:sz w:val="22"/>
          <w:szCs w:val="22"/>
        </w:rPr>
      </w:pPr>
      <w:proofErr w:type="gramStart"/>
      <w:r w:rsidRPr="002437DD">
        <w:rPr>
          <w:color w:val="auto"/>
          <w:sz w:val="22"/>
          <w:szCs w:val="22"/>
        </w:rPr>
        <w:t>van</w:t>
      </w:r>
      <w:proofErr w:type="gramEnd"/>
      <w:r w:rsidRPr="002437DD">
        <w:rPr>
          <w:color w:val="auto"/>
          <w:sz w:val="22"/>
          <w:szCs w:val="22"/>
        </w:rPr>
        <w:t xml:space="preserve"> </w:t>
      </w:r>
      <w:proofErr w:type="spellStart"/>
      <w:r w:rsidRPr="002437DD">
        <w:rPr>
          <w:color w:val="auto"/>
          <w:sz w:val="22"/>
          <w:szCs w:val="22"/>
        </w:rPr>
        <w:t>Dijk</w:t>
      </w:r>
      <w:proofErr w:type="spellEnd"/>
      <w:r w:rsidRPr="002437DD">
        <w:rPr>
          <w:color w:val="auto"/>
          <w:sz w:val="22"/>
          <w:szCs w:val="22"/>
        </w:rPr>
        <w:t xml:space="preserve">  T. (1993) Principles of critical discourse analysis. </w:t>
      </w:r>
      <w:r w:rsidR="00B45789" w:rsidRPr="002437DD">
        <w:rPr>
          <w:color w:val="auto"/>
          <w:sz w:val="22"/>
          <w:szCs w:val="22"/>
        </w:rPr>
        <w:t>DISCOURSE &amp; SOCIETY</w:t>
      </w:r>
      <w:r w:rsidRPr="002437DD">
        <w:rPr>
          <w:color w:val="auto"/>
          <w:sz w:val="22"/>
          <w:szCs w:val="22"/>
        </w:rPr>
        <w:t xml:space="preserve"> 4: 249-283.</w:t>
      </w:r>
    </w:p>
    <w:p w14:paraId="0F1EB932" w14:textId="77777777" w:rsidR="00A87886" w:rsidRPr="002437DD" w:rsidRDefault="00A87886" w:rsidP="00BB40FF">
      <w:pPr>
        <w:spacing w:before="40" w:after="40" w:line="240" w:lineRule="auto"/>
        <w:rPr>
          <w:color w:val="auto"/>
          <w:sz w:val="22"/>
          <w:szCs w:val="22"/>
        </w:rPr>
      </w:pPr>
    </w:p>
    <w:p w14:paraId="28B36E0F" w14:textId="0911634B" w:rsidR="00A87886" w:rsidRPr="002437DD" w:rsidRDefault="00A87886" w:rsidP="00BB40FF">
      <w:pPr>
        <w:spacing w:before="40" w:after="40" w:line="240" w:lineRule="auto"/>
        <w:rPr>
          <w:color w:val="auto"/>
          <w:sz w:val="22"/>
          <w:szCs w:val="22"/>
        </w:rPr>
      </w:pPr>
      <w:proofErr w:type="gramStart"/>
      <w:r w:rsidRPr="002437DD">
        <w:rPr>
          <w:color w:val="auto"/>
          <w:sz w:val="22"/>
          <w:szCs w:val="22"/>
        </w:rPr>
        <w:t>van</w:t>
      </w:r>
      <w:proofErr w:type="gramEnd"/>
      <w:r w:rsidRPr="002437DD">
        <w:rPr>
          <w:color w:val="auto"/>
          <w:sz w:val="22"/>
          <w:szCs w:val="22"/>
        </w:rPr>
        <w:t xml:space="preserve"> </w:t>
      </w:r>
      <w:proofErr w:type="spellStart"/>
      <w:r w:rsidRPr="002437DD">
        <w:rPr>
          <w:color w:val="auto"/>
          <w:sz w:val="22"/>
          <w:szCs w:val="22"/>
        </w:rPr>
        <w:t>Dijk</w:t>
      </w:r>
      <w:proofErr w:type="spellEnd"/>
      <w:r w:rsidRPr="002437DD">
        <w:rPr>
          <w:color w:val="auto"/>
          <w:sz w:val="22"/>
          <w:szCs w:val="22"/>
        </w:rPr>
        <w:t xml:space="preserve">  T. (2014) Discourse and knowledge: A </w:t>
      </w:r>
      <w:proofErr w:type="spellStart"/>
      <w:r w:rsidRPr="002437DD">
        <w:rPr>
          <w:color w:val="auto"/>
          <w:sz w:val="22"/>
          <w:szCs w:val="22"/>
        </w:rPr>
        <w:t>sociocognitive</w:t>
      </w:r>
      <w:proofErr w:type="spellEnd"/>
      <w:r w:rsidRPr="002437DD">
        <w:rPr>
          <w:color w:val="auto"/>
          <w:sz w:val="22"/>
          <w:szCs w:val="22"/>
        </w:rPr>
        <w:t xml:space="preserve"> approach. Cambridge: Cambridge University Press</w:t>
      </w:r>
    </w:p>
    <w:p w14:paraId="50795D04" w14:textId="77777777" w:rsidR="00EE7D4A" w:rsidRPr="002437DD" w:rsidRDefault="00EE7D4A" w:rsidP="00BB40FF">
      <w:pPr>
        <w:spacing w:before="40" w:after="40" w:line="240" w:lineRule="auto"/>
        <w:rPr>
          <w:color w:val="auto"/>
          <w:sz w:val="22"/>
          <w:szCs w:val="22"/>
        </w:rPr>
      </w:pPr>
    </w:p>
    <w:p w14:paraId="5AF25577"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Wodak</w:t>
      </w:r>
      <w:proofErr w:type="spellEnd"/>
      <w:r w:rsidRPr="002437DD">
        <w:rPr>
          <w:color w:val="auto"/>
          <w:sz w:val="22"/>
          <w:szCs w:val="22"/>
        </w:rPr>
        <w:t xml:space="preserve"> R. (2011) Complex texts: Analysing, understanding, explaining and interpreting meanings. Discourse Studies 13: 623-633.</w:t>
      </w:r>
    </w:p>
    <w:p w14:paraId="1DC5AF78" w14:textId="77777777" w:rsidR="00EE7D4A" w:rsidRPr="002437DD" w:rsidRDefault="00EE7D4A" w:rsidP="00BB40FF">
      <w:pPr>
        <w:spacing w:before="40" w:after="40" w:line="240" w:lineRule="auto"/>
        <w:rPr>
          <w:color w:val="auto"/>
          <w:sz w:val="22"/>
          <w:szCs w:val="22"/>
        </w:rPr>
      </w:pPr>
    </w:p>
    <w:p w14:paraId="43E93E06" w14:textId="77777777" w:rsidR="00EE7D4A" w:rsidRPr="002437DD" w:rsidRDefault="00EE7D4A" w:rsidP="00BB40FF">
      <w:pPr>
        <w:spacing w:before="40" w:after="40" w:line="240" w:lineRule="auto"/>
        <w:rPr>
          <w:color w:val="auto"/>
          <w:sz w:val="22"/>
          <w:szCs w:val="22"/>
        </w:rPr>
      </w:pPr>
      <w:proofErr w:type="spellStart"/>
      <w:r w:rsidRPr="002437DD">
        <w:rPr>
          <w:color w:val="auto"/>
          <w:sz w:val="22"/>
          <w:szCs w:val="22"/>
        </w:rPr>
        <w:t>Wodak</w:t>
      </w:r>
      <w:proofErr w:type="spellEnd"/>
      <w:r w:rsidRPr="002437DD">
        <w:rPr>
          <w:color w:val="auto"/>
          <w:sz w:val="22"/>
          <w:szCs w:val="22"/>
        </w:rPr>
        <w:t xml:space="preserve"> R, de </w:t>
      </w:r>
      <w:proofErr w:type="spellStart"/>
      <w:r w:rsidRPr="002437DD">
        <w:rPr>
          <w:color w:val="auto"/>
          <w:sz w:val="22"/>
          <w:szCs w:val="22"/>
        </w:rPr>
        <w:t>Cillia</w:t>
      </w:r>
      <w:proofErr w:type="spellEnd"/>
      <w:r w:rsidRPr="002437DD">
        <w:rPr>
          <w:color w:val="auto"/>
          <w:sz w:val="22"/>
          <w:szCs w:val="22"/>
        </w:rPr>
        <w:t xml:space="preserve"> R, </w:t>
      </w:r>
      <w:proofErr w:type="spellStart"/>
      <w:r w:rsidRPr="002437DD">
        <w:rPr>
          <w:color w:val="auto"/>
          <w:sz w:val="22"/>
          <w:szCs w:val="22"/>
        </w:rPr>
        <w:t>Reisigl</w:t>
      </w:r>
      <w:proofErr w:type="spellEnd"/>
      <w:r w:rsidRPr="002437DD">
        <w:rPr>
          <w:color w:val="auto"/>
          <w:sz w:val="22"/>
          <w:szCs w:val="22"/>
        </w:rPr>
        <w:t xml:space="preserve"> M, et al. (2009) The discursive construction of national identity, Edinburgh: Edinburgh University Press.</w:t>
      </w:r>
    </w:p>
    <w:p w14:paraId="65FD4531" w14:textId="77777777" w:rsidR="00EE7D4A" w:rsidRPr="002437DD" w:rsidRDefault="00EE7D4A" w:rsidP="00BB40FF">
      <w:pPr>
        <w:spacing w:before="40" w:after="40" w:line="240" w:lineRule="auto"/>
        <w:rPr>
          <w:color w:val="auto"/>
        </w:rPr>
      </w:pPr>
    </w:p>
    <w:p w14:paraId="5DAF2E13" w14:textId="77777777" w:rsidR="009C670E" w:rsidRPr="002437DD" w:rsidRDefault="009C670E" w:rsidP="00BB40FF">
      <w:pPr>
        <w:spacing w:before="40" w:after="40" w:line="240" w:lineRule="auto"/>
        <w:rPr>
          <w:color w:val="auto"/>
        </w:rPr>
      </w:pPr>
    </w:p>
    <w:p w14:paraId="06E12D33" w14:textId="77777777" w:rsidR="005378A8" w:rsidRDefault="005378A8">
      <w:pPr>
        <w:spacing w:line="240" w:lineRule="auto"/>
        <w:jc w:val="left"/>
        <w:rPr>
          <w:rFonts w:eastAsiaTheme="majorEastAsia" w:cstheme="majorBidi"/>
          <w:b/>
          <w:bCs/>
          <w:color w:val="auto"/>
          <w:sz w:val="28"/>
          <w:szCs w:val="28"/>
        </w:rPr>
      </w:pPr>
      <w:r>
        <w:rPr>
          <w:color w:val="auto"/>
        </w:rPr>
        <w:br w:type="page"/>
      </w:r>
    </w:p>
    <w:p w14:paraId="76EBBD18" w14:textId="1223EA53" w:rsidR="00EE7D4A" w:rsidRPr="002437DD" w:rsidRDefault="00EE7D4A" w:rsidP="00CB272D">
      <w:pPr>
        <w:pStyle w:val="Heading1"/>
        <w:rPr>
          <w:color w:val="auto"/>
        </w:rPr>
      </w:pPr>
      <w:r w:rsidRPr="002437DD">
        <w:rPr>
          <w:color w:val="auto"/>
        </w:rPr>
        <w:lastRenderedPageBreak/>
        <w:t>Appendix</w:t>
      </w:r>
    </w:p>
    <w:p w14:paraId="0CC41A6C" w14:textId="4B008F85" w:rsidR="00C83007" w:rsidRDefault="00C83007" w:rsidP="005378A8">
      <w:pPr>
        <w:pStyle w:val="Caption"/>
      </w:pPr>
      <w:r w:rsidRPr="002437DD">
        <w:t xml:space="preserve">Table </w:t>
      </w:r>
      <w:r w:rsidR="00072202">
        <w:fldChar w:fldCharType="begin"/>
      </w:r>
      <w:r w:rsidR="00072202">
        <w:instrText xml:space="preserve"> SEQ Table \* ARABIC </w:instrText>
      </w:r>
      <w:r w:rsidR="00072202">
        <w:fldChar w:fldCharType="separate"/>
      </w:r>
      <w:r w:rsidR="00E35E41">
        <w:rPr>
          <w:noProof/>
        </w:rPr>
        <w:t>6</w:t>
      </w:r>
      <w:r w:rsidR="00072202">
        <w:rPr>
          <w:noProof/>
        </w:rPr>
        <w:fldChar w:fldCharType="end"/>
      </w:r>
      <w:r w:rsidRPr="002437DD">
        <w:t xml:space="preserve"> List and details of </w:t>
      </w:r>
      <w:r w:rsidRPr="005378A8">
        <w:t>documents</w:t>
      </w:r>
      <w:r w:rsidRPr="002437DD">
        <w:t xml:space="preserve"> analysed.</w:t>
      </w:r>
    </w:p>
    <w:p w14:paraId="7E108660" w14:textId="77777777" w:rsidR="005B0D5C" w:rsidRPr="005378A8" w:rsidRDefault="005B0D5C" w:rsidP="005378A8">
      <w:pPr>
        <w:sectPr w:rsidR="005B0D5C" w:rsidRPr="005378A8" w:rsidSect="001233A7">
          <w:headerReference w:type="even" r:id="rId10"/>
          <w:headerReference w:type="default" r:id="rId11"/>
          <w:footerReference w:type="even" r:id="rId12"/>
          <w:footerReference w:type="default" r:id="rId13"/>
          <w:endnotePr>
            <w:numFmt w:val="decimal"/>
          </w:endnotePr>
          <w:pgSz w:w="11900" w:h="16840"/>
          <w:pgMar w:top="1440" w:right="1800" w:bottom="1440" w:left="1800" w:header="708" w:footer="708" w:gutter="0"/>
          <w:cols w:space="708"/>
          <w:docGrid w:linePitch="360"/>
        </w:sectPr>
      </w:pPr>
    </w:p>
    <w:tbl>
      <w:tblPr>
        <w:tblpPr w:leftFromText="180" w:rightFromText="180" w:vertAnchor="page" w:horzAnchor="page" w:tblpX="1450" w:tblpY="2345"/>
        <w:tblW w:w="9773" w:type="dxa"/>
        <w:tblLayout w:type="fixed"/>
        <w:tblLook w:val="0000" w:firstRow="0" w:lastRow="0" w:firstColumn="0" w:lastColumn="0" w:noHBand="0" w:noVBand="0"/>
      </w:tblPr>
      <w:tblGrid>
        <w:gridCol w:w="1188"/>
        <w:gridCol w:w="1260"/>
        <w:gridCol w:w="1080"/>
        <w:gridCol w:w="975"/>
        <w:gridCol w:w="1134"/>
        <w:gridCol w:w="630"/>
        <w:gridCol w:w="362"/>
        <w:gridCol w:w="1056"/>
        <w:gridCol w:w="361"/>
        <w:gridCol w:w="1727"/>
      </w:tblGrid>
      <w:tr w:rsidR="008548E1" w:rsidRPr="002437DD" w14:paraId="5DF678D6" w14:textId="77777777" w:rsidTr="008548E1">
        <w:trPr>
          <w:cantSplit/>
          <w:trHeight w:val="600"/>
        </w:trPr>
        <w:tc>
          <w:tcPr>
            <w:tcW w:w="1188" w:type="dxa"/>
            <w:tcBorders>
              <w:top w:val="single" w:sz="6" w:space="0" w:color="auto"/>
              <w:left w:val="single" w:sz="6" w:space="0" w:color="auto"/>
              <w:bottom w:val="single" w:sz="6" w:space="0" w:color="auto"/>
              <w:right w:val="single" w:sz="6" w:space="0" w:color="auto"/>
            </w:tcBorders>
          </w:tcPr>
          <w:p w14:paraId="7AC081FE"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 xml:space="preserve">Name </w:t>
            </w:r>
            <w:r>
              <w:rPr>
                <w:rFonts w:cs="Arial Narrow"/>
                <w:b/>
                <w:bCs/>
                <w:color w:val="auto"/>
                <w:sz w:val="16"/>
                <w:szCs w:val="16"/>
              </w:rPr>
              <w:t>o</w:t>
            </w:r>
            <w:r w:rsidRPr="002437DD">
              <w:rPr>
                <w:rFonts w:cs="Arial Narrow"/>
                <w:b/>
                <w:bCs/>
                <w:color w:val="auto"/>
                <w:sz w:val="16"/>
                <w:szCs w:val="16"/>
              </w:rPr>
              <w:t xml:space="preserve">f </w:t>
            </w:r>
            <w:r>
              <w:rPr>
                <w:rFonts w:cs="Arial Narrow"/>
                <w:b/>
                <w:bCs/>
                <w:color w:val="auto"/>
                <w:sz w:val="16"/>
                <w:szCs w:val="16"/>
              </w:rPr>
              <w:t>t</w:t>
            </w:r>
            <w:r w:rsidRPr="002437DD">
              <w:rPr>
                <w:rFonts w:cs="Arial Narrow"/>
                <w:b/>
                <w:bCs/>
                <w:color w:val="auto"/>
                <w:sz w:val="16"/>
                <w:szCs w:val="16"/>
              </w:rPr>
              <w:t>he Organisation</w:t>
            </w:r>
          </w:p>
        </w:tc>
        <w:tc>
          <w:tcPr>
            <w:tcW w:w="1260" w:type="dxa"/>
            <w:tcBorders>
              <w:top w:val="single" w:sz="6" w:space="0" w:color="auto"/>
              <w:left w:val="single" w:sz="6" w:space="0" w:color="auto"/>
              <w:bottom w:val="single" w:sz="6" w:space="0" w:color="auto"/>
              <w:right w:val="single" w:sz="6" w:space="0" w:color="auto"/>
            </w:tcBorders>
          </w:tcPr>
          <w:p w14:paraId="4647E948"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 xml:space="preserve">Type </w:t>
            </w:r>
            <w:r>
              <w:rPr>
                <w:rFonts w:cs="Arial Narrow"/>
                <w:b/>
                <w:bCs/>
                <w:color w:val="auto"/>
                <w:sz w:val="16"/>
                <w:szCs w:val="16"/>
              </w:rPr>
              <w:t>o</w:t>
            </w:r>
            <w:r w:rsidRPr="002437DD">
              <w:rPr>
                <w:rFonts w:cs="Arial Narrow"/>
                <w:b/>
                <w:bCs/>
                <w:color w:val="auto"/>
                <w:sz w:val="16"/>
                <w:szCs w:val="16"/>
              </w:rPr>
              <w:t>f Organisation</w:t>
            </w:r>
          </w:p>
        </w:tc>
        <w:tc>
          <w:tcPr>
            <w:tcW w:w="1080" w:type="dxa"/>
            <w:tcBorders>
              <w:top w:val="single" w:sz="6" w:space="0" w:color="auto"/>
              <w:left w:val="single" w:sz="6" w:space="0" w:color="auto"/>
              <w:bottom w:val="single" w:sz="6" w:space="0" w:color="auto"/>
              <w:right w:val="single" w:sz="6" w:space="0" w:color="auto"/>
            </w:tcBorders>
          </w:tcPr>
          <w:p w14:paraId="4FCD3A4F"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Sector</w:t>
            </w:r>
          </w:p>
        </w:tc>
        <w:tc>
          <w:tcPr>
            <w:tcW w:w="975" w:type="dxa"/>
            <w:tcBorders>
              <w:top w:val="single" w:sz="6" w:space="0" w:color="auto"/>
              <w:left w:val="single" w:sz="6" w:space="0" w:color="auto"/>
              <w:bottom w:val="single" w:sz="6" w:space="0" w:color="auto"/>
              <w:right w:val="single" w:sz="6" w:space="0" w:color="auto"/>
            </w:tcBorders>
          </w:tcPr>
          <w:p w14:paraId="0F42C9A9"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Region</w:t>
            </w:r>
          </w:p>
        </w:tc>
        <w:tc>
          <w:tcPr>
            <w:tcW w:w="5270" w:type="dxa"/>
            <w:gridSpan w:val="6"/>
            <w:tcBorders>
              <w:top w:val="single" w:sz="6" w:space="0" w:color="auto"/>
              <w:left w:val="single" w:sz="6" w:space="0" w:color="auto"/>
              <w:bottom w:val="single" w:sz="6" w:space="0" w:color="auto"/>
              <w:right w:val="single" w:sz="6" w:space="0" w:color="auto"/>
            </w:tcBorders>
          </w:tcPr>
          <w:p w14:paraId="103F0D86"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 xml:space="preserve">Documents Available </w:t>
            </w:r>
            <w:r>
              <w:rPr>
                <w:rFonts w:cs="Arial Narrow"/>
                <w:b/>
                <w:bCs/>
                <w:color w:val="auto"/>
                <w:sz w:val="16"/>
                <w:szCs w:val="16"/>
              </w:rPr>
              <w:t>o</w:t>
            </w:r>
            <w:r w:rsidRPr="002437DD">
              <w:rPr>
                <w:rFonts w:cs="Arial Narrow"/>
                <w:b/>
                <w:bCs/>
                <w:color w:val="auto"/>
                <w:sz w:val="16"/>
                <w:szCs w:val="16"/>
              </w:rPr>
              <w:t>n The IIRC Database (Number Of Pages)</w:t>
            </w:r>
          </w:p>
        </w:tc>
      </w:tr>
      <w:tr w:rsidR="008548E1" w:rsidRPr="002437DD" w14:paraId="6942293B" w14:textId="77777777" w:rsidTr="008548E1">
        <w:trPr>
          <w:cantSplit/>
          <w:trHeight w:val="535"/>
        </w:trPr>
        <w:tc>
          <w:tcPr>
            <w:tcW w:w="1188" w:type="dxa"/>
            <w:tcBorders>
              <w:top w:val="single" w:sz="6" w:space="0" w:color="auto"/>
              <w:left w:val="single" w:sz="6" w:space="0" w:color="auto"/>
              <w:bottom w:val="single" w:sz="6" w:space="0" w:color="auto"/>
              <w:right w:val="single" w:sz="6" w:space="0" w:color="auto"/>
            </w:tcBorders>
          </w:tcPr>
          <w:p w14:paraId="53869B8F" w14:textId="77777777" w:rsidR="008548E1" w:rsidRPr="002437DD" w:rsidRDefault="008548E1" w:rsidP="008548E1">
            <w:pPr>
              <w:autoSpaceDE w:val="0"/>
              <w:autoSpaceDN w:val="0"/>
              <w:adjustRightInd w:val="0"/>
              <w:spacing w:line="240" w:lineRule="auto"/>
              <w:jc w:val="center"/>
              <w:rPr>
                <w:rFonts w:cs="Arial Narrow"/>
                <w:b/>
                <w:bCs/>
                <w:color w:val="auto"/>
                <w:sz w:val="16"/>
                <w:szCs w:val="16"/>
              </w:rPr>
            </w:pPr>
          </w:p>
        </w:tc>
        <w:tc>
          <w:tcPr>
            <w:tcW w:w="1260" w:type="dxa"/>
            <w:tcBorders>
              <w:top w:val="single" w:sz="6" w:space="0" w:color="auto"/>
              <w:left w:val="single" w:sz="6" w:space="0" w:color="auto"/>
              <w:bottom w:val="single" w:sz="6" w:space="0" w:color="auto"/>
              <w:right w:val="single" w:sz="6" w:space="0" w:color="auto"/>
            </w:tcBorders>
          </w:tcPr>
          <w:p w14:paraId="6E0A936A" w14:textId="77777777" w:rsidR="008548E1" w:rsidRPr="002437DD" w:rsidRDefault="008548E1" w:rsidP="008548E1">
            <w:pPr>
              <w:autoSpaceDE w:val="0"/>
              <w:autoSpaceDN w:val="0"/>
              <w:adjustRightInd w:val="0"/>
              <w:spacing w:line="240" w:lineRule="auto"/>
              <w:jc w:val="center"/>
              <w:rPr>
                <w:rFonts w:cs="Arial Narrow"/>
                <w:b/>
                <w:bCs/>
                <w:color w:val="auto"/>
                <w:sz w:val="16"/>
                <w:szCs w:val="16"/>
              </w:rPr>
            </w:pPr>
          </w:p>
        </w:tc>
        <w:tc>
          <w:tcPr>
            <w:tcW w:w="1080" w:type="dxa"/>
            <w:tcBorders>
              <w:top w:val="single" w:sz="6" w:space="0" w:color="auto"/>
              <w:left w:val="single" w:sz="6" w:space="0" w:color="auto"/>
              <w:bottom w:val="single" w:sz="6" w:space="0" w:color="auto"/>
              <w:right w:val="single" w:sz="6" w:space="0" w:color="auto"/>
            </w:tcBorders>
          </w:tcPr>
          <w:p w14:paraId="26C63AE0" w14:textId="77777777" w:rsidR="008548E1" w:rsidRPr="002437DD" w:rsidRDefault="008548E1" w:rsidP="008548E1">
            <w:pPr>
              <w:autoSpaceDE w:val="0"/>
              <w:autoSpaceDN w:val="0"/>
              <w:adjustRightInd w:val="0"/>
              <w:spacing w:line="240" w:lineRule="auto"/>
              <w:jc w:val="center"/>
              <w:rPr>
                <w:rFonts w:cs="Arial Narrow"/>
                <w:b/>
                <w:bCs/>
                <w:color w:val="auto"/>
                <w:sz w:val="16"/>
                <w:szCs w:val="16"/>
              </w:rPr>
            </w:pPr>
          </w:p>
        </w:tc>
        <w:tc>
          <w:tcPr>
            <w:tcW w:w="975" w:type="dxa"/>
            <w:tcBorders>
              <w:top w:val="single" w:sz="6" w:space="0" w:color="auto"/>
              <w:left w:val="single" w:sz="6" w:space="0" w:color="auto"/>
              <w:bottom w:val="single" w:sz="6" w:space="0" w:color="auto"/>
              <w:right w:val="single" w:sz="6" w:space="0" w:color="auto"/>
            </w:tcBorders>
          </w:tcPr>
          <w:p w14:paraId="1DCD7679" w14:textId="77777777" w:rsidR="008548E1" w:rsidRPr="002437DD" w:rsidRDefault="008548E1" w:rsidP="008548E1">
            <w:pPr>
              <w:autoSpaceDE w:val="0"/>
              <w:autoSpaceDN w:val="0"/>
              <w:adjustRightInd w:val="0"/>
              <w:spacing w:line="240" w:lineRule="auto"/>
              <w:jc w:val="center"/>
              <w:rPr>
                <w:rFonts w:cs="Arial Narrow"/>
                <w:b/>
                <w:bCs/>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E46C44A"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2011</w:t>
            </w:r>
          </w:p>
        </w:tc>
        <w:tc>
          <w:tcPr>
            <w:tcW w:w="992" w:type="dxa"/>
            <w:gridSpan w:val="2"/>
            <w:tcBorders>
              <w:top w:val="single" w:sz="6" w:space="0" w:color="auto"/>
              <w:left w:val="single" w:sz="6" w:space="0" w:color="auto"/>
              <w:bottom w:val="single" w:sz="6" w:space="0" w:color="auto"/>
              <w:right w:val="single" w:sz="6" w:space="0" w:color="auto"/>
            </w:tcBorders>
          </w:tcPr>
          <w:p w14:paraId="2BE53DE6"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2012</w:t>
            </w:r>
          </w:p>
        </w:tc>
        <w:tc>
          <w:tcPr>
            <w:tcW w:w="1417" w:type="dxa"/>
            <w:gridSpan w:val="2"/>
            <w:tcBorders>
              <w:top w:val="single" w:sz="6" w:space="0" w:color="auto"/>
              <w:left w:val="single" w:sz="6" w:space="0" w:color="auto"/>
              <w:bottom w:val="single" w:sz="6" w:space="0" w:color="auto"/>
              <w:right w:val="single" w:sz="6" w:space="0" w:color="auto"/>
            </w:tcBorders>
          </w:tcPr>
          <w:p w14:paraId="14847381"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2013</w:t>
            </w:r>
          </w:p>
        </w:tc>
        <w:tc>
          <w:tcPr>
            <w:tcW w:w="1727" w:type="dxa"/>
            <w:tcBorders>
              <w:top w:val="single" w:sz="6" w:space="0" w:color="auto"/>
              <w:left w:val="single" w:sz="6" w:space="0" w:color="auto"/>
              <w:bottom w:val="single" w:sz="6" w:space="0" w:color="auto"/>
              <w:right w:val="single" w:sz="6" w:space="0" w:color="auto"/>
            </w:tcBorders>
          </w:tcPr>
          <w:p w14:paraId="384FD243" w14:textId="77777777" w:rsidR="008548E1" w:rsidRPr="002437DD" w:rsidRDefault="008548E1" w:rsidP="008548E1">
            <w:pPr>
              <w:autoSpaceDE w:val="0"/>
              <w:autoSpaceDN w:val="0"/>
              <w:adjustRightInd w:val="0"/>
              <w:spacing w:line="240" w:lineRule="auto"/>
              <w:jc w:val="center"/>
              <w:rPr>
                <w:rFonts w:asciiTheme="majorHAnsi" w:hAnsiTheme="majorHAnsi" w:cs="Arial Narrow"/>
                <w:b/>
                <w:bCs/>
                <w:i/>
                <w:iCs/>
                <w:color w:val="auto"/>
                <w:sz w:val="16"/>
                <w:szCs w:val="16"/>
              </w:rPr>
            </w:pPr>
            <w:r w:rsidRPr="002437DD">
              <w:rPr>
                <w:rFonts w:cs="Arial Narrow"/>
                <w:b/>
                <w:bCs/>
                <w:color w:val="auto"/>
                <w:sz w:val="16"/>
                <w:szCs w:val="16"/>
              </w:rPr>
              <w:t>Alternative Documents Available On The Company's Website</w:t>
            </w:r>
          </w:p>
        </w:tc>
      </w:tr>
      <w:tr w:rsidR="008548E1" w:rsidRPr="002437DD" w14:paraId="52F7B0E6"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2A34B4EC"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proofErr w:type="spellStart"/>
            <w:r w:rsidRPr="002437DD">
              <w:rPr>
                <w:rFonts w:cs="Arial Narrow"/>
                <w:color w:val="auto"/>
                <w:sz w:val="16"/>
                <w:szCs w:val="16"/>
              </w:rPr>
              <w:t>Aegon</w:t>
            </w:r>
            <w:proofErr w:type="spellEnd"/>
          </w:p>
        </w:tc>
        <w:tc>
          <w:tcPr>
            <w:tcW w:w="1260" w:type="dxa"/>
            <w:tcBorders>
              <w:top w:val="single" w:sz="6" w:space="0" w:color="auto"/>
              <w:left w:val="single" w:sz="6" w:space="0" w:color="auto"/>
              <w:bottom w:val="single" w:sz="6" w:space="0" w:color="auto"/>
              <w:right w:val="single" w:sz="6" w:space="0" w:color="auto"/>
            </w:tcBorders>
          </w:tcPr>
          <w:p w14:paraId="430D7835"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76C9651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Financial Services</w:t>
            </w:r>
          </w:p>
        </w:tc>
        <w:tc>
          <w:tcPr>
            <w:tcW w:w="975" w:type="dxa"/>
            <w:tcBorders>
              <w:top w:val="single" w:sz="6" w:space="0" w:color="auto"/>
              <w:left w:val="single" w:sz="6" w:space="0" w:color="auto"/>
              <w:bottom w:val="single" w:sz="6" w:space="0" w:color="auto"/>
              <w:right w:val="single" w:sz="6" w:space="0" w:color="auto"/>
            </w:tcBorders>
          </w:tcPr>
          <w:p w14:paraId="2738FDE7"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2126" w:type="dxa"/>
            <w:gridSpan w:val="3"/>
            <w:tcBorders>
              <w:top w:val="single" w:sz="6" w:space="0" w:color="auto"/>
              <w:left w:val="single" w:sz="6" w:space="0" w:color="auto"/>
              <w:bottom w:val="single" w:sz="6" w:space="0" w:color="auto"/>
              <w:right w:val="single" w:sz="6" w:space="0" w:color="auto"/>
            </w:tcBorders>
          </w:tcPr>
          <w:p w14:paraId="50713DD7"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Review (68)</w:t>
            </w:r>
          </w:p>
        </w:tc>
        <w:tc>
          <w:tcPr>
            <w:tcW w:w="1417" w:type="dxa"/>
            <w:gridSpan w:val="2"/>
            <w:tcBorders>
              <w:top w:val="single" w:sz="6" w:space="0" w:color="auto"/>
              <w:left w:val="single" w:sz="6" w:space="0" w:color="auto"/>
              <w:bottom w:val="single" w:sz="6" w:space="0" w:color="auto"/>
              <w:right w:val="single" w:sz="6" w:space="0" w:color="auto"/>
            </w:tcBorders>
          </w:tcPr>
          <w:p w14:paraId="235E406B"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Review (80)</w:t>
            </w:r>
          </w:p>
        </w:tc>
        <w:tc>
          <w:tcPr>
            <w:tcW w:w="1727" w:type="dxa"/>
            <w:tcBorders>
              <w:top w:val="single" w:sz="6" w:space="0" w:color="auto"/>
              <w:left w:val="single" w:sz="6" w:space="0" w:color="auto"/>
              <w:bottom w:val="single" w:sz="6" w:space="0" w:color="auto"/>
              <w:right w:val="single" w:sz="6" w:space="0" w:color="auto"/>
            </w:tcBorders>
          </w:tcPr>
          <w:p w14:paraId="71D9FE2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2011 Annual Report (358) 2013 Annual Report (358)</w:t>
            </w:r>
          </w:p>
        </w:tc>
      </w:tr>
      <w:tr w:rsidR="008548E1" w:rsidRPr="002437DD" w14:paraId="1D98A65D"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034A5148"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Arm</w:t>
            </w:r>
          </w:p>
        </w:tc>
        <w:tc>
          <w:tcPr>
            <w:tcW w:w="1260" w:type="dxa"/>
            <w:tcBorders>
              <w:top w:val="single" w:sz="6" w:space="0" w:color="auto"/>
              <w:left w:val="single" w:sz="6" w:space="0" w:color="auto"/>
              <w:bottom w:val="single" w:sz="6" w:space="0" w:color="auto"/>
              <w:right w:val="single" w:sz="6" w:space="0" w:color="auto"/>
            </w:tcBorders>
          </w:tcPr>
          <w:p w14:paraId="551CF5F2"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531426FF"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Industrial</w:t>
            </w:r>
          </w:p>
        </w:tc>
        <w:tc>
          <w:tcPr>
            <w:tcW w:w="975" w:type="dxa"/>
            <w:tcBorders>
              <w:top w:val="single" w:sz="6" w:space="0" w:color="auto"/>
              <w:left w:val="single" w:sz="6" w:space="0" w:color="auto"/>
              <w:bottom w:val="single" w:sz="6" w:space="0" w:color="auto"/>
              <w:right w:val="single" w:sz="6" w:space="0" w:color="auto"/>
            </w:tcBorders>
          </w:tcPr>
          <w:p w14:paraId="4728EC90"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134" w:type="dxa"/>
            <w:tcBorders>
              <w:top w:val="single" w:sz="6" w:space="0" w:color="auto"/>
              <w:left w:val="single" w:sz="6" w:space="0" w:color="auto"/>
              <w:bottom w:val="single" w:sz="6" w:space="0" w:color="auto"/>
              <w:right w:val="single" w:sz="6" w:space="0" w:color="auto"/>
            </w:tcBorders>
          </w:tcPr>
          <w:p w14:paraId="080827AF"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Accounts (164)</w:t>
            </w:r>
          </w:p>
        </w:tc>
        <w:tc>
          <w:tcPr>
            <w:tcW w:w="992" w:type="dxa"/>
            <w:gridSpan w:val="2"/>
            <w:tcBorders>
              <w:top w:val="single" w:sz="6" w:space="0" w:color="auto"/>
              <w:left w:val="single" w:sz="6" w:space="0" w:color="auto"/>
              <w:bottom w:val="single" w:sz="6" w:space="0" w:color="auto"/>
              <w:right w:val="single" w:sz="6" w:space="0" w:color="auto"/>
            </w:tcBorders>
          </w:tcPr>
          <w:p w14:paraId="3BE7101C"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(156)</w:t>
            </w:r>
          </w:p>
        </w:tc>
        <w:tc>
          <w:tcPr>
            <w:tcW w:w="1417" w:type="dxa"/>
            <w:gridSpan w:val="2"/>
            <w:tcBorders>
              <w:top w:val="single" w:sz="6" w:space="0" w:color="auto"/>
              <w:left w:val="single" w:sz="6" w:space="0" w:color="auto"/>
              <w:bottom w:val="single" w:sz="6" w:space="0" w:color="auto"/>
              <w:right w:val="single" w:sz="6" w:space="0" w:color="auto"/>
            </w:tcBorders>
          </w:tcPr>
          <w:p w14:paraId="2A61CA1B"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(64)</w:t>
            </w:r>
          </w:p>
        </w:tc>
        <w:tc>
          <w:tcPr>
            <w:tcW w:w="1727" w:type="dxa"/>
            <w:tcBorders>
              <w:top w:val="single" w:sz="6" w:space="0" w:color="auto"/>
              <w:left w:val="single" w:sz="6" w:space="0" w:color="auto"/>
              <w:bottom w:val="single" w:sz="6" w:space="0" w:color="auto"/>
              <w:right w:val="single" w:sz="6" w:space="0" w:color="auto"/>
            </w:tcBorders>
          </w:tcPr>
          <w:p w14:paraId="04932FA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 xml:space="preserve">2011 Corporate Responsibility Report (34) 2012 </w:t>
            </w:r>
            <w:proofErr w:type="spellStart"/>
            <w:r w:rsidRPr="002437DD">
              <w:rPr>
                <w:rFonts w:cs="Arial Narrow"/>
                <w:color w:val="auto"/>
                <w:sz w:val="16"/>
                <w:szCs w:val="16"/>
              </w:rPr>
              <w:t>Corporare</w:t>
            </w:r>
            <w:proofErr w:type="spellEnd"/>
            <w:r w:rsidRPr="002437DD">
              <w:rPr>
                <w:rFonts w:cs="Arial Narrow"/>
                <w:color w:val="auto"/>
                <w:sz w:val="16"/>
                <w:szCs w:val="16"/>
              </w:rPr>
              <w:t xml:space="preserve"> Responsibility Report (32)</w:t>
            </w:r>
          </w:p>
        </w:tc>
      </w:tr>
      <w:tr w:rsidR="008548E1" w:rsidRPr="002437DD" w14:paraId="50754899"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0432FF3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proofErr w:type="spellStart"/>
            <w:r w:rsidRPr="002437DD">
              <w:rPr>
                <w:rFonts w:cs="Arial Narrow"/>
                <w:color w:val="auto"/>
                <w:sz w:val="16"/>
                <w:szCs w:val="16"/>
              </w:rPr>
              <w:t>Cima</w:t>
            </w:r>
            <w:proofErr w:type="spellEnd"/>
          </w:p>
        </w:tc>
        <w:tc>
          <w:tcPr>
            <w:tcW w:w="1260" w:type="dxa"/>
            <w:tcBorders>
              <w:top w:val="single" w:sz="6" w:space="0" w:color="auto"/>
              <w:left w:val="single" w:sz="6" w:space="0" w:color="auto"/>
              <w:bottom w:val="single" w:sz="6" w:space="0" w:color="auto"/>
              <w:right w:val="single" w:sz="6" w:space="0" w:color="auto"/>
            </w:tcBorders>
          </w:tcPr>
          <w:p w14:paraId="337510F5"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Other</w:t>
            </w:r>
          </w:p>
        </w:tc>
        <w:tc>
          <w:tcPr>
            <w:tcW w:w="1080" w:type="dxa"/>
            <w:tcBorders>
              <w:top w:val="single" w:sz="6" w:space="0" w:color="auto"/>
              <w:left w:val="single" w:sz="6" w:space="0" w:color="auto"/>
              <w:bottom w:val="single" w:sz="6" w:space="0" w:color="auto"/>
              <w:right w:val="single" w:sz="6" w:space="0" w:color="auto"/>
            </w:tcBorders>
          </w:tcPr>
          <w:p w14:paraId="2D186125"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Professional Services</w:t>
            </w:r>
          </w:p>
        </w:tc>
        <w:tc>
          <w:tcPr>
            <w:tcW w:w="975" w:type="dxa"/>
            <w:tcBorders>
              <w:top w:val="single" w:sz="6" w:space="0" w:color="auto"/>
              <w:left w:val="single" w:sz="6" w:space="0" w:color="auto"/>
              <w:bottom w:val="single" w:sz="6" w:space="0" w:color="auto"/>
              <w:right w:val="single" w:sz="6" w:space="0" w:color="auto"/>
            </w:tcBorders>
          </w:tcPr>
          <w:p w14:paraId="1B538FA0"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134" w:type="dxa"/>
            <w:tcBorders>
              <w:top w:val="single" w:sz="6" w:space="0" w:color="auto"/>
              <w:left w:val="single" w:sz="6" w:space="0" w:color="auto"/>
              <w:bottom w:val="single" w:sz="6" w:space="0" w:color="auto"/>
              <w:right w:val="single" w:sz="6" w:space="0" w:color="auto"/>
            </w:tcBorders>
          </w:tcPr>
          <w:p w14:paraId="6FB9B607" w14:textId="77777777" w:rsidR="008548E1" w:rsidRPr="002437DD" w:rsidRDefault="008548E1" w:rsidP="008548E1">
            <w:pPr>
              <w:autoSpaceDE w:val="0"/>
              <w:autoSpaceDN w:val="0"/>
              <w:adjustRightInd w:val="0"/>
              <w:spacing w:line="240" w:lineRule="auto"/>
              <w:jc w:val="center"/>
              <w:rPr>
                <w:rFonts w:cs="Arial Narrow"/>
                <w:color w:val="auto"/>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428920A1"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Review (42)</w:t>
            </w:r>
          </w:p>
        </w:tc>
        <w:tc>
          <w:tcPr>
            <w:tcW w:w="3144" w:type="dxa"/>
            <w:gridSpan w:val="3"/>
            <w:tcBorders>
              <w:top w:val="single" w:sz="6" w:space="0" w:color="auto"/>
              <w:left w:val="single" w:sz="6" w:space="0" w:color="auto"/>
              <w:bottom w:val="single" w:sz="6" w:space="0" w:color="auto"/>
              <w:right w:val="single" w:sz="6" w:space="0" w:color="auto"/>
            </w:tcBorders>
          </w:tcPr>
          <w:p w14:paraId="21B5A485"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(46)</w:t>
            </w:r>
          </w:p>
        </w:tc>
      </w:tr>
      <w:tr w:rsidR="008548E1" w:rsidRPr="002437DD" w14:paraId="12C49C21"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3E6EFDF5"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proofErr w:type="spellStart"/>
            <w:r w:rsidRPr="002437DD">
              <w:rPr>
                <w:rFonts w:cs="Arial Narrow"/>
                <w:color w:val="auto"/>
                <w:sz w:val="16"/>
                <w:szCs w:val="16"/>
              </w:rPr>
              <w:t>Eni</w:t>
            </w:r>
            <w:proofErr w:type="spellEnd"/>
          </w:p>
        </w:tc>
        <w:tc>
          <w:tcPr>
            <w:tcW w:w="1260" w:type="dxa"/>
            <w:tcBorders>
              <w:top w:val="single" w:sz="6" w:space="0" w:color="auto"/>
              <w:left w:val="single" w:sz="6" w:space="0" w:color="auto"/>
              <w:bottom w:val="single" w:sz="6" w:space="0" w:color="auto"/>
              <w:right w:val="single" w:sz="6" w:space="0" w:color="auto"/>
            </w:tcBorders>
          </w:tcPr>
          <w:p w14:paraId="43117AD1"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10A18376"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Oil And Gas</w:t>
            </w:r>
          </w:p>
        </w:tc>
        <w:tc>
          <w:tcPr>
            <w:tcW w:w="975" w:type="dxa"/>
            <w:tcBorders>
              <w:top w:val="single" w:sz="6" w:space="0" w:color="auto"/>
              <w:left w:val="single" w:sz="6" w:space="0" w:color="auto"/>
              <w:bottom w:val="single" w:sz="6" w:space="0" w:color="auto"/>
              <w:right w:val="single" w:sz="6" w:space="0" w:color="auto"/>
            </w:tcBorders>
          </w:tcPr>
          <w:p w14:paraId="1F3D100C"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134" w:type="dxa"/>
            <w:tcBorders>
              <w:top w:val="single" w:sz="6" w:space="0" w:color="auto"/>
              <w:left w:val="single" w:sz="6" w:space="0" w:color="auto"/>
              <w:bottom w:val="single" w:sz="6" w:space="0" w:color="auto"/>
              <w:right w:val="single" w:sz="6" w:space="0" w:color="auto"/>
            </w:tcBorders>
          </w:tcPr>
          <w:p w14:paraId="049D6F75" w14:textId="77777777" w:rsidR="008548E1" w:rsidRPr="002437DD" w:rsidRDefault="008548E1" w:rsidP="008548E1">
            <w:pPr>
              <w:autoSpaceDE w:val="0"/>
              <w:autoSpaceDN w:val="0"/>
              <w:adjustRightInd w:val="0"/>
              <w:spacing w:line="240" w:lineRule="auto"/>
              <w:jc w:val="center"/>
              <w:rPr>
                <w:rFonts w:cs="Arial Narrow"/>
                <w:color w:val="auto"/>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6C99FD7"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(264)</w:t>
            </w:r>
          </w:p>
        </w:tc>
        <w:tc>
          <w:tcPr>
            <w:tcW w:w="1056" w:type="dxa"/>
            <w:tcBorders>
              <w:top w:val="single" w:sz="6" w:space="0" w:color="auto"/>
              <w:left w:val="single" w:sz="6" w:space="0" w:color="auto"/>
              <w:bottom w:val="single" w:sz="6" w:space="0" w:color="auto"/>
              <w:right w:val="single" w:sz="6" w:space="0" w:color="auto"/>
            </w:tcBorders>
          </w:tcPr>
          <w:p w14:paraId="2005C7C2"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(274)</w:t>
            </w:r>
          </w:p>
        </w:tc>
        <w:tc>
          <w:tcPr>
            <w:tcW w:w="2088" w:type="dxa"/>
            <w:gridSpan w:val="2"/>
            <w:tcBorders>
              <w:top w:val="single" w:sz="6" w:space="0" w:color="auto"/>
              <w:left w:val="single" w:sz="6" w:space="0" w:color="auto"/>
              <w:bottom w:val="single" w:sz="6" w:space="0" w:color="auto"/>
              <w:right w:val="single" w:sz="6" w:space="0" w:color="auto"/>
            </w:tcBorders>
          </w:tcPr>
          <w:p w14:paraId="18CD305A" w14:textId="77777777" w:rsidR="008548E1" w:rsidRPr="002437DD" w:rsidRDefault="008548E1" w:rsidP="008548E1">
            <w:pPr>
              <w:autoSpaceDE w:val="0"/>
              <w:autoSpaceDN w:val="0"/>
              <w:adjustRightInd w:val="0"/>
              <w:spacing w:line="240" w:lineRule="auto"/>
              <w:ind w:left="33"/>
              <w:rPr>
                <w:rFonts w:asciiTheme="majorHAnsi" w:hAnsiTheme="majorHAnsi" w:cs="Arial Narrow"/>
                <w:i/>
                <w:iCs/>
                <w:color w:val="auto"/>
                <w:sz w:val="16"/>
                <w:szCs w:val="16"/>
              </w:rPr>
            </w:pPr>
            <w:r w:rsidRPr="002437DD">
              <w:rPr>
                <w:rFonts w:cs="Arial Narrow"/>
                <w:color w:val="auto"/>
                <w:sz w:val="16"/>
                <w:szCs w:val="16"/>
              </w:rPr>
              <w:t>Sustainability Report 2012 Of Gela Refinery (Italian Only) (68)</w:t>
            </w:r>
          </w:p>
        </w:tc>
      </w:tr>
      <w:tr w:rsidR="008548E1" w:rsidRPr="002437DD" w14:paraId="5E306B2B"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1BA650A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Eskom</w:t>
            </w:r>
          </w:p>
        </w:tc>
        <w:tc>
          <w:tcPr>
            <w:tcW w:w="1260" w:type="dxa"/>
            <w:tcBorders>
              <w:top w:val="single" w:sz="6" w:space="0" w:color="auto"/>
              <w:left w:val="single" w:sz="6" w:space="0" w:color="auto"/>
              <w:bottom w:val="single" w:sz="6" w:space="0" w:color="auto"/>
              <w:right w:val="single" w:sz="6" w:space="0" w:color="auto"/>
            </w:tcBorders>
          </w:tcPr>
          <w:p w14:paraId="56707553"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3351D183"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Utilities</w:t>
            </w:r>
          </w:p>
        </w:tc>
        <w:tc>
          <w:tcPr>
            <w:tcW w:w="975" w:type="dxa"/>
            <w:tcBorders>
              <w:top w:val="single" w:sz="6" w:space="0" w:color="auto"/>
              <w:left w:val="single" w:sz="6" w:space="0" w:color="auto"/>
              <w:bottom w:val="single" w:sz="6" w:space="0" w:color="auto"/>
              <w:right w:val="single" w:sz="6" w:space="0" w:color="auto"/>
            </w:tcBorders>
          </w:tcPr>
          <w:p w14:paraId="64DF58B1"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Africa</w:t>
            </w:r>
          </w:p>
        </w:tc>
        <w:tc>
          <w:tcPr>
            <w:tcW w:w="2126" w:type="dxa"/>
            <w:gridSpan w:val="3"/>
            <w:tcBorders>
              <w:top w:val="single" w:sz="6" w:space="0" w:color="auto"/>
              <w:left w:val="single" w:sz="6" w:space="0" w:color="auto"/>
              <w:bottom w:val="single" w:sz="6" w:space="0" w:color="auto"/>
              <w:right w:val="single" w:sz="6" w:space="0" w:color="auto"/>
            </w:tcBorders>
          </w:tcPr>
          <w:p w14:paraId="675A70CA"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Report (166)</w:t>
            </w:r>
          </w:p>
        </w:tc>
        <w:tc>
          <w:tcPr>
            <w:tcW w:w="3144" w:type="dxa"/>
            <w:gridSpan w:val="3"/>
            <w:tcBorders>
              <w:top w:val="single" w:sz="6" w:space="0" w:color="auto"/>
              <w:left w:val="single" w:sz="6" w:space="0" w:color="auto"/>
              <w:bottom w:val="single" w:sz="6" w:space="0" w:color="auto"/>
              <w:right w:val="single" w:sz="6" w:space="0" w:color="auto"/>
            </w:tcBorders>
          </w:tcPr>
          <w:p w14:paraId="13A5E434"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Report (140)</w:t>
            </w:r>
          </w:p>
        </w:tc>
      </w:tr>
      <w:tr w:rsidR="008548E1" w:rsidRPr="002437DD" w14:paraId="6AE7971B"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028C270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Gold Fields</w:t>
            </w:r>
          </w:p>
        </w:tc>
        <w:tc>
          <w:tcPr>
            <w:tcW w:w="1260" w:type="dxa"/>
            <w:tcBorders>
              <w:top w:val="single" w:sz="6" w:space="0" w:color="auto"/>
              <w:left w:val="single" w:sz="6" w:space="0" w:color="auto"/>
              <w:bottom w:val="single" w:sz="6" w:space="0" w:color="auto"/>
              <w:right w:val="single" w:sz="6" w:space="0" w:color="auto"/>
            </w:tcBorders>
          </w:tcPr>
          <w:p w14:paraId="55C1887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7C9DFA8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Basic Material</w:t>
            </w:r>
          </w:p>
        </w:tc>
        <w:tc>
          <w:tcPr>
            <w:tcW w:w="975" w:type="dxa"/>
            <w:tcBorders>
              <w:top w:val="single" w:sz="6" w:space="0" w:color="auto"/>
              <w:left w:val="single" w:sz="6" w:space="0" w:color="auto"/>
              <w:bottom w:val="single" w:sz="6" w:space="0" w:color="auto"/>
              <w:right w:val="single" w:sz="6" w:space="0" w:color="auto"/>
            </w:tcBorders>
          </w:tcPr>
          <w:p w14:paraId="53A1ED9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Africa</w:t>
            </w:r>
          </w:p>
        </w:tc>
        <w:tc>
          <w:tcPr>
            <w:tcW w:w="1134" w:type="dxa"/>
            <w:tcBorders>
              <w:top w:val="single" w:sz="6" w:space="0" w:color="auto"/>
              <w:left w:val="single" w:sz="6" w:space="0" w:color="auto"/>
              <w:bottom w:val="single" w:sz="6" w:space="0" w:color="auto"/>
              <w:right w:val="single" w:sz="6" w:space="0" w:color="auto"/>
            </w:tcBorders>
          </w:tcPr>
          <w:p w14:paraId="06243870"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Review (172)</w:t>
            </w:r>
          </w:p>
        </w:tc>
        <w:tc>
          <w:tcPr>
            <w:tcW w:w="2048" w:type="dxa"/>
            <w:gridSpan w:val="3"/>
            <w:tcBorders>
              <w:top w:val="single" w:sz="6" w:space="0" w:color="auto"/>
              <w:left w:val="single" w:sz="6" w:space="0" w:color="auto"/>
              <w:bottom w:val="single" w:sz="6" w:space="0" w:color="auto"/>
              <w:right w:val="single" w:sz="6" w:space="0" w:color="auto"/>
            </w:tcBorders>
          </w:tcPr>
          <w:p w14:paraId="3695C2DB"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Review (212)</w:t>
            </w:r>
          </w:p>
        </w:tc>
        <w:tc>
          <w:tcPr>
            <w:tcW w:w="2088" w:type="dxa"/>
            <w:gridSpan w:val="2"/>
            <w:tcBorders>
              <w:top w:val="single" w:sz="6" w:space="0" w:color="auto"/>
              <w:left w:val="single" w:sz="6" w:space="0" w:color="auto"/>
              <w:bottom w:val="single" w:sz="6" w:space="0" w:color="auto"/>
              <w:right w:val="single" w:sz="6" w:space="0" w:color="auto"/>
            </w:tcBorders>
          </w:tcPr>
          <w:p w14:paraId="2A611ECE" w14:textId="77777777" w:rsidR="008548E1" w:rsidRPr="002437DD" w:rsidRDefault="008548E1" w:rsidP="008548E1">
            <w:pPr>
              <w:autoSpaceDE w:val="0"/>
              <w:autoSpaceDN w:val="0"/>
              <w:adjustRightInd w:val="0"/>
              <w:spacing w:line="240" w:lineRule="auto"/>
              <w:jc w:val="right"/>
              <w:rPr>
                <w:rFonts w:cs="Arial Narrow"/>
                <w:color w:val="auto"/>
                <w:sz w:val="16"/>
                <w:szCs w:val="16"/>
              </w:rPr>
            </w:pPr>
          </w:p>
        </w:tc>
      </w:tr>
      <w:tr w:rsidR="008548E1" w:rsidRPr="002437DD" w14:paraId="1676EE01"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519CD195"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proofErr w:type="spellStart"/>
            <w:r w:rsidRPr="002437DD">
              <w:rPr>
                <w:rFonts w:cs="Arial Narrow"/>
                <w:color w:val="auto"/>
                <w:sz w:val="16"/>
                <w:szCs w:val="16"/>
              </w:rPr>
              <w:t>Hsbc</w:t>
            </w:r>
            <w:proofErr w:type="spellEnd"/>
          </w:p>
        </w:tc>
        <w:tc>
          <w:tcPr>
            <w:tcW w:w="1260" w:type="dxa"/>
            <w:tcBorders>
              <w:top w:val="single" w:sz="6" w:space="0" w:color="auto"/>
              <w:left w:val="single" w:sz="6" w:space="0" w:color="auto"/>
              <w:bottom w:val="single" w:sz="6" w:space="0" w:color="auto"/>
              <w:right w:val="single" w:sz="6" w:space="0" w:color="auto"/>
            </w:tcBorders>
          </w:tcPr>
          <w:p w14:paraId="082114D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7828B85E"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Financial Services</w:t>
            </w:r>
          </w:p>
        </w:tc>
        <w:tc>
          <w:tcPr>
            <w:tcW w:w="975" w:type="dxa"/>
            <w:tcBorders>
              <w:top w:val="single" w:sz="6" w:space="0" w:color="auto"/>
              <w:left w:val="single" w:sz="6" w:space="0" w:color="auto"/>
              <w:bottom w:val="single" w:sz="6" w:space="0" w:color="auto"/>
              <w:right w:val="single" w:sz="6" w:space="0" w:color="auto"/>
            </w:tcBorders>
          </w:tcPr>
          <w:p w14:paraId="4D35E68F"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764" w:type="dxa"/>
            <w:gridSpan w:val="2"/>
            <w:tcBorders>
              <w:top w:val="single" w:sz="6" w:space="0" w:color="auto"/>
              <w:left w:val="single" w:sz="6" w:space="0" w:color="auto"/>
              <w:bottom w:val="single" w:sz="6" w:space="0" w:color="auto"/>
              <w:right w:val="single" w:sz="6" w:space="0" w:color="auto"/>
            </w:tcBorders>
          </w:tcPr>
          <w:p w14:paraId="27DAD1E5"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Sustainability Report (36)</w:t>
            </w:r>
          </w:p>
        </w:tc>
        <w:tc>
          <w:tcPr>
            <w:tcW w:w="1418" w:type="dxa"/>
            <w:gridSpan w:val="2"/>
            <w:tcBorders>
              <w:top w:val="single" w:sz="6" w:space="0" w:color="auto"/>
              <w:left w:val="single" w:sz="6" w:space="0" w:color="auto"/>
              <w:bottom w:val="single" w:sz="6" w:space="0" w:color="auto"/>
              <w:right w:val="single" w:sz="6" w:space="0" w:color="auto"/>
            </w:tcBorders>
          </w:tcPr>
          <w:p w14:paraId="10B2FEC8"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Accounts (598)</w:t>
            </w:r>
          </w:p>
        </w:tc>
        <w:tc>
          <w:tcPr>
            <w:tcW w:w="2088" w:type="dxa"/>
            <w:gridSpan w:val="2"/>
            <w:tcBorders>
              <w:top w:val="single" w:sz="6" w:space="0" w:color="auto"/>
              <w:left w:val="single" w:sz="6" w:space="0" w:color="auto"/>
              <w:bottom w:val="single" w:sz="6" w:space="0" w:color="auto"/>
              <w:right w:val="single" w:sz="6" w:space="0" w:color="auto"/>
            </w:tcBorders>
          </w:tcPr>
          <w:p w14:paraId="3DE50829"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2013 Sustainability Report (40)</w:t>
            </w:r>
          </w:p>
        </w:tc>
      </w:tr>
      <w:tr w:rsidR="008548E1" w:rsidRPr="002437DD" w14:paraId="5B17531B"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6B955F6C"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Marks &amp; Spencer</w:t>
            </w:r>
          </w:p>
        </w:tc>
        <w:tc>
          <w:tcPr>
            <w:tcW w:w="1260" w:type="dxa"/>
            <w:tcBorders>
              <w:top w:val="single" w:sz="6" w:space="0" w:color="auto"/>
              <w:left w:val="single" w:sz="6" w:space="0" w:color="auto"/>
              <w:bottom w:val="single" w:sz="6" w:space="0" w:color="auto"/>
              <w:right w:val="single" w:sz="6" w:space="0" w:color="auto"/>
            </w:tcBorders>
          </w:tcPr>
          <w:p w14:paraId="5C7AA1E0"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67A10117"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Consumer Goods</w:t>
            </w:r>
          </w:p>
        </w:tc>
        <w:tc>
          <w:tcPr>
            <w:tcW w:w="975" w:type="dxa"/>
            <w:tcBorders>
              <w:top w:val="single" w:sz="6" w:space="0" w:color="auto"/>
              <w:left w:val="single" w:sz="6" w:space="0" w:color="auto"/>
              <w:bottom w:val="single" w:sz="6" w:space="0" w:color="auto"/>
              <w:right w:val="single" w:sz="6" w:space="0" w:color="auto"/>
            </w:tcBorders>
          </w:tcPr>
          <w:p w14:paraId="26B3ACB8"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764" w:type="dxa"/>
            <w:gridSpan w:val="2"/>
            <w:tcBorders>
              <w:top w:val="single" w:sz="6" w:space="0" w:color="auto"/>
              <w:left w:val="single" w:sz="6" w:space="0" w:color="auto"/>
              <w:bottom w:val="single" w:sz="6" w:space="0" w:color="auto"/>
              <w:right w:val="single" w:sz="6" w:space="0" w:color="auto"/>
            </w:tcBorders>
          </w:tcPr>
          <w:p w14:paraId="55F5CEC2"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Financial Statement (116)</w:t>
            </w:r>
          </w:p>
        </w:tc>
        <w:tc>
          <w:tcPr>
            <w:tcW w:w="3506" w:type="dxa"/>
            <w:gridSpan w:val="4"/>
            <w:tcBorders>
              <w:top w:val="single" w:sz="6" w:space="0" w:color="auto"/>
              <w:left w:val="single" w:sz="6" w:space="0" w:color="auto"/>
              <w:bottom w:val="single" w:sz="6" w:space="0" w:color="auto"/>
              <w:right w:val="single" w:sz="6" w:space="0" w:color="auto"/>
            </w:tcBorders>
          </w:tcPr>
          <w:p w14:paraId="5209BFFE"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Financial Statement (120)</w:t>
            </w:r>
          </w:p>
        </w:tc>
      </w:tr>
      <w:tr w:rsidR="008548E1" w:rsidRPr="002437DD" w14:paraId="2C0B7DA2"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28DC18D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proofErr w:type="spellStart"/>
            <w:r w:rsidRPr="002437DD">
              <w:rPr>
                <w:rFonts w:cs="Arial Narrow"/>
                <w:color w:val="auto"/>
                <w:sz w:val="16"/>
                <w:szCs w:val="16"/>
              </w:rPr>
              <w:t>Masisa</w:t>
            </w:r>
            <w:proofErr w:type="spellEnd"/>
          </w:p>
        </w:tc>
        <w:tc>
          <w:tcPr>
            <w:tcW w:w="1260" w:type="dxa"/>
            <w:tcBorders>
              <w:top w:val="single" w:sz="6" w:space="0" w:color="auto"/>
              <w:left w:val="single" w:sz="6" w:space="0" w:color="auto"/>
              <w:bottom w:val="single" w:sz="6" w:space="0" w:color="auto"/>
              <w:right w:val="single" w:sz="6" w:space="0" w:color="auto"/>
            </w:tcBorders>
          </w:tcPr>
          <w:p w14:paraId="1EB298E6"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44A07563"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Consumer Goods</w:t>
            </w:r>
          </w:p>
        </w:tc>
        <w:tc>
          <w:tcPr>
            <w:tcW w:w="975" w:type="dxa"/>
            <w:tcBorders>
              <w:top w:val="single" w:sz="6" w:space="0" w:color="auto"/>
              <w:left w:val="single" w:sz="6" w:space="0" w:color="auto"/>
              <w:bottom w:val="single" w:sz="6" w:space="0" w:color="auto"/>
              <w:right w:val="single" w:sz="6" w:space="0" w:color="auto"/>
            </w:tcBorders>
          </w:tcPr>
          <w:p w14:paraId="5AC43BE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South America</w:t>
            </w:r>
          </w:p>
        </w:tc>
        <w:tc>
          <w:tcPr>
            <w:tcW w:w="1764" w:type="dxa"/>
            <w:gridSpan w:val="2"/>
            <w:tcBorders>
              <w:top w:val="single" w:sz="6" w:space="0" w:color="auto"/>
              <w:left w:val="single" w:sz="6" w:space="0" w:color="auto"/>
              <w:bottom w:val="single" w:sz="6" w:space="0" w:color="auto"/>
              <w:right w:val="single" w:sz="6" w:space="0" w:color="auto"/>
            </w:tcBorders>
          </w:tcPr>
          <w:p w14:paraId="353A8D5E"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Report (148)</w:t>
            </w:r>
          </w:p>
        </w:tc>
        <w:tc>
          <w:tcPr>
            <w:tcW w:w="3506" w:type="dxa"/>
            <w:gridSpan w:val="4"/>
            <w:tcBorders>
              <w:top w:val="single" w:sz="6" w:space="0" w:color="auto"/>
              <w:left w:val="single" w:sz="6" w:space="0" w:color="auto"/>
              <w:bottom w:val="single" w:sz="6" w:space="0" w:color="auto"/>
              <w:right w:val="single" w:sz="6" w:space="0" w:color="auto"/>
            </w:tcBorders>
          </w:tcPr>
          <w:p w14:paraId="224E2C70"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Financial Statement (125)</w:t>
            </w:r>
          </w:p>
        </w:tc>
      </w:tr>
      <w:tr w:rsidR="008548E1" w:rsidRPr="002437DD" w14:paraId="1DBC4E15"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4FDF8B7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Novo Nordisk</w:t>
            </w:r>
          </w:p>
        </w:tc>
        <w:tc>
          <w:tcPr>
            <w:tcW w:w="1260" w:type="dxa"/>
            <w:tcBorders>
              <w:top w:val="single" w:sz="6" w:space="0" w:color="auto"/>
              <w:left w:val="single" w:sz="6" w:space="0" w:color="auto"/>
              <w:bottom w:val="single" w:sz="6" w:space="0" w:color="auto"/>
              <w:right w:val="single" w:sz="6" w:space="0" w:color="auto"/>
            </w:tcBorders>
          </w:tcPr>
          <w:p w14:paraId="4DF719DE"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1BA8433A"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Healthcare</w:t>
            </w:r>
          </w:p>
        </w:tc>
        <w:tc>
          <w:tcPr>
            <w:tcW w:w="975" w:type="dxa"/>
            <w:tcBorders>
              <w:top w:val="single" w:sz="6" w:space="0" w:color="auto"/>
              <w:left w:val="single" w:sz="6" w:space="0" w:color="auto"/>
              <w:bottom w:val="single" w:sz="6" w:space="0" w:color="auto"/>
              <w:right w:val="single" w:sz="6" w:space="0" w:color="auto"/>
            </w:tcBorders>
          </w:tcPr>
          <w:p w14:paraId="2127B8E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134" w:type="dxa"/>
            <w:tcBorders>
              <w:top w:val="single" w:sz="6" w:space="0" w:color="auto"/>
              <w:left w:val="single" w:sz="6" w:space="0" w:color="auto"/>
              <w:bottom w:val="single" w:sz="6" w:space="0" w:color="auto"/>
              <w:right w:val="single" w:sz="6" w:space="0" w:color="auto"/>
            </w:tcBorders>
          </w:tcPr>
          <w:p w14:paraId="0BEE2010"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(116)</w:t>
            </w:r>
          </w:p>
        </w:tc>
        <w:tc>
          <w:tcPr>
            <w:tcW w:w="630" w:type="dxa"/>
            <w:tcBorders>
              <w:top w:val="single" w:sz="6" w:space="0" w:color="auto"/>
              <w:left w:val="single" w:sz="6" w:space="0" w:color="auto"/>
              <w:bottom w:val="single" w:sz="6" w:space="0" w:color="auto"/>
              <w:right w:val="single" w:sz="6" w:space="0" w:color="auto"/>
            </w:tcBorders>
          </w:tcPr>
          <w:p w14:paraId="4950AF9F"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(116)</w:t>
            </w:r>
          </w:p>
        </w:tc>
        <w:tc>
          <w:tcPr>
            <w:tcW w:w="3506" w:type="dxa"/>
            <w:gridSpan w:val="4"/>
            <w:tcBorders>
              <w:top w:val="single" w:sz="6" w:space="0" w:color="auto"/>
              <w:left w:val="single" w:sz="6" w:space="0" w:color="auto"/>
              <w:bottom w:val="single" w:sz="6" w:space="0" w:color="auto"/>
              <w:right w:val="single" w:sz="6" w:space="0" w:color="auto"/>
            </w:tcBorders>
          </w:tcPr>
          <w:p w14:paraId="376E4E3D"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(116)</w:t>
            </w:r>
          </w:p>
        </w:tc>
      </w:tr>
      <w:tr w:rsidR="008548E1" w:rsidRPr="002437DD" w14:paraId="37B66E23"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5C0C3FE3"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Sasol</w:t>
            </w:r>
          </w:p>
        </w:tc>
        <w:tc>
          <w:tcPr>
            <w:tcW w:w="1260" w:type="dxa"/>
            <w:tcBorders>
              <w:top w:val="single" w:sz="6" w:space="0" w:color="auto"/>
              <w:left w:val="single" w:sz="6" w:space="0" w:color="auto"/>
              <w:bottom w:val="single" w:sz="6" w:space="0" w:color="auto"/>
              <w:right w:val="single" w:sz="6" w:space="0" w:color="auto"/>
            </w:tcBorders>
          </w:tcPr>
          <w:p w14:paraId="5CFBD383"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43EE1F95"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Oil And Gas</w:t>
            </w:r>
          </w:p>
        </w:tc>
        <w:tc>
          <w:tcPr>
            <w:tcW w:w="975" w:type="dxa"/>
            <w:tcBorders>
              <w:top w:val="single" w:sz="6" w:space="0" w:color="auto"/>
              <w:left w:val="single" w:sz="6" w:space="0" w:color="auto"/>
              <w:bottom w:val="single" w:sz="6" w:space="0" w:color="auto"/>
              <w:right w:val="single" w:sz="6" w:space="0" w:color="auto"/>
            </w:tcBorders>
          </w:tcPr>
          <w:p w14:paraId="213E6C8D"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Africa</w:t>
            </w:r>
          </w:p>
        </w:tc>
        <w:tc>
          <w:tcPr>
            <w:tcW w:w="1134" w:type="dxa"/>
            <w:tcBorders>
              <w:top w:val="single" w:sz="6" w:space="0" w:color="auto"/>
              <w:left w:val="single" w:sz="6" w:space="0" w:color="auto"/>
              <w:bottom w:val="single" w:sz="6" w:space="0" w:color="auto"/>
              <w:right w:val="single" w:sz="6" w:space="0" w:color="auto"/>
            </w:tcBorders>
          </w:tcPr>
          <w:p w14:paraId="72D71365"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Annual Report (153)</w:t>
            </w:r>
          </w:p>
        </w:tc>
        <w:tc>
          <w:tcPr>
            <w:tcW w:w="2048" w:type="dxa"/>
            <w:gridSpan w:val="3"/>
            <w:tcBorders>
              <w:top w:val="single" w:sz="6" w:space="0" w:color="auto"/>
              <w:left w:val="single" w:sz="6" w:space="0" w:color="auto"/>
              <w:bottom w:val="single" w:sz="6" w:space="0" w:color="auto"/>
              <w:right w:val="single" w:sz="6" w:space="0" w:color="auto"/>
            </w:tcBorders>
          </w:tcPr>
          <w:p w14:paraId="400FF00B"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Integrated Report (150)</w:t>
            </w:r>
          </w:p>
        </w:tc>
        <w:tc>
          <w:tcPr>
            <w:tcW w:w="2088" w:type="dxa"/>
            <w:gridSpan w:val="2"/>
            <w:tcBorders>
              <w:top w:val="single" w:sz="6" w:space="0" w:color="auto"/>
              <w:left w:val="single" w:sz="6" w:space="0" w:color="auto"/>
              <w:bottom w:val="single" w:sz="6" w:space="0" w:color="auto"/>
              <w:right w:val="single" w:sz="6" w:space="0" w:color="auto"/>
            </w:tcBorders>
          </w:tcPr>
          <w:p w14:paraId="3E78B4A2"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2011 Sustainable Development (69) 2012 Sustainable Development (56)</w:t>
            </w:r>
          </w:p>
        </w:tc>
      </w:tr>
      <w:tr w:rsidR="008548E1" w:rsidRPr="002437DD" w14:paraId="63185E98"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6CAC12E6"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proofErr w:type="spellStart"/>
            <w:r w:rsidRPr="002437DD">
              <w:rPr>
                <w:rFonts w:cs="Arial Narrow"/>
                <w:color w:val="auto"/>
                <w:sz w:val="16"/>
                <w:szCs w:val="16"/>
              </w:rPr>
              <w:t>Stockland</w:t>
            </w:r>
            <w:proofErr w:type="spellEnd"/>
          </w:p>
        </w:tc>
        <w:tc>
          <w:tcPr>
            <w:tcW w:w="1260" w:type="dxa"/>
            <w:tcBorders>
              <w:top w:val="single" w:sz="6" w:space="0" w:color="auto"/>
              <w:left w:val="single" w:sz="6" w:space="0" w:color="auto"/>
              <w:bottom w:val="single" w:sz="6" w:space="0" w:color="auto"/>
              <w:right w:val="single" w:sz="6" w:space="0" w:color="auto"/>
            </w:tcBorders>
          </w:tcPr>
          <w:p w14:paraId="205DE7C2"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4D90CE06"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Financial Services</w:t>
            </w:r>
          </w:p>
        </w:tc>
        <w:tc>
          <w:tcPr>
            <w:tcW w:w="975" w:type="dxa"/>
            <w:tcBorders>
              <w:top w:val="single" w:sz="6" w:space="0" w:color="auto"/>
              <w:left w:val="single" w:sz="6" w:space="0" w:color="auto"/>
              <w:bottom w:val="single" w:sz="6" w:space="0" w:color="auto"/>
              <w:right w:val="single" w:sz="6" w:space="0" w:color="auto"/>
            </w:tcBorders>
          </w:tcPr>
          <w:p w14:paraId="473CA022"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Australasia</w:t>
            </w:r>
          </w:p>
        </w:tc>
        <w:tc>
          <w:tcPr>
            <w:tcW w:w="1134" w:type="dxa"/>
            <w:tcBorders>
              <w:top w:val="single" w:sz="6" w:space="0" w:color="auto"/>
              <w:left w:val="single" w:sz="6" w:space="0" w:color="auto"/>
              <w:bottom w:val="single" w:sz="6" w:space="0" w:color="auto"/>
              <w:right w:val="single" w:sz="6" w:space="0" w:color="auto"/>
            </w:tcBorders>
          </w:tcPr>
          <w:p w14:paraId="7BD81E07"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Corporate Sustainability &amp; Responsibility (114)</w:t>
            </w:r>
          </w:p>
        </w:tc>
        <w:tc>
          <w:tcPr>
            <w:tcW w:w="2048" w:type="dxa"/>
            <w:gridSpan w:val="3"/>
            <w:tcBorders>
              <w:top w:val="single" w:sz="6" w:space="0" w:color="auto"/>
              <w:left w:val="single" w:sz="6" w:space="0" w:color="auto"/>
              <w:bottom w:val="single" w:sz="6" w:space="0" w:color="auto"/>
              <w:right w:val="single" w:sz="6" w:space="0" w:color="auto"/>
            </w:tcBorders>
          </w:tcPr>
          <w:p w14:paraId="2D04DF0A"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Review (60)</w:t>
            </w:r>
          </w:p>
        </w:tc>
        <w:tc>
          <w:tcPr>
            <w:tcW w:w="2088" w:type="dxa"/>
            <w:gridSpan w:val="2"/>
            <w:tcBorders>
              <w:top w:val="single" w:sz="6" w:space="0" w:color="auto"/>
              <w:left w:val="single" w:sz="6" w:space="0" w:color="auto"/>
              <w:bottom w:val="single" w:sz="6" w:space="0" w:color="auto"/>
              <w:right w:val="single" w:sz="6" w:space="0" w:color="auto"/>
            </w:tcBorders>
          </w:tcPr>
          <w:p w14:paraId="2EED5D13" w14:textId="77777777" w:rsidR="008548E1" w:rsidRPr="002437DD" w:rsidRDefault="008548E1" w:rsidP="008548E1">
            <w:pPr>
              <w:autoSpaceDE w:val="0"/>
              <w:autoSpaceDN w:val="0"/>
              <w:adjustRightInd w:val="0"/>
              <w:spacing w:line="240" w:lineRule="auto"/>
              <w:jc w:val="right"/>
              <w:rPr>
                <w:rFonts w:cs="Arial Narrow"/>
                <w:color w:val="auto"/>
                <w:sz w:val="16"/>
                <w:szCs w:val="16"/>
              </w:rPr>
            </w:pPr>
          </w:p>
        </w:tc>
      </w:tr>
      <w:tr w:rsidR="008548E1" w:rsidRPr="002437DD" w14:paraId="475312DA"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38F1CC01"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The Crown Estate</w:t>
            </w:r>
          </w:p>
        </w:tc>
        <w:tc>
          <w:tcPr>
            <w:tcW w:w="1260" w:type="dxa"/>
            <w:tcBorders>
              <w:top w:val="single" w:sz="6" w:space="0" w:color="auto"/>
              <w:left w:val="single" w:sz="6" w:space="0" w:color="auto"/>
              <w:bottom w:val="single" w:sz="6" w:space="0" w:color="auto"/>
              <w:right w:val="single" w:sz="6" w:space="0" w:color="auto"/>
            </w:tcBorders>
          </w:tcPr>
          <w:p w14:paraId="2F2C1396"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Other</w:t>
            </w:r>
          </w:p>
        </w:tc>
        <w:tc>
          <w:tcPr>
            <w:tcW w:w="1080" w:type="dxa"/>
            <w:tcBorders>
              <w:top w:val="single" w:sz="6" w:space="0" w:color="auto"/>
              <w:left w:val="single" w:sz="6" w:space="0" w:color="auto"/>
              <w:bottom w:val="single" w:sz="6" w:space="0" w:color="auto"/>
              <w:right w:val="single" w:sz="6" w:space="0" w:color="auto"/>
            </w:tcBorders>
          </w:tcPr>
          <w:p w14:paraId="48F8376F"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Real Estate</w:t>
            </w:r>
          </w:p>
        </w:tc>
        <w:tc>
          <w:tcPr>
            <w:tcW w:w="975" w:type="dxa"/>
            <w:tcBorders>
              <w:top w:val="single" w:sz="6" w:space="0" w:color="auto"/>
              <w:left w:val="single" w:sz="6" w:space="0" w:color="auto"/>
              <w:bottom w:val="single" w:sz="6" w:space="0" w:color="auto"/>
              <w:right w:val="single" w:sz="6" w:space="0" w:color="auto"/>
            </w:tcBorders>
          </w:tcPr>
          <w:p w14:paraId="75738446"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764" w:type="dxa"/>
            <w:gridSpan w:val="2"/>
            <w:tcBorders>
              <w:top w:val="single" w:sz="6" w:space="0" w:color="auto"/>
              <w:left w:val="single" w:sz="6" w:space="0" w:color="auto"/>
              <w:bottom w:val="single" w:sz="6" w:space="0" w:color="auto"/>
              <w:right w:val="single" w:sz="6" w:space="0" w:color="auto"/>
            </w:tcBorders>
          </w:tcPr>
          <w:p w14:paraId="6BA6614C"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(108)</w:t>
            </w:r>
          </w:p>
        </w:tc>
        <w:tc>
          <w:tcPr>
            <w:tcW w:w="3506" w:type="dxa"/>
            <w:gridSpan w:val="4"/>
            <w:tcBorders>
              <w:top w:val="single" w:sz="6" w:space="0" w:color="auto"/>
              <w:left w:val="single" w:sz="6" w:space="0" w:color="auto"/>
              <w:bottom w:val="single" w:sz="6" w:space="0" w:color="auto"/>
              <w:right w:val="single" w:sz="6" w:space="0" w:color="auto"/>
            </w:tcBorders>
          </w:tcPr>
          <w:p w14:paraId="68EF81CA"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Annual Report And Accounts (124)</w:t>
            </w:r>
          </w:p>
        </w:tc>
      </w:tr>
      <w:tr w:rsidR="008548E1" w:rsidRPr="002437DD" w14:paraId="605DCD22"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59070152"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proofErr w:type="spellStart"/>
            <w:r w:rsidRPr="002437DD">
              <w:rPr>
                <w:rFonts w:cs="Arial Narrow"/>
                <w:color w:val="auto"/>
                <w:sz w:val="16"/>
                <w:szCs w:val="16"/>
              </w:rPr>
              <w:t>Tullow</w:t>
            </w:r>
            <w:proofErr w:type="spellEnd"/>
            <w:r w:rsidRPr="002437DD">
              <w:rPr>
                <w:rFonts w:cs="Arial Narrow"/>
                <w:color w:val="auto"/>
                <w:sz w:val="16"/>
                <w:szCs w:val="16"/>
              </w:rPr>
              <w:t xml:space="preserve"> Oil</w:t>
            </w:r>
          </w:p>
        </w:tc>
        <w:tc>
          <w:tcPr>
            <w:tcW w:w="1260" w:type="dxa"/>
            <w:tcBorders>
              <w:top w:val="single" w:sz="6" w:space="0" w:color="auto"/>
              <w:left w:val="single" w:sz="6" w:space="0" w:color="auto"/>
              <w:bottom w:val="single" w:sz="6" w:space="0" w:color="auto"/>
              <w:right w:val="single" w:sz="6" w:space="0" w:color="auto"/>
            </w:tcBorders>
          </w:tcPr>
          <w:p w14:paraId="7CCA959B"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02DA4DF4"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Oil And Gas</w:t>
            </w:r>
          </w:p>
        </w:tc>
        <w:tc>
          <w:tcPr>
            <w:tcW w:w="975" w:type="dxa"/>
            <w:tcBorders>
              <w:top w:val="single" w:sz="6" w:space="0" w:color="auto"/>
              <w:left w:val="single" w:sz="6" w:space="0" w:color="auto"/>
              <w:bottom w:val="single" w:sz="6" w:space="0" w:color="auto"/>
              <w:right w:val="single" w:sz="6" w:space="0" w:color="auto"/>
            </w:tcBorders>
          </w:tcPr>
          <w:p w14:paraId="0BED39D3"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764" w:type="dxa"/>
            <w:gridSpan w:val="2"/>
            <w:tcBorders>
              <w:top w:val="single" w:sz="6" w:space="0" w:color="auto"/>
              <w:left w:val="single" w:sz="6" w:space="0" w:color="auto"/>
              <w:bottom w:val="single" w:sz="6" w:space="0" w:color="auto"/>
              <w:right w:val="single" w:sz="6" w:space="0" w:color="auto"/>
            </w:tcBorders>
          </w:tcPr>
          <w:p w14:paraId="26CFFF44"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Accounts (184)</w:t>
            </w:r>
          </w:p>
        </w:tc>
        <w:tc>
          <w:tcPr>
            <w:tcW w:w="1418" w:type="dxa"/>
            <w:gridSpan w:val="2"/>
            <w:tcBorders>
              <w:top w:val="single" w:sz="6" w:space="0" w:color="auto"/>
              <w:left w:val="single" w:sz="6" w:space="0" w:color="auto"/>
              <w:bottom w:val="single" w:sz="6" w:space="0" w:color="auto"/>
              <w:right w:val="single" w:sz="6" w:space="0" w:color="auto"/>
            </w:tcBorders>
          </w:tcPr>
          <w:p w14:paraId="1480933C"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Accounts (188)</w:t>
            </w:r>
          </w:p>
        </w:tc>
        <w:tc>
          <w:tcPr>
            <w:tcW w:w="2088" w:type="dxa"/>
            <w:gridSpan w:val="2"/>
            <w:tcBorders>
              <w:top w:val="single" w:sz="6" w:space="0" w:color="auto"/>
              <w:left w:val="single" w:sz="6" w:space="0" w:color="auto"/>
              <w:bottom w:val="single" w:sz="6" w:space="0" w:color="auto"/>
              <w:right w:val="single" w:sz="6" w:space="0" w:color="auto"/>
            </w:tcBorders>
          </w:tcPr>
          <w:p w14:paraId="239D3097"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2011/12 Corporate Responsibility Report (92) 2013 Corporate Responsibility Report (88)</w:t>
            </w:r>
          </w:p>
        </w:tc>
      </w:tr>
      <w:tr w:rsidR="008548E1" w:rsidRPr="002437DD" w14:paraId="0B8290AC"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0993835C"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Unilever</w:t>
            </w:r>
          </w:p>
        </w:tc>
        <w:tc>
          <w:tcPr>
            <w:tcW w:w="1260" w:type="dxa"/>
            <w:tcBorders>
              <w:top w:val="single" w:sz="6" w:space="0" w:color="auto"/>
              <w:left w:val="single" w:sz="6" w:space="0" w:color="auto"/>
              <w:bottom w:val="single" w:sz="6" w:space="0" w:color="auto"/>
              <w:right w:val="single" w:sz="6" w:space="0" w:color="auto"/>
            </w:tcBorders>
          </w:tcPr>
          <w:p w14:paraId="7B230EB9"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0AF8D927"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Consumer Goods</w:t>
            </w:r>
          </w:p>
        </w:tc>
        <w:tc>
          <w:tcPr>
            <w:tcW w:w="975" w:type="dxa"/>
            <w:tcBorders>
              <w:top w:val="single" w:sz="6" w:space="0" w:color="auto"/>
              <w:left w:val="single" w:sz="6" w:space="0" w:color="auto"/>
              <w:bottom w:val="single" w:sz="6" w:space="0" w:color="auto"/>
              <w:right w:val="single" w:sz="6" w:space="0" w:color="auto"/>
            </w:tcBorders>
          </w:tcPr>
          <w:p w14:paraId="07AF7015"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Europe</w:t>
            </w:r>
          </w:p>
        </w:tc>
        <w:tc>
          <w:tcPr>
            <w:tcW w:w="1134" w:type="dxa"/>
            <w:tcBorders>
              <w:top w:val="single" w:sz="6" w:space="0" w:color="auto"/>
              <w:left w:val="single" w:sz="6" w:space="0" w:color="auto"/>
              <w:bottom w:val="single" w:sz="6" w:space="0" w:color="auto"/>
              <w:right w:val="single" w:sz="6" w:space="0" w:color="auto"/>
            </w:tcBorders>
          </w:tcPr>
          <w:p w14:paraId="706B90F8"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Accounts (132)</w:t>
            </w:r>
          </w:p>
        </w:tc>
        <w:tc>
          <w:tcPr>
            <w:tcW w:w="4136" w:type="dxa"/>
            <w:gridSpan w:val="5"/>
            <w:tcBorders>
              <w:top w:val="single" w:sz="6" w:space="0" w:color="auto"/>
              <w:left w:val="single" w:sz="6" w:space="0" w:color="auto"/>
              <w:bottom w:val="single" w:sz="6" w:space="0" w:color="auto"/>
              <w:right w:val="single" w:sz="6" w:space="0" w:color="auto"/>
            </w:tcBorders>
          </w:tcPr>
          <w:p w14:paraId="69A574E6"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Annual Report And Accounts (152)</w:t>
            </w:r>
          </w:p>
        </w:tc>
      </w:tr>
      <w:tr w:rsidR="008548E1" w:rsidRPr="002437DD" w14:paraId="6D578F5A" w14:textId="77777777" w:rsidTr="008548E1">
        <w:trPr>
          <w:cantSplit/>
          <w:trHeight w:val="557"/>
        </w:trPr>
        <w:tc>
          <w:tcPr>
            <w:tcW w:w="1188" w:type="dxa"/>
            <w:tcBorders>
              <w:top w:val="single" w:sz="6" w:space="0" w:color="auto"/>
              <w:left w:val="single" w:sz="6" w:space="0" w:color="auto"/>
              <w:bottom w:val="single" w:sz="6" w:space="0" w:color="auto"/>
              <w:right w:val="single" w:sz="6" w:space="0" w:color="auto"/>
            </w:tcBorders>
          </w:tcPr>
          <w:p w14:paraId="2AF4C64A"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Vodacom</w:t>
            </w:r>
          </w:p>
        </w:tc>
        <w:tc>
          <w:tcPr>
            <w:tcW w:w="1260" w:type="dxa"/>
            <w:tcBorders>
              <w:top w:val="single" w:sz="6" w:space="0" w:color="auto"/>
              <w:left w:val="single" w:sz="6" w:space="0" w:color="auto"/>
              <w:bottom w:val="single" w:sz="6" w:space="0" w:color="auto"/>
              <w:right w:val="single" w:sz="6" w:space="0" w:color="auto"/>
            </w:tcBorders>
          </w:tcPr>
          <w:p w14:paraId="0B67DA61"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Public Company</w:t>
            </w:r>
          </w:p>
        </w:tc>
        <w:tc>
          <w:tcPr>
            <w:tcW w:w="1080" w:type="dxa"/>
            <w:tcBorders>
              <w:top w:val="single" w:sz="6" w:space="0" w:color="auto"/>
              <w:left w:val="single" w:sz="6" w:space="0" w:color="auto"/>
              <w:bottom w:val="single" w:sz="6" w:space="0" w:color="auto"/>
              <w:right w:val="single" w:sz="6" w:space="0" w:color="auto"/>
            </w:tcBorders>
          </w:tcPr>
          <w:p w14:paraId="2A317862"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Telecommunication</w:t>
            </w:r>
          </w:p>
        </w:tc>
        <w:tc>
          <w:tcPr>
            <w:tcW w:w="975" w:type="dxa"/>
            <w:tcBorders>
              <w:top w:val="single" w:sz="6" w:space="0" w:color="auto"/>
              <w:left w:val="single" w:sz="6" w:space="0" w:color="auto"/>
              <w:bottom w:val="single" w:sz="6" w:space="0" w:color="auto"/>
              <w:right w:val="single" w:sz="6" w:space="0" w:color="auto"/>
            </w:tcBorders>
          </w:tcPr>
          <w:p w14:paraId="46E40378" w14:textId="77777777" w:rsidR="008548E1" w:rsidRPr="002437DD" w:rsidRDefault="008548E1" w:rsidP="008548E1">
            <w:pPr>
              <w:autoSpaceDE w:val="0"/>
              <w:autoSpaceDN w:val="0"/>
              <w:adjustRightInd w:val="0"/>
              <w:spacing w:line="240" w:lineRule="auto"/>
              <w:rPr>
                <w:rFonts w:asciiTheme="majorHAnsi" w:hAnsiTheme="majorHAnsi" w:cs="Arial Narrow"/>
                <w:i/>
                <w:iCs/>
                <w:color w:val="auto"/>
                <w:sz w:val="16"/>
                <w:szCs w:val="16"/>
              </w:rPr>
            </w:pPr>
            <w:r w:rsidRPr="002437DD">
              <w:rPr>
                <w:rFonts w:cs="Arial Narrow"/>
                <w:color w:val="auto"/>
                <w:sz w:val="16"/>
                <w:szCs w:val="16"/>
              </w:rPr>
              <w:t>Africa</w:t>
            </w:r>
          </w:p>
        </w:tc>
        <w:tc>
          <w:tcPr>
            <w:tcW w:w="1134" w:type="dxa"/>
            <w:tcBorders>
              <w:top w:val="single" w:sz="6" w:space="0" w:color="auto"/>
              <w:left w:val="single" w:sz="6" w:space="0" w:color="auto"/>
              <w:bottom w:val="single" w:sz="6" w:space="0" w:color="auto"/>
              <w:right w:val="single" w:sz="6" w:space="0" w:color="auto"/>
            </w:tcBorders>
          </w:tcPr>
          <w:p w14:paraId="3465F174"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Report (220)</w:t>
            </w:r>
          </w:p>
        </w:tc>
        <w:tc>
          <w:tcPr>
            <w:tcW w:w="630" w:type="dxa"/>
            <w:tcBorders>
              <w:top w:val="single" w:sz="6" w:space="0" w:color="auto"/>
              <w:left w:val="single" w:sz="6" w:space="0" w:color="auto"/>
              <w:bottom w:val="single" w:sz="6" w:space="0" w:color="auto"/>
              <w:right w:val="single" w:sz="6" w:space="0" w:color="auto"/>
            </w:tcBorders>
          </w:tcPr>
          <w:p w14:paraId="45ECC755"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Report (128)</w:t>
            </w:r>
          </w:p>
        </w:tc>
        <w:tc>
          <w:tcPr>
            <w:tcW w:w="3506" w:type="dxa"/>
            <w:gridSpan w:val="4"/>
            <w:tcBorders>
              <w:top w:val="single" w:sz="6" w:space="0" w:color="auto"/>
              <w:left w:val="single" w:sz="6" w:space="0" w:color="auto"/>
              <w:bottom w:val="single" w:sz="6" w:space="0" w:color="auto"/>
              <w:right w:val="single" w:sz="6" w:space="0" w:color="auto"/>
            </w:tcBorders>
          </w:tcPr>
          <w:p w14:paraId="27A7D9B4" w14:textId="77777777" w:rsidR="008548E1" w:rsidRPr="002437DD" w:rsidRDefault="008548E1" w:rsidP="008548E1">
            <w:pPr>
              <w:autoSpaceDE w:val="0"/>
              <w:autoSpaceDN w:val="0"/>
              <w:adjustRightInd w:val="0"/>
              <w:spacing w:line="240" w:lineRule="auto"/>
              <w:jc w:val="center"/>
              <w:rPr>
                <w:rFonts w:asciiTheme="majorHAnsi" w:hAnsiTheme="majorHAnsi" w:cs="Arial Narrow"/>
                <w:i/>
                <w:iCs/>
                <w:color w:val="auto"/>
                <w:sz w:val="16"/>
                <w:szCs w:val="16"/>
              </w:rPr>
            </w:pPr>
            <w:r w:rsidRPr="002437DD">
              <w:rPr>
                <w:rFonts w:cs="Arial Narrow"/>
                <w:color w:val="auto"/>
                <w:sz w:val="16"/>
                <w:szCs w:val="16"/>
              </w:rPr>
              <w:t>Integrated Report (108)</w:t>
            </w:r>
          </w:p>
        </w:tc>
      </w:tr>
    </w:tbl>
    <w:p w14:paraId="6CFED40E" w14:textId="77777777" w:rsidR="00EE7D4A" w:rsidRPr="002437DD" w:rsidRDefault="00EE7D4A" w:rsidP="00BB40FF">
      <w:pPr>
        <w:rPr>
          <w:color w:val="auto"/>
        </w:rPr>
      </w:pPr>
    </w:p>
    <w:p w14:paraId="7C9987DC" w14:textId="53235C0A" w:rsidR="0065445A" w:rsidRPr="008548E1" w:rsidRDefault="008548E1" w:rsidP="00BB40FF">
      <w:pPr>
        <w:rPr>
          <w:b/>
          <w:color w:val="auto"/>
          <w:u w:val="single"/>
        </w:rPr>
      </w:pPr>
      <w:r w:rsidRPr="008548E1">
        <w:rPr>
          <w:b/>
          <w:color w:val="auto"/>
          <w:u w:val="single"/>
        </w:rPr>
        <w:t>ENDNOTES</w:t>
      </w:r>
    </w:p>
    <w:sectPr w:rsidR="0065445A" w:rsidRPr="008548E1" w:rsidSect="00BB40FF">
      <w:type w:val="continuous"/>
      <w:pgSz w:w="11900" w:h="16840"/>
      <w:pgMar w:top="1440" w:right="1835" w:bottom="1440" w:left="1797" w:header="709" w:footer="34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810CE" w14:textId="77777777" w:rsidR="00112803" w:rsidRDefault="00112803" w:rsidP="00EE7D4A">
      <w:pPr>
        <w:spacing w:line="240" w:lineRule="auto"/>
      </w:pPr>
      <w:r>
        <w:separator/>
      </w:r>
    </w:p>
  </w:endnote>
  <w:endnote w:type="continuationSeparator" w:id="0">
    <w:p w14:paraId="6409CA45" w14:textId="77777777" w:rsidR="00112803" w:rsidRDefault="00112803" w:rsidP="00EE7D4A">
      <w:pPr>
        <w:spacing w:line="240" w:lineRule="auto"/>
      </w:pPr>
      <w:r>
        <w:continuationSeparator/>
      </w:r>
    </w:p>
  </w:endnote>
  <w:endnote w:id="1">
    <w:p w14:paraId="33F9CD41" w14:textId="2163C569" w:rsidR="005378A8" w:rsidRPr="005B23CA" w:rsidRDefault="005378A8" w:rsidP="005378A8">
      <w:pPr>
        <w:pStyle w:val="EndnoteText"/>
        <w:spacing w:after="240"/>
        <w:rPr>
          <w:lang w:val="en-US"/>
        </w:rPr>
      </w:pPr>
      <w:r>
        <w:rPr>
          <w:rStyle w:val="EndnoteReference"/>
        </w:rPr>
        <w:endnoteRef/>
      </w:r>
      <w:r>
        <w:t xml:space="preserve"> </w:t>
      </w:r>
      <w:r w:rsidRPr="005B23CA">
        <w:t xml:space="preserve">The </w:t>
      </w:r>
      <w:proofErr w:type="spellStart"/>
      <w:r w:rsidRPr="005B23CA">
        <w:t>Bruntland</w:t>
      </w:r>
      <w:proofErr w:type="spellEnd"/>
      <w:r w:rsidRPr="005B23CA">
        <w:t xml:space="preserve"> report defines Sustainable Development as development that “meets the needs of the present without compromising the ability of future generations to meet their own needs” (p.16).</w:t>
      </w:r>
    </w:p>
  </w:endnote>
  <w:endnote w:id="2">
    <w:p w14:paraId="4A30D1A7" w14:textId="7B3EA34E" w:rsidR="005378A8" w:rsidRPr="002437DD" w:rsidRDefault="005378A8" w:rsidP="005378A8">
      <w:pPr>
        <w:pStyle w:val="EndnoteText"/>
        <w:spacing w:after="240"/>
      </w:pPr>
      <w:r w:rsidRPr="002437DD">
        <w:rPr>
          <w:rStyle w:val="EndnoteReference"/>
        </w:rPr>
        <w:endnoteRef/>
      </w:r>
      <w:r w:rsidRPr="002437DD">
        <w:t xml:space="preserve"> CSR is the acronym </w:t>
      </w:r>
      <w:r>
        <w:t>for</w:t>
      </w:r>
      <w:r w:rsidRPr="002437DD">
        <w:t xml:space="preserve"> Corporate Social Responsibility</w:t>
      </w:r>
    </w:p>
  </w:endnote>
  <w:endnote w:id="3">
    <w:p w14:paraId="22897133" w14:textId="3C93E8EF" w:rsidR="005378A8" w:rsidRPr="002437DD" w:rsidRDefault="005378A8" w:rsidP="005378A8">
      <w:pPr>
        <w:pStyle w:val="EndnoteText"/>
        <w:spacing w:after="240"/>
      </w:pPr>
      <w:r w:rsidRPr="002437DD">
        <w:rPr>
          <w:rStyle w:val="EndnoteReference"/>
        </w:rPr>
        <w:endnoteRef/>
      </w:r>
      <w:r w:rsidRPr="002437DD">
        <w:t xml:space="preserve"> The IIRC is made up of internationally </w:t>
      </w:r>
      <w:proofErr w:type="gramStart"/>
      <w:r w:rsidRPr="002437DD">
        <w:t>recognised  accounting</w:t>
      </w:r>
      <w:proofErr w:type="gramEnd"/>
      <w:r w:rsidRPr="002437DD">
        <w:t xml:space="preserve">  bodies,  investors, non-profit organisations  as  well  as  leaders  from  the  corporate,  investment,  accounting,  securities,  regulatory,  academic fields, and  civil  society  actors. A framework document containing the supposed ‘gold standards’</w:t>
      </w:r>
      <w:r>
        <w:t xml:space="preserve"> of IR was released in late 2013</w:t>
      </w:r>
      <w:r w:rsidRPr="002437DD">
        <w:t xml:space="preserve"> (http://www.theiirc.org/wp-content/uploads/2013/12/13-12-08-THE-INTERNATIONAL-IR-FRAMEWORK-2-1.pdf. – Accessed 28/02/2015).  </w:t>
      </w:r>
    </w:p>
  </w:endnote>
  <w:endnote w:id="4">
    <w:p w14:paraId="0DC888D2" w14:textId="470D6195" w:rsidR="005378A8" w:rsidRPr="002437DD" w:rsidRDefault="005378A8" w:rsidP="005378A8">
      <w:pPr>
        <w:pStyle w:val="EndnoteText"/>
        <w:spacing w:after="240"/>
      </w:pPr>
      <w:r w:rsidRPr="002437DD">
        <w:rPr>
          <w:rStyle w:val="EndnoteReference"/>
        </w:rPr>
        <w:endnoteRef/>
      </w:r>
      <w:r w:rsidRPr="002437DD">
        <w:t xml:space="preserve"> </w:t>
      </w:r>
      <w:hyperlink r:id="rId1" w:history="1">
        <w:r w:rsidRPr="002437DD">
          <w:rPr>
            <w:rStyle w:val="Hyperlink"/>
            <w:color w:val="auto"/>
          </w:rPr>
          <w:t>http://www.theiirc.org/resources-2/other-publications/emerging-integrated-reporting-database/</w:t>
        </w:r>
      </w:hyperlink>
      <w:r w:rsidRPr="002437DD">
        <w:rPr>
          <w:color w:val="auto"/>
        </w:rPr>
        <w:t>.</w:t>
      </w:r>
      <w:r>
        <w:rPr>
          <w:color w:val="auto"/>
        </w:rPr>
        <w:t xml:space="preserve"> Accessed 15/5/2015.</w:t>
      </w:r>
    </w:p>
  </w:endnote>
  <w:endnote w:id="5">
    <w:p w14:paraId="6135AB37" w14:textId="41C46FB7" w:rsidR="005378A8" w:rsidRPr="002437DD" w:rsidRDefault="005378A8" w:rsidP="005378A8">
      <w:pPr>
        <w:pStyle w:val="EndnoteText"/>
        <w:spacing w:after="240"/>
      </w:pPr>
      <w:r w:rsidRPr="002437DD">
        <w:rPr>
          <w:rStyle w:val="EndnoteReference"/>
        </w:rPr>
        <w:endnoteRef/>
      </w:r>
      <w:r w:rsidRPr="002437DD">
        <w:t xml:space="preserve"> In turn, </w:t>
      </w:r>
      <w:proofErr w:type="spellStart"/>
      <w:r w:rsidRPr="002437DD">
        <w:t>Fairclough</w:t>
      </w:r>
      <w:proofErr w:type="spellEnd"/>
      <w:r w:rsidRPr="002437DD">
        <w:t xml:space="preserve"> builds on a wealth of critical literature on intertextual</w:t>
      </w:r>
      <w:r>
        <w:t xml:space="preserve"> relations, </w:t>
      </w:r>
      <w:r w:rsidRPr="002437DD">
        <w:t xml:space="preserve">in particular on the </w:t>
      </w:r>
      <w:proofErr w:type="spellStart"/>
      <w:r w:rsidRPr="002437DD">
        <w:t>Bakthnian</w:t>
      </w:r>
      <w:proofErr w:type="spellEnd"/>
      <w:r w:rsidRPr="002437DD">
        <w:t xml:space="preserve"> notions of </w:t>
      </w:r>
      <w:proofErr w:type="spellStart"/>
      <w:r w:rsidRPr="002437DD">
        <w:t>heteroglossia</w:t>
      </w:r>
      <w:proofErr w:type="spellEnd"/>
      <w:r w:rsidRPr="002437DD">
        <w:t xml:space="preserve"> (the different voices any text is made up of) and </w:t>
      </w:r>
      <w:proofErr w:type="spellStart"/>
      <w:r w:rsidRPr="002437DD">
        <w:t>dialogicity</w:t>
      </w:r>
      <w:proofErr w:type="spellEnd"/>
      <w:r w:rsidRPr="002437DD">
        <w:t xml:space="preserve"> (the fact that such voices ‘talk’ to each other).</w:t>
      </w:r>
    </w:p>
  </w:endnote>
  <w:endnote w:id="6">
    <w:p w14:paraId="1E50BD8B" w14:textId="3C4DD2E8" w:rsidR="005378A8" w:rsidRPr="002437DD" w:rsidRDefault="005378A8" w:rsidP="005378A8">
      <w:pPr>
        <w:spacing w:after="240" w:line="240" w:lineRule="auto"/>
        <w:rPr>
          <w:sz w:val="20"/>
          <w:szCs w:val="20"/>
        </w:rPr>
      </w:pPr>
      <w:r w:rsidRPr="002437DD">
        <w:rPr>
          <w:rStyle w:val="EndnoteReference"/>
          <w:sz w:val="20"/>
          <w:szCs w:val="20"/>
        </w:rPr>
        <w:endnoteRef/>
      </w:r>
      <w:r w:rsidRPr="002437DD">
        <w:rPr>
          <w:sz w:val="20"/>
          <w:szCs w:val="20"/>
        </w:rPr>
        <w:t xml:space="preserve"> </w:t>
      </w:r>
      <w:r w:rsidRPr="002437DD">
        <w:rPr>
          <w:rStyle w:val="FootnoteTextChar"/>
          <w:sz w:val="20"/>
          <w:szCs w:val="20"/>
        </w:rPr>
        <w:t xml:space="preserve">We must emphasize that what is offered by the IIRC website under the IR database umbrella is a piecemeal collection of documents differently labelled by the issuing organisations as Annual Reports, Annual Reviews, Integrated Reports, Corporate Responsibility Reports, Sustainability Reports, Sustainable Development Reports, and so on. Moreover, in a number of cases we were able to establish that whist a company’s Integrated Report was showcased on the IIRC database, a separate Sustainability/CSR Report for the same year was available on the company’s own website (e.g. ARM, HSBC, Sasol, </w:t>
      </w:r>
      <w:proofErr w:type="spellStart"/>
      <w:r w:rsidRPr="002437DD">
        <w:rPr>
          <w:rStyle w:val="FootnoteTextChar"/>
          <w:sz w:val="20"/>
          <w:szCs w:val="20"/>
        </w:rPr>
        <w:t>Stockland</w:t>
      </w:r>
      <w:proofErr w:type="spellEnd"/>
      <w:r w:rsidRPr="002437DD">
        <w:rPr>
          <w:rStyle w:val="FootnoteTextChar"/>
          <w:sz w:val="20"/>
          <w:szCs w:val="20"/>
        </w:rPr>
        <w:t xml:space="preserve">, </w:t>
      </w:r>
      <w:proofErr w:type="spellStart"/>
      <w:r w:rsidRPr="002437DD">
        <w:rPr>
          <w:rStyle w:val="FootnoteTextChar"/>
          <w:sz w:val="20"/>
          <w:szCs w:val="20"/>
        </w:rPr>
        <w:t>Tullow</w:t>
      </w:r>
      <w:proofErr w:type="spellEnd"/>
      <w:r w:rsidRPr="002437DD">
        <w:rPr>
          <w:rStyle w:val="FootnoteTextChar"/>
          <w:sz w:val="20"/>
          <w:szCs w:val="20"/>
        </w:rPr>
        <w:t xml:space="preserve"> Oil). Although in our view this compartmentalisation/ fragmentation is at odds with the ‘integrated thinking’ the IIRC is encouraging, our aim is not to evaluate the consistency of these reports with the IIRC’s vision of Integrated Report</w:t>
      </w:r>
      <w:r w:rsidR="005B0D5C">
        <w:rPr>
          <w:rStyle w:val="FootnoteTextChar"/>
          <w:sz w:val="20"/>
          <w:szCs w:val="20"/>
        </w:rPr>
        <w:t>ing</w:t>
      </w:r>
      <w:r w:rsidRPr="002437DD">
        <w:rPr>
          <w:rStyle w:val="FootnoteTextChar"/>
          <w:sz w:val="20"/>
          <w:szCs w:val="20"/>
        </w:rPr>
        <w:t xml:space="preserve"> or its definition in the final framework. Rather, we treated the database as a showcase site where discourses of sustainability converge, which are both produced and consumed by companies and which, significantly, are temporarily ‘fixed’ in a specific document (IR).</w:t>
      </w:r>
      <w:r w:rsidRPr="002437DD">
        <w:rPr>
          <w:sz w:val="20"/>
          <w:szCs w:val="20"/>
        </w:rPr>
        <w:t xml:space="preserve"> </w:t>
      </w:r>
    </w:p>
  </w:endnote>
  <w:endnote w:id="7">
    <w:p w14:paraId="1A844DE6" w14:textId="59EC36C0" w:rsidR="005378A8" w:rsidRPr="002437DD" w:rsidRDefault="005378A8" w:rsidP="005378A8">
      <w:pPr>
        <w:pStyle w:val="EndnoteText"/>
        <w:spacing w:after="240"/>
      </w:pPr>
      <w:r w:rsidRPr="002437DD">
        <w:rPr>
          <w:rStyle w:val="EndnoteReference"/>
        </w:rPr>
        <w:endnoteRef/>
      </w:r>
      <w:r w:rsidRPr="002437DD">
        <w:t xml:space="preserve"> Although Corpus Linguistics and CDA are informed by distinct theoretical frameworks, the synergic benefits of combining the two have been explored and encouraged by </w:t>
      </w:r>
      <w:r>
        <w:t>much</w:t>
      </w:r>
      <w:r w:rsidRPr="002437DD">
        <w:t xml:space="preserve"> literature</w:t>
      </w:r>
      <w:r>
        <w:t xml:space="preserve">. From this perspective, </w:t>
      </w:r>
      <w:r w:rsidRPr="002437DD">
        <w:t xml:space="preserve">the results from the corpus analysis </w:t>
      </w:r>
      <w:r>
        <w:t xml:space="preserve">in our study </w:t>
      </w:r>
      <w:r w:rsidRPr="002437DD">
        <w:t>were used to supplement and not to substitute the critical and hermeneutic approach advocated by CDA, which remains our main investigative lens.</w:t>
      </w:r>
    </w:p>
  </w:endnote>
  <w:endnote w:id="8">
    <w:p w14:paraId="2C3047F4" w14:textId="1843DA0B" w:rsidR="005378A8" w:rsidRPr="00995BAD" w:rsidRDefault="005378A8" w:rsidP="005378A8">
      <w:pPr>
        <w:pStyle w:val="EndnoteText"/>
        <w:spacing w:after="240"/>
        <w:rPr>
          <w:lang w:val="en-US"/>
        </w:rPr>
      </w:pPr>
      <w:r w:rsidRPr="002437DD">
        <w:rPr>
          <w:rStyle w:val="EndnoteReference"/>
        </w:rPr>
        <w:endnoteRef/>
      </w:r>
      <w:r w:rsidRPr="002437DD">
        <w:t xml:space="preserve"> CIMA is </w:t>
      </w:r>
      <w:r w:rsidR="005B0D5C">
        <w:t>one of the world's larger</w:t>
      </w:r>
      <w:r w:rsidRPr="002437DD">
        <w:t xml:space="preserve"> provider</w:t>
      </w:r>
      <w:r w:rsidR="005B0D5C">
        <w:t>s</w:t>
      </w:r>
      <w:r w:rsidRPr="002437DD">
        <w:t xml:space="preserve"> of professional qualifications in management and finance accounting.</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DINPro-Light">
    <w:altName w:val="DINPro-Light"/>
    <w:panose1 w:val="00000000000000000000"/>
    <w:charset w:val="4D"/>
    <w:family w:val="swiss"/>
    <w:notTrueType/>
    <w:pitch w:val="default"/>
    <w:sig w:usb0="00000003" w:usb1="00000000" w:usb2="00000000" w:usb3="00000000" w:csb0="00000001" w:csb1="00000000"/>
  </w:font>
  <w:font w:name="DINPro-Medium">
    <w:altName w:val="Cambria"/>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0334" w14:textId="77777777" w:rsidR="005378A8" w:rsidRDefault="005378A8">
    <w:pPr>
      <w:pStyle w:val="Footer1"/>
      <w:tabs>
        <w:tab w:val="clear" w:pos="8640"/>
        <w:tab w:val="right" w:pos="7187"/>
      </w:tabs>
      <w:jc w:val="center"/>
    </w:pPr>
    <w:r>
      <w:fldChar w:fldCharType="begin"/>
    </w:r>
    <w:r>
      <w:instrText xml:space="preserve"> PAGE </w:instrText>
    </w:r>
    <w:r>
      <w:fldChar w:fldCharType="separate"/>
    </w:r>
    <w:r>
      <w:rPr>
        <w:noProof/>
      </w:rPr>
      <w:t>16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294F2" w14:textId="77777777" w:rsidR="005378A8" w:rsidRDefault="005378A8">
    <w:pPr>
      <w:pStyle w:val="Footer1"/>
      <w:tabs>
        <w:tab w:val="clear" w:pos="8640"/>
        <w:tab w:val="right" w:pos="7187"/>
      </w:tabs>
      <w:jc w:val="center"/>
    </w:pPr>
    <w:r>
      <w:fldChar w:fldCharType="begin"/>
    </w:r>
    <w:r>
      <w:instrText xml:space="preserve"> PAGE </w:instrText>
    </w:r>
    <w:r>
      <w:fldChar w:fldCharType="separate"/>
    </w:r>
    <w:r w:rsidR="00E8048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B4E8" w14:textId="77777777" w:rsidR="00112803" w:rsidRDefault="00112803" w:rsidP="00EE7D4A">
      <w:pPr>
        <w:spacing w:line="240" w:lineRule="auto"/>
      </w:pPr>
      <w:r>
        <w:separator/>
      </w:r>
    </w:p>
  </w:footnote>
  <w:footnote w:type="continuationSeparator" w:id="0">
    <w:p w14:paraId="460463B0" w14:textId="77777777" w:rsidR="00112803" w:rsidRDefault="00112803" w:rsidP="00EE7D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8D6C" w14:textId="77777777" w:rsidR="005378A8" w:rsidRDefault="005378A8">
    <w:pPr>
      <w:jc w:val="center"/>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35A5" w14:textId="77777777" w:rsidR="005378A8" w:rsidRDefault="005378A8">
    <w:pPr>
      <w:jc w:val="center"/>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5E4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318B"/>
    <w:multiLevelType w:val="hybridMultilevel"/>
    <w:tmpl w:val="1712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A3B36"/>
    <w:multiLevelType w:val="hybridMultilevel"/>
    <w:tmpl w:val="9F62FB30"/>
    <w:lvl w:ilvl="0" w:tplc="057A9A94">
      <w:start w:val="4"/>
      <w:numFmt w:val="bullet"/>
      <w:lvlText w:val="-"/>
      <w:lvlJc w:val="left"/>
      <w:pPr>
        <w:ind w:left="720" w:hanging="360"/>
      </w:pPr>
      <w:rPr>
        <w:rFonts w:ascii="Cambria" w:eastAsia="ヒラギノ角ゴ Pro W3"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75850"/>
    <w:multiLevelType w:val="hybridMultilevel"/>
    <w:tmpl w:val="8FE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40045"/>
    <w:multiLevelType w:val="multilevel"/>
    <w:tmpl w:val="F9A83F36"/>
    <w:lvl w:ilvl="0">
      <w:start w:val="2"/>
      <w:numFmt w:val="decimal"/>
      <w:lvlText w:val="%1"/>
      <w:lvlJc w:val="left"/>
      <w:pPr>
        <w:ind w:hanging="431"/>
      </w:pPr>
      <w:rPr>
        <w:rFonts w:ascii="Cambria" w:eastAsia="Cambria" w:hAnsi="Cambria" w:hint="default"/>
        <w:b/>
        <w:bCs/>
        <w:color w:val="345A8A"/>
        <w:w w:val="102"/>
        <w:sz w:val="31"/>
        <w:szCs w:val="31"/>
      </w:rPr>
    </w:lvl>
    <w:lvl w:ilvl="1">
      <w:start w:val="1"/>
      <w:numFmt w:val="decimal"/>
      <w:lvlText w:val="%1.%2"/>
      <w:lvlJc w:val="left"/>
      <w:pPr>
        <w:ind w:hanging="578"/>
      </w:pPr>
      <w:rPr>
        <w:rFonts w:ascii="Cambria" w:eastAsia="Cambria" w:hAnsi="Cambria" w:hint="default"/>
        <w:b/>
        <w:bCs/>
        <w:color w:val="4F81BD"/>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245095C"/>
    <w:multiLevelType w:val="hybridMultilevel"/>
    <w:tmpl w:val="AE44EE5E"/>
    <w:lvl w:ilvl="0" w:tplc="2FA8A6E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05E54"/>
    <w:multiLevelType w:val="hybridMultilevel"/>
    <w:tmpl w:val="151AFC06"/>
    <w:lvl w:ilvl="0" w:tplc="F488A00C">
      <w:start w:val="5"/>
      <w:numFmt w:val="decimal"/>
      <w:lvlText w:val="%1"/>
      <w:lvlJc w:val="left"/>
      <w:pPr>
        <w:ind w:hanging="431"/>
      </w:pPr>
      <w:rPr>
        <w:rFonts w:ascii="Cambria" w:eastAsia="Cambria" w:hAnsi="Cambria" w:hint="default"/>
        <w:b/>
        <w:bCs/>
        <w:color w:val="345A8A"/>
        <w:w w:val="102"/>
        <w:sz w:val="31"/>
        <w:szCs w:val="31"/>
      </w:rPr>
    </w:lvl>
    <w:lvl w:ilvl="1" w:tplc="668458A6">
      <w:start w:val="1"/>
      <w:numFmt w:val="bullet"/>
      <w:lvlText w:val="•"/>
      <w:lvlJc w:val="left"/>
      <w:rPr>
        <w:rFonts w:hint="default"/>
      </w:rPr>
    </w:lvl>
    <w:lvl w:ilvl="2" w:tplc="5AB436E8">
      <w:start w:val="1"/>
      <w:numFmt w:val="bullet"/>
      <w:lvlText w:val="•"/>
      <w:lvlJc w:val="left"/>
      <w:rPr>
        <w:rFonts w:hint="default"/>
      </w:rPr>
    </w:lvl>
    <w:lvl w:ilvl="3" w:tplc="C80852EA">
      <w:start w:val="1"/>
      <w:numFmt w:val="bullet"/>
      <w:lvlText w:val="•"/>
      <w:lvlJc w:val="left"/>
      <w:rPr>
        <w:rFonts w:hint="default"/>
      </w:rPr>
    </w:lvl>
    <w:lvl w:ilvl="4" w:tplc="607E2E00">
      <w:start w:val="1"/>
      <w:numFmt w:val="bullet"/>
      <w:lvlText w:val="•"/>
      <w:lvlJc w:val="left"/>
      <w:rPr>
        <w:rFonts w:hint="default"/>
      </w:rPr>
    </w:lvl>
    <w:lvl w:ilvl="5" w:tplc="3D2C5490">
      <w:start w:val="1"/>
      <w:numFmt w:val="bullet"/>
      <w:lvlText w:val="•"/>
      <w:lvlJc w:val="left"/>
      <w:rPr>
        <w:rFonts w:hint="default"/>
      </w:rPr>
    </w:lvl>
    <w:lvl w:ilvl="6" w:tplc="A34E6D8A">
      <w:start w:val="1"/>
      <w:numFmt w:val="bullet"/>
      <w:lvlText w:val="•"/>
      <w:lvlJc w:val="left"/>
      <w:rPr>
        <w:rFonts w:hint="default"/>
      </w:rPr>
    </w:lvl>
    <w:lvl w:ilvl="7" w:tplc="D520DFD2">
      <w:start w:val="1"/>
      <w:numFmt w:val="bullet"/>
      <w:lvlText w:val="•"/>
      <w:lvlJc w:val="left"/>
      <w:rPr>
        <w:rFonts w:hint="default"/>
      </w:rPr>
    </w:lvl>
    <w:lvl w:ilvl="8" w:tplc="05E45472">
      <w:start w:val="1"/>
      <w:numFmt w:val="bullet"/>
      <w:lvlText w:val="•"/>
      <w:lvlJc w:val="left"/>
      <w:rPr>
        <w:rFonts w:hint="default"/>
      </w:rPr>
    </w:lvl>
  </w:abstractNum>
  <w:abstractNum w:abstractNumId="7">
    <w:nsid w:val="13EA208A"/>
    <w:multiLevelType w:val="hybridMultilevel"/>
    <w:tmpl w:val="0DD4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427D3F"/>
    <w:multiLevelType w:val="hybridMultilevel"/>
    <w:tmpl w:val="3124BD0E"/>
    <w:lvl w:ilvl="0" w:tplc="60C02C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369B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0285DF7"/>
    <w:multiLevelType w:val="multilevel"/>
    <w:tmpl w:val="ACF019F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39E2297"/>
    <w:multiLevelType w:val="hybridMultilevel"/>
    <w:tmpl w:val="8C3A09C6"/>
    <w:lvl w:ilvl="0" w:tplc="8C4EF21C">
      <w:start w:val="1"/>
      <w:numFmt w:val="decimal"/>
      <w:lvlText w:val="%1.1.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5A384D"/>
    <w:multiLevelType w:val="hybridMultilevel"/>
    <w:tmpl w:val="2FC4FC6E"/>
    <w:lvl w:ilvl="0" w:tplc="178A918A">
      <w:start w:val="1"/>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48499D"/>
    <w:multiLevelType w:val="hybridMultilevel"/>
    <w:tmpl w:val="A510BF30"/>
    <w:lvl w:ilvl="0" w:tplc="8BE69354">
      <w:start w:val="4"/>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92E77"/>
    <w:multiLevelType w:val="hybridMultilevel"/>
    <w:tmpl w:val="A97ED03C"/>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5">
    <w:nsid w:val="33C55720"/>
    <w:multiLevelType w:val="hybridMultilevel"/>
    <w:tmpl w:val="7E2AAA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94F52"/>
    <w:multiLevelType w:val="hybridMultilevel"/>
    <w:tmpl w:val="A1B08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81982"/>
    <w:multiLevelType w:val="hybridMultilevel"/>
    <w:tmpl w:val="7166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4AC9583B"/>
    <w:multiLevelType w:val="multilevel"/>
    <w:tmpl w:val="DD14CF9A"/>
    <w:lvl w:ilvl="0">
      <w:start w:val="1"/>
      <w:numFmt w:val="decimal"/>
      <w:lvlText w:val="%1."/>
      <w:lvlJc w:val="left"/>
      <w:pPr>
        <w:ind w:left="-218" w:hanging="360"/>
      </w:pPr>
      <w:rPr>
        <w:rFonts w:hint="default"/>
      </w:rPr>
    </w:lvl>
    <w:lvl w:ilvl="1">
      <w:start w:val="2"/>
      <w:numFmt w:val="decimal"/>
      <w:isLgl/>
      <w:lvlText w:val="%1.%2"/>
      <w:lvlJc w:val="left"/>
      <w:pPr>
        <w:ind w:left="30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abstractNum w:abstractNumId="19">
    <w:nsid w:val="52195068"/>
    <w:multiLevelType w:val="hybridMultilevel"/>
    <w:tmpl w:val="D7067B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C13EA"/>
    <w:multiLevelType w:val="hybridMultilevel"/>
    <w:tmpl w:val="776E4294"/>
    <w:lvl w:ilvl="0" w:tplc="99B0963C">
      <w:start w:val="1"/>
      <w:numFmt w:val="decimal"/>
      <w:lvlText w:val="%1"/>
      <w:lvlJc w:val="left"/>
      <w:pPr>
        <w:ind w:hanging="112"/>
      </w:pPr>
      <w:rPr>
        <w:rFonts w:ascii="Calibri" w:eastAsia="Calibri" w:hAnsi="Calibri" w:hint="default"/>
        <w:w w:val="99"/>
        <w:position w:val="10"/>
        <w:sz w:val="13"/>
        <w:szCs w:val="13"/>
      </w:rPr>
    </w:lvl>
    <w:lvl w:ilvl="1" w:tplc="12327330">
      <w:start w:val="1"/>
      <w:numFmt w:val="bullet"/>
      <w:lvlText w:val="•"/>
      <w:lvlJc w:val="left"/>
      <w:rPr>
        <w:rFonts w:hint="default"/>
      </w:rPr>
    </w:lvl>
    <w:lvl w:ilvl="2" w:tplc="590A6226">
      <w:start w:val="1"/>
      <w:numFmt w:val="bullet"/>
      <w:lvlText w:val="•"/>
      <w:lvlJc w:val="left"/>
      <w:rPr>
        <w:rFonts w:hint="default"/>
      </w:rPr>
    </w:lvl>
    <w:lvl w:ilvl="3" w:tplc="BA0CF934">
      <w:start w:val="1"/>
      <w:numFmt w:val="bullet"/>
      <w:lvlText w:val="•"/>
      <w:lvlJc w:val="left"/>
      <w:rPr>
        <w:rFonts w:hint="default"/>
      </w:rPr>
    </w:lvl>
    <w:lvl w:ilvl="4" w:tplc="F04ACBC6">
      <w:start w:val="1"/>
      <w:numFmt w:val="bullet"/>
      <w:lvlText w:val="•"/>
      <w:lvlJc w:val="left"/>
      <w:rPr>
        <w:rFonts w:hint="default"/>
      </w:rPr>
    </w:lvl>
    <w:lvl w:ilvl="5" w:tplc="F62EEE8E">
      <w:start w:val="1"/>
      <w:numFmt w:val="bullet"/>
      <w:lvlText w:val="•"/>
      <w:lvlJc w:val="left"/>
      <w:rPr>
        <w:rFonts w:hint="default"/>
      </w:rPr>
    </w:lvl>
    <w:lvl w:ilvl="6" w:tplc="5A943844">
      <w:start w:val="1"/>
      <w:numFmt w:val="bullet"/>
      <w:lvlText w:val="•"/>
      <w:lvlJc w:val="left"/>
      <w:rPr>
        <w:rFonts w:hint="default"/>
      </w:rPr>
    </w:lvl>
    <w:lvl w:ilvl="7" w:tplc="0A1059B8">
      <w:start w:val="1"/>
      <w:numFmt w:val="bullet"/>
      <w:lvlText w:val="•"/>
      <w:lvlJc w:val="left"/>
      <w:rPr>
        <w:rFonts w:hint="default"/>
      </w:rPr>
    </w:lvl>
    <w:lvl w:ilvl="8" w:tplc="724AE8B4">
      <w:start w:val="1"/>
      <w:numFmt w:val="bullet"/>
      <w:lvlText w:val="•"/>
      <w:lvlJc w:val="left"/>
      <w:rPr>
        <w:rFonts w:hint="default"/>
      </w:rPr>
    </w:lvl>
  </w:abstractNum>
  <w:abstractNum w:abstractNumId="21">
    <w:nsid w:val="582663A4"/>
    <w:multiLevelType w:val="hybridMultilevel"/>
    <w:tmpl w:val="CD2C89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6E0E2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F487AC2"/>
    <w:multiLevelType w:val="hybridMultilevel"/>
    <w:tmpl w:val="889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904DB"/>
    <w:multiLevelType w:val="multilevel"/>
    <w:tmpl w:val="9000BA1E"/>
    <w:lvl w:ilvl="0">
      <w:start w:val="1"/>
      <w:numFmt w:val="decimal"/>
      <w:lvlText w:val="%1."/>
      <w:lvlJc w:val="left"/>
      <w:pPr>
        <w:ind w:left="502" w:hanging="360"/>
      </w:p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75C83B7F"/>
    <w:multiLevelType w:val="hybridMultilevel"/>
    <w:tmpl w:val="6BA4FD60"/>
    <w:lvl w:ilvl="0" w:tplc="D5BC46D8">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6490E07"/>
    <w:multiLevelType w:val="hybridMultilevel"/>
    <w:tmpl w:val="D00E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FE5066"/>
    <w:multiLevelType w:val="hybridMultilevel"/>
    <w:tmpl w:val="A7CA7892"/>
    <w:lvl w:ilvl="0" w:tplc="057A9A94">
      <w:start w:val="4"/>
      <w:numFmt w:val="bullet"/>
      <w:lvlText w:val="-"/>
      <w:lvlJc w:val="left"/>
      <w:pPr>
        <w:ind w:left="720" w:hanging="36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0"/>
  </w:num>
  <w:num w:numId="5">
    <w:abstractNumId w:val="7"/>
  </w:num>
  <w:num w:numId="6">
    <w:abstractNumId w:val="17"/>
  </w:num>
  <w:num w:numId="7">
    <w:abstractNumId w:val="15"/>
  </w:num>
  <w:num w:numId="8">
    <w:abstractNumId w:val="14"/>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27"/>
  </w:num>
  <w:num w:numId="15">
    <w:abstractNumId w:val="6"/>
  </w:num>
  <w:num w:numId="16">
    <w:abstractNumId w:val="4"/>
  </w:num>
  <w:num w:numId="17">
    <w:abstractNumId w:val="20"/>
  </w:num>
  <w:num w:numId="18">
    <w:abstractNumId w:val="22"/>
  </w:num>
  <w:num w:numId="19">
    <w:abstractNumId w:val="8"/>
  </w:num>
  <w:num w:numId="20">
    <w:abstractNumId w:val="12"/>
  </w:num>
  <w:num w:numId="21">
    <w:abstractNumId w:val="12"/>
    <w:lvlOverride w:ilvl="0">
      <w:startOverride w:val="1"/>
    </w:lvlOverride>
  </w:num>
  <w:num w:numId="22">
    <w:abstractNumId w:val="11"/>
  </w:num>
  <w:num w:numId="23">
    <w:abstractNumId w:val="1"/>
  </w:num>
  <w:num w:numId="24">
    <w:abstractNumId w:val="23"/>
  </w:num>
  <w:num w:numId="25">
    <w:abstractNumId w:val="3"/>
  </w:num>
  <w:num w:numId="26">
    <w:abstractNumId w:val="26"/>
  </w:num>
  <w:num w:numId="27">
    <w:abstractNumId w:val="2"/>
  </w:num>
  <w:num w:numId="28">
    <w:abstractNumId w:val="3"/>
  </w:num>
  <w:num w:numId="29">
    <w:abstractNumId w:val="1"/>
  </w:num>
  <w:num w:numId="30">
    <w:abstractNumId w:val="19"/>
  </w:num>
  <w:num w:numId="31">
    <w:abstractNumId w:val="21"/>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EE7D4A"/>
    <w:rsid w:val="00001EA8"/>
    <w:rsid w:val="00007B8E"/>
    <w:rsid w:val="0001011D"/>
    <w:rsid w:val="0001534D"/>
    <w:rsid w:val="00017745"/>
    <w:rsid w:val="00022AB7"/>
    <w:rsid w:val="00030C68"/>
    <w:rsid w:val="00034F3E"/>
    <w:rsid w:val="00041A22"/>
    <w:rsid w:val="0004551D"/>
    <w:rsid w:val="00045586"/>
    <w:rsid w:val="00046057"/>
    <w:rsid w:val="000467CF"/>
    <w:rsid w:val="0005405C"/>
    <w:rsid w:val="00056629"/>
    <w:rsid w:val="00061115"/>
    <w:rsid w:val="00070541"/>
    <w:rsid w:val="00072202"/>
    <w:rsid w:val="00075EE1"/>
    <w:rsid w:val="00077D5C"/>
    <w:rsid w:val="00085BA0"/>
    <w:rsid w:val="0009209E"/>
    <w:rsid w:val="00092227"/>
    <w:rsid w:val="000A08FD"/>
    <w:rsid w:val="000A23E2"/>
    <w:rsid w:val="000A3ABE"/>
    <w:rsid w:val="000A4041"/>
    <w:rsid w:val="000A59B1"/>
    <w:rsid w:val="000B3AD2"/>
    <w:rsid w:val="000C0993"/>
    <w:rsid w:val="000C18A2"/>
    <w:rsid w:val="000C2D7C"/>
    <w:rsid w:val="000C3F3F"/>
    <w:rsid w:val="000D4F00"/>
    <w:rsid w:val="000D63F4"/>
    <w:rsid w:val="000D6C8F"/>
    <w:rsid w:val="00100A60"/>
    <w:rsid w:val="001038B6"/>
    <w:rsid w:val="00103C0C"/>
    <w:rsid w:val="00112803"/>
    <w:rsid w:val="00122306"/>
    <w:rsid w:val="001233A7"/>
    <w:rsid w:val="001258E3"/>
    <w:rsid w:val="00134EEA"/>
    <w:rsid w:val="00144840"/>
    <w:rsid w:val="001509F7"/>
    <w:rsid w:val="00155CBC"/>
    <w:rsid w:val="00167310"/>
    <w:rsid w:val="00171C3D"/>
    <w:rsid w:val="00172FBB"/>
    <w:rsid w:val="0017430F"/>
    <w:rsid w:val="00183C24"/>
    <w:rsid w:val="00185B72"/>
    <w:rsid w:val="00186EC1"/>
    <w:rsid w:val="001972AB"/>
    <w:rsid w:val="001A289F"/>
    <w:rsid w:val="001A519E"/>
    <w:rsid w:val="001A5DD0"/>
    <w:rsid w:val="001B0182"/>
    <w:rsid w:val="001B2C24"/>
    <w:rsid w:val="001B4EA7"/>
    <w:rsid w:val="001D3872"/>
    <w:rsid w:val="001D4C35"/>
    <w:rsid w:val="001D728A"/>
    <w:rsid w:val="001E123A"/>
    <w:rsid w:val="001E4C5B"/>
    <w:rsid w:val="001E74A0"/>
    <w:rsid w:val="001F69EF"/>
    <w:rsid w:val="002052A0"/>
    <w:rsid w:val="00207855"/>
    <w:rsid w:val="0021336F"/>
    <w:rsid w:val="00215136"/>
    <w:rsid w:val="00215384"/>
    <w:rsid w:val="00215E7B"/>
    <w:rsid w:val="00216452"/>
    <w:rsid w:val="00224D4B"/>
    <w:rsid w:val="00226374"/>
    <w:rsid w:val="00237705"/>
    <w:rsid w:val="002406D0"/>
    <w:rsid w:val="002437DD"/>
    <w:rsid w:val="00245F42"/>
    <w:rsid w:val="002469F5"/>
    <w:rsid w:val="002472B6"/>
    <w:rsid w:val="00256B97"/>
    <w:rsid w:val="00266EA0"/>
    <w:rsid w:val="00267758"/>
    <w:rsid w:val="00267C4F"/>
    <w:rsid w:val="0028093E"/>
    <w:rsid w:val="00284F3C"/>
    <w:rsid w:val="00286A96"/>
    <w:rsid w:val="002907F1"/>
    <w:rsid w:val="00293918"/>
    <w:rsid w:val="00295A5C"/>
    <w:rsid w:val="002A34E2"/>
    <w:rsid w:val="002B3A39"/>
    <w:rsid w:val="002B5CE4"/>
    <w:rsid w:val="002B659A"/>
    <w:rsid w:val="002C0C1E"/>
    <w:rsid w:val="002C27E8"/>
    <w:rsid w:val="002C7143"/>
    <w:rsid w:val="002D28D2"/>
    <w:rsid w:val="002E02FE"/>
    <w:rsid w:val="002E0C08"/>
    <w:rsid w:val="002F2512"/>
    <w:rsid w:val="002F6785"/>
    <w:rsid w:val="002F7CBD"/>
    <w:rsid w:val="00301B3C"/>
    <w:rsid w:val="00312E39"/>
    <w:rsid w:val="00322557"/>
    <w:rsid w:val="00323DD1"/>
    <w:rsid w:val="00333FC0"/>
    <w:rsid w:val="00335E9B"/>
    <w:rsid w:val="00336E32"/>
    <w:rsid w:val="00337D47"/>
    <w:rsid w:val="00341DD6"/>
    <w:rsid w:val="0035047D"/>
    <w:rsid w:val="00352B61"/>
    <w:rsid w:val="0036272E"/>
    <w:rsid w:val="00365EE8"/>
    <w:rsid w:val="00373DE8"/>
    <w:rsid w:val="0038000F"/>
    <w:rsid w:val="00390561"/>
    <w:rsid w:val="00395046"/>
    <w:rsid w:val="003960B9"/>
    <w:rsid w:val="003A6A13"/>
    <w:rsid w:val="003A724D"/>
    <w:rsid w:val="003B4505"/>
    <w:rsid w:val="003B5885"/>
    <w:rsid w:val="003B60B7"/>
    <w:rsid w:val="003B71FC"/>
    <w:rsid w:val="003D07A0"/>
    <w:rsid w:val="003D1A61"/>
    <w:rsid w:val="003D2CA9"/>
    <w:rsid w:val="003F329F"/>
    <w:rsid w:val="003F7453"/>
    <w:rsid w:val="00401929"/>
    <w:rsid w:val="004037E0"/>
    <w:rsid w:val="004040F6"/>
    <w:rsid w:val="004079E7"/>
    <w:rsid w:val="00411106"/>
    <w:rsid w:val="00415525"/>
    <w:rsid w:val="004161A4"/>
    <w:rsid w:val="00427C47"/>
    <w:rsid w:val="00445525"/>
    <w:rsid w:val="00461509"/>
    <w:rsid w:val="00470191"/>
    <w:rsid w:val="00474FB6"/>
    <w:rsid w:val="004758D1"/>
    <w:rsid w:val="004768EB"/>
    <w:rsid w:val="00476B06"/>
    <w:rsid w:val="00482D14"/>
    <w:rsid w:val="0048470C"/>
    <w:rsid w:val="00484CD6"/>
    <w:rsid w:val="004861E4"/>
    <w:rsid w:val="004A7E36"/>
    <w:rsid w:val="004B5276"/>
    <w:rsid w:val="004B6086"/>
    <w:rsid w:val="004C2B29"/>
    <w:rsid w:val="004C4C3E"/>
    <w:rsid w:val="004D3180"/>
    <w:rsid w:val="004D41ED"/>
    <w:rsid w:val="004D7B63"/>
    <w:rsid w:val="004E1B6F"/>
    <w:rsid w:val="004E1D5F"/>
    <w:rsid w:val="004E5A6E"/>
    <w:rsid w:val="004E6E96"/>
    <w:rsid w:val="004F07B3"/>
    <w:rsid w:val="004F1524"/>
    <w:rsid w:val="004F7156"/>
    <w:rsid w:val="00500C4A"/>
    <w:rsid w:val="00502845"/>
    <w:rsid w:val="005042DB"/>
    <w:rsid w:val="00510A45"/>
    <w:rsid w:val="00526E8A"/>
    <w:rsid w:val="005335C9"/>
    <w:rsid w:val="005373E7"/>
    <w:rsid w:val="005378A8"/>
    <w:rsid w:val="00542315"/>
    <w:rsid w:val="00544568"/>
    <w:rsid w:val="0055116C"/>
    <w:rsid w:val="00551B42"/>
    <w:rsid w:val="00557AEF"/>
    <w:rsid w:val="00563C82"/>
    <w:rsid w:val="00565ECE"/>
    <w:rsid w:val="0057139F"/>
    <w:rsid w:val="0057255B"/>
    <w:rsid w:val="00590BE8"/>
    <w:rsid w:val="00595959"/>
    <w:rsid w:val="005A23F7"/>
    <w:rsid w:val="005A6C48"/>
    <w:rsid w:val="005B0D5C"/>
    <w:rsid w:val="005B23CA"/>
    <w:rsid w:val="005B32F9"/>
    <w:rsid w:val="005C34EE"/>
    <w:rsid w:val="005C7F88"/>
    <w:rsid w:val="005F39F8"/>
    <w:rsid w:val="005F4BD4"/>
    <w:rsid w:val="005F6E38"/>
    <w:rsid w:val="005F748F"/>
    <w:rsid w:val="006048F3"/>
    <w:rsid w:val="006103B2"/>
    <w:rsid w:val="0061126B"/>
    <w:rsid w:val="0061360E"/>
    <w:rsid w:val="006156FD"/>
    <w:rsid w:val="006246C7"/>
    <w:rsid w:val="00624CE8"/>
    <w:rsid w:val="0062744D"/>
    <w:rsid w:val="00640B29"/>
    <w:rsid w:val="006532CA"/>
    <w:rsid w:val="0065445A"/>
    <w:rsid w:val="00655949"/>
    <w:rsid w:val="006607BD"/>
    <w:rsid w:val="00681460"/>
    <w:rsid w:val="00685118"/>
    <w:rsid w:val="0068521C"/>
    <w:rsid w:val="006A6567"/>
    <w:rsid w:val="006B1E5C"/>
    <w:rsid w:val="006B3706"/>
    <w:rsid w:val="006C291A"/>
    <w:rsid w:val="006C3670"/>
    <w:rsid w:val="006E2810"/>
    <w:rsid w:val="006E37DA"/>
    <w:rsid w:val="006E4B66"/>
    <w:rsid w:val="006E7491"/>
    <w:rsid w:val="006E79E7"/>
    <w:rsid w:val="006E7A18"/>
    <w:rsid w:val="006F5B39"/>
    <w:rsid w:val="006F6F73"/>
    <w:rsid w:val="006F702E"/>
    <w:rsid w:val="00702055"/>
    <w:rsid w:val="00703564"/>
    <w:rsid w:val="00703CF1"/>
    <w:rsid w:val="00704FA9"/>
    <w:rsid w:val="007067EC"/>
    <w:rsid w:val="00707AF2"/>
    <w:rsid w:val="00715D1C"/>
    <w:rsid w:val="007176B2"/>
    <w:rsid w:val="00722A97"/>
    <w:rsid w:val="00727D4C"/>
    <w:rsid w:val="0073276D"/>
    <w:rsid w:val="007358B1"/>
    <w:rsid w:val="00744AE5"/>
    <w:rsid w:val="007451CF"/>
    <w:rsid w:val="00745FEC"/>
    <w:rsid w:val="00752456"/>
    <w:rsid w:val="0075257C"/>
    <w:rsid w:val="0075449A"/>
    <w:rsid w:val="00756759"/>
    <w:rsid w:val="0076130E"/>
    <w:rsid w:val="0076558F"/>
    <w:rsid w:val="00770093"/>
    <w:rsid w:val="0077183D"/>
    <w:rsid w:val="007830EB"/>
    <w:rsid w:val="0078356D"/>
    <w:rsid w:val="007863DF"/>
    <w:rsid w:val="0078691F"/>
    <w:rsid w:val="007959FA"/>
    <w:rsid w:val="007A4E22"/>
    <w:rsid w:val="007A4E90"/>
    <w:rsid w:val="007A54D7"/>
    <w:rsid w:val="007A5D16"/>
    <w:rsid w:val="007A7859"/>
    <w:rsid w:val="007B160E"/>
    <w:rsid w:val="007B7DD5"/>
    <w:rsid w:val="007C1376"/>
    <w:rsid w:val="007C232D"/>
    <w:rsid w:val="007C4852"/>
    <w:rsid w:val="007D7A16"/>
    <w:rsid w:val="007E2C10"/>
    <w:rsid w:val="00803470"/>
    <w:rsid w:val="00804542"/>
    <w:rsid w:val="00813461"/>
    <w:rsid w:val="008138BE"/>
    <w:rsid w:val="00814768"/>
    <w:rsid w:val="00822D33"/>
    <w:rsid w:val="00823B37"/>
    <w:rsid w:val="008245A3"/>
    <w:rsid w:val="008349A3"/>
    <w:rsid w:val="00834A31"/>
    <w:rsid w:val="00837C0D"/>
    <w:rsid w:val="00845B75"/>
    <w:rsid w:val="008471AA"/>
    <w:rsid w:val="008548DC"/>
    <w:rsid w:val="008548E1"/>
    <w:rsid w:val="00855356"/>
    <w:rsid w:val="00861FFD"/>
    <w:rsid w:val="008649CF"/>
    <w:rsid w:val="008702CC"/>
    <w:rsid w:val="00871411"/>
    <w:rsid w:val="00871EAA"/>
    <w:rsid w:val="008746B2"/>
    <w:rsid w:val="00885EEA"/>
    <w:rsid w:val="00891158"/>
    <w:rsid w:val="00892B03"/>
    <w:rsid w:val="00892DE8"/>
    <w:rsid w:val="008A723C"/>
    <w:rsid w:val="008B0CFE"/>
    <w:rsid w:val="008B7972"/>
    <w:rsid w:val="008C3A66"/>
    <w:rsid w:val="008C6B23"/>
    <w:rsid w:val="008D043F"/>
    <w:rsid w:val="008D06EF"/>
    <w:rsid w:val="008D264B"/>
    <w:rsid w:val="008D4F83"/>
    <w:rsid w:val="008E33C8"/>
    <w:rsid w:val="008E606F"/>
    <w:rsid w:val="008E74DE"/>
    <w:rsid w:val="008F46CF"/>
    <w:rsid w:val="008F5228"/>
    <w:rsid w:val="00902E33"/>
    <w:rsid w:val="0091709A"/>
    <w:rsid w:val="00923D07"/>
    <w:rsid w:val="00925423"/>
    <w:rsid w:val="00930A3A"/>
    <w:rsid w:val="0094637C"/>
    <w:rsid w:val="00952C23"/>
    <w:rsid w:val="00954A55"/>
    <w:rsid w:val="009576F6"/>
    <w:rsid w:val="009601BC"/>
    <w:rsid w:val="00964EEA"/>
    <w:rsid w:val="0096640D"/>
    <w:rsid w:val="009714DB"/>
    <w:rsid w:val="00974484"/>
    <w:rsid w:val="00974A02"/>
    <w:rsid w:val="00980376"/>
    <w:rsid w:val="00983418"/>
    <w:rsid w:val="00991FEC"/>
    <w:rsid w:val="00995324"/>
    <w:rsid w:val="00995BAD"/>
    <w:rsid w:val="009A3FB3"/>
    <w:rsid w:val="009B54B1"/>
    <w:rsid w:val="009C52C5"/>
    <w:rsid w:val="009C670E"/>
    <w:rsid w:val="009E0182"/>
    <w:rsid w:val="009E330A"/>
    <w:rsid w:val="009E3BCA"/>
    <w:rsid w:val="009E47CD"/>
    <w:rsid w:val="009E7E2C"/>
    <w:rsid w:val="009F0B35"/>
    <w:rsid w:val="009F10AF"/>
    <w:rsid w:val="009F1482"/>
    <w:rsid w:val="009F1B64"/>
    <w:rsid w:val="00A00316"/>
    <w:rsid w:val="00A022CE"/>
    <w:rsid w:val="00A05AEC"/>
    <w:rsid w:val="00A14496"/>
    <w:rsid w:val="00A1666A"/>
    <w:rsid w:val="00A22B52"/>
    <w:rsid w:val="00A27042"/>
    <w:rsid w:val="00A302B8"/>
    <w:rsid w:val="00A30EA5"/>
    <w:rsid w:val="00A3316C"/>
    <w:rsid w:val="00A333F0"/>
    <w:rsid w:val="00A354C6"/>
    <w:rsid w:val="00A46560"/>
    <w:rsid w:val="00A47E98"/>
    <w:rsid w:val="00A5098A"/>
    <w:rsid w:val="00A50A11"/>
    <w:rsid w:val="00A6156A"/>
    <w:rsid w:val="00A73696"/>
    <w:rsid w:val="00A7709E"/>
    <w:rsid w:val="00A83CDD"/>
    <w:rsid w:val="00A86C1A"/>
    <w:rsid w:val="00A87886"/>
    <w:rsid w:val="00A94C62"/>
    <w:rsid w:val="00A95CA0"/>
    <w:rsid w:val="00A97E4A"/>
    <w:rsid w:val="00AA1D33"/>
    <w:rsid w:val="00AA3659"/>
    <w:rsid w:val="00AB3B4E"/>
    <w:rsid w:val="00AB6FDE"/>
    <w:rsid w:val="00AC05D2"/>
    <w:rsid w:val="00AC2DDD"/>
    <w:rsid w:val="00AD0D30"/>
    <w:rsid w:val="00AD434A"/>
    <w:rsid w:val="00AD62F9"/>
    <w:rsid w:val="00AD7287"/>
    <w:rsid w:val="00AE0920"/>
    <w:rsid w:val="00AE30F4"/>
    <w:rsid w:val="00AE3DA0"/>
    <w:rsid w:val="00AF30BD"/>
    <w:rsid w:val="00B115EB"/>
    <w:rsid w:val="00B11F29"/>
    <w:rsid w:val="00B120EE"/>
    <w:rsid w:val="00B127E5"/>
    <w:rsid w:val="00B13963"/>
    <w:rsid w:val="00B13F7E"/>
    <w:rsid w:val="00B2079F"/>
    <w:rsid w:val="00B31CD0"/>
    <w:rsid w:val="00B33384"/>
    <w:rsid w:val="00B43498"/>
    <w:rsid w:val="00B45789"/>
    <w:rsid w:val="00B5693F"/>
    <w:rsid w:val="00B573C8"/>
    <w:rsid w:val="00B75C4C"/>
    <w:rsid w:val="00B76239"/>
    <w:rsid w:val="00B845BB"/>
    <w:rsid w:val="00B8461D"/>
    <w:rsid w:val="00B8535D"/>
    <w:rsid w:val="00B907D1"/>
    <w:rsid w:val="00B96715"/>
    <w:rsid w:val="00BB40FF"/>
    <w:rsid w:val="00BC1256"/>
    <w:rsid w:val="00BC568A"/>
    <w:rsid w:val="00BC5C77"/>
    <w:rsid w:val="00BD0747"/>
    <w:rsid w:val="00BD1505"/>
    <w:rsid w:val="00BD3F98"/>
    <w:rsid w:val="00BE1524"/>
    <w:rsid w:val="00BE7768"/>
    <w:rsid w:val="00BF784B"/>
    <w:rsid w:val="00C0110E"/>
    <w:rsid w:val="00C0633D"/>
    <w:rsid w:val="00C06B5B"/>
    <w:rsid w:val="00C1335D"/>
    <w:rsid w:val="00C13552"/>
    <w:rsid w:val="00C14AC4"/>
    <w:rsid w:val="00C17380"/>
    <w:rsid w:val="00C22E9E"/>
    <w:rsid w:val="00C45B29"/>
    <w:rsid w:val="00C4619C"/>
    <w:rsid w:val="00C53CAD"/>
    <w:rsid w:val="00C64FA6"/>
    <w:rsid w:val="00C66401"/>
    <w:rsid w:val="00C75243"/>
    <w:rsid w:val="00C764D8"/>
    <w:rsid w:val="00C775A0"/>
    <w:rsid w:val="00C77F0D"/>
    <w:rsid w:val="00C83007"/>
    <w:rsid w:val="00C835F0"/>
    <w:rsid w:val="00C85827"/>
    <w:rsid w:val="00C8647C"/>
    <w:rsid w:val="00C90E79"/>
    <w:rsid w:val="00C912AB"/>
    <w:rsid w:val="00C91BE8"/>
    <w:rsid w:val="00C96D79"/>
    <w:rsid w:val="00CA037B"/>
    <w:rsid w:val="00CA4CFF"/>
    <w:rsid w:val="00CA61A8"/>
    <w:rsid w:val="00CB272D"/>
    <w:rsid w:val="00CC70C5"/>
    <w:rsid w:val="00CD115B"/>
    <w:rsid w:val="00CD5335"/>
    <w:rsid w:val="00CD67E7"/>
    <w:rsid w:val="00CE11D8"/>
    <w:rsid w:val="00CE336F"/>
    <w:rsid w:val="00CF520C"/>
    <w:rsid w:val="00D01E16"/>
    <w:rsid w:val="00D20591"/>
    <w:rsid w:val="00D2061A"/>
    <w:rsid w:val="00D20B98"/>
    <w:rsid w:val="00D20D2E"/>
    <w:rsid w:val="00D26CFF"/>
    <w:rsid w:val="00D3150B"/>
    <w:rsid w:val="00D336B1"/>
    <w:rsid w:val="00D34907"/>
    <w:rsid w:val="00D36DCB"/>
    <w:rsid w:val="00D40716"/>
    <w:rsid w:val="00D424E7"/>
    <w:rsid w:val="00D47A57"/>
    <w:rsid w:val="00D50235"/>
    <w:rsid w:val="00D51885"/>
    <w:rsid w:val="00D528DC"/>
    <w:rsid w:val="00D53A5A"/>
    <w:rsid w:val="00D57C6E"/>
    <w:rsid w:val="00D67A29"/>
    <w:rsid w:val="00D73BC4"/>
    <w:rsid w:val="00D75564"/>
    <w:rsid w:val="00D76BA9"/>
    <w:rsid w:val="00D771C1"/>
    <w:rsid w:val="00DA51DB"/>
    <w:rsid w:val="00DA7AEE"/>
    <w:rsid w:val="00DB1E2E"/>
    <w:rsid w:val="00DC3FC3"/>
    <w:rsid w:val="00DC5A15"/>
    <w:rsid w:val="00DD36BA"/>
    <w:rsid w:val="00DD3BBA"/>
    <w:rsid w:val="00DE0E41"/>
    <w:rsid w:val="00DE1E1D"/>
    <w:rsid w:val="00E0555E"/>
    <w:rsid w:val="00E05C0D"/>
    <w:rsid w:val="00E0616E"/>
    <w:rsid w:val="00E1304E"/>
    <w:rsid w:val="00E13B6B"/>
    <w:rsid w:val="00E159E7"/>
    <w:rsid w:val="00E174FE"/>
    <w:rsid w:val="00E2300A"/>
    <w:rsid w:val="00E2659F"/>
    <w:rsid w:val="00E319F9"/>
    <w:rsid w:val="00E35E41"/>
    <w:rsid w:val="00E4068D"/>
    <w:rsid w:val="00E41C6E"/>
    <w:rsid w:val="00E47487"/>
    <w:rsid w:val="00E47498"/>
    <w:rsid w:val="00E5082F"/>
    <w:rsid w:val="00E56242"/>
    <w:rsid w:val="00E66C73"/>
    <w:rsid w:val="00E704F2"/>
    <w:rsid w:val="00E71605"/>
    <w:rsid w:val="00E8048B"/>
    <w:rsid w:val="00E83BC5"/>
    <w:rsid w:val="00E92559"/>
    <w:rsid w:val="00E943CF"/>
    <w:rsid w:val="00E96F99"/>
    <w:rsid w:val="00EA2C2B"/>
    <w:rsid w:val="00EA349C"/>
    <w:rsid w:val="00EB1903"/>
    <w:rsid w:val="00EC1160"/>
    <w:rsid w:val="00ED551F"/>
    <w:rsid w:val="00ED5CDB"/>
    <w:rsid w:val="00ED635F"/>
    <w:rsid w:val="00ED6506"/>
    <w:rsid w:val="00EE0290"/>
    <w:rsid w:val="00EE042E"/>
    <w:rsid w:val="00EE7D4A"/>
    <w:rsid w:val="00F01C0D"/>
    <w:rsid w:val="00F07204"/>
    <w:rsid w:val="00F1782A"/>
    <w:rsid w:val="00F25079"/>
    <w:rsid w:val="00F327A0"/>
    <w:rsid w:val="00F33C30"/>
    <w:rsid w:val="00F3689D"/>
    <w:rsid w:val="00F372BB"/>
    <w:rsid w:val="00F37F8C"/>
    <w:rsid w:val="00F41F20"/>
    <w:rsid w:val="00F44FF6"/>
    <w:rsid w:val="00F46BBC"/>
    <w:rsid w:val="00F546DE"/>
    <w:rsid w:val="00F64392"/>
    <w:rsid w:val="00F65C09"/>
    <w:rsid w:val="00F8042C"/>
    <w:rsid w:val="00F80CB7"/>
    <w:rsid w:val="00F85D57"/>
    <w:rsid w:val="00F91403"/>
    <w:rsid w:val="00F968E4"/>
    <w:rsid w:val="00FA393D"/>
    <w:rsid w:val="00FB52FF"/>
    <w:rsid w:val="00FC1112"/>
    <w:rsid w:val="00FC5884"/>
    <w:rsid w:val="00FD09E9"/>
    <w:rsid w:val="00FD3592"/>
    <w:rsid w:val="00FD40E1"/>
    <w:rsid w:val="00FE388C"/>
    <w:rsid w:val="00FF1757"/>
    <w:rsid w:val="00FF32D4"/>
    <w:rsid w:val="00FF4C63"/>
    <w:rsid w:val="00FF6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93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8"/>
    <w:pPr>
      <w:spacing w:line="480" w:lineRule="auto"/>
      <w:jc w:val="both"/>
    </w:pPr>
    <w:rPr>
      <w:rFonts w:eastAsia="ヒラギノ角ゴ Pro W3" w:cs="Times New Roman"/>
      <w:color w:val="000000"/>
      <w:lang w:val="en-GB" w:eastAsia="en-US"/>
    </w:rPr>
  </w:style>
  <w:style w:type="paragraph" w:styleId="Heading1">
    <w:name w:val="heading 1"/>
    <w:basedOn w:val="Normal"/>
    <w:next w:val="Normal"/>
    <w:link w:val="Heading1Char"/>
    <w:autoRedefine/>
    <w:uiPriority w:val="1"/>
    <w:qFormat/>
    <w:rsid w:val="005B23CA"/>
    <w:pPr>
      <w:keepNext/>
      <w:keepLines/>
      <w:numPr>
        <w:numId w:val="2"/>
      </w:numPr>
      <w:spacing w:before="12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1"/>
    <w:unhideWhenUsed/>
    <w:qFormat/>
    <w:rsid w:val="0021336F"/>
    <w:pPr>
      <w:keepNext/>
      <w:keepLines/>
      <w:numPr>
        <w:ilvl w:val="1"/>
        <w:numId w:val="2"/>
      </w:numPr>
      <w:spacing w:before="120" w:line="240" w:lineRule="auto"/>
      <w:outlineLvl w:val="1"/>
    </w:pPr>
    <w:rPr>
      <w:rFonts w:eastAsiaTheme="majorEastAsia" w:cstheme="majorBidi"/>
      <w:bCs/>
      <w:color w:val="auto"/>
      <w:sz w:val="28"/>
    </w:rPr>
  </w:style>
  <w:style w:type="paragraph" w:styleId="Heading3">
    <w:name w:val="heading 3"/>
    <w:basedOn w:val="Normal"/>
    <w:next w:val="Normal"/>
    <w:link w:val="Heading3Char"/>
    <w:autoRedefine/>
    <w:uiPriority w:val="9"/>
    <w:unhideWhenUsed/>
    <w:qFormat/>
    <w:rsid w:val="005F39F8"/>
    <w:pPr>
      <w:keepNext/>
      <w:keepLines/>
      <w:numPr>
        <w:ilvl w:val="2"/>
        <w:numId w:val="2"/>
      </w:numPr>
      <w:spacing w:before="360" w:line="240" w:lineRule="auto"/>
      <w:outlineLvl w:val="2"/>
    </w:pPr>
    <w:rPr>
      <w:rFonts w:eastAsiaTheme="majorEastAsia" w:cstheme="majorBidi"/>
      <w:i/>
      <w:iCs/>
      <w:color w:val="auto"/>
    </w:rPr>
  </w:style>
  <w:style w:type="paragraph" w:styleId="Heading4">
    <w:name w:val="heading 4"/>
    <w:basedOn w:val="Heading3"/>
    <w:next w:val="Normal"/>
    <w:link w:val="Heading4Char"/>
    <w:uiPriority w:val="9"/>
    <w:unhideWhenUsed/>
    <w:rsid w:val="00A30EA5"/>
    <w:pPr>
      <w:numPr>
        <w:ilvl w:val="3"/>
      </w:numPr>
      <w:outlineLvl w:val="3"/>
    </w:pPr>
  </w:style>
  <w:style w:type="paragraph" w:styleId="Heading5">
    <w:name w:val="heading 5"/>
    <w:basedOn w:val="Heading3A"/>
    <w:next w:val="Normal"/>
    <w:link w:val="Heading5Char"/>
    <w:autoRedefine/>
    <w:uiPriority w:val="9"/>
    <w:unhideWhenUsed/>
    <w:qFormat/>
    <w:rsid w:val="0077183D"/>
    <w:pPr>
      <w:keepLines/>
      <w:numPr>
        <w:ilvl w:val="4"/>
        <w:numId w:val="2"/>
      </w:numPr>
      <w:spacing w:before="20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unhideWhenUsed/>
    <w:qFormat/>
    <w:rsid w:val="00D336B1"/>
    <w:pPr>
      <w:keepNext/>
      <w:keepLines/>
      <w:numPr>
        <w:ilvl w:val="5"/>
        <w:numId w:val="2"/>
      </w:numPr>
      <w:spacing w:before="200"/>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0467CF"/>
    <w:pPr>
      <w:keepNext/>
      <w:keepLines/>
      <w:numPr>
        <w:ilvl w:val="6"/>
        <w:numId w:val="2"/>
      </w:numPr>
      <w:spacing w:before="200"/>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0467C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67C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3CA"/>
    <w:rPr>
      <w:rFonts w:eastAsiaTheme="majorEastAsia" w:cstheme="majorBidi"/>
      <w:b/>
      <w:bCs/>
      <w:color w:val="000000" w:themeColor="text1"/>
      <w:sz w:val="28"/>
      <w:szCs w:val="28"/>
      <w:lang w:val="en-GB" w:eastAsia="en-US"/>
    </w:rPr>
  </w:style>
  <w:style w:type="character" w:customStyle="1" w:styleId="Heading2Char">
    <w:name w:val="Heading 2 Char"/>
    <w:basedOn w:val="DefaultParagraphFont"/>
    <w:link w:val="Heading2"/>
    <w:uiPriority w:val="1"/>
    <w:rsid w:val="0021336F"/>
    <w:rPr>
      <w:rFonts w:eastAsiaTheme="majorEastAsia" w:cstheme="majorBidi"/>
      <w:bCs/>
      <w:sz w:val="28"/>
      <w:lang w:val="en-GB" w:eastAsia="en-US"/>
    </w:rPr>
  </w:style>
  <w:style w:type="character" w:customStyle="1" w:styleId="Heading3Char">
    <w:name w:val="Heading 3 Char"/>
    <w:basedOn w:val="DefaultParagraphFont"/>
    <w:link w:val="Heading3"/>
    <w:uiPriority w:val="9"/>
    <w:rsid w:val="005F39F8"/>
    <w:rPr>
      <w:rFonts w:eastAsiaTheme="majorEastAsia" w:cstheme="majorBidi"/>
      <w:i/>
      <w:iCs/>
      <w:lang w:val="en-GB" w:eastAsia="en-US"/>
    </w:rPr>
  </w:style>
  <w:style w:type="character" w:customStyle="1" w:styleId="Heading4Char">
    <w:name w:val="Heading 4 Char"/>
    <w:basedOn w:val="DefaultParagraphFont"/>
    <w:link w:val="Heading4"/>
    <w:uiPriority w:val="9"/>
    <w:rsid w:val="00A30EA5"/>
    <w:rPr>
      <w:rFonts w:asciiTheme="majorHAnsi" w:eastAsiaTheme="majorEastAsia" w:hAnsiTheme="majorHAnsi" w:cstheme="majorBidi"/>
      <w:i/>
      <w:iCs/>
      <w:lang w:val="en-GB" w:eastAsia="en-US"/>
    </w:rPr>
  </w:style>
  <w:style w:type="character" w:customStyle="1" w:styleId="Heading5Char">
    <w:name w:val="Heading 5 Char"/>
    <w:basedOn w:val="DefaultParagraphFont"/>
    <w:link w:val="Heading5"/>
    <w:uiPriority w:val="9"/>
    <w:rsid w:val="0077183D"/>
    <w:rPr>
      <w:rFonts w:asciiTheme="majorHAnsi" w:eastAsiaTheme="majorEastAsia" w:hAnsiTheme="majorHAnsi" w:cstheme="majorBidi"/>
      <w:b/>
      <w:color w:val="243F60" w:themeColor="accent1" w:themeShade="7F"/>
      <w:sz w:val="26"/>
      <w:szCs w:val="20"/>
      <w:lang w:val="en-GB" w:eastAsia="en-GB"/>
    </w:rPr>
  </w:style>
  <w:style w:type="character" w:customStyle="1" w:styleId="Heading6Char">
    <w:name w:val="Heading 6 Char"/>
    <w:basedOn w:val="DefaultParagraphFont"/>
    <w:link w:val="Heading6"/>
    <w:uiPriority w:val="9"/>
    <w:rsid w:val="00D336B1"/>
    <w:rPr>
      <w:rFonts w:asciiTheme="majorHAnsi" w:eastAsiaTheme="majorEastAsia" w:hAnsiTheme="majorHAnsi" w:cstheme="majorBidi"/>
      <w:i/>
      <w:iCs/>
      <w:color w:val="243F60" w:themeColor="accent1" w:themeShade="7F"/>
      <w:szCs w:val="22"/>
      <w:lang w:eastAsia="en-US"/>
    </w:rPr>
  </w:style>
  <w:style w:type="character" w:customStyle="1" w:styleId="Heading7Char">
    <w:name w:val="Heading 7 Char"/>
    <w:basedOn w:val="DefaultParagraphFont"/>
    <w:link w:val="Heading7"/>
    <w:uiPriority w:val="9"/>
    <w:semiHidden/>
    <w:rsid w:val="000467CF"/>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0467CF"/>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0467CF"/>
    <w:rPr>
      <w:rFonts w:asciiTheme="majorHAnsi" w:eastAsiaTheme="majorEastAsia" w:hAnsiTheme="majorHAnsi" w:cstheme="majorBidi"/>
      <w:i/>
      <w:iCs/>
      <w:color w:val="404040" w:themeColor="text1" w:themeTint="BF"/>
      <w:sz w:val="20"/>
      <w:szCs w:val="20"/>
      <w:lang w:eastAsia="en-US"/>
    </w:rPr>
  </w:style>
  <w:style w:type="paragraph" w:customStyle="1" w:styleId="quoteinItalian">
    <w:name w:val="quote in Italian"/>
    <w:basedOn w:val="Quote"/>
    <w:qFormat/>
    <w:rsid w:val="008D4F83"/>
    <w:pPr>
      <w:spacing w:before="240" w:after="440"/>
      <w:ind w:left="284" w:right="284"/>
    </w:pPr>
  </w:style>
  <w:style w:type="paragraph" w:styleId="Quote">
    <w:name w:val="Quote"/>
    <w:basedOn w:val="Normal"/>
    <w:next w:val="Normal"/>
    <w:link w:val="QuoteChar"/>
    <w:uiPriority w:val="29"/>
    <w:qFormat/>
    <w:rsid w:val="00B115EB"/>
    <w:pPr>
      <w:spacing w:before="200" w:after="160"/>
      <w:ind w:left="864" w:right="864"/>
    </w:pPr>
    <w:rPr>
      <w:rFonts w:eastAsiaTheme="minorHAnsi" w:cstheme="minorBidi"/>
      <w:i/>
      <w:iCs/>
      <w:color w:val="auto"/>
      <w:sz w:val="22"/>
      <w:szCs w:val="22"/>
    </w:rPr>
  </w:style>
  <w:style w:type="character" w:customStyle="1" w:styleId="QuoteChar">
    <w:name w:val="Quote Char"/>
    <w:basedOn w:val="DefaultParagraphFont"/>
    <w:link w:val="Quote"/>
    <w:uiPriority w:val="29"/>
    <w:rsid w:val="00B115EB"/>
    <w:rPr>
      <w:rFonts w:eastAsiaTheme="minorHAnsi"/>
      <w:i/>
      <w:iCs/>
      <w:sz w:val="22"/>
      <w:szCs w:val="22"/>
      <w:lang w:val="en-GB" w:eastAsia="en-US"/>
    </w:rPr>
  </w:style>
  <w:style w:type="paragraph" w:customStyle="1" w:styleId="Footer1">
    <w:name w:val="Footer1"/>
    <w:rsid w:val="00EE7D4A"/>
    <w:pPr>
      <w:tabs>
        <w:tab w:val="center" w:pos="4320"/>
        <w:tab w:val="right" w:pos="8640"/>
      </w:tabs>
    </w:pPr>
    <w:rPr>
      <w:rFonts w:ascii="Lucida Grande" w:eastAsia="ヒラギノ角ゴ Pro W3" w:hAnsi="Lucida Grande" w:cs="Times New Roman"/>
      <w:color w:val="000000"/>
      <w:szCs w:val="20"/>
      <w:lang w:val="en-GB" w:eastAsia="en-US"/>
    </w:rPr>
  </w:style>
  <w:style w:type="paragraph" w:customStyle="1" w:styleId="Articletitle">
    <w:name w:val="Article title"/>
    <w:next w:val="Normal"/>
    <w:rsid w:val="00EE7D4A"/>
    <w:pPr>
      <w:spacing w:after="120" w:line="360" w:lineRule="auto"/>
    </w:pPr>
    <w:rPr>
      <w:rFonts w:ascii="Times New Roman Bold" w:eastAsia="ヒラギノ角ゴ Pro W3" w:hAnsi="Times New Roman Bold" w:cs="Times New Roman"/>
      <w:color w:val="000000"/>
      <w:sz w:val="28"/>
      <w:szCs w:val="20"/>
      <w:lang w:val="en-GB" w:eastAsia="en-US"/>
    </w:rPr>
  </w:style>
  <w:style w:type="paragraph" w:customStyle="1" w:styleId="CommentText1">
    <w:name w:val="Comment Text1"/>
    <w:rsid w:val="00EE7D4A"/>
    <w:rPr>
      <w:rFonts w:ascii="Lucida Grande" w:eastAsia="ヒラギノ角ゴ Pro W3" w:hAnsi="Lucida Grande" w:cs="Times New Roman"/>
      <w:color w:val="000000"/>
      <w:szCs w:val="20"/>
      <w:lang w:val="en-GB" w:eastAsia="en-US"/>
    </w:rPr>
  </w:style>
  <w:style w:type="paragraph" w:customStyle="1" w:styleId="Affiliation">
    <w:name w:val="Affiliation"/>
    <w:rsid w:val="00EE7D4A"/>
    <w:pPr>
      <w:spacing w:before="240" w:line="360" w:lineRule="auto"/>
    </w:pPr>
    <w:rPr>
      <w:rFonts w:ascii="Times New Roman Italic" w:eastAsia="ヒラギノ角ゴ Pro W3" w:hAnsi="Times New Roman Italic" w:cs="Times New Roman"/>
      <w:color w:val="000000"/>
      <w:szCs w:val="20"/>
      <w:lang w:val="en-GB" w:eastAsia="en-US"/>
    </w:rPr>
  </w:style>
  <w:style w:type="paragraph" w:customStyle="1" w:styleId="Correspondencedetails">
    <w:name w:val="Correspondence details"/>
    <w:rsid w:val="00EE7D4A"/>
    <w:pPr>
      <w:spacing w:before="240" w:line="360" w:lineRule="auto"/>
    </w:pPr>
    <w:rPr>
      <w:rFonts w:ascii="Times New Roman" w:eastAsia="ヒラギノ角ゴ Pro W3" w:hAnsi="Times New Roman" w:cs="Times New Roman"/>
      <w:color w:val="000000"/>
      <w:szCs w:val="20"/>
      <w:lang w:val="en-GB" w:eastAsia="en-US"/>
    </w:rPr>
  </w:style>
  <w:style w:type="paragraph" w:customStyle="1" w:styleId="Notesoncontributors">
    <w:name w:val="Notes on contributors"/>
    <w:rsid w:val="00EE7D4A"/>
    <w:pPr>
      <w:spacing w:before="240" w:line="360" w:lineRule="auto"/>
    </w:pPr>
    <w:rPr>
      <w:rFonts w:ascii="Times New Roman" w:eastAsia="ヒラギノ角ゴ Pro W3" w:hAnsi="Times New Roman" w:cs="Times New Roman"/>
      <w:color w:val="000000"/>
      <w:sz w:val="22"/>
      <w:szCs w:val="20"/>
      <w:lang w:val="en-GB" w:eastAsia="en-US"/>
    </w:rPr>
  </w:style>
  <w:style w:type="paragraph" w:customStyle="1" w:styleId="Keywords">
    <w:name w:val="Keywords"/>
    <w:next w:val="Normal"/>
    <w:rsid w:val="00EE7D4A"/>
    <w:pPr>
      <w:spacing w:before="240" w:after="240" w:line="360" w:lineRule="auto"/>
      <w:ind w:left="720" w:right="567"/>
    </w:pPr>
    <w:rPr>
      <w:rFonts w:ascii="Times New Roman" w:eastAsia="ヒラギノ角ゴ Pro W3" w:hAnsi="Times New Roman" w:cs="Times New Roman"/>
      <w:color w:val="000000"/>
      <w:sz w:val="22"/>
      <w:szCs w:val="20"/>
      <w:lang w:val="en-GB" w:eastAsia="en-US"/>
    </w:rPr>
  </w:style>
  <w:style w:type="paragraph" w:customStyle="1" w:styleId="Subjectcodes">
    <w:name w:val="Subject codes"/>
    <w:next w:val="Normal"/>
    <w:rsid w:val="00EE7D4A"/>
    <w:pPr>
      <w:spacing w:before="240" w:after="240" w:line="360" w:lineRule="auto"/>
      <w:ind w:left="720" w:right="567"/>
    </w:pPr>
    <w:rPr>
      <w:rFonts w:ascii="Times New Roman" w:eastAsia="ヒラギノ角ゴ Pro W3" w:hAnsi="Times New Roman" w:cs="Times New Roman"/>
      <w:color w:val="000000"/>
      <w:sz w:val="22"/>
      <w:szCs w:val="20"/>
      <w:lang w:val="en-GB" w:eastAsia="en-US"/>
    </w:rPr>
  </w:style>
  <w:style w:type="paragraph" w:customStyle="1" w:styleId="Heading1A">
    <w:name w:val="Heading 1 A"/>
    <w:next w:val="Normal"/>
    <w:rsid w:val="00EE7D4A"/>
    <w:pPr>
      <w:keepNext/>
      <w:spacing w:before="240" w:after="60"/>
      <w:outlineLvl w:val="0"/>
    </w:pPr>
    <w:rPr>
      <w:rFonts w:ascii="Lucida Grande" w:eastAsia="ヒラギノ角ゴ Pro W3" w:hAnsi="Lucida Grande" w:cs="Times New Roman"/>
      <w:b/>
      <w:color w:val="000000"/>
      <w:kern w:val="32"/>
      <w:sz w:val="32"/>
      <w:szCs w:val="20"/>
      <w:lang w:val="en-GB" w:eastAsia="en-US"/>
    </w:rPr>
  </w:style>
  <w:style w:type="character" w:customStyle="1" w:styleId="FootnoteReference1">
    <w:name w:val="Footnote Reference1"/>
    <w:rsid w:val="00EE7D4A"/>
    <w:rPr>
      <w:color w:val="000000"/>
      <w:sz w:val="20"/>
      <w:vertAlign w:val="superscript"/>
    </w:rPr>
  </w:style>
  <w:style w:type="paragraph" w:customStyle="1" w:styleId="Heading2A">
    <w:name w:val="Heading 2 A"/>
    <w:next w:val="Normal"/>
    <w:rsid w:val="00EE7D4A"/>
    <w:pPr>
      <w:keepNext/>
      <w:spacing w:before="240" w:after="60"/>
      <w:outlineLvl w:val="1"/>
    </w:pPr>
    <w:rPr>
      <w:rFonts w:ascii="Lucida Grande" w:eastAsia="ヒラギノ角ゴ Pro W3" w:hAnsi="Lucida Grande" w:cs="Times New Roman"/>
      <w:b/>
      <w:color w:val="000000"/>
      <w:sz w:val="28"/>
      <w:szCs w:val="20"/>
      <w:lang w:val="en-GB" w:eastAsia="en-US"/>
    </w:rPr>
  </w:style>
  <w:style w:type="character" w:customStyle="1" w:styleId="ptbrand3">
    <w:name w:val="ptbrand3"/>
    <w:rsid w:val="00EE7D4A"/>
    <w:rPr>
      <w:color w:val="000000"/>
      <w:sz w:val="20"/>
    </w:rPr>
  </w:style>
  <w:style w:type="paragraph" w:customStyle="1" w:styleId="Heading3A">
    <w:name w:val="Heading 3 A"/>
    <w:next w:val="Normal"/>
    <w:rsid w:val="00EE7D4A"/>
    <w:pPr>
      <w:keepNext/>
      <w:spacing w:before="240" w:after="60"/>
      <w:outlineLvl w:val="2"/>
    </w:pPr>
    <w:rPr>
      <w:rFonts w:ascii="Lucida Grande" w:eastAsia="ヒラギノ角ゴ Pro W3" w:hAnsi="Lucida Grande" w:cs="Times New Roman"/>
      <w:b/>
      <w:color w:val="000000"/>
      <w:sz w:val="26"/>
      <w:szCs w:val="20"/>
      <w:lang w:val="en-GB" w:eastAsia="en-US"/>
    </w:rPr>
  </w:style>
  <w:style w:type="paragraph" w:styleId="BalloonText">
    <w:name w:val="Balloon Text"/>
    <w:basedOn w:val="Normal"/>
    <w:link w:val="BalloonTextChar"/>
    <w:uiPriority w:val="99"/>
    <w:rsid w:val="00EE7D4A"/>
    <w:rPr>
      <w:rFonts w:cs="Lucida Grande"/>
      <w:sz w:val="18"/>
      <w:szCs w:val="18"/>
    </w:rPr>
  </w:style>
  <w:style w:type="character" w:customStyle="1" w:styleId="BalloonTextChar">
    <w:name w:val="Balloon Text Char"/>
    <w:link w:val="BalloonText"/>
    <w:uiPriority w:val="99"/>
    <w:rsid w:val="00EE7D4A"/>
    <w:rPr>
      <w:rFonts w:eastAsia="ヒラギノ角ゴ Pro W3" w:cs="Lucida Grande"/>
      <w:color w:val="000000"/>
      <w:sz w:val="18"/>
      <w:szCs w:val="18"/>
      <w:lang w:val="en-GB" w:eastAsia="en-US"/>
    </w:rPr>
  </w:style>
  <w:style w:type="paragraph" w:styleId="Header">
    <w:name w:val="header"/>
    <w:basedOn w:val="Normal"/>
    <w:link w:val="HeaderChar"/>
    <w:uiPriority w:val="99"/>
    <w:rsid w:val="00EE7D4A"/>
    <w:pPr>
      <w:tabs>
        <w:tab w:val="center" w:pos="4320"/>
        <w:tab w:val="right" w:pos="8640"/>
      </w:tabs>
    </w:pPr>
  </w:style>
  <w:style w:type="character" w:customStyle="1" w:styleId="HeaderChar">
    <w:name w:val="Header Char"/>
    <w:link w:val="Header"/>
    <w:uiPriority w:val="99"/>
    <w:rsid w:val="00EE7D4A"/>
    <w:rPr>
      <w:rFonts w:eastAsia="ヒラギノ角ゴ Pro W3" w:cs="Times New Roman"/>
      <w:color w:val="000000"/>
      <w:lang w:val="en-GB" w:eastAsia="en-US"/>
    </w:rPr>
  </w:style>
  <w:style w:type="paragraph" w:styleId="Footer">
    <w:name w:val="footer"/>
    <w:basedOn w:val="Normal"/>
    <w:link w:val="FooterChar"/>
    <w:uiPriority w:val="99"/>
    <w:rsid w:val="00EE7D4A"/>
    <w:pPr>
      <w:tabs>
        <w:tab w:val="center" w:pos="4320"/>
        <w:tab w:val="right" w:pos="8640"/>
      </w:tabs>
    </w:pPr>
  </w:style>
  <w:style w:type="character" w:customStyle="1" w:styleId="FooterChar">
    <w:name w:val="Footer Char"/>
    <w:link w:val="Footer"/>
    <w:uiPriority w:val="99"/>
    <w:rsid w:val="00EE7D4A"/>
    <w:rPr>
      <w:rFonts w:eastAsia="ヒラギノ角ゴ Pro W3" w:cs="Times New Roman"/>
      <w:color w:val="000000"/>
      <w:lang w:val="en-GB" w:eastAsia="en-US"/>
    </w:rPr>
  </w:style>
  <w:style w:type="paragraph" w:styleId="FootnoteText">
    <w:name w:val="footnote text"/>
    <w:basedOn w:val="Normal"/>
    <w:link w:val="FootnoteTextChar"/>
    <w:qFormat/>
    <w:rsid w:val="00EE7D4A"/>
    <w:rPr>
      <w:sz w:val="16"/>
    </w:rPr>
  </w:style>
  <w:style w:type="character" w:customStyle="1" w:styleId="FootnoteTextChar">
    <w:name w:val="Footnote Text Char"/>
    <w:link w:val="FootnoteText"/>
    <w:rsid w:val="00EE7D4A"/>
    <w:rPr>
      <w:rFonts w:eastAsia="ヒラギノ角ゴ Pro W3" w:cs="Times New Roman"/>
      <w:color w:val="000000"/>
      <w:sz w:val="16"/>
      <w:lang w:val="en-GB" w:eastAsia="en-US"/>
    </w:rPr>
  </w:style>
  <w:style w:type="character" w:styleId="FootnoteReference">
    <w:name w:val="footnote reference"/>
    <w:rsid w:val="00EE7D4A"/>
    <w:rPr>
      <w:vertAlign w:val="superscript"/>
    </w:rPr>
  </w:style>
  <w:style w:type="character" w:styleId="CommentReference">
    <w:name w:val="annotation reference"/>
    <w:uiPriority w:val="99"/>
    <w:rsid w:val="00EE7D4A"/>
    <w:rPr>
      <w:sz w:val="16"/>
      <w:szCs w:val="16"/>
    </w:rPr>
  </w:style>
  <w:style w:type="paragraph" w:styleId="CommentText">
    <w:name w:val="annotation text"/>
    <w:basedOn w:val="Normal"/>
    <w:link w:val="CommentTextChar"/>
    <w:uiPriority w:val="99"/>
    <w:rsid w:val="00EE7D4A"/>
    <w:rPr>
      <w:sz w:val="20"/>
      <w:szCs w:val="20"/>
    </w:rPr>
  </w:style>
  <w:style w:type="character" w:customStyle="1" w:styleId="CommentTextChar">
    <w:name w:val="Comment Text Char"/>
    <w:link w:val="CommentText"/>
    <w:uiPriority w:val="99"/>
    <w:rsid w:val="00EE7D4A"/>
    <w:rPr>
      <w:rFonts w:eastAsia="ヒラギノ角ゴ Pro W3" w:cs="Times New Roman"/>
      <w:color w:val="000000"/>
      <w:sz w:val="20"/>
      <w:szCs w:val="20"/>
      <w:lang w:val="en-GB" w:eastAsia="en-US"/>
    </w:rPr>
  </w:style>
  <w:style w:type="paragraph" w:styleId="CommentSubject">
    <w:name w:val="annotation subject"/>
    <w:basedOn w:val="CommentText"/>
    <w:next w:val="CommentText"/>
    <w:link w:val="CommentSubjectChar"/>
    <w:uiPriority w:val="99"/>
    <w:rsid w:val="00EE7D4A"/>
    <w:rPr>
      <w:b/>
      <w:bCs/>
    </w:rPr>
  </w:style>
  <w:style w:type="character" w:customStyle="1" w:styleId="CommentSubjectChar">
    <w:name w:val="Comment Subject Char"/>
    <w:link w:val="CommentSubject"/>
    <w:uiPriority w:val="99"/>
    <w:rsid w:val="00EE7D4A"/>
    <w:rPr>
      <w:rFonts w:eastAsia="ヒラギノ角ゴ Pro W3" w:cs="Times New Roman"/>
      <w:b/>
      <w:bCs/>
      <w:color w:val="000000"/>
      <w:sz w:val="20"/>
      <w:szCs w:val="20"/>
      <w:lang w:val="en-GB" w:eastAsia="en-US"/>
    </w:rPr>
  </w:style>
  <w:style w:type="character" w:styleId="Hyperlink">
    <w:name w:val="Hyperlink"/>
    <w:uiPriority w:val="99"/>
    <w:rsid w:val="00EE7D4A"/>
    <w:rPr>
      <w:color w:val="0000FF"/>
      <w:u w:val="single"/>
    </w:rPr>
  </w:style>
  <w:style w:type="paragraph" w:styleId="DocumentMap">
    <w:name w:val="Document Map"/>
    <w:basedOn w:val="Normal"/>
    <w:link w:val="DocumentMapChar"/>
    <w:uiPriority w:val="99"/>
    <w:semiHidden/>
    <w:unhideWhenUsed/>
    <w:rsid w:val="00EE7D4A"/>
    <w:rPr>
      <w:rFonts w:cs="Lucida Grande"/>
    </w:rPr>
  </w:style>
  <w:style w:type="character" w:customStyle="1" w:styleId="DocumentMapChar">
    <w:name w:val="Document Map Char"/>
    <w:basedOn w:val="DefaultParagraphFont"/>
    <w:link w:val="DocumentMap"/>
    <w:uiPriority w:val="99"/>
    <w:semiHidden/>
    <w:rsid w:val="00EE7D4A"/>
    <w:rPr>
      <w:rFonts w:eastAsia="ヒラギノ角ゴ Pro W3" w:cs="Lucida Grande"/>
      <w:color w:val="000000"/>
      <w:lang w:val="en-GB" w:eastAsia="en-US"/>
    </w:rPr>
  </w:style>
  <w:style w:type="character" w:customStyle="1" w:styleId="st">
    <w:name w:val="st"/>
    <w:basedOn w:val="DefaultParagraphFont"/>
    <w:rsid w:val="00EE7D4A"/>
  </w:style>
  <w:style w:type="character" w:styleId="Emphasis">
    <w:name w:val="Emphasis"/>
    <w:basedOn w:val="DefaultParagraphFont"/>
    <w:uiPriority w:val="20"/>
    <w:qFormat/>
    <w:rsid w:val="00EE7D4A"/>
    <w:rPr>
      <w:i/>
      <w:iCs/>
    </w:rPr>
  </w:style>
  <w:style w:type="paragraph" w:styleId="ListParagraph">
    <w:name w:val="List Paragraph"/>
    <w:basedOn w:val="Normal"/>
    <w:uiPriority w:val="1"/>
    <w:qFormat/>
    <w:rsid w:val="00EE7D4A"/>
    <w:pPr>
      <w:ind w:left="720"/>
      <w:contextualSpacing/>
    </w:pPr>
    <w:rPr>
      <w:rFonts w:eastAsiaTheme="minorHAnsi" w:cstheme="minorBidi"/>
      <w:color w:val="auto"/>
      <w:sz w:val="22"/>
      <w:szCs w:val="22"/>
    </w:rPr>
  </w:style>
  <w:style w:type="table" w:styleId="TableGrid">
    <w:name w:val="Table Grid"/>
    <w:basedOn w:val="TableNormal"/>
    <w:uiPriority w:val="39"/>
    <w:rsid w:val="00EE7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7">
    <w:name w:val="Pa2+7"/>
    <w:basedOn w:val="Normal"/>
    <w:next w:val="Normal"/>
    <w:uiPriority w:val="99"/>
    <w:rsid w:val="00EE7D4A"/>
    <w:pPr>
      <w:widowControl w:val="0"/>
      <w:autoSpaceDE w:val="0"/>
      <w:autoSpaceDN w:val="0"/>
      <w:adjustRightInd w:val="0"/>
      <w:spacing w:line="161" w:lineRule="atLeast"/>
      <w:jc w:val="left"/>
    </w:pPr>
    <w:rPr>
      <w:rFonts w:ascii="DINPro-Light" w:eastAsiaTheme="minorEastAsia" w:hAnsi="DINPro-Light"/>
      <w:color w:val="auto"/>
      <w:lang w:val="en-US" w:eastAsia="ja-JP"/>
    </w:rPr>
  </w:style>
  <w:style w:type="paragraph" w:styleId="Caption">
    <w:name w:val="caption"/>
    <w:basedOn w:val="Normal"/>
    <w:next w:val="Normal"/>
    <w:uiPriority w:val="35"/>
    <w:unhideWhenUsed/>
    <w:qFormat/>
    <w:rsid w:val="00E35E41"/>
    <w:pPr>
      <w:keepNext/>
      <w:spacing w:after="120" w:line="240" w:lineRule="auto"/>
    </w:pPr>
    <w:rPr>
      <w:i/>
      <w:iCs/>
      <w:color w:val="auto"/>
      <w:szCs w:val="18"/>
    </w:rPr>
  </w:style>
  <w:style w:type="paragraph" w:customStyle="1" w:styleId="EndNoteBibliographyTitle">
    <w:name w:val="EndNote Bibliography Title"/>
    <w:basedOn w:val="Normal"/>
    <w:rsid w:val="00EE7D4A"/>
    <w:pPr>
      <w:jc w:val="center"/>
    </w:pPr>
    <w:rPr>
      <w:rFonts w:ascii="Cambria" w:hAnsi="Cambria"/>
      <w:lang w:val="en-US"/>
    </w:rPr>
  </w:style>
  <w:style w:type="paragraph" w:customStyle="1" w:styleId="EndNoteBibliography">
    <w:name w:val="EndNote Bibliography"/>
    <w:basedOn w:val="Normal"/>
    <w:rsid w:val="00EE7D4A"/>
    <w:pPr>
      <w:spacing w:line="240" w:lineRule="auto"/>
    </w:pPr>
    <w:rPr>
      <w:rFonts w:ascii="Cambria" w:hAnsi="Cambria"/>
      <w:lang w:val="en-US"/>
    </w:rPr>
  </w:style>
  <w:style w:type="paragraph" w:styleId="NoSpacing">
    <w:name w:val="No Spacing"/>
    <w:uiPriority w:val="1"/>
    <w:qFormat/>
    <w:rsid w:val="00EE7D4A"/>
    <w:pPr>
      <w:jc w:val="both"/>
    </w:pPr>
    <w:rPr>
      <w:rFonts w:eastAsia="ヒラギノ角ゴ Pro W3" w:cs="Times New Roman"/>
      <w:color w:val="000000"/>
      <w:lang w:val="en-GB" w:eastAsia="en-US"/>
    </w:rPr>
  </w:style>
  <w:style w:type="paragraph" w:styleId="BodyText">
    <w:name w:val="Body Text"/>
    <w:basedOn w:val="Normal"/>
    <w:link w:val="BodyTextChar"/>
    <w:uiPriority w:val="1"/>
    <w:qFormat/>
    <w:rsid w:val="000467CF"/>
    <w:pPr>
      <w:spacing w:after="480"/>
      <w:ind w:left="110"/>
    </w:pPr>
    <w:rPr>
      <w:rFonts w:ascii="Calibri" w:eastAsia="Calibri" w:hAnsi="Calibri" w:cstheme="minorBidi"/>
      <w:color w:val="auto"/>
      <w:sz w:val="21"/>
      <w:szCs w:val="21"/>
      <w:lang w:val="en-US"/>
    </w:rPr>
  </w:style>
  <w:style w:type="character" w:customStyle="1" w:styleId="BodyTextChar">
    <w:name w:val="Body Text Char"/>
    <w:basedOn w:val="DefaultParagraphFont"/>
    <w:link w:val="BodyText"/>
    <w:uiPriority w:val="1"/>
    <w:rsid w:val="000467CF"/>
    <w:rPr>
      <w:rFonts w:ascii="Calibri" w:eastAsia="Calibri" w:hAnsi="Calibri"/>
      <w:sz w:val="21"/>
      <w:szCs w:val="21"/>
      <w:lang w:eastAsia="en-US"/>
    </w:rPr>
  </w:style>
  <w:style w:type="paragraph" w:customStyle="1" w:styleId="TableParagraph">
    <w:name w:val="Table Paragraph"/>
    <w:basedOn w:val="Normal"/>
    <w:uiPriority w:val="1"/>
    <w:qFormat/>
    <w:rsid w:val="000467CF"/>
    <w:pPr>
      <w:spacing w:after="480"/>
    </w:pPr>
    <w:rPr>
      <w:rFonts w:eastAsiaTheme="minorHAnsi" w:cstheme="minorBidi"/>
      <w:color w:val="auto"/>
      <w:sz w:val="22"/>
      <w:szCs w:val="22"/>
      <w:lang w:val="en-US"/>
    </w:rPr>
  </w:style>
  <w:style w:type="paragraph" w:styleId="Title">
    <w:name w:val="Title"/>
    <w:basedOn w:val="Normal"/>
    <w:next w:val="Normal"/>
    <w:link w:val="TitleChar"/>
    <w:uiPriority w:val="10"/>
    <w:qFormat/>
    <w:rsid w:val="00046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lang w:val="en-US"/>
    </w:rPr>
  </w:style>
  <w:style w:type="character" w:customStyle="1" w:styleId="TitleChar">
    <w:name w:val="Title Char"/>
    <w:basedOn w:val="DefaultParagraphFont"/>
    <w:link w:val="Title"/>
    <w:uiPriority w:val="10"/>
    <w:rsid w:val="000467CF"/>
    <w:rPr>
      <w:rFonts w:asciiTheme="majorHAnsi" w:eastAsiaTheme="majorEastAsia" w:hAnsiTheme="majorHAnsi" w:cstheme="majorBidi"/>
      <w:color w:val="17365D" w:themeColor="text2" w:themeShade="BF"/>
      <w:spacing w:val="5"/>
      <w:kern w:val="28"/>
      <w:sz w:val="36"/>
      <w:szCs w:val="52"/>
      <w:lang w:eastAsia="en-US"/>
    </w:rPr>
  </w:style>
  <w:style w:type="character" w:styleId="FollowedHyperlink">
    <w:name w:val="FollowedHyperlink"/>
    <w:basedOn w:val="DefaultParagraphFont"/>
    <w:uiPriority w:val="99"/>
    <w:semiHidden/>
    <w:unhideWhenUsed/>
    <w:rsid w:val="00CA4CFF"/>
    <w:rPr>
      <w:color w:val="800080" w:themeColor="followedHyperlink"/>
      <w:u w:val="single"/>
    </w:rPr>
  </w:style>
  <w:style w:type="paragraph" w:customStyle="1" w:styleId="Default">
    <w:name w:val="Default"/>
    <w:rsid w:val="000C3F3F"/>
    <w:pPr>
      <w:autoSpaceDE w:val="0"/>
      <w:autoSpaceDN w:val="0"/>
      <w:adjustRightInd w:val="0"/>
    </w:pPr>
    <w:rPr>
      <w:rFonts w:ascii="DINPro-Medium" w:hAnsi="DINPro-Medium" w:cs="DINPro-Medium"/>
      <w:color w:val="000000"/>
      <w:lang w:val="en-GB"/>
    </w:rPr>
  </w:style>
  <w:style w:type="paragraph" w:styleId="EndnoteText">
    <w:name w:val="endnote text"/>
    <w:basedOn w:val="Normal"/>
    <w:link w:val="EndnoteTextChar"/>
    <w:uiPriority w:val="99"/>
    <w:unhideWhenUsed/>
    <w:rsid w:val="002437DD"/>
    <w:pPr>
      <w:spacing w:line="240" w:lineRule="auto"/>
    </w:pPr>
    <w:rPr>
      <w:sz w:val="20"/>
      <w:szCs w:val="20"/>
    </w:rPr>
  </w:style>
  <w:style w:type="character" w:customStyle="1" w:styleId="EndnoteTextChar">
    <w:name w:val="Endnote Text Char"/>
    <w:basedOn w:val="DefaultParagraphFont"/>
    <w:link w:val="EndnoteText"/>
    <w:uiPriority w:val="99"/>
    <w:rsid w:val="002437DD"/>
    <w:rPr>
      <w:rFonts w:eastAsia="ヒラギノ角ゴ Pro W3" w:cs="Times New Roman"/>
      <w:color w:val="000000"/>
      <w:sz w:val="20"/>
      <w:szCs w:val="20"/>
      <w:lang w:val="en-GB" w:eastAsia="en-US"/>
    </w:rPr>
  </w:style>
  <w:style w:type="character" w:styleId="EndnoteReference">
    <w:name w:val="endnote reference"/>
    <w:basedOn w:val="DefaultParagraphFont"/>
    <w:uiPriority w:val="99"/>
    <w:unhideWhenUsed/>
    <w:rsid w:val="002437DD"/>
    <w:rPr>
      <w:vertAlign w:val="superscript"/>
    </w:rPr>
  </w:style>
  <w:style w:type="paragraph" w:styleId="NormalWeb">
    <w:name w:val="Normal (Web)"/>
    <w:basedOn w:val="Normal"/>
    <w:uiPriority w:val="99"/>
    <w:semiHidden/>
    <w:unhideWhenUsed/>
    <w:rsid w:val="00892DE8"/>
    <w:pPr>
      <w:spacing w:before="100" w:beforeAutospacing="1" w:after="100" w:afterAutospacing="1" w:line="240" w:lineRule="auto"/>
      <w:jc w:val="left"/>
    </w:pPr>
    <w:rPr>
      <w:rFonts w:ascii="Times New Roman" w:eastAsia="Times New Roman" w:hAnsi="Times New Roman"/>
      <w:color w:val="auto"/>
      <w:lang w:eastAsia="en-GB"/>
    </w:rPr>
  </w:style>
  <w:style w:type="character" w:styleId="Strong">
    <w:name w:val="Strong"/>
    <w:basedOn w:val="DefaultParagraphFont"/>
    <w:uiPriority w:val="22"/>
    <w:qFormat/>
    <w:rsid w:val="00892DE8"/>
    <w:rPr>
      <w:b/>
      <w:bCs/>
    </w:rPr>
  </w:style>
  <w:style w:type="character" w:customStyle="1" w:styleId="apple-converted-space">
    <w:name w:val="apple-converted-space"/>
    <w:basedOn w:val="DefaultParagraphFont"/>
    <w:rsid w:val="00892D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18"/>
    <w:pPr>
      <w:spacing w:line="480" w:lineRule="auto"/>
      <w:jc w:val="both"/>
    </w:pPr>
    <w:rPr>
      <w:rFonts w:eastAsia="ヒラギノ角ゴ Pro W3" w:cs="Times New Roman"/>
      <w:color w:val="000000"/>
      <w:lang w:val="en-GB" w:eastAsia="en-US"/>
    </w:rPr>
  </w:style>
  <w:style w:type="paragraph" w:styleId="Heading1">
    <w:name w:val="heading 1"/>
    <w:basedOn w:val="Normal"/>
    <w:next w:val="Normal"/>
    <w:link w:val="Heading1Char"/>
    <w:autoRedefine/>
    <w:uiPriority w:val="1"/>
    <w:qFormat/>
    <w:rsid w:val="005B23CA"/>
    <w:pPr>
      <w:keepNext/>
      <w:keepLines/>
      <w:numPr>
        <w:numId w:val="2"/>
      </w:numPr>
      <w:spacing w:before="12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1"/>
    <w:unhideWhenUsed/>
    <w:qFormat/>
    <w:rsid w:val="0021336F"/>
    <w:pPr>
      <w:keepNext/>
      <w:keepLines/>
      <w:numPr>
        <w:ilvl w:val="1"/>
        <w:numId w:val="2"/>
      </w:numPr>
      <w:spacing w:before="120" w:line="240" w:lineRule="auto"/>
      <w:outlineLvl w:val="1"/>
    </w:pPr>
    <w:rPr>
      <w:rFonts w:eastAsiaTheme="majorEastAsia" w:cstheme="majorBidi"/>
      <w:bCs/>
      <w:color w:val="auto"/>
      <w:sz w:val="28"/>
    </w:rPr>
  </w:style>
  <w:style w:type="paragraph" w:styleId="Heading3">
    <w:name w:val="heading 3"/>
    <w:basedOn w:val="Normal"/>
    <w:next w:val="Normal"/>
    <w:link w:val="Heading3Char"/>
    <w:autoRedefine/>
    <w:uiPriority w:val="9"/>
    <w:unhideWhenUsed/>
    <w:qFormat/>
    <w:rsid w:val="005F39F8"/>
    <w:pPr>
      <w:keepNext/>
      <w:keepLines/>
      <w:numPr>
        <w:ilvl w:val="2"/>
        <w:numId w:val="2"/>
      </w:numPr>
      <w:spacing w:before="360" w:line="240" w:lineRule="auto"/>
      <w:outlineLvl w:val="2"/>
    </w:pPr>
    <w:rPr>
      <w:rFonts w:eastAsiaTheme="majorEastAsia" w:cstheme="majorBidi"/>
      <w:i/>
      <w:iCs/>
      <w:color w:val="auto"/>
    </w:rPr>
  </w:style>
  <w:style w:type="paragraph" w:styleId="Heading4">
    <w:name w:val="heading 4"/>
    <w:basedOn w:val="Heading3"/>
    <w:next w:val="Normal"/>
    <w:link w:val="Heading4Char"/>
    <w:uiPriority w:val="9"/>
    <w:unhideWhenUsed/>
    <w:rsid w:val="00A30EA5"/>
    <w:pPr>
      <w:numPr>
        <w:ilvl w:val="3"/>
      </w:numPr>
      <w:outlineLvl w:val="3"/>
    </w:pPr>
  </w:style>
  <w:style w:type="paragraph" w:styleId="Heading5">
    <w:name w:val="heading 5"/>
    <w:basedOn w:val="Heading3A"/>
    <w:next w:val="Normal"/>
    <w:link w:val="Heading5Char"/>
    <w:autoRedefine/>
    <w:uiPriority w:val="9"/>
    <w:unhideWhenUsed/>
    <w:qFormat/>
    <w:rsid w:val="0077183D"/>
    <w:pPr>
      <w:keepLines/>
      <w:numPr>
        <w:ilvl w:val="4"/>
        <w:numId w:val="2"/>
      </w:numPr>
      <w:spacing w:before="20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unhideWhenUsed/>
    <w:qFormat/>
    <w:rsid w:val="00D336B1"/>
    <w:pPr>
      <w:keepNext/>
      <w:keepLines/>
      <w:numPr>
        <w:ilvl w:val="5"/>
        <w:numId w:val="2"/>
      </w:numPr>
      <w:spacing w:before="200"/>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0467CF"/>
    <w:pPr>
      <w:keepNext/>
      <w:keepLines/>
      <w:numPr>
        <w:ilvl w:val="6"/>
        <w:numId w:val="2"/>
      </w:numPr>
      <w:spacing w:before="200"/>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0467C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67C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23CA"/>
    <w:rPr>
      <w:rFonts w:eastAsiaTheme="majorEastAsia" w:cstheme="majorBidi"/>
      <w:b/>
      <w:bCs/>
      <w:color w:val="000000" w:themeColor="text1"/>
      <w:sz w:val="28"/>
      <w:szCs w:val="28"/>
      <w:lang w:val="en-GB" w:eastAsia="en-US"/>
    </w:rPr>
  </w:style>
  <w:style w:type="character" w:customStyle="1" w:styleId="Heading2Char">
    <w:name w:val="Heading 2 Char"/>
    <w:basedOn w:val="DefaultParagraphFont"/>
    <w:link w:val="Heading2"/>
    <w:uiPriority w:val="1"/>
    <w:rsid w:val="0021336F"/>
    <w:rPr>
      <w:rFonts w:eastAsiaTheme="majorEastAsia" w:cstheme="majorBidi"/>
      <w:bCs/>
      <w:sz w:val="28"/>
      <w:lang w:val="en-GB" w:eastAsia="en-US"/>
    </w:rPr>
  </w:style>
  <w:style w:type="character" w:customStyle="1" w:styleId="Heading3Char">
    <w:name w:val="Heading 3 Char"/>
    <w:basedOn w:val="DefaultParagraphFont"/>
    <w:link w:val="Heading3"/>
    <w:uiPriority w:val="9"/>
    <w:rsid w:val="005F39F8"/>
    <w:rPr>
      <w:rFonts w:eastAsiaTheme="majorEastAsia" w:cstheme="majorBidi"/>
      <w:i/>
      <w:iCs/>
      <w:lang w:val="en-GB" w:eastAsia="en-US"/>
    </w:rPr>
  </w:style>
  <w:style w:type="character" w:customStyle="1" w:styleId="Heading4Char">
    <w:name w:val="Heading 4 Char"/>
    <w:basedOn w:val="DefaultParagraphFont"/>
    <w:link w:val="Heading4"/>
    <w:uiPriority w:val="9"/>
    <w:rsid w:val="00A30EA5"/>
    <w:rPr>
      <w:rFonts w:asciiTheme="majorHAnsi" w:eastAsiaTheme="majorEastAsia" w:hAnsiTheme="majorHAnsi" w:cstheme="majorBidi"/>
      <w:i/>
      <w:iCs/>
      <w:lang w:val="en-GB" w:eastAsia="en-US"/>
    </w:rPr>
  </w:style>
  <w:style w:type="character" w:customStyle="1" w:styleId="Heading5Char">
    <w:name w:val="Heading 5 Char"/>
    <w:basedOn w:val="DefaultParagraphFont"/>
    <w:link w:val="Heading5"/>
    <w:uiPriority w:val="9"/>
    <w:rsid w:val="0077183D"/>
    <w:rPr>
      <w:rFonts w:asciiTheme="majorHAnsi" w:eastAsiaTheme="majorEastAsia" w:hAnsiTheme="majorHAnsi" w:cstheme="majorBidi"/>
      <w:b/>
      <w:color w:val="243F60" w:themeColor="accent1" w:themeShade="7F"/>
      <w:sz w:val="26"/>
      <w:szCs w:val="20"/>
      <w:lang w:val="en-GB" w:eastAsia="en-GB"/>
    </w:rPr>
  </w:style>
  <w:style w:type="character" w:customStyle="1" w:styleId="Heading6Char">
    <w:name w:val="Heading 6 Char"/>
    <w:basedOn w:val="DefaultParagraphFont"/>
    <w:link w:val="Heading6"/>
    <w:uiPriority w:val="9"/>
    <w:rsid w:val="00D336B1"/>
    <w:rPr>
      <w:rFonts w:asciiTheme="majorHAnsi" w:eastAsiaTheme="majorEastAsia" w:hAnsiTheme="majorHAnsi" w:cstheme="majorBidi"/>
      <w:i/>
      <w:iCs/>
      <w:color w:val="243F60" w:themeColor="accent1" w:themeShade="7F"/>
      <w:szCs w:val="22"/>
      <w:lang w:eastAsia="en-US"/>
    </w:rPr>
  </w:style>
  <w:style w:type="character" w:customStyle="1" w:styleId="Heading7Char">
    <w:name w:val="Heading 7 Char"/>
    <w:basedOn w:val="DefaultParagraphFont"/>
    <w:link w:val="Heading7"/>
    <w:uiPriority w:val="9"/>
    <w:semiHidden/>
    <w:rsid w:val="000467CF"/>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0467CF"/>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0467CF"/>
    <w:rPr>
      <w:rFonts w:asciiTheme="majorHAnsi" w:eastAsiaTheme="majorEastAsia" w:hAnsiTheme="majorHAnsi" w:cstheme="majorBidi"/>
      <w:i/>
      <w:iCs/>
      <w:color w:val="404040" w:themeColor="text1" w:themeTint="BF"/>
      <w:sz w:val="20"/>
      <w:szCs w:val="20"/>
      <w:lang w:eastAsia="en-US"/>
    </w:rPr>
  </w:style>
  <w:style w:type="paragraph" w:customStyle="1" w:styleId="quoteinItalian">
    <w:name w:val="quote in Italian"/>
    <w:basedOn w:val="Quote"/>
    <w:qFormat/>
    <w:rsid w:val="008D4F83"/>
    <w:pPr>
      <w:spacing w:before="240" w:after="440"/>
      <w:ind w:left="284" w:right="284"/>
    </w:pPr>
  </w:style>
  <w:style w:type="paragraph" w:styleId="Quote">
    <w:name w:val="Quote"/>
    <w:basedOn w:val="Normal"/>
    <w:next w:val="Normal"/>
    <w:link w:val="QuoteChar"/>
    <w:uiPriority w:val="29"/>
    <w:qFormat/>
    <w:rsid w:val="00B115EB"/>
    <w:pPr>
      <w:spacing w:before="200" w:after="160"/>
      <w:ind w:left="864" w:right="864"/>
    </w:pPr>
    <w:rPr>
      <w:rFonts w:eastAsiaTheme="minorHAnsi" w:cstheme="minorBidi"/>
      <w:i/>
      <w:iCs/>
      <w:color w:val="auto"/>
      <w:sz w:val="22"/>
      <w:szCs w:val="22"/>
    </w:rPr>
  </w:style>
  <w:style w:type="character" w:customStyle="1" w:styleId="QuoteChar">
    <w:name w:val="Quote Char"/>
    <w:basedOn w:val="DefaultParagraphFont"/>
    <w:link w:val="Quote"/>
    <w:uiPriority w:val="29"/>
    <w:rsid w:val="00B115EB"/>
    <w:rPr>
      <w:rFonts w:eastAsiaTheme="minorHAnsi"/>
      <w:i/>
      <w:iCs/>
      <w:sz w:val="22"/>
      <w:szCs w:val="22"/>
      <w:lang w:val="en-GB" w:eastAsia="en-US"/>
    </w:rPr>
  </w:style>
  <w:style w:type="paragraph" w:customStyle="1" w:styleId="Footer1">
    <w:name w:val="Footer1"/>
    <w:rsid w:val="00EE7D4A"/>
    <w:pPr>
      <w:tabs>
        <w:tab w:val="center" w:pos="4320"/>
        <w:tab w:val="right" w:pos="8640"/>
      </w:tabs>
    </w:pPr>
    <w:rPr>
      <w:rFonts w:ascii="Lucida Grande" w:eastAsia="ヒラギノ角ゴ Pro W3" w:hAnsi="Lucida Grande" w:cs="Times New Roman"/>
      <w:color w:val="000000"/>
      <w:szCs w:val="20"/>
      <w:lang w:val="en-GB" w:eastAsia="en-US"/>
    </w:rPr>
  </w:style>
  <w:style w:type="paragraph" w:customStyle="1" w:styleId="Articletitle">
    <w:name w:val="Article title"/>
    <w:next w:val="Normal"/>
    <w:rsid w:val="00EE7D4A"/>
    <w:pPr>
      <w:spacing w:after="120" w:line="360" w:lineRule="auto"/>
    </w:pPr>
    <w:rPr>
      <w:rFonts w:ascii="Times New Roman Bold" w:eastAsia="ヒラギノ角ゴ Pro W3" w:hAnsi="Times New Roman Bold" w:cs="Times New Roman"/>
      <w:color w:val="000000"/>
      <w:sz w:val="28"/>
      <w:szCs w:val="20"/>
      <w:lang w:val="en-GB" w:eastAsia="en-US"/>
    </w:rPr>
  </w:style>
  <w:style w:type="paragraph" w:customStyle="1" w:styleId="CommentText1">
    <w:name w:val="Comment Text1"/>
    <w:rsid w:val="00EE7D4A"/>
    <w:rPr>
      <w:rFonts w:ascii="Lucida Grande" w:eastAsia="ヒラギノ角ゴ Pro W3" w:hAnsi="Lucida Grande" w:cs="Times New Roman"/>
      <w:color w:val="000000"/>
      <w:szCs w:val="20"/>
      <w:lang w:val="en-GB" w:eastAsia="en-US"/>
    </w:rPr>
  </w:style>
  <w:style w:type="paragraph" w:customStyle="1" w:styleId="Affiliation">
    <w:name w:val="Affiliation"/>
    <w:rsid w:val="00EE7D4A"/>
    <w:pPr>
      <w:spacing w:before="240" w:line="360" w:lineRule="auto"/>
    </w:pPr>
    <w:rPr>
      <w:rFonts w:ascii="Times New Roman Italic" w:eastAsia="ヒラギノ角ゴ Pro W3" w:hAnsi="Times New Roman Italic" w:cs="Times New Roman"/>
      <w:color w:val="000000"/>
      <w:szCs w:val="20"/>
      <w:lang w:val="en-GB" w:eastAsia="en-US"/>
    </w:rPr>
  </w:style>
  <w:style w:type="paragraph" w:customStyle="1" w:styleId="Correspondencedetails">
    <w:name w:val="Correspondence details"/>
    <w:rsid w:val="00EE7D4A"/>
    <w:pPr>
      <w:spacing w:before="240" w:line="360" w:lineRule="auto"/>
    </w:pPr>
    <w:rPr>
      <w:rFonts w:ascii="Times New Roman" w:eastAsia="ヒラギノ角ゴ Pro W3" w:hAnsi="Times New Roman" w:cs="Times New Roman"/>
      <w:color w:val="000000"/>
      <w:szCs w:val="20"/>
      <w:lang w:val="en-GB" w:eastAsia="en-US"/>
    </w:rPr>
  </w:style>
  <w:style w:type="paragraph" w:customStyle="1" w:styleId="Notesoncontributors">
    <w:name w:val="Notes on contributors"/>
    <w:rsid w:val="00EE7D4A"/>
    <w:pPr>
      <w:spacing w:before="240" w:line="360" w:lineRule="auto"/>
    </w:pPr>
    <w:rPr>
      <w:rFonts w:ascii="Times New Roman" w:eastAsia="ヒラギノ角ゴ Pro W3" w:hAnsi="Times New Roman" w:cs="Times New Roman"/>
      <w:color w:val="000000"/>
      <w:sz w:val="22"/>
      <w:szCs w:val="20"/>
      <w:lang w:val="en-GB" w:eastAsia="en-US"/>
    </w:rPr>
  </w:style>
  <w:style w:type="paragraph" w:customStyle="1" w:styleId="Keywords">
    <w:name w:val="Keywords"/>
    <w:next w:val="Normal"/>
    <w:rsid w:val="00EE7D4A"/>
    <w:pPr>
      <w:spacing w:before="240" w:after="240" w:line="360" w:lineRule="auto"/>
      <w:ind w:left="720" w:right="567"/>
    </w:pPr>
    <w:rPr>
      <w:rFonts w:ascii="Times New Roman" w:eastAsia="ヒラギノ角ゴ Pro W3" w:hAnsi="Times New Roman" w:cs="Times New Roman"/>
      <w:color w:val="000000"/>
      <w:sz w:val="22"/>
      <w:szCs w:val="20"/>
      <w:lang w:val="en-GB" w:eastAsia="en-US"/>
    </w:rPr>
  </w:style>
  <w:style w:type="paragraph" w:customStyle="1" w:styleId="Subjectcodes">
    <w:name w:val="Subject codes"/>
    <w:next w:val="Normal"/>
    <w:rsid w:val="00EE7D4A"/>
    <w:pPr>
      <w:spacing w:before="240" w:after="240" w:line="360" w:lineRule="auto"/>
      <w:ind w:left="720" w:right="567"/>
    </w:pPr>
    <w:rPr>
      <w:rFonts w:ascii="Times New Roman" w:eastAsia="ヒラギノ角ゴ Pro W3" w:hAnsi="Times New Roman" w:cs="Times New Roman"/>
      <w:color w:val="000000"/>
      <w:sz w:val="22"/>
      <w:szCs w:val="20"/>
      <w:lang w:val="en-GB" w:eastAsia="en-US"/>
    </w:rPr>
  </w:style>
  <w:style w:type="paragraph" w:customStyle="1" w:styleId="Heading1A">
    <w:name w:val="Heading 1 A"/>
    <w:next w:val="Normal"/>
    <w:rsid w:val="00EE7D4A"/>
    <w:pPr>
      <w:keepNext/>
      <w:spacing w:before="240" w:after="60"/>
      <w:outlineLvl w:val="0"/>
    </w:pPr>
    <w:rPr>
      <w:rFonts w:ascii="Lucida Grande" w:eastAsia="ヒラギノ角ゴ Pro W3" w:hAnsi="Lucida Grande" w:cs="Times New Roman"/>
      <w:b/>
      <w:color w:val="000000"/>
      <w:kern w:val="32"/>
      <w:sz w:val="32"/>
      <w:szCs w:val="20"/>
      <w:lang w:val="en-GB" w:eastAsia="en-US"/>
    </w:rPr>
  </w:style>
  <w:style w:type="character" w:customStyle="1" w:styleId="FootnoteReference1">
    <w:name w:val="Footnote Reference1"/>
    <w:rsid w:val="00EE7D4A"/>
    <w:rPr>
      <w:color w:val="000000"/>
      <w:sz w:val="20"/>
      <w:vertAlign w:val="superscript"/>
    </w:rPr>
  </w:style>
  <w:style w:type="paragraph" w:customStyle="1" w:styleId="Heading2A">
    <w:name w:val="Heading 2 A"/>
    <w:next w:val="Normal"/>
    <w:rsid w:val="00EE7D4A"/>
    <w:pPr>
      <w:keepNext/>
      <w:spacing w:before="240" w:after="60"/>
      <w:outlineLvl w:val="1"/>
    </w:pPr>
    <w:rPr>
      <w:rFonts w:ascii="Lucida Grande" w:eastAsia="ヒラギノ角ゴ Pro W3" w:hAnsi="Lucida Grande" w:cs="Times New Roman"/>
      <w:b/>
      <w:color w:val="000000"/>
      <w:sz w:val="28"/>
      <w:szCs w:val="20"/>
      <w:lang w:val="en-GB" w:eastAsia="en-US"/>
    </w:rPr>
  </w:style>
  <w:style w:type="character" w:customStyle="1" w:styleId="ptbrand3">
    <w:name w:val="ptbrand3"/>
    <w:rsid w:val="00EE7D4A"/>
    <w:rPr>
      <w:color w:val="000000"/>
      <w:sz w:val="20"/>
    </w:rPr>
  </w:style>
  <w:style w:type="paragraph" w:customStyle="1" w:styleId="Heading3A">
    <w:name w:val="Heading 3 A"/>
    <w:next w:val="Normal"/>
    <w:rsid w:val="00EE7D4A"/>
    <w:pPr>
      <w:keepNext/>
      <w:spacing w:before="240" w:after="60"/>
      <w:outlineLvl w:val="2"/>
    </w:pPr>
    <w:rPr>
      <w:rFonts w:ascii="Lucida Grande" w:eastAsia="ヒラギノ角ゴ Pro W3" w:hAnsi="Lucida Grande" w:cs="Times New Roman"/>
      <w:b/>
      <w:color w:val="000000"/>
      <w:sz w:val="26"/>
      <w:szCs w:val="20"/>
      <w:lang w:val="en-GB" w:eastAsia="en-US"/>
    </w:rPr>
  </w:style>
  <w:style w:type="paragraph" w:styleId="BalloonText">
    <w:name w:val="Balloon Text"/>
    <w:basedOn w:val="Normal"/>
    <w:link w:val="BalloonTextChar"/>
    <w:uiPriority w:val="99"/>
    <w:rsid w:val="00EE7D4A"/>
    <w:rPr>
      <w:rFonts w:cs="Lucida Grande"/>
      <w:sz w:val="18"/>
      <w:szCs w:val="18"/>
    </w:rPr>
  </w:style>
  <w:style w:type="character" w:customStyle="1" w:styleId="BalloonTextChar">
    <w:name w:val="Balloon Text Char"/>
    <w:link w:val="BalloonText"/>
    <w:uiPriority w:val="99"/>
    <w:rsid w:val="00EE7D4A"/>
    <w:rPr>
      <w:rFonts w:eastAsia="ヒラギノ角ゴ Pro W3" w:cs="Lucida Grande"/>
      <w:color w:val="000000"/>
      <w:sz w:val="18"/>
      <w:szCs w:val="18"/>
      <w:lang w:val="en-GB" w:eastAsia="en-US"/>
    </w:rPr>
  </w:style>
  <w:style w:type="paragraph" w:styleId="Header">
    <w:name w:val="header"/>
    <w:basedOn w:val="Normal"/>
    <w:link w:val="HeaderChar"/>
    <w:uiPriority w:val="99"/>
    <w:rsid w:val="00EE7D4A"/>
    <w:pPr>
      <w:tabs>
        <w:tab w:val="center" w:pos="4320"/>
        <w:tab w:val="right" w:pos="8640"/>
      </w:tabs>
    </w:pPr>
  </w:style>
  <w:style w:type="character" w:customStyle="1" w:styleId="HeaderChar">
    <w:name w:val="Header Char"/>
    <w:link w:val="Header"/>
    <w:uiPriority w:val="99"/>
    <w:rsid w:val="00EE7D4A"/>
    <w:rPr>
      <w:rFonts w:eastAsia="ヒラギノ角ゴ Pro W3" w:cs="Times New Roman"/>
      <w:color w:val="000000"/>
      <w:lang w:val="en-GB" w:eastAsia="en-US"/>
    </w:rPr>
  </w:style>
  <w:style w:type="paragraph" w:styleId="Footer">
    <w:name w:val="footer"/>
    <w:basedOn w:val="Normal"/>
    <w:link w:val="FooterChar"/>
    <w:uiPriority w:val="99"/>
    <w:rsid w:val="00EE7D4A"/>
    <w:pPr>
      <w:tabs>
        <w:tab w:val="center" w:pos="4320"/>
        <w:tab w:val="right" w:pos="8640"/>
      </w:tabs>
    </w:pPr>
  </w:style>
  <w:style w:type="character" w:customStyle="1" w:styleId="FooterChar">
    <w:name w:val="Footer Char"/>
    <w:link w:val="Footer"/>
    <w:uiPriority w:val="99"/>
    <w:rsid w:val="00EE7D4A"/>
    <w:rPr>
      <w:rFonts w:eastAsia="ヒラギノ角ゴ Pro W3" w:cs="Times New Roman"/>
      <w:color w:val="000000"/>
      <w:lang w:val="en-GB" w:eastAsia="en-US"/>
    </w:rPr>
  </w:style>
  <w:style w:type="paragraph" w:styleId="FootnoteText">
    <w:name w:val="footnote text"/>
    <w:basedOn w:val="Normal"/>
    <w:link w:val="FootnoteTextChar"/>
    <w:qFormat/>
    <w:rsid w:val="00EE7D4A"/>
    <w:rPr>
      <w:sz w:val="16"/>
    </w:rPr>
  </w:style>
  <w:style w:type="character" w:customStyle="1" w:styleId="FootnoteTextChar">
    <w:name w:val="Footnote Text Char"/>
    <w:link w:val="FootnoteText"/>
    <w:rsid w:val="00EE7D4A"/>
    <w:rPr>
      <w:rFonts w:eastAsia="ヒラギノ角ゴ Pro W3" w:cs="Times New Roman"/>
      <w:color w:val="000000"/>
      <w:sz w:val="16"/>
      <w:lang w:val="en-GB" w:eastAsia="en-US"/>
    </w:rPr>
  </w:style>
  <w:style w:type="character" w:styleId="FootnoteReference">
    <w:name w:val="footnote reference"/>
    <w:rsid w:val="00EE7D4A"/>
    <w:rPr>
      <w:vertAlign w:val="superscript"/>
    </w:rPr>
  </w:style>
  <w:style w:type="character" w:styleId="CommentReference">
    <w:name w:val="annotation reference"/>
    <w:uiPriority w:val="99"/>
    <w:rsid w:val="00EE7D4A"/>
    <w:rPr>
      <w:sz w:val="16"/>
      <w:szCs w:val="16"/>
    </w:rPr>
  </w:style>
  <w:style w:type="paragraph" w:styleId="CommentText">
    <w:name w:val="annotation text"/>
    <w:basedOn w:val="Normal"/>
    <w:link w:val="CommentTextChar"/>
    <w:uiPriority w:val="99"/>
    <w:rsid w:val="00EE7D4A"/>
    <w:rPr>
      <w:sz w:val="20"/>
      <w:szCs w:val="20"/>
    </w:rPr>
  </w:style>
  <w:style w:type="character" w:customStyle="1" w:styleId="CommentTextChar">
    <w:name w:val="Comment Text Char"/>
    <w:link w:val="CommentText"/>
    <w:uiPriority w:val="99"/>
    <w:rsid w:val="00EE7D4A"/>
    <w:rPr>
      <w:rFonts w:eastAsia="ヒラギノ角ゴ Pro W3" w:cs="Times New Roman"/>
      <w:color w:val="000000"/>
      <w:sz w:val="20"/>
      <w:szCs w:val="20"/>
      <w:lang w:val="en-GB" w:eastAsia="en-US"/>
    </w:rPr>
  </w:style>
  <w:style w:type="paragraph" w:styleId="CommentSubject">
    <w:name w:val="annotation subject"/>
    <w:basedOn w:val="CommentText"/>
    <w:next w:val="CommentText"/>
    <w:link w:val="CommentSubjectChar"/>
    <w:uiPriority w:val="99"/>
    <w:rsid w:val="00EE7D4A"/>
    <w:rPr>
      <w:b/>
      <w:bCs/>
    </w:rPr>
  </w:style>
  <w:style w:type="character" w:customStyle="1" w:styleId="CommentSubjectChar">
    <w:name w:val="Comment Subject Char"/>
    <w:link w:val="CommentSubject"/>
    <w:uiPriority w:val="99"/>
    <w:rsid w:val="00EE7D4A"/>
    <w:rPr>
      <w:rFonts w:eastAsia="ヒラギノ角ゴ Pro W3" w:cs="Times New Roman"/>
      <w:b/>
      <w:bCs/>
      <w:color w:val="000000"/>
      <w:sz w:val="20"/>
      <w:szCs w:val="20"/>
      <w:lang w:val="en-GB" w:eastAsia="en-US"/>
    </w:rPr>
  </w:style>
  <w:style w:type="character" w:styleId="Hyperlink">
    <w:name w:val="Hyperlink"/>
    <w:uiPriority w:val="99"/>
    <w:rsid w:val="00EE7D4A"/>
    <w:rPr>
      <w:color w:val="0000FF"/>
      <w:u w:val="single"/>
    </w:rPr>
  </w:style>
  <w:style w:type="paragraph" w:styleId="DocumentMap">
    <w:name w:val="Document Map"/>
    <w:basedOn w:val="Normal"/>
    <w:link w:val="DocumentMapChar"/>
    <w:uiPriority w:val="99"/>
    <w:semiHidden/>
    <w:unhideWhenUsed/>
    <w:rsid w:val="00EE7D4A"/>
    <w:rPr>
      <w:rFonts w:cs="Lucida Grande"/>
    </w:rPr>
  </w:style>
  <w:style w:type="character" w:customStyle="1" w:styleId="DocumentMapChar">
    <w:name w:val="Document Map Char"/>
    <w:basedOn w:val="DefaultParagraphFont"/>
    <w:link w:val="DocumentMap"/>
    <w:uiPriority w:val="99"/>
    <w:semiHidden/>
    <w:rsid w:val="00EE7D4A"/>
    <w:rPr>
      <w:rFonts w:eastAsia="ヒラギノ角ゴ Pro W3" w:cs="Lucida Grande"/>
      <w:color w:val="000000"/>
      <w:lang w:val="en-GB" w:eastAsia="en-US"/>
    </w:rPr>
  </w:style>
  <w:style w:type="character" w:customStyle="1" w:styleId="st">
    <w:name w:val="st"/>
    <w:basedOn w:val="DefaultParagraphFont"/>
    <w:rsid w:val="00EE7D4A"/>
  </w:style>
  <w:style w:type="character" w:styleId="Emphasis">
    <w:name w:val="Emphasis"/>
    <w:basedOn w:val="DefaultParagraphFont"/>
    <w:uiPriority w:val="20"/>
    <w:qFormat/>
    <w:rsid w:val="00EE7D4A"/>
    <w:rPr>
      <w:i/>
      <w:iCs/>
    </w:rPr>
  </w:style>
  <w:style w:type="paragraph" w:styleId="ListParagraph">
    <w:name w:val="List Paragraph"/>
    <w:basedOn w:val="Normal"/>
    <w:uiPriority w:val="1"/>
    <w:qFormat/>
    <w:rsid w:val="00EE7D4A"/>
    <w:pPr>
      <w:ind w:left="720"/>
      <w:contextualSpacing/>
    </w:pPr>
    <w:rPr>
      <w:rFonts w:eastAsiaTheme="minorHAnsi" w:cstheme="minorBidi"/>
      <w:color w:val="auto"/>
      <w:sz w:val="22"/>
      <w:szCs w:val="22"/>
    </w:rPr>
  </w:style>
  <w:style w:type="table" w:styleId="TableGrid">
    <w:name w:val="Table Grid"/>
    <w:basedOn w:val="TableNormal"/>
    <w:uiPriority w:val="39"/>
    <w:rsid w:val="00EE7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7">
    <w:name w:val="Pa2+7"/>
    <w:basedOn w:val="Normal"/>
    <w:next w:val="Normal"/>
    <w:uiPriority w:val="99"/>
    <w:rsid w:val="00EE7D4A"/>
    <w:pPr>
      <w:widowControl w:val="0"/>
      <w:autoSpaceDE w:val="0"/>
      <w:autoSpaceDN w:val="0"/>
      <w:adjustRightInd w:val="0"/>
      <w:spacing w:line="161" w:lineRule="atLeast"/>
      <w:jc w:val="left"/>
    </w:pPr>
    <w:rPr>
      <w:rFonts w:ascii="DINPro-Light" w:eastAsiaTheme="minorEastAsia" w:hAnsi="DINPro-Light"/>
      <w:color w:val="auto"/>
      <w:lang w:val="en-US" w:eastAsia="ja-JP"/>
    </w:rPr>
  </w:style>
  <w:style w:type="paragraph" w:styleId="Caption">
    <w:name w:val="caption"/>
    <w:basedOn w:val="Normal"/>
    <w:next w:val="Normal"/>
    <w:uiPriority w:val="35"/>
    <w:unhideWhenUsed/>
    <w:qFormat/>
    <w:rsid w:val="00E35E41"/>
    <w:pPr>
      <w:keepNext/>
      <w:spacing w:after="120" w:line="240" w:lineRule="auto"/>
    </w:pPr>
    <w:rPr>
      <w:i/>
      <w:iCs/>
      <w:color w:val="auto"/>
      <w:szCs w:val="18"/>
    </w:rPr>
  </w:style>
  <w:style w:type="paragraph" w:customStyle="1" w:styleId="EndNoteBibliographyTitle">
    <w:name w:val="EndNote Bibliography Title"/>
    <w:basedOn w:val="Normal"/>
    <w:rsid w:val="00EE7D4A"/>
    <w:pPr>
      <w:jc w:val="center"/>
    </w:pPr>
    <w:rPr>
      <w:rFonts w:ascii="Cambria" w:hAnsi="Cambria"/>
      <w:lang w:val="en-US"/>
    </w:rPr>
  </w:style>
  <w:style w:type="paragraph" w:customStyle="1" w:styleId="EndNoteBibliography">
    <w:name w:val="EndNote Bibliography"/>
    <w:basedOn w:val="Normal"/>
    <w:rsid w:val="00EE7D4A"/>
    <w:pPr>
      <w:spacing w:line="240" w:lineRule="auto"/>
    </w:pPr>
    <w:rPr>
      <w:rFonts w:ascii="Cambria" w:hAnsi="Cambria"/>
      <w:lang w:val="en-US"/>
    </w:rPr>
  </w:style>
  <w:style w:type="paragraph" w:styleId="NoSpacing">
    <w:name w:val="No Spacing"/>
    <w:uiPriority w:val="1"/>
    <w:qFormat/>
    <w:rsid w:val="00EE7D4A"/>
    <w:pPr>
      <w:jc w:val="both"/>
    </w:pPr>
    <w:rPr>
      <w:rFonts w:eastAsia="ヒラギノ角ゴ Pro W3" w:cs="Times New Roman"/>
      <w:color w:val="000000"/>
      <w:lang w:val="en-GB" w:eastAsia="en-US"/>
    </w:rPr>
  </w:style>
  <w:style w:type="paragraph" w:styleId="BodyText">
    <w:name w:val="Body Text"/>
    <w:basedOn w:val="Normal"/>
    <w:link w:val="BodyTextChar"/>
    <w:uiPriority w:val="1"/>
    <w:qFormat/>
    <w:rsid w:val="000467CF"/>
    <w:pPr>
      <w:spacing w:after="480"/>
      <w:ind w:left="110"/>
    </w:pPr>
    <w:rPr>
      <w:rFonts w:ascii="Calibri" w:eastAsia="Calibri" w:hAnsi="Calibri" w:cstheme="minorBidi"/>
      <w:color w:val="auto"/>
      <w:sz w:val="21"/>
      <w:szCs w:val="21"/>
      <w:lang w:val="en-US"/>
    </w:rPr>
  </w:style>
  <w:style w:type="character" w:customStyle="1" w:styleId="BodyTextChar">
    <w:name w:val="Body Text Char"/>
    <w:basedOn w:val="DefaultParagraphFont"/>
    <w:link w:val="BodyText"/>
    <w:uiPriority w:val="1"/>
    <w:rsid w:val="000467CF"/>
    <w:rPr>
      <w:rFonts w:ascii="Calibri" w:eastAsia="Calibri" w:hAnsi="Calibri"/>
      <w:sz w:val="21"/>
      <w:szCs w:val="21"/>
      <w:lang w:eastAsia="en-US"/>
    </w:rPr>
  </w:style>
  <w:style w:type="paragraph" w:customStyle="1" w:styleId="TableParagraph">
    <w:name w:val="Table Paragraph"/>
    <w:basedOn w:val="Normal"/>
    <w:uiPriority w:val="1"/>
    <w:qFormat/>
    <w:rsid w:val="000467CF"/>
    <w:pPr>
      <w:spacing w:after="480"/>
    </w:pPr>
    <w:rPr>
      <w:rFonts w:eastAsiaTheme="minorHAnsi" w:cstheme="minorBidi"/>
      <w:color w:val="auto"/>
      <w:sz w:val="22"/>
      <w:szCs w:val="22"/>
      <w:lang w:val="en-US"/>
    </w:rPr>
  </w:style>
  <w:style w:type="paragraph" w:styleId="Title">
    <w:name w:val="Title"/>
    <w:basedOn w:val="Normal"/>
    <w:next w:val="Normal"/>
    <w:link w:val="TitleChar"/>
    <w:uiPriority w:val="10"/>
    <w:qFormat/>
    <w:rsid w:val="00046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lang w:val="en-US"/>
    </w:rPr>
  </w:style>
  <w:style w:type="character" w:customStyle="1" w:styleId="TitleChar">
    <w:name w:val="Title Char"/>
    <w:basedOn w:val="DefaultParagraphFont"/>
    <w:link w:val="Title"/>
    <w:uiPriority w:val="10"/>
    <w:rsid w:val="000467CF"/>
    <w:rPr>
      <w:rFonts w:asciiTheme="majorHAnsi" w:eastAsiaTheme="majorEastAsia" w:hAnsiTheme="majorHAnsi" w:cstheme="majorBidi"/>
      <w:color w:val="17365D" w:themeColor="text2" w:themeShade="BF"/>
      <w:spacing w:val="5"/>
      <w:kern w:val="28"/>
      <w:sz w:val="36"/>
      <w:szCs w:val="52"/>
      <w:lang w:eastAsia="en-US"/>
    </w:rPr>
  </w:style>
  <w:style w:type="character" w:styleId="FollowedHyperlink">
    <w:name w:val="FollowedHyperlink"/>
    <w:basedOn w:val="DefaultParagraphFont"/>
    <w:uiPriority w:val="99"/>
    <w:semiHidden/>
    <w:unhideWhenUsed/>
    <w:rsid w:val="00CA4CFF"/>
    <w:rPr>
      <w:color w:val="800080" w:themeColor="followedHyperlink"/>
      <w:u w:val="single"/>
    </w:rPr>
  </w:style>
  <w:style w:type="paragraph" w:customStyle="1" w:styleId="Default">
    <w:name w:val="Default"/>
    <w:rsid w:val="000C3F3F"/>
    <w:pPr>
      <w:autoSpaceDE w:val="0"/>
      <w:autoSpaceDN w:val="0"/>
      <w:adjustRightInd w:val="0"/>
    </w:pPr>
    <w:rPr>
      <w:rFonts w:ascii="DINPro-Medium" w:hAnsi="DINPro-Medium" w:cs="DINPro-Medium"/>
      <w:color w:val="000000"/>
      <w:lang w:val="en-GB"/>
    </w:rPr>
  </w:style>
  <w:style w:type="paragraph" w:styleId="EndnoteText">
    <w:name w:val="endnote text"/>
    <w:basedOn w:val="Normal"/>
    <w:link w:val="EndnoteTextChar"/>
    <w:uiPriority w:val="99"/>
    <w:unhideWhenUsed/>
    <w:rsid w:val="002437DD"/>
    <w:pPr>
      <w:spacing w:line="240" w:lineRule="auto"/>
    </w:pPr>
    <w:rPr>
      <w:sz w:val="20"/>
      <w:szCs w:val="20"/>
    </w:rPr>
  </w:style>
  <w:style w:type="character" w:customStyle="1" w:styleId="EndnoteTextChar">
    <w:name w:val="Endnote Text Char"/>
    <w:basedOn w:val="DefaultParagraphFont"/>
    <w:link w:val="EndnoteText"/>
    <w:uiPriority w:val="99"/>
    <w:rsid w:val="002437DD"/>
    <w:rPr>
      <w:rFonts w:eastAsia="ヒラギノ角ゴ Pro W3" w:cs="Times New Roman"/>
      <w:color w:val="000000"/>
      <w:sz w:val="20"/>
      <w:szCs w:val="20"/>
      <w:lang w:val="en-GB" w:eastAsia="en-US"/>
    </w:rPr>
  </w:style>
  <w:style w:type="character" w:styleId="EndnoteReference">
    <w:name w:val="endnote reference"/>
    <w:basedOn w:val="DefaultParagraphFont"/>
    <w:uiPriority w:val="99"/>
    <w:unhideWhenUsed/>
    <w:rsid w:val="002437DD"/>
    <w:rPr>
      <w:vertAlign w:val="superscript"/>
    </w:rPr>
  </w:style>
  <w:style w:type="paragraph" w:styleId="NormalWeb">
    <w:name w:val="Normal (Web)"/>
    <w:basedOn w:val="Normal"/>
    <w:uiPriority w:val="99"/>
    <w:semiHidden/>
    <w:unhideWhenUsed/>
    <w:rsid w:val="00892DE8"/>
    <w:pPr>
      <w:spacing w:before="100" w:beforeAutospacing="1" w:after="100" w:afterAutospacing="1" w:line="240" w:lineRule="auto"/>
      <w:jc w:val="left"/>
    </w:pPr>
    <w:rPr>
      <w:rFonts w:ascii="Times New Roman" w:eastAsia="Times New Roman" w:hAnsi="Times New Roman"/>
      <w:color w:val="auto"/>
      <w:lang w:eastAsia="en-GB"/>
    </w:rPr>
  </w:style>
  <w:style w:type="character" w:styleId="Strong">
    <w:name w:val="Strong"/>
    <w:basedOn w:val="DefaultParagraphFont"/>
    <w:uiPriority w:val="22"/>
    <w:qFormat/>
    <w:rsid w:val="00892DE8"/>
    <w:rPr>
      <w:b/>
      <w:bCs/>
    </w:rPr>
  </w:style>
  <w:style w:type="character" w:customStyle="1" w:styleId="apple-converted-space">
    <w:name w:val="apple-converted-space"/>
    <w:basedOn w:val="DefaultParagraphFont"/>
    <w:rsid w:val="0089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4529">
      <w:bodyDiv w:val="1"/>
      <w:marLeft w:val="0"/>
      <w:marRight w:val="0"/>
      <w:marTop w:val="0"/>
      <w:marBottom w:val="0"/>
      <w:divBdr>
        <w:top w:val="none" w:sz="0" w:space="0" w:color="auto"/>
        <w:left w:val="none" w:sz="0" w:space="0" w:color="auto"/>
        <w:bottom w:val="none" w:sz="0" w:space="0" w:color="auto"/>
        <w:right w:val="none" w:sz="0" w:space="0" w:color="auto"/>
      </w:divBdr>
    </w:div>
    <w:div w:id="465900257">
      <w:bodyDiv w:val="1"/>
      <w:marLeft w:val="0"/>
      <w:marRight w:val="0"/>
      <w:marTop w:val="0"/>
      <w:marBottom w:val="0"/>
      <w:divBdr>
        <w:top w:val="none" w:sz="0" w:space="0" w:color="auto"/>
        <w:left w:val="none" w:sz="0" w:space="0" w:color="auto"/>
        <w:bottom w:val="none" w:sz="0" w:space="0" w:color="auto"/>
        <w:right w:val="none" w:sz="0" w:space="0" w:color="auto"/>
      </w:divBdr>
    </w:div>
    <w:div w:id="933048908">
      <w:bodyDiv w:val="1"/>
      <w:marLeft w:val="0"/>
      <w:marRight w:val="0"/>
      <w:marTop w:val="0"/>
      <w:marBottom w:val="0"/>
      <w:divBdr>
        <w:top w:val="none" w:sz="0" w:space="0" w:color="auto"/>
        <w:left w:val="none" w:sz="0" w:space="0" w:color="auto"/>
        <w:bottom w:val="none" w:sz="0" w:space="0" w:color="auto"/>
        <w:right w:val="none" w:sz="0" w:space="0" w:color="auto"/>
      </w:divBdr>
    </w:div>
    <w:div w:id="1015571342">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075662693">
      <w:bodyDiv w:val="1"/>
      <w:marLeft w:val="0"/>
      <w:marRight w:val="0"/>
      <w:marTop w:val="0"/>
      <w:marBottom w:val="0"/>
      <w:divBdr>
        <w:top w:val="none" w:sz="0" w:space="0" w:color="auto"/>
        <w:left w:val="none" w:sz="0" w:space="0" w:color="auto"/>
        <w:bottom w:val="none" w:sz="0" w:space="0" w:color="auto"/>
        <w:right w:val="none" w:sz="0" w:space="0" w:color="auto"/>
      </w:divBdr>
    </w:div>
    <w:div w:id="1137525949">
      <w:bodyDiv w:val="1"/>
      <w:marLeft w:val="0"/>
      <w:marRight w:val="0"/>
      <w:marTop w:val="0"/>
      <w:marBottom w:val="0"/>
      <w:divBdr>
        <w:top w:val="none" w:sz="0" w:space="0" w:color="auto"/>
        <w:left w:val="none" w:sz="0" w:space="0" w:color="auto"/>
        <w:bottom w:val="none" w:sz="0" w:space="0" w:color="auto"/>
        <w:right w:val="none" w:sz="0" w:space="0" w:color="auto"/>
      </w:divBdr>
      <w:divsChild>
        <w:div w:id="1611206428">
          <w:marLeft w:val="547"/>
          <w:marRight w:val="0"/>
          <w:marTop w:val="240"/>
          <w:marBottom w:val="120"/>
          <w:divBdr>
            <w:top w:val="none" w:sz="0" w:space="0" w:color="auto"/>
            <w:left w:val="none" w:sz="0" w:space="0" w:color="auto"/>
            <w:bottom w:val="none" w:sz="0" w:space="0" w:color="auto"/>
            <w:right w:val="none" w:sz="0" w:space="0" w:color="auto"/>
          </w:divBdr>
        </w:div>
        <w:div w:id="1739474834">
          <w:marLeft w:val="547"/>
          <w:marRight w:val="0"/>
          <w:marTop w:val="240"/>
          <w:marBottom w:val="120"/>
          <w:divBdr>
            <w:top w:val="none" w:sz="0" w:space="0" w:color="auto"/>
            <w:left w:val="none" w:sz="0" w:space="0" w:color="auto"/>
            <w:bottom w:val="none" w:sz="0" w:space="0" w:color="auto"/>
            <w:right w:val="none" w:sz="0" w:space="0" w:color="auto"/>
          </w:divBdr>
        </w:div>
        <w:div w:id="532037635">
          <w:marLeft w:val="547"/>
          <w:marRight w:val="0"/>
          <w:marTop w:val="240"/>
          <w:marBottom w:val="120"/>
          <w:divBdr>
            <w:top w:val="none" w:sz="0" w:space="0" w:color="auto"/>
            <w:left w:val="none" w:sz="0" w:space="0" w:color="auto"/>
            <w:bottom w:val="none" w:sz="0" w:space="0" w:color="auto"/>
            <w:right w:val="none" w:sz="0" w:space="0" w:color="auto"/>
          </w:divBdr>
        </w:div>
      </w:divsChild>
    </w:div>
    <w:div w:id="1299340740">
      <w:bodyDiv w:val="1"/>
      <w:marLeft w:val="0"/>
      <w:marRight w:val="0"/>
      <w:marTop w:val="0"/>
      <w:marBottom w:val="0"/>
      <w:divBdr>
        <w:top w:val="none" w:sz="0" w:space="0" w:color="auto"/>
        <w:left w:val="none" w:sz="0" w:space="0" w:color="auto"/>
        <w:bottom w:val="none" w:sz="0" w:space="0" w:color="auto"/>
        <w:right w:val="none" w:sz="0" w:space="0" w:color="auto"/>
      </w:divBdr>
    </w:div>
    <w:div w:id="1396661991">
      <w:bodyDiv w:val="1"/>
      <w:marLeft w:val="0"/>
      <w:marRight w:val="0"/>
      <w:marTop w:val="0"/>
      <w:marBottom w:val="0"/>
      <w:divBdr>
        <w:top w:val="none" w:sz="0" w:space="0" w:color="auto"/>
        <w:left w:val="none" w:sz="0" w:space="0" w:color="auto"/>
        <w:bottom w:val="none" w:sz="0" w:space="0" w:color="auto"/>
        <w:right w:val="none" w:sz="0" w:space="0" w:color="auto"/>
      </w:divBdr>
    </w:div>
    <w:div w:id="1502355403">
      <w:bodyDiv w:val="1"/>
      <w:marLeft w:val="0"/>
      <w:marRight w:val="0"/>
      <w:marTop w:val="0"/>
      <w:marBottom w:val="0"/>
      <w:divBdr>
        <w:top w:val="none" w:sz="0" w:space="0" w:color="auto"/>
        <w:left w:val="none" w:sz="0" w:space="0" w:color="auto"/>
        <w:bottom w:val="none" w:sz="0" w:space="0" w:color="auto"/>
        <w:right w:val="none" w:sz="0" w:space="0" w:color="auto"/>
      </w:divBdr>
    </w:div>
    <w:div w:id="15939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theiirc.org/resources-2/other-publications/emerging-integrated-reporting-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7DEA-CD22-2640-A775-72323EA7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41</Pages>
  <Words>9359</Words>
  <Characters>53351</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Reviewer</dc:creator>
  <cp:keywords/>
  <dc:description/>
  <cp:lastModifiedBy>Franco Reviewer</cp:lastModifiedBy>
  <cp:revision>92</cp:revision>
  <cp:lastPrinted>2016-02-21T14:28:00Z</cp:lastPrinted>
  <dcterms:created xsi:type="dcterms:W3CDTF">2016-02-08T13:16:00Z</dcterms:created>
  <dcterms:modified xsi:type="dcterms:W3CDTF">2016-02-21T15:40:00Z</dcterms:modified>
</cp:coreProperties>
</file>