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FA" w:rsidRPr="003D6474" w:rsidRDefault="00955D67" w:rsidP="003B10E7">
      <w:pPr>
        <w:pStyle w:val="BodyText2"/>
        <w:spacing w:line="240" w:lineRule="auto"/>
        <w:rPr>
          <w:rFonts w:ascii="Times New Roman" w:hAnsi="Times New Roman"/>
          <w:b/>
          <w:sz w:val="24"/>
          <w:szCs w:val="24"/>
          <w:lang w:val="en-GB"/>
        </w:rPr>
      </w:pPr>
      <w:r w:rsidRPr="003D6474">
        <w:rPr>
          <w:rFonts w:ascii="Times New Roman" w:hAnsi="Times New Roman"/>
          <w:b/>
          <w:sz w:val="24"/>
          <w:szCs w:val="24"/>
          <w:lang w:val="en-GB"/>
        </w:rPr>
        <w:t xml:space="preserve">Tuning knowledge ecosystems: Exploring links between hotels’ </w:t>
      </w:r>
      <w:r w:rsidR="005B0F2E" w:rsidRPr="003D6474">
        <w:rPr>
          <w:rFonts w:ascii="Times New Roman" w:hAnsi="Times New Roman"/>
          <w:b/>
          <w:sz w:val="24"/>
          <w:szCs w:val="24"/>
          <w:lang w:val="en-GB"/>
        </w:rPr>
        <w:t>knowledge structures</w:t>
      </w:r>
      <w:r w:rsidRPr="003D6474">
        <w:rPr>
          <w:rFonts w:ascii="Times New Roman" w:hAnsi="Times New Roman"/>
          <w:b/>
          <w:sz w:val="24"/>
          <w:szCs w:val="24"/>
          <w:lang w:val="en-GB"/>
        </w:rPr>
        <w:t xml:space="preserve"> and online government services provision</w:t>
      </w:r>
    </w:p>
    <w:p w:rsidR="00955D67" w:rsidRPr="003D6474" w:rsidRDefault="00955D67" w:rsidP="003B10E7">
      <w:pPr>
        <w:pStyle w:val="BodyText2"/>
        <w:spacing w:line="240" w:lineRule="auto"/>
        <w:rPr>
          <w:rFonts w:ascii="Times New Roman" w:hAnsi="Times New Roman"/>
          <w:b/>
          <w:sz w:val="24"/>
          <w:szCs w:val="24"/>
          <w:lang w:val="en-GB"/>
        </w:rPr>
      </w:pPr>
    </w:p>
    <w:p w:rsidR="003D6474" w:rsidRPr="003D6474" w:rsidRDefault="003D6474" w:rsidP="003D6474">
      <w:pPr>
        <w:pStyle w:val="BodyText"/>
        <w:rPr>
          <w:lang w:val="en-GB"/>
        </w:rPr>
      </w:pPr>
      <w:r w:rsidRPr="003D6474">
        <w:rPr>
          <w:lang w:val="en-GB"/>
        </w:rPr>
        <w:t>Juan Gabriel Cegarra-Navarro</w:t>
      </w:r>
    </w:p>
    <w:p w:rsidR="003D6474" w:rsidRPr="003D6474" w:rsidRDefault="003D6474" w:rsidP="003D6474">
      <w:pPr>
        <w:pStyle w:val="BodyText"/>
        <w:rPr>
          <w:lang w:val="en-GB"/>
        </w:rPr>
      </w:pPr>
      <w:r w:rsidRPr="003D6474">
        <w:rPr>
          <w:lang w:val="en-GB"/>
        </w:rPr>
        <w:t>Faculty of Economic and Business Science, Technical University of Cartagena, Spain</w:t>
      </w:r>
    </w:p>
    <w:p w:rsidR="003D6474" w:rsidRPr="00C57FF3" w:rsidRDefault="003D6474" w:rsidP="003D6474">
      <w:pPr>
        <w:pStyle w:val="BodyText"/>
        <w:rPr>
          <w:lang w:val="es-ES"/>
        </w:rPr>
      </w:pPr>
      <w:r w:rsidRPr="00C57FF3">
        <w:rPr>
          <w:lang w:val="es-ES"/>
        </w:rPr>
        <w:t>Juan.Cegarra@upct.es</w:t>
      </w:r>
    </w:p>
    <w:p w:rsidR="003D6474" w:rsidRPr="00C57FF3" w:rsidRDefault="003D6474" w:rsidP="003D6474">
      <w:pPr>
        <w:pStyle w:val="BodyText"/>
        <w:rPr>
          <w:lang w:val="es-ES"/>
        </w:rPr>
      </w:pPr>
    </w:p>
    <w:p w:rsidR="003D6474" w:rsidRPr="00C57FF3" w:rsidRDefault="003D6474" w:rsidP="003D6474">
      <w:pPr>
        <w:pStyle w:val="BodyText"/>
        <w:rPr>
          <w:lang w:val="es-ES"/>
        </w:rPr>
      </w:pPr>
      <w:r w:rsidRPr="00C57FF3">
        <w:rPr>
          <w:lang w:val="es-ES"/>
        </w:rPr>
        <w:t>José Rodrigo Córdoba-Pachón</w:t>
      </w:r>
    </w:p>
    <w:p w:rsidR="003D6474" w:rsidRPr="003D6474" w:rsidRDefault="003D6474" w:rsidP="003D6474">
      <w:pPr>
        <w:pStyle w:val="BodyText"/>
        <w:rPr>
          <w:lang w:val="en-GB"/>
        </w:rPr>
      </w:pPr>
      <w:r w:rsidRPr="003D6474">
        <w:rPr>
          <w:lang w:val="en-GB"/>
        </w:rPr>
        <w:t>School of Management, Royal Holloway University of London, UK.</w:t>
      </w:r>
    </w:p>
    <w:p w:rsidR="003D6474" w:rsidRPr="003D6474" w:rsidRDefault="003D6474" w:rsidP="003D6474">
      <w:pPr>
        <w:pStyle w:val="BodyText"/>
        <w:rPr>
          <w:lang w:val="en-GB"/>
        </w:rPr>
      </w:pPr>
      <w:r w:rsidRPr="003D6474">
        <w:rPr>
          <w:lang w:val="en-GB"/>
        </w:rPr>
        <w:t>J.R.Cordoba-Pachon@rhul.ac.uk</w:t>
      </w:r>
    </w:p>
    <w:p w:rsidR="003D6474" w:rsidRPr="003D6474" w:rsidRDefault="003D6474" w:rsidP="003D6474">
      <w:pPr>
        <w:pStyle w:val="BodyText"/>
        <w:rPr>
          <w:lang w:val="en-GB"/>
        </w:rPr>
      </w:pPr>
    </w:p>
    <w:p w:rsidR="003D6474" w:rsidRPr="003D6474" w:rsidRDefault="003D6474" w:rsidP="003D6474">
      <w:pPr>
        <w:pStyle w:val="BodyText"/>
        <w:rPr>
          <w:lang w:val="en-GB"/>
        </w:rPr>
      </w:pPr>
      <w:r w:rsidRPr="003D6474">
        <w:rPr>
          <w:lang w:val="en-GB"/>
        </w:rPr>
        <w:t>Alexeis García-Pérez</w:t>
      </w:r>
    </w:p>
    <w:p w:rsidR="003D6474" w:rsidRPr="003D6474" w:rsidRDefault="003D6474" w:rsidP="003D6474">
      <w:pPr>
        <w:pStyle w:val="BodyText"/>
        <w:rPr>
          <w:lang w:val="en-GB"/>
        </w:rPr>
      </w:pPr>
      <w:r w:rsidRPr="003D6474">
        <w:rPr>
          <w:lang w:val="en-GB"/>
        </w:rPr>
        <w:t>Centre for Business in Society, Coventry University, UK</w:t>
      </w:r>
    </w:p>
    <w:p w:rsidR="003D6474" w:rsidRPr="003D6474" w:rsidRDefault="003D6474" w:rsidP="003D6474">
      <w:pPr>
        <w:pStyle w:val="BodyText"/>
        <w:rPr>
          <w:lang w:val="en-GB"/>
        </w:rPr>
      </w:pPr>
      <w:r w:rsidRPr="003D6474">
        <w:rPr>
          <w:lang w:val="en-GB"/>
        </w:rPr>
        <w:t>Alexeis.Garcia-Perez@coventry.ac.uk</w:t>
      </w:r>
    </w:p>
    <w:p w:rsidR="003D6474" w:rsidRPr="003D6474" w:rsidRDefault="003D6474" w:rsidP="003B10E7">
      <w:pPr>
        <w:pStyle w:val="BodyText2"/>
        <w:spacing w:line="240" w:lineRule="auto"/>
        <w:rPr>
          <w:rFonts w:ascii="Times New Roman" w:hAnsi="Times New Roman"/>
          <w:b/>
          <w:sz w:val="24"/>
          <w:szCs w:val="24"/>
          <w:lang w:val="en-GB"/>
        </w:rPr>
      </w:pPr>
    </w:p>
    <w:p w:rsidR="003D6474" w:rsidRPr="003D6474" w:rsidRDefault="003D6474" w:rsidP="003B10E7">
      <w:pPr>
        <w:pStyle w:val="BodyText2"/>
        <w:spacing w:line="240" w:lineRule="auto"/>
        <w:rPr>
          <w:rFonts w:ascii="Times New Roman" w:hAnsi="Times New Roman"/>
          <w:b/>
          <w:sz w:val="24"/>
          <w:szCs w:val="24"/>
          <w:lang w:val="en-GB"/>
        </w:rPr>
      </w:pPr>
    </w:p>
    <w:p w:rsidR="00F343FA" w:rsidRPr="003D6474" w:rsidRDefault="00F343FA" w:rsidP="003B10E7">
      <w:pPr>
        <w:pStyle w:val="BodyText2"/>
        <w:spacing w:line="240" w:lineRule="auto"/>
        <w:rPr>
          <w:rFonts w:ascii="Times New Roman" w:hAnsi="Times New Roman"/>
          <w:b/>
          <w:sz w:val="24"/>
          <w:szCs w:val="24"/>
          <w:lang w:val="en-GB"/>
        </w:rPr>
      </w:pPr>
      <w:r w:rsidRPr="003D6474">
        <w:rPr>
          <w:rFonts w:ascii="Times New Roman" w:hAnsi="Times New Roman"/>
          <w:b/>
          <w:sz w:val="24"/>
          <w:szCs w:val="24"/>
          <w:lang w:val="en-GB"/>
        </w:rPr>
        <w:t>Abstract</w:t>
      </w:r>
    </w:p>
    <w:p w:rsidR="000F1A7E" w:rsidRPr="003D6474" w:rsidRDefault="000F1A7E" w:rsidP="003B10E7">
      <w:pPr>
        <w:pStyle w:val="BodyText"/>
        <w:rPr>
          <w:lang w:val="en-GB"/>
        </w:rPr>
      </w:pPr>
    </w:p>
    <w:p w:rsidR="00F343FA" w:rsidRPr="003D6474" w:rsidRDefault="00955D67" w:rsidP="003B10E7">
      <w:pPr>
        <w:pStyle w:val="BodyText"/>
        <w:rPr>
          <w:lang w:val="en-GB"/>
        </w:rPr>
      </w:pPr>
      <w:r w:rsidRPr="003D6474">
        <w:rPr>
          <w:lang w:val="en-GB"/>
        </w:rPr>
        <w:t>The development of knowledge</w:t>
      </w:r>
      <w:r w:rsidR="0061359B" w:rsidRPr="003D6474">
        <w:rPr>
          <w:lang w:val="en-GB"/>
        </w:rPr>
        <w:t>-based</w:t>
      </w:r>
      <w:r w:rsidRPr="003D6474">
        <w:rPr>
          <w:lang w:val="en-GB"/>
        </w:rPr>
        <w:t xml:space="preserve"> </w:t>
      </w:r>
      <w:r w:rsidR="009929E6" w:rsidRPr="003D6474">
        <w:rPr>
          <w:lang w:val="en-GB"/>
        </w:rPr>
        <w:t xml:space="preserve">business </w:t>
      </w:r>
      <w:r w:rsidRPr="003D6474">
        <w:rPr>
          <w:lang w:val="en-GB"/>
        </w:rPr>
        <w:t xml:space="preserve">opportunities in many economic sectors worldwide is </w:t>
      </w:r>
      <w:r w:rsidR="000A483F" w:rsidRPr="003D6474">
        <w:rPr>
          <w:lang w:val="en-GB"/>
        </w:rPr>
        <w:t xml:space="preserve">often </w:t>
      </w:r>
      <w:r w:rsidRPr="003D6474">
        <w:rPr>
          <w:lang w:val="en-GB"/>
        </w:rPr>
        <w:t>conceived through a silo-mentality</w:t>
      </w:r>
      <w:r w:rsidR="004F7E01" w:rsidRPr="003D6474">
        <w:rPr>
          <w:lang w:val="en-GB"/>
        </w:rPr>
        <w:t>,</w:t>
      </w:r>
      <w:r w:rsidR="002A3987" w:rsidRPr="003D6474">
        <w:rPr>
          <w:lang w:val="en-GB"/>
        </w:rPr>
        <w:t xml:space="preserve"> whereby </w:t>
      </w:r>
      <w:r w:rsidRPr="003D6474">
        <w:rPr>
          <w:lang w:val="en-GB"/>
        </w:rPr>
        <w:t xml:space="preserve">efforts are </w:t>
      </w:r>
      <w:r w:rsidR="00C7305C" w:rsidRPr="003D6474">
        <w:rPr>
          <w:lang w:val="en-GB"/>
        </w:rPr>
        <w:t xml:space="preserve">focused </w:t>
      </w:r>
      <w:r w:rsidRPr="003D6474">
        <w:rPr>
          <w:lang w:val="en-GB"/>
        </w:rPr>
        <w:t xml:space="preserve">in </w:t>
      </w:r>
      <w:r w:rsidR="004C232F" w:rsidRPr="003D6474">
        <w:rPr>
          <w:lang w:val="en-GB"/>
        </w:rPr>
        <w:t xml:space="preserve">either </w:t>
      </w:r>
      <w:r w:rsidRPr="003D6474">
        <w:rPr>
          <w:lang w:val="en-GB"/>
        </w:rPr>
        <w:t xml:space="preserve">industry </w:t>
      </w:r>
      <w:r w:rsidR="004C232F" w:rsidRPr="003D6474">
        <w:rPr>
          <w:lang w:val="en-GB"/>
        </w:rPr>
        <w:t xml:space="preserve">or </w:t>
      </w:r>
      <w:r w:rsidRPr="003D6474">
        <w:rPr>
          <w:lang w:val="en-GB"/>
        </w:rPr>
        <w:t xml:space="preserve">government </w:t>
      </w:r>
      <w:r w:rsidR="004C232F" w:rsidRPr="003D6474">
        <w:rPr>
          <w:lang w:val="en-GB"/>
        </w:rPr>
        <w:t xml:space="preserve">entities </w:t>
      </w:r>
      <w:r w:rsidR="00E50903" w:rsidRPr="003D6474">
        <w:rPr>
          <w:lang w:val="en-GB"/>
        </w:rPr>
        <w:t xml:space="preserve">in </w:t>
      </w:r>
      <w:r w:rsidR="004C232F" w:rsidRPr="003D6474">
        <w:rPr>
          <w:lang w:val="en-GB"/>
        </w:rPr>
        <w:t>isolation</w:t>
      </w:r>
      <w:r w:rsidR="00E50903" w:rsidRPr="003D6474">
        <w:rPr>
          <w:lang w:val="en-GB"/>
        </w:rPr>
        <w:t xml:space="preserve">. Without a systemic or </w:t>
      </w:r>
      <w:r w:rsidRPr="003D6474">
        <w:rPr>
          <w:lang w:val="en-GB"/>
        </w:rPr>
        <w:t>holistic understanding of connections between the</w:t>
      </w:r>
      <w:r w:rsidR="009A77B7" w:rsidRPr="003D6474">
        <w:rPr>
          <w:lang w:val="en-GB"/>
        </w:rPr>
        <w:t>se,</w:t>
      </w:r>
      <w:r w:rsidRPr="003D6474">
        <w:rPr>
          <w:lang w:val="en-GB"/>
        </w:rPr>
        <w:t xml:space="preserve"> </w:t>
      </w:r>
      <w:r w:rsidR="00E50903" w:rsidRPr="003D6474">
        <w:rPr>
          <w:lang w:val="en-GB"/>
        </w:rPr>
        <w:t xml:space="preserve">any present or future </w:t>
      </w:r>
      <w:r w:rsidR="00DF5614" w:rsidRPr="003D6474">
        <w:rPr>
          <w:lang w:val="en-GB"/>
        </w:rPr>
        <w:t xml:space="preserve">project </w:t>
      </w:r>
      <w:r w:rsidR="00E50903" w:rsidRPr="003D6474">
        <w:rPr>
          <w:lang w:val="en-GB"/>
        </w:rPr>
        <w:t xml:space="preserve">evaluation becomes </w:t>
      </w:r>
      <w:r w:rsidR="00A817ED" w:rsidRPr="003D6474">
        <w:rPr>
          <w:lang w:val="en-GB"/>
        </w:rPr>
        <w:t xml:space="preserve">either </w:t>
      </w:r>
      <w:r w:rsidR="00E50903" w:rsidRPr="003D6474">
        <w:rPr>
          <w:lang w:val="en-GB"/>
        </w:rPr>
        <w:t>input</w:t>
      </w:r>
      <w:r w:rsidR="00071803" w:rsidRPr="003D6474">
        <w:rPr>
          <w:lang w:val="en-GB"/>
        </w:rPr>
        <w:t>-</w:t>
      </w:r>
      <w:r w:rsidR="00E50903" w:rsidRPr="003D6474">
        <w:rPr>
          <w:lang w:val="en-GB"/>
        </w:rPr>
        <w:t xml:space="preserve"> or output</w:t>
      </w:r>
      <w:r w:rsidR="00071803" w:rsidRPr="003D6474">
        <w:rPr>
          <w:lang w:val="en-GB"/>
        </w:rPr>
        <w:t>-</w:t>
      </w:r>
      <w:r w:rsidR="00E50903" w:rsidRPr="003D6474">
        <w:rPr>
          <w:lang w:val="en-GB"/>
        </w:rPr>
        <w:t xml:space="preserve">based </w:t>
      </w:r>
      <w:r w:rsidR="00460C76" w:rsidRPr="003D6474">
        <w:rPr>
          <w:lang w:val="en-GB"/>
        </w:rPr>
        <w:t xml:space="preserve">instead of </w:t>
      </w:r>
      <w:r w:rsidR="00DF5614" w:rsidRPr="003D6474">
        <w:rPr>
          <w:lang w:val="en-GB"/>
        </w:rPr>
        <w:t xml:space="preserve">having </w:t>
      </w:r>
      <w:r w:rsidR="00A05AAC" w:rsidRPr="003D6474">
        <w:rPr>
          <w:lang w:val="en-GB"/>
        </w:rPr>
        <w:t>a comprehensive understanding of its impact</w:t>
      </w:r>
      <w:r w:rsidRPr="003D6474">
        <w:rPr>
          <w:lang w:val="en-GB"/>
        </w:rPr>
        <w:t>.</w:t>
      </w:r>
      <w:r w:rsidR="00DC6A0A" w:rsidRPr="003D6474">
        <w:rPr>
          <w:lang w:val="en-GB"/>
        </w:rPr>
        <w:t xml:space="preserve"> In order to address such a challenge</w:t>
      </w:r>
      <w:r w:rsidR="00DA7EC0" w:rsidRPr="003D6474">
        <w:rPr>
          <w:lang w:val="en-GB"/>
        </w:rPr>
        <w:t>,</w:t>
      </w:r>
      <w:r w:rsidR="00DC6A0A" w:rsidRPr="003D6474">
        <w:rPr>
          <w:lang w:val="en-GB"/>
        </w:rPr>
        <w:t xml:space="preserve"> </w:t>
      </w:r>
      <w:r w:rsidR="00E50903" w:rsidRPr="003D6474">
        <w:rPr>
          <w:lang w:val="en-GB"/>
        </w:rPr>
        <w:t>t</w:t>
      </w:r>
      <w:r w:rsidRPr="003D6474">
        <w:rPr>
          <w:lang w:val="en-GB"/>
        </w:rPr>
        <w:t xml:space="preserve">his </w:t>
      </w:r>
      <w:r w:rsidR="00F906A9" w:rsidRPr="003D6474">
        <w:rPr>
          <w:lang w:val="en-GB"/>
        </w:rPr>
        <w:t xml:space="preserve">empirical study </w:t>
      </w:r>
      <w:r w:rsidR="004E2765" w:rsidRPr="003D6474">
        <w:rPr>
          <w:lang w:val="en-GB"/>
        </w:rPr>
        <w:t xml:space="preserve">focuses on </w:t>
      </w:r>
      <w:r w:rsidRPr="003D6474">
        <w:rPr>
          <w:lang w:val="en-GB"/>
        </w:rPr>
        <w:t xml:space="preserve">the </w:t>
      </w:r>
      <w:r w:rsidR="009C35F9" w:rsidRPr="003D6474">
        <w:t>Spanish hospitality sector</w:t>
      </w:r>
      <w:r w:rsidR="004E2765" w:rsidRPr="003D6474">
        <w:rPr>
          <w:lang w:val="en-GB"/>
        </w:rPr>
        <w:t xml:space="preserve">, which currently </w:t>
      </w:r>
      <w:r w:rsidRPr="003D6474">
        <w:rPr>
          <w:lang w:val="en-GB"/>
        </w:rPr>
        <w:t xml:space="preserve">thrives by continuously </w:t>
      </w:r>
      <w:r w:rsidR="002546AB" w:rsidRPr="003D6474">
        <w:rPr>
          <w:lang w:val="en-GB"/>
        </w:rPr>
        <w:t xml:space="preserve">accessing </w:t>
      </w:r>
      <w:r w:rsidR="00F343FA" w:rsidRPr="003D6474">
        <w:rPr>
          <w:lang w:val="en-GB"/>
        </w:rPr>
        <w:t>external and internal sources of knowledge</w:t>
      </w:r>
      <w:r w:rsidR="00576E40" w:rsidRPr="003D6474">
        <w:rPr>
          <w:lang w:val="en-GB"/>
        </w:rPr>
        <w:t>,</w:t>
      </w:r>
      <w:r w:rsidRPr="003D6474">
        <w:rPr>
          <w:lang w:val="en-GB"/>
        </w:rPr>
        <w:t xml:space="preserve"> thus offering opportunities to conceptualise it as a </w:t>
      </w:r>
      <w:r w:rsidR="00AF1D44" w:rsidRPr="003D6474">
        <w:rPr>
          <w:lang w:val="en-GB"/>
        </w:rPr>
        <w:t xml:space="preserve">knowledge </w:t>
      </w:r>
      <w:r w:rsidRPr="003D6474">
        <w:rPr>
          <w:lang w:val="en-GB"/>
        </w:rPr>
        <w:t xml:space="preserve">ecosystem. </w:t>
      </w:r>
      <w:r w:rsidR="00F21821" w:rsidRPr="003D6474">
        <w:rPr>
          <w:lang w:val="en-GB"/>
        </w:rPr>
        <w:t xml:space="preserve">Lessons learned from </w:t>
      </w:r>
      <w:r w:rsidR="00E9224B" w:rsidRPr="003D6474">
        <w:rPr>
          <w:lang w:val="en-GB"/>
        </w:rPr>
        <w:t xml:space="preserve">the </w:t>
      </w:r>
      <w:r w:rsidR="00F21821" w:rsidRPr="003D6474">
        <w:rPr>
          <w:lang w:val="en-GB"/>
        </w:rPr>
        <w:t xml:space="preserve">Spanish </w:t>
      </w:r>
      <w:r w:rsidR="00E9224B" w:rsidRPr="003D6474">
        <w:rPr>
          <w:lang w:val="en-GB"/>
        </w:rPr>
        <w:t xml:space="preserve">hospitality sector </w:t>
      </w:r>
      <w:r w:rsidR="00CB1811" w:rsidRPr="003D6474">
        <w:rPr>
          <w:lang w:val="en-GB"/>
        </w:rPr>
        <w:t xml:space="preserve">will inform </w:t>
      </w:r>
      <w:r w:rsidR="005C4635" w:rsidRPr="003D6474">
        <w:rPr>
          <w:lang w:val="en-GB"/>
        </w:rPr>
        <w:t xml:space="preserve">the way </w:t>
      </w:r>
      <w:r w:rsidR="00B17DD1" w:rsidRPr="003D6474">
        <w:rPr>
          <w:lang w:val="en-GB"/>
        </w:rPr>
        <w:t>online government services</w:t>
      </w:r>
      <w:r w:rsidRPr="003D6474">
        <w:rPr>
          <w:lang w:val="en-GB"/>
        </w:rPr>
        <w:t xml:space="preserve"> can be better designed </w:t>
      </w:r>
      <w:r w:rsidR="00E50903" w:rsidRPr="003D6474">
        <w:rPr>
          <w:lang w:val="en-GB"/>
        </w:rPr>
        <w:t>as part of a knowledge ecosystem</w:t>
      </w:r>
      <w:r w:rsidR="00653910" w:rsidRPr="003D6474">
        <w:rPr>
          <w:lang w:val="en-GB"/>
        </w:rPr>
        <w:t xml:space="preserve"> for </w:t>
      </w:r>
      <w:r w:rsidR="00981BF9" w:rsidRPr="003D6474">
        <w:rPr>
          <w:lang w:val="en-GB"/>
        </w:rPr>
        <w:t>a more effective</w:t>
      </w:r>
      <w:r w:rsidR="00E50903" w:rsidRPr="003D6474">
        <w:rPr>
          <w:lang w:val="en-GB"/>
        </w:rPr>
        <w:t xml:space="preserve"> </w:t>
      </w:r>
      <w:r w:rsidRPr="003D6474">
        <w:rPr>
          <w:lang w:val="en-GB"/>
        </w:rPr>
        <w:t>use by hotels</w:t>
      </w:r>
      <w:r w:rsidR="00981BF9" w:rsidRPr="003D6474">
        <w:rPr>
          <w:lang w:val="en-GB"/>
        </w:rPr>
        <w:t xml:space="preserve">. This </w:t>
      </w:r>
      <w:r w:rsidR="00E903B5" w:rsidRPr="003D6474">
        <w:rPr>
          <w:lang w:val="en-GB"/>
        </w:rPr>
        <w:t>will</w:t>
      </w:r>
      <w:r w:rsidR="00981BF9" w:rsidRPr="003D6474">
        <w:rPr>
          <w:lang w:val="en-GB"/>
        </w:rPr>
        <w:t>, in turn,</w:t>
      </w:r>
      <w:r w:rsidR="00E50903" w:rsidRPr="003D6474">
        <w:rPr>
          <w:lang w:val="en-GB"/>
        </w:rPr>
        <w:t xml:space="preserve"> yield further opportunities for innovation</w:t>
      </w:r>
      <w:r w:rsidR="00FC1C36" w:rsidRPr="003D6474">
        <w:rPr>
          <w:lang w:val="en-GB"/>
        </w:rPr>
        <w:t xml:space="preserve"> in the hospitality sector</w:t>
      </w:r>
      <w:r w:rsidRPr="003D6474">
        <w:rPr>
          <w:lang w:val="en-GB"/>
        </w:rPr>
        <w:t xml:space="preserve">. </w:t>
      </w:r>
      <w:r w:rsidR="00BC7F6B" w:rsidRPr="003D6474">
        <w:rPr>
          <w:lang w:val="en-GB"/>
        </w:rPr>
        <w:t>A</w:t>
      </w:r>
      <w:r w:rsidR="00F343FA" w:rsidRPr="003D6474">
        <w:rPr>
          <w:lang w:val="en-GB"/>
        </w:rPr>
        <w:t xml:space="preserve"> structural equation model validated by factor analysis of 130 </w:t>
      </w:r>
      <w:r w:rsidR="009C35F9" w:rsidRPr="003D6474">
        <w:t>hotels</w:t>
      </w:r>
      <w:r w:rsidR="00F343FA" w:rsidRPr="003D6474">
        <w:rPr>
          <w:lang w:val="en-GB"/>
        </w:rPr>
        <w:t xml:space="preserve"> </w:t>
      </w:r>
      <w:r w:rsidR="00BC7F6B" w:rsidRPr="003D6474">
        <w:rPr>
          <w:lang w:val="en-GB"/>
        </w:rPr>
        <w:t xml:space="preserve">is used </w:t>
      </w:r>
      <w:r w:rsidR="00F343FA" w:rsidRPr="003D6474">
        <w:rPr>
          <w:lang w:val="en-GB"/>
        </w:rPr>
        <w:t xml:space="preserve">to assess </w:t>
      </w:r>
      <w:r w:rsidR="000D43D4" w:rsidRPr="003D6474">
        <w:rPr>
          <w:lang w:val="en-GB"/>
        </w:rPr>
        <w:t xml:space="preserve">the extent to which </w:t>
      </w:r>
      <w:r w:rsidR="00BA69A1" w:rsidRPr="003D6474">
        <w:rPr>
          <w:lang w:val="en-GB"/>
        </w:rPr>
        <w:t xml:space="preserve">hotels </w:t>
      </w:r>
      <w:r w:rsidR="000D43D4" w:rsidRPr="003D6474">
        <w:rPr>
          <w:lang w:val="en-GB"/>
        </w:rPr>
        <w:t xml:space="preserve">currently </w:t>
      </w:r>
      <w:r w:rsidRPr="003D6474">
        <w:rPr>
          <w:lang w:val="en-GB"/>
        </w:rPr>
        <w:t>benefit from online government services</w:t>
      </w:r>
      <w:r w:rsidR="00F343FA" w:rsidRPr="003D6474">
        <w:rPr>
          <w:lang w:val="en-GB"/>
        </w:rPr>
        <w:t xml:space="preserve">. </w:t>
      </w:r>
      <w:r w:rsidR="00564521" w:rsidRPr="003D6474">
        <w:rPr>
          <w:lang w:val="en-GB"/>
        </w:rPr>
        <w:t xml:space="preserve">This </w:t>
      </w:r>
      <w:r w:rsidR="00F343FA" w:rsidRPr="003D6474">
        <w:rPr>
          <w:lang w:val="en-GB"/>
        </w:rPr>
        <w:t xml:space="preserve">study </w:t>
      </w:r>
      <w:r w:rsidR="00564521" w:rsidRPr="003D6474">
        <w:rPr>
          <w:lang w:val="en-GB"/>
        </w:rPr>
        <w:t xml:space="preserve">concludes </w:t>
      </w:r>
      <w:r w:rsidR="00F343FA" w:rsidRPr="003D6474">
        <w:rPr>
          <w:lang w:val="en-GB"/>
        </w:rPr>
        <w:t xml:space="preserve">that </w:t>
      </w:r>
      <w:r w:rsidR="00E62C05" w:rsidRPr="003D6474">
        <w:rPr>
          <w:lang w:val="en-GB"/>
        </w:rPr>
        <w:t>online government services</w:t>
      </w:r>
      <w:r w:rsidRPr="003D6474">
        <w:rPr>
          <w:lang w:val="en-GB"/>
        </w:rPr>
        <w:t xml:space="preserve"> can be better fostered by nurturing external communities </w:t>
      </w:r>
      <w:r w:rsidR="004C421E" w:rsidRPr="003D6474">
        <w:rPr>
          <w:lang w:val="en-GB"/>
        </w:rPr>
        <w:t xml:space="preserve">while also </w:t>
      </w:r>
      <w:r w:rsidRPr="003D6474">
        <w:rPr>
          <w:lang w:val="en-GB"/>
        </w:rPr>
        <w:t xml:space="preserve">setting up internal working communities and practices. The model and its </w:t>
      </w:r>
      <w:r w:rsidR="00673EFC" w:rsidRPr="003D6474">
        <w:rPr>
          <w:lang w:val="en-GB"/>
        </w:rPr>
        <w:t xml:space="preserve">implications </w:t>
      </w:r>
      <w:r w:rsidRPr="003D6474">
        <w:rPr>
          <w:lang w:val="en-GB"/>
        </w:rPr>
        <w:t xml:space="preserve">can also </w:t>
      </w:r>
      <w:r w:rsidR="00BE30FA" w:rsidRPr="003D6474">
        <w:rPr>
          <w:lang w:val="en-GB"/>
        </w:rPr>
        <w:t xml:space="preserve">inform initiatives which seek </w:t>
      </w:r>
      <w:r w:rsidRPr="003D6474">
        <w:rPr>
          <w:lang w:val="en-GB"/>
        </w:rPr>
        <w:t>to pursue ecosystem</w:t>
      </w:r>
      <w:r w:rsidR="009D180C" w:rsidRPr="003D6474">
        <w:rPr>
          <w:lang w:val="en-GB"/>
        </w:rPr>
        <w:t>-</w:t>
      </w:r>
      <w:r w:rsidRPr="003D6474">
        <w:rPr>
          <w:lang w:val="en-GB"/>
        </w:rPr>
        <w:t>oriented research and practice</w:t>
      </w:r>
      <w:r w:rsidR="00B527E5" w:rsidRPr="003D6474">
        <w:rPr>
          <w:lang w:val="en-GB"/>
        </w:rPr>
        <w:t>, as well as</w:t>
      </w:r>
      <w:r w:rsidR="00E50903" w:rsidRPr="003D6474">
        <w:rPr>
          <w:lang w:val="en-GB"/>
        </w:rPr>
        <w:t xml:space="preserve"> future policy and technology transfer initiatives</w:t>
      </w:r>
      <w:r w:rsidR="00F343FA" w:rsidRPr="003D6474">
        <w:rPr>
          <w:lang w:val="en-GB"/>
        </w:rPr>
        <w:t>.</w:t>
      </w:r>
    </w:p>
    <w:p w:rsidR="000F1A7E" w:rsidRPr="003D6474" w:rsidRDefault="000F1A7E" w:rsidP="003B10E7">
      <w:pPr>
        <w:pStyle w:val="BodyText"/>
        <w:rPr>
          <w:lang w:val="en-GB"/>
        </w:rPr>
      </w:pPr>
    </w:p>
    <w:p w:rsidR="00F343FA" w:rsidRPr="003D6474" w:rsidRDefault="00F343FA" w:rsidP="003B10E7">
      <w:pPr>
        <w:pStyle w:val="BodyText2"/>
        <w:spacing w:line="240" w:lineRule="auto"/>
        <w:jc w:val="both"/>
        <w:rPr>
          <w:rFonts w:ascii="Times New Roman" w:hAnsi="Times New Roman"/>
          <w:sz w:val="24"/>
          <w:szCs w:val="24"/>
          <w:lang w:val="en-GB"/>
        </w:rPr>
      </w:pPr>
      <w:r w:rsidRPr="003D6474">
        <w:rPr>
          <w:rFonts w:ascii="Times New Roman" w:hAnsi="Times New Roman"/>
          <w:b/>
          <w:bCs/>
          <w:sz w:val="24"/>
          <w:szCs w:val="24"/>
          <w:lang w:val="en-GB"/>
        </w:rPr>
        <w:t>Key words</w:t>
      </w:r>
      <w:r w:rsidRPr="003D6474">
        <w:rPr>
          <w:rFonts w:ascii="Times New Roman" w:hAnsi="Times New Roman"/>
          <w:sz w:val="24"/>
          <w:szCs w:val="24"/>
          <w:lang w:val="en-GB"/>
        </w:rPr>
        <w:t xml:space="preserve">: </w:t>
      </w:r>
      <w:r w:rsidR="00B17DD1" w:rsidRPr="003D6474">
        <w:rPr>
          <w:rFonts w:ascii="Times New Roman" w:hAnsi="Times New Roman"/>
          <w:sz w:val="24"/>
          <w:szCs w:val="24"/>
          <w:lang w:val="en-GB"/>
        </w:rPr>
        <w:t>online government services</w:t>
      </w:r>
      <w:r w:rsidRPr="003D6474">
        <w:rPr>
          <w:rFonts w:ascii="Times New Roman" w:hAnsi="Times New Roman"/>
          <w:sz w:val="24"/>
          <w:szCs w:val="24"/>
          <w:lang w:val="en-GB"/>
        </w:rPr>
        <w:t xml:space="preserve">, </w:t>
      </w:r>
      <w:r w:rsidR="00E62C05" w:rsidRPr="003D6474">
        <w:rPr>
          <w:rFonts w:ascii="Times New Roman" w:hAnsi="Times New Roman"/>
          <w:sz w:val="24"/>
          <w:szCs w:val="24"/>
          <w:lang w:val="en-GB"/>
        </w:rPr>
        <w:t>knowledge structures</w:t>
      </w:r>
      <w:r w:rsidRPr="003D6474">
        <w:rPr>
          <w:rFonts w:ascii="Times New Roman" w:hAnsi="Times New Roman"/>
          <w:sz w:val="24"/>
          <w:szCs w:val="24"/>
          <w:lang w:val="en-GB"/>
        </w:rPr>
        <w:t xml:space="preserve">; </w:t>
      </w:r>
      <w:r w:rsidR="00C57FF3">
        <w:rPr>
          <w:rFonts w:ascii="Times New Roman" w:hAnsi="Times New Roman"/>
          <w:sz w:val="24"/>
          <w:szCs w:val="24"/>
          <w:lang w:val="en-GB"/>
        </w:rPr>
        <w:t xml:space="preserve">project </w:t>
      </w:r>
      <w:r w:rsidRPr="003D6474">
        <w:rPr>
          <w:rFonts w:ascii="Times New Roman" w:hAnsi="Times New Roman"/>
          <w:sz w:val="24"/>
          <w:szCs w:val="24"/>
          <w:lang w:val="en-GB"/>
        </w:rPr>
        <w:t xml:space="preserve">evaluation; </w:t>
      </w:r>
      <w:r w:rsidR="00C57FF3">
        <w:rPr>
          <w:rFonts w:ascii="Times New Roman" w:hAnsi="Times New Roman"/>
          <w:sz w:val="24"/>
          <w:szCs w:val="24"/>
          <w:lang w:val="en-US"/>
        </w:rPr>
        <w:t>hospitality sector</w:t>
      </w:r>
      <w:r w:rsidRPr="003D6474">
        <w:rPr>
          <w:rFonts w:ascii="Times New Roman" w:hAnsi="Times New Roman"/>
          <w:sz w:val="24"/>
          <w:szCs w:val="24"/>
          <w:lang w:val="en-GB"/>
        </w:rPr>
        <w:t>.</w:t>
      </w:r>
    </w:p>
    <w:p w:rsidR="009B02D6" w:rsidRPr="003D6474" w:rsidRDefault="009B02D6" w:rsidP="003B10E7">
      <w:pPr>
        <w:jc w:val="both"/>
        <w:rPr>
          <w:b/>
          <w:lang w:val="en-GB"/>
        </w:rPr>
      </w:pPr>
    </w:p>
    <w:p w:rsidR="00F343FA" w:rsidRPr="003D6474" w:rsidRDefault="00F343FA" w:rsidP="003B10E7">
      <w:pPr>
        <w:jc w:val="both"/>
        <w:rPr>
          <w:b/>
          <w:bCs/>
          <w:lang w:val="en-GB"/>
        </w:rPr>
      </w:pPr>
      <w:r w:rsidRPr="003D6474">
        <w:rPr>
          <w:b/>
          <w:lang w:val="en-GB"/>
        </w:rPr>
        <w:t xml:space="preserve">1. </w:t>
      </w:r>
      <w:r w:rsidRPr="003D6474">
        <w:rPr>
          <w:b/>
          <w:bCs/>
          <w:lang w:val="en-GB"/>
        </w:rPr>
        <w:t>Introduction</w:t>
      </w:r>
    </w:p>
    <w:p w:rsidR="00B9729C" w:rsidRPr="003D6474" w:rsidRDefault="00B9729C" w:rsidP="003B10E7">
      <w:pPr>
        <w:pStyle w:val="BodyText"/>
        <w:rPr>
          <w:lang w:val="en-GB"/>
        </w:rPr>
      </w:pPr>
    </w:p>
    <w:p w:rsidR="00B9729C" w:rsidRPr="003D6474" w:rsidRDefault="00E50903" w:rsidP="003B10E7">
      <w:pPr>
        <w:pStyle w:val="BodyText"/>
        <w:rPr>
          <w:lang w:val="en-GB"/>
        </w:rPr>
      </w:pPr>
      <w:r w:rsidRPr="003D6474">
        <w:rPr>
          <w:lang w:val="en-GB"/>
        </w:rPr>
        <w:t xml:space="preserve">The </w:t>
      </w:r>
      <w:r w:rsidR="00E313E3" w:rsidRPr="003D6474">
        <w:rPr>
          <w:lang w:val="en-GB"/>
        </w:rPr>
        <w:t>development</w:t>
      </w:r>
      <w:r w:rsidRPr="003D6474">
        <w:rPr>
          <w:lang w:val="en-GB"/>
        </w:rPr>
        <w:t xml:space="preserve"> of economic growth </w:t>
      </w:r>
      <w:r w:rsidR="000E7215" w:rsidRPr="003D6474">
        <w:rPr>
          <w:lang w:val="en-GB"/>
        </w:rPr>
        <w:t xml:space="preserve">through the use of </w:t>
      </w:r>
      <w:r w:rsidRPr="003D6474">
        <w:rPr>
          <w:lang w:val="en-GB"/>
        </w:rPr>
        <w:t xml:space="preserve">information and communication technologies is </w:t>
      </w:r>
      <w:r w:rsidR="001F7FC2" w:rsidRPr="003D6474">
        <w:rPr>
          <w:lang w:val="en-GB"/>
        </w:rPr>
        <w:t xml:space="preserve">often </w:t>
      </w:r>
      <w:r w:rsidR="00CE417E" w:rsidRPr="003D6474">
        <w:rPr>
          <w:lang w:val="en-GB"/>
        </w:rPr>
        <w:t xml:space="preserve">based on </w:t>
      </w:r>
      <w:r w:rsidR="00724EA7" w:rsidRPr="003D6474">
        <w:rPr>
          <w:lang w:val="en-GB"/>
        </w:rPr>
        <w:t xml:space="preserve">initiatives pursued by either </w:t>
      </w:r>
      <w:r w:rsidRPr="003D6474">
        <w:rPr>
          <w:lang w:val="en-GB"/>
        </w:rPr>
        <w:t xml:space="preserve">government </w:t>
      </w:r>
      <w:r w:rsidR="00724EA7" w:rsidRPr="003D6474">
        <w:rPr>
          <w:lang w:val="en-GB"/>
        </w:rPr>
        <w:t xml:space="preserve">or </w:t>
      </w:r>
      <w:r w:rsidR="00910537" w:rsidRPr="003D6474">
        <w:rPr>
          <w:lang w:val="en-GB"/>
        </w:rPr>
        <w:t>industry players</w:t>
      </w:r>
      <w:r w:rsidR="00577721" w:rsidRPr="003D6474">
        <w:rPr>
          <w:lang w:val="en-GB"/>
        </w:rPr>
        <w:t>, with little collaboration between them</w:t>
      </w:r>
      <w:r w:rsidRPr="003D6474">
        <w:rPr>
          <w:lang w:val="en-GB"/>
        </w:rPr>
        <w:t xml:space="preserve">. </w:t>
      </w:r>
      <w:r w:rsidR="00577721" w:rsidRPr="003D6474">
        <w:rPr>
          <w:lang w:val="en-GB"/>
        </w:rPr>
        <w:t xml:space="preserve">A significant </w:t>
      </w:r>
      <w:r w:rsidR="00F1607A" w:rsidRPr="003D6474">
        <w:rPr>
          <w:lang w:val="en-GB"/>
        </w:rPr>
        <w:t>volume of</w:t>
      </w:r>
      <w:r w:rsidR="00577721" w:rsidRPr="003D6474">
        <w:rPr>
          <w:lang w:val="en-GB"/>
        </w:rPr>
        <w:t xml:space="preserve"> </w:t>
      </w:r>
      <w:r w:rsidRPr="003D6474">
        <w:rPr>
          <w:lang w:val="en-GB"/>
        </w:rPr>
        <w:t>investments in technology for government</w:t>
      </w:r>
      <w:r w:rsidR="00A63271" w:rsidRPr="003D6474">
        <w:rPr>
          <w:lang w:val="en-GB"/>
        </w:rPr>
        <w:t xml:space="preserve"> initiative</w:t>
      </w:r>
      <w:r w:rsidRPr="003D6474">
        <w:rPr>
          <w:lang w:val="en-GB"/>
        </w:rPr>
        <w:t>s are now being called into question in terms of their perceived economic impact</w:t>
      </w:r>
      <w:r w:rsidR="00015E93" w:rsidRPr="003D6474">
        <w:rPr>
          <w:lang w:val="en-GB"/>
        </w:rPr>
        <w:t>,</w:t>
      </w:r>
      <w:r w:rsidRPr="003D6474">
        <w:rPr>
          <w:lang w:val="en-GB"/>
        </w:rPr>
        <w:t xml:space="preserve"> let alone benefits for businesses (Irani </w:t>
      </w:r>
      <w:r w:rsidR="00453374" w:rsidRPr="003D6474">
        <w:rPr>
          <w:lang w:val="en-GB"/>
        </w:rPr>
        <w:t>&amp;</w:t>
      </w:r>
      <w:r w:rsidR="00730DEA" w:rsidRPr="003D6474">
        <w:rPr>
          <w:lang w:val="en-GB"/>
        </w:rPr>
        <w:t xml:space="preserve"> Love</w:t>
      </w:r>
      <w:r w:rsidRPr="003D6474">
        <w:rPr>
          <w:lang w:val="en-GB"/>
        </w:rPr>
        <w:t>, 20</w:t>
      </w:r>
      <w:r w:rsidR="00730DEA" w:rsidRPr="003D6474">
        <w:rPr>
          <w:lang w:val="en-GB"/>
        </w:rPr>
        <w:t>08</w:t>
      </w:r>
      <w:r w:rsidRPr="003D6474">
        <w:rPr>
          <w:lang w:val="en-GB"/>
        </w:rPr>
        <w:t xml:space="preserve">). Part of the problem seems to </w:t>
      </w:r>
      <w:r w:rsidR="00030ABF" w:rsidRPr="003D6474">
        <w:rPr>
          <w:lang w:val="en-GB"/>
        </w:rPr>
        <w:t xml:space="preserve">be derived from the way </w:t>
      </w:r>
      <w:r w:rsidRPr="003D6474">
        <w:rPr>
          <w:lang w:val="en-GB"/>
        </w:rPr>
        <w:t xml:space="preserve">evaluation of investments is </w:t>
      </w:r>
      <w:r w:rsidR="002350DC" w:rsidRPr="003D6474">
        <w:rPr>
          <w:lang w:val="en-GB"/>
        </w:rPr>
        <w:t>currently done</w:t>
      </w:r>
      <w:r w:rsidRPr="003D6474">
        <w:rPr>
          <w:lang w:val="en-GB"/>
        </w:rPr>
        <w:t xml:space="preserve">. Dominant paradigms on </w:t>
      </w:r>
      <w:r w:rsidR="002350DC" w:rsidRPr="003D6474">
        <w:rPr>
          <w:lang w:val="en-GB"/>
        </w:rPr>
        <w:t xml:space="preserve">project </w:t>
      </w:r>
      <w:r w:rsidRPr="003D6474">
        <w:rPr>
          <w:lang w:val="en-GB"/>
        </w:rPr>
        <w:t xml:space="preserve">evaluation focus on government as a </w:t>
      </w:r>
      <w:r w:rsidR="00730DEA" w:rsidRPr="003D6474">
        <w:rPr>
          <w:lang w:val="en-GB"/>
        </w:rPr>
        <w:t xml:space="preserve">mere </w:t>
      </w:r>
      <w:r w:rsidRPr="003D6474">
        <w:rPr>
          <w:lang w:val="en-GB"/>
        </w:rPr>
        <w:t>supplier of services</w:t>
      </w:r>
      <w:r w:rsidR="00066BE4" w:rsidRPr="003D6474">
        <w:rPr>
          <w:lang w:val="en-GB"/>
        </w:rPr>
        <w:t xml:space="preserve">. This leads to a </w:t>
      </w:r>
      <w:r w:rsidRPr="003D6474">
        <w:rPr>
          <w:lang w:val="en-GB"/>
        </w:rPr>
        <w:t xml:space="preserve">narrow </w:t>
      </w:r>
      <w:r w:rsidR="00066BE4" w:rsidRPr="003D6474">
        <w:rPr>
          <w:lang w:val="en-GB"/>
        </w:rPr>
        <w:t xml:space="preserve">view whereby </w:t>
      </w:r>
      <w:r w:rsidRPr="003D6474">
        <w:rPr>
          <w:lang w:val="en-GB"/>
        </w:rPr>
        <w:t xml:space="preserve">the quality of outputs </w:t>
      </w:r>
      <w:r w:rsidR="00066BE4" w:rsidRPr="003D6474">
        <w:rPr>
          <w:lang w:val="en-GB"/>
        </w:rPr>
        <w:t xml:space="preserve">are assessed </w:t>
      </w:r>
      <w:r w:rsidRPr="003D6474">
        <w:rPr>
          <w:lang w:val="en-GB"/>
        </w:rPr>
        <w:t xml:space="preserve">in terms of service adoption, penetration diffusion and satisfaction by users. This focus contrasts with the </w:t>
      </w:r>
      <w:r w:rsidRPr="003D6474">
        <w:rPr>
          <w:lang w:val="en-GB"/>
        </w:rPr>
        <w:lastRenderedPageBreak/>
        <w:t xml:space="preserve">diversity of ideas about what electronic government </w:t>
      </w:r>
      <w:r w:rsidR="00023007" w:rsidRPr="003D6474">
        <w:rPr>
          <w:lang w:val="en-GB"/>
        </w:rPr>
        <w:t>services are</w:t>
      </w:r>
      <w:r w:rsidRPr="003D6474">
        <w:rPr>
          <w:lang w:val="en-GB"/>
        </w:rPr>
        <w:t xml:space="preserve">, and the </w:t>
      </w:r>
      <w:r w:rsidR="004124A8" w:rsidRPr="003D6474">
        <w:rPr>
          <w:lang w:val="en-GB"/>
        </w:rPr>
        <w:t xml:space="preserve">variety of such </w:t>
      </w:r>
      <w:r w:rsidRPr="003D6474">
        <w:rPr>
          <w:lang w:val="en-GB"/>
        </w:rPr>
        <w:t xml:space="preserve">services </w:t>
      </w:r>
      <w:r w:rsidR="00073726" w:rsidRPr="003D6474">
        <w:rPr>
          <w:lang w:val="en-GB"/>
        </w:rPr>
        <w:t xml:space="preserve">currently </w:t>
      </w:r>
      <w:r w:rsidRPr="003D6474">
        <w:rPr>
          <w:lang w:val="en-GB"/>
        </w:rPr>
        <w:t xml:space="preserve">being provided not only to citizens but also to businesses. </w:t>
      </w:r>
    </w:p>
    <w:p w:rsidR="00B9729C" w:rsidRPr="003D6474" w:rsidRDefault="00B9729C" w:rsidP="003B10E7">
      <w:pPr>
        <w:pStyle w:val="BodyText"/>
        <w:rPr>
          <w:lang w:val="en-GB"/>
        </w:rPr>
      </w:pPr>
    </w:p>
    <w:p w:rsidR="006C67AC" w:rsidRPr="003D6474" w:rsidRDefault="00E50903" w:rsidP="003B10E7">
      <w:pPr>
        <w:pStyle w:val="BodyText"/>
        <w:rPr>
          <w:lang w:val="en-GB"/>
        </w:rPr>
      </w:pPr>
      <w:r w:rsidRPr="003D6474">
        <w:rPr>
          <w:lang w:val="en-GB"/>
        </w:rPr>
        <w:t xml:space="preserve">An earlier </w:t>
      </w:r>
      <w:r w:rsidR="00950E32" w:rsidRPr="003D6474">
        <w:rPr>
          <w:lang w:val="en-GB"/>
        </w:rPr>
        <w:t xml:space="preserve">research </w:t>
      </w:r>
      <w:r w:rsidRPr="003D6474">
        <w:rPr>
          <w:lang w:val="en-GB"/>
        </w:rPr>
        <w:t>to fill th</w:t>
      </w:r>
      <w:r w:rsidR="00C2379A" w:rsidRPr="003D6474">
        <w:rPr>
          <w:lang w:val="en-GB"/>
        </w:rPr>
        <w:t>at</w:t>
      </w:r>
      <w:r w:rsidRPr="003D6474">
        <w:rPr>
          <w:lang w:val="en-GB"/>
        </w:rPr>
        <w:t xml:space="preserve"> gap </w:t>
      </w:r>
      <w:r w:rsidR="00C2379A" w:rsidRPr="003D6474">
        <w:rPr>
          <w:lang w:val="en-GB"/>
        </w:rPr>
        <w:t xml:space="preserve">sought to </w:t>
      </w:r>
      <w:r w:rsidRPr="003D6474">
        <w:rPr>
          <w:lang w:val="en-GB"/>
        </w:rPr>
        <w:t>conceptualis</w:t>
      </w:r>
      <w:r w:rsidR="00C2379A" w:rsidRPr="003D6474">
        <w:rPr>
          <w:lang w:val="en-GB"/>
        </w:rPr>
        <w:t>e</w:t>
      </w:r>
      <w:r w:rsidRPr="003D6474">
        <w:rPr>
          <w:lang w:val="en-GB"/>
        </w:rPr>
        <w:t xml:space="preserve"> a more business-oriented way of evaluating the effectiveness of </w:t>
      </w:r>
      <w:r w:rsidR="00915E65" w:rsidRPr="003D6474">
        <w:rPr>
          <w:lang w:val="en-GB"/>
        </w:rPr>
        <w:t xml:space="preserve">electronic government </w:t>
      </w:r>
      <w:r w:rsidRPr="003D6474">
        <w:rPr>
          <w:lang w:val="en-GB"/>
        </w:rPr>
        <w:t xml:space="preserve">services to businesses </w:t>
      </w:r>
      <w:r w:rsidR="00146D6D" w:rsidRPr="003D6474">
        <w:rPr>
          <w:lang w:val="en-GB"/>
        </w:rPr>
        <w:t xml:space="preserve">proposed that </w:t>
      </w:r>
      <w:r w:rsidRPr="003D6474">
        <w:rPr>
          <w:lang w:val="en-GB"/>
        </w:rPr>
        <w:t xml:space="preserve">evaluation </w:t>
      </w:r>
      <w:r w:rsidR="00146D6D" w:rsidRPr="003D6474">
        <w:rPr>
          <w:lang w:val="en-GB"/>
        </w:rPr>
        <w:t xml:space="preserve">initiatives </w:t>
      </w:r>
      <w:r w:rsidRPr="003D6474">
        <w:rPr>
          <w:lang w:val="en-GB"/>
        </w:rPr>
        <w:t>need</w:t>
      </w:r>
      <w:r w:rsidR="00146D6D" w:rsidRPr="003D6474">
        <w:rPr>
          <w:lang w:val="en-GB"/>
        </w:rPr>
        <w:t>ed</w:t>
      </w:r>
      <w:r w:rsidRPr="003D6474">
        <w:rPr>
          <w:lang w:val="en-GB"/>
        </w:rPr>
        <w:t xml:space="preserve"> to broaden its boundaries </w:t>
      </w:r>
      <w:r w:rsidR="00146D6D" w:rsidRPr="003D6474">
        <w:rPr>
          <w:lang w:val="en-GB"/>
        </w:rPr>
        <w:t xml:space="preserve">(Córdoba </w:t>
      </w:r>
      <w:r w:rsidR="00E313E3" w:rsidRPr="003D6474">
        <w:rPr>
          <w:lang w:val="en-GB"/>
        </w:rPr>
        <w:t>&amp;</w:t>
      </w:r>
      <w:r w:rsidR="00146D6D" w:rsidRPr="003D6474">
        <w:rPr>
          <w:lang w:val="en-GB"/>
        </w:rPr>
        <w:t xml:space="preserve"> Cegarra,</w:t>
      </w:r>
      <w:r w:rsidR="00CA74FC" w:rsidRPr="003D6474">
        <w:rPr>
          <w:lang w:val="en-GB"/>
        </w:rPr>
        <w:t xml:space="preserve"> </w:t>
      </w:r>
      <w:r w:rsidR="00146D6D" w:rsidRPr="003D6474">
        <w:rPr>
          <w:lang w:val="en-GB"/>
        </w:rPr>
        <w:t>2010)</w:t>
      </w:r>
      <w:r w:rsidRPr="003D6474">
        <w:rPr>
          <w:lang w:val="en-GB"/>
        </w:rPr>
        <w:t>. In this paper</w:t>
      </w:r>
      <w:r w:rsidR="005B0F2E" w:rsidRPr="003D6474">
        <w:rPr>
          <w:lang w:val="en-GB"/>
        </w:rPr>
        <w:t xml:space="preserve">, the authors </w:t>
      </w:r>
      <w:r w:rsidR="00CA74FC" w:rsidRPr="003D6474">
        <w:rPr>
          <w:lang w:val="en-GB"/>
        </w:rPr>
        <w:t xml:space="preserve">adopt the approach proposed </w:t>
      </w:r>
      <w:r w:rsidRPr="003D6474">
        <w:rPr>
          <w:lang w:val="en-GB"/>
        </w:rPr>
        <w:t xml:space="preserve">by </w:t>
      </w:r>
      <w:r w:rsidR="0091223C" w:rsidRPr="003D6474">
        <w:rPr>
          <w:lang w:val="en-GB"/>
        </w:rPr>
        <w:t xml:space="preserve">Córdoba and Cegarra and </w:t>
      </w:r>
      <w:r w:rsidRPr="003D6474">
        <w:rPr>
          <w:lang w:val="en-GB"/>
        </w:rPr>
        <w:t xml:space="preserve">relate </w:t>
      </w:r>
      <w:r w:rsidR="0091223C" w:rsidRPr="003D6474">
        <w:rPr>
          <w:lang w:val="en-GB"/>
        </w:rPr>
        <w:t xml:space="preserve">it </w:t>
      </w:r>
      <w:r w:rsidRPr="003D6474">
        <w:rPr>
          <w:lang w:val="en-GB"/>
        </w:rPr>
        <w:t xml:space="preserve">to emerging literature </w:t>
      </w:r>
      <w:r w:rsidR="00730DEA" w:rsidRPr="003D6474">
        <w:rPr>
          <w:lang w:val="en-GB"/>
        </w:rPr>
        <w:t xml:space="preserve">on the links between </w:t>
      </w:r>
      <w:r w:rsidRPr="003D6474">
        <w:rPr>
          <w:lang w:val="en-GB"/>
        </w:rPr>
        <w:t xml:space="preserve">government </w:t>
      </w:r>
      <w:r w:rsidR="00730DEA" w:rsidRPr="003D6474">
        <w:rPr>
          <w:lang w:val="en-GB"/>
        </w:rPr>
        <w:t xml:space="preserve">and </w:t>
      </w:r>
      <w:r w:rsidRPr="003D6474">
        <w:rPr>
          <w:lang w:val="en-GB"/>
        </w:rPr>
        <w:t>business innovation</w:t>
      </w:r>
      <w:r w:rsidR="00730DEA" w:rsidRPr="003D6474">
        <w:rPr>
          <w:lang w:val="en-GB"/>
        </w:rPr>
        <w:t>s</w:t>
      </w:r>
      <w:r w:rsidR="0091223C" w:rsidRPr="003D6474">
        <w:rPr>
          <w:lang w:val="en-GB"/>
        </w:rPr>
        <w:t xml:space="preserve"> to then</w:t>
      </w:r>
      <w:r w:rsidRPr="003D6474">
        <w:rPr>
          <w:lang w:val="en-GB"/>
        </w:rPr>
        <w:t xml:space="preserve"> propose </w:t>
      </w:r>
      <w:r w:rsidR="0091223C" w:rsidRPr="003D6474">
        <w:rPr>
          <w:lang w:val="en-GB"/>
        </w:rPr>
        <w:t xml:space="preserve">an </w:t>
      </w:r>
      <w:r w:rsidR="006C67AC" w:rsidRPr="003D6474">
        <w:rPr>
          <w:lang w:val="en-GB"/>
        </w:rPr>
        <w:t>ecosystem</w:t>
      </w:r>
      <w:r w:rsidR="0091223C" w:rsidRPr="003D6474">
        <w:rPr>
          <w:lang w:val="en-GB"/>
        </w:rPr>
        <w:t>-</w:t>
      </w:r>
      <w:r w:rsidR="006C67AC" w:rsidRPr="003D6474">
        <w:rPr>
          <w:lang w:val="en-GB"/>
        </w:rPr>
        <w:t xml:space="preserve">oriented perspective </w:t>
      </w:r>
      <w:r w:rsidR="009D180C" w:rsidRPr="003D6474">
        <w:rPr>
          <w:lang w:val="en-GB"/>
        </w:rPr>
        <w:t xml:space="preserve">which </w:t>
      </w:r>
      <w:r w:rsidR="006C67AC" w:rsidRPr="003D6474">
        <w:rPr>
          <w:lang w:val="en-GB"/>
        </w:rPr>
        <w:t>include</w:t>
      </w:r>
      <w:r w:rsidR="009D180C" w:rsidRPr="003D6474">
        <w:rPr>
          <w:lang w:val="en-GB"/>
        </w:rPr>
        <w:t>s</w:t>
      </w:r>
      <w:r w:rsidR="006C67AC" w:rsidRPr="003D6474">
        <w:rPr>
          <w:lang w:val="en-GB"/>
        </w:rPr>
        <w:t xml:space="preserve"> governments as key actors in enabling business collaboration and innovation. </w:t>
      </w:r>
      <w:r w:rsidR="002F4098" w:rsidRPr="003D6474">
        <w:rPr>
          <w:lang w:val="en-GB"/>
        </w:rPr>
        <w:t>In doing so, t</w:t>
      </w:r>
      <w:r w:rsidR="007C2660" w:rsidRPr="003D6474">
        <w:rPr>
          <w:lang w:val="en-GB"/>
        </w:rPr>
        <w:t xml:space="preserve">he authors </w:t>
      </w:r>
      <w:r w:rsidR="006C67AC" w:rsidRPr="003D6474">
        <w:rPr>
          <w:lang w:val="en-GB"/>
        </w:rPr>
        <w:t xml:space="preserve">also intend to contribute to </w:t>
      </w:r>
      <w:r w:rsidR="00740513" w:rsidRPr="003D6474">
        <w:rPr>
          <w:lang w:val="en-GB"/>
        </w:rPr>
        <w:t xml:space="preserve">the </w:t>
      </w:r>
      <w:r w:rsidR="006C67AC" w:rsidRPr="003D6474">
        <w:rPr>
          <w:lang w:val="en-GB"/>
        </w:rPr>
        <w:t xml:space="preserve">emerging </w:t>
      </w:r>
      <w:r w:rsidR="00740513" w:rsidRPr="003D6474">
        <w:rPr>
          <w:lang w:val="en-GB"/>
        </w:rPr>
        <w:t xml:space="preserve">debate on </w:t>
      </w:r>
      <w:r w:rsidR="006C67AC" w:rsidRPr="003D6474">
        <w:rPr>
          <w:lang w:val="en-GB"/>
        </w:rPr>
        <w:t xml:space="preserve">the roles that other actors </w:t>
      </w:r>
      <w:r w:rsidR="004F5DAE" w:rsidRPr="003D6474">
        <w:rPr>
          <w:lang w:val="en-GB"/>
        </w:rPr>
        <w:t xml:space="preserve">such as the </w:t>
      </w:r>
      <w:r w:rsidR="006C67AC" w:rsidRPr="003D6474">
        <w:rPr>
          <w:lang w:val="en-GB"/>
        </w:rPr>
        <w:t>civil society</w:t>
      </w:r>
      <w:r w:rsidR="004F5DAE" w:rsidRPr="003D6474">
        <w:rPr>
          <w:lang w:val="en-GB"/>
        </w:rPr>
        <w:t xml:space="preserve"> and </w:t>
      </w:r>
      <w:r w:rsidR="006C67AC" w:rsidRPr="003D6474">
        <w:rPr>
          <w:lang w:val="en-GB"/>
        </w:rPr>
        <w:t xml:space="preserve">universities can play in enabling technology transfer to flourish and be sustained through deeper structural change (Carayannis </w:t>
      </w:r>
      <w:r w:rsidR="00BF6451" w:rsidRPr="003D6474">
        <w:rPr>
          <w:lang w:val="en-GB"/>
        </w:rPr>
        <w:t>&amp;</w:t>
      </w:r>
      <w:r w:rsidR="006C67AC" w:rsidRPr="003D6474">
        <w:rPr>
          <w:lang w:val="en-GB"/>
        </w:rPr>
        <w:t xml:space="preserve"> Rakhmatullin</w:t>
      </w:r>
      <w:r w:rsidR="00BF6451" w:rsidRPr="003D6474">
        <w:rPr>
          <w:lang w:val="en-GB"/>
        </w:rPr>
        <w:t>, 2014</w:t>
      </w:r>
      <w:r w:rsidR="006C67AC" w:rsidRPr="003D6474">
        <w:rPr>
          <w:lang w:val="en-GB"/>
        </w:rPr>
        <w:t>).</w:t>
      </w:r>
    </w:p>
    <w:p w:rsidR="006C67AC" w:rsidRPr="003D6474" w:rsidRDefault="006C67AC" w:rsidP="003B10E7">
      <w:pPr>
        <w:pStyle w:val="BodyText"/>
        <w:ind w:firstLine="540"/>
        <w:rPr>
          <w:lang w:val="en-GB"/>
        </w:rPr>
      </w:pPr>
    </w:p>
    <w:p w:rsidR="00A77F5C" w:rsidRPr="003D6474" w:rsidRDefault="006C67AC" w:rsidP="003B10E7">
      <w:pPr>
        <w:pStyle w:val="BodyText"/>
        <w:rPr>
          <w:lang w:val="en-GB"/>
        </w:rPr>
      </w:pPr>
      <w:r w:rsidRPr="003D6474">
        <w:rPr>
          <w:lang w:val="en-GB"/>
        </w:rPr>
        <w:t xml:space="preserve">To </w:t>
      </w:r>
      <w:r w:rsidR="004D1831" w:rsidRPr="003D6474">
        <w:rPr>
          <w:lang w:val="en-GB"/>
        </w:rPr>
        <w:t xml:space="preserve">achieve </w:t>
      </w:r>
      <w:r w:rsidR="00D41ECA" w:rsidRPr="003D6474">
        <w:rPr>
          <w:lang w:val="en-GB"/>
        </w:rPr>
        <w:t xml:space="preserve">its </w:t>
      </w:r>
      <w:r w:rsidRPr="003D6474">
        <w:rPr>
          <w:lang w:val="en-GB"/>
        </w:rPr>
        <w:t xml:space="preserve">aims, this paper </w:t>
      </w:r>
      <w:r w:rsidR="00EE2BDF" w:rsidRPr="003D6474">
        <w:rPr>
          <w:lang w:val="en-GB"/>
        </w:rPr>
        <w:t xml:space="preserve">adopts </w:t>
      </w:r>
      <w:r w:rsidRPr="003D6474">
        <w:rPr>
          <w:lang w:val="en-GB"/>
        </w:rPr>
        <w:t>a knowledge</w:t>
      </w:r>
      <w:r w:rsidR="005D3FEF" w:rsidRPr="003D6474">
        <w:rPr>
          <w:lang w:val="en-GB"/>
        </w:rPr>
        <w:t>-</w:t>
      </w:r>
      <w:r w:rsidRPr="003D6474">
        <w:rPr>
          <w:lang w:val="en-GB"/>
        </w:rPr>
        <w:t xml:space="preserve">based perspective </w:t>
      </w:r>
      <w:r w:rsidR="00087792" w:rsidRPr="003D6474">
        <w:rPr>
          <w:lang w:val="en-GB"/>
        </w:rPr>
        <w:t xml:space="preserve">of government services </w:t>
      </w:r>
      <w:r w:rsidRPr="003D6474">
        <w:rPr>
          <w:lang w:val="en-GB"/>
        </w:rPr>
        <w:t xml:space="preserve">and capitalises on insights gained through </w:t>
      </w:r>
      <w:r w:rsidR="005F5EF1" w:rsidRPr="003D6474">
        <w:rPr>
          <w:lang w:val="en-GB"/>
        </w:rPr>
        <w:t xml:space="preserve">an understanding of these </w:t>
      </w:r>
      <w:r w:rsidRPr="003D6474">
        <w:rPr>
          <w:lang w:val="en-GB"/>
        </w:rPr>
        <w:t xml:space="preserve">as knowledge systems (Cegarra </w:t>
      </w:r>
      <w:r w:rsidRPr="003D6474">
        <w:rPr>
          <w:i/>
          <w:lang w:val="en-GB"/>
        </w:rPr>
        <w:t>et al</w:t>
      </w:r>
      <w:r w:rsidR="00982BA8" w:rsidRPr="003D6474">
        <w:rPr>
          <w:lang w:val="en-GB"/>
        </w:rPr>
        <w:t>.</w:t>
      </w:r>
      <w:r w:rsidRPr="003D6474">
        <w:rPr>
          <w:lang w:val="en-GB"/>
        </w:rPr>
        <w:t>, 2007). A framework to facilitate knowledge exchange</w:t>
      </w:r>
      <w:r w:rsidR="00405F10" w:rsidRPr="003D6474">
        <w:rPr>
          <w:lang w:val="en-GB"/>
        </w:rPr>
        <w:t xml:space="preserve"> between government and industry partners</w:t>
      </w:r>
      <w:r w:rsidRPr="003D6474">
        <w:rPr>
          <w:lang w:val="en-GB"/>
        </w:rPr>
        <w:t xml:space="preserve"> is proposed and tested </w:t>
      </w:r>
      <w:r w:rsidR="00E101AD" w:rsidRPr="003D6474">
        <w:rPr>
          <w:lang w:val="en-GB"/>
        </w:rPr>
        <w:t xml:space="preserve">taking as a </w:t>
      </w:r>
      <w:r w:rsidRPr="003D6474">
        <w:rPr>
          <w:lang w:val="en-GB"/>
        </w:rPr>
        <w:t xml:space="preserve">reference the Spanish </w:t>
      </w:r>
      <w:r w:rsidR="00255F0E" w:rsidRPr="003D6474">
        <w:rPr>
          <w:lang w:val="en-GB"/>
        </w:rPr>
        <w:t>hospitality</w:t>
      </w:r>
      <w:r w:rsidR="005F6D74" w:rsidRPr="003D6474">
        <w:rPr>
          <w:lang w:val="en-GB"/>
        </w:rPr>
        <w:t xml:space="preserve"> </w:t>
      </w:r>
      <w:r w:rsidRPr="003D6474">
        <w:rPr>
          <w:lang w:val="en-GB"/>
        </w:rPr>
        <w:t xml:space="preserve">sector. </w:t>
      </w:r>
      <w:r w:rsidR="00487684" w:rsidRPr="003D6474">
        <w:rPr>
          <w:lang w:val="en-GB"/>
        </w:rPr>
        <w:t xml:space="preserve">The framework proposes three key </w:t>
      </w:r>
      <w:r w:rsidR="00A77F5C" w:rsidRPr="003D6474">
        <w:rPr>
          <w:lang w:val="en-GB"/>
        </w:rPr>
        <w:t xml:space="preserve">structures </w:t>
      </w:r>
      <w:r w:rsidR="00487684" w:rsidRPr="003D6474">
        <w:rPr>
          <w:lang w:val="en-GB"/>
        </w:rPr>
        <w:t>to facilitate knowledge exchange between government and businesses</w:t>
      </w:r>
      <w:r w:rsidR="009D6BD6" w:rsidRPr="003D6474">
        <w:rPr>
          <w:lang w:val="en-GB"/>
        </w:rPr>
        <w:t>, namely</w:t>
      </w:r>
      <w:r w:rsidR="00BA6217" w:rsidRPr="003D6474">
        <w:rPr>
          <w:lang w:val="en-GB"/>
        </w:rPr>
        <w:t xml:space="preserve"> </w:t>
      </w:r>
      <w:r w:rsidR="00A77F5C" w:rsidRPr="003D6474">
        <w:rPr>
          <w:lang w:val="en-GB"/>
        </w:rPr>
        <w:t xml:space="preserve">external communities, workplace communities and </w:t>
      </w:r>
      <w:r w:rsidR="009D6BD6" w:rsidRPr="003D6474">
        <w:rPr>
          <w:lang w:val="en-GB"/>
        </w:rPr>
        <w:t xml:space="preserve">organisational </w:t>
      </w:r>
      <w:r w:rsidR="00A77F5C" w:rsidRPr="003D6474">
        <w:rPr>
          <w:lang w:val="en-GB"/>
        </w:rPr>
        <w:t>context</w:t>
      </w:r>
      <w:r w:rsidR="00BA6217" w:rsidRPr="003D6474">
        <w:rPr>
          <w:lang w:val="en-GB"/>
        </w:rPr>
        <w:t xml:space="preserve">. </w:t>
      </w:r>
      <w:r w:rsidR="006204FC" w:rsidRPr="003D6474">
        <w:rPr>
          <w:lang w:val="en-GB"/>
        </w:rPr>
        <w:t xml:space="preserve">Through an empirical study of 130 </w:t>
      </w:r>
      <w:r w:rsidR="006756CB" w:rsidRPr="003D6474">
        <w:rPr>
          <w:lang w:val="en-GB"/>
        </w:rPr>
        <w:t xml:space="preserve">Spanish </w:t>
      </w:r>
      <w:r w:rsidR="006204FC" w:rsidRPr="003D6474">
        <w:t>hotels</w:t>
      </w:r>
      <w:r w:rsidR="006756CB" w:rsidRPr="003D6474">
        <w:t>,</w:t>
      </w:r>
      <w:r w:rsidR="006204FC" w:rsidRPr="003D6474">
        <w:rPr>
          <w:lang w:val="en-GB"/>
        </w:rPr>
        <w:t xml:space="preserve"> </w:t>
      </w:r>
      <w:r w:rsidR="006756CB" w:rsidRPr="003D6474">
        <w:rPr>
          <w:lang w:val="en-GB"/>
        </w:rPr>
        <w:t>t</w:t>
      </w:r>
      <w:r w:rsidR="00A77F5C" w:rsidRPr="003D6474">
        <w:rPr>
          <w:lang w:val="en-GB"/>
        </w:rPr>
        <w:t xml:space="preserve">his paper examines how these </w:t>
      </w:r>
      <w:r w:rsidR="006756CB" w:rsidRPr="003D6474">
        <w:rPr>
          <w:lang w:val="en-GB"/>
        </w:rPr>
        <w:t xml:space="preserve">three key </w:t>
      </w:r>
      <w:r w:rsidR="00A77F5C" w:rsidRPr="003D6474">
        <w:rPr>
          <w:lang w:val="en-GB"/>
        </w:rPr>
        <w:t xml:space="preserve">structures can help </w:t>
      </w:r>
      <w:r w:rsidR="00A45256" w:rsidRPr="003D6474">
        <w:rPr>
          <w:lang w:val="en-GB"/>
        </w:rPr>
        <w:t xml:space="preserve">the hospitality sector </w:t>
      </w:r>
      <w:r w:rsidR="001565D0" w:rsidRPr="003D6474">
        <w:rPr>
          <w:lang w:val="en-GB"/>
        </w:rPr>
        <w:t xml:space="preserve">benefit from </w:t>
      </w:r>
      <w:r w:rsidR="00A77F5C" w:rsidRPr="003D6474">
        <w:rPr>
          <w:lang w:val="en-GB"/>
        </w:rPr>
        <w:t>electronic government services</w:t>
      </w:r>
      <w:r w:rsidR="001A00A6" w:rsidRPr="003D6474">
        <w:rPr>
          <w:lang w:val="en-GB"/>
        </w:rPr>
        <w:t>.</w:t>
      </w:r>
    </w:p>
    <w:p w:rsidR="00A77F5C" w:rsidRPr="003D6474" w:rsidRDefault="00A77F5C" w:rsidP="003B10E7">
      <w:pPr>
        <w:pStyle w:val="BodyText"/>
        <w:rPr>
          <w:lang w:val="en-GB"/>
        </w:rPr>
      </w:pPr>
    </w:p>
    <w:p w:rsidR="00EA484F" w:rsidRPr="003D6474" w:rsidRDefault="00EA484F" w:rsidP="003B10E7">
      <w:pPr>
        <w:pStyle w:val="BodyText"/>
        <w:rPr>
          <w:lang w:val="en-GB"/>
        </w:rPr>
      </w:pPr>
      <w:r w:rsidRPr="003D6474">
        <w:rPr>
          <w:lang w:val="en-GB"/>
        </w:rPr>
        <w:t xml:space="preserve">The main conclusion from </w:t>
      </w:r>
      <w:r w:rsidR="003E4F58" w:rsidRPr="003D6474">
        <w:rPr>
          <w:lang w:val="en-GB"/>
        </w:rPr>
        <w:t xml:space="preserve">this </w:t>
      </w:r>
      <w:r w:rsidRPr="003D6474">
        <w:rPr>
          <w:lang w:val="en-GB"/>
        </w:rPr>
        <w:t xml:space="preserve">empirical study is that </w:t>
      </w:r>
      <w:r w:rsidR="00B9729C" w:rsidRPr="003D6474">
        <w:rPr>
          <w:lang w:val="en-GB"/>
        </w:rPr>
        <w:t xml:space="preserve">online government services can be better fostered nurturing external communities </w:t>
      </w:r>
      <w:r w:rsidR="002D4ED2" w:rsidRPr="003D6474">
        <w:rPr>
          <w:lang w:val="en-GB"/>
        </w:rPr>
        <w:t xml:space="preserve">while also </w:t>
      </w:r>
      <w:r w:rsidR="00B9729C" w:rsidRPr="003D6474">
        <w:rPr>
          <w:lang w:val="en-GB"/>
        </w:rPr>
        <w:t>setting up internal working communities and practices</w:t>
      </w:r>
      <w:r w:rsidRPr="003D6474">
        <w:rPr>
          <w:lang w:val="en-GB"/>
        </w:rPr>
        <w:t xml:space="preserve">. The model and its insights can also </w:t>
      </w:r>
      <w:r w:rsidR="00DB09F1" w:rsidRPr="003D6474">
        <w:rPr>
          <w:lang w:val="en-GB"/>
        </w:rPr>
        <w:t xml:space="preserve">inform initiatives </w:t>
      </w:r>
      <w:r w:rsidR="00C323C7" w:rsidRPr="003D6474">
        <w:rPr>
          <w:lang w:val="en-GB"/>
        </w:rPr>
        <w:t xml:space="preserve">which seek </w:t>
      </w:r>
      <w:r w:rsidRPr="003D6474">
        <w:rPr>
          <w:lang w:val="en-GB"/>
        </w:rPr>
        <w:t>to pursue ecosystem</w:t>
      </w:r>
      <w:r w:rsidR="009D180C" w:rsidRPr="003D6474">
        <w:rPr>
          <w:lang w:val="en-GB"/>
        </w:rPr>
        <w:t>-</w:t>
      </w:r>
      <w:r w:rsidRPr="003D6474">
        <w:rPr>
          <w:lang w:val="en-GB"/>
        </w:rPr>
        <w:t>oriented research and practice</w:t>
      </w:r>
      <w:r w:rsidR="00A3246F" w:rsidRPr="003D6474">
        <w:rPr>
          <w:lang w:val="en-GB"/>
        </w:rPr>
        <w:t>, as well as</w:t>
      </w:r>
      <w:r w:rsidRPr="003D6474">
        <w:rPr>
          <w:lang w:val="en-GB"/>
        </w:rPr>
        <w:t xml:space="preserve"> future policy and technology transfer initiatives.</w:t>
      </w:r>
      <w:r w:rsidR="00EE058C" w:rsidRPr="003D6474">
        <w:rPr>
          <w:lang w:val="en-GB"/>
        </w:rPr>
        <w:t xml:space="preserve"> </w:t>
      </w:r>
      <w:r w:rsidR="00B9729C" w:rsidRPr="003D6474">
        <w:rPr>
          <w:lang w:val="en-GB"/>
        </w:rPr>
        <w:t xml:space="preserve">This paper has been </w:t>
      </w:r>
      <w:r w:rsidR="005E7F84" w:rsidRPr="003D6474">
        <w:rPr>
          <w:lang w:val="en-GB"/>
        </w:rPr>
        <w:t xml:space="preserve">structured </w:t>
      </w:r>
      <w:r w:rsidR="00B9729C" w:rsidRPr="003D6474">
        <w:rPr>
          <w:lang w:val="en-GB"/>
        </w:rPr>
        <w:t xml:space="preserve">as follows: Section 2 </w:t>
      </w:r>
      <w:r w:rsidR="00EF754A" w:rsidRPr="003D6474">
        <w:rPr>
          <w:lang w:val="en-GB"/>
        </w:rPr>
        <w:t xml:space="preserve">studies </w:t>
      </w:r>
      <w:r w:rsidR="00D7224C" w:rsidRPr="003D6474">
        <w:rPr>
          <w:lang w:val="en-GB"/>
        </w:rPr>
        <w:t xml:space="preserve">some </w:t>
      </w:r>
      <w:r w:rsidR="00B9729C" w:rsidRPr="003D6474">
        <w:rPr>
          <w:lang w:val="en-GB"/>
        </w:rPr>
        <w:t xml:space="preserve">of the </w:t>
      </w:r>
      <w:r w:rsidR="00D7224C" w:rsidRPr="003D6474">
        <w:rPr>
          <w:lang w:val="en-GB"/>
        </w:rPr>
        <w:t xml:space="preserve">key </w:t>
      </w:r>
      <w:r w:rsidR="00B9729C" w:rsidRPr="003D6474">
        <w:rPr>
          <w:lang w:val="en-GB"/>
        </w:rPr>
        <w:t xml:space="preserve">variables </w:t>
      </w:r>
      <w:r w:rsidR="00044E94" w:rsidRPr="003D6474">
        <w:rPr>
          <w:lang w:val="en-GB"/>
        </w:rPr>
        <w:t xml:space="preserve">considered </w:t>
      </w:r>
      <w:r w:rsidR="002C0AB0" w:rsidRPr="003D6474">
        <w:rPr>
          <w:lang w:val="en-GB"/>
        </w:rPr>
        <w:t xml:space="preserve">to be </w:t>
      </w:r>
      <w:r w:rsidR="00044E94" w:rsidRPr="003D6474">
        <w:rPr>
          <w:lang w:val="en-GB"/>
        </w:rPr>
        <w:t xml:space="preserve">relevant for a </w:t>
      </w:r>
      <w:r w:rsidR="002C0AB0" w:rsidRPr="003D6474">
        <w:rPr>
          <w:lang w:val="en-GB"/>
        </w:rPr>
        <w:t xml:space="preserve">successful </w:t>
      </w:r>
      <w:r w:rsidR="00044E94" w:rsidRPr="003D6474">
        <w:rPr>
          <w:lang w:val="en-GB"/>
        </w:rPr>
        <w:t xml:space="preserve">knowledge exchange </w:t>
      </w:r>
      <w:r w:rsidR="00405F10" w:rsidRPr="003D6474">
        <w:rPr>
          <w:lang w:val="en-GB"/>
        </w:rPr>
        <w:t>between government and industry partners</w:t>
      </w:r>
      <w:r w:rsidR="0047780A" w:rsidRPr="003D6474">
        <w:rPr>
          <w:lang w:val="en-GB"/>
        </w:rPr>
        <w:t xml:space="preserve">.  Potential </w:t>
      </w:r>
      <w:r w:rsidR="00B9729C" w:rsidRPr="003D6474">
        <w:rPr>
          <w:lang w:val="en-GB"/>
        </w:rPr>
        <w:t xml:space="preserve"> relationships </w:t>
      </w:r>
      <w:r w:rsidR="0047780A" w:rsidRPr="003D6474">
        <w:rPr>
          <w:lang w:val="en-GB"/>
        </w:rPr>
        <w:t>between such variables are then outlined</w:t>
      </w:r>
      <w:r w:rsidR="00B9729C" w:rsidRPr="003D6474">
        <w:rPr>
          <w:lang w:val="en-GB"/>
        </w:rPr>
        <w:t xml:space="preserve">. Section 3 </w:t>
      </w:r>
      <w:r w:rsidR="009610C1" w:rsidRPr="003D6474">
        <w:rPr>
          <w:lang w:val="en-GB"/>
        </w:rPr>
        <w:t xml:space="preserve">focuses on the methodological approach </w:t>
      </w:r>
      <w:r w:rsidR="00AB1641" w:rsidRPr="003D6474">
        <w:rPr>
          <w:lang w:val="en-GB"/>
        </w:rPr>
        <w:t xml:space="preserve">adopted by </w:t>
      </w:r>
      <w:r w:rsidR="00B9729C" w:rsidRPr="003D6474">
        <w:rPr>
          <w:lang w:val="en-GB"/>
        </w:rPr>
        <w:t>describ</w:t>
      </w:r>
      <w:r w:rsidR="00AB1641" w:rsidRPr="003D6474">
        <w:rPr>
          <w:lang w:val="en-GB"/>
        </w:rPr>
        <w:t>ing</w:t>
      </w:r>
      <w:r w:rsidR="00B9729C" w:rsidRPr="003D6474">
        <w:rPr>
          <w:lang w:val="en-GB"/>
        </w:rPr>
        <w:t xml:space="preserve"> the sample</w:t>
      </w:r>
      <w:r w:rsidR="00AB1641" w:rsidRPr="003D6474">
        <w:rPr>
          <w:lang w:val="en-GB"/>
        </w:rPr>
        <w:t xml:space="preserve"> population involved in the research and</w:t>
      </w:r>
      <w:r w:rsidR="00B9729C" w:rsidRPr="003D6474">
        <w:rPr>
          <w:lang w:val="en-GB"/>
        </w:rPr>
        <w:t xml:space="preserve"> the measurements </w:t>
      </w:r>
      <w:r w:rsidR="00AB1641" w:rsidRPr="003D6474">
        <w:rPr>
          <w:lang w:val="en-GB"/>
        </w:rPr>
        <w:t xml:space="preserve">adopted for </w:t>
      </w:r>
      <w:r w:rsidR="00B9729C" w:rsidRPr="003D6474">
        <w:rPr>
          <w:lang w:val="en-GB"/>
        </w:rPr>
        <w:t xml:space="preserve">each of the variables. Section 4 presents the </w:t>
      </w:r>
      <w:r w:rsidR="00424483" w:rsidRPr="003D6474">
        <w:rPr>
          <w:lang w:val="en-GB"/>
        </w:rPr>
        <w:t xml:space="preserve">main </w:t>
      </w:r>
      <w:r w:rsidR="00B9729C" w:rsidRPr="003D6474">
        <w:rPr>
          <w:lang w:val="en-GB"/>
        </w:rPr>
        <w:t xml:space="preserve">results, while Section 5 </w:t>
      </w:r>
      <w:r w:rsidR="00A86552" w:rsidRPr="003D6474">
        <w:rPr>
          <w:lang w:val="en-GB"/>
        </w:rPr>
        <w:t xml:space="preserve">highlights </w:t>
      </w:r>
      <w:r w:rsidR="00B9729C" w:rsidRPr="003D6474">
        <w:rPr>
          <w:lang w:val="en-GB"/>
        </w:rPr>
        <w:t xml:space="preserve">the conclusions </w:t>
      </w:r>
      <w:r w:rsidR="00A86552" w:rsidRPr="003D6474">
        <w:rPr>
          <w:lang w:val="en-GB"/>
        </w:rPr>
        <w:t>and lessons learned</w:t>
      </w:r>
      <w:r w:rsidR="00B9729C" w:rsidRPr="003D6474">
        <w:rPr>
          <w:lang w:val="en-GB"/>
        </w:rPr>
        <w:t>.</w:t>
      </w:r>
    </w:p>
    <w:p w:rsidR="00B9729C" w:rsidRPr="003D6474" w:rsidRDefault="00B9729C" w:rsidP="003B10E7">
      <w:pPr>
        <w:pStyle w:val="BodyText"/>
        <w:rPr>
          <w:lang w:val="en-GB"/>
        </w:rPr>
      </w:pPr>
    </w:p>
    <w:p w:rsidR="00B9729C" w:rsidRPr="003D6474" w:rsidRDefault="00B9729C" w:rsidP="003B10E7">
      <w:pPr>
        <w:tabs>
          <w:tab w:val="center" w:pos="0"/>
        </w:tabs>
        <w:autoSpaceDE w:val="0"/>
        <w:autoSpaceDN w:val="0"/>
        <w:adjustRightInd w:val="0"/>
        <w:ind w:right="-79"/>
        <w:jc w:val="both"/>
        <w:rPr>
          <w:b/>
          <w:lang w:val="en-GB"/>
        </w:rPr>
      </w:pPr>
      <w:r w:rsidRPr="003D6474">
        <w:rPr>
          <w:b/>
          <w:lang w:val="en-GB"/>
        </w:rPr>
        <w:t>2. The proposed research model</w:t>
      </w:r>
    </w:p>
    <w:p w:rsidR="00B9729C" w:rsidRPr="003D6474" w:rsidRDefault="00B9729C" w:rsidP="003B10E7">
      <w:pPr>
        <w:pStyle w:val="BodyText"/>
        <w:rPr>
          <w:bCs/>
        </w:rPr>
      </w:pPr>
    </w:p>
    <w:p w:rsidR="00B9729C" w:rsidRPr="003D6474" w:rsidRDefault="00B9729C" w:rsidP="003B10E7">
      <w:pPr>
        <w:pStyle w:val="BodyText"/>
        <w:rPr>
          <w:b/>
          <w:bCs/>
        </w:rPr>
      </w:pPr>
      <w:r w:rsidRPr="003D6474">
        <w:rPr>
          <w:b/>
          <w:bCs/>
        </w:rPr>
        <w:t xml:space="preserve">2.1 </w:t>
      </w:r>
      <w:r w:rsidR="00B17DD1" w:rsidRPr="003D6474">
        <w:rPr>
          <w:b/>
          <w:lang w:val="en-GB"/>
        </w:rPr>
        <w:t>Online government services</w:t>
      </w:r>
      <w:r w:rsidR="008C07C2" w:rsidRPr="003D6474">
        <w:rPr>
          <w:b/>
          <w:bCs/>
        </w:rPr>
        <w:t xml:space="preserve"> and knowledge </w:t>
      </w:r>
      <w:r w:rsidR="00B2067A" w:rsidRPr="003D6474">
        <w:rPr>
          <w:b/>
          <w:bCs/>
        </w:rPr>
        <w:t>structures</w:t>
      </w:r>
    </w:p>
    <w:p w:rsidR="006C67AC" w:rsidRPr="003D6474" w:rsidRDefault="006C67AC" w:rsidP="003B10E7">
      <w:pPr>
        <w:pStyle w:val="BodyText"/>
      </w:pPr>
    </w:p>
    <w:p w:rsidR="00730DEA" w:rsidRPr="003D6474" w:rsidRDefault="0018534C" w:rsidP="003B10E7">
      <w:pPr>
        <w:pStyle w:val="BodyText"/>
        <w:rPr>
          <w:lang w:val="en-GB"/>
        </w:rPr>
      </w:pPr>
      <w:r w:rsidRPr="003D6474">
        <w:rPr>
          <w:lang w:val="en-GB"/>
        </w:rPr>
        <w:t>In the cont</w:t>
      </w:r>
      <w:r w:rsidR="0081746D" w:rsidRPr="003D6474">
        <w:rPr>
          <w:lang w:val="en-GB"/>
        </w:rPr>
        <w:t>ext of the global information society and following more neoliberal ideas</w:t>
      </w:r>
      <w:r w:rsidR="00BE47C9" w:rsidRPr="003D6474">
        <w:rPr>
          <w:lang w:val="en-GB"/>
        </w:rPr>
        <w:t>,</w:t>
      </w:r>
      <w:r w:rsidR="0081746D" w:rsidRPr="003D6474">
        <w:rPr>
          <w:lang w:val="en-GB"/>
        </w:rPr>
        <w:t xml:space="preserve"> </w:t>
      </w:r>
      <w:r w:rsidR="00A619DF" w:rsidRPr="003D6474">
        <w:rPr>
          <w:lang w:val="en-GB"/>
        </w:rPr>
        <w:t xml:space="preserve">businesses play a prevalent role in </w:t>
      </w:r>
      <w:r w:rsidRPr="003D6474">
        <w:rPr>
          <w:lang w:val="en-GB"/>
        </w:rPr>
        <w:t xml:space="preserve">the pursuit of innovation and economic growth </w:t>
      </w:r>
      <w:r w:rsidR="00A619DF" w:rsidRPr="003D6474">
        <w:rPr>
          <w:lang w:val="en-GB"/>
        </w:rPr>
        <w:t xml:space="preserve">whilst </w:t>
      </w:r>
      <w:r w:rsidRPr="003D6474">
        <w:rPr>
          <w:lang w:val="en-GB"/>
        </w:rPr>
        <w:t xml:space="preserve">the role of governments </w:t>
      </w:r>
      <w:r w:rsidR="00A619DF" w:rsidRPr="003D6474">
        <w:rPr>
          <w:lang w:val="en-GB"/>
        </w:rPr>
        <w:t xml:space="preserve">is </w:t>
      </w:r>
      <w:r w:rsidRPr="003D6474">
        <w:rPr>
          <w:lang w:val="en-GB"/>
        </w:rPr>
        <w:t xml:space="preserve">seen more in terms of appropriately enabling and regulating markets </w:t>
      </w:r>
      <w:r w:rsidR="0081746D" w:rsidRPr="003D6474">
        <w:rPr>
          <w:lang w:val="en-GB"/>
        </w:rPr>
        <w:t xml:space="preserve">with punctual interventions </w:t>
      </w:r>
      <w:r w:rsidRPr="003D6474">
        <w:rPr>
          <w:lang w:val="en-GB"/>
        </w:rPr>
        <w:t>(</w:t>
      </w:r>
      <w:r w:rsidR="00B55DAE" w:rsidRPr="003D6474">
        <w:rPr>
          <w:lang w:val="en-GB"/>
        </w:rPr>
        <w:t>Lee &amp; Turban, 2001</w:t>
      </w:r>
      <w:r w:rsidRPr="003D6474">
        <w:rPr>
          <w:lang w:val="en-GB"/>
        </w:rPr>
        <w:t xml:space="preserve">). </w:t>
      </w:r>
      <w:r w:rsidR="0081746D" w:rsidRPr="003D6474">
        <w:rPr>
          <w:lang w:val="en-GB"/>
        </w:rPr>
        <w:t>With a growing conception of knowledge as an economic asset, knowledge intensive industries have become the focus of attention</w:t>
      </w:r>
      <w:r w:rsidR="00F16558" w:rsidRPr="003D6474">
        <w:rPr>
          <w:lang w:val="en-GB"/>
        </w:rPr>
        <w:t xml:space="preserve"> when it comes to innovation</w:t>
      </w:r>
      <w:r w:rsidR="00EE2356" w:rsidRPr="003D6474">
        <w:rPr>
          <w:lang w:val="en-GB"/>
        </w:rPr>
        <w:t>.</w:t>
      </w:r>
      <w:r w:rsidR="0081746D" w:rsidRPr="003D6474">
        <w:rPr>
          <w:lang w:val="en-GB"/>
        </w:rPr>
        <w:t xml:space="preserve"> </w:t>
      </w:r>
      <w:r w:rsidR="00B92868" w:rsidRPr="003D6474">
        <w:rPr>
          <w:lang w:val="en-GB"/>
        </w:rPr>
        <w:t xml:space="preserve">However, </w:t>
      </w:r>
      <w:r w:rsidR="0081746D" w:rsidRPr="003D6474">
        <w:rPr>
          <w:lang w:val="en-GB"/>
        </w:rPr>
        <w:t xml:space="preserve">the role of governments is </w:t>
      </w:r>
      <w:r w:rsidR="00B92868" w:rsidRPr="003D6474">
        <w:rPr>
          <w:lang w:val="en-GB"/>
        </w:rPr>
        <w:t xml:space="preserve">still </w:t>
      </w:r>
      <w:r w:rsidR="0081746D" w:rsidRPr="003D6474">
        <w:rPr>
          <w:lang w:val="en-GB"/>
        </w:rPr>
        <w:t xml:space="preserve">seen as </w:t>
      </w:r>
      <w:r w:rsidR="00620B6F" w:rsidRPr="003D6474">
        <w:rPr>
          <w:lang w:val="en-GB"/>
        </w:rPr>
        <w:t xml:space="preserve">a </w:t>
      </w:r>
      <w:r w:rsidR="0081746D" w:rsidRPr="003D6474">
        <w:rPr>
          <w:lang w:val="en-GB"/>
        </w:rPr>
        <w:t>facilitat</w:t>
      </w:r>
      <w:r w:rsidR="00620B6F" w:rsidRPr="003D6474">
        <w:rPr>
          <w:lang w:val="en-GB"/>
        </w:rPr>
        <w:t>or</w:t>
      </w:r>
      <w:r w:rsidR="0081746D" w:rsidRPr="003D6474">
        <w:rPr>
          <w:lang w:val="en-GB"/>
        </w:rPr>
        <w:t xml:space="preserve"> </w:t>
      </w:r>
      <w:r w:rsidR="00620B6F" w:rsidRPr="003D6474">
        <w:rPr>
          <w:lang w:val="en-GB"/>
        </w:rPr>
        <w:t xml:space="preserve">which </w:t>
      </w:r>
      <w:r w:rsidR="0081746D" w:rsidRPr="003D6474">
        <w:rPr>
          <w:lang w:val="en-GB"/>
        </w:rPr>
        <w:t>formulat</w:t>
      </w:r>
      <w:r w:rsidR="00620B6F" w:rsidRPr="003D6474">
        <w:rPr>
          <w:lang w:val="en-GB"/>
        </w:rPr>
        <w:t>es</w:t>
      </w:r>
      <w:r w:rsidR="0081746D" w:rsidRPr="003D6474">
        <w:rPr>
          <w:lang w:val="en-GB"/>
        </w:rPr>
        <w:t xml:space="preserve"> enabling polic</w:t>
      </w:r>
      <w:r w:rsidR="00021E07" w:rsidRPr="003D6474">
        <w:rPr>
          <w:lang w:val="en-GB"/>
        </w:rPr>
        <w:t>ies</w:t>
      </w:r>
      <w:r w:rsidR="005F656A" w:rsidRPr="003D6474">
        <w:rPr>
          <w:lang w:val="en-GB"/>
        </w:rPr>
        <w:t xml:space="preserve">, with limited </w:t>
      </w:r>
      <w:r w:rsidR="0081746D" w:rsidRPr="003D6474">
        <w:rPr>
          <w:lang w:val="en-GB"/>
        </w:rPr>
        <w:t>interven</w:t>
      </w:r>
      <w:r w:rsidR="005F656A" w:rsidRPr="003D6474">
        <w:rPr>
          <w:lang w:val="en-GB"/>
        </w:rPr>
        <w:t>tion</w:t>
      </w:r>
      <w:r w:rsidR="001D1E9B" w:rsidRPr="003D6474">
        <w:rPr>
          <w:lang w:val="en-GB"/>
        </w:rPr>
        <w:t xml:space="preserve"> in the innovation process</w:t>
      </w:r>
      <w:r w:rsidR="0081746D" w:rsidRPr="003D6474">
        <w:rPr>
          <w:lang w:val="en-GB"/>
        </w:rPr>
        <w:t xml:space="preserve">. </w:t>
      </w:r>
      <w:r w:rsidR="0045405F" w:rsidRPr="003D6474">
        <w:rPr>
          <w:lang w:val="en-GB"/>
        </w:rPr>
        <w:t xml:space="preserve">This dominant view contrasts with </w:t>
      </w:r>
      <w:r w:rsidR="001100BE" w:rsidRPr="003D6474">
        <w:rPr>
          <w:lang w:val="en-GB"/>
        </w:rPr>
        <w:t xml:space="preserve">important </w:t>
      </w:r>
      <w:r w:rsidR="0045405F" w:rsidRPr="003D6474">
        <w:rPr>
          <w:lang w:val="en-GB"/>
        </w:rPr>
        <w:t xml:space="preserve">investments made by </w:t>
      </w:r>
      <w:r w:rsidR="001100BE" w:rsidRPr="003D6474">
        <w:rPr>
          <w:lang w:val="en-GB"/>
        </w:rPr>
        <w:t xml:space="preserve">some </w:t>
      </w:r>
      <w:r w:rsidR="0045405F" w:rsidRPr="003D6474">
        <w:rPr>
          <w:lang w:val="en-GB"/>
        </w:rPr>
        <w:t xml:space="preserve">governments to </w:t>
      </w:r>
      <w:r w:rsidR="00913780" w:rsidRPr="003D6474">
        <w:rPr>
          <w:lang w:val="en-GB"/>
        </w:rPr>
        <w:t xml:space="preserve">extend </w:t>
      </w:r>
      <w:r w:rsidR="007650CE" w:rsidRPr="003D6474">
        <w:rPr>
          <w:lang w:val="en-GB"/>
        </w:rPr>
        <w:t xml:space="preserve">their service delivery to </w:t>
      </w:r>
      <w:r w:rsidR="00913780" w:rsidRPr="003D6474">
        <w:rPr>
          <w:lang w:val="en-GB"/>
        </w:rPr>
        <w:t xml:space="preserve">the </w:t>
      </w:r>
      <w:r w:rsidR="007650CE" w:rsidRPr="003D6474">
        <w:rPr>
          <w:lang w:val="en-GB"/>
        </w:rPr>
        <w:t xml:space="preserve">online </w:t>
      </w:r>
      <w:r w:rsidR="00913780" w:rsidRPr="003D6474">
        <w:rPr>
          <w:lang w:val="en-GB"/>
        </w:rPr>
        <w:t xml:space="preserve">environment </w:t>
      </w:r>
      <w:r w:rsidR="007650CE" w:rsidRPr="003D6474">
        <w:rPr>
          <w:lang w:val="en-GB"/>
        </w:rPr>
        <w:t xml:space="preserve">and lean </w:t>
      </w:r>
      <w:r w:rsidR="00913780" w:rsidRPr="003D6474">
        <w:rPr>
          <w:lang w:val="en-GB"/>
        </w:rPr>
        <w:t xml:space="preserve">their </w:t>
      </w:r>
      <w:r w:rsidR="007650CE" w:rsidRPr="003D6474">
        <w:rPr>
          <w:lang w:val="en-GB"/>
        </w:rPr>
        <w:t>wa</w:t>
      </w:r>
      <w:r w:rsidR="001F1C23" w:rsidRPr="003D6474">
        <w:rPr>
          <w:lang w:val="en-GB"/>
        </w:rPr>
        <w:t>y of operating (</w:t>
      </w:r>
      <w:r w:rsidR="00B16B24" w:rsidRPr="003D6474">
        <w:rPr>
          <w:lang w:val="en-GB"/>
        </w:rPr>
        <w:t xml:space="preserve">Janssen &amp; </w:t>
      </w:r>
      <w:r w:rsidR="00B16B24" w:rsidRPr="003D6474">
        <w:rPr>
          <w:lang w:val="en-GB"/>
        </w:rPr>
        <w:lastRenderedPageBreak/>
        <w:t>Kuk, 2007</w:t>
      </w:r>
      <w:r w:rsidR="001F1C23" w:rsidRPr="003D6474">
        <w:rPr>
          <w:lang w:val="en-GB"/>
        </w:rPr>
        <w:t xml:space="preserve">) </w:t>
      </w:r>
      <w:r w:rsidR="001100BE" w:rsidRPr="003D6474">
        <w:rPr>
          <w:lang w:val="en-GB"/>
        </w:rPr>
        <w:t xml:space="preserve">whilst also promoting direct business investment </w:t>
      </w:r>
      <w:r w:rsidR="001F1C23" w:rsidRPr="003D6474">
        <w:rPr>
          <w:lang w:val="en-GB"/>
        </w:rPr>
        <w:t>a</w:t>
      </w:r>
      <w:r w:rsidR="001100BE" w:rsidRPr="003D6474">
        <w:rPr>
          <w:lang w:val="en-GB"/>
        </w:rPr>
        <w:t xml:space="preserve">nd using </w:t>
      </w:r>
      <w:r w:rsidR="001F1C23" w:rsidRPr="003D6474">
        <w:rPr>
          <w:lang w:val="en-GB"/>
        </w:rPr>
        <w:t xml:space="preserve">social media </w:t>
      </w:r>
      <w:r w:rsidR="001100BE" w:rsidRPr="003D6474">
        <w:rPr>
          <w:lang w:val="en-GB"/>
        </w:rPr>
        <w:t>to enable better communications with their citizens</w:t>
      </w:r>
      <w:r w:rsidR="001F1C23" w:rsidRPr="003D6474">
        <w:rPr>
          <w:lang w:val="en-GB"/>
        </w:rPr>
        <w:t xml:space="preserve"> (Lee </w:t>
      </w:r>
      <w:r w:rsidR="00F10546" w:rsidRPr="003D6474">
        <w:rPr>
          <w:lang w:val="en-GB"/>
        </w:rPr>
        <w:t>&amp;</w:t>
      </w:r>
      <w:r w:rsidR="001F1C23" w:rsidRPr="003D6474">
        <w:rPr>
          <w:lang w:val="en-GB"/>
        </w:rPr>
        <w:t xml:space="preserve"> Kwak</w:t>
      </w:r>
      <w:r w:rsidR="006E2CF7" w:rsidRPr="003D6474">
        <w:rPr>
          <w:lang w:val="en-GB"/>
        </w:rPr>
        <w:t>, 2012</w:t>
      </w:r>
      <w:r w:rsidR="001F1C23" w:rsidRPr="003D6474">
        <w:rPr>
          <w:lang w:val="en-GB"/>
        </w:rPr>
        <w:t xml:space="preserve">). </w:t>
      </w:r>
      <w:r w:rsidR="00730DEA" w:rsidRPr="003D6474">
        <w:rPr>
          <w:lang w:val="en-GB"/>
        </w:rPr>
        <w:t xml:space="preserve"> </w:t>
      </w:r>
    </w:p>
    <w:p w:rsidR="00730DEA" w:rsidRPr="003D6474" w:rsidRDefault="00730DEA" w:rsidP="003B10E7">
      <w:pPr>
        <w:pStyle w:val="BodyText"/>
        <w:rPr>
          <w:lang w:val="en-GB"/>
        </w:rPr>
      </w:pPr>
    </w:p>
    <w:p w:rsidR="00B16B24" w:rsidRPr="003D6474" w:rsidRDefault="00730DEA" w:rsidP="00730DEA">
      <w:pPr>
        <w:pStyle w:val="BodyText"/>
      </w:pPr>
      <w:r w:rsidRPr="003D6474">
        <w:rPr>
          <w:lang w:val="en-GB"/>
        </w:rPr>
        <w:t xml:space="preserve">There could be many different avenues to pursue in the future development of online government services. </w:t>
      </w:r>
      <w:r w:rsidR="001F1C23" w:rsidRPr="003D6474">
        <w:rPr>
          <w:lang w:val="en-GB"/>
        </w:rPr>
        <w:t xml:space="preserve">As governments improve their online service delivery and information provision, they are </w:t>
      </w:r>
      <w:r w:rsidR="000F49C2" w:rsidRPr="003D6474">
        <w:rPr>
          <w:lang w:val="en-GB"/>
        </w:rPr>
        <w:t xml:space="preserve">less able </w:t>
      </w:r>
      <w:r w:rsidR="001F1C23" w:rsidRPr="003D6474">
        <w:rPr>
          <w:lang w:val="en-GB"/>
        </w:rPr>
        <w:t>to focus on transaction and more on interaction</w:t>
      </w:r>
      <w:r w:rsidR="00190693" w:rsidRPr="003D6474">
        <w:rPr>
          <w:lang w:val="en-GB"/>
        </w:rPr>
        <w:t>. Thus,</w:t>
      </w:r>
      <w:r w:rsidR="001F1C23" w:rsidRPr="003D6474">
        <w:rPr>
          <w:lang w:val="en-GB"/>
        </w:rPr>
        <w:t xml:space="preserve"> the landscape of traditional roles of governments and businesses becomes </w:t>
      </w:r>
      <w:r w:rsidR="00DD7B45" w:rsidRPr="003D6474">
        <w:rPr>
          <w:lang w:val="en-GB"/>
        </w:rPr>
        <w:t xml:space="preserve">more </w:t>
      </w:r>
      <w:r w:rsidR="001F1C23" w:rsidRPr="003D6474">
        <w:rPr>
          <w:lang w:val="en-GB"/>
        </w:rPr>
        <w:t>dynamic. Governments are now seen as important actors of ecosystems or ecologies</w:t>
      </w:r>
      <w:r w:rsidR="00EA3504" w:rsidRPr="003D6474">
        <w:rPr>
          <w:lang w:val="en-GB"/>
        </w:rPr>
        <w:t xml:space="preserve"> </w:t>
      </w:r>
      <w:r w:rsidR="001F1C23" w:rsidRPr="003D6474">
        <w:rPr>
          <w:lang w:val="en-GB"/>
        </w:rPr>
        <w:t>(</w:t>
      </w:r>
      <w:r w:rsidR="00411A96" w:rsidRPr="003D6474">
        <w:rPr>
          <w:lang w:val="en-GB"/>
        </w:rPr>
        <w:t xml:space="preserve">Bertot </w:t>
      </w:r>
      <w:r w:rsidR="00411A96" w:rsidRPr="003D6474">
        <w:rPr>
          <w:i/>
          <w:lang w:val="en-GB"/>
        </w:rPr>
        <w:t>et al</w:t>
      </w:r>
      <w:r w:rsidR="00411A96" w:rsidRPr="003D6474">
        <w:rPr>
          <w:lang w:val="en-GB"/>
        </w:rPr>
        <w:t>., 2012</w:t>
      </w:r>
      <w:r w:rsidR="00EA3504" w:rsidRPr="003D6474">
        <w:rPr>
          <w:lang w:val="en-GB"/>
        </w:rPr>
        <w:t xml:space="preserve">). </w:t>
      </w:r>
      <w:r w:rsidR="00EA3504" w:rsidRPr="003D6474">
        <w:t>An ecosystem is defined as a ‘system of people, practices, values and technologies in a particular environment’</w:t>
      </w:r>
      <w:r w:rsidR="002A143F" w:rsidRPr="003D6474">
        <w:t xml:space="preserve"> </w:t>
      </w:r>
      <w:r w:rsidR="00F10546" w:rsidRPr="003D6474">
        <w:t>(Nardi &amp; O'Day, 1999)</w:t>
      </w:r>
      <w:r w:rsidR="00EA3504" w:rsidRPr="003D6474">
        <w:t xml:space="preserve">. </w:t>
      </w:r>
      <w:r w:rsidR="00F10546" w:rsidRPr="003D6474">
        <w:t>Within this type of system there are key groups of people (mediators) who perform vital functions of boundary spanning across institutions</w:t>
      </w:r>
      <w:r w:rsidR="00DD7B45" w:rsidRPr="003D6474">
        <w:t>,</w:t>
      </w:r>
      <w:r w:rsidR="00F10546" w:rsidRPr="003D6474">
        <w:t xml:space="preserve"> including the development of platforms of data and services to be used by other people within the system (Harrison </w:t>
      </w:r>
      <w:r w:rsidR="00F10546" w:rsidRPr="003D6474">
        <w:rPr>
          <w:i/>
        </w:rPr>
        <w:t>et al</w:t>
      </w:r>
      <w:r w:rsidR="00F10546" w:rsidRPr="003D6474">
        <w:t xml:space="preserve">., 2012). Mediators introduce innovations in the ecosystem and therefore can contribute to add value to the services provided by it (Harrison </w:t>
      </w:r>
      <w:r w:rsidR="00F10546" w:rsidRPr="003D6474">
        <w:rPr>
          <w:i/>
        </w:rPr>
        <w:t>et al</w:t>
      </w:r>
      <w:r w:rsidR="00F10546" w:rsidRPr="003D6474">
        <w:t>. 2012).</w:t>
      </w:r>
    </w:p>
    <w:p w:rsidR="00F10546" w:rsidRPr="003D6474" w:rsidRDefault="00F10546" w:rsidP="003B10E7">
      <w:pPr>
        <w:autoSpaceDE w:val="0"/>
        <w:autoSpaceDN w:val="0"/>
        <w:adjustRightInd w:val="0"/>
        <w:jc w:val="both"/>
        <w:rPr>
          <w:lang w:val="en-US"/>
        </w:rPr>
      </w:pPr>
    </w:p>
    <w:p w:rsidR="0099442E" w:rsidRPr="003D6474" w:rsidRDefault="00EA3504" w:rsidP="0099442E">
      <w:pPr>
        <w:pStyle w:val="BodyText"/>
        <w:rPr>
          <w:lang w:val="en-GB"/>
        </w:rPr>
      </w:pPr>
      <w:r w:rsidRPr="003D6474">
        <w:rPr>
          <w:lang w:val="en-GB"/>
        </w:rPr>
        <w:t>Views like the above can be used to review the way</w:t>
      </w:r>
      <w:r w:rsidR="00B803B9" w:rsidRPr="003D6474">
        <w:rPr>
          <w:lang w:val="en-GB"/>
        </w:rPr>
        <w:t>s</w:t>
      </w:r>
      <w:r w:rsidRPr="003D6474">
        <w:rPr>
          <w:lang w:val="en-GB"/>
        </w:rPr>
        <w:t xml:space="preserve"> in which the use of technology has been conceived in government and business sectors. It suggest</w:t>
      </w:r>
      <w:r w:rsidR="00070903" w:rsidRPr="003D6474">
        <w:rPr>
          <w:lang w:val="en-GB"/>
        </w:rPr>
        <w:t>s</w:t>
      </w:r>
      <w:r w:rsidRPr="003D6474">
        <w:rPr>
          <w:lang w:val="en-GB"/>
        </w:rPr>
        <w:t xml:space="preserve"> gradual or </w:t>
      </w:r>
      <w:r w:rsidR="00E3047A" w:rsidRPr="003D6474">
        <w:rPr>
          <w:lang w:val="en-GB"/>
        </w:rPr>
        <w:t xml:space="preserve">even </w:t>
      </w:r>
      <w:r w:rsidRPr="003D6474">
        <w:rPr>
          <w:lang w:val="en-GB"/>
        </w:rPr>
        <w:t xml:space="preserve">radical </w:t>
      </w:r>
      <w:r w:rsidR="00C67F8D" w:rsidRPr="003D6474">
        <w:rPr>
          <w:lang w:val="en-GB"/>
        </w:rPr>
        <w:t xml:space="preserve">shifts </w:t>
      </w:r>
      <w:r w:rsidR="00070903" w:rsidRPr="003D6474">
        <w:rPr>
          <w:lang w:val="en-GB"/>
        </w:rPr>
        <w:t xml:space="preserve">in </w:t>
      </w:r>
      <w:r w:rsidR="00C67F8D" w:rsidRPr="003D6474">
        <w:rPr>
          <w:lang w:val="en-GB"/>
        </w:rPr>
        <w:t>ways of working towards collaboration and interaction. Partially in line with this view</w:t>
      </w:r>
      <w:r w:rsidR="00832E74" w:rsidRPr="003D6474">
        <w:rPr>
          <w:lang w:val="en-GB"/>
        </w:rPr>
        <w:t>s</w:t>
      </w:r>
      <w:r w:rsidR="00C67F8D" w:rsidRPr="003D6474">
        <w:rPr>
          <w:lang w:val="en-GB"/>
        </w:rPr>
        <w:t>, early work by Córdoba and Cegarra (2010) proposed a conceptual framework to bring small and medium enterprises (SMEs) closer to electronic government</w:t>
      </w:r>
      <w:r w:rsidR="008556E1" w:rsidRPr="003D6474">
        <w:rPr>
          <w:lang w:val="en-GB"/>
        </w:rPr>
        <w:t xml:space="preserve"> platform</w:t>
      </w:r>
      <w:r w:rsidR="001E51E3" w:rsidRPr="003D6474">
        <w:rPr>
          <w:lang w:val="en-GB"/>
        </w:rPr>
        <w:t>s</w:t>
      </w:r>
      <w:r w:rsidR="008556E1" w:rsidRPr="003D6474">
        <w:rPr>
          <w:lang w:val="en-GB"/>
        </w:rPr>
        <w:t xml:space="preserve"> and services</w:t>
      </w:r>
      <w:r w:rsidR="00C67F8D" w:rsidRPr="003D6474">
        <w:rPr>
          <w:lang w:val="en-GB"/>
        </w:rPr>
        <w:t xml:space="preserve">. The framework </w:t>
      </w:r>
      <w:r w:rsidR="001E51E3" w:rsidRPr="003D6474">
        <w:rPr>
          <w:lang w:val="en-GB"/>
        </w:rPr>
        <w:t xml:space="preserve">placed its </w:t>
      </w:r>
      <w:r w:rsidR="00C67F8D" w:rsidRPr="003D6474">
        <w:rPr>
          <w:lang w:val="en-GB"/>
        </w:rPr>
        <w:t xml:space="preserve">emphasis on how </w:t>
      </w:r>
      <w:r w:rsidR="00B17DD1" w:rsidRPr="003D6474">
        <w:rPr>
          <w:lang w:val="en-GB"/>
        </w:rPr>
        <w:t xml:space="preserve">online government services </w:t>
      </w:r>
      <w:r w:rsidR="00C67F8D" w:rsidRPr="003D6474">
        <w:rPr>
          <w:lang w:val="en-GB"/>
        </w:rPr>
        <w:t>could facilitate knowledge acquisition and renewal in SMEs</w:t>
      </w:r>
      <w:r w:rsidR="002A143F" w:rsidRPr="003D6474">
        <w:rPr>
          <w:lang w:val="en-GB"/>
        </w:rPr>
        <w:t>. The framework proposed</w:t>
      </w:r>
      <w:r w:rsidR="001100BE" w:rsidRPr="003D6474">
        <w:rPr>
          <w:lang w:val="en-GB"/>
        </w:rPr>
        <w:t xml:space="preserve"> considering online services as enablers of both knowledge exploration and exploitation activities in SMEs. To achieve this, it was </w:t>
      </w:r>
      <w:r w:rsidR="00E232FF" w:rsidRPr="003D6474">
        <w:rPr>
          <w:lang w:val="en-GB"/>
        </w:rPr>
        <w:t xml:space="preserve">seen </w:t>
      </w:r>
      <w:r w:rsidR="001100BE" w:rsidRPr="003D6474">
        <w:rPr>
          <w:lang w:val="en-GB"/>
        </w:rPr>
        <w:t xml:space="preserve">necessary to work at the SME level in order to develop better capabilities and governance of online services. </w:t>
      </w:r>
      <w:r w:rsidR="00C67F8D" w:rsidRPr="003D6474">
        <w:rPr>
          <w:lang w:val="en-GB"/>
        </w:rPr>
        <w:t xml:space="preserve">The partial alignment still </w:t>
      </w:r>
      <w:r w:rsidR="003E748C" w:rsidRPr="003D6474">
        <w:rPr>
          <w:lang w:val="en-GB"/>
        </w:rPr>
        <w:t xml:space="preserve">focused </w:t>
      </w:r>
      <w:r w:rsidR="00C67F8D" w:rsidRPr="003D6474">
        <w:rPr>
          <w:lang w:val="en-GB"/>
        </w:rPr>
        <w:t xml:space="preserve">on online services provision </w:t>
      </w:r>
      <w:r w:rsidR="006B6828" w:rsidRPr="003D6474">
        <w:rPr>
          <w:lang w:val="en-GB"/>
        </w:rPr>
        <w:t xml:space="preserve">instead of </w:t>
      </w:r>
      <w:r w:rsidR="00C67F8D" w:rsidRPr="003D6474">
        <w:rPr>
          <w:lang w:val="en-GB"/>
        </w:rPr>
        <w:t>bi-directional interaction</w:t>
      </w:r>
      <w:r w:rsidR="00E232FF" w:rsidRPr="003D6474">
        <w:rPr>
          <w:lang w:val="en-GB"/>
        </w:rPr>
        <w:t xml:space="preserve"> given that working </w:t>
      </w:r>
      <w:r w:rsidR="0099442E" w:rsidRPr="003D6474">
        <w:rPr>
          <w:lang w:val="en-GB"/>
        </w:rPr>
        <w:t xml:space="preserve">more closely </w:t>
      </w:r>
      <w:r w:rsidR="00E232FF" w:rsidRPr="003D6474">
        <w:rPr>
          <w:lang w:val="en-GB"/>
        </w:rPr>
        <w:t>with SMEs</w:t>
      </w:r>
      <w:r w:rsidR="0099442E" w:rsidRPr="003D6474">
        <w:rPr>
          <w:lang w:val="en-GB"/>
        </w:rPr>
        <w:t xml:space="preserve"> would also require governments to acknowledge that other actors (citizens, businesses) could be at the centre of innovation (Carayannis &amp; Rakhmatullin, 2014) and therefore governments could support rather than lea</w:t>
      </w:r>
      <w:r w:rsidR="00430F20" w:rsidRPr="003D6474">
        <w:rPr>
          <w:lang w:val="en-GB"/>
        </w:rPr>
        <w:t>d innovation.</w:t>
      </w:r>
    </w:p>
    <w:p w:rsidR="00411A96" w:rsidRPr="003D6474" w:rsidRDefault="00411A96" w:rsidP="003B10E7">
      <w:pPr>
        <w:autoSpaceDE w:val="0"/>
        <w:autoSpaceDN w:val="0"/>
        <w:adjustRightInd w:val="0"/>
        <w:jc w:val="both"/>
        <w:rPr>
          <w:lang w:val="en-GB"/>
        </w:rPr>
      </w:pPr>
    </w:p>
    <w:p w:rsidR="00B50A9D" w:rsidRPr="003D6474" w:rsidRDefault="004737CA" w:rsidP="003B10E7">
      <w:pPr>
        <w:pStyle w:val="BodyText"/>
        <w:rPr>
          <w:lang w:val="en-GB"/>
        </w:rPr>
      </w:pPr>
      <w:r w:rsidRPr="003D6474">
        <w:rPr>
          <w:lang w:val="en-GB"/>
        </w:rPr>
        <w:t xml:space="preserve">This research </w:t>
      </w:r>
      <w:r w:rsidR="00AB2E1C" w:rsidRPr="003D6474">
        <w:rPr>
          <w:lang w:val="en-GB"/>
        </w:rPr>
        <w:t>contribute</w:t>
      </w:r>
      <w:r w:rsidR="004A02C1" w:rsidRPr="003D6474">
        <w:rPr>
          <w:lang w:val="en-GB"/>
        </w:rPr>
        <w:t>s</w:t>
      </w:r>
      <w:r w:rsidR="00AB2E1C" w:rsidRPr="003D6474">
        <w:rPr>
          <w:lang w:val="en-GB"/>
        </w:rPr>
        <w:t xml:space="preserve"> to </w:t>
      </w:r>
      <w:r w:rsidR="00CD2596" w:rsidRPr="003D6474">
        <w:rPr>
          <w:lang w:val="en-GB"/>
        </w:rPr>
        <w:t xml:space="preserve">better understand how innovation can be fostered through bringing together different actors of political and knowledge systems (Carayannis &amp; Rakhmatullin, 2014). In line with the above, the aim is to assess </w:t>
      </w:r>
      <w:r w:rsidR="001C2406" w:rsidRPr="003D6474">
        <w:rPr>
          <w:lang w:val="en-GB"/>
        </w:rPr>
        <w:t xml:space="preserve">the </w:t>
      </w:r>
      <w:r w:rsidR="00CD2596" w:rsidRPr="003D6474">
        <w:rPr>
          <w:lang w:val="en-GB"/>
        </w:rPr>
        <w:t xml:space="preserve">mutual </w:t>
      </w:r>
      <w:r w:rsidR="001C2406" w:rsidRPr="003D6474">
        <w:rPr>
          <w:lang w:val="en-GB"/>
        </w:rPr>
        <w:t>impact</w:t>
      </w:r>
      <w:r w:rsidR="00CD2596" w:rsidRPr="003D6474">
        <w:rPr>
          <w:lang w:val="en-GB"/>
        </w:rPr>
        <w:t>s between</w:t>
      </w:r>
      <w:r w:rsidR="001C2406" w:rsidRPr="003D6474">
        <w:rPr>
          <w:lang w:val="en-GB"/>
        </w:rPr>
        <w:t xml:space="preserve"> knowledge</w:t>
      </w:r>
      <w:r w:rsidR="00A73810" w:rsidRPr="003D6474">
        <w:rPr>
          <w:lang w:val="en-GB"/>
        </w:rPr>
        <w:t>-</w:t>
      </w:r>
      <w:r w:rsidR="001C2406" w:rsidRPr="003D6474">
        <w:rPr>
          <w:lang w:val="en-GB"/>
        </w:rPr>
        <w:t xml:space="preserve">related practices in businesses </w:t>
      </w:r>
      <w:r w:rsidR="00CD2596" w:rsidRPr="003D6474">
        <w:rPr>
          <w:lang w:val="en-GB"/>
        </w:rPr>
        <w:t xml:space="preserve">and the successful adoption and use of </w:t>
      </w:r>
      <w:r w:rsidR="001C2406" w:rsidRPr="003D6474">
        <w:rPr>
          <w:lang w:val="en-GB"/>
        </w:rPr>
        <w:t>online government services</w:t>
      </w:r>
      <w:r w:rsidR="00F42882" w:rsidRPr="003D6474">
        <w:rPr>
          <w:lang w:val="en-GB"/>
        </w:rPr>
        <w:t>.</w:t>
      </w:r>
      <w:r w:rsidR="001C2406" w:rsidRPr="003D6474">
        <w:rPr>
          <w:lang w:val="en-GB"/>
        </w:rPr>
        <w:t xml:space="preserve"> </w:t>
      </w:r>
      <w:r w:rsidR="00CD2596" w:rsidRPr="003D6474">
        <w:rPr>
          <w:lang w:val="en-GB"/>
        </w:rPr>
        <w:t xml:space="preserve">We identify and evaluate </w:t>
      </w:r>
      <w:r w:rsidR="001C2406" w:rsidRPr="003D6474">
        <w:rPr>
          <w:lang w:val="en-GB"/>
        </w:rPr>
        <w:t>ways in which both actors (</w:t>
      </w:r>
      <w:r w:rsidR="00F35D6E" w:rsidRPr="003D6474">
        <w:rPr>
          <w:lang w:val="en-GB"/>
        </w:rPr>
        <w:t xml:space="preserve">i.e. </w:t>
      </w:r>
      <w:r w:rsidR="001C2406" w:rsidRPr="003D6474">
        <w:rPr>
          <w:lang w:val="en-GB"/>
        </w:rPr>
        <w:t>businesses</w:t>
      </w:r>
      <w:r w:rsidR="002E7F15" w:rsidRPr="003D6474">
        <w:rPr>
          <w:lang w:val="en-GB"/>
        </w:rPr>
        <w:t xml:space="preserve"> and</w:t>
      </w:r>
      <w:r w:rsidR="001C2406" w:rsidRPr="003D6474">
        <w:rPr>
          <w:lang w:val="en-GB"/>
        </w:rPr>
        <w:t xml:space="preserve"> government) can improve their knowledge activities for mutual benefit and </w:t>
      </w:r>
      <w:r w:rsidR="00DD6CFA" w:rsidRPr="003D6474">
        <w:rPr>
          <w:lang w:val="en-GB"/>
        </w:rPr>
        <w:t xml:space="preserve">for the </w:t>
      </w:r>
      <w:r w:rsidR="001C2406" w:rsidRPr="003D6474">
        <w:rPr>
          <w:lang w:val="en-GB"/>
        </w:rPr>
        <w:t xml:space="preserve">benefit of other actors </w:t>
      </w:r>
      <w:r w:rsidR="00DD6CFA" w:rsidRPr="003D6474">
        <w:rPr>
          <w:lang w:val="en-GB"/>
        </w:rPr>
        <w:t xml:space="preserve">such as the </w:t>
      </w:r>
      <w:r w:rsidR="001C2406" w:rsidRPr="003D6474">
        <w:rPr>
          <w:lang w:val="en-GB"/>
        </w:rPr>
        <w:t>civil society</w:t>
      </w:r>
      <w:r w:rsidR="00DD6CFA" w:rsidRPr="003D6474">
        <w:rPr>
          <w:lang w:val="en-GB"/>
        </w:rPr>
        <w:t xml:space="preserve"> and</w:t>
      </w:r>
      <w:r w:rsidR="001C2406" w:rsidRPr="003D6474">
        <w:rPr>
          <w:lang w:val="en-GB"/>
        </w:rPr>
        <w:t xml:space="preserve"> academia. </w:t>
      </w:r>
      <w:r w:rsidR="002A143F" w:rsidRPr="003D6474">
        <w:rPr>
          <w:lang w:val="en-GB"/>
        </w:rPr>
        <w:t>This paper also</w:t>
      </w:r>
      <w:r w:rsidR="00CD2596" w:rsidRPr="003D6474">
        <w:rPr>
          <w:lang w:val="en-GB"/>
        </w:rPr>
        <w:t xml:space="preserve"> contributes to develop a holistic approach to online service evaluation from the perspective of active users.  </w:t>
      </w:r>
      <w:r w:rsidR="001C2406" w:rsidRPr="003D6474">
        <w:rPr>
          <w:lang w:val="en-GB"/>
        </w:rPr>
        <w:t>Before formulating an extended framework</w:t>
      </w:r>
      <w:r w:rsidR="00DE3A07" w:rsidRPr="003D6474">
        <w:rPr>
          <w:lang w:val="en-GB"/>
        </w:rPr>
        <w:t xml:space="preserve">, the key characteristics of the </w:t>
      </w:r>
      <w:r w:rsidR="00B50A9D" w:rsidRPr="003D6474">
        <w:rPr>
          <w:lang w:val="en-GB"/>
        </w:rPr>
        <w:t xml:space="preserve">hospitality sector </w:t>
      </w:r>
      <w:r w:rsidR="001C2406" w:rsidRPr="003D6474">
        <w:rPr>
          <w:lang w:val="en-GB"/>
        </w:rPr>
        <w:t>in Spain</w:t>
      </w:r>
      <w:r w:rsidR="00DE3A07" w:rsidRPr="003D6474">
        <w:rPr>
          <w:lang w:val="en-GB"/>
        </w:rPr>
        <w:t xml:space="preserve"> are outlined</w:t>
      </w:r>
      <w:r w:rsidR="001C2406" w:rsidRPr="003D6474">
        <w:rPr>
          <w:lang w:val="en-GB"/>
        </w:rPr>
        <w:t>.</w:t>
      </w:r>
    </w:p>
    <w:p w:rsidR="00B50A9D" w:rsidRPr="003D6474" w:rsidRDefault="00B50A9D" w:rsidP="003B10E7">
      <w:pPr>
        <w:pStyle w:val="BodyText"/>
        <w:rPr>
          <w:lang w:val="en-GB"/>
        </w:rPr>
      </w:pPr>
    </w:p>
    <w:p w:rsidR="0051644B" w:rsidRPr="003D6474" w:rsidRDefault="00B50A9D" w:rsidP="003B10E7">
      <w:pPr>
        <w:pStyle w:val="BodyText"/>
        <w:rPr>
          <w:b/>
          <w:bCs/>
        </w:rPr>
      </w:pPr>
      <w:r w:rsidRPr="003D6474">
        <w:rPr>
          <w:b/>
          <w:bCs/>
        </w:rPr>
        <w:t xml:space="preserve">2.2. </w:t>
      </w:r>
      <w:r w:rsidR="00DC7E6C" w:rsidRPr="003D6474">
        <w:rPr>
          <w:b/>
          <w:bCs/>
        </w:rPr>
        <w:t>Learning and communities of practice in t</w:t>
      </w:r>
      <w:r w:rsidRPr="003D6474">
        <w:rPr>
          <w:b/>
          <w:bCs/>
        </w:rPr>
        <w:t>he Spanish hospitality sector</w:t>
      </w:r>
      <w:r w:rsidR="001C2406" w:rsidRPr="003D6474">
        <w:rPr>
          <w:b/>
          <w:bCs/>
        </w:rPr>
        <w:t xml:space="preserve"> </w:t>
      </w:r>
    </w:p>
    <w:p w:rsidR="0051644B" w:rsidRPr="003D6474" w:rsidRDefault="0051644B" w:rsidP="003B10E7">
      <w:pPr>
        <w:pStyle w:val="BodyText"/>
      </w:pPr>
    </w:p>
    <w:p w:rsidR="00C271A6" w:rsidRPr="003D6474" w:rsidRDefault="0051644B" w:rsidP="003B10E7">
      <w:pPr>
        <w:pStyle w:val="BodyText"/>
        <w:rPr>
          <w:lang w:val="en-GB"/>
        </w:rPr>
      </w:pPr>
      <w:r w:rsidRPr="003D6474">
        <w:rPr>
          <w:lang w:val="en-GB"/>
        </w:rPr>
        <w:t xml:space="preserve">The hospitality industry is a very relevant sector within the Spanish economy (Cadarso, 2005). The Spanish hospitality industry serves approximately 52.7 million tourists every year, representing a potential revenue of close to 41.61 billion Euros (Domínguez-Vila </w:t>
      </w:r>
      <w:r w:rsidRPr="003D6474">
        <w:rPr>
          <w:i/>
          <w:lang w:val="en-GB"/>
        </w:rPr>
        <w:t>et al</w:t>
      </w:r>
      <w:r w:rsidRPr="003D6474">
        <w:rPr>
          <w:lang w:val="en-GB"/>
        </w:rPr>
        <w:t>., 2015)</w:t>
      </w:r>
      <w:r w:rsidR="004E51A0" w:rsidRPr="003D6474">
        <w:rPr>
          <w:lang w:val="en-GB"/>
        </w:rPr>
        <w:t xml:space="preserve">. </w:t>
      </w:r>
      <w:r w:rsidRPr="003D6474">
        <w:rPr>
          <w:lang w:val="en-GB"/>
        </w:rPr>
        <w:t xml:space="preserve">Spain </w:t>
      </w:r>
      <w:r w:rsidR="009F3C57" w:rsidRPr="003D6474">
        <w:rPr>
          <w:lang w:val="en-GB"/>
        </w:rPr>
        <w:t xml:space="preserve">was </w:t>
      </w:r>
      <w:r w:rsidR="0007785D" w:rsidRPr="003D6474">
        <w:t>2nd in tourism earnings worldwide (and 1st in Europe) with US$ 65 billion in 2014, and 3rd in arrivals with 65 million overnight visitors</w:t>
      </w:r>
      <w:r w:rsidR="003E6124" w:rsidRPr="003D6474">
        <w:t>,</w:t>
      </w:r>
      <w:r w:rsidR="009F3C57" w:rsidRPr="003D6474">
        <w:rPr>
          <w:lang w:val="en-GB"/>
        </w:rPr>
        <w:t xml:space="preserve">according to the </w:t>
      </w:r>
      <w:r w:rsidRPr="003D6474">
        <w:rPr>
          <w:lang w:val="en-GB"/>
        </w:rPr>
        <w:t xml:space="preserve">United Nations World Tourism Organization </w:t>
      </w:r>
      <w:r w:rsidR="0067699D" w:rsidRPr="003D6474">
        <w:rPr>
          <w:lang w:val="en-GB"/>
        </w:rPr>
        <w:t>(</w:t>
      </w:r>
      <w:r w:rsidRPr="003D6474">
        <w:rPr>
          <w:lang w:val="en-GB"/>
        </w:rPr>
        <w:t>UNWTO, 201</w:t>
      </w:r>
      <w:r w:rsidR="0007785D" w:rsidRPr="003D6474">
        <w:rPr>
          <w:lang w:val="en-GB"/>
        </w:rPr>
        <w:t>5</w:t>
      </w:r>
      <w:r w:rsidRPr="003D6474">
        <w:rPr>
          <w:lang w:val="en-GB"/>
        </w:rPr>
        <w:t>).</w:t>
      </w:r>
      <w:r w:rsidR="00C271A6" w:rsidRPr="003D6474">
        <w:rPr>
          <w:lang w:val="en-GB"/>
        </w:rPr>
        <w:t xml:space="preserve"> </w:t>
      </w:r>
    </w:p>
    <w:p w:rsidR="00C271A6" w:rsidRPr="003D6474" w:rsidRDefault="00C271A6" w:rsidP="003B10E7">
      <w:pPr>
        <w:pStyle w:val="BodyText"/>
        <w:rPr>
          <w:lang w:val="en-GB"/>
        </w:rPr>
      </w:pPr>
    </w:p>
    <w:p w:rsidR="00591284" w:rsidRPr="003D6474" w:rsidRDefault="009D13F2" w:rsidP="003B10E7">
      <w:pPr>
        <w:pStyle w:val="BodyText"/>
        <w:rPr>
          <w:lang w:val="en-GB"/>
        </w:rPr>
      </w:pPr>
      <w:r w:rsidRPr="003D6474">
        <w:rPr>
          <w:lang w:val="en-GB"/>
        </w:rPr>
        <w:t>T</w:t>
      </w:r>
      <w:r w:rsidR="00C271A6" w:rsidRPr="003D6474">
        <w:rPr>
          <w:lang w:val="en-GB"/>
        </w:rPr>
        <w:t xml:space="preserve">he Spanish tourism sector is very complex and requires intensive use of knowledge resources to </w:t>
      </w:r>
      <w:r w:rsidR="0089684F" w:rsidRPr="003D6474">
        <w:rPr>
          <w:lang w:val="en-GB"/>
        </w:rPr>
        <w:t xml:space="preserve">effectively </w:t>
      </w:r>
      <w:r w:rsidR="00C271A6" w:rsidRPr="003D6474">
        <w:rPr>
          <w:lang w:val="en-GB"/>
        </w:rPr>
        <w:t xml:space="preserve">operate in </w:t>
      </w:r>
      <w:r w:rsidR="006C792C" w:rsidRPr="003D6474">
        <w:rPr>
          <w:lang w:val="en-GB"/>
        </w:rPr>
        <w:t xml:space="preserve">a competitive </w:t>
      </w:r>
      <w:r w:rsidR="00C271A6" w:rsidRPr="003D6474">
        <w:rPr>
          <w:lang w:val="en-GB"/>
        </w:rPr>
        <w:t xml:space="preserve">market and satisfy its customer needs (Gómez-Loscos &amp; González, 2014). </w:t>
      </w:r>
      <w:r w:rsidR="00046936" w:rsidRPr="003D6474">
        <w:rPr>
          <w:lang w:val="en-GB"/>
        </w:rPr>
        <w:t>A</w:t>
      </w:r>
      <w:r w:rsidR="00F343FA" w:rsidRPr="003D6474">
        <w:rPr>
          <w:lang w:val="en-GB"/>
        </w:rPr>
        <w:t xml:space="preserve">lthough </w:t>
      </w:r>
      <w:r w:rsidR="009343D7" w:rsidRPr="003D6474">
        <w:t>hotels</w:t>
      </w:r>
      <w:r w:rsidR="00F343FA" w:rsidRPr="003D6474">
        <w:rPr>
          <w:lang w:val="en-GB"/>
        </w:rPr>
        <w:t xml:space="preserve"> have recognised the</w:t>
      </w:r>
      <w:r w:rsidR="001712CF" w:rsidRPr="003D6474">
        <w:rPr>
          <w:lang w:val="en-GB"/>
        </w:rPr>
        <w:t>ir</w:t>
      </w:r>
      <w:r w:rsidR="00F343FA" w:rsidRPr="003D6474">
        <w:rPr>
          <w:lang w:val="en-GB"/>
        </w:rPr>
        <w:t xml:space="preserve"> need for change and </w:t>
      </w:r>
      <w:r w:rsidR="008C2514" w:rsidRPr="003D6474">
        <w:rPr>
          <w:lang w:val="en-GB"/>
        </w:rPr>
        <w:t xml:space="preserve">their required </w:t>
      </w:r>
      <w:r w:rsidR="00F343FA" w:rsidRPr="003D6474">
        <w:rPr>
          <w:lang w:val="en-GB"/>
        </w:rPr>
        <w:t xml:space="preserve">flexibility </w:t>
      </w:r>
      <w:bookmarkStart w:id="0" w:name="_GoBack"/>
      <w:bookmarkEnd w:id="0"/>
      <w:r w:rsidR="00F343FA" w:rsidRPr="003D6474">
        <w:rPr>
          <w:lang w:val="en-GB"/>
        </w:rPr>
        <w:t xml:space="preserve">for long-term business endurance, only a small proportion of European </w:t>
      </w:r>
      <w:r w:rsidR="009343D7" w:rsidRPr="003D6474">
        <w:rPr>
          <w:lang w:val="en-GB"/>
        </w:rPr>
        <w:t xml:space="preserve">companies </w:t>
      </w:r>
      <w:r w:rsidR="00F343FA" w:rsidRPr="003D6474">
        <w:rPr>
          <w:lang w:val="en-GB"/>
        </w:rPr>
        <w:t xml:space="preserve">have </w:t>
      </w:r>
      <w:r w:rsidR="009A4E9E" w:rsidRPr="003D6474">
        <w:rPr>
          <w:lang w:val="en-GB"/>
        </w:rPr>
        <w:t xml:space="preserve">started </w:t>
      </w:r>
      <w:r w:rsidR="00F343FA" w:rsidRPr="003D6474">
        <w:rPr>
          <w:lang w:val="en-GB"/>
        </w:rPr>
        <w:t xml:space="preserve">using available outsourced technologies (e.g. </w:t>
      </w:r>
      <w:r w:rsidR="00B17DD1" w:rsidRPr="003D6474">
        <w:rPr>
          <w:lang w:val="en-GB"/>
        </w:rPr>
        <w:t>online government services</w:t>
      </w:r>
      <w:r w:rsidR="00F343FA" w:rsidRPr="003D6474">
        <w:rPr>
          <w:lang w:val="en-GB"/>
        </w:rPr>
        <w:t xml:space="preserve">). This ‘barrier’ to change can be related to issues </w:t>
      </w:r>
      <w:r w:rsidR="00E27255" w:rsidRPr="003D6474">
        <w:rPr>
          <w:lang w:val="en-GB"/>
        </w:rPr>
        <w:t xml:space="preserve">such as </w:t>
      </w:r>
      <w:r w:rsidR="00F343FA" w:rsidRPr="003D6474">
        <w:rPr>
          <w:lang w:val="en-GB"/>
        </w:rPr>
        <w:t xml:space="preserve">uncertainty, trust and lack of knowledge, which in turn impede adoption of </w:t>
      </w:r>
      <w:r w:rsidR="00B17DD1" w:rsidRPr="003D6474">
        <w:rPr>
          <w:lang w:val="en-GB"/>
        </w:rPr>
        <w:t xml:space="preserve">online government services </w:t>
      </w:r>
      <w:r w:rsidR="005758CA" w:rsidRPr="003D6474">
        <w:rPr>
          <w:lang w:val="en-GB"/>
        </w:rPr>
        <w:t>(e.g.</w:t>
      </w:r>
      <w:r w:rsidR="00C271A6" w:rsidRPr="003D6474">
        <w:rPr>
          <w:lang w:val="en-GB"/>
        </w:rPr>
        <w:t xml:space="preserve"> </w:t>
      </w:r>
      <w:r w:rsidR="005758CA" w:rsidRPr="003D6474">
        <w:rPr>
          <w:lang w:val="en-GB"/>
        </w:rPr>
        <w:t xml:space="preserve">Lee </w:t>
      </w:r>
      <w:r w:rsidR="00453374" w:rsidRPr="003D6474">
        <w:rPr>
          <w:lang w:val="en-GB"/>
        </w:rPr>
        <w:t>&amp;</w:t>
      </w:r>
      <w:r w:rsidR="005758CA" w:rsidRPr="003D6474">
        <w:rPr>
          <w:lang w:val="en-GB"/>
        </w:rPr>
        <w:t xml:space="preserve"> Kwak, 2012; Bertot </w:t>
      </w:r>
      <w:r w:rsidR="005758CA" w:rsidRPr="003D6474">
        <w:rPr>
          <w:i/>
          <w:lang w:val="en-GB"/>
        </w:rPr>
        <w:t>et al</w:t>
      </w:r>
      <w:r w:rsidR="005758CA" w:rsidRPr="003D6474">
        <w:rPr>
          <w:lang w:val="en-GB"/>
        </w:rPr>
        <w:t>., 2012</w:t>
      </w:r>
      <w:r w:rsidR="00C271A6" w:rsidRPr="003D6474">
        <w:rPr>
          <w:lang w:val="en-GB"/>
        </w:rPr>
        <w:t>; Gómez-Loscos &amp; González, 2014</w:t>
      </w:r>
      <w:r w:rsidR="005758CA" w:rsidRPr="003D6474">
        <w:rPr>
          <w:lang w:val="en-GB"/>
        </w:rPr>
        <w:t>)</w:t>
      </w:r>
      <w:r w:rsidR="00F343FA" w:rsidRPr="003D6474">
        <w:rPr>
          <w:lang w:val="en-GB"/>
        </w:rPr>
        <w:t xml:space="preserve">. </w:t>
      </w:r>
    </w:p>
    <w:p w:rsidR="0051644B" w:rsidRPr="003D6474" w:rsidRDefault="0051644B" w:rsidP="003B10E7">
      <w:pPr>
        <w:pStyle w:val="BodyText"/>
        <w:rPr>
          <w:lang w:val="en-GB"/>
        </w:rPr>
      </w:pPr>
    </w:p>
    <w:p w:rsidR="00BF73A7" w:rsidRPr="003D6474" w:rsidRDefault="008E3F28" w:rsidP="003B10E7">
      <w:pPr>
        <w:pStyle w:val="BodyText"/>
        <w:rPr>
          <w:lang w:val="en-GB"/>
        </w:rPr>
      </w:pPr>
      <w:r w:rsidRPr="003D6474">
        <w:rPr>
          <w:lang w:val="en-GB"/>
        </w:rPr>
        <w:t>F</w:t>
      </w:r>
      <w:r w:rsidR="00122206" w:rsidRPr="003D6474">
        <w:rPr>
          <w:lang w:val="en-GB"/>
        </w:rPr>
        <w:t xml:space="preserve">or </w:t>
      </w:r>
      <w:r w:rsidR="00591284" w:rsidRPr="003D6474">
        <w:rPr>
          <w:lang w:val="en-GB"/>
        </w:rPr>
        <w:t xml:space="preserve">technological advances </w:t>
      </w:r>
      <w:r w:rsidR="00122206" w:rsidRPr="003D6474">
        <w:rPr>
          <w:lang w:val="en-GB"/>
        </w:rPr>
        <w:t xml:space="preserve">to </w:t>
      </w:r>
      <w:r w:rsidR="00716FDF" w:rsidRPr="003D6474">
        <w:rPr>
          <w:lang w:val="en-GB"/>
        </w:rPr>
        <w:t xml:space="preserve">facilitate </w:t>
      </w:r>
      <w:r w:rsidR="00D25588" w:rsidRPr="003D6474">
        <w:rPr>
          <w:lang w:val="en-GB"/>
        </w:rPr>
        <w:t xml:space="preserve">business </w:t>
      </w:r>
      <w:r w:rsidR="00591284" w:rsidRPr="003D6474">
        <w:rPr>
          <w:lang w:val="en-GB"/>
        </w:rPr>
        <w:t>opportunities</w:t>
      </w:r>
      <w:r w:rsidR="00367FCB" w:rsidRPr="003D6474">
        <w:rPr>
          <w:lang w:val="en-GB"/>
        </w:rPr>
        <w:t xml:space="preserve"> for hotels</w:t>
      </w:r>
      <w:r w:rsidR="00591284" w:rsidRPr="003D6474">
        <w:rPr>
          <w:lang w:val="en-GB"/>
        </w:rPr>
        <w:t xml:space="preserve">, intangible assets </w:t>
      </w:r>
      <w:r w:rsidR="009C6C7D" w:rsidRPr="003D6474">
        <w:rPr>
          <w:lang w:val="en-GB"/>
        </w:rPr>
        <w:t xml:space="preserve">such as </w:t>
      </w:r>
      <w:r w:rsidR="00591284" w:rsidRPr="003D6474">
        <w:rPr>
          <w:lang w:val="en-GB"/>
        </w:rPr>
        <w:t xml:space="preserve">new skills, </w:t>
      </w:r>
      <w:r w:rsidR="00D25588" w:rsidRPr="003D6474">
        <w:rPr>
          <w:lang w:val="en-GB"/>
        </w:rPr>
        <w:t xml:space="preserve">new </w:t>
      </w:r>
      <w:r w:rsidR="00591284" w:rsidRPr="003D6474">
        <w:rPr>
          <w:lang w:val="en-GB"/>
        </w:rPr>
        <w:t>forms of integration and intensive relationships with external entities</w:t>
      </w:r>
      <w:r w:rsidR="00A112C0" w:rsidRPr="003D6474">
        <w:rPr>
          <w:lang w:val="en-GB"/>
        </w:rPr>
        <w:t xml:space="preserve"> </w:t>
      </w:r>
      <w:r w:rsidR="00D25588" w:rsidRPr="003D6474">
        <w:rPr>
          <w:lang w:val="en-GB"/>
        </w:rPr>
        <w:t xml:space="preserve">must be </w:t>
      </w:r>
      <w:r w:rsidR="00AF519C" w:rsidRPr="003D6474">
        <w:rPr>
          <w:lang w:val="en-GB"/>
        </w:rPr>
        <w:t xml:space="preserve">developed </w:t>
      </w:r>
      <w:r w:rsidR="00A112C0" w:rsidRPr="003D6474">
        <w:rPr>
          <w:lang w:val="en-GB"/>
        </w:rPr>
        <w:t>(</w:t>
      </w:r>
      <w:r w:rsidR="0051644B" w:rsidRPr="003D6474">
        <w:rPr>
          <w:lang w:val="en-GB"/>
        </w:rPr>
        <w:t xml:space="preserve">Carmona </w:t>
      </w:r>
      <w:r w:rsidR="0051644B" w:rsidRPr="003D6474">
        <w:rPr>
          <w:i/>
          <w:lang w:val="en-GB"/>
        </w:rPr>
        <w:t>et al</w:t>
      </w:r>
      <w:r w:rsidR="0051644B" w:rsidRPr="003D6474">
        <w:rPr>
          <w:lang w:val="en-GB"/>
        </w:rPr>
        <w:t>., 2004</w:t>
      </w:r>
      <w:r w:rsidR="00A112C0" w:rsidRPr="003D6474">
        <w:rPr>
          <w:lang w:val="en-GB"/>
        </w:rPr>
        <w:t>)</w:t>
      </w:r>
      <w:r w:rsidR="00591284" w:rsidRPr="003D6474">
        <w:rPr>
          <w:lang w:val="en-GB"/>
        </w:rPr>
        <w:t xml:space="preserve">. </w:t>
      </w:r>
      <w:r w:rsidR="00982F19" w:rsidRPr="003D6474">
        <w:rPr>
          <w:lang w:val="en-GB"/>
        </w:rPr>
        <w:t xml:space="preserve">It is with this in mind that </w:t>
      </w:r>
      <w:r w:rsidR="004A138C" w:rsidRPr="003D6474">
        <w:rPr>
          <w:lang w:val="en-GB"/>
        </w:rPr>
        <w:t xml:space="preserve">this research </w:t>
      </w:r>
      <w:r w:rsidR="0012419D" w:rsidRPr="003D6474">
        <w:rPr>
          <w:lang w:val="en-GB"/>
        </w:rPr>
        <w:t xml:space="preserve">sees </w:t>
      </w:r>
      <w:r w:rsidR="00982F19" w:rsidRPr="003D6474">
        <w:rPr>
          <w:lang w:val="en-GB"/>
        </w:rPr>
        <w:t xml:space="preserve">the Spanish tourism sector </w:t>
      </w:r>
      <w:r w:rsidR="0012419D" w:rsidRPr="003D6474">
        <w:rPr>
          <w:lang w:val="en-GB"/>
        </w:rPr>
        <w:t xml:space="preserve">as </w:t>
      </w:r>
      <w:r w:rsidR="00982F19" w:rsidRPr="003D6474">
        <w:rPr>
          <w:lang w:val="en-GB"/>
        </w:rPr>
        <w:t xml:space="preserve">an appropriate setting for an investigation into the importance and significance of knowledge structures on </w:t>
      </w:r>
      <w:r w:rsidR="00B17DD1" w:rsidRPr="003D6474">
        <w:rPr>
          <w:lang w:val="en-GB"/>
        </w:rPr>
        <w:t>online government services</w:t>
      </w:r>
      <w:r w:rsidR="00982F19" w:rsidRPr="003D6474">
        <w:rPr>
          <w:lang w:val="en-GB"/>
        </w:rPr>
        <w:t>.</w:t>
      </w:r>
      <w:r w:rsidRPr="003D6474">
        <w:rPr>
          <w:lang w:val="en-GB"/>
        </w:rPr>
        <w:t xml:space="preserve"> </w:t>
      </w:r>
      <w:r w:rsidR="00591284" w:rsidRPr="003D6474">
        <w:rPr>
          <w:lang w:val="en-GB"/>
        </w:rPr>
        <w:t xml:space="preserve">For organisations </w:t>
      </w:r>
      <w:r w:rsidR="00C90944" w:rsidRPr="003D6474">
        <w:rPr>
          <w:lang w:val="en-GB"/>
        </w:rPr>
        <w:t xml:space="preserve">such as </w:t>
      </w:r>
      <w:r w:rsidR="00591284" w:rsidRPr="003D6474">
        <w:t>hotels</w:t>
      </w:r>
      <w:r w:rsidR="00591284" w:rsidRPr="003D6474">
        <w:rPr>
          <w:lang w:val="en-GB"/>
        </w:rPr>
        <w:t xml:space="preserve">, learning does (and should) not </w:t>
      </w:r>
      <w:r w:rsidR="00232EFE" w:rsidRPr="003D6474">
        <w:rPr>
          <w:lang w:val="en-GB"/>
        </w:rPr>
        <w:t xml:space="preserve">be restrained to organisational </w:t>
      </w:r>
      <w:r w:rsidR="00591284" w:rsidRPr="003D6474">
        <w:rPr>
          <w:lang w:val="en-GB"/>
        </w:rPr>
        <w:t xml:space="preserve">boundaries. Part of the process of learning consists </w:t>
      </w:r>
      <w:r w:rsidR="00232EFE" w:rsidRPr="003D6474">
        <w:rPr>
          <w:lang w:val="en-GB"/>
        </w:rPr>
        <w:t xml:space="preserve">of </w:t>
      </w:r>
      <w:r w:rsidR="00591284" w:rsidRPr="003D6474">
        <w:rPr>
          <w:lang w:val="en-GB"/>
        </w:rPr>
        <w:t xml:space="preserve">acquiring knowledge that is ‘external’ to an </w:t>
      </w:r>
      <w:r w:rsidR="00232EFE" w:rsidRPr="003D6474">
        <w:rPr>
          <w:lang w:val="en-GB"/>
        </w:rPr>
        <w:t>organisation</w:t>
      </w:r>
      <w:r w:rsidR="00591284" w:rsidRPr="003D6474">
        <w:rPr>
          <w:lang w:val="en-GB"/>
        </w:rPr>
        <w:t xml:space="preserve">, </w:t>
      </w:r>
      <w:r w:rsidR="00232EFE" w:rsidRPr="003D6474">
        <w:rPr>
          <w:lang w:val="en-GB"/>
        </w:rPr>
        <w:t xml:space="preserve">that is, knowledge that has been </w:t>
      </w:r>
      <w:r w:rsidR="00591284" w:rsidRPr="003D6474">
        <w:rPr>
          <w:lang w:val="en-GB"/>
        </w:rPr>
        <w:t>develop</w:t>
      </w:r>
      <w:r w:rsidR="00232EFE" w:rsidRPr="003D6474">
        <w:rPr>
          <w:lang w:val="en-GB"/>
        </w:rPr>
        <w:t>ed</w:t>
      </w:r>
      <w:r w:rsidR="008E3237" w:rsidRPr="003D6474">
        <w:rPr>
          <w:lang w:val="en-GB"/>
        </w:rPr>
        <w:t xml:space="preserve"> both</w:t>
      </w:r>
      <w:r w:rsidR="00591284" w:rsidRPr="003D6474">
        <w:rPr>
          <w:lang w:val="en-GB"/>
        </w:rPr>
        <w:t xml:space="preserve"> within and across organisations (Wenger, </w:t>
      </w:r>
      <w:r w:rsidR="00591284" w:rsidRPr="003D6474">
        <w:rPr>
          <w:i/>
          <w:lang w:val="en-GB"/>
        </w:rPr>
        <w:t>et al</w:t>
      </w:r>
      <w:r w:rsidR="00591284" w:rsidRPr="003D6474">
        <w:rPr>
          <w:lang w:val="en-GB"/>
        </w:rPr>
        <w:t xml:space="preserve">., 2002). </w:t>
      </w:r>
      <w:r w:rsidR="00E728A9" w:rsidRPr="003D6474">
        <w:rPr>
          <w:lang w:val="en-GB"/>
        </w:rPr>
        <w:t>H</w:t>
      </w:r>
      <w:r w:rsidR="00591284" w:rsidRPr="003D6474">
        <w:t>otels</w:t>
      </w:r>
      <w:r w:rsidR="00591284" w:rsidRPr="003D6474">
        <w:rPr>
          <w:lang w:val="en-GB"/>
        </w:rPr>
        <w:t xml:space="preserve"> must acquire new sets of perceptions and knowledge held by customers, channels, or even public servants (McKnight </w:t>
      </w:r>
      <w:r w:rsidR="00453374" w:rsidRPr="003D6474">
        <w:rPr>
          <w:lang w:val="en-GB"/>
        </w:rPr>
        <w:t>&amp;</w:t>
      </w:r>
      <w:r w:rsidR="00591284" w:rsidRPr="003D6474">
        <w:rPr>
          <w:lang w:val="en-GB"/>
        </w:rPr>
        <w:t xml:space="preserve"> Chervany, 2001).</w:t>
      </w:r>
      <w:r w:rsidR="00C271A6" w:rsidRPr="003D6474">
        <w:rPr>
          <w:lang w:val="en-GB" w:eastAsia="zh-CN"/>
        </w:rPr>
        <w:t xml:space="preserve"> </w:t>
      </w:r>
      <w:r w:rsidR="00C349CB" w:rsidRPr="003D6474">
        <w:rPr>
          <w:lang w:val="en-GB" w:eastAsia="zh-CN"/>
        </w:rPr>
        <w:t>B</w:t>
      </w:r>
      <w:r w:rsidR="007718D4" w:rsidRPr="003D6474">
        <w:rPr>
          <w:lang w:val="en-GB" w:eastAsia="zh-CN"/>
        </w:rPr>
        <w:t xml:space="preserve">ased on this </w:t>
      </w:r>
      <w:r w:rsidR="00C349CB" w:rsidRPr="003D6474">
        <w:rPr>
          <w:lang w:val="en-GB" w:eastAsia="zh-CN"/>
        </w:rPr>
        <w:t xml:space="preserve">perspective, </w:t>
      </w:r>
      <w:r w:rsidR="007718D4" w:rsidRPr="003D6474">
        <w:rPr>
          <w:lang w:val="en-GB" w:eastAsia="zh-CN"/>
        </w:rPr>
        <w:t>the present study focuses on three important knowledge structures</w:t>
      </w:r>
      <w:r w:rsidR="007D6DA9" w:rsidRPr="003D6474">
        <w:rPr>
          <w:lang w:val="en-GB" w:eastAsia="zh-CN"/>
        </w:rPr>
        <w:t xml:space="preserve"> which are </w:t>
      </w:r>
      <w:r w:rsidR="007718D4" w:rsidRPr="003D6474">
        <w:rPr>
          <w:lang w:val="en-GB"/>
        </w:rPr>
        <w:t xml:space="preserve">based on </w:t>
      </w:r>
      <w:r w:rsidR="007D6DA9" w:rsidRPr="003D6474">
        <w:rPr>
          <w:lang w:val="en-GB"/>
        </w:rPr>
        <w:t xml:space="preserve">the </w:t>
      </w:r>
      <w:r w:rsidR="007718D4" w:rsidRPr="003D6474">
        <w:rPr>
          <w:lang w:val="en-GB"/>
        </w:rPr>
        <w:t xml:space="preserve">concept of communities of practice (CP) for hotels, and relate </w:t>
      </w:r>
      <w:r w:rsidR="00901A11" w:rsidRPr="003D6474">
        <w:rPr>
          <w:lang w:val="en-GB"/>
        </w:rPr>
        <w:t xml:space="preserve">to </w:t>
      </w:r>
      <w:r w:rsidR="007718D4" w:rsidRPr="003D6474">
        <w:rPr>
          <w:lang w:val="en-GB"/>
        </w:rPr>
        <w:t xml:space="preserve">the existence of organisational context, external communities and working communities </w:t>
      </w:r>
      <w:r w:rsidR="00901A11" w:rsidRPr="003D6474">
        <w:rPr>
          <w:lang w:val="en-GB"/>
        </w:rPr>
        <w:t xml:space="preserve">and </w:t>
      </w:r>
      <w:r w:rsidR="007718D4" w:rsidRPr="003D6474">
        <w:rPr>
          <w:lang w:val="en-GB"/>
        </w:rPr>
        <w:t xml:space="preserve">the use of </w:t>
      </w:r>
      <w:r w:rsidR="00B17DD1" w:rsidRPr="003D6474">
        <w:rPr>
          <w:lang w:val="en-GB"/>
        </w:rPr>
        <w:t xml:space="preserve">online government services </w:t>
      </w:r>
      <w:r w:rsidR="00901A11" w:rsidRPr="003D6474">
        <w:rPr>
          <w:lang w:val="en-GB"/>
        </w:rPr>
        <w:t xml:space="preserve">at </w:t>
      </w:r>
      <w:r w:rsidR="007718D4" w:rsidRPr="003D6474">
        <w:rPr>
          <w:lang w:val="en-GB"/>
        </w:rPr>
        <w:t>three different levels</w:t>
      </w:r>
      <w:r w:rsidR="00650828" w:rsidRPr="003D6474">
        <w:rPr>
          <w:lang w:val="en-GB"/>
        </w:rPr>
        <w:t>,</w:t>
      </w:r>
      <w:r w:rsidR="007718D4" w:rsidRPr="003D6474">
        <w:rPr>
          <w:lang w:val="en-GB"/>
        </w:rPr>
        <w:t xml:space="preserve"> according to their degree of complexity.</w:t>
      </w:r>
    </w:p>
    <w:p w:rsidR="00BF73A7" w:rsidRPr="003D6474" w:rsidRDefault="00BF73A7" w:rsidP="003B10E7">
      <w:pPr>
        <w:pStyle w:val="BodyText"/>
        <w:rPr>
          <w:lang w:val="en-GB"/>
        </w:rPr>
      </w:pPr>
    </w:p>
    <w:p w:rsidR="007718D4" w:rsidRPr="003D6474" w:rsidRDefault="002F7210" w:rsidP="003B10E7">
      <w:pPr>
        <w:pStyle w:val="BodyText"/>
        <w:rPr>
          <w:lang w:val="en-GB"/>
        </w:rPr>
      </w:pPr>
      <w:r w:rsidRPr="003D6474">
        <w:rPr>
          <w:lang w:val="en-GB"/>
        </w:rPr>
        <w:t xml:space="preserve">Wenger, </w:t>
      </w:r>
      <w:r w:rsidRPr="003D6474">
        <w:rPr>
          <w:i/>
          <w:lang w:val="en-GB"/>
        </w:rPr>
        <w:t>et al</w:t>
      </w:r>
      <w:r w:rsidRPr="003D6474">
        <w:rPr>
          <w:lang w:val="en-GB"/>
        </w:rPr>
        <w:t xml:space="preserve">. (2002) </w:t>
      </w:r>
      <w:r w:rsidR="007718D4" w:rsidRPr="003D6474">
        <w:rPr>
          <w:lang w:val="en-GB"/>
        </w:rPr>
        <w:t xml:space="preserve">suggest that learning is a social process in communities of practice. A community of practice (CP) is a form of continuous interaction between individuals who pursue shared enterprises or goals through developing and negotiating knowledge about topics of their interest (Wenger, </w:t>
      </w:r>
      <w:r w:rsidR="007718D4" w:rsidRPr="003D6474">
        <w:rPr>
          <w:i/>
          <w:lang w:val="en-GB"/>
        </w:rPr>
        <w:t>et al</w:t>
      </w:r>
      <w:r w:rsidR="007718D4" w:rsidRPr="003D6474">
        <w:rPr>
          <w:lang w:val="en-GB"/>
        </w:rPr>
        <w:t xml:space="preserve">., 2002). Through socialising in such communities, individuals acquire, use and negotiate knowledge by participating in different groups and by using other people’s expertise to solve their problems. An individual or group of individuals would not be able to deal with every type of contingency at work if there was not a community of colleagues or peers who could provide suggestions, support, feedback and guidance. Communities of practice do not emerge by the imposition of rules of interaction or formal structures. They are the result of continuous processes of learning in which individuals engage and sustain through time. This participation can involve according to Wenger </w:t>
      </w:r>
      <w:r w:rsidR="007718D4" w:rsidRPr="003D6474">
        <w:rPr>
          <w:i/>
          <w:lang w:val="en-GB"/>
        </w:rPr>
        <w:t>et al</w:t>
      </w:r>
      <w:r w:rsidR="00982BA8" w:rsidRPr="003D6474">
        <w:rPr>
          <w:lang w:val="en-GB"/>
        </w:rPr>
        <w:t>.</w:t>
      </w:r>
      <w:r w:rsidR="007718D4" w:rsidRPr="003D6474">
        <w:rPr>
          <w:lang w:val="en-GB"/>
        </w:rPr>
        <w:t xml:space="preserve"> (2002) three elements: </w:t>
      </w:r>
    </w:p>
    <w:p w:rsidR="007718D4" w:rsidRPr="003D6474" w:rsidRDefault="007718D4" w:rsidP="003B10E7">
      <w:pPr>
        <w:pStyle w:val="BodyText"/>
        <w:rPr>
          <w:lang w:val="en-GB"/>
        </w:rPr>
      </w:pPr>
    </w:p>
    <w:p w:rsidR="007718D4" w:rsidRPr="003D6474" w:rsidRDefault="007718D4" w:rsidP="003B10E7">
      <w:pPr>
        <w:pStyle w:val="BodyText"/>
        <w:numPr>
          <w:ilvl w:val="0"/>
          <w:numId w:val="25"/>
        </w:numPr>
        <w:rPr>
          <w:lang w:val="en-GB"/>
        </w:rPr>
      </w:pPr>
      <w:r w:rsidRPr="003D6474">
        <w:rPr>
          <w:lang w:val="en-GB"/>
        </w:rPr>
        <w:t xml:space="preserve">Recognising and developing a </w:t>
      </w:r>
      <w:r w:rsidRPr="003D6474">
        <w:rPr>
          <w:i/>
          <w:iCs/>
          <w:lang w:val="en-GB"/>
        </w:rPr>
        <w:t>domain of knowledge</w:t>
      </w:r>
      <w:r w:rsidRPr="003D6474">
        <w:rPr>
          <w:lang w:val="en-GB"/>
        </w:rPr>
        <w:t xml:space="preserve"> (set of enterprises or questions and issues that motivate and sustain individuals’ participation).</w:t>
      </w:r>
    </w:p>
    <w:p w:rsidR="007718D4" w:rsidRPr="003D6474" w:rsidRDefault="007718D4" w:rsidP="003B10E7">
      <w:pPr>
        <w:pStyle w:val="BodyText"/>
        <w:numPr>
          <w:ilvl w:val="0"/>
          <w:numId w:val="25"/>
        </w:numPr>
        <w:rPr>
          <w:lang w:val="en-GB"/>
        </w:rPr>
      </w:pPr>
      <w:r w:rsidRPr="003D6474">
        <w:rPr>
          <w:lang w:val="en-GB"/>
        </w:rPr>
        <w:t xml:space="preserve">Having a </w:t>
      </w:r>
      <w:r w:rsidRPr="003D6474">
        <w:rPr>
          <w:i/>
          <w:iCs/>
          <w:lang w:val="en-GB"/>
        </w:rPr>
        <w:t xml:space="preserve">sense of community </w:t>
      </w:r>
      <w:r w:rsidRPr="003D6474">
        <w:rPr>
          <w:lang w:val="en-GB"/>
        </w:rPr>
        <w:t>that allows sharing particular values and norms to sustain activity.</w:t>
      </w:r>
    </w:p>
    <w:p w:rsidR="007718D4" w:rsidRPr="003D6474" w:rsidRDefault="007718D4" w:rsidP="003B10E7">
      <w:pPr>
        <w:pStyle w:val="BodyText"/>
        <w:ind w:left="720" w:hanging="360"/>
        <w:rPr>
          <w:lang w:val="en-GB"/>
        </w:rPr>
      </w:pPr>
      <w:r w:rsidRPr="003D6474">
        <w:rPr>
          <w:lang w:val="en-GB"/>
        </w:rPr>
        <w:t xml:space="preserve">3. A </w:t>
      </w:r>
      <w:r w:rsidRPr="003D6474">
        <w:rPr>
          <w:i/>
          <w:iCs/>
          <w:lang w:val="en-GB"/>
        </w:rPr>
        <w:t>practice</w:t>
      </w:r>
      <w:r w:rsidRPr="003D6474">
        <w:rPr>
          <w:lang w:val="en-GB"/>
        </w:rPr>
        <w:t xml:space="preserve"> or knowledge in the forms of resources that are continuously created, negotiated, shared and developed. </w:t>
      </w:r>
    </w:p>
    <w:p w:rsidR="007718D4" w:rsidRPr="003D6474" w:rsidRDefault="007718D4" w:rsidP="003B10E7">
      <w:pPr>
        <w:pStyle w:val="Normal1"/>
        <w:spacing w:after="0" w:line="240" w:lineRule="auto"/>
        <w:rPr>
          <w:rFonts w:ascii="Times New Roman" w:hAnsi="Times New Roman"/>
          <w:szCs w:val="24"/>
          <w:lang w:val="en-GB"/>
        </w:rPr>
      </w:pPr>
    </w:p>
    <w:p w:rsidR="004501C5" w:rsidRPr="003D6474" w:rsidRDefault="004501C5" w:rsidP="003B10E7">
      <w:pPr>
        <w:pStyle w:val="Normal1"/>
        <w:spacing w:after="0" w:line="240" w:lineRule="auto"/>
        <w:rPr>
          <w:rFonts w:ascii="Times New Roman" w:hAnsi="Times New Roman"/>
          <w:szCs w:val="24"/>
          <w:lang w:val="en-GB"/>
        </w:rPr>
      </w:pPr>
      <w:r w:rsidRPr="003D6474">
        <w:rPr>
          <w:rFonts w:ascii="Times New Roman" w:hAnsi="Times New Roman"/>
          <w:szCs w:val="24"/>
          <w:lang w:val="en-GB"/>
        </w:rPr>
        <w:t xml:space="preserve">The above aspects become more relevant if </w:t>
      </w:r>
      <w:r w:rsidR="005A767C" w:rsidRPr="003D6474">
        <w:rPr>
          <w:rFonts w:ascii="Times New Roman" w:hAnsi="Times New Roman"/>
          <w:szCs w:val="24"/>
          <w:lang w:val="en-GB"/>
        </w:rPr>
        <w:t xml:space="preserve">organisations </w:t>
      </w:r>
      <w:r w:rsidRPr="003D6474">
        <w:rPr>
          <w:rFonts w:ascii="Times New Roman" w:hAnsi="Times New Roman"/>
          <w:szCs w:val="24"/>
          <w:lang w:val="en-GB"/>
        </w:rPr>
        <w:t xml:space="preserve">have never used ‘any’ electronic means of communication (Nath </w:t>
      </w:r>
      <w:r w:rsidRPr="003D6474">
        <w:rPr>
          <w:rFonts w:ascii="Times New Roman" w:hAnsi="Times New Roman"/>
          <w:i/>
          <w:szCs w:val="24"/>
          <w:lang w:val="en-GB"/>
        </w:rPr>
        <w:t>et al</w:t>
      </w:r>
      <w:r w:rsidRPr="003D6474">
        <w:rPr>
          <w:rFonts w:ascii="Times New Roman" w:hAnsi="Times New Roman"/>
          <w:szCs w:val="24"/>
          <w:lang w:val="en-GB"/>
        </w:rPr>
        <w:t xml:space="preserve">., 1998). The interweaving of these aspects results in situated learning processes in which some elements can be distinguished and nurtured and a combination of senses of negotiated meanings, membership and identity emerge (Wenger, 1999). The above knowledge structures have pervaded research on government online </w:t>
      </w:r>
      <w:r w:rsidRPr="003D6474">
        <w:rPr>
          <w:rFonts w:ascii="Times New Roman" w:hAnsi="Times New Roman"/>
          <w:szCs w:val="24"/>
          <w:lang w:val="en-GB"/>
        </w:rPr>
        <w:lastRenderedPageBreak/>
        <w:t xml:space="preserve">services. For instance, Irani </w:t>
      </w:r>
      <w:r w:rsidRPr="003D6474">
        <w:rPr>
          <w:rFonts w:ascii="Times New Roman" w:hAnsi="Times New Roman"/>
          <w:i/>
          <w:szCs w:val="24"/>
          <w:lang w:val="en-GB"/>
        </w:rPr>
        <w:t>et al</w:t>
      </w:r>
      <w:r w:rsidRPr="003D6474">
        <w:rPr>
          <w:rFonts w:ascii="Times New Roman" w:hAnsi="Times New Roman"/>
          <w:szCs w:val="24"/>
          <w:lang w:val="en-GB"/>
        </w:rPr>
        <w:t xml:space="preserve">. (2005) conduct an interpretation of their online services experience with local authorities and conclude that the issue of user meaning attributed to is a crucial aspect to make evaluation of online services effective. </w:t>
      </w:r>
    </w:p>
    <w:p w:rsidR="004501C5" w:rsidRPr="003D6474" w:rsidRDefault="004501C5" w:rsidP="003B10E7">
      <w:pPr>
        <w:pStyle w:val="Normal1"/>
        <w:spacing w:after="0" w:line="240" w:lineRule="auto"/>
        <w:rPr>
          <w:rFonts w:ascii="Times New Roman" w:hAnsi="Times New Roman"/>
          <w:szCs w:val="24"/>
          <w:lang w:val="en-GB"/>
        </w:rPr>
      </w:pPr>
    </w:p>
    <w:p w:rsidR="00F343FA" w:rsidRPr="003D6474" w:rsidRDefault="00F343FA" w:rsidP="003B10E7">
      <w:pPr>
        <w:pStyle w:val="BodyText"/>
        <w:rPr>
          <w:b/>
          <w:bCs/>
          <w:lang w:val="en-GB"/>
        </w:rPr>
      </w:pPr>
      <w:r w:rsidRPr="003D6474">
        <w:rPr>
          <w:b/>
          <w:bCs/>
          <w:lang w:val="en-GB"/>
        </w:rPr>
        <w:t>2.</w:t>
      </w:r>
      <w:r w:rsidR="006651DE" w:rsidRPr="003D6474">
        <w:rPr>
          <w:b/>
          <w:bCs/>
          <w:lang w:val="en-GB"/>
        </w:rPr>
        <w:t>4</w:t>
      </w:r>
      <w:r w:rsidRPr="003D6474">
        <w:rPr>
          <w:b/>
          <w:bCs/>
          <w:lang w:val="en-GB"/>
        </w:rPr>
        <w:t xml:space="preserve"> </w:t>
      </w:r>
      <w:r w:rsidR="00BF73A7" w:rsidRPr="003D6474">
        <w:rPr>
          <w:b/>
          <w:bCs/>
          <w:lang w:val="en-GB"/>
        </w:rPr>
        <w:t xml:space="preserve">Linking knowledge structures with </w:t>
      </w:r>
      <w:r w:rsidR="00A9433D" w:rsidRPr="003D6474">
        <w:rPr>
          <w:b/>
          <w:bCs/>
          <w:lang w:val="en-GB"/>
        </w:rPr>
        <w:t>business to government</w:t>
      </w:r>
      <w:r w:rsidR="00BF73A7" w:rsidRPr="003D6474">
        <w:rPr>
          <w:b/>
          <w:bCs/>
          <w:lang w:val="en-GB"/>
        </w:rPr>
        <w:t xml:space="preserve"> services</w:t>
      </w:r>
    </w:p>
    <w:p w:rsidR="00AB11EA" w:rsidRPr="003D6474" w:rsidRDefault="00AB11EA" w:rsidP="003B10E7">
      <w:pPr>
        <w:pStyle w:val="Normal1"/>
        <w:spacing w:after="0" w:line="240" w:lineRule="auto"/>
        <w:rPr>
          <w:rFonts w:ascii="Times New Roman" w:hAnsi="Times New Roman"/>
          <w:szCs w:val="24"/>
          <w:lang w:val="en-GB"/>
        </w:rPr>
      </w:pPr>
    </w:p>
    <w:p w:rsidR="00F343FA" w:rsidRPr="003D6474" w:rsidRDefault="00DB7485" w:rsidP="003B10E7">
      <w:pPr>
        <w:pStyle w:val="Normal1"/>
        <w:spacing w:after="0" w:line="240" w:lineRule="auto"/>
        <w:rPr>
          <w:rFonts w:ascii="Times New Roman" w:hAnsi="Times New Roman"/>
          <w:szCs w:val="24"/>
          <w:lang w:val="en-GB"/>
        </w:rPr>
      </w:pPr>
      <w:r w:rsidRPr="003D6474">
        <w:rPr>
          <w:rFonts w:ascii="Times New Roman" w:hAnsi="Times New Roman"/>
          <w:szCs w:val="24"/>
          <w:lang w:val="en-GB"/>
        </w:rPr>
        <w:t xml:space="preserve">The considerations above imply that in order to support </w:t>
      </w:r>
      <w:r w:rsidRPr="003D6474">
        <w:rPr>
          <w:rFonts w:ascii="Times New Roman" w:hAnsi="Times New Roman"/>
          <w:bCs/>
          <w:szCs w:val="24"/>
          <w:lang w:val="en-GB"/>
        </w:rPr>
        <w:t>online services</w:t>
      </w:r>
      <w:r w:rsidRPr="003D6474">
        <w:rPr>
          <w:rFonts w:ascii="Times New Roman" w:hAnsi="Times New Roman"/>
          <w:szCs w:val="24"/>
          <w:lang w:val="en-GB"/>
        </w:rPr>
        <w:t xml:space="preserve">, </w:t>
      </w:r>
      <w:r w:rsidR="000D5720" w:rsidRPr="003D6474">
        <w:rPr>
          <w:rFonts w:ascii="Times New Roman" w:hAnsi="Times New Roman"/>
          <w:szCs w:val="24"/>
          <w:lang w:val="en-GB"/>
        </w:rPr>
        <w:t xml:space="preserve">a key </w:t>
      </w:r>
      <w:r w:rsidR="0045122F" w:rsidRPr="003D6474">
        <w:rPr>
          <w:rFonts w:ascii="Times New Roman" w:hAnsi="Times New Roman"/>
          <w:szCs w:val="24"/>
          <w:lang w:val="en-GB"/>
        </w:rPr>
        <w:t xml:space="preserve">issue to be addressed </w:t>
      </w:r>
      <w:r w:rsidRPr="003D6474">
        <w:rPr>
          <w:rFonts w:ascii="Times New Roman" w:hAnsi="Times New Roman"/>
          <w:szCs w:val="24"/>
          <w:lang w:val="en-GB"/>
        </w:rPr>
        <w:t xml:space="preserve">is </w:t>
      </w:r>
      <w:r w:rsidR="00A9433D" w:rsidRPr="003D6474">
        <w:rPr>
          <w:rFonts w:ascii="Times New Roman" w:hAnsi="Times New Roman"/>
          <w:szCs w:val="24"/>
          <w:lang w:val="en-GB"/>
        </w:rPr>
        <w:t xml:space="preserve">the understanding of </w:t>
      </w:r>
      <w:r w:rsidR="005D3738" w:rsidRPr="003D6474">
        <w:rPr>
          <w:rFonts w:ascii="Times New Roman" w:hAnsi="Times New Roman"/>
          <w:szCs w:val="24"/>
          <w:lang w:val="en-GB"/>
        </w:rPr>
        <w:t xml:space="preserve">the processes through which </w:t>
      </w:r>
      <w:r w:rsidR="00A9433D" w:rsidRPr="003D6474">
        <w:rPr>
          <w:rFonts w:ascii="Times New Roman" w:hAnsi="Times New Roman"/>
          <w:szCs w:val="24"/>
          <w:lang w:val="en-GB"/>
        </w:rPr>
        <w:t>users create knowledge</w:t>
      </w:r>
      <w:r w:rsidR="001D0AAA" w:rsidRPr="003D6474">
        <w:rPr>
          <w:rFonts w:ascii="Times New Roman" w:hAnsi="Times New Roman"/>
          <w:szCs w:val="24"/>
          <w:lang w:val="en-GB"/>
        </w:rPr>
        <w:t xml:space="preserve"> </w:t>
      </w:r>
      <w:r w:rsidR="00614BB8" w:rsidRPr="003D6474">
        <w:rPr>
          <w:rFonts w:ascii="Times New Roman" w:hAnsi="Times New Roman"/>
          <w:szCs w:val="24"/>
          <w:lang w:val="en-GB"/>
        </w:rPr>
        <w:t xml:space="preserve">within </w:t>
      </w:r>
      <w:r w:rsidR="004501C5" w:rsidRPr="003D6474">
        <w:rPr>
          <w:rFonts w:ascii="Times New Roman" w:hAnsi="Times New Roman"/>
          <w:szCs w:val="24"/>
          <w:lang w:val="en-GB"/>
        </w:rPr>
        <w:t>businesses using online services</w:t>
      </w:r>
      <w:r w:rsidR="00614BB8" w:rsidRPr="003D6474">
        <w:rPr>
          <w:rFonts w:ascii="Times New Roman" w:hAnsi="Times New Roman"/>
          <w:szCs w:val="24"/>
          <w:lang w:val="en-GB"/>
        </w:rPr>
        <w:t xml:space="preserve">. It is important to understand </w:t>
      </w:r>
      <w:r w:rsidR="004501C5" w:rsidRPr="003D6474">
        <w:rPr>
          <w:rFonts w:ascii="Times New Roman" w:hAnsi="Times New Roman"/>
          <w:szCs w:val="24"/>
          <w:lang w:val="en-GB"/>
        </w:rPr>
        <w:t xml:space="preserve">how users </w:t>
      </w:r>
      <w:r w:rsidR="00705953" w:rsidRPr="003D6474">
        <w:rPr>
          <w:rFonts w:ascii="Times New Roman" w:hAnsi="Times New Roman"/>
          <w:szCs w:val="24"/>
          <w:lang w:val="en-GB"/>
        </w:rPr>
        <w:t xml:space="preserve">who </w:t>
      </w:r>
      <w:r w:rsidR="00BF74C8" w:rsidRPr="003D6474">
        <w:rPr>
          <w:rFonts w:ascii="Times New Roman" w:hAnsi="Times New Roman"/>
          <w:szCs w:val="24"/>
          <w:lang w:val="en-GB"/>
        </w:rPr>
        <w:t xml:space="preserve">work in </w:t>
      </w:r>
      <w:r w:rsidR="004501C5" w:rsidRPr="003D6474">
        <w:rPr>
          <w:rFonts w:ascii="Times New Roman" w:hAnsi="Times New Roman"/>
          <w:szCs w:val="24"/>
          <w:lang w:val="en-GB"/>
        </w:rPr>
        <w:t xml:space="preserve">different groups </w:t>
      </w:r>
      <w:r w:rsidR="00080316" w:rsidRPr="003D6474">
        <w:rPr>
          <w:rFonts w:ascii="Times New Roman" w:hAnsi="Times New Roman"/>
          <w:szCs w:val="24"/>
          <w:lang w:val="en-GB"/>
        </w:rPr>
        <w:t xml:space="preserve">and </w:t>
      </w:r>
      <w:r w:rsidR="004501C5" w:rsidRPr="003D6474">
        <w:rPr>
          <w:rFonts w:ascii="Times New Roman" w:hAnsi="Times New Roman"/>
          <w:szCs w:val="24"/>
          <w:lang w:val="en-GB"/>
        </w:rPr>
        <w:t>organisation</w:t>
      </w:r>
      <w:r w:rsidR="00080316" w:rsidRPr="003D6474">
        <w:rPr>
          <w:rFonts w:ascii="Times New Roman" w:hAnsi="Times New Roman"/>
          <w:szCs w:val="24"/>
          <w:lang w:val="en-GB"/>
        </w:rPr>
        <w:t>s</w:t>
      </w:r>
      <w:r w:rsidR="004501C5" w:rsidRPr="003D6474">
        <w:rPr>
          <w:rFonts w:ascii="Times New Roman" w:hAnsi="Times New Roman"/>
          <w:szCs w:val="24"/>
          <w:lang w:val="en-GB"/>
        </w:rPr>
        <w:t xml:space="preserve"> </w:t>
      </w:r>
      <w:r w:rsidR="00D74894" w:rsidRPr="003D6474">
        <w:rPr>
          <w:rFonts w:ascii="Times New Roman" w:hAnsi="Times New Roman"/>
          <w:szCs w:val="24"/>
          <w:lang w:val="en-GB"/>
        </w:rPr>
        <w:t xml:space="preserve">can join a community of practice </w:t>
      </w:r>
      <w:r w:rsidR="004501C5" w:rsidRPr="003D6474">
        <w:rPr>
          <w:rFonts w:ascii="Times New Roman" w:hAnsi="Times New Roman"/>
          <w:szCs w:val="24"/>
          <w:lang w:val="en-GB"/>
        </w:rPr>
        <w:t xml:space="preserve">and how online services could support </w:t>
      </w:r>
      <w:r w:rsidR="00EC6DE5" w:rsidRPr="003D6474">
        <w:rPr>
          <w:rFonts w:ascii="Times New Roman" w:hAnsi="Times New Roman"/>
          <w:szCs w:val="24"/>
          <w:lang w:val="en-GB"/>
        </w:rPr>
        <w:t xml:space="preserve">the </w:t>
      </w:r>
      <w:r w:rsidR="00065587" w:rsidRPr="003D6474">
        <w:rPr>
          <w:rFonts w:ascii="Times New Roman" w:hAnsi="Times New Roman"/>
          <w:szCs w:val="24"/>
          <w:lang w:val="en-GB"/>
        </w:rPr>
        <w:t xml:space="preserve">emergence and </w:t>
      </w:r>
      <w:r w:rsidR="0084130B" w:rsidRPr="003D6474">
        <w:rPr>
          <w:rFonts w:ascii="Times New Roman" w:hAnsi="Times New Roman"/>
          <w:szCs w:val="24"/>
          <w:lang w:val="en-GB"/>
        </w:rPr>
        <w:t xml:space="preserve">operation </w:t>
      </w:r>
      <w:r w:rsidR="004501C5" w:rsidRPr="003D6474">
        <w:rPr>
          <w:rFonts w:ascii="Times New Roman" w:hAnsi="Times New Roman"/>
          <w:szCs w:val="24"/>
          <w:lang w:val="en-GB"/>
        </w:rPr>
        <w:t>of such communities (Córdoba, 2005).</w:t>
      </w:r>
      <w:r w:rsidR="00A9433D" w:rsidRPr="003D6474">
        <w:rPr>
          <w:rFonts w:ascii="Times New Roman" w:hAnsi="Times New Roman"/>
          <w:szCs w:val="24"/>
          <w:lang w:val="en-GB"/>
        </w:rPr>
        <w:t xml:space="preserve"> Regarding this, </w:t>
      </w:r>
      <w:r w:rsidR="00B53310" w:rsidRPr="003D6474">
        <w:rPr>
          <w:rFonts w:ascii="Times New Roman" w:hAnsi="Times New Roman"/>
          <w:szCs w:val="24"/>
          <w:lang w:val="en-GB"/>
        </w:rPr>
        <w:t>S</w:t>
      </w:r>
      <w:r w:rsidR="00F343FA" w:rsidRPr="003D6474">
        <w:rPr>
          <w:rFonts w:ascii="Times New Roman" w:hAnsi="Times New Roman"/>
          <w:szCs w:val="24"/>
          <w:lang w:val="en-GB"/>
        </w:rPr>
        <w:t xml:space="preserve">elz and Schubert (1997) developed </w:t>
      </w:r>
      <w:r w:rsidR="00E92A97" w:rsidRPr="003D6474">
        <w:rPr>
          <w:rFonts w:ascii="Times New Roman" w:hAnsi="Times New Roman"/>
          <w:szCs w:val="24"/>
          <w:lang w:val="en-GB"/>
        </w:rPr>
        <w:t xml:space="preserve">a </w:t>
      </w:r>
      <w:r w:rsidR="00F343FA" w:rsidRPr="003D6474">
        <w:rPr>
          <w:rFonts w:ascii="Times New Roman" w:hAnsi="Times New Roman"/>
          <w:szCs w:val="24"/>
          <w:lang w:val="en-GB"/>
        </w:rPr>
        <w:t>Web Assessment</w:t>
      </w:r>
      <w:r w:rsidR="00E92A97" w:rsidRPr="003D6474">
        <w:rPr>
          <w:rFonts w:ascii="Times New Roman" w:hAnsi="Times New Roman"/>
          <w:szCs w:val="24"/>
          <w:lang w:val="en-GB"/>
        </w:rPr>
        <w:t xml:space="preserve"> (WA)</w:t>
      </w:r>
      <w:r w:rsidR="00F343FA" w:rsidRPr="003D6474">
        <w:rPr>
          <w:rFonts w:ascii="Times New Roman" w:hAnsi="Times New Roman"/>
          <w:szCs w:val="24"/>
          <w:lang w:val="en-GB"/>
        </w:rPr>
        <w:t xml:space="preserve"> tool based on the three phases of a transaction</w:t>
      </w:r>
      <w:r w:rsidR="00A0182C" w:rsidRPr="003D6474">
        <w:rPr>
          <w:rFonts w:ascii="Times New Roman" w:hAnsi="Times New Roman"/>
          <w:szCs w:val="24"/>
          <w:lang w:val="en-GB"/>
        </w:rPr>
        <w:t>, namely</w:t>
      </w:r>
      <w:r w:rsidR="00632D78" w:rsidRPr="003D6474">
        <w:rPr>
          <w:rFonts w:ascii="Times New Roman" w:hAnsi="Times New Roman"/>
          <w:szCs w:val="24"/>
          <w:lang w:val="en-GB"/>
        </w:rPr>
        <w:t xml:space="preserve"> </w:t>
      </w:r>
      <w:r w:rsidR="00F343FA" w:rsidRPr="003D6474">
        <w:rPr>
          <w:rFonts w:ascii="Times New Roman" w:hAnsi="Times New Roman"/>
          <w:szCs w:val="24"/>
          <w:lang w:val="en-GB"/>
        </w:rPr>
        <w:t>information, agreement, and settlement</w:t>
      </w:r>
      <w:r w:rsidR="00CF4D16" w:rsidRPr="003D6474">
        <w:rPr>
          <w:rFonts w:ascii="Times New Roman" w:hAnsi="Times New Roman"/>
          <w:szCs w:val="24"/>
          <w:lang w:val="en-GB"/>
        </w:rPr>
        <w:t xml:space="preserve">, </w:t>
      </w:r>
      <w:r w:rsidR="00F343FA" w:rsidRPr="003D6474">
        <w:rPr>
          <w:rFonts w:ascii="Times New Roman" w:hAnsi="Times New Roman"/>
          <w:szCs w:val="24"/>
          <w:lang w:val="en-GB"/>
        </w:rPr>
        <w:t xml:space="preserve">augmented </w:t>
      </w:r>
      <w:r w:rsidR="00101A71" w:rsidRPr="003D6474">
        <w:rPr>
          <w:rFonts w:ascii="Times New Roman" w:hAnsi="Times New Roman"/>
          <w:szCs w:val="24"/>
          <w:lang w:val="en-GB"/>
        </w:rPr>
        <w:t xml:space="preserve">through </w:t>
      </w:r>
      <w:r w:rsidR="00F343FA" w:rsidRPr="003D6474">
        <w:rPr>
          <w:rFonts w:ascii="Times New Roman" w:hAnsi="Times New Roman"/>
          <w:szCs w:val="24"/>
          <w:lang w:val="en-GB"/>
        </w:rPr>
        <w:t xml:space="preserve">a community phase. Based on the idea of learning in communities, Cegarra, Dewhurst and Briones's research </w:t>
      </w:r>
      <w:r w:rsidR="00E40BF7" w:rsidRPr="003D6474">
        <w:rPr>
          <w:rFonts w:ascii="Times New Roman" w:hAnsi="Times New Roman"/>
          <w:szCs w:val="24"/>
          <w:lang w:val="en-GB"/>
        </w:rPr>
        <w:t>(</w:t>
      </w:r>
      <w:r w:rsidR="00B54D38" w:rsidRPr="003D6474">
        <w:rPr>
          <w:rFonts w:ascii="Times New Roman" w:hAnsi="Times New Roman"/>
          <w:szCs w:val="24"/>
          <w:lang w:val="en-GB"/>
        </w:rPr>
        <w:t>2007</w:t>
      </w:r>
      <w:r w:rsidR="00E40BF7" w:rsidRPr="003D6474">
        <w:rPr>
          <w:rFonts w:ascii="Times New Roman" w:hAnsi="Times New Roman"/>
          <w:szCs w:val="24"/>
          <w:lang w:val="en-GB"/>
        </w:rPr>
        <w:t xml:space="preserve">) </w:t>
      </w:r>
      <w:r w:rsidR="00F343FA" w:rsidRPr="003D6474">
        <w:rPr>
          <w:rFonts w:ascii="Times New Roman" w:hAnsi="Times New Roman"/>
          <w:szCs w:val="24"/>
          <w:lang w:val="en-GB"/>
        </w:rPr>
        <w:t xml:space="preserve">characterised an </w:t>
      </w:r>
      <w:r w:rsidR="00B17DD1" w:rsidRPr="003D6474">
        <w:rPr>
          <w:rFonts w:ascii="Times New Roman" w:hAnsi="Times New Roman"/>
          <w:szCs w:val="24"/>
          <w:lang w:val="en-GB"/>
        </w:rPr>
        <w:t xml:space="preserve">online government </w:t>
      </w:r>
      <w:r w:rsidR="00F343FA" w:rsidRPr="003D6474">
        <w:rPr>
          <w:rFonts w:ascii="Times New Roman" w:hAnsi="Times New Roman"/>
          <w:szCs w:val="24"/>
          <w:lang w:val="en-GB"/>
        </w:rPr>
        <w:t>model as having three business process renovation steps:</w:t>
      </w:r>
    </w:p>
    <w:p w:rsidR="00E319EE" w:rsidRPr="003D6474" w:rsidRDefault="00E319EE" w:rsidP="003B10E7">
      <w:pPr>
        <w:pStyle w:val="Normal1"/>
        <w:spacing w:after="0" w:line="240" w:lineRule="auto"/>
        <w:rPr>
          <w:rFonts w:ascii="Times New Roman" w:hAnsi="Times New Roman"/>
          <w:szCs w:val="24"/>
          <w:lang w:val="en-GB"/>
        </w:rPr>
      </w:pPr>
    </w:p>
    <w:p w:rsidR="00F343FA" w:rsidRPr="003D6474" w:rsidRDefault="00F343FA" w:rsidP="003B10E7">
      <w:pPr>
        <w:pStyle w:val="Normal1"/>
        <w:numPr>
          <w:ilvl w:val="0"/>
          <w:numId w:val="23"/>
        </w:numPr>
        <w:spacing w:after="0" w:line="240" w:lineRule="auto"/>
        <w:rPr>
          <w:rFonts w:ascii="Times New Roman" w:hAnsi="Times New Roman"/>
          <w:szCs w:val="24"/>
          <w:lang w:val="en-GB"/>
        </w:rPr>
      </w:pPr>
      <w:r w:rsidRPr="003D6474">
        <w:rPr>
          <w:rFonts w:ascii="Times New Roman" w:hAnsi="Times New Roman"/>
          <w:szCs w:val="24"/>
          <w:lang w:val="en-GB"/>
        </w:rPr>
        <w:t xml:space="preserve">External, where </w:t>
      </w:r>
      <w:r w:rsidR="00173D36" w:rsidRPr="003D6474">
        <w:rPr>
          <w:rFonts w:ascii="Times New Roman" w:hAnsi="Times New Roman"/>
          <w:szCs w:val="24"/>
          <w:lang w:val="en-GB"/>
        </w:rPr>
        <w:t xml:space="preserve">organisations </w:t>
      </w:r>
      <w:r w:rsidRPr="003D6474">
        <w:rPr>
          <w:rFonts w:ascii="Times New Roman" w:hAnsi="Times New Roman"/>
          <w:szCs w:val="24"/>
          <w:lang w:val="en-GB"/>
        </w:rPr>
        <w:t xml:space="preserve">open up new possibilities for government agencies to be more transparent to </w:t>
      </w:r>
      <w:r w:rsidR="00807040" w:rsidRPr="003D6474">
        <w:rPr>
          <w:rFonts w:ascii="Times New Roman" w:hAnsi="Times New Roman"/>
          <w:szCs w:val="24"/>
          <w:lang w:val="en-GB"/>
        </w:rPr>
        <w:t>them</w:t>
      </w:r>
      <w:r w:rsidRPr="003D6474">
        <w:rPr>
          <w:rFonts w:ascii="Times New Roman" w:hAnsi="Times New Roman"/>
          <w:szCs w:val="24"/>
          <w:lang w:val="en-GB"/>
        </w:rPr>
        <w:t xml:space="preserve">, giving access to a greater range of information collected and generated by their external and internal agents. For example, visiting government websites enables </w:t>
      </w:r>
      <w:r w:rsidR="00807040" w:rsidRPr="003D6474">
        <w:rPr>
          <w:rFonts w:ascii="Times New Roman" w:hAnsi="Times New Roman"/>
          <w:szCs w:val="24"/>
          <w:lang w:val="en-GB"/>
        </w:rPr>
        <w:t xml:space="preserve">hotels </w:t>
      </w:r>
      <w:r w:rsidRPr="003D6474">
        <w:rPr>
          <w:rFonts w:ascii="Times New Roman" w:hAnsi="Times New Roman"/>
          <w:szCs w:val="24"/>
          <w:lang w:val="en-GB"/>
        </w:rPr>
        <w:t>to have instantly available information (e.g. legal issues, economic data, and regional grants) at any time.</w:t>
      </w:r>
    </w:p>
    <w:p w:rsidR="00F343FA" w:rsidRPr="003D6474" w:rsidRDefault="00F343FA" w:rsidP="003B10E7">
      <w:pPr>
        <w:pStyle w:val="Normal1"/>
        <w:numPr>
          <w:ilvl w:val="0"/>
          <w:numId w:val="23"/>
        </w:numPr>
        <w:spacing w:after="0" w:line="240" w:lineRule="auto"/>
        <w:rPr>
          <w:rFonts w:ascii="Times New Roman" w:hAnsi="Times New Roman"/>
          <w:szCs w:val="24"/>
          <w:lang w:val="en-GB"/>
        </w:rPr>
      </w:pPr>
      <w:r w:rsidRPr="003D6474">
        <w:rPr>
          <w:rFonts w:ascii="Times New Roman" w:hAnsi="Times New Roman"/>
          <w:szCs w:val="24"/>
          <w:lang w:val="en-GB"/>
        </w:rPr>
        <w:t xml:space="preserve">Relational, where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adoption may enable fundamental changes to the relationships between businesses and their government. Vertical and horizontal integration of services can be realised, enabling the integration of information and services from various government agencies to help businesses and other stakeholders get seamless services (e.g. procurement of goods and services between government institutions and businesses). </w:t>
      </w:r>
    </w:p>
    <w:p w:rsidR="00F343FA" w:rsidRPr="003D6474" w:rsidRDefault="00F343FA" w:rsidP="003B10E7">
      <w:pPr>
        <w:pStyle w:val="Normal1"/>
        <w:numPr>
          <w:ilvl w:val="0"/>
          <w:numId w:val="23"/>
        </w:numPr>
        <w:spacing w:after="0" w:line="240" w:lineRule="auto"/>
        <w:rPr>
          <w:rFonts w:ascii="Times New Roman" w:hAnsi="Times New Roman"/>
          <w:szCs w:val="24"/>
          <w:lang w:val="en-GB"/>
        </w:rPr>
      </w:pPr>
      <w:r w:rsidRPr="003D6474">
        <w:rPr>
          <w:rFonts w:ascii="Times New Roman" w:hAnsi="Times New Roman"/>
          <w:szCs w:val="24"/>
          <w:lang w:val="en-GB"/>
        </w:rPr>
        <w:t>Internal, which refers to the extent that government services are re-engineered from an off-line to an e-service (e.g. on-line assessment and payment of taxes, registration of new companies).</w:t>
      </w:r>
    </w:p>
    <w:p w:rsidR="000F1A7E" w:rsidRPr="003D6474" w:rsidRDefault="000F1A7E" w:rsidP="003B10E7">
      <w:pPr>
        <w:pStyle w:val="BodyText2"/>
        <w:spacing w:line="240" w:lineRule="auto"/>
        <w:jc w:val="both"/>
        <w:rPr>
          <w:rFonts w:ascii="Times New Roman" w:hAnsi="Times New Roman"/>
          <w:sz w:val="24"/>
          <w:szCs w:val="24"/>
          <w:lang w:val="en-GB"/>
        </w:rPr>
      </w:pPr>
    </w:p>
    <w:p w:rsidR="00C7221A" w:rsidRPr="003D6474" w:rsidRDefault="00A9433D" w:rsidP="003B10E7">
      <w:pPr>
        <w:pStyle w:val="BodyText2"/>
        <w:spacing w:line="240" w:lineRule="auto"/>
        <w:jc w:val="both"/>
        <w:rPr>
          <w:rFonts w:ascii="Times New Roman" w:hAnsi="Times New Roman"/>
          <w:sz w:val="24"/>
          <w:szCs w:val="24"/>
          <w:lang w:val="en-GB"/>
        </w:rPr>
      </w:pPr>
      <w:r w:rsidRPr="003D6474">
        <w:rPr>
          <w:rFonts w:ascii="Times New Roman" w:hAnsi="Times New Roman"/>
          <w:sz w:val="24"/>
          <w:szCs w:val="24"/>
          <w:lang w:val="en-GB"/>
        </w:rPr>
        <w:t xml:space="preserve">Business to government implementation (e.g. </w:t>
      </w:r>
      <w:r w:rsidR="00B17DD1" w:rsidRPr="003D6474">
        <w:rPr>
          <w:rFonts w:ascii="Times New Roman" w:hAnsi="Times New Roman"/>
          <w:sz w:val="24"/>
          <w:szCs w:val="24"/>
          <w:lang w:val="en-GB"/>
        </w:rPr>
        <w:t>online government services</w:t>
      </w:r>
      <w:r w:rsidRPr="003D6474">
        <w:rPr>
          <w:rFonts w:ascii="Times New Roman" w:hAnsi="Times New Roman"/>
          <w:sz w:val="24"/>
          <w:szCs w:val="24"/>
          <w:lang w:val="en-GB"/>
        </w:rPr>
        <w:t>)</w:t>
      </w:r>
      <w:r w:rsidR="00F343FA" w:rsidRPr="003D6474">
        <w:rPr>
          <w:rFonts w:ascii="Times New Roman" w:hAnsi="Times New Roman"/>
          <w:sz w:val="24"/>
          <w:szCs w:val="24"/>
          <w:lang w:val="en-GB"/>
        </w:rPr>
        <w:t xml:space="preserve"> is thus a gradual and ongoing process that has the overall objective of fine tuning the fit or match between the </w:t>
      </w:r>
      <w:r w:rsidR="00CE4D85" w:rsidRPr="003D6474">
        <w:rPr>
          <w:rFonts w:ascii="Times New Roman" w:hAnsi="Times New Roman"/>
          <w:sz w:val="24"/>
          <w:szCs w:val="24"/>
          <w:lang w:val="en-GB"/>
        </w:rPr>
        <w:t>organisations'</w:t>
      </w:r>
      <w:r w:rsidR="00F343FA" w:rsidRPr="003D6474">
        <w:rPr>
          <w:rFonts w:ascii="Times New Roman" w:hAnsi="Times New Roman"/>
          <w:sz w:val="24"/>
          <w:szCs w:val="24"/>
          <w:lang w:val="en-GB"/>
        </w:rPr>
        <w:t xml:space="preserve"> current </w:t>
      </w:r>
      <w:r w:rsidRPr="003D6474">
        <w:rPr>
          <w:rFonts w:ascii="Times New Roman" w:hAnsi="Times New Roman"/>
          <w:sz w:val="24"/>
          <w:szCs w:val="24"/>
          <w:lang w:val="en-GB"/>
        </w:rPr>
        <w:t xml:space="preserve">knowledge structures </w:t>
      </w:r>
      <w:r w:rsidR="00F343FA" w:rsidRPr="003D6474">
        <w:rPr>
          <w:rFonts w:ascii="Times New Roman" w:hAnsi="Times New Roman"/>
          <w:sz w:val="24"/>
          <w:szCs w:val="24"/>
          <w:lang w:val="en-GB"/>
        </w:rPr>
        <w:t xml:space="preserve">and the external environment (Hibbard </w:t>
      </w:r>
      <w:r w:rsidR="00453374" w:rsidRPr="003D6474">
        <w:rPr>
          <w:rFonts w:ascii="Times New Roman" w:hAnsi="Times New Roman"/>
          <w:sz w:val="24"/>
          <w:szCs w:val="24"/>
          <w:lang w:val="en-GB"/>
        </w:rPr>
        <w:t>&amp;</w:t>
      </w:r>
      <w:r w:rsidR="00F343FA" w:rsidRPr="003D6474">
        <w:rPr>
          <w:rFonts w:ascii="Times New Roman" w:hAnsi="Times New Roman"/>
          <w:sz w:val="24"/>
          <w:szCs w:val="24"/>
          <w:lang w:val="en-GB"/>
        </w:rPr>
        <w:t xml:space="preserve"> Carillo, 1998). Regarding this, Nonaka and Konno (1998) assert that the implementation of new administrative procedures requires individual autonomy and useful knowledge, but it will only occur if it is fostered by </w:t>
      </w:r>
      <w:r w:rsidR="00787674" w:rsidRPr="003D6474">
        <w:rPr>
          <w:rFonts w:ascii="Times New Roman" w:hAnsi="Times New Roman"/>
          <w:sz w:val="24"/>
          <w:szCs w:val="24"/>
          <w:lang w:val="en-GB"/>
        </w:rPr>
        <w:t>knowledge structures</w:t>
      </w:r>
      <w:r w:rsidR="00F343FA" w:rsidRPr="003D6474">
        <w:rPr>
          <w:rFonts w:ascii="Times New Roman" w:hAnsi="Times New Roman"/>
          <w:sz w:val="24"/>
          <w:szCs w:val="24"/>
          <w:lang w:val="en-GB"/>
        </w:rPr>
        <w:t xml:space="preserve">. For </w:t>
      </w:r>
      <w:r w:rsidR="00405351" w:rsidRPr="003D6474">
        <w:rPr>
          <w:rFonts w:ascii="Times New Roman" w:hAnsi="Times New Roman"/>
          <w:sz w:val="24"/>
          <w:szCs w:val="24"/>
          <w:lang w:val="en-GB"/>
        </w:rPr>
        <w:t>both government and business employees</w:t>
      </w:r>
      <w:r w:rsidR="00F343FA" w:rsidRPr="003D6474">
        <w:rPr>
          <w:rFonts w:ascii="Times New Roman" w:hAnsi="Times New Roman"/>
          <w:sz w:val="24"/>
          <w:szCs w:val="24"/>
          <w:lang w:val="en-GB"/>
        </w:rPr>
        <w:t xml:space="preserve">, this means that through the presence of </w:t>
      </w:r>
      <w:r w:rsidR="00787674" w:rsidRPr="003D6474">
        <w:rPr>
          <w:rFonts w:ascii="Times New Roman" w:hAnsi="Times New Roman"/>
          <w:sz w:val="24"/>
          <w:szCs w:val="24"/>
          <w:lang w:val="en-GB"/>
        </w:rPr>
        <w:t>knowledge structures</w:t>
      </w:r>
      <w:r w:rsidR="000C56FA" w:rsidRPr="003D6474">
        <w:rPr>
          <w:rFonts w:ascii="Times New Roman" w:hAnsi="Times New Roman"/>
          <w:sz w:val="24"/>
          <w:szCs w:val="24"/>
          <w:lang w:val="en-GB"/>
        </w:rPr>
        <w:t xml:space="preserve"> individuals become </w:t>
      </w:r>
      <w:r w:rsidR="00F343FA" w:rsidRPr="003D6474">
        <w:rPr>
          <w:rFonts w:ascii="Times New Roman" w:hAnsi="Times New Roman"/>
          <w:sz w:val="24"/>
          <w:szCs w:val="24"/>
          <w:lang w:val="en-GB"/>
        </w:rPr>
        <w:t xml:space="preserve">aware of public e-services </w:t>
      </w:r>
      <w:r w:rsidR="008514F4" w:rsidRPr="003D6474">
        <w:rPr>
          <w:rFonts w:ascii="Times New Roman" w:hAnsi="Times New Roman"/>
          <w:sz w:val="24"/>
          <w:szCs w:val="24"/>
          <w:lang w:val="en-GB"/>
        </w:rPr>
        <w:t>and their benefits, including</w:t>
      </w:r>
      <w:r w:rsidR="00F343FA" w:rsidRPr="003D6474">
        <w:rPr>
          <w:rFonts w:ascii="Times New Roman" w:hAnsi="Times New Roman"/>
          <w:sz w:val="24"/>
          <w:szCs w:val="24"/>
          <w:lang w:val="en-GB"/>
        </w:rPr>
        <w:t xml:space="preserve"> increase</w:t>
      </w:r>
      <w:r w:rsidR="002A1231" w:rsidRPr="003D6474">
        <w:rPr>
          <w:rFonts w:ascii="Times New Roman" w:hAnsi="Times New Roman"/>
          <w:sz w:val="24"/>
          <w:szCs w:val="24"/>
          <w:lang w:val="en-GB"/>
        </w:rPr>
        <w:t>d</w:t>
      </w:r>
      <w:r w:rsidR="00F343FA" w:rsidRPr="003D6474">
        <w:rPr>
          <w:rFonts w:ascii="Times New Roman" w:hAnsi="Times New Roman"/>
          <w:sz w:val="24"/>
          <w:szCs w:val="24"/>
          <w:lang w:val="en-GB"/>
        </w:rPr>
        <w:t xml:space="preserve"> flexibility, control over process, time saved</w:t>
      </w:r>
      <w:r w:rsidR="002A1231" w:rsidRPr="003D6474">
        <w:rPr>
          <w:rFonts w:ascii="Times New Roman" w:hAnsi="Times New Roman"/>
          <w:sz w:val="24"/>
          <w:szCs w:val="24"/>
          <w:lang w:val="en-GB"/>
        </w:rPr>
        <w:t xml:space="preserve"> </w:t>
      </w:r>
      <w:r w:rsidR="00405351" w:rsidRPr="003D6474">
        <w:rPr>
          <w:rFonts w:ascii="Times New Roman" w:hAnsi="Times New Roman"/>
          <w:sz w:val="24"/>
          <w:szCs w:val="24"/>
          <w:lang w:val="en-GB"/>
        </w:rPr>
        <w:t>(</w:t>
      </w:r>
      <w:r w:rsidR="00CB2D08" w:rsidRPr="003D6474">
        <w:rPr>
          <w:rFonts w:ascii="Times New Roman" w:hAnsi="Times New Roman"/>
          <w:sz w:val="24"/>
          <w:szCs w:val="24"/>
          <w:lang w:val="en-GB"/>
        </w:rPr>
        <w:t xml:space="preserve">Grimsley </w:t>
      </w:r>
      <w:r w:rsidR="00453374" w:rsidRPr="003D6474">
        <w:rPr>
          <w:rFonts w:ascii="Times New Roman" w:hAnsi="Times New Roman"/>
          <w:sz w:val="24"/>
          <w:szCs w:val="24"/>
          <w:lang w:val="en-GB"/>
        </w:rPr>
        <w:t>&amp;</w:t>
      </w:r>
      <w:r w:rsidR="00CB2D08" w:rsidRPr="003D6474">
        <w:rPr>
          <w:rFonts w:ascii="Times New Roman" w:hAnsi="Times New Roman"/>
          <w:sz w:val="24"/>
          <w:szCs w:val="24"/>
          <w:lang w:val="en-GB"/>
        </w:rPr>
        <w:t xml:space="preserve"> Meehan, 2007</w:t>
      </w:r>
      <w:r w:rsidR="00405351" w:rsidRPr="003D6474">
        <w:rPr>
          <w:rFonts w:ascii="Times New Roman" w:hAnsi="Times New Roman"/>
          <w:sz w:val="24"/>
          <w:szCs w:val="24"/>
          <w:lang w:val="en-GB"/>
        </w:rPr>
        <w:t>)</w:t>
      </w:r>
      <w:r w:rsidR="00F343FA" w:rsidRPr="003D6474">
        <w:rPr>
          <w:rFonts w:ascii="Times New Roman" w:hAnsi="Times New Roman"/>
          <w:sz w:val="24"/>
          <w:szCs w:val="24"/>
          <w:lang w:val="en-GB"/>
        </w:rPr>
        <w:t xml:space="preserve">. </w:t>
      </w:r>
    </w:p>
    <w:p w:rsidR="00632D78" w:rsidRPr="003D6474" w:rsidRDefault="00632D78" w:rsidP="003B10E7">
      <w:pPr>
        <w:pStyle w:val="BodyText2"/>
        <w:spacing w:line="240" w:lineRule="auto"/>
        <w:jc w:val="both"/>
        <w:rPr>
          <w:rFonts w:ascii="Times New Roman" w:hAnsi="Times New Roman"/>
          <w:sz w:val="24"/>
          <w:szCs w:val="24"/>
          <w:lang w:val="en-GB"/>
        </w:rPr>
      </w:pPr>
    </w:p>
    <w:p w:rsidR="00F343FA" w:rsidRPr="003D6474" w:rsidRDefault="00F343FA" w:rsidP="003B10E7">
      <w:pPr>
        <w:pStyle w:val="BodyText2"/>
        <w:spacing w:line="240" w:lineRule="auto"/>
        <w:jc w:val="both"/>
        <w:rPr>
          <w:rFonts w:ascii="Times New Roman" w:hAnsi="Times New Roman"/>
          <w:sz w:val="24"/>
          <w:szCs w:val="24"/>
          <w:lang w:val="en-GB"/>
        </w:rPr>
      </w:pPr>
      <w:r w:rsidRPr="003D6474">
        <w:rPr>
          <w:rFonts w:ascii="Times New Roman" w:hAnsi="Times New Roman"/>
          <w:sz w:val="24"/>
          <w:szCs w:val="24"/>
          <w:lang w:val="en-GB"/>
        </w:rPr>
        <w:t xml:space="preserve">The notion of community learning has also been used to explore relationships between different groups of individuals (e.g. customers and employees). Dewhurst and Cegarra (2004) identify the existence of external communities as groups formed by company clients and employees with the purpose of learning. Such communities may be fostered through socialisation activities between customers and employees such as formal meetings or informal meetings, where customers and sellers interact through interdependent works for the achievement of a particular objective. </w:t>
      </w:r>
      <w:r w:rsidR="00134E20" w:rsidRPr="003D6474">
        <w:rPr>
          <w:rFonts w:ascii="Times New Roman" w:hAnsi="Times New Roman"/>
          <w:sz w:val="24"/>
          <w:szCs w:val="24"/>
          <w:lang w:val="en-GB"/>
        </w:rPr>
        <w:t xml:space="preserve">According to </w:t>
      </w:r>
      <w:r w:rsidR="00FD2823" w:rsidRPr="003D6474">
        <w:rPr>
          <w:rFonts w:ascii="Times New Roman" w:hAnsi="Times New Roman"/>
          <w:sz w:val="24"/>
          <w:szCs w:val="24"/>
          <w:lang w:val="en-GB"/>
        </w:rPr>
        <w:t xml:space="preserve">research by </w:t>
      </w:r>
      <w:r w:rsidRPr="003D6474">
        <w:rPr>
          <w:rFonts w:ascii="Times New Roman" w:hAnsi="Times New Roman"/>
          <w:sz w:val="24"/>
          <w:szCs w:val="24"/>
          <w:lang w:val="en-GB"/>
        </w:rPr>
        <w:t xml:space="preserve">Barnes and Vidgen (2001), it can be argued that the successful use of </w:t>
      </w:r>
      <w:r w:rsidR="00B17DD1" w:rsidRPr="003D6474">
        <w:rPr>
          <w:rFonts w:ascii="Times New Roman" w:hAnsi="Times New Roman"/>
          <w:sz w:val="24"/>
          <w:szCs w:val="24"/>
          <w:lang w:val="en-GB"/>
        </w:rPr>
        <w:t>online government services</w:t>
      </w:r>
      <w:r w:rsidR="00B17DD1" w:rsidRPr="003D6474">
        <w:rPr>
          <w:lang w:val="en-GB"/>
        </w:rPr>
        <w:t xml:space="preserve"> </w:t>
      </w:r>
      <w:r w:rsidRPr="003D6474">
        <w:rPr>
          <w:rFonts w:ascii="Times New Roman" w:hAnsi="Times New Roman"/>
          <w:sz w:val="24"/>
          <w:szCs w:val="24"/>
          <w:lang w:val="en-GB"/>
        </w:rPr>
        <w:t xml:space="preserve">depends on the existence </w:t>
      </w:r>
      <w:r w:rsidRPr="003D6474">
        <w:rPr>
          <w:rFonts w:ascii="Times New Roman" w:hAnsi="Times New Roman"/>
          <w:sz w:val="24"/>
          <w:szCs w:val="24"/>
          <w:lang w:val="en-GB"/>
        </w:rPr>
        <w:lastRenderedPageBreak/>
        <w:t xml:space="preserve">and development of ‘trust’ between groups of individuals inside and across organisations, and that such trust can be supported by external communities. In other cases the existence of external communities offers opportunities for customers and employees to provide their own ideas and suggestions (Dewhurst </w:t>
      </w:r>
      <w:r w:rsidR="00453374" w:rsidRPr="003D6474">
        <w:rPr>
          <w:rFonts w:ascii="Times New Roman" w:hAnsi="Times New Roman"/>
          <w:sz w:val="24"/>
          <w:szCs w:val="24"/>
          <w:lang w:val="en-GB"/>
        </w:rPr>
        <w:t>&amp;</w:t>
      </w:r>
      <w:r w:rsidRPr="003D6474">
        <w:rPr>
          <w:rFonts w:ascii="Times New Roman" w:hAnsi="Times New Roman"/>
          <w:sz w:val="24"/>
          <w:szCs w:val="24"/>
          <w:lang w:val="en-GB"/>
        </w:rPr>
        <w:t xml:space="preserve"> Cegarra, 2004). These considerations lead </w:t>
      </w:r>
      <w:r w:rsidR="00787674" w:rsidRPr="003D6474">
        <w:rPr>
          <w:rFonts w:ascii="Times New Roman" w:hAnsi="Times New Roman"/>
          <w:sz w:val="24"/>
          <w:szCs w:val="24"/>
          <w:lang w:val="en-GB"/>
        </w:rPr>
        <w:t xml:space="preserve">this study </w:t>
      </w:r>
      <w:r w:rsidRPr="003D6474">
        <w:rPr>
          <w:rFonts w:ascii="Times New Roman" w:hAnsi="Times New Roman"/>
          <w:sz w:val="24"/>
          <w:szCs w:val="24"/>
          <w:lang w:val="en-GB"/>
        </w:rPr>
        <w:t>to frame the first hypothesis of the work:</w:t>
      </w:r>
    </w:p>
    <w:p w:rsidR="000F1A7E" w:rsidRPr="003D6474" w:rsidRDefault="000F1A7E" w:rsidP="003B10E7">
      <w:pPr>
        <w:pStyle w:val="BodyText2"/>
        <w:spacing w:line="240" w:lineRule="auto"/>
        <w:jc w:val="both"/>
        <w:rPr>
          <w:rFonts w:ascii="Times New Roman" w:hAnsi="Times New Roman"/>
          <w:sz w:val="24"/>
          <w:szCs w:val="24"/>
          <w:lang w:val="en-GB"/>
        </w:rPr>
      </w:pPr>
    </w:p>
    <w:p w:rsidR="00F343FA" w:rsidRPr="003D6474" w:rsidRDefault="00F343FA" w:rsidP="003B10E7">
      <w:pPr>
        <w:pStyle w:val="BodyText"/>
        <w:ind w:firstLine="708"/>
        <w:rPr>
          <w:i/>
          <w:iCs/>
          <w:lang w:val="en-GB"/>
        </w:rPr>
      </w:pPr>
      <w:r w:rsidRPr="003D6474">
        <w:rPr>
          <w:i/>
          <w:iCs/>
          <w:lang w:val="en-GB"/>
        </w:rPr>
        <w:t xml:space="preserve">H1: </w:t>
      </w:r>
      <w:r w:rsidR="00DC01FE" w:rsidRPr="003D6474">
        <w:rPr>
          <w:i/>
          <w:iCs/>
          <w:lang w:val="en-GB"/>
        </w:rPr>
        <w:t>The presence of e</w:t>
      </w:r>
      <w:r w:rsidRPr="003D6474">
        <w:rPr>
          <w:i/>
          <w:iCs/>
          <w:lang w:val="en-GB"/>
        </w:rPr>
        <w:t xml:space="preserve">xternal communities </w:t>
      </w:r>
      <w:r w:rsidR="00E319EE" w:rsidRPr="003D6474">
        <w:rPr>
          <w:i/>
          <w:iCs/>
          <w:lang w:val="en-GB"/>
        </w:rPr>
        <w:t xml:space="preserve">of learning and practice </w:t>
      </w:r>
      <w:r w:rsidRPr="003D6474">
        <w:rPr>
          <w:i/>
          <w:iCs/>
          <w:lang w:val="en-GB"/>
        </w:rPr>
        <w:t xml:space="preserve">are positively related to </w:t>
      </w:r>
      <w:r w:rsidR="00E319EE" w:rsidRPr="003D6474">
        <w:rPr>
          <w:i/>
          <w:iCs/>
          <w:lang w:val="en-GB"/>
        </w:rPr>
        <w:t xml:space="preserve">online services </w:t>
      </w:r>
    </w:p>
    <w:p w:rsidR="000F1A7E" w:rsidRPr="003D6474" w:rsidRDefault="000F1A7E" w:rsidP="003B10E7">
      <w:pPr>
        <w:pStyle w:val="BodyText2"/>
        <w:spacing w:line="240" w:lineRule="auto"/>
        <w:jc w:val="both"/>
        <w:rPr>
          <w:rFonts w:ascii="Times New Roman" w:hAnsi="Times New Roman"/>
          <w:sz w:val="24"/>
          <w:szCs w:val="24"/>
          <w:lang w:val="en-GB"/>
        </w:rPr>
      </w:pPr>
    </w:p>
    <w:p w:rsidR="00F343FA" w:rsidRPr="003D6474" w:rsidRDefault="00F343FA" w:rsidP="003B10E7">
      <w:pPr>
        <w:pStyle w:val="BodyText2"/>
        <w:spacing w:line="240" w:lineRule="auto"/>
        <w:jc w:val="both"/>
        <w:rPr>
          <w:rFonts w:ascii="Times New Roman" w:hAnsi="Times New Roman"/>
          <w:sz w:val="24"/>
          <w:szCs w:val="24"/>
          <w:lang w:val="en-GB"/>
        </w:rPr>
      </w:pPr>
      <w:r w:rsidRPr="003D6474">
        <w:rPr>
          <w:rFonts w:ascii="Times New Roman" w:hAnsi="Times New Roman"/>
          <w:sz w:val="24"/>
          <w:szCs w:val="24"/>
          <w:lang w:val="en-GB"/>
        </w:rPr>
        <w:t xml:space="preserve">A subgroup of </w:t>
      </w:r>
      <w:r w:rsidR="0009708B" w:rsidRPr="003D6474">
        <w:rPr>
          <w:rFonts w:ascii="Times New Roman" w:hAnsi="Times New Roman"/>
          <w:sz w:val="24"/>
          <w:szCs w:val="24"/>
          <w:lang w:val="en-GB"/>
        </w:rPr>
        <w:t xml:space="preserve">a </w:t>
      </w:r>
      <w:r w:rsidRPr="003D6474">
        <w:rPr>
          <w:rFonts w:ascii="Times New Roman" w:hAnsi="Times New Roman"/>
          <w:sz w:val="24"/>
          <w:szCs w:val="24"/>
          <w:lang w:val="en-GB"/>
        </w:rPr>
        <w:t>community is that of workplace communities as groups formed by employees.</w:t>
      </w:r>
      <w:r w:rsidR="00AF0EB7" w:rsidRPr="003D6474">
        <w:rPr>
          <w:rFonts w:ascii="Times New Roman" w:hAnsi="Times New Roman"/>
          <w:sz w:val="24"/>
          <w:szCs w:val="24"/>
          <w:lang w:val="en-GB"/>
        </w:rPr>
        <w:t xml:space="preserve"> </w:t>
      </w:r>
      <w:r w:rsidRPr="003D6474">
        <w:rPr>
          <w:rFonts w:ascii="Times New Roman" w:hAnsi="Times New Roman"/>
          <w:sz w:val="24"/>
          <w:szCs w:val="24"/>
          <w:lang w:val="en-GB"/>
        </w:rPr>
        <w:t xml:space="preserve">Janis (1982) suggests some approaches to organisational design that </w:t>
      </w:r>
      <w:r w:rsidR="00B50A09" w:rsidRPr="003D6474">
        <w:rPr>
          <w:rFonts w:ascii="Times New Roman" w:hAnsi="Times New Roman"/>
          <w:sz w:val="24"/>
          <w:szCs w:val="24"/>
          <w:lang w:val="en-GB"/>
        </w:rPr>
        <w:t xml:space="preserve">have the potential to </w:t>
      </w:r>
      <w:r w:rsidRPr="003D6474">
        <w:rPr>
          <w:rFonts w:ascii="Times New Roman" w:hAnsi="Times New Roman"/>
          <w:sz w:val="24"/>
          <w:szCs w:val="24"/>
          <w:lang w:val="en-GB"/>
        </w:rPr>
        <w:t xml:space="preserve">increase the likelihood of the emergence of </w:t>
      </w:r>
      <w:r w:rsidR="00AF0EB7" w:rsidRPr="003D6474">
        <w:rPr>
          <w:rFonts w:ascii="Times New Roman" w:hAnsi="Times New Roman"/>
          <w:sz w:val="24"/>
          <w:szCs w:val="24"/>
          <w:lang w:val="en-GB"/>
        </w:rPr>
        <w:t xml:space="preserve">workplace </w:t>
      </w:r>
      <w:r w:rsidRPr="003D6474">
        <w:rPr>
          <w:rFonts w:ascii="Times New Roman" w:hAnsi="Times New Roman"/>
          <w:sz w:val="24"/>
          <w:szCs w:val="24"/>
          <w:lang w:val="en-GB"/>
        </w:rPr>
        <w:t xml:space="preserve">communities. For example, </w:t>
      </w:r>
      <w:r w:rsidR="00F01D12" w:rsidRPr="003D6474">
        <w:rPr>
          <w:rFonts w:ascii="Times New Roman" w:hAnsi="Times New Roman"/>
          <w:sz w:val="24"/>
          <w:szCs w:val="24"/>
          <w:lang w:val="en-GB"/>
        </w:rPr>
        <w:t xml:space="preserve">Janis (1982) </w:t>
      </w:r>
      <w:r w:rsidRPr="003D6474">
        <w:rPr>
          <w:rFonts w:ascii="Times New Roman" w:hAnsi="Times New Roman"/>
          <w:sz w:val="24"/>
          <w:szCs w:val="24"/>
          <w:lang w:val="en-GB"/>
        </w:rPr>
        <w:t xml:space="preserve">suggests personal rotation </w:t>
      </w:r>
      <w:r w:rsidR="0096589E" w:rsidRPr="003D6474">
        <w:rPr>
          <w:rFonts w:ascii="Times New Roman" w:hAnsi="Times New Roman"/>
          <w:sz w:val="24"/>
          <w:szCs w:val="24"/>
          <w:lang w:val="en-GB"/>
        </w:rPr>
        <w:t xml:space="preserve">of staff </w:t>
      </w:r>
      <w:r w:rsidR="000F4815" w:rsidRPr="003D6474">
        <w:rPr>
          <w:rFonts w:ascii="Times New Roman" w:hAnsi="Times New Roman"/>
          <w:sz w:val="24"/>
          <w:szCs w:val="24"/>
          <w:lang w:val="en-GB"/>
        </w:rPr>
        <w:t xml:space="preserve">across </w:t>
      </w:r>
      <w:r w:rsidRPr="003D6474">
        <w:rPr>
          <w:rFonts w:ascii="Times New Roman" w:hAnsi="Times New Roman"/>
          <w:sz w:val="24"/>
          <w:szCs w:val="24"/>
          <w:lang w:val="en-GB"/>
        </w:rPr>
        <w:t xml:space="preserve">different functional areas, with the purpose of </w:t>
      </w:r>
      <w:r w:rsidR="0096589E" w:rsidRPr="003D6474">
        <w:rPr>
          <w:rFonts w:ascii="Times New Roman" w:hAnsi="Times New Roman"/>
          <w:sz w:val="24"/>
          <w:szCs w:val="24"/>
          <w:lang w:val="en-GB"/>
        </w:rPr>
        <w:t xml:space="preserve">enabling </w:t>
      </w:r>
      <w:r w:rsidRPr="003D6474">
        <w:rPr>
          <w:rFonts w:ascii="Times New Roman" w:hAnsi="Times New Roman"/>
          <w:sz w:val="24"/>
          <w:szCs w:val="24"/>
          <w:lang w:val="en-GB"/>
        </w:rPr>
        <w:t xml:space="preserve">the </w:t>
      </w:r>
      <w:r w:rsidR="00082A4D" w:rsidRPr="003D6474">
        <w:rPr>
          <w:rFonts w:ascii="Times New Roman" w:hAnsi="Times New Roman"/>
          <w:sz w:val="24"/>
          <w:szCs w:val="24"/>
          <w:lang w:val="en-GB"/>
        </w:rPr>
        <w:t xml:space="preserve">organisation </w:t>
      </w:r>
      <w:r w:rsidRPr="003D6474">
        <w:rPr>
          <w:rFonts w:ascii="Times New Roman" w:hAnsi="Times New Roman"/>
          <w:sz w:val="24"/>
          <w:szCs w:val="24"/>
          <w:lang w:val="en-GB"/>
        </w:rPr>
        <w:t xml:space="preserve">to </w:t>
      </w:r>
      <w:r w:rsidR="003C590E" w:rsidRPr="003D6474">
        <w:rPr>
          <w:rFonts w:ascii="Times New Roman" w:hAnsi="Times New Roman"/>
          <w:sz w:val="24"/>
          <w:szCs w:val="24"/>
          <w:lang w:val="en-GB"/>
        </w:rPr>
        <w:t xml:space="preserve">further benefit from staff </w:t>
      </w:r>
      <w:r w:rsidRPr="003D6474">
        <w:rPr>
          <w:rFonts w:ascii="Times New Roman" w:hAnsi="Times New Roman"/>
          <w:sz w:val="24"/>
          <w:szCs w:val="24"/>
          <w:lang w:val="en-GB"/>
        </w:rPr>
        <w:t>meeting</w:t>
      </w:r>
      <w:r w:rsidR="003C590E" w:rsidRPr="003D6474">
        <w:rPr>
          <w:rFonts w:ascii="Times New Roman" w:hAnsi="Times New Roman"/>
          <w:sz w:val="24"/>
          <w:szCs w:val="24"/>
          <w:lang w:val="en-GB"/>
        </w:rPr>
        <w:t>s</w:t>
      </w:r>
      <w:r w:rsidR="00F27A21" w:rsidRPr="003D6474">
        <w:rPr>
          <w:rFonts w:ascii="Times New Roman" w:hAnsi="Times New Roman"/>
          <w:sz w:val="24"/>
          <w:szCs w:val="24"/>
          <w:lang w:val="en-GB"/>
        </w:rPr>
        <w:t xml:space="preserve"> by facilitating the sharing of </w:t>
      </w:r>
      <w:r w:rsidRPr="003D6474">
        <w:rPr>
          <w:rFonts w:ascii="Times New Roman" w:hAnsi="Times New Roman"/>
          <w:sz w:val="24"/>
          <w:szCs w:val="24"/>
          <w:lang w:val="en-GB"/>
        </w:rPr>
        <w:t xml:space="preserve">multidisciplinary perspectives, a greater fluency of knowledge and the creation of conflict. </w:t>
      </w:r>
      <w:r w:rsidRPr="003D6474">
        <w:rPr>
          <w:rFonts w:ascii="Times New Roman" w:hAnsi="Times New Roman"/>
          <w:sz w:val="24"/>
          <w:szCs w:val="24"/>
          <w:lang w:val="en-US"/>
        </w:rPr>
        <w:t xml:space="preserve">Porter </w:t>
      </w:r>
      <w:r w:rsidRPr="003D6474">
        <w:rPr>
          <w:rFonts w:ascii="Times New Roman" w:hAnsi="Times New Roman"/>
          <w:i/>
          <w:sz w:val="24"/>
          <w:szCs w:val="24"/>
          <w:lang w:val="en-US"/>
        </w:rPr>
        <w:t>et al</w:t>
      </w:r>
      <w:r w:rsidRPr="003D6474">
        <w:rPr>
          <w:rFonts w:ascii="Times New Roman" w:hAnsi="Times New Roman"/>
          <w:sz w:val="24"/>
          <w:szCs w:val="24"/>
          <w:lang w:val="en-US"/>
        </w:rPr>
        <w:t xml:space="preserve">. </w:t>
      </w:r>
      <w:r w:rsidRPr="003D6474">
        <w:rPr>
          <w:rFonts w:ascii="Times New Roman" w:hAnsi="Times New Roman"/>
          <w:sz w:val="24"/>
          <w:szCs w:val="24"/>
          <w:lang w:val="en-GB"/>
        </w:rPr>
        <w:t xml:space="preserve">(1987) suggest that workplace communities can be distinguished by the degree </w:t>
      </w:r>
      <w:r w:rsidR="00BF4596" w:rsidRPr="003D6474">
        <w:rPr>
          <w:rFonts w:ascii="Times New Roman" w:hAnsi="Times New Roman"/>
          <w:sz w:val="24"/>
          <w:szCs w:val="24"/>
          <w:lang w:val="en-GB"/>
        </w:rPr>
        <w:t xml:space="preserve">to </w:t>
      </w:r>
      <w:r w:rsidRPr="003D6474">
        <w:rPr>
          <w:rFonts w:ascii="Times New Roman" w:hAnsi="Times New Roman"/>
          <w:sz w:val="24"/>
          <w:szCs w:val="24"/>
          <w:lang w:val="en-GB"/>
        </w:rPr>
        <w:t xml:space="preserve">which all the members are </w:t>
      </w:r>
      <w:r w:rsidR="00BF4596" w:rsidRPr="003D6474">
        <w:rPr>
          <w:rFonts w:ascii="Times New Roman" w:hAnsi="Times New Roman"/>
          <w:sz w:val="24"/>
          <w:szCs w:val="24"/>
          <w:lang w:val="en-GB"/>
        </w:rPr>
        <w:t xml:space="preserve">enabled </w:t>
      </w:r>
      <w:r w:rsidRPr="003D6474">
        <w:rPr>
          <w:rFonts w:ascii="Times New Roman" w:hAnsi="Times New Roman"/>
          <w:sz w:val="24"/>
          <w:szCs w:val="24"/>
          <w:lang w:val="en-GB"/>
        </w:rPr>
        <w:t>to participate in decision</w:t>
      </w:r>
      <w:r w:rsidR="00F35D10" w:rsidRPr="003D6474">
        <w:rPr>
          <w:rFonts w:ascii="Times New Roman" w:hAnsi="Times New Roman"/>
          <w:sz w:val="24"/>
          <w:szCs w:val="24"/>
          <w:lang w:val="en-GB"/>
        </w:rPr>
        <w:t xml:space="preserve"> making</w:t>
      </w:r>
      <w:r w:rsidRPr="003D6474">
        <w:rPr>
          <w:rFonts w:ascii="Times New Roman" w:hAnsi="Times New Roman"/>
          <w:sz w:val="24"/>
          <w:szCs w:val="24"/>
          <w:lang w:val="en-GB"/>
        </w:rPr>
        <w:t xml:space="preserve">. For example, through workplace communities, managers make information available </w:t>
      </w:r>
      <w:r w:rsidR="00D61260" w:rsidRPr="003D6474">
        <w:rPr>
          <w:rFonts w:ascii="Times New Roman" w:hAnsi="Times New Roman"/>
          <w:sz w:val="24"/>
          <w:szCs w:val="24"/>
          <w:lang w:val="en-GB"/>
        </w:rPr>
        <w:t xml:space="preserve">as and when </w:t>
      </w:r>
      <w:r w:rsidRPr="003D6474">
        <w:rPr>
          <w:rFonts w:ascii="Times New Roman" w:hAnsi="Times New Roman"/>
          <w:sz w:val="24"/>
          <w:szCs w:val="24"/>
          <w:lang w:val="en-GB"/>
        </w:rPr>
        <w:t xml:space="preserve">needed, </w:t>
      </w:r>
      <w:r w:rsidR="001365F6" w:rsidRPr="003D6474">
        <w:rPr>
          <w:rFonts w:ascii="Times New Roman" w:hAnsi="Times New Roman"/>
          <w:sz w:val="24"/>
          <w:szCs w:val="24"/>
          <w:lang w:val="en-GB"/>
        </w:rPr>
        <w:t xml:space="preserve">and therefore </w:t>
      </w:r>
      <w:r w:rsidRPr="003D6474">
        <w:rPr>
          <w:rFonts w:ascii="Times New Roman" w:hAnsi="Times New Roman"/>
          <w:sz w:val="24"/>
          <w:szCs w:val="24"/>
          <w:lang w:val="en-GB"/>
        </w:rPr>
        <w:t xml:space="preserve">it is easier to find the e-services and websites they are looking for (Davenport </w:t>
      </w:r>
      <w:r w:rsidR="00453374" w:rsidRPr="003D6474">
        <w:rPr>
          <w:rFonts w:ascii="Times New Roman" w:hAnsi="Times New Roman"/>
          <w:sz w:val="24"/>
          <w:szCs w:val="24"/>
          <w:lang w:val="en-GB"/>
        </w:rPr>
        <w:t>&amp;</w:t>
      </w:r>
      <w:r w:rsidRPr="003D6474">
        <w:rPr>
          <w:rFonts w:ascii="Times New Roman" w:hAnsi="Times New Roman"/>
          <w:sz w:val="24"/>
          <w:szCs w:val="24"/>
          <w:lang w:val="en-GB"/>
        </w:rPr>
        <w:t xml:space="preserve"> Grover, 2001). </w:t>
      </w:r>
      <w:r w:rsidR="00875C5D" w:rsidRPr="003D6474">
        <w:rPr>
          <w:rFonts w:ascii="Times New Roman" w:hAnsi="Times New Roman"/>
          <w:sz w:val="24"/>
          <w:szCs w:val="24"/>
          <w:lang w:val="en-GB"/>
        </w:rPr>
        <w:t>Self</w:t>
      </w:r>
      <w:r w:rsidRPr="003D6474">
        <w:rPr>
          <w:rFonts w:ascii="Times New Roman" w:hAnsi="Times New Roman"/>
          <w:sz w:val="24"/>
          <w:szCs w:val="24"/>
          <w:lang w:val="en-GB"/>
        </w:rPr>
        <w:t>-direct</w:t>
      </w:r>
      <w:r w:rsidR="00875C5D" w:rsidRPr="003D6474">
        <w:rPr>
          <w:rFonts w:ascii="Times New Roman" w:hAnsi="Times New Roman"/>
          <w:sz w:val="24"/>
          <w:szCs w:val="24"/>
          <w:lang w:val="en-GB"/>
        </w:rPr>
        <w:t>ed work</w:t>
      </w:r>
      <w:r w:rsidRPr="003D6474">
        <w:rPr>
          <w:rFonts w:ascii="Times New Roman" w:hAnsi="Times New Roman"/>
          <w:sz w:val="24"/>
          <w:szCs w:val="24"/>
          <w:lang w:val="en-GB"/>
        </w:rPr>
        <w:t xml:space="preserve"> and participation can thus contribute to increasing the efficiency of the workplace communities, as a result of </w:t>
      </w:r>
      <w:r w:rsidR="00213E81" w:rsidRPr="003D6474">
        <w:rPr>
          <w:rFonts w:ascii="Times New Roman" w:hAnsi="Times New Roman"/>
          <w:sz w:val="24"/>
          <w:szCs w:val="24"/>
          <w:lang w:val="en-GB"/>
        </w:rPr>
        <w:t xml:space="preserve">an </w:t>
      </w:r>
      <w:r w:rsidRPr="003D6474">
        <w:rPr>
          <w:rFonts w:ascii="Times New Roman" w:hAnsi="Times New Roman"/>
          <w:sz w:val="24"/>
          <w:szCs w:val="24"/>
          <w:lang w:val="en-GB"/>
        </w:rPr>
        <w:t>increas</w:t>
      </w:r>
      <w:r w:rsidR="00213E81" w:rsidRPr="003D6474">
        <w:rPr>
          <w:rFonts w:ascii="Times New Roman" w:hAnsi="Times New Roman"/>
          <w:sz w:val="24"/>
          <w:szCs w:val="24"/>
          <w:lang w:val="en-GB"/>
        </w:rPr>
        <w:t>e</w:t>
      </w:r>
      <w:r w:rsidRPr="003D6474">
        <w:rPr>
          <w:rFonts w:ascii="Times New Roman" w:hAnsi="Times New Roman"/>
          <w:sz w:val="24"/>
          <w:szCs w:val="24"/>
          <w:lang w:val="en-GB"/>
        </w:rPr>
        <w:t xml:space="preserve"> in </w:t>
      </w:r>
      <w:r w:rsidR="00B765B9" w:rsidRPr="003D6474">
        <w:rPr>
          <w:rFonts w:ascii="Times New Roman" w:hAnsi="Times New Roman"/>
          <w:sz w:val="24"/>
          <w:szCs w:val="24"/>
          <w:lang w:val="en-GB"/>
        </w:rPr>
        <w:t xml:space="preserve">the level of commitment of </w:t>
      </w:r>
      <w:r w:rsidRPr="003D6474">
        <w:rPr>
          <w:rFonts w:ascii="Times New Roman" w:hAnsi="Times New Roman"/>
          <w:sz w:val="24"/>
          <w:szCs w:val="24"/>
          <w:lang w:val="en-GB"/>
        </w:rPr>
        <w:t xml:space="preserve">their members </w:t>
      </w:r>
      <w:r w:rsidR="00B765B9" w:rsidRPr="003D6474">
        <w:rPr>
          <w:rFonts w:ascii="Times New Roman" w:hAnsi="Times New Roman"/>
          <w:sz w:val="24"/>
          <w:szCs w:val="24"/>
          <w:lang w:val="en-GB"/>
        </w:rPr>
        <w:t xml:space="preserve">derived from </w:t>
      </w:r>
      <w:r w:rsidRPr="003D6474">
        <w:rPr>
          <w:rFonts w:ascii="Times New Roman" w:hAnsi="Times New Roman"/>
          <w:sz w:val="24"/>
          <w:szCs w:val="24"/>
          <w:lang w:val="en-GB"/>
        </w:rPr>
        <w:t xml:space="preserve">their sense of ownership </w:t>
      </w:r>
      <w:r w:rsidR="00DF4C2A" w:rsidRPr="003D6474">
        <w:rPr>
          <w:rFonts w:ascii="Times New Roman" w:hAnsi="Times New Roman"/>
          <w:sz w:val="24"/>
          <w:szCs w:val="24"/>
          <w:lang w:val="en-GB"/>
        </w:rPr>
        <w:t xml:space="preserve">of </w:t>
      </w:r>
      <w:r w:rsidRPr="003D6474">
        <w:rPr>
          <w:rFonts w:ascii="Times New Roman" w:hAnsi="Times New Roman"/>
          <w:sz w:val="24"/>
          <w:szCs w:val="24"/>
          <w:lang w:val="en-GB"/>
        </w:rPr>
        <w:t xml:space="preserve">the </w:t>
      </w:r>
      <w:r w:rsidR="00DF4C2A" w:rsidRPr="003D6474">
        <w:rPr>
          <w:rFonts w:ascii="Times New Roman" w:hAnsi="Times New Roman"/>
          <w:sz w:val="24"/>
          <w:szCs w:val="24"/>
          <w:lang w:val="en-GB"/>
        </w:rPr>
        <w:t>tasks</w:t>
      </w:r>
      <w:r w:rsidRPr="003D6474">
        <w:rPr>
          <w:rFonts w:ascii="Times New Roman" w:hAnsi="Times New Roman"/>
          <w:sz w:val="24"/>
          <w:szCs w:val="24"/>
          <w:lang w:val="en-GB"/>
        </w:rPr>
        <w:t xml:space="preserve">. </w:t>
      </w:r>
      <w:r w:rsidR="00787674" w:rsidRPr="003D6474">
        <w:rPr>
          <w:rFonts w:ascii="Times New Roman" w:hAnsi="Times New Roman"/>
          <w:sz w:val="24"/>
          <w:szCs w:val="24"/>
          <w:lang w:val="en-GB"/>
        </w:rPr>
        <w:t>Hence, the study proposes the following hypothesis:</w:t>
      </w:r>
    </w:p>
    <w:p w:rsidR="00C37728" w:rsidRPr="003D6474" w:rsidRDefault="00C37728" w:rsidP="003B10E7">
      <w:pPr>
        <w:pStyle w:val="BodyText"/>
        <w:ind w:firstLine="708"/>
        <w:rPr>
          <w:i/>
          <w:iCs/>
          <w:lang w:val="en-GB"/>
        </w:rPr>
      </w:pPr>
    </w:p>
    <w:p w:rsidR="00F343FA" w:rsidRPr="003D6474" w:rsidRDefault="00F343FA" w:rsidP="003B10E7">
      <w:pPr>
        <w:pStyle w:val="BodyText"/>
        <w:ind w:firstLine="708"/>
        <w:rPr>
          <w:i/>
          <w:iCs/>
          <w:lang w:val="en-GB"/>
        </w:rPr>
      </w:pPr>
      <w:r w:rsidRPr="003D6474">
        <w:rPr>
          <w:i/>
          <w:iCs/>
          <w:lang w:val="en-GB"/>
        </w:rPr>
        <w:t xml:space="preserve">H2: </w:t>
      </w:r>
      <w:r w:rsidR="00DC01FE" w:rsidRPr="003D6474">
        <w:rPr>
          <w:i/>
          <w:iCs/>
          <w:lang w:val="en-GB"/>
        </w:rPr>
        <w:t xml:space="preserve">The presence of working communities of learning and practice are positively related to online services </w:t>
      </w:r>
    </w:p>
    <w:p w:rsidR="00C37728" w:rsidRPr="003D6474" w:rsidRDefault="00C37728" w:rsidP="003B10E7">
      <w:pPr>
        <w:pStyle w:val="BodyText2"/>
        <w:spacing w:line="240" w:lineRule="auto"/>
        <w:jc w:val="both"/>
        <w:rPr>
          <w:rFonts w:ascii="Times New Roman" w:hAnsi="Times New Roman"/>
          <w:sz w:val="24"/>
          <w:szCs w:val="24"/>
          <w:lang w:val="en-GB"/>
        </w:rPr>
      </w:pPr>
    </w:p>
    <w:p w:rsidR="00F343FA" w:rsidRPr="003D6474" w:rsidRDefault="00995B95" w:rsidP="003B10E7">
      <w:pPr>
        <w:pStyle w:val="BodyText2"/>
        <w:spacing w:line="240" w:lineRule="auto"/>
        <w:jc w:val="both"/>
        <w:rPr>
          <w:rFonts w:ascii="Times New Roman" w:hAnsi="Times New Roman"/>
          <w:sz w:val="24"/>
          <w:szCs w:val="24"/>
          <w:lang w:val="en-GB"/>
        </w:rPr>
      </w:pPr>
      <w:r w:rsidRPr="003D6474">
        <w:rPr>
          <w:rFonts w:ascii="Times New Roman" w:hAnsi="Times New Roman"/>
          <w:sz w:val="24"/>
          <w:szCs w:val="24"/>
          <w:lang w:val="en-GB"/>
        </w:rPr>
        <w:t xml:space="preserve">Teece (2000) refers to knowledge as information in context. </w:t>
      </w:r>
      <w:r w:rsidR="00686662" w:rsidRPr="003D6474">
        <w:rPr>
          <w:rFonts w:ascii="Times New Roman" w:hAnsi="Times New Roman"/>
          <w:sz w:val="24"/>
          <w:szCs w:val="24"/>
          <w:lang w:val="en-GB"/>
        </w:rPr>
        <w:t>A</w:t>
      </w:r>
      <w:r w:rsidR="00F343FA" w:rsidRPr="003D6474">
        <w:rPr>
          <w:rFonts w:ascii="Times New Roman" w:hAnsi="Times New Roman"/>
          <w:sz w:val="24"/>
          <w:szCs w:val="24"/>
          <w:lang w:val="en-GB"/>
        </w:rPr>
        <w:t xml:space="preserve">ccording to Cohen (1998), context </w:t>
      </w:r>
      <w:r w:rsidR="00266CDA" w:rsidRPr="003D6474">
        <w:rPr>
          <w:rFonts w:ascii="Times New Roman" w:hAnsi="Times New Roman"/>
          <w:sz w:val="24"/>
          <w:szCs w:val="24"/>
          <w:lang w:val="en-GB"/>
        </w:rPr>
        <w:t xml:space="preserve">means </w:t>
      </w:r>
      <w:r w:rsidR="00F343FA" w:rsidRPr="003D6474">
        <w:rPr>
          <w:rFonts w:ascii="Times New Roman" w:hAnsi="Times New Roman"/>
          <w:sz w:val="24"/>
          <w:szCs w:val="24"/>
          <w:lang w:val="en-GB"/>
        </w:rPr>
        <w:t xml:space="preserve">a wider view, a setting, statement, or body of information that explains or gives meaning to words, ideas or actions. </w:t>
      </w:r>
      <w:r w:rsidR="0053761A" w:rsidRPr="003D6474">
        <w:rPr>
          <w:rFonts w:ascii="Times New Roman" w:hAnsi="Times New Roman"/>
          <w:sz w:val="24"/>
          <w:szCs w:val="24"/>
          <w:lang w:val="en-GB"/>
        </w:rPr>
        <w:t xml:space="preserve">The environment provided by an organisation to facilitate learning among its members is defined by Szulanski (1996) as the shared organisational context. </w:t>
      </w:r>
      <w:r w:rsidR="00F343FA" w:rsidRPr="003D6474">
        <w:rPr>
          <w:rFonts w:ascii="Times New Roman" w:hAnsi="Times New Roman"/>
          <w:sz w:val="24"/>
          <w:szCs w:val="24"/>
          <w:lang w:val="en-GB"/>
        </w:rPr>
        <w:t xml:space="preserve">Egan (1994) argues that the shared organisational context </w:t>
      </w:r>
      <w:r w:rsidR="008F38D9" w:rsidRPr="003D6474">
        <w:rPr>
          <w:rFonts w:ascii="Times New Roman" w:hAnsi="Times New Roman"/>
          <w:sz w:val="24"/>
          <w:szCs w:val="24"/>
          <w:lang w:val="en-GB"/>
        </w:rPr>
        <w:t xml:space="preserve">is </w:t>
      </w:r>
      <w:r w:rsidR="00F343FA" w:rsidRPr="003D6474">
        <w:rPr>
          <w:rFonts w:ascii="Times New Roman" w:hAnsi="Times New Roman"/>
          <w:sz w:val="24"/>
          <w:szCs w:val="24"/>
          <w:lang w:val="en-GB"/>
        </w:rPr>
        <w:t>comprise</w:t>
      </w:r>
      <w:r w:rsidR="008F38D9" w:rsidRPr="003D6474">
        <w:rPr>
          <w:rFonts w:ascii="Times New Roman" w:hAnsi="Times New Roman"/>
          <w:sz w:val="24"/>
          <w:szCs w:val="24"/>
          <w:lang w:val="en-GB"/>
        </w:rPr>
        <w:t xml:space="preserve">d of </w:t>
      </w:r>
      <w:r w:rsidR="00F343FA" w:rsidRPr="003D6474">
        <w:rPr>
          <w:rFonts w:ascii="Times New Roman" w:hAnsi="Times New Roman"/>
          <w:sz w:val="24"/>
          <w:szCs w:val="24"/>
          <w:lang w:val="en-GB"/>
        </w:rPr>
        <w:t xml:space="preserve">four </w:t>
      </w:r>
      <w:r w:rsidR="00967E27" w:rsidRPr="003D6474">
        <w:rPr>
          <w:rFonts w:ascii="Times New Roman" w:hAnsi="Times New Roman"/>
          <w:sz w:val="24"/>
          <w:szCs w:val="24"/>
          <w:lang w:val="en-GB"/>
        </w:rPr>
        <w:t xml:space="preserve">main </w:t>
      </w:r>
      <w:r w:rsidR="00F343FA" w:rsidRPr="003D6474">
        <w:rPr>
          <w:rFonts w:ascii="Times New Roman" w:hAnsi="Times New Roman"/>
          <w:sz w:val="24"/>
          <w:szCs w:val="24"/>
          <w:lang w:val="en-GB"/>
        </w:rPr>
        <w:t xml:space="preserve">components: shared patterns, shared assumptions and beliefs, shared values, and shared norms. </w:t>
      </w:r>
      <w:r w:rsidR="00611006" w:rsidRPr="003D6474">
        <w:rPr>
          <w:rFonts w:ascii="Times New Roman" w:hAnsi="Times New Roman"/>
          <w:sz w:val="24"/>
          <w:szCs w:val="24"/>
          <w:lang w:val="en-GB"/>
        </w:rPr>
        <w:t xml:space="preserve">Ideally then, appropriate </w:t>
      </w:r>
      <w:r w:rsidR="006F77EE" w:rsidRPr="003D6474">
        <w:rPr>
          <w:rFonts w:ascii="Times New Roman" w:hAnsi="Times New Roman"/>
          <w:sz w:val="24"/>
          <w:szCs w:val="24"/>
          <w:lang w:val="en-GB"/>
        </w:rPr>
        <w:t xml:space="preserve">context </w:t>
      </w:r>
      <w:r w:rsidR="00611006" w:rsidRPr="003D6474">
        <w:rPr>
          <w:rFonts w:ascii="Times New Roman" w:hAnsi="Times New Roman"/>
          <w:sz w:val="24"/>
          <w:szCs w:val="24"/>
          <w:lang w:val="en-GB"/>
        </w:rPr>
        <w:t xml:space="preserve">alignment between businesses and government </w:t>
      </w:r>
      <w:r w:rsidR="00881117" w:rsidRPr="003D6474">
        <w:rPr>
          <w:rFonts w:ascii="Times New Roman" w:hAnsi="Times New Roman"/>
          <w:sz w:val="24"/>
          <w:szCs w:val="24"/>
          <w:lang w:val="en-GB"/>
        </w:rPr>
        <w:t xml:space="preserve">would allow for an </w:t>
      </w:r>
      <w:r w:rsidR="00611006" w:rsidRPr="003D6474">
        <w:rPr>
          <w:rFonts w:ascii="Times New Roman" w:hAnsi="Times New Roman"/>
          <w:sz w:val="24"/>
          <w:szCs w:val="24"/>
          <w:lang w:val="en-GB"/>
        </w:rPr>
        <w:t xml:space="preserve">online </w:t>
      </w:r>
      <w:r w:rsidR="000E3EDC" w:rsidRPr="003D6474">
        <w:rPr>
          <w:rFonts w:ascii="Times New Roman" w:hAnsi="Times New Roman"/>
          <w:sz w:val="24"/>
          <w:szCs w:val="24"/>
          <w:lang w:val="en-GB"/>
        </w:rPr>
        <w:t xml:space="preserve">government </w:t>
      </w:r>
      <w:r w:rsidR="00611006" w:rsidRPr="003D6474">
        <w:rPr>
          <w:rFonts w:ascii="Times New Roman" w:hAnsi="Times New Roman"/>
          <w:sz w:val="24"/>
          <w:szCs w:val="24"/>
          <w:lang w:val="en-GB"/>
        </w:rPr>
        <w:t xml:space="preserve">service provision </w:t>
      </w:r>
      <w:r w:rsidR="00881117" w:rsidRPr="003D6474">
        <w:rPr>
          <w:rFonts w:ascii="Times New Roman" w:hAnsi="Times New Roman"/>
          <w:sz w:val="24"/>
          <w:szCs w:val="24"/>
          <w:lang w:val="en-GB"/>
        </w:rPr>
        <w:t xml:space="preserve">to </w:t>
      </w:r>
      <w:r w:rsidR="00611006" w:rsidRPr="003D6474">
        <w:rPr>
          <w:rFonts w:ascii="Times New Roman" w:hAnsi="Times New Roman"/>
          <w:sz w:val="24"/>
          <w:szCs w:val="24"/>
          <w:lang w:val="en-GB"/>
        </w:rPr>
        <w:t xml:space="preserve">benefit from knowledge that </w:t>
      </w:r>
      <w:r w:rsidR="00434CB8" w:rsidRPr="003D6474">
        <w:rPr>
          <w:rFonts w:ascii="Times New Roman" w:hAnsi="Times New Roman"/>
          <w:sz w:val="24"/>
          <w:szCs w:val="24"/>
          <w:lang w:val="en-GB"/>
        </w:rPr>
        <w:t xml:space="preserve">is created by and expected to flow </w:t>
      </w:r>
      <w:r w:rsidR="00611006" w:rsidRPr="003D6474">
        <w:rPr>
          <w:rFonts w:ascii="Times New Roman" w:hAnsi="Times New Roman"/>
          <w:sz w:val="24"/>
          <w:szCs w:val="24"/>
          <w:lang w:val="en-GB"/>
        </w:rPr>
        <w:t xml:space="preserve">between </w:t>
      </w:r>
      <w:r w:rsidR="003646F1" w:rsidRPr="003D6474">
        <w:rPr>
          <w:rFonts w:ascii="Times New Roman" w:hAnsi="Times New Roman"/>
          <w:sz w:val="24"/>
          <w:szCs w:val="24"/>
          <w:lang w:val="en-GB"/>
        </w:rPr>
        <w:t xml:space="preserve">both </w:t>
      </w:r>
      <w:r w:rsidR="00611006" w:rsidRPr="003D6474">
        <w:rPr>
          <w:rFonts w:ascii="Times New Roman" w:hAnsi="Times New Roman"/>
          <w:sz w:val="24"/>
          <w:szCs w:val="24"/>
          <w:lang w:val="en-GB"/>
        </w:rPr>
        <w:t>parties</w:t>
      </w:r>
      <w:r w:rsidR="00F343FA" w:rsidRPr="003D6474">
        <w:rPr>
          <w:rFonts w:ascii="Times New Roman" w:hAnsi="Times New Roman"/>
          <w:sz w:val="24"/>
          <w:szCs w:val="24"/>
          <w:lang w:val="en-GB"/>
        </w:rPr>
        <w:t xml:space="preserve">. </w:t>
      </w:r>
      <w:r w:rsidR="006109F1" w:rsidRPr="003D6474">
        <w:rPr>
          <w:rFonts w:ascii="Times New Roman" w:hAnsi="Times New Roman"/>
          <w:sz w:val="24"/>
          <w:szCs w:val="24"/>
          <w:lang w:val="en-GB"/>
        </w:rPr>
        <w:t>O</w:t>
      </w:r>
      <w:r w:rsidR="00611006" w:rsidRPr="003D6474">
        <w:rPr>
          <w:rFonts w:ascii="Times New Roman" w:hAnsi="Times New Roman"/>
          <w:sz w:val="24"/>
          <w:szCs w:val="24"/>
          <w:lang w:val="en-GB"/>
        </w:rPr>
        <w:t xml:space="preserve">rganisational </w:t>
      </w:r>
      <w:r w:rsidR="00F343FA" w:rsidRPr="003D6474">
        <w:rPr>
          <w:rFonts w:ascii="Times New Roman" w:hAnsi="Times New Roman"/>
          <w:sz w:val="24"/>
          <w:szCs w:val="24"/>
          <w:lang w:val="en-GB"/>
        </w:rPr>
        <w:t>context</w:t>
      </w:r>
      <w:r w:rsidR="00611006" w:rsidRPr="003D6474">
        <w:rPr>
          <w:rFonts w:ascii="Times New Roman" w:hAnsi="Times New Roman"/>
          <w:sz w:val="24"/>
          <w:szCs w:val="24"/>
          <w:lang w:val="en-GB"/>
        </w:rPr>
        <w:t>s</w:t>
      </w:r>
      <w:r w:rsidR="00F343FA" w:rsidRPr="003D6474">
        <w:rPr>
          <w:rFonts w:ascii="Times New Roman" w:hAnsi="Times New Roman"/>
          <w:sz w:val="24"/>
          <w:szCs w:val="24"/>
          <w:lang w:val="en-GB"/>
        </w:rPr>
        <w:t xml:space="preserve"> </w:t>
      </w:r>
      <w:r w:rsidR="006109F1" w:rsidRPr="003D6474">
        <w:rPr>
          <w:rFonts w:ascii="Times New Roman" w:hAnsi="Times New Roman"/>
          <w:sz w:val="24"/>
          <w:szCs w:val="24"/>
          <w:lang w:val="en-GB"/>
        </w:rPr>
        <w:t xml:space="preserve">which are aligned with </w:t>
      </w:r>
      <w:r w:rsidR="00FF7A3C" w:rsidRPr="003D6474">
        <w:rPr>
          <w:rFonts w:ascii="Times New Roman" w:hAnsi="Times New Roman"/>
          <w:sz w:val="24"/>
          <w:szCs w:val="24"/>
          <w:lang w:val="en-GB"/>
        </w:rPr>
        <w:t xml:space="preserve">policies and regulations put in place by government departments and </w:t>
      </w:r>
      <w:r w:rsidR="008472D2" w:rsidRPr="003D6474">
        <w:rPr>
          <w:rFonts w:ascii="Times New Roman" w:hAnsi="Times New Roman"/>
          <w:sz w:val="24"/>
          <w:szCs w:val="24"/>
          <w:lang w:val="en-GB"/>
        </w:rPr>
        <w:t xml:space="preserve">related </w:t>
      </w:r>
      <w:r w:rsidR="00FF7A3C" w:rsidRPr="003D6474">
        <w:rPr>
          <w:rFonts w:ascii="Times New Roman" w:hAnsi="Times New Roman"/>
          <w:sz w:val="24"/>
          <w:szCs w:val="24"/>
          <w:lang w:val="en-GB"/>
        </w:rPr>
        <w:t xml:space="preserve">agencies and public bodies </w:t>
      </w:r>
      <w:r w:rsidR="008128D3" w:rsidRPr="003D6474">
        <w:rPr>
          <w:rFonts w:ascii="Times New Roman" w:hAnsi="Times New Roman"/>
          <w:sz w:val="24"/>
          <w:szCs w:val="24"/>
          <w:lang w:val="en-GB"/>
        </w:rPr>
        <w:t xml:space="preserve">enable organisations </w:t>
      </w:r>
      <w:r w:rsidR="00D12B73" w:rsidRPr="003D6474">
        <w:rPr>
          <w:rFonts w:ascii="Times New Roman" w:hAnsi="Times New Roman"/>
          <w:sz w:val="24"/>
          <w:szCs w:val="24"/>
          <w:lang w:val="en-GB"/>
        </w:rPr>
        <w:t xml:space="preserve">to </w:t>
      </w:r>
      <w:r w:rsidR="007C1382" w:rsidRPr="003D6474">
        <w:rPr>
          <w:rFonts w:ascii="Times New Roman" w:hAnsi="Times New Roman"/>
          <w:sz w:val="24"/>
          <w:szCs w:val="24"/>
          <w:lang w:val="en-GB"/>
        </w:rPr>
        <w:t xml:space="preserve">access, </w:t>
      </w:r>
      <w:r w:rsidR="00F343FA" w:rsidRPr="003D6474">
        <w:rPr>
          <w:rFonts w:ascii="Times New Roman" w:hAnsi="Times New Roman"/>
          <w:sz w:val="24"/>
          <w:szCs w:val="24"/>
          <w:lang w:val="en-GB"/>
        </w:rPr>
        <w:t>retriev</w:t>
      </w:r>
      <w:r w:rsidR="00D12B73" w:rsidRPr="003D6474">
        <w:rPr>
          <w:rFonts w:ascii="Times New Roman" w:hAnsi="Times New Roman"/>
          <w:sz w:val="24"/>
          <w:szCs w:val="24"/>
          <w:lang w:val="en-GB"/>
        </w:rPr>
        <w:t>e</w:t>
      </w:r>
      <w:r w:rsidR="00F343FA" w:rsidRPr="003D6474">
        <w:rPr>
          <w:rFonts w:ascii="Times New Roman" w:hAnsi="Times New Roman"/>
          <w:sz w:val="24"/>
          <w:szCs w:val="24"/>
          <w:lang w:val="en-GB"/>
        </w:rPr>
        <w:t xml:space="preserve"> </w:t>
      </w:r>
      <w:r w:rsidR="007C1382" w:rsidRPr="003D6474">
        <w:rPr>
          <w:rFonts w:ascii="Times New Roman" w:hAnsi="Times New Roman"/>
          <w:sz w:val="24"/>
          <w:szCs w:val="24"/>
          <w:lang w:val="en-GB"/>
        </w:rPr>
        <w:t xml:space="preserve">and use </w:t>
      </w:r>
      <w:r w:rsidR="00F343FA" w:rsidRPr="003D6474">
        <w:rPr>
          <w:rFonts w:ascii="Times New Roman" w:hAnsi="Times New Roman"/>
          <w:sz w:val="24"/>
          <w:szCs w:val="24"/>
          <w:lang w:val="en-GB"/>
        </w:rPr>
        <w:t xml:space="preserve">relevant knowledge in </w:t>
      </w:r>
      <w:r w:rsidR="007C1382" w:rsidRPr="003D6474">
        <w:rPr>
          <w:rFonts w:ascii="Times New Roman" w:hAnsi="Times New Roman"/>
          <w:sz w:val="24"/>
          <w:szCs w:val="24"/>
          <w:lang w:val="en-GB"/>
        </w:rPr>
        <w:t xml:space="preserve">their </w:t>
      </w:r>
      <w:r w:rsidR="00F343FA" w:rsidRPr="003D6474">
        <w:rPr>
          <w:rFonts w:ascii="Times New Roman" w:hAnsi="Times New Roman"/>
          <w:sz w:val="24"/>
          <w:szCs w:val="24"/>
          <w:lang w:val="en-GB"/>
        </w:rPr>
        <w:t xml:space="preserve">decision-making (Cohen, 1998). Therefore, </w:t>
      </w:r>
      <w:r w:rsidR="00787674" w:rsidRPr="003D6474">
        <w:rPr>
          <w:rFonts w:ascii="Times New Roman" w:hAnsi="Times New Roman"/>
          <w:sz w:val="24"/>
          <w:szCs w:val="24"/>
          <w:lang w:val="en-GB"/>
        </w:rPr>
        <w:t xml:space="preserve">this study </w:t>
      </w:r>
      <w:r w:rsidR="00F343FA" w:rsidRPr="003D6474">
        <w:rPr>
          <w:rFonts w:ascii="Times New Roman" w:hAnsi="Times New Roman"/>
          <w:sz w:val="24"/>
          <w:szCs w:val="24"/>
          <w:lang w:val="en-GB"/>
        </w:rPr>
        <w:t>propose</w:t>
      </w:r>
      <w:r w:rsidR="00787674" w:rsidRPr="003D6474">
        <w:rPr>
          <w:rFonts w:ascii="Times New Roman" w:hAnsi="Times New Roman"/>
          <w:sz w:val="24"/>
          <w:szCs w:val="24"/>
          <w:lang w:val="en-GB"/>
        </w:rPr>
        <w:t>s</w:t>
      </w:r>
      <w:r w:rsidR="00F343FA" w:rsidRPr="003D6474">
        <w:rPr>
          <w:rFonts w:ascii="Times New Roman" w:hAnsi="Times New Roman"/>
          <w:sz w:val="24"/>
          <w:szCs w:val="24"/>
          <w:lang w:val="en-GB"/>
        </w:rPr>
        <w:t xml:space="preserve"> the following hypothesis:</w:t>
      </w:r>
    </w:p>
    <w:p w:rsidR="004C2A2F" w:rsidRPr="003D6474" w:rsidRDefault="004C2A2F" w:rsidP="003B10E7">
      <w:pPr>
        <w:pStyle w:val="BodyText2"/>
        <w:spacing w:line="240" w:lineRule="auto"/>
        <w:jc w:val="both"/>
        <w:rPr>
          <w:rFonts w:ascii="Times New Roman" w:hAnsi="Times New Roman"/>
          <w:sz w:val="24"/>
          <w:szCs w:val="24"/>
          <w:lang w:val="en-GB"/>
        </w:rPr>
      </w:pPr>
    </w:p>
    <w:p w:rsidR="00F343FA" w:rsidRPr="003D6474" w:rsidRDefault="00F343FA" w:rsidP="003B10E7">
      <w:pPr>
        <w:pStyle w:val="BodyText"/>
        <w:ind w:firstLine="708"/>
        <w:rPr>
          <w:i/>
          <w:iCs/>
          <w:lang w:val="en-GB"/>
        </w:rPr>
      </w:pPr>
      <w:r w:rsidRPr="003D6474">
        <w:rPr>
          <w:i/>
          <w:iCs/>
          <w:lang w:val="en-GB"/>
        </w:rPr>
        <w:t xml:space="preserve">H3: </w:t>
      </w:r>
      <w:r w:rsidR="00611006" w:rsidRPr="003D6474">
        <w:rPr>
          <w:i/>
          <w:iCs/>
          <w:lang w:val="en-GB"/>
        </w:rPr>
        <w:t xml:space="preserve">The presence of learning oriented organisational contexts is </w:t>
      </w:r>
      <w:r w:rsidRPr="003D6474">
        <w:rPr>
          <w:i/>
          <w:iCs/>
          <w:lang w:val="en-GB"/>
        </w:rPr>
        <w:t>positively related t</w:t>
      </w:r>
      <w:r w:rsidR="00611006" w:rsidRPr="003D6474">
        <w:rPr>
          <w:i/>
          <w:iCs/>
          <w:lang w:val="en-GB"/>
        </w:rPr>
        <w:t>o online services</w:t>
      </w:r>
    </w:p>
    <w:p w:rsidR="004C2A2F" w:rsidRPr="003D6474" w:rsidRDefault="004C2A2F" w:rsidP="003B10E7">
      <w:pPr>
        <w:pStyle w:val="Normal1"/>
        <w:spacing w:after="0" w:line="240" w:lineRule="auto"/>
        <w:rPr>
          <w:rFonts w:ascii="Times New Roman" w:hAnsi="Times New Roman"/>
          <w:szCs w:val="24"/>
          <w:lang w:val="en-US"/>
        </w:rPr>
      </w:pPr>
    </w:p>
    <w:p w:rsidR="00F343FA" w:rsidRPr="003D6474" w:rsidRDefault="00F343FA" w:rsidP="003B10E7">
      <w:pPr>
        <w:pStyle w:val="Normal1"/>
        <w:spacing w:after="0" w:line="240" w:lineRule="auto"/>
        <w:rPr>
          <w:rFonts w:ascii="Times New Roman" w:hAnsi="Times New Roman"/>
          <w:szCs w:val="24"/>
          <w:lang w:val="en-GB"/>
        </w:rPr>
      </w:pPr>
      <w:r w:rsidRPr="003D6474">
        <w:rPr>
          <w:rFonts w:ascii="Times New Roman" w:hAnsi="Times New Roman"/>
          <w:szCs w:val="24"/>
          <w:lang w:val="en-US"/>
        </w:rPr>
        <w:t xml:space="preserve">Kambil </w:t>
      </w:r>
      <w:r w:rsidRPr="003D6474">
        <w:rPr>
          <w:rFonts w:ascii="Times New Roman" w:hAnsi="Times New Roman"/>
          <w:i/>
          <w:szCs w:val="24"/>
          <w:lang w:val="en-US"/>
        </w:rPr>
        <w:t>et al</w:t>
      </w:r>
      <w:r w:rsidRPr="003D6474">
        <w:rPr>
          <w:rFonts w:ascii="Times New Roman" w:hAnsi="Times New Roman"/>
          <w:szCs w:val="24"/>
          <w:lang w:val="en-US"/>
        </w:rPr>
        <w:t xml:space="preserve">. </w:t>
      </w:r>
      <w:r w:rsidRPr="003D6474">
        <w:rPr>
          <w:rFonts w:ascii="Times New Roman" w:hAnsi="Times New Roman"/>
          <w:szCs w:val="24"/>
          <w:lang w:val="en-GB"/>
        </w:rPr>
        <w:t xml:space="preserve">(1999) indicate that </w:t>
      </w:r>
      <w:r w:rsidR="00E324C5" w:rsidRPr="003D6474">
        <w:rPr>
          <w:rFonts w:ascii="Times New Roman" w:hAnsi="Times New Roman"/>
          <w:szCs w:val="24"/>
          <w:lang w:val="en-GB"/>
        </w:rPr>
        <w:t xml:space="preserve">the implementation of an </w:t>
      </w:r>
      <w:r w:rsidRPr="003D6474">
        <w:rPr>
          <w:rFonts w:ascii="Times New Roman" w:hAnsi="Times New Roman"/>
          <w:szCs w:val="24"/>
          <w:lang w:val="en-GB"/>
        </w:rPr>
        <w:t xml:space="preserve">e-business </w:t>
      </w:r>
      <w:r w:rsidR="00E324C5" w:rsidRPr="003D6474">
        <w:rPr>
          <w:rFonts w:ascii="Times New Roman" w:hAnsi="Times New Roman"/>
          <w:szCs w:val="24"/>
          <w:lang w:val="en-GB"/>
        </w:rPr>
        <w:t xml:space="preserve">strategy </w:t>
      </w:r>
      <w:r w:rsidRPr="003D6474">
        <w:rPr>
          <w:rFonts w:ascii="Times New Roman" w:hAnsi="Times New Roman"/>
          <w:szCs w:val="24"/>
          <w:lang w:val="en-GB"/>
        </w:rPr>
        <w:t xml:space="preserve">can generate internal efficiency and external co-ordination through changes in intra or inter organisational integrative processes. Similarly, the ability to successfully mobilise technology resources in conjunction with other resources has been </w:t>
      </w:r>
      <w:r w:rsidR="00B912D4" w:rsidRPr="003D6474">
        <w:rPr>
          <w:rFonts w:ascii="Times New Roman" w:hAnsi="Times New Roman"/>
          <w:szCs w:val="24"/>
          <w:lang w:val="en-GB"/>
        </w:rPr>
        <w:t xml:space="preserve">described as </w:t>
      </w:r>
      <w:r w:rsidRPr="003D6474">
        <w:rPr>
          <w:rFonts w:ascii="Times New Roman" w:hAnsi="Times New Roman"/>
          <w:szCs w:val="24"/>
          <w:lang w:val="en-GB"/>
        </w:rPr>
        <w:t xml:space="preserve">critical </w:t>
      </w:r>
      <w:r w:rsidR="008529C4" w:rsidRPr="003D6474">
        <w:rPr>
          <w:rFonts w:ascii="Times New Roman" w:hAnsi="Times New Roman"/>
          <w:szCs w:val="24"/>
          <w:lang w:val="en-GB"/>
        </w:rPr>
        <w:t xml:space="preserve">for </w:t>
      </w:r>
      <w:r w:rsidRPr="003D6474">
        <w:rPr>
          <w:rFonts w:ascii="Times New Roman" w:hAnsi="Times New Roman"/>
          <w:szCs w:val="24"/>
          <w:lang w:val="en-GB"/>
        </w:rPr>
        <w:t xml:space="preserve">performance (Mahmood </w:t>
      </w:r>
      <w:r w:rsidRPr="003D6474">
        <w:rPr>
          <w:rFonts w:ascii="Times New Roman" w:hAnsi="Times New Roman"/>
          <w:i/>
          <w:szCs w:val="24"/>
          <w:lang w:val="en-GB"/>
        </w:rPr>
        <w:t>et al</w:t>
      </w:r>
      <w:r w:rsidRPr="003D6474">
        <w:rPr>
          <w:rFonts w:ascii="Times New Roman" w:hAnsi="Times New Roman"/>
          <w:szCs w:val="24"/>
          <w:lang w:val="en-GB"/>
        </w:rPr>
        <w:t xml:space="preserve">., 2004; Zhuang </w:t>
      </w:r>
      <w:r w:rsidR="00453374" w:rsidRPr="003D6474">
        <w:rPr>
          <w:rFonts w:ascii="Times New Roman" w:hAnsi="Times New Roman"/>
          <w:szCs w:val="24"/>
          <w:lang w:val="en-GB"/>
        </w:rPr>
        <w:t>&amp;</w:t>
      </w:r>
      <w:r w:rsidRPr="003D6474">
        <w:rPr>
          <w:rFonts w:ascii="Times New Roman" w:hAnsi="Times New Roman"/>
          <w:szCs w:val="24"/>
          <w:lang w:val="en-GB"/>
        </w:rPr>
        <w:t xml:space="preserve"> Lederer, 2003). </w:t>
      </w:r>
      <w:r w:rsidR="00EE10B3" w:rsidRPr="003D6474">
        <w:rPr>
          <w:rFonts w:ascii="Times New Roman" w:hAnsi="Times New Roman"/>
          <w:szCs w:val="24"/>
          <w:lang w:val="en-GB"/>
        </w:rPr>
        <w:t>B</w:t>
      </w:r>
      <w:r w:rsidRPr="003D6474">
        <w:rPr>
          <w:rFonts w:ascii="Times New Roman" w:hAnsi="Times New Roman"/>
          <w:szCs w:val="24"/>
          <w:lang w:val="en-GB"/>
        </w:rPr>
        <w:t>ased on Hammer and Mangurian (1987), Riggins (1999) distinguishes three categories of value creation for e-business</w:t>
      </w:r>
      <w:r w:rsidR="00753A34" w:rsidRPr="003D6474">
        <w:rPr>
          <w:rFonts w:ascii="Times New Roman" w:hAnsi="Times New Roman"/>
          <w:szCs w:val="24"/>
          <w:lang w:val="en-GB"/>
        </w:rPr>
        <w:t>. These are</w:t>
      </w:r>
      <w:r w:rsidRPr="003D6474">
        <w:rPr>
          <w:rFonts w:ascii="Times New Roman" w:hAnsi="Times New Roman"/>
          <w:szCs w:val="24"/>
          <w:lang w:val="en-GB"/>
        </w:rPr>
        <w:t xml:space="preserve"> (1) improving </w:t>
      </w:r>
      <w:r w:rsidR="009C5E97" w:rsidRPr="003D6474">
        <w:rPr>
          <w:rFonts w:ascii="Times New Roman" w:hAnsi="Times New Roman"/>
          <w:szCs w:val="24"/>
          <w:lang w:val="en-GB"/>
        </w:rPr>
        <w:t xml:space="preserve">time- and cost-related </w:t>
      </w:r>
      <w:r w:rsidRPr="003D6474">
        <w:rPr>
          <w:rFonts w:ascii="Times New Roman" w:hAnsi="Times New Roman"/>
          <w:szCs w:val="24"/>
          <w:lang w:val="en-GB"/>
        </w:rPr>
        <w:t xml:space="preserve">efficiency; (2) improving effectiveness </w:t>
      </w:r>
      <w:r w:rsidR="002B00D2" w:rsidRPr="003D6474">
        <w:rPr>
          <w:rFonts w:ascii="Times New Roman" w:hAnsi="Times New Roman"/>
          <w:szCs w:val="24"/>
          <w:lang w:val="en-GB"/>
        </w:rPr>
        <w:t xml:space="preserve">of </w:t>
      </w:r>
      <w:r w:rsidRPr="003D6474">
        <w:rPr>
          <w:rFonts w:ascii="Times New Roman" w:hAnsi="Times New Roman"/>
          <w:szCs w:val="24"/>
          <w:lang w:val="en-GB"/>
        </w:rPr>
        <w:t xml:space="preserve">communication; and (3) </w:t>
      </w:r>
      <w:r w:rsidRPr="003D6474">
        <w:rPr>
          <w:rFonts w:ascii="Times New Roman" w:hAnsi="Times New Roman"/>
          <w:szCs w:val="24"/>
          <w:lang w:val="en-GB"/>
        </w:rPr>
        <w:lastRenderedPageBreak/>
        <w:t xml:space="preserve">strategic benefits related to products, markets and services. </w:t>
      </w:r>
      <w:r w:rsidR="007662ED" w:rsidRPr="003D6474">
        <w:rPr>
          <w:rFonts w:ascii="Times New Roman" w:hAnsi="Times New Roman"/>
          <w:szCs w:val="24"/>
          <w:lang w:val="en-GB"/>
        </w:rPr>
        <w:t xml:space="preserve">By applying these principles, when </w:t>
      </w:r>
      <w:r w:rsidR="00B17DD1" w:rsidRPr="003D6474">
        <w:rPr>
          <w:rFonts w:ascii="Times New Roman" w:hAnsi="Times New Roman"/>
          <w:szCs w:val="24"/>
          <w:lang w:val="en-GB"/>
        </w:rPr>
        <w:t>an online government service</w:t>
      </w:r>
      <w:r w:rsidRPr="003D6474">
        <w:rPr>
          <w:rFonts w:ascii="Times New Roman" w:hAnsi="Times New Roman"/>
          <w:szCs w:val="24"/>
          <w:lang w:val="en-GB"/>
        </w:rPr>
        <w:t xml:space="preserve"> </w:t>
      </w:r>
      <w:r w:rsidR="007662ED" w:rsidRPr="003D6474">
        <w:rPr>
          <w:rFonts w:ascii="Times New Roman" w:hAnsi="Times New Roman"/>
          <w:szCs w:val="24"/>
          <w:lang w:val="en-GB"/>
        </w:rPr>
        <w:t xml:space="preserve">is considered </w:t>
      </w:r>
      <w:r w:rsidRPr="003D6474">
        <w:rPr>
          <w:rFonts w:ascii="Times New Roman" w:hAnsi="Times New Roman"/>
          <w:szCs w:val="24"/>
          <w:lang w:val="en-GB"/>
        </w:rPr>
        <w:t xml:space="preserve">as a </w:t>
      </w:r>
      <w:r w:rsidR="00D92363" w:rsidRPr="003D6474">
        <w:rPr>
          <w:rFonts w:ascii="Times New Roman" w:hAnsi="Times New Roman"/>
          <w:szCs w:val="24"/>
          <w:lang w:val="en-GB"/>
        </w:rPr>
        <w:t xml:space="preserve">particular </w:t>
      </w:r>
      <w:r w:rsidRPr="003D6474">
        <w:rPr>
          <w:rFonts w:ascii="Times New Roman" w:hAnsi="Times New Roman"/>
          <w:szCs w:val="24"/>
          <w:lang w:val="en-GB"/>
        </w:rPr>
        <w:t>form of e-business</w:t>
      </w:r>
      <w:r w:rsidR="00D92363" w:rsidRPr="003D6474">
        <w:rPr>
          <w:rFonts w:ascii="Times New Roman" w:hAnsi="Times New Roman"/>
          <w:szCs w:val="24"/>
          <w:lang w:val="en-GB"/>
        </w:rPr>
        <w:t>, the use of technologies to deliver online services</w:t>
      </w:r>
      <w:r w:rsidRPr="003D6474">
        <w:rPr>
          <w:rFonts w:ascii="Times New Roman" w:hAnsi="Times New Roman"/>
          <w:szCs w:val="24"/>
          <w:lang w:val="en-GB"/>
        </w:rPr>
        <w:t xml:space="preserve"> </w:t>
      </w:r>
      <w:r w:rsidR="00D92363" w:rsidRPr="003D6474">
        <w:rPr>
          <w:rFonts w:ascii="Times New Roman" w:hAnsi="Times New Roman"/>
          <w:szCs w:val="24"/>
          <w:lang w:val="en-GB"/>
        </w:rPr>
        <w:t xml:space="preserve">is expected to </w:t>
      </w:r>
      <w:r w:rsidR="005373EA" w:rsidRPr="003D6474">
        <w:rPr>
          <w:rFonts w:ascii="Times New Roman" w:hAnsi="Times New Roman"/>
          <w:szCs w:val="24"/>
          <w:lang w:val="en-GB"/>
        </w:rPr>
        <w:t xml:space="preserve">have a positive effect on </w:t>
      </w:r>
      <w:r w:rsidRPr="003D6474">
        <w:rPr>
          <w:rFonts w:ascii="Times New Roman" w:hAnsi="Times New Roman"/>
          <w:szCs w:val="24"/>
          <w:lang w:val="en-GB"/>
        </w:rPr>
        <w:t xml:space="preserve">operational performance. </w:t>
      </w:r>
      <w:r w:rsidR="00C70B92" w:rsidRPr="003D6474">
        <w:rPr>
          <w:rFonts w:ascii="Times New Roman" w:hAnsi="Times New Roman"/>
          <w:szCs w:val="24"/>
          <w:lang w:val="en-GB"/>
        </w:rPr>
        <w:t xml:space="preserve">This can take the form of a variety of new </w:t>
      </w:r>
      <w:r w:rsidRPr="003D6474">
        <w:rPr>
          <w:rFonts w:ascii="Times New Roman" w:hAnsi="Times New Roman"/>
          <w:szCs w:val="24"/>
          <w:lang w:val="en-GB"/>
        </w:rPr>
        <w:t xml:space="preserve">services </w:t>
      </w:r>
      <w:r w:rsidR="00C70B92" w:rsidRPr="003D6474">
        <w:rPr>
          <w:rFonts w:ascii="Times New Roman" w:hAnsi="Times New Roman"/>
          <w:szCs w:val="24"/>
          <w:lang w:val="en-GB"/>
        </w:rPr>
        <w:t xml:space="preserve">(e.g. transactions or advice) being offered </w:t>
      </w:r>
      <w:r w:rsidRPr="003D6474">
        <w:rPr>
          <w:rFonts w:ascii="Times New Roman" w:hAnsi="Times New Roman"/>
          <w:szCs w:val="24"/>
          <w:lang w:val="en-GB"/>
        </w:rPr>
        <w:t xml:space="preserve">to businesses, which could contribute to </w:t>
      </w:r>
      <w:r w:rsidR="00495D75" w:rsidRPr="003D6474">
        <w:rPr>
          <w:rFonts w:ascii="Times New Roman" w:hAnsi="Times New Roman"/>
          <w:szCs w:val="24"/>
          <w:lang w:val="en-GB"/>
        </w:rPr>
        <w:t xml:space="preserve">their efforts to </w:t>
      </w:r>
      <w:r w:rsidRPr="003D6474">
        <w:rPr>
          <w:rFonts w:ascii="Times New Roman" w:hAnsi="Times New Roman"/>
          <w:szCs w:val="24"/>
          <w:lang w:val="en-GB"/>
        </w:rPr>
        <w:t xml:space="preserve">improve efficiency and reduce costs (Pavlou, 2003). </w:t>
      </w:r>
      <w:r w:rsidR="00787674" w:rsidRPr="003D6474">
        <w:rPr>
          <w:rFonts w:ascii="Times New Roman" w:hAnsi="Times New Roman"/>
          <w:szCs w:val="24"/>
          <w:lang w:val="en-GB"/>
        </w:rPr>
        <w:t xml:space="preserve">Given that such </w:t>
      </w:r>
      <w:r w:rsidR="009018C6" w:rsidRPr="003D6474">
        <w:rPr>
          <w:rFonts w:ascii="Times New Roman" w:hAnsi="Times New Roman"/>
          <w:szCs w:val="24"/>
          <w:lang w:val="en-GB"/>
        </w:rPr>
        <w:t>efficiency</w:t>
      </w:r>
      <w:r w:rsidR="00787674" w:rsidRPr="003D6474">
        <w:rPr>
          <w:rFonts w:ascii="Times New Roman" w:hAnsi="Times New Roman"/>
          <w:szCs w:val="24"/>
          <w:lang w:val="en-GB"/>
        </w:rPr>
        <w:t xml:space="preserve"> </w:t>
      </w:r>
      <w:r w:rsidR="00367735" w:rsidRPr="003D6474">
        <w:rPr>
          <w:rFonts w:ascii="Times New Roman" w:hAnsi="Times New Roman"/>
          <w:szCs w:val="24"/>
          <w:lang w:val="en-GB"/>
        </w:rPr>
        <w:t xml:space="preserve">directly </w:t>
      </w:r>
      <w:r w:rsidR="00787674" w:rsidRPr="003D6474">
        <w:rPr>
          <w:rFonts w:ascii="Times New Roman" w:hAnsi="Times New Roman"/>
          <w:szCs w:val="24"/>
          <w:lang w:val="en-GB"/>
        </w:rPr>
        <w:t>influences firm performance, th</w:t>
      </w:r>
      <w:r w:rsidR="00367735" w:rsidRPr="003D6474">
        <w:rPr>
          <w:rFonts w:ascii="Times New Roman" w:hAnsi="Times New Roman"/>
          <w:szCs w:val="24"/>
          <w:lang w:val="en-GB"/>
        </w:rPr>
        <w:t>is</w:t>
      </w:r>
      <w:r w:rsidR="00787674" w:rsidRPr="003D6474">
        <w:rPr>
          <w:rFonts w:ascii="Times New Roman" w:hAnsi="Times New Roman"/>
          <w:szCs w:val="24"/>
          <w:lang w:val="en-GB"/>
        </w:rPr>
        <w:t xml:space="preserve"> study </w:t>
      </w:r>
      <w:r w:rsidR="00CB51F3" w:rsidRPr="003D6474">
        <w:rPr>
          <w:rFonts w:ascii="Times New Roman" w:hAnsi="Times New Roman"/>
          <w:szCs w:val="24"/>
          <w:lang w:val="en-GB"/>
        </w:rPr>
        <w:t xml:space="preserve">seeks to apply the above principles to the </w:t>
      </w:r>
      <w:r w:rsidR="00D255E9" w:rsidRPr="003D6474">
        <w:rPr>
          <w:rFonts w:ascii="Times New Roman" w:hAnsi="Times New Roman"/>
          <w:szCs w:val="24"/>
          <w:lang w:val="en-GB"/>
        </w:rPr>
        <w:t xml:space="preserve">Spanish </w:t>
      </w:r>
      <w:r w:rsidR="00CB51F3" w:rsidRPr="003D6474">
        <w:rPr>
          <w:rFonts w:ascii="Times New Roman" w:hAnsi="Times New Roman"/>
          <w:szCs w:val="24"/>
          <w:lang w:val="en-GB"/>
        </w:rPr>
        <w:t xml:space="preserve">hospitality industry </w:t>
      </w:r>
      <w:r w:rsidR="00304FFD" w:rsidRPr="003D6474">
        <w:rPr>
          <w:rFonts w:ascii="Times New Roman" w:hAnsi="Times New Roman"/>
          <w:szCs w:val="24"/>
          <w:lang w:val="en-GB"/>
        </w:rPr>
        <w:t xml:space="preserve">by </w:t>
      </w:r>
      <w:r w:rsidR="00787674" w:rsidRPr="003D6474">
        <w:rPr>
          <w:rFonts w:ascii="Times New Roman" w:hAnsi="Times New Roman"/>
          <w:szCs w:val="24"/>
          <w:lang w:val="en-GB"/>
        </w:rPr>
        <w:t>propos</w:t>
      </w:r>
      <w:r w:rsidR="00304FFD" w:rsidRPr="003D6474">
        <w:rPr>
          <w:rFonts w:ascii="Times New Roman" w:hAnsi="Times New Roman"/>
          <w:szCs w:val="24"/>
          <w:lang w:val="en-GB"/>
        </w:rPr>
        <w:t>ing</w:t>
      </w:r>
      <w:r w:rsidR="00787674" w:rsidRPr="003D6474">
        <w:rPr>
          <w:rFonts w:ascii="Times New Roman" w:hAnsi="Times New Roman"/>
          <w:szCs w:val="24"/>
          <w:lang w:val="en-GB"/>
        </w:rPr>
        <w:t xml:space="preserve"> the following hypothesis:</w:t>
      </w:r>
    </w:p>
    <w:p w:rsidR="004C2A2F" w:rsidRPr="003D6474" w:rsidRDefault="004C2A2F" w:rsidP="003B10E7">
      <w:pPr>
        <w:pStyle w:val="Normal1"/>
        <w:spacing w:after="0" w:line="240" w:lineRule="auto"/>
        <w:rPr>
          <w:rFonts w:ascii="Times New Roman" w:hAnsi="Times New Roman"/>
          <w:szCs w:val="24"/>
          <w:lang w:val="en-GB"/>
        </w:rPr>
      </w:pPr>
    </w:p>
    <w:p w:rsidR="00F343FA" w:rsidRPr="003D6474" w:rsidRDefault="00F343FA" w:rsidP="003B10E7">
      <w:pPr>
        <w:pStyle w:val="BodyText"/>
        <w:ind w:firstLine="708"/>
        <w:rPr>
          <w:i/>
          <w:iCs/>
          <w:lang w:val="en-GB"/>
        </w:rPr>
      </w:pPr>
      <w:r w:rsidRPr="003D6474">
        <w:rPr>
          <w:i/>
          <w:iCs/>
          <w:lang w:val="en-GB"/>
        </w:rPr>
        <w:t xml:space="preserve">H4: </w:t>
      </w:r>
      <w:r w:rsidR="00842A7D" w:rsidRPr="003D6474">
        <w:rPr>
          <w:i/>
          <w:iCs/>
          <w:lang w:val="en-GB"/>
        </w:rPr>
        <w:t>Online services provision</w:t>
      </w:r>
      <w:r w:rsidRPr="003D6474">
        <w:rPr>
          <w:i/>
          <w:iCs/>
          <w:lang w:val="en-GB"/>
        </w:rPr>
        <w:t xml:space="preserve"> </w:t>
      </w:r>
      <w:r w:rsidR="00842A7D" w:rsidRPr="003D6474">
        <w:rPr>
          <w:i/>
          <w:iCs/>
          <w:lang w:val="en-GB"/>
        </w:rPr>
        <w:t xml:space="preserve">is positively related </w:t>
      </w:r>
      <w:r w:rsidRPr="003D6474">
        <w:rPr>
          <w:i/>
          <w:iCs/>
          <w:lang w:val="en-GB"/>
        </w:rPr>
        <w:t>to business performance</w:t>
      </w:r>
      <w:r w:rsidR="00842A7D" w:rsidRPr="003D6474">
        <w:rPr>
          <w:i/>
          <w:iCs/>
          <w:lang w:val="en-GB"/>
        </w:rPr>
        <w:t xml:space="preserve"> in the Spanish Hotel Sector</w:t>
      </w:r>
    </w:p>
    <w:p w:rsidR="00F343FA" w:rsidRPr="003D6474" w:rsidRDefault="00F343FA" w:rsidP="003B10E7">
      <w:pPr>
        <w:pStyle w:val="Normal1"/>
        <w:spacing w:after="0" w:line="240" w:lineRule="auto"/>
        <w:rPr>
          <w:rFonts w:ascii="Times New Roman" w:hAnsi="Times New Roman"/>
          <w:b/>
          <w:bCs/>
          <w:szCs w:val="24"/>
          <w:lang w:val="en-GB"/>
        </w:rPr>
      </w:pPr>
    </w:p>
    <w:p w:rsidR="009018C6" w:rsidRPr="003D6474" w:rsidRDefault="009018C6" w:rsidP="003B10E7">
      <w:pPr>
        <w:pStyle w:val="Normal1"/>
        <w:spacing w:after="0" w:line="240" w:lineRule="auto"/>
        <w:rPr>
          <w:rFonts w:ascii="Times New Roman" w:hAnsi="Times New Roman"/>
          <w:b/>
          <w:bCs/>
          <w:szCs w:val="24"/>
          <w:lang w:val="en-GB"/>
        </w:rPr>
      </w:pPr>
      <w:r w:rsidRPr="003D6474">
        <w:rPr>
          <w:rFonts w:ascii="Times New Roman" w:hAnsi="Times New Roman"/>
          <w:szCs w:val="24"/>
          <w:lang w:val="en-GB"/>
        </w:rPr>
        <w:t xml:space="preserve">Figure 1 illustrates the </w:t>
      </w:r>
      <w:r w:rsidR="000162B2" w:rsidRPr="003D6474">
        <w:rPr>
          <w:rFonts w:ascii="Times New Roman" w:hAnsi="Times New Roman"/>
          <w:szCs w:val="24"/>
          <w:lang w:val="en-GB"/>
        </w:rPr>
        <w:t xml:space="preserve">proposed </w:t>
      </w:r>
      <w:r w:rsidRPr="003D6474">
        <w:rPr>
          <w:rFonts w:ascii="Times New Roman" w:hAnsi="Times New Roman"/>
          <w:szCs w:val="24"/>
          <w:lang w:val="en-GB"/>
        </w:rPr>
        <w:t xml:space="preserve">model, </w:t>
      </w:r>
      <w:r w:rsidR="007D3DE7" w:rsidRPr="003D6474">
        <w:rPr>
          <w:rFonts w:ascii="Times New Roman" w:hAnsi="Times New Roman"/>
          <w:szCs w:val="24"/>
          <w:lang w:val="en-GB"/>
        </w:rPr>
        <w:t xml:space="preserve">which </w:t>
      </w:r>
      <w:r w:rsidRPr="003D6474">
        <w:rPr>
          <w:rFonts w:ascii="Times New Roman" w:hAnsi="Times New Roman"/>
          <w:szCs w:val="24"/>
          <w:lang w:val="en-GB"/>
        </w:rPr>
        <w:t>suggest</w:t>
      </w:r>
      <w:r w:rsidR="007D3DE7" w:rsidRPr="003D6474">
        <w:rPr>
          <w:rFonts w:ascii="Times New Roman" w:hAnsi="Times New Roman"/>
          <w:szCs w:val="24"/>
          <w:lang w:val="en-GB"/>
        </w:rPr>
        <w:t>s</w:t>
      </w:r>
      <w:r w:rsidRPr="003D6474">
        <w:rPr>
          <w:rFonts w:ascii="Times New Roman" w:hAnsi="Times New Roman"/>
          <w:szCs w:val="24"/>
          <w:lang w:val="en-GB"/>
        </w:rPr>
        <w:t xml:space="preserve"> that </w:t>
      </w:r>
      <w:r w:rsidR="0001418F" w:rsidRPr="003D6474">
        <w:rPr>
          <w:rFonts w:ascii="Times New Roman" w:hAnsi="Times New Roman"/>
          <w:szCs w:val="24"/>
          <w:lang w:val="en-GB"/>
        </w:rPr>
        <w:t xml:space="preserve">potential </w:t>
      </w:r>
      <w:r w:rsidRPr="003D6474">
        <w:rPr>
          <w:rFonts w:ascii="Times New Roman" w:hAnsi="Times New Roman"/>
          <w:szCs w:val="24"/>
          <w:lang w:val="en-GB"/>
        </w:rPr>
        <w:t xml:space="preserve">opportunities </w:t>
      </w:r>
      <w:r w:rsidR="0001418F" w:rsidRPr="003D6474">
        <w:rPr>
          <w:rFonts w:ascii="Times New Roman" w:hAnsi="Times New Roman"/>
          <w:szCs w:val="24"/>
          <w:lang w:val="en-GB"/>
        </w:rPr>
        <w:t xml:space="preserve">exist </w:t>
      </w:r>
      <w:r w:rsidRPr="003D6474">
        <w:rPr>
          <w:rFonts w:ascii="Times New Roman" w:hAnsi="Times New Roman"/>
          <w:szCs w:val="24"/>
          <w:lang w:val="en-GB"/>
        </w:rPr>
        <w:t xml:space="preserve">for governments </w:t>
      </w:r>
      <w:r w:rsidR="00291786" w:rsidRPr="003D6474">
        <w:rPr>
          <w:rFonts w:ascii="Times New Roman" w:hAnsi="Times New Roman"/>
          <w:szCs w:val="24"/>
          <w:lang w:val="en-GB"/>
        </w:rPr>
        <w:t xml:space="preserve">that </w:t>
      </w:r>
      <w:r w:rsidR="0071469E" w:rsidRPr="003D6474">
        <w:rPr>
          <w:rFonts w:ascii="Times New Roman" w:hAnsi="Times New Roman"/>
          <w:szCs w:val="24"/>
          <w:lang w:val="en-GB"/>
        </w:rPr>
        <w:t xml:space="preserve">provide </w:t>
      </w:r>
      <w:r w:rsidRPr="003D6474">
        <w:rPr>
          <w:rFonts w:ascii="Times New Roman" w:hAnsi="Times New Roman"/>
          <w:szCs w:val="24"/>
          <w:lang w:val="en-GB"/>
        </w:rPr>
        <w:t>online service</w:t>
      </w:r>
      <w:r w:rsidR="008D1A30" w:rsidRPr="003D6474">
        <w:rPr>
          <w:rFonts w:ascii="Times New Roman" w:hAnsi="Times New Roman"/>
          <w:szCs w:val="24"/>
          <w:lang w:val="en-GB"/>
        </w:rPr>
        <w:t>s</w:t>
      </w:r>
      <w:r w:rsidRPr="003D6474">
        <w:rPr>
          <w:rFonts w:ascii="Times New Roman" w:hAnsi="Times New Roman"/>
          <w:szCs w:val="24"/>
          <w:lang w:val="en-GB"/>
        </w:rPr>
        <w:t xml:space="preserve"> </w:t>
      </w:r>
      <w:r w:rsidR="006E5F59" w:rsidRPr="003D6474">
        <w:rPr>
          <w:rFonts w:ascii="Times New Roman" w:hAnsi="Times New Roman"/>
          <w:szCs w:val="24"/>
          <w:lang w:val="en-GB"/>
        </w:rPr>
        <w:t xml:space="preserve">to </w:t>
      </w:r>
      <w:r w:rsidR="002A607E" w:rsidRPr="003D6474">
        <w:rPr>
          <w:rFonts w:ascii="Times New Roman" w:hAnsi="Times New Roman"/>
          <w:szCs w:val="24"/>
          <w:lang w:val="en-GB"/>
        </w:rPr>
        <w:t xml:space="preserve">have a positive impact on businesses </w:t>
      </w:r>
      <w:r w:rsidRPr="003D6474">
        <w:rPr>
          <w:rFonts w:ascii="Times New Roman" w:hAnsi="Times New Roman"/>
          <w:szCs w:val="24"/>
          <w:lang w:val="en-GB"/>
        </w:rPr>
        <w:t xml:space="preserve">whilst improving </w:t>
      </w:r>
      <w:r w:rsidR="002A607E" w:rsidRPr="003D6474">
        <w:rPr>
          <w:rFonts w:ascii="Times New Roman" w:hAnsi="Times New Roman"/>
          <w:szCs w:val="24"/>
          <w:lang w:val="en-GB"/>
        </w:rPr>
        <w:t xml:space="preserve">the quality of such </w:t>
      </w:r>
      <w:r w:rsidRPr="003D6474">
        <w:rPr>
          <w:rFonts w:ascii="Times New Roman" w:hAnsi="Times New Roman"/>
          <w:szCs w:val="24"/>
          <w:lang w:val="en-GB"/>
        </w:rPr>
        <w:t>service</w:t>
      </w:r>
      <w:r w:rsidR="002A607E" w:rsidRPr="003D6474">
        <w:rPr>
          <w:rFonts w:ascii="Times New Roman" w:hAnsi="Times New Roman"/>
          <w:szCs w:val="24"/>
          <w:lang w:val="en-GB"/>
        </w:rPr>
        <w:t>s</w:t>
      </w:r>
      <w:r w:rsidRPr="003D6474">
        <w:rPr>
          <w:rFonts w:ascii="Times New Roman" w:hAnsi="Times New Roman"/>
          <w:szCs w:val="24"/>
          <w:lang w:val="en-GB"/>
        </w:rPr>
        <w:t>. Furthermore</w:t>
      </w:r>
      <w:r w:rsidR="000B17C1" w:rsidRPr="003D6474">
        <w:rPr>
          <w:rFonts w:ascii="Times New Roman" w:hAnsi="Times New Roman"/>
          <w:szCs w:val="24"/>
          <w:lang w:val="en-GB"/>
        </w:rPr>
        <w:t xml:space="preserve">, by </w:t>
      </w:r>
      <w:r w:rsidRPr="003D6474">
        <w:rPr>
          <w:rFonts w:ascii="Times New Roman" w:hAnsi="Times New Roman"/>
          <w:szCs w:val="24"/>
          <w:lang w:val="en-GB"/>
        </w:rPr>
        <w:t>taking a</w:t>
      </w:r>
      <w:r w:rsidR="001C4A5B" w:rsidRPr="003D6474">
        <w:rPr>
          <w:rFonts w:ascii="Times New Roman" w:hAnsi="Times New Roman"/>
          <w:szCs w:val="24"/>
          <w:lang w:val="en-GB"/>
        </w:rPr>
        <w:t>n</w:t>
      </w:r>
      <w:r w:rsidRPr="003D6474">
        <w:rPr>
          <w:rFonts w:ascii="Times New Roman" w:hAnsi="Times New Roman"/>
          <w:szCs w:val="24"/>
          <w:lang w:val="en-GB"/>
        </w:rPr>
        <w:t xml:space="preserve"> system</w:t>
      </w:r>
      <w:r w:rsidR="00537E90" w:rsidRPr="003D6474">
        <w:rPr>
          <w:rFonts w:ascii="Times New Roman" w:hAnsi="Times New Roman"/>
          <w:szCs w:val="24"/>
          <w:lang w:val="en-GB"/>
        </w:rPr>
        <w:t>-wide</w:t>
      </w:r>
      <w:r w:rsidRPr="003D6474">
        <w:rPr>
          <w:rFonts w:ascii="Times New Roman" w:hAnsi="Times New Roman"/>
          <w:szCs w:val="24"/>
          <w:lang w:val="en-GB"/>
        </w:rPr>
        <w:t xml:space="preserve"> </w:t>
      </w:r>
      <w:r w:rsidR="00381152" w:rsidRPr="003D6474">
        <w:rPr>
          <w:rFonts w:ascii="Times New Roman" w:hAnsi="Times New Roman"/>
          <w:szCs w:val="24"/>
          <w:lang w:val="en-GB"/>
        </w:rPr>
        <w:t xml:space="preserve">perspective </w:t>
      </w:r>
      <w:r w:rsidRPr="003D6474">
        <w:rPr>
          <w:rFonts w:ascii="Times New Roman" w:hAnsi="Times New Roman"/>
          <w:szCs w:val="24"/>
          <w:lang w:val="en-GB"/>
        </w:rPr>
        <w:t xml:space="preserve">of knowledge it can be argued that indirect benefits </w:t>
      </w:r>
      <w:r w:rsidR="004C5079" w:rsidRPr="003D6474">
        <w:rPr>
          <w:rFonts w:ascii="Times New Roman" w:hAnsi="Times New Roman"/>
          <w:szCs w:val="24"/>
          <w:lang w:val="en-GB"/>
        </w:rPr>
        <w:t xml:space="preserve">could </w:t>
      </w:r>
      <w:r w:rsidRPr="003D6474">
        <w:rPr>
          <w:rFonts w:ascii="Times New Roman" w:hAnsi="Times New Roman"/>
          <w:szCs w:val="24"/>
          <w:lang w:val="en-GB"/>
        </w:rPr>
        <w:t xml:space="preserve">result from business </w:t>
      </w:r>
      <w:r w:rsidR="00D922E9" w:rsidRPr="003D6474">
        <w:rPr>
          <w:rFonts w:ascii="Times New Roman" w:hAnsi="Times New Roman"/>
          <w:szCs w:val="24"/>
          <w:lang w:val="en-GB"/>
        </w:rPr>
        <w:t xml:space="preserve">engagement </w:t>
      </w:r>
      <w:r w:rsidR="0065122C" w:rsidRPr="003D6474">
        <w:rPr>
          <w:rFonts w:ascii="Times New Roman" w:hAnsi="Times New Roman"/>
          <w:szCs w:val="24"/>
          <w:lang w:val="en-GB"/>
        </w:rPr>
        <w:t xml:space="preserve">with government </w:t>
      </w:r>
      <w:r w:rsidR="00D922E9" w:rsidRPr="003D6474">
        <w:rPr>
          <w:rFonts w:ascii="Times New Roman" w:hAnsi="Times New Roman"/>
          <w:szCs w:val="24"/>
          <w:lang w:val="en-GB"/>
        </w:rPr>
        <w:t xml:space="preserve">through </w:t>
      </w:r>
      <w:r w:rsidR="0065122C" w:rsidRPr="003D6474">
        <w:rPr>
          <w:rFonts w:ascii="Times New Roman" w:hAnsi="Times New Roman"/>
          <w:szCs w:val="24"/>
          <w:lang w:val="en-GB"/>
        </w:rPr>
        <w:t xml:space="preserve">the </w:t>
      </w:r>
      <w:r w:rsidRPr="003D6474">
        <w:rPr>
          <w:rFonts w:ascii="Times New Roman" w:hAnsi="Times New Roman"/>
          <w:szCs w:val="24"/>
          <w:lang w:val="en-GB"/>
        </w:rPr>
        <w:t xml:space="preserve">use of online services. This in turn could lead to increase business performance. </w:t>
      </w:r>
      <w:r w:rsidR="00286B9B" w:rsidRPr="003D6474">
        <w:rPr>
          <w:rFonts w:ascii="Times New Roman" w:hAnsi="Times New Roman"/>
          <w:szCs w:val="24"/>
          <w:lang w:val="en-GB"/>
        </w:rPr>
        <w:t xml:space="preserve">However, </w:t>
      </w:r>
      <w:r w:rsidRPr="003D6474">
        <w:rPr>
          <w:rFonts w:ascii="Times New Roman" w:hAnsi="Times New Roman"/>
          <w:szCs w:val="24"/>
          <w:lang w:val="en-GB"/>
        </w:rPr>
        <w:t xml:space="preserve">in the case of the Spanish Hotel sector some proxy measures could </w:t>
      </w:r>
      <w:r w:rsidR="006324FD" w:rsidRPr="003D6474">
        <w:rPr>
          <w:rFonts w:ascii="Times New Roman" w:hAnsi="Times New Roman"/>
          <w:szCs w:val="24"/>
          <w:lang w:val="en-GB"/>
        </w:rPr>
        <w:t xml:space="preserve">offer an insight on </w:t>
      </w:r>
      <w:r w:rsidRPr="003D6474">
        <w:rPr>
          <w:rFonts w:ascii="Times New Roman" w:hAnsi="Times New Roman"/>
          <w:szCs w:val="24"/>
          <w:lang w:val="en-GB"/>
        </w:rPr>
        <w:t xml:space="preserve">the </w:t>
      </w:r>
      <w:r w:rsidR="004D0452" w:rsidRPr="003D6474">
        <w:rPr>
          <w:rFonts w:ascii="Times New Roman" w:hAnsi="Times New Roman"/>
          <w:szCs w:val="24"/>
          <w:lang w:val="en-GB"/>
        </w:rPr>
        <w:t xml:space="preserve">extent to which organisations would benefit </w:t>
      </w:r>
      <w:r w:rsidR="00FA4489" w:rsidRPr="003D6474">
        <w:rPr>
          <w:rFonts w:ascii="Times New Roman" w:hAnsi="Times New Roman"/>
          <w:szCs w:val="24"/>
          <w:lang w:val="en-GB"/>
        </w:rPr>
        <w:t xml:space="preserve">from </w:t>
      </w:r>
      <w:r w:rsidRPr="003D6474">
        <w:rPr>
          <w:rFonts w:ascii="Times New Roman" w:hAnsi="Times New Roman"/>
          <w:szCs w:val="24"/>
          <w:lang w:val="en-GB"/>
        </w:rPr>
        <w:t>using online government services.</w:t>
      </w:r>
      <w:r w:rsidR="00B17DD1" w:rsidRPr="003D6474">
        <w:rPr>
          <w:rFonts w:ascii="Times New Roman" w:hAnsi="Times New Roman"/>
          <w:szCs w:val="24"/>
          <w:lang w:val="en-GB"/>
        </w:rPr>
        <w:t xml:space="preserve"> </w:t>
      </w:r>
      <w:r w:rsidR="001C17CC" w:rsidRPr="003D6474">
        <w:rPr>
          <w:rFonts w:ascii="Times New Roman" w:hAnsi="Times New Roman"/>
          <w:szCs w:val="24"/>
          <w:lang w:val="en-GB"/>
        </w:rPr>
        <w:t>S</w:t>
      </w:r>
      <w:r w:rsidR="00FA4489" w:rsidRPr="003D6474">
        <w:rPr>
          <w:rFonts w:ascii="Times New Roman" w:hAnsi="Times New Roman"/>
          <w:szCs w:val="24"/>
          <w:lang w:val="en-GB"/>
        </w:rPr>
        <w:t xml:space="preserve">uch proxies could include </w:t>
      </w:r>
      <w:r w:rsidRPr="003D6474">
        <w:rPr>
          <w:rFonts w:ascii="Times New Roman" w:hAnsi="Times New Roman"/>
          <w:szCs w:val="24"/>
          <w:lang w:val="en-GB"/>
        </w:rPr>
        <w:t xml:space="preserve">the </w:t>
      </w:r>
      <w:r w:rsidR="004A585C" w:rsidRPr="003D6474">
        <w:rPr>
          <w:rFonts w:ascii="Times New Roman" w:hAnsi="Times New Roman"/>
          <w:szCs w:val="24"/>
          <w:lang w:val="en-GB"/>
        </w:rPr>
        <w:t xml:space="preserve">availability </w:t>
      </w:r>
      <w:r w:rsidRPr="003D6474">
        <w:rPr>
          <w:rFonts w:ascii="Times New Roman" w:hAnsi="Times New Roman"/>
          <w:szCs w:val="24"/>
          <w:lang w:val="en-GB"/>
        </w:rPr>
        <w:t xml:space="preserve">of online services </w:t>
      </w:r>
      <w:r w:rsidR="008C05DC" w:rsidRPr="003D6474">
        <w:rPr>
          <w:rFonts w:ascii="Times New Roman" w:hAnsi="Times New Roman"/>
          <w:szCs w:val="24"/>
          <w:lang w:val="en-GB"/>
        </w:rPr>
        <w:t>specificall</w:t>
      </w:r>
      <w:r w:rsidR="001C17CC" w:rsidRPr="003D6474">
        <w:rPr>
          <w:rFonts w:ascii="Times New Roman" w:hAnsi="Times New Roman"/>
          <w:szCs w:val="24"/>
          <w:lang w:val="en-GB"/>
        </w:rPr>
        <w:t xml:space="preserve">y designed for hotels </w:t>
      </w:r>
      <w:r w:rsidRPr="003D6474">
        <w:rPr>
          <w:rFonts w:ascii="Times New Roman" w:hAnsi="Times New Roman"/>
          <w:szCs w:val="24"/>
          <w:lang w:val="en-GB"/>
        </w:rPr>
        <w:t xml:space="preserve">and </w:t>
      </w:r>
      <w:r w:rsidR="001C17CC" w:rsidRPr="003D6474">
        <w:rPr>
          <w:rFonts w:ascii="Times New Roman" w:hAnsi="Times New Roman"/>
          <w:szCs w:val="24"/>
          <w:lang w:val="en-GB"/>
        </w:rPr>
        <w:t>-</w:t>
      </w:r>
      <w:r w:rsidRPr="003D6474">
        <w:rPr>
          <w:rFonts w:ascii="Times New Roman" w:hAnsi="Times New Roman"/>
          <w:szCs w:val="24"/>
          <w:lang w:val="en-GB"/>
        </w:rPr>
        <w:t>indirectly</w:t>
      </w:r>
      <w:r w:rsidR="001C17CC" w:rsidRPr="003D6474">
        <w:rPr>
          <w:rFonts w:ascii="Times New Roman" w:hAnsi="Times New Roman"/>
          <w:szCs w:val="24"/>
          <w:lang w:val="en-GB"/>
        </w:rPr>
        <w:t>,</w:t>
      </w:r>
      <w:r w:rsidRPr="003D6474">
        <w:rPr>
          <w:rFonts w:ascii="Times New Roman" w:hAnsi="Times New Roman"/>
          <w:szCs w:val="24"/>
          <w:lang w:val="en-GB"/>
        </w:rPr>
        <w:t xml:space="preserve"> </w:t>
      </w:r>
      <w:r w:rsidR="00250817" w:rsidRPr="003D6474">
        <w:rPr>
          <w:rFonts w:ascii="Times New Roman" w:hAnsi="Times New Roman"/>
          <w:szCs w:val="24"/>
          <w:lang w:val="en-GB"/>
        </w:rPr>
        <w:t xml:space="preserve">the relationship between those services and </w:t>
      </w:r>
      <w:r w:rsidR="009068E9" w:rsidRPr="003D6474">
        <w:rPr>
          <w:rFonts w:ascii="Times New Roman" w:hAnsi="Times New Roman"/>
          <w:szCs w:val="24"/>
          <w:lang w:val="en-GB"/>
        </w:rPr>
        <w:t xml:space="preserve">any </w:t>
      </w:r>
      <w:r w:rsidR="00F276AF" w:rsidRPr="003D6474">
        <w:rPr>
          <w:rFonts w:ascii="Times New Roman" w:hAnsi="Times New Roman"/>
          <w:szCs w:val="24"/>
          <w:lang w:val="en-GB"/>
        </w:rPr>
        <w:t xml:space="preserve">perceived </w:t>
      </w:r>
      <w:r w:rsidRPr="003D6474">
        <w:rPr>
          <w:rFonts w:ascii="Times New Roman" w:hAnsi="Times New Roman"/>
          <w:szCs w:val="24"/>
          <w:lang w:val="en-GB"/>
        </w:rPr>
        <w:t xml:space="preserve">increase in </w:t>
      </w:r>
      <w:r w:rsidR="00E56BDE" w:rsidRPr="003D6474">
        <w:rPr>
          <w:rFonts w:ascii="Times New Roman" w:hAnsi="Times New Roman"/>
          <w:szCs w:val="24"/>
          <w:lang w:val="en-GB"/>
        </w:rPr>
        <w:t xml:space="preserve">the </w:t>
      </w:r>
      <w:r w:rsidR="00F276AF" w:rsidRPr="003D6474">
        <w:rPr>
          <w:rFonts w:ascii="Times New Roman" w:hAnsi="Times New Roman"/>
          <w:szCs w:val="24"/>
          <w:lang w:val="en-GB"/>
        </w:rPr>
        <w:t xml:space="preserve">quality </w:t>
      </w:r>
      <w:r w:rsidR="00905735" w:rsidRPr="003D6474">
        <w:rPr>
          <w:rFonts w:ascii="Times New Roman" w:hAnsi="Times New Roman"/>
          <w:szCs w:val="24"/>
          <w:lang w:val="en-GB"/>
        </w:rPr>
        <w:t xml:space="preserve">of </w:t>
      </w:r>
      <w:r w:rsidR="004031F4" w:rsidRPr="003D6474">
        <w:rPr>
          <w:rFonts w:ascii="Times New Roman" w:hAnsi="Times New Roman"/>
          <w:szCs w:val="24"/>
          <w:lang w:val="en-GB"/>
        </w:rPr>
        <w:t xml:space="preserve">hotel </w:t>
      </w:r>
      <w:r w:rsidR="009F14CA" w:rsidRPr="003D6474">
        <w:rPr>
          <w:rFonts w:ascii="Times New Roman" w:hAnsi="Times New Roman"/>
          <w:szCs w:val="24"/>
          <w:lang w:val="en-GB"/>
        </w:rPr>
        <w:t>service</w:t>
      </w:r>
      <w:r w:rsidR="009277D8" w:rsidRPr="003D6474">
        <w:rPr>
          <w:rFonts w:ascii="Times New Roman" w:hAnsi="Times New Roman"/>
          <w:szCs w:val="24"/>
          <w:lang w:val="en-GB"/>
        </w:rPr>
        <w:t>s</w:t>
      </w:r>
      <w:r w:rsidRPr="003D6474">
        <w:rPr>
          <w:rFonts w:ascii="Times New Roman" w:hAnsi="Times New Roman"/>
          <w:szCs w:val="24"/>
          <w:lang w:val="en-GB"/>
        </w:rPr>
        <w:t xml:space="preserve">, </w:t>
      </w:r>
      <w:r w:rsidR="007F071E" w:rsidRPr="003D6474">
        <w:rPr>
          <w:rFonts w:ascii="Times New Roman" w:hAnsi="Times New Roman"/>
          <w:szCs w:val="24"/>
          <w:lang w:val="en-GB"/>
        </w:rPr>
        <w:t>reduced costs or increased efficiency</w:t>
      </w:r>
      <w:r w:rsidRPr="003D6474">
        <w:rPr>
          <w:rFonts w:ascii="Times New Roman" w:hAnsi="Times New Roman"/>
          <w:szCs w:val="24"/>
          <w:lang w:val="en-GB"/>
        </w:rPr>
        <w:t xml:space="preserve"> (Rambøll, 2004).</w:t>
      </w:r>
    </w:p>
    <w:p w:rsidR="009018C6" w:rsidRPr="003D6474" w:rsidRDefault="009018C6" w:rsidP="003B10E7">
      <w:pPr>
        <w:pStyle w:val="Normal1"/>
        <w:spacing w:after="0" w:line="240" w:lineRule="auto"/>
        <w:rPr>
          <w:rFonts w:ascii="Times New Roman" w:hAnsi="Times New Roman"/>
          <w:b/>
          <w:bCs/>
          <w:szCs w:val="24"/>
          <w:lang w:val="en-GB"/>
        </w:rPr>
      </w:pPr>
    </w:p>
    <w:p w:rsidR="00601C66" w:rsidRPr="003D6474" w:rsidRDefault="00601C66" w:rsidP="003B10E7">
      <w:pPr>
        <w:pStyle w:val="BodyText"/>
        <w:jc w:val="center"/>
      </w:pPr>
      <w:r w:rsidRPr="003D6474">
        <w:t>Insert Figure 1 about here</w:t>
      </w:r>
    </w:p>
    <w:p w:rsidR="009018C6" w:rsidRPr="003D6474" w:rsidRDefault="009018C6" w:rsidP="003B10E7">
      <w:pPr>
        <w:pStyle w:val="Normal1"/>
        <w:spacing w:after="0" w:line="240" w:lineRule="auto"/>
        <w:rPr>
          <w:rFonts w:ascii="Times New Roman" w:hAnsi="Times New Roman"/>
          <w:b/>
          <w:bCs/>
          <w:szCs w:val="24"/>
          <w:lang w:val="en-GB"/>
        </w:rPr>
      </w:pPr>
    </w:p>
    <w:p w:rsidR="00F343FA" w:rsidRPr="003D6474" w:rsidRDefault="00F343FA" w:rsidP="003B10E7">
      <w:pPr>
        <w:pStyle w:val="Normal1"/>
        <w:spacing w:after="0" w:line="240" w:lineRule="auto"/>
        <w:rPr>
          <w:rFonts w:ascii="Times New Roman" w:hAnsi="Times New Roman"/>
          <w:b/>
          <w:bCs/>
          <w:szCs w:val="24"/>
          <w:lang w:val="en-GB"/>
        </w:rPr>
      </w:pPr>
      <w:r w:rsidRPr="003D6474">
        <w:rPr>
          <w:rFonts w:ascii="Times New Roman" w:hAnsi="Times New Roman"/>
          <w:b/>
          <w:bCs/>
          <w:szCs w:val="24"/>
          <w:lang w:val="en-GB"/>
        </w:rPr>
        <w:t xml:space="preserve">3. Method </w:t>
      </w:r>
    </w:p>
    <w:p w:rsidR="00982F19" w:rsidRPr="003D6474" w:rsidRDefault="00982F19" w:rsidP="003B10E7">
      <w:pPr>
        <w:pStyle w:val="Normal1"/>
        <w:spacing w:after="0" w:line="240" w:lineRule="auto"/>
        <w:rPr>
          <w:rFonts w:ascii="Times New Roman" w:hAnsi="Times New Roman"/>
          <w:b/>
          <w:bCs/>
          <w:szCs w:val="24"/>
          <w:lang w:val="en-GB"/>
        </w:rPr>
      </w:pPr>
    </w:p>
    <w:p w:rsidR="00F343FA" w:rsidRPr="003D6474" w:rsidRDefault="00F343FA" w:rsidP="003B10E7">
      <w:pPr>
        <w:pStyle w:val="Normal1"/>
        <w:spacing w:after="0" w:line="240" w:lineRule="auto"/>
        <w:rPr>
          <w:rFonts w:ascii="Times New Roman" w:hAnsi="Times New Roman"/>
          <w:b/>
          <w:bCs/>
          <w:szCs w:val="24"/>
          <w:lang w:val="en-GB"/>
        </w:rPr>
      </w:pPr>
      <w:r w:rsidRPr="003D6474">
        <w:rPr>
          <w:rFonts w:ascii="Times New Roman" w:hAnsi="Times New Roman"/>
          <w:b/>
          <w:bCs/>
          <w:szCs w:val="24"/>
          <w:lang w:val="en-GB"/>
        </w:rPr>
        <w:t>3.1. Data collection</w:t>
      </w:r>
    </w:p>
    <w:p w:rsidR="00982F19" w:rsidRPr="003D6474" w:rsidRDefault="00982F19" w:rsidP="003B10E7">
      <w:pPr>
        <w:jc w:val="both"/>
        <w:rPr>
          <w:lang w:val="en-GB"/>
        </w:rPr>
      </w:pPr>
    </w:p>
    <w:p w:rsidR="005E6211" w:rsidRPr="003D6474" w:rsidRDefault="00450213" w:rsidP="003B10E7">
      <w:pPr>
        <w:jc w:val="both"/>
        <w:rPr>
          <w:lang w:val="en-GB"/>
        </w:rPr>
      </w:pPr>
      <w:r w:rsidRPr="003D6474">
        <w:rPr>
          <w:lang w:val="en-GB"/>
        </w:rPr>
        <w:t>T</w:t>
      </w:r>
      <w:r w:rsidR="00064587" w:rsidRPr="003D6474">
        <w:rPr>
          <w:lang w:val="en-GB"/>
        </w:rPr>
        <w:t xml:space="preserve">he data collection process was focused on the </w:t>
      </w:r>
      <w:r w:rsidR="00EA0E1B" w:rsidRPr="003D6474">
        <w:rPr>
          <w:lang w:val="en-GB"/>
        </w:rPr>
        <w:t xml:space="preserve">Spanish </w:t>
      </w:r>
      <w:r w:rsidR="000E6980" w:rsidRPr="003D6474">
        <w:rPr>
          <w:lang w:val="en-GB"/>
        </w:rPr>
        <w:t xml:space="preserve">hospitality </w:t>
      </w:r>
      <w:r w:rsidR="00EA0E1B" w:rsidRPr="003D6474">
        <w:rPr>
          <w:lang w:val="en-GB"/>
        </w:rPr>
        <w:t>industry.</w:t>
      </w:r>
      <w:r w:rsidR="00F343FA" w:rsidRPr="003D6474">
        <w:rPr>
          <w:lang w:val="en-GB"/>
        </w:rPr>
        <w:t xml:space="preserve"> </w:t>
      </w:r>
      <w:r w:rsidR="004A2A1E" w:rsidRPr="003D6474">
        <w:rPr>
          <w:lang w:val="en-GB"/>
        </w:rPr>
        <w:t xml:space="preserve">The unit of analysis for this study was the </w:t>
      </w:r>
      <w:r w:rsidR="00A460EB" w:rsidRPr="003D6474">
        <w:rPr>
          <w:lang w:val="en-GB"/>
        </w:rPr>
        <w:t>organisation</w:t>
      </w:r>
      <w:r w:rsidR="004A2A1E" w:rsidRPr="003D6474">
        <w:rPr>
          <w:lang w:val="en-GB"/>
        </w:rPr>
        <w:t xml:space="preserve">, on the assumption that </w:t>
      </w:r>
      <w:r w:rsidR="001131A6" w:rsidRPr="003D6474">
        <w:rPr>
          <w:lang w:val="en-GB"/>
        </w:rPr>
        <w:t xml:space="preserve">any attempt to improve the processes of knowledge creation and </w:t>
      </w:r>
      <w:r w:rsidR="00446067" w:rsidRPr="003D6474">
        <w:rPr>
          <w:lang w:val="en-GB"/>
        </w:rPr>
        <w:t xml:space="preserve">organisational </w:t>
      </w:r>
      <w:r w:rsidR="00EA0E1B" w:rsidRPr="003D6474">
        <w:rPr>
          <w:lang w:val="en-GB"/>
        </w:rPr>
        <w:t>learning</w:t>
      </w:r>
      <w:r w:rsidR="001131A6" w:rsidRPr="003D6474">
        <w:rPr>
          <w:lang w:val="en-GB"/>
        </w:rPr>
        <w:t xml:space="preserve"> would be relevant to study at an organisational level</w:t>
      </w:r>
      <w:r w:rsidR="00B21731" w:rsidRPr="003D6474">
        <w:rPr>
          <w:lang w:val="en-GB"/>
        </w:rPr>
        <w:t xml:space="preserve"> rather than </w:t>
      </w:r>
      <w:r w:rsidR="003F0950" w:rsidRPr="003D6474">
        <w:rPr>
          <w:lang w:val="en-GB"/>
        </w:rPr>
        <w:t xml:space="preserve">at an </w:t>
      </w:r>
      <w:r w:rsidR="00B21731" w:rsidRPr="003D6474">
        <w:rPr>
          <w:lang w:val="en-GB"/>
        </w:rPr>
        <w:t>individual or industry levels</w:t>
      </w:r>
      <w:r w:rsidR="004A2A1E" w:rsidRPr="003D6474">
        <w:rPr>
          <w:lang w:val="en-GB"/>
        </w:rPr>
        <w:t>.</w:t>
      </w:r>
      <w:r w:rsidR="004D717A" w:rsidRPr="003D6474">
        <w:rPr>
          <w:lang w:val="en-GB"/>
        </w:rPr>
        <w:t xml:space="preserve"> </w:t>
      </w:r>
      <w:r w:rsidR="008375E5" w:rsidRPr="003D6474">
        <w:rPr>
          <w:lang w:val="en-GB"/>
        </w:rPr>
        <w:t xml:space="preserve">From an initial list of 4441 </w:t>
      </w:r>
      <w:r w:rsidR="00ED6A58" w:rsidRPr="003D6474">
        <w:rPr>
          <w:lang w:val="en-GB"/>
        </w:rPr>
        <w:t xml:space="preserve">organisations </w:t>
      </w:r>
      <w:r w:rsidR="008375E5" w:rsidRPr="003D6474">
        <w:rPr>
          <w:lang w:val="en-GB"/>
        </w:rPr>
        <w:t>included in the Spanish National Classification of Economic Activities 552</w:t>
      </w:r>
      <w:r w:rsidR="00022EA4" w:rsidRPr="003D6474">
        <w:rPr>
          <w:lang w:val="en-GB"/>
        </w:rPr>
        <w:t xml:space="preserve"> (CNAE-552</w:t>
      </w:r>
      <w:r w:rsidR="008375E5" w:rsidRPr="003D6474">
        <w:rPr>
          <w:lang w:val="en-GB"/>
        </w:rPr>
        <w:t xml:space="preserve">) a list of hotel operators </w:t>
      </w:r>
      <w:r w:rsidR="002D2649" w:rsidRPr="003D6474">
        <w:rPr>
          <w:lang w:val="en-GB"/>
        </w:rPr>
        <w:t xml:space="preserve">was created, including those which employed </w:t>
      </w:r>
      <w:r w:rsidR="008375E5" w:rsidRPr="003D6474">
        <w:rPr>
          <w:lang w:val="en-GB"/>
        </w:rPr>
        <w:t xml:space="preserve">ten or more </w:t>
      </w:r>
      <w:r w:rsidR="005571C5" w:rsidRPr="003D6474">
        <w:rPr>
          <w:lang w:val="en-GB"/>
        </w:rPr>
        <w:t>individuals</w:t>
      </w:r>
      <w:r w:rsidR="006A0DD0" w:rsidRPr="003D6474">
        <w:rPr>
          <w:lang w:val="en-GB"/>
        </w:rPr>
        <w:t xml:space="preserve">. </w:t>
      </w:r>
      <w:r w:rsidR="00DD58DB" w:rsidRPr="003D6474">
        <w:rPr>
          <w:lang w:val="en-GB"/>
        </w:rPr>
        <w:t>For practical reasons in preparation for the process of data collection, those organisations for which telephone contact details were not available were removed from the list.</w:t>
      </w:r>
      <w:r w:rsidR="005E6211" w:rsidRPr="003D6474">
        <w:rPr>
          <w:lang w:val="en-GB"/>
        </w:rPr>
        <w:t xml:space="preserve">  </w:t>
      </w:r>
      <w:r w:rsidR="00DC1A5C" w:rsidRPr="003D6474">
        <w:rPr>
          <w:lang w:val="en-GB"/>
        </w:rPr>
        <w:t xml:space="preserve">On these basis, </w:t>
      </w:r>
      <w:r w:rsidR="008375E5" w:rsidRPr="003D6474">
        <w:rPr>
          <w:lang w:val="en-GB"/>
        </w:rPr>
        <w:t xml:space="preserve">there were 560 companies </w:t>
      </w:r>
      <w:r w:rsidR="00DC1A5C" w:rsidRPr="003D6474">
        <w:rPr>
          <w:lang w:val="en-GB"/>
        </w:rPr>
        <w:t xml:space="preserve">listed </w:t>
      </w:r>
      <w:r w:rsidR="008375E5" w:rsidRPr="003D6474">
        <w:rPr>
          <w:lang w:val="en-GB"/>
        </w:rPr>
        <w:t xml:space="preserve">in the </w:t>
      </w:r>
      <w:r w:rsidR="00DC1A5C" w:rsidRPr="003D6474">
        <w:rPr>
          <w:lang w:val="en-GB"/>
        </w:rPr>
        <w:t>Iberian Balance Sheets Analysis System</w:t>
      </w:r>
      <w:r w:rsidR="008375E5" w:rsidRPr="003D6474">
        <w:rPr>
          <w:lang w:val="en-GB"/>
        </w:rPr>
        <w:t xml:space="preserve"> (Sistema de Análisis de Balances Ibéricos) data. </w:t>
      </w:r>
    </w:p>
    <w:p w:rsidR="005E6211" w:rsidRPr="003D6474" w:rsidRDefault="005E6211" w:rsidP="003B10E7">
      <w:pPr>
        <w:jc w:val="both"/>
        <w:rPr>
          <w:lang w:val="en-GB"/>
        </w:rPr>
      </w:pPr>
    </w:p>
    <w:p w:rsidR="009B02D6" w:rsidRPr="003D6474" w:rsidRDefault="008375E5" w:rsidP="003B10E7">
      <w:pPr>
        <w:jc w:val="both"/>
        <w:rPr>
          <w:lang w:val="en-GB"/>
        </w:rPr>
      </w:pPr>
      <w:r w:rsidRPr="003D6474">
        <w:rPr>
          <w:lang w:val="en-GB"/>
        </w:rPr>
        <w:t xml:space="preserve">Before conducting </w:t>
      </w:r>
      <w:r w:rsidR="005E2E6F" w:rsidRPr="003D6474">
        <w:rPr>
          <w:lang w:val="en-GB"/>
        </w:rPr>
        <w:t>any data collection</w:t>
      </w:r>
      <w:r w:rsidRPr="003D6474">
        <w:rPr>
          <w:lang w:val="en-GB"/>
        </w:rPr>
        <w:t xml:space="preserve">, </w:t>
      </w:r>
      <w:r w:rsidR="007645D1" w:rsidRPr="003D6474">
        <w:rPr>
          <w:lang w:val="en-GB"/>
        </w:rPr>
        <w:t xml:space="preserve">all </w:t>
      </w:r>
      <w:r w:rsidRPr="003D6474">
        <w:rPr>
          <w:lang w:val="en-GB"/>
        </w:rPr>
        <w:t xml:space="preserve">businesses were contacted </w:t>
      </w:r>
      <w:r w:rsidR="00A40D5B" w:rsidRPr="003D6474">
        <w:rPr>
          <w:lang w:val="en-GB"/>
        </w:rPr>
        <w:t xml:space="preserve">by telephone </w:t>
      </w:r>
      <w:r w:rsidRPr="003D6474">
        <w:rPr>
          <w:lang w:val="en-GB"/>
        </w:rPr>
        <w:t xml:space="preserve">and </w:t>
      </w:r>
      <w:r w:rsidR="002B5B97" w:rsidRPr="003D6474">
        <w:rPr>
          <w:lang w:val="en-GB"/>
        </w:rPr>
        <w:t xml:space="preserve">senior management </w:t>
      </w:r>
      <w:r w:rsidR="00F752A0" w:rsidRPr="003D6474">
        <w:rPr>
          <w:lang w:val="en-GB"/>
        </w:rPr>
        <w:t xml:space="preserve">were </w:t>
      </w:r>
      <w:r w:rsidR="00643CF4" w:rsidRPr="003D6474">
        <w:rPr>
          <w:lang w:val="en-GB"/>
        </w:rPr>
        <w:t xml:space="preserve">invited </w:t>
      </w:r>
      <w:r w:rsidRPr="003D6474">
        <w:rPr>
          <w:lang w:val="en-GB"/>
        </w:rPr>
        <w:t xml:space="preserve">to participate in the study. They were informed of the objectives of the research assured of its strictly scientific and confidential </w:t>
      </w:r>
      <w:r w:rsidR="00807D7D" w:rsidRPr="003D6474">
        <w:rPr>
          <w:lang w:val="en-GB"/>
        </w:rPr>
        <w:t>nature</w:t>
      </w:r>
      <w:r w:rsidRPr="003D6474">
        <w:rPr>
          <w:lang w:val="en-GB"/>
        </w:rPr>
        <w:t xml:space="preserve">, as well as the </w:t>
      </w:r>
      <w:r w:rsidR="007E55EE" w:rsidRPr="003D6474">
        <w:rPr>
          <w:lang w:val="en-GB"/>
        </w:rPr>
        <w:t xml:space="preserve">fact that any data collected would be handled in an </w:t>
      </w:r>
      <w:r w:rsidRPr="003D6474">
        <w:rPr>
          <w:lang w:val="en-GB"/>
        </w:rPr>
        <w:t xml:space="preserve">anonymous </w:t>
      </w:r>
      <w:r w:rsidR="007E55EE" w:rsidRPr="003D6474">
        <w:rPr>
          <w:lang w:val="en-GB"/>
        </w:rPr>
        <w:t>manner</w:t>
      </w:r>
      <w:r w:rsidRPr="003D6474">
        <w:rPr>
          <w:lang w:val="en-GB"/>
        </w:rPr>
        <w:t xml:space="preserve">. </w:t>
      </w:r>
      <w:r w:rsidR="0037650A" w:rsidRPr="003D6474">
        <w:rPr>
          <w:lang w:val="en-GB"/>
        </w:rPr>
        <w:t>A</w:t>
      </w:r>
      <w:r w:rsidRPr="003D6474">
        <w:rPr>
          <w:lang w:val="en-GB"/>
        </w:rPr>
        <w:t xml:space="preserve"> total of 245 </w:t>
      </w:r>
      <w:r w:rsidR="006A05E7" w:rsidRPr="003D6474">
        <w:rPr>
          <w:lang w:val="en-GB"/>
        </w:rPr>
        <w:t xml:space="preserve">organisations </w:t>
      </w:r>
      <w:r w:rsidRPr="003D6474">
        <w:rPr>
          <w:lang w:val="en-GB"/>
        </w:rPr>
        <w:t>agreed to participate</w:t>
      </w:r>
      <w:r w:rsidR="0037650A" w:rsidRPr="003D6474">
        <w:rPr>
          <w:lang w:val="en-GB"/>
        </w:rPr>
        <w:t xml:space="preserve"> in the study</w:t>
      </w:r>
      <w:r w:rsidRPr="003D6474">
        <w:rPr>
          <w:lang w:val="en-GB"/>
        </w:rPr>
        <w:t xml:space="preserve">. </w:t>
      </w:r>
      <w:r w:rsidR="008D34AA" w:rsidRPr="003D6474">
        <w:rPr>
          <w:lang w:val="en-GB"/>
        </w:rPr>
        <w:t xml:space="preserve">A </w:t>
      </w:r>
      <w:r w:rsidRPr="003D6474">
        <w:rPr>
          <w:lang w:val="en-GB"/>
        </w:rPr>
        <w:t xml:space="preserve">survey was administered over a period of two months, from early November to early December 2011. From a sample of 245 </w:t>
      </w:r>
      <w:r w:rsidR="003624FE" w:rsidRPr="003D6474">
        <w:rPr>
          <w:lang w:val="en-GB"/>
        </w:rPr>
        <w:t>organisations</w:t>
      </w:r>
      <w:r w:rsidRPr="003D6474">
        <w:rPr>
          <w:lang w:val="en-GB"/>
        </w:rPr>
        <w:t xml:space="preserve">, </w:t>
      </w:r>
      <w:r w:rsidR="00FB7C0E" w:rsidRPr="003D6474">
        <w:rPr>
          <w:lang w:val="en-GB"/>
        </w:rPr>
        <w:t xml:space="preserve">a </w:t>
      </w:r>
      <w:r w:rsidRPr="003D6474">
        <w:rPr>
          <w:lang w:val="en-GB"/>
        </w:rPr>
        <w:t xml:space="preserve">total of 164 </w:t>
      </w:r>
      <w:r w:rsidR="00FB7C0E" w:rsidRPr="003D6474">
        <w:rPr>
          <w:lang w:val="en-GB"/>
        </w:rPr>
        <w:t>engaged in the research by responding</w:t>
      </w:r>
      <w:r w:rsidR="008D34AA" w:rsidRPr="003D6474">
        <w:rPr>
          <w:lang w:val="en-GB"/>
        </w:rPr>
        <w:t xml:space="preserve"> to the survey</w:t>
      </w:r>
      <w:r w:rsidRPr="003D6474">
        <w:rPr>
          <w:lang w:val="en-GB"/>
        </w:rPr>
        <w:t xml:space="preserve">. However, </w:t>
      </w:r>
      <w:r w:rsidR="008D34AA" w:rsidRPr="003D6474">
        <w:rPr>
          <w:lang w:val="en-GB"/>
        </w:rPr>
        <w:t xml:space="preserve">of these, only </w:t>
      </w:r>
      <w:r w:rsidRPr="003D6474">
        <w:rPr>
          <w:lang w:val="en-GB"/>
        </w:rPr>
        <w:t xml:space="preserve">130 </w:t>
      </w:r>
      <w:r w:rsidR="00AD300D" w:rsidRPr="003D6474">
        <w:rPr>
          <w:lang w:val="en-GB"/>
        </w:rPr>
        <w:t xml:space="preserve">responses </w:t>
      </w:r>
      <w:r w:rsidRPr="003D6474">
        <w:rPr>
          <w:lang w:val="en-GB"/>
        </w:rPr>
        <w:t xml:space="preserve">were </w:t>
      </w:r>
      <w:r w:rsidR="00AD300D" w:rsidRPr="003D6474">
        <w:rPr>
          <w:lang w:val="en-GB"/>
        </w:rPr>
        <w:t xml:space="preserve">complete. </w:t>
      </w:r>
      <w:r w:rsidRPr="003D6474">
        <w:rPr>
          <w:lang w:val="en-GB"/>
        </w:rPr>
        <w:t xml:space="preserve">This resulted in a response rate of 23.21% with a factor of error of 7.52% for p=q=50% and a reliability level of 95.5%. This is </w:t>
      </w:r>
      <w:r w:rsidR="00AD300D" w:rsidRPr="003D6474">
        <w:rPr>
          <w:lang w:val="en-GB"/>
        </w:rPr>
        <w:t xml:space="preserve">within </w:t>
      </w:r>
      <w:r w:rsidRPr="003D6474">
        <w:rPr>
          <w:lang w:val="en-GB"/>
        </w:rPr>
        <w:t xml:space="preserve">the average response rate </w:t>
      </w:r>
      <w:r w:rsidRPr="003D6474">
        <w:rPr>
          <w:lang w:val="en-GB"/>
        </w:rPr>
        <w:lastRenderedPageBreak/>
        <w:t xml:space="preserve">of 15 to 25 percent suggested by Menon </w:t>
      </w:r>
      <w:r w:rsidRPr="003D6474">
        <w:rPr>
          <w:i/>
          <w:lang w:val="en-GB"/>
        </w:rPr>
        <w:t>et al</w:t>
      </w:r>
      <w:r w:rsidRPr="003D6474">
        <w:rPr>
          <w:lang w:val="en-GB"/>
        </w:rPr>
        <w:t>. (1996) for surveys involving senior management</w:t>
      </w:r>
      <w:r w:rsidR="00EE1EBC" w:rsidRPr="003D6474">
        <w:rPr>
          <w:lang w:val="en-GB"/>
        </w:rPr>
        <w:t>, and was therefore considered as valid</w:t>
      </w:r>
      <w:r w:rsidRPr="003D6474">
        <w:rPr>
          <w:lang w:val="en-GB"/>
        </w:rPr>
        <w:t>.</w:t>
      </w:r>
    </w:p>
    <w:p w:rsidR="009B02D6" w:rsidRPr="003D6474" w:rsidRDefault="009B02D6" w:rsidP="003B10E7">
      <w:pPr>
        <w:jc w:val="both"/>
        <w:rPr>
          <w:lang w:val="en-GB"/>
        </w:rPr>
      </w:pPr>
    </w:p>
    <w:p w:rsidR="009B02D6" w:rsidRPr="003D6474" w:rsidRDefault="009B02D6" w:rsidP="003B10E7">
      <w:pPr>
        <w:jc w:val="both"/>
        <w:rPr>
          <w:lang w:val="en-GB"/>
        </w:rPr>
      </w:pPr>
      <w:r w:rsidRPr="003D6474">
        <w:rPr>
          <w:lang w:val="en-GB"/>
        </w:rPr>
        <w:t xml:space="preserve">To examine potential non-response bias, </w:t>
      </w:r>
      <w:r w:rsidR="0099763A" w:rsidRPr="003D6474">
        <w:rPr>
          <w:lang w:val="en-GB"/>
        </w:rPr>
        <w:t xml:space="preserve">organisations that </w:t>
      </w:r>
      <w:r w:rsidR="008B25EF" w:rsidRPr="003D6474">
        <w:rPr>
          <w:lang w:val="en-GB"/>
        </w:rPr>
        <w:t>engaged in the research</w:t>
      </w:r>
      <w:r w:rsidR="001100BE" w:rsidRPr="003D6474">
        <w:rPr>
          <w:lang w:val="en-GB"/>
        </w:rPr>
        <w:t xml:space="preserve"> </w:t>
      </w:r>
      <w:r w:rsidR="008B25EF" w:rsidRPr="003D6474">
        <w:rPr>
          <w:lang w:val="en-GB"/>
        </w:rPr>
        <w:t xml:space="preserve">were </w:t>
      </w:r>
      <w:r w:rsidR="006B5794" w:rsidRPr="003D6474">
        <w:rPr>
          <w:lang w:val="en-GB"/>
        </w:rPr>
        <w:t xml:space="preserve">compared to the </w:t>
      </w:r>
      <w:r w:rsidRPr="003D6474">
        <w:rPr>
          <w:lang w:val="en-GB"/>
        </w:rPr>
        <w:t xml:space="preserve">population </w:t>
      </w:r>
      <w:r w:rsidR="006B5794" w:rsidRPr="003D6474">
        <w:rPr>
          <w:lang w:val="en-GB"/>
        </w:rPr>
        <w:t xml:space="preserve">by using </w:t>
      </w:r>
      <w:r w:rsidR="0016642A" w:rsidRPr="003D6474">
        <w:rPr>
          <w:lang w:val="en-GB"/>
        </w:rPr>
        <w:t xml:space="preserve">the following </w:t>
      </w:r>
      <w:r w:rsidRPr="003D6474">
        <w:rPr>
          <w:lang w:val="en-GB"/>
        </w:rPr>
        <w:t xml:space="preserve">three </w:t>
      </w:r>
      <w:r w:rsidR="006B5794" w:rsidRPr="003D6474">
        <w:rPr>
          <w:lang w:val="en-GB"/>
        </w:rPr>
        <w:t xml:space="preserve">key </w:t>
      </w:r>
      <w:r w:rsidRPr="003D6474">
        <w:rPr>
          <w:lang w:val="en-GB"/>
        </w:rPr>
        <w:t>variables</w:t>
      </w:r>
      <w:r w:rsidR="009F6054" w:rsidRPr="003D6474">
        <w:rPr>
          <w:lang w:val="en-GB"/>
        </w:rPr>
        <w:t>:</w:t>
      </w:r>
      <w:r w:rsidR="006B5794" w:rsidRPr="003D6474">
        <w:rPr>
          <w:lang w:val="en-GB"/>
        </w:rPr>
        <w:t xml:space="preserve">  </w:t>
      </w:r>
      <w:r w:rsidRPr="003D6474">
        <w:rPr>
          <w:lang w:val="en-GB"/>
        </w:rPr>
        <w:t xml:space="preserve">turnover, total assets and number of employees. </w:t>
      </w:r>
      <w:r w:rsidR="00235641" w:rsidRPr="003D6474">
        <w:rPr>
          <w:lang w:val="en-GB"/>
        </w:rPr>
        <w:t>A significance level of 0.05 meant that n</w:t>
      </w:r>
      <w:r w:rsidRPr="003D6474">
        <w:rPr>
          <w:lang w:val="en-GB"/>
        </w:rPr>
        <w:t xml:space="preserve">one of </w:t>
      </w:r>
      <w:r w:rsidR="00EB26E3" w:rsidRPr="003D6474">
        <w:rPr>
          <w:lang w:val="en-GB"/>
        </w:rPr>
        <w:t xml:space="preserve">the </w:t>
      </w:r>
      <w:r w:rsidRPr="003D6474">
        <w:rPr>
          <w:lang w:val="en-GB"/>
        </w:rPr>
        <w:t xml:space="preserve">three t-tests for differences between the sample and the population means was statistically significant. </w:t>
      </w:r>
      <w:r w:rsidR="00AD4581" w:rsidRPr="003D6474">
        <w:rPr>
          <w:lang w:val="en-GB"/>
        </w:rPr>
        <w:t xml:space="preserve">Such an </w:t>
      </w:r>
      <w:r w:rsidRPr="003D6474">
        <w:rPr>
          <w:lang w:val="en-GB"/>
        </w:rPr>
        <w:t xml:space="preserve">absence of </w:t>
      </w:r>
      <w:r w:rsidR="006B64F5" w:rsidRPr="003D6474">
        <w:rPr>
          <w:lang w:val="en-GB"/>
        </w:rPr>
        <w:t xml:space="preserve">significant </w:t>
      </w:r>
      <w:r w:rsidRPr="003D6474">
        <w:rPr>
          <w:lang w:val="en-GB"/>
        </w:rPr>
        <w:t xml:space="preserve">differences </w:t>
      </w:r>
      <w:r w:rsidR="00DF789F" w:rsidRPr="003D6474">
        <w:rPr>
          <w:lang w:val="en-GB"/>
        </w:rPr>
        <w:t xml:space="preserve">shows </w:t>
      </w:r>
      <w:r w:rsidRPr="003D6474">
        <w:rPr>
          <w:lang w:val="en-GB"/>
        </w:rPr>
        <w:t xml:space="preserve">that response bias </w:t>
      </w:r>
      <w:r w:rsidR="00147627" w:rsidRPr="003D6474">
        <w:rPr>
          <w:lang w:val="en-GB"/>
        </w:rPr>
        <w:t xml:space="preserve">was </w:t>
      </w:r>
      <w:r w:rsidRPr="003D6474">
        <w:rPr>
          <w:lang w:val="en-GB"/>
        </w:rPr>
        <w:t xml:space="preserve">not a major problem </w:t>
      </w:r>
      <w:r w:rsidR="00147627" w:rsidRPr="003D6474">
        <w:rPr>
          <w:lang w:val="en-GB"/>
        </w:rPr>
        <w:t xml:space="preserve">in this case </w:t>
      </w:r>
      <w:r w:rsidRPr="003D6474">
        <w:rPr>
          <w:lang w:val="en-GB"/>
        </w:rPr>
        <w:t xml:space="preserve">(Armstrong </w:t>
      </w:r>
      <w:r w:rsidR="00453374" w:rsidRPr="003D6474">
        <w:rPr>
          <w:lang w:val="en-GB"/>
        </w:rPr>
        <w:t>&amp;</w:t>
      </w:r>
      <w:r w:rsidRPr="003D6474">
        <w:rPr>
          <w:lang w:val="en-GB"/>
        </w:rPr>
        <w:t xml:space="preserve"> Overton, 1977).</w:t>
      </w:r>
    </w:p>
    <w:p w:rsidR="000F1A7E" w:rsidRPr="003D6474" w:rsidRDefault="000F1A7E" w:rsidP="003B10E7">
      <w:pPr>
        <w:pStyle w:val="BodyText"/>
        <w:rPr>
          <w:lang w:val="en-GB" w:eastAsia="en-US"/>
        </w:rPr>
      </w:pPr>
    </w:p>
    <w:p w:rsidR="00F343FA" w:rsidRPr="003D6474" w:rsidRDefault="00F343FA" w:rsidP="003B10E7">
      <w:pPr>
        <w:jc w:val="both"/>
        <w:rPr>
          <w:b/>
          <w:lang w:val="en-GB"/>
        </w:rPr>
      </w:pPr>
      <w:r w:rsidRPr="003D6474">
        <w:rPr>
          <w:b/>
          <w:lang w:val="en-GB"/>
        </w:rPr>
        <w:t>3.2. Measures</w:t>
      </w:r>
    </w:p>
    <w:p w:rsidR="009B02D6" w:rsidRPr="003D6474" w:rsidRDefault="009B02D6" w:rsidP="003B10E7">
      <w:pPr>
        <w:pStyle w:val="BodyText"/>
        <w:ind w:firstLine="540"/>
        <w:rPr>
          <w:lang w:val="en-GB"/>
        </w:rPr>
      </w:pPr>
    </w:p>
    <w:p w:rsidR="00F343FA" w:rsidRPr="003D6474" w:rsidRDefault="00F343FA" w:rsidP="003B10E7">
      <w:pPr>
        <w:jc w:val="both"/>
        <w:rPr>
          <w:lang w:val="en-GB"/>
        </w:rPr>
      </w:pPr>
      <w:r w:rsidRPr="003D6474">
        <w:rPr>
          <w:lang w:val="en-GB"/>
        </w:rPr>
        <w:t xml:space="preserve">The initial measures relating to the existence of </w:t>
      </w:r>
      <w:r w:rsidR="006B327E" w:rsidRPr="003D6474">
        <w:rPr>
          <w:lang w:val="en-GB"/>
        </w:rPr>
        <w:t xml:space="preserve">knowledge structures </w:t>
      </w:r>
      <w:r w:rsidRPr="003D6474">
        <w:rPr>
          <w:lang w:val="en-GB"/>
        </w:rPr>
        <w:t xml:space="preserve">scales consisted of </w:t>
      </w:r>
      <w:r w:rsidR="006B327E" w:rsidRPr="003D6474">
        <w:rPr>
          <w:lang w:val="en-GB"/>
        </w:rPr>
        <w:t>9</w:t>
      </w:r>
      <w:r w:rsidRPr="003D6474">
        <w:rPr>
          <w:lang w:val="en-GB"/>
        </w:rPr>
        <w:t xml:space="preserve"> items</w:t>
      </w:r>
      <w:r w:rsidR="002E18CD" w:rsidRPr="003D6474">
        <w:rPr>
          <w:lang w:val="en-GB"/>
        </w:rPr>
        <w:t>,</w:t>
      </w:r>
      <w:r w:rsidRPr="003D6474">
        <w:rPr>
          <w:lang w:val="en-GB"/>
        </w:rPr>
        <w:t xml:space="preserve"> </w:t>
      </w:r>
      <w:r w:rsidR="006B327E" w:rsidRPr="003D6474">
        <w:rPr>
          <w:lang w:val="en-GB"/>
        </w:rPr>
        <w:t xml:space="preserve">three </w:t>
      </w:r>
      <w:r w:rsidRPr="003D6474">
        <w:rPr>
          <w:lang w:val="en-GB"/>
        </w:rPr>
        <w:t xml:space="preserve">for each of the three </w:t>
      </w:r>
      <w:r w:rsidR="006B327E" w:rsidRPr="003D6474">
        <w:rPr>
          <w:lang w:val="en-GB"/>
        </w:rPr>
        <w:t>knowledge structures</w:t>
      </w:r>
      <w:r w:rsidR="00C66B26" w:rsidRPr="003D6474">
        <w:rPr>
          <w:lang w:val="en-GB"/>
        </w:rPr>
        <w:t xml:space="preserve"> being studied</w:t>
      </w:r>
      <w:r w:rsidR="002E18CD" w:rsidRPr="003D6474">
        <w:rPr>
          <w:lang w:val="en-GB"/>
        </w:rPr>
        <w:t xml:space="preserve">. </w:t>
      </w:r>
      <w:r w:rsidR="00C66B26" w:rsidRPr="003D6474">
        <w:rPr>
          <w:lang w:val="en-GB"/>
        </w:rPr>
        <w:t xml:space="preserve">These were </w:t>
      </w:r>
      <w:r w:rsidRPr="003D6474">
        <w:rPr>
          <w:lang w:val="en-GB"/>
        </w:rPr>
        <w:t xml:space="preserve">adapted from a scale designed by Dewhurst and Cegarra (2004) to measure the constructs of </w:t>
      </w:r>
      <w:r w:rsidR="00FF5DA8" w:rsidRPr="003D6474">
        <w:rPr>
          <w:lang w:val="en-GB"/>
        </w:rPr>
        <w:t xml:space="preserve">organisational </w:t>
      </w:r>
      <w:r w:rsidRPr="003D6474">
        <w:rPr>
          <w:lang w:val="en-GB"/>
        </w:rPr>
        <w:t xml:space="preserve">learning and external communities. According to </w:t>
      </w:r>
      <w:r w:rsidR="0083380A" w:rsidRPr="003D6474">
        <w:rPr>
          <w:lang w:val="en-GB"/>
        </w:rPr>
        <w:t>Dewhurst and Cegarra (2004)</w:t>
      </w:r>
      <w:r w:rsidRPr="003D6474">
        <w:rPr>
          <w:lang w:val="en-GB"/>
        </w:rPr>
        <w:t>, items that tapped the ‘external communities’ were interwoven with issues related to encourag</w:t>
      </w:r>
      <w:r w:rsidR="00747E0F" w:rsidRPr="003D6474">
        <w:rPr>
          <w:lang w:val="en-GB"/>
        </w:rPr>
        <w:t>ing</w:t>
      </w:r>
      <w:r w:rsidRPr="003D6474">
        <w:rPr>
          <w:lang w:val="en-GB"/>
        </w:rPr>
        <w:t xml:space="preserve"> individuals in the </w:t>
      </w:r>
      <w:r w:rsidR="00747E0F" w:rsidRPr="003D6474">
        <w:rPr>
          <w:lang w:val="en-GB"/>
        </w:rPr>
        <w:t xml:space="preserve">organisation </w:t>
      </w:r>
      <w:r w:rsidRPr="003D6474">
        <w:rPr>
          <w:lang w:val="en-GB"/>
        </w:rPr>
        <w:t xml:space="preserve">to track changing markets and share market intelligence with customers. </w:t>
      </w:r>
      <w:r w:rsidR="006B327E" w:rsidRPr="003D6474">
        <w:rPr>
          <w:lang w:val="en-GB"/>
        </w:rPr>
        <w:t>‘</w:t>
      </w:r>
      <w:r w:rsidR="000A6D2A" w:rsidRPr="003D6474">
        <w:rPr>
          <w:lang w:val="en-GB"/>
        </w:rPr>
        <w:t xml:space="preserve">Organisational </w:t>
      </w:r>
      <w:r w:rsidRPr="003D6474">
        <w:rPr>
          <w:lang w:val="en-GB"/>
        </w:rPr>
        <w:t xml:space="preserve">context’ items </w:t>
      </w:r>
      <w:r w:rsidR="007B7C0D" w:rsidRPr="003D6474">
        <w:rPr>
          <w:lang w:val="en-GB"/>
        </w:rPr>
        <w:t xml:space="preserve">acknowledge </w:t>
      </w:r>
      <w:r w:rsidRPr="003D6474">
        <w:rPr>
          <w:lang w:val="en-GB"/>
        </w:rPr>
        <w:t xml:space="preserve">support </w:t>
      </w:r>
      <w:r w:rsidR="007B7C0D" w:rsidRPr="003D6474">
        <w:rPr>
          <w:lang w:val="en-GB"/>
        </w:rPr>
        <w:t xml:space="preserve">from </w:t>
      </w:r>
      <w:r w:rsidRPr="003D6474">
        <w:rPr>
          <w:lang w:val="en-GB"/>
        </w:rPr>
        <w:t>policies, rules and reporting structures which encourage the dissemination of experiences between individuals (e.g. formal meetings, inter-functional communication, circulation of documents, and reports). ‘Working communities’ focuses on the generation of new insights, taking actions that are experimental in nature, breaking out of traditional mindsets to see things in new and different ways</w:t>
      </w:r>
      <w:r w:rsidR="008937D1" w:rsidRPr="003D6474">
        <w:rPr>
          <w:lang w:val="en-GB"/>
        </w:rPr>
        <w:t>,</w:t>
      </w:r>
      <w:r w:rsidRPr="003D6474">
        <w:rPr>
          <w:lang w:val="en-GB"/>
        </w:rPr>
        <w:t xml:space="preserve"> and developing the competencies for doing one’s job. The items had 7-point scales ranging from 1 (high disagreement) to 7 (high agreement).</w:t>
      </w:r>
    </w:p>
    <w:p w:rsidR="009B02D6" w:rsidRPr="003D6474" w:rsidRDefault="009B02D6" w:rsidP="003B10E7">
      <w:pPr>
        <w:pStyle w:val="BodyText"/>
        <w:rPr>
          <w:lang w:val="en-GB"/>
        </w:rPr>
      </w:pPr>
    </w:p>
    <w:p w:rsidR="009B02D6" w:rsidRPr="003D6474" w:rsidRDefault="00F343FA" w:rsidP="003B10E7">
      <w:pPr>
        <w:pStyle w:val="BodyText"/>
        <w:rPr>
          <w:lang w:val="en-GB"/>
        </w:rPr>
      </w:pPr>
      <w:r w:rsidRPr="003D6474">
        <w:rPr>
          <w:lang w:val="en-GB"/>
        </w:rPr>
        <w:t xml:space="preserve">The information about </w:t>
      </w:r>
      <w:r w:rsidR="00B17DD1" w:rsidRPr="003D6474">
        <w:rPr>
          <w:lang w:val="en-GB"/>
        </w:rPr>
        <w:t xml:space="preserve">online government services </w:t>
      </w:r>
      <w:r w:rsidR="00AD2E65" w:rsidRPr="003D6474">
        <w:rPr>
          <w:lang w:val="en-GB"/>
        </w:rPr>
        <w:t xml:space="preserve">in </w:t>
      </w:r>
      <w:r w:rsidRPr="003D6474">
        <w:rPr>
          <w:lang w:val="en-GB"/>
        </w:rPr>
        <w:t xml:space="preserve">use by </w:t>
      </w:r>
      <w:r w:rsidR="00357622" w:rsidRPr="003D6474">
        <w:rPr>
          <w:lang w:val="en-GB"/>
        </w:rPr>
        <w:t xml:space="preserve">every </w:t>
      </w:r>
      <w:r w:rsidR="009B02D6" w:rsidRPr="003D6474">
        <w:rPr>
          <w:lang w:val="en-GB"/>
        </w:rPr>
        <w:t xml:space="preserve">hotel </w:t>
      </w:r>
      <w:r w:rsidRPr="003D6474">
        <w:rPr>
          <w:lang w:val="en-GB"/>
        </w:rPr>
        <w:t xml:space="preserve">was collected </w:t>
      </w:r>
      <w:r w:rsidR="004D1777" w:rsidRPr="003D6474">
        <w:rPr>
          <w:lang w:val="en-GB"/>
        </w:rPr>
        <w:t xml:space="preserve">by </w:t>
      </w:r>
      <w:r w:rsidRPr="003D6474">
        <w:rPr>
          <w:lang w:val="en-GB"/>
        </w:rPr>
        <w:t xml:space="preserve">using a structured questionnaire. Respondents were asked to indicate whether the business had ever visited any public service websites (1 - no, 2 - yes) and if yes, had they used the </w:t>
      </w:r>
      <w:r w:rsidR="00687F99" w:rsidRPr="003D6474">
        <w:rPr>
          <w:lang w:val="en-GB"/>
        </w:rPr>
        <w:t xml:space="preserve">Internet </w:t>
      </w:r>
      <w:r w:rsidRPr="003D6474">
        <w:rPr>
          <w:lang w:val="en-GB"/>
        </w:rPr>
        <w:t xml:space="preserve">to communicate with the public service </w:t>
      </w:r>
      <w:r w:rsidR="007502DB" w:rsidRPr="003D6474">
        <w:rPr>
          <w:lang w:val="en-GB"/>
        </w:rPr>
        <w:t xml:space="preserve">websites </w:t>
      </w:r>
      <w:r w:rsidRPr="003D6474">
        <w:rPr>
          <w:lang w:val="en-GB"/>
        </w:rPr>
        <w:t>(3 - yes) and had they completed any online forms or transactions with</w:t>
      </w:r>
      <w:r w:rsidR="005F1F49" w:rsidRPr="003D6474">
        <w:rPr>
          <w:lang w:val="en-GB"/>
        </w:rPr>
        <w:t>in</w:t>
      </w:r>
      <w:r w:rsidRPr="003D6474">
        <w:rPr>
          <w:lang w:val="en-GB"/>
        </w:rPr>
        <w:t xml:space="preserve"> </w:t>
      </w:r>
      <w:r w:rsidR="005F1F49" w:rsidRPr="003D6474">
        <w:rPr>
          <w:lang w:val="en-GB"/>
        </w:rPr>
        <w:t xml:space="preserve">any of </w:t>
      </w:r>
      <w:r w:rsidRPr="003D6474">
        <w:rPr>
          <w:lang w:val="en-GB"/>
        </w:rPr>
        <w:t xml:space="preserve">the public service </w:t>
      </w:r>
      <w:r w:rsidR="005F1F49" w:rsidRPr="003D6474">
        <w:rPr>
          <w:lang w:val="en-GB"/>
        </w:rPr>
        <w:t xml:space="preserve">websites </w:t>
      </w:r>
      <w:r w:rsidRPr="003D6474">
        <w:rPr>
          <w:lang w:val="en-GB"/>
        </w:rPr>
        <w:t xml:space="preserve">(4 - yes). The category measures of </w:t>
      </w:r>
      <w:r w:rsidR="00B17DD1" w:rsidRPr="003D6474">
        <w:rPr>
          <w:lang w:val="en-GB"/>
        </w:rPr>
        <w:t xml:space="preserve">online government services </w:t>
      </w:r>
      <w:r w:rsidRPr="003D6474">
        <w:rPr>
          <w:lang w:val="en-GB"/>
        </w:rPr>
        <w:t xml:space="preserve">were then transformed into a new variable with a minimum value of one and a maximum value of four to facilitate comparison. </w:t>
      </w:r>
    </w:p>
    <w:p w:rsidR="006B327E" w:rsidRPr="003D6474" w:rsidRDefault="006B327E" w:rsidP="003B10E7">
      <w:pPr>
        <w:pStyle w:val="BodyText"/>
        <w:rPr>
          <w:lang w:val="en-GB" w:eastAsia="en-US"/>
        </w:rPr>
      </w:pPr>
    </w:p>
    <w:p w:rsidR="00F343FA" w:rsidRPr="003D6474" w:rsidRDefault="00F343FA" w:rsidP="003B10E7">
      <w:pPr>
        <w:pStyle w:val="BodyText"/>
        <w:rPr>
          <w:lang w:val="en-GB"/>
        </w:rPr>
      </w:pPr>
      <w:r w:rsidRPr="003D6474">
        <w:rPr>
          <w:lang w:val="en-GB" w:eastAsia="en-US"/>
        </w:rPr>
        <w:t xml:space="preserve">The initial measures relating to the existence of an </w:t>
      </w:r>
      <w:r w:rsidR="00E562FC" w:rsidRPr="003D6474">
        <w:rPr>
          <w:lang w:val="en-GB" w:eastAsia="en-US"/>
        </w:rPr>
        <w:t xml:space="preserve">organisational </w:t>
      </w:r>
      <w:r w:rsidRPr="003D6474">
        <w:rPr>
          <w:lang w:val="en-GB" w:eastAsia="en-US"/>
        </w:rPr>
        <w:t>performance scale consisted of 3 items. Several measures of business performance have appeared in the literature and we adopt the growth</w:t>
      </w:r>
      <w:r w:rsidR="00E562FC" w:rsidRPr="003D6474">
        <w:rPr>
          <w:lang w:val="en-GB" w:eastAsia="en-US"/>
        </w:rPr>
        <w:t>-</w:t>
      </w:r>
      <w:r w:rsidRPr="003D6474">
        <w:rPr>
          <w:lang w:val="en-GB" w:eastAsia="en-US"/>
        </w:rPr>
        <w:t xml:space="preserve">based measures proposed by McDougall </w:t>
      </w:r>
      <w:r w:rsidRPr="003D6474">
        <w:rPr>
          <w:i/>
          <w:lang w:val="en-GB" w:eastAsia="en-US"/>
        </w:rPr>
        <w:t>et al</w:t>
      </w:r>
      <w:r w:rsidRPr="003D6474">
        <w:rPr>
          <w:lang w:val="en-GB" w:eastAsia="en-US"/>
        </w:rPr>
        <w:t xml:space="preserve">. (1994), Roth and Ricks (1994), and Bontis </w:t>
      </w:r>
      <w:r w:rsidRPr="003D6474">
        <w:rPr>
          <w:i/>
          <w:lang w:val="en-GB" w:eastAsia="en-US"/>
        </w:rPr>
        <w:t>et al</w:t>
      </w:r>
      <w:r w:rsidRPr="003D6474">
        <w:rPr>
          <w:lang w:val="en-GB" w:eastAsia="en-US"/>
        </w:rPr>
        <w:t xml:space="preserve">. (2000) for sales, profits and profitability on total assets. </w:t>
      </w:r>
      <w:r w:rsidRPr="003D6474">
        <w:rPr>
          <w:lang w:val="en-GB"/>
        </w:rPr>
        <w:t xml:space="preserve">Finally, the continuous measures of business performance in Table 3 (items Y2-Y4) were collected using data from the </w:t>
      </w:r>
      <w:r w:rsidR="00E562FC" w:rsidRPr="003D6474">
        <w:rPr>
          <w:lang w:val="en-GB"/>
        </w:rPr>
        <w:t xml:space="preserve">Iberian Balance Sheets Analysis System </w:t>
      </w:r>
      <w:r w:rsidRPr="003D6474">
        <w:rPr>
          <w:lang w:val="en-GB"/>
        </w:rPr>
        <w:t xml:space="preserve">database. </w:t>
      </w:r>
    </w:p>
    <w:p w:rsidR="009B02D6" w:rsidRPr="003D6474" w:rsidRDefault="009B02D6" w:rsidP="003B10E7">
      <w:pPr>
        <w:pStyle w:val="BodyText"/>
        <w:rPr>
          <w:lang w:val="en-GB" w:eastAsia="en-US"/>
        </w:rPr>
      </w:pPr>
    </w:p>
    <w:p w:rsidR="00F343FA" w:rsidRPr="003D6474" w:rsidRDefault="00F343FA" w:rsidP="003B10E7">
      <w:pPr>
        <w:pStyle w:val="Normal1"/>
        <w:spacing w:after="0" w:line="240" w:lineRule="auto"/>
        <w:rPr>
          <w:rFonts w:ascii="Times New Roman" w:hAnsi="Times New Roman"/>
          <w:b/>
          <w:bCs/>
          <w:szCs w:val="24"/>
          <w:lang w:val="en-GB"/>
        </w:rPr>
      </w:pPr>
      <w:r w:rsidRPr="003D6474">
        <w:rPr>
          <w:rFonts w:ascii="Times New Roman" w:hAnsi="Times New Roman"/>
          <w:b/>
          <w:bCs/>
          <w:szCs w:val="24"/>
          <w:lang w:val="en-GB"/>
        </w:rPr>
        <w:t>3.3. Assessment of the measures</w:t>
      </w:r>
    </w:p>
    <w:p w:rsidR="009B02D6" w:rsidRPr="003D6474" w:rsidRDefault="009B02D6" w:rsidP="003B10E7">
      <w:pPr>
        <w:ind w:firstLine="540"/>
        <w:jc w:val="both"/>
        <w:rPr>
          <w:lang w:val="en-GB"/>
        </w:rPr>
      </w:pPr>
    </w:p>
    <w:p w:rsidR="00A8343F" w:rsidRPr="003D6474" w:rsidRDefault="00F343FA" w:rsidP="003B10E7">
      <w:pPr>
        <w:pStyle w:val="BodyText"/>
      </w:pPr>
      <w:r w:rsidRPr="003D6474">
        <w:rPr>
          <w:lang w:val="en-GB"/>
        </w:rPr>
        <w:t xml:space="preserve">The items of the proposed model were evaluated </w:t>
      </w:r>
      <w:r w:rsidR="0098416A" w:rsidRPr="003D6474">
        <w:rPr>
          <w:lang w:val="en-GB"/>
        </w:rPr>
        <w:t xml:space="preserve">by using </w:t>
      </w:r>
      <w:r w:rsidRPr="003D6474">
        <w:rPr>
          <w:lang w:val="en-GB"/>
        </w:rPr>
        <w:t xml:space="preserve">exploratory techniques to assess the reliability and dimensionality of the measures. </w:t>
      </w:r>
      <w:r w:rsidR="00186087" w:rsidRPr="003D6474">
        <w:rPr>
          <w:lang w:val="en-GB"/>
        </w:rPr>
        <w:t xml:space="preserve">At </w:t>
      </w:r>
      <w:r w:rsidRPr="003D6474">
        <w:rPr>
          <w:lang w:val="en-GB"/>
        </w:rPr>
        <w:t xml:space="preserve">a first stage, each construct was assessed using the item-to-total correlation, Cronbach’s alpha and exploratory factor analysis. In order to get a more robust evaluation of the quality of the measures, a confirmatory analysis was achieved using the correlation matrix as input via LISREL 8.50 (Jöreskog </w:t>
      </w:r>
      <w:r w:rsidR="00453374" w:rsidRPr="003D6474">
        <w:rPr>
          <w:lang w:val="en-GB"/>
        </w:rPr>
        <w:t>&amp;</w:t>
      </w:r>
      <w:r w:rsidRPr="003D6474">
        <w:rPr>
          <w:lang w:val="en-GB"/>
        </w:rPr>
        <w:t xml:space="preserve"> Sörbom, 2001) maximum likelihood method. </w:t>
      </w:r>
      <w:r w:rsidR="00A8343F" w:rsidRPr="003D6474">
        <w:t xml:space="preserve">Furthermore, fit indices that are less sensitive to non-normal </w:t>
      </w:r>
      <w:r w:rsidR="00A8343F" w:rsidRPr="003D6474">
        <w:lastRenderedPageBreak/>
        <w:t>data (Satorra-Bentler χ</w:t>
      </w:r>
      <w:r w:rsidR="00A8343F" w:rsidRPr="003D6474">
        <w:rPr>
          <w:vertAlign w:val="superscript"/>
        </w:rPr>
        <w:t>2</w:t>
      </w:r>
      <w:r w:rsidR="00A8343F" w:rsidRPr="003D6474">
        <w:t xml:space="preserve">, comparative fit index and incremental-fit Index) were used to interpret the model fit. </w:t>
      </w:r>
    </w:p>
    <w:p w:rsidR="00A8343F" w:rsidRPr="003D6474" w:rsidRDefault="00A8343F" w:rsidP="003B10E7">
      <w:pPr>
        <w:pStyle w:val="BodyText"/>
      </w:pPr>
    </w:p>
    <w:p w:rsidR="00F343FA" w:rsidRPr="003D6474" w:rsidRDefault="00F343FA" w:rsidP="003B10E7">
      <w:pPr>
        <w:pStyle w:val="BodyText"/>
        <w:rPr>
          <w:lang w:val="en-GB" w:eastAsia="en-US"/>
        </w:rPr>
      </w:pPr>
      <w:r w:rsidRPr="003D6474">
        <w:rPr>
          <w:lang w:val="en-GB"/>
        </w:rPr>
        <w:t xml:space="preserve">Table 1 </w:t>
      </w:r>
      <w:r w:rsidR="00DD2BFF" w:rsidRPr="003D6474">
        <w:rPr>
          <w:lang w:val="en-GB"/>
        </w:rPr>
        <w:t xml:space="preserve">summarises </w:t>
      </w:r>
      <w:r w:rsidRPr="003D6474">
        <w:rPr>
          <w:lang w:val="en-GB"/>
        </w:rPr>
        <w:t xml:space="preserve">the results of the confirmatory factor analysis. The fit statistics for the resulting 13 items were: </w:t>
      </w:r>
      <w:r w:rsidR="00A8343F" w:rsidRPr="003D6474">
        <w:rPr>
          <w:bCs/>
        </w:rPr>
        <w:t>Satorra-Bentler χ</w:t>
      </w:r>
      <w:r w:rsidR="00A8343F" w:rsidRPr="003D6474">
        <w:rPr>
          <w:bCs/>
          <w:vertAlign w:val="superscript"/>
        </w:rPr>
        <w:t>2</w:t>
      </w:r>
      <w:r w:rsidR="00A8343F" w:rsidRPr="003D6474">
        <w:rPr>
          <w:bCs/>
          <w:vertAlign w:val="subscript"/>
        </w:rPr>
        <w:t>(55)</w:t>
      </w:r>
      <w:r w:rsidR="00A8343F" w:rsidRPr="003D6474">
        <w:rPr>
          <w:bCs/>
        </w:rPr>
        <w:t>=57.99</w:t>
      </w:r>
      <w:r w:rsidRPr="003D6474">
        <w:rPr>
          <w:lang w:val="en-GB"/>
        </w:rPr>
        <w:t>; goodness-of-fit Index [GFI]=</w:t>
      </w:r>
      <w:r w:rsidR="00A8343F" w:rsidRPr="003D6474">
        <w:rPr>
          <w:bCs/>
        </w:rPr>
        <w:t xml:space="preserve"> 0.93</w:t>
      </w:r>
      <w:r w:rsidRPr="003D6474">
        <w:rPr>
          <w:lang w:val="en-GB"/>
        </w:rPr>
        <w:t>; comparative fit index [CFI]=</w:t>
      </w:r>
      <w:r w:rsidR="00A8343F" w:rsidRPr="003D6474">
        <w:rPr>
          <w:bCs/>
        </w:rPr>
        <w:t xml:space="preserve"> 0.98</w:t>
      </w:r>
      <w:r w:rsidRPr="003D6474">
        <w:rPr>
          <w:lang w:val="en-GB"/>
        </w:rPr>
        <w:t>; incremental-fit Index [IFI]=</w:t>
      </w:r>
      <w:r w:rsidR="00A8343F" w:rsidRPr="003D6474">
        <w:rPr>
          <w:bCs/>
        </w:rPr>
        <w:t xml:space="preserve"> 0.98</w:t>
      </w:r>
      <w:r w:rsidRPr="003D6474">
        <w:rPr>
          <w:lang w:val="en-GB"/>
        </w:rPr>
        <w:t>; root mean square error of approximation [RMSEA]=</w:t>
      </w:r>
      <w:r w:rsidR="00A8343F" w:rsidRPr="003D6474">
        <w:rPr>
          <w:bCs/>
        </w:rPr>
        <w:t xml:space="preserve"> 0.029</w:t>
      </w:r>
      <w:r w:rsidRPr="003D6474">
        <w:rPr>
          <w:lang w:val="en-GB"/>
        </w:rPr>
        <w:t xml:space="preserve">. The fit index of RMSEA is below 0.08, and indices of GFI, CFI and IFI are above the common standard of 0.9 (Hair </w:t>
      </w:r>
      <w:r w:rsidRPr="003D6474">
        <w:rPr>
          <w:i/>
          <w:lang w:val="en-GB"/>
        </w:rPr>
        <w:t>et al</w:t>
      </w:r>
      <w:r w:rsidRPr="003D6474">
        <w:rPr>
          <w:lang w:val="en-GB"/>
        </w:rPr>
        <w:t xml:space="preserve">., 1998). Although a significant chi-square value indicates that the model is an inadequate fit, the sensitivity of this test to sample size </w:t>
      </w:r>
      <w:r w:rsidR="004A6432" w:rsidRPr="003D6474">
        <w:rPr>
          <w:lang w:val="en-GB"/>
        </w:rPr>
        <w:t xml:space="preserve">refuses </w:t>
      </w:r>
      <w:r w:rsidRPr="003D6474">
        <w:rPr>
          <w:lang w:val="en-GB"/>
        </w:rPr>
        <w:t>this finding and makes rejection of the model on the basis of evidence alone inappropriate (Bagozzi, 1980). However, a ra</w:t>
      </w:r>
      <w:r w:rsidRPr="003D6474">
        <w:rPr>
          <w:lang w:val="en-GB" w:eastAsia="en-US"/>
        </w:rPr>
        <w:t>tio less than three (χ</w:t>
      </w:r>
      <w:r w:rsidRPr="003D6474">
        <w:rPr>
          <w:vertAlign w:val="superscript"/>
          <w:lang w:val="en-GB" w:eastAsia="en-US"/>
        </w:rPr>
        <w:t>2</w:t>
      </w:r>
      <w:r w:rsidRPr="003D6474">
        <w:rPr>
          <w:lang w:val="en-GB" w:eastAsia="en-US"/>
        </w:rPr>
        <w:t>/</w:t>
      </w:r>
      <w:r w:rsidRPr="003D6474">
        <w:rPr>
          <w:i/>
          <w:iCs/>
          <w:lang w:val="en-GB" w:eastAsia="en-US"/>
        </w:rPr>
        <w:t>df&lt;3</w:t>
      </w:r>
      <w:r w:rsidRPr="003D6474">
        <w:rPr>
          <w:lang w:val="en-GB" w:eastAsia="en-US"/>
        </w:rPr>
        <w:t xml:space="preserve">) indicates a good fit for the </w:t>
      </w:r>
      <w:r w:rsidR="0042643F" w:rsidRPr="003D6474">
        <w:rPr>
          <w:lang w:val="en-GB" w:eastAsia="en-US"/>
        </w:rPr>
        <w:t xml:space="preserve">hypothesised </w:t>
      </w:r>
      <w:r w:rsidRPr="003D6474">
        <w:rPr>
          <w:lang w:val="en-GB" w:eastAsia="en-US"/>
        </w:rPr>
        <w:t xml:space="preserve">model (Carmines </w:t>
      </w:r>
      <w:r w:rsidR="00453374" w:rsidRPr="003D6474">
        <w:rPr>
          <w:lang w:val="en-GB" w:eastAsia="en-US"/>
        </w:rPr>
        <w:t>&amp;</w:t>
      </w:r>
      <w:r w:rsidRPr="003D6474">
        <w:rPr>
          <w:lang w:val="en-GB" w:eastAsia="en-US"/>
        </w:rPr>
        <w:t xml:space="preserve"> McIver, 1981).</w:t>
      </w:r>
    </w:p>
    <w:p w:rsidR="009B02D6" w:rsidRPr="003D6474" w:rsidRDefault="009B02D6" w:rsidP="003B10E7">
      <w:pPr>
        <w:jc w:val="both"/>
        <w:rPr>
          <w:lang w:val="en-GB" w:eastAsia="en-US"/>
        </w:rPr>
      </w:pPr>
    </w:p>
    <w:p w:rsidR="00F343FA" w:rsidRPr="003D6474" w:rsidRDefault="00F343FA" w:rsidP="003B10E7">
      <w:pPr>
        <w:jc w:val="both"/>
        <w:rPr>
          <w:lang w:val="en-GB"/>
        </w:rPr>
      </w:pPr>
      <w:r w:rsidRPr="003D6474">
        <w:rPr>
          <w:lang w:val="en-GB"/>
        </w:rPr>
        <w:t xml:space="preserve">The reliability of the measures </w:t>
      </w:r>
      <w:r w:rsidR="00441893" w:rsidRPr="003D6474">
        <w:rPr>
          <w:lang w:val="en-GB"/>
        </w:rPr>
        <w:t xml:space="preserve">was </w:t>
      </w:r>
      <w:r w:rsidRPr="003D6474">
        <w:rPr>
          <w:lang w:val="en-GB"/>
        </w:rPr>
        <w:t xml:space="preserve">calculated using Bagozzi and Yi´s (1998) composite reliability index and with Fornell and Larker´s (1981) average variance extracted index. For all the measures both indices are higher than the evaluation criteria of 0.7 for the composite reliability and 0.5 for the average variance extracted (Bagozzi </w:t>
      </w:r>
      <w:r w:rsidR="00453374" w:rsidRPr="003D6474">
        <w:rPr>
          <w:lang w:val="en-GB"/>
        </w:rPr>
        <w:t>&amp;</w:t>
      </w:r>
      <w:r w:rsidRPr="003D6474">
        <w:rPr>
          <w:lang w:val="en-GB"/>
        </w:rPr>
        <w:t xml:space="preserve"> Yi, 1988). Based on these results, </w:t>
      </w:r>
      <w:r w:rsidR="008A5320" w:rsidRPr="003D6474">
        <w:rPr>
          <w:lang w:val="en-GB"/>
        </w:rPr>
        <w:t xml:space="preserve">it is </w:t>
      </w:r>
      <w:r w:rsidRPr="003D6474">
        <w:rPr>
          <w:lang w:val="en-GB"/>
        </w:rPr>
        <w:t>conclude</w:t>
      </w:r>
      <w:r w:rsidR="008A5320" w:rsidRPr="003D6474">
        <w:rPr>
          <w:lang w:val="en-GB"/>
        </w:rPr>
        <w:t>d</w:t>
      </w:r>
      <w:r w:rsidRPr="003D6474">
        <w:rPr>
          <w:lang w:val="en-GB"/>
        </w:rPr>
        <w:t xml:space="preserve"> that the reliability and the convergent validity of </w:t>
      </w:r>
      <w:r w:rsidR="003E4B2D" w:rsidRPr="003D6474">
        <w:rPr>
          <w:lang w:val="en-GB"/>
        </w:rPr>
        <w:t xml:space="preserve">the selected </w:t>
      </w:r>
      <w:r w:rsidRPr="003D6474">
        <w:rPr>
          <w:lang w:val="en-GB"/>
        </w:rPr>
        <w:t>measurements are assured. These results suggest the use of three items to measure the business performance (</w:t>
      </w:r>
      <w:r w:rsidRPr="003D6474">
        <w:rPr>
          <w:i/>
          <w:iCs/>
          <w:lang w:val="en-GB"/>
        </w:rPr>
        <w:t>p</w:t>
      </w:r>
      <w:r w:rsidRPr="003D6474">
        <w:rPr>
          <w:i/>
          <w:iCs/>
          <w:vertAlign w:val="subscript"/>
          <w:lang w:val="en-GB"/>
        </w:rPr>
        <w:t>c</w:t>
      </w:r>
      <w:r w:rsidRPr="003D6474">
        <w:rPr>
          <w:i/>
          <w:iCs/>
          <w:vertAlign w:val="superscript"/>
          <w:lang w:val="en-GB"/>
        </w:rPr>
        <w:t>SCR</w:t>
      </w:r>
      <w:r w:rsidRPr="003D6474">
        <w:rPr>
          <w:lang w:val="en-GB"/>
        </w:rPr>
        <w:t xml:space="preserve">=0.815, </w:t>
      </w:r>
      <w:r w:rsidRPr="003D6474">
        <w:rPr>
          <w:i/>
          <w:iCs/>
          <w:lang w:val="en-GB"/>
        </w:rPr>
        <w:t>p</w:t>
      </w:r>
      <w:r w:rsidRPr="003D6474">
        <w:rPr>
          <w:i/>
          <w:iCs/>
          <w:vertAlign w:val="subscript"/>
          <w:lang w:val="en-GB"/>
        </w:rPr>
        <w:t>c</w:t>
      </w:r>
      <w:r w:rsidRPr="003D6474">
        <w:rPr>
          <w:i/>
          <w:iCs/>
          <w:vertAlign w:val="superscript"/>
          <w:lang w:val="en-GB"/>
        </w:rPr>
        <w:t>AVE</w:t>
      </w:r>
      <w:r w:rsidRPr="003D6474">
        <w:rPr>
          <w:lang w:val="en-GB"/>
        </w:rPr>
        <w:t xml:space="preserve">=0.601), three </w:t>
      </w:r>
      <w:r w:rsidR="003E4B2D" w:rsidRPr="003D6474">
        <w:rPr>
          <w:lang w:val="en-GB"/>
        </w:rPr>
        <w:t xml:space="preserve">items </w:t>
      </w:r>
      <w:r w:rsidRPr="003D6474">
        <w:rPr>
          <w:lang w:val="en-GB"/>
        </w:rPr>
        <w:t>to measure external communities (</w:t>
      </w:r>
      <w:r w:rsidRPr="003D6474">
        <w:rPr>
          <w:i/>
          <w:iCs/>
          <w:lang w:val="en-GB"/>
        </w:rPr>
        <w:t>p</w:t>
      </w:r>
      <w:r w:rsidRPr="003D6474">
        <w:rPr>
          <w:i/>
          <w:iCs/>
          <w:vertAlign w:val="subscript"/>
          <w:lang w:val="en-GB"/>
        </w:rPr>
        <w:t>c</w:t>
      </w:r>
      <w:r w:rsidRPr="003D6474">
        <w:rPr>
          <w:i/>
          <w:iCs/>
          <w:vertAlign w:val="superscript"/>
          <w:lang w:val="en-GB"/>
        </w:rPr>
        <w:t>SCR</w:t>
      </w:r>
      <w:r w:rsidRPr="003D6474">
        <w:rPr>
          <w:lang w:val="en-GB"/>
        </w:rPr>
        <w:t>=0.752,</w:t>
      </w:r>
      <w:r w:rsidRPr="003D6474">
        <w:rPr>
          <w:i/>
          <w:iCs/>
          <w:lang w:val="en-GB"/>
        </w:rPr>
        <w:t xml:space="preserve"> p</w:t>
      </w:r>
      <w:r w:rsidRPr="003D6474">
        <w:rPr>
          <w:i/>
          <w:iCs/>
          <w:vertAlign w:val="subscript"/>
          <w:lang w:val="en-GB"/>
        </w:rPr>
        <w:t>c</w:t>
      </w:r>
      <w:r w:rsidRPr="003D6474">
        <w:rPr>
          <w:i/>
          <w:iCs/>
          <w:vertAlign w:val="superscript"/>
          <w:lang w:val="en-GB"/>
        </w:rPr>
        <w:t>AVE</w:t>
      </w:r>
      <w:r w:rsidRPr="003D6474">
        <w:rPr>
          <w:lang w:val="en-GB"/>
        </w:rPr>
        <w:t xml:space="preserve">=0.505), three </w:t>
      </w:r>
      <w:r w:rsidR="00DA7D03" w:rsidRPr="003D6474">
        <w:rPr>
          <w:lang w:val="en-GB"/>
        </w:rPr>
        <w:t xml:space="preserve">items </w:t>
      </w:r>
      <w:r w:rsidRPr="003D6474">
        <w:rPr>
          <w:lang w:val="en-GB"/>
        </w:rPr>
        <w:t>to measure working communities (</w:t>
      </w:r>
      <w:r w:rsidRPr="003D6474">
        <w:rPr>
          <w:i/>
          <w:iCs/>
          <w:lang w:val="en-GB"/>
        </w:rPr>
        <w:t>p</w:t>
      </w:r>
      <w:r w:rsidRPr="003D6474">
        <w:rPr>
          <w:i/>
          <w:iCs/>
          <w:vertAlign w:val="subscript"/>
          <w:lang w:val="en-GB"/>
        </w:rPr>
        <w:t>c</w:t>
      </w:r>
      <w:r w:rsidRPr="003D6474">
        <w:rPr>
          <w:i/>
          <w:iCs/>
          <w:vertAlign w:val="superscript"/>
          <w:lang w:val="en-GB"/>
        </w:rPr>
        <w:t>SCR</w:t>
      </w:r>
      <w:r w:rsidRPr="003D6474">
        <w:rPr>
          <w:lang w:val="en-GB"/>
        </w:rPr>
        <w:t>=0.755,</w:t>
      </w:r>
      <w:r w:rsidRPr="003D6474">
        <w:rPr>
          <w:i/>
          <w:iCs/>
          <w:lang w:val="en-GB"/>
        </w:rPr>
        <w:t xml:space="preserve"> p</w:t>
      </w:r>
      <w:r w:rsidRPr="003D6474">
        <w:rPr>
          <w:i/>
          <w:iCs/>
          <w:vertAlign w:val="subscript"/>
          <w:lang w:val="en-GB"/>
        </w:rPr>
        <w:t>c</w:t>
      </w:r>
      <w:r w:rsidRPr="003D6474">
        <w:rPr>
          <w:i/>
          <w:iCs/>
          <w:vertAlign w:val="superscript"/>
          <w:lang w:val="en-GB"/>
        </w:rPr>
        <w:t>AVE</w:t>
      </w:r>
      <w:r w:rsidRPr="003D6474">
        <w:rPr>
          <w:lang w:val="en-GB"/>
        </w:rPr>
        <w:t xml:space="preserve">=0.516) and finally three </w:t>
      </w:r>
      <w:r w:rsidR="00DA7D03" w:rsidRPr="003D6474">
        <w:rPr>
          <w:lang w:val="en-GB"/>
        </w:rPr>
        <w:t xml:space="preserve">more items </w:t>
      </w:r>
      <w:r w:rsidRPr="003D6474">
        <w:rPr>
          <w:lang w:val="en-GB"/>
        </w:rPr>
        <w:t xml:space="preserve">to </w:t>
      </w:r>
      <w:r w:rsidR="00DA7D03" w:rsidRPr="003D6474">
        <w:rPr>
          <w:lang w:val="en-GB"/>
        </w:rPr>
        <w:t xml:space="preserve">measure </w:t>
      </w:r>
      <w:r w:rsidRPr="003D6474">
        <w:rPr>
          <w:lang w:val="en-GB"/>
        </w:rPr>
        <w:t xml:space="preserve">the </w:t>
      </w:r>
      <w:r w:rsidR="00DA7D03" w:rsidRPr="003D6474">
        <w:rPr>
          <w:lang w:val="en-GB"/>
        </w:rPr>
        <w:t xml:space="preserve">organisational </w:t>
      </w:r>
      <w:r w:rsidRPr="003D6474">
        <w:rPr>
          <w:lang w:val="en-GB"/>
        </w:rPr>
        <w:t>context (</w:t>
      </w:r>
      <w:r w:rsidRPr="003D6474">
        <w:rPr>
          <w:i/>
          <w:iCs/>
          <w:lang w:val="en-GB"/>
        </w:rPr>
        <w:t>p</w:t>
      </w:r>
      <w:r w:rsidRPr="003D6474">
        <w:rPr>
          <w:i/>
          <w:iCs/>
          <w:vertAlign w:val="subscript"/>
          <w:lang w:val="en-GB"/>
        </w:rPr>
        <w:t>c</w:t>
      </w:r>
      <w:r w:rsidRPr="003D6474">
        <w:rPr>
          <w:i/>
          <w:iCs/>
          <w:vertAlign w:val="superscript"/>
          <w:lang w:val="en-GB"/>
        </w:rPr>
        <w:t>SCR</w:t>
      </w:r>
      <w:r w:rsidRPr="003D6474">
        <w:rPr>
          <w:lang w:val="en-GB"/>
        </w:rPr>
        <w:t>=0.850,</w:t>
      </w:r>
      <w:r w:rsidRPr="003D6474">
        <w:rPr>
          <w:i/>
          <w:iCs/>
          <w:lang w:val="en-GB"/>
        </w:rPr>
        <w:t xml:space="preserve"> p</w:t>
      </w:r>
      <w:r w:rsidRPr="003D6474">
        <w:rPr>
          <w:i/>
          <w:iCs/>
          <w:vertAlign w:val="subscript"/>
          <w:lang w:val="en-GB"/>
        </w:rPr>
        <w:t>c</w:t>
      </w:r>
      <w:r w:rsidRPr="003D6474">
        <w:rPr>
          <w:i/>
          <w:iCs/>
          <w:vertAlign w:val="superscript"/>
          <w:lang w:val="en-GB"/>
        </w:rPr>
        <w:t>AVE</w:t>
      </w:r>
      <w:r w:rsidRPr="003D6474">
        <w:rPr>
          <w:lang w:val="en-GB"/>
        </w:rPr>
        <w:t xml:space="preserve">=0.658). </w:t>
      </w:r>
    </w:p>
    <w:p w:rsidR="009B02D6" w:rsidRPr="003D6474" w:rsidRDefault="009B02D6" w:rsidP="003B10E7">
      <w:pPr>
        <w:jc w:val="both"/>
        <w:rPr>
          <w:lang w:val="en-GB"/>
        </w:rPr>
      </w:pPr>
    </w:p>
    <w:tbl>
      <w:tblPr>
        <w:tblW w:w="0" w:type="auto"/>
        <w:jc w:val="center"/>
        <w:tblBorders>
          <w:top w:val="dashed" w:sz="4" w:space="0" w:color="auto"/>
          <w:bottom w:val="dashed" w:sz="4" w:space="0" w:color="auto"/>
        </w:tblBorders>
        <w:tblLayout w:type="fixed"/>
        <w:tblCellMar>
          <w:left w:w="70" w:type="dxa"/>
          <w:right w:w="70" w:type="dxa"/>
        </w:tblCellMar>
        <w:tblLook w:val="0000" w:firstRow="0" w:lastRow="0" w:firstColumn="0" w:lastColumn="0" w:noHBand="0" w:noVBand="0"/>
      </w:tblPr>
      <w:tblGrid>
        <w:gridCol w:w="3885"/>
      </w:tblGrid>
      <w:tr w:rsidR="00F343FA" w:rsidRPr="003D6474">
        <w:trPr>
          <w:jc w:val="center"/>
        </w:trPr>
        <w:tc>
          <w:tcPr>
            <w:tcW w:w="3885" w:type="dxa"/>
          </w:tcPr>
          <w:p w:rsidR="00F343FA" w:rsidRPr="003D6474" w:rsidRDefault="00F343FA" w:rsidP="003B10E7">
            <w:pPr>
              <w:pStyle w:val="Heading5"/>
              <w:jc w:val="center"/>
              <w:rPr>
                <w:b w:val="0"/>
                <w:color w:val="auto"/>
                <w:sz w:val="24"/>
                <w:szCs w:val="24"/>
                <w:lang w:val="en-GB"/>
              </w:rPr>
            </w:pPr>
            <w:r w:rsidRPr="003D6474">
              <w:rPr>
                <w:b w:val="0"/>
                <w:color w:val="auto"/>
                <w:sz w:val="24"/>
                <w:szCs w:val="24"/>
                <w:lang w:val="en-GB"/>
              </w:rPr>
              <w:t>Insert Table 1 about here</w:t>
            </w:r>
          </w:p>
        </w:tc>
      </w:tr>
    </w:tbl>
    <w:p w:rsidR="009B02D6" w:rsidRPr="003D6474" w:rsidRDefault="009B02D6" w:rsidP="003B10E7">
      <w:pPr>
        <w:pStyle w:val="Normal1"/>
        <w:spacing w:after="0" w:line="240" w:lineRule="auto"/>
        <w:rPr>
          <w:rFonts w:ascii="Times New Roman" w:hAnsi="Times New Roman"/>
          <w:szCs w:val="24"/>
          <w:lang w:val="en-GB"/>
        </w:rPr>
      </w:pPr>
    </w:p>
    <w:p w:rsidR="00F343FA" w:rsidRPr="003D6474" w:rsidRDefault="00F343FA" w:rsidP="003B10E7">
      <w:pPr>
        <w:pStyle w:val="Normal1"/>
        <w:spacing w:after="0" w:line="240" w:lineRule="auto"/>
        <w:rPr>
          <w:rFonts w:ascii="Times New Roman" w:hAnsi="Times New Roman"/>
          <w:szCs w:val="24"/>
          <w:lang w:val="en-GB"/>
        </w:rPr>
      </w:pPr>
      <w:r w:rsidRPr="003D6474">
        <w:rPr>
          <w:rFonts w:ascii="Times New Roman" w:hAnsi="Times New Roman"/>
          <w:szCs w:val="24"/>
          <w:lang w:val="en-GB"/>
        </w:rPr>
        <w:t xml:space="preserve">Discriminant validity was assessed by calculating the shared variance between pairs of constructs and </w:t>
      </w:r>
      <w:r w:rsidR="006A6363" w:rsidRPr="003D6474">
        <w:rPr>
          <w:rFonts w:ascii="Times New Roman" w:hAnsi="Times New Roman"/>
          <w:szCs w:val="24"/>
          <w:lang w:val="en-GB"/>
        </w:rPr>
        <w:t xml:space="preserve">then </w:t>
      </w:r>
      <w:r w:rsidRPr="003D6474">
        <w:rPr>
          <w:rFonts w:ascii="Times New Roman" w:hAnsi="Times New Roman"/>
          <w:szCs w:val="24"/>
          <w:lang w:val="en-GB"/>
        </w:rPr>
        <w:t xml:space="preserve">verifying that </w:t>
      </w:r>
      <w:r w:rsidR="006A6363" w:rsidRPr="003D6474">
        <w:rPr>
          <w:rFonts w:ascii="Times New Roman" w:hAnsi="Times New Roman"/>
          <w:szCs w:val="24"/>
          <w:lang w:val="en-GB"/>
        </w:rPr>
        <w:t xml:space="preserve">such variance </w:t>
      </w:r>
      <w:r w:rsidRPr="003D6474">
        <w:rPr>
          <w:rFonts w:ascii="Times New Roman" w:hAnsi="Times New Roman"/>
          <w:szCs w:val="24"/>
          <w:lang w:val="en-GB"/>
        </w:rPr>
        <w:t>was lower tha</w:t>
      </w:r>
      <w:r w:rsidR="00473031" w:rsidRPr="003D6474">
        <w:rPr>
          <w:rFonts w:ascii="Times New Roman" w:hAnsi="Times New Roman"/>
          <w:szCs w:val="24"/>
          <w:lang w:val="en-GB"/>
        </w:rPr>
        <w:t>n</w:t>
      </w:r>
      <w:r w:rsidRPr="003D6474">
        <w:rPr>
          <w:rFonts w:ascii="Times New Roman" w:hAnsi="Times New Roman"/>
          <w:szCs w:val="24"/>
          <w:lang w:val="en-GB"/>
        </w:rPr>
        <w:t xml:space="preserve"> the average variance extracted for the individual construct (Fornell </w:t>
      </w:r>
      <w:r w:rsidR="00453374" w:rsidRPr="003D6474">
        <w:rPr>
          <w:rFonts w:ascii="Times New Roman" w:hAnsi="Times New Roman"/>
          <w:szCs w:val="24"/>
          <w:lang w:val="en-GB"/>
        </w:rPr>
        <w:t>&amp;</w:t>
      </w:r>
      <w:r w:rsidRPr="003D6474">
        <w:rPr>
          <w:rFonts w:ascii="Times New Roman" w:hAnsi="Times New Roman"/>
          <w:szCs w:val="24"/>
          <w:lang w:val="en-GB"/>
        </w:rPr>
        <w:t xml:space="preserve"> Larcker, 1981). The shared variances between pairs of all possible scale combination indicated that the variances extracted were higher than the associated shared variances in all cases. In the interest of thoroughly discriminant validity, an additional test was examined</w:t>
      </w:r>
      <w:r w:rsidR="002801FC" w:rsidRPr="003D6474">
        <w:rPr>
          <w:rFonts w:ascii="Times New Roman" w:hAnsi="Times New Roman"/>
          <w:szCs w:val="24"/>
          <w:lang w:val="en-GB"/>
        </w:rPr>
        <w:t>. This</w:t>
      </w:r>
      <w:r w:rsidRPr="003D6474">
        <w:rPr>
          <w:rFonts w:ascii="Times New Roman" w:hAnsi="Times New Roman"/>
          <w:szCs w:val="24"/>
          <w:lang w:val="en-GB"/>
        </w:rPr>
        <w:t xml:space="preserve"> support</w:t>
      </w:r>
      <w:r w:rsidR="002801FC" w:rsidRPr="003D6474">
        <w:rPr>
          <w:rFonts w:ascii="Times New Roman" w:hAnsi="Times New Roman"/>
          <w:szCs w:val="24"/>
          <w:lang w:val="en-GB"/>
        </w:rPr>
        <w:t>ed</w:t>
      </w:r>
      <w:r w:rsidRPr="003D6474">
        <w:rPr>
          <w:rFonts w:ascii="Times New Roman" w:hAnsi="Times New Roman"/>
          <w:szCs w:val="24"/>
          <w:lang w:val="en-GB"/>
        </w:rPr>
        <w:t xml:space="preserve"> </w:t>
      </w:r>
      <w:r w:rsidR="002801FC" w:rsidRPr="003D6474">
        <w:rPr>
          <w:rFonts w:ascii="Times New Roman" w:hAnsi="Times New Roman"/>
          <w:szCs w:val="24"/>
          <w:lang w:val="en-GB"/>
        </w:rPr>
        <w:t xml:space="preserve">the </w:t>
      </w:r>
      <w:r w:rsidRPr="003D6474">
        <w:rPr>
          <w:rFonts w:ascii="Times New Roman" w:hAnsi="Times New Roman"/>
          <w:szCs w:val="24"/>
          <w:lang w:val="en-GB"/>
        </w:rPr>
        <w:t xml:space="preserve">assumption since the confidence interval (± 2 standard errors) around the correlation estimated between any two latent indicators never includes 1.0 (Anderson </w:t>
      </w:r>
      <w:r w:rsidR="00453374" w:rsidRPr="003D6474">
        <w:rPr>
          <w:rFonts w:ascii="Times New Roman" w:hAnsi="Times New Roman"/>
          <w:szCs w:val="24"/>
          <w:lang w:val="en-GB"/>
        </w:rPr>
        <w:t>&amp;</w:t>
      </w:r>
      <w:r w:rsidRPr="003D6474">
        <w:rPr>
          <w:rFonts w:ascii="Times New Roman" w:hAnsi="Times New Roman"/>
          <w:szCs w:val="24"/>
          <w:lang w:val="en-GB"/>
        </w:rPr>
        <w:t xml:space="preserve"> Gerbing, 1988). The constructs correlation matrix, shared variances, means and standard deviations are showed in Table 2.</w:t>
      </w:r>
    </w:p>
    <w:p w:rsidR="009B02D6" w:rsidRPr="003D6474" w:rsidRDefault="009B02D6" w:rsidP="003B10E7">
      <w:pPr>
        <w:pStyle w:val="Normal1"/>
        <w:spacing w:after="0" w:line="240" w:lineRule="auto"/>
        <w:rPr>
          <w:rFonts w:ascii="Times New Roman" w:eastAsia="SimSun" w:hAnsi="Times New Roman"/>
          <w:szCs w:val="24"/>
          <w:lang w:val="en-GB" w:eastAsia="zh-CN"/>
        </w:rPr>
      </w:pPr>
    </w:p>
    <w:tbl>
      <w:tblPr>
        <w:tblW w:w="0" w:type="auto"/>
        <w:jc w:val="center"/>
        <w:tblBorders>
          <w:top w:val="dashed" w:sz="4" w:space="0" w:color="auto"/>
          <w:bottom w:val="dashed" w:sz="4" w:space="0" w:color="auto"/>
        </w:tblBorders>
        <w:tblLayout w:type="fixed"/>
        <w:tblCellMar>
          <w:left w:w="70" w:type="dxa"/>
          <w:right w:w="70" w:type="dxa"/>
        </w:tblCellMar>
        <w:tblLook w:val="0000" w:firstRow="0" w:lastRow="0" w:firstColumn="0" w:lastColumn="0" w:noHBand="0" w:noVBand="0"/>
      </w:tblPr>
      <w:tblGrid>
        <w:gridCol w:w="3885"/>
      </w:tblGrid>
      <w:tr w:rsidR="00F343FA" w:rsidRPr="003D6474">
        <w:trPr>
          <w:jc w:val="center"/>
        </w:trPr>
        <w:tc>
          <w:tcPr>
            <w:tcW w:w="3885" w:type="dxa"/>
          </w:tcPr>
          <w:p w:rsidR="00F343FA" w:rsidRPr="003D6474" w:rsidRDefault="00F343FA" w:rsidP="003B10E7">
            <w:pPr>
              <w:pStyle w:val="Heading5"/>
              <w:jc w:val="center"/>
              <w:rPr>
                <w:b w:val="0"/>
                <w:color w:val="auto"/>
                <w:sz w:val="24"/>
                <w:szCs w:val="24"/>
                <w:lang w:val="en-GB"/>
              </w:rPr>
            </w:pPr>
            <w:r w:rsidRPr="003D6474">
              <w:rPr>
                <w:b w:val="0"/>
                <w:color w:val="auto"/>
                <w:sz w:val="24"/>
                <w:szCs w:val="24"/>
                <w:lang w:val="en-GB"/>
              </w:rPr>
              <w:t>Insert Table 2 about here</w:t>
            </w:r>
          </w:p>
        </w:tc>
      </w:tr>
    </w:tbl>
    <w:p w:rsidR="00F343FA" w:rsidRPr="003D6474" w:rsidRDefault="00F343FA" w:rsidP="003B10E7">
      <w:pPr>
        <w:pStyle w:val="BodyText"/>
        <w:rPr>
          <w:b/>
          <w:lang w:val="en-GB"/>
        </w:rPr>
      </w:pPr>
    </w:p>
    <w:p w:rsidR="00F343FA" w:rsidRPr="003D6474" w:rsidRDefault="00F343FA" w:rsidP="003B10E7">
      <w:pPr>
        <w:pStyle w:val="BodyText"/>
        <w:rPr>
          <w:b/>
          <w:lang w:val="en-GB"/>
        </w:rPr>
      </w:pPr>
      <w:r w:rsidRPr="003D6474">
        <w:rPr>
          <w:b/>
          <w:lang w:val="en-GB"/>
        </w:rPr>
        <w:t xml:space="preserve">4. Results </w:t>
      </w:r>
    </w:p>
    <w:p w:rsidR="009B02D6" w:rsidRPr="003D6474" w:rsidRDefault="009B02D6" w:rsidP="003B10E7">
      <w:pPr>
        <w:ind w:firstLine="540"/>
        <w:jc w:val="both"/>
        <w:rPr>
          <w:lang w:val="en-GB"/>
        </w:rPr>
      </w:pPr>
    </w:p>
    <w:p w:rsidR="00442331" w:rsidRPr="003D6474" w:rsidRDefault="00793C89" w:rsidP="003B10E7">
      <w:pPr>
        <w:pStyle w:val="Normal1"/>
        <w:spacing w:after="0" w:line="240" w:lineRule="auto"/>
        <w:rPr>
          <w:rFonts w:ascii="Times New Roman" w:hAnsi="Times New Roman"/>
          <w:szCs w:val="24"/>
          <w:lang w:val="en-GB"/>
        </w:rPr>
      </w:pPr>
      <w:r w:rsidRPr="003D6474">
        <w:rPr>
          <w:rFonts w:ascii="Times New Roman" w:hAnsi="Times New Roman"/>
          <w:szCs w:val="24"/>
          <w:lang w:val="en-GB"/>
        </w:rPr>
        <w:t>Once the psychometric properties of the measures had been</w:t>
      </w:r>
      <w:r w:rsidR="006F0B26" w:rsidRPr="003D6474">
        <w:rPr>
          <w:rFonts w:ascii="Times New Roman" w:hAnsi="Times New Roman"/>
          <w:szCs w:val="24"/>
          <w:lang w:val="en-GB"/>
        </w:rPr>
        <w:t xml:space="preserve"> assessed</w:t>
      </w:r>
      <w:r w:rsidRPr="003D6474">
        <w:rPr>
          <w:rFonts w:ascii="Times New Roman" w:hAnsi="Times New Roman"/>
          <w:szCs w:val="24"/>
          <w:lang w:val="en-GB"/>
        </w:rPr>
        <w:t xml:space="preserve">, the next step was the evaluation of the hypothesised relationships developed from consideration of the relevant literature (see </w:t>
      </w:r>
      <w:r w:rsidR="00442331" w:rsidRPr="003D6474">
        <w:rPr>
          <w:rFonts w:ascii="Times New Roman" w:hAnsi="Times New Roman"/>
          <w:szCs w:val="24"/>
          <w:lang w:val="en-GB" w:eastAsia="en-US"/>
        </w:rPr>
        <w:t>Figure 1</w:t>
      </w:r>
      <w:r w:rsidRPr="003D6474">
        <w:rPr>
          <w:rFonts w:ascii="Times New Roman" w:hAnsi="Times New Roman"/>
          <w:szCs w:val="24"/>
          <w:lang w:val="en-GB"/>
        </w:rPr>
        <w:t xml:space="preserve">), </w:t>
      </w:r>
      <w:r w:rsidR="005E4716" w:rsidRPr="003D6474">
        <w:rPr>
          <w:rFonts w:ascii="Times New Roman" w:hAnsi="Times New Roman"/>
          <w:szCs w:val="24"/>
          <w:lang w:val="en-GB"/>
        </w:rPr>
        <w:t xml:space="preserve">presented </w:t>
      </w:r>
      <w:r w:rsidRPr="003D6474">
        <w:rPr>
          <w:rFonts w:ascii="Times New Roman" w:hAnsi="Times New Roman"/>
          <w:szCs w:val="24"/>
          <w:lang w:val="en-GB"/>
        </w:rPr>
        <w:t>in th</w:t>
      </w:r>
      <w:r w:rsidR="00A943BD" w:rsidRPr="003D6474">
        <w:rPr>
          <w:rFonts w:ascii="Times New Roman" w:hAnsi="Times New Roman"/>
          <w:szCs w:val="24"/>
          <w:lang w:val="en-GB"/>
        </w:rPr>
        <w:t xml:space="preserve">is paper </w:t>
      </w:r>
      <w:r w:rsidRPr="003D6474">
        <w:rPr>
          <w:rFonts w:ascii="Times New Roman" w:hAnsi="Times New Roman"/>
          <w:szCs w:val="24"/>
          <w:lang w:val="en-GB"/>
        </w:rPr>
        <w:t>as H1, H2, H3 and H4. The fit of the model is satisfactory (</w:t>
      </w:r>
      <w:r w:rsidR="00442331" w:rsidRPr="003D6474">
        <w:rPr>
          <w:rFonts w:ascii="Times New Roman" w:hAnsi="Times New Roman"/>
          <w:bCs/>
          <w:szCs w:val="24"/>
          <w:lang w:val="en-US"/>
        </w:rPr>
        <w:t xml:space="preserve">Satorra-Bentler </w:t>
      </w:r>
      <w:r w:rsidR="00442331" w:rsidRPr="003D6474">
        <w:rPr>
          <w:rFonts w:ascii="Times New Roman" w:hAnsi="Times New Roman"/>
          <w:bCs/>
          <w:szCs w:val="24"/>
        </w:rPr>
        <w:t>χ</w:t>
      </w:r>
      <w:r w:rsidR="00442331" w:rsidRPr="003D6474">
        <w:rPr>
          <w:rFonts w:ascii="Times New Roman" w:hAnsi="Times New Roman"/>
          <w:bCs/>
          <w:szCs w:val="24"/>
          <w:vertAlign w:val="superscript"/>
          <w:lang w:val="en-US"/>
        </w:rPr>
        <w:t>2</w:t>
      </w:r>
      <w:r w:rsidR="00442331" w:rsidRPr="003D6474">
        <w:rPr>
          <w:rFonts w:ascii="Times New Roman" w:hAnsi="Times New Roman"/>
          <w:bCs/>
          <w:szCs w:val="24"/>
          <w:vertAlign w:val="subscript"/>
          <w:lang w:val="en-US"/>
        </w:rPr>
        <w:t>(58)</w:t>
      </w:r>
      <w:r w:rsidR="00442331" w:rsidRPr="003D6474">
        <w:rPr>
          <w:rFonts w:ascii="Times New Roman" w:hAnsi="Times New Roman"/>
          <w:bCs/>
          <w:szCs w:val="24"/>
          <w:lang w:val="en-US"/>
        </w:rPr>
        <w:t xml:space="preserve">=60.29; </w:t>
      </w:r>
      <w:r w:rsidR="00442331" w:rsidRPr="003D6474">
        <w:rPr>
          <w:rFonts w:ascii="Times New Roman" w:hAnsi="Times New Roman"/>
          <w:bCs/>
          <w:szCs w:val="24"/>
        </w:rPr>
        <w:t>χ</w:t>
      </w:r>
      <w:r w:rsidR="00442331" w:rsidRPr="003D6474">
        <w:rPr>
          <w:rFonts w:ascii="Times New Roman" w:hAnsi="Times New Roman"/>
          <w:bCs/>
          <w:szCs w:val="24"/>
          <w:vertAlign w:val="superscript"/>
          <w:lang w:val="en-US"/>
        </w:rPr>
        <w:t>2</w:t>
      </w:r>
      <w:r w:rsidR="00442331" w:rsidRPr="003D6474">
        <w:rPr>
          <w:rFonts w:ascii="Times New Roman" w:hAnsi="Times New Roman"/>
          <w:szCs w:val="24"/>
          <w:lang w:val="en-US"/>
        </w:rPr>
        <w:t>/df</w:t>
      </w:r>
      <w:r w:rsidR="00442331" w:rsidRPr="003D6474">
        <w:rPr>
          <w:rFonts w:ascii="Times New Roman" w:hAnsi="Times New Roman"/>
          <w:bCs/>
          <w:szCs w:val="24"/>
          <w:lang w:val="en-US"/>
        </w:rPr>
        <w:t xml:space="preserve"> =1.04; GFI=0.93; CFI=0.99; IFI=0.99; RMSEA= 0.022</w:t>
      </w:r>
      <w:r w:rsidRPr="003D6474">
        <w:rPr>
          <w:rFonts w:ascii="Times New Roman" w:hAnsi="Times New Roman"/>
          <w:szCs w:val="24"/>
          <w:lang w:val="en-GB"/>
        </w:rPr>
        <w:t>), there</w:t>
      </w:r>
      <w:r w:rsidR="00E07F41" w:rsidRPr="003D6474">
        <w:rPr>
          <w:rFonts w:ascii="Times New Roman" w:hAnsi="Times New Roman"/>
          <w:szCs w:val="24"/>
          <w:lang w:val="en-GB"/>
        </w:rPr>
        <w:t>fore</w:t>
      </w:r>
      <w:r w:rsidRPr="003D6474">
        <w:rPr>
          <w:rFonts w:ascii="Times New Roman" w:hAnsi="Times New Roman"/>
          <w:szCs w:val="24"/>
          <w:lang w:val="en-GB"/>
        </w:rPr>
        <w:t xml:space="preserve"> suggesting that the nomological network of relationships fits </w:t>
      </w:r>
      <w:r w:rsidR="00F25D79" w:rsidRPr="003D6474">
        <w:rPr>
          <w:rFonts w:ascii="Times New Roman" w:hAnsi="Times New Roman"/>
          <w:szCs w:val="24"/>
          <w:lang w:val="en-GB"/>
        </w:rPr>
        <w:t xml:space="preserve">the </w:t>
      </w:r>
      <w:r w:rsidRPr="003D6474">
        <w:rPr>
          <w:rFonts w:ascii="Times New Roman" w:hAnsi="Times New Roman"/>
          <w:szCs w:val="24"/>
          <w:lang w:val="en-GB"/>
        </w:rPr>
        <w:t xml:space="preserve">data </w:t>
      </w:r>
      <w:r w:rsidR="00F25D79" w:rsidRPr="003D6474">
        <w:rPr>
          <w:rFonts w:ascii="Times New Roman" w:hAnsi="Times New Roman"/>
          <w:szCs w:val="24"/>
          <w:lang w:val="en-GB"/>
        </w:rPr>
        <w:t>collected</w:t>
      </w:r>
      <w:r w:rsidR="00A420C9" w:rsidRPr="003D6474">
        <w:rPr>
          <w:rFonts w:ascii="Times New Roman" w:hAnsi="Times New Roman"/>
          <w:szCs w:val="24"/>
          <w:lang w:val="en-GB"/>
        </w:rPr>
        <w:t xml:space="preserve">.  This is yet </w:t>
      </w:r>
      <w:r w:rsidRPr="003D6474">
        <w:rPr>
          <w:rFonts w:ascii="Times New Roman" w:hAnsi="Times New Roman"/>
          <w:szCs w:val="24"/>
          <w:lang w:val="en-GB"/>
        </w:rPr>
        <w:t>another indicator support</w:t>
      </w:r>
      <w:r w:rsidR="00F85352" w:rsidRPr="003D6474">
        <w:rPr>
          <w:rFonts w:ascii="Times New Roman" w:hAnsi="Times New Roman"/>
          <w:szCs w:val="24"/>
          <w:lang w:val="en-GB"/>
        </w:rPr>
        <w:t>ing</w:t>
      </w:r>
      <w:r w:rsidRPr="003D6474">
        <w:rPr>
          <w:rFonts w:ascii="Times New Roman" w:hAnsi="Times New Roman"/>
          <w:szCs w:val="24"/>
          <w:lang w:val="en-GB"/>
        </w:rPr>
        <w:t xml:space="preserve"> the validity of these scales (Churchill, 1979).</w:t>
      </w:r>
      <w:r w:rsidR="00442331" w:rsidRPr="003D6474">
        <w:rPr>
          <w:rFonts w:ascii="Times New Roman" w:hAnsi="Times New Roman"/>
          <w:szCs w:val="24"/>
          <w:lang w:val="en-GB"/>
        </w:rPr>
        <w:t xml:space="preserve"> </w:t>
      </w:r>
      <w:r w:rsidR="00F343FA" w:rsidRPr="003D6474">
        <w:rPr>
          <w:rFonts w:ascii="Times New Roman" w:hAnsi="Times New Roman"/>
          <w:szCs w:val="24"/>
          <w:lang w:val="en-GB"/>
        </w:rPr>
        <w:t xml:space="preserve">Table 3 shows that external communities had a positive influence on the </w:t>
      </w:r>
      <w:r w:rsidR="00B17DD1" w:rsidRPr="003D6474">
        <w:rPr>
          <w:rFonts w:ascii="Times New Roman" w:hAnsi="Times New Roman"/>
          <w:szCs w:val="24"/>
          <w:lang w:val="en-GB"/>
        </w:rPr>
        <w:t>online government services</w:t>
      </w:r>
      <w:r w:rsidR="00F343FA" w:rsidRPr="003D6474">
        <w:rPr>
          <w:rFonts w:ascii="Times New Roman" w:hAnsi="Times New Roman"/>
          <w:szCs w:val="24"/>
          <w:lang w:val="en-GB"/>
        </w:rPr>
        <w:t xml:space="preserve"> implementation at a level of p&lt;0.05. </w:t>
      </w:r>
    </w:p>
    <w:p w:rsidR="00442331" w:rsidRPr="003D6474" w:rsidRDefault="00442331" w:rsidP="003B10E7">
      <w:pPr>
        <w:pStyle w:val="Normal1"/>
        <w:spacing w:after="0" w:line="240" w:lineRule="auto"/>
        <w:rPr>
          <w:rFonts w:ascii="Times New Roman" w:hAnsi="Times New Roman"/>
          <w:szCs w:val="24"/>
          <w:lang w:val="en-GB"/>
        </w:rPr>
      </w:pPr>
    </w:p>
    <w:p w:rsidR="00F343FA" w:rsidRPr="003D6474" w:rsidRDefault="00F343FA" w:rsidP="003B10E7">
      <w:pPr>
        <w:pStyle w:val="Normal1"/>
        <w:spacing w:after="0" w:line="240" w:lineRule="auto"/>
        <w:rPr>
          <w:rFonts w:ascii="Times New Roman" w:hAnsi="Times New Roman"/>
          <w:szCs w:val="24"/>
          <w:lang w:val="en-GB"/>
        </w:rPr>
      </w:pPr>
      <w:r w:rsidRPr="003D6474">
        <w:rPr>
          <w:rFonts w:ascii="Times New Roman" w:hAnsi="Times New Roman"/>
          <w:szCs w:val="24"/>
          <w:lang w:val="en-GB"/>
        </w:rPr>
        <w:lastRenderedPageBreak/>
        <w:t xml:space="preserve">Table 3 also shows that workplace communities at a level of p&lt;0.01 had a significant effect on the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implementation. This analysis provides full support for H</w:t>
      </w:r>
      <w:r w:rsidRPr="003D6474">
        <w:rPr>
          <w:rFonts w:ascii="Times New Roman" w:hAnsi="Times New Roman"/>
          <w:szCs w:val="24"/>
          <w:vertAlign w:val="subscript"/>
          <w:lang w:val="en-GB"/>
        </w:rPr>
        <w:t>1</w:t>
      </w:r>
      <w:r w:rsidRPr="003D6474">
        <w:rPr>
          <w:rFonts w:ascii="Times New Roman" w:hAnsi="Times New Roman"/>
          <w:szCs w:val="24"/>
          <w:lang w:val="en-GB"/>
        </w:rPr>
        <w:t xml:space="preserve"> (external communities → </w:t>
      </w:r>
      <w:r w:rsidR="00B17DD1" w:rsidRPr="003D6474">
        <w:rPr>
          <w:rFonts w:ascii="Times New Roman" w:hAnsi="Times New Roman"/>
          <w:szCs w:val="24"/>
          <w:lang w:val="en-GB"/>
        </w:rPr>
        <w:t>online government services</w:t>
      </w:r>
      <w:r w:rsidRPr="003D6474">
        <w:rPr>
          <w:rFonts w:ascii="Times New Roman" w:hAnsi="Times New Roman"/>
          <w:szCs w:val="24"/>
          <w:lang w:val="en-GB"/>
        </w:rPr>
        <w:t>), and also for H</w:t>
      </w:r>
      <w:r w:rsidRPr="003D6474">
        <w:rPr>
          <w:rFonts w:ascii="Times New Roman" w:hAnsi="Times New Roman"/>
          <w:szCs w:val="24"/>
          <w:vertAlign w:val="subscript"/>
          <w:lang w:val="en-GB"/>
        </w:rPr>
        <w:t>2</w:t>
      </w:r>
      <w:r w:rsidRPr="003D6474">
        <w:rPr>
          <w:rFonts w:ascii="Times New Roman" w:hAnsi="Times New Roman"/>
          <w:szCs w:val="24"/>
          <w:lang w:val="en-GB"/>
        </w:rPr>
        <w:t xml:space="preserve"> (workplace communities →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w:t>
      </w:r>
      <w:r w:rsidRPr="003D6474">
        <w:rPr>
          <w:rFonts w:ascii="Times New Roman" w:hAnsi="Times New Roman"/>
          <w:iCs/>
          <w:szCs w:val="24"/>
          <w:lang w:val="en-GB"/>
        </w:rPr>
        <w:t>By testing the third hypothesis, Table 3 shows that t</w:t>
      </w:r>
      <w:r w:rsidRPr="003D6474">
        <w:rPr>
          <w:rFonts w:ascii="Times New Roman" w:hAnsi="Times New Roman"/>
          <w:szCs w:val="24"/>
          <w:lang w:val="en-GB"/>
        </w:rPr>
        <w:t xml:space="preserve">he effect of the </w:t>
      </w:r>
      <w:r w:rsidR="00643DE5" w:rsidRPr="003D6474">
        <w:rPr>
          <w:rFonts w:ascii="Times New Roman" w:hAnsi="Times New Roman"/>
          <w:szCs w:val="24"/>
          <w:lang w:val="en-GB"/>
        </w:rPr>
        <w:t xml:space="preserve">organisational </w:t>
      </w:r>
      <w:r w:rsidRPr="003D6474">
        <w:rPr>
          <w:rFonts w:ascii="Times New Roman" w:hAnsi="Times New Roman"/>
          <w:szCs w:val="24"/>
          <w:lang w:val="en-GB"/>
        </w:rPr>
        <w:t xml:space="preserve">context on the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implementation had a </w:t>
      </w:r>
      <w:r w:rsidR="006729FD" w:rsidRPr="003D6474">
        <w:rPr>
          <w:rFonts w:ascii="Times New Roman" w:hAnsi="Times New Roman"/>
          <w:szCs w:val="24"/>
          <w:lang w:val="en-GB"/>
        </w:rPr>
        <w:t xml:space="preserve">standardised </w:t>
      </w:r>
      <w:r w:rsidRPr="003D6474">
        <w:rPr>
          <w:rFonts w:ascii="Times New Roman" w:hAnsi="Times New Roman"/>
          <w:szCs w:val="24"/>
          <w:lang w:val="en-GB"/>
        </w:rPr>
        <w:t>coefficient of (γ</w:t>
      </w:r>
      <w:r w:rsidRPr="003D6474">
        <w:rPr>
          <w:rFonts w:ascii="Times New Roman" w:hAnsi="Times New Roman"/>
          <w:szCs w:val="24"/>
          <w:vertAlign w:val="subscript"/>
          <w:lang w:val="en-GB"/>
        </w:rPr>
        <w:t>13</w:t>
      </w:r>
      <w:r w:rsidRPr="003D6474">
        <w:rPr>
          <w:rFonts w:ascii="Times New Roman" w:hAnsi="Times New Roman"/>
          <w:szCs w:val="24"/>
          <w:lang w:val="en-GB"/>
        </w:rPr>
        <w:t>=0.24)</w:t>
      </w:r>
      <w:r w:rsidRPr="003D6474">
        <w:rPr>
          <w:rFonts w:ascii="Times New Roman" w:hAnsi="Times New Roman"/>
          <w:iCs/>
          <w:szCs w:val="24"/>
          <w:lang w:val="en-GB"/>
        </w:rPr>
        <w:t xml:space="preserve">, thus suggesting a positive influence on the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implementation </w:t>
      </w:r>
      <w:r w:rsidRPr="003D6474">
        <w:rPr>
          <w:rFonts w:ascii="Times New Roman" w:hAnsi="Times New Roman"/>
          <w:iCs/>
          <w:szCs w:val="24"/>
          <w:lang w:val="en-GB"/>
        </w:rPr>
        <w:t>at a level of (p&lt;0.01), this analysis provides full support for H</w:t>
      </w:r>
      <w:r w:rsidRPr="003D6474">
        <w:rPr>
          <w:rFonts w:ascii="Times New Roman" w:hAnsi="Times New Roman"/>
          <w:iCs/>
          <w:szCs w:val="24"/>
          <w:vertAlign w:val="subscript"/>
          <w:lang w:val="en-GB"/>
        </w:rPr>
        <w:t xml:space="preserve">3 </w:t>
      </w:r>
      <w:r w:rsidRPr="003D6474">
        <w:rPr>
          <w:rFonts w:ascii="Times New Roman" w:hAnsi="Times New Roman"/>
          <w:szCs w:val="24"/>
          <w:lang w:val="en-GB"/>
        </w:rPr>
        <w:t xml:space="preserve">(organizational context →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The effect of the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on business performance had a </w:t>
      </w:r>
      <w:r w:rsidR="001B1EB8" w:rsidRPr="003D6474">
        <w:rPr>
          <w:rFonts w:ascii="Times New Roman" w:hAnsi="Times New Roman"/>
          <w:szCs w:val="24"/>
          <w:lang w:val="en-GB"/>
        </w:rPr>
        <w:t xml:space="preserve">standardised </w:t>
      </w:r>
      <w:r w:rsidRPr="003D6474">
        <w:rPr>
          <w:rFonts w:ascii="Times New Roman" w:hAnsi="Times New Roman"/>
          <w:szCs w:val="24"/>
          <w:lang w:val="en-GB"/>
        </w:rPr>
        <w:t>coefficient of (β</w:t>
      </w:r>
      <w:r w:rsidRPr="003D6474">
        <w:rPr>
          <w:rFonts w:ascii="Times New Roman" w:hAnsi="Times New Roman"/>
          <w:szCs w:val="24"/>
          <w:vertAlign w:val="subscript"/>
          <w:lang w:val="en-GB"/>
        </w:rPr>
        <w:t>21</w:t>
      </w:r>
      <w:r w:rsidRPr="003D6474">
        <w:rPr>
          <w:rFonts w:ascii="Times New Roman" w:hAnsi="Times New Roman"/>
          <w:szCs w:val="24"/>
          <w:lang w:val="en-GB"/>
        </w:rPr>
        <w:t>=0.40), thus suggesting a positive influence on business performance at a level of (p&lt;0.05), this analysis provides full support for H</w:t>
      </w:r>
      <w:r w:rsidRPr="003D6474">
        <w:rPr>
          <w:rFonts w:ascii="Times New Roman" w:hAnsi="Times New Roman"/>
          <w:szCs w:val="24"/>
          <w:vertAlign w:val="subscript"/>
          <w:lang w:val="en-GB"/>
        </w:rPr>
        <w:t>4</w:t>
      </w:r>
      <w:r w:rsidRPr="003D6474">
        <w:rPr>
          <w:rFonts w:ascii="Times New Roman" w:hAnsi="Times New Roman"/>
          <w:szCs w:val="24"/>
          <w:lang w:val="en-GB"/>
        </w:rPr>
        <w:t>: (</w:t>
      </w:r>
      <w:r w:rsidR="00B17DD1" w:rsidRPr="003D6474">
        <w:rPr>
          <w:rFonts w:ascii="Times New Roman" w:hAnsi="Times New Roman"/>
          <w:szCs w:val="24"/>
          <w:lang w:val="en-GB"/>
        </w:rPr>
        <w:t>online government services</w:t>
      </w:r>
      <w:r w:rsidRPr="003D6474">
        <w:rPr>
          <w:rFonts w:ascii="Times New Roman" w:hAnsi="Times New Roman"/>
          <w:szCs w:val="24"/>
          <w:lang w:val="en-GB"/>
        </w:rPr>
        <w:t xml:space="preserve"> → business performance).</w:t>
      </w:r>
    </w:p>
    <w:p w:rsidR="009B02D6" w:rsidRPr="003D6474" w:rsidRDefault="009B02D6" w:rsidP="003B10E7">
      <w:pPr>
        <w:jc w:val="both"/>
        <w:rPr>
          <w:lang w:val="en-GB"/>
        </w:rPr>
      </w:pPr>
    </w:p>
    <w:tbl>
      <w:tblPr>
        <w:tblW w:w="0" w:type="auto"/>
        <w:jc w:val="center"/>
        <w:tblBorders>
          <w:top w:val="dashed" w:sz="4" w:space="0" w:color="auto"/>
          <w:bottom w:val="dashed" w:sz="4" w:space="0" w:color="auto"/>
        </w:tblBorders>
        <w:tblLayout w:type="fixed"/>
        <w:tblCellMar>
          <w:left w:w="70" w:type="dxa"/>
          <w:right w:w="70" w:type="dxa"/>
        </w:tblCellMar>
        <w:tblLook w:val="0000" w:firstRow="0" w:lastRow="0" w:firstColumn="0" w:lastColumn="0" w:noHBand="0" w:noVBand="0"/>
      </w:tblPr>
      <w:tblGrid>
        <w:gridCol w:w="3885"/>
      </w:tblGrid>
      <w:tr w:rsidR="00F343FA" w:rsidRPr="003D6474">
        <w:trPr>
          <w:jc w:val="center"/>
        </w:trPr>
        <w:tc>
          <w:tcPr>
            <w:tcW w:w="3885" w:type="dxa"/>
          </w:tcPr>
          <w:p w:rsidR="00F343FA" w:rsidRPr="003D6474" w:rsidRDefault="00F343FA" w:rsidP="003B10E7">
            <w:pPr>
              <w:pStyle w:val="Heading5"/>
              <w:jc w:val="center"/>
              <w:rPr>
                <w:b w:val="0"/>
                <w:color w:val="auto"/>
                <w:sz w:val="24"/>
                <w:szCs w:val="24"/>
                <w:lang w:val="en-GB"/>
              </w:rPr>
            </w:pPr>
            <w:r w:rsidRPr="003D6474">
              <w:rPr>
                <w:b w:val="0"/>
                <w:color w:val="auto"/>
                <w:sz w:val="24"/>
                <w:szCs w:val="24"/>
                <w:lang w:val="en-GB"/>
              </w:rPr>
              <w:t>Insert Table 3 about here</w:t>
            </w:r>
          </w:p>
        </w:tc>
      </w:tr>
    </w:tbl>
    <w:p w:rsidR="0004286C" w:rsidRPr="003D6474" w:rsidRDefault="0004286C" w:rsidP="003B10E7">
      <w:pPr>
        <w:pStyle w:val="BodyText"/>
        <w:rPr>
          <w:b/>
          <w:lang w:val="en-GB"/>
        </w:rPr>
      </w:pPr>
    </w:p>
    <w:p w:rsidR="0004286C" w:rsidRPr="003D6474" w:rsidRDefault="0004286C">
      <w:pPr>
        <w:rPr>
          <w:b/>
          <w:lang w:val="en-GB"/>
        </w:rPr>
      </w:pPr>
      <w:r w:rsidRPr="003D6474">
        <w:rPr>
          <w:b/>
          <w:lang w:val="en-GB"/>
        </w:rPr>
        <w:br w:type="page"/>
      </w:r>
    </w:p>
    <w:p w:rsidR="00F343FA" w:rsidRPr="003D6474" w:rsidRDefault="00F343FA" w:rsidP="003B10E7">
      <w:pPr>
        <w:pStyle w:val="BodyText"/>
        <w:rPr>
          <w:b/>
          <w:lang w:val="en-GB"/>
        </w:rPr>
      </w:pPr>
      <w:r w:rsidRPr="003D6474">
        <w:rPr>
          <w:b/>
          <w:lang w:val="en-GB"/>
        </w:rPr>
        <w:lastRenderedPageBreak/>
        <w:t xml:space="preserve">5. Discussion </w:t>
      </w:r>
    </w:p>
    <w:p w:rsidR="009B02D6" w:rsidRPr="003D6474" w:rsidRDefault="009B02D6" w:rsidP="003B10E7">
      <w:pPr>
        <w:ind w:firstLine="540"/>
        <w:jc w:val="both"/>
        <w:rPr>
          <w:lang w:val="en-GB"/>
        </w:rPr>
      </w:pPr>
    </w:p>
    <w:p w:rsidR="004B1CB6" w:rsidRPr="003D6474" w:rsidRDefault="00BF4B6A" w:rsidP="003B10E7">
      <w:pPr>
        <w:pStyle w:val="BodyText"/>
        <w:rPr>
          <w:lang w:val="en-GB"/>
        </w:rPr>
      </w:pPr>
      <w:r w:rsidRPr="003D6474">
        <w:rPr>
          <w:lang w:val="en-GB"/>
        </w:rPr>
        <w:t xml:space="preserve">The </w:t>
      </w:r>
      <w:r w:rsidR="004B1CB6" w:rsidRPr="003D6474">
        <w:rPr>
          <w:lang w:val="en-GB"/>
        </w:rPr>
        <w:t xml:space="preserve">first contribution </w:t>
      </w:r>
      <w:r w:rsidRPr="003D6474">
        <w:rPr>
          <w:lang w:val="en-GB"/>
        </w:rPr>
        <w:t xml:space="preserve">of this research </w:t>
      </w:r>
      <w:r w:rsidR="004B1CB6" w:rsidRPr="003D6474">
        <w:rPr>
          <w:lang w:val="en-GB"/>
        </w:rPr>
        <w:t xml:space="preserve">has been </w:t>
      </w:r>
      <w:r w:rsidR="00F82032" w:rsidRPr="003D6474">
        <w:rPr>
          <w:lang w:val="en-GB"/>
        </w:rPr>
        <w:t xml:space="preserve">the </w:t>
      </w:r>
      <w:r w:rsidR="004B1CB6" w:rsidRPr="003D6474">
        <w:rPr>
          <w:lang w:val="en-GB"/>
        </w:rPr>
        <w:t>examin</w:t>
      </w:r>
      <w:r w:rsidR="00F82032" w:rsidRPr="003D6474">
        <w:rPr>
          <w:lang w:val="en-GB"/>
        </w:rPr>
        <w:t>ation of</w:t>
      </w:r>
      <w:r w:rsidR="004B1CB6" w:rsidRPr="003D6474">
        <w:rPr>
          <w:lang w:val="en-GB"/>
        </w:rPr>
        <w:t xml:space="preserve"> the relationship between three different kinds of knowledge structures </w:t>
      </w:r>
      <w:r w:rsidR="00F80483" w:rsidRPr="003D6474">
        <w:rPr>
          <w:lang w:val="en-GB"/>
        </w:rPr>
        <w:t xml:space="preserve">that could affect businesses </w:t>
      </w:r>
      <w:r w:rsidR="004B1CB6" w:rsidRPr="003D6474">
        <w:rPr>
          <w:lang w:val="en-GB"/>
        </w:rPr>
        <w:t xml:space="preserve">(i.e. external communities, workplace communities and </w:t>
      </w:r>
      <w:r w:rsidR="00A615F0" w:rsidRPr="003D6474">
        <w:rPr>
          <w:lang w:val="en-GB"/>
        </w:rPr>
        <w:t xml:space="preserve">organisational </w:t>
      </w:r>
      <w:r w:rsidR="004B1CB6" w:rsidRPr="003D6474">
        <w:rPr>
          <w:lang w:val="en-GB"/>
        </w:rPr>
        <w:t xml:space="preserve">context) and </w:t>
      </w:r>
      <w:r w:rsidR="004B1CB6" w:rsidRPr="003D6474">
        <w:rPr>
          <w:iCs/>
          <w:lang w:val="en-GB"/>
        </w:rPr>
        <w:t>online services provision</w:t>
      </w:r>
      <w:r w:rsidR="009E395D" w:rsidRPr="003D6474">
        <w:rPr>
          <w:iCs/>
          <w:lang w:val="en-GB"/>
        </w:rPr>
        <w:t xml:space="preserve">, </w:t>
      </w:r>
      <w:r w:rsidR="00A07327" w:rsidRPr="003D6474">
        <w:rPr>
          <w:iCs/>
          <w:lang w:val="en-GB"/>
        </w:rPr>
        <w:t xml:space="preserve">as well as </w:t>
      </w:r>
      <w:r w:rsidR="004B1CB6" w:rsidRPr="003D6474">
        <w:rPr>
          <w:lang w:val="en-GB"/>
        </w:rPr>
        <w:t>represent</w:t>
      </w:r>
      <w:r w:rsidR="00A07327" w:rsidRPr="003D6474">
        <w:rPr>
          <w:lang w:val="en-GB"/>
        </w:rPr>
        <w:t>ing</w:t>
      </w:r>
      <w:r w:rsidR="004B1CB6" w:rsidRPr="003D6474">
        <w:rPr>
          <w:lang w:val="en-GB"/>
        </w:rPr>
        <w:t xml:space="preserve"> these relationships in </w:t>
      </w:r>
      <w:r w:rsidR="00E405C2" w:rsidRPr="003D6474">
        <w:rPr>
          <w:lang w:val="en-GB"/>
        </w:rPr>
        <w:t xml:space="preserve">a comprehensive </w:t>
      </w:r>
      <w:r w:rsidR="004B1CB6" w:rsidRPr="003D6474">
        <w:rPr>
          <w:lang w:val="en-GB"/>
        </w:rPr>
        <w:t>model shown in Figure 1. The study has also investigated how ‘</w:t>
      </w:r>
      <w:r w:rsidR="00B17DD1" w:rsidRPr="003D6474">
        <w:rPr>
          <w:lang w:val="en-GB"/>
        </w:rPr>
        <w:t>online government services</w:t>
      </w:r>
      <w:r w:rsidR="004B1CB6" w:rsidRPr="003D6474">
        <w:rPr>
          <w:lang w:val="en-GB"/>
        </w:rPr>
        <w:t>’ contribute</w:t>
      </w:r>
      <w:r w:rsidR="009D4C6C" w:rsidRPr="003D6474">
        <w:rPr>
          <w:lang w:val="en-GB"/>
        </w:rPr>
        <w:t>s</w:t>
      </w:r>
      <w:r w:rsidR="004B1CB6" w:rsidRPr="003D6474">
        <w:rPr>
          <w:lang w:val="en-GB"/>
        </w:rPr>
        <w:t xml:space="preserve"> to increas</w:t>
      </w:r>
      <w:r w:rsidR="009D4C6C" w:rsidRPr="003D6474">
        <w:rPr>
          <w:lang w:val="en-GB"/>
        </w:rPr>
        <w:t>ing</w:t>
      </w:r>
      <w:r w:rsidR="004B1CB6" w:rsidRPr="003D6474">
        <w:rPr>
          <w:lang w:val="en-GB"/>
        </w:rPr>
        <w:t xml:space="preserve"> business performance through an empirical study of 130 </w:t>
      </w:r>
      <w:r w:rsidR="004B1CB6" w:rsidRPr="003D6474">
        <w:t>hotels in the Spanish hospitality sector</w:t>
      </w:r>
      <w:r w:rsidR="004B1CB6" w:rsidRPr="003D6474">
        <w:rPr>
          <w:lang w:val="en-GB"/>
        </w:rPr>
        <w:t xml:space="preserve">. The results </w:t>
      </w:r>
      <w:r w:rsidR="000E249A" w:rsidRPr="003D6474">
        <w:rPr>
          <w:lang w:val="en-GB"/>
        </w:rPr>
        <w:t xml:space="preserve">of the research </w:t>
      </w:r>
      <w:r w:rsidR="004B1CB6" w:rsidRPr="003D6474">
        <w:rPr>
          <w:lang w:val="en-GB"/>
        </w:rPr>
        <w:t xml:space="preserve">support the </w:t>
      </w:r>
      <w:r w:rsidR="000E249A" w:rsidRPr="003D6474">
        <w:rPr>
          <w:lang w:val="en-GB"/>
        </w:rPr>
        <w:t xml:space="preserve">argument </w:t>
      </w:r>
      <w:r w:rsidR="004B1CB6" w:rsidRPr="003D6474">
        <w:rPr>
          <w:lang w:val="en-GB"/>
        </w:rPr>
        <w:t xml:space="preserve">that </w:t>
      </w:r>
      <w:r w:rsidR="00B17DD1" w:rsidRPr="003D6474">
        <w:rPr>
          <w:lang w:val="en-GB"/>
        </w:rPr>
        <w:t>online government services</w:t>
      </w:r>
      <w:r w:rsidR="004B1CB6" w:rsidRPr="003D6474">
        <w:rPr>
          <w:lang w:val="en-GB" w:eastAsia="en-US"/>
        </w:rPr>
        <w:t xml:space="preserve"> may be considered as an intermediate variable </w:t>
      </w:r>
      <w:r w:rsidR="00F80483" w:rsidRPr="003D6474">
        <w:rPr>
          <w:lang w:val="en-GB" w:eastAsia="en-US"/>
        </w:rPr>
        <w:t xml:space="preserve">and mediating factor </w:t>
      </w:r>
      <w:r w:rsidR="004B1CB6" w:rsidRPr="003D6474">
        <w:rPr>
          <w:lang w:val="en-GB" w:eastAsia="en-US"/>
        </w:rPr>
        <w:t xml:space="preserve">between </w:t>
      </w:r>
      <w:r w:rsidR="004B1CB6" w:rsidRPr="003D6474">
        <w:rPr>
          <w:lang w:val="en-GB"/>
        </w:rPr>
        <w:t xml:space="preserve">knowledge structures </w:t>
      </w:r>
      <w:r w:rsidR="004B1CB6" w:rsidRPr="003D6474">
        <w:rPr>
          <w:lang w:val="en-GB" w:eastAsia="en-US"/>
        </w:rPr>
        <w:t xml:space="preserve">and business performance. </w:t>
      </w:r>
      <w:r w:rsidR="004B1CB6" w:rsidRPr="003D6474">
        <w:rPr>
          <w:lang w:val="en-GB"/>
        </w:rPr>
        <w:t xml:space="preserve">A </w:t>
      </w:r>
      <w:r w:rsidR="006F3F00" w:rsidRPr="003D6474">
        <w:rPr>
          <w:lang w:val="en-GB"/>
        </w:rPr>
        <w:t xml:space="preserve">plausible </w:t>
      </w:r>
      <w:r w:rsidR="004B1CB6" w:rsidRPr="003D6474">
        <w:rPr>
          <w:lang w:val="en-GB"/>
        </w:rPr>
        <w:t xml:space="preserve">explanation </w:t>
      </w:r>
      <w:r w:rsidR="006F3F00" w:rsidRPr="003D6474">
        <w:rPr>
          <w:lang w:val="en-GB"/>
        </w:rPr>
        <w:t xml:space="preserve">for this </w:t>
      </w:r>
      <w:r w:rsidR="004B1CB6" w:rsidRPr="003D6474">
        <w:rPr>
          <w:lang w:val="en-GB"/>
        </w:rPr>
        <w:t xml:space="preserve">is that in order to implement </w:t>
      </w:r>
      <w:r w:rsidR="00B17DD1" w:rsidRPr="003D6474">
        <w:rPr>
          <w:lang w:val="en-GB"/>
        </w:rPr>
        <w:t>online government services</w:t>
      </w:r>
      <w:r w:rsidR="004B1CB6" w:rsidRPr="003D6474">
        <w:rPr>
          <w:lang w:val="en-GB"/>
        </w:rPr>
        <w:t xml:space="preserve">, organisations </w:t>
      </w:r>
      <w:r w:rsidR="008412EE" w:rsidRPr="003D6474">
        <w:rPr>
          <w:lang w:val="en-GB"/>
        </w:rPr>
        <w:t xml:space="preserve">require a level of </w:t>
      </w:r>
      <w:r w:rsidR="004B1CB6" w:rsidRPr="003D6474">
        <w:rPr>
          <w:lang w:val="en-GB"/>
        </w:rPr>
        <w:t xml:space="preserve">transparency, efficiency and effectiveness which </w:t>
      </w:r>
      <w:r w:rsidR="00F80483" w:rsidRPr="003D6474">
        <w:rPr>
          <w:lang w:val="en-GB"/>
        </w:rPr>
        <w:t xml:space="preserve">needs to come </w:t>
      </w:r>
      <w:r w:rsidR="004B1CB6" w:rsidRPr="003D6474">
        <w:rPr>
          <w:lang w:val="en-GB"/>
        </w:rPr>
        <w:t>from the</w:t>
      </w:r>
      <w:r w:rsidR="007630BC" w:rsidRPr="003D6474">
        <w:rPr>
          <w:lang w:val="en-GB"/>
        </w:rPr>
        <w:t>ir own</w:t>
      </w:r>
      <w:r w:rsidR="004B1CB6" w:rsidRPr="003D6474">
        <w:rPr>
          <w:lang w:val="en-GB"/>
        </w:rPr>
        <w:t xml:space="preserve"> knowledge structures</w:t>
      </w:r>
      <w:r w:rsidR="00F80483" w:rsidRPr="003D6474">
        <w:rPr>
          <w:lang w:val="en-GB"/>
        </w:rPr>
        <w:t xml:space="preserve"> and practices</w:t>
      </w:r>
      <w:r w:rsidR="004B1CB6" w:rsidRPr="003D6474">
        <w:rPr>
          <w:lang w:val="en-GB"/>
        </w:rPr>
        <w:t xml:space="preserve">. </w:t>
      </w:r>
      <w:r w:rsidR="00F80483" w:rsidRPr="003D6474">
        <w:rPr>
          <w:lang w:val="en-GB"/>
        </w:rPr>
        <w:t xml:space="preserve">By adopting practices aligned with these values, </w:t>
      </w:r>
      <w:r w:rsidR="00403F70" w:rsidRPr="003D6474">
        <w:rPr>
          <w:lang w:val="en-GB"/>
        </w:rPr>
        <w:t xml:space="preserve">businesses </w:t>
      </w:r>
      <w:r w:rsidR="004B1CB6" w:rsidRPr="003D6474">
        <w:rPr>
          <w:lang w:val="en-GB"/>
        </w:rPr>
        <w:t xml:space="preserve">could become more competent and motivated, and this could </w:t>
      </w:r>
      <w:r w:rsidR="00956F73" w:rsidRPr="003D6474">
        <w:rPr>
          <w:lang w:val="en-GB"/>
        </w:rPr>
        <w:t xml:space="preserve">foster </w:t>
      </w:r>
      <w:r w:rsidR="004B1CB6" w:rsidRPr="003D6474">
        <w:rPr>
          <w:lang w:val="en-GB"/>
        </w:rPr>
        <w:t xml:space="preserve">their willingness to use </w:t>
      </w:r>
      <w:r w:rsidR="00B17DD1" w:rsidRPr="003D6474">
        <w:rPr>
          <w:lang w:val="en-GB"/>
        </w:rPr>
        <w:t xml:space="preserve">online government services </w:t>
      </w:r>
      <w:r w:rsidR="004B1CB6" w:rsidRPr="003D6474">
        <w:rPr>
          <w:lang w:val="en-GB"/>
        </w:rPr>
        <w:t xml:space="preserve">(Gonzalez </w:t>
      </w:r>
      <w:r w:rsidR="00453374" w:rsidRPr="003D6474">
        <w:rPr>
          <w:lang w:val="en-GB"/>
        </w:rPr>
        <w:t>&amp;</w:t>
      </w:r>
      <w:r w:rsidR="004B1CB6" w:rsidRPr="003D6474">
        <w:rPr>
          <w:lang w:val="en-GB"/>
        </w:rPr>
        <w:t xml:space="preserve"> Carcaba, 2004).</w:t>
      </w:r>
    </w:p>
    <w:p w:rsidR="004B1CB6" w:rsidRPr="003D6474" w:rsidRDefault="004B1CB6" w:rsidP="003B10E7">
      <w:pPr>
        <w:pStyle w:val="BodyText"/>
        <w:rPr>
          <w:lang w:val="en-GB"/>
        </w:rPr>
      </w:pPr>
    </w:p>
    <w:p w:rsidR="00632D78" w:rsidRPr="003D6474" w:rsidRDefault="004B1CB6" w:rsidP="003B10E7">
      <w:pPr>
        <w:pStyle w:val="BodyText"/>
        <w:rPr>
          <w:lang w:val="en-GB"/>
        </w:rPr>
      </w:pPr>
      <w:r w:rsidRPr="003D6474">
        <w:t xml:space="preserve">The </w:t>
      </w:r>
      <w:r w:rsidR="000933AD" w:rsidRPr="003D6474">
        <w:t xml:space="preserve">above </w:t>
      </w:r>
      <w:r w:rsidRPr="003D6474">
        <w:t xml:space="preserve">considerations </w:t>
      </w:r>
      <w:r w:rsidR="00F80483" w:rsidRPr="003D6474">
        <w:t xml:space="preserve">also </w:t>
      </w:r>
      <w:r w:rsidRPr="003D6474">
        <w:t xml:space="preserve">imply that </w:t>
      </w:r>
      <w:r w:rsidR="00F343FA" w:rsidRPr="003D6474">
        <w:rPr>
          <w:lang w:val="en-GB"/>
        </w:rPr>
        <w:t xml:space="preserve">the process of creating a successful </w:t>
      </w:r>
      <w:r w:rsidR="00B17DD1" w:rsidRPr="003D6474">
        <w:rPr>
          <w:lang w:val="en-GB"/>
        </w:rPr>
        <w:t>online government service</w:t>
      </w:r>
      <w:r w:rsidR="00F343FA" w:rsidRPr="003D6474">
        <w:rPr>
          <w:lang w:val="en-GB"/>
        </w:rPr>
        <w:t xml:space="preserve"> solution requires the </w:t>
      </w:r>
      <w:r w:rsidRPr="003D6474">
        <w:rPr>
          <w:lang w:val="en-GB"/>
        </w:rPr>
        <w:t xml:space="preserve">creation of knowledge </w:t>
      </w:r>
      <w:r w:rsidR="00F343FA" w:rsidRPr="003D6474">
        <w:rPr>
          <w:lang w:val="en-GB"/>
        </w:rPr>
        <w:t xml:space="preserve">as </w:t>
      </w:r>
      <w:r w:rsidRPr="003D6474">
        <w:rPr>
          <w:lang w:val="en-GB"/>
        </w:rPr>
        <w:t xml:space="preserve">a </w:t>
      </w:r>
      <w:r w:rsidR="00F343FA" w:rsidRPr="003D6474">
        <w:rPr>
          <w:lang w:val="en-GB"/>
        </w:rPr>
        <w:t xml:space="preserve">prior step, which </w:t>
      </w:r>
      <w:r w:rsidRPr="003D6474">
        <w:rPr>
          <w:lang w:val="en-GB"/>
        </w:rPr>
        <w:t>is</w:t>
      </w:r>
      <w:r w:rsidR="00F343FA" w:rsidRPr="003D6474">
        <w:rPr>
          <w:lang w:val="en-GB"/>
        </w:rPr>
        <w:t xml:space="preserve"> necessarily affected by the characteristics of the context in which the users (</w:t>
      </w:r>
      <w:r w:rsidR="000E564C" w:rsidRPr="003D6474">
        <w:rPr>
          <w:lang w:val="en-GB"/>
        </w:rPr>
        <w:t>members of the organisation</w:t>
      </w:r>
      <w:r w:rsidR="00F343FA" w:rsidRPr="003D6474">
        <w:rPr>
          <w:lang w:val="en-GB"/>
        </w:rPr>
        <w:t xml:space="preserve">) acquire </w:t>
      </w:r>
      <w:r w:rsidRPr="003D6474">
        <w:rPr>
          <w:lang w:val="en-GB"/>
        </w:rPr>
        <w:t>information</w:t>
      </w:r>
      <w:r w:rsidR="00F343FA" w:rsidRPr="003D6474">
        <w:rPr>
          <w:lang w:val="en-GB"/>
        </w:rPr>
        <w:t xml:space="preserve"> and perform </w:t>
      </w:r>
      <w:r w:rsidR="008463E7" w:rsidRPr="003D6474">
        <w:rPr>
          <w:lang w:val="en-GB"/>
        </w:rPr>
        <w:t xml:space="preserve">their </w:t>
      </w:r>
      <w:r w:rsidR="00F343FA" w:rsidRPr="003D6474">
        <w:rPr>
          <w:lang w:val="en-GB"/>
        </w:rPr>
        <w:t xml:space="preserve">work. </w:t>
      </w:r>
      <w:r w:rsidR="00632D78" w:rsidRPr="003D6474">
        <w:rPr>
          <w:lang w:val="en-GB"/>
        </w:rPr>
        <w:t xml:space="preserve">In this regard the results of this study are suggesting to tune knowledge related practices in both business and government sectors. </w:t>
      </w:r>
      <w:r w:rsidR="00072150" w:rsidRPr="003D6474">
        <w:rPr>
          <w:lang w:val="en-GB"/>
        </w:rPr>
        <w:t xml:space="preserve">It should be noted, however, that </w:t>
      </w:r>
      <w:r w:rsidR="00F343FA" w:rsidRPr="003D6474">
        <w:rPr>
          <w:lang w:val="en-GB"/>
        </w:rPr>
        <w:t xml:space="preserve">the information offered by governments </w:t>
      </w:r>
      <w:r w:rsidR="00571388" w:rsidRPr="003D6474">
        <w:rPr>
          <w:lang w:val="en-GB"/>
        </w:rPr>
        <w:t xml:space="preserve">through different mechanisms such as </w:t>
      </w:r>
      <w:r w:rsidR="00F343FA" w:rsidRPr="003D6474">
        <w:rPr>
          <w:lang w:val="en-GB"/>
        </w:rPr>
        <w:t xml:space="preserve">websites might be different from the knowledge learnt and used by the </w:t>
      </w:r>
      <w:r w:rsidR="002351CE" w:rsidRPr="003D6474">
        <w:rPr>
          <w:lang w:val="en-GB"/>
        </w:rPr>
        <w:t>hotel</w:t>
      </w:r>
      <w:r w:rsidR="00F343FA" w:rsidRPr="003D6474">
        <w:rPr>
          <w:lang w:val="en-GB"/>
        </w:rPr>
        <w:t xml:space="preserve"> for their business </w:t>
      </w:r>
      <w:r w:rsidR="00361064" w:rsidRPr="003D6474">
        <w:rPr>
          <w:lang w:val="en-GB"/>
        </w:rPr>
        <w:t xml:space="preserve">operations </w:t>
      </w:r>
      <w:r w:rsidR="00F343FA" w:rsidRPr="003D6474">
        <w:rPr>
          <w:lang w:val="en-GB"/>
        </w:rPr>
        <w:t>as well as for their ‘physical’ dealings with government</w:t>
      </w:r>
      <w:r w:rsidR="001E5DF5" w:rsidRPr="003D6474">
        <w:rPr>
          <w:lang w:val="en-GB"/>
        </w:rPr>
        <w:t xml:space="preserve">, for example in the </w:t>
      </w:r>
      <w:r w:rsidR="00F343FA" w:rsidRPr="003D6474">
        <w:rPr>
          <w:lang w:val="en-GB"/>
        </w:rPr>
        <w:t>submission of data to the statistical office, custom</w:t>
      </w:r>
      <w:r w:rsidR="00D23026" w:rsidRPr="003D6474">
        <w:rPr>
          <w:lang w:val="en-GB"/>
        </w:rPr>
        <w:t>s</w:t>
      </w:r>
      <w:r w:rsidR="00F343FA" w:rsidRPr="003D6474">
        <w:rPr>
          <w:lang w:val="en-GB"/>
        </w:rPr>
        <w:t xml:space="preserve"> declaration, public procurements</w:t>
      </w:r>
      <w:r w:rsidR="00D23026" w:rsidRPr="003D6474">
        <w:rPr>
          <w:lang w:val="en-GB"/>
        </w:rPr>
        <w:t xml:space="preserve"> etc. </w:t>
      </w:r>
      <w:r w:rsidR="00F343FA" w:rsidRPr="003D6474">
        <w:rPr>
          <w:lang w:val="en-GB"/>
        </w:rPr>
        <w:t xml:space="preserve">Therefore, if these two sources of knowledge are </w:t>
      </w:r>
      <w:r w:rsidR="00314DC6" w:rsidRPr="003D6474">
        <w:rPr>
          <w:lang w:val="en-GB"/>
        </w:rPr>
        <w:t xml:space="preserve">significantly </w:t>
      </w:r>
      <w:r w:rsidR="00F343FA" w:rsidRPr="003D6474">
        <w:rPr>
          <w:lang w:val="en-GB"/>
        </w:rPr>
        <w:t xml:space="preserve">different, </w:t>
      </w:r>
      <w:r w:rsidR="00B17DD1" w:rsidRPr="003D6474">
        <w:rPr>
          <w:lang w:val="en-GB"/>
        </w:rPr>
        <w:t xml:space="preserve">online government services </w:t>
      </w:r>
      <w:r w:rsidR="00F343FA" w:rsidRPr="003D6474">
        <w:rPr>
          <w:lang w:val="en-GB"/>
        </w:rPr>
        <w:t xml:space="preserve">might </w:t>
      </w:r>
      <w:r w:rsidR="00106661" w:rsidRPr="003D6474">
        <w:rPr>
          <w:lang w:val="en-GB"/>
        </w:rPr>
        <w:t xml:space="preserve">neither </w:t>
      </w:r>
      <w:r w:rsidR="00F343FA" w:rsidRPr="003D6474">
        <w:rPr>
          <w:lang w:val="en-GB"/>
        </w:rPr>
        <w:t xml:space="preserve">become attractive </w:t>
      </w:r>
      <w:r w:rsidR="00106661" w:rsidRPr="003D6474">
        <w:rPr>
          <w:lang w:val="en-GB"/>
        </w:rPr>
        <w:t xml:space="preserve">nor </w:t>
      </w:r>
      <w:r w:rsidR="00F343FA" w:rsidRPr="003D6474">
        <w:rPr>
          <w:lang w:val="en-GB"/>
        </w:rPr>
        <w:t xml:space="preserve">be considered </w:t>
      </w:r>
      <w:r w:rsidR="00FC33FB" w:rsidRPr="003D6474">
        <w:rPr>
          <w:lang w:val="en-GB"/>
        </w:rPr>
        <w:t xml:space="preserve">as </w:t>
      </w:r>
      <w:r w:rsidR="00F343FA" w:rsidRPr="003D6474">
        <w:rPr>
          <w:lang w:val="en-GB"/>
        </w:rPr>
        <w:t xml:space="preserve">good learning resources. </w:t>
      </w:r>
      <w:r w:rsidR="00F80483" w:rsidRPr="003D6474">
        <w:rPr>
          <w:lang w:val="en-GB"/>
        </w:rPr>
        <w:t xml:space="preserve">Innovation would then be limited to what can be achieved at a transactional level rather than a more collaborative and synergetic one.  </w:t>
      </w:r>
    </w:p>
    <w:p w:rsidR="00632D78" w:rsidRPr="003D6474" w:rsidRDefault="00632D78" w:rsidP="003B10E7">
      <w:pPr>
        <w:pStyle w:val="BodyText"/>
        <w:rPr>
          <w:lang w:val="en-GB"/>
        </w:rPr>
      </w:pPr>
    </w:p>
    <w:p w:rsidR="00436EED" w:rsidRPr="003D6474" w:rsidRDefault="00632D78" w:rsidP="003B10E7">
      <w:pPr>
        <w:pStyle w:val="BodyText"/>
        <w:rPr>
          <w:lang w:val="en-GB"/>
        </w:rPr>
      </w:pPr>
      <w:r w:rsidRPr="003D6474">
        <w:rPr>
          <w:lang w:val="en-GB"/>
        </w:rPr>
        <w:t xml:space="preserve">It is necessary to </w:t>
      </w:r>
      <w:r w:rsidR="008D7DDA" w:rsidRPr="003D6474">
        <w:rPr>
          <w:lang w:val="en-GB"/>
        </w:rPr>
        <w:t xml:space="preserve">open up existing innovation models to </w:t>
      </w:r>
      <w:r w:rsidRPr="003D6474">
        <w:rPr>
          <w:lang w:val="en-GB"/>
        </w:rPr>
        <w:t>collaboration between government</w:t>
      </w:r>
      <w:r w:rsidR="008D7DDA" w:rsidRPr="003D6474">
        <w:rPr>
          <w:lang w:val="en-GB"/>
        </w:rPr>
        <w:t xml:space="preserve">, businesses and other actors (Carayannis &amp; Rakhmatullin, 2014) </w:t>
      </w:r>
      <w:r w:rsidR="00194DA4" w:rsidRPr="003D6474">
        <w:rPr>
          <w:lang w:val="en-GB"/>
        </w:rPr>
        <w:t>not only to improve the uptake of online services but to develop new ways to innovate which could use such services</w:t>
      </w:r>
      <w:r w:rsidRPr="003D6474">
        <w:rPr>
          <w:lang w:val="en-GB"/>
        </w:rPr>
        <w:t>.</w:t>
      </w:r>
      <w:r w:rsidR="009E395D" w:rsidRPr="003D6474">
        <w:rPr>
          <w:lang w:val="en-GB"/>
        </w:rPr>
        <w:t xml:space="preserve"> </w:t>
      </w:r>
    </w:p>
    <w:p w:rsidR="00436EED" w:rsidRPr="003D6474" w:rsidRDefault="00436EED" w:rsidP="003B10E7">
      <w:pPr>
        <w:pStyle w:val="BodyText"/>
        <w:rPr>
          <w:lang w:val="en-GB"/>
        </w:rPr>
      </w:pPr>
    </w:p>
    <w:p w:rsidR="00F343FA" w:rsidRPr="003D6474" w:rsidRDefault="00362CAE" w:rsidP="003B10E7">
      <w:pPr>
        <w:pStyle w:val="BodyText"/>
        <w:rPr>
          <w:lang w:val="en-GB"/>
        </w:rPr>
      </w:pPr>
      <w:r w:rsidRPr="003D6474">
        <w:rPr>
          <w:lang w:val="en-GB"/>
        </w:rPr>
        <w:t xml:space="preserve">The second contribution of this research derives from the results of the empirical test of the hypotheses. </w:t>
      </w:r>
      <w:r w:rsidR="00F343FA" w:rsidRPr="003D6474">
        <w:rPr>
          <w:lang w:val="en-GB"/>
        </w:rPr>
        <w:t xml:space="preserve">Theoretical and managerial of implications  are discussed in further detail in the following paragraphs. </w:t>
      </w:r>
    </w:p>
    <w:p w:rsidR="0045299B" w:rsidRPr="003D6474" w:rsidRDefault="0045299B" w:rsidP="003B10E7">
      <w:pPr>
        <w:jc w:val="both"/>
        <w:rPr>
          <w:lang w:val="en-GB"/>
        </w:rPr>
      </w:pPr>
    </w:p>
    <w:p w:rsidR="00F343FA" w:rsidRPr="003D6474" w:rsidRDefault="00F343FA" w:rsidP="003B10E7">
      <w:pPr>
        <w:pStyle w:val="BodyText"/>
        <w:rPr>
          <w:lang w:val="en-GB"/>
        </w:rPr>
      </w:pPr>
      <w:r w:rsidRPr="003D6474">
        <w:rPr>
          <w:lang w:val="en-GB"/>
        </w:rPr>
        <w:t xml:space="preserve">With regard to H1, </w:t>
      </w:r>
      <w:r w:rsidR="00362CAE" w:rsidRPr="003D6474">
        <w:rPr>
          <w:lang w:val="en-GB"/>
        </w:rPr>
        <w:t xml:space="preserve">the results support the </w:t>
      </w:r>
      <w:r w:rsidR="00DE35E1" w:rsidRPr="003D6474">
        <w:rPr>
          <w:lang w:val="en-GB"/>
        </w:rPr>
        <w:t xml:space="preserve">argument </w:t>
      </w:r>
      <w:r w:rsidR="00362CAE" w:rsidRPr="003D6474">
        <w:rPr>
          <w:lang w:val="en-GB"/>
        </w:rPr>
        <w:t xml:space="preserve">that there is a positive relationship between </w:t>
      </w:r>
      <w:r w:rsidRPr="003D6474">
        <w:rPr>
          <w:lang w:val="en-GB"/>
        </w:rPr>
        <w:t xml:space="preserve">external communities and </w:t>
      </w:r>
      <w:r w:rsidR="00B17DD1" w:rsidRPr="003D6474">
        <w:rPr>
          <w:lang w:val="en-GB"/>
        </w:rPr>
        <w:t>online government services</w:t>
      </w:r>
      <w:r w:rsidRPr="003D6474">
        <w:rPr>
          <w:lang w:val="en-GB"/>
        </w:rPr>
        <w:t xml:space="preserve">. These findings suggest that, in order to </w:t>
      </w:r>
      <w:r w:rsidR="00CD3B4C" w:rsidRPr="003D6474">
        <w:rPr>
          <w:lang w:val="en-GB"/>
        </w:rPr>
        <w:t xml:space="preserve">benefit from </w:t>
      </w:r>
      <w:r w:rsidR="00B17DD1" w:rsidRPr="003D6474">
        <w:rPr>
          <w:lang w:val="en-GB"/>
        </w:rPr>
        <w:t>online government services</w:t>
      </w:r>
      <w:r w:rsidRPr="003D6474">
        <w:rPr>
          <w:lang w:val="en-GB"/>
        </w:rPr>
        <w:t xml:space="preserve">, </w:t>
      </w:r>
      <w:r w:rsidR="00B82242" w:rsidRPr="003D6474">
        <w:rPr>
          <w:lang w:val="en-GB"/>
        </w:rPr>
        <w:t xml:space="preserve">organisations </w:t>
      </w:r>
      <w:r w:rsidRPr="003D6474">
        <w:rPr>
          <w:lang w:val="en-GB"/>
        </w:rPr>
        <w:t xml:space="preserve">should provide and support </w:t>
      </w:r>
      <w:r w:rsidR="00BD6CAC" w:rsidRPr="003D6474">
        <w:rPr>
          <w:lang w:val="en-GB"/>
        </w:rPr>
        <w:t xml:space="preserve">the </w:t>
      </w:r>
      <w:r w:rsidRPr="003D6474">
        <w:rPr>
          <w:lang w:val="en-GB"/>
        </w:rPr>
        <w:t>develop</w:t>
      </w:r>
      <w:r w:rsidR="00AA4DD2" w:rsidRPr="003D6474">
        <w:rPr>
          <w:lang w:val="en-GB"/>
        </w:rPr>
        <w:t>ment</w:t>
      </w:r>
      <w:r w:rsidRPr="003D6474">
        <w:rPr>
          <w:lang w:val="en-GB"/>
        </w:rPr>
        <w:t xml:space="preserve"> </w:t>
      </w:r>
      <w:r w:rsidR="00AA4DD2" w:rsidRPr="003D6474">
        <w:rPr>
          <w:lang w:val="en-GB"/>
        </w:rPr>
        <w:t xml:space="preserve">of </w:t>
      </w:r>
      <w:r w:rsidRPr="003D6474">
        <w:rPr>
          <w:lang w:val="en-GB"/>
        </w:rPr>
        <w:t xml:space="preserve">external connections between </w:t>
      </w:r>
      <w:r w:rsidR="0061234B" w:rsidRPr="003D6474">
        <w:rPr>
          <w:lang w:val="en-GB"/>
        </w:rPr>
        <w:t xml:space="preserve">members of the organisation </w:t>
      </w:r>
      <w:r w:rsidRPr="003D6474">
        <w:rPr>
          <w:lang w:val="en-GB"/>
        </w:rPr>
        <w:t>and their customers. Th</w:t>
      </w:r>
      <w:r w:rsidR="00AF1F4A" w:rsidRPr="003D6474">
        <w:rPr>
          <w:lang w:val="en-GB"/>
        </w:rPr>
        <w:t xml:space="preserve">e same </w:t>
      </w:r>
      <w:r w:rsidRPr="003D6474">
        <w:rPr>
          <w:lang w:val="en-GB"/>
        </w:rPr>
        <w:t xml:space="preserve">can be applied to </w:t>
      </w:r>
      <w:r w:rsidR="00AF1F4A" w:rsidRPr="003D6474">
        <w:rPr>
          <w:lang w:val="en-GB"/>
        </w:rPr>
        <w:t xml:space="preserve">the value of </w:t>
      </w:r>
      <w:r w:rsidRPr="003D6474">
        <w:rPr>
          <w:lang w:val="en-GB"/>
        </w:rPr>
        <w:t xml:space="preserve">connections between </w:t>
      </w:r>
      <w:r w:rsidR="002351CE" w:rsidRPr="003D6474">
        <w:rPr>
          <w:lang w:val="en-GB"/>
        </w:rPr>
        <w:t xml:space="preserve">hotels </w:t>
      </w:r>
      <w:r w:rsidRPr="003D6474">
        <w:rPr>
          <w:lang w:val="en-GB"/>
        </w:rPr>
        <w:t xml:space="preserve">and government, and should help </w:t>
      </w:r>
      <w:r w:rsidR="00CF58CC" w:rsidRPr="003D6474">
        <w:rPr>
          <w:lang w:val="en-GB"/>
        </w:rPr>
        <w:t xml:space="preserve">hotels as well as </w:t>
      </w:r>
      <w:r w:rsidRPr="003D6474">
        <w:rPr>
          <w:lang w:val="en-GB"/>
        </w:rPr>
        <w:t xml:space="preserve">government institutions to </w:t>
      </w:r>
      <w:r w:rsidR="00965138" w:rsidRPr="003D6474">
        <w:rPr>
          <w:lang w:val="en-GB"/>
        </w:rPr>
        <w:t xml:space="preserve">implement appropriate </w:t>
      </w:r>
      <w:r w:rsidR="00B17DD1" w:rsidRPr="003D6474">
        <w:rPr>
          <w:lang w:val="en-GB"/>
        </w:rPr>
        <w:t xml:space="preserve">online government services </w:t>
      </w:r>
      <w:r w:rsidRPr="003D6474">
        <w:rPr>
          <w:lang w:val="en-GB"/>
        </w:rPr>
        <w:t xml:space="preserve">design and use. This finding is consistent with Gilbert and Cordey-Hays' (1996) conceptualisation of </w:t>
      </w:r>
      <w:r w:rsidR="00F80483" w:rsidRPr="003D6474">
        <w:rPr>
          <w:lang w:val="en-GB"/>
        </w:rPr>
        <w:t xml:space="preserve">collective </w:t>
      </w:r>
      <w:r w:rsidRPr="003D6474">
        <w:rPr>
          <w:lang w:val="en-GB"/>
        </w:rPr>
        <w:t xml:space="preserve">knowledge acquisition as the facilitator of successful technological innovation. Through external communities, customers or governments can help employees to find out related problems more effectively. In this regard, Rust and Lemon (2001) </w:t>
      </w:r>
      <w:r w:rsidR="00DB17AD" w:rsidRPr="003D6474">
        <w:rPr>
          <w:lang w:val="en-GB"/>
        </w:rPr>
        <w:t xml:space="preserve">argue </w:t>
      </w:r>
      <w:r w:rsidRPr="003D6474">
        <w:rPr>
          <w:lang w:val="en-GB"/>
        </w:rPr>
        <w:t xml:space="preserve">that when </w:t>
      </w:r>
      <w:r w:rsidR="00F80483" w:rsidRPr="003D6474">
        <w:rPr>
          <w:lang w:val="en-GB"/>
        </w:rPr>
        <w:t>individuals</w:t>
      </w:r>
      <w:r w:rsidRPr="003D6474">
        <w:rPr>
          <w:lang w:val="en-GB"/>
        </w:rPr>
        <w:t xml:space="preserve"> consider alternatives and show </w:t>
      </w:r>
      <w:r w:rsidRPr="003D6474">
        <w:rPr>
          <w:lang w:val="en-GB"/>
        </w:rPr>
        <w:lastRenderedPageBreak/>
        <w:t xml:space="preserve">curiosity about understanding related issues, </w:t>
      </w:r>
      <w:r w:rsidR="00DC7A1F" w:rsidRPr="003D6474">
        <w:rPr>
          <w:lang w:val="en-GB"/>
        </w:rPr>
        <w:t xml:space="preserve">their </w:t>
      </w:r>
      <w:r w:rsidRPr="003D6474">
        <w:rPr>
          <w:lang w:val="en-GB"/>
        </w:rPr>
        <w:t xml:space="preserve">ability to discover new and novel practices increases. </w:t>
      </w:r>
      <w:r w:rsidR="00632D78" w:rsidRPr="003D6474">
        <w:rPr>
          <w:lang w:val="en-GB"/>
        </w:rPr>
        <w:t>This</w:t>
      </w:r>
      <w:r w:rsidRPr="003D6474">
        <w:rPr>
          <w:lang w:val="en-GB"/>
        </w:rPr>
        <w:t xml:space="preserve"> in turn may affect the creation of new knowledge and </w:t>
      </w:r>
      <w:r w:rsidR="005F40BC" w:rsidRPr="003D6474">
        <w:rPr>
          <w:lang w:val="en-GB"/>
        </w:rPr>
        <w:t xml:space="preserve">the </w:t>
      </w:r>
      <w:r w:rsidRPr="003D6474">
        <w:rPr>
          <w:lang w:val="en-GB"/>
        </w:rPr>
        <w:t>implement</w:t>
      </w:r>
      <w:r w:rsidR="005F40BC" w:rsidRPr="003D6474">
        <w:rPr>
          <w:lang w:val="en-GB"/>
        </w:rPr>
        <w:t>ation of</w:t>
      </w:r>
      <w:r w:rsidRPr="003D6474">
        <w:rPr>
          <w:lang w:val="en-GB"/>
        </w:rPr>
        <w:t xml:space="preserve"> </w:t>
      </w:r>
      <w:r w:rsidR="00B17DD1" w:rsidRPr="003D6474">
        <w:rPr>
          <w:lang w:val="en-GB"/>
        </w:rPr>
        <w:t xml:space="preserve">online government services </w:t>
      </w:r>
      <w:r w:rsidR="00F80483" w:rsidRPr="003D6474">
        <w:rPr>
          <w:lang w:val="en-GB"/>
        </w:rPr>
        <w:t>to support innovation</w:t>
      </w:r>
      <w:r w:rsidRPr="003D6474">
        <w:rPr>
          <w:lang w:val="en-GB"/>
        </w:rPr>
        <w:t xml:space="preserve">. </w:t>
      </w:r>
    </w:p>
    <w:p w:rsidR="0045299B" w:rsidRPr="003D6474" w:rsidRDefault="0045299B" w:rsidP="003B10E7">
      <w:pPr>
        <w:pStyle w:val="BodyText"/>
        <w:rPr>
          <w:lang w:val="en-GB"/>
        </w:rPr>
      </w:pPr>
    </w:p>
    <w:p w:rsidR="00F343FA" w:rsidRPr="003D6474" w:rsidRDefault="00F343FA" w:rsidP="003B10E7">
      <w:pPr>
        <w:pStyle w:val="BodyText"/>
        <w:rPr>
          <w:lang w:val="en-GB"/>
        </w:rPr>
      </w:pPr>
      <w:r w:rsidRPr="003D6474">
        <w:rPr>
          <w:lang w:val="en-GB"/>
        </w:rPr>
        <w:t xml:space="preserve">Regarding H2, </w:t>
      </w:r>
      <w:r w:rsidR="00362CAE" w:rsidRPr="003D6474">
        <w:rPr>
          <w:lang w:val="en-GB"/>
        </w:rPr>
        <w:t>the data indicates that a working community is a key</w:t>
      </w:r>
      <w:r w:rsidR="00666F5B" w:rsidRPr="003D6474">
        <w:rPr>
          <w:lang w:val="en-GB"/>
        </w:rPr>
        <w:t xml:space="preserve"> </w:t>
      </w:r>
      <w:r w:rsidR="00362CAE" w:rsidRPr="003D6474">
        <w:rPr>
          <w:lang w:val="en-GB"/>
        </w:rPr>
        <w:t xml:space="preserve">component to strengthen </w:t>
      </w:r>
      <w:r w:rsidR="00B17DD1" w:rsidRPr="003D6474">
        <w:rPr>
          <w:lang w:val="en-GB"/>
        </w:rPr>
        <w:t>online government services</w:t>
      </w:r>
      <w:r w:rsidRPr="003D6474">
        <w:rPr>
          <w:lang w:val="en-GB"/>
        </w:rPr>
        <w:t xml:space="preserve">. These results are consistent with Curry and Stancich´s (2000) findings, and suggest that although communication and collaboration for knowledge creation in </w:t>
      </w:r>
      <w:r w:rsidR="002351CE" w:rsidRPr="003D6474">
        <w:rPr>
          <w:lang w:val="en-GB"/>
        </w:rPr>
        <w:t xml:space="preserve">companies </w:t>
      </w:r>
      <w:r w:rsidRPr="003D6474">
        <w:rPr>
          <w:lang w:val="en-GB"/>
        </w:rPr>
        <w:t xml:space="preserve">requires an appropriate technology infrastructure, it also requires a high level of commitment to technologies among stakeholders. Because of the inherent complexity of </w:t>
      </w:r>
      <w:r w:rsidR="00B17DD1" w:rsidRPr="003D6474">
        <w:rPr>
          <w:lang w:val="en-GB"/>
        </w:rPr>
        <w:t>online government services</w:t>
      </w:r>
      <w:r w:rsidRPr="003D6474">
        <w:rPr>
          <w:lang w:val="en-GB"/>
        </w:rPr>
        <w:t xml:space="preserve">, working communities must potentially enable employees to scale initial hurdles to acceptance and usage, leading to greater firm adoption of </w:t>
      </w:r>
      <w:r w:rsidR="00B17DD1" w:rsidRPr="003D6474">
        <w:rPr>
          <w:lang w:val="en-GB"/>
        </w:rPr>
        <w:t>online government services</w:t>
      </w:r>
      <w:r w:rsidRPr="003D6474">
        <w:rPr>
          <w:lang w:val="en-GB"/>
        </w:rPr>
        <w:t xml:space="preserve"> (Lin </w:t>
      </w:r>
      <w:r w:rsidR="00453374" w:rsidRPr="003D6474">
        <w:rPr>
          <w:lang w:val="en-GB"/>
        </w:rPr>
        <w:t>&amp;</w:t>
      </w:r>
      <w:r w:rsidRPr="003D6474">
        <w:rPr>
          <w:lang w:val="en-GB"/>
        </w:rPr>
        <w:t xml:space="preserve"> Lee, 2005). This implies that, for example, rather than engaging in an extensive search through the Internet, employees turn first to friends and peers to learn where to find relevant knowledge. Therefore, by using workplace communities, the human creativity needed for the impl</w:t>
      </w:r>
      <w:r w:rsidR="00F532F0" w:rsidRPr="003D6474">
        <w:rPr>
          <w:lang w:val="en-GB"/>
        </w:rPr>
        <w:t>ementation of online services</w:t>
      </w:r>
      <w:r w:rsidRPr="003D6474">
        <w:rPr>
          <w:lang w:val="en-GB"/>
        </w:rPr>
        <w:t xml:space="preserve"> can be increased and thus users increase their ability to use spontaneous interactions to interpret, integrate, and take coherent actions.</w:t>
      </w:r>
    </w:p>
    <w:p w:rsidR="0045299B" w:rsidRPr="003D6474" w:rsidRDefault="0045299B" w:rsidP="003B10E7">
      <w:pPr>
        <w:pStyle w:val="BodyText"/>
        <w:rPr>
          <w:lang w:val="en-GB"/>
        </w:rPr>
      </w:pPr>
    </w:p>
    <w:p w:rsidR="00F343FA" w:rsidRPr="003D6474" w:rsidRDefault="00F343FA" w:rsidP="003B10E7">
      <w:pPr>
        <w:pStyle w:val="BodyText"/>
        <w:rPr>
          <w:lang w:val="en-GB"/>
        </w:rPr>
      </w:pPr>
      <w:r w:rsidRPr="003D6474">
        <w:rPr>
          <w:lang w:val="en-GB"/>
        </w:rPr>
        <w:t>With regard to H3, the findings also highlight that having appropriate organisational contexts for learning (</w:t>
      </w:r>
      <w:r w:rsidR="00BA2695" w:rsidRPr="003D6474">
        <w:rPr>
          <w:lang w:val="en-GB"/>
        </w:rPr>
        <w:t xml:space="preserve">i.e. organisational </w:t>
      </w:r>
      <w:r w:rsidRPr="003D6474">
        <w:rPr>
          <w:lang w:val="en-GB"/>
        </w:rPr>
        <w:t xml:space="preserve">context) </w:t>
      </w:r>
      <w:r w:rsidR="00437BD3" w:rsidRPr="003D6474">
        <w:rPr>
          <w:lang w:val="en-GB"/>
        </w:rPr>
        <w:t xml:space="preserve">in place </w:t>
      </w:r>
      <w:r w:rsidRPr="003D6474">
        <w:rPr>
          <w:lang w:val="en-GB"/>
        </w:rPr>
        <w:t xml:space="preserve">can </w:t>
      </w:r>
      <w:r w:rsidR="005652CC" w:rsidRPr="003D6474">
        <w:rPr>
          <w:lang w:val="en-GB"/>
        </w:rPr>
        <w:t xml:space="preserve">support organisations </w:t>
      </w:r>
      <w:r w:rsidRPr="003D6474">
        <w:rPr>
          <w:lang w:val="en-GB"/>
        </w:rPr>
        <w:t xml:space="preserve">and government </w:t>
      </w:r>
      <w:r w:rsidR="00E96108" w:rsidRPr="003D6474">
        <w:rPr>
          <w:lang w:val="en-GB"/>
        </w:rPr>
        <w:t xml:space="preserve">in </w:t>
      </w:r>
      <w:r w:rsidR="003F29D2" w:rsidRPr="003D6474">
        <w:rPr>
          <w:lang w:val="en-GB"/>
        </w:rPr>
        <w:t xml:space="preserve">an </w:t>
      </w:r>
      <w:r w:rsidRPr="003D6474">
        <w:rPr>
          <w:lang w:val="en-GB"/>
        </w:rPr>
        <w:t xml:space="preserve">adequate transit from structural understandings of </w:t>
      </w:r>
      <w:r w:rsidR="005254AC" w:rsidRPr="003D6474">
        <w:rPr>
          <w:lang w:val="en-GB"/>
        </w:rPr>
        <w:t>online services</w:t>
      </w:r>
      <w:r w:rsidRPr="003D6474">
        <w:rPr>
          <w:lang w:val="en-GB"/>
        </w:rPr>
        <w:t xml:space="preserve"> towards enabling customers to take control over their government affairs</w:t>
      </w:r>
      <w:r w:rsidR="005254AC" w:rsidRPr="003D6474">
        <w:rPr>
          <w:lang w:val="en-GB"/>
        </w:rPr>
        <w:t xml:space="preserve"> (Grimsley </w:t>
      </w:r>
      <w:r w:rsidR="00453374" w:rsidRPr="003D6474">
        <w:rPr>
          <w:lang w:val="en-GB"/>
        </w:rPr>
        <w:t>&amp;</w:t>
      </w:r>
      <w:r w:rsidR="005254AC" w:rsidRPr="003D6474">
        <w:rPr>
          <w:lang w:val="en-GB"/>
        </w:rPr>
        <w:t xml:space="preserve"> Meehan, 2007)</w:t>
      </w:r>
      <w:r w:rsidRPr="003D6474">
        <w:rPr>
          <w:lang w:val="en-GB"/>
        </w:rPr>
        <w:t>. Thus, attitudes, behavio</w:t>
      </w:r>
      <w:r w:rsidR="00700A4D" w:rsidRPr="003D6474">
        <w:rPr>
          <w:lang w:val="en-GB"/>
        </w:rPr>
        <w:t>u</w:t>
      </w:r>
      <w:r w:rsidRPr="003D6474">
        <w:rPr>
          <w:lang w:val="en-GB"/>
        </w:rPr>
        <w:t xml:space="preserve">rs, emotional reactions and motivations that individuals maintain within their </w:t>
      </w:r>
      <w:r w:rsidR="002D6B8A" w:rsidRPr="003D6474">
        <w:rPr>
          <w:lang w:val="en-GB"/>
        </w:rPr>
        <w:t xml:space="preserve">organisational </w:t>
      </w:r>
      <w:r w:rsidRPr="003D6474">
        <w:rPr>
          <w:lang w:val="en-GB"/>
        </w:rPr>
        <w:t xml:space="preserve">contexts should be considered </w:t>
      </w:r>
      <w:r w:rsidR="00A32572" w:rsidRPr="003D6474">
        <w:rPr>
          <w:lang w:val="en-GB"/>
        </w:rPr>
        <w:t xml:space="preserve">in order </w:t>
      </w:r>
      <w:r w:rsidRPr="003D6474">
        <w:rPr>
          <w:lang w:val="en-GB"/>
        </w:rPr>
        <w:t xml:space="preserve">to adapt new tools </w:t>
      </w:r>
      <w:r w:rsidR="00166AB2" w:rsidRPr="003D6474">
        <w:rPr>
          <w:lang w:val="en-GB"/>
        </w:rPr>
        <w:t xml:space="preserve">such as </w:t>
      </w:r>
      <w:r w:rsidR="00B17DD1" w:rsidRPr="003D6474">
        <w:rPr>
          <w:lang w:val="en-GB"/>
        </w:rPr>
        <w:t xml:space="preserve">online government services </w:t>
      </w:r>
      <w:r w:rsidR="00A67E0E" w:rsidRPr="003D6474">
        <w:rPr>
          <w:lang w:val="en-GB"/>
        </w:rPr>
        <w:t>to the requirements of the organisation and its customers</w:t>
      </w:r>
      <w:r w:rsidR="00166AB2" w:rsidRPr="003D6474">
        <w:rPr>
          <w:lang w:val="en-GB"/>
        </w:rPr>
        <w:t xml:space="preserve">. </w:t>
      </w:r>
      <w:r w:rsidR="00A502C3" w:rsidRPr="003D6474">
        <w:rPr>
          <w:lang w:val="en-GB"/>
        </w:rPr>
        <w:t>B</w:t>
      </w:r>
      <w:r w:rsidRPr="003D6474">
        <w:rPr>
          <w:lang w:val="en-GB"/>
        </w:rPr>
        <w:t xml:space="preserve">y </w:t>
      </w:r>
      <w:r w:rsidR="00A502C3" w:rsidRPr="003D6474">
        <w:rPr>
          <w:lang w:val="en-GB"/>
        </w:rPr>
        <w:t xml:space="preserve">organisational </w:t>
      </w:r>
      <w:r w:rsidRPr="003D6474">
        <w:rPr>
          <w:lang w:val="en-GB"/>
        </w:rPr>
        <w:t xml:space="preserve">context, individuals can consider the advantages </w:t>
      </w:r>
      <w:r w:rsidR="00A87E91" w:rsidRPr="003D6474">
        <w:rPr>
          <w:lang w:val="en-GB"/>
        </w:rPr>
        <w:t xml:space="preserve">and </w:t>
      </w:r>
      <w:r w:rsidRPr="003D6474">
        <w:rPr>
          <w:lang w:val="en-GB"/>
        </w:rPr>
        <w:t xml:space="preserve">disadvantages of many alternative solutions </w:t>
      </w:r>
      <w:r w:rsidR="00022871" w:rsidRPr="003D6474">
        <w:rPr>
          <w:lang w:val="en-GB"/>
        </w:rPr>
        <w:t xml:space="preserve">including an </w:t>
      </w:r>
      <w:r w:rsidRPr="003D6474">
        <w:rPr>
          <w:lang w:val="en-GB"/>
        </w:rPr>
        <w:t xml:space="preserve">increase </w:t>
      </w:r>
      <w:r w:rsidR="00EE4CBC" w:rsidRPr="003D6474">
        <w:rPr>
          <w:lang w:val="en-GB"/>
        </w:rPr>
        <w:t xml:space="preserve">in </w:t>
      </w:r>
      <w:r w:rsidRPr="003D6474">
        <w:rPr>
          <w:lang w:val="en-GB"/>
        </w:rPr>
        <w:t>flexibility, better control over process, time saved, etc</w:t>
      </w:r>
      <w:r w:rsidR="003D7B77" w:rsidRPr="003D6474">
        <w:rPr>
          <w:lang w:val="en-GB"/>
        </w:rPr>
        <w:t>.</w:t>
      </w:r>
      <w:r w:rsidRPr="003D6474">
        <w:rPr>
          <w:lang w:val="en-GB"/>
        </w:rPr>
        <w:t>, which in turn facilitate the retrieval of relevant knowledge</w:t>
      </w:r>
      <w:r w:rsidR="000B6D6E" w:rsidRPr="003D6474">
        <w:rPr>
          <w:lang w:val="en-GB"/>
        </w:rPr>
        <w:t xml:space="preserve"> </w:t>
      </w:r>
      <w:r w:rsidRPr="003D6474">
        <w:rPr>
          <w:lang w:val="en-GB"/>
        </w:rPr>
        <w:t xml:space="preserve">and </w:t>
      </w:r>
      <w:r w:rsidR="000B6D6E" w:rsidRPr="003D6474">
        <w:rPr>
          <w:lang w:val="en-GB"/>
        </w:rPr>
        <w:t xml:space="preserve">its application </w:t>
      </w:r>
      <w:r w:rsidRPr="003D6474">
        <w:rPr>
          <w:lang w:val="en-GB"/>
        </w:rPr>
        <w:t xml:space="preserve">in the implementation of </w:t>
      </w:r>
      <w:r w:rsidR="00B17DD1" w:rsidRPr="003D6474">
        <w:rPr>
          <w:lang w:val="en-GB"/>
        </w:rPr>
        <w:t xml:space="preserve">online government services </w:t>
      </w:r>
      <w:r w:rsidRPr="003D6474">
        <w:rPr>
          <w:lang w:val="en-GB"/>
        </w:rPr>
        <w:t>within the company.</w:t>
      </w:r>
    </w:p>
    <w:p w:rsidR="0045299B" w:rsidRPr="003D6474" w:rsidRDefault="0045299B" w:rsidP="003B10E7">
      <w:pPr>
        <w:pStyle w:val="BodyText"/>
        <w:rPr>
          <w:lang w:val="en-GB"/>
        </w:rPr>
      </w:pPr>
    </w:p>
    <w:p w:rsidR="0045299B" w:rsidRPr="003D6474" w:rsidRDefault="00AA6537" w:rsidP="003B10E7">
      <w:pPr>
        <w:pStyle w:val="BodyText"/>
        <w:rPr>
          <w:lang w:val="en-GB"/>
        </w:rPr>
      </w:pPr>
      <w:r w:rsidRPr="003D6474">
        <w:rPr>
          <w:lang w:val="en-GB"/>
        </w:rPr>
        <w:t xml:space="preserve">Concerning </w:t>
      </w:r>
      <w:r w:rsidR="00F343FA" w:rsidRPr="003D6474">
        <w:rPr>
          <w:lang w:val="en-GB"/>
        </w:rPr>
        <w:t xml:space="preserve">H4, the findings corroborate </w:t>
      </w:r>
      <w:r w:rsidR="00EE28AB" w:rsidRPr="003D6474">
        <w:rPr>
          <w:lang w:val="en-GB"/>
        </w:rPr>
        <w:t xml:space="preserve">the fact </w:t>
      </w:r>
      <w:r w:rsidR="00F343FA" w:rsidRPr="003D6474">
        <w:rPr>
          <w:lang w:val="en-GB"/>
        </w:rPr>
        <w:t xml:space="preserve">that the presence of </w:t>
      </w:r>
      <w:r w:rsidR="00B17DD1" w:rsidRPr="003D6474">
        <w:rPr>
          <w:lang w:val="en-GB"/>
        </w:rPr>
        <w:t xml:space="preserve">online government services </w:t>
      </w:r>
      <w:r w:rsidR="00F343FA" w:rsidRPr="003D6474">
        <w:rPr>
          <w:lang w:val="en-GB"/>
        </w:rPr>
        <w:t xml:space="preserve">contributes positively to help </w:t>
      </w:r>
      <w:r w:rsidR="002351CE" w:rsidRPr="003D6474">
        <w:rPr>
          <w:lang w:val="en-GB"/>
        </w:rPr>
        <w:t xml:space="preserve">hotels </w:t>
      </w:r>
      <w:r w:rsidR="00F343FA" w:rsidRPr="003D6474">
        <w:rPr>
          <w:lang w:val="en-GB"/>
        </w:rPr>
        <w:t xml:space="preserve">to achieve higher levels of performance. This accomplishes what authors such as Barua </w:t>
      </w:r>
      <w:r w:rsidR="00F343FA" w:rsidRPr="003D6474">
        <w:rPr>
          <w:i/>
          <w:lang w:val="en-GB"/>
        </w:rPr>
        <w:t>et al</w:t>
      </w:r>
      <w:r w:rsidR="00F343FA" w:rsidRPr="003D6474">
        <w:rPr>
          <w:lang w:val="en-GB"/>
        </w:rPr>
        <w:t xml:space="preserve">. (2004) </w:t>
      </w:r>
      <w:r w:rsidR="00055880" w:rsidRPr="003D6474">
        <w:rPr>
          <w:lang w:val="en-GB"/>
        </w:rPr>
        <w:t xml:space="preserve">meant </w:t>
      </w:r>
      <w:r w:rsidR="00F343FA" w:rsidRPr="003D6474">
        <w:rPr>
          <w:lang w:val="en-GB"/>
        </w:rPr>
        <w:t>when they highlight</w:t>
      </w:r>
      <w:r w:rsidR="00055880" w:rsidRPr="003D6474">
        <w:rPr>
          <w:lang w:val="en-GB"/>
        </w:rPr>
        <w:t>ed</w:t>
      </w:r>
      <w:r w:rsidR="00F343FA" w:rsidRPr="003D6474">
        <w:rPr>
          <w:lang w:val="en-GB"/>
        </w:rPr>
        <w:t xml:space="preserve"> that </w:t>
      </w:r>
      <w:r w:rsidR="0058084A" w:rsidRPr="003D6474">
        <w:rPr>
          <w:lang w:val="en-GB"/>
        </w:rPr>
        <w:t xml:space="preserve">the </w:t>
      </w:r>
      <w:r w:rsidR="00F343FA" w:rsidRPr="003D6474">
        <w:rPr>
          <w:lang w:val="en-GB"/>
        </w:rPr>
        <w:t>provi</w:t>
      </w:r>
      <w:r w:rsidR="0058084A" w:rsidRPr="003D6474">
        <w:rPr>
          <w:lang w:val="en-GB"/>
        </w:rPr>
        <w:t xml:space="preserve">sion of </w:t>
      </w:r>
      <w:r w:rsidR="00F343FA" w:rsidRPr="003D6474">
        <w:rPr>
          <w:lang w:val="en-GB"/>
        </w:rPr>
        <w:t xml:space="preserve">active help towards achieving their goals (e.g. </w:t>
      </w:r>
      <w:r w:rsidR="00B17DD1" w:rsidRPr="003D6474">
        <w:rPr>
          <w:lang w:val="en-GB"/>
        </w:rPr>
        <w:t xml:space="preserve">online government services </w:t>
      </w:r>
      <w:r w:rsidR="00F343FA" w:rsidRPr="003D6474">
        <w:rPr>
          <w:lang w:val="en-GB"/>
        </w:rPr>
        <w:t xml:space="preserve">implementation) drives technology users to achieve higher levels of business performance. An effective </w:t>
      </w:r>
      <w:r w:rsidR="00B17DD1" w:rsidRPr="003D6474">
        <w:rPr>
          <w:lang w:val="en-GB"/>
        </w:rPr>
        <w:t xml:space="preserve">online government </w:t>
      </w:r>
      <w:r w:rsidR="00F343FA" w:rsidRPr="003D6474">
        <w:rPr>
          <w:lang w:val="en-GB"/>
        </w:rPr>
        <w:t xml:space="preserve">application is expected to improve performance </w:t>
      </w:r>
      <w:r w:rsidR="00DA1115" w:rsidRPr="003D6474">
        <w:rPr>
          <w:lang w:val="en-GB"/>
        </w:rPr>
        <w:t xml:space="preserve">through a </w:t>
      </w:r>
      <w:r w:rsidR="00F343FA" w:rsidRPr="003D6474">
        <w:rPr>
          <w:lang w:val="en-GB"/>
        </w:rPr>
        <w:t>reduc</w:t>
      </w:r>
      <w:r w:rsidR="00DA1115" w:rsidRPr="003D6474">
        <w:rPr>
          <w:lang w:val="en-GB"/>
        </w:rPr>
        <w:t>tion in</w:t>
      </w:r>
      <w:r w:rsidR="00F343FA" w:rsidRPr="003D6474">
        <w:rPr>
          <w:lang w:val="en-GB"/>
        </w:rPr>
        <w:t xml:space="preserve"> costs, improv</w:t>
      </w:r>
      <w:r w:rsidR="007218B0" w:rsidRPr="003D6474">
        <w:rPr>
          <w:lang w:val="en-GB"/>
        </w:rPr>
        <w:t>ements in</w:t>
      </w:r>
      <w:r w:rsidR="00F343FA" w:rsidRPr="003D6474">
        <w:rPr>
          <w:lang w:val="en-GB"/>
        </w:rPr>
        <w:t xml:space="preserve"> operational efficiency and enabling </w:t>
      </w:r>
      <w:r w:rsidR="00F958B8" w:rsidRPr="003D6474">
        <w:rPr>
          <w:lang w:val="en-GB"/>
        </w:rPr>
        <w:t xml:space="preserve">organisations </w:t>
      </w:r>
      <w:r w:rsidR="00F343FA" w:rsidRPr="003D6474">
        <w:rPr>
          <w:lang w:val="en-GB"/>
        </w:rPr>
        <w:t xml:space="preserve">to become more knowledgeable about their </w:t>
      </w:r>
      <w:r w:rsidR="005B2AC4" w:rsidRPr="003D6474">
        <w:rPr>
          <w:lang w:val="en-GB"/>
        </w:rPr>
        <w:t xml:space="preserve">own </w:t>
      </w:r>
      <w:r w:rsidR="00F343FA" w:rsidRPr="003D6474">
        <w:rPr>
          <w:lang w:val="en-GB"/>
        </w:rPr>
        <w:t>relationships with governments</w:t>
      </w:r>
      <w:r w:rsidR="0086131E" w:rsidRPr="003D6474">
        <w:rPr>
          <w:lang w:val="en-GB"/>
        </w:rPr>
        <w:t>. However,</w:t>
      </w:r>
      <w:r w:rsidR="00F343FA" w:rsidRPr="003D6474">
        <w:rPr>
          <w:lang w:val="en-GB"/>
        </w:rPr>
        <w:t xml:space="preserve"> if poorly planned</w:t>
      </w:r>
      <w:r w:rsidR="007E4FB2" w:rsidRPr="003D6474">
        <w:rPr>
          <w:lang w:val="en-GB"/>
        </w:rPr>
        <w:t xml:space="preserve"> and </w:t>
      </w:r>
      <w:r w:rsidR="00F343FA" w:rsidRPr="003D6474">
        <w:rPr>
          <w:lang w:val="en-GB"/>
        </w:rPr>
        <w:t xml:space="preserve">developed or </w:t>
      </w:r>
      <w:r w:rsidR="007E4FB2" w:rsidRPr="003D6474">
        <w:rPr>
          <w:lang w:val="en-GB"/>
        </w:rPr>
        <w:t xml:space="preserve">if </w:t>
      </w:r>
      <w:r w:rsidR="00F343FA" w:rsidRPr="003D6474">
        <w:rPr>
          <w:lang w:val="en-GB"/>
        </w:rPr>
        <w:t xml:space="preserve">implemented without due recognition </w:t>
      </w:r>
      <w:r w:rsidR="00CA0CD6" w:rsidRPr="003D6474">
        <w:rPr>
          <w:lang w:val="en-GB"/>
        </w:rPr>
        <w:t xml:space="preserve">of the need </w:t>
      </w:r>
      <w:r w:rsidR="00F343FA" w:rsidRPr="003D6474">
        <w:rPr>
          <w:lang w:val="en-GB"/>
        </w:rPr>
        <w:t xml:space="preserve">to increase human resource effectiveness, </w:t>
      </w:r>
      <w:r w:rsidR="000E1581" w:rsidRPr="003D6474">
        <w:rPr>
          <w:lang w:val="en-GB"/>
        </w:rPr>
        <w:t xml:space="preserve">an </w:t>
      </w:r>
      <w:r w:rsidR="00B17DD1" w:rsidRPr="003D6474">
        <w:rPr>
          <w:lang w:val="en-GB"/>
        </w:rPr>
        <w:t>online government service</w:t>
      </w:r>
      <w:r w:rsidR="000E1581" w:rsidRPr="003D6474">
        <w:rPr>
          <w:lang w:val="en-GB"/>
        </w:rPr>
        <w:t xml:space="preserve"> application</w:t>
      </w:r>
      <w:r w:rsidR="00F343FA" w:rsidRPr="003D6474">
        <w:rPr>
          <w:lang w:val="en-GB"/>
        </w:rPr>
        <w:t xml:space="preserve"> </w:t>
      </w:r>
      <w:r w:rsidR="00FE28CE" w:rsidRPr="003D6474">
        <w:rPr>
          <w:lang w:val="en-GB"/>
        </w:rPr>
        <w:t xml:space="preserve">could </w:t>
      </w:r>
      <w:r w:rsidR="004A275F" w:rsidRPr="003D6474">
        <w:rPr>
          <w:lang w:val="en-GB"/>
        </w:rPr>
        <w:t xml:space="preserve">hinder </w:t>
      </w:r>
      <w:r w:rsidR="00F343FA" w:rsidRPr="003D6474">
        <w:rPr>
          <w:lang w:val="en-GB"/>
        </w:rPr>
        <w:t xml:space="preserve">individual and/or group performance. </w:t>
      </w:r>
    </w:p>
    <w:p w:rsidR="003B10E7" w:rsidRPr="003D6474" w:rsidRDefault="003B10E7" w:rsidP="003B10E7">
      <w:pPr>
        <w:pStyle w:val="BodyText"/>
        <w:rPr>
          <w:lang w:val="en-GB"/>
        </w:rPr>
      </w:pPr>
    </w:p>
    <w:p w:rsidR="00F343FA" w:rsidRPr="003D6474" w:rsidRDefault="00F343FA" w:rsidP="003B10E7">
      <w:pPr>
        <w:pStyle w:val="BodyText"/>
        <w:rPr>
          <w:i/>
          <w:iCs/>
          <w:lang w:val="en-GB"/>
        </w:rPr>
      </w:pPr>
      <w:r w:rsidRPr="003D6474">
        <w:rPr>
          <w:i/>
          <w:iCs/>
          <w:lang w:val="en-GB"/>
        </w:rPr>
        <w:t>Managerial implications</w:t>
      </w:r>
    </w:p>
    <w:p w:rsidR="0045299B" w:rsidRPr="003D6474" w:rsidRDefault="0045299B" w:rsidP="003B10E7">
      <w:pPr>
        <w:pStyle w:val="BodyText"/>
        <w:rPr>
          <w:lang w:val="en-GB"/>
        </w:rPr>
      </w:pPr>
    </w:p>
    <w:p w:rsidR="003B10E7" w:rsidRPr="003D6474" w:rsidRDefault="00F343FA" w:rsidP="003B10E7">
      <w:pPr>
        <w:pStyle w:val="BodyText"/>
        <w:rPr>
          <w:lang w:val="en-GB"/>
        </w:rPr>
      </w:pPr>
      <w:r w:rsidRPr="003D6474">
        <w:rPr>
          <w:lang w:val="en-GB"/>
        </w:rPr>
        <w:t xml:space="preserve">The above discussion suggests that governments may be over-investing in the development of </w:t>
      </w:r>
      <w:r w:rsidR="00FD6B9F" w:rsidRPr="003D6474">
        <w:rPr>
          <w:lang w:val="en-GB"/>
        </w:rPr>
        <w:t>service</w:t>
      </w:r>
      <w:r w:rsidR="00201171" w:rsidRPr="003D6474">
        <w:rPr>
          <w:lang w:val="en-GB"/>
        </w:rPr>
        <w:t>s</w:t>
      </w:r>
      <w:r w:rsidRPr="003D6474">
        <w:rPr>
          <w:lang w:val="en-GB"/>
        </w:rPr>
        <w:t xml:space="preserve"> websites, </w:t>
      </w:r>
      <w:r w:rsidR="000B49F6" w:rsidRPr="003D6474">
        <w:rPr>
          <w:lang w:val="en-GB"/>
        </w:rPr>
        <w:t xml:space="preserve">while </w:t>
      </w:r>
      <w:r w:rsidRPr="003D6474">
        <w:rPr>
          <w:lang w:val="en-GB"/>
        </w:rPr>
        <w:t>underestimating</w:t>
      </w:r>
      <w:r w:rsidR="00E12482" w:rsidRPr="003D6474">
        <w:rPr>
          <w:lang w:val="en-GB"/>
        </w:rPr>
        <w:t xml:space="preserve"> the importance of</w:t>
      </w:r>
      <w:r w:rsidRPr="003D6474">
        <w:rPr>
          <w:lang w:val="en-GB"/>
        </w:rPr>
        <w:t xml:space="preserve"> mechanisms </w:t>
      </w:r>
      <w:r w:rsidR="003914FE" w:rsidRPr="003D6474">
        <w:rPr>
          <w:lang w:val="en-GB"/>
        </w:rPr>
        <w:t xml:space="preserve">such as </w:t>
      </w:r>
      <w:r w:rsidRPr="003D6474">
        <w:rPr>
          <w:lang w:val="en-GB"/>
        </w:rPr>
        <w:t xml:space="preserve">external communities, workplace communities and </w:t>
      </w:r>
      <w:r w:rsidR="003914FE" w:rsidRPr="003D6474">
        <w:rPr>
          <w:lang w:val="en-GB"/>
        </w:rPr>
        <w:t xml:space="preserve">the nurturing of the right organisational </w:t>
      </w:r>
      <w:r w:rsidRPr="003D6474">
        <w:rPr>
          <w:lang w:val="en-GB"/>
        </w:rPr>
        <w:t>context</w:t>
      </w:r>
      <w:r w:rsidR="003914FE" w:rsidRPr="003D6474">
        <w:rPr>
          <w:lang w:val="en-GB"/>
        </w:rPr>
        <w:t xml:space="preserve">, which </w:t>
      </w:r>
      <w:r w:rsidRPr="003D6474">
        <w:rPr>
          <w:lang w:val="en-GB"/>
        </w:rPr>
        <w:t xml:space="preserve">facilitate the external, relational and internal implementation of </w:t>
      </w:r>
      <w:r w:rsidR="00B17DD1" w:rsidRPr="003D6474">
        <w:rPr>
          <w:lang w:val="en-GB"/>
        </w:rPr>
        <w:t>online government services</w:t>
      </w:r>
      <w:r w:rsidRPr="003D6474">
        <w:rPr>
          <w:lang w:val="en-GB"/>
        </w:rPr>
        <w:t xml:space="preserve"> among </w:t>
      </w:r>
      <w:r w:rsidR="000A502D" w:rsidRPr="003D6474">
        <w:rPr>
          <w:lang w:val="en-GB"/>
        </w:rPr>
        <w:t>hotel managers</w:t>
      </w:r>
      <w:r w:rsidR="003914FE" w:rsidRPr="003D6474">
        <w:rPr>
          <w:lang w:val="en-GB"/>
        </w:rPr>
        <w:t>. Ultimately</w:t>
      </w:r>
      <w:r w:rsidR="000A502D" w:rsidRPr="003D6474">
        <w:rPr>
          <w:lang w:val="en-GB"/>
        </w:rPr>
        <w:t xml:space="preserve">, </w:t>
      </w:r>
      <w:r w:rsidR="003914FE" w:rsidRPr="003D6474">
        <w:rPr>
          <w:lang w:val="en-GB"/>
        </w:rPr>
        <w:t xml:space="preserve">managers </w:t>
      </w:r>
      <w:r w:rsidR="000A502D" w:rsidRPr="003D6474">
        <w:rPr>
          <w:lang w:val="en-GB"/>
        </w:rPr>
        <w:t xml:space="preserve">are responsible for </w:t>
      </w:r>
      <w:r w:rsidR="003914FE" w:rsidRPr="003D6474">
        <w:rPr>
          <w:lang w:val="en-GB"/>
        </w:rPr>
        <w:t xml:space="preserve">the </w:t>
      </w:r>
      <w:r w:rsidR="000A502D" w:rsidRPr="003D6474">
        <w:rPr>
          <w:lang w:val="en-GB"/>
        </w:rPr>
        <w:t>planning, marketing, coordinating and administering hotel services</w:t>
      </w:r>
      <w:r w:rsidR="003914FE" w:rsidRPr="003D6474">
        <w:rPr>
          <w:lang w:val="en-GB"/>
        </w:rPr>
        <w:t xml:space="preserve"> as well as their employees</w:t>
      </w:r>
      <w:r w:rsidRPr="003D6474">
        <w:rPr>
          <w:lang w:val="en-GB"/>
        </w:rPr>
        <w:t xml:space="preserve">. This suggests that </w:t>
      </w:r>
      <w:r w:rsidR="00077FFD" w:rsidRPr="003D6474">
        <w:rPr>
          <w:lang w:val="en-GB"/>
        </w:rPr>
        <w:t xml:space="preserve">the design of </w:t>
      </w:r>
      <w:r w:rsidR="00B17DD1" w:rsidRPr="003D6474">
        <w:rPr>
          <w:lang w:val="en-GB"/>
        </w:rPr>
        <w:t xml:space="preserve">online government services </w:t>
      </w:r>
      <w:r w:rsidRPr="003D6474">
        <w:rPr>
          <w:lang w:val="en-GB"/>
        </w:rPr>
        <w:t xml:space="preserve">for </w:t>
      </w:r>
      <w:r w:rsidR="000A502D" w:rsidRPr="003D6474">
        <w:rPr>
          <w:lang w:val="en-GB"/>
        </w:rPr>
        <w:t>hotels</w:t>
      </w:r>
      <w:r w:rsidRPr="003D6474">
        <w:rPr>
          <w:lang w:val="en-GB"/>
        </w:rPr>
        <w:t xml:space="preserve"> should consider </w:t>
      </w:r>
      <w:r w:rsidR="001A264C" w:rsidRPr="003D6474">
        <w:rPr>
          <w:lang w:val="en-GB"/>
        </w:rPr>
        <w:t xml:space="preserve">the </w:t>
      </w:r>
      <w:r w:rsidR="00DE085A" w:rsidRPr="003D6474">
        <w:rPr>
          <w:lang w:val="en-GB"/>
        </w:rPr>
        <w:t xml:space="preserve">roles, </w:t>
      </w:r>
      <w:r w:rsidR="00DE085A" w:rsidRPr="003D6474">
        <w:rPr>
          <w:lang w:val="en-GB"/>
        </w:rPr>
        <w:lastRenderedPageBreak/>
        <w:t xml:space="preserve">responsibilities and </w:t>
      </w:r>
      <w:r w:rsidRPr="003D6474">
        <w:rPr>
          <w:lang w:val="en-GB"/>
        </w:rPr>
        <w:t xml:space="preserve">capabilities </w:t>
      </w:r>
      <w:r w:rsidR="001A264C" w:rsidRPr="003D6474">
        <w:rPr>
          <w:lang w:val="en-GB"/>
        </w:rPr>
        <w:t>that hotel managers have in terms of the delivery of hotel services</w:t>
      </w:r>
      <w:r w:rsidRPr="003D6474">
        <w:rPr>
          <w:lang w:val="en-GB"/>
        </w:rPr>
        <w:t xml:space="preserve">. In other words, governments should strive to create an environment in which </w:t>
      </w:r>
      <w:r w:rsidR="000A502D" w:rsidRPr="003D6474">
        <w:rPr>
          <w:lang w:val="en-GB"/>
        </w:rPr>
        <w:t>hotel managers</w:t>
      </w:r>
      <w:r w:rsidRPr="003D6474">
        <w:rPr>
          <w:lang w:val="en-GB"/>
        </w:rPr>
        <w:t xml:space="preserve"> can use </w:t>
      </w:r>
      <w:r w:rsidR="00B17DD1" w:rsidRPr="003D6474">
        <w:rPr>
          <w:lang w:val="en-GB"/>
        </w:rPr>
        <w:t>online government services</w:t>
      </w:r>
      <w:r w:rsidRPr="003D6474">
        <w:rPr>
          <w:lang w:val="en-GB"/>
        </w:rPr>
        <w:t xml:space="preserve">. In this aim, considerations should be given to how </w:t>
      </w:r>
      <w:r w:rsidR="003B10E7" w:rsidRPr="003D6474">
        <w:rPr>
          <w:lang w:val="en-GB"/>
        </w:rPr>
        <w:t xml:space="preserve">knowledge management </w:t>
      </w:r>
      <w:r w:rsidR="003F139F" w:rsidRPr="003D6474">
        <w:rPr>
          <w:lang w:val="en-GB"/>
        </w:rPr>
        <w:t xml:space="preserve">can </w:t>
      </w:r>
      <w:r w:rsidRPr="003D6474">
        <w:rPr>
          <w:lang w:val="en-GB"/>
        </w:rPr>
        <w:t xml:space="preserve">foster the </w:t>
      </w:r>
      <w:r w:rsidR="003F139F" w:rsidRPr="003D6474">
        <w:rPr>
          <w:lang w:val="en-GB"/>
        </w:rPr>
        <w:t xml:space="preserve">utilisation </w:t>
      </w:r>
      <w:r w:rsidRPr="003D6474">
        <w:rPr>
          <w:lang w:val="en-GB"/>
        </w:rPr>
        <w:t xml:space="preserve">of </w:t>
      </w:r>
      <w:r w:rsidR="00B17DD1" w:rsidRPr="003D6474">
        <w:rPr>
          <w:lang w:val="en-GB"/>
        </w:rPr>
        <w:t>online government services</w:t>
      </w:r>
      <w:r w:rsidRPr="003D6474">
        <w:rPr>
          <w:lang w:val="en-GB"/>
        </w:rPr>
        <w:t xml:space="preserve"> to improve business performance, and how </w:t>
      </w:r>
      <w:r w:rsidR="00023F00" w:rsidRPr="003D6474">
        <w:rPr>
          <w:lang w:val="en-GB"/>
        </w:rPr>
        <w:t xml:space="preserve">the use of </w:t>
      </w:r>
      <w:r w:rsidR="00B17DD1" w:rsidRPr="003D6474">
        <w:rPr>
          <w:lang w:val="en-GB"/>
        </w:rPr>
        <w:t xml:space="preserve">online government services </w:t>
      </w:r>
      <w:r w:rsidRPr="003D6474">
        <w:rPr>
          <w:lang w:val="en-GB"/>
        </w:rPr>
        <w:t xml:space="preserve">can enhance and be enhanced by </w:t>
      </w:r>
      <w:r w:rsidR="003B10E7" w:rsidRPr="003D6474">
        <w:rPr>
          <w:lang w:val="en-GB"/>
        </w:rPr>
        <w:t>knowledge structures</w:t>
      </w:r>
      <w:r w:rsidRPr="003D6474">
        <w:rPr>
          <w:lang w:val="en-GB"/>
        </w:rPr>
        <w:t xml:space="preserve">. </w:t>
      </w:r>
    </w:p>
    <w:p w:rsidR="003B10E7" w:rsidRPr="003D6474" w:rsidRDefault="003B10E7" w:rsidP="003B10E7">
      <w:pPr>
        <w:pStyle w:val="BodyText"/>
        <w:rPr>
          <w:lang w:val="en-GB"/>
        </w:rPr>
      </w:pPr>
    </w:p>
    <w:p w:rsidR="008D7DDA" w:rsidRPr="003D6474" w:rsidRDefault="003B10E7" w:rsidP="003B10E7">
      <w:pPr>
        <w:pStyle w:val="BodyText"/>
        <w:rPr>
          <w:lang w:val="en-GB"/>
        </w:rPr>
      </w:pPr>
      <w:r w:rsidRPr="003D6474">
        <w:rPr>
          <w:lang w:val="en-GB"/>
        </w:rPr>
        <w:t>F</w:t>
      </w:r>
      <w:r w:rsidR="00F343FA" w:rsidRPr="003D6474">
        <w:rPr>
          <w:lang w:val="en-GB"/>
        </w:rPr>
        <w:t xml:space="preserve">uture studies </w:t>
      </w:r>
      <w:r w:rsidR="009F4DD2" w:rsidRPr="003D6474">
        <w:rPr>
          <w:lang w:val="en-GB"/>
        </w:rPr>
        <w:t xml:space="preserve">which focus on the interaction between </w:t>
      </w:r>
      <w:r w:rsidR="000A502D" w:rsidRPr="003D6474">
        <w:rPr>
          <w:lang w:val="en-GB"/>
        </w:rPr>
        <w:t>hotel managers</w:t>
      </w:r>
      <w:r w:rsidR="00F343FA" w:rsidRPr="003D6474">
        <w:rPr>
          <w:lang w:val="en-GB"/>
        </w:rPr>
        <w:t xml:space="preserve"> and government may help improve the rigo</w:t>
      </w:r>
      <w:r w:rsidR="0055498B" w:rsidRPr="003D6474">
        <w:rPr>
          <w:lang w:val="en-GB"/>
        </w:rPr>
        <w:t>u</w:t>
      </w:r>
      <w:r w:rsidR="00F343FA" w:rsidRPr="003D6474">
        <w:rPr>
          <w:lang w:val="en-GB"/>
        </w:rPr>
        <w:t>r of the results</w:t>
      </w:r>
      <w:r w:rsidR="0055498B" w:rsidRPr="003D6474">
        <w:rPr>
          <w:lang w:val="en-GB"/>
        </w:rPr>
        <w:t xml:space="preserve"> of this research</w:t>
      </w:r>
      <w:r w:rsidR="00F343FA" w:rsidRPr="003D6474">
        <w:rPr>
          <w:lang w:val="en-GB"/>
        </w:rPr>
        <w:t xml:space="preserve">. In this regard, communities of practice highlight the relevance of ‘boundary objects’ </w:t>
      </w:r>
      <w:r w:rsidR="008428A4" w:rsidRPr="003D6474">
        <w:rPr>
          <w:lang w:val="en-GB"/>
        </w:rPr>
        <w:t xml:space="preserve">in this context </w:t>
      </w:r>
      <w:r w:rsidR="00F343FA" w:rsidRPr="003D6474">
        <w:rPr>
          <w:lang w:val="en-GB"/>
        </w:rPr>
        <w:t xml:space="preserve">(Wenger </w:t>
      </w:r>
      <w:r w:rsidR="00F343FA" w:rsidRPr="003D6474">
        <w:rPr>
          <w:i/>
          <w:lang w:val="en-GB"/>
        </w:rPr>
        <w:t>et al</w:t>
      </w:r>
      <w:r w:rsidR="00F343FA" w:rsidRPr="003D6474">
        <w:rPr>
          <w:lang w:val="en-GB"/>
        </w:rPr>
        <w:t>., 2002). Boundary objects help individuals of communities to co-ordinate their activities. They can also define the limits of workplace communities (</w:t>
      </w:r>
      <w:r w:rsidR="00690907" w:rsidRPr="003D6474">
        <w:rPr>
          <w:lang w:val="en-GB"/>
        </w:rPr>
        <w:t xml:space="preserve">e.g. </w:t>
      </w:r>
      <w:r w:rsidR="00F343FA" w:rsidRPr="003D6474">
        <w:rPr>
          <w:lang w:val="en-GB"/>
        </w:rPr>
        <w:t xml:space="preserve">who </w:t>
      </w:r>
      <w:r w:rsidR="000A30B3" w:rsidRPr="003D6474">
        <w:rPr>
          <w:lang w:val="en-GB"/>
        </w:rPr>
        <w:t xml:space="preserve">should be </w:t>
      </w:r>
      <w:r w:rsidR="00F343FA" w:rsidRPr="003D6474">
        <w:rPr>
          <w:lang w:val="en-GB"/>
        </w:rPr>
        <w:t xml:space="preserve">involved in </w:t>
      </w:r>
      <w:r w:rsidR="005104D4" w:rsidRPr="003D6474">
        <w:rPr>
          <w:lang w:val="en-GB"/>
        </w:rPr>
        <w:t xml:space="preserve">completing </w:t>
      </w:r>
      <w:r w:rsidR="00F343FA" w:rsidRPr="003D6474">
        <w:rPr>
          <w:lang w:val="en-GB"/>
        </w:rPr>
        <w:t xml:space="preserve">a particular task). Identifying and making available boundary objects can help </w:t>
      </w:r>
      <w:r w:rsidR="000A502D" w:rsidRPr="003D6474">
        <w:rPr>
          <w:lang w:val="en-GB"/>
        </w:rPr>
        <w:t>hotel managers</w:t>
      </w:r>
      <w:r w:rsidR="00F343FA" w:rsidRPr="003D6474">
        <w:rPr>
          <w:lang w:val="en-GB"/>
        </w:rPr>
        <w:t xml:space="preserve"> to review their internal and external connections.</w:t>
      </w:r>
      <w:r w:rsidRPr="003D6474">
        <w:rPr>
          <w:lang w:val="en-GB"/>
        </w:rPr>
        <w:t xml:space="preserve"> </w:t>
      </w:r>
    </w:p>
    <w:p w:rsidR="008D7DDA" w:rsidRPr="003D6474" w:rsidRDefault="008D7DDA" w:rsidP="003B10E7">
      <w:pPr>
        <w:pStyle w:val="BodyText"/>
        <w:rPr>
          <w:lang w:val="en-GB"/>
        </w:rPr>
      </w:pPr>
    </w:p>
    <w:p w:rsidR="00F343FA" w:rsidRPr="003D6474" w:rsidRDefault="00F343FA" w:rsidP="003B10E7">
      <w:pPr>
        <w:pStyle w:val="BodyText"/>
        <w:rPr>
          <w:lang w:val="en-GB"/>
        </w:rPr>
      </w:pPr>
      <w:r w:rsidRPr="003D6474">
        <w:rPr>
          <w:lang w:val="en-GB"/>
        </w:rPr>
        <w:t xml:space="preserve">Additionally, an issue that needs further exploration </w:t>
      </w:r>
      <w:r w:rsidR="00642F4C" w:rsidRPr="003D6474">
        <w:rPr>
          <w:lang w:val="en-GB"/>
        </w:rPr>
        <w:t xml:space="preserve">in </w:t>
      </w:r>
      <w:r w:rsidRPr="003D6474">
        <w:rPr>
          <w:lang w:val="en-GB"/>
        </w:rPr>
        <w:t xml:space="preserve">the potential failure of </w:t>
      </w:r>
      <w:r w:rsidR="000A502D" w:rsidRPr="003D6474">
        <w:rPr>
          <w:lang w:val="en-GB"/>
        </w:rPr>
        <w:t>hotel managers</w:t>
      </w:r>
      <w:r w:rsidRPr="003D6474">
        <w:rPr>
          <w:lang w:val="en-GB"/>
        </w:rPr>
        <w:t xml:space="preserve"> to benefit from </w:t>
      </w:r>
      <w:r w:rsidR="00B17DD1" w:rsidRPr="003D6474">
        <w:rPr>
          <w:lang w:val="en-GB"/>
        </w:rPr>
        <w:t xml:space="preserve">online government services </w:t>
      </w:r>
      <w:r w:rsidRPr="003D6474">
        <w:rPr>
          <w:lang w:val="en-GB"/>
        </w:rPr>
        <w:t xml:space="preserve">is the possible lack of integration of </w:t>
      </w:r>
      <w:r w:rsidR="00B17DD1" w:rsidRPr="003D6474">
        <w:rPr>
          <w:lang w:val="en-GB"/>
        </w:rPr>
        <w:t>online government services</w:t>
      </w:r>
      <w:r w:rsidRPr="003D6474">
        <w:rPr>
          <w:lang w:val="en-GB"/>
        </w:rPr>
        <w:t xml:space="preserve"> in </w:t>
      </w:r>
      <w:r w:rsidR="00DC2004" w:rsidRPr="003D6474">
        <w:rPr>
          <w:lang w:val="en-GB"/>
        </w:rPr>
        <w:t xml:space="preserve">hotel </w:t>
      </w:r>
      <w:r w:rsidRPr="003D6474">
        <w:rPr>
          <w:lang w:val="en-GB"/>
        </w:rPr>
        <w:t xml:space="preserve">business operations. Among other </w:t>
      </w:r>
      <w:r w:rsidR="00755C59" w:rsidRPr="003D6474">
        <w:rPr>
          <w:lang w:val="en-GB"/>
        </w:rPr>
        <w:t>factors</w:t>
      </w:r>
      <w:r w:rsidR="003E7F06" w:rsidRPr="003D6474">
        <w:rPr>
          <w:lang w:val="en-GB"/>
        </w:rPr>
        <w:t xml:space="preserve">, </w:t>
      </w:r>
      <w:r w:rsidRPr="003D6474">
        <w:rPr>
          <w:lang w:val="en-GB"/>
        </w:rPr>
        <w:t xml:space="preserve">the lack of awareness </w:t>
      </w:r>
      <w:r w:rsidR="003E7F06" w:rsidRPr="003D6474">
        <w:rPr>
          <w:lang w:val="en-GB"/>
        </w:rPr>
        <w:t xml:space="preserve">in hotel managers </w:t>
      </w:r>
      <w:r w:rsidRPr="003D6474">
        <w:rPr>
          <w:lang w:val="en-GB"/>
        </w:rPr>
        <w:t xml:space="preserve">about potential benefits of </w:t>
      </w:r>
      <w:r w:rsidR="00B17DD1" w:rsidRPr="003D6474">
        <w:rPr>
          <w:lang w:val="en-GB"/>
        </w:rPr>
        <w:t xml:space="preserve">online government services </w:t>
      </w:r>
      <w:r w:rsidRPr="003D6474">
        <w:rPr>
          <w:lang w:val="en-GB"/>
        </w:rPr>
        <w:t>for their business, clients, individuals and teams</w:t>
      </w:r>
      <w:r w:rsidR="003E7F06" w:rsidRPr="003D6474">
        <w:rPr>
          <w:lang w:val="en-GB"/>
        </w:rPr>
        <w:t xml:space="preserve">, is a factor contributing to the failure of hotels to maximise on the benefits of </w:t>
      </w:r>
      <w:r w:rsidR="00B17DD1" w:rsidRPr="003D6474">
        <w:rPr>
          <w:lang w:val="en-GB"/>
        </w:rPr>
        <w:t xml:space="preserve">online government </w:t>
      </w:r>
      <w:r w:rsidR="003E7F06" w:rsidRPr="003D6474">
        <w:rPr>
          <w:lang w:val="en-GB"/>
        </w:rPr>
        <w:t>init</w:t>
      </w:r>
      <w:r w:rsidR="00B17DD1" w:rsidRPr="003D6474">
        <w:rPr>
          <w:lang w:val="en-GB"/>
        </w:rPr>
        <w:t>i</w:t>
      </w:r>
      <w:r w:rsidR="003E7F06" w:rsidRPr="003D6474">
        <w:rPr>
          <w:lang w:val="en-GB"/>
        </w:rPr>
        <w:t>atives</w:t>
      </w:r>
      <w:r w:rsidRPr="003D6474">
        <w:rPr>
          <w:lang w:val="en-GB"/>
        </w:rPr>
        <w:t xml:space="preserve">. If integration of </w:t>
      </w:r>
      <w:r w:rsidR="00B17DD1" w:rsidRPr="003D6474">
        <w:rPr>
          <w:lang w:val="en-GB"/>
        </w:rPr>
        <w:t>online government services</w:t>
      </w:r>
      <w:r w:rsidRPr="003D6474">
        <w:rPr>
          <w:lang w:val="en-GB"/>
        </w:rPr>
        <w:t xml:space="preserve"> in </w:t>
      </w:r>
      <w:r w:rsidR="000A502D" w:rsidRPr="003D6474">
        <w:rPr>
          <w:lang w:val="en-GB"/>
        </w:rPr>
        <w:t xml:space="preserve">hotel </w:t>
      </w:r>
      <w:r w:rsidRPr="003D6474">
        <w:rPr>
          <w:lang w:val="en-GB"/>
        </w:rPr>
        <w:t xml:space="preserve">business operations is to be pursued in the future, the idea of developing </w:t>
      </w:r>
      <w:r w:rsidR="00B17DD1" w:rsidRPr="003D6474">
        <w:rPr>
          <w:lang w:val="en-GB"/>
        </w:rPr>
        <w:t>online government services</w:t>
      </w:r>
      <w:r w:rsidRPr="003D6474">
        <w:rPr>
          <w:lang w:val="en-GB"/>
        </w:rPr>
        <w:t xml:space="preserve"> as striving to implement every existing government service ‘online’ (Tan </w:t>
      </w:r>
      <w:r w:rsidR="00453374" w:rsidRPr="003D6474">
        <w:rPr>
          <w:lang w:val="en-GB"/>
        </w:rPr>
        <w:t>&amp;</w:t>
      </w:r>
      <w:r w:rsidRPr="003D6474">
        <w:rPr>
          <w:lang w:val="en-GB"/>
        </w:rPr>
        <w:t xml:space="preserve"> Pan, 2003) needs to be re</w:t>
      </w:r>
      <w:r w:rsidR="005254AC" w:rsidRPr="003D6474">
        <w:rPr>
          <w:lang w:val="en-GB"/>
        </w:rPr>
        <w:t>-evaluated</w:t>
      </w:r>
      <w:r w:rsidRPr="003D6474">
        <w:rPr>
          <w:lang w:val="en-GB"/>
        </w:rPr>
        <w:t xml:space="preserve">. In countries like Spain, this integration also needs to consider a common </w:t>
      </w:r>
      <w:r w:rsidR="003E7F06" w:rsidRPr="003D6474">
        <w:rPr>
          <w:lang w:val="en-GB"/>
        </w:rPr>
        <w:t xml:space="preserve">structure </w:t>
      </w:r>
      <w:r w:rsidR="00AE062A" w:rsidRPr="003D6474">
        <w:rPr>
          <w:lang w:val="en-GB"/>
        </w:rPr>
        <w:t xml:space="preserve">so that </w:t>
      </w:r>
      <w:r w:rsidRPr="003D6474">
        <w:rPr>
          <w:lang w:val="en-GB"/>
        </w:rPr>
        <w:t xml:space="preserve">authorities </w:t>
      </w:r>
      <w:r w:rsidR="00AE062A" w:rsidRPr="003D6474">
        <w:rPr>
          <w:lang w:val="en-GB"/>
        </w:rPr>
        <w:t xml:space="preserve">can </w:t>
      </w:r>
      <w:r w:rsidRPr="003D6474">
        <w:rPr>
          <w:lang w:val="en-GB"/>
        </w:rPr>
        <w:t xml:space="preserve">delegate the design and implementation of </w:t>
      </w:r>
      <w:r w:rsidR="00B17DD1" w:rsidRPr="003D6474">
        <w:rPr>
          <w:lang w:val="en-GB"/>
        </w:rPr>
        <w:t xml:space="preserve">online government services </w:t>
      </w:r>
      <w:r w:rsidRPr="003D6474">
        <w:rPr>
          <w:lang w:val="en-GB"/>
        </w:rPr>
        <w:t xml:space="preserve">to the private sector. This often leads to restricting the government’s roles and could fail to include considerations about the learning capabilities of SMEs in </w:t>
      </w:r>
      <w:r w:rsidR="00B17DD1" w:rsidRPr="003D6474">
        <w:rPr>
          <w:lang w:val="en-GB"/>
        </w:rPr>
        <w:t xml:space="preserve">online government </w:t>
      </w:r>
      <w:r w:rsidRPr="003D6474">
        <w:rPr>
          <w:lang w:val="en-GB"/>
        </w:rPr>
        <w:t>initiatives.</w:t>
      </w:r>
    </w:p>
    <w:p w:rsidR="00B00DF9" w:rsidRPr="003D6474" w:rsidRDefault="00B00DF9" w:rsidP="003B10E7">
      <w:pPr>
        <w:pStyle w:val="BodyText"/>
        <w:rPr>
          <w:lang w:val="en-GB"/>
        </w:rPr>
      </w:pPr>
    </w:p>
    <w:p w:rsidR="00F343FA" w:rsidRPr="003D6474" w:rsidRDefault="00F343FA" w:rsidP="003B10E7">
      <w:pPr>
        <w:pStyle w:val="BodyText"/>
        <w:rPr>
          <w:b/>
          <w:bCs/>
          <w:lang w:val="en-GB"/>
        </w:rPr>
      </w:pPr>
      <w:r w:rsidRPr="003D6474">
        <w:rPr>
          <w:b/>
          <w:bCs/>
          <w:lang w:val="en-GB"/>
        </w:rPr>
        <w:t xml:space="preserve">6. Conclusions </w:t>
      </w:r>
    </w:p>
    <w:p w:rsidR="005254AC" w:rsidRPr="003D6474" w:rsidRDefault="005254AC" w:rsidP="003B10E7">
      <w:pPr>
        <w:pStyle w:val="BodyText"/>
        <w:rPr>
          <w:b/>
          <w:bCs/>
          <w:lang w:val="en-GB"/>
        </w:rPr>
      </w:pPr>
    </w:p>
    <w:p w:rsidR="00B00DF9" w:rsidRPr="003D6474" w:rsidRDefault="00B17DD1" w:rsidP="003B10E7">
      <w:pPr>
        <w:pStyle w:val="BodyText"/>
        <w:rPr>
          <w:lang w:val="en-GB"/>
        </w:rPr>
      </w:pPr>
      <w:r w:rsidRPr="003D6474">
        <w:rPr>
          <w:lang w:val="en-GB"/>
        </w:rPr>
        <w:t>An online government service</w:t>
      </w:r>
      <w:r w:rsidR="00F343FA" w:rsidRPr="003D6474">
        <w:rPr>
          <w:lang w:val="en-GB"/>
        </w:rPr>
        <w:t xml:space="preserve"> is considered as a method </w:t>
      </w:r>
      <w:r w:rsidR="00FA6EEE" w:rsidRPr="003D6474">
        <w:rPr>
          <w:lang w:val="en-GB"/>
        </w:rPr>
        <w:t xml:space="preserve">through </w:t>
      </w:r>
      <w:r w:rsidR="00F343FA" w:rsidRPr="003D6474">
        <w:rPr>
          <w:lang w:val="en-GB"/>
        </w:rPr>
        <w:t xml:space="preserve">which </w:t>
      </w:r>
      <w:r w:rsidR="00101FEF" w:rsidRPr="003D6474">
        <w:rPr>
          <w:lang w:val="en-GB"/>
        </w:rPr>
        <w:t xml:space="preserve">organisations </w:t>
      </w:r>
      <w:r w:rsidR="00F343FA" w:rsidRPr="003D6474">
        <w:rPr>
          <w:lang w:val="en-GB"/>
        </w:rPr>
        <w:t xml:space="preserve">can “transform the way </w:t>
      </w:r>
      <w:r w:rsidR="00596083" w:rsidRPr="003D6474">
        <w:rPr>
          <w:lang w:val="en-GB"/>
        </w:rPr>
        <w:t xml:space="preserve">they </w:t>
      </w:r>
      <w:r w:rsidR="00743BC7" w:rsidRPr="003D6474">
        <w:rPr>
          <w:lang w:val="en-GB"/>
        </w:rPr>
        <w:t xml:space="preserve">do </w:t>
      </w:r>
      <w:r w:rsidR="00F343FA" w:rsidRPr="003D6474">
        <w:rPr>
          <w:lang w:val="en-GB"/>
        </w:rPr>
        <w:t xml:space="preserve">business with governments” (Heichlinger, 2004). And transformation comes not from moving services online, but from fundamentally restructuring the public administration’s </w:t>
      </w:r>
      <w:r w:rsidR="00DE766D" w:rsidRPr="003D6474">
        <w:rPr>
          <w:lang w:val="en-GB"/>
        </w:rPr>
        <w:t xml:space="preserve">organisation </w:t>
      </w:r>
      <w:r w:rsidR="00F343FA" w:rsidRPr="003D6474">
        <w:rPr>
          <w:lang w:val="en-GB"/>
        </w:rPr>
        <w:t>and integrating work processes across agencies to put citizens at the centre and simplify interaction, reduce cost and improve service</w:t>
      </w:r>
      <w:r w:rsidR="00DE766D" w:rsidRPr="003D6474">
        <w:rPr>
          <w:lang w:val="en-GB"/>
        </w:rPr>
        <w:t xml:space="preserve"> provision</w:t>
      </w:r>
      <w:r w:rsidR="00F343FA" w:rsidRPr="003D6474">
        <w:rPr>
          <w:lang w:val="en-GB"/>
        </w:rPr>
        <w:t>. A</w:t>
      </w:r>
      <w:r w:rsidR="00240B77" w:rsidRPr="003D6474">
        <w:rPr>
          <w:lang w:val="en-GB"/>
        </w:rPr>
        <w:t>s</w:t>
      </w:r>
      <w:r w:rsidR="00F343FA" w:rsidRPr="003D6474">
        <w:rPr>
          <w:lang w:val="en-GB"/>
        </w:rPr>
        <w:t xml:space="preserve"> firm’s resource </w:t>
      </w:r>
      <w:r w:rsidRPr="003D6474">
        <w:rPr>
          <w:lang w:val="en-GB"/>
        </w:rPr>
        <w:t>online government services</w:t>
      </w:r>
      <w:r w:rsidR="00F343FA" w:rsidRPr="003D6474">
        <w:rPr>
          <w:lang w:val="en-GB"/>
        </w:rPr>
        <w:t xml:space="preserve"> </w:t>
      </w:r>
      <w:r w:rsidR="006B247F" w:rsidRPr="003D6474">
        <w:rPr>
          <w:lang w:val="en-GB"/>
        </w:rPr>
        <w:t xml:space="preserve">are </w:t>
      </w:r>
      <w:r w:rsidR="00F343FA" w:rsidRPr="003D6474">
        <w:rPr>
          <w:lang w:val="en-GB"/>
        </w:rPr>
        <w:t xml:space="preserve">valuable only if </w:t>
      </w:r>
      <w:r w:rsidR="00F727C2" w:rsidRPr="003D6474">
        <w:rPr>
          <w:lang w:val="en-GB"/>
        </w:rPr>
        <w:t xml:space="preserve">they </w:t>
      </w:r>
      <w:r w:rsidR="00240B77" w:rsidRPr="003D6474">
        <w:rPr>
          <w:lang w:val="en-GB"/>
        </w:rPr>
        <w:t xml:space="preserve">help the organisation </w:t>
      </w:r>
      <w:r w:rsidR="00F343FA" w:rsidRPr="003D6474">
        <w:rPr>
          <w:lang w:val="en-GB"/>
        </w:rPr>
        <w:t xml:space="preserve">reduce </w:t>
      </w:r>
      <w:r w:rsidR="00240B77" w:rsidRPr="003D6474">
        <w:rPr>
          <w:lang w:val="en-GB"/>
        </w:rPr>
        <w:t xml:space="preserve">the </w:t>
      </w:r>
      <w:r w:rsidR="00F343FA" w:rsidRPr="003D6474">
        <w:rPr>
          <w:lang w:val="en-GB"/>
        </w:rPr>
        <w:t xml:space="preserve">costs or increase its revenues. </w:t>
      </w:r>
      <w:r w:rsidR="00B00DF9" w:rsidRPr="003D6474">
        <w:rPr>
          <w:lang w:val="en-GB"/>
        </w:rPr>
        <w:t xml:space="preserve"> This idea has worked so far for governments and to some extent to businesses.  It now becomes n</w:t>
      </w:r>
      <w:r w:rsidR="00A7584F" w:rsidRPr="003D6474">
        <w:rPr>
          <w:lang w:val="en-GB"/>
        </w:rPr>
        <w:t xml:space="preserve">ecessary to develop ways to enhance business engagement with online government services and promote collaboration, joined up thinking and ultimately knowledge based innovation.  </w:t>
      </w:r>
    </w:p>
    <w:p w:rsidR="00B00DF9" w:rsidRPr="003D6474" w:rsidRDefault="00B00DF9" w:rsidP="003B10E7">
      <w:pPr>
        <w:pStyle w:val="BodyText"/>
        <w:rPr>
          <w:lang w:val="en-GB"/>
        </w:rPr>
      </w:pPr>
    </w:p>
    <w:p w:rsidR="00F343FA" w:rsidRPr="003D6474" w:rsidRDefault="003B10E7" w:rsidP="003B10E7">
      <w:pPr>
        <w:pStyle w:val="BodyText"/>
        <w:rPr>
          <w:lang w:val="en-GB"/>
        </w:rPr>
      </w:pPr>
      <w:r w:rsidRPr="003D6474">
        <w:rPr>
          <w:lang w:val="en-GB"/>
        </w:rPr>
        <w:t xml:space="preserve">This study </w:t>
      </w:r>
      <w:r w:rsidR="00F343FA" w:rsidRPr="003D6474">
        <w:rPr>
          <w:lang w:val="en-GB"/>
        </w:rPr>
        <w:t>ha</w:t>
      </w:r>
      <w:r w:rsidRPr="003D6474">
        <w:rPr>
          <w:lang w:val="en-GB"/>
        </w:rPr>
        <w:t xml:space="preserve">s </w:t>
      </w:r>
      <w:r w:rsidR="00F343FA" w:rsidRPr="003D6474">
        <w:rPr>
          <w:lang w:val="en-GB"/>
        </w:rPr>
        <w:t xml:space="preserve">provided an initial model to evaluate </w:t>
      </w:r>
      <w:r w:rsidR="00F727C2" w:rsidRPr="003D6474">
        <w:rPr>
          <w:lang w:val="en-GB"/>
        </w:rPr>
        <w:t xml:space="preserve">online government services </w:t>
      </w:r>
      <w:r w:rsidR="00903447" w:rsidRPr="003D6474">
        <w:rPr>
          <w:lang w:val="en-GB"/>
        </w:rPr>
        <w:t xml:space="preserve">use </w:t>
      </w:r>
      <w:r w:rsidR="00F343FA" w:rsidRPr="003D6474">
        <w:rPr>
          <w:lang w:val="en-GB"/>
        </w:rPr>
        <w:t xml:space="preserve">by </w:t>
      </w:r>
      <w:r w:rsidR="00903447" w:rsidRPr="003D6474">
        <w:rPr>
          <w:lang w:val="en-GB"/>
        </w:rPr>
        <w:t xml:space="preserve">organisations </w:t>
      </w:r>
      <w:r w:rsidR="00F343FA" w:rsidRPr="003D6474">
        <w:rPr>
          <w:lang w:val="en-GB"/>
        </w:rPr>
        <w:t xml:space="preserve">based on </w:t>
      </w:r>
      <w:r w:rsidRPr="003D6474">
        <w:rPr>
          <w:lang w:val="en-GB"/>
        </w:rPr>
        <w:t>knowledge structures</w:t>
      </w:r>
      <w:r w:rsidR="00F343FA" w:rsidRPr="003D6474">
        <w:rPr>
          <w:lang w:val="en-GB"/>
        </w:rPr>
        <w:t xml:space="preserve">. Results </w:t>
      </w:r>
      <w:r w:rsidR="00A7584F" w:rsidRPr="003D6474">
        <w:rPr>
          <w:lang w:val="en-GB"/>
        </w:rPr>
        <w:t xml:space="preserve">from the Spanish hospitality sector </w:t>
      </w:r>
      <w:r w:rsidR="00F343FA" w:rsidRPr="003D6474">
        <w:rPr>
          <w:lang w:val="en-GB"/>
        </w:rPr>
        <w:t xml:space="preserve">indicate the need to foster learning and to consider the possibilities that in the future </w:t>
      </w:r>
      <w:r w:rsidR="00F727C2" w:rsidRPr="003D6474">
        <w:rPr>
          <w:lang w:val="en-GB"/>
        </w:rPr>
        <w:t xml:space="preserve">online government services </w:t>
      </w:r>
      <w:r w:rsidR="00F343FA" w:rsidRPr="003D6474">
        <w:rPr>
          <w:lang w:val="en-GB"/>
        </w:rPr>
        <w:t xml:space="preserve">can offer businesses to improve their performance. </w:t>
      </w:r>
      <w:r w:rsidR="00A7584F" w:rsidRPr="003D6474">
        <w:rPr>
          <w:lang w:val="en-GB"/>
        </w:rPr>
        <w:t>B</w:t>
      </w:r>
      <w:r w:rsidR="00F343FA" w:rsidRPr="003D6474">
        <w:rPr>
          <w:lang w:val="en-GB"/>
        </w:rPr>
        <w:t xml:space="preserve">usinesses and more particularly </w:t>
      </w:r>
      <w:r w:rsidR="00755C59" w:rsidRPr="003D6474">
        <w:rPr>
          <w:lang w:val="en-GB"/>
        </w:rPr>
        <w:t xml:space="preserve">hotels </w:t>
      </w:r>
      <w:r w:rsidR="00F343FA" w:rsidRPr="003D6474">
        <w:rPr>
          <w:lang w:val="en-GB"/>
        </w:rPr>
        <w:t xml:space="preserve">can be seen as learning organisations that through access and use of </w:t>
      </w:r>
      <w:r w:rsidR="00F727C2" w:rsidRPr="003D6474">
        <w:rPr>
          <w:lang w:val="en-GB"/>
        </w:rPr>
        <w:t xml:space="preserve">online government services </w:t>
      </w:r>
      <w:r w:rsidR="00F343FA" w:rsidRPr="003D6474">
        <w:rPr>
          <w:lang w:val="en-GB"/>
        </w:rPr>
        <w:t xml:space="preserve">can improve their efficiency, and improve their business outcomes (Gonzalez </w:t>
      </w:r>
      <w:r w:rsidR="00453374" w:rsidRPr="003D6474">
        <w:rPr>
          <w:lang w:val="en-GB"/>
        </w:rPr>
        <w:t>&amp;</w:t>
      </w:r>
      <w:r w:rsidR="00F343FA" w:rsidRPr="003D6474">
        <w:rPr>
          <w:lang w:val="en-GB"/>
        </w:rPr>
        <w:t xml:space="preserve"> Carcaba, 2004). This in turn requires for government institutions to consider how they could foster community learning between themselves and </w:t>
      </w:r>
      <w:r w:rsidR="00D81B98" w:rsidRPr="003D6474">
        <w:rPr>
          <w:lang w:val="en-GB"/>
        </w:rPr>
        <w:t xml:space="preserve">with </w:t>
      </w:r>
      <w:r w:rsidR="00F343FA" w:rsidRPr="003D6474">
        <w:rPr>
          <w:lang w:val="en-GB"/>
        </w:rPr>
        <w:t>businesses.</w:t>
      </w:r>
    </w:p>
    <w:p w:rsidR="008D7DDA" w:rsidRPr="003D6474" w:rsidRDefault="008D7DDA" w:rsidP="003B10E7">
      <w:pPr>
        <w:pStyle w:val="BodyText"/>
        <w:rPr>
          <w:lang w:val="en-GB"/>
        </w:rPr>
      </w:pPr>
    </w:p>
    <w:p w:rsidR="008D7DDA" w:rsidRPr="003D6474" w:rsidRDefault="008D7DDA" w:rsidP="008D7DDA">
      <w:pPr>
        <w:pStyle w:val="BodyText"/>
        <w:rPr>
          <w:lang w:val="en-GB"/>
        </w:rPr>
      </w:pPr>
      <w:r w:rsidRPr="003D6474">
        <w:rPr>
          <w:lang w:val="en-GB"/>
        </w:rPr>
        <w:t xml:space="preserve">In the context of the Spanish hotel sector and considering the ideas of ecologies of Nardi and O’Day (1999), a possible strategy to follow is to explore in more detail who could act as a </w:t>
      </w:r>
      <w:r w:rsidRPr="003D6474">
        <w:rPr>
          <w:i/>
          <w:lang w:val="en-GB"/>
        </w:rPr>
        <w:t>keystone species</w:t>
      </w:r>
      <w:r w:rsidRPr="003D6474">
        <w:rPr>
          <w:lang w:val="en-GB"/>
        </w:rPr>
        <w:t xml:space="preserve">, in other words actors who could educate both government and business stakeholders on the importance of sharing information and </w:t>
      </w:r>
      <w:r w:rsidR="00DC11FE" w:rsidRPr="003D6474">
        <w:rPr>
          <w:lang w:val="en-GB"/>
        </w:rPr>
        <w:t xml:space="preserve">thus </w:t>
      </w:r>
      <w:r w:rsidRPr="003D6474">
        <w:rPr>
          <w:lang w:val="en-GB"/>
        </w:rPr>
        <w:t>knowledge.  In an ecosystem, keystone species continuously translate ideas and possibilities between others.  They also facilitate adoption of new ideas and practices.  They could then act as mediators to bring together innovation possibilities.  Together with fostering and nurturing communities of learning and practice through enabling knowledge boundary objects to be shared, this could also be a task that keystone species could undertake for the benefit of the knowledge ecosystem as a whole as discussed above.  Following the suggestions made by Carayannis and Rakhmatullin (2014) to pursue innovation through more participative models, one particular actor that could enter into the picture of knowledge ecologies in the case considered in this paper is universities.  Through promoting entrepreneurship and systemic thinking, universities could assume this role of mediation and contribute to knowledge in this system.  Th</w:t>
      </w:r>
      <w:r w:rsidR="00DC11FE" w:rsidRPr="003D6474">
        <w:rPr>
          <w:lang w:val="en-GB"/>
        </w:rPr>
        <w:t xml:space="preserve">e possibility of including universities as keystone species and mediating actors </w:t>
      </w:r>
      <w:r w:rsidRPr="003D6474">
        <w:rPr>
          <w:lang w:val="en-GB"/>
        </w:rPr>
        <w:t xml:space="preserve">could be explored in further research and also in consideration of sustainability imperatives for the hospitality sector in Spain.  </w:t>
      </w:r>
    </w:p>
    <w:p w:rsidR="008D7DDA" w:rsidRPr="003D6474" w:rsidRDefault="008D7DDA" w:rsidP="003B10E7">
      <w:pPr>
        <w:pStyle w:val="BodyText"/>
        <w:rPr>
          <w:lang w:val="en-GB"/>
        </w:rPr>
      </w:pPr>
    </w:p>
    <w:p w:rsidR="00A7584F" w:rsidRPr="003D6474" w:rsidRDefault="00A7584F" w:rsidP="003B10E7">
      <w:pPr>
        <w:pStyle w:val="BodyText"/>
        <w:rPr>
          <w:lang w:val="en-GB"/>
        </w:rPr>
      </w:pPr>
    </w:p>
    <w:p w:rsidR="00F343FA" w:rsidRPr="003D6474" w:rsidRDefault="009B02D6" w:rsidP="003E17E9">
      <w:pPr>
        <w:pStyle w:val="BodyText"/>
        <w:rPr>
          <w:b/>
          <w:lang w:val="en-GB"/>
        </w:rPr>
      </w:pPr>
      <w:r w:rsidRPr="003D6474">
        <w:rPr>
          <w:lang w:val="en-GB"/>
        </w:rPr>
        <w:br w:type="page"/>
      </w:r>
      <w:r w:rsidR="00F343FA" w:rsidRPr="003D6474">
        <w:rPr>
          <w:b/>
          <w:lang w:val="en-GB"/>
        </w:rPr>
        <w:lastRenderedPageBreak/>
        <w:t>References</w:t>
      </w:r>
    </w:p>
    <w:p w:rsidR="00453374" w:rsidRPr="003D6474" w:rsidRDefault="00453374" w:rsidP="00453374">
      <w:pPr>
        <w:pStyle w:val="BodyText"/>
        <w:ind w:left="360" w:hanging="360"/>
        <w:rPr>
          <w:lang w:val="en-GB"/>
        </w:rPr>
      </w:pPr>
    </w:p>
    <w:p w:rsidR="00453374" w:rsidRPr="003D6474" w:rsidRDefault="00453374" w:rsidP="00453374">
      <w:pPr>
        <w:pStyle w:val="BodyText"/>
        <w:ind w:left="360" w:hanging="360"/>
        <w:rPr>
          <w:lang w:val="en-GB"/>
        </w:rPr>
      </w:pPr>
      <w:r w:rsidRPr="003D6474">
        <w:rPr>
          <w:lang w:val="en-GB"/>
        </w:rPr>
        <w:t xml:space="preserve">Anderson, J.C. &amp; Gerbing, D. (1988). Structural Modelling in Practice: A Review and Recommended Two-Steps Approach. </w:t>
      </w:r>
      <w:r w:rsidRPr="003D6474">
        <w:rPr>
          <w:i/>
          <w:lang w:val="en-GB"/>
        </w:rPr>
        <w:t>Psychological Bulletin</w:t>
      </w:r>
      <w:r w:rsidRPr="003D6474">
        <w:rPr>
          <w:lang w:val="en-GB"/>
        </w:rPr>
        <w:t>, 103(3), 411-423.</w:t>
      </w:r>
    </w:p>
    <w:p w:rsidR="00453374" w:rsidRPr="003D6474" w:rsidRDefault="00453374" w:rsidP="00453374">
      <w:pPr>
        <w:pStyle w:val="BodyText"/>
        <w:ind w:left="360" w:hanging="360"/>
        <w:rPr>
          <w:lang w:val="en-GB"/>
        </w:rPr>
      </w:pPr>
      <w:r w:rsidRPr="003D6474">
        <w:rPr>
          <w:lang w:val="en-GB"/>
        </w:rPr>
        <w:t xml:space="preserve">Armstrong, J.S. &amp; Overton, T.S. (1977). Estimating Nonresponse Bias in Mail Surveys. </w:t>
      </w:r>
      <w:r w:rsidRPr="003D6474">
        <w:rPr>
          <w:i/>
          <w:iCs/>
          <w:lang w:val="en-GB"/>
        </w:rPr>
        <w:t>Journal of Marketing Research</w:t>
      </w:r>
      <w:r w:rsidRPr="003D6474">
        <w:rPr>
          <w:lang w:val="en-GB"/>
        </w:rPr>
        <w:t>, 14(3), 396-402.</w:t>
      </w:r>
    </w:p>
    <w:p w:rsidR="00453374" w:rsidRPr="003D6474" w:rsidRDefault="00453374" w:rsidP="00453374">
      <w:pPr>
        <w:pStyle w:val="BodyText"/>
        <w:ind w:left="360" w:hanging="360"/>
        <w:rPr>
          <w:lang w:val="en-GB"/>
        </w:rPr>
      </w:pPr>
      <w:r w:rsidRPr="003D6474">
        <w:rPr>
          <w:lang w:val="en-GB"/>
        </w:rPr>
        <w:t xml:space="preserve">Bagozzi, R.P. &amp; Yi, Y. (1988). On the evaluation of structural equation models. </w:t>
      </w:r>
      <w:r w:rsidRPr="003D6474">
        <w:rPr>
          <w:i/>
          <w:lang w:val="en-GB"/>
        </w:rPr>
        <w:t>Journal of the Academy of Marketing Science</w:t>
      </w:r>
      <w:r w:rsidRPr="003D6474">
        <w:rPr>
          <w:lang w:val="en-GB"/>
        </w:rPr>
        <w:t>, 16(1), 74-94.</w:t>
      </w:r>
    </w:p>
    <w:p w:rsidR="00453374" w:rsidRPr="003D6474" w:rsidRDefault="00453374" w:rsidP="00453374">
      <w:pPr>
        <w:pStyle w:val="BodyText"/>
        <w:ind w:left="360" w:hanging="360"/>
        <w:rPr>
          <w:lang w:val="en-GB"/>
        </w:rPr>
      </w:pPr>
      <w:r w:rsidRPr="003D6474">
        <w:rPr>
          <w:lang w:val="en-GB"/>
        </w:rPr>
        <w:t xml:space="preserve">Bagozzi, R.P. (1980). </w:t>
      </w:r>
      <w:r w:rsidRPr="003D6474">
        <w:rPr>
          <w:i/>
          <w:iCs/>
          <w:lang w:val="en-GB"/>
        </w:rPr>
        <w:t>Causal models in marketing</w:t>
      </w:r>
      <w:r w:rsidRPr="003D6474">
        <w:rPr>
          <w:lang w:val="en-GB"/>
        </w:rPr>
        <w:t>. John Wiley, New York.</w:t>
      </w:r>
    </w:p>
    <w:p w:rsidR="00453374" w:rsidRPr="003D6474" w:rsidRDefault="00453374" w:rsidP="00453374">
      <w:pPr>
        <w:pStyle w:val="BodyText"/>
        <w:ind w:left="360" w:hanging="360"/>
        <w:rPr>
          <w:lang w:val="en-GB"/>
        </w:rPr>
      </w:pPr>
      <w:r w:rsidRPr="003D6474">
        <w:rPr>
          <w:lang w:val="en-GB"/>
        </w:rPr>
        <w:t xml:space="preserve">Barnes, S.J. &amp; Vidgen, R.T. (2001). An evaluation of cyber-bookshops: the WebQual method. </w:t>
      </w:r>
      <w:r w:rsidRPr="003D6474">
        <w:rPr>
          <w:i/>
          <w:iCs/>
          <w:lang w:val="en-GB"/>
        </w:rPr>
        <w:t>International Journal of Electronic Commerce</w:t>
      </w:r>
      <w:r w:rsidRPr="003D6474">
        <w:rPr>
          <w:lang w:val="en-GB"/>
        </w:rPr>
        <w:t>, 6(1), 11-30.</w:t>
      </w:r>
    </w:p>
    <w:p w:rsidR="00453374" w:rsidRPr="003D6474" w:rsidRDefault="00453374" w:rsidP="00453374">
      <w:pPr>
        <w:pStyle w:val="BodyText"/>
        <w:ind w:left="360" w:hanging="360"/>
        <w:rPr>
          <w:lang w:val="en-GB"/>
        </w:rPr>
      </w:pPr>
      <w:r w:rsidRPr="003D6474">
        <w:rPr>
          <w:lang w:val="en-GB"/>
        </w:rPr>
        <w:t xml:space="preserve">Barua, A., Konana, P., Whinston, A.B. &amp; Yin, F. (2004). An Empirical Investigation of Net-Enabled Business Value. </w:t>
      </w:r>
      <w:r w:rsidRPr="003D6474">
        <w:rPr>
          <w:i/>
          <w:iCs/>
          <w:lang w:val="en-GB"/>
        </w:rPr>
        <w:t>MIS Quarterly,</w:t>
      </w:r>
      <w:r w:rsidRPr="003D6474">
        <w:rPr>
          <w:lang w:val="en-GB"/>
        </w:rPr>
        <w:t xml:space="preserve"> 28(4), 585-620.</w:t>
      </w:r>
    </w:p>
    <w:p w:rsidR="00453374" w:rsidRPr="003D6474" w:rsidRDefault="00453374" w:rsidP="00453374">
      <w:pPr>
        <w:pStyle w:val="BodyText"/>
        <w:ind w:left="360" w:hanging="360"/>
        <w:rPr>
          <w:lang w:val="en-GB"/>
        </w:rPr>
      </w:pPr>
      <w:r w:rsidRPr="003D6474">
        <w:rPr>
          <w:lang w:val="en-GB"/>
        </w:rPr>
        <w:t xml:space="preserve">Bertot, J. C., Jaeger, P. T. &amp; Hansen, D. (2012). The impact of policies on government social media usage: Issues, challenges and recommendations. </w:t>
      </w:r>
      <w:r w:rsidRPr="003D6474">
        <w:rPr>
          <w:i/>
          <w:lang w:val="en-GB"/>
        </w:rPr>
        <w:t>Government Information Quarterly</w:t>
      </w:r>
      <w:r w:rsidRPr="003D6474">
        <w:rPr>
          <w:lang w:val="en-GB"/>
        </w:rPr>
        <w:t>, 29(1): 30-40.</w:t>
      </w:r>
    </w:p>
    <w:p w:rsidR="00453374" w:rsidRPr="003D6474" w:rsidRDefault="00453374" w:rsidP="00453374">
      <w:pPr>
        <w:pStyle w:val="BodyText"/>
        <w:ind w:left="360" w:hanging="360"/>
        <w:rPr>
          <w:lang w:val="en-GB"/>
        </w:rPr>
      </w:pPr>
      <w:r w:rsidRPr="003D6474">
        <w:rPr>
          <w:lang w:val="en-GB"/>
        </w:rPr>
        <w:t xml:space="preserve">Bontis, N., Chua, W. &amp; Richardson. S. (2000). Intellectual Capital and the Nature of Business in Malaysia. </w:t>
      </w:r>
      <w:r w:rsidRPr="003D6474">
        <w:rPr>
          <w:i/>
          <w:iCs/>
          <w:lang w:val="en-GB"/>
        </w:rPr>
        <w:t>Journal of Intellectual Capital</w:t>
      </w:r>
      <w:r w:rsidRPr="003D6474">
        <w:rPr>
          <w:lang w:val="en-GB"/>
        </w:rPr>
        <w:t>, 1(1), 85-100.</w:t>
      </w:r>
    </w:p>
    <w:p w:rsidR="00453374" w:rsidRPr="003D6474" w:rsidRDefault="00453374" w:rsidP="00453374">
      <w:pPr>
        <w:pStyle w:val="BodyText"/>
        <w:ind w:left="360" w:hanging="360"/>
      </w:pPr>
      <w:r w:rsidRPr="003D6474">
        <w:rPr>
          <w:lang w:val="en-GB"/>
        </w:rPr>
        <w:t xml:space="preserve">Cadarso, F. (2005). Spain: tourism environment indicator. </w:t>
      </w:r>
      <w:r w:rsidRPr="003D6474">
        <w:t>OECD Papers, 5(4), 85-100.</w:t>
      </w:r>
    </w:p>
    <w:p w:rsidR="00453374" w:rsidRPr="003D6474" w:rsidRDefault="00453374" w:rsidP="00453374">
      <w:pPr>
        <w:pStyle w:val="BodyText"/>
        <w:ind w:left="360" w:hanging="360"/>
        <w:rPr>
          <w:lang w:val="en-GB"/>
        </w:rPr>
      </w:pPr>
      <w:r w:rsidRPr="003D6474">
        <w:rPr>
          <w:lang w:val="en-GB"/>
        </w:rPr>
        <w:t xml:space="preserve">Carayannis, E. G., &amp; Rakhmatullin, R. (20a4). The Quadruple/Quintuple Innovation Helixes and Smart Specialisation Strategies for Sustainable and Inclusive Growth in Europe and Beyond. </w:t>
      </w:r>
      <w:r w:rsidRPr="003D6474">
        <w:rPr>
          <w:i/>
          <w:lang w:val="en-GB"/>
        </w:rPr>
        <w:t>Journal of the Knowledge Economy</w:t>
      </w:r>
      <w:r w:rsidRPr="003D6474">
        <w:rPr>
          <w:lang w:val="en-GB"/>
        </w:rPr>
        <w:t>, 5(2), 212–239.</w:t>
      </w:r>
    </w:p>
    <w:p w:rsidR="00453374" w:rsidRPr="003D6474" w:rsidRDefault="00453374" w:rsidP="00453374">
      <w:pPr>
        <w:pStyle w:val="BodyText"/>
        <w:ind w:left="360" w:hanging="360"/>
        <w:rPr>
          <w:lang w:val="en-GB"/>
        </w:rPr>
      </w:pPr>
      <w:r w:rsidRPr="003D6474">
        <w:rPr>
          <w:lang w:val="en-GB"/>
        </w:rPr>
        <w:t>Carmines, E.G. &amp; McIver, S.P. (1981). Analysing models with unobserved variables: analysis of covariance structures. In G.W Bohrnstedt &amp; E.F. Borgatta (Eds.), Social measurement; current issues. Beverly Hills, CA: Sage, pp. 65-115.</w:t>
      </w:r>
    </w:p>
    <w:p w:rsidR="00453374" w:rsidRPr="003D6474" w:rsidRDefault="00453374" w:rsidP="00453374">
      <w:pPr>
        <w:pStyle w:val="BodyText"/>
        <w:ind w:left="360" w:hanging="360"/>
        <w:rPr>
          <w:lang w:val="en-GB"/>
        </w:rPr>
      </w:pPr>
      <w:r w:rsidRPr="003D6474">
        <w:t xml:space="preserve">Carmona-Moreno, E., Céspedes-Lorente, J. &amp; Burgos-Jimenez, J. (2004). </w:t>
      </w:r>
      <w:r w:rsidRPr="003D6474">
        <w:rPr>
          <w:lang w:val="en-GB"/>
        </w:rPr>
        <w:t xml:space="preserve">Environmental strategies in Spanish hotels: Contextual factors and performance. </w:t>
      </w:r>
      <w:r w:rsidRPr="003D6474">
        <w:rPr>
          <w:i/>
          <w:lang w:val="en-GB"/>
        </w:rPr>
        <w:t>The Service Industries Journal</w:t>
      </w:r>
      <w:r w:rsidRPr="003D6474">
        <w:rPr>
          <w:lang w:val="en-GB"/>
        </w:rPr>
        <w:t>, 24(3), 101-129.</w:t>
      </w:r>
    </w:p>
    <w:p w:rsidR="00453374" w:rsidRPr="003D6474" w:rsidRDefault="00453374" w:rsidP="00453374">
      <w:pPr>
        <w:pStyle w:val="BodyText"/>
        <w:ind w:left="360" w:hanging="360"/>
        <w:rPr>
          <w:lang w:val="en-GB"/>
        </w:rPr>
      </w:pPr>
      <w:r w:rsidRPr="003D6474">
        <w:t xml:space="preserve">Cegarra, J.G. Córdoba, J.R. Moreno, J.L. (2012). </w:t>
      </w:r>
      <w:r w:rsidRPr="003D6474">
        <w:rPr>
          <w:lang w:val="en-GB"/>
        </w:rPr>
        <w:t xml:space="preserve">E-government and Citizen's Engagement with Local Affairs Through e- Websites: The Case of Spanish Municipalities. </w:t>
      </w:r>
      <w:r w:rsidRPr="003D6474">
        <w:rPr>
          <w:i/>
          <w:lang w:val="en-GB"/>
        </w:rPr>
        <w:t>International Journal of Information Management</w:t>
      </w:r>
      <w:r w:rsidRPr="003D6474">
        <w:rPr>
          <w:lang w:val="en-GB"/>
        </w:rPr>
        <w:t>, 32(5), 469-478.</w:t>
      </w:r>
    </w:p>
    <w:p w:rsidR="00453374" w:rsidRPr="003D6474" w:rsidRDefault="00453374" w:rsidP="00453374">
      <w:pPr>
        <w:pStyle w:val="BodyText"/>
        <w:ind w:left="360" w:hanging="360"/>
        <w:rPr>
          <w:lang w:val="en-GB"/>
        </w:rPr>
      </w:pPr>
      <w:r w:rsidRPr="003D6474">
        <w:rPr>
          <w:lang w:val="en-GB"/>
        </w:rPr>
        <w:t xml:space="preserve">Cegarra, J.G., Dewhurst, F.W. &amp; Briones, A.J. (2007). Factors affecting the use of e-Government in the telecommunications industry of Spain. </w:t>
      </w:r>
      <w:r w:rsidRPr="003D6474">
        <w:rPr>
          <w:i/>
          <w:iCs/>
          <w:lang w:val="en-GB"/>
        </w:rPr>
        <w:t>Technovation</w:t>
      </w:r>
      <w:r w:rsidRPr="003D6474">
        <w:rPr>
          <w:lang w:val="en-GB"/>
        </w:rPr>
        <w:t>, 27(10), 595-604.</w:t>
      </w:r>
    </w:p>
    <w:p w:rsidR="00453374" w:rsidRPr="003D6474" w:rsidRDefault="00453374" w:rsidP="00453374">
      <w:pPr>
        <w:pStyle w:val="BodyText"/>
        <w:ind w:left="360" w:hanging="360"/>
        <w:rPr>
          <w:lang w:val="en-GB"/>
        </w:rPr>
      </w:pPr>
      <w:r w:rsidRPr="003D6474">
        <w:rPr>
          <w:lang w:val="en-GB"/>
        </w:rPr>
        <w:t xml:space="preserve">Churchill, G.A. (1979). A paradigm for developing better measures for marketing constructs. </w:t>
      </w:r>
      <w:r w:rsidRPr="003D6474">
        <w:rPr>
          <w:i/>
          <w:lang w:val="en-GB"/>
        </w:rPr>
        <w:t>Journal of Marketing Research</w:t>
      </w:r>
      <w:r w:rsidRPr="003D6474">
        <w:rPr>
          <w:lang w:val="en-GB"/>
        </w:rPr>
        <w:t>, 16(1), 64-73.</w:t>
      </w:r>
    </w:p>
    <w:p w:rsidR="00453374" w:rsidRPr="003D6474" w:rsidRDefault="00453374" w:rsidP="00453374">
      <w:pPr>
        <w:ind w:left="360" w:hanging="360"/>
        <w:jc w:val="both"/>
        <w:rPr>
          <w:lang w:val="en-GB"/>
        </w:rPr>
      </w:pPr>
      <w:r w:rsidRPr="003D6474">
        <w:rPr>
          <w:lang w:val="en-GB"/>
        </w:rPr>
        <w:t xml:space="preserve">Cohen, D. (1998). Toward a Knowledge Context. </w:t>
      </w:r>
      <w:r w:rsidRPr="003D6474">
        <w:rPr>
          <w:i/>
          <w:iCs/>
          <w:lang w:val="en-GB"/>
        </w:rPr>
        <w:t xml:space="preserve">California Management Review, </w:t>
      </w:r>
      <w:r w:rsidRPr="003D6474">
        <w:rPr>
          <w:lang w:val="en-GB"/>
        </w:rPr>
        <w:t>40(3), 22-38.</w:t>
      </w:r>
    </w:p>
    <w:p w:rsidR="00453374" w:rsidRPr="003D6474" w:rsidRDefault="00453374" w:rsidP="00453374">
      <w:pPr>
        <w:pStyle w:val="BodyText"/>
        <w:ind w:left="360" w:hanging="360"/>
        <w:rPr>
          <w:lang w:val="en-GB"/>
        </w:rPr>
      </w:pPr>
      <w:r w:rsidRPr="003D6474">
        <w:rPr>
          <w:lang w:val="en-GB"/>
        </w:rPr>
        <w:t xml:space="preserve">Córdoba, J. (2005).  Communities and evaluation of e-government services.  In Coakes, E. and Clarke, S. (Eds), Encyclopedia of Communities of Practice in Information and Knowledge Management.  Hershey, PA:  IGI Global, pp.32-34. </w:t>
      </w:r>
    </w:p>
    <w:p w:rsidR="00453374" w:rsidRPr="003D6474" w:rsidRDefault="00453374" w:rsidP="00453374">
      <w:pPr>
        <w:pStyle w:val="BodyText"/>
        <w:ind w:left="360" w:hanging="360"/>
        <w:rPr>
          <w:lang w:val="en-GB"/>
        </w:rPr>
      </w:pPr>
      <w:r w:rsidRPr="003D6474">
        <w:rPr>
          <w:lang w:val="en-GB"/>
        </w:rPr>
        <w:t xml:space="preserve">Córdoba, J.R and Cegarra, J.G (2010).  Beyond e-procurement: A framework to develop e-government services for small and medium enterprises (SMEs).  In Córdoba, J.R. and Ochoa-Arias, A (Eds), Systems Thinking and E-Participation:  ITC in the Governance of Society.  Hershey, PA:  IGI Global, pp.154-172. </w:t>
      </w:r>
    </w:p>
    <w:p w:rsidR="00453374" w:rsidRPr="003D6474" w:rsidRDefault="00453374" w:rsidP="00453374">
      <w:pPr>
        <w:pStyle w:val="BodyText"/>
        <w:ind w:left="360" w:hanging="360"/>
        <w:rPr>
          <w:lang w:val="en-GB"/>
        </w:rPr>
      </w:pPr>
      <w:r w:rsidRPr="003D6474">
        <w:rPr>
          <w:lang w:val="en-GB"/>
        </w:rPr>
        <w:t xml:space="preserve">Curry, A. &amp; Stancich, L. (2000). The intranet - an intrinsic component of strategic information management. </w:t>
      </w:r>
      <w:r w:rsidRPr="003D6474">
        <w:rPr>
          <w:i/>
          <w:iCs/>
          <w:lang w:val="en-GB"/>
        </w:rPr>
        <w:t>International Journal of Information Management</w:t>
      </w:r>
      <w:r w:rsidRPr="003D6474">
        <w:rPr>
          <w:lang w:val="en-GB"/>
        </w:rPr>
        <w:t>, 20(4), 249-268.</w:t>
      </w:r>
    </w:p>
    <w:p w:rsidR="00453374" w:rsidRPr="003D6474" w:rsidRDefault="00453374" w:rsidP="00453374">
      <w:pPr>
        <w:pStyle w:val="BodyText"/>
        <w:ind w:left="360" w:hanging="360"/>
        <w:rPr>
          <w:lang w:val="en-GB"/>
        </w:rPr>
      </w:pPr>
      <w:r w:rsidRPr="003D6474">
        <w:rPr>
          <w:lang w:val="en-GB"/>
        </w:rPr>
        <w:t xml:space="preserve">Davenport, T.H. &amp; Grover, V. (2001). General perspectives on knowledge management: fostering a research agenda. </w:t>
      </w:r>
      <w:r w:rsidRPr="003D6474">
        <w:rPr>
          <w:i/>
          <w:lang w:val="en-GB"/>
        </w:rPr>
        <w:t>Journal of Management Information Systems</w:t>
      </w:r>
      <w:r w:rsidRPr="003D6474">
        <w:rPr>
          <w:lang w:val="en-GB"/>
        </w:rPr>
        <w:t>, 18(1), 5-21.</w:t>
      </w:r>
    </w:p>
    <w:p w:rsidR="00453374" w:rsidRPr="003D6474" w:rsidRDefault="00453374" w:rsidP="00453374">
      <w:pPr>
        <w:pStyle w:val="BodyText"/>
        <w:ind w:left="360" w:hanging="360"/>
        <w:rPr>
          <w:lang w:val="en-GB"/>
        </w:rPr>
      </w:pPr>
      <w:r w:rsidRPr="003D6474">
        <w:rPr>
          <w:lang w:val="en-GB"/>
        </w:rPr>
        <w:lastRenderedPageBreak/>
        <w:t xml:space="preserve">Dewhurst, F.W. &amp; Cegarra, J.G. (2004). External communities of practice and relational capital. </w:t>
      </w:r>
      <w:r w:rsidRPr="003D6474">
        <w:rPr>
          <w:i/>
          <w:lang w:val="en-GB"/>
        </w:rPr>
        <w:t>The Learning Organization</w:t>
      </w:r>
      <w:r w:rsidRPr="003D6474">
        <w:rPr>
          <w:lang w:val="en-GB"/>
        </w:rPr>
        <w:t>, 11(4/5), 322-331.</w:t>
      </w:r>
    </w:p>
    <w:p w:rsidR="00453374" w:rsidRPr="003D6474" w:rsidRDefault="00453374" w:rsidP="00453374">
      <w:pPr>
        <w:pStyle w:val="BodyText"/>
        <w:ind w:left="360" w:hanging="360"/>
        <w:rPr>
          <w:lang w:val="en-GB"/>
        </w:rPr>
      </w:pPr>
      <w:r w:rsidRPr="003D6474">
        <w:t xml:space="preserve">Domínguez-Vila, T., Darcy, S. &amp; Alén-Gonzalez, E. (2015). </w:t>
      </w:r>
      <w:r w:rsidRPr="003D6474">
        <w:rPr>
          <w:lang w:val="en-GB"/>
        </w:rPr>
        <w:t xml:space="preserve">Competing for the disability tourism market - a comparative exploration of the factors of accessible tourism competitiveness in Spain and Australia. </w:t>
      </w:r>
      <w:r w:rsidRPr="003D6474">
        <w:rPr>
          <w:i/>
          <w:lang w:val="en-GB"/>
        </w:rPr>
        <w:t>Tourism Management</w:t>
      </w:r>
      <w:r w:rsidRPr="003D6474">
        <w:rPr>
          <w:lang w:val="en-GB"/>
        </w:rPr>
        <w:t>, 47, 261-272.</w:t>
      </w:r>
    </w:p>
    <w:p w:rsidR="00453374" w:rsidRPr="003D6474" w:rsidRDefault="00453374" w:rsidP="00453374">
      <w:pPr>
        <w:ind w:left="360" w:hanging="360"/>
        <w:jc w:val="both"/>
        <w:rPr>
          <w:lang w:val="en-GB"/>
        </w:rPr>
      </w:pPr>
      <w:r w:rsidRPr="003D6474">
        <w:rPr>
          <w:lang w:val="en-GB"/>
        </w:rPr>
        <w:t xml:space="preserve">Egan, G. (1994). </w:t>
      </w:r>
      <w:r w:rsidRPr="003D6474">
        <w:rPr>
          <w:i/>
          <w:iCs/>
          <w:lang w:val="en-GB"/>
        </w:rPr>
        <w:t>Working the shadow side: a guide to positive behind the scenes management</w:t>
      </w:r>
      <w:r w:rsidRPr="003D6474">
        <w:rPr>
          <w:lang w:val="en-GB"/>
        </w:rPr>
        <w:t>. San Francisco: Jossey-Bass.</w:t>
      </w:r>
    </w:p>
    <w:p w:rsidR="00453374" w:rsidRPr="003D6474" w:rsidRDefault="00453374" w:rsidP="00453374">
      <w:pPr>
        <w:pStyle w:val="BodyText"/>
        <w:ind w:left="360" w:hanging="360"/>
        <w:rPr>
          <w:lang w:val="en-GB"/>
        </w:rPr>
      </w:pPr>
      <w:r w:rsidRPr="003D6474">
        <w:rPr>
          <w:lang w:val="en-GB"/>
        </w:rPr>
        <w:t xml:space="preserve">Fornell, C. &amp; Larcker, D.F. (1981). Evaluating structural equation models with unobservable variables and measurement error. </w:t>
      </w:r>
      <w:r w:rsidRPr="003D6474">
        <w:rPr>
          <w:i/>
          <w:lang w:val="en-GB"/>
        </w:rPr>
        <w:t>Journal of Marketing Research</w:t>
      </w:r>
      <w:r w:rsidRPr="003D6474">
        <w:rPr>
          <w:lang w:val="en-GB"/>
        </w:rPr>
        <w:t>, XXVII (February), 39-50.</w:t>
      </w:r>
    </w:p>
    <w:p w:rsidR="00453374" w:rsidRPr="003D6474" w:rsidRDefault="00453374" w:rsidP="00453374">
      <w:pPr>
        <w:pStyle w:val="BodyText"/>
        <w:ind w:left="360" w:hanging="360"/>
        <w:rPr>
          <w:lang w:val="es-ES"/>
        </w:rPr>
      </w:pPr>
      <w:r w:rsidRPr="003D6474">
        <w:rPr>
          <w:lang w:val="en-GB"/>
        </w:rPr>
        <w:t xml:space="preserve">Gilbert, M. &amp; Cordey-Hayes, M. (1996). Understanding the process of knowledge transfer to achieve successful technological innovation. </w:t>
      </w:r>
      <w:r w:rsidRPr="003D6474">
        <w:rPr>
          <w:i/>
          <w:iCs/>
          <w:lang w:val="es-ES"/>
        </w:rPr>
        <w:t>Technovation</w:t>
      </w:r>
      <w:r w:rsidRPr="003D6474">
        <w:rPr>
          <w:lang w:val="es-ES"/>
        </w:rPr>
        <w:t>, 16(6), 301-12.</w:t>
      </w:r>
    </w:p>
    <w:p w:rsidR="00453374" w:rsidRPr="003D6474" w:rsidRDefault="00453374" w:rsidP="00453374">
      <w:pPr>
        <w:pStyle w:val="BodyText"/>
        <w:ind w:left="360" w:hanging="360"/>
        <w:rPr>
          <w:lang w:val="en-GB"/>
        </w:rPr>
      </w:pPr>
      <w:r w:rsidRPr="003D6474">
        <w:rPr>
          <w:lang w:val="es-ES"/>
        </w:rPr>
        <w:t xml:space="preserve">Gómez-Loscos, A. &amp; González, M.J. (2014). La evolución reciente del turismo no residente en España. </w:t>
      </w:r>
      <w:r w:rsidRPr="003D6474">
        <w:rPr>
          <w:i/>
          <w:lang w:val="en-GB"/>
        </w:rPr>
        <w:t>Boletín Económico</w:t>
      </w:r>
      <w:r w:rsidRPr="003D6474">
        <w:rPr>
          <w:lang w:val="en-GB"/>
        </w:rPr>
        <w:t>, 4, 67-74.</w:t>
      </w:r>
    </w:p>
    <w:p w:rsidR="00453374" w:rsidRPr="003D6474" w:rsidRDefault="00453374" w:rsidP="00453374">
      <w:pPr>
        <w:pStyle w:val="BodyText"/>
        <w:ind w:left="360" w:hanging="360"/>
        <w:rPr>
          <w:lang w:val="en-GB"/>
        </w:rPr>
      </w:pPr>
      <w:r w:rsidRPr="003D6474">
        <w:rPr>
          <w:lang w:val="en-GB"/>
        </w:rPr>
        <w:t xml:space="preserve">Gonzalez, E. &amp; Carcaba, A. (2004). Efficiency improvement through learning. </w:t>
      </w:r>
      <w:r w:rsidRPr="003D6474">
        <w:rPr>
          <w:i/>
          <w:iCs/>
          <w:lang w:val="en-GB"/>
        </w:rPr>
        <w:t xml:space="preserve">International Journal of Technology Management, </w:t>
      </w:r>
      <w:r w:rsidRPr="003D6474">
        <w:rPr>
          <w:lang w:val="en-GB"/>
        </w:rPr>
        <w:t>27(6/7), 628-638.</w:t>
      </w:r>
    </w:p>
    <w:p w:rsidR="00453374" w:rsidRPr="003D6474" w:rsidRDefault="00453374" w:rsidP="00453374">
      <w:pPr>
        <w:pStyle w:val="BodyText"/>
        <w:ind w:left="360" w:hanging="360"/>
        <w:rPr>
          <w:lang w:val="en-GB"/>
        </w:rPr>
      </w:pPr>
      <w:r w:rsidRPr="003D6474">
        <w:rPr>
          <w:lang w:val="en-GB"/>
        </w:rPr>
        <w:t xml:space="preserve">Grimsley, M. and Meehan, A. (2007). e-Government information systems: evaluation-led design for public value and client trust. </w:t>
      </w:r>
      <w:r w:rsidRPr="003D6474">
        <w:rPr>
          <w:i/>
          <w:lang w:val="en-GB"/>
        </w:rPr>
        <w:t xml:space="preserve">European Journal of Information Systems, </w:t>
      </w:r>
      <w:r w:rsidRPr="003D6474">
        <w:rPr>
          <w:lang w:val="en-GB"/>
        </w:rPr>
        <w:t>16(2), 134–148.</w:t>
      </w:r>
    </w:p>
    <w:p w:rsidR="00453374" w:rsidRPr="003D6474" w:rsidRDefault="00453374" w:rsidP="00453374">
      <w:pPr>
        <w:pStyle w:val="BodyText"/>
        <w:ind w:left="360" w:hanging="360"/>
        <w:rPr>
          <w:lang w:val="en-GB"/>
        </w:rPr>
      </w:pPr>
      <w:r w:rsidRPr="003D6474">
        <w:rPr>
          <w:lang w:val="en-GB"/>
        </w:rPr>
        <w:t xml:space="preserve">Hair, J F J., Anderson, R E., Tatham R L. &amp; Black, W.C. (1998). </w:t>
      </w:r>
      <w:r w:rsidRPr="003D6474">
        <w:rPr>
          <w:i/>
          <w:iCs/>
          <w:lang w:val="en-GB"/>
        </w:rPr>
        <w:t>Multivariate Data Analysis</w:t>
      </w:r>
      <w:r w:rsidRPr="003D6474">
        <w:rPr>
          <w:lang w:val="en-GB"/>
        </w:rPr>
        <w:t>, 5th ed. Prentice-Hall, Englewood Cliffs, NJ, .</w:t>
      </w:r>
    </w:p>
    <w:p w:rsidR="00453374" w:rsidRPr="003D6474" w:rsidRDefault="00453374" w:rsidP="00453374">
      <w:pPr>
        <w:pStyle w:val="BodyTextIndent"/>
        <w:spacing w:line="240" w:lineRule="auto"/>
        <w:ind w:left="360" w:hanging="360"/>
        <w:rPr>
          <w:lang w:val="en-GB"/>
        </w:rPr>
      </w:pPr>
      <w:r w:rsidRPr="003D6474">
        <w:rPr>
          <w:lang w:val="en-GB"/>
        </w:rPr>
        <w:t xml:space="preserve">Hammer, M. &amp; Mangurian, G.E. (1987). The changing value of communications technology. </w:t>
      </w:r>
      <w:r w:rsidRPr="003D6474">
        <w:rPr>
          <w:i/>
          <w:iCs/>
          <w:lang w:val="en-GB"/>
        </w:rPr>
        <w:t>Sloan Management Review</w:t>
      </w:r>
      <w:r w:rsidRPr="003D6474">
        <w:rPr>
          <w:lang w:val="en-GB"/>
        </w:rPr>
        <w:t>, 28(2), 65-71.</w:t>
      </w:r>
    </w:p>
    <w:p w:rsidR="00453374" w:rsidRPr="003D6474" w:rsidRDefault="00453374" w:rsidP="00453374">
      <w:pPr>
        <w:pStyle w:val="BodyText"/>
        <w:ind w:left="360" w:hanging="360"/>
        <w:rPr>
          <w:lang w:val="en-GB"/>
        </w:rPr>
      </w:pPr>
      <w:r w:rsidRPr="003D6474">
        <w:rPr>
          <w:lang w:val="en-GB"/>
        </w:rPr>
        <w:t xml:space="preserve">Harrison, T. M., Pardo, T. A. &amp; Cook, M. (2012). Creating open government ecosystems: A research and development agenda. </w:t>
      </w:r>
      <w:r w:rsidRPr="003D6474">
        <w:rPr>
          <w:i/>
          <w:lang w:val="en-GB"/>
        </w:rPr>
        <w:t>Future Internet</w:t>
      </w:r>
      <w:r w:rsidRPr="003D6474">
        <w:rPr>
          <w:lang w:val="en-GB"/>
        </w:rPr>
        <w:t>, 4(4), 900-928.</w:t>
      </w:r>
    </w:p>
    <w:p w:rsidR="00453374" w:rsidRPr="003D6474" w:rsidRDefault="00453374" w:rsidP="00453374">
      <w:pPr>
        <w:pStyle w:val="BodyText"/>
        <w:ind w:left="360" w:hanging="360"/>
        <w:rPr>
          <w:lang w:val="en-GB"/>
        </w:rPr>
      </w:pPr>
      <w:r w:rsidRPr="003D6474">
        <w:rPr>
          <w:lang w:val="en-GB"/>
        </w:rPr>
        <w:t xml:space="preserve">Heichlinger, A. (2004). </w:t>
      </w:r>
      <w:r w:rsidRPr="003D6474">
        <w:rPr>
          <w:i/>
          <w:iCs/>
          <w:lang w:val="en-GB"/>
        </w:rPr>
        <w:t>eGovernment in Europe's Regions: Approaches and Progress in IST Strategy, Organisation and Services, and the Role of Regional Actors</w:t>
      </w:r>
      <w:r w:rsidRPr="003D6474">
        <w:rPr>
          <w:lang w:val="en-GB"/>
        </w:rPr>
        <w:t>. Maastricht (Netherlands): European Institute of Public Administration.</w:t>
      </w:r>
    </w:p>
    <w:p w:rsidR="00453374" w:rsidRPr="003D6474" w:rsidRDefault="00453374" w:rsidP="00453374">
      <w:pPr>
        <w:pStyle w:val="BodyText"/>
        <w:ind w:left="360" w:hanging="360"/>
        <w:rPr>
          <w:lang w:val="en-GB"/>
        </w:rPr>
      </w:pPr>
      <w:r w:rsidRPr="003D6474">
        <w:rPr>
          <w:lang w:val="en-GB"/>
        </w:rPr>
        <w:t xml:space="preserve">Hibbard, J. &amp; Carillo, K.M. (1998). Knowledge revolution: Getting employees to share what they know is no longer a technology challenge-it’s a corporate culture challenge. </w:t>
      </w:r>
      <w:r w:rsidRPr="003D6474">
        <w:rPr>
          <w:i/>
          <w:iCs/>
          <w:lang w:val="en-GB"/>
        </w:rPr>
        <w:t>Information Week</w:t>
      </w:r>
      <w:r w:rsidRPr="003D6474">
        <w:rPr>
          <w:lang w:val="en-GB"/>
        </w:rPr>
        <w:t>, 663, 49–51.</w:t>
      </w:r>
    </w:p>
    <w:p w:rsidR="00453374" w:rsidRPr="003D6474" w:rsidRDefault="00453374" w:rsidP="00453374">
      <w:pPr>
        <w:pStyle w:val="BodyText"/>
        <w:ind w:left="360" w:hanging="360"/>
        <w:rPr>
          <w:lang w:val="en-GB"/>
        </w:rPr>
      </w:pPr>
      <w:r w:rsidRPr="003D6474">
        <w:rPr>
          <w:lang w:val="en-GB"/>
        </w:rPr>
        <w:t>Irani, Z. and Love, P (2008). Information systems evaluation: A crisis of understanding.  In Irani, Z. and Love, P. (Eds), Evaluating Information Systems: Public and Private Sector, Oxford, UK: Butterworth-Heinemann, pp.ix-xxxvi.</w:t>
      </w:r>
    </w:p>
    <w:p w:rsidR="00453374" w:rsidRPr="003D6474" w:rsidRDefault="00453374" w:rsidP="00453374">
      <w:pPr>
        <w:pStyle w:val="BodyText"/>
        <w:ind w:left="360" w:hanging="360"/>
        <w:rPr>
          <w:lang w:val="en-GB"/>
        </w:rPr>
      </w:pPr>
      <w:r w:rsidRPr="003D6474">
        <w:rPr>
          <w:lang w:val="en-GB"/>
        </w:rPr>
        <w:t xml:space="preserve">Irani, Z., Love, PE., Elliman, T., Jones, S. &amp; Themistocleus, M. (2005). Evaluating EGovernment: Learning from the experiences of two UK local authorities. </w:t>
      </w:r>
      <w:r w:rsidRPr="003D6474">
        <w:rPr>
          <w:i/>
          <w:iCs/>
          <w:lang w:val="en-GB"/>
        </w:rPr>
        <w:t xml:space="preserve">Information Systems Journal, </w:t>
      </w:r>
      <w:r w:rsidRPr="003D6474">
        <w:rPr>
          <w:lang w:val="en-GB"/>
        </w:rPr>
        <w:t>15(1), 61-82.</w:t>
      </w:r>
    </w:p>
    <w:p w:rsidR="00453374" w:rsidRPr="003D6474" w:rsidRDefault="00453374" w:rsidP="00453374">
      <w:pPr>
        <w:pStyle w:val="BodyText"/>
        <w:ind w:left="360" w:hanging="360"/>
        <w:rPr>
          <w:lang w:val="en-GB"/>
        </w:rPr>
      </w:pPr>
      <w:r w:rsidRPr="003D6474">
        <w:rPr>
          <w:lang w:val="en-GB"/>
        </w:rPr>
        <w:t>Janis, I. (1982). Victims of Groupthink, Houghton Mifflin, Boston, 2ª ed.</w:t>
      </w:r>
    </w:p>
    <w:p w:rsidR="00453374" w:rsidRPr="003D6474" w:rsidRDefault="00453374" w:rsidP="00453374">
      <w:pPr>
        <w:pStyle w:val="BodyText"/>
        <w:ind w:left="360" w:hanging="360"/>
        <w:rPr>
          <w:lang w:val="en-GB"/>
        </w:rPr>
      </w:pPr>
      <w:r w:rsidRPr="003D6474">
        <w:rPr>
          <w:lang w:val="en-GB"/>
        </w:rPr>
        <w:t xml:space="preserve">Janssen, M., Kuk, G.: E-government Business Models for Public Service Networks. </w:t>
      </w:r>
      <w:r w:rsidRPr="003D6474">
        <w:rPr>
          <w:i/>
          <w:lang w:val="en-GB"/>
        </w:rPr>
        <w:t>International Journal of Electronic Government Research</w:t>
      </w:r>
      <w:r w:rsidRPr="003D6474">
        <w:rPr>
          <w:lang w:val="en-GB"/>
        </w:rPr>
        <w:t>, 3(3), 54–71.</w:t>
      </w:r>
    </w:p>
    <w:p w:rsidR="00453374" w:rsidRPr="003D6474" w:rsidRDefault="00453374" w:rsidP="00453374">
      <w:pPr>
        <w:pStyle w:val="BodyText"/>
        <w:ind w:left="360" w:hanging="360"/>
        <w:rPr>
          <w:lang w:val="en-GB"/>
        </w:rPr>
      </w:pPr>
      <w:r w:rsidRPr="003D6474">
        <w:rPr>
          <w:lang w:val="en-GB"/>
        </w:rPr>
        <w:t xml:space="preserve">Jöreskog, K. &amp; Sörbom, D. (2001). </w:t>
      </w:r>
      <w:r w:rsidRPr="003D6474">
        <w:rPr>
          <w:i/>
          <w:iCs/>
          <w:lang w:val="en-GB"/>
        </w:rPr>
        <w:t>LISREL 8.50</w:t>
      </w:r>
      <w:r w:rsidRPr="003D6474">
        <w:rPr>
          <w:lang w:val="en-GB"/>
        </w:rPr>
        <w:t>. Chicago, IL: Scientific Software.</w:t>
      </w:r>
    </w:p>
    <w:p w:rsidR="00453374" w:rsidRPr="003D6474" w:rsidRDefault="00453374" w:rsidP="00453374">
      <w:pPr>
        <w:pStyle w:val="BodyText"/>
        <w:ind w:left="360" w:hanging="360"/>
        <w:rPr>
          <w:lang w:val="en-GB"/>
        </w:rPr>
      </w:pPr>
      <w:r w:rsidRPr="003D6474">
        <w:rPr>
          <w:lang w:val="en-GB"/>
        </w:rPr>
        <w:t xml:space="preserve">Kambil, A., Nunes, P.F., &amp; Wilson, D. (1999). Transforming the Marketspace with All-in-One Markets. </w:t>
      </w:r>
      <w:r w:rsidRPr="003D6474">
        <w:rPr>
          <w:i/>
          <w:lang w:val="en-GB"/>
        </w:rPr>
        <w:t>International Journal of Electronic Commerce</w:t>
      </w:r>
      <w:r w:rsidRPr="003D6474">
        <w:rPr>
          <w:lang w:val="en-GB"/>
        </w:rPr>
        <w:t>, 3(4), 11-28.</w:t>
      </w:r>
    </w:p>
    <w:p w:rsidR="00453374" w:rsidRPr="003D6474" w:rsidRDefault="00453374" w:rsidP="00453374">
      <w:pPr>
        <w:pStyle w:val="BodyText"/>
        <w:ind w:left="360" w:hanging="360"/>
        <w:rPr>
          <w:lang w:val="en-GB"/>
        </w:rPr>
      </w:pPr>
      <w:r w:rsidRPr="003D6474">
        <w:t xml:space="preserve">Lee, G. &amp; Kwak, Y. H. (2012). </w:t>
      </w:r>
      <w:r w:rsidRPr="003D6474">
        <w:rPr>
          <w:lang w:val="en-GB"/>
        </w:rPr>
        <w:t xml:space="preserve">An open government maturity model for social mediabased public engagement. </w:t>
      </w:r>
      <w:r w:rsidRPr="003D6474">
        <w:rPr>
          <w:i/>
          <w:lang w:val="en-GB"/>
        </w:rPr>
        <w:t>Government Information Quarterly</w:t>
      </w:r>
      <w:r w:rsidRPr="003D6474">
        <w:rPr>
          <w:lang w:val="en-GB"/>
        </w:rPr>
        <w:t>, 29(4): 492-503.</w:t>
      </w:r>
    </w:p>
    <w:p w:rsidR="00453374" w:rsidRPr="003D6474" w:rsidRDefault="00453374" w:rsidP="00453374">
      <w:pPr>
        <w:pStyle w:val="BodyText"/>
        <w:ind w:left="360" w:hanging="360"/>
        <w:rPr>
          <w:lang w:val="en-GB"/>
        </w:rPr>
      </w:pPr>
      <w:r w:rsidRPr="003D6474">
        <w:rPr>
          <w:lang w:val="en-GB"/>
        </w:rPr>
        <w:t xml:space="preserve">Lee, M. &amp; Turban, E. (2001). A trust model for internet shopping. </w:t>
      </w:r>
      <w:r w:rsidRPr="003D6474">
        <w:rPr>
          <w:i/>
          <w:iCs/>
          <w:lang w:val="en-GB"/>
        </w:rPr>
        <w:t>International Journal of Electronic Commerce</w:t>
      </w:r>
      <w:r w:rsidRPr="003D6474">
        <w:rPr>
          <w:lang w:val="en-GB"/>
        </w:rPr>
        <w:t>, 6, 75–91.</w:t>
      </w:r>
    </w:p>
    <w:p w:rsidR="00453374" w:rsidRPr="003D6474" w:rsidRDefault="00453374" w:rsidP="00453374">
      <w:pPr>
        <w:pStyle w:val="BodyText"/>
        <w:ind w:left="360" w:hanging="360"/>
        <w:rPr>
          <w:lang w:val="en-GB"/>
        </w:rPr>
      </w:pPr>
      <w:r w:rsidRPr="003D6474">
        <w:rPr>
          <w:lang w:val="en-GB"/>
        </w:rPr>
        <w:t xml:space="preserve">Lin, H.F. &amp; Lee, G.G. (2005). Impact of organizational learning and knowledge management factors on e-business adoption. </w:t>
      </w:r>
      <w:r w:rsidRPr="003D6474">
        <w:rPr>
          <w:i/>
          <w:iCs/>
          <w:lang w:val="en-GB"/>
        </w:rPr>
        <w:t>Management Decision</w:t>
      </w:r>
      <w:r w:rsidRPr="003D6474">
        <w:rPr>
          <w:lang w:val="en-GB"/>
        </w:rPr>
        <w:t>, 43(2), 171-188.</w:t>
      </w:r>
    </w:p>
    <w:p w:rsidR="00453374" w:rsidRPr="003D6474" w:rsidRDefault="00453374" w:rsidP="00453374">
      <w:pPr>
        <w:ind w:left="360" w:hanging="360"/>
        <w:jc w:val="both"/>
        <w:rPr>
          <w:lang w:val="en-GB"/>
        </w:rPr>
      </w:pPr>
      <w:r w:rsidRPr="003D6474">
        <w:rPr>
          <w:lang w:val="en-GB"/>
        </w:rPr>
        <w:lastRenderedPageBreak/>
        <w:t xml:space="preserve">Mahmood, M. A., Bagchi, K. &amp; Ford, T. C. (2004). On-Line Shopping Behavior: Cross-Country Empirical Research. </w:t>
      </w:r>
      <w:r w:rsidRPr="003D6474">
        <w:rPr>
          <w:i/>
          <w:iCs/>
          <w:lang w:val="en-GB"/>
        </w:rPr>
        <w:t>International Journal of Electronic Commerce</w:t>
      </w:r>
      <w:r w:rsidRPr="003D6474">
        <w:rPr>
          <w:lang w:val="en-GB"/>
        </w:rPr>
        <w:t>, 9(1), 9-30.</w:t>
      </w:r>
    </w:p>
    <w:p w:rsidR="00453374" w:rsidRPr="003D6474" w:rsidRDefault="00453374" w:rsidP="00453374">
      <w:pPr>
        <w:pStyle w:val="BodyText"/>
        <w:ind w:left="360" w:hanging="360"/>
        <w:rPr>
          <w:lang w:val="en-GB"/>
        </w:rPr>
      </w:pPr>
      <w:r w:rsidRPr="003D6474">
        <w:rPr>
          <w:lang w:val="en-GB"/>
        </w:rPr>
        <w:t xml:space="preserve">McDougall, P.P., Covin, J.G., Robinson, R.B. &amp; Herron, L. (1994). The effects of industry growth and strategic breadth on new venture performance and strategy content. </w:t>
      </w:r>
      <w:r w:rsidRPr="003D6474">
        <w:rPr>
          <w:i/>
          <w:iCs/>
          <w:lang w:val="en-GB"/>
        </w:rPr>
        <w:t>Strategic Management Journal</w:t>
      </w:r>
      <w:r w:rsidRPr="003D6474">
        <w:rPr>
          <w:lang w:val="en-GB"/>
        </w:rPr>
        <w:t>, 15, 537-554.</w:t>
      </w:r>
    </w:p>
    <w:p w:rsidR="00453374" w:rsidRPr="003D6474" w:rsidRDefault="00453374" w:rsidP="00453374">
      <w:pPr>
        <w:ind w:left="360" w:hanging="360"/>
        <w:jc w:val="both"/>
        <w:rPr>
          <w:lang w:val="en-GB"/>
        </w:rPr>
      </w:pPr>
      <w:r w:rsidRPr="003D6474">
        <w:rPr>
          <w:lang w:val="en-GB"/>
        </w:rPr>
        <w:t>McKnight, D.H. &amp; Chervany, N.L. (2001). What trust means in e-commerce customer relationships: an interdisciplinary conceptual typology.</w:t>
      </w:r>
      <w:r w:rsidRPr="003D6474">
        <w:rPr>
          <w:i/>
          <w:iCs/>
          <w:lang w:val="en-GB"/>
        </w:rPr>
        <w:t xml:space="preserve"> International Journal of Electronic Commerce</w:t>
      </w:r>
      <w:r w:rsidRPr="003D6474">
        <w:rPr>
          <w:lang w:val="en-GB"/>
        </w:rPr>
        <w:t>, 6(2), 35-59.</w:t>
      </w:r>
    </w:p>
    <w:p w:rsidR="00453374" w:rsidRPr="003D6474" w:rsidRDefault="00453374" w:rsidP="00453374">
      <w:pPr>
        <w:pStyle w:val="BodyText"/>
        <w:ind w:left="360" w:hanging="360"/>
        <w:rPr>
          <w:lang w:val="en-GB"/>
        </w:rPr>
      </w:pPr>
      <w:r w:rsidRPr="003D6474">
        <w:rPr>
          <w:lang w:val="en-GB"/>
        </w:rPr>
        <w:t>Menon, A., Bharadwaj S.G. &amp; Howell, R. (1996). The quality and effectiveness of marketing strategy: Effects of functional and dysfunctional conflict in intra-organizational relationships. Journal of the Academy of Marketing Science, 24, 299-313.</w:t>
      </w:r>
    </w:p>
    <w:p w:rsidR="00453374" w:rsidRPr="003D6474" w:rsidRDefault="00453374" w:rsidP="00453374">
      <w:pPr>
        <w:pStyle w:val="BodyText2"/>
        <w:spacing w:line="240" w:lineRule="auto"/>
        <w:ind w:left="360" w:hanging="360"/>
        <w:jc w:val="both"/>
        <w:rPr>
          <w:rFonts w:ascii="Times New Roman" w:hAnsi="Times New Roman"/>
          <w:sz w:val="24"/>
          <w:szCs w:val="24"/>
          <w:lang w:val="en-GB"/>
        </w:rPr>
      </w:pPr>
      <w:r w:rsidRPr="003D6474">
        <w:rPr>
          <w:rFonts w:ascii="Times New Roman" w:hAnsi="Times New Roman"/>
          <w:sz w:val="24"/>
          <w:szCs w:val="24"/>
          <w:lang w:val="en-GB"/>
        </w:rPr>
        <w:t xml:space="preserve">Nardi, B. and O’Day, V (1999).  Information Ecologies: Using Technology with Hearth.  Cambridge (Mass): The MIT Press.  </w:t>
      </w:r>
    </w:p>
    <w:p w:rsidR="00453374" w:rsidRPr="003D6474" w:rsidRDefault="00453374" w:rsidP="00453374">
      <w:pPr>
        <w:pStyle w:val="BodyText2"/>
        <w:spacing w:line="240" w:lineRule="auto"/>
        <w:ind w:left="360" w:hanging="360"/>
        <w:jc w:val="both"/>
        <w:rPr>
          <w:rFonts w:ascii="Times New Roman" w:hAnsi="Times New Roman"/>
          <w:sz w:val="24"/>
          <w:szCs w:val="24"/>
          <w:lang w:val="en-GB"/>
        </w:rPr>
      </w:pPr>
      <w:r w:rsidRPr="003D6474">
        <w:rPr>
          <w:rFonts w:ascii="Times New Roman" w:hAnsi="Times New Roman"/>
          <w:sz w:val="24"/>
          <w:szCs w:val="24"/>
          <w:lang w:val="en-GB"/>
        </w:rPr>
        <w:t xml:space="preserve">Nath, R., Akmanligil, M., Hjelm, K., Sakaguchi, T. &amp; Schultz., M. (1998). Electronic Commerce and the Internet: Issues, Problems, and Perspectives. </w:t>
      </w:r>
      <w:r w:rsidRPr="003D6474">
        <w:rPr>
          <w:rFonts w:ascii="Times New Roman" w:hAnsi="Times New Roman"/>
          <w:i/>
          <w:sz w:val="24"/>
          <w:szCs w:val="24"/>
          <w:lang w:val="en-GB"/>
        </w:rPr>
        <w:t>International Journal of Information Management</w:t>
      </w:r>
      <w:r w:rsidRPr="003D6474">
        <w:rPr>
          <w:rFonts w:ascii="Times New Roman" w:hAnsi="Times New Roman"/>
          <w:sz w:val="24"/>
          <w:szCs w:val="24"/>
          <w:lang w:val="en-GB"/>
        </w:rPr>
        <w:t>, 18(2), 91-101.</w:t>
      </w:r>
    </w:p>
    <w:p w:rsidR="00453374" w:rsidRPr="003D6474" w:rsidRDefault="00453374" w:rsidP="00453374">
      <w:pPr>
        <w:ind w:left="360" w:hanging="360"/>
        <w:jc w:val="both"/>
        <w:rPr>
          <w:lang w:val="en-GB"/>
        </w:rPr>
      </w:pPr>
      <w:r w:rsidRPr="003D6474">
        <w:rPr>
          <w:lang w:val="en-GB"/>
        </w:rPr>
        <w:t xml:space="preserve">Nonaka, I. &amp; Konno, N. (1998). The concept of Ba: building a foundation for knowledge creation. </w:t>
      </w:r>
      <w:r w:rsidRPr="003D6474">
        <w:rPr>
          <w:i/>
          <w:lang w:val="en-GB"/>
        </w:rPr>
        <w:t xml:space="preserve">California Management Review, </w:t>
      </w:r>
      <w:r w:rsidRPr="003D6474">
        <w:rPr>
          <w:lang w:val="en-GB"/>
        </w:rPr>
        <w:t>40(3), 40-54.</w:t>
      </w:r>
    </w:p>
    <w:p w:rsidR="00453374" w:rsidRPr="003D6474" w:rsidRDefault="00453374" w:rsidP="00453374">
      <w:pPr>
        <w:ind w:left="360" w:hanging="360"/>
        <w:jc w:val="both"/>
        <w:rPr>
          <w:lang w:val="en-GB"/>
        </w:rPr>
      </w:pPr>
      <w:r w:rsidRPr="003D6474">
        <w:rPr>
          <w:lang w:val="en-GB"/>
        </w:rPr>
        <w:t xml:space="preserve">Pavlou, P. (2003). Consumer acceptance of electronic commerce: integrating trust and risk with the technology acceptance model. </w:t>
      </w:r>
      <w:r w:rsidRPr="003D6474">
        <w:rPr>
          <w:i/>
          <w:iCs/>
          <w:lang w:val="en-GB"/>
        </w:rPr>
        <w:t>International Journal of Electronic Commerce</w:t>
      </w:r>
      <w:r w:rsidRPr="003D6474">
        <w:rPr>
          <w:lang w:val="en-GB"/>
        </w:rPr>
        <w:t>, 7, 69–103.</w:t>
      </w:r>
    </w:p>
    <w:p w:rsidR="00453374" w:rsidRPr="003D6474" w:rsidRDefault="00453374" w:rsidP="00453374">
      <w:pPr>
        <w:pStyle w:val="BodyText"/>
        <w:ind w:left="360" w:hanging="360"/>
        <w:rPr>
          <w:lang w:val="en-GB"/>
        </w:rPr>
      </w:pPr>
      <w:r w:rsidRPr="003D6474">
        <w:rPr>
          <w:lang w:val="en-GB"/>
        </w:rPr>
        <w:t xml:space="preserve">Porter, L.W, Lawler, E.E, &amp; Hackman, J.R. (1987). </w:t>
      </w:r>
      <w:r w:rsidRPr="003D6474">
        <w:rPr>
          <w:i/>
          <w:iCs/>
          <w:lang w:val="en-GB"/>
        </w:rPr>
        <w:t>Ways groups influence individual work effectiveness</w:t>
      </w:r>
      <w:r w:rsidRPr="003D6474">
        <w:rPr>
          <w:lang w:val="en-GB"/>
        </w:rPr>
        <w:t>, in R.M. Steers and L.W. Porter (Eds): Motivation and work behaviour, McGraw-Hill, New York, 4ª ed, 271-279.</w:t>
      </w:r>
    </w:p>
    <w:p w:rsidR="00453374" w:rsidRPr="003D6474" w:rsidRDefault="00453374" w:rsidP="00453374">
      <w:pPr>
        <w:pStyle w:val="BodyText"/>
        <w:ind w:left="360" w:hanging="360"/>
        <w:rPr>
          <w:lang w:val="en-GB"/>
        </w:rPr>
      </w:pPr>
      <w:r w:rsidRPr="003D6474">
        <w:rPr>
          <w:lang w:val="en-GB"/>
        </w:rPr>
        <w:t xml:space="preserve">Rambøll, (2004). User Satisfaction and Usage Survey of eGovernment services. </w:t>
      </w:r>
      <w:r w:rsidRPr="003D6474">
        <w:rPr>
          <w:i/>
          <w:lang w:val="en-GB"/>
        </w:rPr>
        <w:t>EU: Top of the Web survey 2004.</w:t>
      </w:r>
      <w:r w:rsidRPr="003D6474">
        <w:rPr>
          <w:lang w:val="en-GB"/>
        </w:rPr>
        <w:t xml:space="preserve"> </w:t>
      </w:r>
      <w:hyperlink r:id="rId7" w:history="1">
        <w:r w:rsidRPr="003D6474">
          <w:rPr>
            <w:rStyle w:val="Hyperlink"/>
            <w:color w:val="auto"/>
            <w:lang w:val="en-GB"/>
          </w:rPr>
          <w:t>http://europa.eu.int/idabc/en/document/3819/254</w:t>
        </w:r>
      </w:hyperlink>
    </w:p>
    <w:p w:rsidR="00453374" w:rsidRPr="003D6474" w:rsidRDefault="00453374" w:rsidP="00453374">
      <w:pPr>
        <w:pStyle w:val="BodyTextIndent"/>
        <w:spacing w:line="240" w:lineRule="auto"/>
        <w:ind w:left="360" w:hanging="360"/>
        <w:rPr>
          <w:lang w:val="en-GB"/>
        </w:rPr>
      </w:pPr>
      <w:r w:rsidRPr="003D6474">
        <w:rPr>
          <w:lang w:val="en-GB"/>
        </w:rPr>
        <w:t xml:space="preserve">Riggins, F.J. (1999). A framework for identifying Web-based electronic commerce opportunities. </w:t>
      </w:r>
      <w:r w:rsidRPr="003D6474">
        <w:rPr>
          <w:i/>
          <w:iCs/>
          <w:lang w:val="en-GB"/>
        </w:rPr>
        <w:t>Journal of Organizational Computing and Electronic Commerce</w:t>
      </w:r>
      <w:r w:rsidRPr="003D6474">
        <w:rPr>
          <w:lang w:val="en-GB"/>
        </w:rPr>
        <w:t>, 9(4), 297-310.</w:t>
      </w:r>
    </w:p>
    <w:p w:rsidR="00453374" w:rsidRPr="003D6474" w:rsidRDefault="00453374" w:rsidP="00453374">
      <w:pPr>
        <w:pStyle w:val="BodyText"/>
        <w:ind w:left="360" w:hanging="360"/>
        <w:rPr>
          <w:lang w:val="en-GB"/>
        </w:rPr>
      </w:pPr>
      <w:r w:rsidRPr="003D6474">
        <w:rPr>
          <w:lang w:val="en-GB"/>
        </w:rPr>
        <w:t xml:space="preserve">Roth, K. &amp; Ricks, D.A. (1994). Goal configuration in a global industry context. </w:t>
      </w:r>
      <w:r w:rsidRPr="003D6474">
        <w:rPr>
          <w:i/>
          <w:iCs/>
          <w:lang w:val="en-GB"/>
        </w:rPr>
        <w:t>Strategic Management Journal</w:t>
      </w:r>
      <w:r w:rsidRPr="003D6474">
        <w:rPr>
          <w:lang w:val="en-GB"/>
        </w:rPr>
        <w:t>, 15(2), 103-120.</w:t>
      </w:r>
    </w:p>
    <w:p w:rsidR="00453374" w:rsidRPr="003D6474" w:rsidRDefault="00453374" w:rsidP="00453374">
      <w:pPr>
        <w:pStyle w:val="BodyText"/>
        <w:ind w:left="360" w:hanging="360"/>
        <w:rPr>
          <w:lang w:val="en-GB"/>
        </w:rPr>
      </w:pPr>
      <w:r w:rsidRPr="003D6474">
        <w:rPr>
          <w:lang w:val="en-GB"/>
        </w:rPr>
        <w:t xml:space="preserve">Rust, R.T. &amp; Lemon, K.N.(2001). E-service and the consumer. </w:t>
      </w:r>
      <w:r w:rsidRPr="003D6474">
        <w:rPr>
          <w:i/>
          <w:iCs/>
          <w:lang w:val="en-GB"/>
        </w:rPr>
        <w:t>International Journal of Electronic Commerce</w:t>
      </w:r>
      <w:r w:rsidRPr="003D6474">
        <w:rPr>
          <w:lang w:val="en-GB"/>
        </w:rPr>
        <w:t>, 5(3), 85–101.</w:t>
      </w:r>
    </w:p>
    <w:p w:rsidR="00453374" w:rsidRPr="003D6474" w:rsidRDefault="00453374" w:rsidP="00453374">
      <w:pPr>
        <w:pStyle w:val="BodyText"/>
        <w:ind w:left="360" w:hanging="360"/>
        <w:rPr>
          <w:lang w:val="en-GB"/>
        </w:rPr>
      </w:pPr>
      <w:r w:rsidRPr="003D6474">
        <w:rPr>
          <w:lang w:val="en-GB"/>
        </w:rPr>
        <w:t xml:space="preserve">Selz, D. &amp; Schubert, P (1997). Web assessment: a model for the evaluation and assesment of successful electronic commerce applications. </w:t>
      </w:r>
      <w:r w:rsidRPr="003D6474">
        <w:rPr>
          <w:i/>
          <w:iCs/>
          <w:lang w:val="en-GB"/>
        </w:rPr>
        <w:t>International Journal of Electronic Markets</w:t>
      </w:r>
      <w:r w:rsidRPr="003D6474">
        <w:rPr>
          <w:lang w:val="en-GB"/>
        </w:rPr>
        <w:t>, 7(3), 46-48.</w:t>
      </w:r>
    </w:p>
    <w:p w:rsidR="00453374" w:rsidRPr="003D6474" w:rsidRDefault="00453374" w:rsidP="00453374">
      <w:pPr>
        <w:ind w:left="360" w:hanging="360"/>
        <w:jc w:val="both"/>
        <w:rPr>
          <w:lang w:val="en-GB"/>
        </w:rPr>
      </w:pPr>
      <w:r w:rsidRPr="003D6474">
        <w:rPr>
          <w:lang w:val="en-GB"/>
        </w:rPr>
        <w:t xml:space="preserve">Szulanski, G. (1996). Exploring stickiness: impediments to the transfer of best practice within the firm. </w:t>
      </w:r>
      <w:r w:rsidRPr="003D6474">
        <w:rPr>
          <w:i/>
          <w:lang w:val="en-GB"/>
        </w:rPr>
        <w:t xml:space="preserve">Strategic Management Journal, </w:t>
      </w:r>
      <w:r w:rsidRPr="003D6474">
        <w:rPr>
          <w:lang w:val="en-GB"/>
        </w:rPr>
        <w:t>17, 27-43.</w:t>
      </w:r>
    </w:p>
    <w:p w:rsidR="00453374" w:rsidRPr="003D6474" w:rsidRDefault="00453374" w:rsidP="00453374">
      <w:pPr>
        <w:pStyle w:val="BodyText"/>
        <w:ind w:left="360" w:hanging="360"/>
        <w:rPr>
          <w:lang w:val="en-GB"/>
        </w:rPr>
      </w:pPr>
      <w:r w:rsidRPr="003D6474">
        <w:rPr>
          <w:lang w:val="en-GB"/>
        </w:rPr>
        <w:t xml:space="preserve">Tan, C. &amp; Pan, S. (2003). Managing e-transformation in the public sector: An eGovernment study of the Inland Revenue Authority of Singapore (IRAS). </w:t>
      </w:r>
      <w:r w:rsidRPr="003D6474">
        <w:rPr>
          <w:i/>
          <w:iCs/>
          <w:lang w:val="en-GB"/>
        </w:rPr>
        <w:t>European Journal of Information Systems</w:t>
      </w:r>
      <w:r w:rsidRPr="003D6474">
        <w:rPr>
          <w:lang w:val="en-GB"/>
        </w:rPr>
        <w:t>, 12, 269-281.</w:t>
      </w:r>
    </w:p>
    <w:p w:rsidR="00453374" w:rsidRPr="003D6474" w:rsidRDefault="00453374" w:rsidP="00453374">
      <w:pPr>
        <w:ind w:left="360" w:hanging="360"/>
        <w:jc w:val="both"/>
        <w:rPr>
          <w:lang w:val="en-GB"/>
        </w:rPr>
      </w:pPr>
      <w:r w:rsidRPr="003D6474">
        <w:rPr>
          <w:lang w:val="en-GB"/>
        </w:rPr>
        <w:t xml:space="preserve">Teece, D.J. (2000). Strategies for Managing Knowledge Assets: The Role of Firm Structure and Industrial Context”, </w:t>
      </w:r>
      <w:r w:rsidRPr="003D6474">
        <w:rPr>
          <w:i/>
          <w:iCs/>
          <w:lang w:val="en-GB"/>
        </w:rPr>
        <w:t>Long Range Planning</w:t>
      </w:r>
      <w:r w:rsidRPr="003D6474">
        <w:rPr>
          <w:lang w:val="en-GB"/>
        </w:rPr>
        <w:t xml:space="preserve"> 33(1), 35-54.</w:t>
      </w:r>
    </w:p>
    <w:p w:rsidR="00453374" w:rsidRPr="003D6474" w:rsidRDefault="00453374" w:rsidP="00453374">
      <w:pPr>
        <w:pStyle w:val="BodyText"/>
        <w:ind w:left="360" w:hanging="360"/>
        <w:rPr>
          <w:lang w:val="en-GB"/>
        </w:rPr>
      </w:pPr>
      <w:r w:rsidRPr="003D6474">
        <w:rPr>
          <w:lang w:val="en-GB"/>
        </w:rPr>
        <w:t>United Nation World Tourism Organization -UNWTO. (2015). UNWTO Tourism Highlights (2011 Edition). Available from. http://www.e-unwto.org/doi/pdf/10.18111/9789284416899</w:t>
      </w:r>
      <w:r w:rsidRPr="003D6474" w:rsidDel="000A73A9">
        <w:rPr>
          <w:lang w:val="en-GB"/>
        </w:rPr>
        <w:t xml:space="preserve"> </w:t>
      </w:r>
      <w:r w:rsidRPr="003D6474">
        <w:rPr>
          <w:lang w:val="en-GB"/>
        </w:rPr>
        <w:t xml:space="preserve"> (accessed October 12, 2015).</w:t>
      </w:r>
    </w:p>
    <w:p w:rsidR="00453374" w:rsidRPr="003D6474" w:rsidRDefault="00453374" w:rsidP="00453374">
      <w:pPr>
        <w:pStyle w:val="BodyText"/>
        <w:ind w:left="360" w:hanging="360"/>
        <w:rPr>
          <w:lang w:val="en-GB"/>
        </w:rPr>
      </w:pPr>
      <w:r w:rsidRPr="003D6474">
        <w:rPr>
          <w:lang w:val="en-GB"/>
        </w:rPr>
        <w:t xml:space="preserve">Wenger, E., Mcdermott, R. &amp; Snyder, W.M. (2002). </w:t>
      </w:r>
      <w:r w:rsidRPr="003D6474">
        <w:rPr>
          <w:i/>
          <w:iCs/>
          <w:lang w:val="en-GB"/>
        </w:rPr>
        <w:t>A Guide to managing knowledge: Cultivating communities of practice</w:t>
      </w:r>
      <w:r w:rsidRPr="003D6474">
        <w:rPr>
          <w:lang w:val="en-GB"/>
        </w:rPr>
        <w:t>. Harvard Business School Press, Boston.</w:t>
      </w:r>
    </w:p>
    <w:p w:rsidR="00C7509B" w:rsidRPr="003D6474" w:rsidRDefault="00453374" w:rsidP="00453374">
      <w:pPr>
        <w:pStyle w:val="BodyText"/>
        <w:ind w:left="360" w:hanging="360"/>
        <w:rPr>
          <w:lang w:val="en-GB"/>
        </w:rPr>
      </w:pPr>
      <w:r w:rsidRPr="003D6474">
        <w:rPr>
          <w:lang w:val="en-GB"/>
        </w:rPr>
        <w:t xml:space="preserve">Zhuang, Y. &amp; Lederer, A.L. (2003). An instrument for measuring the business benefits of e-commerce retailing. </w:t>
      </w:r>
      <w:r w:rsidRPr="003D6474">
        <w:rPr>
          <w:i/>
          <w:iCs/>
          <w:lang w:val="en-GB"/>
        </w:rPr>
        <w:t>International Journal of Electronic Commerce</w:t>
      </w:r>
      <w:r w:rsidRPr="003D6474">
        <w:rPr>
          <w:lang w:val="en-GB"/>
        </w:rPr>
        <w:t>, 7(3), 65-99.</w:t>
      </w:r>
      <w:r w:rsidR="00F343FA" w:rsidRPr="003D6474">
        <w:rPr>
          <w:lang w:val="en-GB"/>
        </w:rPr>
        <w:br w:type="page"/>
      </w:r>
    </w:p>
    <w:p w:rsidR="00C7509B" w:rsidRPr="003D6474" w:rsidRDefault="00C7509B" w:rsidP="003E17E9">
      <w:pPr>
        <w:pStyle w:val="BodyTextIndent2"/>
        <w:spacing w:line="240" w:lineRule="auto"/>
        <w:jc w:val="center"/>
        <w:rPr>
          <w:sz w:val="24"/>
          <w:szCs w:val="24"/>
          <w:lang w:val="en-GB"/>
        </w:rPr>
      </w:pPr>
      <w:r w:rsidRPr="003D6474">
        <w:rPr>
          <w:sz w:val="24"/>
          <w:szCs w:val="24"/>
          <w:lang w:val="en-GB"/>
        </w:rPr>
        <w:lastRenderedPageBreak/>
        <w:t>Figure 1: The conceptual framework</w:t>
      </w:r>
    </w:p>
    <w:p w:rsidR="00C7509B" w:rsidRPr="003D6474" w:rsidRDefault="00774F0D" w:rsidP="003E17E9">
      <w:pPr>
        <w:pStyle w:val="BodyTextIndent2"/>
        <w:spacing w:line="240" w:lineRule="auto"/>
        <w:jc w:val="center"/>
        <w:rPr>
          <w:lang w:val="en-GB"/>
        </w:rPr>
      </w:pPr>
      <w:r w:rsidRPr="003D6474">
        <w:rPr>
          <w:noProof/>
          <w:lang w:val="en-GB" w:eastAsia="en-GB"/>
        </w:rPr>
        <w:drawing>
          <wp:inline distT="0" distB="0" distL="0" distR="0">
            <wp:extent cx="4848225" cy="25896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47899" cy="2589469"/>
                    </a:xfrm>
                    <a:prstGeom prst="rect">
                      <a:avLst/>
                    </a:prstGeom>
                    <a:noFill/>
                    <a:ln w="9525">
                      <a:noFill/>
                      <a:miter lim="800000"/>
                      <a:headEnd/>
                      <a:tailEnd/>
                    </a:ln>
                  </pic:spPr>
                </pic:pic>
              </a:graphicData>
            </a:graphic>
          </wp:inline>
        </w:drawing>
      </w:r>
    </w:p>
    <w:p w:rsidR="00C7509B" w:rsidRPr="003D6474" w:rsidRDefault="00C7509B" w:rsidP="003E17E9">
      <w:pPr>
        <w:pStyle w:val="BodyTextIndent2"/>
        <w:spacing w:line="240" w:lineRule="auto"/>
        <w:jc w:val="center"/>
        <w:rPr>
          <w:lang w:val="en-GB"/>
        </w:rPr>
      </w:pPr>
    </w:p>
    <w:p w:rsidR="00C7509B" w:rsidRPr="003D6474" w:rsidRDefault="00C7509B">
      <w:pPr>
        <w:rPr>
          <w:sz w:val="22"/>
          <w:szCs w:val="20"/>
          <w:lang w:val="en-GB" w:eastAsia="en-US"/>
        </w:rPr>
      </w:pPr>
      <w:r w:rsidRPr="003D6474">
        <w:rPr>
          <w:lang w:val="en-GB"/>
        </w:rPr>
        <w:br w:type="page"/>
      </w:r>
    </w:p>
    <w:p w:rsidR="00F343FA" w:rsidRPr="003D6474" w:rsidRDefault="00F343FA" w:rsidP="003E17E9">
      <w:pPr>
        <w:pStyle w:val="BodyTextIndent2"/>
        <w:spacing w:line="240" w:lineRule="auto"/>
        <w:jc w:val="center"/>
        <w:rPr>
          <w:b/>
          <w:bCs/>
          <w:sz w:val="24"/>
          <w:lang w:val="en-GB"/>
        </w:rPr>
      </w:pPr>
      <w:r w:rsidRPr="003D6474">
        <w:rPr>
          <w:b/>
          <w:bCs/>
          <w:sz w:val="24"/>
          <w:lang w:val="en-GB"/>
        </w:rPr>
        <w:lastRenderedPageBreak/>
        <w:t>Table 1: Construct summary, confirmatory factor analysis and scale reliability</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1440"/>
        <w:gridCol w:w="720"/>
        <w:gridCol w:w="1440"/>
      </w:tblGrid>
      <w:tr w:rsidR="00F343FA" w:rsidRPr="003D6474" w:rsidTr="00E838CF">
        <w:tc>
          <w:tcPr>
            <w:tcW w:w="5760" w:type="dxa"/>
            <w:tcBorders>
              <w:top w:val="single" w:sz="4" w:space="0" w:color="auto"/>
              <w:left w:val="single" w:sz="4" w:space="0" w:color="auto"/>
              <w:bottom w:val="single" w:sz="4" w:space="0" w:color="auto"/>
              <w:right w:val="nil"/>
            </w:tcBorders>
          </w:tcPr>
          <w:p w:rsidR="00F343FA" w:rsidRPr="003D6474" w:rsidRDefault="00F343FA" w:rsidP="003E17E9">
            <w:pPr>
              <w:pStyle w:val="BodyTextIndent"/>
              <w:spacing w:line="240" w:lineRule="auto"/>
              <w:ind w:right="108" w:firstLine="74"/>
              <w:jc w:val="left"/>
              <w:rPr>
                <w:sz w:val="20"/>
                <w:lang w:val="en-GB"/>
              </w:rPr>
            </w:pPr>
            <w:r w:rsidRPr="003D6474">
              <w:rPr>
                <w:b/>
                <w:sz w:val="20"/>
                <w:lang w:val="en-GB"/>
              </w:rPr>
              <w:t>Construct</w:t>
            </w:r>
          </w:p>
        </w:tc>
        <w:tc>
          <w:tcPr>
            <w:tcW w:w="1440" w:type="dxa"/>
            <w:tcBorders>
              <w:top w:val="single" w:sz="4" w:space="0" w:color="auto"/>
              <w:bottom w:val="single" w:sz="4" w:space="0" w:color="auto"/>
              <w:right w:val="nil"/>
            </w:tcBorders>
          </w:tcPr>
          <w:p w:rsidR="00F343FA" w:rsidRPr="003D6474" w:rsidRDefault="00F343FA" w:rsidP="003E17E9">
            <w:pPr>
              <w:pStyle w:val="Footer"/>
              <w:tabs>
                <w:tab w:val="clear" w:pos="4252"/>
                <w:tab w:val="clear" w:pos="8504"/>
              </w:tabs>
              <w:ind w:left="-70"/>
              <w:jc w:val="center"/>
              <w:rPr>
                <w:b/>
                <w:bCs/>
                <w:sz w:val="20"/>
                <w:szCs w:val="20"/>
                <w:lang w:val="en-GB"/>
              </w:rPr>
            </w:pPr>
            <w:r w:rsidRPr="003D6474">
              <w:rPr>
                <w:b/>
                <w:bCs/>
                <w:sz w:val="20"/>
                <w:szCs w:val="20"/>
                <w:lang w:val="en-GB"/>
              </w:rPr>
              <w:t>Standardized loading</w:t>
            </w:r>
          </w:p>
        </w:tc>
        <w:tc>
          <w:tcPr>
            <w:tcW w:w="720" w:type="dxa"/>
            <w:tcBorders>
              <w:top w:val="single" w:sz="4" w:space="0" w:color="auto"/>
              <w:left w:val="nil"/>
              <w:bottom w:val="single" w:sz="4" w:space="0" w:color="auto"/>
              <w:right w:val="nil"/>
            </w:tcBorders>
          </w:tcPr>
          <w:p w:rsidR="00F343FA" w:rsidRPr="003D6474" w:rsidRDefault="00F343FA" w:rsidP="003E17E9">
            <w:pPr>
              <w:pStyle w:val="Heading2"/>
              <w:spacing w:line="240" w:lineRule="auto"/>
              <w:ind w:left="-70" w:right="-70"/>
              <w:jc w:val="center"/>
              <w:rPr>
                <w:sz w:val="20"/>
                <w:szCs w:val="20"/>
              </w:rPr>
            </w:pPr>
            <w:r w:rsidRPr="003D6474">
              <w:rPr>
                <w:sz w:val="20"/>
                <w:szCs w:val="20"/>
              </w:rPr>
              <w:t>t-value</w:t>
            </w:r>
          </w:p>
        </w:tc>
        <w:tc>
          <w:tcPr>
            <w:tcW w:w="1440" w:type="dxa"/>
            <w:tcBorders>
              <w:top w:val="single" w:sz="4" w:space="0" w:color="auto"/>
              <w:left w:val="nil"/>
              <w:bottom w:val="single" w:sz="4" w:space="0" w:color="auto"/>
              <w:right w:val="single" w:sz="4" w:space="0" w:color="auto"/>
            </w:tcBorders>
          </w:tcPr>
          <w:p w:rsidR="00F343FA" w:rsidRPr="003D6474" w:rsidRDefault="00F343FA" w:rsidP="003E17E9">
            <w:pPr>
              <w:pStyle w:val="Heading4"/>
              <w:spacing w:before="0" w:after="0" w:line="240" w:lineRule="auto"/>
              <w:ind w:left="-70" w:right="-70"/>
              <w:jc w:val="center"/>
              <w:rPr>
                <w:rFonts w:ascii="Times New Roman" w:hAnsi="Times New Roman"/>
                <w:sz w:val="20"/>
                <w:lang w:val="en-GB"/>
              </w:rPr>
            </w:pPr>
            <w:r w:rsidRPr="003D6474">
              <w:rPr>
                <w:rFonts w:ascii="Times New Roman" w:hAnsi="Times New Roman"/>
                <w:sz w:val="20"/>
                <w:lang w:val="en-GB"/>
              </w:rPr>
              <w:t>Reliability</w:t>
            </w:r>
          </w:p>
          <w:p w:rsidR="00F343FA" w:rsidRPr="003D6474" w:rsidRDefault="00F343FA" w:rsidP="003E17E9">
            <w:pPr>
              <w:pStyle w:val="Heading4"/>
              <w:spacing w:before="0" w:after="0" w:line="240" w:lineRule="auto"/>
              <w:ind w:left="-70"/>
              <w:jc w:val="center"/>
              <w:rPr>
                <w:rFonts w:ascii="Times New Roman" w:hAnsi="Times New Roman"/>
                <w:sz w:val="20"/>
                <w:lang w:val="en-GB"/>
              </w:rPr>
            </w:pPr>
            <w:r w:rsidRPr="003D6474">
              <w:rPr>
                <w:rFonts w:ascii="Times New Roman" w:hAnsi="Times New Roman"/>
                <w:sz w:val="20"/>
                <w:lang w:val="en-GB"/>
              </w:rPr>
              <w:t>(SCR</w:t>
            </w:r>
            <w:r w:rsidRPr="003D6474">
              <w:rPr>
                <w:rFonts w:ascii="Times New Roman" w:hAnsi="Times New Roman"/>
                <w:sz w:val="20"/>
                <w:vertAlign w:val="superscript"/>
                <w:lang w:val="en-GB"/>
              </w:rPr>
              <w:t>a</w:t>
            </w:r>
            <w:r w:rsidRPr="003D6474">
              <w:rPr>
                <w:rFonts w:ascii="Times New Roman" w:hAnsi="Times New Roman"/>
                <w:sz w:val="20"/>
                <w:lang w:val="en-GB"/>
              </w:rPr>
              <w:t>., AVE</w:t>
            </w:r>
            <w:r w:rsidRPr="003D6474">
              <w:rPr>
                <w:rFonts w:ascii="Times New Roman" w:hAnsi="Times New Roman"/>
                <w:sz w:val="20"/>
                <w:vertAlign w:val="superscript"/>
                <w:lang w:val="en-GB"/>
              </w:rPr>
              <w:t>b</w:t>
            </w:r>
            <w:r w:rsidRPr="003D6474">
              <w:rPr>
                <w:rFonts w:ascii="Times New Roman" w:hAnsi="Times New Roman"/>
                <w:sz w:val="20"/>
                <w:lang w:val="en-GB"/>
              </w:rPr>
              <w:t>)</w:t>
            </w:r>
          </w:p>
        </w:tc>
      </w:tr>
      <w:tr w:rsidR="00F343FA" w:rsidRPr="003D6474" w:rsidTr="00E838CF">
        <w:tc>
          <w:tcPr>
            <w:tcW w:w="5760" w:type="dxa"/>
            <w:tcBorders>
              <w:top w:val="single" w:sz="4" w:space="0" w:color="auto"/>
              <w:left w:val="single" w:sz="4" w:space="0" w:color="auto"/>
              <w:bottom w:val="single" w:sz="4" w:space="0" w:color="auto"/>
              <w:right w:val="nil"/>
            </w:tcBorders>
            <w:shd w:val="clear" w:color="auto" w:fill="FFFFFF"/>
          </w:tcPr>
          <w:p w:rsidR="00F343FA" w:rsidRPr="003D6474" w:rsidRDefault="00F343FA" w:rsidP="00774F0D">
            <w:pPr>
              <w:pStyle w:val="FootnoteText"/>
              <w:spacing w:line="240" w:lineRule="auto"/>
              <w:ind w:right="110"/>
              <w:rPr>
                <w:rFonts w:ascii="Times New Roman" w:hAnsi="Times New Roman"/>
                <w:b/>
                <w:lang w:val="en-GB"/>
              </w:rPr>
            </w:pPr>
            <w:r w:rsidRPr="003D6474">
              <w:rPr>
                <w:rFonts w:ascii="Times New Roman" w:hAnsi="Times New Roman"/>
                <w:bCs/>
                <w:lang w:val="en-GB"/>
              </w:rPr>
              <w:t>Y</w:t>
            </w:r>
            <w:r w:rsidRPr="003D6474">
              <w:rPr>
                <w:rFonts w:ascii="Times New Roman" w:hAnsi="Times New Roman"/>
                <w:bCs/>
                <w:position w:val="-2"/>
                <w:vertAlign w:val="subscript"/>
                <w:lang w:val="en-GB"/>
              </w:rPr>
              <w:t>1</w:t>
            </w:r>
            <w:r w:rsidRPr="003D6474">
              <w:rPr>
                <w:rFonts w:ascii="Times New Roman" w:hAnsi="Times New Roman"/>
                <w:bCs/>
                <w:lang w:val="en-GB"/>
              </w:rPr>
              <w:t xml:space="preserve">: </w:t>
            </w:r>
            <w:r w:rsidR="00774F0D" w:rsidRPr="003D6474">
              <w:rPr>
                <w:rFonts w:ascii="Times New Roman" w:hAnsi="Times New Roman"/>
                <w:b/>
                <w:lang w:val="en-GB"/>
              </w:rPr>
              <w:t>Online government services</w:t>
            </w:r>
            <w:r w:rsidRPr="003D6474">
              <w:rPr>
                <w:rFonts w:ascii="Times New Roman" w:hAnsi="Times New Roman"/>
                <w:b/>
                <w:lang w:val="en-GB"/>
              </w:rPr>
              <w:t xml:space="preserve">: </w:t>
            </w:r>
            <w:r w:rsidRPr="003D6474">
              <w:rPr>
                <w:rFonts w:ascii="Times New Roman" w:hAnsi="Times New Roman"/>
                <w:lang w:val="en-GB"/>
              </w:rPr>
              <w:t xml:space="preserve">(1) not </w:t>
            </w:r>
            <w:r w:rsidR="00774F0D" w:rsidRPr="003D6474">
              <w:rPr>
                <w:rFonts w:ascii="Times New Roman" w:hAnsi="Times New Roman"/>
                <w:lang w:val="en-GB"/>
              </w:rPr>
              <w:t>services</w:t>
            </w:r>
            <w:r w:rsidRPr="003D6474">
              <w:rPr>
                <w:rFonts w:ascii="Times New Roman" w:hAnsi="Times New Roman"/>
                <w:lang w:val="en-GB"/>
              </w:rPr>
              <w:t xml:space="preserve">; (2) </w:t>
            </w:r>
            <w:r w:rsidR="004B3D06" w:rsidRPr="003D6474">
              <w:rPr>
                <w:rFonts w:ascii="Times New Roman" w:hAnsi="Times New Roman"/>
                <w:lang w:val="en-GB"/>
              </w:rPr>
              <w:t>external</w:t>
            </w:r>
            <w:r w:rsidRPr="003D6474">
              <w:rPr>
                <w:rFonts w:ascii="Times New Roman" w:hAnsi="Times New Roman"/>
                <w:lang w:val="en-GB"/>
              </w:rPr>
              <w:t xml:space="preserve"> </w:t>
            </w:r>
            <w:r w:rsidR="004B3D06" w:rsidRPr="003D6474">
              <w:rPr>
                <w:rFonts w:ascii="Times New Roman" w:hAnsi="Times New Roman"/>
                <w:lang w:val="en-GB"/>
              </w:rPr>
              <w:t>governance</w:t>
            </w:r>
            <w:r w:rsidRPr="003D6474">
              <w:rPr>
                <w:rFonts w:ascii="Times New Roman" w:hAnsi="Times New Roman"/>
                <w:lang w:val="en-GB"/>
              </w:rPr>
              <w:t xml:space="preserve">; (3) </w:t>
            </w:r>
            <w:r w:rsidR="004B3D06" w:rsidRPr="003D6474">
              <w:rPr>
                <w:rFonts w:ascii="Times New Roman" w:hAnsi="Times New Roman"/>
                <w:lang w:val="en-GB"/>
              </w:rPr>
              <w:t>relational</w:t>
            </w:r>
            <w:r w:rsidRPr="003D6474">
              <w:rPr>
                <w:rFonts w:ascii="Times New Roman" w:hAnsi="Times New Roman"/>
                <w:lang w:val="en-GB"/>
              </w:rPr>
              <w:t xml:space="preserve"> </w:t>
            </w:r>
            <w:r w:rsidR="004B3D06" w:rsidRPr="003D6474">
              <w:rPr>
                <w:rFonts w:ascii="Times New Roman" w:hAnsi="Times New Roman"/>
                <w:lang w:val="en-GB"/>
              </w:rPr>
              <w:t>governance;</w:t>
            </w:r>
            <w:r w:rsidRPr="003D6474">
              <w:rPr>
                <w:rFonts w:ascii="Times New Roman" w:hAnsi="Times New Roman"/>
                <w:lang w:val="en-GB"/>
              </w:rPr>
              <w:t xml:space="preserve"> and (4) </w:t>
            </w:r>
            <w:r w:rsidR="004B3D06" w:rsidRPr="003D6474">
              <w:rPr>
                <w:rFonts w:ascii="Times New Roman" w:hAnsi="Times New Roman"/>
                <w:lang w:val="en-GB"/>
              </w:rPr>
              <w:t>internal</w:t>
            </w:r>
            <w:r w:rsidRPr="003D6474">
              <w:rPr>
                <w:rFonts w:ascii="Times New Roman" w:hAnsi="Times New Roman"/>
                <w:lang w:val="en-GB"/>
              </w:rPr>
              <w:t xml:space="preserve"> governance</w:t>
            </w:r>
            <w:r w:rsidR="004B3D06" w:rsidRPr="003D6474">
              <w:rPr>
                <w:rFonts w:ascii="Times New Roman" w:hAnsi="Times New Roman"/>
                <w:lang w:val="en-GB"/>
              </w:rPr>
              <w:t>.</w:t>
            </w: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E838CF">
            <w:pPr>
              <w:spacing w:before="120"/>
              <w:jc w:val="center"/>
              <w:rPr>
                <w:sz w:val="20"/>
                <w:lang w:val="en-GB"/>
              </w:rPr>
            </w:pPr>
            <w:r w:rsidRPr="003D6474">
              <w:rPr>
                <w:sz w:val="20"/>
                <w:lang w:val="en-GB"/>
              </w:rPr>
              <w:t>0.72</w:t>
            </w:r>
          </w:p>
        </w:tc>
        <w:tc>
          <w:tcPr>
            <w:tcW w:w="720" w:type="dxa"/>
            <w:tcBorders>
              <w:top w:val="single" w:sz="4" w:space="0" w:color="auto"/>
              <w:left w:val="nil"/>
              <w:bottom w:val="single" w:sz="4" w:space="0" w:color="auto"/>
              <w:right w:val="nil"/>
            </w:tcBorders>
            <w:shd w:val="clear" w:color="auto" w:fill="FFFFFF"/>
          </w:tcPr>
          <w:p w:rsidR="00F343FA" w:rsidRPr="003D6474" w:rsidRDefault="00F343FA" w:rsidP="00E838CF">
            <w:pPr>
              <w:spacing w:before="120"/>
              <w:jc w:val="center"/>
              <w:rPr>
                <w:sz w:val="20"/>
                <w:lang w:val="en-GB"/>
              </w:rPr>
            </w:pPr>
            <w:r w:rsidRPr="003D6474">
              <w:rPr>
                <w:sz w:val="20"/>
                <w:lang w:val="en-GB"/>
              </w:rPr>
              <w:t>8.35</w:t>
            </w:r>
          </w:p>
        </w:tc>
        <w:tc>
          <w:tcPr>
            <w:tcW w:w="1440" w:type="dxa"/>
            <w:tcBorders>
              <w:top w:val="single" w:sz="4" w:space="0" w:color="auto"/>
              <w:left w:val="nil"/>
              <w:bottom w:val="single" w:sz="4" w:space="0" w:color="auto"/>
              <w:right w:val="single" w:sz="4" w:space="0" w:color="auto"/>
            </w:tcBorders>
            <w:shd w:val="clear" w:color="auto" w:fill="FFFFFF"/>
          </w:tcPr>
          <w:p w:rsidR="00F343FA" w:rsidRPr="003D6474" w:rsidRDefault="00F343FA" w:rsidP="003E17E9">
            <w:pPr>
              <w:jc w:val="center"/>
              <w:rPr>
                <w:sz w:val="20"/>
                <w:lang w:val="en-GB"/>
              </w:rPr>
            </w:pPr>
          </w:p>
        </w:tc>
      </w:tr>
      <w:tr w:rsidR="00F343FA" w:rsidRPr="003D6474">
        <w:tc>
          <w:tcPr>
            <w:tcW w:w="5760" w:type="dxa"/>
            <w:tcBorders>
              <w:top w:val="single" w:sz="4" w:space="0" w:color="auto"/>
              <w:left w:val="nil"/>
              <w:bottom w:val="single" w:sz="4" w:space="0" w:color="auto"/>
              <w:right w:val="nil"/>
            </w:tcBorders>
            <w:shd w:val="clear" w:color="auto" w:fill="FFFFFF"/>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i/>
                <w:lang w:val="en-GB"/>
              </w:rPr>
              <w:t>Business Performances</w:t>
            </w: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72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r>
      <w:tr w:rsidR="00F343FA" w:rsidRPr="003D6474">
        <w:tc>
          <w:tcPr>
            <w:tcW w:w="5760" w:type="dxa"/>
            <w:tcBorders>
              <w:top w:val="single" w:sz="4" w:space="0" w:color="auto"/>
              <w:left w:val="single" w:sz="4" w:space="0" w:color="auto"/>
              <w:bottom w:val="nil"/>
              <w:right w:val="single" w:sz="4" w:space="0" w:color="auto"/>
            </w:tcBorders>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bCs/>
                <w:lang w:val="en-GB"/>
              </w:rPr>
              <w:t>Y</w:t>
            </w:r>
            <w:r w:rsidRPr="003D6474">
              <w:rPr>
                <w:rFonts w:ascii="Times New Roman" w:hAnsi="Times New Roman"/>
                <w:bCs/>
                <w:position w:val="-2"/>
                <w:vertAlign w:val="subscript"/>
                <w:lang w:val="en-GB"/>
              </w:rPr>
              <w:t>2</w:t>
            </w:r>
            <w:r w:rsidRPr="003D6474">
              <w:rPr>
                <w:rFonts w:ascii="Times New Roman" w:hAnsi="Times New Roman"/>
                <w:bCs/>
                <w:lang w:val="en-GB"/>
              </w:rPr>
              <w:t xml:space="preserve">: Growth rate of sales </w:t>
            </w:r>
          </w:p>
        </w:tc>
        <w:tc>
          <w:tcPr>
            <w:tcW w:w="1440" w:type="dxa"/>
            <w:tcBorders>
              <w:top w:val="single" w:sz="4" w:space="0" w:color="auto"/>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0.81</w:t>
            </w:r>
          </w:p>
        </w:tc>
        <w:tc>
          <w:tcPr>
            <w:tcW w:w="720" w:type="dxa"/>
            <w:tcBorders>
              <w:top w:val="single" w:sz="4" w:space="0" w:color="auto"/>
              <w:left w:val="nil"/>
              <w:bottom w:val="nil"/>
              <w:right w:val="nil"/>
            </w:tcBorders>
          </w:tcPr>
          <w:p w:rsidR="00F343FA" w:rsidRPr="003D6474" w:rsidRDefault="00F343FA" w:rsidP="003E17E9">
            <w:pPr>
              <w:jc w:val="center"/>
              <w:rPr>
                <w:sz w:val="20"/>
                <w:lang w:val="en-GB"/>
              </w:rPr>
            </w:pPr>
            <w:r w:rsidRPr="003D6474">
              <w:rPr>
                <w:sz w:val="20"/>
                <w:lang w:val="en-GB"/>
              </w:rPr>
              <w:t>9.94</w:t>
            </w:r>
          </w:p>
        </w:tc>
        <w:tc>
          <w:tcPr>
            <w:tcW w:w="1440" w:type="dxa"/>
            <w:tcBorders>
              <w:top w:val="single" w:sz="4" w:space="0" w:color="auto"/>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SCR=</w:t>
            </w:r>
            <w:r w:rsidRPr="003D6474">
              <w:rPr>
                <w:sz w:val="20"/>
                <w:lang w:val="en-GB"/>
              </w:rPr>
              <w:t>0.815</w:t>
            </w:r>
          </w:p>
        </w:tc>
      </w:tr>
      <w:tr w:rsidR="00F343FA" w:rsidRPr="003D6474">
        <w:tc>
          <w:tcPr>
            <w:tcW w:w="5760" w:type="dxa"/>
            <w:tcBorders>
              <w:top w:val="nil"/>
              <w:left w:val="single" w:sz="4" w:space="0" w:color="auto"/>
              <w:bottom w:val="nil"/>
              <w:right w:val="single" w:sz="4" w:space="0" w:color="auto"/>
            </w:tcBorders>
          </w:tcPr>
          <w:p w:rsidR="00F343FA" w:rsidRPr="003D6474" w:rsidRDefault="00F343FA" w:rsidP="003E17E9">
            <w:pPr>
              <w:ind w:right="110"/>
              <w:jc w:val="both"/>
              <w:rPr>
                <w:sz w:val="20"/>
                <w:lang w:val="en-GB"/>
              </w:rPr>
            </w:pPr>
            <w:r w:rsidRPr="003D6474">
              <w:rPr>
                <w:bCs/>
                <w:sz w:val="20"/>
                <w:lang w:val="en-GB"/>
              </w:rPr>
              <w:t>Y</w:t>
            </w:r>
            <w:r w:rsidRPr="003D6474">
              <w:rPr>
                <w:bCs/>
                <w:position w:val="-2"/>
                <w:sz w:val="20"/>
                <w:vertAlign w:val="subscript"/>
                <w:lang w:val="en-GB"/>
              </w:rPr>
              <w:t>3</w:t>
            </w:r>
            <w:r w:rsidRPr="003D6474">
              <w:rPr>
                <w:bCs/>
                <w:sz w:val="20"/>
                <w:lang w:val="en-GB"/>
              </w:rPr>
              <w:t xml:space="preserve">: Growth rate of profits </w:t>
            </w:r>
          </w:p>
        </w:tc>
        <w:tc>
          <w:tcPr>
            <w:tcW w:w="1440" w:type="dxa"/>
            <w:tcBorders>
              <w:top w:val="nil"/>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0.61</w:t>
            </w:r>
          </w:p>
        </w:tc>
        <w:tc>
          <w:tcPr>
            <w:tcW w:w="720" w:type="dxa"/>
            <w:tcBorders>
              <w:top w:val="nil"/>
              <w:left w:val="nil"/>
              <w:bottom w:val="nil"/>
              <w:right w:val="nil"/>
            </w:tcBorders>
          </w:tcPr>
          <w:p w:rsidR="00F343FA" w:rsidRPr="003D6474" w:rsidRDefault="00F343FA" w:rsidP="003E17E9">
            <w:pPr>
              <w:jc w:val="center"/>
              <w:rPr>
                <w:sz w:val="20"/>
                <w:lang w:val="en-GB"/>
              </w:rPr>
            </w:pPr>
            <w:r w:rsidRPr="003D6474">
              <w:rPr>
                <w:sz w:val="20"/>
                <w:lang w:val="en-GB"/>
              </w:rPr>
              <w:t>7.14</w:t>
            </w:r>
          </w:p>
        </w:tc>
        <w:tc>
          <w:tcPr>
            <w:tcW w:w="1440" w:type="dxa"/>
            <w:tcBorders>
              <w:top w:val="nil"/>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AVE=0.601</w:t>
            </w:r>
          </w:p>
        </w:tc>
      </w:tr>
      <w:tr w:rsidR="00F343FA" w:rsidRPr="003D6474">
        <w:tc>
          <w:tcPr>
            <w:tcW w:w="5760" w:type="dxa"/>
            <w:tcBorders>
              <w:top w:val="nil"/>
              <w:left w:val="single" w:sz="4" w:space="0" w:color="auto"/>
              <w:bottom w:val="single" w:sz="4" w:space="0" w:color="auto"/>
              <w:right w:val="single" w:sz="4" w:space="0" w:color="auto"/>
            </w:tcBorders>
          </w:tcPr>
          <w:p w:rsidR="00F343FA" w:rsidRPr="003D6474" w:rsidRDefault="00F343FA" w:rsidP="003E17E9">
            <w:pPr>
              <w:ind w:right="110"/>
              <w:jc w:val="both"/>
              <w:rPr>
                <w:sz w:val="20"/>
                <w:lang w:val="en-GB"/>
              </w:rPr>
            </w:pPr>
            <w:r w:rsidRPr="003D6474">
              <w:rPr>
                <w:bCs/>
                <w:sz w:val="20"/>
                <w:lang w:val="en-GB"/>
              </w:rPr>
              <w:t>Y</w:t>
            </w:r>
            <w:r w:rsidRPr="003D6474">
              <w:rPr>
                <w:bCs/>
                <w:position w:val="-2"/>
                <w:sz w:val="20"/>
                <w:vertAlign w:val="subscript"/>
                <w:lang w:val="en-GB"/>
              </w:rPr>
              <w:t>4</w:t>
            </w:r>
            <w:r w:rsidRPr="003D6474">
              <w:rPr>
                <w:bCs/>
                <w:sz w:val="20"/>
                <w:lang w:val="en-GB"/>
              </w:rPr>
              <w:t xml:space="preserve">: Profitability rate on total assets </w:t>
            </w:r>
          </w:p>
        </w:tc>
        <w:tc>
          <w:tcPr>
            <w:tcW w:w="1440" w:type="dxa"/>
            <w:tcBorders>
              <w:top w:val="nil"/>
              <w:left w:val="single" w:sz="4" w:space="0" w:color="auto"/>
              <w:bottom w:val="single" w:sz="4" w:space="0" w:color="auto"/>
              <w:right w:val="nil"/>
            </w:tcBorders>
          </w:tcPr>
          <w:p w:rsidR="00F343FA" w:rsidRPr="003D6474" w:rsidRDefault="00F343FA" w:rsidP="003E17E9">
            <w:pPr>
              <w:jc w:val="center"/>
              <w:rPr>
                <w:sz w:val="20"/>
                <w:lang w:val="en-GB"/>
              </w:rPr>
            </w:pPr>
            <w:r w:rsidRPr="003D6474">
              <w:rPr>
                <w:sz w:val="20"/>
                <w:lang w:val="en-GB"/>
              </w:rPr>
              <w:t>0.88</w:t>
            </w:r>
          </w:p>
        </w:tc>
        <w:tc>
          <w:tcPr>
            <w:tcW w:w="720" w:type="dxa"/>
            <w:tcBorders>
              <w:top w:val="nil"/>
              <w:left w:val="nil"/>
              <w:bottom w:val="single" w:sz="4" w:space="0" w:color="auto"/>
              <w:right w:val="nil"/>
            </w:tcBorders>
          </w:tcPr>
          <w:p w:rsidR="00F343FA" w:rsidRPr="003D6474" w:rsidRDefault="00F343FA" w:rsidP="003E17E9">
            <w:pPr>
              <w:jc w:val="center"/>
              <w:rPr>
                <w:sz w:val="20"/>
                <w:lang w:val="en-GB"/>
              </w:rPr>
            </w:pPr>
            <w:r w:rsidRPr="003D6474">
              <w:rPr>
                <w:sz w:val="20"/>
                <w:lang w:val="en-GB"/>
              </w:rPr>
              <w:t>11.08</w:t>
            </w:r>
          </w:p>
        </w:tc>
        <w:tc>
          <w:tcPr>
            <w:tcW w:w="1440" w:type="dxa"/>
            <w:tcBorders>
              <w:top w:val="nil"/>
              <w:left w:val="nil"/>
              <w:bottom w:val="single" w:sz="4" w:space="0" w:color="auto"/>
              <w:right w:val="single" w:sz="4" w:space="0" w:color="auto"/>
            </w:tcBorders>
          </w:tcPr>
          <w:p w:rsidR="00F343FA" w:rsidRPr="003D6474" w:rsidRDefault="00F343FA" w:rsidP="003E17E9">
            <w:pPr>
              <w:jc w:val="center"/>
              <w:rPr>
                <w:sz w:val="20"/>
                <w:lang w:val="en-GB"/>
              </w:rPr>
            </w:pPr>
          </w:p>
        </w:tc>
      </w:tr>
      <w:tr w:rsidR="00F343FA" w:rsidRPr="003D6474">
        <w:tc>
          <w:tcPr>
            <w:tcW w:w="5760" w:type="dxa"/>
            <w:tcBorders>
              <w:top w:val="single" w:sz="4" w:space="0" w:color="auto"/>
              <w:left w:val="nil"/>
              <w:bottom w:val="single" w:sz="4" w:space="0" w:color="auto"/>
              <w:right w:val="nil"/>
            </w:tcBorders>
            <w:shd w:val="clear" w:color="auto" w:fill="FFFFFF"/>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i/>
                <w:lang w:val="en-GB"/>
              </w:rPr>
              <w:t>External communities</w:t>
            </w: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72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r>
      <w:tr w:rsidR="00F343FA" w:rsidRPr="003D6474">
        <w:tc>
          <w:tcPr>
            <w:tcW w:w="5760" w:type="dxa"/>
            <w:tcBorders>
              <w:top w:val="single" w:sz="4" w:space="0" w:color="auto"/>
              <w:left w:val="single" w:sz="4" w:space="0" w:color="auto"/>
              <w:bottom w:val="nil"/>
              <w:right w:val="single" w:sz="4" w:space="0" w:color="auto"/>
            </w:tcBorders>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lang w:val="en-GB"/>
              </w:rPr>
              <w:t>X</w:t>
            </w:r>
            <w:r w:rsidRPr="003D6474">
              <w:rPr>
                <w:rFonts w:ascii="Times New Roman" w:hAnsi="Times New Roman"/>
                <w:position w:val="-2"/>
                <w:vertAlign w:val="subscript"/>
                <w:lang w:val="en-GB"/>
              </w:rPr>
              <w:t>1</w:t>
            </w:r>
            <w:r w:rsidRPr="003D6474">
              <w:rPr>
                <w:rFonts w:ascii="Times New Roman" w:hAnsi="Times New Roman"/>
                <w:lang w:val="en-GB"/>
              </w:rPr>
              <w:t>: Your employees maintain frequently work meetings with customers</w:t>
            </w:r>
          </w:p>
        </w:tc>
        <w:tc>
          <w:tcPr>
            <w:tcW w:w="1440" w:type="dxa"/>
            <w:tcBorders>
              <w:top w:val="single" w:sz="4" w:space="0" w:color="auto"/>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0.82</w:t>
            </w:r>
          </w:p>
        </w:tc>
        <w:tc>
          <w:tcPr>
            <w:tcW w:w="720" w:type="dxa"/>
            <w:tcBorders>
              <w:top w:val="single" w:sz="4" w:space="0" w:color="auto"/>
              <w:left w:val="nil"/>
              <w:bottom w:val="nil"/>
              <w:right w:val="nil"/>
            </w:tcBorders>
          </w:tcPr>
          <w:p w:rsidR="00F343FA" w:rsidRPr="003D6474" w:rsidRDefault="00F343FA" w:rsidP="003E17E9">
            <w:pPr>
              <w:jc w:val="center"/>
              <w:rPr>
                <w:sz w:val="20"/>
                <w:lang w:val="en-GB"/>
              </w:rPr>
            </w:pPr>
            <w:r w:rsidRPr="003D6474">
              <w:rPr>
                <w:sz w:val="20"/>
                <w:lang w:val="en-GB"/>
              </w:rPr>
              <w:t>8.44</w:t>
            </w:r>
          </w:p>
        </w:tc>
        <w:tc>
          <w:tcPr>
            <w:tcW w:w="1440" w:type="dxa"/>
            <w:tcBorders>
              <w:top w:val="single" w:sz="4" w:space="0" w:color="auto"/>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SCR=</w:t>
            </w:r>
            <w:r w:rsidRPr="003D6474">
              <w:rPr>
                <w:sz w:val="20"/>
                <w:lang w:val="en-GB"/>
              </w:rPr>
              <w:t>0.752</w:t>
            </w:r>
          </w:p>
        </w:tc>
      </w:tr>
      <w:tr w:rsidR="00F343FA" w:rsidRPr="003D6474">
        <w:tc>
          <w:tcPr>
            <w:tcW w:w="5760" w:type="dxa"/>
            <w:tcBorders>
              <w:top w:val="nil"/>
              <w:left w:val="single" w:sz="4" w:space="0" w:color="auto"/>
              <w:bottom w:val="nil"/>
              <w:right w:val="single" w:sz="4" w:space="0" w:color="auto"/>
            </w:tcBorders>
          </w:tcPr>
          <w:p w:rsidR="00F343FA" w:rsidRPr="003D6474" w:rsidRDefault="00F343FA" w:rsidP="003E17E9">
            <w:pPr>
              <w:ind w:right="110"/>
              <w:jc w:val="both"/>
              <w:rPr>
                <w:sz w:val="20"/>
                <w:lang w:val="en-GB"/>
              </w:rPr>
            </w:pPr>
            <w:r w:rsidRPr="003D6474">
              <w:rPr>
                <w:sz w:val="20"/>
                <w:lang w:val="en-GB"/>
              </w:rPr>
              <w:t>X</w:t>
            </w:r>
            <w:r w:rsidRPr="003D6474">
              <w:rPr>
                <w:position w:val="-2"/>
                <w:sz w:val="20"/>
                <w:vertAlign w:val="subscript"/>
                <w:lang w:val="en-GB"/>
              </w:rPr>
              <w:t>2</w:t>
            </w:r>
            <w:r w:rsidRPr="003D6474">
              <w:rPr>
                <w:sz w:val="20"/>
                <w:lang w:val="en-GB"/>
              </w:rPr>
              <w:t>: Your employees maintain frequently collaboration with customers to accomplish and/or to improve the products and services</w:t>
            </w:r>
          </w:p>
        </w:tc>
        <w:tc>
          <w:tcPr>
            <w:tcW w:w="1440" w:type="dxa"/>
            <w:tcBorders>
              <w:top w:val="nil"/>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0.60</w:t>
            </w:r>
          </w:p>
        </w:tc>
        <w:tc>
          <w:tcPr>
            <w:tcW w:w="720" w:type="dxa"/>
            <w:tcBorders>
              <w:top w:val="nil"/>
              <w:left w:val="nil"/>
              <w:bottom w:val="nil"/>
              <w:right w:val="nil"/>
            </w:tcBorders>
          </w:tcPr>
          <w:p w:rsidR="00F343FA" w:rsidRPr="003D6474" w:rsidRDefault="00F343FA" w:rsidP="003E17E9">
            <w:pPr>
              <w:jc w:val="center"/>
              <w:rPr>
                <w:sz w:val="20"/>
                <w:lang w:val="en-GB"/>
              </w:rPr>
            </w:pPr>
            <w:r w:rsidRPr="003D6474">
              <w:rPr>
                <w:sz w:val="20"/>
                <w:lang w:val="en-GB"/>
              </w:rPr>
              <w:t>6.37</w:t>
            </w:r>
          </w:p>
        </w:tc>
        <w:tc>
          <w:tcPr>
            <w:tcW w:w="1440" w:type="dxa"/>
            <w:tcBorders>
              <w:top w:val="nil"/>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AVE=0.505</w:t>
            </w:r>
          </w:p>
        </w:tc>
      </w:tr>
      <w:tr w:rsidR="00F343FA" w:rsidRPr="003D6474">
        <w:tc>
          <w:tcPr>
            <w:tcW w:w="5760" w:type="dxa"/>
            <w:tcBorders>
              <w:top w:val="nil"/>
              <w:left w:val="single" w:sz="4" w:space="0" w:color="auto"/>
              <w:bottom w:val="single" w:sz="4" w:space="0" w:color="auto"/>
              <w:right w:val="single" w:sz="4" w:space="0" w:color="auto"/>
            </w:tcBorders>
          </w:tcPr>
          <w:p w:rsidR="00F343FA" w:rsidRPr="003D6474" w:rsidRDefault="00F343FA" w:rsidP="003E17E9">
            <w:pPr>
              <w:ind w:right="110"/>
              <w:jc w:val="both"/>
              <w:rPr>
                <w:sz w:val="20"/>
                <w:lang w:val="en-GB"/>
              </w:rPr>
            </w:pPr>
            <w:r w:rsidRPr="003D6474">
              <w:rPr>
                <w:sz w:val="20"/>
                <w:lang w:val="en-GB"/>
              </w:rPr>
              <w:t>X</w:t>
            </w:r>
            <w:r w:rsidRPr="003D6474">
              <w:rPr>
                <w:position w:val="-2"/>
                <w:sz w:val="20"/>
                <w:vertAlign w:val="subscript"/>
                <w:lang w:val="en-GB"/>
              </w:rPr>
              <w:t>3</w:t>
            </w:r>
            <w:r w:rsidRPr="003D6474">
              <w:rPr>
                <w:sz w:val="20"/>
                <w:lang w:val="en-GB"/>
              </w:rPr>
              <w:t>: Co-operation agreements with other companies, universities, technical colleges, etc. are fomented</w:t>
            </w:r>
          </w:p>
        </w:tc>
        <w:tc>
          <w:tcPr>
            <w:tcW w:w="1440" w:type="dxa"/>
            <w:tcBorders>
              <w:top w:val="nil"/>
              <w:left w:val="single" w:sz="4" w:space="0" w:color="auto"/>
              <w:bottom w:val="single" w:sz="4" w:space="0" w:color="auto"/>
              <w:right w:val="nil"/>
            </w:tcBorders>
          </w:tcPr>
          <w:p w:rsidR="00F343FA" w:rsidRPr="003D6474" w:rsidRDefault="00F343FA" w:rsidP="003E17E9">
            <w:pPr>
              <w:jc w:val="center"/>
              <w:rPr>
                <w:sz w:val="20"/>
                <w:lang w:val="en-GB"/>
              </w:rPr>
            </w:pPr>
            <w:r w:rsidRPr="003D6474">
              <w:rPr>
                <w:sz w:val="20"/>
                <w:lang w:val="en-GB"/>
              </w:rPr>
              <w:t>0.66</w:t>
            </w:r>
          </w:p>
        </w:tc>
        <w:tc>
          <w:tcPr>
            <w:tcW w:w="720" w:type="dxa"/>
            <w:tcBorders>
              <w:top w:val="nil"/>
              <w:left w:val="nil"/>
              <w:bottom w:val="single" w:sz="4" w:space="0" w:color="auto"/>
              <w:right w:val="nil"/>
            </w:tcBorders>
          </w:tcPr>
          <w:p w:rsidR="00F343FA" w:rsidRPr="003D6474" w:rsidRDefault="00F343FA" w:rsidP="003E17E9">
            <w:pPr>
              <w:jc w:val="center"/>
              <w:rPr>
                <w:sz w:val="20"/>
                <w:lang w:val="en-GB"/>
              </w:rPr>
            </w:pPr>
            <w:r w:rsidRPr="003D6474">
              <w:rPr>
                <w:sz w:val="20"/>
                <w:lang w:val="en-GB"/>
              </w:rPr>
              <w:t>7.40</w:t>
            </w:r>
          </w:p>
        </w:tc>
        <w:tc>
          <w:tcPr>
            <w:tcW w:w="1440" w:type="dxa"/>
            <w:tcBorders>
              <w:top w:val="nil"/>
              <w:left w:val="nil"/>
              <w:bottom w:val="single" w:sz="4" w:space="0" w:color="auto"/>
              <w:right w:val="single" w:sz="4" w:space="0" w:color="auto"/>
            </w:tcBorders>
          </w:tcPr>
          <w:p w:rsidR="00F343FA" w:rsidRPr="003D6474" w:rsidRDefault="00F343FA" w:rsidP="003E17E9">
            <w:pPr>
              <w:jc w:val="center"/>
              <w:rPr>
                <w:sz w:val="20"/>
                <w:lang w:val="en-GB"/>
              </w:rPr>
            </w:pPr>
          </w:p>
        </w:tc>
      </w:tr>
      <w:tr w:rsidR="00F343FA" w:rsidRPr="003D6474">
        <w:tc>
          <w:tcPr>
            <w:tcW w:w="5760" w:type="dxa"/>
            <w:tcBorders>
              <w:top w:val="single" w:sz="4" w:space="0" w:color="auto"/>
              <w:left w:val="nil"/>
              <w:bottom w:val="single" w:sz="4" w:space="0" w:color="auto"/>
              <w:right w:val="nil"/>
            </w:tcBorders>
            <w:shd w:val="clear" w:color="auto" w:fill="FFFFFF"/>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i/>
                <w:lang w:val="en-GB"/>
              </w:rPr>
              <w:t>Workplace communities</w:t>
            </w: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72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r>
      <w:tr w:rsidR="00F343FA" w:rsidRPr="003D6474">
        <w:tc>
          <w:tcPr>
            <w:tcW w:w="5760" w:type="dxa"/>
            <w:tcBorders>
              <w:top w:val="single" w:sz="4" w:space="0" w:color="auto"/>
              <w:left w:val="single" w:sz="4" w:space="0" w:color="auto"/>
              <w:bottom w:val="nil"/>
              <w:right w:val="single" w:sz="4" w:space="0" w:color="auto"/>
            </w:tcBorders>
          </w:tcPr>
          <w:p w:rsidR="00F343FA" w:rsidRPr="003D6474" w:rsidRDefault="00F343FA" w:rsidP="003E17E9">
            <w:pPr>
              <w:pStyle w:val="FootnoteText"/>
              <w:spacing w:line="240" w:lineRule="auto"/>
              <w:ind w:right="110"/>
              <w:rPr>
                <w:rFonts w:ascii="Times New Roman" w:hAnsi="Times New Roman"/>
                <w:lang w:val="en-GB"/>
              </w:rPr>
            </w:pPr>
            <w:r w:rsidRPr="003D6474">
              <w:rPr>
                <w:rFonts w:ascii="Times New Roman" w:hAnsi="Times New Roman"/>
                <w:lang w:val="en-GB"/>
              </w:rPr>
              <w:t>X</w:t>
            </w:r>
            <w:r w:rsidRPr="003D6474">
              <w:rPr>
                <w:rFonts w:ascii="Times New Roman" w:hAnsi="Times New Roman"/>
                <w:position w:val="-2"/>
                <w:vertAlign w:val="subscript"/>
                <w:lang w:val="en-GB"/>
              </w:rPr>
              <w:t>4</w:t>
            </w:r>
            <w:r w:rsidRPr="003D6474">
              <w:rPr>
                <w:rFonts w:ascii="Times New Roman" w:hAnsi="Times New Roman"/>
                <w:lang w:val="en-GB"/>
              </w:rPr>
              <w:t>: Teamwork is a very common practice in the company</w:t>
            </w:r>
          </w:p>
        </w:tc>
        <w:tc>
          <w:tcPr>
            <w:tcW w:w="1440" w:type="dxa"/>
            <w:tcBorders>
              <w:top w:val="single" w:sz="4" w:space="0" w:color="auto"/>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0.62</w:t>
            </w:r>
          </w:p>
        </w:tc>
        <w:tc>
          <w:tcPr>
            <w:tcW w:w="720" w:type="dxa"/>
            <w:tcBorders>
              <w:top w:val="single" w:sz="4" w:space="0" w:color="auto"/>
              <w:left w:val="nil"/>
              <w:bottom w:val="nil"/>
              <w:right w:val="nil"/>
            </w:tcBorders>
          </w:tcPr>
          <w:p w:rsidR="00F343FA" w:rsidRPr="003D6474" w:rsidRDefault="00F343FA" w:rsidP="003E17E9">
            <w:pPr>
              <w:jc w:val="center"/>
              <w:rPr>
                <w:sz w:val="20"/>
                <w:lang w:val="en-GB"/>
              </w:rPr>
            </w:pPr>
            <w:r w:rsidRPr="003D6474">
              <w:rPr>
                <w:sz w:val="20"/>
                <w:lang w:val="en-GB"/>
              </w:rPr>
              <w:t>6.61</w:t>
            </w:r>
          </w:p>
        </w:tc>
        <w:tc>
          <w:tcPr>
            <w:tcW w:w="1440" w:type="dxa"/>
            <w:tcBorders>
              <w:top w:val="single" w:sz="4" w:space="0" w:color="auto"/>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SCR=</w:t>
            </w:r>
            <w:r w:rsidRPr="003D6474">
              <w:rPr>
                <w:sz w:val="20"/>
                <w:lang w:val="en-GB"/>
              </w:rPr>
              <w:t>0.755</w:t>
            </w:r>
          </w:p>
        </w:tc>
      </w:tr>
      <w:tr w:rsidR="00F343FA" w:rsidRPr="003D6474">
        <w:tc>
          <w:tcPr>
            <w:tcW w:w="5760" w:type="dxa"/>
            <w:tcBorders>
              <w:top w:val="nil"/>
              <w:left w:val="single" w:sz="4" w:space="0" w:color="auto"/>
              <w:bottom w:val="nil"/>
              <w:right w:val="single" w:sz="4" w:space="0" w:color="auto"/>
            </w:tcBorders>
          </w:tcPr>
          <w:p w:rsidR="00F343FA" w:rsidRPr="003D6474" w:rsidRDefault="00F343FA" w:rsidP="003E17E9">
            <w:pPr>
              <w:ind w:right="110"/>
              <w:jc w:val="both"/>
              <w:rPr>
                <w:sz w:val="20"/>
                <w:lang w:val="en-GB"/>
              </w:rPr>
            </w:pPr>
            <w:r w:rsidRPr="003D6474">
              <w:rPr>
                <w:sz w:val="20"/>
                <w:lang w:val="en-GB"/>
              </w:rPr>
              <w:t>X</w:t>
            </w:r>
            <w:r w:rsidRPr="003D6474">
              <w:rPr>
                <w:position w:val="-2"/>
                <w:sz w:val="20"/>
                <w:vertAlign w:val="subscript"/>
                <w:lang w:val="en-GB"/>
              </w:rPr>
              <w:t>5</w:t>
            </w:r>
            <w:r w:rsidRPr="003D6474">
              <w:rPr>
                <w:sz w:val="20"/>
                <w:lang w:val="en-GB"/>
              </w:rPr>
              <w:t>: Employees do not conceal their mistakes</w:t>
            </w:r>
          </w:p>
        </w:tc>
        <w:tc>
          <w:tcPr>
            <w:tcW w:w="1440" w:type="dxa"/>
            <w:tcBorders>
              <w:top w:val="nil"/>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0.86</w:t>
            </w:r>
          </w:p>
        </w:tc>
        <w:tc>
          <w:tcPr>
            <w:tcW w:w="720" w:type="dxa"/>
            <w:tcBorders>
              <w:top w:val="nil"/>
              <w:left w:val="nil"/>
              <w:bottom w:val="nil"/>
              <w:right w:val="nil"/>
            </w:tcBorders>
          </w:tcPr>
          <w:p w:rsidR="00F343FA" w:rsidRPr="003D6474" w:rsidRDefault="00F343FA" w:rsidP="003E17E9">
            <w:pPr>
              <w:jc w:val="center"/>
              <w:rPr>
                <w:sz w:val="20"/>
                <w:lang w:val="en-GB"/>
              </w:rPr>
            </w:pPr>
            <w:r w:rsidRPr="003D6474">
              <w:rPr>
                <w:sz w:val="20"/>
                <w:lang w:val="en-GB"/>
              </w:rPr>
              <w:t>8.99</w:t>
            </w:r>
          </w:p>
        </w:tc>
        <w:tc>
          <w:tcPr>
            <w:tcW w:w="1440" w:type="dxa"/>
            <w:tcBorders>
              <w:top w:val="nil"/>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AVE=0.516</w:t>
            </w:r>
          </w:p>
        </w:tc>
      </w:tr>
      <w:tr w:rsidR="00F343FA" w:rsidRPr="003D6474">
        <w:tc>
          <w:tcPr>
            <w:tcW w:w="5760" w:type="dxa"/>
            <w:tcBorders>
              <w:top w:val="nil"/>
              <w:left w:val="single" w:sz="4" w:space="0" w:color="auto"/>
              <w:bottom w:val="single" w:sz="4" w:space="0" w:color="auto"/>
              <w:right w:val="single" w:sz="4" w:space="0" w:color="auto"/>
            </w:tcBorders>
          </w:tcPr>
          <w:p w:rsidR="00F343FA" w:rsidRPr="003D6474" w:rsidRDefault="00F343FA" w:rsidP="003E17E9">
            <w:pPr>
              <w:ind w:right="110"/>
              <w:jc w:val="both"/>
              <w:rPr>
                <w:sz w:val="20"/>
                <w:lang w:val="en-GB"/>
              </w:rPr>
            </w:pPr>
            <w:r w:rsidRPr="003D6474">
              <w:rPr>
                <w:sz w:val="20"/>
                <w:lang w:val="en-GB"/>
              </w:rPr>
              <w:t>X</w:t>
            </w:r>
            <w:r w:rsidRPr="003D6474">
              <w:rPr>
                <w:position w:val="-2"/>
                <w:sz w:val="20"/>
                <w:vertAlign w:val="subscript"/>
                <w:lang w:val="en-GB"/>
              </w:rPr>
              <w:t>6</w:t>
            </w:r>
            <w:r w:rsidRPr="003D6474">
              <w:rPr>
                <w:sz w:val="20"/>
                <w:lang w:val="en-GB"/>
              </w:rPr>
              <w:t>: The company develops internal rotation programs so as to facilitate the shift of the employees from one department or function to another</w:t>
            </w:r>
          </w:p>
        </w:tc>
        <w:tc>
          <w:tcPr>
            <w:tcW w:w="1440" w:type="dxa"/>
            <w:tcBorders>
              <w:top w:val="nil"/>
              <w:left w:val="single" w:sz="4" w:space="0" w:color="auto"/>
              <w:bottom w:val="single" w:sz="4" w:space="0" w:color="auto"/>
              <w:right w:val="nil"/>
            </w:tcBorders>
          </w:tcPr>
          <w:p w:rsidR="00F343FA" w:rsidRPr="003D6474" w:rsidRDefault="00F343FA" w:rsidP="003E17E9">
            <w:pPr>
              <w:jc w:val="center"/>
              <w:rPr>
                <w:sz w:val="20"/>
                <w:lang w:val="en-GB"/>
              </w:rPr>
            </w:pPr>
            <w:r w:rsidRPr="003D6474">
              <w:rPr>
                <w:sz w:val="20"/>
                <w:lang w:val="en-GB"/>
              </w:rPr>
              <w:t>0.56</w:t>
            </w:r>
          </w:p>
        </w:tc>
        <w:tc>
          <w:tcPr>
            <w:tcW w:w="720" w:type="dxa"/>
            <w:tcBorders>
              <w:top w:val="nil"/>
              <w:left w:val="nil"/>
              <w:bottom w:val="single" w:sz="4" w:space="0" w:color="auto"/>
              <w:right w:val="nil"/>
            </w:tcBorders>
          </w:tcPr>
          <w:p w:rsidR="00F343FA" w:rsidRPr="003D6474" w:rsidRDefault="00F343FA" w:rsidP="003E17E9">
            <w:pPr>
              <w:jc w:val="center"/>
              <w:rPr>
                <w:sz w:val="20"/>
                <w:lang w:val="en-GB"/>
              </w:rPr>
            </w:pPr>
            <w:r w:rsidRPr="003D6474">
              <w:rPr>
                <w:sz w:val="20"/>
                <w:lang w:val="en-GB"/>
              </w:rPr>
              <w:t>5.96</w:t>
            </w:r>
          </w:p>
        </w:tc>
        <w:tc>
          <w:tcPr>
            <w:tcW w:w="1440" w:type="dxa"/>
            <w:tcBorders>
              <w:top w:val="nil"/>
              <w:left w:val="nil"/>
              <w:bottom w:val="single" w:sz="4" w:space="0" w:color="auto"/>
              <w:right w:val="single" w:sz="4" w:space="0" w:color="auto"/>
            </w:tcBorders>
          </w:tcPr>
          <w:p w:rsidR="00F343FA" w:rsidRPr="003D6474" w:rsidRDefault="00F343FA" w:rsidP="003E17E9">
            <w:pPr>
              <w:jc w:val="center"/>
              <w:rPr>
                <w:sz w:val="20"/>
                <w:lang w:val="en-GB"/>
              </w:rPr>
            </w:pPr>
          </w:p>
        </w:tc>
      </w:tr>
      <w:tr w:rsidR="00F343FA" w:rsidRPr="003D6474">
        <w:tc>
          <w:tcPr>
            <w:tcW w:w="5760" w:type="dxa"/>
            <w:tcBorders>
              <w:top w:val="single" w:sz="4" w:space="0" w:color="auto"/>
              <w:left w:val="nil"/>
              <w:bottom w:val="single" w:sz="4" w:space="0" w:color="auto"/>
              <w:right w:val="nil"/>
            </w:tcBorders>
            <w:shd w:val="clear" w:color="auto" w:fill="FFFFFF"/>
          </w:tcPr>
          <w:p w:rsidR="00F343FA" w:rsidRPr="003D6474" w:rsidRDefault="00F343FA" w:rsidP="003E17E9">
            <w:pPr>
              <w:ind w:right="110"/>
              <w:jc w:val="both"/>
              <w:rPr>
                <w:sz w:val="20"/>
                <w:lang w:val="en-GB"/>
              </w:rPr>
            </w:pPr>
            <w:r w:rsidRPr="003D6474">
              <w:rPr>
                <w:i/>
                <w:sz w:val="20"/>
                <w:lang w:val="en-GB"/>
              </w:rPr>
              <w:t>Organisational context</w:t>
            </w: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72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c>
          <w:tcPr>
            <w:tcW w:w="1440" w:type="dxa"/>
            <w:tcBorders>
              <w:top w:val="single" w:sz="4" w:space="0" w:color="auto"/>
              <w:left w:val="nil"/>
              <w:bottom w:val="single" w:sz="4" w:space="0" w:color="auto"/>
              <w:right w:val="nil"/>
            </w:tcBorders>
            <w:shd w:val="clear" w:color="auto" w:fill="FFFFFF"/>
          </w:tcPr>
          <w:p w:rsidR="00F343FA" w:rsidRPr="003D6474" w:rsidRDefault="00F343FA" w:rsidP="003E17E9">
            <w:pPr>
              <w:jc w:val="center"/>
              <w:rPr>
                <w:sz w:val="20"/>
                <w:lang w:val="en-GB"/>
              </w:rPr>
            </w:pPr>
          </w:p>
        </w:tc>
      </w:tr>
      <w:tr w:rsidR="00F343FA" w:rsidRPr="003D6474">
        <w:tc>
          <w:tcPr>
            <w:tcW w:w="5760" w:type="dxa"/>
            <w:tcBorders>
              <w:top w:val="single" w:sz="4" w:space="0" w:color="auto"/>
              <w:left w:val="single" w:sz="4" w:space="0" w:color="auto"/>
              <w:bottom w:val="nil"/>
              <w:right w:val="single" w:sz="4" w:space="0" w:color="auto"/>
            </w:tcBorders>
          </w:tcPr>
          <w:p w:rsidR="00F343FA" w:rsidRPr="003D6474" w:rsidRDefault="00F343FA" w:rsidP="003E17E9">
            <w:pPr>
              <w:pStyle w:val="FootnoteText"/>
              <w:spacing w:line="240" w:lineRule="auto"/>
              <w:rPr>
                <w:rFonts w:ascii="Times New Roman" w:hAnsi="Times New Roman"/>
                <w:lang w:val="en-GB"/>
              </w:rPr>
            </w:pPr>
            <w:r w:rsidRPr="003D6474">
              <w:rPr>
                <w:rFonts w:ascii="Times New Roman" w:hAnsi="Times New Roman"/>
                <w:lang w:val="en-GB"/>
              </w:rPr>
              <w:t>X</w:t>
            </w:r>
            <w:r w:rsidRPr="003D6474">
              <w:rPr>
                <w:rFonts w:ascii="Times New Roman" w:hAnsi="Times New Roman"/>
                <w:position w:val="-2"/>
                <w:vertAlign w:val="subscript"/>
                <w:lang w:val="en-GB"/>
              </w:rPr>
              <w:t>7</w:t>
            </w:r>
            <w:r w:rsidRPr="003D6474">
              <w:rPr>
                <w:rFonts w:ascii="Times New Roman" w:hAnsi="Times New Roman"/>
                <w:lang w:val="en-GB"/>
              </w:rPr>
              <w:t>: All members are informed about the aims of the company</w:t>
            </w:r>
          </w:p>
        </w:tc>
        <w:tc>
          <w:tcPr>
            <w:tcW w:w="1440" w:type="dxa"/>
            <w:tcBorders>
              <w:top w:val="single" w:sz="4" w:space="0" w:color="auto"/>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0.86</w:t>
            </w:r>
          </w:p>
        </w:tc>
        <w:tc>
          <w:tcPr>
            <w:tcW w:w="720" w:type="dxa"/>
            <w:tcBorders>
              <w:top w:val="single" w:sz="4" w:space="0" w:color="auto"/>
              <w:left w:val="nil"/>
              <w:bottom w:val="nil"/>
              <w:right w:val="nil"/>
            </w:tcBorders>
          </w:tcPr>
          <w:p w:rsidR="00F343FA" w:rsidRPr="003D6474" w:rsidRDefault="00F343FA" w:rsidP="003E17E9">
            <w:pPr>
              <w:jc w:val="center"/>
              <w:rPr>
                <w:sz w:val="20"/>
                <w:lang w:val="en-GB"/>
              </w:rPr>
            </w:pPr>
            <w:r w:rsidRPr="003D6474">
              <w:rPr>
                <w:sz w:val="20"/>
                <w:lang w:val="en-GB"/>
              </w:rPr>
              <w:t>11.22</w:t>
            </w:r>
          </w:p>
        </w:tc>
        <w:tc>
          <w:tcPr>
            <w:tcW w:w="1440" w:type="dxa"/>
            <w:tcBorders>
              <w:top w:val="single" w:sz="4" w:space="0" w:color="auto"/>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SCR=</w:t>
            </w:r>
            <w:r w:rsidRPr="003D6474">
              <w:rPr>
                <w:sz w:val="20"/>
                <w:lang w:val="en-GB"/>
              </w:rPr>
              <w:t>0.850</w:t>
            </w:r>
          </w:p>
        </w:tc>
      </w:tr>
      <w:tr w:rsidR="00F343FA" w:rsidRPr="003D6474">
        <w:tc>
          <w:tcPr>
            <w:tcW w:w="5760" w:type="dxa"/>
            <w:tcBorders>
              <w:top w:val="nil"/>
              <w:left w:val="single" w:sz="4" w:space="0" w:color="auto"/>
              <w:bottom w:val="nil"/>
              <w:right w:val="single" w:sz="4" w:space="0" w:color="auto"/>
            </w:tcBorders>
          </w:tcPr>
          <w:p w:rsidR="00F343FA" w:rsidRPr="003D6474" w:rsidRDefault="00F343FA" w:rsidP="003E17E9">
            <w:pPr>
              <w:rPr>
                <w:sz w:val="20"/>
                <w:lang w:val="en-GB"/>
              </w:rPr>
            </w:pPr>
            <w:r w:rsidRPr="003D6474">
              <w:rPr>
                <w:sz w:val="20"/>
                <w:lang w:val="en-GB"/>
              </w:rPr>
              <w:t>X</w:t>
            </w:r>
            <w:r w:rsidRPr="003D6474">
              <w:rPr>
                <w:position w:val="-2"/>
                <w:sz w:val="20"/>
                <w:vertAlign w:val="subscript"/>
                <w:lang w:val="en-GB"/>
              </w:rPr>
              <w:t>8</w:t>
            </w:r>
            <w:r w:rsidRPr="003D6474">
              <w:rPr>
                <w:sz w:val="20"/>
                <w:lang w:val="en-GB"/>
              </w:rPr>
              <w:t>: Meetings are periodically held to inform all the employees about the latest innovations in the company</w:t>
            </w:r>
          </w:p>
        </w:tc>
        <w:tc>
          <w:tcPr>
            <w:tcW w:w="1440" w:type="dxa"/>
            <w:tcBorders>
              <w:top w:val="nil"/>
              <w:left w:val="single" w:sz="4" w:space="0" w:color="auto"/>
              <w:bottom w:val="nil"/>
              <w:right w:val="nil"/>
            </w:tcBorders>
          </w:tcPr>
          <w:p w:rsidR="00F343FA" w:rsidRPr="003D6474" w:rsidRDefault="00F343FA" w:rsidP="003E17E9">
            <w:pPr>
              <w:jc w:val="center"/>
              <w:rPr>
                <w:sz w:val="20"/>
                <w:lang w:val="en-GB"/>
              </w:rPr>
            </w:pPr>
            <w:r w:rsidRPr="003D6474">
              <w:rPr>
                <w:sz w:val="20"/>
                <w:lang w:val="en-GB"/>
              </w:rPr>
              <w:t>0.90</w:t>
            </w:r>
          </w:p>
        </w:tc>
        <w:tc>
          <w:tcPr>
            <w:tcW w:w="720" w:type="dxa"/>
            <w:tcBorders>
              <w:top w:val="nil"/>
              <w:left w:val="nil"/>
              <w:bottom w:val="nil"/>
              <w:right w:val="nil"/>
            </w:tcBorders>
          </w:tcPr>
          <w:p w:rsidR="00F343FA" w:rsidRPr="003D6474" w:rsidRDefault="00F343FA" w:rsidP="003E17E9">
            <w:pPr>
              <w:jc w:val="center"/>
              <w:rPr>
                <w:sz w:val="20"/>
                <w:lang w:val="en-GB"/>
              </w:rPr>
            </w:pPr>
            <w:r w:rsidRPr="003D6474">
              <w:rPr>
                <w:sz w:val="20"/>
                <w:lang w:val="en-GB"/>
              </w:rPr>
              <w:t>11.82</w:t>
            </w:r>
          </w:p>
        </w:tc>
        <w:tc>
          <w:tcPr>
            <w:tcW w:w="1440" w:type="dxa"/>
            <w:tcBorders>
              <w:top w:val="nil"/>
              <w:left w:val="nil"/>
              <w:bottom w:val="nil"/>
              <w:right w:val="single" w:sz="4" w:space="0" w:color="auto"/>
            </w:tcBorders>
          </w:tcPr>
          <w:p w:rsidR="00F343FA" w:rsidRPr="003D6474" w:rsidRDefault="00F343FA" w:rsidP="003E17E9">
            <w:pPr>
              <w:jc w:val="center"/>
              <w:rPr>
                <w:sz w:val="20"/>
                <w:lang w:val="en-GB"/>
              </w:rPr>
            </w:pPr>
            <w:r w:rsidRPr="003D6474">
              <w:rPr>
                <w:sz w:val="20"/>
                <w:szCs w:val="20"/>
                <w:lang w:val="en-GB"/>
              </w:rPr>
              <w:t>AVE=0.658</w:t>
            </w:r>
          </w:p>
        </w:tc>
      </w:tr>
      <w:tr w:rsidR="00F343FA" w:rsidRPr="003D6474">
        <w:tc>
          <w:tcPr>
            <w:tcW w:w="5760" w:type="dxa"/>
            <w:tcBorders>
              <w:top w:val="nil"/>
              <w:left w:val="single" w:sz="4" w:space="0" w:color="auto"/>
              <w:bottom w:val="single" w:sz="4" w:space="0" w:color="auto"/>
              <w:right w:val="single" w:sz="4" w:space="0" w:color="auto"/>
            </w:tcBorders>
          </w:tcPr>
          <w:p w:rsidR="00F343FA" w:rsidRPr="003D6474" w:rsidRDefault="00F343FA" w:rsidP="003E17E9">
            <w:pPr>
              <w:rPr>
                <w:sz w:val="20"/>
                <w:lang w:val="en-GB"/>
              </w:rPr>
            </w:pPr>
            <w:r w:rsidRPr="003D6474">
              <w:rPr>
                <w:sz w:val="20"/>
                <w:lang w:val="en-GB"/>
              </w:rPr>
              <w:t>X</w:t>
            </w:r>
            <w:r w:rsidRPr="003D6474">
              <w:rPr>
                <w:position w:val="-2"/>
                <w:sz w:val="20"/>
                <w:vertAlign w:val="subscript"/>
                <w:lang w:val="en-GB"/>
              </w:rPr>
              <w:t>9</w:t>
            </w:r>
            <w:r w:rsidRPr="003D6474">
              <w:rPr>
                <w:sz w:val="20"/>
                <w:lang w:val="en-GB"/>
              </w:rPr>
              <w:t>: The company has formal mechanisms to guarantee the sharing of the best practices among the different fields of the activity</w:t>
            </w:r>
          </w:p>
        </w:tc>
        <w:tc>
          <w:tcPr>
            <w:tcW w:w="1440" w:type="dxa"/>
            <w:tcBorders>
              <w:top w:val="nil"/>
              <w:left w:val="single" w:sz="4" w:space="0" w:color="auto"/>
              <w:bottom w:val="single" w:sz="4" w:space="0" w:color="auto"/>
              <w:right w:val="nil"/>
            </w:tcBorders>
          </w:tcPr>
          <w:p w:rsidR="00F343FA" w:rsidRPr="003D6474" w:rsidRDefault="00F343FA" w:rsidP="003E17E9">
            <w:pPr>
              <w:jc w:val="center"/>
              <w:rPr>
                <w:sz w:val="20"/>
                <w:lang w:val="en-GB"/>
              </w:rPr>
            </w:pPr>
            <w:r w:rsidRPr="003D6474">
              <w:rPr>
                <w:sz w:val="20"/>
                <w:lang w:val="en-GB"/>
              </w:rPr>
              <w:t>0.66</w:t>
            </w:r>
          </w:p>
        </w:tc>
        <w:tc>
          <w:tcPr>
            <w:tcW w:w="720" w:type="dxa"/>
            <w:tcBorders>
              <w:top w:val="nil"/>
              <w:left w:val="nil"/>
              <w:bottom w:val="single" w:sz="4" w:space="0" w:color="auto"/>
              <w:right w:val="nil"/>
            </w:tcBorders>
          </w:tcPr>
          <w:p w:rsidR="00F343FA" w:rsidRPr="003D6474" w:rsidRDefault="00F343FA" w:rsidP="003E17E9">
            <w:pPr>
              <w:jc w:val="center"/>
              <w:rPr>
                <w:sz w:val="20"/>
                <w:lang w:val="en-GB"/>
              </w:rPr>
            </w:pPr>
            <w:r w:rsidRPr="003D6474">
              <w:rPr>
                <w:sz w:val="20"/>
                <w:lang w:val="en-GB"/>
              </w:rPr>
              <w:t>8.00</w:t>
            </w:r>
          </w:p>
        </w:tc>
        <w:tc>
          <w:tcPr>
            <w:tcW w:w="1440" w:type="dxa"/>
            <w:tcBorders>
              <w:top w:val="nil"/>
              <w:left w:val="nil"/>
              <w:bottom w:val="single" w:sz="4" w:space="0" w:color="auto"/>
              <w:right w:val="single" w:sz="4" w:space="0" w:color="auto"/>
            </w:tcBorders>
          </w:tcPr>
          <w:p w:rsidR="00F343FA" w:rsidRPr="003D6474" w:rsidRDefault="00F343FA" w:rsidP="003E17E9">
            <w:pPr>
              <w:jc w:val="center"/>
              <w:rPr>
                <w:sz w:val="20"/>
                <w:lang w:val="en-GB"/>
              </w:rPr>
            </w:pPr>
          </w:p>
        </w:tc>
      </w:tr>
    </w:tbl>
    <w:p w:rsidR="003B10E7" w:rsidRPr="003D6474" w:rsidRDefault="003B10E7" w:rsidP="003B10E7">
      <w:pPr>
        <w:pStyle w:val="Normal1"/>
        <w:spacing w:before="120" w:after="0" w:line="240" w:lineRule="auto"/>
        <w:ind w:right="-493" w:firstLine="142"/>
        <w:rPr>
          <w:rFonts w:ascii="Times New Roman" w:hAnsi="Times New Roman"/>
          <w:sz w:val="20"/>
          <w:lang w:val="en-GB"/>
        </w:rPr>
      </w:pPr>
      <w:r w:rsidRPr="003D6474">
        <w:rPr>
          <w:rFonts w:ascii="Times New Roman" w:hAnsi="Times New Roman"/>
          <w:sz w:val="20"/>
          <w:lang w:val="en-GB"/>
        </w:rPr>
        <w:t>Notes:</w:t>
      </w:r>
    </w:p>
    <w:p w:rsidR="00E838CF" w:rsidRPr="003D6474" w:rsidRDefault="00F343FA" w:rsidP="00E838CF">
      <w:pPr>
        <w:pStyle w:val="Normal1"/>
        <w:spacing w:after="0" w:line="240" w:lineRule="auto"/>
        <w:ind w:right="45"/>
        <w:rPr>
          <w:rFonts w:ascii="Times New Roman" w:hAnsi="Times New Roman"/>
          <w:sz w:val="20"/>
          <w:lang w:val="en-GB"/>
        </w:rPr>
      </w:pPr>
      <w:r w:rsidRPr="003D6474">
        <w:rPr>
          <w:rFonts w:ascii="Times New Roman" w:hAnsi="Times New Roman"/>
          <w:sz w:val="20"/>
          <w:lang w:val="en-GB"/>
        </w:rPr>
        <w:t xml:space="preserve">The fit statistics for the 13 measurement constructs were: </w:t>
      </w:r>
    </w:p>
    <w:p w:rsidR="008C2DE7" w:rsidRPr="003D6474" w:rsidRDefault="008C2DE7" w:rsidP="00E838CF">
      <w:pPr>
        <w:pStyle w:val="Normal1"/>
        <w:spacing w:after="0" w:line="240" w:lineRule="auto"/>
        <w:ind w:right="45"/>
        <w:rPr>
          <w:rFonts w:ascii="Times New Roman" w:hAnsi="Times New Roman"/>
          <w:bCs/>
          <w:sz w:val="20"/>
          <w:lang w:val="en-US"/>
        </w:rPr>
      </w:pPr>
      <w:r w:rsidRPr="003D6474">
        <w:rPr>
          <w:rFonts w:ascii="Times New Roman" w:hAnsi="Times New Roman"/>
          <w:bCs/>
          <w:sz w:val="20"/>
          <w:lang w:val="en-US"/>
        </w:rPr>
        <w:t xml:space="preserve">Satorra-Bentler </w:t>
      </w:r>
      <w:r w:rsidRPr="003D6474">
        <w:rPr>
          <w:rFonts w:ascii="Times New Roman" w:hAnsi="Times New Roman"/>
          <w:bCs/>
          <w:sz w:val="20"/>
        </w:rPr>
        <w:t>χ</w:t>
      </w:r>
      <w:r w:rsidRPr="003D6474">
        <w:rPr>
          <w:rFonts w:ascii="Times New Roman" w:hAnsi="Times New Roman"/>
          <w:bCs/>
          <w:sz w:val="20"/>
          <w:vertAlign w:val="superscript"/>
          <w:lang w:val="en-US"/>
        </w:rPr>
        <w:t>2</w:t>
      </w:r>
      <w:r w:rsidRPr="003D6474">
        <w:rPr>
          <w:rFonts w:ascii="Times New Roman" w:hAnsi="Times New Roman"/>
          <w:bCs/>
          <w:sz w:val="20"/>
          <w:vertAlign w:val="subscript"/>
          <w:lang w:val="en-US"/>
        </w:rPr>
        <w:t>(</w:t>
      </w:r>
      <w:r w:rsidR="00E838CF" w:rsidRPr="003D6474">
        <w:rPr>
          <w:rFonts w:ascii="Times New Roman" w:hAnsi="Times New Roman"/>
          <w:bCs/>
          <w:sz w:val="20"/>
          <w:vertAlign w:val="subscript"/>
          <w:lang w:val="en-US"/>
        </w:rPr>
        <w:t>55</w:t>
      </w:r>
      <w:r w:rsidRPr="003D6474">
        <w:rPr>
          <w:rFonts w:ascii="Times New Roman" w:hAnsi="Times New Roman"/>
          <w:bCs/>
          <w:sz w:val="20"/>
          <w:vertAlign w:val="subscript"/>
          <w:lang w:val="en-US"/>
        </w:rPr>
        <w:t>)</w:t>
      </w:r>
      <w:r w:rsidRPr="003D6474">
        <w:rPr>
          <w:rFonts w:ascii="Times New Roman" w:hAnsi="Times New Roman"/>
          <w:bCs/>
          <w:sz w:val="20"/>
          <w:lang w:val="en-US"/>
        </w:rPr>
        <w:t>=</w:t>
      </w:r>
      <w:r w:rsidR="00E838CF" w:rsidRPr="003D6474">
        <w:rPr>
          <w:rFonts w:ascii="Times New Roman" w:hAnsi="Times New Roman"/>
          <w:bCs/>
          <w:sz w:val="20"/>
          <w:lang w:val="en-US"/>
        </w:rPr>
        <w:t>57</w:t>
      </w:r>
      <w:r w:rsidRPr="003D6474">
        <w:rPr>
          <w:rFonts w:ascii="Times New Roman" w:hAnsi="Times New Roman"/>
          <w:bCs/>
          <w:sz w:val="20"/>
          <w:lang w:val="en-US"/>
        </w:rPr>
        <w:t>.</w:t>
      </w:r>
      <w:r w:rsidR="00E838CF" w:rsidRPr="003D6474">
        <w:rPr>
          <w:rFonts w:ascii="Times New Roman" w:hAnsi="Times New Roman"/>
          <w:bCs/>
          <w:sz w:val="20"/>
          <w:lang w:val="en-US"/>
        </w:rPr>
        <w:t>99</w:t>
      </w:r>
      <w:r w:rsidRPr="003D6474">
        <w:rPr>
          <w:rFonts w:ascii="Times New Roman" w:hAnsi="Times New Roman"/>
          <w:bCs/>
          <w:sz w:val="20"/>
          <w:lang w:val="en-US"/>
        </w:rPr>
        <w:t>; GFI=0.9</w:t>
      </w:r>
      <w:r w:rsidR="00E838CF" w:rsidRPr="003D6474">
        <w:rPr>
          <w:rFonts w:ascii="Times New Roman" w:hAnsi="Times New Roman"/>
          <w:bCs/>
          <w:sz w:val="20"/>
          <w:lang w:val="en-US"/>
        </w:rPr>
        <w:t>3</w:t>
      </w:r>
      <w:r w:rsidRPr="003D6474">
        <w:rPr>
          <w:rFonts w:ascii="Times New Roman" w:hAnsi="Times New Roman"/>
          <w:bCs/>
          <w:sz w:val="20"/>
          <w:lang w:val="en-US"/>
        </w:rPr>
        <w:t>; CFI=0.9</w:t>
      </w:r>
      <w:r w:rsidR="00E838CF" w:rsidRPr="003D6474">
        <w:rPr>
          <w:rFonts w:ascii="Times New Roman" w:hAnsi="Times New Roman"/>
          <w:bCs/>
          <w:sz w:val="20"/>
          <w:lang w:val="en-US"/>
        </w:rPr>
        <w:t>8</w:t>
      </w:r>
      <w:r w:rsidRPr="003D6474">
        <w:rPr>
          <w:rFonts w:ascii="Times New Roman" w:hAnsi="Times New Roman"/>
          <w:bCs/>
          <w:sz w:val="20"/>
          <w:lang w:val="en-US"/>
        </w:rPr>
        <w:t>; IFI=0.9</w:t>
      </w:r>
      <w:r w:rsidR="00E838CF" w:rsidRPr="003D6474">
        <w:rPr>
          <w:rFonts w:ascii="Times New Roman" w:hAnsi="Times New Roman"/>
          <w:bCs/>
          <w:sz w:val="20"/>
          <w:lang w:val="en-US"/>
        </w:rPr>
        <w:t>8</w:t>
      </w:r>
      <w:r w:rsidRPr="003D6474">
        <w:rPr>
          <w:rFonts w:ascii="Times New Roman" w:hAnsi="Times New Roman"/>
          <w:bCs/>
          <w:sz w:val="20"/>
          <w:lang w:val="en-US"/>
        </w:rPr>
        <w:t>; RMSEA= 0.0</w:t>
      </w:r>
      <w:r w:rsidR="00E838CF" w:rsidRPr="003D6474">
        <w:rPr>
          <w:rFonts w:ascii="Times New Roman" w:hAnsi="Times New Roman"/>
          <w:bCs/>
          <w:sz w:val="20"/>
          <w:lang w:val="en-US"/>
        </w:rPr>
        <w:t>29</w:t>
      </w:r>
      <w:r w:rsidRPr="003D6474">
        <w:rPr>
          <w:rFonts w:ascii="Times New Roman" w:hAnsi="Times New Roman"/>
          <w:bCs/>
          <w:sz w:val="20"/>
          <w:lang w:val="en-US"/>
        </w:rPr>
        <w:t>.</w:t>
      </w:r>
    </w:p>
    <w:p w:rsidR="00F343FA" w:rsidRPr="003D6474" w:rsidRDefault="00F343FA" w:rsidP="003E17E9">
      <w:pPr>
        <w:pStyle w:val="Normal1"/>
        <w:spacing w:after="0" w:line="240" w:lineRule="auto"/>
        <w:ind w:right="578"/>
        <w:rPr>
          <w:rFonts w:ascii="Times New Roman" w:hAnsi="Times New Roman"/>
          <w:sz w:val="20"/>
          <w:lang w:val="en-GB"/>
        </w:rPr>
      </w:pPr>
      <w:r w:rsidRPr="003D6474">
        <w:rPr>
          <w:rFonts w:ascii="Times New Roman" w:hAnsi="Times New Roman"/>
          <w:sz w:val="20"/>
          <w:vertAlign w:val="superscript"/>
          <w:lang w:val="en-GB"/>
        </w:rPr>
        <w:t xml:space="preserve">a </w:t>
      </w:r>
      <w:r w:rsidRPr="003D6474">
        <w:rPr>
          <w:rFonts w:ascii="Times New Roman" w:hAnsi="Times New Roman"/>
          <w:sz w:val="20"/>
          <w:lang w:val="en-GB"/>
        </w:rPr>
        <w:t>Scale Composite Reliability (SCR) of p</w:t>
      </w:r>
      <w:r w:rsidRPr="003D6474">
        <w:rPr>
          <w:rFonts w:ascii="Times New Roman" w:hAnsi="Times New Roman"/>
          <w:sz w:val="20"/>
          <w:vertAlign w:val="subscript"/>
          <w:lang w:val="en-GB"/>
        </w:rPr>
        <w:t>c</w:t>
      </w:r>
      <w:r w:rsidRPr="003D6474">
        <w:rPr>
          <w:rFonts w:ascii="Times New Roman" w:hAnsi="Times New Roman"/>
          <w:sz w:val="20"/>
          <w:lang w:val="en-GB"/>
        </w:rPr>
        <w:t>= (Σλ</w:t>
      </w:r>
      <w:r w:rsidRPr="003D6474">
        <w:rPr>
          <w:rFonts w:ascii="Times New Roman" w:hAnsi="Times New Roman"/>
          <w:sz w:val="20"/>
          <w:vertAlign w:val="subscript"/>
          <w:lang w:val="en-GB"/>
        </w:rPr>
        <w:t>i</w:t>
      </w:r>
      <w:r w:rsidRPr="003D6474">
        <w:rPr>
          <w:rFonts w:ascii="Times New Roman" w:hAnsi="Times New Roman"/>
          <w:sz w:val="20"/>
          <w:lang w:val="en-GB"/>
        </w:rPr>
        <w:t>)</w:t>
      </w:r>
      <w:r w:rsidRPr="003D6474">
        <w:rPr>
          <w:rFonts w:ascii="Times New Roman" w:hAnsi="Times New Roman"/>
          <w:sz w:val="20"/>
          <w:vertAlign w:val="superscript"/>
          <w:lang w:val="en-GB"/>
        </w:rPr>
        <w:t>2</w:t>
      </w:r>
      <w:r w:rsidRPr="003D6474">
        <w:rPr>
          <w:rFonts w:ascii="Times New Roman" w:hAnsi="Times New Roman"/>
          <w:sz w:val="20"/>
          <w:lang w:val="en-GB"/>
        </w:rPr>
        <w:t xml:space="preserve"> var (ξ) / [(Σλ</w:t>
      </w:r>
      <w:r w:rsidRPr="003D6474">
        <w:rPr>
          <w:rFonts w:ascii="Times New Roman" w:hAnsi="Times New Roman"/>
          <w:sz w:val="20"/>
          <w:vertAlign w:val="subscript"/>
          <w:lang w:val="en-GB"/>
        </w:rPr>
        <w:t>i</w:t>
      </w:r>
      <w:r w:rsidRPr="003D6474">
        <w:rPr>
          <w:rFonts w:ascii="Times New Roman" w:hAnsi="Times New Roman"/>
          <w:sz w:val="20"/>
          <w:lang w:val="en-GB"/>
        </w:rPr>
        <w:t>)</w:t>
      </w:r>
      <w:r w:rsidRPr="003D6474">
        <w:rPr>
          <w:rFonts w:ascii="Times New Roman" w:hAnsi="Times New Roman"/>
          <w:sz w:val="20"/>
          <w:vertAlign w:val="superscript"/>
          <w:lang w:val="en-GB"/>
        </w:rPr>
        <w:t>2</w:t>
      </w:r>
      <w:r w:rsidRPr="003D6474">
        <w:rPr>
          <w:rFonts w:ascii="Times New Roman" w:hAnsi="Times New Roman"/>
          <w:sz w:val="20"/>
          <w:lang w:val="en-GB"/>
        </w:rPr>
        <w:t xml:space="preserve"> var (ξ) +Σ θ</w:t>
      </w:r>
      <w:r w:rsidRPr="003D6474">
        <w:rPr>
          <w:rFonts w:ascii="Times New Roman" w:hAnsi="Times New Roman"/>
          <w:sz w:val="20"/>
          <w:vertAlign w:val="subscript"/>
          <w:lang w:val="en-GB"/>
        </w:rPr>
        <w:t>ii</w:t>
      </w:r>
      <w:r w:rsidRPr="003D6474">
        <w:rPr>
          <w:rFonts w:ascii="Times New Roman" w:hAnsi="Times New Roman"/>
          <w:sz w:val="20"/>
          <w:lang w:val="en-GB"/>
        </w:rPr>
        <w:t>] (Bagozzi and Yi, 1998).</w:t>
      </w:r>
    </w:p>
    <w:p w:rsidR="00F343FA" w:rsidRPr="003D6474" w:rsidRDefault="00F343FA" w:rsidP="003E17E9">
      <w:pPr>
        <w:pStyle w:val="Normal1"/>
        <w:spacing w:after="0" w:line="240" w:lineRule="auto"/>
        <w:ind w:right="-110"/>
        <w:rPr>
          <w:rFonts w:ascii="Times New Roman" w:hAnsi="Times New Roman"/>
          <w:sz w:val="20"/>
          <w:lang w:val="en-GB"/>
        </w:rPr>
      </w:pPr>
      <w:r w:rsidRPr="003D6474">
        <w:rPr>
          <w:rFonts w:ascii="Times New Roman" w:hAnsi="Times New Roman"/>
          <w:sz w:val="20"/>
          <w:vertAlign w:val="superscript"/>
          <w:lang w:val="en-GB"/>
        </w:rPr>
        <w:t>b</w:t>
      </w:r>
      <w:r w:rsidRPr="003D6474">
        <w:rPr>
          <w:rFonts w:ascii="Times New Roman" w:hAnsi="Times New Roman"/>
          <w:sz w:val="20"/>
          <w:lang w:val="en-GB"/>
        </w:rPr>
        <w:t>Average variance extracted (AVE) of p</w:t>
      </w:r>
      <w:r w:rsidRPr="003D6474">
        <w:rPr>
          <w:rFonts w:ascii="Times New Roman" w:hAnsi="Times New Roman"/>
          <w:sz w:val="20"/>
          <w:vertAlign w:val="subscript"/>
          <w:lang w:val="en-GB"/>
        </w:rPr>
        <w:t>c</w:t>
      </w:r>
      <w:r w:rsidRPr="003D6474">
        <w:rPr>
          <w:rFonts w:ascii="Times New Roman" w:hAnsi="Times New Roman"/>
          <w:sz w:val="20"/>
          <w:lang w:val="en-GB"/>
        </w:rPr>
        <w:t>= (∑λi2 var (ξ))/[∑λi2 var (ξ) + ∑θii] (Fornell and Larcker, 1981).</w:t>
      </w:r>
    </w:p>
    <w:p w:rsidR="00F343FA" w:rsidRPr="003D6474" w:rsidRDefault="00F343FA" w:rsidP="003E17E9">
      <w:pPr>
        <w:pStyle w:val="Normal1"/>
        <w:spacing w:after="0" w:line="240" w:lineRule="auto"/>
        <w:ind w:right="44"/>
        <w:rPr>
          <w:rFonts w:ascii="Times New Roman" w:hAnsi="Times New Roman"/>
          <w:sz w:val="20"/>
          <w:lang w:val="en-GB"/>
        </w:rPr>
      </w:pPr>
    </w:p>
    <w:p w:rsidR="00F343FA" w:rsidRPr="003D6474" w:rsidRDefault="00F343FA" w:rsidP="003E17E9">
      <w:pPr>
        <w:pStyle w:val="Normal1"/>
        <w:spacing w:after="0" w:line="240" w:lineRule="auto"/>
        <w:ind w:right="44"/>
        <w:rPr>
          <w:rFonts w:ascii="Times New Roman" w:hAnsi="Times New Roman"/>
          <w:sz w:val="20"/>
          <w:lang w:val="en-GB"/>
        </w:rPr>
      </w:pPr>
    </w:p>
    <w:p w:rsidR="00F343FA" w:rsidRPr="003D6474" w:rsidRDefault="00F343FA" w:rsidP="003E17E9">
      <w:pPr>
        <w:pStyle w:val="Normal1"/>
        <w:spacing w:after="0" w:line="240" w:lineRule="auto"/>
        <w:jc w:val="center"/>
        <w:rPr>
          <w:rFonts w:ascii="Times New Roman" w:hAnsi="Times New Roman"/>
          <w:b/>
          <w:bCs/>
          <w:lang w:val="en-GB"/>
        </w:rPr>
      </w:pPr>
      <w:r w:rsidRPr="003D6474">
        <w:rPr>
          <w:rFonts w:ascii="Times New Roman" w:hAnsi="Times New Roman"/>
          <w:lang w:val="en-GB"/>
        </w:rPr>
        <w:br w:type="page"/>
      </w:r>
      <w:r w:rsidRPr="003D6474">
        <w:rPr>
          <w:rFonts w:ascii="Times New Roman" w:hAnsi="Times New Roman"/>
          <w:b/>
          <w:bCs/>
          <w:lang w:val="en-GB"/>
        </w:rPr>
        <w:lastRenderedPageBreak/>
        <w:t>Table 2: Construct correlation matrix</w:t>
      </w:r>
    </w:p>
    <w:tbl>
      <w:tblPr>
        <w:tblW w:w="8922" w:type="dxa"/>
        <w:jc w:val="center"/>
        <w:tblLayout w:type="fixed"/>
        <w:tblCellMar>
          <w:left w:w="70" w:type="dxa"/>
          <w:right w:w="70" w:type="dxa"/>
        </w:tblCellMar>
        <w:tblLook w:val="0000" w:firstRow="0" w:lastRow="0" w:firstColumn="0" w:lastColumn="0" w:noHBand="0" w:noVBand="0"/>
      </w:tblPr>
      <w:tblGrid>
        <w:gridCol w:w="2620"/>
        <w:gridCol w:w="746"/>
        <w:gridCol w:w="900"/>
        <w:gridCol w:w="930"/>
        <w:gridCol w:w="931"/>
        <w:gridCol w:w="930"/>
        <w:gridCol w:w="930"/>
        <w:gridCol w:w="925"/>
        <w:gridCol w:w="10"/>
      </w:tblGrid>
      <w:tr w:rsidR="00F343FA" w:rsidRPr="003D6474" w:rsidTr="00774F0D">
        <w:trPr>
          <w:gridAfter w:val="1"/>
          <w:wAfter w:w="10" w:type="dxa"/>
          <w:jc w:val="center"/>
        </w:trPr>
        <w:tc>
          <w:tcPr>
            <w:tcW w:w="2620" w:type="dxa"/>
            <w:tcBorders>
              <w:top w:val="single" w:sz="2" w:space="0" w:color="auto"/>
              <w:left w:val="nil"/>
              <w:bottom w:val="nil"/>
              <w:right w:val="nil"/>
            </w:tcBorders>
            <w:noWrap/>
            <w:tcMar>
              <w:left w:w="14" w:type="dxa"/>
              <w:right w:w="14" w:type="dxa"/>
            </w:tcMar>
            <w:vAlign w:val="center"/>
          </w:tcPr>
          <w:p w:rsidR="00F343FA" w:rsidRPr="003D6474" w:rsidRDefault="00F343FA" w:rsidP="003E17E9">
            <w:pPr>
              <w:pStyle w:val="Title"/>
              <w:jc w:val="left"/>
              <w:rPr>
                <w:b w:val="0"/>
                <w:bCs w:val="0"/>
                <w:lang w:val="en-GB"/>
              </w:rPr>
            </w:pPr>
          </w:p>
        </w:tc>
        <w:tc>
          <w:tcPr>
            <w:tcW w:w="746" w:type="dxa"/>
            <w:tcBorders>
              <w:top w:val="single" w:sz="2" w:space="0" w:color="auto"/>
              <w:left w:val="nil"/>
              <w:bottom w:val="nil"/>
              <w:right w:val="nil"/>
            </w:tcBorders>
            <w:vAlign w:val="center"/>
          </w:tcPr>
          <w:p w:rsidR="00F343FA" w:rsidRPr="003D6474" w:rsidRDefault="00F343FA" w:rsidP="003E17E9">
            <w:pPr>
              <w:pStyle w:val="Title"/>
              <w:rPr>
                <w:b w:val="0"/>
                <w:bCs w:val="0"/>
                <w:lang w:val="en-GB"/>
              </w:rPr>
            </w:pPr>
            <w:r w:rsidRPr="003D6474">
              <w:rPr>
                <w:b w:val="0"/>
                <w:bCs w:val="0"/>
                <w:lang w:val="en-GB"/>
              </w:rPr>
              <w:t>Mean</w:t>
            </w:r>
          </w:p>
        </w:tc>
        <w:tc>
          <w:tcPr>
            <w:tcW w:w="900" w:type="dxa"/>
            <w:tcBorders>
              <w:top w:val="single" w:sz="2" w:space="0" w:color="auto"/>
              <w:left w:val="nil"/>
              <w:bottom w:val="nil"/>
              <w:right w:val="nil"/>
            </w:tcBorders>
            <w:vAlign w:val="center"/>
          </w:tcPr>
          <w:p w:rsidR="00F343FA" w:rsidRPr="003D6474" w:rsidRDefault="00F343FA" w:rsidP="003E17E9">
            <w:pPr>
              <w:pStyle w:val="Title"/>
              <w:rPr>
                <w:b w:val="0"/>
                <w:bCs w:val="0"/>
                <w:lang w:val="en-GB"/>
              </w:rPr>
            </w:pPr>
            <w:r w:rsidRPr="003D6474">
              <w:rPr>
                <w:b w:val="0"/>
                <w:bCs w:val="0"/>
                <w:lang w:val="en-GB"/>
              </w:rPr>
              <w:t>Standard</w:t>
            </w:r>
          </w:p>
        </w:tc>
        <w:tc>
          <w:tcPr>
            <w:tcW w:w="4646" w:type="dxa"/>
            <w:gridSpan w:val="5"/>
            <w:tcBorders>
              <w:top w:val="single" w:sz="2" w:space="0" w:color="auto"/>
              <w:left w:val="nil"/>
              <w:bottom w:val="single" w:sz="2" w:space="0" w:color="auto"/>
              <w:right w:val="nil"/>
            </w:tcBorders>
            <w:vAlign w:val="center"/>
          </w:tcPr>
          <w:p w:rsidR="00F343FA" w:rsidRPr="003D6474" w:rsidRDefault="00F343FA" w:rsidP="003E17E9">
            <w:pPr>
              <w:pStyle w:val="Title"/>
              <w:rPr>
                <w:b w:val="0"/>
                <w:bCs w:val="0"/>
                <w:lang w:val="en-GB"/>
              </w:rPr>
            </w:pPr>
            <w:r w:rsidRPr="003D6474">
              <w:rPr>
                <w:b w:val="0"/>
                <w:bCs w:val="0"/>
                <w:lang w:val="en-GB"/>
              </w:rPr>
              <w:t>Correlation matrix</w:t>
            </w:r>
          </w:p>
        </w:tc>
      </w:tr>
      <w:tr w:rsidR="00F343FA" w:rsidRPr="003D6474" w:rsidTr="00774F0D">
        <w:trPr>
          <w:jc w:val="center"/>
        </w:trPr>
        <w:tc>
          <w:tcPr>
            <w:tcW w:w="2620" w:type="dxa"/>
            <w:tcBorders>
              <w:top w:val="nil"/>
              <w:left w:val="nil"/>
              <w:bottom w:val="single" w:sz="2" w:space="0" w:color="auto"/>
              <w:right w:val="nil"/>
            </w:tcBorders>
            <w:noWrap/>
            <w:tcMar>
              <w:left w:w="14" w:type="dxa"/>
              <w:right w:w="14" w:type="dxa"/>
            </w:tcMar>
            <w:vAlign w:val="center"/>
          </w:tcPr>
          <w:p w:rsidR="00F343FA" w:rsidRPr="003D6474" w:rsidRDefault="00F343FA" w:rsidP="003E17E9">
            <w:pPr>
              <w:pStyle w:val="Title"/>
              <w:jc w:val="left"/>
              <w:rPr>
                <w:b w:val="0"/>
                <w:bCs w:val="0"/>
                <w:lang w:val="en-GB"/>
              </w:rPr>
            </w:pPr>
          </w:p>
        </w:tc>
        <w:tc>
          <w:tcPr>
            <w:tcW w:w="746" w:type="dxa"/>
            <w:tcBorders>
              <w:top w:val="nil"/>
              <w:left w:val="nil"/>
              <w:bottom w:val="single" w:sz="4" w:space="0" w:color="auto"/>
              <w:right w:val="nil"/>
            </w:tcBorders>
          </w:tcPr>
          <w:p w:rsidR="00F343FA" w:rsidRPr="003D6474" w:rsidRDefault="00F343FA" w:rsidP="003E17E9">
            <w:pPr>
              <w:jc w:val="center"/>
              <w:rPr>
                <w:sz w:val="20"/>
                <w:szCs w:val="20"/>
                <w:lang w:val="en-GB"/>
              </w:rPr>
            </w:pPr>
          </w:p>
        </w:tc>
        <w:tc>
          <w:tcPr>
            <w:tcW w:w="900" w:type="dxa"/>
            <w:tcBorders>
              <w:top w:val="nil"/>
              <w:left w:val="nil"/>
              <w:bottom w:val="single" w:sz="4" w:space="0" w:color="auto"/>
              <w:right w:val="nil"/>
            </w:tcBorders>
          </w:tcPr>
          <w:p w:rsidR="00F343FA" w:rsidRPr="003D6474" w:rsidRDefault="00F343FA" w:rsidP="003E17E9">
            <w:pPr>
              <w:jc w:val="center"/>
              <w:rPr>
                <w:sz w:val="20"/>
                <w:szCs w:val="20"/>
                <w:lang w:val="en-GB"/>
              </w:rPr>
            </w:pPr>
            <w:r w:rsidRPr="003D6474">
              <w:rPr>
                <w:sz w:val="20"/>
                <w:szCs w:val="20"/>
                <w:lang w:val="en-GB"/>
              </w:rPr>
              <w:t>deviation</w:t>
            </w:r>
          </w:p>
        </w:tc>
        <w:tc>
          <w:tcPr>
            <w:tcW w:w="930" w:type="dxa"/>
            <w:tcBorders>
              <w:top w:val="single" w:sz="2" w:space="0" w:color="auto"/>
              <w:left w:val="nil"/>
              <w:bottom w:val="single" w:sz="2" w:space="0" w:color="auto"/>
              <w:right w:val="nil"/>
            </w:tcBorders>
          </w:tcPr>
          <w:p w:rsidR="00F343FA" w:rsidRPr="003D6474" w:rsidRDefault="00F343FA" w:rsidP="003E17E9">
            <w:pPr>
              <w:jc w:val="center"/>
              <w:rPr>
                <w:b/>
                <w:sz w:val="20"/>
                <w:szCs w:val="20"/>
                <w:lang w:val="en-GB"/>
              </w:rPr>
            </w:pPr>
            <w:r w:rsidRPr="003D6474">
              <w:rPr>
                <w:b/>
                <w:sz w:val="20"/>
                <w:szCs w:val="20"/>
                <w:lang w:val="en-GB"/>
              </w:rPr>
              <w:t>1</w:t>
            </w:r>
          </w:p>
        </w:tc>
        <w:tc>
          <w:tcPr>
            <w:tcW w:w="931" w:type="dxa"/>
            <w:tcBorders>
              <w:top w:val="single" w:sz="2" w:space="0" w:color="auto"/>
              <w:left w:val="nil"/>
              <w:bottom w:val="single" w:sz="2" w:space="0" w:color="auto"/>
              <w:right w:val="nil"/>
            </w:tcBorders>
          </w:tcPr>
          <w:p w:rsidR="00F343FA" w:rsidRPr="003D6474" w:rsidRDefault="00F343FA" w:rsidP="003E17E9">
            <w:pPr>
              <w:jc w:val="center"/>
              <w:rPr>
                <w:b/>
                <w:sz w:val="20"/>
                <w:szCs w:val="20"/>
                <w:lang w:val="en-GB"/>
              </w:rPr>
            </w:pPr>
            <w:r w:rsidRPr="003D6474">
              <w:rPr>
                <w:b/>
                <w:sz w:val="20"/>
                <w:szCs w:val="20"/>
                <w:lang w:val="en-GB"/>
              </w:rPr>
              <w:t>2</w:t>
            </w:r>
          </w:p>
        </w:tc>
        <w:tc>
          <w:tcPr>
            <w:tcW w:w="930" w:type="dxa"/>
            <w:tcBorders>
              <w:top w:val="single" w:sz="2" w:space="0" w:color="auto"/>
              <w:left w:val="nil"/>
              <w:bottom w:val="single" w:sz="2" w:space="0" w:color="auto"/>
              <w:right w:val="nil"/>
            </w:tcBorders>
            <w:noWrap/>
            <w:tcMar>
              <w:left w:w="14" w:type="dxa"/>
              <w:right w:w="14" w:type="dxa"/>
            </w:tcMar>
          </w:tcPr>
          <w:p w:rsidR="00F343FA" w:rsidRPr="003D6474" w:rsidRDefault="00F343FA" w:rsidP="003E17E9">
            <w:pPr>
              <w:jc w:val="center"/>
              <w:rPr>
                <w:b/>
                <w:sz w:val="20"/>
                <w:szCs w:val="20"/>
                <w:lang w:val="en-GB"/>
              </w:rPr>
            </w:pPr>
            <w:r w:rsidRPr="003D6474">
              <w:rPr>
                <w:b/>
                <w:sz w:val="20"/>
                <w:szCs w:val="20"/>
                <w:lang w:val="en-GB"/>
              </w:rPr>
              <w:t>3</w:t>
            </w:r>
          </w:p>
        </w:tc>
        <w:tc>
          <w:tcPr>
            <w:tcW w:w="930" w:type="dxa"/>
            <w:tcBorders>
              <w:top w:val="single" w:sz="2" w:space="0" w:color="auto"/>
              <w:left w:val="nil"/>
              <w:bottom w:val="single" w:sz="2" w:space="0" w:color="auto"/>
              <w:right w:val="nil"/>
            </w:tcBorders>
            <w:noWrap/>
            <w:tcMar>
              <w:left w:w="14" w:type="dxa"/>
              <w:right w:w="14" w:type="dxa"/>
            </w:tcMar>
          </w:tcPr>
          <w:p w:rsidR="00F343FA" w:rsidRPr="003D6474" w:rsidRDefault="00F343FA" w:rsidP="003E17E9">
            <w:pPr>
              <w:jc w:val="center"/>
              <w:rPr>
                <w:b/>
                <w:sz w:val="20"/>
                <w:szCs w:val="20"/>
                <w:lang w:val="en-GB"/>
              </w:rPr>
            </w:pPr>
            <w:r w:rsidRPr="003D6474">
              <w:rPr>
                <w:b/>
                <w:sz w:val="20"/>
                <w:szCs w:val="20"/>
                <w:lang w:val="en-GB"/>
              </w:rPr>
              <w:t>4</w:t>
            </w:r>
          </w:p>
        </w:tc>
        <w:tc>
          <w:tcPr>
            <w:tcW w:w="935" w:type="dxa"/>
            <w:gridSpan w:val="2"/>
            <w:tcBorders>
              <w:top w:val="single" w:sz="2" w:space="0" w:color="auto"/>
              <w:left w:val="nil"/>
              <w:bottom w:val="single" w:sz="2" w:space="0" w:color="auto"/>
              <w:right w:val="nil"/>
            </w:tcBorders>
            <w:noWrap/>
            <w:tcMar>
              <w:left w:w="14" w:type="dxa"/>
              <w:right w:w="14" w:type="dxa"/>
            </w:tcMar>
          </w:tcPr>
          <w:p w:rsidR="00F343FA" w:rsidRPr="003D6474" w:rsidRDefault="00F343FA" w:rsidP="003E17E9">
            <w:pPr>
              <w:jc w:val="center"/>
              <w:rPr>
                <w:b/>
                <w:sz w:val="20"/>
                <w:szCs w:val="20"/>
                <w:lang w:val="en-GB"/>
              </w:rPr>
            </w:pPr>
            <w:r w:rsidRPr="003D6474">
              <w:rPr>
                <w:b/>
                <w:sz w:val="20"/>
                <w:szCs w:val="20"/>
                <w:lang w:val="en-GB"/>
              </w:rPr>
              <w:t>5</w:t>
            </w:r>
          </w:p>
        </w:tc>
      </w:tr>
      <w:tr w:rsidR="00F343FA" w:rsidRPr="003D6474" w:rsidTr="00774F0D">
        <w:trPr>
          <w:jc w:val="center"/>
        </w:trPr>
        <w:tc>
          <w:tcPr>
            <w:tcW w:w="2620" w:type="dxa"/>
            <w:tcBorders>
              <w:top w:val="single" w:sz="2" w:space="0" w:color="auto"/>
              <w:left w:val="nil"/>
              <w:bottom w:val="nil"/>
              <w:right w:val="single" w:sz="4" w:space="0" w:color="auto"/>
            </w:tcBorders>
            <w:noWrap/>
            <w:tcMar>
              <w:left w:w="14" w:type="dxa"/>
              <w:right w:w="14" w:type="dxa"/>
            </w:tcMar>
            <w:vAlign w:val="center"/>
          </w:tcPr>
          <w:p w:rsidR="00F343FA" w:rsidRPr="003D6474" w:rsidRDefault="00774F0D" w:rsidP="003E17E9">
            <w:pPr>
              <w:pStyle w:val="Title"/>
              <w:numPr>
                <w:ilvl w:val="0"/>
                <w:numId w:val="27"/>
              </w:numPr>
              <w:tabs>
                <w:tab w:val="clear" w:pos="720"/>
                <w:tab w:val="num" w:pos="272"/>
              </w:tabs>
              <w:ind w:left="272" w:hanging="180"/>
              <w:jc w:val="left"/>
              <w:rPr>
                <w:b w:val="0"/>
                <w:lang w:val="en-GB"/>
              </w:rPr>
            </w:pPr>
            <w:r w:rsidRPr="003D6474">
              <w:rPr>
                <w:b w:val="0"/>
                <w:lang w:val="en-GB"/>
              </w:rPr>
              <w:t>Online government services</w:t>
            </w:r>
          </w:p>
        </w:tc>
        <w:tc>
          <w:tcPr>
            <w:tcW w:w="746" w:type="dxa"/>
            <w:tcBorders>
              <w:top w:val="single" w:sz="4" w:space="0" w:color="auto"/>
              <w:left w:val="single" w:sz="4" w:space="0" w:color="auto"/>
              <w:bottom w:val="nil"/>
              <w:right w:val="nil"/>
            </w:tcBorders>
            <w:vAlign w:val="bottom"/>
          </w:tcPr>
          <w:p w:rsidR="00F343FA" w:rsidRPr="003D6474" w:rsidRDefault="00F343FA" w:rsidP="003E17E9">
            <w:pPr>
              <w:jc w:val="center"/>
              <w:rPr>
                <w:sz w:val="20"/>
                <w:szCs w:val="20"/>
                <w:lang w:val="en-GB"/>
              </w:rPr>
            </w:pPr>
            <w:r w:rsidRPr="003D6474">
              <w:rPr>
                <w:sz w:val="20"/>
                <w:szCs w:val="20"/>
                <w:lang w:val="en-GB"/>
              </w:rPr>
              <w:t>2.469</w:t>
            </w:r>
          </w:p>
        </w:tc>
        <w:tc>
          <w:tcPr>
            <w:tcW w:w="900" w:type="dxa"/>
            <w:tcBorders>
              <w:top w:val="single" w:sz="4" w:space="0" w:color="auto"/>
              <w:left w:val="nil"/>
              <w:bottom w:val="nil"/>
              <w:right w:val="single" w:sz="4" w:space="0" w:color="auto"/>
            </w:tcBorders>
            <w:vAlign w:val="bottom"/>
          </w:tcPr>
          <w:p w:rsidR="00F343FA" w:rsidRPr="003D6474" w:rsidRDefault="00F343FA" w:rsidP="003E17E9">
            <w:pPr>
              <w:jc w:val="center"/>
              <w:rPr>
                <w:sz w:val="20"/>
                <w:szCs w:val="20"/>
                <w:lang w:val="en-GB"/>
              </w:rPr>
            </w:pPr>
            <w:r w:rsidRPr="003D6474">
              <w:rPr>
                <w:sz w:val="20"/>
                <w:szCs w:val="20"/>
                <w:lang w:val="en-GB"/>
              </w:rPr>
              <w:t>1.142</w:t>
            </w:r>
          </w:p>
        </w:tc>
        <w:tc>
          <w:tcPr>
            <w:tcW w:w="930" w:type="dxa"/>
            <w:tcBorders>
              <w:top w:val="single" w:sz="2" w:space="0" w:color="auto"/>
              <w:left w:val="single" w:sz="4" w:space="0" w:color="auto"/>
              <w:right w:val="nil"/>
            </w:tcBorders>
          </w:tcPr>
          <w:p w:rsidR="00F343FA" w:rsidRPr="003D6474" w:rsidRDefault="003B10E7" w:rsidP="003E17E9">
            <w:pPr>
              <w:jc w:val="center"/>
              <w:rPr>
                <w:i/>
                <w:iCs/>
                <w:sz w:val="20"/>
                <w:szCs w:val="20"/>
                <w:lang w:val="en-GB"/>
              </w:rPr>
            </w:pPr>
            <w:r w:rsidRPr="003D6474">
              <w:rPr>
                <w:i/>
                <w:iCs/>
                <w:sz w:val="20"/>
                <w:szCs w:val="20"/>
                <w:lang w:val="en-GB"/>
              </w:rPr>
              <w:t>n.a.</w:t>
            </w:r>
          </w:p>
        </w:tc>
        <w:tc>
          <w:tcPr>
            <w:tcW w:w="931" w:type="dxa"/>
            <w:tcBorders>
              <w:top w:val="single" w:sz="2" w:space="0" w:color="auto"/>
              <w:left w:val="nil"/>
              <w:bottom w:val="nil"/>
              <w:right w:val="nil"/>
            </w:tcBorders>
            <w:shd w:val="clear" w:color="auto" w:fill="E6E6E6"/>
          </w:tcPr>
          <w:p w:rsidR="00F343FA" w:rsidRPr="003D6474" w:rsidRDefault="00F343FA" w:rsidP="003E17E9">
            <w:pPr>
              <w:jc w:val="center"/>
              <w:rPr>
                <w:i/>
                <w:iCs/>
                <w:sz w:val="20"/>
                <w:szCs w:val="20"/>
                <w:lang w:val="en-GB"/>
              </w:rPr>
            </w:pPr>
            <w:r w:rsidRPr="003D6474">
              <w:rPr>
                <w:sz w:val="20"/>
                <w:szCs w:val="20"/>
                <w:lang w:val="en-GB"/>
              </w:rPr>
              <w:t>0.49</w:t>
            </w:r>
          </w:p>
        </w:tc>
        <w:tc>
          <w:tcPr>
            <w:tcW w:w="930" w:type="dxa"/>
            <w:tcBorders>
              <w:top w:val="single" w:sz="2" w:space="0" w:color="auto"/>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0.17</w:t>
            </w:r>
          </w:p>
        </w:tc>
        <w:tc>
          <w:tcPr>
            <w:tcW w:w="930" w:type="dxa"/>
            <w:tcBorders>
              <w:top w:val="single" w:sz="2" w:space="0" w:color="auto"/>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0.42</w:t>
            </w:r>
          </w:p>
        </w:tc>
        <w:tc>
          <w:tcPr>
            <w:tcW w:w="935" w:type="dxa"/>
            <w:gridSpan w:val="2"/>
            <w:tcBorders>
              <w:top w:val="single" w:sz="2" w:space="0" w:color="auto"/>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0.31</w:t>
            </w:r>
          </w:p>
        </w:tc>
      </w:tr>
      <w:tr w:rsidR="00F343FA" w:rsidRPr="003D6474" w:rsidTr="00774F0D">
        <w:trPr>
          <w:jc w:val="center"/>
        </w:trPr>
        <w:tc>
          <w:tcPr>
            <w:tcW w:w="2620" w:type="dxa"/>
            <w:tcBorders>
              <w:top w:val="nil"/>
              <w:left w:val="nil"/>
              <w:bottom w:val="nil"/>
              <w:right w:val="single" w:sz="4" w:space="0" w:color="auto"/>
            </w:tcBorders>
            <w:noWrap/>
            <w:tcMar>
              <w:left w:w="14" w:type="dxa"/>
              <w:right w:w="14" w:type="dxa"/>
            </w:tcMar>
            <w:vAlign w:val="center"/>
          </w:tcPr>
          <w:p w:rsidR="00F343FA" w:rsidRPr="003D6474" w:rsidRDefault="00F343FA" w:rsidP="003E17E9">
            <w:pPr>
              <w:pStyle w:val="Title"/>
              <w:numPr>
                <w:ilvl w:val="0"/>
                <w:numId w:val="27"/>
              </w:numPr>
              <w:tabs>
                <w:tab w:val="clear" w:pos="720"/>
                <w:tab w:val="num" w:pos="272"/>
              </w:tabs>
              <w:ind w:left="272" w:hanging="180"/>
              <w:jc w:val="left"/>
              <w:rPr>
                <w:b w:val="0"/>
                <w:lang w:val="en-GB"/>
              </w:rPr>
            </w:pPr>
            <w:r w:rsidRPr="003D6474">
              <w:rPr>
                <w:b w:val="0"/>
                <w:lang w:val="en-GB"/>
              </w:rPr>
              <w:t>Business Performances</w:t>
            </w:r>
          </w:p>
        </w:tc>
        <w:tc>
          <w:tcPr>
            <w:tcW w:w="746" w:type="dxa"/>
            <w:tcBorders>
              <w:top w:val="nil"/>
              <w:left w:val="single" w:sz="4" w:space="0" w:color="auto"/>
              <w:bottom w:val="nil"/>
              <w:right w:val="nil"/>
            </w:tcBorders>
            <w:vAlign w:val="bottom"/>
          </w:tcPr>
          <w:p w:rsidR="00F343FA" w:rsidRPr="003D6474" w:rsidRDefault="00F343FA" w:rsidP="003E17E9">
            <w:pPr>
              <w:jc w:val="center"/>
              <w:rPr>
                <w:sz w:val="20"/>
                <w:szCs w:val="20"/>
                <w:lang w:val="en-GB"/>
              </w:rPr>
            </w:pPr>
            <w:r w:rsidRPr="003D6474">
              <w:rPr>
                <w:sz w:val="20"/>
                <w:szCs w:val="20"/>
                <w:lang w:val="en-GB"/>
              </w:rPr>
              <w:t>-0.310</w:t>
            </w:r>
          </w:p>
        </w:tc>
        <w:tc>
          <w:tcPr>
            <w:tcW w:w="900" w:type="dxa"/>
            <w:tcBorders>
              <w:top w:val="nil"/>
              <w:left w:val="nil"/>
              <w:bottom w:val="nil"/>
              <w:right w:val="single" w:sz="4" w:space="0" w:color="auto"/>
            </w:tcBorders>
            <w:vAlign w:val="bottom"/>
          </w:tcPr>
          <w:p w:rsidR="00F343FA" w:rsidRPr="003D6474" w:rsidRDefault="00F343FA" w:rsidP="003E17E9">
            <w:pPr>
              <w:jc w:val="center"/>
              <w:rPr>
                <w:sz w:val="20"/>
                <w:szCs w:val="20"/>
                <w:lang w:val="en-GB"/>
              </w:rPr>
            </w:pPr>
            <w:r w:rsidRPr="003D6474">
              <w:rPr>
                <w:sz w:val="20"/>
                <w:szCs w:val="20"/>
                <w:lang w:val="en-GB"/>
              </w:rPr>
              <w:t>0.976</w:t>
            </w:r>
          </w:p>
        </w:tc>
        <w:tc>
          <w:tcPr>
            <w:tcW w:w="930" w:type="dxa"/>
            <w:tcBorders>
              <w:top w:val="nil"/>
              <w:left w:val="single" w:sz="4" w:space="0" w:color="auto"/>
              <w:bottom w:val="nil"/>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0.359</w:t>
            </w:r>
            <w:r w:rsidRPr="003D6474">
              <w:rPr>
                <w:sz w:val="20"/>
                <w:szCs w:val="20"/>
                <w:vertAlign w:val="superscript"/>
                <w:lang w:val="en-GB"/>
              </w:rPr>
              <w:t xml:space="preserve"> a</w:t>
            </w:r>
          </w:p>
        </w:tc>
        <w:tc>
          <w:tcPr>
            <w:tcW w:w="931" w:type="dxa"/>
            <w:tcBorders>
              <w:top w:val="nil"/>
              <w:left w:val="nil"/>
              <w:right w:val="nil"/>
            </w:tcBorders>
          </w:tcPr>
          <w:p w:rsidR="00F343FA" w:rsidRPr="003D6474" w:rsidRDefault="00F343FA" w:rsidP="003E17E9">
            <w:pPr>
              <w:jc w:val="center"/>
              <w:rPr>
                <w:i/>
                <w:iCs/>
                <w:sz w:val="20"/>
                <w:szCs w:val="20"/>
                <w:lang w:val="en-GB"/>
              </w:rPr>
            </w:pPr>
            <w:r w:rsidRPr="003D6474">
              <w:rPr>
                <w:i/>
                <w:iCs/>
                <w:sz w:val="20"/>
                <w:szCs w:val="20"/>
                <w:lang w:val="en-GB"/>
              </w:rPr>
              <w:t>0.601</w:t>
            </w:r>
          </w:p>
        </w:tc>
        <w:tc>
          <w:tcPr>
            <w:tcW w:w="930" w:type="dxa"/>
            <w:tcBorders>
              <w:top w:val="nil"/>
              <w:left w:val="nil"/>
              <w:bottom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0.00</w:t>
            </w:r>
          </w:p>
        </w:tc>
        <w:tc>
          <w:tcPr>
            <w:tcW w:w="930" w:type="dxa"/>
            <w:tcBorders>
              <w:top w:val="nil"/>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0.05</w:t>
            </w:r>
          </w:p>
        </w:tc>
        <w:tc>
          <w:tcPr>
            <w:tcW w:w="935" w:type="dxa"/>
            <w:gridSpan w:val="2"/>
            <w:tcBorders>
              <w:top w:val="nil"/>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0.01</w:t>
            </w:r>
          </w:p>
        </w:tc>
      </w:tr>
      <w:tr w:rsidR="00F343FA" w:rsidRPr="003D6474" w:rsidTr="00774F0D">
        <w:trPr>
          <w:jc w:val="center"/>
        </w:trPr>
        <w:tc>
          <w:tcPr>
            <w:tcW w:w="2620" w:type="dxa"/>
            <w:tcBorders>
              <w:top w:val="nil"/>
              <w:left w:val="nil"/>
              <w:bottom w:val="nil"/>
              <w:right w:val="single" w:sz="4" w:space="0" w:color="auto"/>
            </w:tcBorders>
            <w:noWrap/>
            <w:tcMar>
              <w:left w:w="14" w:type="dxa"/>
              <w:right w:w="14" w:type="dxa"/>
            </w:tcMar>
            <w:vAlign w:val="center"/>
          </w:tcPr>
          <w:p w:rsidR="00F343FA" w:rsidRPr="003D6474" w:rsidRDefault="00F343FA" w:rsidP="003E17E9">
            <w:pPr>
              <w:pStyle w:val="Title"/>
              <w:numPr>
                <w:ilvl w:val="0"/>
                <w:numId w:val="27"/>
              </w:numPr>
              <w:tabs>
                <w:tab w:val="clear" w:pos="720"/>
                <w:tab w:val="num" w:pos="272"/>
              </w:tabs>
              <w:ind w:left="272" w:hanging="180"/>
              <w:jc w:val="left"/>
              <w:rPr>
                <w:b w:val="0"/>
                <w:lang w:val="en-GB"/>
              </w:rPr>
            </w:pPr>
            <w:r w:rsidRPr="003D6474">
              <w:rPr>
                <w:b w:val="0"/>
                <w:lang w:val="en-GB"/>
              </w:rPr>
              <w:t>External communities</w:t>
            </w:r>
          </w:p>
        </w:tc>
        <w:tc>
          <w:tcPr>
            <w:tcW w:w="746" w:type="dxa"/>
            <w:tcBorders>
              <w:top w:val="nil"/>
              <w:left w:val="single" w:sz="4" w:space="0" w:color="auto"/>
              <w:bottom w:val="nil"/>
              <w:right w:val="nil"/>
            </w:tcBorders>
            <w:vAlign w:val="bottom"/>
          </w:tcPr>
          <w:p w:rsidR="00F343FA" w:rsidRPr="003D6474" w:rsidRDefault="00F343FA" w:rsidP="003E17E9">
            <w:pPr>
              <w:jc w:val="center"/>
              <w:rPr>
                <w:sz w:val="20"/>
                <w:szCs w:val="20"/>
                <w:lang w:val="en-GB"/>
              </w:rPr>
            </w:pPr>
            <w:r w:rsidRPr="003D6474">
              <w:rPr>
                <w:sz w:val="20"/>
                <w:szCs w:val="20"/>
                <w:lang w:val="en-GB"/>
              </w:rPr>
              <w:t>5.751</w:t>
            </w:r>
          </w:p>
        </w:tc>
        <w:tc>
          <w:tcPr>
            <w:tcW w:w="900" w:type="dxa"/>
            <w:tcBorders>
              <w:top w:val="nil"/>
              <w:left w:val="nil"/>
              <w:bottom w:val="nil"/>
              <w:right w:val="single" w:sz="4" w:space="0" w:color="auto"/>
            </w:tcBorders>
            <w:vAlign w:val="bottom"/>
          </w:tcPr>
          <w:p w:rsidR="00F343FA" w:rsidRPr="003D6474" w:rsidRDefault="00F343FA" w:rsidP="003E17E9">
            <w:pPr>
              <w:jc w:val="center"/>
              <w:rPr>
                <w:sz w:val="20"/>
                <w:szCs w:val="20"/>
                <w:lang w:val="en-GB"/>
              </w:rPr>
            </w:pPr>
            <w:r w:rsidRPr="003D6474">
              <w:rPr>
                <w:sz w:val="20"/>
                <w:szCs w:val="20"/>
                <w:lang w:val="en-GB"/>
              </w:rPr>
              <w:t>1.108</w:t>
            </w:r>
          </w:p>
        </w:tc>
        <w:tc>
          <w:tcPr>
            <w:tcW w:w="930" w:type="dxa"/>
            <w:tcBorders>
              <w:top w:val="nil"/>
              <w:left w:val="single" w:sz="4" w:space="0" w:color="auto"/>
              <w:bottom w:val="nil"/>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 xml:space="preserve">0.256 </w:t>
            </w:r>
            <w:r w:rsidRPr="003D6474">
              <w:rPr>
                <w:sz w:val="20"/>
                <w:szCs w:val="20"/>
                <w:vertAlign w:val="superscript"/>
                <w:lang w:val="en-GB"/>
              </w:rPr>
              <w:t>a</w:t>
            </w:r>
          </w:p>
        </w:tc>
        <w:tc>
          <w:tcPr>
            <w:tcW w:w="931" w:type="dxa"/>
            <w:tcBorders>
              <w:top w:val="nil"/>
              <w:left w:val="nil"/>
              <w:bottom w:val="nil"/>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0.052</w:t>
            </w:r>
          </w:p>
        </w:tc>
        <w:tc>
          <w:tcPr>
            <w:tcW w:w="930" w:type="dxa"/>
            <w:tcBorders>
              <w:top w:val="nil"/>
              <w:left w:val="nil"/>
              <w:right w:val="nil"/>
            </w:tcBorders>
            <w:noWrap/>
            <w:tcMar>
              <w:left w:w="14" w:type="dxa"/>
              <w:right w:w="14" w:type="dxa"/>
            </w:tcMar>
          </w:tcPr>
          <w:p w:rsidR="00F343FA" w:rsidRPr="003D6474" w:rsidRDefault="00F343FA" w:rsidP="003E17E9">
            <w:pPr>
              <w:jc w:val="center"/>
              <w:rPr>
                <w:i/>
                <w:iCs/>
                <w:sz w:val="20"/>
                <w:szCs w:val="20"/>
                <w:lang w:val="en-GB"/>
              </w:rPr>
            </w:pPr>
            <w:r w:rsidRPr="003D6474">
              <w:rPr>
                <w:i/>
                <w:iCs/>
                <w:sz w:val="20"/>
                <w:szCs w:val="20"/>
                <w:lang w:val="en-GB"/>
              </w:rPr>
              <w:t>0.505</w:t>
            </w:r>
          </w:p>
        </w:tc>
        <w:tc>
          <w:tcPr>
            <w:tcW w:w="930" w:type="dxa"/>
            <w:tcBorders>
              <w:top w:val="nil"/>
              <w:left w:val="nil"/>
              <w:bottom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0.01</w:t>
            </w:r>
          </w:p>
        </w:tc>
        <w:tc>
          <w:tcPr>
            <w:tcW w:w="935" w:type="dxa"/>
            <w:gridSpan w:val="2"/>
            <w:tcBorders>
              <w:top w:val="nil"/>
              <w:left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0.00</w:t>
            </w:r>
          </w:p>
        </w:tc>
      </w:tr>
      <w:tr w:rsidR="00F343FA" w:rsidRPr="003D6474" w:rsidTr="00774F0D">
        <w:trPr>
          <w:jc w:val="center"/>
        </w:trPr>
        <w:tc>
          <w:tcPr>
            <w:tcW w:w="2620" w:type="dxa"/>
            <w:tcBorders>
              <w:top w:val="nil"/>
              <w:left w:val="nil"/>
              <w:bottom w:val="nil"/>
              <w:right w:val="single" w:sz="4" w:space="0" w:color="auto"/>
            </w:tcBorders>
            <w:noWrap/>
            <w:tcMar>
              <w:left w:w="14" w:type="dxa"/>
              <w:right w:w="14" w:type="dxa"/>
            </w:tcMar>
            <w:vAlign w:val="center"/>
          </w:tcPr>
          <w:p w:rsidR="00F343FA" w:rsidRPr="003D6474" w:rsidRDefault="00F343FA" w:rsidP="003E17E9">
            <w:pPr>
              <w:pStyle w:val="Title"/>
              <w:numPr>
                <w:ilvl w:val="0"/>
                <w:numId w:val="27"/>
              </w:numPr>
              <w:tabs>
                <w:tab w:val="clear" w:pos="720"/>
                <w:tab w:val="num" w:pos="272"/>
              </w:tabs>
              <w:ind w:left="272" w:hanging="180"/>
              <w:jc w:val="left"/>
              <w:rPr>
                <w:b w:val="0"/>
                <w:lang w:val="en-GB"/>
              </w:rPr>
            </w:pPr>
            <w:r w:rsidRPr="003D6474">
              <w:rPr>
                <w:b w:val="0"/>
                <w:lang w:val="en-GB"/>
              </w:rPr>
              <w:t>Workplace communities</w:t>
            </w:r>
          </w:p>
        </w:tc>
        <w:tc>
          <w:tcPr>
            <w:tcW w:w="746" w:type="dxa"/>
            <w:tcBorders>
              <w:top w:val="nil"/>
              <w:left w:val="single" w:sz="4" w:space="0" w:color="auto"/>
              <w:bottom w:val="nil"/>
              <w:right w:val="nil"/>
            </w:tcBorders>
            <w:vAlign w:val="bottom"/>
          </w:tcPr>
          <w:p w:rsidR="00F343FA" w:rsidRPr="003D6474" w:rsidRDefault="00F343FA" w:rsidP="003E17E9">
            <w:pPr>
              <w:jc w:val="center"/>
              <w:rPr>
                <w:sz w:val="20"/>
                <w:szCs w:val="20"/>
                <w:lang w:val="en-GB"/>
              </w:rPr>
            </w:pPr>
            <w:r w:rsidRPr="003D6474">
              <w:rPr>
                <w:sz w:val="20"/>
                <w:szCs w:val="20"/>
                <w:lang w:val="en-GB"/>
              </w:rPr>
              <w:t>4.644</w:t>
            </w:r>
          </w:p>
        </w:tc>
        <w:tc>
          <w:tcPr>
            <w:tcW w:w="900" w:type="dxa"/>
            <w:tcBorders>
              <w:top w:val="nil"/>
              <w:left w:val="nil"/>
              <w:bottom w:val="nil"/>
              <w:right w:val="single" w:sz="4" w:space="0" w:color="auto"/>
            </w:tcBorders>
            <w:vAlign w:val="bottom"/>
          </w:tcPr>
          <w:p w:rsidR="00F343FA" w:rsidRPr="003D6474" w:rsidRDefault="00F343FA" w:rsidP="003E17E9">
            <w:pPr>
              <w:jc w:val="center"/>
              <w:rPr>
                <w:sz w:val="20"/>
                <w:szCs w:val="20"/>
                <w:lang w:val="en-GB"/>
              </w:rPr>
            </w:pPr>
            <w:r w:rsidRPr="003D6474">
              <w:rPr>
                <w:sz w:val="20"/>
                <w:szCs w:val="20"/>
                <w:lang w:val="en-GB"/>
              </w:rPr>
              <w:t>1.717</w:t>
            </w:r>
          </w:p>
        </w:tc>
        <w:tc>
          <w:tcPr>
            <w:tcW w:w="930" w:type="dxa"/>
            <w:tcBorders>
              <w:top w:val="nil"/>
              <w:left w:val="single" w:sz="4" w:space="0" w:color="auto"/>
              <w:bottom w:val="nil"/>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 xml:space="preserve">0.356 </w:t>
            </w:r>
            <w:r w:rsidRPr="003D6474">
              <w:rPr>
                <w:sz w:val="20"/>
                <w:szCs w:val="20"/>
                <w:vertAlign w:val="superscript"/>
                <w:lang w:val="en-GB"/>
              </w:rPr>
              <w:t>a</w:t>
            </w:r>
          </w:p>
        </w:tc>
        <w:tc>
          <w:tcPr>
            <w:tcW w:w="931" w:type="dxa"/>
            <w:tcBorders>
              <w:top w:val="nil"/>
              <w:left w:val="nil"/>
              <w:bottom w:val="nil"/>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0.171</w:t>
            </w:r>
            <w:r w:rsidRPr="003D6474">
              <w:rPr>
                <w:sz w:val="20"/>
                <w:szCs w:val="20"/>
                <w:vertAlign w:val="superscript"/>
                <w:lang w:val="en-GB"/>
              </w:rPr>
              <w:t xml:space="preserve"> b</w:t>
            </w:r>
          </w:p>
        </w:tc>
        <w:tc>
          <w:tcPr>
            <w:tcW w:w="930" w:type="dxa"/>
            <w:tcBorders>
              <w:top w:val="nil"/>
              <w:left w:val="nil"/>
              <w:bottom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0.027</w:t>
            </w:r>
          </w:p>
        </w:tc>
        <w:tc>
          <w:tcPr>
            <w:tcW w:w="930" w:type="dxa"/>
            <w:tcBorders>
              <w:top w:val="nil"/>
              <w:left w:val="nil"/>
              <w:right w:val="nil"/>
            </w:tcBorders>
            <w:noWrap/>
            <w:tcMar>
              <w:left w:w="14" w:type="dxa"/>
              <w:right w:w="14" w:type="dxa"/>
            </w:tcMar>
          </w:tcPr>
          <w:p w:rsidR="00F343FA" w:rsidRPr="003D6474" w:rsidRDefault="00F343FA" w:rsidP="003E17E9">
            <w:pPr>
              <w:jc w:val="center"/>
              <w:rPr>
                <w:i/>
                <w:iCs/>
                <w:sz w:val="20"/>
                <w:szCs w:val="20"/>
                <w:lang w:val="en-GB"/>
              </w:rPr>
            </w:pPr>
            <w:r w:rsidRPr="003D6474">
              <w:rPr>
                <w:i/>
                <w:iCs/>
                <w:sz w:val="20"/>
                <w:szCs w:val="20"/>
                <w:lang w:val="en-GB"/>
              </w:rPr>
              <w:t>0.516</w:t>
            </w:r>
          </w:p>
        </w:tc>
        <w:tc>
          <w:tcPr>
            <w:tcW w:w="935" w:type="dxa"/>
            <w:gridSpan w:val="2"/>
            <w:tcBorders>
              <w:top w:val="nil"/>
              <w:left w:val="nil"/>
              <w:bottom w:val="nil"/>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0.07</w:t>
            </w:r>
          </w:p>
        </w:tc>
      </w:tr>
      <w:tr w:rsidR="00F343FA" w:rsidRPr="003D6474" w:rsidTr="00774F0D">
        <w:trPr>
          <w:jc w:val="center"/>
        </w:trPr>
        <w:tc>
          <w:tcPr>
            <w:tcW w:w="2620" w:type="dxa"/>
            <w:tcBorders>
              <w:top w:val="nil"/>
              <w:left w:val="nil"/>
              <w:bottom w:val="single" w:sz="4" w:space="0" w:color="auto"/>
              <w:right w:val="single" w:sz="4" w:space="0" w:color="auto"/>
            </w:tcBorders>
            <w:noWrap/>
            <w:tcMar>
              <w:left w:w="14" w:type="dxa"/>
              <w:right w:w="14" w:type="dxa"/>
            </w:tcMar>
            <w:vAlign w:val="center"/>
          </w:tcPr>
          <w:p w:rsidR="00F343FA" w:rsidRPr="003D6474" w:rsidRDefault="00F343FA" w:rsidP="003E17E9">
            <w:pPr>
              <w:pStyle w:val="Title"/>
              <w:numPr>
                <w:ilvl w:val="0"/>
                <w:numId w:val="27"/>
              </w:numPr>
              <w:tabs>
                <w:tab w:val="clear" w:pos="720"/>
                <w:tab w:val="num" w:pos="272"/>
              </w:tabs>
              <w:ind w:left="272" w:hanging="180"/>
              <w:jc w:val="left"/>
              <w:rPr>
                <w:b w:val="0"/>
                <w:lang w:val="en-GB"/>
              </w:rPr>
            </w:pPr>
            <w:r w:rsidRPr="003D6474">
              <w:rPr>
                <w:b w:val="0"/>
                <w:lang w:val="en-GB"/>
              </w:rPr>
              <w:t>Organisational context</w:t>
            </w:r>
          </w:p>
        </w:tc>
        <w:tc>
          <w:tcPr>
            <w:tcW w:w="746" w:type="dxa"/>
            <w:tcBorders>
              <w:top w:val="nil"/>
              <w:left w:val="single" w:sz="4" w:space="0" w:color="auto"/>
              <w:bottom w:val="single" w:sz="4" w:space="0" w:color="auto"/>
              <w:right w:val="nil"/>
            </w:tcBorders>
            <w:vAlign w:val="bottom"/>
          </w:tcPr>
          <w:p w:rsidR="00F343FA" w:rsidRPr="003D6474" w:rsidRDefault="00F343FA" w:rsidP="003E17E9">
            <w:pPr>
              <w:jc w:val="center"/>
              <w:rPr>
                <w:sz w:val="20"/>
                <w:szCs w:val="20"/>
                <w:lang w:val="en-GB"/>
              </w:rPr>
            </w:pPr>
            <w:r w:rsidRPr="003D6474">
              <w:rPr>
                <w:sz w:val="20"/>
                <w:szCs w:val="20"/>
                <w:lang w:val="en-GB"/>
              </w:rPr>
              <w:t>4.241</w:t>
            </w:r>
          </w:p>
        </w:tc>
        <w:tc>
          <w:tcPr>
            <w:tcW w:w="900" w:type="dxa"/>
            <w:tcBorders>
              <w:top w:val="nil"/>
              <w:left w:val="nil"/>
              <w:bottom w:val="single" w:sz="4" w:space="0" w:color="auto"/>
              <w:right w:val="single" w:sz="4" w:space="0" w:color="auto"/>
            </w:tcBorders>
            <w:vAlign w:val="bottom"/>
          </w:tcPr>
          <w:p w:rsidR="00F343FA" w:rsidRPr="003D6474" w:rsidRDefault="00F343FA" w:rsidP="003E17E9">
            <w:pPr>
              <w:jc w:val="center"/>
              <w:rPr>
                <w:sz w:val="20"/>
                <w:szCs w:val="20"/>
                <w:lang w:val="en-GB"/>
              </w:rPr>
            </w:pPr>
            <w:r w:rsidRPr="003D6474">
              <w:rPr>
                <w:sz w:val="20"/>
                <w:szCs w:val="20"/>
                <w:lang w:val="en-GB"/>
              </w:rPr>
              <w:t>1.769</w:t>
            </w:r>
          </w:p>
        </w:tc>
        <w:tc>
          <w:tcPr>
            <w:tcW w:w="930" w:type="dxa"/>
            <w:tcBorders>
              <w:top w:val="nil"/>
              <w:left w:val="single" w:sz="4" w:space="0" w:color="auto"/>
              <w:bottom w:val="single" w:sz="4" w:space="0" w:color="auto"/>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 xml:space="preserve">0.350 </w:t>
            </w:r>
            <w:r w:rsidRPr="003D6474">
              <w:rPr>
                <w:sz w:val="20"/>
                <w:szCs w:val="20"/>
                <w:vertAlign w:val="superscript"/>
                <w:lang w:val="en-GB"/>
              </w:rPr>
              <w:t>a</w:t>
            </w:r>
          </w:p>
        </w:tc>
        <w:tc>
          <w:tcPr>
            <w:tcW w:w="931" w:type="dxa"/>
            <w:tcBorders>
              <w:top w:val="nil"/>
              <w:left w:val="nil"/>
              <w:bottom w:val="single" w:sz="4" w:space="0" w:color="auto"/>
              <w:right w:val="nil"/>
            </w:tcBorders>
            <w:shd w:val="clear" w:color="auto" w:fill="E6E6E6"/>
          </w:tcPr>
          <w:p w:rsidR="00F343FA" w:rsidRPr="003D6474" w:rsidRDefault="00F343FA" w:rsidP="003E17E9">
            <w:pPr>
              <w:jc w:val="center"/>
              <w:rPr>
                <w:sz w:val="20"/>
                <w:szCs w:val="20"/>
                <w:lang w:val="en-GB"/>
              </w:rPr>
            </w:pPr>
            <w:r w:rsidRPr="003D6474">
              <w:rPr>
                <w:sz w:val="20"/>
                <w:szCs w:val="20"/>
                <w:lang w:val="en-GB"/>
              </w:rPr>
              <w:t>0.090</w:t>
            </w:r>
          </w:p>
        </w:tc>
        <w:tc>
          <w:tcPr>
            <w:tcW w:w="930" w:type="dxa"/>
            <w:tcBorders>
              <w:top w:val="nil"/>
              <w:left w:val="nil"/>
              <w:bottom w:val="single" w:sz="4" w:space="0" w:color="auto"/>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0.053</w:t>
            </w:r>
          </w:p>
        </w:tc>
        <w:tc>
          <w:tcPr>
            <w:tcW w:w="930" w:type="dxa"/>
            <w:tcBorders>
              <w:top w:val="nil"/>
              <w:left w:val="nil"/>
              <w:bottom w:val="single" w:sz="4" w:space="0" w:color="auto"/>
              <w:right w:val="nil"/>
            </w:tcBorders>
            <w:shd w:val="clear" w:color="auto" w:fill="E6E6E6"/>
            <w:noWrap/>
            <w:tcMar>
              <w:left w:w="14" w:type="dxa"/>
              <w:right w:w="14" w:type="dxa"/>
            </w:tcMar>
          </w:tcPr>
          <w:p w:rsidR="00F343FA" w:rsidRPr="003D6474" w:rsidRDefault="00F343FA" w:rsidP="003E17E9">
            <w:pPr>
              <w:jc w:val="center"/>
              <w:rPr>
                <w:sz w:val="20"/>
                <w:szCs w:val="20"/>
                <w:lang w:val="en-GB"/>
              </w:rPr>
            </w:pPr>
            <w:r w:rsidRPr="003D6474">
              <w:rPr>
                <w:sz w:val="20"/>
                <w:szCs w:val="20"/>
                <w:lang w:val="en-GB"/>
              </w:rPr>
              <w:t>0.116</w:t>
            </w:r>
          </w:p>
        </w:tc>
        <w:tc>
          <w:tcPr>
            <w:tcW w:w="935" w:type="dxa"/>
            <w:gridSpan w:val="2"/>
            <w:tcBorders>
              <w:top w:val="nil"/>
              <w:left w:val="nil"/>
              <w:bottom w:val="single" w:sz="4" w:space="0" w:color="auto"/>
              <w:right w:val="nil"/>
            </w:tcBorders>
            <w:noWrap/>
            <w:tcMar>
              <w:left w:w="14" w:type="dxa"/>
              <w:right w:w="14" w:type="dxa"/>
            </w:tcMar>
          </w:tcPr>
          <w:p w:rsidR="00F343FA" w:rsidRPr="003D6474" w:rsidRDefault="00F343FA" w:rsidP="003E17E9">
            <w:pPr>
              <w:jc w:val="center"/>
              <w:rPr>
                <w:i/>
                <w:iCs/>
                <w:sz w:val="20"/>
                <w:szCs w:val="20"/>
                <w:lang w:val="en-GB"/>
              </w:rPr>
            </w:pPr>
            <w:r w:rsidRPr="003D6474">
              <w:rPr>
                <w:i/>
                <w:iCs/>
                <w:sz w:val="20"/>
                <w:szCs w:val="20"/>
                <w:lang w:val="en-GB"/>
              </w:rPr>
              <w:t>0.658</w:t>
            </w:r>
          </w:p>
        </w:tc>
      </w:tr>
    </w:tbl>
    <w:p w:rsidR="003B10E7" w:rsidRPr="003D6474" w:rsidRDefault="003B10E7" w:rsidP="003B10E7">
      <w:pPr>
        <w:pStyle w:val="Normal1"/>
        <w:spacing w:before="120" w:after="0" w:line="240" w:lineRule="auto"/>
        <w:ind w:right="-493" w:firstLine="142"/>
        <w:rPr>
          <w:rFonts w:ascii="Times New Roman" w:hAnsi="Times New Roman"/>
          <w:sz w:val="20"/>
          <w:lang w:val="en-GB"/>
        </w:rPr>
      </w:pPr>
      <w:r w:rsidRPr="003D6474">
        <w:rPr>
          <w:rFonts w:ascii="Times New Roman" w:hAnsi="Times New Roman"/>
          <w:sz w:val="20"/>
          <w:lang w:val="en-GB"/>
        </w:rPr>
        <w:t>Notes:</w:t>
      </w:r>
    </w:p>
    <w:p w:rsidR="00F343FA" w:rsidRPr="003D6474" w:rsidRDefault="00F343FA" w:rsidP="003E17E9">
      <w:pPr>
        <w:ind w:right="675"/>
        <w:jc w:val="both"/>
        <w:rPr>
          <w:sz w:val="20"/>
          <w:szCs w:val="20"/>
          <w:lang w:val="en-GB"/>
        </w:rPr>
      </w:pPr>
      <w:r w:rsidRPr="003D6474">
        <w:rPr>
          <w:sz w:val="20"/>
          <w:szCs w:val="20"/>
          <w:vertAlign w:val="superscript"/>
          <w:lang w:val="en-GB"/>
        </w:rPr>
        <w:t xml:space="preserve">a </w:t>
      </w:r>
      <w:r w:rsidRPr="003D6474">
        <w:rPr>
          <w:sz w:val="20"/>
          <w:szCs w:val="20"/>
          <w:lang w:val="en-GB"/>
        </w:rPr>
        <w:t xml:space="preserve">&lt;0.01; </w:t>
      </w:r>
      <w:r w:rsidRPr="003D6474">
        <w:rPr>
          <w:sz w:val="20"/>
          <w:szCs w:val="20"/>
          <w:vertAlign w:val="superscript"/>
          <w:lang w:val="en-GB"/>
        </w:rPr>
        <w:t xml:space="preserve">b </w:t>
      </w:r>
      <w:r w:rsidRPr="003D6474">
        <w:rPr>
          <w:sz w:val="20"/>
          <w:szCs w:val="20"/>
          <w:lang w:val="en-GB"/>
        </w:rPr>
        <w:t>p&lt;0.05.</w:t>
      </w:r>
    </w:p>
    <w:p w:rsidR="00F343FA" w:rsidRPr="003D6474" w:rsidRDefault="003B10E7" w:rsidP="003E17E9">
      <w:pPr>
        <w:pStyle w:val="BlockText"/>
        <w:ind w:left="0"/>
        <w:rPr>
          <w:sz w:val="20"/>
          <w:szCs w:val="20"/>
          <w:lang w:val="en-GB"/>
        </w:rPr>
      </w:pPr>
      <w:r w:rsidRPr="003D6474">
        <w:rPr>
          <w:sz w:val="20"/>
          <w:szCs w:val="20"/>
          <w:lang w:val="en-GB"/>
        </w:rPr>
        <w:t xml:space="preserve">n.a. = not applicable. </w:t>
      </w:r>
      <w:r w:rsidR="00F343FA" w:rsidRPr="003D6474">
        <w:rPr>
          <w:sz w:val="20"/>
          <w:szCs w:val="20"/>
          <w:lang w:val="en-GB"/>
        </w:rPr>
        <w:t>Intercorrelations are presented in the lower triangle of the matrix. The Average Variance Extracted (AVE) is depicted on the diagonal. Shared variances are given in the upper triangle of the matrix</w:t>
      </w:r>
    </w:p>
    <w:p w:rsidR="00F343FA" w:rsidRPr="003D6474" w:rsidRDefault="00F343FA" w:rsidP="003E17E9">
      <w:pPr>
        <w:pStyle w:val="Normal1"/>
        <w:spacing w:after="0" w:line="240" w:lineRule="auto"/>
        <w:ind w:right="45"/>
        <w:jc w:val="center"/>
        <w:rPr>
          <w:rFonts w:ascii="Times New Roman" w:hAnsi="Times New Roman"/>
          <w:b/>
          <w:bCs/>
          <w:lang w:val="en-GB"/>
        </w:rPr>
      </w:pPr>
    </w:p>
    <w:p w:rsidR="00CF2CA0" w:rsidRPr="003D6474" w:rsidRDefault="00CF2CA0">
      <w:pPr>
        <w:rPr>
          <w:lang w:val="en-GB"/>
        </w:rPr>
      </w:pPr>
      <w:r w:rsidRPr="003D6474">
        <w:rPr>
          <w:lang w:val="en-GB"/>
        </w:rPr>
        <w:br w:type="page"/>
      </w:r>
    </w:p>
    <w:p w:rsidR="00A77F5C" w:rsidRPr="003D6474" w:rsidRDefault="00A77F5C" w:rsidP="003E17E9">
      <w:pPr>
        <w:pStyle w:val="BodyText"/>
        <w:jc w:val="center"/>
        <w:rPr>
          <w:lang w:val="en-GB"/>
        </w:rPr>
      </w:pPr>
    </w:p>
    <w:p w:rsidR="00F343FA" w:rsidRPr="003D6474" w:rsidRDefault="00F343FA" w:rsidP="003E17E9">
      <w:pPr>
        <w:pStyle w:val="BodyTextIndent3"/>
        <w:spacing w:line="240" w:lineRule="auto"/>
        <w:ind w:firstLine="0"/>
        <w:jc w:val="center"/>
        <w:rPr>
          <w:rFonts w:ascii="Times New Roman" w:hAnsi="Times New Roman"/>
          <w:b/>
          <w:bCs/>
          <w:szCs w:val="26"/>
          <w:lang w:val="en-GB"/>
        </w:rPr>
      </w:pPr>
      <w:r w:rsidRPr="003D6474">
        <w:rPr>
          <w:rFonts w:ascii="Times New Roman" w:hAnsi="Times New Roman"/>
          <w:b/>
          <w:bCs/>
          <w:szCs w:val="26"/>
          <w:lang w:val="en-GB"/>
        </w:rPr>
        <w:t>Table 3: Structural Model</w:t>
      </w:r>
    </w:p>
    <w:tbl>
      <w:tblPr>
        <w:tblW w:w="8968" w:type="dxa"/>
        <w:jc w:val="center"/>
        <w:tblLook w:val="01E0" w:firstRow="1" w:lastRow="1" w:firstColumn="1" w:lastColumn="1" w:noHBand="0" w:noVBand="0"/>
      </w:tblPr>
      <w:tblGrid>
        <w:gridCol w:w="3777"/>
        <w:gridCol w:w="930"/>
        <w:gridCol w:w="626"/>
        <w:gridCol w:w="1134"/>
        <w:gridCol w:w="1239"/>
        <w:gridCol w:w="1262"/>
      </w:tblGrid>
      <w:tr w:rsidR="00F343FA" w:rsidRPr="003D6474" w:rsidTr="00442331">
        <w:trPr>
          <w:cantSplit/>
          <w:jc w:val="center"/>
        </w:trPr>
        <w:tc>
          <w:tcPr>
            <w:tcW w:w="3777" w:type="dxa"/>
            <w:tcBorders>
              <w:top w:val="single" w:sz="4" w:space="0" w:color="auto"/>
            </w:tcBorders>
          </w:tcPr>
          <w:p w:rsidR="00F343FA" w:rsidRPr="003D6474" w:rsidRDefault="00F343FA" w:rsidP="003E17E9">
            <w:pPr>
              <w:jc w:val="center"/>
              <w:rPr>
                <w:b/>
                <w:sz w:val="18"/>
                <w:szCs w:val="18"/>
                <w:lang w:val="en-GB"/>
              </w:rPr>
            </w:pPr>
            <w:r w:rsidRPr="003D6474">
              <w:rPr>
                <w:b/>
                <w:sz w:val="18"/>
                <w:szCs w:val="18"/>
                <w:lang w:val="en-GB"/>
              </w:rPr>
              <w:t>Linkages in the model</w:t>
            </w:r>
          </w:p>
        </w:tc>
        <w:tc>
          <w:tcPr>
            <w:tcW w:w="1556" w:type="dxa"/>
            <w:gridSpan w:val="2"/>
            <w:tcBorders>
              <w:top w:val="single" w:sz="4" w:space="0" w:color="auto"/>
              <w:right w:val="single" w:sz="4" w:space="0" w:color="auto"/>
            </w:tcBorders>
            <w:vAlign w:val="center"/>
          </w:tcPr>
          <w:p w:rsidR="00F343FA" w:rsidRPr="003D6474" w:rsidRDefault="00F343FA" w:rsidP="003E17E9">
            <w:pPr>
              <w:jc w:val="center"/>
              <w:rPr>
                <w:b/>
                <w:sz w:val="18"/>
                <w:szCs w:val="18"/>
                <w:lang w:val="en-GB"/>
              </w:rPr>
            </w:pPr>
          </w:p>
        </w:tc>
        <w:tc>
          <w:tcPr>
            <w:tcW w:w="3635" w:type="dxa"/>
            <w:gridSpan w:val="3"/>
            <w:tcBorders>
              <w:top w:val="single" w:sz="4" w:space="0" w:color="auto"/>
              <w:left w:val="single" w:sz="4" w:space="0" w:color="auto"/>
              <w:bottom w:val="single" w:sz="8" w:space="0" w:color="auto"/>
            </w:tcBorders>
            <w:vAlign w:val="center"/>
          </w:tcPr>
          <w:p w:rsidR="00F343FA" w:rsidRPr="003D6474" w:rsidRDefault="00F343FA" w:rsidP="003E17E9">
            <w:pPr>
              <w:jc w:val="center"/>
              <w:rPr>
                <w:b/>
                <w:sz w:val="18"/>
                <w:szCs w:val="18"/>
                <w:lang w:val="en-GB"/>
              </w:rPr>
            </w:pPr>
            <w:r w:rsidRPr="003D6474">
              <w:rPr>
                <w:b/>
                <w:sz w:val="18"/>
                <w:szCs w:val="18"/>
                <w:lang w:val="en-GB"/>
              </w:rPr>
              <w:t>Standardized parameter estimates</w:t>
            </w:r>
          </w:p>
        </w:tc>
      </w:tr>
      <w:tr w:rsidR="00F343FA" w:rsidRPr="003D6474" w:rsidTr="00442331">
        <w:trPr>
          <w:cantSplit/>
          <w:jc w:val="center"/>
        </w:trPr>
        <w:tc>
          <w:tcPr>
            <w:tcW w:w="3777" w:type="dxa"/>
            <w:tcBorders>
              <w:bottom w:val="single" w:sz="4" w:space="0" w:color="auto"/>
            </w:tcBorders>
          </w:tcPr>
          <w:p w:rsidR="00F343FA" w:rsidRPr="003D6474" w:rsidRDefault="00F343FA" w:rsidP="003E17E9">
            <w:pPr>
              <w:rPr>
                <w:sz w:val="18"/>
                <w:szCs w:val="18"/>
                <w:lang w:val="en-GB"/>
              </w:rPr>
            </w:pPr>
          </w:p>
        </w:tc>
        <w:tc>
          <w:tcPr>
            <w:tcW w:w="930" w:type="dxa"/>
            <w:tcBorders>
              <w:bottom w:val="single" w:sz="4" w:space="0" w:color="auto"/>
            </w:tcBorders>
            <w:vAlign w:val="center"/>
          </w:tcPr>
          <w:p w:rsidR="00F343FA" w:rsidRPr="003D6474" w:rsidRDefault="00D87EC1" w:rsidP="003E17E9">
            <w:pPr>
              <w:jc w:val="center"/>
              <w:rPr>
                <w:i/>
                <w:sz w:val="18"/>
                <w:szCs w:val="18"/>
                <w:lang w:val="en-GB"/>
              </w:rPr>
            </w:pPr>
            <w:r w:rsidRPr="003D6474">
              <w:rPr>
                <w:i/>
                <w:iCs/>
                <w:sz w:val="18"/>
                <w:szCs w:val="18"/>
                <w:lang w:val="en-US"/>
              </w:rPr>
              <w:t>R</w:t>
            </w:r>
            <w:r w:rsidRPr="003D6474">
              <w:rPr>
                <w:i/>
                <w:iCs/>
                <w:sz w:val="18"/>
                <w:szCs w:val="18"/>
                <w:vertAlign w:val="superscript"/>
                <w:lang w:val="en-US"/>
              </w:rPr>
              <w:t>2</w:t>
            </w:r>
          </w:p>
        </w:tc>
        <w:tc>
          <w:tcPr>
            <w:tcW w:w="626" w:type="dxa"/>
            <w:tcBorders>
              <w:bottom w:val="single" w:sz="4" w:space="0" w:color="auto"/>
              <w:right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Sign</w:t>
            </w:r>
          </w:p>
        </w:tc>
        <w:tc>
          <w:tcPr>
            <w:tcW w:w="1134" w:type="dxa"/>
            <w:tcBorders>
              <w:top w:val="single" w:sz="8" w:space="0" w:color="auto"/>
              <w:left w:val="single" w:sz="4" w:space="0" w:color="auto"/>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Parameter</w:t>
            </w:r>
          </w:p>
        </w:tc>
        <w:tc>
          <w:tcPr>
            <w:tcW w:w="1239" w:type="dxa"/>
            <w:tcBorders>
              <w:top w:val="single" w:sz="8" w:space="0" w:color="auto"/>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Estimate</w:t>
            </w:r>
          </w:p>
        </w:tc>
        <w:tc>
          <w:tcPr>
            <w:tcW w:w="1262" w:type="dxa"/>
            <w:tcBorders>
              <w:top w:val="single" w:sz="8" w:space="0" w:color="auto"/>
              <w:bottom w:val="single" w:sz="4" w:space="0" w:color="auto"/>
            </w:tcBorders>
            <w:vAlign w:val="center"/>
          </w:tcPr>
          <w:p w:rsidR="00F343FA" w:rsidRPr="003D6474" w:rsidRDefault="00F343FA" w:rsidP="003E17E9">
            <w:pPr>
              <w:jc w:val="center"/>
              <w:rPr>
                <w:sz w:val="18"/>
                <w:szCs w:val="18"/>
                <w:lang w:val="en-GB"/>
              </w:rPr>
            </w:pPr>
            <w:r w:rsidRPr="003D6474">
              <w:rPr>
                <w:i/>
                <w:sz w:val="18"/>
                <w:szCs w:val="18"/>
                <w:lang w:val="en-GB"/>
              </w:rPr>
              <w:t>t</w:t>
            </w:r>
            <w:r w:rsidRPr="003D6474">
              <w:rPr>
                <w:sz w:val="18"/>
                <w:szCs w:val="18"/>
                <w:lang w:val="en-GB"/>
              </w:rPr>
              <w:t>-value</w:t>
            </w:r>
          </w:p>
        </w:tc>
      </w:tr>
      <w:tr w:rsidR="00F343FA" w:rsidRPr="003D6474" w:rsidTr="00442331">
        <w:trPr>
          <w:jc w:val="center"/>
        </w:trPr>
        <w:tc>
          <w:tcPr>
            <w:tcW w:w="3777" w:type="dxa"/>
            <w:tcBorders>
              <w:top w:val="single" w:sz="4" w:space="0" w:color="auto"/>
            </w:tcBorders>
            <w:vAlign w:val="center"/>
          </w:tcPr>
          <w:p w:rsidR="00F343FA" w:rsidRPr="003D6474" w:rsidRDefault="00F343FA" w:rsidP="003E17E9">
            <w:pPr>
              <w:rPr>
                <w:i/>
                <w:szCs w:val="18"/>
                <w:lang w:val="en-GB"/>
              </w:rPr>
            </w:pPr>
            <w:r w:rsidRPr="003D6474">
              <w:rPr>
                <w:i/>
                <w:szCs w:val="18"/>
                <w:lang w:val="en-GB"/>
              </w:rPr>
              <w:t>Hypotheses</w:t>
            </w:r>
          </w:p>
        </w:tc>
        <w:tc>
          <w:tcPr>
            <w:tcW w:w="930" w:type="dxa"/>
            <w:tcBorders>
              <w:top w:val="single" w:sz="4" w:space="0" w:color="auto"/>
            </w:tcBorders>
            <w:vAlign w:val="center"/>
          </w:tcPr>
          <w:p w:rsidR="00F343FA" w:rsidRPr="003D6474" w:rsidRDefault="00F343FA" w:rsidP="003E17E9">
            <w:pPr>
              <w:jc w:val="center"/>
              <w:rPr>
                <w:sz w:val="18"/>
                <w:szCs w:val="18"/>
                <w:lang w:val="en-GB"/>
              </w:rPr>
            </w:pPr>
          </w:p>
        </w:tc>
        <w:tc>
          <w:tcPr>
            <w:tcW w:w="626" w:type="dxa"/>
            <w:tcBorders>
              <w:top w:val="single" w:sz="4" w:space="0" w:color="auto"/>
            </w:tcBorders>
            <w:vAlign w:val="center"/>
          </w:tcPr>
          <w:p w:rsidR="00F343FA" w:rsidRPr="003D6474" w:rsidRDefault="00F343FA" w:rsidP="003E17E9">
            <w:pPr>
              <w:jc w:val="center"/>
              <w:rPr>
                <w:sz w:val="18"/>
                <w:szCs w:val="18"/>
                <w:lang w:val="en-GB"/>
              </w:rPr>
            </w:pPr>
          </w:p>
        </w:tc>
        <w:tc>
          <w:tcPr>
            <w:tcW w:w="1134" w:type="dxa"/>
            <w:tcBorders>
              <w:top w:val="single" w:sz="4" w:space="0" w:color="auto"/>
            </w:tcBorders>
            <w:vAlign w:val="center"/>
          </w:tcPr>
          <w:p w:rsidR="00F343FA" w:rsidRPr="003D6474" w:rsidRDefault="00F343FA" w:rsidP="003E17E9">
            <w:pPr>
              <w:jc w:val="center"/>
              <w:rPr>
                <w:sz w:val="18"/>
                <w:szCs w:val="18"/>
                <w:lang w:val="en-GB"/>
              </w:rPr>
            </w:pPr>
          </w:p>
        </w:tc>
        <w:tc>
          <w:tcPr>
            <w:tcW w:w="1239" w:type="dxa"/>
            <w:tcBorders>
              <w:top w:val="single" w:sz="4" w:space="0" w:color="auto"/>
            </w:tcBorders>
            <w:vAlign w:val="center"/>
          </w:tcPr>
          <w:p w:rsidR="00F343FA" w:rsidRPr="003D6474" w:rsidRDefault="00F343FA" w:rsidP="003E17E9">
            <w:pPr>
              <w:jc w:val="center"/>
              <w:rPr>
                <w:sz w:val="18"/>
                <w:szCs w:val="18"/>
                <w:lang w:val="en-GB"/>
              </w:rPr>
            </w:pPr>
          </w:p>
        </w:tc>
        <w:tc>
          <w:tcPr>
            <w:tcW w:w="1262" w:type="dxa"/>
            <w:tcBorders>
              <w:top w:val="single" w:sz="4" w:space="0" w:color="auto"/>
            </w:tcBorders>
            <w:vAlign w:val="center"/>
          </w:tcPr>
          <w:p w:rsidR="00F343FA" w:rsidRPr="003D6474" w:rsidRDefault="00F343FA" w:rsidP="003E17E9">
            <w:pPr>
              <w:jc w:val="center"/>
              <w:rPr>
                <w:sz w:val="18"/>
                <w:szCs w:val="18"/>
                <w:lang w:val="en-GB"/>
              </w:rPr>
            </w:pPr>
          </w:p>
        </w:tc>
      </w:tr>
      <w:tr w:rsidR="00F343FA" w:rsidRPr="003D6474" w:rsidTr="00223B49">
        <w:trPr>
          <w:jc w:val="center"/>
        </w:trPr>
        <w:tc>
          <w:tcPr>
            <w:tcW w:w="3777" w:type="dxa"/>
            <w:vAlign w:val="center"/>
          </w:tcPr>
          <w:p w:rsidR="00F343FA" w:rsidRPr="003D6474" w:rsidRDefault="0031521D" w:rsidP="00774F0D">
            <w:pPr>
              <w:ind w:right="-108"/>
              <w:rPr>
                <w:sz w:val="18"/>
                <w:szCs w:val="18"/>
                <w:lang w:val="en-GB"/>
              </w:rPr>
            </w:pPr>
            <w:r w:rsidRPr="003D6474">
              <w:rPr>
                <w:b/>
                <w:sz w:val="18"/>
                <w:szCs w:val="18"/>
                <w:lang w:val="en-GB"/>
              </w:rPr>
              <w:t>H</w:t>
            </w:r>
            <w:r w:rsidRPr="003D6474">
              <w:rPr>
                <w:b/>
                <w:sz w:val="18"/>
                <w:szCs w:val="18"/>
                <w:vertAlign w:val="subscript"/>
                <w:lang w:val="en-GB"/>
              </w:rPr>
              <w:t>1</w:t>
            </w:r>
            <w:r w:rsidRPr="003D6474">
              <w:rPr>
                <w:sz w:val="18"/>
                <w:szCs w:val="18"/>
                <w:lang w:val="en-GB"/>
              </w:rPr>
              <w:t xml:space="preserve">: </w:t>
            </w:r>
            <w:r w:rsidR="00774F0D" w:rsidRPr="003D6474">
              <w:rPr>
                <w:sz w:val="18"/>
                <w:szCs w:val="18"/>
                <w:lang w:val="en-GB"/>
              </w:rPr>
              <w:t>E</w:t>
            </w:r>
            <w:r w:rsidR="00F343FA" w:rsidRPr="003D6474">
              <w:rPr>
                <w:sz w:val="18"/>
                <w:szCs w:val="18"/>
                <w:lang w:val="en-GB"/>
              </w:rPr>
              <w:t xml:space="preserve">xternal communities → </w:t>
            </w:r>
            <w:r w:rsidR="00774F0D" w:rsidRPr="003D6474">
              <w:rPr>
                <w:sz w:val="18"/>
                <w:szCs w:val="18"/>
                <w:lang w:val="en-GB"/>
              </w:rPr>
              <w:t>Online government services</w:t>
            </w:r>
          </w:p>
        </w:tc>
        <w:tc>
          <w:tcPr>
            <w:tcW w:w="930" w:type="dxa"/>
            <w:vAlign w:val="center"/>
          </w:tcPr>
          <w:p w:rsidR="00F343FA" w:rsidRPr="003D6474" w:rsidRDefault="00AD4582" w:rsidP="003E17E9">
            <w:pPr>
              <w:jc w:val="center"/>
              <w:rPr>
                <w:sz w:val="18"/>
                <w:szCs w:val="18"/>
                <w:lang w:val="en-GB"/>
              </w:rPr>
            </w:pPr>
            <w:r w:rsidRPr="003D6474">
              <w:rPr>
                <w:sz w:val="18"/>
                <w:szCs w:val="18"/>
                <w:lang w:val="en-GB"/>
              </w:rPr>
              <w:t>0.34</w:t>
            </w: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t>γ</w:t>
            </w:r>
            <w:r w:rsidRPr="003D6474">
              <w:rPr>
                <w:sz w:val="18"/>
                <w:szCs w:val="18"/>
                <w:vertAlign w:val="subscript"/>
                <w:lang w:val="en-GB"/>
              </w:rPr>
              <w:t>11</w:t>
            </w:r>
          </w:p>
        </w:tc>
        <w:tc>
          <w:tcPr>
            <w:tcW w:w="1239" w:type="dxa"/>
            <w:vAlign w:val="center"/>
          </w:tcPr>
          <w:p w:rsidR="00F343FA" w:rsidRPr="003D6474" w:rsidRDefault="00F343FA" w:rsidP="003E17E9">
            <w:pPr>
              <w:jc w:val="center"/>
              <w:rPr>
                <w:sz w:val="18"/>
                <w:szCs w:val="18"/>
                <w:lang w:val="en-GB"/>
              </w:rPr>
            </w:pPr>
            <w:r w:rsidRPr="003D6474">
              <w:rPr>
                <w:sz w:val="18"/>
                <w:szCs w:val="18"/>
                <w:lang w:val="en-GB"/>
              </w:rPr>
              <w:t>0.21</w:t>
            </w:r>
          </w:p>
        </w:tc>
        <w:tc>
          <w:tcPr>
            <w:tcW w:w="1262" w:type="dxa"/>
            <w:vAlign w:val="center"/>
          </w:tcPr>
          <w:p w:rsidR="00F343FA" w:rsidRPr="003D6474" w:rsidRDefault="00F343FA" w:rsidP="003E17E9">
            <w:pPr>
              <w:jc w:val="center"/>
              <w:rPr>
                <w:sz w:val="18"/>
                <w:szCs w:val="18"/>
                <w:lang w:val="en-GB"/>
              </w:rPr>
            </w:pPr>
            <w:r w:rsidRPr="003D6474">
              <w:rPr>
                <w:sz w:val="18"/>
                <w:lang w:val="en-GB"/>
              </w:rPr>
              <w:t>2.18</w:t>
            </w:r>
            <w:r w:rsidRPr="003D6474">
              <w:rPr>
                <w:sz w:val="18"/>
                <w:vertAlign w:val="superscript"/>
                <w:lang w:val="en-GB"/>
              </w:rPr>
              <w:t xml:space="preserve"> b</w:t>
            </w:r>
          </w:p>
        </w:tc>
      </w:tr>
      <w:tr w:rsidR="00F343FA" w:rsidRPr="003D6474" w:rsidTr="00223B49">
        <w:trPr>
          <w:jc w:val="center"/>
        </w:trPr>
        <w:tc>
          <w:tcPr>
            <w:tcW w:w="3777" w:type="dxa"/>
            <w:vAlign w:val="center"/>
          </w:tcPr>
          <w:p w:rsidR="00F343FA" w:rsidRPr="003D6474" w:rsidRDefault="0031521D" w:rsidP="00774F0D">
            <w:pPr>
              <w:rPr>
                <w:sz w:val="18"/>
                <w:szCs w:val="18"/>
                <w:lang w:val="en-GB"/>
              </w:rPr>
            </w:pPr>
            <w:r w:rsidRPr="003D6474">
              <w:rPr>
                <w:b/>
                <w:sz w:val="18"/>
                <w:szCs w:val="18"/>
                <w:lang w:val="en-GB"/>
              </w:rPr>
              <w:t>H</w:t>
            </w:r>
            <w:r w:rsidRPr="003D6474">
              <w:rPr>
                <w:b/>
                <w:sz w:val="18"/>
                <w:szCs w:val="18"/>
                <w:vertAlign w:val="subscript"/>
                <w:lang w:val="en-GB"/>
              </w:rPr>
              <w:t>2</w:t>
            </w:r>
            <w:r w:rsidRPr="003D6474">
              <w:rPr>
                <w:sz w:val="18"/>
                <w:szCs w:val="18"/>
                <w:lang w:val="en-GB"/>
              </w:rPr>
              <w:t xml:space="preserve">: </w:t>
            </w:r>
            <w:r w:rsidR="00774F0D" w:rsidRPr="003D6474">
              <w:rPr>
                <w:sz w:val="18"/>
                <w:szCs w:val="18"/>
                <w:lang w:val="en-GB"/>
              </w:rPr>
              <w:t>W</w:t>
            </w:r>
            <w:r w:rsidR="00F343FA" w:rsidRPr="003D6474">
              <w:rPr>
                <w:sz w:val="18"/>
                <w:szCs w:val="18"/>
                <w:lang w:val="en-GB"/>
              </w:rPr>
              <w:t xml:space="preserve">orkplace communities → </w:t>
            </w:r>
            <w:r w:rsidR="00774F0D" w:rsidRPr="003D6474">
              <w:rPr>
                <w:sz w:val="18"/>
                <w:szCs w:val="18"/>
                <w:lang w:val="en-GB"/>
              </w:rPr>
              <w:t>Online government services</w:t>
            </w:r>
          </w:p>
        </w:tc>
        <w:tc>
          <w:tcPr>
            <w:tcW w:w="930" w:type="dxa"/>
            <w:vAlign w:val="center"/>
          </w:tcPr>
          <w:p w:rsidR="00F343FA" w:rsidRPr="003D6474" w:rsidRDefault="00AD4582" w:rsidP="003E17E9">
            <w:pPr>
              <w:jc w:val="center"/>
              <w:rPr>
                <w:sz w:val="18"/>
                <w:szCs w:val="18"/>
                <w:lang w:val="en-GB"/>
              </w:rPr>
            </w:pPr>
            <w:r w:rsidRPr="003D6474">
              <w:rPr>
                <w:sz w:val="18"/>
                <w:szCs w:val="18"/>
                <w:lang w:val="en-GB"/>
              </w:rPr>
              <w:t>0.34</w:t>
            </w: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t>γ</w:t>
            </w:r>
            <w:r w:rsidRPr="003D6474">
              <w:rPr>
                <w:sz w:val="18"/>
                <w:szCs w:val="18"/>
                <w:vertAlign w:val="subscript"/>
                <w:lang w:val="en-GB"/>
              </w:rPr>
              <w:t>12</w:t>
            </w:r>
          </w:p>
        </w:tc>
        <w:tc>
          <w:tcPr>
            <w:tcW w:w="1239" w:type="dxa"/>
            <w:vAlign w:val="center"/>
          </w:tcPr>
          <w:p w:rsidR="00F343FA" w:rsidRPr="003D6474" w:rsidRDefault="00F343FA" w:rsidP="003E17E9">
            <w:pPr>
              <w:jc w:val="center"/>
              <w:rPr>
                <w:sz w:val="18"/>
                <w:szCs w:val="18"/>
                <w:lang w:val="en-GB"/>
              </w:rPr>
            </w:pPr>
            <w:r w:rsidRPr="003D6474">
              <w:rPr>
                <w:sz w:val="18"/>
                <w:szCs w:val="18"/>
                <w:lang w:val="en-GB"/>
              </w:rPr>
              <w:t>0.36</w:t>
            </w:r>
          </w:p>
        </w:tc>
        <w:tc>
          <w:tcPr>
            <w:tcW w:w="1262" w:type="dxa"/>
            <w:vAlign w:val="center"/>
          </w:tcPr>
          <w:p w:rsidR="00F343FA" w:rsidRPr="003D6474" w:rsidRDefault="00F343FA" w:rsidP="003E17E9">
            <w:pPr>
              <w:jc w:val="center"/>
              <w:rPr>
                <w:sz w:val="18"/>
                <w:szCs w:val="18"/>
                <w:lang w:val="en-GB"/>
              </w:rPr>
            </w:pPr>
            <w:r w:rsidRPr="003D6474">
              <w:rPr>
                <w:sz w:val="18"/>
                <w:lang w:val="en-GB"/>
              </w:rPr>
              <w:t xml:space="preserve">3.54 </w:t>
            </w:r>
            <w:r w:rsidRPr="003D6474">
              <w:rPr>
                <w:sz w:val="18"/>
                <w:vertAlign w:val="superscript"/>
                <w:lang w:val="en-GB"/>
              </w:rPr>
              <w:t>a</w:t>
            </w:r>
          </w:p>
        </w:tc>
      </w:tr>
      <w:tr w:rsidR="00F343FA" w:rsidRPr="003D6474" w:rsidTr="00223B49">
        <w:trPr>
          <w:jc w:val="center"/>
        </w:trPr>
        <w:tc>
          <w:tcPr>
            <w:tcW w:w="3777" w:type="dxa"/>
            <w:vAlign w:val="center"/>
          </w:tcPr>
          <w:p w:rsidR="00F343FA" w:rsidRPr="003D6474" w:rsidRDefault="0031521D" w:rsidP="00774F0D">
            <w:pPr>
              <w:rPr>
                <w:sz w:val="18"/>
                <w:szCs w:val="18"/>
                <w:lang w:val="en-GB"/>
              </w:rPr>
            </w:pPr>
            <w:r w:rsidRPr="003D6474">
              <w:rPr>
                <w:b/>
                <w:sz w:val="18"/>
                <w:szCs w:val="18"/>
                <w:lang w:val="en-GB"/>
              </w:rPr>
              <w:t>H</w:t>
            </w:r>
            <w:r w:rsidRPr="003D6474">
              <w:rPr>
                <w:b/>
                <w:sz w:val="18"/>
                <w:szCs w:val="18"/>
                <w:vertAlign w:val="subscript"/>
                <w:lang w:val="en-GB"/>
              </w:rPr>
              <w:t>3</w:t>
            </w:r>
            <w:r w:rsidRPr="003D6474">
              <w:rPr>
                <w:sz w:val="18"/>
                <w:szCs w:val="18"/>
                <w:lang w:val="en-GB"/>
              </w:rPr>
              <w:t xml:space="preserve">: </w:t>
            </w:r>
            <w:r w:rsidR="00774F0D" w:rsidRPr="003D6474">
              <w:rPr>
                <w:sz w:val="18"/>
                <w:szCs w:val="18"/>
                <w:lang w:val="en-GB"/>
              </w:rPr>
              <w:t>O</w:t>
            </w:r>
            <w:r w:rsidR="00F343FA" w:rsidRPr="003D6474">
              <w:rPr>
                <w:sz w:val="18"/>
                <w:szCs w:val="18"/>
                <w:lang w:val="en-GB"/>
              </w:rPr>
              <w:t xml:space="preserve">rganizational context→ </w:t>
            </w:r>
            <w:r w:rsidR="00774F0D" w:rsidRPr="003D6474">
              <w:rPr>
                <w:sz w:val="18"/>
                <w:szCs w:val="18"/>
                <w:lang w:val="en-GB"/>
              </w:rPr>
              <w:t>Online government services</w:t>
            </w:r>
          </w:p>
        </w:tc>
        <w:tc>
          <w:tcPr>
            <w:tcW w:w="930" w:type="dxa"/>
            <w:vAlign w:val="center"/>
          </w:tcPr>
          <w:p w:rsidR="00F343FA" w:rsidRPr="003D6474" w:rsidRDefault="00AD4582" w:rsidP="003E17E9">
            <w:pPr>
              <w:jc w:val="center"/>
              <w:rPr>
                <w:sz w:val="18"/>
                <w:szCs w:val="18"/>
                <w:lang w:val="en-GB"/>
              </w:rPr>
            </w:pPr>
            <w:r w:rsidRPr="003D6474">
              <w:rPr>
                <w:sz w:val="18"/>
                <w:szCs w:val="18"/>
                <w:lang w:val="en-GB"/>
              </w:rPr>
              <w:t>0.34</w:t>
            </w: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t>γ</w:t>
            </w:r>
            <w:r w:rsidRPr="003D6474">
              <w:rPr>
                <w:sz w:val="18"/>
                <w:szCs w:val="18"/>
                <w:vertAlign w:val="subscript"/>
                <w:lang w:val="en-GB"/>
              </w:rPr>
              <w:t>13</w:t>
            </w:r>
          </w:p>
        </w:tc>
        <w:tc>
          <w:tcPr>
            <w:tcW w:w="1239" w:type="dxa"/>
          </w:tcPr>
          <w:p w:rsidR="00F343FA" w:rsidRPr="003D6474" w:rsidRDefault="00F343FA" w:rsidP="003E17E9">
            <w:pPr>
              <w:jc w:val="center"/>
              <w:rPr>
                <w:sz w:val="18"/>
                <w:lang w:val="en-GB"/>
              </w:rPr>
            </w:pPr>
            <w:r w:rsidRPr="003D6474">
              <w:rPr>
                <w:sz w:val="18"/>
                <w:lang w:val="en-GB"/>
              </w:rPr>
              <w:t>0.24</w:t>
            </w:r>
          </w:p>
        </w:tc>
        <w:tc>
          <w:tcPr>
            <w:tcW w:w="1262" w:type="dxa"/>
          </w:tcPr>
          <w:p w:rsidR="00F343FA" w:rsidRPr="003D6474" w:rsidRDefault="00F343FA" w:rsidP="003E17E9">
            <w:pPr>
              <w:jc w:val="center"/>
              <w:rPr>
                <w:sz w:val="18"/>
                <w:lang w:val="en-GB"/>
              </w:rPr>
            </w:pPr>
            <w:r w:rsidRPr="003D6474">
              <w:rPr>
                <w:sz w:val="18"/>
                <w:lang w:val="en-GB"/>
              </w:rPr>
              <w:t>2.60</w:t>
            </w:r>
            <w:r w:rsidRPr="003D6474">
              <w:rPr>
                <w:sz w:val="18"/>
                <w:vertAlign w:val="superscript"/>
                <w:lang w:val="en-GB"/>
              </w:rPr>
              <w:t xml:space="preserve"> a</w:t>
            </w:r>
          </w:p>
        </w:tc>
      </w:tr>
      <w:tr w:rsidR="00F343FA" w:rsidRPr="003D6474" w:rsidTr="00223B49">
        <w:trPr>
          <w:jc w:val="center"/>
        </w:trPr>
        <w:tc>
          <w:tcPr>
            <w:tcW w:w="3777" w:type="dxa"/>
            <w:vAlign w:val="center"/>
          </w:tcPr>
          <w:p w:rsidR="00F343FA" w:rsidRPr="003D6474" w:rsidRDefault="0031521D" w:rsidP="00774F0D">
            <w:pPr>
              <w:rPr>
                <w:sz w:val="18"/>
                <w:szCs w:val="18"/>
                <w:lang w:val="en-GB"/>
              </w:rPr>
            </w:pPr>
            <w:r w:rsidRPr="003D6474">
              <w:rPr>
                <w:b/>
                <w:sz w:val="18"/>
                <w:szCs w:val="18"/>
                <w:lang w:val="en-GB"/>
              </w:rPr>
              <w:t>H</w:t>
            </w:r>
            <w:r w:rsidRPr="003D6474">
              <w:rPr>
                <w:b/>
                <w:sz w:val="18"/>
                <w:szCs w:val="18"/>
                <w:vertAlign w:val="subscript"/>
                <w:lang w:val="en-GB"/>
              </w:rPr>
              <w:t>4</w:t>
            </w:r>
            <w:r w:rsidR="00774F0D" w:rsidRPr="003D6474">
              <w:rPr>
                <w:sz w:val="18"/>
                <w:szCs w:val="18"/>
                <w:lang w:val="en-GB"/>
              </w:rPr>
              <w:t xml:space="preserve"> Online government services </w:t>
            </w:r>
            <w:r w:rsidR="00F343FA" w:rsidRPr="003D6474">
              <w:rPr>
                <w:sz w:val="18"/>
                <w:szCs w:val="18"/>
                <w:lang w:val="en-GB"/>
              </w:rPr>
              <w:t xml:space="preserve">→ </w:t>
            </w:r>
            <w:r w:rsidR="00774F0D" w:rsidRPr="003D6474">
              <w:rPr>
                <w:sz w:val="18"/>
                <w:szCs w:val="18"/>
                <w:lang w:val="en-GB"/>
              </w:rPr>
              <w:t>B</w:t>
            </w:r>
            <w:r w:rsidR="00F343FA" w:rsidRPr="003D6474">
              <w:rPr>
                <w:sz w:val="18"/>
                <w:szCs w:val="18"/>
                <w:lang w:val="en-GB"/>
              </w:rPr>
              <w:t>usiness performance</w:t>
            </w:r>
          </w:p>
        </w:tc>
        <w:tc>
          <w:tcPr>
            <w:tcW w:w="930" w:type="dxa"/>
            <w:vAlign w:val="center"/>
          </w:tcPr>
          <w:p w:rsidR="00F343FA" w:rsidRPr="003D6474" w:rsidRDefault="00AD4582" w:rsidP="00AD4582">
            <w:pPr>
              <w:jc w:val="center"/>
              <w:rPr>
                <w:sz w:val="18"/>
                <w:szCs w:val="18"/>
                <w:lang w:val="en-GB"/>
              </w:rPr>
            </w:pPr>
            <w:r w:rsidRPr="003D6474">
              <w:rPr>
                <w:sz w:val="18"/>
                <w:szCs w:val="18"/>
                <w:lang w:val="en-GB"/>
              </w:rPr>
              <w:t>0.16</w:t>
            </w: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sym w:font="Symbol" w:char="F062"/>
            </w:r>
            <w:r w:rsidRPr="003D6474">
              <w:rPr>
                <w:sz w:val="18"/>
                <w:szCs w:val="18"/>
                <w:vertAlign w:val="subscript"/>
                <w:lang w:val="en-GB"/>
              </w:rPr>
              <w:t>21</w:t>
            </w:r>
          </w:p>
        </w:tc>
        <w:tc>
          <w:tcPr>
            <w:tcW w:w="1239" w:type="dxa"/>
            <w:vAlign w:val="center"/>
          </w:tcPr>
          <w:p w:rsidR="00F343FA" w:rsidRPr="003D6474" w:rsidRDefault="00F343FA" w:rsidP="003E17E9">
            <w:pPr>
              <w:jc w:val="center"/>
              <w:rPr>
                <w:sz w:val="18"/>
                <w:szCs w:val="18"/>
                <w:lang w:val="en-GB"/>
              </w:rPr>
            </w:pPr>
            <w:r w:rsidRPr="003D6474">
              <w:rPr>
                <w:sz w:val="18"/>
                <w:szCs w:val="18"/>
                <w:lang w:val="en-GB"/>
              </w:rPr>
              <w:t>0.40</w:t>
            </w:r>
          </w:p>
        </w:tc>
        <w:tc>
          <w:tcPr>
            <w:tcW w:w="1262" w:type="dxa"/>
            <w:vAlign w:val="center"/>
          </w:tcPr>
          <w:p w:rsidR="00F343FA" w:rsidRPr="003D6474" w:rsidRDefault="00F343FA" w:rsidP="003E17E9">
            <w:pPr>
              <w:jc w:val="center"/>
              <w:rPr>
                <w:sz w:val="18"/>
                <w:szCs w:val="18"/>
                <w:lang w:val="en-GB"/>
              </w:rPr>
            </w:pPr>
            <w:r w:rsidRPr="003D6474">
              <w:rPr>
                <w:sz w:val="18"/>
                <w:lang w:val="en-GB"/>
              </w:rPr>
              <w:t>2.30</w:t>
            </w:r>
            <w:r w:rsidRPr="003D6474">
              <w:rPr>
                <w:sz w:val="18"/>
                <w:vertAlign w:val="superscript"/>
                <w:lang w:val="en-GB"/>
              </w:rPr>
              <w:t xml:space="preserve"> b</w:t>
            </w:r>
          </w:p>
        </w:tc>
      </w:tr>
      <w:tr w:rsidR="00F343FA" w:rsidRPr="003D6474" w:rsidTr="00223B49">
        <w:trPr>
          <w:jc w:val="center"/>
        </w:trPr>
        <w:tc>
          <w:tcPr>
            <w:tcW w:w="3777" w:type="dxa"/>
            <w:vAlign w:val="center"/>
          </w:tcPr>
          <w:p w:rsidR="00F343FA" w:rsidRPr="003D6474" w:rsidRDefault="00F343FA" w:rsidP="003E17E9">
            <w:pPr>
              <w:rPr>
                <w:sz w:val="18"/>
                <w:szCs w:val="18"/>
                <w:lang w:val="en-GB"/>
              </w:rPr>
            </w:pPr>
          </w:p>
        </w:tc>
        <w:tc>
          <w:tcPr>
            <w:tcW w:w="930" w:type="dxa"/>
            <w:vAlign w:val="center"/>
          </w:tcPr>
          <w:p w:rsidR="00F343FA" w:rsidRPr="003D6474" w:rsidRDefault="00F343FA" w:rsidP="003E17E9">
            <w:pPr>
              <w:jc w:val="center"/>
              <w:rPr>
                <w:sz w:val="18"/>
                <w:szCs w:val="18"/>
                <w:lang w:val="en-GB"/>
              </w:rPr>
            </w:pPr>
          </w:p>
        </w:tc>
        <w:tc>
          <w:tcPr>
            <w:tcW w:w="626" w:type="dxa"/>
            <w:vAlign w:val="center"/>
          </w:tcPr>
          <w:p w:rsidR="00F343FA" w:rsidRPr="003D6474" w:rsidRDefault="00F343FA" w:rsidP="003E17E9">
            <w:pPr>
              <w:jc w:val="center"/>
              <w:rPr>
                <w:sz w:val="18"/>
                <w:szCs w:val="18"/>
                <w:lang w:val="en-GB"/>
              </w:rPr>
            </w:pPr>
          </w:p>
        </w:tc>
        <w:tc>
          <w:tcPr>
            <w:tcW w:w="1134" w:type="dxa"/>
            <w:vAlign w:val="center"/>
          </w:tcPr>
          <w:p w:rsidR="00F343FA" w:rsidRPr="003D6474" w:rsidRDefault="00F343FA" w:rsidP="003E17E9">
            <w:pPr>
              <w:jc w:val="center"/>
              <w:rPr>
                <w:sz w:val="18"/>
                <w:szCs w:val="18"/>
                <w:lang w:val="en-GB"/>
              </w:rPr>
            </w:pPr>
          </w:p>
        </w:tc>
        <w:tc>
          <w:tcPr>
            <w:tcW w:w="1239" w:type="dxa"/>
          </w:tcPr>
          <w:p w:rsidR="00F343FA" w:rsidRPr="003D6474" w:rsidRDefault="00F343FA" w:rsidP="003E17E9">
            <w:pPr>
              <w:jc w:val="center"/>
              <w:rPr>
                <w:sz w:val="18"/>
                <w:lang w:val="en-GB"/>
              </w:rPr>
            </w:pPr>
          </w:p>
        </w:tc>
        <w:tc>
          <w:tcPr>
            <w:tcW w:w="1262" w:type="dxa"/>
          </w:tcPr>
          <w:p w:rsidR="00F343FA" w:rsidRPr="003D6474" w:rsidRDefault="00F343FA" w:rsidP="003E17E9">
            <w:pPr>
              <w:jc w:val="center"/>
              <w:rPr>
                <w:sz w:val="18"/>
                <w:lang w:val="en-GB"/>
              </w:rPr>
            </w:pPr>
          </w:p>
        </w:tc>
      </w:tr>
      <w:tr w:rsidR="00F343FA" w:rsidRPr="003D6474" w:rsidTr="00223B49">
        <w:trPr>
          <w:jc w:val="center"/>
        </w:trPr>
        <w:tc>
          <w:tcPr>
            <w:tcW w:w="3777" w:type="dxa"/>
            <w:vAlign w:val="center"/>
          </w:tcPr>
          <w:p w:rsidR="00F343FA" w:rsidRPr="003D6474" w:rsidRDefault="00F343FA" w:rsidP="003E17E9">
            <w:pPr>
              <w:rPr>
                <w:szCs w:val="18"/>
                <w:lang w:val="en-GB"/>
              </w:rPr>
            </w:pPr>
            <w:r w:rsidRPr="003D6474">
              <w:rPr>
                <w:i/>
                <w:szCs w:val="18"/>
                <w:lang w:val="en-GB"/>
              </w:rPr>
              <w:t>Indirect effect</w:t>
            </w:r>
            <w:r w:rsidR="00442331" w:rsidRPr="003D6474">
              <w:rPr>
                <w:i/>
                <w:szCs w:val="18"/>
                <w:lang w:val="en-GB"/>
              </w:rPr>
              <w:t>s</w:t>
            </w:r>
          </w:p>
        </w:tc>
        <w:tc>
          <w:tcPr>
            <w:tcW w:w="930" w:type="dxa"/>
            <w:vAlign w:val="center"/>
          </w:tcPr>
          <w:p w:rsidR="00F343FA" w:rsidRPr="003D6474" w:rsidRDefault="00F343FA" w:rsidP="003E17E9">
            <w:pPr>
              <w:jc w:val="center"/>
              <w:rPr>
                <w:sz w:val="18"/>
                <w:szCs w:val="18"/>
                <w:lang w:val="en-GB"/>
              </w:rPr>
            </w:pPr>
          </w:p>
        </w:tc>
        <w:tc>
          <w:tcPr>
            <w:tcW w:w="626" w:type="dxa"/>
            <w:vAlign w:val="center"/>
          </w:tcPr>
          <w:p w:rsidR="00F343FA" w:rsidRPr="003D6474" w:rsidRDefault="00F343FA" w:rsidP="003E17E9">
            <w:pPr>
              <w:jc w:val="center"/>
              <w:rPr>
                <w:sz w:val="18"/>
                <w:szCs w:val="18"/>
                <w:lang w:val="en-GB"/>
              </w:rPr>
            </w:pPr>
          </w:p>
        </w:tc>
        <w:tc>
          <w:tcPr>
            <w:tcW w:w="1134" w:type="dxa"/>
            <w:vAlign w:val="center"/>
          </w:tcPr>
          <w:p w:rsidR="00F343FA" w:rsidRPr="003D6474" w:rsidRDefault="00F343FA" w:rsidP="003E17E9">
            <w:pPr>
              <w:jc w:val="center"/>
              <w:rPr>
                <w:sz w:val="18"/>
                <w:szCs w:val="18"/>
                <w:lang w:val="en-GB"/>
              </w:rPr>
            </w:pPr>
          </w:p>
        </w:tc>
        <w:tc>
          <w:tcPr>
            <w:tcW w:w="1239" w:type="dxa"/>
            <w:vAlign w:val="center"/>
          </w:tcPr>
          <w:p w:rsidR="00F343FA" w:rsidRPr="003D6474" w:rsidRDefault="00F343FA" w:rsidP="003E17E9">
            <w:pPr>
              <w:jc w:val="center"/>
              <w:rPr>
                <w:sz w:val="18"/>
                <w:szCs w:val="18"/>
                <w:lang w:val="en-GB"/>
              </w:rPr>
            </w:pPr>
          </w:p>
        </w:tc>
        <w:tc>
          <w:tcPr>
            <w:tcW w:w="1262" w:type="dxa"/>
            <w:vAlign w:val="center"/>
          </w:tcPr>
          <w:p w:rsidR="00F343FA" w:rsidRPr="003D6474" w:rsidRDefault="00F343FA" w:rsidP="003E17E9">
            <w:pPr>
              <w:jc w:val="center"/>
              <w:rPr>
                <w:sz w:val="18"/>
                <w:szCs w:val="18"/>
                <w:lang w:val="en-GB"/>
              </w:rPr>
            </w:pPr>
          </w:p>
        </w:tc>
      </w:tr>
      <w:tr w:rsidR="00F343FA" w:rsidRPr="003D6474" w:rsidTr="00223B49">
        <w:trPr>
          <w:jc w:val="center"/>
        </w:trPr>
        <w:tc>
          <w:tcPr>
            <w:tcW w:w="3777" w:type="dxa"/>
            <w:vAlign w:val="center"/>
          </w:tcPr>
          <w:p w:rsidR="00F343FA" w:rsidRPr="003D6474" w:rsidRDefault="00F343FA" w:rsidP="003E17E9">
            <w:pPr>
              <w:ind w:right="-108"/>
              <w:rPr>
                <w:sz w:val="18"/>
                <w:szCs w:val="18"/>
                <w:lang w:val="en-GB"/>
              </w:rPr>
            </w:pPr>
            <w:r w:rsidRPr="003D6474">
              <w:rPr>
                <w:sz w:val="18"/>
                <w:szCs w:val="18"/>
                <w:lang w:val="en-GB"/>
              </w:rPr>
              <w:t>external communities → business performance</w:t>
            </w:r>
          </w:p>
        </w:tc>
        <w:tc>
          <w:tcPr>
            <w:tcW w:w="930" w:type="dxa"/>
            <w:vAlign w:val="center"/>
          </w:tcPr>
          <w:p w:rsidR="00F343FA" w:rsidRPr="003D6474" w:rsidRDefault="00F343FA" w:rsidP="003E17E9">
            <w:pPr>
              <w:jc w:val="center"/>
              <w:rPr>
                <w:sz w:val="18"/>
                <w:szCs w:val="18"/>
                <w:lang w:val="en-GB"/>
              </w:rPr>
            </w:pP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t>κ</w:t>
            </w:r>
            <w:r w:rsidRPr="003D6474">
              <w:rPr>
                <w:sz w:val="18"/>
                <w:szCs w:val="18"/>
                <w:vertAlign w:val="subscript"/>
                <w:lang w:val="en-GB"/>
              </w:rPr>
              <w:t>21</w:t>
            </w:r>
          </w:p>
        </w:tc>
        <w:tc>
          <w:tcPr>
            <w:tcW w:w="1239" w:type="dxa"/>
            <w:vAlign w:val="center"/>
          </w:tcPr>
          <w:p w:rsidR="00F343FA" w:rsidRPr="003D6474" w:rsidRDefault="00F343FA" w:rsidP="003E17E9">
            <w:pPr>
              <w:jc w:val="center"/>
              <w:rPr>
                <w:sz w:val="18"/>
                <w:szCs w:val="18"/>
                <w:lang w:val="en-GB"/>
              </w:rPr>
            </w:pPr>
            <w:r w:rsidRPr="003D6474">
              <w:rPr>
                <w:sz w:val="18"/>
                <w:szCs w:val="18"/>
                <w:lang w:val="en-GB"/>
              </w:rPr>
              <w:t>0.08</w:t>
            </w:r>
          </w:p>
        </w:tc>
        <w:tc>
          <w:tcPr>
            <w:tcW w:w="1262" w:type="dxa"/>
            <w:vAlign w:val="center"/>
          </w:tcPr>
          <w:p w:rsidR="00F343FA" w:rsidRPr="003D6474" w:rsidRDefault="00F343FA" w:rsidP="003E17E9">
            <w:pPr>
              <w:jc w:val="center"/>
              <w:rPr>
                <w:sz w:val="18"/>
                <w:szCs w:val="18"/>
                <w:lang w:val="en-GB"/>
              </w:rPr>
            </w:pPr>
            <w:r w:rsidRPr="003D6474">
              <w:rPr>
                <w:sz w:val="18"/>
                <w:szCs w:val="18"/>
                <w:lang w:val="en-GB"/>
              </w:rPr>
              <w:t>1.72</w:t>
            </w:r>
            <w:r w:rsidRPr="003D6474">
              <w:rPr>
                <w:sz w:val="18"/>
                <w:vertAlign w:val="superscript"/>
                <w:lang w:val="en-GB"/>
              </w:rPr>
              <w:t xml:space="preserve"> a</w:t>
            </w:r>
          </w:p>
        </w:tc>
      </w:tr>
      <w:tr w:rsidR="00F343FA" w:rsidRPr="003D6474" w:rsidTr="00223B49">
        <w:trPr>
          <w:jc w:val="center"/>
        </w:trPr>
        <w:tc>
          <w:tcPr>
            <w:tcW w:w="3777" w:type="dxa"/>
            <w:vAlign w:val="center"/>
          </w:tcPr>
          <w:p w:rsidR="00F343FA" w:rsidRPr="003D6474" w:rsidRDefault="00F343FA" w:rsidP="003E17E9">
            <w:pPr>
              <w:rPr>
                <w:sz w:val="18"/>
                <w:szCs w:val="18"/>
                <w:lang w:val="en-GB"/>
              </w:rPr>
            </w:pPr>
            <w:r w:rsidRPr="003D6474">
              <w:rPr>
                <w:sz w:val="18"/>
                <w:szCs w:val="18"/>
                <w:lang w:val="en-GB"/>
              </w:rPr>
              <w:t>workplace communities → business performance</w:t>
            </w:r>
          </w:p>
        </w:tc>
        <w:tc>
          <w:tcPr>
            <w:tcW w:w="930" w:type="dxa"/>
            <w:vAlign w:val="center"/>
          </w:tcPr>
          <w:p w:rsidR="00F343FA" w:rsidRPr="003D6474" w:rsidRDefault="00F343FA" w:rsidP="003E17E9">
            <w:pPr>
              <w:jc w:val="center"/>
              <w:rPr>
                <w:sz w:val="18"/>
                <w:szCs w:val="18"/>
                <w:lang w:val="en-GB"/>
              </w:rPr>
            </w:pPr>
          </w:p>
        </w:tc>
        <w:tc>
          <w:tcPr>
            <w:tcW w:w="626" w:type="dxa"/>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vAlign w:val="center"/>
          </w:tcPr>
          <w:p w:rsidR="00F343FA" w:rsidRPr="003D6474" w:rsidRDefault="00F343FA" w:rsidP="003E17E9">
            <w:pPr>
              <w:jc w:val="center"/>
              <w:rPr>
                <w:sz w:val="18"/>
                <w:szCs w:val="18"/>
                <w:lang w:val="en-GB"/>
              </w:rPr>
            </w:pPr>
            <w:r w:rsidRPr="003D6474">
              <w:rPr>
                <w:sz w:val="18"/>
                <w:szCs w:val="18"/>
                <w:lang w:val="en-GB"/>
              </w:rPr>
              <w:t>κ</w:t>
            </w:r>
            <w:r w:rsidRPr="003D6474">
              <w:rPr>
                <w:sz w:val="18"/>
                <w:szCs w:val="18"/>
                <w:vertAlign w:val="subscript"/>
                <w:lang w:val="en-GB"/>
              </w:rPr>
              <w:t>22</w:t>
            </w:r>
          </w:p>
        </w:tc>
        <w:tc>
          <w:tcPr>
            <w:tcW w:w="1239" w:type="dxa"/>
            <w:vAlign w:val="center"/>
          </w:tcPr>
          <w:p w:rsidR="00F343FA" w:rsidRPr="003D6474" w:rsidRDefault="00F343FA" w:rsidP="003E17E9">
            <w:pPr>
              <w:jc w:val="center"/>
              <w:rPr>
                <w:sz w:val="18"/>
                <w:szCs w:val="18"/>
                <w:lang w:val="en-GB"/>
              </w:rPr>
            </w:pPr>
            <w:r w:rsidRPr="003D6474">
              <w:rPr>
                <w:sz w:val="18"/>
                <w:szCs w:val="18"/>
                <w:lang w:val="en-GB"/>
              </w:rPr>
              <w:t>0.14</w:t>
            </w:r>
          </w:p>
        </w:tc>
        <w:tc>
          <w:tcPr>
            <w:tcW w:w="1262" w:type="dxa"/>
            <w:vAlign w:val="center"/>
          </w:tcPr>
          <w:p w:rsidR="00F343FA" w:rsidRPr="003D6474" w:rsidRDefault="00F343FA" w:rsidP="003E17E9">
            <w:pPr>
              <w:jc w:val="center"/>
              <w:rPr>
                <w:sz w:val="18"/>
                <w:szCs w:val="18"/>
                <w:lang w:val="en-GB"/>
              </w:rPr>
            </w:pPr>
            <w:r w:rsidRPr="003D6474">
              <w:rPr>
                <w:sz w:val="18"/>
                <w:szCs w:val="18"/>
                <w:lang w:val="en-GB"/>
              </w:rPr>
              <w:t xml:space="preserve">2.19 </w:t>
            </w:r>
            <w:r w:rsidRPr="003D6474">
              <w:rPr>
                <w:sz w:val="18"/>
                <w:vertAlign w:val="superscript"/>
                <w:lang w:val="en-GB"/>
              </w:rPr>
              <w:t>b</w:t>
            </w:r>
          </w:p>
        </w:tc>
      </w:tr>
      <w:tr w:rsidR="00F343FA" w:rsidRPr="003D6474" w:rsidTr="00223B49">
        <w:trPr>
          <w:jc w:val="center"/>
        </w:trPr>
        <w:tc>
          <w:tcPr>
            <w:tcW w:w="3777" w:type="dxa"/>
            <w:tcBorders>
              <w:bottom w:val="single" w:sz="4" w:space="0" w:color="auto"/>
            </w:tcBorders>
            <w:vAlign w:val="center"/>
          </w:tcPr>
          <w:p w:rsidR="00F343FA" w:rsidRPr="003D6474" w:rsidRDefault="00F343FA" w:rsidP="003E17E9">
            <w:pPr>
              <w:rPr>
                <w:sz w:val="18"/>
                <w:szCs w:val="18"/>
                <w:lang w:val="en-GB"/>
              </w:rPr>
            </w:pPr>
            <w:r w:rsidRPr="003D6474">
              <w:rPr>
                <w:sz w:val="18"/>
                <w:szCs w:val="18"/>
                <w:lang w:val="en-GB"/>
              </w:rPr>
              <w:t>organizational context→ business performance</w:t>
            </w:r>
          </w:p>
        </w:tc>
        <w:tc>
          <w:tcPr>
            <w:tcW w:w="930" w:type="dxa"/>
            <w:tcBorders>
              <w:bottom w:val="single" w:sz="4" w:space="0" w:color="auto"/>
            </w:tcBorders>
            <w:vAlign w:val="center"/>
          </w:tcPr>
          <w:p w:rsidR="00F343FA" w:rsidRPr="003D6474" w:rsidRDefault="00F343FA" w:rsidP="003E17E9">
            <w:pPr>
              <w:jc w:val="center"/>
              <w:rPr>
                <w:sz w:val="18"/>
                <w:szCs w:val="18"/>
                <w:lang w:val="en-GB"/>
              </w:rPr>
            </w:pPr>
          </w:p>
        </w:tc>
        <w:tc>
          <w:tcPr>
            <w:tcW w:w="626" w:type="dxa"/>
            <w:tcBorders>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w:t>
            </w:r>
          </w:p>
        </w:tc>
        <w:tc>
          <w:tcPr>
            <w:tcW w:w="1134" w:type="dxa"/>
            <w:tcBorders>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κ</w:t>
            </w:r>
            <w:r w:rsidRPr="003D6474">
              <w:rPr>
                <w:sz w:val="18"/>
                <w:szCs w:val="18"/>
                <w:vertAlign w:val="subscript"/>
                <w:lang w:val="en-GB"/>
              </w:rPr>
              <w:t>23</w:t>
            </w:r>
          </w:p>
        </w:tc>
        <w:tc>
          <w:tcPr>
            <w:tcW w:w="1239" w:type="dxa"/>
            <w:tcBorders>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0.10</w:t>
            </w:r>
          </w:p>
        </w:tc>
        <w:tc>
          <w:tcPr>
            <w:tcW w:w="1262" w:type="dxa"/>
            <w:tcBorders>
              <w:bottom w:val="single" w:sz="4" w:space="0" w:color="auto"/>
            </w:tcBorders>
            <w:vAlign w:val="center"/>
          </w:tcPr>
          <w:p w:rsidR="00F343FA" w:rsidRPr="003D6474" w:rsidRDefault="00F343FA" w:rsidP="003E17E9">
            <w:pPr>
              <w:jc w:val="center"/>
              <w:rPr>
                <w:sz w:val="18"/>
                <w:szCs w:val="18"/>
                <w:lang w:val="en-GB"/>
              </w:rPr>
            </w:pPr>
            <w:r w:rsidRPr="003D6474">
              <w:rPr>
                <w:sz w:val="18"/>
                <w:szCs w:val="18"/>
                <w:lang w:val="en-GB"/>
              </w:rPr>
              <w:t>1.90</w:t>
            </w:r>
            <w:r w:rsidRPr="003D6474">
              <w:rPr>
                <w:sz w:val="18"/>
                <w:vertAlign w:val="superscript"/>
                <w:lang w:val="en-GB"/>
              </w:rPr>
              <w:t xml:space="preserve"> c</w:t>
            </w:r>
          </w:p>
        </w:tc>
      </w:tr>
    </w:tbl>
    <w:p w:rsidR="00AD4582" w:rsidRPr="003D6474" w:rsidRDefault="00AD4582" w:rsidP="00AD4582">
      <w:pPr>
        <w:pStyle w:val="Normal1"/>
        <w:spacing w:before="120" w:after="0" w:line="240" w:lineRule="auto"/>
        <w:ind w:right="-493" w:firstLine="142"/>
        <w:rPr>
          <w:rFonts w:ascii="Times New Roman" w:hAnsi="Times New Roman"/>
          <w:sz w:val="20"/>
          <w:lang w:val="en-GB"/>
        </w:rPr>
      </w:pPr>
      <w:r w:rsidRPr="003D6474">
        <w:rPr>
          <w:rFonts w:ascii="Times New Roman" w:hAnsi="Times New Roman"/>
          <w:sz w:val="20"/>
          <w:lang w:val="en-GB"/>
        </w:rPr>
        <w:t>Notes:</w:t>
      </w:r>
    </w:p>
    <w:p w:rsidR="00C842A1" w:rsidRPr="003D6474" w:rsidRDefault="00F343FA" w:rsidP="00C842A1">
      <w:pPr>
        <w:ind w:right="227" w:firstLine="142"/>
        <w:rPr>
          <w:sz w:val="20"/>
          <w:szCs w:val="20"/>
          <w:lang w:val="en-GB"/>
        </w:rPr>
      </w:pPr>
      <w:r w:rsidRPr="003D6474">
        <w:rPr>
          <w:sz w:val="20"/>
          <w:szCs w:val="20"/>
          <w:vertAlign w:val="superscript"/>
          <w:lang w:val="en-GB"/>
        </w:rPr>
        <w:t xml:space="preserve">a </w:t>
      </w:r>
      <w:r w:rsidRPr="003D6474">
        <w:rPr>
          <w:sz w:val="20"/>
          <w:szCs w:val="20"/>
          <w:lang w:val="en-GB"/>
        </w:rPr>
        <w:t xml:space="preserve">&lt;0.01; </w:t>
      </w:r>
      <w:r w:rsidRPr="003D6474">
        <w:rPr>
          <w:sz w:val="20"/>
          <w:szCs w:val="20"/>
          <w:vertAlign w:val="superscript"/>
          <w:lang w:val="en-GB"/>
        </w:rPr>
        <w:t xml:space="preserve">b </w:t>
      </w:r>
      <w:r w:rsidRPr="003D6474">
        <w:rPr>
          <w:sz w:val="20"/>
          <w:szCs w:val="20"/>
          <w:lang w:val="en-GB"/>
        </w:rPr>
        <w:t xml:space="preserve">p&lt;0.05; </w:t>
      </w:r>
      <w:r w:rsidRPr="003D6474">
        <w:rPr>
          <w:sz w:val="20"/>
          <w:szCs w:val="20"/>
          <w:vertAlign w:val="superscript"/>
          <w:lang w:val="en-GB"/>
        </w:rPr>
        <w:t xml:space="preserve">c </w:t>
      </w:r>
      <w:r w:rsidRPr="003D6474">
        <w:rPr>
          <w:sz w:val="20"/>
          <w:szCs w:val="20"/>
          <w:lang w:val="en-GB"/>
        </w:rPr>
        <w:t>p&lt;0.1</w:t>
      </w:r>
    </w:p>
    <w:p w:rsidR="00C842A1" w:rsidRPr="003D6474" w:rsidRDefault="00D50E2D" w:rsidP="00C842A1">
      <w:pPr>
        <w:ind w:right="227" w:firstLine="142"/>
        <w:rPr>
          <w:sz w:val="20"/>
          <w:szCs w:val="20"/>
          <w:lang w:val="en-GB"/>
        </w:rPr>
      </w:pPr>
      <w:r w:rsidRPr="003D6474">
        <w:rPr>
          <w:sz w:val="20"/>
          <w:szCs w:val="20"/>
          <w:lang w:val="en-GB"/>
        </w:rPr>
        <w:t xml:space="preserve">The fit statistics for the 13 measurement constructs were: </w:t>
      </w:r>
    </w:p>
    <w:p w:rsidR="00D50E2D" w:rsidRPr="003D6474" w:rsidRDefault="00D50E2D" w:rsidP="00C842A1">
      <w:pPr>
        <w:ind w:right="227" w:firstLine="142"/>
        <w:rPr>
          <w:sz w:val="20"/>
          <w:szCs w:val="20"/>
          <w:lang w:val="en-GB"/>
        </w:rPr>
      </w:pPr>
      <w:r w:rsidRPr="003D6474">
        <w:rPr>
          <w:bCs/>
          <w:sz w:val="20"/>
          <w:szCs w:val="20"/>
          <w:lang w:val="en-US"/>
        </w:rPr>
        <w:t xml:space="preserve">Satorra-Bentler </w:t>
      </w:r>
      <w:r w:rsidRPr="003D6474">
        <w:rPr>
          <w:bCs/>
          <w:sz w:val="20"/>
          <w:szCs w:val="20"/>
        </w:rPr>
        <w:t>χ</w:t>
      </w:r>
      <w:r w:rsidRPr="003D6474">
        <w:rPr>
          <w:bCs/>
          <w:sz w:val="20"/>
          <w:szCs w:val="20"/>
          <w:vertAlign w:val="superscript"/>
          <w:lang w:val="en-US"/>
        </w:rPr>
        <w:t>2</w:t>
      </w:r>
      <w:r w:rsidRPr="003D6474">
        <w:rPr>
          <w:bCs/>
          <w:sz w:val="20"/>
          <w:szCs w:val="20"/>
          <w:vertAlign w:val="subscript"/>
          <w:lang w:val="en-US"/>
        </w:rPr>
        <w:t>(58)</w:t>
      </w:r>
      <w:r w:rsidRPr="003D6474">
        <w:rPr>
          <w:bCs/>
          <w:sz w:val="20"/>
          <w:szCs w:val="20"/>
          <w:lang w:val="en-US"/>
        </w:rPr>
        <w:t>=60.29</w:t>
      </w:r>
      <w:r w:rsidR="00C842A1" w:rsidRPr="003D6474">
        <w:rPr>
          <w:bCs/>
          <w:sz w:val="20"/>
          <w:szCs w:val="20"/>
          <w:lang w:val="en-US"/>
        </w:rPr>
        <w:t xml:space="preserve">; </w:t>
      </w:r>
      <w:r w:rsidRPr="003D6474">
        <w:rPr>
          <w:bCs/>
          <w:sz w:val="20"/>
          <w:szCs w:val="20"/>
        </w:rPr>
        <w:t>χ</w:t>
      </w:r>
      <w:r w:rsidRPr="003D6474">
        <w:rPr>
          <w:bCs/>
          <w:sz w:val="20"/>
          <w:szCs w:val="20"/>
          <w:vertAlign w:val="superscript"/>
          <w:lang w:val="en-US"/>
        </w:rPr>
        <w:t>2</w:t>
      </w:r>
      <w:r w:rsidR="00C842A1" w:rsidRPr="003D6474">
        <w:rPr>
          <w:sz w:val="20"/>
          <w:szCs w:val="20"/>
          <w:lang w:val="en-US"/>
        </w:rPr>
        <w:t>/df</w:t>
      </w:r>
      <w:r w:rsidR="00C842A1" w:rsidRPr="003D6474">
        <w:rPr>
          <w:bCs/>
          <w:sz w:val="20"/>
          <w:szCs w:val="20"/>
          <w:lang w:val="en-US"/>
        </w:rPr>
        <w:t xml:space="preserve"> </w:t>
      </w:r>
      <w:r w:rsidRPr="003D6474">
        <w:rPr>
          <w:bCs/>
          <w:sz w:val="20"/>
          <w:szCs w:val="20"/>
          <w:lang w:val="en-US"/>
        </w:rPr>
        <w:t>=</w:t>
      </w:r>
      <w:r w:rsidR="00C842A1" w:rsidRPr="003D6474">
        <w:rPr>
          <w:bCs/>
          <w:sz w:val="20"/>
          <w:szCs w:val="20"/>
          <w:lang w:val="en-US"/>
        </w:rPr>
        <w:t>1.04</w:t>
      </w:r>
      <w:r w:rsidRPr="003D6474">
        <w:rPr>
          <w:bCs/>
          <w:sz w:val="20"/>
          <w:szCs w:val="20"/>
          <w:lang w:val="en-US"/>
        </w:rPr>
        <w:t>; GFI=0.93; CFI=0.9</w:t>
      </w:r>
      <w:r w:rsidR="00C842A1" w:rsidRPr="003D6474">
        <w:rPr>
          <w:bCs/>
          <w:sz w:val="20"/>
          <w:szCs w:val="20"/>
          <w:lang w:val="en-US"/>
        </w:rPr>
        <w:t>9</w:t>
      </w:r>
      <w:r w:rsidRPr="003D6474">
        <w:rPr>
          <w:bCs/>
          <w:sz w:val="20"/>
          <w:szCs w:val="20"/>
          <w:lang w:val="en-US"/>
        </w:rPr>
        <w:t>; IFI=0.9</w:t>
      </w:r>
      <w:r w:rsidR="00C842A1" w:rsidRPr="003D6474">
        <w:rPr>
          <w:bCs/>
          <w:sz w:val="20"/>
          <w:szCs w:val="20"/>
          <w:lang w:val="en-US"/>
        </w:rPr>
        <w:t>9</w:t>
      </w:r>
      <w:r w:rsidRPr="003D6474">
        <w:rPr>
          <w:bCs/>
          <w:sz w:val="20"/>
          <w:szCs w:val="20"/>
          <w:lang w:val="en-US"/>
        </w:rPr>
        <w:t>; RMSEA= 0.02</w:t>
      </w:r>
      <w:r w:rsidR="00C842A1" w:rsidRPr="003D6474">
        <w:rPr>
          <w:bCs/>
          <w:sz w:val="20"/>
          <w:szCs w:val="20"/>
          <w:lang w:val="en-US"/>
        </w:rPr>
        <w:t>2</w:t>
      </w:r>
    </w:p>
    <w:sectPr w:rsidR="00D50E2D" w:rsidRPr="003D6474" w:rsidSect="00942DBD">
      <w:footerReference w:type="even" r:id="rId9"/>
      <w:footerReference w:type="default" r:id="rId1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7F" w:rsidRDefault="004D0E7F">
      <w:r>
        <w:separator/>
      </w:r>
    </w:p>
  </w:endnote>
  <w:endnote w:type="continuationSeparator" w:id="0">
    <w:p w:rsidR="004D0E7F" w:rsidRDefault="004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28" w:rsidRDefault="00624E75">
    <w:pPr>
      <w:pStyle w:val="Footer"/>
      <w:framePr w:wrap="around" w:vAnchor="text" w:hAnchor="margin" w:xAlign="center" w:y="1"/>
      <w:rPr>
        <w:rStyle w:val="PageNumber"/>
      </w:rPr>
    </w:pPr>
    <w:r>
      <w:rPr>
        <w:rStyle w:val="PageNumber"/>
      </w:rPr>
      <w:fldChar w:fldCharType="begin"/>
    </w:r>
    <w:r w:rsidR="008E3F28">
      <w:rPr>
        <w:rStyle w:val="PageNumber"/>
      </w:rPr>
      <w:instrText xml:space="preserve">PAGE  </w:instrText>
    </w:r>
    <w:r>
      <w:rPr>
        <w:rStyle w:val="PageNumber"/>
      </w:rPr>
      <w:fldChar w:fldCharType="end"/>
    </w:r>
  </w:p>
  <w:p w:rsidR="008E3F28" w:rsidRDefault="008E3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28" w:rsidRDefault="00624E75">
    <w:pPr>
      <w:pStyle w:val="Footer"/>
      <w:framePr w:wrap="around" w:vAnchor="text" w:hAnchor="margin" w:xAlign="center" w:y="1"/>
      <w:rPr>
        <w:rStyle w:val="PageNumber"/>
      </w:rPr>
    </w:pPr>
    <w:r>
      <w:rPr>
        <w:rStyle w:val="PageNumber"/>
      </w:rPr>
      <w:fldChar w:fldCharType="begin"/>
    </w:r>
    <w:r w:rsidR="008E3F28">
      <w:rPr>
        <w:rStyle w:val="PageNumber"/>
      </w:rPr>
      <w:instrText xml:space="preserve">PAGE  </w:instrText>
    </w:r>
    <w:r>
      <w:rPr>
        <w:rStyle w:val="PageNumber"/>
      </w:rPr>
      <w:fldChar w:fldCharType="separate"/>
    </w:r>
    <w:r w:rsidR="00EB6E2F">
      <w:rPr>
        <w:rStyle w:val="PageNumber"/>
        <w:noProof/>
      </w:rPr>
      <w:t>3</w:t>
    </w:r>
    <w:r>
      <w:rPr>
        <w:rStyle w:val="PageNumber"/>
      </w:rPr>
      <w:fldChar w:fldCharType="end"/>
    </w:r>
  </w:p>
  <w:p w:rsidR="008E3F28" w:rsidRDefault="008E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7F" w:rsidRDefault="004D0E7F">
      <w:r>
        <w:separator/>
      </w:r>
    </w:p>
  </w:footnote>
  <w:footnote w:type="continuationSeparator" w:id="0">
    <w:p w:rsidR="004D0E7F" w:rsidRDefault="004D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056EC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78CC1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E2DD3"/>
    <w:multiLevelType w:val="hybridMultilevel"/>
    <w:tmpl w:val="4AF4D7EC"/>
    <w:lvl w:ilvl="0" w:tplc="D360936A">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37BB9"/>
    <w:multiLevelType w:val="hybridMultilevel"/>
    <w:tmpl w:val="1346C532"/>
    <w:lvl w:ilvl="0" w:tplc="0018F406">
      <w:start w:val="3"/>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9A1B1B"/>
    <w:multiLevelType w:val="hybridMultilevel"/>
    <w:tmpl w:val="5100FA90"/>
    <w:lvl w:ilvl="0" w:tplc="3202EB74">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5" w15:restartNumberingAfterBreak="0">
    <w:nsid w:val="20F22CEC"/>
    <w:multiLevelType w:val="hybridMultilevel"/>
    <w:tmpl w:val="2A56A372"/>
    <w:lvl w:ilvl="0" w:tplc="CF5815A2">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E1C18"/>
    <w:multiLevelType w:val="hybridMultilevel"/>
    <w:tmpl w:val="12686E5A"/>
    <w:lvl w:ilvl="0" w:tplc="D360936A">
      <w:start w:val="1"/>
      <w:numFmt w:val="lowerLetter"/>
      <w:lvlText w:val="%1."/>
      <w:lvlJc w:val="left"/>
      <w:pPr>
        <w:tabs>
          <w:tab w:val="num" w:pos="720"/>
        </w:tabs>
        <w:ind w:left="720" w:hanging="360"/>
      </w:pPr>
    </w:lvl>
    <w:lvl w:ilvl="1" w:tplc="C770B2A8">
      <w:start w:val="1"/>
      <w:numFmt w:val="lowerLetter"/>
      <w:lvlText w:val="%2."/>
      <w:lvlJc w:val="left"/>
      <w:pPr>
        <w:tabs>
          <w:tab w:val="num" w:pos="1440"/>
        </w:tabs>
        <w:ind w:left="1440" w:hanging="360"/>
      </w:pPr>
    </w:lvl>
    <w:lvl w:ilvl="2" w:tplc="5FD25542">
      <w:start w:val="1"/>
      <w:numFmt w:val="lowerLetter"/>
      <w:lvlText w:val="%3."/>
      <w:lvlJc w:val="left"/>
      <w:pPr>
        <w:tabs>
          <w:tab w:val="num" w:pos="2160"/>
        </w:tabs>
        <w:ind w:left="2160" w:hanging="360"/>
      </w:pPr>
    </w:lvl>
    <w:lvl w:ilvl="3" w:tplc="5AB427DA">
      <w:start w:val="1"/>
      <w:numFmt w:val="lowerLetter"/>
      <w:lvlText w:val="%4."/>
      <w:lvlJc w:val="left"/>
      <w:pPr>
        <w:tabs>
          <w:tab w:val="num" w:pos="2880"/>
        </w:tabs>
        <w:ind w:left="2880" w:hanging="360"/>
      </w:pPr>
    </w:lvl>
    <w:lvl w:ilvl="4" w:tplc="56E4E1BE">
      <w:start w:val="1"/>
      <w:numFmt w:val="lowerLetter"/>
      <w:lvlText w:val="%5."/>
      <w:lvlJc w:val="left"/>
      <w:pPr>
        <w:tabs>
          <w:tab w:val="num" w:pos="3600"/>
        </w:tabs>
        <w:ind w:left="3600" w:hanging="360"/>
      </w:pPr>
    </w:lvl>
    <w:lvl w:ilvl="5" w:tplc="C6C4C56A">
      <w:start w:val="1"/>
      <w:numFmt w:val="lowerLetter"/>
      <w:lvlText w:val="%6."/>
      <w:lvlJc w:val="left"/>
      <w:pPr>
        <w:tabs>
          <w:tab w:val="num" w:pos="4320"/>
        </w:tabs>
        <w:ind w:left="4320" w:hanging="360"/>
      </w:pPr>
    </w:lvl>
    <w:lvl w:ilvl="6" w:tplc="3022F53E">
      <w:start w:val="1"/>
      <w:numFmt w:val="lowerLetter"/>
      <w:lvlText w:val="%7."/>
      <w:lvlJc w:val="left"/>
      <w:pPr>
        <w:tabs>
          <w:tab w:val="num" w:pos="5040"/>
        </w:tabs>
        <w:ind w:left="5040" w:hanging="360"/>
      </w:pPr>
    </w:lvl>
    <w:lvl w:ilvl="7" w:tplc="FBBE615A">
      <w:start w:val="1"/>
      <w:numFmt w:val="lowerLetter"/>
      <w:lvlText w:val="%8."/>
      <w:lvlJc w:val="left"/>
      <w:pPr>
        <w:tabs>
          <w:tab w:val="num" w:pos="5760"/>
        </w:tabs>
        <w:ind w:left="5760" w:hanging="360"/>
      </w:pPr>
    </w:lvl>
    <w:lvl w:ilvl="8" w:tplc="16643FE6">
      <w:start w:val="1"/>
      <w:numFmt w:val="lowerLetter"/>
      <w:lvlText w:val="%9."/>
      <w:lvlJc w:val="left"/>
      <w:pPr>
        <w:tabs>
          <w:tab w:val="num" w:pos="6480"/>
        </w:tabs>
        <w:ind w:left="6480" w:hanging="360"/>
      </w:pPr>
    </w:lvl>
  </w:abstractNum>
  <w:abstractNum w:abstractNumId="7" w15:restartNumberingAfterBreak="0">
    <w:nsid w:val="240A4DA2"/>
    <w:multiLevelType w:val="hybridMultilevel"/>
    <w:tmpl w:val="149E47A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60CA"/>
    <w:multiLevelType w:val="singleLevel"/>
    <w:tmpl w:val="0C0A000F"/>
    <w:lvl w:ilvl="0">
      <w:start w:val="1"/>
      <w:numFmt w:val="decimal"/>
      <w:pStyle w:val="ttulo2"/>
      <w:lvlText w:val="%1."/>
      <w:lvlJc w:val="left"/>
      <w:pPr>
        <w:tabs>
          <w:tab w:val="num" w:pos="360"/>
        </w:tabs>
        <w:ind w:left="360" w:hanging="360"/>
      </w:pPr>
    </w:lvl>
  </w:abstractNum>
  <w:abstractNum w:abstractNumId="9" w15:restartNumberingAfterBreak="0">
    <w:nsid w:val="27D428E5"/>
    <w:multiLevelType w:val="singleLevel"/>
    <w:tmpl w:val="A35EBD66"/>
    <w:lvl w:ilvl="0">
      <w:start w:val="1"/>
      <w:numFmt w:val="decimal"/>
      <w:pStyle w:val="ttulo4"/>
      <w:lvlText w:val="%1)"/>
      <w:lvlJc w:val="left"/>
      <w:pPr>
        <w:tabs>
          <w:tab w:val="num" w:pos="360"/>
        </w:tabs>
        <w:ind w:left="360" w:hanging="360"/>
      </w:pPr>
    </w:lvl>
  </w:abstractNum>
  <w:abstractNum w:abstractNumId="10" w15:restartNumberingAfterBreak="0">
    <w:nsid w:val="28C4269E"/>
    <w:multiLevelType w:val="hybridMultilevel"/>
    <w:tmpl w:val="71DC6C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5A7BAE"/>
    <w:multiLevelType w:val="hybridMultilevel"/>
    <w:tmpl w:val="590A5068"/>
    <w:lvl w:ilvl="0" w:tplc="2D7EB6C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E930A1"/>
    <w:multiLevelType w:val="multilevel"/>
    <w:tmpl w:val="9594CCBA"/>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15:restartNumberingAfterBreak="0">
    <w:nsid w:val="45BA2AB5"/>
    <w:multiLevelType w:val="hybridMultilevel"/>
    <w:tmpl w:val="69AC5AC2"/>
    <w:lvl w:ilvl="0" w:tplc="F7A2A52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C3796A"/>
    <w:multiLevelType w:val="singleLevel"/>
    <w:tmpl w:val="20D2733E"/>
    <w:lvl w:ilvl="0">
      <w:start w:val="1"/>
      <w:numFmt w:val="decimal"/>
      <w:pStyle w:val="Heading1"/>
      <w:lvlText w:val="%1."/>
      <w:lvlJc w:val="left"/>
      <w:pPr>
        <w:tabs>
          <w:tab w:val="num" w:pos="360"/>
        </w:tabs>
        <w:ind w:left="360" w:hanging="360"/>
      </w:pPr>
    </w:lvl>
  </w:abstractNum>
  <w:abstractNum w:abstractNumId="15" w15:restartNumberingAfterBreak="0">
    <w:nsid w:val="4DD36368"/>
    <w:multiLevelType w:val="hybridMultilevel"/>
    <w:tmpl w:val="5FFEEA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233B4B"/>
    <w:multiLevelType w:val="hybridMultilevel"/>
    <w:tmpl w:val="B72EEB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6845577"/>
    <w:multiLevelType w:val="hybridMultilevel"/>
    <w:tmpl w:val="18AE41A6"/>
    <w:lvl w:ilvl="0" w:tplc="038A3BB6">
      <w:start w:val="1"/>
      <w:numFmt w:val="bullet"/>
      <w:lvlText w:val=""/>
      <w:lvlJc w:val="left"/>
      <w:pPr>
        <w:tabs>
          <w:tab w:val="num" w:pos="720"/>
        </w:tabs>
        <w:ind w:left="720" w:hanging="360"/>
      </w:pPr>
      <w:rPr>
        <w:rFonts w:ascii="Wingdings" w:hAnsi="Wingdings" w:hint="default"/>
      </w:rPr>
    </w:lvl>
    <w:lvl w:ilvl="1" w:tplc="0F4892E2" w:tentative="1">
      <w:start w:val="1"/>
      <w:numFmt w:val="bullet"/>
      <w:lvlText w:val="o"/>
      <w:lvlJc w:val="left"/>
      <w:pPr>
        <w:tabs>
          <w:tab w:val="num" w:pos="1440"/>
        </w:tabs>
        <w:ind w:left="1440" w:hanging="360"/>
      </w:pPr>
      <w:rPr>
        <w:rFonts w:ascii="Courier New" w:hAnsi="Courier New" w:hint="default"/>
      </w:rPr>
    </w:lvl>
    <w:lvl w:ilvl="2" w:tplc="51BE7BF8" w:tentative="1">
      <w:start w:val="1"/>
      <w:numFmt w:val="bullet"/>
      <w:lvlText w:val=""/>
      <w:lvlJc w:val="left"/>
      <w:pPr>
        <w:tabs>
          <w:tab w:val="num" w:pos="2160"/>
        </w:tabs>
        <w:ind w:left="2160" w:hanging="360"/>
      </w:pPr>
      <w:rPr>
        <w:rFonts w:ascii="Wingdings" w:hAnsi="Wingdings" w:hint="default"/>
      </w:rPr>
    </w:lvl>
    <w:lvl w:ilvl="3" w:tplc="4DC4E05C" w:tentative="1">
      <w:start w:val="1"/>
      <w:numFmt w:val="bullet"/>
      <w:lvlText w:val=""/>
      <w:lvlJc w:val="left"/>
      <w:pPr>
        <w:tabs>
          <w:tab w:val="num" w:pos="2880"/>
        </w:tabs>
        <w:ind w:left="2880" w:hanging="360"/>
      </w:pPr>
      <w:rPr>
        <w:rFonts w:ascii="Symbol" w:hAnsi="Symbol" w:hint="default"/>
      </w:rPr>
    </w:lvl>
    <w:lvl w:ilvl="4" w:tplc="E7567B8A" w:tentative="1">
      <w:start w:val="1"/>
      <w:numFmt w:val="bullet"/>
      <w:lvlText w:val="o"/>
      <w:lvlJc w:val="left"/>
      <w:pPr>
        <w:tabs>
          <w:tab w:val="num" w:pos="3600"/>
        </w:tabs>
        <w:ind w:left="3600" w:hanging="360"/>
      </w:pPr>
      <w:rPr>
        <w:rFonts w:ascii="Courier New" w:hAnsi="Courier New" w:hint="default"/>
      </w:rPr>
    </w:lvl>
    <w:lvl w:ilvl="5" w:tplc="04B6073A" w:tentative="1">
      <w:start w:val="1"/>
      <w:numFmt w:val="bullet"/>
      <w:lvlText w:val=""/>
      <w:lvlJc w:val="left"/>
      <w:pPr>
        <w:tabs>
          <w:tab w:val="num" w:pos="4320"/>
        </w:tabs>
        <w:ind w:left="4320" w:hanging="360"/>
      </w:pPr>
      <w:rPr>
        <w:rFonts w:ascii="Wingdings" w:hAnsi="Wingdings" w:hint="default"/>
      </w:rPr>
    </w:lvl>
    <w:lvl w:ilvl="6" w:tplc="865E453A" w:tentative="1">
      <w:start w:val="1"/>
      <w:numFmt w:val="bullet"/>
      <w:lvlText w:val=""/>
      <w:lvlJc w:val="left"/>
      <w:pPr>
        <w:tabs>
          <w:tab w:val="num" w:pos="5040"/>
        </w:tabs>
        <w:ind w:left="5040" w:hanging="360"/>
      </w:pPr>
      <w:rPr>
        <w:rFonts w:ascii="Symbol" w:hAnsi="Symbol" w:hint="default"/>
      </w:rPr>
    </w:lvl>
    <w:lvl w:ilvl="7" w:tplc="10946026" w:tentative="1">
      <w:start w:val="1"/>
      <w:numFmt w:val="bullet"/>
      <w:lvlText w:val="o"/>
      <w:lvlJc w:val="left"/>
      <w:pPr>
        <w:tabs>
          <w:tab w:val="num" w:pos="5760"/>
        </w:tabs>
        <w:ind w:left="5760" w:hanging="360"/>
      </w:pPr>
      <w:rPr>
        <w:rFonts w:ascii="Courier New" w:hAnsi="Courier New" w:hint="default"/>
      </w:rPr>
    </w:lvl>
    <w:lvl w:ilvl="8" w:tplc="134472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E32BC"/>
    <w:multiLevelType w:val="multilevel"/>
    <w:tmpl w:val="1270B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550E05"/>
    <w:multiLevelType w:val="hybridMultilevel"/>
    <w:tmpl w:val="349E21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36B8C"/>
    <w:multiLevelType w:val="multilevel"/>
    <w:tmpl w:val="5FFEE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804267"/>
    <w:multiLevelType w:val="hybridMultilevel"/>
    <w:tmpl w:val="22E05824"/>
    <w:lvl w:ilvl="0" w:tplc="DBF86F90">
      <w:start w:val="1"/>
      <w:numFmt w:val="decimal"/>
      <w:lvlText w:val="%1)"/>
      <w:lvlJc w:val="left"/>
      <w:pPr>
        <w:tabs>
          <w:tab w:val="num" w:pos="720"/>
        </w:tabs>
        <w:ind w:left="720" w:hanging="360"/>
      </w:pPr>
      <w:rPr>
        <w:rFonts w:hint="default"/>
      </w:rPr>
    </w:lvl>
    <w:lvl w:ilvl="1" w:tplc="496E8724" w:tentative="1">
      <w:start w:val="1"/>
      <w:numFmt w:val="lowerLetter"/>
      <w:lvlText w:val="%2."/>
      <w:lvlJc w:val="left"/>
      <w:pPr>
        <w:tabs>
          <w:tab w:val="num" w:pos="1440"/>
        </w:tabs>
        <w:ind w:left="1440" w:hanging="360"/>
      </w:pPr>
    </w:lvl>
    <w:lvl w:ilvl="2" w:tplc="0A34B8E8" w:tentative="1">
      <w:start w:val="1"/>
      <w:numFmt w:val="lowerRoman"/>
      <w:lvlText w:val="%3."/>
      <w:lvlJc w:val="right"/>
      <w:pPr>
        <w:tabs>
          <w:tab w:val="num" w:pos="2160"/>
        </w:tabs>
        <w:ind w:left="2160" w:hanging="180"/>
      </w:pPr>
    </w:lvl>
    <w:lvl w:ilvl="3" w:tplc="54F0CEC0" w:tentative="1">
      <w:start w:val="1"/>
      <w:numFmt w:val="decimal"/>
      <w:lvlText w:val="%4."/>
      <w:lvlJc w:val="left"/>
      <w:pPr>
        <w:tabs>
          <w:tab w:val="num" w:pos="2880"/>
        </w:tabs>
        <w:ind w:left="2880" w:hanging="360"/>
      </w:pPr>
    </w:lvl>
    <w:lvl w:ilvl="4" w:tplc="25A6CA7C" w:tentative="1">
      <w:start w:val="1"/>
      <w:numFmt w:val="lowerLetter"/>
      <w:lvlText w:val="%5."/>
      <w:lvlJc w:val="left"/>
      <w:pPr>
        <w:tabs>
          <w:tab w:val="num" w:pos="3600"/>
        </w:tabs>
        <w:ind w:left="3600" w:hanging="360"/>
      </w:pPr>
    </w:lvl>
    <w:lvl w:ilvl="5" w:tplc="7FDA4F98" w:tentative="1">
      <w:start w:val="1"/>
      <w:numFmt w:val="lowerRoman"/>
      <w:lvlText w:val="%6."/>
      <w:lvlJc w:val="right"/>
      <w:pPr>
        <w:tabs>
          <w:tab w:val="num" w:pos="4320"/>
        </w:tabs>
        <w:ind w:left="4320" w:hanging="180"/>
      </w:pPr>
    </w:lvl>
    <w:lvl w:ilvl="6" w:tplc="12B636AC" w:tentative="1">
      <w:start w:val="1"/>
      <w:numFmt w:val="decimal"/>
      <w:lvlText w:val="%7."/>
      <w:lvlJc w:val="left"/>
      <w:pPr>
        <w:tabs>
          <w:tab w:val="num" w:pos="5040"/>
        </w:tabs>
        <w:ind w:left="5040" w:hanging="360"/>
      </w:pPr>
    </w:lvl>
    <w:lvl w:ilvl="7" w:tplc="DADA9358" w:tentative="1">
      <w:start w:val="1"/>
      <w:numFmt w:val="lowerLetter"/>
      <w:lvlText w:val="%8."/>
      <w:lvlJc w:val="left"/>
      <w:pPr>
        <w:tabs>
          <w:tab w:val="num" w:pos="5760"/>
        </w:tabs>
        <w:ind w:left="5760" w:hanging="360"/>
      </w:pPr>
    </w:lvl>
    <w:lvl w:ilvl="8" w:tplc="158E5B9A" w:tentative="1">
      <w:start w:val="1"/>
      <w:numFmt w:val="lowerRoman"/>
      <w:lvlText w:val="%9."/>
      <w:lvlJc w:val="right"/>
      <w:pPr>
        <w:tabs>
          <w:tab w:val="num" w:pos="6480"/>
        </w:tabs>
        <w:ind w:left="6480" w:hanging="180"/>
      </w:pPr>
    </w:lvl>
  </w:abstractNum>
  <w:abstractNum w:abstractNumId="22" w15:restartNumberingAfterBreak="0">
    <w:nsid w:val="619E2E48"/>
    <w:multiLevelType w:val="hybridMultilevel"/>
    <w:tmpl w:val="5694C80E"/>
    <w:lvl w:ilvl="0" w:tplc="0809000F">
      <w:start w:val="1"/>
      <w:numFmt w:val="decimal"/>
      <w:lvlText w:val="%1."/>
      <w:lvlJc w:val="left"/>
      <w:pPr>
        <w:tabs>
          <w:tab w:val="num" w:pos="720"/>
        </w:tabs>
        <w:ind w:left="720" w:hanging="360"/>
      </w:pPr>
    </w:lvl>
    <w:lvl w:ilvl="1" w:tplc="4704FC8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E12E42"/>
    <w:multiLevelType w:val="hybridMultilevel"/>
    <w:tmpl w:val="9E20A554"/>
    <w:lvl w:ilvl="0" w:tplc="0F8CAB00">
      <w:start w:val="1"/>
      <w:numFmt w:val="bullet"/>
      <w:lvlText w:val=""/>
      <w:lvlJc w:val="left"/>
      <w:pPr>
        <w:tabs>
          <w:tab w:val="num" w:pos="720"/>
        </w:tabs>
        <w:ind w:left="720" w:hanging="360"/>
      </w:pPr>
      <w:rPr>
        <w:rFonts w:ascii="Wingdings" w:hAnsi="Wingdings" w:hint="default"/>
      </w:rPr>
    </w:lvl>
    <w:lvl w:ilvl="1" w:tplc="AB6A74EE" w:tentative="1">
      <w:start w:val="1"/>
      <w:numFmt w:val="bullet"/>
      <w:lvlText w:val="o"/>
      <w:lvlJc w:val="left"/>
      <w:pPr>
        <w:tabs>
          <w:tab w:val="num" w:pos="1440"/>
        </w:tabs>
        <w:ind w:left="1440" w:hanging="360"/>
      </w:pPr>
      <w:rPr>
        <w:rFonts w:ascii="Courier New" w:hAnsi="Courier New" w:hint="default"/>
      </w:rPr>
    </w:lvl>
    <w:lvl w:ilvl="2" w:tplc="69380D06" w:tentative="1">
      <w:start w:val="1"/>
      <w:numFmt w:val="bullet"/>
      <w:lvlText w:val=""/>
      <w:lvlJc w:val="left"/>
      <w:pPr>
        <w:tabs>
          <w:tab w:val="num" w:pos="2160"/>
        </w:tabs>
        <w:ind w:left="2160" w:hanging="360"/>
      </w:pPr>
      <w:rPr>
        <w:rFonts w:ascii="Wingdings" w:hAnsi="Wingdings" w:hint="default"/>
      </w:rPr>
    </w:lvl>
    <w:lvl w:ilvl="3" w:tplc="1046C8BE" w:tentative="1">
      <w:start w:val="1"/>
      <w:numFmt w:val="bullet"/>
      <w:lvlText w:val=""/>
      <w:lvlJc w:val="left"/>
      <w:pPr>
        <w:tabs>
          <w:tab w:val="num" w:pos="2880"/>
        </w:tabs>
        <w:ind w:left="2880" w:hanging="360"/>
      </w:pPr>
      <w:rPr>
        <w:rFonts w:ascii="Symbol" w:hAnsi="Symbol" w:hint="default"/>
      </w:rPr>
    </w:lvl>
    <w:lvl w:ilvl="4" w:tplc="C59C772A" w:tentative="1">
      <w:start w:val="1"/>
      <w:numFmt w:val="bullet"/>
      <w:lvlText w:val="o"/>
      <w:lvlJc w:val="left"/>
      <w:pPr>
        <w:tabs>
          <w:tab w:val="num" w:pos="3600"/>
        </w:tabs>
        <w:ind w:left="3600" w:hanging="360"/>
      </w:pPr>
      <w:rPr>
        <w:rFonts w:ascii="Courier New" w:hAnsi="Courier New" w:hint="default"/>
      </w:rPr>
    </w:lvl>
    <w:lvl w:ilvl="5" w:tplc="03681898" w:tentative="1">
      <w:start w:val="1"/>
      <w:numFmt w:val="bullet"/>
      <w:lvlText w:val=""/>
      <w:lvlJc w:val="left"/>
      <w:pPr>
        <w:tabs>
          <w:tab w:val="num" w:pos="4320"/>
        </w:tabs>
        <w:ind w:left="4320" w:hanging="360"/>
      </w:pPr>
      <w:rPr>
        <w:rFonts w:ascii="Wingdings" w:hAnsi="Wingdings" w:hint="default"/>
      </w:rPr>
    </w:lvl>
    <w:lvl w:ilvl="6" w:tplc="08087A00" w:tentative="1">
      <w:start w:val="1"/>
      <w:numFmt w:val="bullet"/>
      <w:lvlText w:val=""/>
      <w:lvlJc w:val="left"/>
      <w:pPr>
        <w:tabs>
          <w:tab w:val="num" w:pos="5040"/>
        </w:tabs>
        <w:ind w:left="5040" w:hanging="360"/>
      </w:pPr>
      <w:rPr>
        <w:rFonts w:ascii="Symbol" w:hAnsi="Symbol" w:hint="default"/>
      </w:rPr>
    </w:lvl>
    <w:lvl w:ilvl="7" w:tplc="EB4C4D10" w:tentative="1">
      <w:start w:val="1"/>
      <w:numFmt w:val="bullet"/>
      <w:lvlText w:val="o"/>
      <w:lvlJc w:val="left"/>
      <w:pPr>
        <w:tabs>
          <w:tab w:val="num" w:pos="5760"/>
        </w:tabs>
        <w:ind w:left="5760" w:hanging="360"/>
      </w:pPr>
      <w:rPr>
        <w:rFonts w:ascii="Courier New" w:hAnsi="Courier New" w:hint="default"/>
      </w:rPr>
    </w:lvl>
    <w:lvl w:ilvl="8" w:tplc="D4A8A8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B5435"/>
    <w:multiLevelType w:val="hybridMultilevel"/>
    <w:tmpl w:val="A6A6D810"/>
    <w:lvl w:ilvl="0" w:tplc="3F029076">
      <w:start w:val="1"/>
      <w:numFmt w:val="decimal"/>
      <w:lvlText w:val="%1)"/>
      <w:lvlJc w:val="left"/>
      <w:pPr>
        <w:tabs>
          <w:tab w:val="num" w:pos="720"/>
        </w:tabs>
        <w:ind w:left="720" w:hanging="360"/>
      </w:pPr>
      <w:rPr>
        <w:rFonts w:hint="default"/>
      </w:rPr>
    </w:lvl>
    <w:lvl w:ilvl="1" w:tplc="6AACA6BA" w:tentative="1">
      <w:start w:val="1"/>
      <w:numFmt w:val="lowerLetter"/>
      <w:lvlText w:val="%2."/>
      <w:lvlJc w:val="left"/>
      <w:pPr>
        <w:tabs>
          <w:tab w:val="num" w:pos="1440"/>
        </w:tabs>
        <w:ind w:left="1440" w:hanging="360"/>
      </w:pPr>
    </w:lvl>
    <w:lvl w:ilvl="2" w:tplc="C11CCFD4" w:tentative="1">
      <w:start w:val="1"/>
      <w:numFmt w:val="lowerRoman"/>
      <w:lvlText w:val="%3."/>
      <w:lvlJc w:val="right"/>
      <w:pPr>
        <w:tabs>
          <w:tab w:val="num" w:pos="2160"/>
        </w:tabs>
        <w:ind w:left="2160" w:hanging="180"/>
      </w:pPr>
    </w:lvl>
    <w:lvl w:ilvl="3" w:tplc="B6CC1EF8" w:tentative="1">
      <w:start w:val="1"/>
      <w:numFmt w:val="decimal"/>
      <w:lvlText w:val="%4."/>
      <w:lvlJc w:val="left"/>
      <w:pPr>
        <w:tabs>
          <w:tab w:val="num" w:pos="2880"/>
        </w:tabs>
        <w:ind w:left="2880" w:hanging="360"/>
      </w:pPr>
    </w:lvl>
    <w:lvl w:ilvl="4" w:tplc="703A055C" w:tentative="1">
      <w:start w:val="1"/>
      <w:numFmt w:val="lowerLetter"/>
      <w:lvlText w:val="%5."/>
      <w:lvlJc w:val="left"/>
      <w:pPr>
        <w:tabs>
          <w:tab w:val="num" w:pos="3600"/>
        </w:tabs>
        <w:ind w:left="3600" w:hanging="360"/>
      </w:pPr>
    </w:lvl>
    <w:lvl w:ilvl="5" w:tplc="F920CDE8" w:tentative="1">
      <w:start w:val="1"/>
      <w:numFmt w:val="lowerRoman"/>
      <w:lvlText w:val="%6."/>
      <w:lvlJc w:val="right"/>
      <w:pPr>
        <w:tabs>
          <w:tab w:val="num" w:pos="4320"/>
        </w:tabs>
        <w:ind w:left="4320" w:hanging="180"/>
      </w:pPr>
    </w:lvl>
    <w:lvl w:ilvl="6" w:tplc="F244A492" w:tentative="1">
      <w:start w:val="1"/>
      <w:numFmt w:val="decimal"/>
      <w:lvlText w:val="%7."/>
      <w:lvlJc w:val="left"/>
      <w:pPr>
        <w:tabs>
          <w:tab w:val="num" w:pos="5040"/>
        </w:tabs>
        <w:ind w:left="5040" w:hanging="360"/>
      </w:pPr>
    </w:lvl>
    <w:lvl w:ilvl="7" w:tplc="FEA481CE" w:tentative="1">
      <w:start w:val="1"/>
      <w:numFmt w:val="lowerLetter"/>
      <w:lvlText w:val="%8."/>
      <w:lvlJc w:val="left"/>
      <w:pPr>
        <w:tabs>
          <w:tab w:val="num" w:pos="5760"/>
        </w:tabs>
        <w:ind w:left="5760" w:hanging="360"/>
      </w:pPr>
    </w:lvl>
    <w:lvl w:ilvl="8" w:tplc="208C1232" w:tentative="1">
      <w:start w:val="1"/>
      <w:numFmt w:val="lowerRoman"/>
      <w:lvlText w:val="%9."/>
      <w:lvlJc w:val="right"/>
      <w:pPr>
        <w:tabs>
          <w:tab w:val="num" w:pos="6480"/>
        </w:tabs>
        <w:ind w:left="6480" w:hanging="180"/>
      </w:pPr>
    </w:lvl>
  </w:abstractNum>
  <w:abstractNum w:abstractNumId="25" w15:restartNumberingAfterBreak="0">
    <w:nsid w:val="7A8E5B20"/>
    <w:multiLevelType w:val="hybridMultilevel"/>
    <w:tmpl w:val="8FB221B6"/>
    <w:lvl w:ilvl="0" w:tplc="19CCF2DC">
      <w:start w:val="1"/>
      <w:numFmt w:val="decimal"/>
      <w:lvlText w:val="%1."/>
      <w:lvlJc w:val="left"/>
      <w:pPr>
        <w:tabs>
          <w:tab w:val="num" w:pos="360"/>
        </w:tabs>
        <w:ind w:left="360" w:hanging="360"/>
      </w:pPr>
    </w:lvl>
    <w:lvl w:ilvl="1" w:tplc="775EEF94" w:tentative="1">
      <w:start w:val="1"/>
      <w:numFmt w:val="lowerLetter"/>
      <w:lvlText w:val="%2."/>
      <w:lvlJc w:val="left"/>
      <w:pPr>
        <w:tabs>
          <w:tab w:val="num" w:pos="1080"/>
        </w:tabs>
        <w:ind w:left="1080" w:hanging="360"/>
      </w:pPr>
    </w:lvl>
    <w:lvl w:ilvl="2" w:tplc="813A23F6" w:tentative="1">
      <w:start w:val="1"/>
      <w:numFmt w:val="lowerRoman"/>
      <w:lvlText w:val="%3."/>
      <w:lvlJc w:val="right"/>
      <w:pPr>
        <w:tabs>
          <w:tab w:val="num" w:pos="1800"/>
        </w:tabs>
        <w:ind w:left="1800" w:hanging="180"/>
      </w:pPr>
    </w:lvl>
    <w:lvl w:ilvl="3" w:tplc="E236E64E" w:tentative="1">
      <w:start w:val="1"/>
      <w:numFmt w:val="decimal"/>
      <w:lvlText w:val="%4."/>
      <w:lvlJc w:val="left"/>
      <w:pPr>
        <w:tabs>
          <w:tab w:val="num" w:pos="2520"/>
        </w:tabs>
        <w:ind w:left="2520" w:hanging="360"/>
      </w:pPr>
    </w:lvl>
    <w:lvl w:ilvl="4" w:tplc="C8168490" w:tentative="1">
      <w:start w:val="1"/>
      <w:numFmt w:val="lowerLetter"/>
      <w:lvlText w:val="%5."/>
      <w:lvlJc w:val="left"/>
      <w:pPr>
        <w:tabs>
          <w:tab w:val="num" w:pos="3240"/>
        </w:tabs>
        <w:ind w:left="3240" w:hanging="360"/>
      </w:pPr>
    </w:lvl>
    <w:lvl w:ilvl="5" w:tplc="EC24BB8C" w:tentative="1">
      <w:start w:val="1"/>
      <w:numFmt w:val="lowerRoman"/>
      <w:lvlText w:val="%6."/>
      <w:lvlJc w:val="right"/>
      <w:pPr>
        <w:tabs>
          <w:tab w:val="num" w:pos="3960"/>
        </w:tabs>
        <w:ind w:left="3960" w:hanging="180"/>
      </w:pPr>
    </w:lvl>
    <w:lvl w:ilvl="6" w:tplc="91747ACE" w:tentative="1">
      <w:start w:val="1"/>
      <w:numFmt w:val="decimal"/>
      <w:lvlText w:val="%7."/>
      <w:lvlJc w:val="left"/>
      <w:pPr>
        <w:tabs>
          <w:tab w:val="num" w:pos="4680"/>
        </w:tabs>
        <w:ind w:left="4680" w:hanging="360"/>
      </w:pPr>
    </w:lvl>
    <w:lvl w:ilvl="7" w:tplc="A9FA7618" w:tentative="1">
      <w:start w:val="1"/>
      <w:numFmt w:val="lowerLetter"/>
      <w:lvlText w:val="%8."/>
      <w:lvlJc w:val="left"/>
      <w:pPr>
        <w:tabs>
          <w:tab w:val="num" w:pos="5400"/>
        </w:tabs>
        <w:ind w:left="5400" w:hanging="360"/>
      </w:pPr>
    </w:lvl>
    <w:lvl w:ilvl="8" w:tplc="13E4915C" w:tentative="1">
      <w:start w:val="1"/>
      <w:numFmt w:val="lowerRoman"/>
      <w:lvlText w:val="%9."/>
      <w:lvlJc w:val="right"/>
      <w:pPr>
        <w:tabs>
          <w:tab w:val="num" w:pos="6120"/>
        </w:tabs>
        <w:ind w:left="6120" w:hanging="180"/>
      </w:pPr>
    </w:lvl>
  </w:abstractNum>
  <w:abstractNum w:abstractNumId="26" w15:restartNumberingAfterBreak="0">
    <w:nsid w:val="7ADC2C23"/>
    <w:multiLevelType w:val="hybridMultilevel"/>
    <w:tmpl w:val="7FB607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715BC2"/>
    <w:multiLevelType w:val="hybridMultilevel"/>
    <w:tmpl w:val="DF5C77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14"/>
  </w:num>
  <w:num w:numId="5">
    <w:abstractNumId w:val="8"/>
  </w:num>
  <w:num w:numId="6">
    <w:abstractNumId w:val="21"/>
  </w:num>
  <w:num w:numId="7">
    <w:abstractNumId w:val="23"/>
  </w:num>
  <w:num w:numId="8">
    <w:abstractNumId w:val="24"/>
  </w:num>
  <w:num w:numId="9">
    <w:abstractNumId w:val="25"/>
  </w:num>
  <w:num w:numId="10">
    <w:abstractNumId w:val="17"/>
  </w:num>
  <w:num w:numId="11">
    <w:abstractNumId w:val="12"/>
  </w:num>
  <w:num w:numId="12">
    <w:abstractNumId w:val="11"/>
  </w:num>
  <w:num w:numId="13">
    <w:abstractNumId w:val="18"/>
  </w:num>
  <w:num w:numId="14">
    <w:abstractNumId w:val="13"/>
  </w:num>
  <w:num w:numId="15">
    <w:abstractNumId w:val="10"/>
  </w:num>
  <w:num w:numId="16">
    <w:abstractNumId w:val="15"/>
  </w:num>
  <w:num w:numId="17">
    <w:abstractNumId w:val="22"/>
  </w:num>
  <w:num w:numId="18">
    <w:abstractNumId w:val="20"/>
  </w:num>
  <w:num w:numId="19">
    <w:abstractNumId w:val="4"/>
  </w:num>
  <w:num w:numId="20">
    <w:abstractNumId w:val="5"/>
  </w:num>
  <w:num w:numId="21">
    <w:abstractNumId w:val="7"/>
  </w:num>
  <w:num w:numId="22">
    <w:abstractNumId w:val="6"/>
  </w:num>
  <w:num w:numId="23">
    <w:abstractNumId w:val="19"/>
  </w:num>
  <w:num w:numId="24">
    <w:abstractNumId w:val="3"/>
  </w:num>
  <w:num w:numId="25">
    <w:abstractNumId w:val="26"/>
  </w:num>
  <w:num w:numId="26">
    <w:abstractNumId w:val="27"/>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European Journal of Information System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S-paper-Converted.enl&lt;/item&gt;&lt;/Libraries&gt;&lt;/ENLibraries&gt;"/>
  </w:docVars>
  <w:rsids>
    <w:rsidRoot w:val="003E17E9"/>
    <w:rsid w:val="00000AD8"/>
    <w:rsid w:val="00002C33"/>
    <w:rsid w:val="00013CCD"/>
    <w:rsid w:val="0001418F"/>
    <w:rsid w:val="0001424E"/>
    <w:rsid w:val="0001551E"/>
    <w:rsid w:val="00015E93"/>
    <w:rsid w:val="000162B2"/>
    <w:rsid w:val="000202F4"/>
    <w:rsid w:val="00021E07"/>
    <w:rsid w:val="00022871"/>
    <w:rsid w:val="00022EA4"/>
    <w:rsid w:val="00023007"/>
    <w:rsid w:val="00023F00"/>
    <w:rsid w:val="000244F4"/>
    <w:rsid w:val="000264FD"/>
    <w:rsid w:val="000308F7"/>
    <w:rsid w:val="00030ABF"/>
    <w:rsid w:val="00032DC0"/>
    <w:rsid w:val="000346E2"/>
    <w:rsid w:val="00041D3D"/>
    <w:rsid w:val="00042468"/>
    <w:rsid w:val="0004286C"/>
    <w:rsid w:val="00044E94"/>
    <w:rsid w:val="00046936"/>
    <w:rsid w:val="0005047A"/>
    <w:rsid w:val="000516F3"/>
    <w:rsid w:val="00055880"/>
    <w:rsid w:val="00056529"/>
    <w:rsid w:val="00057B2A"/>
    <w:rsid w:val="0006009A"/>
    <w:rsid w:val="00061352"/>
    <w:rsid w:val="00064587"/>
    <w:rsid w:val="00065587"/>
    <w:rsid w:val="00066BE4"/>
    <w:rsid w:val="00070903"/>
    <w:rsid w:val="00071803"/>
    <w:rsid w:val="00072150"/>
    <w:rsid w:val="0007249B"/>
    <w:rsid w:val="000726E8"/>
    <w:rsid w:val="00072C3D"/>
    <w:rsid w:val="00073726"/>
    <w:rsid w:val="0007785D"/>
    <w:rsid w:val="00077FFD"/>
    <w:rsid w:val="00080316"/>
    <w:rsid w:val="00080A0B"/>
    <w:rsid w:val="00080BE9"/>
    <w:rsid w:val="00082A4D"/>
    <w:rsid w:val="00087792"/>
    <w:rsid w:val="000933AD"/>
    <w:rsid w:val="00093B4F"/>
    <w:rsid w:val="0009708B"/>
    <w:rsid w:val="000A00D8"/>
    <w:rsid w:val="000A2A4D"/>
    <w:rsid w:val="000A30B3"/>
    <w:rsid w:val="000A46A1"/>
    <w:rsid w:val="000A483F"/>
    <w:rsid w:val="000A502D"/>
    <w:rsid w:val="000A6D2A"/>
    <w:rsid w:val="000A73A9"/>
    <w:rsid w:val="000B108F"/>
    <w:rsid w:val="000B1349"/>
    <w:rsid w:val="000B17C1"/>
    <w:rsid w:val="000B3B47"/>
    <w:rsid w:val="000B49F6"/>
    <w:rsid w:val="000B4FC6"/>
    <w:rsid w:val="000B6D6E"/>
    <w:rsid w:val="000C351A"/>
    <w:rsid w:val="000C3EE6"/>
    <w:rsid w:val="000C4584"/>
    <w:rsid w:val="000C56FA"/>
    <w:rsid w:val="000D3A70"/>
    <w:rsid w:val="000D3F9D"/>
    <w:rsid w:val="000D43D4"/>
    <w:rsid w:val="000D5720"/>
    <w:rsid w:val="000D7B67"/>
    <w:rsid w:val="000E1581"/>
    <w:rsid w:val="000E249A"/>
    <w:rsid w:val="000E3765"/>
    <w:rsid w:val="000E3EDC"/>
    <w:rsid w:val="000E4D4D"/>
    <w:rsid w:val="000E564C"/>
    <w:rsid w:val="000E5D8D"/>
    <w:rsid w:val="000E6980"/>
    <w:rsid w:val="000E7215"/>
    <w:rsid w:val="000F1A7E"/>
    <w:rsid w:val="000F4815"/>
    <w:rsid w:val="000F49C2"/>
    <w:rsid w:val="000F510F"/>
    <w:rsid w:val="00101A71"/>
    <w:rsid w:val="00101FEF"/>
    <w:rsid w:val="00106316"/>
    <w:rsid w:val="00106661"/>
    <w:rsid w:val="001100BE"/>
    <w:rsid w:val="001131A6"/>
    <w:rsid w:val="00115A4F"/>
    <w:rsid w:val="00120E3F"/>
    <w:rsid w:val="00121671"/>
    <w:rsid w:val="001218D1"/>
    <w:rsid w:val="00121B6C"/>
    <w:rsid w:val="00122206"/>
    <w:rsid w:val="0012408B"/>
    <w:rsid w:val="0012419D"/>
    <w:rsid w:val="00124965"/>
    <w:rsid w:val="00126078"/>
    <w:rsid w:val="001303D5"/>
    <w:rsid w:val="00130AAD"/>
    <w:rsid w:val="00131206"/>
    <w:rsid w:val="00134697"/>
    <w:rsid w:val="00134E20"/>
    <w:rsid w:val="00135991"/>
    <w:rsid w:val="001365F6"/>
    <w:rsid w:val="00140AD9"/>
    <w:rsid w:val="00143BE9"/>
    <w:rsid w:val="001458CD"/>
    <w:rsid w:val="00146D6D"/>
    <w:rsid w:val="00147627"/>
    <w:rsid w:val="00147ACB"/>
    <w:rsid w:val="00153123"/>
    <w:rsid w:val="00154384"/>
    <w:rsid w:val="00154607"/>
    <w:rsid w:val="001555DA"/>
    <w:rsid w:val="001565D0"/>
    <w:rsid w:val="001576FF"/>
    <w:rsid w:val="001578EC"/>
    <w:rsid w:val="0016642A"/>
    <w:rsid w:val="00166AB2"/>
    <w:rsid w:val="001704F6"/>
    <w:rsid w:val="001712CF"/>
    <w:rsid w:val="00173D36"/>
    <w:rsid w:val="0017605B"/>
    <w:rsid w:val="00176BD4"/>
    <w:rsid w:val="00182378"/>
    <w:rsid w:val="00182C46"/>
    <w:rsid w:val="0018534C"/>
    <w:rsid w:val="00186087"/>
    <w:rsid w:val="00190693"/>
    <w:rsid w:val="0019076D"/>
    <w:rsid w:val="00190A50"/>
    <w:rsid w:val="00194DA4"/>
    <w:rsid w:val="00197DBA"/>
    <w:rsid w:val="001A00A6"/>
    <w:rsid w:val="001A264C"/>
    <w:rsid w:val="001A3BD2"/>
    <w:rsid w:val="001A4EAC"/>
    <w:rsid w:val="001A680C"/>
    <w:rsid w:val="001B1EB8"/>
    <w:rsid w:val="001B231E"/>
    <w:rsid w:val="001B546D"/>
    <w:rsid w:val="001C17CC"/>
    <w:rsid w:val="001C2406"/>
    <w:rsid w:val="001C34B8"/>
    <w:rsid w:val="001C4A5B"/>
    <w:rsid w:val="001C4CC6"/>
    <w:rsid w:val="001C6A43"/>
    <w:rsid w:val="001C6FEF"/>
    <w:rsid w:val="001C7C5C"/>
    <w:rsid w:val="001D0AAA"/>
    <w:rsid w:val="001D1E9B"/>
    <w:rsid w:val="001D41BB"/>
    <w:rsid w:val="001E0103"/>
    <w:rsid w:val="001E0964"/>
    <w:rsid w:val="001E51E3"/>
    <w:rsid w:val="001E5DF5"/>
    <w:rsid w:val="001E6BAE"/>
    <w:rsid w:val="001F1650"/>
    <w:rsid w:val="001F1C23"/>
    <w:rsid w:val="001F3A70"/>
    <w:rsid w:val="001F4918"/>
    <w:rsid w:val="001F7F1F"/>
    <w:rsid w:val="001F7FC2"/>
    <w:rsid w:val="002000EB"/>
    <w:rsid w:val="002008FC"/>
    <w:rsid w:val="00201171"/>
    <w:rsid w:val="00204CD4"/>
    <w:rsid w:val="002070E6"/>
    <w:rsid w:val="002071C9"/>
    <w:rsid w:val="002077C3"/>
    <w:rsid w:val="00213E81"/>
    <w:rsid w:val="00216263"/>
    <w:rsid w:val="0021705E"/>
    <w:rsid w:val="00221A41"/>
    <w:rsid w:val="00223B49"/>
    <w:rsid w:val="00227924"/>
    <w:rsid w:val="00232E42"/>
    <w:rsid w:val="00232EFE"/>
    <w:rsid w:val="00234D5D"/>
    <w:rsid w:val="002350DC"/>
    <w:rsid w:val="002351CE"/>
    <w:rsid w:val="00235641"/>
    <w:rsid w:val="002378E2"/>
    <w:rsid w:val="00240B77"/>
    <w:rsid w:val="00240FA7"/>
    <w:rsid w:val="00241254"/>
    <w:rsid w:val="00244136"/>
    <w:rsid w:val="00244D25"/>
    <w:rsid w:val="00250817"/>
    <w:rsid w:val="00250E89"/>
    <w:rsid w:val="002511B5"/>
    <w:rsid w:val="002535AF"/>
    <w:rsid w:val="00253A1B"/>
    <w:rsid w:val="002546AB"/>
    <w:rsid w:val="00255F0E"/>
    <w:rsid w:val="002659A6"/>
    <w:rsid w:val="0026621F"/>
    <w:rsid w:val="00266CDA"/>
    <w:rsid w:val="00267500"/>
    <w:rsid w:val="00267D1A"/>
    <w:rsid w:val="00270377"/>
    <w:rsid w:val="002743DB"/>
    <w:rsid w:val="00277D80"/>
    <w:rsid w:val="002801FC"/>
    <w:rsid w:val="00282AD5"/>
    <w:rsid w:val="002863BE"/>
    <w:rsid w:val="00286B9B"/>
    <w:rsid w:val="00290C3E"/>
    <w:rsid w:val="00291786"/>
    <w:rsid w:val="00293349"/>
    <w:rsid w:val="002A1231"/>
    <w:rsid w:val="002A143F"/>
    <w:rsid w:val="002A3224"/>
    <w:rsid w:val="002A3987"/>
    <w:rsid w:val="002A607E"/>
    <w:rsid w:val="002B00D2"/>
    <w:rsid w:val="002B2DF4"/>
    <w:rsid w:val="002B5B97"/>
    <w:rsid w:val="002B677C"/>
    <w:rsid w:val="002C0AB0"/>
    <w:rsid w:val="002C7A24"/>
    <w:rsid w:val="002D2649"/>
    <w:rsid w:val="002D4ED2"/>
    <w:rsid w:val="002D6B8A"/>
    <w:rsid w:val="002E18CD"/>
    <w:rsid w:val="002E2D94"/>
    <w:rsid w:val="002E4E73"/>
    <w:rsid w:val="002E7F15"/>
    <w:rsid w:val="002F31CC"/>
    <w:rsid w:val="002F4098"/>
    <w:rsid w:val="002F6BE2"/>
    <w:rsid w:val="002F7210"/>
    <w:rsid w:val="0030032D"/>
    <w:rsid w:val="00303EA8"/>
    <w:rsid w:val="00304683"/>
    <w:rsid w:val="00304FFD"/>
    <w:rsid w:val="00306371"/>
    <w:rsid w:val="00306962"/>
    <w:rsid w:val="00311DAF"/>
    <w:rsid w:val="00314DC6"/>
    <w:rsid w:val="0031521D"/>
    <w:rsid w:val="00322509"/>
    <w:rsid w:val="00331E46"/>
    <w:rsid w:val="00331EB4"/>
    <w:rsid w:val="003341A8"/>
    <w:rsid w:val="00337098"/>
    <w:rsid w:val="003512EF"/>
    <w:rsid w:val="003547F6"/>
    <w:rsid w:val="00356383"/>
    <w:rsid w:val="00357372"/>
    <w:rsid w:val="00357622"/>
    <w:rsid w:val="00361064"/>
    <w:rsid w:val="003610B7"/>
    <w:rsid w:val="003624FE"/>
    <w:rsid w:val="00362CAE"/>
    <w:rsid w:val="0036313A"/>
    <w:rsid w:val="003634FC"/>
    <w:rsid w:val="003646F1"/>
    <w:rsid w:val="00365765"/>
    <w:rsid w:val="0036757C"/>
    <w:rsid w:val="00367735"/>
    <w:rsid w:val="00367FCB"/>
    <w:rsid w:val="0037650A"/>
    <w:rsid w:val="003768EF"/>
    <w:rsid w:val="00381152"/>
    <w:rsid w:val="00383A88"/>
    <w:rsid w:val="00390486"/>
    <w:rsid w:val="003914FE"/>
    <w:rsid w:val="00397D4B"/>
    <w:rsid w:val="003A0DFF"/>
    <w:rsid w:val="003A1B95"/>
    <w:rsid w:val="003A7690"/>
    <w:rsid w:val="003A7C5F"/>
    <w:rsid w:val="003B0BA1"/>
    <w:rsid w:val="003B10E7"/>
    <w:rsid w:val="003B4831"/>
    <w:rsid w:val="003C1B9B"/>
    <w:rsid w:val="003C300C"/>
    <w:rsid w:val="003C4D7D"/>
    <w:rsid w:val="003C590E"/>
    <w:rsid w:val="003C5EAA"/>
    <w:rsid w:val="003D0997"/>
    <w:rsid w:val="003D1B48"/>
    <w:rsid w:val="003D1E27"/>
    <w:rsid w:val="003D3DA4"/>
    <w:rsid w:val="003D6474"/>
    <w:rsid w:val="003D77BD"/>
    <w:rsid w:val="003D7B77"/>
    <w:rsid w:val="003E0979"/>
    <w:rsid w:val="003E17E9"/>
    <w:rsid w:val="003E4B2D"/>
    <w:rsid w:val="003E4F58"/>
    <w:rsid w:val="003E5483"/>
    <w:rsid w:val="003E6124"/>
    <w:rsid w:val="003E748C"/>
    <w:rsid w:val="003E7F06"/>
    <w:rsid w:val="003F0950"/>
    <w:rsid w:val="003F139F"/>
    <w:rsid w:val="003F29D2"/>
    <w:rsid w:val="003F359A"/>
    <w:rsid w:val="003F61CE"/>
    <w:rsid w:val="004031F4"/>
    <w:rsid w:val="00403F70"/>
    <w:rsid w:val="00405351"/>
    <w:rsid w:val="00405F10"/>
    <w:rsid w:val="0040772B"/>
    <w:rsid w:val="004105D7"/>
    <w:rsid w:val="00411A96"/>
    <w:rsid w:val="004124A8"/>
    <w:rsid w:val="00414448"/>
    <w:rsid w:val="0042201C"/>
    <w:rsid w:val="00424483"/>
    <w:rsid w:val="00425033"/>
    <w:rsid w:val="00425667"/>
    <w:rsid w:val="0042643F"/>
    <w:rsid w:val="00430F20"/>
    <w:rsid w:val="00434CB8"/>
    <w:rsid w:val="00434F0F"/>
    <w:rsid w:val="00436EED"/>
    <w:rsid w:val="00437BD3"/>
    <w:rsid w:val="00441893"/>
    <w:rsid w:val="00442331"/>
    <w:rsid w:val="00444BDC"/>
    <w:rsid w:val="00446067"/>
    <w:rsid w:val="0045004B"/>
    <w:rsid w:val="004501C5"/>
    <w:rsid w:val="00450213"/>
    <w:rsid w:val="00450F5B"/>
    <w:rsid w:val="0045122F"/>
    <w:rsid w:val="0045299B"/>
    <w:rsid w:val="00453374"/>
    <w:rsid w:val="0045405F"/>
    <w:rsid w:val="00457D2A"/>
    <w:rsid w:val="00460C76"/>
    <w:rsid w:val="00464281"/>
    <w:rsid w:val="00464AB2"/>
    <w:rsid w:val="00464F51"/>
    <w:rsid w:val="00473031"/>
    <w:rsid w:val="004737CA"/>
    <w:rsid w:val="00474C50"/>
    <w:rsid w:val="004761CF"/>
    <w:rsid w:val="0047780A"/>
    <w:rsid w:val="00480E0C"/>
    <w:rsid w:val="00487684"/>
    <w:rsid w:val="00493F18"/>
    <w:rsid w:val="00495D75"/>
    <w:rsid w:val="004A02C1"/>
    <w:rsid w:val="004A138C"/>
    <w:rsid w:val="004A275F"/>
    <w:rsid w:val="004A2A1E"/>
    <w:rsid w:val="004A4E3E"/>
    <w:rsid w:val="004A585C"/>
    <w:rsid w:val="004A6432"/>
    <w:rsid w:val="004B02FE"/>
    <w:rsid w:val="004B1CB6"/>
    <w:rsid w:val="004B3D06"/>
    <w:rsid w:val="004B5320"/>
    <w:rsid w:val="004C232F"/>
    <w:rsid w:val="004C2A2F"/>
    <w:rsid w:val="004C421E"/>
    <w:rsid w:val="004C5079"/>
    <w:rsid w:val="004C59CF"/>
    <w:rsid w:val="004D0452"/>
    <w:rsid w:val="004D0E7F"/>
    <w:rsid w:val="004D1777"/>
    <w:rsid w:val="004D1831"/>
    <w:rsid w:val="004D46E7"/>
    <w:rsid w:val="004D6A68"/>
    <w:rsid w:val="004D717A"/>
    <w:rsid w:val="004E1923"/>
    <w:rsid w:val="004E2765"/>
    <w:rsid w:val="004E5189"/>
    <w:rsid w:val="004E51A0"/>
    <w:rsid w:val="004E5D20"/>
    <w:rsid w:val="004E62D2"/>
    <w:rsid w:val="004F0B95"/>
    <w:rsid w:val="004F1865"/>
    <w:rsid w:val="004F2E32"/>
    <w:rsid w:val="004F5536"/>
    <w:rsid w:val="004F5DAE"/>
    <w:rsid w:val="004F7E01"/>
    <w:rsid w:val="005006FE"/>
    <w:rsid w:val="00503667"/>
    <w:rsid w:val="005043B3"/>
    <w:rsid w:val="005104D4"/>
    <w:rsid w:val="005112F3"/>
    <w:rsid w:val="005126AE"/>
    <w:rsid w:val="00516141"/>
    <w:rsid w:val="0051644B"/>
    <w:rsid w:val="00520393"/>
    <w:rsid w:val="005254AC"/>
    <w:rsid w:val="00530309"/>
    <w:rsid w:val="005338CF"/>
    <w:rsid w:val="005351F2"/>
    <w:rsid w:val="005373EA"/>
    <w:rsid w:val="0053761A"/>
    <w:rsid w:val="00537E90"/>
    <w:rsid w:val="00543E53"/>
    <w:rsid w:val="0055498B"/>
    <w:rsid w:val="005571C5"/>
    <w:rsid w:val="0055764F"/>
    <w:rsid w:val="00564521"/>
    <w:rsid w:val="00564D1F"/>
    <w:rsid w:val="005652CC"/>
    <w:rsid w:val="00571388"/>
    <w:rsid w:val="0057498E"/>
    <w:rsid w:val="005758CA"/>
    <w:rsid w:val="00576E40"/>
    <w:rsid w:val="00577721"/>
    <w:rsid w:val="0058084A"/>
    <w:rsid w:val="0058610A"/>
    <w:rsid w:val="00586FEC"/>
    <w:rsid w:val="00591284"/>
    <w:rsid w:val="00591BF4"/>
    <w:rsid w:val="00596083"/>
    <w:rsid w:val="005A12B3"/>
    <w:rsid w:val="005A1819"/>
    <w:rsid w:val="005A1993"/>
    <w:rsid w:val="005A3008"/>
    <w:rsid w:val="005A418F"/>
    <w:rsid w:val="005A4DCB"/>
    <w:rsid w:val="005A6FDA"/>
    <w:rsid w:val="005A767C"/>
    <w:rsid w:val="005B0F2E"/>
    <w:rsid w:val="005B2675"/>
    <w:rsid w:val="005B2AC4"/>
    <w:rsid w:val="005B5B65"/>
    <w:rsid w:val="005C02E5"/>
    <w:rsid w:val="005C4635"/>
    <w:rsid w:val="005C4808"/>
    <w:rsid w:val="005D2235"/>
    <w:rsid w:val="005D346D"/>
    <w:rsid w:val="005D3738"/>
    <w:rsid w:val="005D3FEF"/>
    <w:rsid w:val="005E2DE9"/>
    <w:rsid w:val="005E2E6F"/>
    <w:rsid w:val="005E4716"/>
    <w:rsid w:val="005E6211"/>
    <w:rsid w:val="005E7602"/>
    <w:rsid w:val="005E7F84"/>
    <w:rsid w:val="005F1B1B"/>
    <w:rsid w:val="005F1F49"/>
    <w:rsid w:val="005F2701"/>
    <w:rsid w:val="005F40BC"/>
    <w:rsid w:val="005F5EF1"/>
    <w:rsid w:val="005F656A"/>
    <w:rsid w:val="005F6D74"/>
    <w:rsid w:val="00601C66"/>
    <w:rsid w:val="006062F2"/>
    <w:rsid w:val="00607B75"/>
    <w:rsid w:val="00607E3A"/>
    <w:rsid w:val="006109F1"/>
    <w:rsid w:val="00611006"/>
    <w:rsid w:val="0061234B"/>
    <w:rsid w:val="0061359B"/>
    <w:rsid w:val="00613D49"/>
    <w:rsid w:val="00614BB8"/>
    <w:rsid w:val="006204FC"/>
    <w:rsid w:val="00620B6F"/>
    <w:rsid w:val="00623816"/>
    <w:rsid w:val="00623F17"/>
    <w:rsid w:val="00624E75"/>
    <w:rsid w:val="006324FD"/>
    <w:rsid w:val="00632CF7"/>
    <w:rsid w:val="00632D78"/>
    <w:rsid w:val="00636568"/>
    <w:rsid w:val="0063682B"/>
    <w:rsid w:val="006413C3"/>
    <w:rsid w:val="00642F4C"/>
    <w:rsid w:val="00643CF4"/>
    <w:rsid w:val="00643DE5"/>
    <w:rsid w:val="00645187"/>
    <w:rsid w:val="006464E9"/>
    <w:rsid w:val="00650828"/>
    <w:rsid w:val="0065122C"/>
    <w:rsid w:val="00653910"/>
    <w:rsid w:val="0066300D"/>
    <w:rsid w:val="006651DE"/>
    <w:rsid w:val="006656DA"/>
    <w:rsid w:val="00666F5B"/>
    <w:rsid w:val="00670064"/>
    <w:rsid w:val="00670232"/>
    <w:rsid w:val="00672264"/>
    <w:rsid w:val="006729FD"/>
    <w:rsid w:val="00673612"/>
    <w:rsid w:val="00673EFC"/>
    <w:rsid w:val="00675034"/>
    <w:rsid w:val="006756CB"/>
    <w:rsid w:val="0067699D"/>
    <w:rsid w:val="00677553"/>
    <w:rsid w:val="00680BEE"/>
    <w:rsid w:val="00683A90"/>
    <w:rsid w:val="00686140"/>
    <w:rsid w:val="00686662"/>
    <w:rsid w:val="00687504"/>
    <w:rsid w:val="00687F99"/>
    <w:rsid w:val="00690907"/>
    <w:rsid w:val="0069183B"/>
    <w:rsid w:val="006A05E7"/>
    <w:rsid w:val="006A0C23"/>
    <w:rsid w:val="006A0DD0"/>
    <w:rsid w:val="006A6363"/>
    <w:rsid w:val="006B247F"/>
    <w:rsid w:val="006B327E"/>
    <w:rsid w:val="006B5226"/>
    <w:rsid w:val="006B5794"/>
    <w:rsid w:val="006B64F5"/>
    <w:rsid w:val="006B6828"/>
    <w:rsid w:val="006C33A7"/>
    <w:rsid w:val="006C37D9"/>
    <w:rsid w:val="006C67AC"/>
    <w:rsid w:val="006C792C"/>
    <w:rsid w:val="006D2C58"/>
    <w:rsid w:val="006D600D"/>
    <w:rsid w:val="006E05B0"/>
    <w:rsid w:val="006E07C9"/>
    <w:rsid w:val="006E0F16"/>
    <w:rsid w:val="006E2CF7"/>
    <w:rsid w:val="006E465B"/>
    <w:rsid w:val="006E55D6"/>
    <w:rsid w:val="006E5F59"/>
    <w:rsid w:val="006E74F1"/>
    <w:rsid w:val="006E7E2F"/>
    <w:rsid w:val="006F0B26"/>
    <w:rsid w:val="006F3F00"/>
    <w:rsid w:val="006F5C73"/>
    <w:rsid w:val="006F61DD"/>
    <w:rsid w:val="006F77EE"/>
    <w:rsid w:val="00700A4D"/>
    <w:rsid w:val="00703F8D"/>
    <w:rsid w:val="00705953"/>
    <w:rsid w:val="00713925"/>
    <w:rsid w:val="00713F99"/>
    <w:rsid w:val="0071469E"/>
    <w:rsid w:val="00714AA3"/>
    <w:rsid w:val="00715B3B"/>
    <w:rsid w:val="00716FDF"/>
    <w:rsid w:val="007215C7"/>
    <w:rsid w:val="007218B0"/>
    <w:rsid w:val="00724EA7"/>
    <w:rsid w:val="00730DEA"/>
    <w:rsid w:val="007358EE"/>
    <w:rsid w:val="00740513"/>
    <w:rsid w:val="007418BE"/>
    <w:rsid w:val="00742526"/>
    <w:rsid w:val="00743BC7"/>
    <w:rsid w:val="00745080"/>
    <w:rsid w:val="00747E0F"/>
    <w:rsid w:val="007502DB"/>
    <w:rsid w:val="00753A34"/>
    <w:rsid w:val="00755C59"/>
    <w:rsid w:val="00755C83"/>
    <w:rsid w:val="00755E63"/>
    <w:rsid w:val="00762B88"/>
    <w:rsid w:val="007630BC"/>
    <w:rsid w:val="00763D6C"/>
    <w:rsid w:val="007645D1"/>
    <w:rsid w:val="007650CE"/>
    <w:rsid w:val="007662ED"/>
    <w:rsid w:val="007718D4"/>
    <w:rsid w:val="00773CB6"/>
    <w:rsid w:val="00774F0D"/>
    <w:rsid w:val="00787674"/>
    <w:rsid w:val="00787AC1"/>
    <w:rsid w:val="00790806"/>
    <w:rsid w:val="00793C89"/>
    <w:rsid w:val="00795AFC"/>
    <w:rsid w:val="007A38B7"/>
    <w:rsid w:val="007A6576"/>
    <w:rsid w:val="007A6682"/>
    <w:rsid w:val="007B0CF9"/>
    <w:rsid w:val="007B5F9B"/>
    <w:rsid w:val="007B7C0D"/>
    <w:rsid w:val="007C1382"/>
    <w:rsid w:val="007C2660"/>
    <w:rsid w:val="007C2906"/>
    <w:rsid w:val="007C7DF4"/>
    <w:rsid w:val="007D3DE0"/>
    <w:rsid w:val="007D3DE7"/>
    <w:rsid w:val="007D6957"/>
    <w:rsid w:val="007D6DA9"/>
    <w:rsid w:val="007E23D6"/>
    <w:rsid w:val="007E4FB2"/>
    <w:rsid w:val="007E55EE"/>
    <w:rsid w:val="007E6AAB"/>
    <w:rsid w:val="007E72EE"/>
    <w:rsid w:val="007F071E"/>
    <w:rsid w:val="007F69B9"/>
    <w:rsid w:val="008017A3"/>
    <w:rsid w:val="00802F6C"/>
    <w:rsid w:val="00804813"/>
    <w:rsid w:val="00805834"/>
    <w:rsid w:val="00807040"/>
    <w:rsid w:val="008074F7"/>
    <w:rsid w:val="00807D7D"/>
    <w:rsid w:val="008128D3"/>
    <w:rsid w:val="0081746D"/>
    <w:rsid w:val="0082254D"/>
    <w:rsid w:val="00827365"/>
    <w:rsid w:val="00832E74"/>
    <w:rsid w:val="008335FB"/>
    <w:rsid w:val="0083380A"/>
    <w:rsid w:val="008354FF"/>
    <w:rsid w:val="008375E5"/>
    <w:rsid w:val="00840615"/>
    <w:rsid w:val="008412EE"/>
    <w:rsid w:val="0084130B"/>
    <w:rsid w:val="0084176D"/>
    <w:rsid w:val="008428A4"/>
    <w:rsid w:val="00842A7D"/>
    <w:rsid w:val="00844BCF"/>
    <w:rsid w:val="008463E7"/>
    <w:rsid w:val="008472D2"/>
    <w:rsid w:val="0084746D"/>
    <w:rsid w:val="008514F4"/>
    <w:rsid w:val="008529C4"/>
    <w:rsid w:val="008556E1"/>
    <w:rsid w:val="00855ABD"/>
    <w:rsid w:val="00856355"/>
    <w:rsid w:val="00856E2C"/>
    <w:rsid w:val="0086131E"/>
    <w:rsid w:val="008701A3"/>
    <w:rsid w:val="00871AD6"/>
    <w:rsid w:val="00875C5D"/>
    <w:rsid w:val="00880808"/>
    <w:rsid w:val="00880D3C"/>
    <w:rsid w:val="00881117"/>
    <w:rsid w:val="00882620"/>
    <w:rsid w:val="008829FE"/>
    <w:rsid w:val="008834EF"/>
    <w:rsid w:val="00885ECE"/>
    <w:rsid w:val="008937D1"/>
    <w:rsid w:val="0089684F"/>
    <w:rsid w:val="008A272B"/>
    <w:rsid w:val="008A29C5"/>
    <w:rsid w:val="008A41F8"/>
    <w:rsid w:val="008A5320"/>
    <w:rsid w:val="008B0DD9"/>
    <w:rsid w:val="008B25EF"/>
    <w:rsid w:val="008B7574"/>
    <w:rsid w:val="008C05DC"/>
    <w:rsid w:val="008C07C2"/>
    <w:rsid w:val="008C0955"/>
    <w:rsid w:val="008C0FA8"/>
    <w:rsid w:val="008C15F8"/>
    <w:rsid w:val="008C2514"/>
    <w:rsid w:val="008C2DE7"/>
    <w:rsid w:val="008D1A30"/>
    <w:rsid w:val="008D3302"/>
    <w:rsid w:val="008D3325"/>
    <w:rsid w:val="008D34AA"/>
    <w:rsid w:val="008D7DDA"/>
    <w:rsid w:val="008E178C"/>
    <w:rsid w:val="008E3237"/>
    <w:rsid w:val="008E3F28"/>
    <w:rsid w:val="008E4E4E"/>
    <w:rsid w:val="008E5165"/>
    <w:rsid w:val="008F306C"/>
    <w:rsid w:val="008F36AE"/>
    <w:rsid w:val="008F38D9"/>
    <w:rsid w:val="008F4FC7"/>
    <w:rsid w:val="009018C6"/>
    <w:rsid w:val="00901A11"/>
    <w:rsid w:val="00901C88"/>
    <w:rsid w:val="0090308B"/>
    <w:rsid w:val="00903447"/>
    <w:rsid w:val="00905735"/>
    <w:rsid w:val="009068E9"/>
    <w:rsid w:val="00907BDA"/>
    <w:rsid w:val="00910537"/>
    <w:rsid w:val="00911097"/>
    <w:rsid w:val="0091223C"/>
    <w:rsid w:val="00913780"/>
    <w:rsid w:val="009157C6"/>
    <w:rsid w:val="00915E65"/>
    <w:rsid w:val="0091671B"/>
    <w:rsid w:val="00916C22"/>
    <w:rsid w:val="00917D84"/>
    <w:rsid w:val="00920DED"/>
    <w:rsid w:val="009277D8"/>
    <w:rsid w:val="00930F8E"/>
    <w:rsid w:val="00932E1C"/>
    <w:rsid w:val="009343D7"/>
    <w:rsid w:val="00935D45"/>
    <w:rsid w:val="00935EE8"/>
    <w:rsid w:val="0093751E"/>
    <w:rsid w:val="0093797D"/>
    <w:rsid w:val="00940272"/>
    <w:rsid w:val="00942DBD"/>
    <w:rsid w:val="00944058"/>
    <w:rsid w:val="00945857"/>
    <w:rsid w:val="00946107"/>
    <w:rsid w:val="00947B3B"/>
    <w:rsid w:val="00950E32"/>
    <w:rsid w:val="00950FBD"/>
    <w:rsid w:val="009555A4"/>
    <w:rsid w:val="00955D67"/>
    <w:rsid w:val="00956F73"/>
    <w:rsid w:val="00957995"/>
    <w:rsid w:val="009610C1"/>
    <w:rsid w:val="009619EA"/>
    <w:rsid w:val="00965138"/>
    <w:rsid w:val="0096520E"/>
    <w:rsid w:val="0096589E"/>
    <w:rsid w:val="00965D03"/>
    <w:rsid w:val="009672D2"/>
    <w:rsid w:val="00967E27"/>
    <w:rsid w:val="00973A4D"/>
    <w:rsid w:val="00981BF9"/>
    <w:rsid w:val="00982BA8"/>
    <w:rsid w:val="00982F19"/>
    <w:rsid w:val="00983C46"/>
    <w:rsid w:val="0098416A"/>
    <w:rsid w:val="00984A0A"/>
    <w:rsid w:val="00986C02"/>
    <w:rsid w:val="009929E6"/>
    <w:rsid w:val="0099442E"/>
    <w:rsid w:val="00995B95"/>
    <w:rsid w:val="0099763A"/>
    <w:rsid w:val="009A1C68"/>
    <w:rsid w:val="009A4E9E"/>
    <w:rsid w:val="009A77B7"/>
    <w:rsid w:val="009B02D6"/>
    <w:rsid w:val="009B247B"/>
    <w:rsid w:val="009C3410"/>
    <w:rsid w:val="009C35F9"/>
    <w:rsid w:val="009C5E97"/>
    <w:rsid w:val="009C68F0"/>
    <w:rsid w:val="009C6C7D"/>
    <w:rsid w:val="009C7AC9"/>
    <w:rsid w:val="009D0755"/>
    <w:rsid w:val="009D0AC0"/>
    <w:rsid w:val="009D13F2"/>
    <w:rsid w:val="009D180C"/>
    <w:rsid w:val="009D4C6C"/>
    <w:rsid w:val="009D6BD6"/>
    <w:rsid w:val="009D7B51"/>
    <w:rsid w:val="009E204E"/>
    <w:rsid w:val="009E3093"/>
    <w:rsid w:val="009E38DD"/>
    <w:rsid w:val="009E395D"/>
    <w:rsid w:val="009E4549"/>
    <w:rsid w:val="009E4C08"/>
    <w:rsid w:val="009E56D8"/>
    <w:rsid w:val="009F14CA"/>
    <w:rsid w:val="009F1C6D"/>
    <w:rsid w:val="009F3C57"/>
    <w:rsid w:val="009F4DD2"/>
    <w:rsid w:val="009F6054"/>
    <w:rsid w:val="00A00056"/>
    <w:rsid w:val="00A0182C"/>
    <w:rsid w:val="00A05AAC"/>
    <w:rsid w:val="00A07327"/>
    <w:rsid w:val="00A112C0"/>
    <w:rsid w:val="00A15297"/>
    <w:rsid w:val="00A20CEB"/>
    <w:rsid w:val="00A21C0F"/>
    <w:rsid w:val="00A27DE0"/>
    <w:rsid w:val="00A3246F"/>
    <w:rsid w:val="00A32572"/>
    <w:rsid w:val="00A40D5B"/>
    <w:rsid w:val="00A420C9"/>
    <w:rsid w:val="00A4380C"/>
    <w:rsid w:val="00A439B6"/>
    <w:rsid w:val="00A45256"/>
    <w:rsid w:val="00A460EB"/>
    <w:rsid w:val="00A4748F"/>
    <w:rsid w:val="00A502C3"/>
    <w:rsid w:val="00A518C6"/>
    <w:rsid w:val="00A522A9"/>
    <w:rsid w:val="00A53BD1"/>
    <w:rsid w:val="00A54E45"/>
    <w:rsid w:val="00A5719B"/>
    <w:rsid w:val="00A615F0"/>
    <w:rsid w:val="00A619DF"/>
    <w:rsid w:val="00A63271"/>
    <w:rsid w:val="00A63B8E"/>
    <w:rsid w:val="00A6547F"/>
    <w:rsid w:val="00A67E0E"/>
    <w:rsid w:val="00A73810"/>
    <w:rsid w:val="00A74DFF"/>
    <w:rsid w:val="00A7584F"/>
    <w:rsid w:val="00A772C4"/>
    <w:rsid w:val="00A77F5C"/>
    <w:rsid w:val="00A817ED"/>
    <w:rsid w:val="00A8343F"/>
    <w:rsid w:val="00A86552"/>
    <w:rsid w:val="00A87E91"/>
    <w:rsid w:val="00A93090"/>
    <w:rsid w:val="00A9433D"/>
    <w:rsid w:val="00A943BD"/>
    <w:rsid w:val="00AA10E7"/>
    <w:rsid w:val="00AA1577"/>
    <w:rsid w:val="00AA4DD2"/>
    <w:rsid w:val="00AA6537"/>
    <w:rsid w:val="00AA706D"/>
    <w:rsid w:val="00AB10BD"/>
    <w:rsid w:val="00AB11EA"/>
    <w:rsid w:val="00AB1641"/>
    <w:rsid w:val="00AB2E1C"/>
    <w:rsid w:val="00AB7CD5"/>
    <w:rsid w:val="00AC2463"/>
    <w:rsid w:val="00AD2E65"/>
    <w:rsid w:val="00AD300D"/>
    <w:rsid w:val="00AD4581"/>
    <w:rsid w:val="00AD4582"/>
    <w:rsid w:val="00AD4FFF"/>
    <w:rsid w:val="00AD6B05"/>
    <w:rsid w:val="00AE051A"/>
    <w:rsid w:val="00AE062A"/>
    <w:rsid w:val="00AE0D0D"/>
    <w:rsid w:val="00AE4557"/>
    <w:rsid w:val="00AE5E4F"/>
    <w:rsid w:val="00AE6DEA"/>
    <w:rsid w:val="00AF0EB7"/>
    <w:rsid w:val="00AF1D44"/>
    <w:rsid w:val="00AF1F4A"/>
    <w:rsid w:val="00AF519C"/>
    <w:rsid w:val="00AF789F"/>
    <w:rsid w:val="00B00DF9"/>
    <w:rsid w:val="00B0333B"/>
    <w:rsid w:val="00B0584E"/>
    <w:rsid w:val="00B16B24"/>
    <w:rsid w:val="00B17DD1"/>
    <w:rsid w:val="00B201B9"/>
    <w:rsid w:val="00B2067A"/>
    <w:rsid w:val="00B21731"/>
    <w:rsid w:val="00B21FA2"/>
    <w:rsid w:val="00B27700"/>
    <w:rsid w:val="00B27883"/>
    <w:rsid w:val="00B3417E"/>
    <w:rsid w:val="00B3519B"/>
    <w:rsid w:val="00B503F4"/>
    <w:rsid w:val="00B50A09"/>
    <w:rsid w:val="00B50A9D"/>
    <w:rsid w:val="00B527E5"/>
    <w:rsid w:val="00B53310"/>
    <w:rsid w:val="00B547DB"/>
    <w:rsid w:val="00B54D38"/>
    <w:rsid w:val="00B54DAC"/>
    <w:rsid w:val="00B55DAE"/>
    <w:rsid w:val="00B56527"/>
    <w:rsid w:val="00B64B65"/>
    <w:rsid w:val="00B71BA0"/>
    <w:rsid w:val="00B75CFA"/>
    <w:rsid w:val="00B76034"/>
    <w:rsid w:val="00B765B9"/>
    <w:rsid w:val="00B803B9"/>
    <w:rsid w:val="00B82242"/>
    <w:rsid w:val="00B8278F"/>
    <w:rsid w:val="00B8309F"/>
    <w:rsid w:val="00B83336"/>
    <w:rsid w:val="00B83A89"/>
    <w:rsid w:val="00B9086E"/>
    <w:rsid w:val="00B912D4"/>
    <w:rsid w:val="00B92868"/>
    <w:rsid w:val="00B95BAC"/>
    <w:rsid w:val="00B96062"/>
    <w:rsid w:val="00B96B40"/>
    <w:rsid w:val="00B96F03"/>
    <w:rsid w:val="00B9729C"/>
    <w:rsid w:val="00BA0497"/>
    <w:rsid w:val="00BA096D"/>
    <w:rsid w:val="00BA2695"/>
    <w:rsid w:val="00BA6217"/>
    <w:rsid w:val="00BA69A1"/>
    <w:rsid w:val="00BB045C"/>
    <w:rsid w:val="00BB285E"/>
    <w:rsid w:val="00BB5936"/>
    <w:rsid w:val="00BB7A39"/>
    <w:rsid w:val="00BC2474"/>
    <w:rsid w:val="00BC53E9"/>
    <w:rsid w:val="00BC5C5C"/>
    <w:rsid w:val="00BC6996"/>
    <w:rsid w:val="00BC7F6B"/>
    <w:rsid w:val="00BD183D"/>
    <w:rsid w:val="00BD62DC"/>
    <w:rsid w:val="00BD6CAC"/>
    <w:rsid w:val="00BE10EC"/>
    <w:rsid w:val="00BE1B2A"/>
    <w:rsid w:val="00BE30FA"/>
    <w:rsid w:val="00BE33E7"/>
    <w:rsid w:val="00BE3BD9"/>
    <w:rsid w:val="00BE47C9"/>
    <w:rsid w:val="00BE5C44"/>
    <w:rsid w:val="00BE6DDD"/>
    <w:rsid w:val="00BF26DB"/>
    <w:rsid w:val="00BF4596"/>
    <w:rsid w:val="00BF4B6A"/>
    <w:rsid w:val="00BF6451"/>
    <w:rsid w:val="00BF73A7"/>
    <w:rsid w:val="00BF74C8"/>
    <w:rsid w:val="00C01DA5"/>
    <w:rsid w:val="00C0717F"/>
    <w:rsid w:val="00C0723F"/>
    <w:rsid w:val="00C0795C"/>
    <w:rsid w:val="00C12115"/>
    <w:rsid w:val="00C12CA1"/>
    <w:rsid w:val="00C17CEF"/>
    <w:rsid w:val="00C21719"/>
    <w:rsid w:val="00C23304"/>
    <w:rsid w:val="00C2379A"/>
    <w:rsid w:val="00C24A56"/>
    <w:rsid w:val="00C271A6"/>
    <w:rsid w:val="00C27AB4"/>
    <w:rsid w:val="00C30451"/>
    <w:rsid w:val="00C323C7"/>
    <w:rsid w:val="00C33870"/>
    <w:rsid w:val="00C3455B"/>
    <w:rsid w:val="00C349CB"/>
    <w:rsid w:val="00C36DA5"/>
    <w:rsid w:val="00C37728"/>
    <w:rsid w:val="00C4207F"/>
    <w:rsid w:val="00C467CA"/>
    <w:rsid w:val="00C5017A"/>
    <w:rsid w:val="00C572B4"/>
    <w:rsid w:val="00C57FF3"/>
    <w:rsid w:val="00C62330"/>
    <w:rsid w:val="00C6233E"/>
    <w:rsid w:val="00C66B26"/>
    <w:rsid w:val="00C67F8D"/>
    <w:rsid w:val="00C70145"/>
    <w:rsid w:val="00C70B92"/>
    <w:rsid w:val="00C7221A"/>
    <w:rsid w:val="00C7286B"/>
    <w:rsid w:val="00C7305C"/>
    <w:rsid w:val="00C73DEE"/>
    <w:rsid w:val="00C7509B"/>
    <w:rsid w:val="00C81B07"/>
    <w:rsid w:val="00C826A3"/>
    <w:rsid w:val="00C842A1"/>
    <w:rsid w:val="00C90944"/>
    <w:rsid w:val="00C959B2"/>
    <w:rsid w:val="00C959E1"/>
    <w:rsid w:val="00CA0CD6"/>
    <w:rsid w:val="00CA1DC5"/>
    <w:rsid w:val="00CA2EC0"/>
    <w:rsid w:val="00CA4609"/>
    <w:rsid w:val="00CA74FC"/>
    <w:rsid w:val="00CB1811"/>
    <w:rsid w:val="00CB2D08"/>
    <w:rsid w:val="00CB51F3"/>
    <w:rsid w:val="00CB5E1D"/>
    <w:rsid w:val="00CB75D2"/>
    <w:rsid w:val="00CC4433"/>
    <w:rsid w:val="00CC785B"/>
    <w:rsid w:val="00CD0364"/>
    <w:rsid w:val="00CD1024"/>
    <w:rsid w:val="00CD2543"/>
    <w:rsid w:val="00CD2596"/>
    <w:rsid w:val="00CD27C8"/>
    <w:rsid w:val="00CD29DB"/>
    <w:rsid w:val="00CD2E74"/>
    <w:rsid w:val="00CD2F93"/>
    <w:rsid w:val="00CD3A07"/>
    <w:rsid w:val="00CD3B4C"/>
    <w:rsid w:val="00CE15B5"/>
    <w:rsid w:val="00CE417E"/>
    <w:rsid w:val="00CE4D85"/>
    <w:rsid w:val="00CE6963"/>
    <w:rsid w:val="00CF2CA0"/>
    <w:rsid w:val="00CF4D16"/>
    <w:rsid w:val="00CF58CC"/>
    <w:rsid w:val="00CF6B96"/>
    <w:rsid w:val="00D117AB"/>
    <w:rsid w:val="00D12180"/>
    <w:rsid w:val="00D1279E"/>
    <w:rsid w:val="00D12B73"/>
    <w:rsid w:val="00D168D9"/>
    <w:rsid w:val="00D229B1"/>
    <w:rsid w:val="00D23026"/>
    <w:rsid w:val="00D24224"/>
    <w:rsid w:val="00D25588"/>
    <w:rsid w:val="00D255E9"/>
    <w:rsid w:val="00D25C0D"/>
    <w:rsid w:val="00D26192"/>
    <w:rsid w:val="00D331BA"/>
    <w:rsid w:val="00D40D3C"/>
    <w:rsid w:val="00D4187B"/>
    <w:rsid w:val="00D41E03"/>
    <w:rsid w:val="00D41ECA"/>
    <w:rsid w:val="00D434AF"/>
    <w:rsid w:val="00D46AD3"/>
    <w:rsid w:val="00D47210"/>
    <w:rsid w:val="00D50E2D"/>
    <w:rsid w:val="00D55553"/>
    <w:rsid w:val="00D61260"/>
    <w:rsid w:val="00D633C0"/>
    <w:rsid w:val="00D67425"/>
    <w:rsid w:val="00D7224C"/>
    <w:rsid w:val="00D733C0"/>
    <w:rsid w:val="00D74894"/>
    <w:rsid w:val="00D8135C"/>
    <w:rsid w:val="00D81A67"/>
    <w:rsid w:val="00D81B98"/>
    <w:rsid w:val="00D87EC1"/>
    <w:rsid w:val="00D922E9"/>
    <w:rsid w:val="00D92363"/>
    <w:rsid w:val="00D96910"/>
    <w:rsid w:val="00DA1115"/>
    <w:rsid w:val="00DA17F3"/>
    <w:rsid w:val="00DA2594"/>
    <w:rsid w:val="00DA58BC"/>
    <w:rsid w:val="00DA7D03"/>
    <w:rsid w:val="00DA7EC0"/>
    <w:rsid w:val="00DB09F1"/>
    <w:rsid w:val="00DB0BAA"/>
    <w:rsid w:val="00DB17AD"/>
    <w:rsid w:val="00DB27B1"/>
    <w:rsid w:val="00DB5AE1"/>
    <w:rsid w:val="00DB69AA"/>
    <w:rsid w:val="00DB7485"/>
    <w:rsid w:val="00DC01FE"/>
    <w:rsid w:val="00DC11FE"/>
    <w:rsid w:val="00DC1A5C"/>
    <w:rsid w:val="00DC2004"/>
    <w:rsid w:val="00DC22AA"/>
    <w:rsid w:val="00DC2AD2"/>
    <w:rsid w:val="00DC449E"/>
    <w:rsid w:val="00DC6A0A"/>
    <w:rsid w:val="00DC7A1F"/>
    <w:rsid w:val="00DC7E6C"/>
    <w:rsid w:val="00DD162C"/>
    <w:rsid w:val="00DD2BFF"/>
    <w:rsid w:val="00DD41DD"/>
    <w:rsid w:val="00DD58DB"/>
    <w:rsid w:val="00DD6CFA"/>
    <w:rsid w:val="00DD7B45"/>
    <w:rsid w:val="00DE085A"/>
    <w:rsid w:val="00DE35E1"/>
    <w:rsid w:val="00DE3763"/>
    <w:rsid w:val="00DE3A07"/>
    <w:rsid w:val="00DE5E62"/>
    <w:rsid w:val="00DE766D"/>
    <w:rsid w:val="00DF0B14"/>
    <w:rsid w:val="00DF24C2"/>
    <w:rsid w:val="00DF4C2A"/>
    <w:rsid w:val="00DF50E1"/>
    <w:rsid w:val="00DF5614"/>
    <w:rsid w:val="00DF789F"/>
    <w:rsid w:val="00DF7BC7"/>
    <w:rsid w:val="00DF7E87"/>
    <w:rsid w:val="00E04C37"/>
    <w:rsid w:val="00E04F09"/>
    <w:rsid w:val="00E053E3"/>
    <w:rsid w:val="00E064A2"/>
    <w:rsid w:val="00E07F41"/>
    <w:rsid w:val="00E101AD"/>
    <w:rsid w:val="00E10552"/>
    <w:rsid w:val="00E12482"/>
    <w:rsid w:val="00E16C0A"/>
    <w:rsid w:val="00E21230"/>
    <w:rsid w:val="00E232FF"/>
    <w:rsid w:val="00E27255"/>
    <w:rsid w:val="00E3047A"/>
    <w:rsid w:val="00E313E3"/>
    <w:rsid w:val="00E319EE"/>
    <w:rsid w:val="00E324C5"/>
    <w:rsid w:val="00E37557"/>
    <w:rsid w:val="00E40595"/>
    <w:rsid w:val="00E405C2"/>
    <w:rsid w:val="00E40BF7"/>
    <w:rsid w:val="00E41D1D"/>
    <w:rsid w:val="00E4429D"/>
    <w:rsid w:val="00E448EA"/>
    <w:rsid w:val="00E46CED"/>
    <w:rsid w:val="00E50903"/>
    <w:rsid w:val="00E50E0D"/>
    <w:rsid w:val="00E52488"/>
    <w:rsid w:val="00E53538"/>
    <w:rsid w:val="00E562FC"/>
    <w:rsid w:val="00E56BDE"/>
    <w:rsid w:val="00E57D30"/>
    <w:rsid w:val="00E62693"/>
    <w:rsid w:val="00E6287E"/>
    <w:rsid w:val="00E62C05"/>
    <w:rsid w:val="00E62C50"/>
    <w:rsid w:val="00E6499B"/>
    <w:rsid w:val="00E64F96"/>
    <w:rsid w:val="00E65FC7"/>
    <w:rsid w:val="00E72773"/>
    <w:rsid w:val="00E728A9"/>
    <w:rsid w:val="00E73A32"/>
    <w:rsid w:val="00E838CF"/>
    <w:rsid w:val="00E85772"/>
    <w:rsid w:val="00E903B5"/>
    <w:rsid w:val="00E907B9"/>
    <w:rsid w:val="00E9224B"/>
    <w:rsid w:val="00E92A97"/>
    <w:rsid w:val="00E95333"/>
    <w:rsid w:val="00E95BCE"/>
    <w:rsid w:val="00E96108"/>
    <w:rsid w:val="00E970A7"/>
    <w:rsid w:val="00E97E79"/>
    <w:rsid w:val="00EA0B8A"/>
    <w:rsid w:val="00EA0E1B"/>
    <w:rsid w:val="00EA3504"/>
    <w:rsid w:val="00EA484F"/>
    <w:rsid w:val="00EA5C93"/>
    <w:rsid w:val="00EA7555"/>
    <w:rsid w:val="00EB0071"/>
    <w:rsid w:val="00EB23AA"/>
    <w:rsid w:val="00EB26E3"/>
    <w:rsid w:val="00EB6E2F"/>
    <w:rsid w:val="00EC1AE0"/>
    <w:rsid w:val="00EC31DC"/>
    <w:rsid w:val="00EC3698"/>
    <w:rsid w:val="00EC4DBA"/>
    <w:rsid w:val="00EC68A0"/>
    <w:rsid w:val="00EC6DE5"/>
    <w:rsid w:val="00ED154C"/>
    <w:rsid w:val="00ED215A"/>
    <w:rsid w:val="00ED4733"/>
    <w:rsid w:val="00ED6A58"/>
    <w:rsid w:val="00ED7060"/>
    <w:rsid w:val="00ED784D"/>
    <w:rsid w:val="00EE058C"/>
    <w:rsid w:val="00EE10B3"/>
    <w:rsid w:val="00EE1A9C"/>
    <w:rsid w:val="00EE1EBC"/>
    <w:rsid w:val="00EE2356"/>
    <w:rsid w:val="00EE28AB"/>
    <w:rsid w:val="00EE2BDF"/>
    <w:rsid w:val="00EE4B67"/>
    <w:rsid w:val="00EE4CBC"/>
    <w:rsid w:val="00EE4DAF"/>
    <w:rsid w:val="00EE501E"/>
    <w:rsid w:val="00EE54C7"/>
    <w:rsid w:val="00EE6665"/>
    <w:rsid w:val="00EE67C7"/>
    <w:rsid w:val="00EE6F45"/>
    <w:rsid w:val="00EF0BB4"/>
    <w:rsid w:val="00EF2370"/>
    <w:rsid w:val="00EF5751"/>
    <w:rsid w:val="00EF723B"/>
    <w:rsid w:val="00EF754A"/>
    <w:rsid w:val="00F01D12"/>
    <w:rsid w:val="00F01D39"/>
    <w:rsid w:val="00F05A15"/>
    <w:rsid w:val="00F10546"/>
    <w:rsid w:val="00F10DED"/>
    <w:rsid w:val="00F149E7"/>
    <w:rsid w:val="00F1607A"/>
    <w:rsid w:val="00F16558"/>
    <w:rsid w:val="00F20B5E"/>
    <w:rsid w:val="00F21821"/>
    <w:rsid w:val="00F21E36"/>
    <w:rsid w:val="00F228B9"/>
    <w:rsid w:val="00F252AC"/>
    <w:rsid w:val="00F25D79"/>
    <w:rsid w:val="00F276AF"/>
    <w:rsid w:val="00F27A21"/>
    <w:rsid w:val="00F335F2"/>
    <w:rsid w:val="00F343FA"/>
    <w:rsid w:val="00F35D10"/>
    <w:rsid w:val="00F35D6E"/>
    <w:rsid w:val="00F42882"/>
    <w:rsid w:val="00F43ABE"/>
    <w:rsid w:val="00F44BE0"/>
    <w:rsid w:val="00F44E14"/>
    <w:rsid w:val="00F517F9"/>
    <w:rsid w:val="00F532F0"/>
    <w:rsid w:val="00F601C4"/>
    <w:rsid w:val="00F653F9"/>
    <w:rsid w:val="00F727C2"/>
    <w:rsid w:val="00F74329"/>
    <w:rsid w:val="00F752A0"/>
    <w:rsid w:val="00F75581"/>
    <w:rsid w:val="00F76165"/>
    <w:rsid w:val="00F802D4"/>
    <w:rsid w:val="00F80483"/>
    <w:rsid w:val="00F82032"/>
    <w:rsid w:val="00F84032"/>
    <w:rsid w:val="00F85352"/>
    <w:rsid w:val="00F864E8"/>
    <w:rsid w:val="00F879AD"/>
    <w:rsid w:val="00F906A9"/>
    <w:rsid w:val="00F909D0"/>
    <w:rsid w:val="00F958B8"/>
    <w:rsid w:val="00F9602A"/>
    <w:rsid w:val="00F9686D"/>
    <w:rsid w:val="00FA2202"/>
    <w:rsid w:val="00FA3A1F"/>
    <w:rsid w:val="00FA4489"/>
    <w:rsid w:val="00FA50E6"/>
    <w:rsid w:val="00FA6EEE"/>
    <w:rsid w:val="00FB0321"/>
    <w:rsid w:val="00FB7C0E"/>
    <w:rsid w:val="00FC1C36"/>
    <w:rsid w:val="00FC29F9"/>
    <w:rsid w:val="00FC33FB"/>
    <w:rsid w:val="00FC5E1F"/>
    <w:rsid w:val="00FD1B81"/>
    <w:rsid w:val="00FD2823"/>
    <w:rsid w:val="00FD42EF"/>
    <w:rsid w:val="00FD4968"/>
    <w:rsid w:val="00FD6B9F"/>
    <w:rsid w:val="00FE0DCE"/>
    <w:rsid w:val="00FE1395"/>
    <w:rsid w:val="00FE28CE"/>
    <w:rsid w:val="00FE2CC2"/>
    <w:rsid w:val="00FF5DA8"/>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45A55-C499-47B6-BF4E-8EA830F1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BD"/>
    <w:rPr>
      <w:sz w:val="24"/>
      <w:szCs w:val="24"/>
    </w:rPr>
  </w:style>
  <w:style w:type="paragraph" w:styleId="Heading1">
    <w:name w:val="heading 1"/>
    <w:basedOn w:val="Normal"/>
    <w:next w:val="Normal"/>
    <w:qFormat/>
    <w:rsid w:val="00942DBD"/>
    <w:pPr>
      <w:keepNext/>
      <w:numPr>
        <w:numId w:val="4"/>
      </w:numPr>
      <w:spacing w:before="240" w:after="60" w:line="288" w:lineRule="auto"/>
      <w:jc w:val="both"/>
      <w:outlineLvl w:val="0"/>
    </w:pPr>
    <w:rPr>
      <w:rFonts w:ascii="Arial" w:hAnsi="Arial"/>
      <w:b/>
      <w:kern w:val="28"/>
      <w:sz w:val="28"/>
      <w:szCs w:val="20"/>
    </w:rPr>
  </w:style>
  <w:style w:type="paragraph" w:styleId="Heading2">
    <w:name w:val="heading 2"/>
    <w:basedOn w:val="Normal"/>
    <w:next w:val="Normal"/>
    <w:qFormat/>
    <w:rsid w:val="00942DBD"/>
    <w:pPr>
      <w:keepNext/>
      <w:spacing w:line="480" w:lineRule="auto"/>
      <w:jc w:val="both"/>
      <w:outlineLvl w:val="1"/>
    </w:pPr>
    <w:rPr>
      <w:rFonts w:eastAsia="SimSun"/>
      <w:b/>
      <w:bCs/>
      <w:lang w:val="en-GB" w:eastAsia="zh-CN"/>
    </w:rPr>
  </w:style>
  <w:style w:type="paragraph" w:styleId="Heading3">
    <w:name w:val="heading 3"/>
    <w:basedOn w:val="Normal"/>
    <w:next w:val="Normal"/>
    <w:qFormat/>
    <w:rsid w:val="00942DBD"/>
    <w:pPr>
      <w:keepNext/>
      <w:spacing w:before="240" w:after="60" w:line="288" w:lineRule="auto"/>
      <w:jc w:val="both"/>
      <w:outlineLvl w:val="2"/>
    </w:pPr>
    <w:rPr>
      <w:rFonts w:ascii="Arial" w:hAnsi="Arial"/>
      <w:szCs w:val="20"/>
    </w:rPr>
  </w:style>
  <w:style w:type="paragraph" w:styleId="Heading4">
    <w:name w:val="heading 4"/>
    <w:basedOn w:val="Normal"/>
    <w:next w:val="Normal"/>
    <w:qFormat/>
    <w:rsid w:val="00942DBD"/>
    <w:pPr>
      <w:keepNext/>
      <w:spacing w:before="240" w:after="60" w:line="288" w:lineRule="auto"/>
      <w:jc w:val="both"/>
      <w:outlineLvl w:val="3"/>
    </w:pPr>
    <w:rPr>
      <w:rFonts w:ascii="Arial" w:hAnsi="Arial"/>
      <w:b/>
      <w:szCs w:val="20"/>
    </w:rPr>
  </w:style>
  <w:style w:type="paragraph" w:styleId="Heading5">
    <w:name w:val="heading 5"/>
    <w:basedOn w:val="Normal"/>
    <w:next w:val="Normal"/>
    <w:qFormat/>
    <w:rsid w:val="00942DBD"/>
    <w:pPr>
      <w:keepNext/>
      <w:autoSpaceDE w:val="0"/>
      <w:autoSpaceDN w:val="0"/>
      <w:adjustRightInd w:val="0"/>
      <w:outlineLvl w:val="4"/>
    </w:pPr>
    <w:rPr>
      <w:b/>
      <w:bCs/>
      <w:color w:val="000000"/>
      <w:sz w:val="20"/>
      <w:szCs w:val="18"/>
      <w:lang w:val="en-US"/>
    </w:rPr>
  </w:style>
  <w:style w:type="paragraph" w:styleId="Heading6">
    <w:name w:val="heading 6"/>
    <w:basedOn w:val="Normal"/>
    <w:next w:val="Normal"/>
    <w:qFormat/>
    <w:rsid w:val="00942DBD"/>
    <w:pPr>
      <w:keepNext/>
      <w:jc w:val="center"/>
      <w:outlineLvl w:val="5"/>
    </w:pPr>
    <w:rPr>
      <w:b/>
      <w:sz w:val="20"/>
      <w:szCs w:val="20"/>
      <w:lang w:val="en-US" w:eastAsia="en-US"/>
    </w:rPr>
  </w:style>
  <w:style w:type="paragraph" w:styleId="Heading7">
    <w:name w:val="heading 7"/>
    <w:basedOn w:val="Normal"/>
    <w:next w:val="Normal"/>
    <w:qFormat/>
    <w:rsid w:val="00942DBD"/>
    <w:pPr>
      <w:keepNext/>
      <w:autoSpaceDE w:val="0"/>
      <w:autoSpaceDN w:val="0"/>
      <w:adjustRightInd w:val="0"/>
      <w:jc w:val="right"/>
      <w:outlineLvl w:val="6"/>
    </w:pPr>
    <w:rPr>
      <w:b/>
      <w:bCs/>
      <w:color w:val="000000"/>
      <w:sz w:val="20"/>
      <w:szCs w:val="18"/>
      <w:lang w:val="en-US"/>
    </w:rPr>
  </w:style>
  <w:style w:type="paragraph" w:styleId="Heading8">
    <w:name w:val="heading 8"/>
    <w:basedOn w:val="Normal"/>
    <w:next w:val="Normal"/>
    <w:qFormat/>
    <w:rsid w:val="00942DBD"/>
    <w:pPr>
      <w:keepNext/>
      <w:tabs>
        <w:tab w:val="center" w:pos="6422"/>
      </w:tabs>
      <w:autoSpaceDE w:val="0"/>
      <w:autoSpaceDN w:val="0"/>
      <w:adjustRightInd w:val="0"/>
      <w:outlineLvl w:val="7"/>
    </w:pPr>
    <w:rPr>
      <w:rFonts w:ascii="Arial" w:hAnsi="Arial" w:cs="Arial"/>
      <w:b/>
      <w:bCs/>
      <w:color w:val="000000"/>
      <w:sz w:val="18"/>
      <w:szCs w:val="18"/>
    </w:rPr>
  </w:style>
  <w:style w:type="paragraph" w:styleId="Heading9">
    <w:name w:val="heading 9"/>
    <w:basedOn w:val="Normal"/>
    <w:next w:val="Normal"/>
    <w:qFormat/>
    <w:rsid w:val="00942DBD"/>
    <w:pPr>
      <w:keepNext/>
      <w:spacing w:before="120" w:line="480" w:lineRule="auto"/>
      <w:jc w:val="both"/>
      <w:outlineLvl w:val="8"/>
    </w:pPr>
    <w:rPr>
      <w:rFonts w:ascii="Arial" w:hAnsi="Arial"/>
      <w:b/>
      <w:sz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2DBD"/>
    <w:pPr>
      <w:jc w:val="both"/>
    </w:pPr>
    <w:rPr>
      <w:lang w:val="en-US"/>
    </w:rPr>
  </w:style>
  <w:style w:type="paragraph" w:customStyle="1" w:styleId="Normal1">
    <w:name w:val="Normal1"/>
    <w:basedOn w:val="Normal"/>
    <w:rsid w:val="00942DBD"/>
    <w:pPr>
      <w:spacing w:after="180" w:line="288" w:lineRule="auto"/>
      <w:jc w:val="both"/>
    </w:pPr>
    <w:rPr>
      <w:rFonts w:ascii="Arial" w:hAnsi="Arial"/>
      <w:szCs w:val="20"/>
      <w:lang w:val="es-ES_tradnl"/>
    </w:rPr>
  </w:style>
  <w:style w:type="character" w:styleId="FootnoteReference">
    <w:name w:val="footnote reference"/>
    <w:semiHidden/>
    <w:rsid w:val="00942DBD"/>
    <w:rPr>
      <w:vertAlign w:val="superscript"/>
    </w:rPr>
  </w:style>
  <w:style w:type="paragraph" w:styleId="FootnoteText">
    <w:name w:val="footnote text"/>
    <w:basedOn w:val="Normal"/>
    <w:semiHidden/>
    <w:rsid w:val="00942DBD"/>
    <w:pPr>
      <w:spacing w:line="288" w:lineRule="auto"/>
      <w:jc w:val="both"/>
    </w:pPr>
    <w:rPr>
      <w:rFonts w:ascii="Arial" w:hAnsi="Arial"/>
      <w:sz w:val="20"/>
      <w:szCs w:val="20"/>
    </w:rPr>
  </w:style>
  <w:style w:type="paragraph" w:styleId="BodyTextIndent2">
    <w:name w:val="Body Text Indent 2"/>
    <w:basedOn w:val="Normal"/>
    <w:semiHidden/>
    <w:rsid w:val="00942DBD"/>
    <w:pPr>
      <w:spacing w:line="360" w:lineRule="auto"/>
      <w:ind w:firstLine="284"/>
      <w:jc w:val="both"/>
    </w:pPr>
    <w:rPr>
      <w:sz w:val="22"/>
      <w:szCs w:val="20"/>
      <w:lang w:val="es-ES_tradnl" w:eastAsia="en-US"/>
    </w:rPr>
  </w:style>
  <w:style w:type="paragraph" w:styleId="BodyText2">
    <w:name w:val="Body Text 2"/>
    <w:basedOn w:val="Normal"/>
    <w:semiHidden/>
    <w:rsid w:val="00942DBD"/>
    <w:pPr>
      <w:spacing w:line="360" w:lineRule="auto"/>
    </w:pPr>
    <w:rPr>
      <w:rFonts w:ascii="Arial" w:hAnsi="Arial"/>
      <w:sz w:val="22"/>
      <w:szCs w:val="20"/>
      <w:lang w:val="es-ES_tradnl"/>
    </w:rPr>
  </w:style>
  <w:style w:type="paragraph" w:styleId="Footer">
    <w:name w:val="footer"/>
    <w:basedOn w:val="Normal"/>
    <w:semiHidden/>
    <w:rsid w:val="00942DBD"/>
    <w:pPr>
      <w:tabs>
        <w:tab w:val="center" w:pos="4252"/>
        <w:tab w:val="right" w:pos="8504"/>
      </w:tabs>
    </w:pPr>
  </w:style>
  <w:style w:type="character" w:styleId="PageNumber">
    <w:name w:val="page number"/>
    <w:basedOn w:val="DefaultParagraphFont"/>
    <w:semiHidden/>
    <w:rsid w:val="00942DBD"/>
  </w:style>
  <w:style w:type="paragraph" w:customStyle="1" w:styleId="ttulo1">
    <w:name w:val="título 1"/>
    <w:basedOn w:val="Heading1"/>
    <w:autoRedefine/>
    <w:rsid w:val="00942DBD"/>
    <w:pPr>
      <w:numPr>
        <w:numId w:val="0"/>
      </w:numPr>
      <w:spacing w:before="0" w:after="0" w:line="480" w:lineRule="auto"/>
    </w:pPr>
    <w:rPr>
      <w:rFonts w:ascii="Times New Roman" w:hAnsi="Times New Roman"/>
      <w:lang w:val="en-US"/>
    </w:rPr>
  </w:style>
  <w:style w:type="paragraph" w:customStyle="1" w:styleId="ttulo4">
    <w:name w:val="título 4"/>
    <w:basedOn w:val="Heading4"/>
    <w:rsid w:val="00942DBD"/>
    <w:pPr>
      <w:numPr>
        <w:numId w:val="3"/>
      </w:numPr>
      <w:spacing w:after="240"/>
    </w:pPr>
    <w:rPr>
      <w:b w:val="0"/>
      <w:i/>
      <w:lang w:val="es-ES_tradnl"/>
    </w:rPr>
  </w:style>
  <w:style w:type="paragraph" w:customStyle="1" w:styleId="ttulo3">
    <w:name w:val="título 3"/>
    <w:basedOn w:val="Heading3"/>
    <w:rsid w:val="00942DBD"/>
    <w:pPr>
      <w:numPr>
        <w:ilvl w:val="2"/>
        <w:numId w:val="5"/>
      </w:numPr>
      <w:spacing w:before="120" w:after="240" w:line="360" w:lineRule="auto"/>
    </w:pPr>
    <w:rPr>
      <w:b/>
    </w:rPr>
  </w:style>
  <w:style w:type="paragraph" w:customStyle="1" w:styleId="ttulo2">
    <w:name w:val="título 2"/>
    <w:basedOn w:val="Heading2"/>
    <w:rsid w:val="00942DBD"/>
    <w:pPr>
      <w:numPr>
        <w:ilvl w:val="1"/>
        <w:numId w:val="5"/>
      </w:numPr>
      <w:spacing w:before="120" w:after="240" w:line="360" w:lineRule="auto"/>
    </w:pPr>
    <w:rPr>
      <w:rFonts w:ascii="Arial" w:eastAsia="Times New Roman" w:hAnsi="Arial"/>
      <w:bCs w:val="0"/>
      <w:snapToGrid w:val="0"/>
      <w:sz w:val="28"/>
      <w:szCs w:val="20"/>
      <w:lang w:val="en-US" w:eastAsia="es-ES"/>
    </w:rPr>
  </w:style>
  <w:style w:type="character" w:customStyle="1" w:styleId="medium-normal">
    <w:name w:val="medium-normal"/>
    <w:basedOn w:val="DefaultParagraphFont"/>
    <w:rsid w:val="00942DBD"/>
  </w:style>
  <w:style w:type="character" w:customStyle="1" w:styleId="goohl0">
    <w:name w:val="goohl0"/>
    <w:basedOn w:val="DefaultParagraphFont"/>
    <w:rsid w:val="00942DBD"/>
  </w:style>
  <w:style w:type="paragraph" w:customStyle="1" w:styleId="CommentSubject1">
    <w:name w:val="Comment Subject1"/>
    <w:basedOn w:val="CommentText"/>
    <w:next w:val="CommentText"/>
    <w:semiHidden/>
    <w:rsid w:val="00942DBD"/>
    <w:rPr>
      <w:b/>
      <w:bCs/>
    </w:rPr>
  </w:style>
  <w:style w:type="paragraph" w:styleId="CommentText">
    <w:name w:val="annotation text"/>
    <w:basedOn w:val="Normal"/>
    <w:link w:val="CommentTextChar"/>
    <w:semiHidden/>
    <w:rsid w:val="00942DBD"/>
    <w:rPr>
      <w:sz w:val="20"/>
      <w:szCs w:val="20"/>
    </w:rPr>
  </w:style>
  <w:style w:type="paragraph" w:customStyle="1" w:styleId="BalloonText1">
    <w:name w:val="Balloon Text1"/>
    <w:basedOn w:val="Normal"/>
    <w:semiHidden/>
    <w:rsid w:val="00942DBD"/>
    <w:rPr>
      <w:rFonts w:ascii="Tahoma" w:hAnsi="Tahoma" w:cs="Tahoma"/>
      <w:sz w:val="16"/>
      <w:szCs w:val="16"/>
    </w:rPr>
  </w:style>
  <w:style w:type="paragraph" w:styleId="Title">
    <w:name w:val="Title"/>
    <w:basedOn w:val="Normal"/>
    <w:qFormat/>
    <w:rsid w:val="00942DBD"/>
    <w:pPr>
      <w:jc w:val="center"/>
    </w:pPr>
    <w:rPr>
      <w:b/>
      <w:bCs/>
      <w:sz w:val="20"/>
      <w:szCs w:val="20"/>
      <w:lang w:eastAsia="en-US"/>
    </w:rPr>
  </w:style>
  <w:style w:type="character" w:styleId="Hyperlink">
    <w:name w:val="Hyperlink"/>
    <w:semiHidden/>
    <w:rsid w:val="00942DBD"/>
    <w:rPr>
      <w:color w:val="0000FF"/>
      <w:u w:val="single"/>
    </w:rPr>
  </w:style>
  <w:style w:type="paragraph" w:customStyle="1" w:styleId="BodyText21">
    <w:name w:val="Body Text 21"/>
    <w:basedOn w:val="Normal"/>
    <w:rsid w:val="00942DBD"/>
    <w:pPr>
      <w:widowControl w:val="0"/>
      <w:ind w:firstLine="709"/>
      <w:jc w:val="both"/>
    </w:pPr>
    <w:rPr>
      <w:szCs w:val="20"/>
      <w:lang w:val="es-ES_tradnl" w:eastAsia="en-US"/>
    </w:rPr>
  </w:style>
  <w:style w:type="paragraph" w:styleId="BodyTextIndent">
    <w:name w:val="Body Text Indent"/>
    <w:basedOn w:val="Normal"/>
    <w:semiHidden/>
    <w:rsid w:val="00942DBD"/>
    <w:pPr>
      <w:spacing w:line="360" w:lineRule="auto"/>
      <w:ind w:firstLine="284"/>
      <w:jc w:val="both"/>
    </w:pPr>
  </w:style>
  <w:style w:type="paragraph" w:styleId="BodyTextIndent3">
    <w:name w:val="Body Text Indent 3"/>
    <w:basedOn w:val="Normal"/>
    <w:semiHidden/>
    <w:rsid w:val="00942DBD"/>
    <w:pPr>
      <w:spacing w:line="360" w:lineRule="auto"/>
      <w:ind w:firstLine="567"/>
      <w:jc w:val="both"/>
    </w:pPr>
    <w:rPr>
      <w:rFonts w:ascii="Arial" w:hAnsi="Arial"/>
      <w:szCs w:val="20"/>
      <w:lang w:val="es-ES_tradnl"/>
    </w:rPr>
  </w:style>
  <w:style w:type="paragraph" w:styleId="Header">
    <w:name w:val="header"/>
    <w:basedOn w:val="Normal"/>
    <w:semiHidden/>
    <w:rsid w:val="00942DBD"/>
    <w:pPr>
      <w:tabs>
        <w:tab w:val="center" w:pos="4252"/>
        <w:tab w:val="right" w:pos="8504"/>
      </w:tabs>
    </w:pPr>
  </w:style>
  <w:style w:type="character" w:styleId="FollowedHyperlink">
    <w:name w:val="FollowedHyperlink"/>
    <w:semiHidden/>
    <w:rsid w:val="00942DBD"/>
    <w:rPr>
      <w:color w:val="800080"/>
      <w:u w:val="single"/>
    </w:rPr>
  </w:style>
  <w:style w:type="paragraph" w:styleId="BodyText3">
    <w:name w:val="Body Text 3"/>
    <w:basedOn w:val="Normal"/>
    <w:semiHidden/>
    <w:rsid w:val="00942DBD"/>
    <w:pPr>
      <w:jc w:val="both"/>
    </w:pPr>
    <w:rPr>
      <w:lang w:val="en-GB"/>
    </w:rPr>
  </w:style>
  <w:style w:type="paragraph" w:styleId="BlockText">
    <w:name w:val="Block Text"/>
    <w:basedOn w:val="Normal"/>
    <w:semiHidden/>
    <w:rsid w:val="00942DBD"/>
    <w:pPr>
      <w:ind w:left="357" w:right="430"/>
      <w:jc w:val="both"/>
    </w:pPr>
    <w:rPr>
      <w:sz w:val="18"/>
      <w:szCs w:val="18"/>
      <w:lang w:val="en-US"/>
    </w:rPr>
  </w:style>
  <w:style w:type="paragraph" w:styleId="BalloonText">
    <w:name w:val="Balloon Text"/>
    <w:basedOn w:val="Normal"/>
    <w:link w:val="BalloonTextChar"/>
    <w:uiPriority w:val="99"/>
    <w:semiHidden/>
    <w:unhideWhenUsed/>
    <w:rsid w:val="003768EF"/>
    <w:rPr>
      <w:rFonts w:ascii="Tahoma" w:hAnsi="Tahoma" w:cs="Tahoma"/>
      <w:sz w:val="16"/>
      <w:szCs w:val="16"/>
    </w:rPr>
  </w:style>
  <w:style w:type="character" w:customStyle="1" w:styleId="BalloonTextChar">
    <w:name w:val="Balloon Text Char"/>
    <w:basedOn w:val="DefaultParagraphFont"/>
    <w:link w:val="BalloonText"/>
    <w:uiPriority w:val="99"/>
    <w:semiHidden/>
    <w:rsid w:val="003768EF"/>
    <w:rPr>
      <w:rFonts w:ascii="Tahoma" w:hAnsi="Tahoma" w:cs="Tahoma"/>
      <w:sz w:val="16"/>
      <w:szCs w:val="16"/>
    </w:rPr>
  </w:style>
  <w:style w:type="character" w:styleId="CommentReference">
    <w:name w:val="annotation reference"/>
    <w:basedOn w:val="DefaultParagraphFont"/>
    <w:uiPriority w:val="99"/>
    <w:semiHidden/>
    <w:unhideWhenUsed/>
    <w:rsid w:val="007C2660"/>
    <w:rPr>
      <w:sz w:val="16"/>
      <w:szCs w:val="16"/>
    </w:rPr>
  </w:style>
  <w:style w:type="paragraph" w:styleId="CommentSubject">
    <w:name w:val="annotation subject"/>
    <w:basedOn w:val="CommentText"/>
    <w:next w:val="CommentText"/>
    <w:link w:val="CommentSubjectChar"/>
    <w:uiPriority w:val="99"/>
    <w:semiHidden/>
    <w:unhideWhenUsed/>
    <w:rsid w:val="007C2660"/>
    <w:rPr>
      <w:b/>
      <w:bCs/>
    </w:rPr>
  </w:style>
  <w:style w:type="character" w:customStyle="1" w:styleId="CommentTextChar">
    <w:name w:val="Comment Text Char"/>
    <w:basedOn w:val="DefaultParagraphFont"/>
    <w:link w:val="CommentText"/>
    <w:semiHidden/>
    <w:rsid w:val="007C2660"/>
  </w:style>
  <w:style w:type="character" w:customStyle="1" w:styleId="CommentSubjectChar">
    <w:name w:val="Comment Subject Char"/>
    <w:basedOn w:val="CommentTextChar"/>
    <w:link w:val="CommentSubject"/>
    <w:rsid w:val="007C2660"/>
  </w:style>
  <w:style w:type="character" w:customStyle="1" w:styleId="apple-converted-space">
    <w:name w:val="apple-converted-space"/>
    <w:basedOn w:val="DefaultParagraphFont"/>
    <w:rsid w:val="00FF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europa.eu.int/idabc/en/document/3819/2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8929</Words>
  <Characters>50900</Characters>
  <Application>Microsoft Office Word</Application>
  <DocSecurity>0</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Linking e-government with organizational learning: an initial empirical investigation in SMEs</vt:lpstr>
    </vt:vector>
  </TitlesOfParts>
  <Company/>
  <LinksUpToDate>false</LinksUpToDate>
  <CharactersWithSpaces>59710</CharactersWithSpaces>
  <SharedDoc>false</SharedDoc>
  <HLinks>
    <vt:vector size="18" baseType="variant">
      <vt:variant>
        <vt:i4>3670055</vt:i4>
      </vt:variant>
      <vt:variant>
        <vt:i4>12</vt:i4>
      </vt:variant>
      <vt:variant>
        <vt:i4>0</vt:i4>
      </vt:variant>
      <vt:variant>
        <vt:i4>5</vt:i4>
      </vt:variant>
      <vt:variant>
        <vt:lpwstr>http://europa.eu.int/idabc/en/document/3819/254</vt:lpwstr>
      </vt:variant>
      <vt:variant>
        <vt:lpwstr/>
      </vt:variant>
      <vt:variant>
        <vt:i4>4784139</vt:i4>
      </vt:variant>
      <vt:variant>
        <vt:i4>8</vt:i4>
      </vt:variant>
      <vt:variant>
        <vt:i4>0</vt:i4>
      </vt:variant>
      <vt:variant>
        <vt:i4>5</vt:i4>
      </vt:variant>
      <vt:variant>
        <vt:lpwstr/>
      </vt:variant>
      <vt:variant>
        <vt:lpwstr>_ENREF_8</vt:lpwstr>
      </vt:variant>
      <vt:variant>
        <vt:i4>4194315</vt:i4>
      </vt:variant>
      <vt:variant>
        <vt:i4>2</vt:i4>
      </vt:variant>
      <vt:variant>
        <vt:i4>0</vt:i4>
      </vt:variant>
      <vt:variant>
        <vt:i4>5</vt:i4>
      </vt:variant>
      <vt:variant>
        <vt:lpwstr/>
      </vt:variant>
      <vt:variant>
        <vt:lpwstr>_ENREF_14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Brzozowska-Szczecina, Emilia</dc:creator>
  <cp:lastModifiedBy>Brzozowska-Szczecina, Emilia</cp:lastModifiedBy>
  <cp:revision>2</cp:revision>
  <cp:lastPrinted>2009-05-07T09:17:00Z</cp:lastPrinted>
  <dcterms:created xsi:type="dcterms:W3CDTF">2015-12-08T10:01:00Z</dcterms:created>
  <dcterms:modified xsi:type="dcterms:W3CDTF">2015-12-08T10:01:00Z</dcterms:modified>
</cp:coreProperties>
</file>