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85F6" w14:textId="77777777" w:rsidR="00EA002F" w:rsidRPr="004B2B38" w:rsidRDefault="00EA002F" w:rsidP="00290530">
      <w:pPr>
        <w:spacing w:after="0" w:line="480" w:lineRule="auto"/>
        <w:rPr>
          <w:rFonts w:ascii="Times New Roman" w:hAnsi="Times New Roman" w:cs="Times New Roman"/>
          <w:b/>
          <w:sz w:val="24"/>
          <w:szCs w:val="24"/>
        </w:rPr>
      </w:pPr>
      <w:r w:rsidRPr="004B2B38">
        <w:rPr>
          <w:rFonts w:ascii="Times New Roman" w:hAnsi="Times New Roman" w:cs="Times New Roman"/>
          <w:b/>
          <w:sz w:val="24"/>
          <w:szCs w:val="24"/>
        </w:rPr>
        <w:t>Grey matter volumes in children with conduct problems and varying levels of callous-unemotional traits</w:t>
      </w:r>
    </w:p>
    <w:p w14:paraId="175309EF" w14:textId="77777777" w:rsidR="00EA002F" w:rsidRPr="004B2B38" w:rsidRDefault="00EA002F" w:rsidP="00290530">
      <w:pPr>
        <w:spacing w:after="0" w:line="480" w:lineRule="auto"/>
        <w:rPr>
          <w:rFonts w:ascii="Times New Roman" w:hAnsi="Times New Roman" w:cs="Times New Roman"/>
          <w:sz w:val="24"/>
          <w:szCs w:val="24"/>
        </w:rPr>
      </w:pPr>
    </w:p>
    <w:p w14:paraId="67B0C7F3" w14:textId="77777777" w:rsidR="00D03C9B" w:rsidRPr="008C331F" w:rsidRDefault="00D03C9B" w:rsidP="00D03C9B">
      <w:pPr>
        <w:spacing w:after="0" w:line="480" w:lineRule="auto"/>
        <w:rPr>
          <w:rFonts w:ascii="Times New Roman" w:hAnsi="Times New Roman" w:cs="Times New Roman"/>
          <w:sz w:val="24"/>
          <w:szCs w:val="24"/>
        </w:rPr>
      </w:pPr>
      <w:r w:rsidRPr="008C331F">
        <w:rPr>
          <w:rFonts w:ascii="Times New Roman" w:hAnsi="Times New Roman" w:cs="Times New Roman"/>
          <w:sz w:val="24"/>
          <w:szCs w:val="24"/>
        </w:rPr>
        <w:t>Catherine L. Sebastian</w:t>
      </w:r>
      <w:r w:rsidRPr="008C331F">
        <w:rPr>
          <w:rFonts w:ascii="Times New Roman" w:hAnsi="Times New Roman" w:cs="Times New Roman"/>
          <w:sz w:val="24"/>
          <w:szCs w:val="24"/>
          <w:vertAlign w:val="superscript"/>
        </w:rPr>
        <w:t>a# ,</w:t>
      </w:r>
      <w:r w:rsidRPr="008C331F">
        <w:rPr>
          <w:rFonts w:ascii="Times New Roman" w:hAnsi="Times New Roman" w:cs="Times New Roman"/>
          <w:sz w:val="24"/>
          <w:szCs w:val="24"/>
        </w:rPr>
        <w:t>St</w:t>
      </w:r>
      <w:r w:rsidR="00A32293">
        <w:rPr>
          <w:rFonts w:ascii="Times New Roman" w:hAnsi="Times New Roman" w:cs="Times New Roman"/>
          <w:sz w:val="24"/>
          <w:szCs w:val="24"/>
        </w:rPr>
        <w:t>é</w:t>
      </w:r>
      <w:r w:rsidRPr="008C331F">
        <w:rPr>
          <w:rFonts w:ascii="Times New Roman" w:hAnsi="Times New Roman" w:cs="Times New Roman"/>
          <w:sz w:val="24"/>
          <w:szCs w:val="24"/>
        </w:rPr>
        <w:t>phane A. De Brito</w:t>
      </w:r>
      <w:r w:rsidRPr="008C331F">
        <w:rPr>
          <w:rFonts w:ascii="Times New Roman" w:hAnsi="Times New Roman" w:cs="Times New Roman"/>
          <w:sz w:val="24"/>
          <w:szCs w:val="24"/>
          <w:vertAlign w:val="superscript"/>
        </w:rPr>
        <w:t>b#</w:t>
      </w:r>
      <w:r w:rsidRPr="008C331F">
        <w:rPr>
          <w:rFonts w:ascii="Times New Roman" w:hAnsi="Times New Roman" w:cs="Times New Roman"/>
          <w:sz w:val="24"/>
          <w:szCs w:val="24"/>
        </w:rPr>
        <w:t>, Eamon J. McCrory</w:t>
      </w:r>
      <w:r w:rsidRPr="008C331F">
        <w:rPr>
          <w:rFonts w:ascii="Times New Roman" w:hAnsi="Times New Roman" w:cs="Times New Roman"/>
          <w:sz w:val="24"/>
          <w:szCs w:val="24"/>
          <w:vertAlign w:val="superscript"/>
        </w:rPr>
        <w:t>c</w:t>
      </w:r>
      <w:r w:rsidRPr="008C331F">
        <w:rPr>
          <w:rFonts w:ascii="Times New Roman" w:hAnsi="Times New Roman" w:cs="Times New Roman"/>
          <w:sz w:val="24"/>
          <w:szCs w:val="24"/>
        </w:rPr>
        <w:t>, Zoe H. Hyde</w:t>
      </w:r>
      <w:r w:rsidRPr="008C331F">
        <w:rPr>
          <w:rFonts w:ascii="Times New Roman" w:hAnsi="Times New Roman" w:cs="Times New Roman"/>
          <w:sz w:val="24"/>
          <w:szCs w:val="24"/>
          <w:vertAlign w:val="superscript"/>
        </w:rPr>
        <w:t>c</w:t>
      </w:r>
      <w:r w:rsidRPr="008C331F">
        <w:rPr>
          <w:rFonts w:ascii="Times New Roman" w:hAnsi="Times New Roman" w:cs="Times New Roman"/>
          <w:sz w:val="24"/>
          <w:szCs w:val="24"/>
        </w:rPr>
        <w:t>, Patricia L. Lockwood</w:t>
      </w:r>
      <w:r w:rsidRPr="008C331F">
        <w:rPr>
          <w:rFonts w:ascii="Times New Roman" w:hAnsi="Times New Roman" w:cs="Times New Roman"/>
          <w:sz w:val="24"/>
          <w:szCs w:val="24"/>
          <w:vertAlign w:val="superscript"/>
        </w:rPr>
        <w:t>c</w:t>
      </w:r>
      <w:r w:rsidRPr="008C331F">
        <w:rPr>
          <w:rFonts w:ascii="Times New Roman" w:hAnsi="Times New Roman" w:cs="Times New Roman"/>
          <w:sz w:val="24"/>
          <w:szCs w:val="24"/>
        </w:rPr>
        <w:t>, Charlotte A.M. Cecil</w:t>
      </w:r>
      <w:r w:rsidRPr="008C331F">
        <w:rPr>
          <w:rFonts w:ascii="Times New Roman" w:hAnsi="Times New Roman" w:cs="Times New Roman"/>
          <w:sz w:val="24"/>
          <w:szCs w:val="24"/>
          <w:vertAlign w:val="superscript"/>
        </w:rPr>
        <w:t>c</w:t>
      </w:r>
      <w:r w:rsidRPr="008C331F">
        <w:rPr>
          <w:rFonts w:ascii="Times New Roman" w:hAnsi="Times New Roman" w:cs="Times New Roman"/>
          <w:sz w:val="24"/>
          <w:szCs w:val="24"/>
        </w:rPr>
        <w:t>, Essi Viding</w:t>
      </w:r>
      <w:r w:rsidRPr="008C331F">
        <w:rPr>
          <w:rFonts w:ascii="Times New Roman" w:hAnsi="Times New Roman" w:cs="Times New Roman"/>
          <w:sz w:val="24"/>
          <w:szCs w:val="24"/>
          <w:vertAlign w:val="superscript"/>
        </w:rPr>
        <w:t>c*</w:t>
      </w:r>
      <w:r w:rsidRPr="008C331F">
        <w:rPr>
          <w:rFonts w:ascii="Times New Roman" w:hAnsi="Times New Roman" w:cs="Times New Roman"/>
          <w:sz w:val="24"/>
          <w:szCs w:val="24"/>
        </w:rPr>
        <w:t xml:space="preserve"> </w:t>
      </w:r>
    </w:p>
    <w:p w14:paraId="03F3A2FA" w14:textId="77777777" w:rsidR="00D03C9B" w:rsidRPr="008C331F" w:rsidRDefault="00D03C9B" w:rsidP="00D03C9B">
      <w:pPr>
        <w:spacing w:after="0" w:line="480" w:lineRule="auto"/>
        <w:rPr>
          <w:rFonts w:ascii="Times New Roman" w:hAnsi="Times New Roman" w:cs="Times New Roman"/>
          <w:sz w:val="24"/>
          <w:szCs w:val="24"/>
          <w:vertAlign w:val="superscript"/>
        </w:rPr>
      </w:pPr>
    </w:p>
    <w:p w14:paraId="34C0014D" w14:textId="77777777" w:rsidR="00D03C9B" w:rsidRPr="008C331F" w:rsidRDefault="00D03C9B" w:rsidP="00D03C9B">
      <w:pPr>
        <w:spacing w:after="0" w:line="480" w:lineRule="auto"/>
        <w:rPr>
          <w:rFonts w:ascii="Times New Roman" w:hAnsi="Times New Roman" w:cs="Times New Roman"/>
          <w:sz w:val="24"/>
          <w:szCs w:val="24"/>
          <w:vertAlign w:val="superscript"/>
        </w:rPr>
      </w:pPr>
      <w:r w:rsidRPr="008C331F">
        <w:rPr>
          <w:rFonts w:ascii="Times New Roman" w:hAnsi="Times New Roman" w:cs="Times New Roman"/>
          <w:sz w:val="24"/>
          <w:szCs w:val="24"/>
          <w:vertAlign w:val="superscript"/>
        </w:rPr>
        <w:t>a</w:t>
      </w:r>
      <w:r w:rsidRPr="008C331F">
        <w:rPr>
          <w:rFonts w:ascii="Times New Roman" w:hAnsi="Times New Roman" w:cs="Times New Roman"/>
          <w:sz w:val="24"/>
          <w:szCs w:val="24"/>
        </w:rPr>
        <w:t>Department of Psychology, Royal Holloway, University of London, United Kingdom</w:t>
      </w:r>
    </w:p>
    <w:p w14:paraId="44FEAE74" w14:textId="77777777" w:rsidR="00D03C9B" w:rsidRPr="008C331F" w:rsidRDefault="00D03C9B" w:rsidP="00D03C9B">
      <w:pPr>
        <w:spacing w:after="0" w:line="480" w:lineRule="auto"/>
        <w:rPr>
          <w:rFonts w:ascii="Times New Roman" w:hAnsi="Times New Roman" w:cs="Times New Roman"/>
          <w:sz w:val="24"/>
          <w:szCs w:val="24"/>
        </w:rPr>
      </w:pPr>
      <w:r w:rsidRPr="008C331F">
        <w:rPr>
          <w:rFonts w:ascii="Times New Roman" w:hAnsi="Times New Roman" w:cs="Times New Roman"/>
          <w:sz w:val="24"/>
          <w:szCs w:val="24"/>
          <w:vertAlign w:val="superscript"/>
        </w:rPr>
        <w:t>b</w:t>
      </w:r>
      <w:r w:rsidRPr="008C331F">
        <w:rPr>
          <w:rFonts w:ascii="Times New Roman" w:hAnsi="Times New Roman" w:cs="Times New Roman"/>
          <w:sz w:val="24"/>
          <w:szCs w:val="24"/>
        </w:rPr>
        <w:t>School of Psychology, University of Birmingham, United Kingdom</w:t>
      </w:r>
    </w:p>
    <w:p w14:paraId="79777CEA" w14:textId="77777777" w:rsidR="00D03C9B" w:rsidRPr="008C331F" w:rsidRDefault="00D03C9B" w:rsidP="00D03C9B">
      <w:pPr>
        <w:spacing w:after="0" w:line="480" w:lineRule="auto"/>
        <w:rPr>
          <w:rFonts w:ascii="Times New Roman" w:hAnsi="Times New Roman" w:cs="Times New Roman"/>
          <w:sz w:val="24"/>
          <w:szCs w:val="24"/>
        </w:rPr>
      </w:pPr>
      <w:r w:rsidRPr="008C331F">
        <w:rPr>
          <w:rFonts w:ascii="Times New Roman" w:hAnsi="Times New Roman" w:cs="Times New Roman"/>
          <w:sz w:val="24"/>
          <w:szCs w:val="24"/>
          <w:vertAlign w:val="superscript"/>
          <w:lang w:val="it-IT"/>
        </w:rPr>
        <w:t>c</w:t>
      </w:r>
      <w:r w:rsidRPr="008C331F">
        <w:rPr>
          <w:rFonts w:ascii="Times New Roman" w:hAnsi="Times New Roman" w:cs="Times New Roman"/>
          <w:sz w:val="24"/>
          <w:szCs w:val="24"/>
        </w:rPr>
        <w:t xml:space="preserve">Division of Psychology and Language Sciences, University College London, United Kingdom          </w:t>
      </w:r>
    </w:p>
    <w:p w14:paraId="780028F9" w14:textId="77777777" w:rsidR="00D03C9B" w:rsidRPr="008C331F" w:rsidRDefault="00D03C9B" w:rsidP="00D03C9B">
      <w:pPr>
        <w:spacing w:after="0" w:line="480" w:lineRule="auto"/>
        <w:rPr>
          <w:rFonts w:ascii="Times New Roman" w:hAnsi="Times New Roman" w:cs="Times New Roman"/>
          <w:sz w:val="24"/>
          <w:szCs w:val="24"/>
          <w:vertAlign w:val="superscript"/>
        </w:rPr>
      </w:pPr>
    </w:p>
    <w:p w14:paraId="3930BDFC" w14:textId="77777777" w:rsidR="00D03C9B" w:rsidRPr="008C331F" w:rsidRDefault="00D03C9B" w:rsidP="00D03C9B">
      <w:pPr>
        <w:spacing w:after="0" w:line="480" w:lineRule="auto"/>
        <w:rPr>
          <w:rFonts w:ascii="Times New Roman" w:hAnsi="Times New Roman" w:cs="Times New Roman"/>
          <w:sz w:val="24"/>
          <w:szCs w:val="24"/>
        </w:rPr>
      </w:pPr>
      <w:r w:rsidRPr="008C331F">
        <w:rPr>
          <w:rFonts w:ascii="Times New Roman" w:hAnsi="Times New Roman" w:cs="Times New Roman"/>
          <w:sz w:val="24"/>
          <w:szCs w:val="24"/>
          <w:vertAlign w:val="superscript"/>
        </w:rPr>
        <w:t xml:space="preserve"># </w:t>
      </w:r>
      <w:r w:rsidRPr="008C331F">
        <w:rPr>
          <w:rFonts w:ascii="Times New Roman" w:hAnsi="Times New Roman" w:cs="Times New Roman"/>
          <w:sz w:val="24"/>
          <w:szCs w:val="24"/>
        </w:rPr>
        <w:t>Equal contribution</w:t>
      </w:r>
    </w:p>
    <w:p w14:paraId="1DF54B2F" w14:textId="77777777" w:rsidR="00D03C9B" w:rsidRPr="008C331F" w:rsidRDefault="00D03C9B" w:rsidP="00D03C9B">
      <w:pPr>
        <w:spacing w:after="0" w:line="480" w:lineRule="auto"/>
        <w:rPr>
          <w:rFonts w:ascii="Times New Roman" w:hAnsi="Times New Roman" w:cs="Times New Roman"/>
          <w:sz w:val="24"/>
          <w:szCs w:val="24"/>
        </w:rPr>
      </w:pPr>
      <w:r w:rsidRPr="008C331F">
        <w:rPr>
          <w:rFonts w:ascii="Times New Roman" w:hAnsi="Times New Roman" w:cs="Times New Roman"/>
          <w:sz w:val="24"/>
          <w:szCs w:val="24"/>
        </w:rPr>
        <w:t xml:space="preserve">*Corresponding author. Email: </w:t>
      </w:r>
      <w:hyperlink r:id="rId7" w:history="1">
        <w:r w:rsidRPr="008C331F">
          <w:rPr>
            <w:rStyle w:val="Hyperlink"/>
            <w:rFonts w:ascii="Times New Roman" w:hAnsi="Times New Roman" w:cs="Times New Roman"/>
            <w:color w:val="auto"/>
            <w:sz w:val="24"/>
            <w:szCs w:val="24"/>
          </w:rPr>
          <w:t>e.viding@ucl.ac.uk</w:t>
        </w:r>
      </w:hyperlink>
      <w:r w:rsidRPr="008C331F">
        <w:rPr>
          <w:rStyle w:val="Hyperlink"/>
          <w:rFonts w:ascii="Times New Roman" w:hAnsi="Times New Roman" w:cs="Times New Roman"/>
          <w:color w:val="auto"/>
          <w:sz w:val="24"/>
          <w:szCs w:val="24"/>
        </w:rPr>
        <w:t>;</w:t>
      </w:r>
      <w:r w:rsidRPr="008C331F">
        <w:rPr>
          <w:rFonts w:ascii="Times New Roman" w:hAnsi="Times New Roman" w:cs="Times New Roman"/>
          <w:sz w:val="24"/>
          <w:szCs w:val="24"/>
        </w:rPr>
        <w:t xml:space="preserve"> Tel: +44 20 7679 5874; Post: Department of Psychology, Division of Psychology and Language Sciences, University College London, 26 Bedford Way, London, WC1H 0AP, United Kingdom.</w:t>
      </w:r>
    </w:p>
    <w:p w14:paraId="66520D5C" w14:textId="77777777" w:rsidR="00EA002F" w:rsidRPr="004B2B38" w:rsidRDefault="00EA002F" w:rsidP="00290530">
      <w:pPr>
        <w:spacing w:after="0" w:line="480" w:lineRule="auto"/>
        <w:rPr>
          <w:rFonts w:ascii="Times New Roman" w:hAnsi="Times New Roman" w:cs="Times New Roman"/>
          <w:sz w:val="24"/>
          <w:szCs w:val="24"/>
        </w:rPr>
      </w:pPr>
    </w:p>
    <w:p w14:paraId="74D7609B" w14:textId="77777777" w:rsidR="00EA002F" w:rsidRPr="004B2B38" w:rsidRDefault="00EA002F" w:rsidP="00290530">
      <w:pPr>
        <w:spacing w:after="0" w:line="480" w:lineRule="auto"/>
        <w:rPr>
          <w:rFonts w:ascii="Times New Roman" w:hAnsi="Times New Roman" w:cs="Times New Roman"/>
          <w:sz w:val="24"/>
          <w:szCs w:val="24"/>
        </w:rPr>
      </w:pPr>
    </w:p>
    <w:p w14:paraId="05A20084"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 xml:space="preserve">Word Count: </w:t>
      </w:r>
      <w:r w:rsidR="00B27835" w:rsidRPr="004B2B38">
        <w:rPr>
          <w:rFonts w:ascii="Times New Roman" w:hAnsi="Times New Roman" w:cs="Times New Roman"/>
          <w:sz w:val="24"/>
          <w:szCs w:val="24"/>
        </w:rPr>
        <w:t>5</w:t>
      </w:r>
      <w:r w:rsidR="00D03C9B">
        <w:rPr>
          <w:rFonts w:ascii="Times New Roman" w:hAnsi="Times New Roman" w:cs="Times New Roman"/>
          <w:sz w:val="24"/>
          <w:szCs w:val="24"/>
        </w:rPr>
        <w:t>236</w:t>
      </w:r>
    </w:p>
    <w:p w14:paraId="32FA7224" w14:textId="77777777" w:rsidR="00EA002F" w:rsidRPr="004B2B38" w:rsidRDefault="00EA002F" w:rsidP="00290530">
      <w:pPr>
        <w:spacing w:after="0" w:line="480" w:lineRule="auto"/>
        <w:rPr>
          <w:rFonts w:ascii="Times New Roman" w:hAnsi="Times New Roman" w:cs="Times New Roman"/>
          <w:sz w:val="24"/>
          <w:szCs w:val="24"/>
          <w:vertAlign w:val="superscript"/>
        </w:rPr>
      </w:pPr>
    </w:p>
    <w:p w14:paraId="4CF98CAB" w14:textId="77777777" w:rsidR="00EA002F" w:rsidRPr="004B2B38" w:rsidRDefault="00EA002F" w:rsidP="00290530">
      <w:pPr>
        <w:spacing w:after="0" w:line="480" w:lineRule="auto"/>
        <w:rPr>
          <w:rFonts w:ascii="Times New Roman" w:hAnsi="Times New Roman" w:cs="Times New Roman"/>
          <w:b/>
          <w:bCs/>
          <w:sz w:val="24"/>
          <w:szCs w:val="24"/>
        </w:rPr>
      </w:pPr>
    </w:p>
    <w:p w14:paraId="1C9661CD" w14:textId="77777777" w:rsidR="00EA002F" w:rsidRPr="004B2B38" w:rsidRDefault="00EA002F" w:rsidP="00290530">
      <w:pPr>
        <w:spacing w:after="0" w:line="480" w:lineRule="auto"/>
        <w:rPr>
          <w:rFonts w:ascii="Times New Roman" w:hAnsi="Times New Roman" w:cs="Times New Roman"/>
          <w:b/>
          <w:bCs/>
          <w:sz w:val="24"/>
          <w:szCs w:val="24"/>
        </w:rPr>
      </w:pPr>
    </w:p>
    <w:p w14:paraId="5032BB9B" w14:textId="77777777" w:rsidR="00EA002F" w:rsidRPr="004B2B38" w:rsidRDefault="00EA002F" w:rsidP="00290530">
      <w:pPr>
        <w:spacing w:after="0" w:line="480" w:lineRule="auto"/>
        <w:rPr>
          <w:rFonts w:ascii="Times New Roman" w:hAnsi="Times New Roman" w:cs="Times New Roman"/>
          <w:b/>
          <w:bCs/>
          <w:sz w:val="24"/>
          <w:szCs w:val="24"/>
        </w:rPr>
      </w:pPr>
    </w:p>
    <w:p w14:paraId="455403BF" w14:textId="77777777" w:rsidR="00EA002F" w:rsidRPr="004B2B38" w:rsidRDefault="00EA002F" w:rsidP="00290530">
      <w:pPr>
        <w:spacing w:after="0" w:line="480" w:lineRule="auto"/>
        <w:rPr>
          <w:rFonts w:ascii="Times New Roman" w:hAnsi="Times New Roman" w:cs="Times New Roman"/>
          <w:b/>
          <w:bCs/>
          <w:sz w:val="24"/>
          <w:szCs w:val="24"/>
        </w:rPr>
      </w:pPr>
    </w:p>
    <w:p w14:paraId="43209971" w14:textId="77777777" w:rsidR="00EA002F" w:rsidRPr="004B2B38" w:rsidRDefault="00EA002F" w:rsidP="00290530">
      <w:pPr>
        <w:spacing w:after="0" w:line="480" w:lineRule="auto"/>
        <w:rPr>
          <w:rFonts w:ascii="Times New Roman" w:hAnsi="Times New Roman" w:cs="Times New Roman"/>
          <w:b/>
          <w:bCs/>
          <w:sz w:val="24"/>
          <w:szCs w:val="24"/>
        </w:rPr>
      </w:pPr>
    </w:p>
    <w:p w14:paraId="54AB62D6" w14:textId="77777777" w:rsidR="00A43FA6" w:rsidRPr="004B2B38" w:rsidRDefault="00A43FA6" w:rsidP="00290530">
      <w:pPr>
        <w:spacing w:after="0" w:line="480" w:lineRule="auto"/>
        <w:rPr>
          <w:rFonts w:ascii="Times New Roman" w:hAnsi="Times New Roman" w:cs="Times New Roman"/>
          <w:b/>
          <w:bCs/>
          <w:sz w:val="24"/>
          <w:szCs w:val="24"/>
        </w:rPr>
      </w:pPr>
    </w:p>
    <w:p w14:paraId="4DFB7CF7" w14:textId="77777777" w:rsidR="00EA002F" w:rsidRPr="004B2B38" w:rsidRDefault="00EA002F" w:rsidP="00112BEA">
      <w:pPr>
        <w:spacing w:after="0" w:line="480" w:lineRule="auto"/>
        <w:jc w:val="center"/>
        <w:rPr>
          <w:rFonts w:ascii="Times New Roman" w:hAnsi="Times New Roman" w:cs="Times New Roman"/>
          <w:bCs/>
          <w:sz w:val="24"/>
          <w:szCs w:val="24"/>
        </w:rPr>
      </w:pPr>
      <w:r w:rsidRPr="004B2B38">
        <w:rPr>
          <w:rFonts w:ascii="Times New Roman" w:hAnsi="Times New Roman" w:cs="Times New Roman"/>
          <w:bCs/>
          <w:sz w:val="24"/>
          <w:szCs w:val="24"/>
        </w:rPr>
        <w:lastRenderedPageBreak/>
        <w:t>Abstract</w:t>
      </w:r>
    </w:p>
    <w:p w14:paraId="43F5E5AC"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 xml:space="preserve">Genetic, behavioural and functional neuroimaging studies have revealed that different vulnerabilities characterise children with conduct problems and high levels of callous-unemotional traits (CP/HCU) compared with children with conduct problems and low callous-unemotional traits (CP/LCU). We used voxel-based morphometry to study grey matter volume (GMV) in 89 male participants (aged 10-16), 60 of whom exhibited CP. The CP group was subdivided into CP/HCU (n=29) and CP/LCU (n=31). Whole-brain and regional GMV were compared across groups (CP vs. typically developing (TD) controls (n=29); and CP/HCU vs. CP/LCU vs. TD). Whole-brain analyses showed reduced GMV in left middle frontal gyrus in the CP/HCU group compared with TD controls. Region-of-interest analyses showed reduced volume in bilateral orbitofrontal cortex (OFC) in the CP group as a whole compared with TD controls. Reduced volume in left OFC was found to be driven by the CP/HCU group only, with significant reductions relative to both TD controls and the CP/LCU group, and no difference between these latter two groups. Within the CP group left OFC volume was significantly predicted by CU traits, but not conduct disorder symptoms. Reduced right anterior cingulate cortex volume was also found in CP/HCU compared with TD controls. Our results support previous findings indicating that GMV differences in brain regions central to decision-making and empathy are implicated in CP. However, they extend these data to suggest that some of these differences might specifically characterise the subgroup with CP/HCU, with GMV reduction in left OFC differentiating children with CP/HCU from those with CP/LCU. </w:t>
      </w:r>
    </w:p>
    <w:p w14:paraId="4B78DE6F" w14:textId="77777777" w:rsidR="00EA002F" w:rsidRPr="004B2B38" w:rsidRDefault="00EA002F" w:rsidP="00290530">
      <w:pPr>
        <w:spacing w:after="0" w:line="480" w:lineRule="auto"/>
        <w:rPr>
          <w:rFonts w:ascii="Times New Roman" w:hAnsi="Times New Roman" w:cs="Times New Roman"/>
          <w:sz w:val="24"/>
          <w:szCs w:val="24"/>
        </w:rPr>
      </w:pPr>
    </w:p>
    <w:p w14:paraId="76FA3830"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b/>
          <w:sz w:val="24"/>
          <w:szCs w:val="24"/>
        </w:rPr>
        <w:t>Keywords:</w:t>
      </w:r>
      <w:r w:rsidRPr="004B2B38">
        <w:rPr>
          <w:rFonts w:ascii="Times New Roman" w:hAnsi="Times New Roman" w:cs="Times New Roman"/>
          <w:sz w:val="24"/>
          <w:szCs w:val="24"/>
        </w:rPr>
        <w:t xml:space="preserve"> Conduct problems, conduct disorder, callous-unemotional traits, voxel-based morphometry, grey matter volume, orbitofrontal cortex.</w:t>
      </w:r>
    </w:p>
    <w:p w14:paraId="784A90E8" w14:textId="77777777" w:rsidR="00EA002F" w:rsidRPr="004B2B38" w:rsidRDefault="00EA002F" w:rsidP="00290530">
      <w:pPr>
        <w:spacing w:after="0" w:line="480" w:lineRule="auto"/>
        <w:rPr>
          <w:rFonts w:ascii="Times New Roman" w:hAnsi="Times New Roman" w:cs="Times New Roman"/>
          <w:sz w:val="24"/>
          <w:szCs w:val="24"/>
        </w:rPr>
      </w:pPr>
    </w:p>
    <w:p w14:paraId="5FA5FDB4" w14:textId="77777777" w:rsidR="00290530" w:rsidRPr="004B2B38" w:rsidRDefault="007C40E5" w:rsidP="007C40E5">
      <w:pPr>
        <w:spacing w:after="0" w:line="480" w:lineRule="auto"/>
        <w:jc w:val="center"/>
        <w:rPr>
          <w:rFonts w:ascii="Times New Roman" w:hAnsi="Times New Roman" w:cs="Times New Roman"/>
          <w:sz w:val="24"/>
          <w:szCs w:val="24"/>
        </w:rPr>
      </w:pPr>
      <w:r w:rsidRPr="004B2B38">
        <w:rPr>
          <w:rFonts w:ascii="Times New Roman" w:hAnsi="Times New Roman" w:cs="Times New Roman"/>
          <w:sz w:val="24"/>
          <w:szCs w:val="24"/>
        </w:rPr>
        <w:lastRenderedPageBreak/>
        <w:t>Grey M</w:t>
      </w:r>
      <w:r w:rsidR="00290530" w:rsidRPr="004B2B38">
        <w:rPr>
          <w:rFonts w:ascii="Times New Roman" w:hAnsi="Times New Roman" w:cs="Times New Roman"/>
          <w:sz w:val="24"/>
          <w:szCs w:val="24"/>
        </w:rPr>
        <w:t xml:space="preserve">atter </w:t>
      </w:r>
      <w:r w:rsidRPr="004B2B38">
        <w:rPr>
          <w:rFonts w:ascii="Times New Roman" w:hAnsi="Times New Roman" w:cs="Times New Roman"/>
          <w:sz w:val="24"/>
          <w:szCs w:val="24"/>
        </w:rPr>
        <w:t>V</w:t>
      </w:r>
      <w:r w:rsidR="00290530" w:rsidRPr="004B2B38">
        <w:rPr>
          <w:rFonts w:ascii="Times New Roman" w:hAnsi="Times New Roman" w:cs="Times New Roman"/>
          <w:sz w:val="24"/>
          <w:szCs w:val="24"/>
        </w:rPr>
        <w:t xml:space="preserve">olumes in </w:t>
      </w:r>
      <w:r w:rsidRPr="004B2B38">
        <w:rPr>
          <w:rFonts w:ascii="Times New Roman" w:hAnsi="Times New Roman" w:cs="Times New Roman"/>
          <w:sz w:val="24"/>
          <w:szCs w:val="24"/>
        </w:rPr>
        <w:t>C</w:t>
      </w:r>
      <w:r w:rsidR="00290530" w:rsidRPr="004B2B38">
        <w:rPr>
          <w:rFonts w:ascii="Times New Roman" w:hAnsi="Times New Roman" w:cs="Times New Roman"/>
          <w:sz w:val="24"/>
          <w:szCs w:val="24"/>
        </w:rPr>
        <w:t xml:space="preserve">hildren with </w:t>
      </w:r>
      <w:r w:rsidRPr="004B2B38">
        <w:rPr>
          <w:rFonts w:ascii="Times New Roman" w:hAnsi="Times New Roman" w:cs="Times New Roman"/>
          <w:sz w:val="24"/>
          <w:szCs w:val="24"/>
        </w:rPr>
        <w:t>C</w:t>
      </w:r>
      <w:r w:rsidR="00290530" w:rsidRPr="004B2B38">
        <w:rPr>
          <w:rFonts w:ascii="Times New Roman" w:hAnsi="Times New Roman" w:cs="Times New Roman"/>
          <w:sz w:val="24"/>
          <w:szCs w:val="24"/>
        </w:rPr>
        <w:t xml:space="preserve">onduct </w:t>
      </w:r>
      <w:r w:rsidRPr="004B2B38">
        <w:rPr>
          <w:rFonts w:ascii="Times New Roman" w:hAnsi="Times New Roman" w:cs="Times New Roman"/>
          <w:sz w:val="24"/>
          <w:szCs w:val="24"/>
        </w:rPr>
        <w:t>P</w:t>
      </w:r>
      <w:r w:rsidR="00290530" w:rsidRPr="004B2B38">
        <w:rPr>
          <w:rFonts w:ascii="Times New Roman" w:hAnsi="Times New Roman" w:cs="Times New Roman"/>
          <w:sz w:val="24"/>
          <w:szCs w:val="24"/>
        </w:rPr>
        <w:t xml:space="preserve">roblems and </w:t>
      </w:r>
      <w:r w:rsidRPr="004B2B38">
        <w:rPr>
          <w:rFonts w:ascii="Times New Roman" w:hAnsi="Times New Roman" w:cs="Times New Roman"/>
          <w:sz w:val="24"/>
          <w:szCs w:val="24"/>
        </w:rPr>
        <w:t>V</w:t>
      </w:r>
      <w:r w:rsidR="00290530" w:rsidRPr="004B2B38">
        <w:rPr>
          <w:rFonts w:ascii="Times New Roman" w:hAnsi="Times New Roman" w:cs="Times New Roman"/>
          <w:sz w:val="24"/>
          <w:szCs w:val="24"/>
        </w:rPr>
        <w:t xml:space="preserve">arying </w:t>
      </w:r>
      <w:r w:rsidRPr="004B2B38">
        <w:rPr>
          <w:rFonts w:ascii="Times New Roman" w:hAnsi="Times New Roman" w:cs="Times New Roman"/>
          <w:sz w:val="24"/>
          <w:szCs w:val="24"/>
        </w:rPr>
        <w:t>L</w:t>
      </w:r>
      <w:r w:rsidR="00290530" w:rsidRPr="004B2B38">
        <w:rPr>
          <w:rFonts w:ascii="Times New Roman" w:hAnsi="Times New Roman" w:cs="Times New Roman"/>
          <w:sz w:val="24"/>
          <w:szCs w:val="24"/>
        </w:rPr>
        <w:t xml:space="preserve">evels of </w:t>
      </w:r>
      <w:r w:rsidRPr="004B2B38">
        <w:rPr>
          <w:rFonts w:ascii="Times New Roman" w:hAnsi="Times New Roman" w:cs="Times New Roman"/>
          <w:sz w:val="24"/>
          <w:szCs w:val="24"/>
        </w:rPr>
        <w:t>Callous-U</w:t>
      </w:r>
      <w:r w:rsidR="00290530" w:rsidRPr="004B2B38">
        <w:rPr>
          <w:rFonts w:ascii="Times New Roman" w:hAnsi="Times New Roman" w:cs="Times New Roman"/>
          <w:sz w:val="24"/>
          <w:szCs w:val="24"/>
        </w:rPr>
        <w:t xml:space="preserve">nemotional </w:t>
      </w:r>
      <w:r w:rsidRPr="004B2B38">
        <w:rPr>
          <w:rFonts w:ascii="Times New Roman" w:hAnsi="Times New Roman" w:cs="Times New Roman"/>
          <w:sz w:val="24"/>
          <w:szCs w:val="24"/>
        </w:rPr>
        <w:t>T</w:t>
      </w:r>
      <w:r w:rsidR="00290530" w:rsidRPr="004B2B38">
        <w:rPr>
          <w:rFonts w:ascii="Times New Roman" w:hAnsi="Times New Roman" w:cs="Times New Roman"/>
          <w:sz w:val="24"/>
          <w:szCs w:val="24"/>
        </w:rPr>
        <w:t>raits</w:t>
      </w:r>
    </w:p>
    <w:p w14:paraId="7E02D21B" w14:textId="77777777" w:rsidR="00EA002F" w:rsidRPr="004B2B38" w:rsidRDefault="00EA002F" w:rsidP="00290530">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Children and adolescents with conduct disorder (CD) and conduct problems (CP) engage in high levels of antisocial and aggressive behaviour, and represent a significant public health burden </w:t>
      </w:r>
      <w:r w:rsidRPr="004B2B38">
        <w:rPr>
          <w:rFonts w:ascii="Times New Roman" w:hAnsi="Times New Roman" w:cs="Times New Roman"/>
          <w:noProof/>
          <w:sz w:val="24"/>
          <w:szCs w:val="24"/>
        </w:rPr>
        <w:t>(Erskine et al., 2014)</w:t>
      </w:r>
      <w:r w:rsidRPr="004B2B38">
        <w:rPr>
          <w:rFonts w:ascii="Times New Roman" w:hAnsi="Times New Roman" w:cs="Times New Roman"/>
          <w:sz w:val="24"/>
          <w:szCs w:val="24"/>
        </w:rPr>
        <w:t xml:space="preserve">. CP is a heterogeneous category, and one fruitful approach has distinguished between CP children presenting with high (CP/HCU) and low (CP/LCU) levels of callous-unemotional (CU) traits. CU traits index low levels of empathy and guilt, a tendency to use and manipulate others, unconcern about achievement, and flattened emotional responsivity </w:t>
      </w:r>
      <w:r w:rsidRPr="004B2B38">
        <w:rPr>
          <w:rFonts w:ascii="Times New Roman" w:hAnsi="Times New Roman" w:cs="Times New Roman"/>
          <w:noProof/>
          <w:sz w:val="24"/>
          <w:szCs w:val="24"/>
        </w:rPr>
        <w:t>(Essau, Sasagawa, &amp; Frick, 2006)</w:t>
      </w:r>
      <w:r w:rsidRPr="004B2B38">
        <w:rPr>
          <w:rFonts w:ascii="Times New Roman" w:hAnsi="Times New Roman" w:cs="Times New Roman"/>
          <w:sz w:val="24"/>
          <w:szCs w:val="24"/>
        </w:rPr>
        <w:t xml:space="preserve">. Children with CP/HCU represent a particularly severe subgroup within CP </w:t>
      </w:r>
      <w:r w:rsidRPr="004B2B38">
        <w:rPr>
          <w:rFonts w:ascii="Times New Roman" w:hAnsi="Times New Roman" w:cs="Times New Roman"/>
          <w:noProof/>
          <w:sz w:val="24"/>
          <w:szCs w:val="24"/>
        </w:rPr>
        <w:t>(Frick &amp; Viding, 2009)</w:t>
      </w:r>
      <w:r w:rsidRPr="004B2B38">
        <w:rPr>
          <w:rFonts w:ascii="Times New Roman" w:hAnsi="Times New Roman" w:cs="Times New Roman"/>
          <w:sz w:val="24"/>
          <w:szCs w:val="24"/>
        </w:rPr>
        <w:t>. Genetic, behavioural, cognitive and functional neuroimaging studies have shown that different vulnerabilities characterise these two subgroups of children with conduct problems. However, little previous structural neuroimaging work has directly compared these groups. The current study used voxel-based morphometry with a large sample (N=89) to study grey matter (GM) volumes in these two groups relative to both each other and to typically developing (TD) controls.</w:t>
      </w:r>
    </w:p>
    <w:p w14:paraId="4D434F58" w14:textId="77777777" w:rsidR="00EA002F" w:rsidRPr="004B2B38" w:rsidRDefault="00EA002F" w:rsidP="00290530">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Evidence suggests that underlying aetiology and neurocognitive processing differ between CP/HCU and CP/LCU. Twin studies have shown that antisocial behaviour is more strongly heritable in children with CP/HCU than CP/LCU </w:t>
      </w:r>
      <w:r w:rsidRPr="004B2B38">
        <w:rPr>
          <w:rFonts w:ascii="Times New Roman" w:hAnsi="Times New Roman" w:cs="Times New Roman"/>
          <w:noProof/>
          <w:sz w:val="24"/>
          <w:szCs w:val="24"/>
        </w:rPr>
        <w:t>(Viding, Blair, Moffitt, &amp; Plomin, 2005; Viding, Jones, Frick, Moffitt, &amp; Plomin, 2008)</w:t>
      </w:r>
      <w:r w:rsidRPr="004B2B38">
        <w:rPr>
          <w:rFonts w:ascii="Times New Roman" w:hAnsi="Times New Roman" w:cs="Times New Roman"/>
          <w:sz w:val="24"/>
          <w:szCs w:val="24"/>
        </w:rPr>
        <w:t xml:space="preserve">. Behavioural studies have also shown that CP/HCU is associated with a distinctive information processing profile relative to TD controls, most notably low reactivity to emotional cues </w:t>
      </w:r>
      <w:r w:rsidRPr="004B2B38">
        <w:rPr>
          <w:rFonts w:ascii="Times New Roman" w:hAnsi="Times New Roman" w:cs="Times New Roman"/>
          <w:noProof/>
          <w:sz w:val="24"/>
          <w:szCs w:val="24"/>
        </w:rPr>
        <w:t>(Blair, Colledge, Murray, &amp; Mitchell, 2001)</w:t>
      </w:r>
      <w:r w:rsidRPr="004B2B38">
        <w:rPr>
          <w:rFonts w:ascii="Times New Roman" w:hAnsi="Times New Roman" w:cs="Times New Roman"/>
          <w:sz w:val="24"/>
          <w:szCs w:val="24"/>
        </w:rPr>
        <w:t xml:space="preserve">, poor empathy </w:t>
      </w:r>
      <w:r w:rsidRPr="004B2B38">
        <w:rPr>
          <w:rFonts w:ascii="Times New Roman" w:hAnsi="Times New Roman" w:cs="Times New Roman"/>
          <w:noProof/>
          <w:sz w:val="24"/>
          <w:szCs w:val="24"/>
        </w:rPr>
        <w:t>(Jones, Happé, Gilbert, Burnett, &amp; Viding, 2010)</w:t>
      </w:r>
      <w:r w:rsidRPr="004B2B38">
        <w:rPr>
          <w:rFonts w:ascii="Times New Roman" w:hAnsi="Times New Roman" w:cs="Times New Roman"/>
          <w:sz w:val="24"/>
          <w:szCs w:val="24"/>
        </w:rPr>
        <w:t xml:space="preserve">, impulsivity </w:t>
      </w:r>
      <w:r w:rsidRPr="004B2B38">
        <w:rPr>
          <w:rFonts w:ascii="Times New Roman" w:hAnsi="Times New Roman" w:cs="Times New Roman"/>
          <w:noProof/>
          <w:sz w:val="24"/>
          <w:szCs w:val="24"/>
        </w:rPr>
        <w:t>(Fanti, 2013)</w:t>
      </w:r>
      <w:r w:rsidRPr="004B2B38">
        <w:rPr>
          <w:rFonts w:ascii="Times New Roman" w:hAnsi="Times New Roman" w:cs="Times New Roman"/>
          <w:sz w:val="24"/>
          <w:szCs w:val="24"/>
        </w:rPr>
        <w:t xml:space="preserve">, and poor reversal learning </w:t>
      </w:r>
      <w:r w:rsidRPr="004B2B38">
        <w:rPr>
          <w:rFonts w:ascii="Times New Roman" w:hAnsi="Times New Roman" w:cs="Times New Roman"/>
          <w:noProof/>
          <w:sz w:val="24"/>
          <w:szCs w:val="24"/>
        </w:rPr>
        <w:t>(Budhani &amp; Blair, 2005)</w:t>
      </w:r>
      <w:r w:rsidRPr="004B2B38">
        <w:rPr>
          <w:rFonts w:ascii="Times New Roman" w:hAnsi="Times New Roman" w:cs="Times New Roman"/>
          <w:sz w:val="24"/>
          <w:szCs w:val="24"/>
        </w:rPr>
        <w:t xml:space="preserve">. This profile is similar to that shown by adults with psychopathy </w:t>
      </w:r>
      <w:r w:rsidRPr="004B2B38">
        <w:rPr>
          <w:rFonts w:ascii="Times New Roman" w:hAnsi="Times New Roman" w:cs="Times New Roman"/>
          <w:noProof/>
          <w:sz w:val="24"/>
          <w:szCs w:val="24"/>
        </w:rPr>
        <w:t>(Barry et al., 2000)</w:t>
      </w:r>
      <w:r w:rsidRPr="004B2B38">
        <w:rPr>
          <w:rFonts w:ascii="Times New Roman" w:hAnsi="Times New Roman" w:cs="Times New Roman"/>
          <w:sz w:val="24"/>
          <w:szCs w:val="24"/>
        </w:rPr>
        <w:t xml:space="preserve">. In contrast, children with CP/LCU </w:t>
      </w:r>
      <w:r w:rsidRPr="004B2B38">
        <w:rPr>
          <w:rFonts w:ascii="Times New Roman" w:hAnsi="Times New Roman" w:cs="Times New Roman"/>
          <w:sz w:val="24"/>
          <w:szCs w:val="24"/>
        </w:rPr>
        <w:lastRenderedPageBreak/>
        <w:t xml:space="preserve">show increased emotional reactivity and a profile of reactive aggression and poor emotion regulation, with affective empathy relatively intact </w:t>
      </w:r>
      <w:r w:rsidRPr="004B2B38">
        <w:rPr>
          <w:rFonts w:ascii="Times New Roman" w:hAnsi="Times New Roman" w:cs="Times New Roman"/>
          <w:noProof/>
          <w:sz w:val="24"/>
          <w:szCs w:val="24"/>
        </w:rPr>
        <w:t>(Dadds et al., 2006; De Wied, Van Boxtel, Matthys, &amp; Meeus, 2012; Eisenberg, Spinrad, &amp; Eggum, 2010; Frick, Cornell, Barry, Bodin, &amp; Dane, 2003; Jones et al., 2010)</w:t>
      </w:r>
      <w:r w:rsidRPr="004B2B38">
        <w:rPr>
          <w:rFonts w:ascii="Times New Roman" w:hAnsi="Times New Roman" w:cs="Times New Roman"/>
          <w:sz w:val="24"/>
          <w:szCs w:val="24"/>
        </w:rPr>
        <w:t>.</w:t>
      </w:r>
    </w:p>
    <w:p w14:paraId="2A47AE6C"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Current theories regarding the neurobiology of psychopathic and CU traits suggest that affective and reinforcement learning deficits are underpinned by atypical function in a ventromedial prefrontal cortex-amygdala circuit </w:t>
      </w:r>
      <w:r w:rsidRPr="004B2B38">
        <w:rPr>
          <w:rFonts w:ascii="Times New Roman" w:hAnsi="Times New Roman" w:cs="Times New Roman"/>
          <w:noProof/>
          <w:sz w:val="24"/>
          <w:szCs w:val="24"/>
        </w:rPr>
        <w:t xml:space="preserve">(Blair, Leibenluft, &amp; Pine, 2014) </w:t>
      </w:r>
      <w:r w:rsidRPr="004B2B38">
        <w:rPr>
          <w:rFonts w:ascii="Times New Roman" w:hAnsi="Times New Roman" w:cs="Times New Roman"/>
          <w:sz w:val="24"/>
          <w:szCs w:val="24"/>
        </w:rPr>
        <w:t>as well as in</w:t>
      </w:r>
      <w:r w:rsidR="00112BEA" w:rsidRPr="004B2B38">
        <w:rPr>
          <w:rFonts w:ascii="Times New Roman" w:hAnsi="Times New Roman" w:cs="Times New Roman"/>
          <w:sz w:val="24"/>
          <w:szCs w:val="24"/>
        </w:rPr>
        <w:t xml:space="preserve"> a more distributed paralimbic</w:t>
      </w:r>
      <w:r w:rsidRPr="004B2B38">
        <w:rPr>
          <w:rFonts w:ascii="Times New Roman" w:hAnsi="Times New Roman" w:cs="Times New Roman"/>
          <w:sz w:val="24"/>
          <w:szCs w:val="24"/>
        </w:rPr>
        <w:t xml:space="preserve"> network including orbitofrontal cortex (OFC), anterior insula (AI), anterior and posterior cingulate, temporal pole and parahippocampal gyrus </w:t>
      </w:r>
      <w:r w:rsidRPr="004B2B38">
        <w:rPr>
          <w:rFonts w:ascii="Times New Roman" w:hAnsi="Times New Roman" w:cs="Times New Roman"/>
          <w:noProof/>
          <w:sz w:val="24"/>
          <w:szCs w:val="24"/>
        </w:rPr>
        <w:t>(Anderson &amp; Kiehl, 2012)</w:t>
      </w:r>
      <w:r w:rsidRPr="004B2B38">
        <w:rPr>
          <w:rFonts w:ascii="Times New Roman" w:hAnsi="Times New Roman" w:cs="Times New Roman"/>
          <w:sz w:val="24"/>
          <w:szCs w:val="24"/>
        </w:rPr>
        <w:t xml:space="preserve">. Functional magnetic resonance imaging (fMRI) studies in children with CP/HCU have found largely reduced responsiveness across this network relative to TD controls during a variety of emotion processing </w:t>
      </w:r>
      <w:r w:rsidRPr="004B2B38">
        <w:rPr>
          <w:rFonts w:ascii="Times New Roman" w:hAnsi="Times New Roman" w:cs="Times New Roman"/>
          <w:noProof/>
          <w:sz w:val="24"/>
          <w:szCs w:val="24"/>
        </w:rPr>
        <w:t>(Jones et al., 2010; Lockwood et al., 2013; Marsh &amp; Blair, 2008; Sebastian et al., 2012)</w:t>
      </w:r>
      <w:r w:rsidRPr="004B2B38">
        <w:rPr>
          <w:rFonts w:ascii="Times New Roman" w:hAnsi="Times New Roman" w:cs="Times New Roman"/>
          <w:sz w:val="24"/>
          <w:szCs w:val="24"/>
        </w:rPr>
        <w:t xml:space="preserve"> and decision-making </w:t>
      </w:r>
      <w:r w:rsidRPr="004B2B38">
        <w:rPr>
          <w:rFonts w:ascii="Times New Roman" w:hAnsi="Times New Roman" w:cs="Times New Roman"/>
          <w:noProof/>
          <w:sz w:val="24"/>
          <w:szCs w:val="24"/>
        </w:rPr>
        <w:t>(Finger et al., 2011; Marsh et al., 2011)</w:t>
      </w:r>
      <w:r w:rsidRPr="004B2B38">
        <w:rPr>
          <w:rFonts w:ascii="Times New Roman" w:hAnsi="Times New Roman" w:cs="Times New Roman"/>
          <w:sz w:val="24"/>
          <w:szCs w:val="24"/>
        </w:rPr>
        <w:t xml:space="preserve"> tasks, although some studies have also found increased responses </w:t>
      </w:r>
      <w:r w:rsidRPr="004B2B38">
        <w:rPr>
          <w:rFonts w:ascii="Times New Roman" w:hAnsi="Times New Roman" w:cs="Times New Roman"/>
          <w:noProof/>
          <w:sz w:val="24"/>
          <w:szCs w:val="24"/>
        </w:rPr>
        <w:t>(Cohn et al., 2013)</w:t>
      </w:r>
      <w:r w:rsidRPr="004B2B38">
        <w:rPr>
          <w:rFonts w:ascii="Times New Roman" w:hAnsi="Times New Roman" w:cs="Times New Roman"/>
          <w:sz w:val="24"/>
          <w:szCs w:val="24"/>
        </w:rPr>
        <w:t xml:space="preserve">. In contrast, fMRI studies which have looked at both CP/HCU and CP/LCU within the same study have found a different pattern of neural response in CP/LCU, for example increased (as opposed to decreased) amygdala response to emotional faces compared with TD controls </w:t>
      </w:r>
      <w:r w:rsidRPr="004B2B38">
        <w:rPr>
          <w:rFonts w:ascii="Times New Roman" w:hAnsi="Times New Roman" w:cs="Times New Roman"/>
          <w:noProof/>
          <w:sz w:val="24"/>
          <w:szCs w:val="24"/>
        </w:rPr>
        <w:t>(Sebastian et al., 2014; Viding et al., 2012)</w:t>
      </w:r>
      <w:r w:rsidRPr="004B2B38">
        <w:rPr>
          <w:rFonts w:ascii="Times New Roman" w:hAnsi="Times New Roman" w:cs="Times New Roman"/>
          <w:sz w:val="24"/>
          <w:szCs w:val="24"/>
        </w:rPr>
        <w:t>.</w:t>
      </w:r>
    </w:p>
    <w:p w14:paraId="1AFB3BB4"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However, to date, no study has directly compared brain structure in children with CP/HCU, CP/LCU and TD controls. Several structural MRI (sMRI) studies have compared children and adolescents with CP in general against TD controls. The most common technique has been to use voxel-based morphometry (VBM) to explore grey matter volume and/or concentration across the whole brain and within specific regions of interest (ROIs). These studies have found GM reductions in CP relative to TD controls in the amygdala </w:t>
      </w:r>
      <w:r w:rsidRPr="004B2B38">
        <w:rPr>
          <w:rFonts w:ascii="Times New Roman" w:hAnsi="Times New Roman" w:cs="Times New Roman"/>
          <w:noProof/>
          <w:sz w:val="24"/>
          <w:szCs w:val="24"/>
        </w:rPr>
        <w:t xml:space="preserve">(Cope, Ermer, Gaudet, et al., 2014; Fairchild et al., 2011; Huebner et al., 2008; Sterzer, </w:t>
      </w:r>
      <w:r w:rsidRPr="004B2B38">
        <w:rPr>
          <w:rFonts w:ascii="Times New Roman" w:hAnsi="Times New Roman" w:cs="Times New Roman"/>
          <w:noProof/>
          <w:sz w:val="24"/>
          <w:szCs w:val="24"/>
        </w:rPr>
        <w:lastRenderedPageBreak/>
        <w:t>Stadler, Poustka, &amp; Kleinschmidt, 2007)</w:t>
      </w:r>
      <w:r w:rsidRPr="004B2B38">
        <w:rPr>
          <w:rFonts w:ascii="Times New Roman" w:hAnsi="Times New Roman" w:cs="Times New Roman"/>
          <w:sz w:val="24"/>
          <w:szCs w:val="24"/>
        </w:rPr>
        <w:t xml:space="preserve"> AI </w:t>
      </w:r>
      <w:r w:rsidRPr="004B2B38">
        <w:rPr>
          <w:rFonts w:ascii="Times New Roman" w:hAnsi="Times New Roman" w:cs="Times New Roman"/>
          <w:noProof/>
          <w:sz w:val="24"/>
          <w:szCs w:val="24"/>
        </w:rPr>
        <w:t>(Fairchild et al., 2011; Sterzer et al., 2007)</w:t>
      </w:r>
      <w:r w:rsidRPr="004B2B38">
        <w:rPr>
          <w:rFonts w:ascii="Times New Roman" w:hAnsi="Times New Roman" w:cs="Times New Roman"/>
          <w:sz w:val="24"/>
          <w:szCs w:val="24"/>
        </w:rPr>
        <w:t xml:space="preserve"> OFC </w:t>
      </w:r>
      <w:r w:rsidRPr="004B2B38">
        <w:rPr>
          <w:rFonts w:ascii="Times New Roman" w:hAnsi="Times New Roman" w:cs="Times New Roman"/>
          <w:noProof/>
          <w:sz w:val="24"/>
          <w:szCs w:val="24"/>
        </w:rPr>
        <w:t>(Cope, Ermer, Gaudet, et al., 2014)</w:t>
      </w:r>
      <w:r w:rsidRPr="004B2B38">
        <w:rPr>
          <w:rFonts w:ascii="Times New Roman" w:hAnsi="Times New Roman" w:cs="Times New Roman"/>
          <w:sz w:val="24"/>
          <w:szCs w:val="24"/>
        </w:rPr>
        <w:t xml:space="preserve">, and temporal poles </w:t>
      </w:r>
      <w:r w:rsidRPr="004B2B38">
        <w:rPr>
          <w:rFonts w:ascii="Times New Roman" w:hAnsi="Times New Roman" w:cs="Times New Roman"/>
          <w:noProof/>
          <w:sz w:val="24"/>
          <w:szCs w:val="24"/>
        </w:rPr>
        <w:t>(Huebner et al., 2008)</w:t>
      </w:r>
      <w:r w:rsidRPr="004B2B38">
        <w:rPr>
          <w:rFonts w:ascii="Times New Roman" w:hAnsi="Times New Roman" w:cs="Times New Roman"/>
          <w:sz w:val="24"/>
          <w:szCs w:val="24"/>
        </w:rPr>
        <w:t xml:space="preserve">. Findings in female participants have been similar </w:t>
      </w:r>
      <w:r w:rsidRPr="004B2B38">
        <w:rPr>
          <w:rFonts w:ascii="Times New Roman" w:hAnsi="Times New Roman" w:cs="Times New Roman"/>
          <w:noProof/>
          <w:sz w:val="24"/>
          <w:szCs w:val="24"/>
        </w:rPr>
        <w:t>(Fairchild et al., 2013)</w:t>
      </w:r>
      <w:r w:rsidRPr="004B2B38">
        <w:rPr>
          <w:rFonts w:ascii="Times New Roman" w:hAnsi="Times New Roman" w:cs="Times New Roman"/>
          <w:sz w:val="24"/>
          <w:szCs w:val="24"/>
        </w:rPr>
        <w:t xml:space="preserve">. Use of alternative metrics such as cortical thickness has also shown reductions in cingulate, prefrontal and insular cortices </w:t>
      </w:r>
      <w:r w:rsidRPr="004B2B38">
        <w:rPr>
          <w:rFonts w:ascii="Times New Roman" w:hAnsi="Times New Roman" w:cs="Times New Roman"/>
          <w:noProof/>
          <w:sz w:val="24"/>
          <w:szCs w:val="24"/>
        </w:rPr>
        <w:t>(Fahim et al., 2011)</w:t>
      </w:r>
      <w:r w:rsidRPr="004B2B38">
        <w:rPr>
          <w:rFonts w:ascii="Times New Roman" w:hAnsi="Times New Roman" w:cs="Times New Roman"/>
          <w:sz w:val="24"/>
          <w:szCs w:val="24"/>
        </w:rPr>
        <w:t xml:space="preserve"> and in several temporal and parietal regions </w:t>
      </w:r>
      <w:r w:rsidRPr="004B2B38">
        <w:rPr>
          <w:rFonts w:ascii="Times New Roman" w:hAnsi="Times New Roman" w:cs="Times New Roman"/>
          <w:noProof/>
          <w:sz w:val="24"/>
          <w:szCs w:val="24"/>
        </w:rPr>
        <w:t>(Hyatt, Haney-Caron, &amp; Stevens, 2012; Wallace et al., 2014)</w:t>
      </w:r>
      <w:r w:rsidRPr="004B2B38">
        <w:rPr>
          <w:rFonts w:ascii="Times New Roman" w:hAnsi="Times New Roman" w:cs="Times New Roman"/>
          <w:sz w:val="24"/>
          <w:szCs w:val="24"/>
        </w:rPr>
        <w:t>. The study by Wallace and colleagues also found some evidence of reduced gyrification in ventromedial prefrontal cortex</w:t>
      </w:r>
      <w:r w:rsidRPr="004B2B38">
        <w:t xml:space="preserve"> </w:t>
      </w:r>
      <w:r w:rsidRPr="004B2B38">
        <w:rPr>
          <w:rFonts w:ascii="Times New Roman" w:hAnsi="Times New Roman" w:cs="Times New Roman"/>
          <w:sz w:val="24"/>
          <w:szCs w:val="24"/>
        </w:rPr>
        <w:t xml:space="preserve">and a significant negative correlation between the severity of CU traits and cortical thickness in the right superior temporal cortex. Overall, therefore, most studies show a general pattern of reduced GM across children and young people with CP in brain regions associated with antisocial behaviour and psychopathy, even after controlling for common confounding variables such as IQ, substance misuse and attention deficit hyperactivity disorder (ADHD) symptoms. </w:t>
      </w:r>
    </w:p>
    <w:p w14:paraId="332E3365"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It is worth noting, however, that one previous study </w:t>
      </w:r>
      <w:r w:rsidR="00EB03D4" w:rsidRPr="00EB03D4">
        <w:rPr>
          <w:rFonts w:ascii="Times New Roman" w:hAnsi="Times New Roman" w:cs="Times New Roman"/>
          <w:sz w:val="24"/>
          <w:szCs w:val="24"/>
        </w:rPr>
        <w:t xml:space="preserve">from our laboratory </w:t>
      </w:r>
      <w:r w:rsidRPr="004B2B38">
        <w:rPr>
          <w:rFonts w:ascii="Times New Roman" w:hAnsi="Times New Roman" w:cs="Times New Roman"/>
          <w:sz w:val="24"/>
          <w:szCs w:val="24"/>
        </w:rPr>
        <w:t xml:space="preserve">investigating a subclinical sample of boys with CP/HCU compared with TD controls found increased GM concentrations in medial OFC and anterior cingulate cortex (ACC), and increased grey matter volume and concentration in the temporal lobes bilaterally </w:t>
      </w:r>
      <w:r w:rsidRPr="004B2B38">
        <w:rPr>
          <w:rFonts w:ascii="Times New Roman" w:hAnsi="Times New Roman" w:cs="Times New Roman"/>
          <w:noProof/>
          <w:sz w:val="24"/>
          <w:szCs w:val="24"/>
        </w:rPr>
        <w:t>(De Brito et al., 2009)</w:t>
      </w:r>
      <w:r w:rsidRPr="004B2B38">
        <w:rPr>
          <w:rFonts w:ascii="Times New Roman" w:hAnsi="Times New Roman" w:cs="Times New Roman"/>
          <w:sz w:val="24"/>
          <w:szCs w:val="24"/>
        </w:rPr>
        <w:t>. Unfortunately, in the absence of the CP/LCU group it was not possible to determine whether this pattern of findings was unique to CP/HCU. In addition, given the young age of the participants (mean age 11 years 8 months) it is not clear whether the pattern of increased GM concentration generalises to the broader CP population, in particular to older adolescents with CP. The lack of a developmentally typical reduction in GM concentration in key ROIs with increasing age in the CP/HCU group was responsible for the group difference seen in this study. The result was therefore interpreted as reflecting delayed cortical maturation in the CP/HCU sample. This pattern may not be evident if a CP population is sampled at a later age.</w:t>
      </w:r>
    </w:p>
    <w:p w14:paraId="0E767CB7"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lastRenderedPageBreak/>
        <w:t xml:space="preserve">Of the sMRI studies discussed above, a subset have explored the contribution of CU or psychopathic traits to variance in grey matter indices across the CP sample. The pattern of findings has been somewhat mixed. For example, in a very large (N=191) sample of incarcerated male adolescents </w:t>
      </w:r>
      <w:r w:rsidRPr="004B2B38">
        <w:rPr>
          <w:rFonts w:ascii="Times New Roman" w:hAnsi="Times New Roman" w:cs="Times New Roman"/>
          <w:noProof/>
          <w:sz w:val="24"/>
          <w:szCs w:val="24"/>
        </w:rPr>
        <w:t>(Ermer, Cope, Nyalakanti, Calhoun, &amp; Kiehl, 2013)</w:t>
      </w:r>
      <w:r w:rsidRPr="004B2B38">
        <w:rPr>
          <w:rFonts w:ascii="Times New Roman" w:hAnsi="Times New Roman" w:cs="Times New Roman"/>
          <w:sz w:val="24"/>
          <w:szCs w:val="24"/>
        </w:rPr>
        <w:t xml:space="preserve"> found negative associations between GM volume and psychopathic traits in OFC extending into temporal poles and parahippocampal cortex, and posterior cingulate cortex. This pattern of results was recently replicated in a female incarcerated sample </w:t>
      </w:r>
      <w:r w:rsidRPr="004B2B38">
        <w:rPr>
          <w:rFonts w:ascii="Times New Roman" w:hAnsi="Times New Roman" w:cs="Times New Roman"/>
          <w:noProof/>
          <w:sz w:val="24"/>
          <w:szCs w:val="24"/>
        </w:rPr>
        <w:t>(Cope, Ermer, Nyalakanti, Calhoun, &amp; Kiehl, 2014)</w:t>
      </w:r>
      <w:r w:rsidRPr="004B2B38">
        <w:rPr>
          <w:rFonts w:ascii="Times New Roman" w:hAnsi="Times New Roman" w:cs="Times New Roman"/>
          <w:sz w:val="24"/>
          <w:szCs w:val="24"/>
        </w:rPr>
        <w:t xml:space="preserve">. However, also in female participants, Fairchild et al. (2013) found that CU traits were positively (rather than negatively) associated with bilateral OFC volumes. Furthermore, some studies have found no associations between brain structure and CU traits; for example Fairchild et al. (2011) found no relationship between GM volumes and CU traits in males, although CD symptoms were negatively associated with right insula volume and the CD sample size was large (N=63). </w:t>
      </w:r>
    </w:p>
    <w:p w14:paraId="729B35D8"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Given this mixed pattern of findings, we focused on whether males with CP/HCU and CP/LCU show similar structural profiles at the neural level, or whether certain structural deficits may characterise one or the other subgroup. Given that CP/HCU and CP/LCU show different behavioural profiles and genetic and neurocognitive vulnerabilities, we predicted that differences might also extend to the structural level. We focused on four regions of interest previously associated with atypical structure and function in CP/HCU and adult psychopathy (OFC, amygdala, AI and ACC), and predicted that structural differences in at least some of these regions would be driven by the CP/HCU group, with CP/LCU not differing from TD controls. However, since </w:t>
      </w:r>
      <w:r w:rsidR="00EB03D4">
        <w:rPr>
          <w:rFonts w:ascii="Times New Roman" w:hAnsi="Times New Roman" w:cs="Times New Roman"/>
          <w:sz w:val="24"/>
          <w:szCs w:val="24"/>
        </w:rPr>
        <w:t>our</w:t>
      </w:r>
      <w:r w:rsidRPr="004B2B38">
        <w:rPr>
          <w:rFonts w:ascii="Times New Roman" w:hAnsi="Times New Roman" w:cs="Times New Roman"/>
          <w:sz w:val="24"/>
          <w:szCs w:val="24"/>
        </w:rPr>
        <w:t xml:space="preserve"> previous study </w:t>
      </w:r>
      <w:r w:rsidRPr="004B2B38">
        <w:rPr>
          <w:rFonts w:ascii="Times New Roman" w:hAnsi="Times New Roman" w:cs="Times New Roman"/>
          <w:noProof/>
          <w:sz w:val="24"/>
          <w:szCs w:val="24"/>
        </w:rPr>
        <w:t>(De Brito et al., 2009)</w:t>
      </w:r>
      <w:r w:rsidRPr="004B2B38">
        <w:rPr>
          <w:rFonts w:ascii="Times New Roman" w:hAnsi="Times New Roman" w:cs="Times New Roman"/>
          <w:sz w:val="24"/>
          <w:szCs w:val="24"/>
        </w:rPr>
        <w:t xml:space="preserve"> found increased GM while other studies have found reduced GM in this population, we did not predict the direction of effects a priori. We divided a large sample (N=60) of children with CP into CP/HCU and CP/LCU subgroups. We compared grey matter volumes at the whole </w:t>
      </w:r>
      <w:r w:rsidRPr="004B2B38">
        <w:rPr>
          <w:rFonts w:ascii="Times New Roman" w:hAnsi="Times New Roman" w:cs="Times New Roman"/>
          <w:sz w:val="24"/>
          <w:szCs w:val="24"/>
        </w:rPr>
        <w:lastRenderedPageBreak/>
        <w:t>brain level and in ROIs using DARTEL-based VBM, both across CP participants relative to TD controls, and between all three groups. We also explored continuous relationships between GM volumes and both CU traits and conduct disorder symptoms across the sample of children with CP.</w:t>
      </w:r>
    </w:p>
    <w:p w14:paraId="476D969B" w14:textId="77777777" w:rsidR="00EA002F" w:rsidRPr="004B2B38" w:rsidRDefault="00EA002F" w:rsidP="00A02D4E">
      <w:pPr>
        <w:spacing w:after="0" w:line="480" w:lineRule="auto"/>
        <w:jc w:val="center"/>
        <w:rPr>
          <w:rFonts w:ascii="Times New Roman" w:hAnsi="Times New Roman" w:cs="Times New Roman"/>
          <w:b/>
          <w:sz w:val="24"/>
          <w:szCs w:val="24"/>
        </w:rPr>
      </w:pPr>
      <w:r w:rsidRPr="004B2B38">
        <w:rPr>
          <w:rFonts w:ascii="Times New Roman" w:hAnsi="Times New Roman" w:cs="Times New Roman"/>
          <w:b/>
          <w:sz w:val="24"/>
          <w:szCs w:val="24"/>
        </w:rPr>
        <w:t>Material and Methods</w:t>
      </w:r>
    </w:p>
    <w:p w14:paraId="52378AF4" w14:textId="77777777" w:rsidR="00EA002F" w:rsidRPr="004B2B38" w:rsidRDefault="00EA002F" w:rsidP="00290530">
      <w:pPr>
        <w:spacing w:after="0" w:line="480" w:lineRule="auto"/>
        <w:rPr>
          <w:rFonts w:ascii="Times New Roman" w:hAnsi="Times New Roman" w:cs="Times New Roman"/>
          <w:b/>
          <w:sz w:val="24"/>
          <w:szCs w:val="24"/>
        </w:rPr>
      </w:pPr>
      <w:r w:rsidRPr="004B2B38">
        <w:rPr>
          <w:rFonts w:ascii="Times New Roman" w:hAnsi="Times New Roman" w:cs="Times New Roman"/>
          <w:b/>
          <w:sz w:val="24"/>
          <w:szCs w:val="24"/>
        </w:rPr>
        <w:t>Participants</w:t>
      </w:r>
    </w:p>
    <w:p w14:paraId="37DA99E5"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Participants </w:t>
      </w:r>
      <w:r w:rsidR="00131DB7" w:rsidRPr="00131DB7">
        <w:rPr>
          <w:rFonts w:ascii="Times New Roman" w:hAnsi="Times New Roman" w:cs="Times New Roman"/>
          <w:sz w:val="24"/>
          <w:szCs w:val="24"/>
        </w:rPr>
        <w:t xml:space="preserve">overlapped with a sample reported previously </w:t>
      </w:r>
      <w:r w:rsidR="00131DB7">
        <w:rPr>
          <w:rFonts w:ascii="Times New Roman" w:hAnsi="Times New Roman" w:cs="Times New Roman"/>
          <w:sz w:val="24"/>
          <w:szCs w:val="24"/>
        </w:rPr>
        <w:t xml:space="preserve">(Lockwood et al., 2013; Sebastian et al., 2014; Sebastian et al., 2012; Viding et al., 2012) </w:t>
      </w:r>
      <w:r w:rsidR="00131DB7" w:rsidRPr="008C331F">
        <w:rPr>
          <w:rFonts w:ascii="Times New Roman" w:hAnsi="Times New Roman" w:cs="Times New Roman"/>
          <w:noProof/>
          <w:sz w:val="24"/>
          <w:szCs w:val="24"/>
        </w:rPr>
        <w:t>although none of the data reported here have been published previously</w:t>
      </w:r>
      <w:r w:rsidR="00131DB7" w:rsidRPr="008C331F">
        <w:rPr>
          <w:rFonts w:ascii="Times New Roman" w:hAnsi="Times New Roman" w:cs="Times New Roman"/>
          <w:sz w:val="24"/>
          <w:szCs w:val="24"/>
        </w:rPr>
        <w:t>.</w:t>
      </w:r>
      <w:r w:rsidR="00131DB7">
        <w:rPr>
          <w:rFonts w:ascii="Times New Roman" w:hAnsi="Times New Roman" w:cs="Times New Roman"/>
          <w:sz w:val="24"/>
          <w:szCs w:val="24"/>
        </w:rPr>
        <w:t xml:space="preserve"> Participants </w:t>
      </w:r>
      <w:r w:rsidRPr="004B2B38">
        <w:rPr>
          <w:rFonts w:ascii="Times New Roman" w:hAnsi="Times New Roman" w:cs="Times New Roman"/>
          <w:sz w:val="24"/>
          <w:szCs w:val="24"/>
        </w:rPr>
        <w:t>were recruited via local schools and advertisements;</w:t>
      </w:r>
      <w:r w:rsidRPr="004B2B38" w:rsidDel="00067268">
        <w:rPr>
          <w:rFonts w:ascii="Times New Roman" w:hAnsi="Times New Roman" w:cs="Times New Roman"/>
          <w:sz w:val="24"/>
          <w:szCs w:val="24"/>
        </w:rPr>
        <w:t xml:space="preserve"> </w:t>
      </w:r>
      <w:r w:rsidRPr="004B2B38">
        <w:rPr>
          <w:rFonts w:ascii="Times New Roman" w:hAnsi="Times New Roman" w:cs="Times New Roman"/>
          <w:sz w:val="24"/>
          <w:szCs w:val="24"/>
        </w:rPr>
        <w:t xml:space="preserve">full details of sample recruitment are reported in these studies. Participant characteristics are displayed in Table 1. All aspects of the study were approved by the </w:t>
      </w:r>
      <w:r w:rsidR="00131DB7" w:rsidRPr="008C331F">
        <w:rPr>
          <w:rFonts w:ascii="Times New Roman" w:hAnsi="Times New Roman" w:cs="Times New Roman"/>
          <w:sz w:val="24"/>
          <w:szCs w:val="24"/>
        </w:rPr>
        <w:t>University College London Research Ethics Committee (Project ID number: 0622/001)</w:t>
      </w:r>
      <w:r w:rsidRPr="004B2B38">
        <w:rPr>
          <w:rFonts w:ascii="Times New Roman" w:hAnsi="Times New Roman" w:cs="Times New Roman"/>
          <w:sz w:val="24"/>
          <w:szCs w:val="24"/>
        </w:rPr>
        <w:t xml:space="preserve"> and work was conducted in accordance with the Declaration of Helsinki. Informed consent was given by parents/guardians, while informed assent was given by participants themselves. </w:t>
      </w:r>
    </w:p>
    <w:p w14:paraId="584EA534" w14:textId="77777777" w:rsidR="00EA002F" w:rsidRPr="004B2B38" w:rsidRDefault="00EA002F" w:rsidP="00112BEA">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Ninety-nine males aged 10-16 were scanned. Of these, 69 had a research diagnosis of current conduct problems (CP) based on combined parent- and teacher- report on the Child and Adolescent Symptom Inventory (CASI-4R;</w:t>
      </w:r>
      <w:r w:rsidRPr="004B2B38">
        <w:rPr>
          <w:rFonts w:ascii="Times New Roman" w:hAnsi="Times New Roman" w:cs="Times New Roman"/>
          <w:noProof/>
          <w:sz w:val="24"/>
          <w:szCs w:val="24"/>
        </w:rPr>
        <w:t xml:space="preserve"> Gadow &amp; Sprafkin, 2009)</w:t>
      </w:r>
      <w:r w:rsidRPr="004B2B38">
        <w:rPr>
          <w:rFonts w:ascii="Times New Roman" w:hAnsi="Times New Roman" w:cs="Times New Roman"/>
          <w:sz w:val="24"/>
          <w:szCs w:val="24"/>
        </w:rPr>
        <w:t xml:space="preserve"> Conduct Disorder subscale (CASI-CD</w:t>
      </w:r>
      <w:r w:rsidR="00112BEA" w:rsidRPr="004B2B38">
        <w:rPr>
          <w:rFonts w:ascii="Times New Roman" w:hAnsi="Times New Roman" w:cs="Times New Roman"/>
          <w:sz w:val="24"/>
          <w:szCs w:val="24"/>
        </w:rPr>
        <w:t>;</w:t>
      </w:r>
      <w:r w:rsidRPr="004B2B38">
        <w:rPr>
          <w:rFonts w:ascii="Times New Roman" w:hAnsi="Times New Roman" w:cs="Times New Roman"/>
          <w:noProof/>
          <w:sz w:val="24"/>
          <w:szCs w:val="24"/>
        </w:rPr>
        <w:t xml:space="preserve"> Sprafkin &amp; Gadow, 1998)</w:t>
      </w:r>
      <w:r w:rsidRPr="004B2B38">
        <w:rPr>
          <w:rFonts w:ascii="Times New Roman" w:hAnsi="Times New Roman" w:cs="Times New Roman"/>
          <w:sz w:val="24"/>
          <w:szCs w:val="24"/>
        </w:rPr>
        <w:t>. Consistent with</w:t>
      </w:r>
      <w:r w:rsidR="00131DB7">
        <w:rPr>
          <w:rFonts w:ascii="Times New Roman" w:hAnsi="Times New Roman" w:cs="Times New Roman"/>
          <w:sz w:val="24"/>
          <w:szCs w:val="24"/>
        </w:rPr>
        <w:t xml:space="preserve"> our</w:t>
      </w:r>
      <w:r w:rsidRPr="004B2B38">
        <w:rPr>
          <w:rFonts w:ascii="Times New Roman" w:hAnsi="Times New Roman" w:cs="Times New Roman"/>
          <w:sz w:val="24"/>
          <w:szCs w:val="24"/>
        </w:rPr>
        <w:t xml:space="preserve"> previous fMRI work (Sebastian et al., 2012; Viding et al., 2012), CASI-CD symptom severity scores were used to make the research diagnosis of current conduct problems. Symptom severity cut-off scores for inclusion in the conduct problems group were 3+ (ages 10-14) and 6+ (ages 15-16). Scores of this magnitude and above are associated with a clinical diagnosis of conduct disorder (Sprafkin &amp; Gadow, 1998).</w:t>
      </w:r>
      <w:r w:rsidRPr="004B2B38">
        <w:t xml:space="preserve"> </w:t>
      </w:r>
      <w:r w:rsidRPr="004B2B38">
        <w:rPr>
          <w:rFonts w:ascii="Times New Roman" w:hAnsi="Times New Roman" w:cs="Times New Roman"/>
          <w:sz w:val="24"/>
          <w:szCs w:val="24"/>
        </w:rPr>
        <w:t xml:space="preserve">The remaining 30 were typically developing (TD) controls who did not differ significantly in age, IQ, handedness and SES. Of these, one TD participant was excluded due to excessive motion, and nine participants with CP were </w:t>
      </w:r>
      <w:r w:rsidRPr="004B2B38">
        <w:rPr>
          <w:rFonts w:ascii="Times New Roman" w:hAnsi="Times New Roman" w:cs="Times New Roman"/>
          <w:sz w:val="24"/>
          <w:szCs w:val="24"/>
        </w:rPr>
        <w:lastRenderedPageBreak/>
        <w:t>excluded due to: excessive motion (n=5), scanner refusal (n=3), and as it was later found that one participant did not meet CP criteria. The 60 remaining participants with CP were assigned to low</w:t>
      </w:r>
      <w:r w:rsidR="00112BEA" w:rsidRPr="004B2B38">
        <w:rPr>
          <w:rFonts w:ascii="Times New Roman" w:hAnsi="Times New Roman" w:cs="Times New Roman"/>
          <w:sz w:val="24"/>
          <w:szCs w:val="24"/>
        </w:rPr>
        <w:t xml:space="preserve"> </w:t>
      </w:r>
      <w:r w:rsidR="00DB7E3A">
        <w:rPr>
          <w:rFonts w:ascii="Times New Roman" w:hAnsi="Times New Roman" w:cs="Times New Roman"/>
          <w:sz w:val="24"/>
          <w:szCs w:val="24"/>
        </w:rPr>
        <w:t xml:space="preserve">(CP/LCU, </w:t>
      </w:r>
      <w:r w:rsidR="00112BEA" w:rsidRPr="004B2B38">
        <w:rPr>
          <w:rFonts w:ascii="Times New Roman" w:hAnsi="Times New Roman" w:cs="Times New Roman"/>
          <w:sz w:val="24"/>
          <w:szCs w:val="24"/>
        </w:rPr>
        <w:t xml:space="preserve">n=31) </w:t>
      </w:r>
      <w:r w:rsidRPr="004B2B38">
        <w:rPr>
          <w:rFonts w:ascii="Times New Roman" w:hAnsi="Times New Roman" w:cs="Times New Roman"/>
          <w:sz w:val="24"/>
          <w:szCs w:val="24"/>
        </w:rPr>
        <w:t xml:space="preserve">vs. high </w:t>
      </w:r>
      <w:r w:rsidR="00DB7E3A">
        <w:rPr>
          <w:rFonts w:ascii="Times New Roman" w:hAnsi="Times New Roman" w:cs="Times New Roman"/>
          <w:sz w:val="24"/>
          <w:szCs w:val="24"/>
        </w:rPr>
        <w:t xml:space="preserve">(CP/HCU, </w:t>
      </w:r>
      <w:r w:rsidR="00112BEA" w:rsidRPr="004B2B38">
        <w:rPr>
          <w:rFonts w:ascii="Times New Roman" w:hAnsi="Times New Roman" w:cs="Times New Roman"/>
          <w:sz w:val="24"/>
          <w:szCs w:val="24"/>
        </w:rPr>
        <w:t xml:space="preserve">n=29) </w:t>
      </w:r>
      <w:r w:rsidRPr="004B2B38">
        <w:rPr>
          <w:rFonts w:ascii="Times New Roman" w:hAnsi="Times New Roman" w:cs="Times New Roman"/>
          <w:sz w:val="24"/>
          <w:szCs w:val="24"/>
        </w:rPr>
        <w:t>callous-unemotional trait groups on the basis of a median split on combined parent- and teacher- reported scores on the Inventory of Callous-Unemotional Traits (ICU; Essau et al., 2006). Median ICU score within the CP group</w:t>
      </w:r>
      <w:r w:rsidR="004B2B38">
        <w:rPr>
          <w:rFonts w:ascii="Times New Roman" w:hAnsi="Times New Roman" w:cs="Times New Roman"/>
          <w:sz w:val="24"/>
          <w:szCs w:val="24"/>
        </w:rPr>
        <w:t xml:space="preserve"> was 42: all TD controls (</w:t>
      </w:r>
      <w:r w:rsidRPr="004B2B38">
        <w:rPr>
          <w:rFonts w:ascii="Times New Roman" w:hAnsi="Times New Roman" w:cs="Times New Roman"/>
          <w:sz w:val="24"/>
          <w:szCs w:val="24"/>
        </w:rPr>
        <w:t>n=29</w:t>
      </w:r>
      <w:r w:rsidR="004B2B38">
        <w:rPr>
          <w:rFonts w:ascii="Times New Roman" w:hAnsi="Times New Roman" w:cs="Times New Roman"/>
          <w:sz w:val="24"/>
          <w:szCs w:val="24"/>
        </w:rPr>
        <w:t>)</w:t>
      </w:r>
      <w:r w:rsidRPr="004B2B38">
        <w:rPr>
          <w:rFonts w:ascii="Times New Roman" w:hAnsi="Times New Roman" w:cs="Times New Roman"/>
          <w:sz w:val="24"/>
          <w:szCs w:val="24"/>
        </w:rPr>
        <w:t xml:space="preserve"> scored below the CP group median on this measure.</w:t>
      </w:r>
    </w:p>
    <w:p w14:paraId="5C24B2E0"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For all groups, exclusion criteria included a previous diagnosis of any neurological or psychotic disorder, or a current prescription for psychiatric medication. (We later found that three participants (2 CP/LCU, 1 CP/HCU) had been medicated for ADHD symptoms during scanning. However, analyses conducted with and without these participants were very similar, and so their data were included in reported analyses). To recruit a representative sample of children with conduct problems, common co-morbidities (ADHD, generalised anxiety disorder (GAD), major depressive episode (MDE) and substance/alcohol abuse </w:t>
      </w:r>
      <w:r w:rsidRPr="004B2B38">
        <w:rPr>
          <w:rFonts w:ascii="Times New Roman" w:hAnsi="Times New Roman" w:cs="Times New Roman"/>
          <w:noProof/>
          <w:sz w:val="24"/>
          <w:szCs w:val="24"/>
        </w:rPr>
        <w:t>(Connor, Ford, Albert, &amp; Doerfler, 2007)</w:t>
      </w:r>
      <w:r w:rsidRPr="004B2B38">
        <w:rPr>
          <w:rFonts w:ascii="Times New Roman" w:hAnsi="Times New Roman" w:cs="Times New Roman"/>
          <w:sz w:val="24"/>
          <w:szCs w:val="24"/>
        </w:rPr>
        <w:t xml:space="preserve"> were not used as exclusion criteria, but current symptom counts were ob</w:t>
      </w:r>
      <w:r w:rsidR="00487C4B">
        <w:rPr>
          <w:rFonts w:ascii="Times New Roman" w:hAnsi="Times New Roman" w:cs="Times New Roman"/>
          <w:sz w:val="24"/>
          <w:szCs w:val="24"/>
        </w:rPr>
        <w:t>tained (see below and Table 1).</w:t>
      </w:r>
    </w:p>
    <w:p w14:paraId="06EF264D" w14:textId="77777777" w:rsidR="00EA002F" w:rsidRPr="004B2B38" w:rsidRDefault="00EA002F" w:rsidP="00290530">
      <w:pPr>
        <w:spacing w:after="0" w:line="480" w:lineRule="auto"/>
        <w:rPr>
          <w:rFonts w:ascii="Times New Roman" w:hAnsi="Times New Roman" w:cs="Times New Roman"/>
          <w:b/>
          <w:sz w:val="24"/>
          <w:szCs w:val="24"/>
        </w:rPr>
      </w:pPr>
      <w:r w:rsidRPr="004B2B38">
        <w:rPr>
          <w:rFonts w:ascii="Times New Roman" w:hAnsi="Times New Roman" w:cs="Times New Roman"/>
          <w:b/>
          <w:sz w:val="24"/>
          <w:szCs w:val="24"/>
        </w:rPr>
        <w:t>Psychometric and questionnaire measures</w:t>
      </w:r>
    </w:p>
    <w:p w14:paraId="1F9D132B"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Participants completed the Wechsler Abbreviated Scale of Intelligence </w:t>
      </w:r>
      <w:r w:rsidRPr="004B2B38">
        <w:rPr>
          <w:rFonts w:ascii="Times New Roman" w:hAnsi="Times New Roman" w:cs="Times New Roman"/>
          <w:noProof/>
          <w:sz w:val="24"/>
          <w:szCs w:val="24"/>
        </w:rPr>
        <w:t xml:space="preserve">(Wechsler, 1999) </w:t>
      </w:r>
      <w:r w:rsidRPr="004B2B38">
        <w:rPr>
          <w:rFonts w:ascii="Times New Roman" w:hAnsi="Times New Roman" w:cs="Times New Roman"/>
          <w:sz w:val="24"/>
          <w:szCs w:val="24"/>
        </w:rPr>
        <w:t xml:space="preserve">two-subtest version for group matching purposes, as well as Alcohol/Drug Use Disorder Identification Tests (AUDIT and DUDIT; </w:t>
      </w:r>
      <w:r w:rsidRPr="004B2B38">
        <w:rPr>
          <w:rFonts w:ascii="Times New Roman" w:hAnsi="Times New Roman" w:cs="Times New Roman"/>
          <w:noProof/>
          <w:sz w:val="24"/>
          <w:szCs w:val="24"/>
        </w:rPr>
        <w:t>Babor, Higgins-Biddle, Saunders, &amp; Monteiro, 2001; Berman, Bergman, Palmstierna, &amp; Schlyter, 2005).</w:t>
      </w:r>
      <w:r w:rsidRPr="004B2B38">
        <w:rPr>
          <w:rFonts w:ascii="Times New Roman" w:hAnsi="Times New Roman" w:cs="Times New Roman"/>
          <w:sz w:val="24"/>
          <w:szCs w:val="24"/>
        </w:rPr>
        <w:t xml:space="preserve"> A parent or guardian also completed the CASI-4R scales for ADHD, GAD and MDE in order to ascertain symptom counts for common co-morbidities with conduct problems (Table 1). We did not automatically control for these variables in the main analyses reported below, as it is inappropriate to covary for variables intrinsically related to group assignment </w:t>
      </w:r>
      <w:r w:rsidRPr="004B2B38">
        <w:rPr>
          <w:rFonts w:ascii="Times New Roman" w:hAnsi="Times New Roman" w:cs="Times New Roman"/>
          <w:noProof/>
          <w:sz w:val="24"/>
          <w:szCs w:val="24"/>
        </w:rPr>
        <w:t xml:space="preserve">(Miller &amp; </w:t>
      </w:r>
      <w:r w:rsidRPr="004B2B38">
        <w:rPr>
          <w:rFonts w:ascii="Times New Roman" w:hAnsi="Times New Roman" w:cs="Times New Roman"/>
          <w:noProof/>
          <w:sz w:val="24"/>
          <w:szCs w:val="24"/>
        </w:rPr>
        <w:lastRenderedPageBreak/>
        <w:t>Chapman, 2001)</w:t>
      </w:r>
      <w:r w:rsidRPr="004B2B38">
        <w:rPr>
          <w:rFonts w:ascii="Times New Roman" w:hAnsi="Times New Roman" w:cs="Times New Roman"/>
          <w:sz w:val="24"/>
          <w:szCs w:val="24"/>
        </w:rPr>
        <w:t>. However, for completeness we report the effects of including these covariates (as well as age and IQ) in supplementary materials (Table S1); results did not differ substantially from the main analysis.</w:t>
      </w:r>
    </w:p>
    <w:p w14:paraId="67F51F20" w14:textId="77777777" w:rsidR="00EA002F" w:rsidRPr="004B2B38" w:rsidRDefault="00EA002F" w:rsidP="00290530">
      <w:pPr>
        <w:spacing w:after="0" w:line="480" w:lineRule="auto"/>
        <w:rPr>
          <w:rFonts w:ascii="Times New Roman" w:hAnsi="Times New Roman" w:cs="Times New Roman"/>
          <w:sz w:val="24"/>
          <w:szCs w:val="24"/>
        </w:rPr>
      </w:pPr>
    </w:p>
    <w:p w14:paraId="41B80BE8"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*************************************Table *********************************</w:t>
      </w:r>
    </w:p>
    <w:p w14:paraId="4CAD91BB" w14:textId="77777777" w:rsidR="00EA002F" w:rsidRPr="004B2B38" w:rsidRDefault="00EA002F" w:rsidP="00290530">
      <w:pPr>
        <w:spacing w:after="0" w:line="480" w:lineRule="auto"/>
        <w:rPr>
          <w:rFonts w:ascii="Times New Roman" w:hAnsi="Times New Roman" w:cs="Times New Roman"/>
          <w:sz w:val="24"/>
          <w:szCs w:val="24"/>
        </w:rPr>
      </w:pPr>
    </w:p>
    <w:p w14:paraId="39BC9398" w14:textId="77777777" w:rsidR="00EA002F" w:rsidRPr="004B2B38" w:rsidRDefault="00EA002F" w:rsidP="00290530">
      <w:pPr>
        <w:spacing w:after="0" w:line="480" w:lineRule="auto"/>
        <w:rPr>
          <w:rFonts w:ascii="Times New Roman" w:hAnsi="Times New Roman" w:cs="Times New Roman"/>
          <w:b/>
          <w:sz w:val="24"/>
          <w:szCs w:val="24"/>
        </w:rPr>
      </w:pPr>
      <w:r w:rsidRPr="004B2B38">
        <w:rPr>
          <w:rFonts w:ascii="Times New Roman" w:hAnsi="Times New Roman" w:cs="Times New Roman"/>
          <w:b/>
          <w:sz w:val="24"/>
          <w:szCs w:val="24"/>
        </w:rPr>
        <w:t>MRI data acquisition</w:t>
      </w:r>
    </w:p>
    <w:p w14:paraId="1276EDD6"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Participants were scanned at the Birkbeck-UCL Centre for Neuroimaging using a 1.5 Tesla Siemens Avanto MRI scanner with a 32-channel head coil. A high-resolution, 3D T1-weighted structural scan was acquired using a magnetization prepared rapid gradient echo (MPRAGE) sequence. Imaging parameters were: 176 slices; slice thickness=1 mm; gap between slices=0.5 mm; TR=2730 ms; TE=3.57 ms; field of view=256 mm x 256mm</w:t>
      </w:r>
      <w:r w:rsidRPr="004B2B38">
        <w:rPr>
          <w:rFonts w:ascii="Times New Roman" w:hAnsi="Times New Roman" w:cs="Times New Roman"/>
          <w:sz w:val="24"/>
          <w:szCs w:val="24"/>
          <w:vertAlign w:val="superscript"/>
        </w:rPr>
        <w:t>2</w:t>
      </w:r>
      <w:r w:rsidRPr="004B2B38">
        <w:rPr>
          <w:rFonts w:ascii="Times New Roman" w:hAnsi="Times New Roman" w:cs="Times New Roman"/>
          <w:sz w:val="24"/>
          <w:szCs w:val="24"/>
        </w:rPr>
        <w:t xml:space="preserve">; matrix size=256 x 256; voxel size=1×1×1 mm resolution). The scanning time was 5.5 minutes. </w:t>
      </w:r>
    </w:p>
    <w:p w14:paraId="778EE662" w14:textId="77777777" w:rsidR="00EA002F" w:rsidRPr="004B2B38" w:rsidRDefault="00EA002F" w:rsidP="00290530">
      <w:pPr>
        <w:spacing w:after="0" w:line="480" w:lineRule="auto"/>
        <w:rPr>
          <w:rFonts w:ascii="Times New Roman" w:eastAsiaTheme="minorHAnsi" w:hAnsi="Times New Roman" w:cs="Times New Roman"/>
          <w:b/>
          <w:sz w:val="24"/>
          <w:szCs w:val="24"/>
          <w:lang w:eastAsia="en-US"/>
        </w:rPr>
      </w:pPr>
      <w:r w:rsidRPr="004B2B38">
        <w:rPr>
          <w:rFonts w:ascii="Times New Roman" w:hAnsi="Times New Roman" w:cs="Times New Roman"/>
          <w:b/>
          <w:sz w:val="24"/>
          <w:szCs w:val="24"/>
        </w:rPr>
        <w:t>MRI data pre-processing and analysis</w:t>
      </w:r>
    </w:p>
    <w:p w14:paraId="40292DEB"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To quantify grey matter volume (GMV) the data were preprocessed using the VBM8 toolbox and SPM8, which provide improved segmentation and registration procedures such as the Diffeomorphic Anatomical Registration Through Exponentiated Lie Algebra (DARTEL) toolbox. As our sample was paediatric, customised tissue probability maps were created in the Montreal Neurological Institute (MNI) space for use with the VBM8 Toolbox. These were produced using the matched template approach of the Template-O-Matic Toolbox for SPM8 with each participant’s age and sex as defining variables </w:t>
      </w:r>
      <w:r w:rsidRPr="004B2B38">
        <w:rPr>
          <w:rFonts w:ascii="Times New Roman" w:hAnsi="Times New Roman" w:cs="Times New Roman"/>
          <w:noProof/>
          <w:sz w:val="24"/>
          <w:szCs w:val="24"/>
        </w:rPr>
        <w:t>(Wilke, Holland, Altaye, &amp; Gaser, 2008)</w:t>
      </w:r>
      <w:r w:rsidRPr="004B2B38">
        <w:rPr>
          <w:rFonts w:ascii="Times New Roman" w:hAnsi="Times New Roman" w:cs="Times New Roman"/>
          <w:sz w:val="24"/>
          <w:szCs w:val="24"/>
        </w:rPr>
        <w:t xml:space="preserve">. The pre-processing steps were as follows: First, the anterior commissure was manually indicated on all structural images as the [0, 0, 0 mm] origin in the MNI spatial coordinate system. Individual images were then corrected for bias-field </w:t>
      </w:r>
      <w:r w:rsidRPr="004B2B38">
        <w:rPr>
          <w:rFonts w:ascii="Times New Roman" w:hAnsi="Times New Roman" w:cs="Times New Roman"/>
          <w:sz w:val="24"/>
          <w:szCs w:val="24"/>
        </w:rPr>
        <w:lastRenderedPageBreak/>
        <w:t xml:space="preserve">inhomogeneities, segmented and spatially normalised (affine-only transformation) with reference to customised tissue probability maps. Segmentation accuracy was visually checked for each participant. Based on individual registered grey matter and white matter segmentations, an average DARTEL template of all 89 participants was created in MNI space </w:t>
      </w:r>
      <w:r w:rsidRPr="004B2B38">
        <w:rPr>
          <w:rFonts w:ascii="Times New Roman" w:hAnsi="Times New Roman" w:cs="Times New Roman"/>
          <w:noProof/>
          <w:sz w:val="24"/>
          <w:szCs w:val="24"/>
        </w:rPr>
        <w:t>(Ashburner, 2007)</w:t>
      </w:r>
      <w:r w:rsidRPr="004B2B38">
        <w:rPr>
          <w:rFonts w:ascii="Times New Roman" w:hAnsi="Times New Roman" w:cs="Times New Roman"/>
          <w:sz w:val="24"/>
          <w:szCs w:val="24"/>
        </w:rPr>
        <w:t>. The affine-registered grey matter and white matter segments were then warped to this average template using the high-dimensional DARTEL approach. Modulated data produced GMV, but unmodulated data were also saved to produce grey matter concentration data for subsidiary analyses. Crucially, the voxel values in the grey matter segments were only multiplied by the non-linear component of the registration to account for individual differences in brain size. Finally, grey matter segments were smoothed using a 6x6x6 mm</w:t>
      </w:r>
      <w:r w:rsidRPr="004B2B38">
        <w:rPr>
          <w:rFonts w:ascii="Times New Roman" w:hAnsi="Times New Roman" w:cs="Times New Roman"/>
          <w:sz w:val="24"/>
          <w:szCs w:val="24"/>
          <w:vertAlign w:val="superscript"/>
        </w:rPr>
        <w:t xml:space="preserve">3 </w:t>
      </w:r>
      <w:r w:rsidRPr="004B2B38">
        <w:rPr>
          <w:rFonts w:ascii="Times New Roman" w:hAnsi="Times New Roman" w:cs="Times New Roman"/>
          <w:sz w:val="24"/>
          <w:szCs w:val="24"/>
        </w:rPr>
        <w:t xml:space="preserve">full-width-at-half maximal Gaussian kernel to increase the signal-to-noise ratio and ensure a Gaussian distribution allowing data analysis in the general linear model </w:t>
      </w:r>
      <w:r w:rsidRPr="004B2B38">
        <w:rPr>
          <w:rFonts w:ascii="Times New Roman" w:hAnsi="Times New Roman" w:cs="Times New Roman"/>
          <w:noProof/>
          <w:sz w:val="24"/>
          <w:szCs w:val="24"/>
        </w:rPr>
        <w:t>(Ashburner &amp; Friston, 2005)</w:t>
      </w:r>
      <w:r w:rsidRPr="004B2B38">
        <w:rPr>
          <w:rFonts w:ascii="Times New Roman" w:hAnsi="Times New Roman" w:cs="Times New Roman"/>
          <w:sz w:val="24"/>
          <w:szCs w:val="24"/>
        </w:rPr>
        <w:t>.</w:t>
      </w:r>
    </w:p>
    <w:p w14:paraId="06D37501"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Analyses were performed on a voxel-by-voxel basis employing the framework of the General Linear Model within SPM8. Analyses involved a two-group comparison including combined CP group (i.e. CP/LCU and CP/HCU) versus the TD group, and a three-group comparison contrasting CP/LCU, CP/HCU and TD groups. Using an absolute threshold of 0.1, regionally-specific between-group differences in grey matter volume were assessed. </w:t>
      </w:r>
    </w:p>
    <w:p w14:paraId="793C58AA"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At the whole brain level, results were considered significant at the voxel level using a statistical threshold of </w:t>
      </w:r>
      <w:r w:rsidRPr="004B2B38">
        <w:rPr>
          <w:rFonts w:ascii="Times New Roman" w:hAnsi="Times New Roman" w:cs="Times New Roman"/>
          <w:i/>
          <w:sz w:val="24"/>
          <w:szCs w:val="24"/>
        </w:rPr>
        <w:t>p</w:t>
      </w:r>
      <w:r w:rsidR="00830D2E" w:rsidRPr="004B2B38">
        <w:rPr>
          <w:rFonts w:ascii="Times New Roman" w:hAnsi="Times New Roman" w:cs="Times New Roman"/>
          <w:sz w:val="24"/>
          <w:szCs w:val="24"/>
        </w:rPr>
        <w:t>&lt;</w:t>
      </w:r>
      <w:r w:rsidRPr="004B2B38">
        <w:rPr>
          <w:rFonts w:ascii="Times New Roman" w:hAnsi="Times New Roman" w:cs="Times New Roman"/>
          <w:sz w:val="24"/>
          <w:szCs w:val="24"/>
        </w:rPr>
        <w:t xml:space="preserve">.05 after Family-Wise Error (FWE) correction for multiple comparisons. However, for completeness, we also explored trends for group differences at whole brain level using a height threshold of </w:t>
      </w:r>
      <w:r w:rsidRPr="004B2B38">
        <w:rPr>
          <w:rFonts w:ascii="Times New Roman" w:hAnsi="Times New Roman" w:cs="Times New Roman"/>
          <w:i/>
          <w:sz w:val="24"/>
          <w:szCs w:val="24"/>
        </w:rPr>
        <w:t>p</w:t>
      </w:r>
      <w:r w:rsidR="004B2B38">
        <w:rPr>
          <w:rFonts w:ascii="Times New Roman" w:hAnsi="Times New Roman" w:cs="Times New Roman"/>
          <w:sz w:val="24"/>
          <w:szCs w:val="24"/>
        </w:rPr>
        <w:t>&lt;</w:t>
      </w:r>
      <w:r w:rsidRPr="004B2B38">
        <w:rPr>
          <w:rFonts w:ascii="Times New Roman" w:hAnsi="Times New Roman" w:cs="Times New Roman"/>
          <w:sz w:val="24"/>
          <w:szCs w:val="24"/>
        </w:rPr>
        <w:t>.001</w:t>
      </w:r>
      <w:r w:rsidR="00830D2E" w:rsidRPr="004B2B38">
        <w:rPr>
          <w:rFonts w:ascii="Times New Roman" w:hAnsi="Times New Roman" w:cs="Times New Roman"/>
          <w:sz w:val="24"/>
          <w:szCs w:val="24"/>
        </w:rPr>
        <w:t xml:space="preserve"> uncorrected (see Table S1)</w:t>
      </w:r>
      <w:r w:rsidRPr="004B2B38">
        <w:rPr>
          <w:rFonts w:ascii="Times New Roman" w:hAnsi="Times New Roman" w:cs="Times New Roman"/>
          <w:sz w:val="24"/>
          <w:szCs w:val="24"/>
        </w:rPr>
        <w:t xml:space="preserve">, and an extent threshold of k=52 voxels empirically determined according to random field theory </w:t>
      </w:r>
      <w:r w:rsidRPr="004B2B38">
        <w:rPr>
          <w:rFonts w:ascii="Times New Roman" w:hAnsi="Times New Roman" w:cs="Times New Roman"/>
          <w:noProof/>
          <w:sz w:val="24"/>
          <w:szCs w:val="24"/>
        </w:rPr>
        <w:t>(Hayasaka &amp; Nichols, 2004; Worsley et al., 1996)</w:t>
      </w:r>
      <w:r w:rsidRPr="004B2B38">
        <w:rPr>
          <w:rFonts w:ascii="Times New Roman" w:hAnsi="Times New Roman" w:cs="Times New Roman"/>
          <w:sz w:val="24"/>
          <w:szCs w:val="24"/>
        </w:rPr>
        <w:t xml:space="preserve">. Bilateral masks were created for each of the four a priori ROIs. The masks for the amygdala, OFC, AI, and ACC were all defined </w:t>
      </w:r>
      <w:r w:rsidRPr="004B2B38">
        <w:rPr>
          <w:rFonts w:ascii="Times New Roman" w:hAnsi="Times New Roman" w:cs="Times New Roman"/>
          <w:sz w:val="24"/>
          <w:szCs w:val="24"/>
        </w:rPr>
        <w:lastRenderedPageBreak/>
        <w:t xml:space="preserve">using the automated anatomical labelling atlas implemented in WFU PickAtlas toolbox </w:t>
      </w:r>
      <w:r w:rsidRPr="004B2B38">
        <w:rPr>
          <w:rFonts w:ascii="Times New Roman" w:hAnsi="Times New Roman" w:cs="Times New Roman"/>
          <w:noProof/>
          <w:sz w:val="24"/>
          <w:szCs w:val="24"/>
        </w:rPr>
        <w:t>(Maldjian, Laurienti, Kraft, &amp; Burdette, 2003)</w:t>
      </w:r>
      <w:r w:rsidRPr="004B2B38">
        <w:rPr>
          <w:rFonts w:ascii="Times New Roman" w:hAnsi="Times New Roman" w:cs="Times New Roman"/>
          <w:sz w:val="24"/>
          <w:szCs w:val="24"/>
        </w:rPr>
        <w:t xml:space="preserve">. Inferences in the masks were made using a statistical threshold of </w:t>
      </w:r>
      <w:r w:rsidRPr="004B2B38">
        <w:rPr>
          <w:rFonts w:ascii="Times New Roman" w:hAnsi="Times New Roman" w:cs="Times New Roman"/>
          <w:i/>
          <w:sz w:val="24"/>
          <w:szCs w:val="24"/>
        </w:rPr>
        <w:t>p</w:t>
      </w:r>
      <w:r w:rsidR="004B2B38">
        <w:rPr>
          <w:rFonts w:ascii="Times New Roman" w:hAnsi="Times New Roman" w:cs="Times New Roman"/>
          <w:sz w:val="24"/>
          <w:szCs w:val="24"/>
        </w:rPr>
        <w:t>&lt;</w:t>
      </w:r>
      <w:r w:rsidRPr="004B2B38">
        <w:rPr>
          <w:rFonts w:ascii="Times New Roman" w:hAnsi="Times New Roman" w:cs="Times New Roman"/>
          <w:sz w:val="24"/>
          <w:szCs w:val="24"/>
        </w:rPr>
        <w:t>.05 after FWE-correction at the voxel level.</w:t>
      </w:r>
    </w:p>
    <w:p w14:paraId="1B225F88"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In regions showing group differences between CP and TD groups or between CP/LCU, CP/HCU and TD groups at </w:t>
      </w:r>
      <w:r w:rsidRPr="004B2B38">
        <w:rPr>
          <w:rFonts w:ascii="Times New Roman" w:hAnsi="Times New Roman" w:cs="Times New Roman"/>
          <w:i/>
          <w:sz w:val="24"/>
          <w:szCs w:val="24"/>
        </w:rPr>
        <w:t>p</w:t>
      </w:r>
      <w:r w:rsidRPr="004B2B38">
        <w:rPr>
          <w:rFonts w:ascii="Times New Roman" w:hAnsi="Times New Roman" w:cs="Times New Roman"/>
          <w:sz w:val="24"/>
          <w:szCs w:val="24"/>
        </w:rPr>
        <w:t xml:space="preserve">&lt;.05 FWE, we conducted continuous analyses in SPSS version 21 within the CP group to explore the contributions of CU traits and CD symptoms to differences in GM volume in more detail. We first conducted bivariate analyses and, if significant, these were followed-up by  hierarchical multiple regression to explore the contributions of unique variance associated with each variable after controlling for the other, an approach that has been used in many previous studies of childhood CP (e.g., </w:t>
      </w:r>
      <w:r w:rsidRPr="004B2B38">
        <w:rPr>
          <w:rFonts w:ascii="Times New Roman" w:hAnsi="Times New Roman" w:cs="Times New Roman"/>
          <w:noProof/>
          <w:sz w:val="24"/>
          <w:szCs w:val="24"/>
        </w:rPr>
        <w:t>Lozier, Cardinale, Van Meter, &amp; Marsh, 2014; Sebastian et al., 2012)</w:t>
      </w:r>
      <w:r w:rsidRPr="004B2B38">
        <w:rPr>
          <w:rFonts w:ascii="Times New Roman" w:hAnsi="Times New Roman" w:cs="Times New Roman"/>
          <w:sz w:val="24"/>
          <w:szCs w:val="24"/>
        </w:rPr>
        <w:t xml:space="preserve">. In line with previous research indicating that CU traits offer incremental utility in predicting various outcomes over and above measures of antisocial behaviour and CD (see </w:t>
      </w:r>
      <w:r w:rsidRPr="004B2B38">
        <w:rPr>
          <w:rFonts w:ascii="Times New Roman" w:hAnsi="Times New Roman" w:cs="Times New Roman"/>
          <w:noProof/>
          <w:sz w:val="24"/>
          <w:szCs w:val="24"/>
        </w:rPr>
        <w:t>Frick &amp; White, 2008)</w:t>
      </w:r>
      <w:r w:rsidRPr="004B2B38">
        <w:rPr>
          <w:rFonts w:ascii="Times New Roman" w:hAnsi="Times New Roman" w:cs="Times New Roman"/>
          <w:sz w:val="24"/>
          <w:szCs w:val="24"/>
        </w:rPr>
        <w:t>, CASI-CD symptoms were entered first in our model, followed by CU traits in the second step. Analyses were conducted on the peak voxel showing group differences, as the peak reflects a weighted average of surrounding voxels due to smoothing.</w:t>
      </w:r>
    </w:p>
    <w:p w14:paraId="10B79BEE" w14:textId="77777777" w:rsidR="00EA002F" w:rsidRPr="004B2B38" w:rsidRDefault="00EA002F" w:rsidP="00290530">
      <w:pPr>
        <w:spacing w:after="0" w:line="480" w:lineRule="auto"/>
        <w:rPr>
          <w:rFonts w:ascii="Times New Roman" w:hAnsi="Times New Roman" w:cs="Times New Roman"/>
          <w:b/>
          <w:sz w:val="24"/>
          <w:szCs w:val="24"/>
        </w:rPr>
      </w:pPr>
      <w:r w:rsidRPr="004B2B38">
        <w:rPr>
          <w:rFonts w:ascii="Times New Roman" w:hAnsi="Times New Roman" w:cs="Times New Roman"/>
          <w:b/>
          <w:sz w:val="24"/>
          <w:szCs w:val="24"/>
        </w:rPr>
        <w:t>Results</w:t>
      </w:r>
    </w:p>
    <w:p w14:paraId="6EE5C3CA"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b/>
          <w:sz w:val="24"/>
          <w:szCs w:val="24"/>
        </w:rPr>
        <w:t>Total intracranial volume, overall grey matter, white matter volume, and cerebrospinal fluid</w:t>
      </w:r>
      <w:r w:rsidR="00A02D4E" w:rsidRPr="004B2B38">
        <w:rPr>
          <w:rFonts w:ascii="Times New Roman" w:hAnsi="Times New Roman" w:cs="Times New Roman"/>
          <w:b/>
          <w:sz w:val="24"/>
          <w:szCs w:val="24"/>
        </w:rPr>
        <w:t>.</w:t>
      </w:r>
      <w:r w:rsidR="00E5789A">
        <w:rPr>
          <w:rFonts w:ascii="Times New Roman" w:hAnsi="Times New Roman" w:cs="Times New Roman"/>
          <w:b/>
          <w:sz w:val="24"/>
          <w:szCs w:val="24"/>
        </w:rPr>
        <w:t xml:space="preserve"> </w:t>
      </w:r>
      <w:r w:rsidR="000A46CE">
        <w:rPr>
          <w:rFonts w:ascii="Times New Roman" w:hAnsi="Times New Roman" w:cs="Times New Roman"/>
          <w:b/>
          <w:sz w:val="24"/>
          <w:szCs w:val="24"/>
        </w:rPr>
        <w:t xml:space="preserve"> </w:t>
      </w:r>
      <w:r w:rsidRPr="004B2B38">
        <w:rPr>
          <w:rFonts w:ascii="Times New Roman" w:hAnsi="Times New Roman" w:cs="Times New Roman"/>
          <w:sz w:val="24"/>
          <w:szCs w:val="24"/>
        </w:rPr>
        <w:t xml:space="preserve">The CP/HCU group had lower overall grey matter volume (788.86 ± 66.40 ml) in comparison to both the CP/LCU group (798.51 ml ± 58.86) and TD controls (809.06 ml ± 52.03; </w:t>
      </w:r>
      <w:r w:rsidRPr="004B2B38">
        <w:rPr>
          <w:rFonts w:ascii="Times New Roman" w:hAnsi="Times New Roman" w:cs="Times New Roman"/>
          <w:i/>
          <w:sz w:val="24"/>
          <w:szCs w:val="24"/>
        </w:rPr>
        <w:t>F</w:t>
      </w:r>
      <w:r w:rsidRPr="004B2B38">
        <w:rPr>
          <w:rFonts w:ascii="Times New Roman" w:hAnsi="Times New Roman" w:cs="Times New Roman"/>
          <w:sz w:val="24"/>
          <w:szCs w:val="24"/>
          <w:vertAlign w:val="subscript"/>
        </w:rPr>
        <w:t>(2,86)</w:t>
      </w:r>
      <w:r w:rsidRPr="004B2B38">
        <w:rPr>
          <w:rFonts w:ascii="Times New Roman" w:hAnsi="Times New Roman" w:cs="Times New Roman"/>
          <w:sz w:val="24"/>
          <w:szCs w:val="24"/>
        </w:rPr>
        <w:t xml:space="preserve">=5.18, </w:t>
      </w:r>
      <w:r w:rsidRPr="004B2B38">
        <w:rPr>
          <w:rFonts w:ascii="Times New Roman" w:hAnsi="Times New Roman" w:cs="Times New Roman"/>
          <w:i/>
          <w:sz w:val="24"/>
          <w:szCs w:val="24"/>
        </w:rPr>
        <w:t>p</w:t>
      </w:r>
      <w:r w:rsidRPr="004B2B38">
        <w:rPr>
          <w:rFonts w:ascii="Times New Roman" w:hAnsi="Times New Roman" w:cs="Times New Roman"/>
          <w:sz w:val="24"/>
          <w:szCs w:val="24"/>
        </w:rPr>
        <w:t>=.008; CP/HCU vs</w:t>
      </w:r>
      <w:r w:rsidR="00416843">
        <w:rPr>
          <w:rFonts w:ascii="Times New Roman" w:hAnsi="Times New Roman" w:cs="Times New Roman"/>
          <w:sz w:val="24"/>
          <w:szCs w:val="24"/>
        </w:rPr>
        <w:t>.</w:t>
      </w:r>
      <w:r w:rsidRPr="004B2B38">
        <w:rPr>
          <w:rFonts w:ascii="Times New Roman" w:hAnsi="Times New Roman" w:cs="Times New Roman"/>
          <w:sz w:val="24"/>
          <w:szCs w:val="24"/>
        </w:rPr>
        <w:t xml:space="preserve"> CP/LCU </w:t>
      </w:r>
      <w:r w:rsidR="00416843">
        <w:rPr>
          <w:rFonts w:ascii="Times New Roman" w:hAnsi="Times New Roman" w:cs="Times New Roman"/>
          <w:sz w:val="24"/>
          <w:szCs w:val="24"/>
        </w:rPr>
        <w:t>(</w:t>
      </w:r>
      <w:r w:rsidRPr="004B2B38">
        <w:rPr>
          <w:rFonts w:ascii="Times New Roman" w:hAnsi="Times New Roman" w:cs="Times New Roman"/>
          <w:i/>
          <w:sz w:val="24"/>
          <w:szCs w:val="24"/>
        </w:rPr>
        <w:t>p</w:t>
      </w:r>
      <w:r w:rsidRPr="004B2B38">
        <w:rPr>
          <w:rFonts w:ascii="Times New Roman" w:hAnsi="Times New Roman" w:cs="Times New Roman"/>
          <w:sz w:val="24"/>
          <w:szCs w:val="24"/>
        </w:rPr>
        <w:t>=.016</w:t>
      </w:r>
      <w:r w:rsidR="00416843">
        <w:rPr>
          <w:rFonts w:ascii="Times New Roman" w:hAnsi="Times New Roman" w:cs="Times New Roman"/>
          <w:sz w:val="24"/>
          <w:szCs w:val="24"/>
        </w:rPr>
        <w:t>)</w:t>
      </w:r>
      <w:r w:rsidRPr="004B2B38">
        <w:rPr>
          <w:rFonts w:ascii="Times New Roman" w:hAnsi="Times New Roman" w:cs="Times New Roman"/>
          <w:sz w:val="24"/>
          <w:szCs w:val="24"/>
        </w:rPr>
        <w:t>; CP/HCU vs</w:t>
      </w:r>
      <w:r w:rsidR="004B2B38">
        <w:rPr>
          <w:rFonts w:ascii="Times New Roman" w:hAnsi="Times New Roman" w:cs="Times New Roman"/>
          <w:sz w:val="24"/>
          <w:szCs w:val="24"/>
        </w:rPr>
        <w:t>.</w:t>
      </w:r>
      <w:r w:rsidRPr="004B2B38">
        <w:rPr>
          <w:rFonts w:ascii="Times New Roman" w:hAnsi="Times New Roman" w:cs="Times New Roman"/>
          <w:sz w:val="24"/>
          <w:szCs w:val="24"/>
        </w:rPr>
        <w:t xml:space="preserve"> TD </w:t>
      </w:r>
      <w:r w:rsidR="00416843">
        <w:rPr>
          <w:rFonts w:ascii="Times New Roman" w:hAnsi="Times New Roman" w:cs="Times New Roman"/>
          <w:sz w:val="24"/>
          <w:szCs w:val="24"/>
        </w:rPr>
        <w:t>(</w:t>
      </w:r>
      <w:r w:rsidRPr="004B2B38">
        <w:rPr>
          <w:rFonts w:ascii="Times New Roman" w:hAnsi="Times New Roman" w:cs="Times New Roman"/>
          <w:i/>
          <w:sz w:val="24"/>
          <w:szCs w:val="24"/>
        </w:rPr>
        <w:t>p</w:t>
      </w:r>
      <w:r w:rsidRPr="004B2B38">
        <w:rPr>
          <w:rFonts w:ascii="Times New Roman" w:hAnsi="Times New Roman" w:cs="Times New Roman"/>
          <w:sz w:val="24"/>
          <w:szCs w:val="24"/>
        </w:rPr>
        <w:t>=.006</w:t>
      </w:r>
      <w:r w:rsidR="00416843">
        <w:rPr>
          <w:rFonts w:ascii="Times New Roman" w:hAnsi="Times New Roman" w:cs="Times New Roman"/>
          <w:sz w:val="24"/>
          <w:szCs w:val="24"/>
        </w:rPr>
        <w:t>)</w:t>
      </w:r>
      <w:r w:rsidRPr="004B2B38">
        <w:rPr>
          <w:rFonts w:ascii="Times New Roman" w:hAnsi="Times New Roman" w:cs="Times New Roman"/>
          <w:sz w:val="24"/>
          <w:szCs w:val="24"/>
        </w:rPr>
        <w:t>; CP/LCU vs</w:t>
      </w:r>
      <w:r w:rsidR="004B2B38">
        <w:rPr>
          <w:rFonts w:ascii="Times New Roman" w:hAnsi="Times New Roman" w:cs="Times New Roman"/>
          <w:sz w:val="24"/>
          <w:szCs w:val="24"/>
        </w:rPr>
        <w:t>.</w:t>
      </w:r>
      <w:r w:rsidRPr="004B2B38">
        <w:rPr>
          <w:rFonts w:ascii="Times New Roman" w:hAnsi="Times New Roman" w:cs="Times New Roman"/>
          <w:sz w:val="24"/>
          <w:szCs w:val="24"/>
        </w:rPr>
        <w:t xml:space="preserve"> TD </w:t>
      </w:r>
      <w:r w:rsidR="00416843">
        <w:rPr>
          <w:rFonts w:ascii="Times New Roman" w:hAnsi="Times New Roman" w:cs="Times New Roman"/>
          <w:sz w:val="24"/>
          <w:szCs w:val="24"/>
        </w:rPr>
        <w:t>(</w:t>
      </w:r>
      <w:r w:rsidRPr="004B2B38">
        <w:rPr>
          <w:rFonts w:ascii="Times New Roman" w:hAnsi="Times New Roman" w:cs="Times New Roman"/>
          <w:i/>
          <w:sz w:val="24"/>
          <w:szCs w:val="24"/>
        </w:rPr>
        <w:t>p</w:t>
      </w:r>
      <w:r w:rsidR="00416843">
        <w:rPr>
          <w:rFonts w:ascii="Times New Roman" w:hAnsi="Times New Roman" w:cs="Times New Roman"/>
          <w:sz w:val="24"/>
          <w:szCs w:val="24"/>
        </w:rPr>
        <w:t>=.52)</w:t>
      </w:r>
      <w:r w:rsidRPr="004B2B38">
        <w:rPr>
          <w:rFonts w:ascii="Times New Roman" w:hAnsi="Times New Roman" w:cs="Times New Roman"/>
          <w:sz w:val="24"/>
          <w:szCs w:val="24"/>
        </w:rPr>
        <w:t xml:space="preserve">, but no group differences were observed for white matter volume (CP/HCU: 496.95 ml ± 55.70, CP/LCU: 522.61 ml ± 57.72, TD controls: 514.98 ml ± 55.88, </w:t>
      </w:r>
      <w:r w:rsidRPr="004B2B38">
        <w:rPr>
          <w:rFonts w:ascii="Times New Roman" w:hAnsi="Times New Roman" w:cs="Times New Roman"/>
          <w:i/>
          <w:sz w:val="24"/>
          <w:szCs w:val="24"/>
        </w:rPr>
        <w:t>F</w:t>
      </w:r>
      <w:r w:rsidRPr="004B2B38">
        <w:rPr>
          <w:rFonts w:ascii="Times New Roman" w:hAnsi="Times New Roman" w:cs="Times New Roman"/>
          <w:sz w:val="24"/>
          <w:szCs w:val="24"/>
          <w:vertAlign w:val="subscript"/>
        </w:rPr>
        <w:t>(2,86)</w:t>
      </w:r>
      <w:r w:rsidRPr="004B2B38">
        <w:rPr>
          <w:rFonts w:ascii="Times New Roman" w:hAnsi="Times New Roman" w:cs="Times New Roman"/>
          <w:sz w:val="24"/>
          <w:szCs w:val="24"/>
        </w:rPr>
        <w:t xml:space="preserve">=1.62, </w:t>
      </w:r>
      <w:r w:rsidRPr="004B2B38">
        <w:rPr>
          <w:rFonts w:ascii="Times New Roman" w:hAnsi="Times New Roman" w:cs="Times New Roman"/>
          <w:i/>
          <w:sz w:val="24"/>
          <w:szCs w:val="24"/>
        </w:rPr>
        <w:t>p</w:t>
      </w:r>
      <w:r w:rsidRPr="004B2B38">
        <w:rPr>
          <w:rFonts w:ascii="Times New Roman" w:hAnsi="Times New Roman" w:cs="Times New Roman"/>
          <w:sz w:val="24"/>
          <w:szCs w:val="24"/>
        </w:rPr>
        <w:t xml:space="preserve">=.205), cerebrospinal fluid (CP/HCU: 196.34 ml ± 36.20, CP/LCU:  183.64 ml ± 29.12, TD controls: 181.50 ml ± 27.44, </w:t>
      </w:r>
      <w:r w:rsidRPr="004B2B38">
        <w:rPr>
          <w:rFonts w:ascii="Times New Roman" w:hAnsi="Times New Roman" w:cs="Times New Roman"/>
          <w:i/>
          <w:sz w:val="24"/>
          <w:szCs w:val="24"/>
        </w:rPr>
        <w:t>F</w:t>
      </w:r>
      <w:r w:rsidRPr="004B2B38">
        <w:rPr>
          <w:rFonts w:ascii="Times New Roman" w:hAnsi="Times New Roman" w:cs="Times New Roman"/>
          <w:sz w:val="24"/>
          <w:szCs w:val="24"/>
          <w:vertAlign w:val="subscript"/>
        </w:rPr>
        <w:t>(2,86)</w:t>
      </w:r>
      <w:r w:rsidRPr="004B2B38">
        <w:rPr>
          <w:rFonts w:ascii="Times New Roman" w:hAnsi="Times New Roman" w:cs="Times New Roman"/>
          <w:sz w:val="24"/>
          <w:szCs w:val="24"/>
        </w:rPr>
        <w:t xml:space="preserve">=1.94, </w:t>
      </w:r>
      <w:r w:rsidRPr="004B2B38">
        <w:rPr>
          <w:rFonts w:ascii="Times New Roman" w:hAnsi="Times New Roman" w:cs="Times New Roman"/>
          <w:i/>
          <w:sz w:val="24"/>
          <w:szCs w:val="24"/>
        </w:rPr>
        <w:t>p</w:t>
      </w:r>
      <w:r w:rsidRPr="004B2B38">
        <w:rPr>
          <w:rFonts w:ascii="Times New Roman" w:hAnsi="Times New Roman" w:cs="Times New Roman"/>
          <w:sz w:val="24"/>
          <w:szCs w:val="24"/>
        </w:rPr>
        <w:t xml:space="preserve">=.15) or total intracranial </w:t>
      </w:r>
      <w:r w:rsidRPr="004B2B38">
        <w:rPr>
          <w:rFonts w:ascii="Times New Roman" w:hAnsi="Times New Roman" w:cs="Times New Roman"/>
          <w:sz w:val="24"/>
          <w:szCs w:val="24"/>
        </w:rPr>
        <w:lastRenderedPageBreak/>
        <w:t>volume</w:t>
      </w:r>
      <w:r w:rsidRPr="004B2B38" w:rsidDel="008A7A52">
        <w:rPr>
          <w:rFonts w:ascii="Times New Roman" w:hAnsi="Times New Roman" w:cs="Times New Roman"/>
          <w:sz w:val="24"/>
          <w:szCs w:val="24"/>
        </w:rPr>
        <w:t xml:space="preserve"> </w:t>
      </w:r>
      <w:r w:rsidRPr="004B2B38">
        <w:rPr>
          <w:rFonts w:ascii="Times New Roman" w:hAnsi="Times New Roman" w:cs="Times New Roman"/>
          <w:sz w:val="24"/>
          <w:szCs w:val="24"/>
        </w:rPr>
        <w:t xml:space="preserve">(CP/HCU: 1451.64 ml ± 111.09, CP/LCU: 1504.76 ml ± 109.61, TD controls: 1505.54 ml ± 116.21, </w:t>
      </w:r>
      <w:r w:rsidRPr="004B2B38">
        <w:rPr>
          <w:rFonts w:ascii="Times New Roman" w:hAnsi="Times New Roman" w:cs="Times New Roman"/>
          <w:i/>
          <w:sz w:val="24"/>
          <w:szCs w:val="24"/>
        </w:rPr>
        <w:t>F</w:t>
      </w:r>
      <w:r w:rsidRPr="004B2B38">
        <w:rPr>
          <w:rFonts w:ascii="Times New Roman" w:hAnsi="Times New Roman" w:cs="Times New Roman"/>
          <w:sz w:val="24"/>
          <w:szCs w:val="24"/>
          <w:vertAlign w:val="subscript"/>
        </w:rPr>
        <w:t>(2,86)</w:t>
      </w:r>
      <w:r w:rsidRPr="004B2B38">
        <w:rPr>
          <w:rFonts w:ascii="Times New Roman" w:hAnsi="Times New Roman" w:cs="Times New Roman"/>
          <w:sz w:val="24"/>
          <w:szCs w:val="24"/>
        </w:rPr>
        <w:t xml:space="preserve">=2.22, </w:t>
      </w:r>
      <w:r w:rsidRPr="004B2B38">
        <w:rPr>
          <w:rFonts w:ascii="Times New Roman" w:hAnsi="Times New Roman" w:cs="Times New Roman"/>
          <w:i/>
          <w:sz w:val="24"/>
          <w:szCs w:val="24"/>
        </w:rPr>
        <w:t>p</w:t>
      </w:r>
      <w:r w:rsidRPr="004B2B38">
        <w:rPr>
          <w:rFonts w:ascii="Times New Roman" w:hAnsi="Times New Roman" w:cs="Times New Roman"/>
          <w:sz w:val="24"/>
          <w:szCs w:val="24"/>
        </w:rPr>
        <w:t>=.12).</w:t>
      </w:r>
    </w:p>
    <w:p w14:paraId="7F94FD69" w14:textId="77777777" w:rsidR="00EA002F" w:rsidRPr="004B2B38" w:rsidRDefault="00EA002F" w:rsidP="00E5789A">
      <w:pPr>
        <w:spacing w:after="0" w:line="480" w:lineRule="auto"/>
        <w:ind w:firstLine="720"/>
        <w:rPr>
          <w:rFonts w:ascii="Times New Roman" w:hAnsi="Times New Roman" w:cs="Times New Roman"/>
          <w:sz w:val="24"/>
          <w:szCs w:val="24"/>
        </w:rPr>
      </w:pPr>
      <w:r w:rsidRPr="004B2B38">
        <w:rPr>
          <w:rFonts w:ascii="Times New Roman" w:hAnsi="Times New Roman" w:cs="Times New Roman"/>
          <w:b/>
          <w:sz w:val="24"/>
          <w:szCs w:val="24"/>
        </w:rPr>
        <w:t>Whole brain analysis</w:t>
      </w:r>
      <w:r w:rsidR="00A02D4E" w:rsidRPr="004B2B38">
        <w:rPr>
          <w:rFonts w:ascii="Times New Roman" w:hAnsi="Times New Roman" w:cs="Times New Roman"/>
          <w:b/>
          <w:sz w:val="24"/>
          <w:szCs w:val="24"/>
        </w:rPr>
        <w:t>.</w:t>
      </w:r>
      <w:r w:rsidR="00E5789A">
        <w:rPr>
          <w:rFonts w:ascii="Times New Roman" w:hAnsi="Times New Roman" w:cs="Times New Roman"/>
          <w:b/>
          <w:sz w:val="24"/>
          <w:szCs w:val="24"/>
        </w:rPr>
        <w:t xml:space="preserve"> </w:t>
      </w:r>
      <w:r w:rsidR="000A46CE">
        <w:rPr>
          <w:rFonts w:ascii="Times New Roman" w:hAnsi="Times New Roman" w:cs="Times New Roman"/>
          <w:b/>
          <w:sz w:val="24"/>
          <w:szCs w:val="24"/>
        </w:rPr>
        <w:t xml:space="preserve"> </w:t>
      </w:r>
      <w:r w:rsidRPr="004B2B38">
        <w:rPr>
          <w:rFonts w:ascii="Times New Roman" w:hAnsi="Times New Roman" w:cs="Times New Roman"/>
          <w:sz w:val="24"/>
          <w:szCs w:val="24"/>
        </w:rPr>
        <w:t xml:space="preserve">Comparing the CP group as a whole against the TD controls, there were no significant group differences at </w:t>
      </w:r>
      <w:r w:rsidRPr="004B2B38">
        <w:rPr>
          <w:rFonts w:ascii="Times New Roman" w:hAnsi="Times New Roman" w:cs="Times New Roman"/>
          <w:i/>
          <w:sz w:val="24"/>
          <w:szCs w:val="24"/>
        </w:rPr>
        <w:t>p</w:t>
      </w:r>
      <w:r w:rsidRPr="004B2B38">
        <w:rPr>
          <w:rFonts w:ascii="Times New Roman" w:hAnsi="Times New Roman" w:cs="Times New Roman"/>
          <w:sz w:val="24"/>
          <w:szCs w:val="24"/>
        </w:rPr>
        <w:t>&lt;.05, whole-brain corrected. Comparing CP/HCU, CP/LCU and TD groups separately, CP/HCU exhibited reduced grey matter volume in the left m</w:t>
      </w:r>
      <w:r w:rsidRPr="004B2B38">
        <w:rPr>
          <w:rFonts w:ascii="Times New Roman" w:hAnsi="Times New Roman" w:cs="Times New Roman"/>
          <w:bCs/>
          <w:sz w:val="24"/>
          <w:szCs w:val="24"/>
        </w:rPr>
        <w:t>iddle frontal gyrus (</w:t>
      </w:r>
      <w:r w:rsidRPr="004B2B38">
        <w:rPr>
          <w:rFonts w:ascii="Times New Roman" w:hAnsi="Times New Roman" w:cs="Times New Roman"/>
          <w:sz w:val="24"/>
          <w:szCs w:val="24"/>
        </w:rPr>
        <w:t xml:space="preserve">x=-26, y=20, z=39; t=5.1; k=1; </w:t>
      </w:r>
      <w:r w:rsidRPr="004B2B38">
        <w:rPr>
          <w:rFonts w:ascii="Times New Roman" w:hAnsi="Times New Roman" w:cs="Times New Roman"/>
          <w:i/>
          <w:sz w:val="24"/>
          <w:szCs w:val="24"/>
        </w:rPr>
        <w:t>p</w:t>
      </w:r>
      <w:r w:rsidRPr="004B2B38">
        <w:rPr>
          <w:rFonts w:ascii="Times New Roman" w:hAnsi="Times New Roman" w:cs="Times New Roman"/>
          <w:sz w:val="24"/>
          <w:szCs w:val="24"/>
        </w:rPr>
        <w:t>=.046, FWE-corrected across the whole brain at the peak voxel level) in comparison to the TD controls (Figure 1;</w:t>
      </w:r>
      <w:r w:rsidRPr="004B2B38">
        <w:t xml:space="preserve"> </w:t>
      </w:r>
      <w:r w:rsidRPr="004B2B38">
        <w:rPr>
          <w:rFonts w:ascii="Times New Roman" w:hAnsi="Times New Roman" w:cs="Times New Roman"/>
          <w:sz w:val="24"/>
          <w:szCs w:val="24"/>
        </w:rPr>
        <w:t xml:space="preserve">in all Figures results are shown at p&lt;.001, uncorrected for display purposes only). No other differences reached significance. Regions showing group differences at </w:t>
      </w:r>
      <w:r w:rsidRPr="004B2B38">
        <w:rPr>
          <w:rFonts w:ascii="Times New Roman" w:hAnsi="Times New Roman" w:cs="Times New Roman"/>
          <w:i/>
          <w:sz w:val="24"/>
          <w:szCs w:val="24"/>
        </w:rPr>
        <w:t>p</w:t>
      </w:r>
      <w:r w:rsidRPr="004B2B38">
        <w:rPr>
          <w:rFonts w:ascii="Times New Roman" w:hAnsi="Times New Roman" w:cs="Times New Roman"/>
          <w:sz w:val="24"/>
          <w:szCs w:val="24"/>
        </w:rPr>
        <w:t>&lt;.001, uncorrected are reported in Table S1.</w:t>
      </w:r>
    </w:p>
    <w:p w14:paraId="11CAAE0B" w14:textId="77777777" w:rsidR="00EA002F" w:rsidRPr="004B2B38" w:rsidRDefault="00EA002F" w:rsidP="00290530">
      <w:pPr>
        <w:spacing w:after="0" w:line="480" w:lineRule="auto"/>
        <w:rPr>
          <w:rFonts w:ascii="Times New Roman" w:hAnsi="Times New Roman" w:cs="Times New Roman"/>
          <w:sz w:val="24"/>
          <w:szCs w:val="24"/>
        </w:rPr>
      </w:pPr>
    </w:p>
    <w:p w14:paraId="27838A14"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*************************************Figure 1*******************************</w:t>
      </w:r>
    </w:p>
    <w:p w14:paraId="7C54EFF0" w14:textId="77777777" w:rsidR="00EA002F" w:rsidRPr="004B2B38" w:rsidRDefault="00EA002F" w:rsidP="00290530">
      <w:pPr>
        <w:spacing w:after="0" w:line="480" w:lineRule="auto"/>
        <w:rPr>
          <w:rFonts w:ascii="Times New Roman" w:hAnsi="Times New Roman" w:cs="Times New Roman"/>
          <w:sz w:val="24"/>
          <w:szCs w:val="24"/>
        </w:rPr>
      </w:pPr>
    </w:p>
    <w:p w14:paraId="6185BFC0"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*************************************Figure 2*******************************</w:t>
      </w:r>
    </w:p>
    <w:p w14:paraId="631A0270" w14:textId="77777777" w:rsidR="00EA002F" w:rsidRPr="004B2B38" w:rsidRDefault="00EA002F" w:rsidP="00290530">
      <w:pPr>
        <w:spacing w:after="0" w:line="480" w:lineRule="auto"/>
        <w:rPr>
          <w:rFonts w:ascii="Times New Roman" w:hAnsi="Times New Roman" w:cs="Times New Roman"/>
          <w:i/>
          <w:sz w:val="24"/>
          <w:szCs w:val="24"/>
        </w:rPr>
      </w:pPr>
    </w:p>
    <w:p w14:paraId="77DC6CC8" w14:textId="77777777" w:rsidR="00EA002F" w:rsidRPr="004B2B38" w:rsidRDefault="00A02D4E" w:rsidP="00E5789A">
      <w:pPr>
        <w:spacing w:after="0" w:line="480" w:lineRule="auto"/>
        <w:ind w:firstLine="720"/>
        <w:rPr>
          <w:rFonts w:ascii="Times New Roman" w:hAnsi="Times New Roman" w:cs="Times New Roman"/>
          <w:sz w:val="24"/>
          <w:szCs w:val="24"/>
        </w:rPr>
      </w:pPr>
      <w:r w:rsidRPr="004B2B38">
        <w:rPr>
          <w:rFonts w:ascii="Times New Roman" w:hAnsi="Times New Roman" w:cs="Times New Roman"/>
          <w:b/>
          <w:sz w:val="24"/>
          <w:szCs w:val="24"/>
        </w:rPr>
        <w:t>Region of interest analyses.</w:t>
      </w:r>
      <w:r w:rsidR="00E5789A">
        <w:rPr>
          <w:rFonts w:ascii="Times New Roman" w:hAnsi="Times New Roman" w:cs="Times New Roman"/>
          <w:b/>
          <w:sz w:val="24"/>
          <w:szCs w:val="24"/>
        </w:rPr>
        <w:t xml:space="preserve"> </w:t>
      </w:r>
      <w:r w:rsidR="000A46CE">
        <w:rPr>
          <w:rFonts w:ascii="Times New Roman" w:hAnsi="Times New Roman" w:cs="Times New Roman"/>
          <w:b/>
          <w:sz w:val="24"/>
          <w:szCs w:val="24"/>
        </w:rPr>
        <w:t xml:space="preserve"> </w:t>
      </w:r>
      <w:r w:rsidR="00EA002F" w:rsidRPr="004B2B38">
        <w:rPr>
          <w:rFonts w:ascii="Times New Roman" w:hAnsi="Times New Roman" w:cs="Times New Roman"/>
          <w:sz w:val="24"/>
          <w:szCs w:val="24"/>
        </w:rPr>
        <w:t xml:space="preserve">In comparison with TD controls, children with CP had reduced grey matter in the OFC bilaterally [Right: x=38, y=35, z=-8; </w:t>
      </w:r>
      <w:r w:rsidR="00EA002F" w:rsidRPr="00656C46">
        <w:rPr>
          <w:rFonts w:ascii="Times New Roman" w:hAnsi="Times New Roman" w:cs="Times New Roman"/>
          <w:i/>
          <w:sz w:val="24"/>
          <w:szCs w:val="24"/>
        </w:rPr>
        <w:t>t</w:t>
      </w:r>
      <w:r w:rsidR="00EA002F" w:rsidRPr="004B2B38">
        <w:rPr>
          <w:rFonts w:ascii="Times New Roman" w:hAnsi="Times New Roman" w:cs="Times New Roman"/>
          <w:sz w:val="24"/>
          <w:szCs w:val="24"/>
        </w:rPr>
        <w:t xml:space="preserve">=4.63; k=22; </w:t>
      </w:r>
      <w:r w:rsidR="00EA002F" w:rsidRPr="004B2B38">
        <w:rPr>
          <w:rFonts w:ascii="Times New Roman" w:hAnsi="Times New Roman" w:cs="Times New Roman"/>
          <w:i/>
          <w:sz w:val="24"/>
          <w:szCs w:val="24"/>
        </w:rPr>
        <w:t>p</w:t>
      </w:r>
      <w:r w:rsidR="00EA002F" w:rsidRPr="004B2B38">
        <w:rPr>
          <w:rFonts w:ascii="Times New Roman" w:hAnsi="Times New Roman" w:cs="Times New Roman"/>
          <w:sz w:val="24"/>
          <w:szCs w:val="24"/>
        </w:rPr>
        <w:t xml:space="preserve">=.01 FWE-small volume corrected (SVC); Left: x=-36, y=36, z=-8; </w:t>
      </w:r>
      <w:r w:rsidR="00EA002F" w:rsidRPr="00656C46">
        <w:rPr>
          <w:rFonts w:ascii="Times New Roman" w:hAnsi="Times New Roman" w:cs="Times New Roman"/>
          <w:i/>
          <w:sz w:val="24"/>
          <w:szCs w:val="24"/>
        </w:rPr>
        <w:t>t</w:t>
      </w:r>
      <w:r w:rsidR="00EA002F" w:rsidRPr="004B2B38">
        <w:rPr>
          <w:rFonts w:ascii="Times New Roman" w:hAnsi="Times New Roman" w:cs="Times New Roman"/>
          <w:sz w:val="24"/>
          <w:szCs w:val="24"/>
        </w:rPr>
        <w:t xml:space="preserve">=4.20; k=4; </w:t>
      </w:r>
      <w:r w:rsidR="00EA002F" w:rsidRPr="00656C46">
        <w:rPr>
          <w:rFonts w:ascii="Times New Roman" w:hAnsi="Times New Roman" w:cs="Times New Roman"/>
          <w:i/>
          <w:sz w:val="24"/>
          <w:szCs w:val="24"/>
        </w:rPr>
        <w:t>p</w:t>
      </w:r>
      <w:r w:rsidR="00EA002F" w:rsidRPr="004B2B38">
        <w:rPr>
          <w:rFonts w:ascii="Times New Roman" w:hAnsi="Times New Roman" w:cs="Times New Roman"/>
          <w:sz w:val="24"/>
          <w:szCs w:val="24"/>
        </w:rPr>
        <w:t xml:space="preserve">=.041 FWE-SVC; (Figure 2)]. However, looking at CP/HCU and CP/LCU separately, only the CP/HCU group exhibited reduced grey matter in bilateral OFC relative to TD controls [Right: x=39, y=36, z=-8; </w:t>
      </w:r>
      <w:r w:rsidR="00EA002F" w:rsidRPr="00656C46">
        <w:rPr>
          <w:rFonts w:ascii="Times New Roman" w:hAnsi="Times New Roman" w:cs="Times New Roman"/>
          <w:i/>
          <w:sz w:val="24"/>
          <w:szCs w:val="24"/>
        </w:rPr>
        <w:t>t</w:t>
      </w:r>
      <w:r w:rsidR="00EA002F" w:rsidRPr="004B2B38">
        <w:rPr>
          <w:rFonts w:ascii="Times New Roman" w:hAnsi="Times New Roman" w:cs="Times New Roman"/>
          <w:sz w:val="24"/>
          <w:szCs w:val="24"/>
        </w:rPr>
        <w:t xml:space="preserve">=4.38; k=8; </w:t>
      </w:r>
      <w:r w:rsidR="00EA002F" w:rsidRPr="004B2B38">
        <w:rPr>
          <w:rFonts w:ascii="Times New Roman" w:hAnsi="Times New Roman" w:cs="Times New Roman"/>
          <w:i/>
          <w:sz w:val="24"/>
          <w:szCs w:val="24"/>
        </w:rPr>
        <w:t>p</w:t>
      </w:r>
      <w:r w:rsidR="00EA002F" w:rsidRPr="004B2B38">
        <w:rPr>
          <w:rFonts w:ascii="Times New Roman" w:hAnsi="Times New Roman" w:cs="Times New Roman"/>
          <w:sz w:val="24"/>
          <w:szCs w:val="24"/>
        </w:rPr>
        <w:t xml:space="preserve">=.024 FWE-SVC; Left: x=-38, y=44, z=-6; </w:t>
      </w:r>
      <w:r w:rsidR="00EA002F" w:rsidRPr="00656C46">
        <w:rPr>
          <w:rFonts w:ascii="Times New Roman" w:hAnsi="Times New Roman" w:cs="Times New Roman"/>
          <w:i/>
          <w:sz w:val="24"/>
          <w:szCs w:val="24"/>
        </w:rPr>
        <w:t>t</w:t>
      </w:r>
      <w:r w:rsidR="00EA002F" w:rsidRPr="004B2B38">
        <w:rPr>
          <w:rFonts w:ascii="Times New Roman" w:hAnsi="Times New Roman" w:cs="Times New Roman"/>
          <w:sz w:val="24"/>
          <w:szCs w:val="24"/>
        </w:rPr>
        <w:t xml:space="preserve">=4.39; k=4; </w:t>
      </w:r>
      <w:r w:rsidR="00EA002F" w:rsidRPr="004B2B38">
        <w:rPr>
          <w:rFonts w:ascii="Times New Roman" w:hAnsi="Times New Roman" w:cs="Times New Roman"/>
          <w:i/>
          <w:sz w:val="24"/>
          <w:szCs w:val="24"/>
        </w:rPr>
        <w:t>p</w:t>
      </w:r>
      <w:r w:rsidR="00EA002F" w:rsidRPr="004B2B38">
        <w:rPr>
          <w:rFonts w:ascii="Times New Roman" w:hAnsi="Times New Roman" w:cs="Times New Roman"/>
          <w:sz w:val="24"/>
          <w:szCs w:val="24"/>
        </w:rPr>
        <w:t xml:space="preserve">=.023 FWE-SVC; (Figure 3a; Figures S1a and S1b)]. In addition, children with CP/HCU also showed reduced grey matter in right ACC compared with TD controls [x=8, y=45, z=18; </w:t>
      </w:r>
      <w:r w:rsidR="00EA002F" w:rsidRPr="00656C46">
        <w:rPr>
          <w:rFonts w:ascii="Times New Roman" w:hAnsi="Times New Roman" w:cs="Times New Roman"/>
          <w:i/>
          <w:sz w:val="24"/>
          <w:szCs w:val="24"/>
        </w:rPr>
        <w:t>t</w:t>
      </w:r>
      <w:r w:rsidR="00EA002F" w:rsidRPr="004B2B38">
        <w:rPr>
          <w:rFonts w:ascii="Times New Roman" w:hAnsi="Times New Roman" w:cs="Times New Roman"/>
          <w:sz w:val="24"/>
          <w:szCs w:val="24"/>
        </w:rPr>
        <w:t xml:space="preserve">=4.24; k=42; </w:t>
      </w:r>
      <w:r w:rsidR="00EA002F" w:rsidRPr="004B2B38">
        <w:rPr>
          <w:rFonts w:ascii="Times New Roman" w:hAnsi="Times New Roman" w:cs="Times New Roman"/>
          <w:i/>
          <w:sz w:val="24"/>
          <w:szCs w:val="24"/>
        </w:rPr>
        <w:t>p</w:t>
      </w:r>
      <w:r w:rsidR="00EA002F" w:rsidRPr="004B2B38">
        <w:rPr>
          <w:rFonts w:ascii="Times New Roman" w:hAnsi="Times New Roman" w:cs="Times New Roman"/>
          <w:sz w:val="24"/>
          <w:szCs w:val="24"/>
        </w:rPr>
        <w:t xml:space="preserve">=.014 FWE-SVC; (Figure 3b and Figure S1c)]. Finally, a direct comparison between the two CP groups revealed that, relative to the CP/LCU group, children with </w:t>
      </w:r>
      <w:r w:rsidR="00EA002F" w:rsidRPr="004B2B38">
        <w:rPr>
          <w:rFonts w:ascii="Times New Roman" w:hAnsi="Times New Roman" w:cs="Times New Roman"/>
          <w:sz w:val="24"/>
          <w:szCs w:val="24"/>
        </w:rPr>
        <w:lastRenderedPageBreak/>
        <w:t xml:space="preserve">CP/HCU showed reduced grey matter in left OFC [x=-39, y=44, z=-6; </w:t>
      </w:r>
      <w:r w:rsidR="00EA002F" w:rsidRPr="00656C46">
        <w:rPr>
          <w:rFonts w:ascii="Times New Roman" w:hAnsi="Times New Roman" w:cs="Times New Roman"/>
          <w:i/>
          <w:sz w:val="24"/>
          <w:szCs w:val="24"/>
        </w:rPr>
        <w:t>t</w:t>
      </w:r>
      <w:r w:rsidR="00EA002F" w:rsidRPr="004B2B38">
        <w:rPr>
          <w:rFonts w:ascii="Times New Roman" w:hAnsi="Times New Roman" w:cs="Times New Roman"/>
          <w:sz w:val="24"/>
          <w:szCs w:val="24"/>
        </w:rPr>
        <w:t xml:space="preserve">=4.31; k=1; </w:t>
      </w:r>
      <w:r w:rsidR="00EA002F" w:rsidRPr="004B2B38">
        <w:rPr>
          <w:rFonts w:ascii="Times New Roman" w:hAnsi="Times New Roman" w:cs="Times New Roman"/>
          <w:i/>
          <w:sz w:val="24"/>
          <w:szCs w:val="24"/>
        </w:rPr>
        <w:t>p</w:t>
      </w:r>
      <w:r w:rsidR="00EA002F" w:rsidRPr="004B2B38">
        <w:rPr>
          <w:rFonts w:ascii="Times New Roman" w:hAnsi="Times New Roman" w:cs="Times New Roman"/>
          <w:sz w:val="24"/>
          <w:szCs w:val="24"/>
        </w:rPr>
        <w:t>=.029 FWE-SVC; (Figure 4)]. There were no significant differences between CP/LCU and TD controls in any ROI at FWE-corrected levels. Results for analyses of grey matter concentration closely matched those obtained with grey matter volume metrics.</w:t>
      </w:r>
    </w:p>
    <w:p w14:paraId="5E463CA6" w14:textId="77777777" w:rsidR="00EA002F" w:rsidRPr="004B2B38" w:rsidRDefault="00EA002F" w:rsidP="00290530">
      <w:pPr>
        <w:spacing w:after="0" w:line="480" w:lineRule="auto"/>
        <w:rPr>
          <w:rFonts w:ascii="Times New Roman" w:hAnsi="Times New Roman" w:cs="Times New Roman"/>
          <w:sz w:val="24"/>
          <w:szCs w:val="24"/>
        </w:rPr>
      </w:pPr>
    </w:p>
    <w:p w14:paraId="4791A038" w14:textId="77777777" w:rsidR="00EA002F" w:rsidRPr="004B2B38" w:rsidRDefault="00EA002F" w:rsidP="00290530">
      <w:pPr>
        <w:spacing w:after="0" w:line="480" w:lineRule="auto"/>
        <w:rPr>
          <w:rFonts w:ascii="Times New Roman" w:hAnsi="Times New Roman" w:cs="Times New Roman"/>
          <w:sz w:val="24"/>
          <w:szCs w:val="24"/>
          <w:lang w:val="fr-FR"/>
        </w:rPr>
      </w:pPr>
      <w:r w:rsidRPr="004B2B38">
        <w:rPr>
          <w:rFonts w:ascii="Times New Roman" w:hAnsi="Times New Roman" w:cs="Times New Roman"/>
          <w:sz w:val="24"/>
          <w:szCs w:val="24"/>
          <w:lang w:val="fr-FR"/>
        </w:rPr>
        <w:t>*************************************Figure 3*******************************</w:t>
      </w:r>
    </w:p>
    <w:p w14:paraId="38BC5E1C" w14:textId="77777777" w:rsidR="00EA002F" w:rsidRPr="004B2B38" w:rsidRDefault="00EA002F" w:rsidP="00290530">
      <w:pPr>
        <w:spacing w:after="0" w:line="480" w:lineRule="auto"/>
        <w:rPr>
          <w:rFonts w:ascii="Times New Roman" w:hAnsi="Times New Roman" w:cs="Times New Roman"/>
          <w:sz w:val="24"/>
          <w:szCs w:val="24"/>
          <w:lang w:val="fr-FR"/>
        </w:rPr>
      </w:pPr>
    </w:p>
    <w:p w14:paraId="2D7322E0" w14:textId="77777777" w:rsidR="00EA002F" w:rsidRPr="004B2B38" w:rsidRDefault="00EA002F" w:rsidP="00290530">
      <w:pPr>
        <w:spacing w:after="0" w:line="480" w:lineRule="auto"/>
        <w:rPr>
          <w:rFonts w:ascii="Times New Roman" w:hAnsi="Times New Roman" w:cs="Times New Roman"/>
          <w:sz w:val="24"/>
          <w:szCs w:val="24"/>
          <w:lang w:val="fr-FR"/>
        </w:rPr>
      </w:pPr>
      <w:r w:rsidRPr="004B2B38">
        <w:rPr>
          <w:rFonts w:ascii="Times New Roman" w:hAnsi="Times New Roman" w:cs="Times New Roman"/>
          <w:sz w:val="24"/>
          <w:szCs w:val="24"/>
          <w:lang w:val="fr-FR"/>
        </w:rPr>
        <w:t>*************************************Figure 4*******************************</w:t>
      </w:r>
    </w:p>
    <w:p w14:paraId="350DC8E3"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b/>
          <w:sz w:val="24"/>
          <w:szCs w:val="24"/>
          <w:lang w:val="fr-FR"/>
        </w:rPr>
        <w:t>Continuous Analyses: CU traits and CD symptoms</w:t>
      </w:r>
      <w:r w:rsidR="00A02D4E" w:rsidRPr="004B2B38">
        <w:rPr>
          <w:rFonts w:ascii="Times New Roman" w:hAnsi="Times New Roman" w:cs="Times New Roman"/>
          <w:b/>
          <w:sz w:val="24"/>
          <w:szCs w:val="24"/>
          <w:lang w:val="fr-FR"/>
        </w:rPr>
        <w:t>.</w:t>
      </w:r>
      <w:r w:rsidR="000A46CE">
        <w:rPr>
          <w:rFonts w:ascii="Times New Roman" w:hAnsi="Times New Roman" w:cs="Times New Roman"/>
          <w:b/>
          <w:sz w:val="24"/>
          <w:szCs w:val="24"/>
          <w:lang w:val="fr-FR"/>
        </w:rPr>
        <w:t xml:space="preserve"> </w:t>
      </w:r>
      <w:r w:rsidR="00E5789A">
        <w:rPr>
          <w:rFonts w:ascii="Times New Roman" w:hAnsi="Times New Roman" w:cs="Times New Roman"/>
          <w:b/>
          <w:sz w:val="24"/>
          <w:szCs w:val="24"/>
          <w:lang w:val="fr-FR"/>
        </w:rPr>
        <w:t xml:space="preserve"> </w:t>
      </w:r>
      <w:r w:rsidRPr="004B2B38">
        <w:rPr>
          <w:rFonts w:ascii="Times New Roman" w:hAnsi="Times New Roman" w:cs="Times New Roman"/>
          <w:sz w:val="24"/>
          <w:szCs w:val="24"/>
        </w:rPr>
        <w:t xml:space="preserve">In the left OFC where the CP/HCU group showed reduced GMV compared to the CP/LCU group, GMV was significantly negatively correlated with CU traits (zero-order correlation </w:t>
      </w:r>
      <w:r w:rsidRPr="00656C46">
        <w:rPr>
          <w:rFonts w:ascii="Times New Roman" w:hAnsi="Times New Roman" w:cs="Times New Roman"/>
          <w:i/>
          <w:sz w:val="24"/>
          <w:szCs w:val="24"/>
        </w:rPr>
        <w:t>r</w:t>
      </w:r>
      <w:r w:rsidRPr="004B2B38">
        <w:rPr>
          <w:rFonts w:ascii="Times New Roman" w:hAnsi="Times New Roman" w:cs="Times New Roman"/>
          <w:sz w:val="24"/>
          <w:szCs w:val="24"/>
          <w:vertAlign w:val="subscript"/>
        </w:rPr>
        <w:t>(60)</w:t>
      </w:r>
      <w:r w:rsidRPr="004B2B38">
        <w:rPr>
          <w:rFonts w:ascii="Times New Roman" w:hAnsi="Times New Roman" w:cs="Times New Roman"/>
          <w:sz w:val="24"/>
          <w:szCs w:val="24"/>
        </w:rPr>
        <w:t xml:space="preserve">=-.36; </w:t>
      </w:r>
      <w:r w:rsidRPr="004B2B38">
        <w:rPr>
          <w:rFonts w:ascii="Times New Roman" w:hAnsi="Times New Roman" w:cs="Times New Roman"/>
          <w:i/>
          <w:sz w:val="24"/>
          <w:szCs w:val="24"/>
        </w:rPr>
        <w:t>p</w:t>
      </w:r>
      <w:r w:rsidRPr="004B2B38">
        <w:rPr>
          <w:rFonts w:ascii="Times New Roman" w:hAnsi="Times New Roman" w:cs="Times New Roman"/>
          <w:sz w:val="24"/>
          <w:szCs w:val="24"/>
        </w:rPr>
        <w:t>=.004), but only marginally negatively correlated with CD symptoms (</w:t>
      </w:r>
      <w:r w:rsidRPr="00656C46">
        <w:rPr>
          <w:rFonts w:ascii="Times New Roman" w:hAnsi="Times New Roman" w:cs="Times New Roman"/>
          <w:i/>
          <w:sz w:val="24"/>
          <w:szCs w:val="24"/>
        </w:rPr>
        <w:t>r</w:t>
      </w:r>
      <w:r w:rsidRPr="004B2B38">
        <w:rPr>
          <w:rFonts w:ascii="Times New Roman" w:hAnsi="Times New Roman" w:cs="Times New Roman"/>
          <w:sz w:val="24"/>
          <w:szCs w:val="24"/>
          <w:vertAlign w:val="subscript"/>
        </w:rPr>
        <w:t>(60)</w:t>
      </w:r>
      <w:r w:rsidRPr="004B2B38">
        <w:rPr>
          <w:rFonts w:ascii="Times New Roman" w:hAnsi="Times New Roman" w:cs="Times New Roman"/>
          <w:sz w:val="24"/>
          <w:szCs w:val="24"/>
        </w:rPr>
        <w:t xml:space="preserve">=-.22; </w:t>
      </w:r>
      <w:r w:rsidRPr="004B2B38">
        <w:rPr>
          <w:rFonts w:ascii="Times New Roman" w:hAnsi="Times New Roman" w:cs="Times New Roman"/>
          <w:i/>
          <w:sz w:val="24"/>
          <w:szCs w:val="24"/>
        </w:rPr>
        <w:t>p</w:t>
      </w:r>
      <w:r w:rsidRPr="004B2B38">
        <w:rPr>
          <w:rFonts w:ascii="Times New Roman" w:hAnsi="Times New Roman" w:cs="Times New Roman"/>
          <w:sz w:val="24"/>
          <w:szCs w:val="24"/>
        </w:rPr>
        <w:t>=.09). A hierarchical multiple regression analysis in which CD symptoms were entered in a first step and CU traits were entered in a second step was conducted to explore contributions of these variables to variance in left OFC volume. In line with the bivariate correlations above, results indicated that the model with CD symptoms entered first was not statistically significant (</w:t>
      </w:r>
      <w:r w:rsidRPr="004B2B38">
        <w:rPr>
          <w:rFonts w:ascii="Times New Roman" w:hAnsi="Times New Roman" w:cs="Times New Roman"/>
          <w:i/>
          <w:sz w:val="24"/>
          <w:szCs w:val="24"/>
        </w:rPr>
        <w:t>F</w:t>
      </w:r>
      <w:r w:rsidRPr="004B2B38">
        <w:rPr>
          <w:rFonts w:ascii="Times New Roman" w:hAnsi="Times New Roman" w:cs="Times New Roman"/>
          <w:sz w:val="24"/>
          <w:szCs w:val="24"/>
          <w:vertAlign w:val="subscript"/>
        </w:rPr>
        <w:t>(1,58)</w:t>
      </w:r>
      <w:r w:rsidRPr="004B2B38">
        <w:rPr>
          <w:rFonts w:ascii="Times New Roman" w:hAnsi="Times New Roman" w:cs="Times New Roman"/>
          <w:sz w:val="24"/>
          <w:szCs w:val="24"/>
        </w:rPr>
        <w:t xml:space="preserve"> =2.92, </w:t>
      </w:r>
      <w:r w:rsidRPr="004B2B38">
        <w:rPr>
          <w:rFonts w:ascii="Times New Roman" w:hAnsi="Times New Roman" w:cs="Times New Roman"/>
          <w:i/>
          <w:sz w:val="24"/>
          <w:szCs w:val="24"/>
        </w:rPr>
        <w:t>p</w:t>
      </w:r>
      <w:r w:rsidRPr="004B2B38">
        <w:rPr>
          <w:rFonts w:ascii="Times New Roman" w:hAnsi="Times New Roman" w:cs="Times New Roman"/>
          <w:sz w:val="24"/>
          <w:szCs w:val="24"/>
        </w:rPr>
        <w:t xml:space="preserve">=.09, </w:t>
      </w:r>
      <w:r w:rsidRPr="004B2B38">
        <w:rPr>
          <w:rFonts w:ascii="Times New Roman" w:hAnsi="Times New Roman" w:cs="Times New Roman"/>
          <w:i/>
          <w:sz w:val="24"/>
          <w:szCs w:val="24"/>
        </w:rPr>
        <w:t>R</w:t>
      </w:r>
      <w:r w:rsidRPr="004B2B38">
        <w:rPr>
          <w:rFonts w:ascii="Times New Roman" w:hAnsi="Times New Roman" w:cs="Times New Roman"/>
          <w:sz w:val="24"/>
          <w:szCs w:val="24"/>
          <w:vertAlign w:val="superscript"/>
        </w:rPr>
        <w:t>2</w:t>
      </w:r>
      <w:r w:rsidRPr="004B2B38">
        <w:rPr>
          <w:rFonts w:ascii="Times New Roman" w:hAnsi="Times New Roman" w:cs="Times New Roman"/>
          <w:sz w:val="24"/>
          <w:szCs w:val="24"/>
        </w:rPr>
        <w:t>=.048). However, the model including both CD symptoms and CU traits was significant (</w:t>
      </w:r>
      <w:r w:rsidRPr="004B2B38">
        <w:rPr>
          <w:rFonts w:ascii="Times New Roman" w:hAnsi="Times New Roman" w:cs="Times New Roman"/>
          <w:i/>
          <w:sz w:val="24"/>
          <w:szCs w:val="24"/>
        </w:rPr>
        <w:t>F</w:t>
      </w:r>
      <w:r w:rsidRPr="004B2B38">
        <w:rPr>
          <w:rFonts w:ascii="Times New Roman" w:hAnsi="Times New Roman" w:cs="Times New Roman"/>
          <w:sz w:val="24"/>
          <w:szCs w:val="24"/>
          <w:vertAlign w:val="subscript"/>
        </w:rPr>
        <w:t>(2,57)</w:t>
      </w:r>
      <w:r w:rsidRPr="004B2B38">
        <w:rPr>
          <w:rFonts w:ascii="Times New Roman" w:hAnsi="Times New Roman" w:cs="Times New Roman"/>
          <w:sz w:val="24"/>
          <w:szCs w:val="24"/>
        </w:rPr>
        <w:t xml:space="preserve">=4.35, </w:t>
      </w:r>
      <w:r w:rsidRPr="004B2B38">
        <w:rPr>
          <w:rFonts w:ascii="Times New Roman" w:hAnsi="Times New Roman" w:cs="Times New Roman"/>
          <w:i/>
          <w:sz w:val="24"/>
          <w:szCs w:val="24"/>
        </w:rPr>
        <w:t>p</w:t>
      </w:r>
      <w:r w:rsidRPr="004B2B38">
        <w:rPr>
          <w:rFonts w:ascii="Times New Roman" w:hAnsi="Times New Roman" w:cs="Times New Roman"/>
          <w:sz w:val="24"/>
          <w:szCs w:val="24"/>
        </w:rPr>
        <w:t xml:space="preserve">=.017, </w:t>
      </w:r>
      <w:r w:rsidRPr="004B2B38">
        <w:rPr>
          <w:rFonts w:ascii="Times New Roman" w:hAnsi="Times New Roman" w:cs="Times New Roman"/>
          <w:i/>
          <w:sz w:val="24"/>
          <w:szCs w:val="24"/>
        </w:rPr>
        <w:t>R</w:t>
      </w:r>
      <w:r w:rsidRPr="004B2B38">
        <w:rPr>
          <w:rFonts w:ascii="Times New Roman" w:hAnsi="Times New Roman" w:cs="Times New Roman"/>
          <w:sz w:val="24"/>
          <w:szCs w:val="24"/>
          <w:vertAlign w:val="superscript"/>
        </w:rPr>
        <w:t>2</w:t>
      </w:r>
      <w:r w:rsidRPr="004B2B38">
        <w:rPr>
          <w:rFonts w:ascii="Times New Roman" w:hAnsi="Times New Roman" w:cs="Times New Roman"/>
          <w:sz w:val="24"/>
          <w:szCs w:val="24"/>
        </w:rPr>
        <w:t xml:space="preserve">=.13). The </w:t>
      </w:r>
      <w:r w:rsidRPr="004B2B38">
        <w:rPr>
          <w:rFonts w:ascii="Times New Roman" w:hAnsi="Times New Roman" w:cs="Times New Roman"/>
          <w:i/>
          <w:sz w:val="24"/>
          <w:szCs w:val="24"/>
        </w:rPr>
        <w:t>R</w:t>
      </w:r>
      <w:r w:rsidRPr="004B2B38">
        <w:rPr>
          <w:rFonts w:ascii="Times New Roman" w:hAnsi="Times New Roman" w:cs="Times New Roman"/>
          <w:sz w:val="24"/>
          <w:szCs w:val="24"/>
          <w:vertAlign w:val="superscript"/>
        </w:rPr>
        <w:t>2</w:t>
      </w:r>
      <w:r w:rsidRPr="004B2B38">
        <w:rPr>
          <w:rFonts w:ascii="Times New Roman" w:hAnsi="Times New Roman" w:cs="Times New Roman"/>
          <w:sz w:val="24"/>
          <w:szCs w:val="24"/>
        </w:rPr>
        <w:t xml:space="preserve"> change after including CU traits in the model was also significant (</w:t>
      </w:r>
      <w:r w:rsidRPr="004B2B38">
        <w:rPr>
          <w:rFonts w:ascii="Times New Roman" w:hAnsi="Times New Roman" w:cs="Times New Roman"/>
          <w:i/>
          <w:sz w:val="24"/>
          <w:szCs w:val="24"/>
        </w:rPr>
        <w:t>F</w:t>
      </w:r>
      <w:r w:rsidRPr="004B2B38">
        <w:rPr>
          <w:rFonts w:ascii="Times New Roman" w:hAnsi="Times New Roman" w:cs="Times New Roman"/>
          <w:sz w:val="24"/>
          <w:szCs w:val="24"/>
          <w:vertAlign w:val="subscript"/>
        </w:rPr>
        <w:t>(1,57)</w:t>
      </w:r>
      <w:r w:rsidRPr="004B2B38">
        <w:rPr>
          <w:rFonts w:ascii="Times New Roman" w:hAnsi="Times New Roman" w:cs="Times New Roman"/>
          <w:sz w:val="24"/>
          <w:szCs w:val="24"/>
        </w:rPr>
        <w:t xml:space="preserve">=5.56, </w:t>
      </w:r>
      <w:r w:rsidRPr="004B2B38">
        <w:rPr>
          <w:rFonts w:ascii="Times New Roman" w:hAnsi="Times New Roman" w:cs="Times New Roman"/>
          <w:i/>
          <w:sz w:val="24"/>
          <w:szCs w:val="24"/>
        </w:rPr>
        <w:t>p</w:t>
      </w:r>
      <w:r w:rsidRPr="004B2B38">
        <w:rPr>
          <w:rFonts w:ascii="Times New Roman" w:hAnsi="Times New Roman" w:cs="Times New Roman"/>
          <w:sz w:val="24"/>
          <w:szCs w:val="24"/>
        </w:rPr>
        <w:t>=.022). Looking at the unique contributions of each variable in the final model, CU traits significantly predicted left OFC volume (</w:t>
      </w:r>
      <w:r w:rsidRPr="004B2B38">
        <w:rPr>
          <w:rFonts w:ascii="Times New Roman" w:hAnsi="Times New Roman" w:cs="Times New Roman"/>
          <w:i/>
          <w:sz w:val="24"/>
          <w:szCs w:val="24"/>
        </w:rPr>
        <w:t>β</w:t>
      </w:r>
      <w:r w:rsidRPr="004B2B38">
        <w:rPr>
          <w:rFonts w:ascii="Times New Roman" w:hAnsi="Times New Roman" w:cs="Times New Roman"/>
          <w:sz w:val="24"/>
          <w:szCs w:val="24"/>
        </w:rPr>
        <w:t xml:space="preserve">=-.34, </w:t>
      </w:r>
      <w:r w:rsidRPr="004B2B38">
        <w:rPr>
          <w:rFonts w:ascii="Times New Roman" w:hAnsi="Times New Roman" w:cs="Times New Roman"/>
          <w:i/>
          <w:sz w:val="24"/>
          <w:szCs w:val="24"/>
        </w:rPr>
        <w:t>t</w:t>
      </w:r>
      <w:r w:rsidRPr="004B2B38">
        <w:rPr>
          <w:rFonts w:ascii="Times New Roman" w:hAnsi="Times New Roman" w:cs="Times New Roman"/>
          <w:sz w:val="24"/>
          <w:szCs w:val="24"/>
          <w:vertAlign w:val="subscript"/>
        </w:rPr>
        <w:t>(59)</w:t>
      </w:r>
      <w:r w:rsidRPr="004B2B38">
        <w:rPr>
          <w:rFonts w:ascii="Times New Roman" w:hAnsi="Times New Roman" w:cs="Times New Roman"/>
          <w:sz w:val="24"/>
          <w:szCs w:val="24"/>
        </w:rPr>
        <w:t xml:space="preserve">=-2.36, </w:t>
      </w:r>
      <w:r w:rsidRPr="004B2B38">
        <w:rPr>
          <w:rFonts w:ascii="Times New Roman" w:hAnsi="Times New Roman" w:cs="Times New Roman"/>
          <w:i/>
          <w:sz w:val="24"/>
          <w:szCs w:val="24"/>
        </w:rPr>
        <w:t>p</w:t>
      </w:r>
      <w:r w:rsidRPr="004B2B38">
        <w:rPr>
          <w:rFonts w:ascii="Times New Roman" w:hAnsi="Times New Roman" w:cs="Times New Roman"/>
          <w:sz w:val="24"/>
          <w:szCs w:val="24"/>
        </w:rPr>
        <w:t>=.022), while CD symptoms did not (</w:t>
      </w:r>
      <w:r w:rsidRPr="004B2B38">
        <w:rPr>
          <w:rFonts w:ascii="Times New Roman" w:hAnsi="Times New Roman" w:cs="Times New Roman"/>
          <w:i/>
          <w:sz w:val="24"/>
          <w:szCs w:val="24"/>
        </w:rPr>
        <w:t>β</w:t>
      </w:r>
      <w:r w:rsidRPr="004B2B38">
        <w:rPr>
          <w:rFonts w:ascii="Times New Roman" w:hAnsi="Times New Roman" w:cs="Times New Roman"/>
          <w:sz w:val="24"/>
          <w:szCs w:val="24"/>
        </w:rPr>
        <w:t xml:space="preserve">=-.036, </w:t>
      </w:r>
      <w:r w:rsidRPr="004B2B38">
        <w:rPr>
          <w:rFonts w:ascii="Times New Roman" w:hAnsi="Times New Roman" w:cs="Times New Roman"/>
          <w:i/>
          <w:sz w:val="24"/>
          <w:szCs w:val="24"/>
        </w:rPr>
        <w:t>t</w:t>
      </w:r>
      <w:r w:rsidRPr="004B2B38">
        <w:rPr>
          <w:rFonts w:ascii="Times New Roman" w:hAnsi="Times New Roman" w:cs="Times New Roman"/>
          <w:sz w:val="24"/>
          <w:szCs w:val="24"/>
          <w:vertAlign w:val="subscript"/>
        </w:rPr>
        <w:t>(59)</w:t>
      </w:r>
      <w:r w:rsidRPr="004B2B38">
        <w:rPr>
          <w:rFonts w:ascii="Times New Roman" w:hAnsi="Times New Roman" w:cs="Times New Roman"/>
          <w:sz w:val="24"/>
          <w:szCs w:val="24"/>
        </w:rPr>
        <w:t xml:space="preserve">=-.25, </w:t>
      </w:r>
      <w:r w:rsidRPr="004B2B38">
        <w:rPr>
          <w:rFonts w:ascii="Times New Roman" w:hAnsi="Times New Roman" w:cs="Times New Roman"/>
          <w:i/>
          <w:sz w:val="24"/>
          <w:szCs w:val="24"/>
        </w:rPr>
        <w:t>p</w:t>
      </w:r>
      <w:r w:rsidRPr="004B2B38">
        <w:rPr>
          <w:rFonts w:ascii="Times New Roman" w:hAnsi="Times New Roman" w:cs="Times New Roman"/>
          <w:sz w:val="24"/>
          <w:szCs w:val="24"/>
        </w:rPr>
        <w:t>=.80).</w:t>
      </w:r>
    </w:p>
    <w:p w14:paraId="6CE07A50"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There were no statistically significant zero-order correlations (all </w:t>
      </w:r>
      <w:r w:rsidRPr="004B2B38">
        <w:rPr>
          <w:rFonts w:ascii="Times New Roman" w:hAnsi="Times New Roman" w:cs="Times New Roman"/>
          <w:i/>
          <w:sz w:val="24"/>
          <w:szCs w:val="24"/>
        </w:rPr>
        <w:t>ps</w:t>
      </w:r>
      <w:r w:rsidRPr="004B2B38">
        <w:rPr>
          <w:rFonts w:ascii="Times New Roman" w:hAnsi="Times New Roman" w:cs="Times New Roman"/>
          <w:sz w:val="24"/>
          <w:szCs w:val="24"/>
        </w:rPr>
        <w:t xml:space="preserve">&gt;.32) with GMV in the other regions showing group difference in the SPM analyses at </w:t>
      </w:r>
      <w:r w:rsidRPr="004B2B38">
        <w:rPr>
          <w:rFonts w:ascii="Times New Roman" w:hAnsi="Times New Roman" w:cs="Times New Roman"/>
          <w:i/>
          <w:sz w:val="24"/>
          <w:szCs w:val="24"/>
        </w:rPr>
        <w:t>p</w:t>
      </w:r>
      <w:r w:rsidRPr="004B2B38">
        <w:rPr>
          <w:rFonts w:ascii="Times New Roman" w:hAnsi="Times New Roman" w:cs="Times New Roman"/>
          <w:sz w:val="24"/>
          <w:szCs w:val="24"/>
        </w:rPr>
        <w:t xml:space="preserve">&lt;.05 FWE-corrected. </w:t>
      </w:r>
    </w:p>
    <w:p w14:paraId="0D260121" w14:textId="77777777" w:rsidR="00564BF2" w:rsidRDefault="00564BF2" w:rsidP="00A02D4E">
      <w:pPr>
        <w:spacing w:after="0" w:line="480" w:lineRule="auto"/>
        <w:jc w:val="center"/>
        <w:rPr>
          <w:rFonts w:ascii="Times New Roman" w:hAnsi="Times New Roman" w:cs="Times New Roman"/>
          <w:b/>
          <w:sz w:val="24"/>
          <w:szCs w:val="24"/>
        </w:rPr>
      </w:pPr>
    </w:p>
    <w:p w14:paraId="06060DB5" w14:textId="77777777" w:rsidR="00564BF2" w:rsidRDefault="00564BF2" w:rsidP="00A02D4E">
      <w:pPr>
        <w:spacing w:after="0" w:line="480" w:lineRule="auto"/>
        <w:jc w:val="center"/>
        <w:rPr>
          <w:rFonts w:ascii="Times New Roman" w:hAnsi="Times New Roman" w:cs="Times New Roman"/>
          <w:b/>
          <w:sz w:val="24"/>
          <w:szCs w:val="24"/>
        </w:rPr>
      </w:pPr>
    </w:p>
    <w:p w14:paraId="7AC144B2" w14:textId="77777777" w:rsidR="00EA002F" w:rsidRPr="004B2B38" w:rsidRDefault="00EA002F" w:rsidP="00A02D4E">
      <w:pPr>
        <w:spacing w:after="0" w:line="480" w:lineRule="auto"/>
        <w:jc w:val="center"/>
        <w:rPr>
          <w:rFonts w:ascii="Times New Roman" w:hAnsi="Times New Roman" w:cs="Times New Roman"/>
          <w:b/>
          <w:sz w:val="24"/>
          <w:szCs w:val="24"/>
        </w:rPr>
      </w:pPr>
      <w:r w:rsidRPr="004B2B38">
        <w:rPr>
          <w:rFonts w:ascii="Times New Roman" w:hAnsi="Times New Roman" w:cs="Times New Roman"/>
          <w:b/>
          <w:sz w:val="24"/>
          <w:szCs w:val="24"/>
        </w:rPr>
        <w:lastRenderedPageBreak/>
        <w:t>Discussion</w:t>
      </w:r>
    </w:p>
    <w:p w14:paraId="637567C2"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The current study used VBM to compare grey matter volumes in subgroups of children with CP and high vs. low levels of CU traits, and TD controls. We used a large sample (N=89) together with state-of-the-art anatomical registration methods to maximise statistical power and accuracy of data pre-processing. In whole-brain analyses, we found evidence for reduced GM volume in CP/HCU relative to TD controls in the left middle frontal gyrus. Comparing groups in a priori ROIs, we found that reduced bilateral OFC GM volume in the CP group as a whole relative to TDs was largely driven by the CP/HCU group. Directly comparing all three groups, the CP/HCU group showed reduced bilateral OFC volume relative to TD controls, and reduced left OFC volume relative to both TD controls and CP/LCU. In contrast, there were no differences between CP/LCU and TD groups at FWE-corrected levels (although it is worth noting that a small cluster showed reduced right OFC volume in CP/LCU compared with TD controls at p&lt;.001 uncorrected; Table S1). Continuous analyses within the CP group showed that these group differences were likely driven by CU traits as opposed to levels of CD symptoms. A largely comparable pattern of group differences was also seen in right ACC, again with reduced GM volume in CP/HCU relative to TD controls and no difference between CP/LCU and controls, even at uncorrected levels. However, CP/HCU and CP/LCU groups did not differ from each other in this region, even at uncorrected levels. </w:t>
      </w:r>
    </w:p>
    <w:p w14:paraId="2A1A6A80"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Taken together, the pattern of results supports several previous studies which have found GM reduction in children and adolescents with conduct problems relative to TD controls in regions including OFC and ACC </w:t>
      </w:r>
      <w:r w:rsidRPr="004B2B38">
        <w:rPr>
          <w:rFonts w:ascii="Times New Roman" w:hAnsi="Times New Roman" w:cs="Times New Roman"/>
          <w:noProof/>
          <w:sz w:val="24"/>
          <w:szCs w:val="24"/>
        </w:rPr>
        <w:t>(Cope, Ermer, Gaudet, et al., 2014; Fahim et al., 2011; Fairchild et al., 2011; Huebner et al., 2008).</w:t>
      </w:r>
      <w:r w:rsidRPr="004B2B38">
        <w:rPr>
          <w:rFonts w:ascii="Times New Roman" w:hAnsi="Times New Roman" w:cs="Times New Roman"/>
          <w:sz w:val="24"/>
          <w:szCs w:val="24"/>
        </w:rPr>
        <w:t xml:space="preserve"> Our study extends these findings to suggest that GM reduction in some of the regions identified in these studies may in fact be primarily attributable to those children in whom conduct problems co-occur with high levels </w:t>
      </w:r>
      <w:r w:rsidRPr="004B2B38">
        <w:rPr>
          <w:rFonts w:ascii="Times New Roman" w:hAnsi="Times New Roman" w:cs="Times New Roman"/>
          <w:sz w:val="24"/>
          <w:szCs w:val="24"/>
        </w:rPr>
        <w:lastRenderedPageBreak/>
        <w:t>of CU traits, as opposed to being associated with CP in general. This finding is in line with a study by Ermer et al. (2013) which found negative associations between OFC GM volume and psychopathic traits in a sample of incarcerated male adolescents. However, we extend this work by showing that differences between CP/HCU and TD controls, specifically in left OFC and right ACC, did not characterise the CP/LCU group. Indeed in left OFC, the CP/LCU group showed significantly increased GM volume relative to CP/HCU, i.e. the same pattern as TD controls. These results show GM volume in these two regions (particularly in left OFC), may differentiate these two subgroups of children with CP.</w:t>
      </w:r>
      <w:r w:rsidRPr="004B2B38">
        <w:t xml:space="preserve"> </w:t>
      </w:r>
      <w:r w:rsidRPr="004B2B38">
        <w:rPr>
          <w:rFonts w:ascii="Times New Roman" w:hAnsi="Times New Roman" w:cs="Times New Roman"/>
          <w:sz w:val="24"/>
          <w:szCs w:val="24"/>
        </w:rPr>
        <w:t>Overall, considering the results at corrected and uncorrected levels (Table S1), the CP/HCU group showed more extensive grey matter reductions than the CP/LCU group when compared to the TD groups as evidenced by additional reductions in grey matter volumes in the ACC (FWE-corrected) and in the anterior insula (uncorrected), among other regions, which were not observed in the CP/LCU group, even at uncorrected levels. These results tentatively suggest that, compared to TD controls, the two CP groups might be characterized by distinct grey matter differences in regions central to decision-making, empathy and emotion regulation. The more widespread reduction in the CP/HCU group might thus partly explain their different behavioural and neurobiological profiles (Frick and Viding, 2009).</w:t>
      </w:r>
    </w:p>
    <w:p w14:paraId="52746EFD"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These results are consistent with evidence suggesting that CP/HCU in childhood and psychopathic traits in adulthood are associated with atypical OFC and ACC function (e.g., </w:t>
      </w:r>
      <w:r w:rsidRPr="004B2B38">
        <w:rPr>
          <w:rFonts w:ascii="Times New Roman" w:hAnsi="Times New Roman" w:cs="Times New Roman"/>
          <w:noProof/>
          <w:sz w:val="24"/>
          <w:szCs w:val="24"/>
        </w:rPr>
        <w:t>(Anderson &amp; Kiehl, 2012; Blair, 2013)</w:t>
      </w:r>
      <w:r w:rsidRPr="004B2B38">
        <w:rPr>
          <w:rFonts w:ascii="Times New Roman" w:hAnsi="Times New Roman" w:cs="Times New Roman"/>
          <w:sz w:val="24"/>
          <w:szCs w:val="24"/>
        </w:rPr>
        <w:t xml:space="preserve">. In OFC, Finger et al. (2011) found reduced fMRI responses in a network of regions including OFC during a reinforcement learning task in youths with conduct problems and elevated psychopathic traits; while Marsh et al. (2011) found reduced OFC-amygdala connectivity in a similar sample during a moral judgment task. Behavioural work has also shown subtle impairments on OFC-dependent tasks such as reversal learning (e.g., Budhani &amp; Blair, 2005). In ACC, a recent study using a partially </w:t>
      </w:r>
      <w:r w:rsidRPr="004B2B38">
        <w:rPr>
          <w:rFonts w:ascii="Times New Roman" w:hAnsi="Times New Roman" w:cs="Times New Roman"/>
          <w:sz w:val="24"/>
          <w:szCs w:val="24"/>
        </w:rPr>
        <w:lastRenderedPageBreak/>
        <w:t xml:space="preserve">overlapping sample to that reported here found reduced responses in children with CP when viewing pictures of others in pain </w:t>
      </w:r>
      <w:r w:rsidRPr="004B2B38">
        <w:rPr>
          <w:rFonts w:ascii="Times New Roman" w:hAnsi="Times New Roman" w:cs="Times New Roman"/>
          <w:noProof/>
          <w:sz w:val="24"/>
          <w:szCs w:val="24"/>
        </w:rPr>
        <w:t>(Lockwood et al., 2013)</w:t>
      </w:r>
      <w:r w:rsidRPr="004B2B38">
        <w:rPr>
          <w:rFonts w:ascii="Times New Roman" w:hAnsi="Times New Roman" w:cs="Times New Roman"/>
          <w:sz w:val="24"/>
          <w:szCs w:val="24"/>
        </w:rPr>
        <w:t xml:space="preserve">; moreover, activity in this region was negatively associated with levels of CU traits. A similar result in ACC was also found by Marsh et al. (2013). While we cannot equate functional hypo-reactivity and reduced GM volume, the current data are consistent with theories suggesting that atypical neural function in regions underlying emotional processing and reinforcement learning contributes to CP/HCU (e.g., Anderson &amp; </w:t>
      </w:r>
      <w:r w:rsidRPr="004B2B38">
        <w:rPr>
          <w:rFonts w:ascii="Times New Roman" w:hAnsi="Times New Roman" w:cs="Times New Roman"/>
          <w:noProof/>
          <w:sz w:val="24"/>
          <w:szCs w:val="24"/>
        </w:rPr>
        <w:t>Kiehl, 2012; Blair, 2013)</w:t>
      </w:r>
      <w:r w:rsidRPr="004B2B38">
        <w:rPr>
          <w:rFonts w:ascii="Times New Roman" w:hAnsi="Times New Roman" w:cs="Times New Roman"/>
          <w:sz w:val="24"/>
          <w:szCs w:val="24"/>
        </w:rPr>
        <w:t>. Future studies could use multimodal imaging to explore relationships between structural and functional measures in children with CP.</w:t>
      </w:r>
    </w:p>
    <w:p w14:paraId="57D2CC7B"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Of the four ROIs, amygdala and AI did not show group differences at FWE-corrected levels (although the CP group as a whole showed reduced right AI volume at p&lt;.001 uncorrected; Table S1). This was somewhat surprising, since previous studies have found reduced volume of these regions in children and adolescents with CP </w:t>
      </w:r>
      <w:r w:rsidRPr="004B2B38">
        <w:rPr>
          <w:rFonts w:ascii="Times New Roman" w:hAnsi="Times New Roman" w:cs="Times New Roman"/>
          <w:noProof/>
          <w:sz w:val="24"/>
          <w:szCs w:val="24"/>
        </w:rPr>
        <w:t>(Fairchild et al., 2011; Sterzer et al., 2007)</w:t>
      </w:r>
      <w:r w:rsidRPr="004B2B38">
        <w:rPr>
          <w:rFonts w:ascii="Times New Roman" w:hAnsi="Times New Roman" w:cs="Times New Roman"/>
          <w:sz w:val="24"/>
          <w:szCs w:val="24"/>
        </w:rPr>
        <w:t xml:space="preserve">, while several fMRI studies (including three based on a subset of the participants included in the current study) have found evidence for amygdala and/or AI hypoactivity during emotional processing in CP/HCU </w:t>
      </w:r>
      <w:r w:rsidRPr="004B2B38">
        <w:rPr>
          <w:rFonts w:ascii="Times New Roman" w:hAnsi="Times New Roman" w:cs="Times New Roman"/>
          <w:noProof/>
          <w:sz w:val="24"/>
          <w:szCs w:val="24"/>
        </w:rPr>
        <w:t>(Jones, Laurens, Herba, Barker, &amp; Viding, 2009; Lockwood et al., 2013; Marsh et al., 2008; Sebastian et al., 2012; Viding et al., 2012)</w:t>
      </w:r>
      <w:r w:rsidRPr="004B2B38">
        <w:rPr>
          <w:rFonts w:ascii="Times New Roman" w:hAnsi="Times New Roman" w:cs="Times New Roman"/>
          <w:sz w:val="24"/>
          <w:szCs w:val="24"/>
        </w:rPr>
        <w:t xml:space="preserve">. There is therefore strong evidence across imaging modalities for atypical amygdala and AI function in this group. However, not all sMRI studies in children with CP have found GM reductions in these regions. For example De Brito et al. (2009) and Fahim et al. (2011) did not find any group difference in amygdala volume, while Huebner et al., (2008) did not observe reduced volume of the AI. Additionally, in the largest VBM study to date in this area </w:t>
      </w:r>
      <w:r w:rsidRPr="004B2B38">
        <w:rPr>
          <w:rFonts w:ascii="Times New Roman" w:hAnsi="Times New Roman" w:cs="Times New Roman"/>
          <w:noProof/>
          <w:sz w:val="24"/>
          <w:szCs w:val="24"/>
        </w:rPr>
        <w:t>(Ermer et al., 2013)</w:t>
      </w:r>
      <w:r w:rsidRPr="004B2B38">
        <w:rPr>
          <w:rFonts w:ascii="Times New Roman" w:hAnsi="Times New Roman" w:cs="Times New Roman"/>
          <w:sz w:val="24"/>
          <w:szCs w:val="24"/>
        </w:rPr>
        <w:t xml:space="preserve">, only weak relationships were found between amygdala volume and psychopathic traits, while no relationships were observed between AI GM volume and </w:t>
      </w:r>
      <w:r w:rsidRPr="004B2B38">
        <w:rPr>
          <w:rFonts w:ascii="Times New Roman" w:hAnsi="Times New Roman" w:cs="Times New Roman"/>
          <w:sz w:val="24"/>
          <w:szCs w:val="24"/>
        </w:rPr>
        <w:lastRenderedPageBreak/>
        <w:t xml:space="preserve">psychopathic traits. Atypical amygdala and AI function therefore appear to be more robustly associated with CU traits than does atypical structure in these regions.  </w:t>
      </w:r>
    </w:p>
    <w:p w14:paraId="4CFB6C17"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At the whole brain level, reduced GM volume was also seen in left middle frontal gyrus in CP/HCU relative to controls. While this region was not hypothesised to show group differences a priori, the result survived FWE-correction across the whole brain and so may represent an additional marker for CP/HCU. Studies reporting activation within 6mm of the peak within this cluster (based on Neurosynth location data, </w:t>
      </w:r>
      <w:hyperlink r:id="rId8" w:history="1">
        <w:r w:rsidRPr="004B2B38">
          <w:rPr>
            <w:rStyle w:val="Hyperlink"/>
            <w:rFonts w:ascii="Times New Roman" w:hAnsi="Times New Roman" w:cs="Times New Roman"/>
            <w:color w:val="auto"/>
            <w:sz w:val="24"/>
            <w:szCs w:val="24"/>
          </w:rPr>
          <w:t>http://www.neurosynth.org/locations</w:t>
        </w:r>
      </w:hyperlink>
      <w:r w:rsidRPr="004B2B38">
        <w:rPr>
          <w:rFonts w:ascii="Times New Roman" w:hAnsi="Times New Roman" w:cs="Times New Roman"/>
          <w:sz w:val="24"/>
          <w:szCs w:val="24"/>
        </w:rPr>
        <w:t xml:space="preserve">) have typically implicated this region in higher cognitive processes such as strategy use </w:t>
      </w:r>
      <w:r w:rsidRPr="004B2B38">
        <w:rPr>
          <w:rFonts w:ascii="Times New Roman" w:hAnsi="Times New Roman" w:cs="Times New Roman"/>
          <w:noProof/>
          <w:sz w:val="24"/>
          <w:szCs w:val="24"/>
        </w:rPr>
        <w:t>(Bor &amp; Owen, 2007)</w:t>
      </w:r>
      <w:r w:rsidRPr="004B2B38">
        <w:rPr>
          <w:rFonts w:ascii="Times New Roman" w:hAnsi="Times New Roman" w:cs="Times New Roman"/>
          <w:sz w:val="24"/>
          <w:szCs w:val="24"/>
        </w:rPr>
        <w:t xml:space="preserve">, and context-dependent episodic retrieval </w:t>
      </w:r>
      <w:r w:rsidRPr="004B2B38">
        <w:rPr>
          <w:rFonts w:ascii="Times New Roman" w:hAnsi="Times New Roman" w:cs="Times New Roman"/>
          <w:noProof/>
          <w:sz w:val="24"/>
          <w:szCs w:val="24"/>
        </w:rPr>
        <w:t>(King, Hartley, Spiers, Maguire, &amp; Burgess, 2005)</w:t>
      </w:r>
      <w:r w:rsidRPr="004B2B38">
        <w:rPr>
          <w:rFonts w:ascii="Times New Roman" w:hAnsi="Times New Roman" w:cs="Times New Roman"/>
          <w:sz w:val="24"/>
          <w:szCs w:val="24"/>
        </w:rPr>
        <w:t xml:space="preserve">. However, it has also been shown to contribute to emotional processes, for example dynamic (vs. static) emotional face perception </w:t>
      </w:r>
      <w:r w:rsidRPr="004B2B38">
        <w:rPr>
          <w:rFonts w:ascii="Times New Roman" w:hAnsi="Times New Roman" w:cs="Times New Roman"/>
          <w:noProof/>
          <w:sz w:val="24"/>
          <w:szCs w:val="24"/>
        </w:rPr>
        <w:t>(Trautmann, Fehr, &amp; Herrmann, 2009)</w:t>
      </w:r>
      <w:r w:rsidRPr="004B2B38">
        <w:rPr>
          <w:rFonts w:ascii="Times New Roman" w:hAnsi="Times New Roman" w:cs="Times New Roman"/>
          <w:sz w:val="24"/>
          <w:szCs w:val="24"/>
        </w:rPr>
        <w:t>. While it is too early to conclude that this region is implicated in the pathophysiology of CP/HCU, our finding could nonetheless be useful in motivating further investigations of this region’s structure and function in this group.</w:t>
      </w:r>
    </w:p>
    <w:p w14:paraId="646E8D4A"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The pattern of GM reduction reported in the current study is not in line with </w:t>
      </w:r>
      <w:r w:rsidR="003E014B">
        <w:rPr>
          <w:rFonts w:ascii="Times New Roman" w:hAnsi="Times New Roman" w:cs="Times New Roman"/>
          <w:sz w:val="24"/>
          <w:szCs w:val="24"/>
        </w:rPr>
        <w:t>our</w:t>
      </w:r>
      <w:r w:rsidRPr="004B2B38">
        <w:rPr>
          <w:rFonts w:ascii="Times New Roman" w:hAnsi="Times New Roman" w:cs="Times New Roman"/>
          <w:sz w:val="24"/>
          <w:szCs w:val="24"/>
        </w:rPr>
        <w:t xml:space="preserve"> previous finding of increased GM concentration in OFC and ACC in CP/HCU (De Brito et al., 2009). In our view, the most likely explanation is the differing ages of the samples. The current sample were considerably older (mean age= 14 years, 0 months; age range: 10.2-16.9), whilst De Brito et al. (2009) studied a younger group (mean age=11 years, 7 months; age range: 10.0-13.3).  These previous results were interpreted as reflecting delayed cortical maturation in the CP/HCU sample relative to the typically observed pattern of GM reduction with age </w:t>
      </w:r>
      <w:r w:rsidRPr="004B2B38">
        <w:rPr>
          <w:rFonts w:ascii="Times New Roman" w:hAnsi="Times New Roman" w:cs="Times New Roman"/>
          <w:noProof/>
          <w:sz w:val="24"/>
          <w:szCs w:val="24"/>
        </w:rPr>
        <w:t>(Gogtay et al., 2004; Shaw et al., 2008)</w:t>
      </w:r>
      <w:r w:rsidRPr="004B2B38">
        <w:rPr>
          <w:rFonts w:ascii="Times New Roman" w:hAnsi="Times New Roman" w:cs="Times New Roman"/>
          <w:sz w:val="24"/>
          <w:szCs w:val="24"/>
        </w:rPr>
        <w:t xml:space="preserve">. Delayed cortical maturation is common to several developmental disorders </w:t>
      </w:r>
      <w:r w:rsidRPr="004B2B38">
        <w:rPr>
          <w:rFonts w:ascii="Times New Roman" w:hAnsi="Times New Roman" w:cs="Times New Roman"/>
          <w:noProof/>
          <w:sz w:val="24"/>
          <w:szCs w:val="24"/>
        </w:rPr>
        <w:t>(Shaw, Gogtay, &amp; Rapoport, 2010)</w:t>
      </w:r>
      <w:r w:rsidRPr="004B2B38">
        <w:rPr>
          <w:rFonts w:ascii="Times New Roman" w:hAnsi="Times New Roman" w:cs="Times New Roman"/>
          <w:sz w:val="24"/>
          <w:szCs w:val="24"/>
        </w:rPr>
        <w:t xml:space="preserve">. However, developmental trajectories may look different at later points in the lifespan; for example in </w:t>
      </w:r>
      <w:r w:rsidRPr="004B2B38">
        <w:rPr>
          <w:rFonts w:ascii="Times New Roman" w:hAnsi="Times New Roman" w:cs="Times New Roman"/>
          <w:sz w:val="24"/>
          <w:szCs w:val="24"/>
        </w:rPr>
        <w:lastRenderedPageBreak/>
        <w:t xml:space="preserve">children with ADHD, </w:t>
      </w:r>
      <w:r w:rsidR="00830D2E" w:rsidRPr="004B2B38">
        <w:rPr>
          <w:rFonts w:ascii="Times New Roman" w:hAnsi="Times New Roman" w:cs="Times New Roman"/>
          <w:noProof/>
          <w:sz w:val="24"/>
          <w:szCs w:val="24"/>
        </w:rPr>
        <w:t>(</w:t>
      </w:r>
      <w:r w:rsidRPr="004B2B38">
        <w:rPr>
          <w:rFonts w:ascii="Times New Roman" w:hAnsi="Times New Roman" w:cs="Times New Roman"/>
          <w:noProof/>
          <w:sz w:val="24"/>
          <w:szCs w:val="24"/>
        </w:rPr>
        <w:t>Shaw et al., 2012)</w:t>
      </w:r>
      <w:r w:rsidRPr="004B2B38">
        <w:rPr>
          <w:rFonts w:ascii="Times New Roman" w:hAnsi="Times New Roman" w:cs="Times New Roman"/>
          <w:sz w:val="24"/>
          <w:szCs w:val="24"/>
        </w:rPr>
        <w:t xml:space="preserve"> found a delay in the age at which childhood increase in cortical thickness gives way to cortical thinning, similar to the delayed reduction in GM concentration seen in De Brito et al. (2009). However, a longitudinal study including adults with ADHD symptoms found that by adulthood, symptom severity was associated with reduced GM thickness </w:t>
      </w:r>
      <w:r w:rsidRPr="004B2B38">
        <w:rPr>
          <w:rFonts w:ascii="Times New Roman" w:hAnsi="Times New Roman" w:cs="Times New Roman"/>
          <w:noProof/>
          <w:sz w:val="24"/>
          <w:szCs w:val="24"/>
        </w:rPr>
        <w:t>(Shaw et al., 2013)</w:t>
      </w:r>
      <w:r w:rsidRPr="004B2B38">
        <w:rPr>
          <w:rFonts w:ascii="Times New Roman" w:hAnsi="Times New Roman" w:cs="Times New Roman"/>
          <w:sz w:val="24"/>
          <w:szCs w:val="24"/>
        </w:rPr>
        <w:t>. The relatively young age of participants in De Brito et al. (2009) may therefore contribute to the differing pattern of results seen relative to the current study. However, longitudinal investigation of GM trajectories in CP is required to test this hypothesis directly.</w:t>
      </w:r>
    </w:p>
    <w:p w14:paraId="002F2F0C"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While the current study has several methodological strengths, including a large sample size and the use of age- and gender-specific templates together with DARTEL registration, it is also worth noting some limitations. First, as with all previous sMRI studies of CP, given the cross-sectional design we are unable to infer whether neural differences are a cause or a consequence of the group differences observed. Second, VBM provides a composite measure of surface area and cortical thickness, and cannot provide a fine-grained analysis of specific GM metrics that may be driving the observed group differences </w:t>
      </w:r>
      <w:r w:rsidRPr="004B2B38">
        <w:rPr>
          <w:rFonts w:ascii="Times New Roman" w:hAnsi="Times New Roman" w:cs="Times New Roman"/>
          <w:noProof/>
          <w:sz w:val="24"/>
          <w:szCs w:val="24"/>
        </w:rPr>
        <w:t>(Raznahan et al., 2011)</w:t>
      </w:r>
      <w:r w:rsidRPr="004B2B38">
        <w:rPr>
          <w:rFonts w:ascii="Times New Roman" w:hAnsi="Times New Roman" w:cs="Times New Roman"/>
          <w:sz w:val="24"/>
          <w:szCs w:val="24"/>
        </w:rPr>
        <w:t xml:space="preserve">. Further, given evidence that antisocial behaviour is more strongly heritable in children with CP/HCU than CP/LCU </w:t>
      </w:r>
      <w:r w:rsidRPr="004B2B38">
        <w:rPr>
          <w:rFonts w:ascii="Times New Roman" w:hAnsi="Times New Roman" w:cs="Times New Roman"/>
          <w:noProof/>
          <w:sz w:val="24"/>
          <w:szCs w:val="24"/>
        </w:rPr>
        <w:t>(Viding et al., 2005; Viding et al., 2008)</w:t>
      </w:r>
      <w:r w:rsidRPr="004B2B38">
        <w:rPr>
          <w:rFonts w:ascii="Times New Roman" w:hAnsi="Times New Roman" w:cs="Times New Roman"/>
          <w:sz w:val="24"/>
          <w:szCs w:val="24"/>
        </w:rPr>
        <w:t xml:space="preserve"> and that surface ar</w:t>
      </w:r>
      <w:r w:rsidR="00830D2E" w:rsidRPr="004B2B38">
        <w:rPr>
          <w:rFonts w:ascii="Times New Roman" w:hAnsi="Times New Roman" w:cs="Times New Roman"/>
          <w:sz w:val="24"/>
          <w:szCs w:val="24"/>
        </w:rPr>
        <w:t>ea and cortical thickness</w:t>
      </w:r>
      <w:r w:rsidRPr="004B2B38">
        <w:rPr>
          <w:rFonts w:ascii="Times New Roman" w:hAnsi="Times New Roman" w:cs="Times New Roman"/>
          <w:sz w:val="24"/>
          <w:szCs w:val="24"/>
        </w:rPr>
        <w:t xml:space="preserve"> are highly heritable, yet genetically unrelated </w:t>
      </w:r>
      <w:r w:rsidRPr="004B2B38">
        <w:rPr>
          <w:rFonts w:ascii="Times New Roman" w:hAnsi="Times New Roman" w:cs="Times New Roman"/>
          <w:noProof/>
          <w:sz w:val="24"/>
          <w:szCs w:val="24"/>
        </w:rPr>
        <w:t>(Panizzon et al., 2009)</w:t>
      </w:r>
      <w:r w:rsidRPr="004B2B38">
        <w:rPr>
          <w:rFonts w:ascii="Times New Roman" w:hAnsi="Times New Roman" w:cs="Times New Roman"/>
          <w:sz w:val="24"/>
          <w:szCs w:val="24"/>
        </w:rPr>
        <w:t>, future studies should directly compare youths with CP/HCU and CP/LCU using those metrics</w:t>
      </w:r>
      <w:r w:rsidR="00AD2B69" w:rsidRPr="004B2B38">
        <w:rPr>
          <w:rFonts w:ascii="Times New Roman" w:hAnsi="Times New Roman" w:cs="Times New Roman"/>
          <w:sz w:val="24"/>
          <w:szCs w:val="24"/>
        </w:rPr>
        <w:t xml:space="preserve">. </w:t>
      </w:r>
      <w:r w:rsidRPr="004B2B38">
        <w:rPr>
          <w:rFonts w:ascii="Times New Roman" w:hAnsi="Times New Roman" w:cs="Times New Roman"/>
          <w:sz w:val="24"/>
          <w:szCs w:val="24"/>
        </w:rPr>
        <w:t xml:space="preserve">Additionally, while our groups did not differ significantly in age, IQ, ethnicity, handedness and SES, they differed on several comorbid psychopathology variables including ADHD, depression, anxiety and alcohol use. Therefore it could be argued that the group differences obtained are not specific to CP/HCU, but reflect a more severe profile of general psychopathology and a lower IQ. A related argument is that group differences resulted from differences in the severity of conduct disorder symptoms rather than </w:t>
      </w:r>
      <w:r w:rsidRPr="004B2B38">
        <w:rPr>
          <w:rFonts w:ascii="Times New Roman" w:hAnsi="Times New Roman" w:cs="Times New Roman"/>
          <w:sz w:val="24"/>
          <w:szCs w:val="24"/>
        </w:rPr>
        <w:lastRenderedPageBreak/>
        <w:t xml:space="preserve">CU traits. However, we think these alternative explanations are unlikely. Results from symptom and IQ covariate analyses were very similar to the main findings (see footnote Table S1). Importantly, while CP/HCU and CP/LCU groups differed on both CU traits and CD symptoms (which are typically modestly correlated, and were correlated at </w:t>
      </w:r>
      <w:r w:rsidRPr="003E014B">
        <w:rPr>
          <w:rFonts w:ascii="Times New Roman" w:hAnsi="Times New Roman" w:cs="Times New Roman"/>
          <w:i/>
          <w:sz w:val="24"/>
          <w:szCs w:val="24"/>
        </w:rPr>
        <w:t>r</w:t>
      </w:r>
      <w:r w:rsidRPr="004B2B38">
        <w:rPr>
          <w:rFonts w:ascii="Times New Roman" w:hAnsi="Times New Roman" w:cs="Times New Roman"/>
          <w:sz w:val="24"/>
          <w:szCs w:val="24"/>
        </w:rPr>
        <w:t xml:space="preserve">=.53 in the current sample), only CU traits correlated negatively with left OFC volume. When the unique contribution of CU traits and CD symptoms to differences in left OFC was examined (after controlling for the other variable), the negative relationship with CU traits was strengthened, while the trend-level contribution of CD symptoms was reduced to near zero. Moreover, CU traits significantly improved the ability of our regression model to predict left OFC volume relative to CD symptoms alone. We took the decision to recruit a representative sample of children with conduct problems as opposed to recruiting a fully matched sample which would likely have been unrepresentative in unpredictable ways. It is also worth noting that there is a strong theoretical basis to the idea that CU traits are a contributing explanatory factor for more severe conduct problem symptoms </w:t>
      </w:r>
      <w:r w:rsidRPr="004B2B38">
        <w:rPr>
          <w:rFonts w:ascii="Times New Roman" w:hAnsi="Times New Roman" w:cs="Times New Roman"/>
          <w:noProof/>
          <w:sz w:val="24"/>
          <w:szCs w:val="24"/>
        </w:rPr>
        <w:t>(Frick &amp; Viding, 2009)</w:t>
      </w:r>
      <w:r w:rsidRPr="004B2B38">
        <w:rPr>
          <w:rFonts w:ascii="Times New Roman" w:hAnsi="Times New Roman" w:cs="Times New Roman"/>
          <w:sz w:val="24"/>
          <w:szCs w:val="24"/>
        </w:rPr>
        <w:t xml:space="preserve">; hence the focus on CU traits in the current study. </w:t>
      </w:r>
    </w:p>
    <w:p w14:paraId="2D2C86B3" w14:textId="77777777" w:rsidR="00EA002F" w:rsidRPr="004B2B38" w:rsidRDefault="00EA002F" w:rsidP="00A02D4E">
      <w:pPr>
        <w:spacing w:after="0" w:line="480" w:lineRule="auto"/>
        <w:ind w:firstLine="720"/>
        <w:rPr>
          <w:rFonts w:ascii="Times New Roman" w:hAnsi="Times New Roman" w:cs="Times New Roman"/>
          <w:sz w:val="24"/>
          <w:szCs w:val="24"/>
        </w:rPr>
      </w:pPr>
      <w:r w:rsidRPr="004B2B38">
        <w:rPr>
          <w:rFonts w:ascii="Times New Roman" w:hAnsi="Times New Roman" w:cs="Times New Roman"/>
          <w:sz w:val="24"/>
          <w:szCs w:val="24"/>
        </w:rPr>
        <w:t xml:space="preserve">Overall, we replicate and extend previous studies showing a reduction in grey matter volume in children with CP in OFC and ACC: key regions of interest associated with emotional processing and reinforcement learning. Reductions in left OFC and right ACC were restricted to a subgroup of children with CP characterised by high levels of CU traits: reduced GM volume here therefore seems to characterise the CP/HCU, but not the children with CP/LCU, who also exhibit conduct disturbance but have differing genetic and neurocognitive vulnerabilities. To our knowledge, no previous study has compared CP/HCU and CP/LCU groups directly on tasks tapping the functions of these regions, so this may be a fruitful avenue of research. More generally, the present findings strengthen the case that it is </w:t>
      </w:r>
      <w:r w:rsidRPr="004B2B38">
        <w:rPr>
          <w:rFonts w:ascii="Times New Roman" w:hAnsi="Times New Roman" w:cs="Times New Roman"/>
          <w:sz w:val="24"/>
          <w:szCs w:val="24"/>
        </w:rPr>
        <w:lastRenderedPageBreak/>
        <w:t>important to take into account levels of CU traits in the diagnosis and treatment of children with CP.</w:t>
      </w:r>
    </w:p>
    <w:p w14:paraId="2038425E" w14:textId="77777777" w:rsidR="007A50AF" w:rsidRDefault="007A50AF" w:rsidP="00290530">
      <w:pPr>
        <w:spacing w:after="0" w:line="480" w:lineRule="auto"/>
        <w:rPr>
          <w:rFonts w:ascii="Times New Roman" w:hAnsi="Times New Roman" w:cs="Times New Roman"/>
          <w:b/>
          <w:sz w:val="24"/>
          <w:szCs w:val="24"/>
        </w:rPr>
      </w:pPr>
    </w:p>
    <w:p w14:paraId="2956E0FF"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b/>
          <w:sz w:val="24"/>
          <w:szCs w:val="24"/>
        </w:rPr>
        <w:t>Acknowledgments</w:t>
      </w:r>
    </w:p>
    <w:p w14:paraId="0502701B"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We would like to thank Dr Marko Wilke and Dr Florian Kurth for their helpful advice for implementing VBM with a paediatric sample.</w:t>
      </w:r>
    </w:p>
    <w:p w14:paraId="49936AA3" w14:textId="77777777" w:rsidR="00EA002F" w:rsidRPr="004B2B38" w:rsidRDefault="00EA002F" w:rsidP="00290530">
      <w:pPr>
        <w:spacing w:after="0" w:line="480" w:lineRule="auto"/>
        <w:rPr>
          <w:rFonts w:ascii="Times New Roman" w:hAnsi="Times New Roman" w:cs="Times New Roman"/>
          <w:b/>
          <w:sz w:val="24"/>
          <w:szCs w:val="24"/>
        </w:rPr>
      </w:pPr>
    </w:p>
    <w:p w14:paraId="376EDD36" w14:textId="77777777" w:rsidR="00EA002F" w:rsidRPr="004B2B38" w:rsidRDefault="00EA002F" w:rsidP="00290530">
      <w:pPr>
        <w:spacing w:after="0" w:line="480" w:lineRule="auto"/>
        <w:rPr>
          <w:rFonts w:ascii="Times New Roman" w:hAnsi="Times New Roman" w:cs="Times New Roman"/>
          <w:b/>
          <w:sz w:val="24"/>
          <w:szCs w:val="24"/>
        </w:rPr>
      </w:pPr>
      <w:r w:rsidRPr="004B2B38">
        <w:rPr>
          <w:rFonts w:ascii="Times New Roman" w:hAnsi="Times New Roman" w:cs="Times New Roman"/>
          <w:b/>
          <w:sz w:val="24"/>
          <w:szCs w:val="24"/>
        </w:rPr>
        <w:t>Financial Support</w:t>
      </w:r>
    </w:p>
    <w:p w14:paraId="33292CF8"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This work was supported by the Economic and Social Research Council (ESRC; award no. RES-062-23-2202 to E.V. and E.J.M.), the British Academy (award no. 53229 to E.V. and E.J.M.) and the Birkbeck UCL Centre for NeuroImaging (BUCNI). During the writing of this paper, C.L.S. was partially supported by an Economic and Social Research Council award (ES/K008951/1), and S.A.D.B. was supported by a research fellowship from the Swiss National Science Foundation (FNS PA00P1_139586).</w:t>
      </w:r>
    </w:p>
    <w:p w14:paraId="4DAF0374" w14:textId="77777777" w:rsidR="00EA002F" w:rsidRPr="004B2B38" w:rsidRDefault="00EA002F" w:rsidP="00290530">
      <w:pPr>
        <w:spacing w:after="0" w:line="480" w:lineRule="auto"/>
        <w:rPr>
          <w:rFonts w:ascii="Times New Roman" w:hAnsi="Times New Roman" w:cs="Times New Roman"/>
          <w:sz w:val="24"/>
          <w:szCs w:val="24"/>
        </w:rPr>
      </w:pPr>
    </w:p>
    <w:p w14:paraId="4E245F6B" w14:textId="77777777" w:rsidR="00EA002F" w:rsidRPr="004B2B38" w:rsidRDefault="00EA002F" w:rsidP="00290530">
      <w:pPr>
        <w:spacing w:after="0" w:line="480" w:lineRule="auto"/>
        <w:rPr>
          <w:rFonts w:ascii="Times New Roman" w:hAnsi="Times New Roman" w:cs="Times New Roman"/>
          <w:b/>
          <w:sz w:val="24"/>
          <w:szCs w:val="24"/>
        </w:rPr>
      </w:pPr>
      <w:r w:rsidRPr="004B2B38">
        <w:rPr>
          <w:rFonts w:ascii="Times New Roman" w:hAnsi="Times New Roman" w:cs="Times New Roman"/>
          <w:b/>
          <w:sz w:val="24"/>
          <w:szCs w:val="24"/>
        </w:rPr>
        <w:t>Conflict of Interest</w:t>
      </w:r>
    </w:p>
    <w:p w14:paraId="646D6363" w14:textId="77777777" w:rsidR="00EA002F" w:rsidRPr="004B2B38" w:rsidRDefault="00EA002F" w:rsidP="00290530">
      <w:pPr>
        <w:spacing w:after="0" w:line="480" w:lineRule="auto"/>
        <w:rPr>
          <w:rFonts w:ascii="Times New Roman" w:hAnsi="Times New Roman" w:cs="Times New Roman"/>
          <w:sz w:val="24"/>
          <w:szCs w:val="24"/>
        </w:rPr>
      </w:pPr>
      <w:r w:rsidRPr="004B2B38">
        <w:rPr>
          <w:rFonts w:ascii="Times New Roman" w:hAnsi="Times New Roman" w:cs="Times New Roman"/>
          <w:sz w:val="24"/>
          <w:szCs w:val="24"/>
        </w:rPr>
        <w:t>None</w:t>
      </w:r>
    </w:p>
    <w:p w14:paraId="538AACCC" w14:textId="77777777" w:rsidR="00EA002F" w:rsidRPr="004B2B38" w:rsidRDefault="00EA002F" w:rsidP="00290530">
      <w:pPr>
        <w:spacing w:after="0" w:line="480" w:lineRule="auto"/>
        <w:rPr>
          <w:rFonts w:ascii="Times New Roman" w:hAnsi="Times New Roman" w:cs="Times New Roman"/>
          <w:b/>
          <w:sz w:val="24"/>
          <w:szCs w:val="24"/>
        </w:rPr>
      </w:pPr>
    </w:p>
    <w:p w14:paraId="0A13F42A" w14:textId="77777777" w:rsidR="00EA002F" w:rsidRPr="004B2B38" w:rsidRDefault="00EA002F" w:rsidP="00290530">
      <w:pPr>
        <w:spacing w:after="0" w:line="480" w:lineRule="auto"/>
        <w:rPr>
          <w:rFonts w:ascii="Times New Roman" w:hAnsi="Times New Roman" w:cs="Times New Roman"/>
          <w:b/>
          <w:sz w:val="24"/>
          <w:szCs w:val="24"/>
        </w:rPr>
      </w:pPr>
    </w:p>
    <w:p w14:paraId="3A8AB1DF" w14:textId="77777777" w:rsidR="00EA002F" w:rsidRPr="004B2B38" w:rsidRDefault="00EA002F" w:rsidP="00290530">
      <w:pPr>
        <w:spacing w:after="0" w:line="480" w:lineRule="auto"/>
        <w:rPr>
          <w:rFonts w:ascii="Times New Roman" w:hAnsi="Times New Roman" w:cs="Times New Roman"/>
          <w:b/>
          <w:sz w:val="24"/>
          <w:szCs w:val="24"/>
        </w:rPr>
      </w:pPr>
    </w:p>
    <w:p w14:paraId="75D67DD8" w14:textId="77777777" w:rsidR="00C00AB9" w:rsidRPr="004B2B38" w:rsidRDefault="00C00AB9" w:rsidP="00290530">
      <w:pPr>
        <w:spacing w:after="0" w:line="480" w:lineRule="auto"/>
        <w:rPr>
          <w:rFonts w:ascii="Times New Roman" w:hAnsi="Times New Roman" w:cs="Times New Roman"/>
          <w:b/>
          <w:sz w:val="24"/>
          <w:szCs w:val="24"/>
        </w:rPr>
      </w:pPr>
    </w:p>
    <w:p w14:paraId="40A6AC66" w14:textId="77777777" w:rsidR="00C00AB9" w:rsidRDefault="00C00AB9" w:rsidP="00290530">
      <w:pPr>
        <w:spacing w:after="0" w:line="480" w:lineRule="auto"/>
        <w:rPr>
          <w:rFonts w:ascii="Times New Roman" w:hAnsi="Times New Roman" w:cs="Times New Roman"/>
          <w:b/>
          <w:sz w:val="24"/>
          <w:szCs w:val="24"/>
        </w:rPr>
      </w:pPr>
    </w:p>
    <w:p w14:paraId="5530924E" w14:textId="77777777" w:rsidR="007A50AF" w:rsidRDefault="007A50AF" w:rsidP="00290530">
      <w:pPr>
        <w:spacing w:after="0" w:line="480" w:lineRule="auto"/>
        <w:rPr>
          <w:rFonts w:ascii="Times New Roman" w:hAnsi="Times New Roman" w:cs="Times New Roman"/>
          <w:b/>
          <w:sz w:val="24"/>
          <w:szCs w:val="24"/>
        </w:rPr>
      </w:pPr>
    </w:p>
    <w:p w14:paraId="43699E97" w14:textId="77777777" w:rsidR="007A50AF" w:rsidRDefault="007A50AF" w:rsidP="00290530">
      <w:pPr>
        <w:spacing w:after="0" w:line="480" w:lineRule="auto"/>
        <w:rPr>
          <w:rFonts w:ascii="Times New Roman" w:hAnsi="Times New Roman" w:cs="Times New Roman"/>
          <w:b/>
          <w:sz w:val="24"/>
          <w:szCs w:val="24"/>
        </w:rPr>
      </w:pPr>
    </w:p>
    <w:p w14:paraId="119952BB" w14:textId="77777777" w:rsidR="00C00AB9" w:rsidRPr="004B2B38" w:rsidRDefault="00C00AB9" w:rsidP="00290530">
      <w:pPr>
        <w:spacing w:after="0" w:line="480" w:lineRule="auto"/>
        <w:rPr>
          <w:rFonts w:ascii="Times New Roman" w:hAnsi="Times New Roman" w:cs="Times New Roman"/>
          <w:b/>
          <w:sz w:val="24"/>
          <w:szCs w:val="24"/>
        </w:rPr>
      </w:pPr>
    </w:p>
    <w:p w14:paraId="420782A9" w14:textId="77777777" w:rsidR="00EA002F" w:rsidRPr="00564BF2" w:rsidRDefault="00EA002F" w:rsidP="00615932">
      <w:pPr>
        <w:spacing w:after="0" w:line="480" w:lineRule="auto"/>
        <w:jc w:val="center"/>
        <w:rPr>
          <w:rFonts w:ascii="Times New Roman" w:hAnsi="Times New Roman" w:cs="Times New Roman"/>
          <w:b/>
          <w:sz w:val="24"/>
          <w:szCs w:val="24"/>
        </w:rPr>
      </w:pPr>
      <w:r w:rsidRPr="00564BF2">
        <w:rPr>
          <w:rFonts w:ascii="Times New Roman" w:hAnsi="Times New Roman" w:cs="Times New Roman"/>
          <w:b/>
          <w:sz w:val="24"/>
          <w:szCs w:val="24"/>
        </w:rPr>
        <w:lastRenderedPageBreak/>
        <w:t>References</w:t>
      </w:r>
    </w:p>
    <w:p w14:paraId="352C661C" w14:textId="77777777" w:rsidR="00A43FA6" w:rsidRPr="004B2B38" w:rsidRDefault="00A43FA6" w:rsidP="00290530">
      <w:pPr>
        <w:pStyle w:val="EndNoteBibliography"/>
        <w:spacing w:after="0" w:line="480" w:lineRule="auto"/>
        <w:ind w:left="720" w:hanging="720"/>
        <w:divId w:val="1403676802"/>
      </w:pPr>
      <w:bookmarkStart w:id="0" w:name="_ENREF_1"/>
      <w:r w:rsidRPr="004B2B38">
        <w:t xml:space="preserve">Anderson, N. E., &amp; Kiehl, K. A. (2012). The psychopath magnetized: Insights from brain imaging. </w:t>
      </w:r>
      <w:r w:rsidRPr="004B2B38">
        <w:rPr>
          <w:i/>
        </w:rPr>
        <w:t>Trends in Cognitive Sciences, 16</w:t>
      </w:r>
      <w:r w:rsidRPr="004B2B38">
        <w:t>, 52-60.</w:t>
      </w:r>
      <w:bookmarkEnd w:id="0"/>
    </w:p>
    <w:p w14:paraId="03561C6A" w14:textId="77777777" w:rsidR="00A43FA6" w:rsidRPr="004B2B38" w:rsidRDefault="00A43FA6" w:rsidP="00290530">
      <w:pPr>
        <w:pStyle w:val="EndNoteBibliography"/>
        <w:spacing w:after="0" w:line="480" w:lineRule="auto"/>
        <w:ind w:left="720" w:hanging="720"/>
        <w:divId w:val="1403676802"/>
      </w:pPr>
      <w:bookmarkStart w:id="1" w:name="_ENREF_2"/>
      <w:r w:rsidRPr="004B2B38">
        <w:t xml:space="preserve">Ashburner, J. (2007). A fast diffeomorphic image registration algorithm. </w:t>
      </w:r>
      <w:r w:rsidRPr="004B2B38">
        <w:rPr>
          <w:i/>
        </w:rPr>
        <w:t>Neuroimage, 38</w:t>
      </w:r>
      <w:r w:rsidRPr="004B2B38">
        <w:t>, 95-113.</w:t>
      </w:r>
      <w:bookmarkEnd w:id="1"/>
    </w:p>
    <w:p w14:paraId="198CB2A0" w14:textId="77777777" w:rsidR="00A43FA6" w:rsidRPr="004B2B38" w:rsidRDefault="00A43FA6" w:rsidP="00290530">
      <w:pPr>
        <w:pStyle w:val="EndNoteBibliography"/>
        <w:spacing w:after="0" w:line="480" w:lineRule="auto"/>
        <w:ind w:left="720" w:hanging="720"/>
        <w:divId w:val="1403676802"/>
      </w:pPr>
      <w:bookmarkStart w:id="2" w:name="_ENREF_3"/>
      <w:r w:rsidRPr="004B2B38">
        <w:t xml:space="preserve">Ashburner, J., &amp; Friston, K. J. (2005). Unified segmentation. </w:t>
      </w:r>
      <w:r w:rsidRPr="004B2B38">
        <w:rPr>
          <w:i/>
        </w:rPr>
        <w:t>Neuroimage, 26</w:t>
      </w:r>
      <w:r w:rsidRPr="004B2B38">
        <w:t>, 839-851.</w:t>
      </w:r>
      <w:bookmarkEnd w:id="2"/>
    </w:p>
    <w:p w14:paraId="45AD6CBB" w14:textId="77777777" w:rsidR="00A43FA6" w:rsidRPr="004B2B38" w:rsidRDefault="00A43FA6" w:rsidP="00290530">
      <w:pPr>
        <w:pStyle w:val="EndNoteBibliography"/>
        <w:spacing w:after="0" w:line="480" w:lineRule="auto"/>
        <w:ind w:left="720" w:hanging="720"/>
        <w:divId w:val="1403676802"/>
      </w:pPr>
      <w:bookmarkStart w:id="3" w:name="_ENREF_4"/>
      <w:r w:rsidRPr="004B2B38">
        <w:t xml:space="preserve">Babor, T. F., Higgins-Biddle, J. C., Saunders, J. B., &amp; Monteiro, M. G. (2001). </w:t>
      </w:r>
      <w:r w:rsidRPr="004B2B38">
        <w:rPr>
          <w:i/>
        </w:rPr>
        <w:t xml:space="preserve">The </w:t>
      </w:r>
      <w:r w:rsidR="00F149BA" w:rsidRPr="004B2B38">
        <w:rPr>
          <w:i/>
        </w:rPr>
        <w:t>a</w:t>
      </w:r>
      <w:r w:rsidRPr="004B2B38">
        <w:rPr>
          <w:i/>
        </w:rPr>
        <w:t xml:space="preserve">lcohol </w:t>
      </w:r>
      <w:r w:rsidR="00F149BA" w:rsidRPr="004B2B38">
        <w:rPr>
          <w:i/>
        </w:rPr>
        <w:t>u</w:t>
      </w:r>
      <w:r w:rsidRPr="004B2B38">
        <w:rPr>
          <w:i/>
        </w:rPr>
        <w:t xml:space="preserve">se </w:t>
      </w:r>
      <w:r w:rsidR="00F149BA" w:rsidRPr="004B2B38">
        <w:rPr>
          <w:i/>
        </w:rPr>
        <w:t>d</w:t>
      </w:r>
      <w:r w:rsidRPr="004B2B38">
        <w:rPr>
          <w:i/>
        </w:rPr>
        <w:t xml:space="preserve">isorders </w:t>
      </w:r>
      <w:r w:rsidR="00F149BA" w:rsidRPr="004B2B38">
        <w:rPr>
          <w:i/>
        </w:rPr>
        <w:t>i</w:t>
      </w:r>
      <w:r w:rsidRPr="004B2B38">
        <w:rPr>
          <w:i/>
        </w:rPr>
        <w:t xml:space="preserve">dentification </w:t>
      </w:r>
      <w:r w:rsidR="00F149BA" w:rsidRPr="004B2B38">
        <w:rPr>
          <w:i/>
        </w:rPr>
        <w:t>t</w:t>
      </w:r>
      <w:r w:rsidRPr="004B2B38">
        <w:rPr>
          <w:i/>
        </w:rPr>
        <w:t xml:space="preserve">est: Guidelines for </w:t>
      </w:r>
      <w:r w:rsidR="00F149BA" w:rsidRPr="004B2B38">
        <w:rPr>
          <w:i/>
        </w:rPr>
        <w:t>u</w:t>
      </w:r>
      <w:r w:rsidRPr="004B2B38">
        <w:rPr>
          <w:i/>
        </w:rPr>
        <w:t xml:space="preserve">se in </w:t>
      </w:r>
      <w:r w:rsidR="00F149BA" w:rsidRPr="004B2B38">
        <w:rPr>
          <w:i/>
        </w:rPr>
        <w:t>p</w:t>
      </w:r>
      <w:r w:rsidRPr="004B2B38">
        <w:rPr>
          <w:i/>
        </w:rPr>
        <w:t xml:space="preserve">rimary </w:t>
      </w:r>
      <w:r w:rsidR="00F149BA" w:rsidRPr="004B2B38">
        <w:rPr>
          <w:i/>
        </w:rPr>
        <w:t>c</w:t>
      </w:r>
      <w:r w:rsidRPr="004B2B38">
        <w:rPr>
          <w:i/>
        </w:rPr>
        <w:t>are</w:t>
      </w:r>
      <w:r w:rsidRPr="004B2B38">
        <w:t xml:space="preserve"> (2nd ed.). Geneva: Department of Mental Health and Substance Dependence, World Health Organization.</w:t>
      </w:r>
      <w:bookmarkEnd w:id="3"/>
    </w:p>
    <w:p w14:paraId="29311C26" w14:textId="77777777" w:rsidR="00A43FA6" w:rsidRPr="004B2B38" w:rsidRDefault="00A43FA6" w:rsidP="00290530">
      <w:pPr>
        <w:pStyle w:val="EndNoteBibliography"/>
        <w:spacing w:after="0" w:line="480" w:lineRule="auto"/>
        <w:ind w:left="720" w:hanging="720"/>
        <w:divId w:val="1403676802"/>
      </w:pPr>
      <w:bookmarkStart w:id="4" w:name="_ENREF_5"/>
      <w:r w:rsidRPr="004B2B38">
        <w:t xml:space="preserve">Barry, C. T., Frick, P. J., DeShazo, T. M., McCoy, M., Ellis, M., &amp; Loney, B. R. (2000). The importance of callous-unemotional traits for extending the concept of psychopathy to children. </w:t>
      </w:r>
      <w:r w:rsidRPr="004B2B38">
        <w:rPr>
          <w:i/>
        </w:rPr>
        <w:t>Journal of Abnormal Psychology, 109</w:t>
      </w:r>
      <w:r w:rsidRPr="004B2B38">
        <w:t>, 335-340.</w:t>
      </w:r>
      <w:bookmarkEnd w:id="4"/>
    </w:p>
    <w:p w14:paraId="5C11ABF4" w14:textId="77777777" w:rsidR="00A43FA6" w:rsidRPr="004B2B38" w:rsidRDefault="00A43FA6" w:rsidP="00290530">
      <w:pPr>
        <w:pStyle w:val="EndNoteBibliography"/>
        <w:spacing w:after="0" w:line="480" w:lineRule="auto"/>
        <w:ind w:left="720" w:hanging="720"/>
        <w:divId w:val="1403676802"/>
      </w:pPr>
      <w:bookmarkStart w:id="5" w:name="_ENREF_6"/>
      <w:r w:rsidRPr="004B2B38">
        <w:t xml:space="preserve">Berman, A. H., Bergman, H., Palmstierna, T., &amp; Schlyter, F. (2005). Evaluation of the Drug Use Disorders Identification Test (DUDIT) in criminal justice and detoxification settings and in a Swedish population sample. </w:t>
      </w:r>
      <w:r w:rsidRPr="004B2B38">
        <w:rPr>
          <w:i/>
        </w:rPr>
        <w:t>European Addiction Research, 11</w:t>
      </w:r>
      <w:r w:rsidRPr="004B2B38">
        <w:t>, 22-31.</w:t>
      </w:r>
      <w:bookmarkEnd w:id="5"/>
    </w:p>
    <w:p w14:paraId="2CFE9ACA" w14:textId="77777777" w:rsidR="00A43FA6" w:rsidRPr="004B2B38" w:rsidRDefault="00A43FA6" w:rsidP="00290530">
      <w:pPr>
        <w:pStyle w:val="EndNoteBibliography"/>
        <w:spacing w:after="0" w:line="480" w:lineRule="auto"/>
        <w:ind w:left="720" w:hanging="720"/>
        <w:divId w:val="1403676802"/>
      </w:pPr>
      <w:bookmarkStart w:id="6" w:name="_ENREF_7"/>
      <w:r w:rsidRPr="004B2B38">
        <w:t xml:space="preserve">Blair, R. J. R. (2013). The neurobiology of psychopathic traits in youths. </w:t>
      </w:r>
      <w:r w:rsidRPr="004B2B38">
        <w:rPr>
          <w:i/>
        </w:rPr>
        <w:t>Nature Reviews Neuroscience, 14</w:t>
      </w:r>
      <w:r w:rsidRPr="004B2B38">
        <w:t>, 786-799.</w:t>
      </w:r>
      <w:bookmarkEnd w:id="6"/>
    </w:p>
    <w:p w14:paraId="3E85077B" w14:textId="77777777" w:rsidR="00A43FA6" w:rsidRPr="004B2B38" w:rsidRDefault="00A43FA6" w:rsidP="00290530">
      <w:pPr>
        <w:pStyle w:val="EndNoteBibliography"/>
        <w:spacing w:after="0" w:line="480" w:lineRule="auto"/>
        <w:ind w:left="720" w:hanging="720"/>
        <w:divId w:val="1403676802"/>
      </w:pPr>
      <w:bookmarkStart w:id="7" w:name="_ENREF_8"/>
      <w:r w:rsidRPr="004B2B38">
        <w:t xml:space="preserve">Blair, R. J. R., Colledge, E., Murray, L., &amp; Mitchell, D. G. V. (2001). A selective impairment in the processing of sad and fearful expressions in children with psychopathic tendencies. </w:t>
      </w:r>
      <w:r w:rsidRPr="004B2B38">
        <w:rPr>
          <w:i/>
        </w:rPr>
        <w:t>Journal of Abnormal Child Psychology, 29</w:t>
      </w:r>
      <w:r w:rsidRPr="004B2B38">
        <w:t>, 491-498.</w:t>
      </w:r>
      <w:bookmarkEnd w:id="7"/>
    </w:p>
    <w:p w14:paraId="107CDA32" w14:textId="77777777" w:rsidR="00A43FA6" w:rsidRPr="004B2B38" w:rsidRDefault="00A43FA6" w:rsidP="00290530">
      <w:pPr>
        <w:pStyle w:val="EndNoteBibliography"/>
        <w:spacing w:after="0" w:line="480" w:lineRule="auto"/>
        <w:ind w:left="720" w:hanging="720"/>
        <w:divId w:val="1403676802"/>
      </w:pPr>
      <w:bookmarkStart w:id="8" w:name="_ENREF_9"/>
      <w:r w:rsidRPr="004B2B38">
        <w:t xml:space="preserve">Blair, R. J. R., Leibenluft, E., &amp; Pine, D. S. (2014). Conduct disorder and callous-unemotional traits in youth. </w:t>
      </w:r>
      <w:r w:rsidRPr="004B2B38">
        <w:rPr>
          <w:i/>
        </w:rPr>
        <w:t>New England Journal of Medicine, 371</w:t>
      </w:r>
      <w:r w:rsidRPr="004B2B38">
        <w:t>, 2207-2216.</w:t>
      </w:r>
      <w:bookmarkEnd w:id="8"/>
    </w:p>
    <w:p w14:paraId="20CB61D8" w14:textId="77777777" w:rsidR="00A43FA6" w:rsidRPr="004B2B38" w:rsidRDefault="00A43FA6" w:rsidP="00290530">
      <w:pPr>
        <w:pStyle w:val="EndNoteBibliography"/>
        <w:spacing w:after="0" w:line="480" w:lineRule="auto"/>
        <w:ind w:left="720" w:hanging="720"/>
        <w:divId w:val="1403676802"/>
      </w:pPr>
      <w:bookmarkStart w:id="9" w:name="_ENREF_10"/>
      <w:r w:rsidRPr="004B2B38">
        <w:lastRenderedPageBreak/>
        <w:t xml:space="preserve">Bor, D., &amp; Owen, A. M. (2007). A common prefrontal-parietal network for mnemonic and mathematical recoding strategies within working memory. </w:t>
      </w:r>
      <w:r w:rsidRPr="004B2B38">
        <w:rPr>
          <w:i/>
        </w:rPr>
        <w:t>Cerebral Cortex, 17</w:t>
      </w:r>
      <w:r w:rsidRPr="004B2B38">
        <w:t>, 778-786.</w:t>
      </w:r>
      <w:bookmarkEnd w:id="9"/>
    </w:p>
    <w:p w14:paraId="35755F5B" w14:textId="77777777" w:rsidR="00A43FA6" w:rsidRPr="004B2B38" w:rsidRDefault="00A43FA6" w:rsidP="00290530">
      <w:pPr>
        <w:pStyle w:val="EndNoteBibliography"/>
        <w:spacing w:after="0" w:line="480" w:lineRule="auto"/>
        <w:ind w:left="720" w:hanging="720"/>
        <w:divId w:val="1403676802"/>
      </w:pPr>
      <w:bookmarkStart w:id="10" w:name="_ENREF_11"/>
      <w:r w:rsidRPr="004B2B38">
        <w:t xml:space="preserve">Budhani, S., &amp; Blair, R. J. R. (2005). Response reversal and children with psychopathic tendencies: Success is a function of salience of contingency change. </w:t>
      </w:r>
      <w:r w:rsidRPr="004B2B38">
        <w:rPr>
          <w:i/>
        </w:rPr>
        <w:t>Journal of Child Psychology and Psychiatry and Allied Disciplines, 46</w:t>
      </w:r>
      <w:r w:rsidRPr="004B2B38">
        <w:t>, 972-981.</w:t>
      </w:r>
      <w:bookmarkEnd w:id="10"/>
    </w:p>
    <w:p w14:paraId="72D7EF43" w14:textId="77777777" w:rsidR="00A43FA6" w:rsidRPr="004B2B38" w:rsidRDefault="00A43FA6" w:rsidP="00290530">
      <w:pPr>
        <w:pStyle w:val="EndNoteBibliography"/>
        <w:spacing w:after="0" w:line="480" w:lineRule="auto"/>
        <w:ind w:left="720" w:hanging="720"/>
        <w:divId w:val="1403676802"/>
      </w:pPr>
      <w:bookmarkStart w:id="11" w:name="_ENREF_12"/>
      <w:r w:rsidRPr="004B2B38">
        <w:t xml:space="preserve">Cohn, M. D., Popma, A., Van Den Brink, W., Pape, L. E., Kindt, M., Van Domburgh, L., . . . Veltman, D. J. (2013). Fear conditioning, persistence of disruptive behavior and psychopathic traits: An fMRI study. </w:t>
      </w:r>
      <w:r w:rsidRPr="004B2B38">
        <w:rPr>
          <w:i/>
        </w:rPr>
        <w:t>Translational Psychiatry, 3</w:t>
      </w:r>
      <w:r w:rsidRPr="004B2B38">
        <w:t>.</w:t>
      </w:r>
      <w:bookmarkEnd w:id="11"/>
    </w:p>
    <w:p w14:paraId="6102C8EF" w14:textId="77777777" w:rsidR="00A43FA6" w:rsidRPr="004B2B38" w:rsidRDefault="00A43FA6" w:rsidP="00290530">
      <w:pPr>
        <w:pStyle w:val="EndNoteBibliography"/>
        <w:spacing w:after="0" w:line="480" w:lineRule="auto"/>
        <w:ind w:left="720" w:hanging="720"/>
        <w:divId w:val="1403676802"/>
      </w:pPr>
      <w:bookmarkStart w:id="12" w:name="_ENREF_13"/>
      <w:r w:rsidRPr="004B2B38">
        <w:t xml:space="preserve">Connor, D. F., Ford, J. D., Albert, D. B., &amp; Doerfler, L. A. (2007). Conduct disorder subtype and comorbidity. </w:t>
      </w:r>
      <w:r w:rsidRPr="004B2B38">
        <w:rPr>
          <w:i/>
        </w:rPr>
        <w:t>Annals of Clinical Psychiatry, 19</w:t>
      </w:r>
      <w:r w:rsidRPr="004B2B38">
        <w:t>, 161-168.</w:t>
      </w:r>
      <w:bookmarkEnd w:id="12"/>
    </w:p>
    <w:p w14:paraId="42E372BC" w14:textId="77777777" w:rsidR="00A43FA6" w:rsidRPr="004B2B38" w:rsidRDefault="00A43FA6" w:rsidP="00290530">
      <w:pPr>
        <w:pStyle w:val="EndNoteBibliography"/>
        <w:spacing w:after="0" w:line="480" w:lineRule="auto"/>
        <w:ind w:left="720" w:hanging="720"/>
        <w:divId w:val="1403676802"/>
      </w:pPr>
      <w:bookmarkStart w:id="13" w:name="_ENREF_14"/>
      <w:r w:rsidRPr="004B2B38">
        <w:t xml:space="preserve">Cope, L. M., Ermer, E., Gaudet, L. M., Steele, V. R., Eckhardt, A. L., Arbabshirani, M. R., . . . Kiehl, K. A. (2014). Abnormal brain structure in youth who commit homicide. </w:t>
      </w:r>
      <w:r w:rsidRPr="004B2B38">
        <w:rPr>
          <w:i/>
        </w:rPr>
        <w:t>NeuroImage: Clinical, 4</w:t>
      </w:r>
      <w:r w:rsidRPr="004B2B38">
        <w:t>, 800-807.</w:t>
      </w:r>
      <w:bookmarkEnd w:id="13"/>
    </w:p>
    <w:p w14:paraId="2AB55E14" w14:textId="77777777" w:rsidR="00A43FA6" w:rsidRPr="004B2B38" w:rsidRDefault="00A43FA6" w:rsidP="00290530">
      <w:pPr>
        <w:pStyle w:val="EndNoteBibliography"/>
        <w:spacing w:after="0" w:line="480" w:lineRule="auto"/>
        <w:ind w:left="720" w:hanging="720"/>
        <w:divId w:val="1403676802"/>
      </w:pPr>
      <w:bookmarkStart w:id="14" w:name="_ENREF_15"/>
      <w:r w:rsidRPr="004B2B38">
        <w:t xml:space="preserve">Cope, L. M., Ermer, E., Nyalakanti, P. K., Calhoun, V. D., &amp; Kiehl, K. A. (2014). Paralimbic gray matter reductions in incarcerated adolescent females with psychopathic traits. </w:t>
      </w:r>
      <w:r w:rsidRPr="004B2B38">
        <w:rPr>
          <w:i/>
        </w:rPr>
        <w:t>Journal of Abnormal Child Psychology, 42</w:t>
      </w:r>
      <w:r w:rsidRPr="004B2B38">
        <w:t>, 659-668.</w:t>
      </w:r>
      <w:bookmarkEnd w:id="14"/>
    </w:p>
    <w:p w14:paraId="0AE6FF8F" w14:textId="77777777" w:rsidR="00A43FA6" w:rsidRPr="004B2B38" w:rsidRDefault="00A43FA6" w:rsidP="00290530">
      <w:pPr>
        <w:pStyle w:val="EndNoteBibliography"/>
        <w:spacing w:after="0" w:line="480" w:lineRule="auto"/>
        <w:ind w:left="720" w:hanging="720"/>
        <w:divId w:val="1403676802"/>
      </w:pPr>
      <w:bookmarkStart w:id="15" w:name="_ENREF_16"/>
      <w:r w:rsidRPr="004B2B38">
        <w:t xml:space="preserve">Dadds, M. R., Perry, Y., Hawes, D. J., Merz, S., Riddell, A. C., Haines, D. J., . . . Abeygunawardane, A. (2006). Attention to the eyes reverses fear-recognition deficits in child psychopathy. </w:t>
      </w:r>
      <w:r w:rsidRPr="004B2B38">
        <w:rPr>
          <w:i/>
        </w:rPr>
        <w:t>British Journal of Psychiatry, 189</w:t>
      </w:r>
      <w:r w:rsidRPr="004B2B38">
        <w:t>, 280-281.</w:t>
      </w:r>
      <w:bookmarkEnd w:id="15"/>
    </w:p>
    <w:p w14:paraId="5AE6BFB4" w14:textId="77777777" w:rsidR="00A43FA6" w:rsidRPr="004B2B38" w:rsidRDefault="00A43FA6" w:rsidP="00290530">
      <w:pPr>
        <w:pStyle w:val="EndNoteBibliography"/>
        <w:spacing w:after="0" w:line="480" w:lineRule="auto"/>
        <w:ind w:left="720" w:hanging="720"/>
        <w:divId w:val="1403676802"/>
      </w:pPr>
      <w:bookmarkStart w:id="16" w:name="_ENREF_17"/>
      <w:r w:rsidRPr="004B2B38">
        <w:t xml:space="preserve">De Brito, S. A., Mechelli, A., Wilke, M., Laurens, K. R., Jones, A. P., Barker, G. J., . . . Viding, E. (2009). Size matters: Increased grey matter in boys with conduct problems and callous-unemotional traits. </w:t>
      </w:r>
      <w:r w:rsidRPr="004B2B38">
        <w:rPr>
          <w:i/>
        </w:rPr>
        <w:t>Brain, 132</w:t>
      </w:r>
      <w:r w:rsidRPr="004B2B38">
        <w:t>, 843-852.</w:t>
      </w:r>
      <w:bookmarkEnd w:id="16"/>
    </w:p>
    <w:p w14:paraId="6155436A" w14:textId="77777777" w:rsidR="00A43FA6" w:rsidRPr="004B2B38" w:rsidRDefault="00A43FA6" w:rsidP="00290530">
      <w:pPr>
        <w:pStyle w:val="EndNoteBibliography"/>
        <w:spacing w:after="0" w:line="480" w:lineRule="auto"/>
        <w:ind w:left="720" w:hanging="720"/>
        <w:divId w:val="1403676802"/>
      </w:pPr>
      <w:bookmarkStart w:id="17" w:name="_ENREF_18"/>
      <w:r w:rsidRPr="004B2B38">
        <w:t xml:space="preserve">De Wied, M., Van Boxtel, A., Matthys, W., &amp; Meeus, W. (2012). Verbal, facial and autonomic responses to empathy-eliciting film clips by disruptive male adolescents </w:t>
      </w:r>
      <w:r w:rsidRPr="004B2B38">
        <w:lastRenderedPageBreak/>
        <w:t xml:space="preserve">with high versus low callous-unemotional traits. </w:t>
      </w:r>
      <w:r w:rsidRPr="004B2B38">
        <w:rPr>
          <w:i/>
        </w:rPr>
        <w:t>Journal of Abnormal Child Psychology, 40</w:t>
      </w:r>
      <w:r w:rsidRPr="004B2B38">
        <w:t>, 211-223.</w:t>
      </w:r>
      <w:bookmarkEnd w:id="17"/>
    </w:p>
    <w:p w14:paraId="1F083059" w14:textId="77777777" w:rsidR="00A43FA6" w:rsidRPr="004B2B38" w:rsidRDefault="00A43FA6" w:rsidP="00290530">
      <w:pPr>
        <w:pStyle w:val="EndNoteBibliography"/>
        <w:spacing w:after="0" w:line="480" w:lineRule="auto"/>
        <w:ind w:left="720" w:hanging="720"/>
        <w:divId w:val="1403676802"/>
      </w:pPr>
      <w:bookmarkStart w:id="18" w:name="_ENREF_19"/>
      <w:r w:rsidRPr="004B2B38">
        <w:t>Eisenberg, N., Spinrad, T. L., &amp; Eggum, N. D. (2010) Emotion-related self-regulation and its relation to children's maladjustment.</w:t>
      </w:r>
      <w:r w:rsidRPr="004B2B38">
        <w:rPr>
          <w:i/>
        </w:rPr>
        <w:t xml:space="preserve"> Vol. 6. Annual Review of Clinical Psychology </w:t>
      </w:r>
      <w:r w:rsidRPr="004B2B38">
        <w:t>(pp. 495-525).</w:t>
      </w:r>
      <w:bookmarkEnd w:id="18"/>
    </w:p>
    <w:p w14:paraId="18337CF5" w14:textId="77777777" w:rsidR="00A02D4E" w:rsidRPr="004B2B38" w:rsidRDefault="00A02D4E" w:rsidP="00290530">
      <w:pPr>
        <w:pStyle w:val="EndNoteBibliography"/>
        <w:spacing w:after="0" w:line="480" w:lineRule="auto"/>
        <w:ind w:left="720" w:hanging="720"/>
        <w:divId w:val="1403676802"/>
      </w:pPr>
      <w:r w:rsidRPr="004B2B38">
        <w:rPr>
          <w:lang w:val="fr-FR"/>
        </w:rPr>
        <w:t xml:space="preserve">Erskine, H. E., Ferrari, A. J., Polanczyk, G. V., Moffitt, T. E., Murray, C. J. L., Vos, T., et al. </w:t>
      </w:r>
      <w:r w:rsidRPr="004B2B38">
        <w:t xml:space="preserve">(2014). The global burden of conduct disorder and attention-deficit/hyperactivity disorder in 2010. </w:t>
      </w:r>
      <w:r w:rsidRPr="004B2B38">
        <w:rPr>
          <w:i/>
        </w:rPr>
        <w:t>Journal of Child Psychology and Psychiatry</w:t>
      </w:r>
      <w:r w:rsidRPr="004B2B38">
        <w:t>, 55, 328-336.</w:t>
      </w:r>
    </w:p>
    <w:p w14:paraId="0A4D8671" w14:textId="77777777" w:rsidR="00A43FA6" w:rsidRPr="004B2B38" w:rsidRDefault="00A43FA6" w:rsidP="00290530">
      <w:pPr>
        <w:pStyle w:val="EndNoteBibliography"/>
        <w:spacing w:after="0" w:line="480" w:lineRule="auto"/>
        <w:ind w:left="720" w:hanging="720"/>
        <w:divId w:val="1403676802"/>
      </w:pPr>
      <w:bookmarkStart w:id="19" w:name="_ENREF_20"/>
      <w:r w:rsidRPr="004B2B38">
        <w:t xml:space="preserve">Ermer, E., Cope, L. M., Nyalakanti, P. K., Calhoun, V. D., &amp; Kiehl, K. A. (2013). Aberrant paralimbic gray matter in incarcerated male adolescents with psychopathic traits. </w:t>
      </w:r>
      <w:r w:rsidRPr="004B2B38">
        <w:rPr>
          <w:i/>
        </w:rPr>
        <w:t>Journal of the American Academy of Child and Adolescent Psychiatry, 52</w:t>
      </w:r>
      <w:r w:rsidRPr="004B2B38">
        <w:t>, 94-103.</w:t>
      </w:r>
      <w:bookmarkEnd w:id="19"/>
    </w:p>
    <w:p w14:paraId="5B2B62CF" w14:textId="77777777" w:rsidR="00A43FA6" w:rsidRPr="004B2B38" w:rsidRDefault="00A43FA6" w:rsidP="00290530">
      <w:pPr>
        <w:pStyle w:val="EndNoteBibliography"/>
        <w:spacing w:after="0" w:line="480" w:lineRule="auto"/>
        <w:ind w:left="720" w:hanging="720"/>
        <w:divId w:val="1403676802"/>
      </w:pPr>
      <w:bookmarkStart w:id="20" w:name="_ENREF_21"/>
      <w:r w:rsidRPr="004B2B38">
        <w:t xml:space="preserve">Essau, C. A., Sasagawa, S., &amp; Frick, P. J. (2006). Callous-unemotional traits in a community sample of adolescents. </w:t>
      </w:r>
      <w:r w:rsidRPr="004B2B38">
        <w:rPr>
          <w:i/>
        </w:rPr>
        <w:t>Assessment, 13</w:t>
      </w:r>
      <w:r w:rsidRPr="004B2B38">
        <w:t>, 454-469.</w:t>
      </w:r>
      <w:bookmarkEnd w:id="20"/>
    </w:p>
    <w:p w14:paraId="2A7A7D29" w14:textId="77777777" w:rsidR="00A43FA6" w:rsidRPr="004B2B38" w:rsidRDefault="00A43FA6" w:rsidP="00290530">
      <w:pPr>
        <w:pStyle w:val="EndNoteBibliography"/>
        <w:spacing w:after="0" w:line="480" w:lineRule="auto"/>
        <w:ind w:left="720" w:hanging="720"/>
        <w:divId w:val="1403676802"/>
      </w:pPr>
      <w:bookmarkStart w:id="21" w:name="_ENREF_22"/>
      <w:r w:rsidRPr="004B2B38">
        <w:t xml:space="preserve">Fahim, C., He, Y., Yoon, U., Chen, J., Evans, A., &amp; Pérusse, D. (2011). Neuroanatomy of childhood disruptive behavior disorders. </w:t>
      </w:r>
      <w:r w:rsidRPr="004B2B38">
        <w:rPr>
          <w:i/>
        </w:rPr>
        <w:t>Aggressive Behavior, 37</w:t>
      </w:r>
      <w:r w:rsidRPr="004B2B38">
        <w:t>, 326-337.</w:t>
      </w:r>
      <w:bookmarkEnd w:id="21"/>
    </w:p>
    <w:p w14:paraId="38205F31" w14:textId="77777777" w:rsidR="00A43FA6" w:rsidRPr="004B2B38" w:rsidRDefault="00A43FA6" w:rsidP="00290530">
      <w:pPr>
        <w:pStyle w:val="EndNoteBibliography"/>
        <w:spacing w:after="0" w:line="480" w:lineRule="auto"/>
        <w:ind w:left="720" w:hanging="720"/>
        <w:divId w:val="1403676802"/>
      </w:pPr>
      <w:bookmarkStart w:id="22" w:name="_ENREF_23"/>
      <w:r w:rsidRPr="004B2B38">
        <w:t xml:space="preserve">Fairchild, G., Hagan, C. C., Walsh, N. D., Passamonti, L., Calder, A. J., &amp; Goodyer, I. M. (2013). Brain structure abnormalities in adolescent girls with conduct disorder. </w:t>
      </w:r>
      <w:r w:rsidRPr="004B2B38">
        <w:rPr>
          <w:i/>
        </w:rPr>
        <w:t>Journal of Child Psychology and Psychiatry and Allied Disciplines, 54</w:t>
      </w:r>
      <w:r w:rsidRPr="004B2B38">
        <w:t>, 86-95.</w:t>
      </w:r>
      <w:bookmarkEnd w:id="22"/>
    </w:p>
    <w:p w14:paraId="4CF0B7B6" w14:textId="77777777" w:rsidR="00A43FA6" w:rsidRPr="004B2B38" w:rsidRDefault="00A43FA6" w:rsidP="00290530">
      <w:pPr>
        <w:pStyle w:val="EndNoteBibliography"/>
        <w:spacing w:after="0" w:line="480" w:lineRule="auto"/>
        <w:ind w:left="720" w:hanging="720"/>
        <w:divId w:val="1403676802"/>
      </w:pPr>
      <w:bookmarkStart w:id="23" w:name="_ENREF_24"/>
      <w:r w:rsidRPr="004B2B38">
        <w:t xml:space="preserve">Fairchild, G., Passamonti, L., Hurford, G., Hagan, C. C., Von Dem Hagen, E. A. H., Van Goozen, S. H. M., . . . Calder, A. J. (2011). Brain structure abnormalities in early-onset and adolescent-onset conduct disorder. </w:t>
      </w:r>
      <w:r w:rsidRPr="004B2B38">
        <w:rPr>
          <w:i/>
        </w:rPr>
        <w:t>American Journal of Psychiatry, 168</w:t>
      </w:r>
      <w:r w:rsidRPr="004B2B38">
        <w:t>(6), 624-633.</w:t>
      </w:r>
      <w:bookmarkEnd w:id="23"/>
    </w:p>
    <w:p w14:paraId="49C4A3F3" w14:textId="77777777" w:rsidR="00A43FA6" w:rsidRPr="004B2B38" w:rsidRDefault="00A43FA6" w:rsidP="00290530">
      <w:pPr>
        <w:pStyle w:val="EndNoteBibliography"/>
        <w:spacing w:after="0" w:line="480" w:lineRule="auto"/>
        <w:ind w:left="720" w:hanging="720"/>
        <w:divId w:val="1403676802"/>
      </w:pPr>
      <w:bookmarkStart w:id="24" w:name="_ENREF_25"/>
      <w:r w:rsidRPr="004B2B38">
        <w:t xml:space="preserve">Fanti, K. A. (2013). Individual, social, and behavioral factors associated with co-occurring conduct problems and callous-unemotional traits. </w:t>
      </w:r>
      <w:r w:rsidRPr="004B2B38">
        <w:rPr>
          <w:i/>
        </w:rPr>
        <w:t>Journal of Abnormal Child Psychology, 41</w:t>
      </w:r>
      <w:r w:rsidRPr="004B2B38">
        <w:t>, 811-824.</w:t>
      </w:r>
      <w:bookmarkEnd w:id="24"/>
    </w:p>
    <w:p w14:paraId="17D26B29" w14:textId="77777777" w:rsidR="00A43FA6" w:rsidRPr="004B2B38" w:rsidRDefault="00A43FA6" w:rsidP="00290530">
      <w:pPr>
        <w:pStyle w:val="EndNoteBibliography"/>
        <w:spacing w:after="0" w:line="480" w:lineRule="auto"/>
        <w:ind w:left="720" w:hanging="720"/>
        <w:divId w:val="1403676802"/>
      </w:pPr>
      <w:bookmarkStart w:id="25" w:name="_ENREF_26"/>
      <w:r w:rsidRPr="004B2B38">
        <w:lastRenderedPageBreak/>
        <w:t xml:space="preserve">Finger, E. C., Marsh, A. A., Blair, K. S., Reid, M. E., Sims, C., Ng, P., . . . Blair, R. J. R. (2011). Disrupted reinforcement signaling in the orbitofrontal cortex and caudate in youths with conduct disorder or oppositional defiant disorder and a high level of psychopathic traits. </w:t>
      </w:r>
      <w:r w:rsidRPr="004B2B38">
        <w:rPr>
          <w:i/>
        </w:rPr>
        <w:t>American Journal of Psychiatry, 168</w:t>
      </w:r>
      <w:r w:rsidRPr="004B2B38">
        <w:t>, 152-162.</w:t>
      </w:r>
      <w:bookmarkEnd w:id="25"/>
    </w:p>
    <w:p w14:paraId="7E65BB1D" w14:textId="77777777" w:rsidR="00A43FA6" w:rsidRPr="004B2B38" w:rsidRDefault="00A43FA6" w:rsidP="00290530">
      <w:pPr>
        <w:pStyle w:val="EndNoteBibliography"/>
        <w:spacing w:after="0" w:line="480" w:lineRule="auto"/>
        <w:ind w:left="720" w:hanging="720"/>
        <w:divId w:val="1403676802"/>
      </w:pPr>
      <w:bookmarkStart w:id="26" w:name="_ENREF_27"/>
      <w:r w:rsidRPr="004B2B38">
        <w:t xml:space="preserve">Frick, P. J., Cornell, A. H., Barry, C. T., Bodin, S. D., &amp; Dane, H. E. (2003). Callous-unemotional traits and conduct problems in the prediction of conduct problem severity, aggression, and self-report of delinquency. </w:t>
      </w:r>
      <w:r w:rsidRPr="004B2B38">
        <w:rPr>
          <w:i/>
        </w:rPr>
        <w:t>Journal of Abnormal Child Psychology, 31</w:t>
      </w:r>
      <w:r w:rsidRPr="004B2B38">
        <w:t>, 457-470.</w:t>
      </w:r>
      <w:bookmarkEnd w:id="26"/>
    </w:p>
    <w:p w14:paraId="1FC842B8" w14:textId="77777777" w:rsidR="00A43FA6" w:rsidRPr="004B2B38" w:rsidRDefault="00A43FA6" w:rsidP="00290530">
      <w:pPr>
        <w:pStyle w:val="EndNoteBibliography"/>
        <w:spacing w:after="0" w:line="480" w:lineRule="auto"/>
        <w:ind w:left="720" w:hanging="720"/>
        <w:divId w:val="1403676802"/>
      </w:pPr>
      <w:bookmarkStart w:id="27" w:name="_ENREF_28"/>
      <w:r w:rsidRPr="004B2B38">
        <w:t xml:space="preserve">Frick, P. J., &amp; Viding, E. (2009). Antisocial behavior from a developmental psychopathology perspective. </w:t>
      </w:r>
      <w:r w:rsidRPr="004B2B38">
        <w:rPr>
          <w:i/>
        </w:rPr>
        <w:t>Development and Psychopathology, 21</w:t>
      </w:r>
      <w:r w:rsidRPr="004B2B38">
        <w:t>, 1111-1131.</w:t>
      </w:r>
      <w:bookmarkEnd w:id="27"/>
    </w:p>
    <w:p w14:paraId="60B457FF" w14:textId="77777777" w:rsidR="00A43FA6" w:rsidRPr="004B2B38" w:rsidRDefault="00A43FA6" w:rsidP="00290530">
      <w:pPr>
        <w:pStyle w:val="EndNoteBibliography"/>
        <w:spacing w:after="0" w:line="480" w:lineRule="auto"/>
        <w:ind w:left="720" w:hanging="720"/>
        <w:divId w:val="1403676802"/>
      </w:pPr>
      <w:bookmarkStart w:id="28" w:name="_ENREF_29"/>
      <w:r w:rsidRPr="004B2B38">
        <w:t xml:space="preserve">Frick, P. J., &amp; White, S. F. (2008). Research Review: The importance of callous-unemotional traits for developmental models of aggressive and antisocial behavior. </w:t>
      </w:r>
      <w:r w:rsidRPr="004B2B38">
        <w:rPr>
          <w:i/>
        </w:rPr>
        <w:t>Journal of Child Psychology and Psychiatry, 49</w:t>
      </w:r>
      <w:r w:rsidRPr="004B2B38">
        <w:t>, 359-375.</w:t>
      </w:r>
      <w:bookmarkEnd w:id="28"/>
    </w:p>
    <w:p w14:paraId="01A0B299" w14:textId="77777777" w:rsidR="00A43FA6" w:rsidRPr="004B2B38" w:rsidRDefault="00A43FA6" w:rsidP="00290530">
      <w:pPr>
        <w:pStyle w:val="EndNoteBibliography"/>
        <w:spacing w:after="0" w:line="480" w:lineRule="auto"/>
        <w:ind w:left="720" w:hanging="720"/>
        <w:divId w:val="1403676802"/>
      </w:pPr>
      <w:bookmarkStart w:id="29" w:name="_ENREF_30"/>
      <w:r w:rsidRPr="004B2B38">
        <w:t>Gadow, K. D., &amp; Sprafkin, J. (2009).</w:t>
      </w:r>
      <w:r w:rsidRPr="004B2B38">
        <w:rPr>
          <w:i/>
        </w:rPr>
        <w:t xml:space="preserve"> The </w:t>
      </w:r>
      <w:r w:rsidR="00B45D6C" w:rsidRPr="004B2B38">
        <w:rPr>
          <w:i/>
        </w:rPr>
        <w:t>s</w:t>
      </w:r>
      <w:r w:rsidRPr="004B2B38">
        <w:rPr>
          <w:i/>
        </w:rPr>
        <w:t xml:space="preserve">ymptom </w:t>
      </w:r>
      <w:r w:rsidR="00B45D6C" w:rsidRPr="004B2B38">
        <w:rPr>
          <w:i/>
        </w:rPr>
        <w:t>i</w:t>
      </w:r>
      <w:r w:rsidRPr="004B2B38">
        <w:rPr>
          <w:i/>
        </w:rPr>
        <w:t xml:space="preserve">nventories: An </w:t>
      </w:r>
      <w:r w:rsidR="00B45D6C" w:rsidRPr="004B2B38">
        <w:rPr>
          <w:i/>
        </w:rPr>
        <w:t>a</w:t>
      </w:r>
      <w:r w:rsidRPr="004B2B38">
        <w:rPr>
          <w:i/>
        </w:rPr>
        <w:t xml:space="preserve">nnotated </w:t>
      </w:r>
      <w:r w:rsidR="00B45D6C" w:rsidRPr="004B2B38">
        <w:rPr>
          <w:i/>
        </w:rPr>
        <w:t>b</w:t>
      </w:r>
      <w:r w:rsidRPr="004B2B38">
        <w:rPr>
          <w:i/>
        </w:rPr>
        <w:t>ibliography</w:t>
      </w:r>
      <w:r w:rsidRPr="004B2B38">
        <w:t>. Stony Brook, New York: Checkmate Plus.</w:t>
      </w:r>
      <w:bookmarkEnd w:id="29"/>
    </w:p>
    <w:p w14:paraId="0CF04CB6" w14:textId="77777777" w:rsidR="00A43FA6" w:rsidRPr="004B2B38" w:rsidRDefault="00A43FA6" w:rsidP="00290530">
      <w:pPr>
        <w:pStyle w:val="EndNoteBibliography"/>
        <w:spacing w:after="0" w:line="480" w:lineRule="auto"/>
        <w:ind w:left="720" w:hanging="720"/>
        <w:divId w:val="1403676802"/>
      </w:pPr>
      <w:bookmarkStart w:id="30" w:name="_ENREF_31"/>
      <w:r w:rsidRPr="004B2B38">
        <w:t xml:space="preserve">Gogtay, N., Giedd, J. N., Lusk, L., Hayashi, K. M., Greenstein, D., Vaituzis, A. C., . . . Thompson, P. M. (2004). Dynamic mapping of human cortical development during childhood through early adulthood. </w:t>
      </w:r>
      <w:r w:rsidRPr="004B2B38">
        <w:rPr>
          <w:i/>
        </w:rPr>
        <w:t>Proceedings of the National Academy of Sciences of the United States of America, 101</w:t>
      </w:r>
      <w:r w:rsidRPr="004B2B38">
        <w:t>, 8174-8179.</w:t>
      </w:r>
      <w:bookmarkEnd w:id="30"/>
    </w:p>
    <w:p w14:paraId="79BB8D46" w14:textId="77777777" w:rsidR="00A43FA6" w:rsidRPr="004B2B38" w:rsidRDefault="00A43FA6" w:rsidP="00290530">
      <w:pPr>
        <w:pStyle w:val="EndNoteBibliography"/>
        <w:spacing w:after="0" w:line="480" w:lineRule="auto"/>
        <w:ind w:left="720" w:hanging="720"/>
        <w:divId w:val="1403676802"/>
      </w:pPr>
      <w:bookmarkStart w:id="31" w:name="_ENREF_32"/>
      <w:r w:rsidRPr="004B2B38">
        <w:t xml:space="preserve">Hayasaka, S., &amp; Nichols, T. E. (2004). Combining voxel intensity and cluster extent with permutation test framework. </w:t>
      </w:r>
      <w:r w:rsidRPr="004B2B38">
        <w:rPr>
          <w:i/>
        </w:rPr>
        <w:t>Neuroimage, 23</w:t>
      </w:r>
      <w:r w:rsidRPr="004B2B38">
        <w:t>, 54-63.</w:t>
      </w:r>
      <w:bookmarkEnd w:id="31"/>
    </w:p>
    <w:p w14:paraId="2B27B3C0" w14:textId="77777777" w:rsidR="00A43FA6" w:rsidRPr="004B2B38" w:rsidRDefault="00A43FA6" w:rsidP="00290530">
      <w:pPr>
        <w:pStyle w:val="EndNoteBibliography"/>
        <w:spacing w:after="0" w:line="480" w:lineRule="auto"/>
        <w:ind w:left="720" w:hanging="720"/>
        <w:divId w:val="1403676802"/>
      </w:pPr>
      <w:bookmarkStart w:id="32" w:name="_ENREF_33"/>
      <w:r w:rsidRPr="004B2B38">
        <w:t xml:space="preserve">Huebner, T., Vloet, T. D., Marx, I., Konrad, K., Fink, G. R., Herpertz, S. C., &amp; Herpertz-Dahlmann, B. (2008). Morphometric brain abnormalities in boys with conduct disorder. </w:t>
      </w:r>
      <w:r w:rsidRPr="004B2B38">
        <w:rPr>
          <w:i/>
        </w:rPr>
        <w:t>Journal of the American Academy of Child &amp; Adolescent Psychiatry, 47</w:t>
      </w:r>
      <w:r w:rsidRPr="004B2B38">
        <w:t>, 540-547.</w:t>
      </w:r>
      <w:bookmarkEnd w:id="32"/>
    </w:p>
    <w:p w14:paraId="2D278B9E" w14:textId="77777777" w:rsidR="00A43FA6" w:rsidRPr="004B2B38" w:rsidRDefault="00A43FA6" w:rsidP="00290530">
      <w:pPr>
        <w:pStyle w:val="EndNoteBibliography"/>
        <w:spacing w:after="0" w:line="480" w:lineRule="auto"/>
        <w:ind w:left="720" w:hanging="720"/>
        <w:divId w:val="1403676802"/>
      </w:pPr>
      <w:bookmarkStart w:id="33" w:name="_ENREF_34"/>
      <w:r w:rsidRPr="004B2B38">
        <w:lastRenderedPageBreak/>
        <w:t xml:space="preserve">Hyatt, C. J., Haney-Caron, E., &amp; Stevens, M. C. (2012). Cortical thickness and folding deficits in conduct-disordered adolescents. </w:t>
      </w:r>
      <w:r w:rsidRPr="004B2B38">
        <w:rPr>
          <w:i/>
        </w:rPr>
        <w:t>Biological Psychiatry, 72</w:t>
      </w:r>
      <w:r w:rsidRPr="004B2B38">
        <w:t>, 207-214.</w:t>
      </w:r>
      <w:bookmarkEnd w:id="33"/>
    </w:p>
    <w:p w14:paraId="6123EF15" w14:textId="77777777" w:rsidR="00A43FA6" w:rsidRPr="004B2B38" w:rsidRDefault="00A43FA6" w:rsidP="00290530">
      <w:pPr>
        <w:pStyle w:val="EndNoteBibliography"/>
        <w:spacing w:after="0" w:line="480" w:lineRule="auto"/>
        <w:ind w:left="720" w:hanging="720"/>
        <w:divId w:val="1403676802"/>
      </w:pPr>
      <w:bookmarkStart w:id="34" w:name="_ENREF_35"/>
      <w:r w:rsidRPr="004B2B38">
        <w:t xml:space="preserve">Jones, A. P., Happé, F. G., Gilbert, F., Burnett, S., &amp; Viding, E. (2010). Feeling, caring, knowing: different types of empathy deficit in boys with psychopathic tendencies and autism spectrum disorder. </w:t>
      </w:r>
      <w:r w:rsidRPr="004B2B38">
        <w:rPr>
          <w:i/>
        </w:rPr>
        <w:t>Journal of child psychology and psychiatry, and allied disciplines, 51</w:t>
      </w:r>
      <w:r w:rsidRPr="004B2B38">
        <w:t>, 1188-1197.</w:t>
      </w:r>
      <w:bookmarkEnd w:id="34"/>
    </w:p>
    <w:p w14:paraId="3A97EBCB" w14:textId="77777777" w:rsidR="00A43FA6" w:rsidRPr="004B2B38" w:rsidRDefault="00A43FA6" w:rsidP="00290530">
      <w:pPr>
        <w:pStyle w:val="EndNoteBibliography"/>
        <w:spacing w:after="0" w:line="480" w:lineRule="auto"/>
        <w:ind w:left="720" w:hanging="720"/>
        <w:divId w:val="1403676802"/>
      </w:pPr>
      <w:bookmarkStart w:id="35" w:name="_ENREF_36"/>
      <w:r w:rsidRPr="004B2B38">
        <w:t xml:space="preserve">Jones, A. P., Laurens, K. R., Herba, C. M., Barker, G. J., &amp; Viding, E. (2009). Amygdala hypoactivity to fearful faces in boys with conduct problems and callous-unemotional traits. </w:t>
      </w:r>
      <w:r w:rsidRPr="004B2B38">
        <w:rPr>
          <w:i/>
        </w:rPr>
        <w:t>American Journal of Psychiatry, 166</w:t>
      </w:r>
      <w:r w:rsidRPr="004B2B38">
        <w:t>, 95-102.</w:t>
      </w:r>
      <w:bookmarkEnd w:id="35"/>
    </w:p>
    <w:p w14:paraId="713DAB8D" w14:textId="77777777" w:rsidR="00A43FA6" w:rsidRPr="004B2B38" w:rsidRDefault="00A43FA6" w:rsidP="00290530">
      <w:pPr>
        <w:pStyle w:val="EndNoteBibliography"/>
        <w:spacing w:after="0" w:line="480" w:lineRule="auto"/>
        <w:ind w:left="720" w:hanging="720"/>
        <w:divId w:val="1403676802"/>
      </w:pPr>
      <w:bookmarkStart w:id="36" w:name="_ENREF_38"/>
      <w:r w:rsidRPr="004B2B38">
        <w:t xml:space="preserve">King, J. A., Hartley, T., Spiers, H. J., Maguire, E. A., &amp; Burgess, N. (2005). Anterior prefrontal involvement in episodic retrieval reflects contextual interference. </w:t>
      </w:r>
      <w:r w:rsidRPr="004B2B38">
        <w:rPr>
          <w:i/>
        </w:rPr>
        <w:t>Neuroimage, 28</w:t>
      </w:r>
      <w:r w:rsidRPr="004B2B38">
        <w:t>, 256-267.</w:t>
      </w:r>
      <w:bookmarkEnd w:id="36"/>
    </w:p>
    <w:p w14:paraId="65EB3422" w14:textId="77777777" w:rsidR="00A43FA6" w:rsidRPr="004B2B38" w:rsidRDefault="00A43FA6" w:rsidP="00290530">
      <w:pPr>
        <w:pStyle w:val="EndNoteBibliography"/>
        <w:spacing w:after="0" w:line="480" w:lineRule="auto"/>
        <w:ind w:left="720" w:hanging="720"/>
        <w:divId w:val="1403676802"/>
      </w:pPr>
      <w:bookmarkStart w:id="37" w:name="_ENREF_39"/>
      <w:r w:rsidRPr="004B2B38">
        <w:t xml:space="preserve">Lockwood, P. L., Sebastian, C. L., McCrory, E. J., Hyde, Z. H., Gu, X., De Brito, S. A., &amp; Viding, E. (2013). Association of callous traits with reduced neural response to others' pain in children with conduct problems. </w:t>
      </w:r>
      <w:r w:rsidRPr="004B2B38">
        <w:rPr>
          <w:i/>
        </w:rPr>
        <w:t>Current Biology, 23</w:t>
      </w:r>
      <w:r w:rsidRPr="004B2B38">
        <w:t>, 901-905.</w:t>
      </w:r>
      <w:bookmarkEnd w:id="37"/>
    </w:p>
    <w:p w14:paraId="0B3BFC8F" w14:textId="77777777" w:rsidR="00A43FA6" w:rsidRPr="004B2B38" w:rsidRDefault="00A43FA6" w:rsidP="00290530">
      <w:pPr>
        <w:pStyle w:val="EndNoteBibliography"/>
        <w:spacing w:after="0" w:line="480" w:lineRule="auto"/>
        <w:ind w:left="720" w:hanging="720"/>
        <w:divId w:val="1403676802"/>
      </w:pPr>
      <w:bookmarkStart w:id="38" w:name="_ENREF_40"/>
      <w:r w:rsidRPr="004B2B38">
        <w:t xml:space="preserve">Lozier, L. M., Cardinale, E. M., Van Meter, J. W., &amp; Marsh, A. A. (2014). Mediation of the relationship between callous-unemotional traits and proactive aggression by amygdala response to fear among children with conduct problems. </w:t>
      </w:r>
      <w:r w:rsidRPr="004B2B38">
        <w:rPr>
          <w:i/>
        </w:rPr>
        <w:t>JAMA Psychiatry, 71</w:t>
      </w:r>
      <w:r w:rsidRPr="004B2B38">
        <w:t>, 627-636.</w:t>
      </w:r>
      <w:bookmarkEnd w:id="38"/>
    </w:p>
    <w:p w14:paraId="1754A543" w14:textId="77777777" w:rsidR="00A43FA6" w:rsidRPr="004B2B38" w:rsidRDefault="00A43FA6" w:rsidP="00290530">
      <w:pPr>
        <w:pStyle w:val="EndNoteBibliography"/>
        <w:spacing w:after="0" w:line="480" w:lineRule="auto"/>
        <w:ind w:left="720" w:hanging="720"/>
        <w:divId w:val="1403676802"/>
      </w:pPr>
      <w:bookmarkStart w:id="39" w:name="_ENREF_41"/>
      <w:r w:rsidRPr="004B2B38">
        <w:t xml:space="preserve">Maldjian, J. A., Laurienti, P. J., Kraft, R. A., &amp; Burdette, J. H. (2003). An automated method for neuroanatomic and cytoarchitectonic atlas-based interrogation of fMRI data sets. </w:t>
      </w:r>
      <w:r w:rsidRPr="004B2B38">
        <w:rPr>
          <w:i/>
        </w:rPr>
        <w:t>Neuroimage, 19</w:t>
      </w:r>
      <w:r w:rsidRPr="004B2B38">
        <w:t>, 1233-1239.</w:t>
      </w:r>
      <w:bookmarkEnd w:id="39"/>
    </w:p>
    <w:p w14:paraId="2554AE5E" w14:textId="77777777" w:rsidR="00A43FA6" w:rsidRPr="004B2B38" w:rsidRDefault="00A43FA6" w:rsidP="00290530">
      <w:pPr>
        <w:pStyle w:val="EndNoteBibliography"/>
        <w:spacing w:after="0" w:line="480" w:lineRule="auto"/>
        <w:ind w:left="720" w:hanging="720"/>
        <w:divId w:val="1403676802"/>
      </w:pPr>
      <w:bookmarkStart w:id="40" w:name="_ENREF_42"/>
      <w:r w:rsidRPr="004B2B38">
        <w:t xml:space="preserve">Marsh, A. A., &amp; Blair, R. J. R. (2008). Deficits in facial affect recognition among antisocial populations: A meta-analysis. </w:t>
      </w:r>
      <w:r w:rsidRPr="004B2B38">
        <w:rPr>
          <w:i/>
        </w:rPr>
        <w:t>Neuroscience and Biobehavioral Reviews, 32</w:t>
      </w:r>
      <w:r w:rsidRPr="004B2B38">
        <w:t>, 454-465.</w:t>
      </w:r>
      <w:bookmarkEnd w:id="40"/>
    </w:p>
    <w:p w14:paraId="3CB21A60" w14:textId="77777777" w:rsidR="00A43FA6" w:rsidRPr="004B2B38" w:rsidRDefault="00A43FA6" w:rsidP="00290530">
      <w:pPr>
        <w:pStyle w:val="EndNoteBibliography"/>
        <w:spacing w:after="0" w:line="480" w:lineRule="auto"/>
        <w:ind w:left="720" w:hanging="720"/>
        <w:divId w:val="1403676802"/>
      </w:pPr>
      <w:bookmarkStart w:id="41" w:name="_ENREF_43"/>
      <w:r w:rsidRPr="004B2B38">
        <w:lastRenderedPageBreak/>
        <w:t xml:space="preserve">Marsh, A. A., Finger, E. C., Fowler, K. A., Jurkowitz, I. T. N., Schechter, J. C., Yu, H. H., . . . Blair, R. J. R. (2011). Reduced amygdala-orbitofrontal connectivity during moral judgments in youths with disruptive behavior disorders and psychopathic traits. </w:t>
      </w:r>
      <w:r w:rsidRPr="004B2B38">
        <w:rPr>
          <w:i/>
        </w:rPr>
        <w:t>Psychiatry Research - Neuroimaging, 194</w:t>
      </w:r>
      <w:r w:rsidRPr="004B2B38">
        <w:t>, 279-286.</w:t>
      </w:r>
      <w:bookmarkEnd w:id="41"/>
    </w:p>
    <w:p w14:paraId="17AAA0A1" w14:textId="77777777" w:rsidR="00A43FA6" w:rsidRPr="004B2B38" w:rsidRDefault="00A43FA6" w:rsidP="00290530">
      <w:pPr>
        <w:pStyle w:val="EndNoteBibliography"/>
        <w:spacing w:after="0" w:line="480" w:lineRule="auto"/>
        <w:ind w:left="720" w:hanging="720"/>
        <w:divId w:val="1403676802"/>
      </w:pPr>
      <w:bookmarkStart w:id="42" w:name="_ENREF_44"/>
      <w:r w:rsidRPr="004B2B38">
        <w:t xml:space="preserve">Marsh, A. A., Finger, E. C., Mitchell, D. G., Reid, M. E., Sims, C., Kosson, D. S., . . . Blair, R. J. (2008). Reduced amygdala response to fearful expressions in children and adolescents with callous-unemotional traits and disruptive behavior disorders. </w:t>
      </w:r>
      <w:r w:rsidRPr="004B2B38">
        <w:rPr>
          <w:i/>
        </w:rPr>
        <w:t>American Journal of Psychiatry, 165</w:t>
      </w:r>
      <w:r w:rsidRPr="004B2B38">
        <w:t>, 712-720.</w:t>
      </w:r>
      <w:bookmarkEnd w:id="42"/>
    </w:p>
    <w:p w14:paraId="07E10C78" w14:textId="77777777" w:rsidR="00A43FA6" w:rsidRPr="004B2B38" w:rsidRDefault="00A43FA6" w:rsidP="00290530">
      <w:pPr>
        <w:pStyle w:val="EndNoteBibliography"/>
        <w:spacing w:after="0" w:line="480" w:lineRule="auto"/>
        <w:ind w:left="720" w:hanging="720"/>
        <w:divId w:val="1403676802"/>
      </w:pPr>
      <w:bookmarkStart w:id="43" w:name="_ENREF_45"/>
      <w:r w:rsidRPr="004B2B38">
        <w:t xml:space="preserve">Miller, G. A., &amp; Chapman, J. P. (2001). Misunderstanding analysis of covariance. </w:t>
      </w:r>
      <w:r w:rsidRPr="004B2B38">
        <w:rPr>
          <w:i/>
        </w:rPr>
        <w:t>Journal of Abnormal Psychology, 110</w:t>
      </w:r>
      <w:r w:rsidRPr="004B2B38">
        <w:t>, 40-48.</w:t>
      </w:r>
      <w:bookmarkEnd w:id="43"/>
    </w:p>
    <w:p w14:paraId="5FA8121C" w14:textId="77777777" w:rsidR="00A43FA6" w:rsidRPr="004B2B38" w:rsidRDefault="00A43FA6" w:rsidP="00290530">
      <w:pPr>
        <w:pStyle w:val="EndNoteBibliography"/>
        <w:spacing w:after="0" w:line="480" w:lineRule="auto"/>
        <w:ind w:left="720" w:hanging="720"/>
        <w:divId w:val="1403676802"/>
      </w:pPr>
      <w:bookmarkStart w:id="44" w:name="_ENREF_46"/>
      <w:r w:rsidRPr="004B2B38">
        <w:t xml:space="preserve">Panizzon, M. S., Fennema-Notestine, C., Eyler, L. T., Jernigan, T. L., Prom-Wormley, E., Neale, M., . . . Kremen, W. S. (2009). Distinct genetic influences on cortical surface area and cortical thickness. </w:t>
      </w:r>
      <w:r w:rsidRPr="004B2B38">
        <w:rPr>
          <w:i/>
        </w:rPr>
        <w:t>Cerebral Cortex, 19</w:t>
      </w:r>
      <w:r w:rsidRPr="004B2B38">
        <w:t>, 2728-2735.</w:t>
      </w:r>
      <w:bookmarkEnd w:id="44"/>
    </w:p>
    <w:p w14:paraId="4DCBB70E" w14:textId="77777777" w:rsidR="00A43FA6" w:rsidRPr="004B2B38" w:rsidRDefault="00A43FA6" w:rsidP="00290530">
      <w:pPr>
        <w:pStyle w:val="EndNoteBibliography"/>
        <w:spacing w:after="0" w:line="480" w:lineRule="auto"/>
        <w:ind w:left="720" w:hanging="720"/>
        <w:divId w:val="1403676802"/>
      </w:pPr>
      <w:bookmarkStart w:id="45" w:name="_ENREF_47"/>
      <w:r w:rsidRPr="004B2B38">
        <w:t xml:space="preserve">Raznahan, A., Shaw, P., Lalonde, F., Stockman, M., Wallace, G. L., Greenstein, D., . . . Giedd, J. N. (2011). How does your cortex grow? </w:t>
      </w:r>
      <w:r w:rsidRPr="004B2B38">
        <w:rPr>
          <w:i/>
        </w:rPr>
        <w:t>Journal of Neuroscience, 31</w:t>
      </w:r>
      <w:r w:rsidRPr="004B2B38">
        <w:t>, 7174-7177.</w:t>
      </w:r>
      <w:bookmarkEnd w:id="45"/>
    </w:p>
    <w:p w14:paraId="1B3A69BB" w14:textId="77777777" w:rsidR="00A43FA6" w:rsidRPr="004B2B38" w:rsidRDefault="00A43FA6" w:rsidP="00290530">
      <w:pPr>
        <w:pStyle w:val="EndNoteBibliography"/>
        <w:spacing w:after="0" w:line="480" w:lineRule="auto"/>
        <w:ind w:left="720" w:hanging="720"/>
        <w:divId w:val="1403676802"/>
      </w:pPr>
      <w:bookmarkStart w:id="46" w:name="_ENREF_48"/>
      <w:r w:rsidRPr="004B2B38">
        <w:t xml:space="preserve">Sebastian, C. L., McCrory, E. J., Dadds, M. R., Cecil, C. A. M., Lockwood, P. L., Hyde, Z. H., . . . Viding, E. (2014). Neural responses to fearful eyes in children with conduct problems and varying levels of callous-unemotional traits. </w:t>
      </w:r>
      <w:r w:rsidRPr="004B2B38">
        <w:rPr>
          <w:i/>
        </w:rPr>
        <w:t>Psychological Medicine, 44</w:t>
      </w:r>
      <w:r w:rsidRPr="004B2B38">
        <w:t>, 99-109.</w:t>
      </w:r>
      <w:bookmarkEnd w:id="46"/>
    </w:p>
    <w:p w14:paraId="2AF6F603" w14:textId="77777777" w:rsidR="00A43FA6" w:rsidRPr="004B2B38" w:rsidRDefault="00A43FA6" w:rsidP="00290530">
      <w:pPr>
        <w:pStyle w:val="EndNoteBibliography"/>
        <w:spacing w:after="0" w:line="480" w:lineRule="auto"/>
        <w:ind w:left="720" w:hanging="720"/>
        <w:divId w:val="1403676802"/>
      </w:pPr>
      <w:bookmarkStart w:id="47" w:name="_ENREF_49"/>
      <w:r w:rsidRPr="004B2B38">
        <w:t xml:space="preserve">Sebastian, C. L., McCrory, E. J. P., Cecil, C. A. M., Lockwood, P. L., De Brito, S. A., Fontaine, N. M. G., &amp; Viding, E. (2012). Neural responses to affective and cognitive theory of mind in children with conduct problems and varying levels of callous-unemotional traits. </w:t>
      </w:r>
      <w:r w:rsidRPr="004B2B38">
        <w:rPr>
          <w:i/>
        </w:rPr>
        <w:t>Archives of General Psychiatry, 69</w:t>
      </w:r>
      <w:r w:rsidRPr="004B2B38">
        <w:t>, 814-822.</w:t>
      </w:r>
      <w:bookmarkEnd w:id="47"/>
    </w:p>
    <w:p w14:paraId="5F48AB14" w14:textId="77777777" w:rsidR="00A43FA6" w:rsidRPr="004B2B38" w:rsidRDefault="00A43FA6" w:rsidP="00290530">
      <w:pPr>
        <w:pStyle w:val="EndNoteBibliography"/>
        <w:spacing w:after="0" w:line="480" w:lineRule="auto"/>
        <w:ind w:left="720" w:hanging="720"/>
        <w:divId w:val="1403676802"/>
      </w:pPr>
      <w:bookmarkStart w:id="48" w:name="_ENREF_50"/>
      <w:r w:rsidRPr="004B2B38">
        <w:lastRenderedPageBreak/>
        <w:t xml:space="preserve">Shaw, P., Gogtay, N., &amp; Rapoport, J. (2010). Childhood psychiatric disorders as anomalies in neurodevelopmental trajectories. </w:t>
      </w:r>
      <w:r w:rsidRPr="004B2B38">
        <w:rPr>
          <w:i/>
        </w:rPr>
        <w:t>Human Brain Mapping, 31</w:t>
      </w:r>
      <w:r w:rsidRPr="004B2B38">
        <w:t>, 917-925.</w:t>
      </w:r>
      <w:bookmarkEnd w:id="48"/>
    </w:p>
    <w:p w14:paraId="01D7FDE1" w14:textId="77777777" w:rsidR="00A43FA6" w:rsidRPr="004B2B38" w:rsidRDefault="00A43FA6" w:rsidP="00290530">
      <w:pPr>
        <w:pStyle w:val="EndNoteBibliography"/>
        <w:spacing w:after="0" w:line="480" w:lineRule="auto"/>
        <w:ind w:left="720" w:hanging="720"/>
        <w:divId w:val="1403676802"/>
      </w:pPr>
      <w:bookmarkStart w:id="49" w:name="_ENREF_51"/>
      <w:r w:rsidRPr="004B2B38">
        <w:t xml:space="preserve">Shaw, P., Kabani, N. J., Lerch, J. P., Eckstrand, K., Lenroot, R., Gogtay, N., . . . Wise, S. P. (2008). Neurodevelopmental trajectories of the human cerebral cortex. </w:t>
      </w:r>
      <w:r w:rsidRPr="004B2B38">
        <w:rPr>
          <w:i/>
        </w:rPr>
        <w:t>The Journal of Neuroscience, 28</w:t>
      </w:r>
      <w:r w:rsidRPr="004B2B38">
        <w:t>, 3586-3594.</w:t>
      </w:r>
      <w:bookmarkEnd w:id="49"/>
    </w:p>
    <w:p w14:paraId="56334B85" w14:textId="77777777" w:rsidR="00A43FA6" w:rsidRPr="004B2B38" w:rsidRDefault="00A43FA6" w:rsidP="00290530">
      <w:pPr>
        <w:pStyle w:val="EndNoteBibliography"/>
        <w:spacing w:after="0" w:line="480" w:lineRule="auto"/>
        <w:ind w:left="720" w:hanging="720"/>
        <w:divId w:val="1403676802"/>
      </w:pPr>
      <w:bookmarkStart w:id="50" w:name="_ENREF_52"/>
      <w:r w:rsidRPr="004B2B38">
        <w:t xml:space="preserve">Shaw, P., Malek, M., Watson, B., Greenstein, D., De Rossi, P., &amp; Sharp, W. (2013). Trajectories of cerebral cortical development in childhood and adolescence and adult attention-deficit/hyperactivity disorder. </w:t>
      </w:r>
      <w:r w:rsidRPr="004B2B38">
        <w:rPr>
          <w:i/>
        </w:rPr>
        <w:t>Biological Psychiatry, 74</w:t>
      </w:r>
      <w:r w:rsidRPr="004B2B38">
        <w:t>, 599-606.</w:t>
      </w:r>
      <w:bookmarkEnd w:id="50"/>
    </w:p>
    <w:p w14:paraId="08E522A9" w14:textId="77777777" w:rsidR="00A43FA6" w:rsidRPr="004B2B38" w:rsidRDefault="00A43FA6" w:rsidP="00290530">
      <w:pPr>
        <w:pStyle w:val="EndNoteBibliography"/>
        <w:spacing w:after="0" w:line="480" w:lineRule="auto"/>
        <w:ind w:left="720" w:hanging="720"/>
        <w:divId w:val="1403676802"/>
      </w:pPr>
      <w:bookmarkStart w:id="51" w:name="_ENREF_53"/>
      <w:r w:rsidRPr="004B2B38">
        <w:t xml:space="preserve">Shaw, P., Malek, M., Watson, B., Sharp, W., Evans, A., &amp; Greenstein, D. (2012). Development of cortical surface area and gyrification in attention-deficit/hyperactivity disorder. </w:t>
      </w:r>
      <w:r w:rsidRPr="004B2B38">
        <w:rPr>
          <w:i/>
        </w:rPr>
        <w:t>Biological Psychiatry, 72</w:t>
      </w:r>
      <w:r w:rsidRPr="004B2B38">
        <w:t>, 191-197.</w:t>
      </w:r>
      <w:bookmarkEnd w:id="51"/>
    </w:p>
    <w:p w14:paraId="596F62BE" w14:textId="77777777" w:rsidR="00A43FA6" w:rsidRPr="004B2B38" w:rsidRDefault="00A43FA6" w:rsidP="00290530">
      <w:pPr>
        <w:pStyle w:val="EndNoteBibliography"/>
        <w:spacing w:after="0" w:line="480" w:lineRule="auto"/>
        <w:ind w:left="720" w:hanging="720"/>
        <w:divId w:val="1403676802"/>
      </w:pPr>
      <w:bookmarkStart w:id="52" w:name="_ENREF_54"/>
      <w:r w:rsidRPr="004B2B38">
        <w:t xml:space="preserve">Sprafkin, J., &amp; Gadow, K. D. (1998). </w:t>
      </w:r>
      <w:r w:rsidRPr="004B2B38">
        <w:rPr>
          <w:i/>
        </w:rPr>
        <w:t xml:space="preserve">Adolescent </w:t>
      </w:r>
      <w:r w:rsidR="00B45D6C" w:rsidRPr="004B2B38">
        <w:rPr>
          <w:i/>
        </w:rPr>
        <w:t>s</w:t>
      </w:r>
      <w:r w:rsidRPr="004B2B38">
        <w:rPr>
          <w:i/>
        </w:rPr>
        <w:t xml:space="preserve">ymptom </w:t>
      </w:r>
      <w:r w:rsidR="00B45D6C" w:rsidRPr="004B2B38">
        <w:rPr>
          <w:i/>
        </w:rPr>
        <w:t>i</w:t>
      </w:r>
      <w:r w:rsidRPr="004B2B38">
        <w:rPr>
          <w:i/>
        </w:rPr>
        <w:t xml:space="preserve">nventory-4 </w:t>
      </w:r>
      <w:r w:rsidR="00B45D6C" w:rsidRPr="004B2B38">
        <w:rPr>
          <w:i/>
        </w:rPr>
        <w:t>n</w:t>
      </w:r>
      <w:r w:rsidRPr="004B2B38">
        <w:rPr>
          <w:i/>
        </w:rPr>
        <w:t xml:space="preserve">orms </w:t>
      </w:r>
      <w:r w:rsidR="00B45D6C" w:rsidRPr="004B2B38">
        <w:rPr>
          <w:i/>
        </w:rPr>
        <w:t>m</w:t>
      </w:r>
      <w:r w:rsidRPr="004B2B38">
        <w:rPr>
          <w:i/>
        </w:rPr>
        <w:t>anual</w:t>
      </w:r>
      <w:r w:rsidRPr="004B2B38">
        <w:t>. Stony Brook, New York: Checkmate Plus.</w:t>
      </w:r>
      <w:bookmarkEnd w:id="52"/>
    </w:p>
    <w:p w14:paraId="212BF974" w14:textId="77777777" w:rsidR="00A43FA6" w:rsidRPr="004B2B38" w:rsidRDefault="00A43FA6" w:rsidP="00290530">
      <w:pPr>
        <w:pStyle w:val="EndNoteBibliography"/>
        <w:spacing w:after="0" w:line="480" w:lineRule="auto"/>
        <w:ind w:left="720" w:hanging="720"/>
        <w:divId w:val="1403676802"/>
      </w:pPr>
      <w:bookmarkStart w:id="53" w:name="_ENREF_55"/>
      <w:r w:rsidRPr="004B2B38">
        <w:t xml:space="preserve">Sterzer, P., Stadler, C., Poustka, F., &amp; Kleinschmidt, A. (2007). A structural neural deficit in adolescents with conduct disorder and its association with lack of empathy. </w:t>
      </w:r>
      <w:r w:rsidRPr="004B2B38">
        <w:rPr>
          <w:i/>
        </w:rPr>
        <w:t>Neuroimage, 37</w:t>
      </w:r>
      <w:r w:rsidRPr="004B2B38">
        <w:t>, 335-342.</w:t>
      </w:r>
      <w:bookmarkEnd w:id="53"/>
    </w:p>
    <w:p w14:paraId="2F0D963B" w14:textId="77777777" w:rsidR="00A43FA6" w:rsidRPr="004B2B38" w:rsidRDefault="00A43FA6" w:rsidP="00290530">
      <w:pPr>
        <w:pStyle w:val="EndNoteBibliography"/>
        <w:spacing w:after="0" w:line="480" w:lineRule="auto"/>
        <w:ind w:left="720" w:hanging="720"/>
        <w:divId w:val="1403676802"/>
      </w:pPr>
      <w:bookmarkStart w:id="54" w:name="_ENREF_56"/>
      <w:r w:rsidRPr="004B2B38">
        <w:t xml:space="preserve">Trautmann, S. A., Fehr, T., &amp; Herrmann, M. (2009). Emotions in motion: Dynamic compared to static facial expressions of disgust and happiness reveal more widespread emotion-specific activations. </w:t>
      </w:r>
      <w:r w:rsidRPr="004B2B38">
        <w:rPr>
          <w:i/>
        </w:rPr>
        <w:t>Brain Research, 1284</w:t>
      </w:r>
      <w:r w:rsidRPr="004B2B38">
        <w:t>, 100-115.</w:t>
      </w:r>
      <w:bookmarkEnd w:id="54"/>
    </w:p>
    <w:p w14:paraId="37492D07" w14:textId="77777777" w:rsidR="00A43FA6" w:rsidRPr="004B2B38" w:rsidRDefault="00A43FA6" w:rsidP="00290530">
      <w:pPr>
        <w:pStyle w:val="EndNoteBibliography"/>
        <w:spacing w:after="0" w:line="480" w:lineRule="auto"/>
        <w:ind w:left="720" w:hanging="720"/>
        <w:divId w:val="1403676802"/>
      </w:pPr>
      <w:bookmarkStart w:id="55" w:name="_ENREF_57"/>
      <w:r w:rsidRPr="004B2B38">
        <w:t xml:space="preserve">Viding, E., Blair, R. J. R., Moffitt, T. E., &amp; Plomin, R. (2005). Evidence for substantial genetic risk for psychopathy in 7-years-olds. </w:t>
      </w:r>
      <w:r w:rsidRPr="004B2B38">
        <w:rPr>
          <w:i/>
        </w:rPr>
        <w:t>Journal of Child Psychology and Psychiatry and Allied Disciplines, 46</w:t>
      </w:r>
      <w:r w:rsidRPr="004B2B38">
        <w:t>, 592-597.</w:t>
      </w:r>
      <w:bookmarkEnd w:id="55"/>
    </w:p>
    <w:p w14:paraId="0D5125FC" w14:textId="77777777" w:rsidR="00A43FA6" w:rsidRPr="004B2B38" w:rsidRDefault="00A43FA6" w:rsidP="00290530">
      <w:pPr>
        <w:pStyle w:val="EndNoteBibliography"/>
        <w:spacing w:after="0" w:line="480" w:lineRule="auto"/>
        <w:ind w:left="720" w:hanging="720"/>
        <w:divId w:val="1403676802"/>
      </w:pPr>
      <w:bookmarkStart w:id="56" w:name="_ENREF_58"/>
      <w:r w:rsidRPr="004B2B38">
        <w:t xml:space="preserve">Viding, E., Jones, A. P., Frick, P. J., Moffitt, T. E., &amp; Plomin, R. (2008). Heritability of antisocial behaviour at 9: do callous-unemotional traits matter? </w:t>
      </w:r>
      <w:r w:rsidRPr="004B2B38">
        <w:rPr>
          <w:i/>
        </w:rPr>
        <w:t>Developmental Science, 11</w:t>
      </w:r>
      <w:r w:rsidRPr="004B2B38">
        <w:t>, 17-22.</w:t>
      </w:r>
      <w:bookmarkEnd w:id="56"/>
    </w:p>
    <w:p w14:paraId="7D2AF01D" w14:textId="77777777" w:rsidR="00A43FA6" w:rsidRPr="004B2B38" w:rsidRDefault="00A43FA6" w:rsidP="00290530">
      <w:pPr>
        <w:pStyle w:val="EndNoteBibliography"/>
        <w:spacing w:after="0" w:line="480" w:lineRule="auto"/>
        <w:ind w:left="720" w:hanging="720"/>
        <w:divId w:val="1403676802"/>
      </w:pPr>
      <w:bookmarkStart w:id="57" w:name="_ENREF_59"/>
      <w:r w:rsidRPr="004B2B38">
        <w:lastRenderedPageBreak/>
        <w:t xml:space="preserve">Viding, E., Sebastian, C. L., Dadds, M. R., Lockwood, P. L., Cecil, C. A. M., De Brito, S. A., &amp; McCrory, E. J. (2012). Amygdala response to preattentive masked fear in children with conduct problems: The role of callous-unemotional traits. </w:t>
      </w:r>
      <w:r w:rsidRPr="004B2B38">
        <w:rPr>
          <w:i/>
        </w:rPr>
        <w:t>American Journal of Psychiatry, 169</w:t>
      </w:r>
      <w:r w:rsidRPr="004B2B38">
        <w:t>, 1109-1116.</w:t>
      </w:r>
      <w:bookmarkEnd w:id="57"/>
    </w:p>
    <w:p w14:paraId="734A71E2" w14:textId="77777777" w:rsidR="00A43FA6" w:rsidRPr="004B2B38" w:rsidRDefault="00A43FA6" w:rsidP="00290530">
      <w:pPr>
        <w:pStyle w:val="EndNoteBibliography"/>
        <w:spacing w:after="0" w:line="480" w:lineRule="auto"/>
        <w:ind w:left="720" w:hanging="720"/>
        <w:divId w:val="1403676802"/>
      </w:pPr>
      <w:bookmarkStart w:id="58" w:name="_ENREF_60"/>
      <w:r w:rsidRPr="004B2B38">
        <w:t xml:space="preserve">Wallace, G. L., White, S. F., Robustelli, B., Sinclair, S., Hwang, S., Martin, A., &amp; Blair, R. J. R. (2014). Cortical and subcortical abnormalities in youths with conduct disorder and elevated callous-unemotional traits. </w:t>
      </w:r>
      <w:r w:rsidRPr="004B2B38">
        <w:rPr>
          <w:i/>
        </w:rPr>
        <w:t>Journal of the American Academy of Child and Adolescent Psychiatry, 53</w:t>
      </w:r>
      <w:r w:rsidRPr="004B2B38">
        <w:t>, 456-465.e451.</w:t>
      </w:r>
      <w:bookmarkEnd w:id="58"/>
    </w:p>
    <w:p w14:paraId="09FFD3EE" w14:textId="77777777" w:rsidR="00A43FA6" w:rsidRPr="004B2B38" w:rsidRDefault="00A43FA6" w:rsidP="00290530">
      <w:pPr>
        <w:pStyle w:val="EndNoteBibliography"/>
        <w:spacing w:after="0" w:line="480" w:lineRule="auto"/>
        <w:ind w:left="720" w:hanging="720"/>
        <w:divId w:val="1403676802"/>
      </w:pPr>
      <w:bookmarkStart w:id="59" w:name="_ENREF_61"/>
      <w:r w:rsidRPr="004B2B38">
        <w:t xml:space="preserve">Wechsler, D. (1999). </w:t>
      </w:r>
      <w:r w:rsidRPr="004B2B38">
        <w:rPr>
          <w:i/>
        </w:rPr>
        <w:t xml:space="preserve">Wechsler </w:t>
      </w:r>
      <w:r w:rsidR="00B45D6C" w:rsidRPr="004B2B38">
        <w:rPr>
          <w:i/>
        </w:rPr>
        <w:t>a</w:t>
      </w:r>
      <w:r w:rsidRPr="004B2B38">
        <w:rPr>
          <w:i/>
        </w:rPr>
        <w:t xml:space="preserve">bbreviated </w:t>
      </w:r>
      <w:r w:rsidR="00B45D6C" w:rsidRPr="004B2B38">
        <w:rPr>
          <w:i/>
        </w:rPr>
        <w:t>s</w:t>
      </w:r>
      <w:r w:rsidRPr="004B2B38">
        <w:rPr>
          <w:i/>
        </w:rPr>
        <w:t xml:space="preserve">cale of </w:t>
      </w:r>
      <w:r w:rsidR="00B45D6C" w:rsidRPr="004B2B38">
        <w:rPr>
          <w:i/>
        </w:rPr>
        <w:t>i</w:t>
      </w:r>
      <w:r w:rsidRPr="004B2B38">
        <w:rPr>
          <w:i/>
        </w:rPr>
        <w:t>ntelligence</w:t>
      </w:r>
      <w:r w:rsidRPr="004B2B38">
        <w:t>. San Antonio, TX: The Psychological Corporation.</w:t>
      </w:r>
      <w:bookmarkEnd w:id="59"/>
    </w:p>
    <w:p w14:paraId="3672096F" w14:textId="77777777" w:rsidR="00A43FA6" w:rsidRPr="004B2B38" w:rsidRDefault="00A43FA6" w:rsidP="00290530">
      <w:pPr>
        <w:pStyle w:val="EndNoteBibliography"/>
        <w:spacing w:after="0" w:line="480" w:lineRule="auto"/>
        <w:ind w:left="720" w:hanging="720"/>
        <w:divId w:val="1403676802"/>
      </w:pPr>
      <w:bookmarkStart w:id="60" w:name="_ENREF_62"/>
      <w:r w:rsidRPr="004B2B38">
        <w:t xml:space="preserve">Wilke, M., Holland, S. K., Altaye, M., &amp; Gaser, C. (2008). Template-O-Matic: A toolbox for creating customized pediatric templates. </w:t>
      </w:r>
      <w:r w:rsidRPr="004B2B38">
        <w:rPr>
          <w:i/>
        </w:rPr>
        <w:t>Neuroimage, 41</w:t>
      </w:r>
      <w:r w:rsidRPr="004B2B38">
        <w:t>, 903-913.</w:t>
      </w:r>
      <w:bookmarkEnd w:id="60"/>
    </w:p>
    <w:p w14:paraId="4FE0B519" w14:textId="77777777" w:rsidR="00A43FA6" w:rsidRPr="004B2B38" w:rsidRDefault="00A43FA6" w:rsidP="00290530">
      <w:pPr>
        <w:pStyle w:val="EndNoteBibliography"/>
        <w:spacing w:line="480" w:lineRule="auto"/>
        <w:ind w:left="720" w:hanging="720"/>
        <w:divId w:val="1403676802"/>
      </w:pPr>
      <w:bookmarkStart w:id="61" w:name="_ENREF_63"/>
      <w:r w:rsidRPr="004B2B38">
        <w:t xml:space="preserve">Worsley, K. J., Marrett, S., Neelin, P., Vandal, A. C., Friston, K. J., &amp; Evans, A. C. (1996). A unified statistical approach for determining significant signals in images of cerebral activation. </w:t>
      </w:r>
      <w:r w:rsidRPr="004B2B38">
        <w:rPr>
          <w:i/>
        </w:rPr>
        <w:t>Human Brain Mapping, 4</w:t>
      </w:r>
      <w:r w:rsidRPr="004B2B38">
        <w:t>, 58-73.</w:t>
      </w:r>
      <w:bookmarkEnd w:id="61"/>
    </w:p>
    <w:p w14:paraId="7A906EBF" w14:textId="77777777" w:rsidR="00EA002F" w:rsidRPr="004B2B38" w:rsidRDefault="00EA002F" w:rsidP="00290530">
      <w:pPr>
        <w:spacing w:after="0" w:line="480" w:lineRule="auto"/>
        <w:divId w:val="1403676802"/>
        <w:rPr>
          <w:rFonts w:ascii="Times New Roman" w:hAnsi="Times New Roman" w:cs="Times New Roman"/>
          <w:b/>
          <w:noProof/>
          <w:sz w:val="24"/>
          <w:szCs w:val="24"/>
        </w:rPr>
      </w:pPr>
    </w:p>
    <w:p w14:paraId="11F5A075" w14:textId="77777777" w:rsidR="00A43FA6" w:rsidRPr="004B2B38" w:rsidRDefault="00A43FA6" w:rsidP="00290530">
      <w:pPr>
        <w:spacing w:after="0" w:line="480" w:lineRule="auto"/>
        <w:divId w:val="1403676802"/>
        <w:rPr>
          <w:rFonts w:ascii="Times New Roman" w:hAnsi="Times New Roman" w:cs="Times New Roman"/>
          <w:b/>
          <w:noProof/>
          <w:sz w:val="24"/>
          <w:szCs w:val="24"/>
        </w:rPr>
      </w:pPr>
    </w:p>
    <w:p w14:paraId="171960C7" w14:textId="77777777" w:rsidR="00A43FA6" w:rsidRPr="004B2B38" w:rsidRDefault="00A43FA6" w:rsidP="00290530">
      <w:pPr>
        <w:spacing w:after="0" w:line="480" w:lineRule="auto"/>
        <w:divId w:val="1403676802"/>
        <w:rPr>
          <w:rFonts w:ascii="Times New Roman" w:hAnsi="Times New Roman" w:cs="Times New Roman"/>
          <w:b/>
          <w:noProof/>
          <w:sz w:val="24"/>
          <w:szCs w:val="24"/>
        </w:rPr>
      </w:pPr>
    </w:p>
    <w:p w14:paraId="43A27594" w14:textId="77777777" w:rsidR="00A43FA6" w:rsidRPr="004B2B38" w:rsidRDefault="00A43FA6" w:rsidP="00290530">
      <w:pPr>
        <w:spacing w:after="0" w:line="480" w:lineRule="auto"/>
        <w:divId w:val="1403676802"/>
        <w:rPr>
          <w:rFonts w:ascii="Times New Roman" w:hAnsi="Times New Roman" w:cs="Times New Roman"/>
          <w:b/>
          <w:noProof/>
          <w:sz w:val="24"/>
          <w:szCs w:val="24"/>
        </w:rPr>
      </w:pPr>
    </w:p>
    <w:p w14:paraId="4A858CF3" w14:textId="77777777" w:rsidR="00A43FA6" w:rsidRPr="004B2B38" w:rsidRDefault="00A43FA6" w:rsidP="00290530">
      <w:pPr>
        <w:spacing w:after="0" w:line="480" w:lineRule="auto"/>
        <w:divId w:val="1403676802"/>
        <w:rPr>
          <w:rFonts w:ascii="Times New Roman" w:hAnsi="Times New Roman" w:cs="Times New Roman"/>
          <w:b/>
          <w:noProof/>
          <w:sz w:val="24"/>
          <w:szCs w:val="24"/>
        </w:rPr>
      </w:pPr>
    </w:p>
    <w:p w14:paraId="007D2C7C" w14:textId="77777777" w:rsidR="00A11CD0" w:rsidRPr="004B2B38" w:rsidRDefault="00A11CD0" w:rsidP="00290530">
      <w:pPr>
        <w:spacing w:after="0" w:line="480" w:lineRule="auto"/>
        <w:divId w:val="1403676802"/>
        <w:rPr>
          <w:rFonts w:ascii="Times New Roman" w:hAnsi="Times New Roman" w:cs="Times New Roman"/>
          <w:b/>
          <w:noProof/>
          <w:sz w:val="24"/>
          <w:szCs w:val="24"/>
        </w:rPr>
      </w:pPr>
    </w:p>
    <w:p w14:paraId="5D203B3B" w14:textId="77777777" w:rsidR="00A11CD0" w:rsidRPr="004B2B38" w:rsidRDefault="00A11CD0" w:rsidP="00290530">
      <w:pPr>
        <w:spacing w:after="0" w:line="480" w:lineRule="auto"/>
        <w:divId w:val="1403676802"/>
        <w:rPr>
          <w:rFonts w:ascii="Times New Roman" w:hAnsi="Times New Roman" w:cs="Times New Roman"/>
          <w:b/>
          <w:noProof/>
          <w:sz w:val="24"/>
          <w:szCs w:val="24"/>
        </w:rPr>
      </w:pPr>
    </w:p>
    <w:p w14:paraId="388D2A64" w14:textId="77777777" w:rsidR="00A11CD0" w:rsidRPr="004B2B38" w:rsidRDefault="00A11CD0" w:rsidP="00290530">
      <w:pPr>
        <w:spacing w:after="0" w:line="480" w:lineRule="auto"/>
        <w:divId w:val="1403676802"/>
        <w:rPr>
          <w:rFonts w:ascii="Times New Roman" w:hAnsi="Times New Roman" w:cs="Times New Roman"/>
          <w:b/>
          <w:noProof/>
          <w:sz w:val="24"/>
          <w:szCs w:val="24"/>
        </w:rPr>
      </w:pPr>
    </w:p>
    <w:p w14:paraId="1AA0091C" w14:textId="77777777" w:rsidR="00A11CD0" w:rsidRPr="004B2B38" w:rsidRDefault="00A11CD0" w:rsidP="00290530">
      <w:pPr>
        <w:spacing w:after="0" w:line="480" w:lineRule="auto"/>
        <w:divId w:val="1403676802"/>
        <w:rPr>
          <w:rFonts w:ascii="Times New Roman" w:hAnsi="Times New Roman" w:cs="Times New Roman"/>
          <w:b/>
          <w:noProof/>
          <w:sz w:val="24"/>
          <w:szCs w:val="24"/>
        </w:rPr>
      </w:pPr>
    </w:p>
    <w:p w14:paraId="088A354B" w14:textId="77777777" w:rsidR="00A11CD0" w:rsidRPr="004B2B38" w:rsidRDefault="00A11CD0" w:rsidP="00290530">
      <w:pPr>
        <w:spacing w:after="0" w:line="480" w:lineRule="auto"/>
        <w:divId w:val="1403676802"/>
        <w:rPr>
          <w:rFonts w:ascii="Times New Roman" w:hAnsi="Times New Roman" w:cs="Times New Roman"/>
          <w:b/>
          <w:noProof/>
          <w:sz w:val="24"/>
          <w:szCs w:val="24"/>
        </w:rPr>
      </w:pPr>
    </w:p>
    <w:p w14:paraId="392B219D" w14:textId="77777777" w:rsidR="00EA002F" w:rsidRPr="004B2B38" w:rsidRDefault="00EA002F" w:rsidP="00290530">
      <w:pPr>
        <w:spacing w:after="0" w:line="480" w:lineRule="auto"/>
        <w:divId w:val="1403676802"/>
        <w:rPr>
          <w:rFonts w:ascii="Times New Roman" w:eastAsia="Times New Roman" w:hAnsi="Times New Roman" w:cs="Times New Roman"/>
          <w:b/>
          <w:noProof/>
          <w:sz w:val="24"/>
          <w:szCs w:val="24"/>
          <w:lang w:eastAsia="en-GB"/>
        </w:rPr>
      </w:pPr>
      <w:r w:rsidRPr="004B2B38">
        <w:rPr>
          <w:rFonts w:ascii="Times New Roman" w:hAnsi="Times New Roman" w:cs="Times New Roman"/>
          <w:b/>
          <w:noProof/>
          <w:sz w:val="24"/>
          <w:szCs w:val="24"/>
        </w:rPr>
        <w:lastRenderedPageBreak/>
        <w:t>Table and Figure Legends</w:t>
      </w:r>
    </w:p>
    <w:p w14:paraId="46B553AF" w14:textId="77777777" w:rsidR="00EA002F" w:rsidRPr="004B2B38" w:rsidRDefault="00EA002F" w:rsidP="00290530">
      <w:pPr>
        <w:pStyle w:val="NormalWeb"/>
        <w:spacing w:line="480" w:lineRule="auto"/>
        <w:divId w:val="1403676802"/>
        <w:rPr>
          <w:b/>
          <w:noProof/>
        </w:rPr>
      </w:pPr>
      <w:r w:rsidRPr="004B2B38">
        <w:rPr>
          <w:b/>
          <w:noProof/>
        </w:rPr>
        <w:t>Tables</w:t>
      </w:r>
    </w:p>
    <w:p w14:paraId="35583DA3" w14:textId="77777777" w:rsidR="00EA002F" w:rsidRPr="004B2B38" w:rsidRDefault="00EA002F" w:rsidP="00290530">
      <w:pPr>
        <w:pStyle w:val="NormalWeb"/>
        <w:spacing w:line="480" w:lineRule="auto"/>
        <w:divId w:val="1403676802"/>
        <w:rPr>
          <w:noProof/>
        </w:rPr>
      </w:pPr>
      <w:r w:rsidRPr="004B2B38">
        <w:rPr>
          <w:b/>
          <w:noProof/>
        </w:rPr>
        <w:t>Table 1:</w:t>
      </w:r>
      <w:r w:rsidRPr="004B2B38">
        <w:rPr>
          <w:noProof/>
        </w:rPr>
        <w:t xml:space="preserve"> Demographic data. In all columns, numbers in parentheses show standard deviations.</w:t>
      </w:r>
    </w:p>
    <w:p w14:paraId="1541609F" w14:textId="77777777" w:rsidR="00EA002F" w:rsidRPr="004B2B38" w:rsidRDefault="00EA002F" w:rsidP="00290530">
      <w:pPr>
        <w:pStyle w:val="NormalWeb"/>
        <w:spacing w:line="480" w:lineRule="auto"/>
        <w:divId w:val="1403676802"/>
        <w:rPr>
          <w:b/>
          <w:noProof/>
        </w:rPr>
      </w:pPr>
      <w:r w:rsidRPr="004B2B38">
        <w:rPr>
          <w:b/>
          <w:noProof/>
        </w:rPr>
        <w:t>Figures</w:t>
      </w:r>
    </w:p>
    <w:p w14:paraId="08247567" w14:textId="77777777" w:rsidR="00EA002F" w:rsidRPr="004B2B38" w:rsidRDefault="00EA002F" w:rsidP="00290530">
      <w:pPr>
        <w:pStyle w:val="NormalWeb"/>
        <w:spacing w:line="480" w:lineRule="auto"/>
        <w:divId w:val="1403676802"/>
        <w:rPr>
          <w:noProof/>
        </w:rPr>
      </w:pPr>
      <w:r w:rsidRPr="004B2B38">
        <w:rPr>
          <w:b/>
          <w:noProof/>
        </w:rPr>
        <w:t xml:space="preserve">Figure 1: </w:t>
      </w:r>
      <w:r w:rsidRPr="004B2B38">
        <w:rPr>
          <w:noProof/>
        </w:rPr>
        <w:t xml:space="preserve">Reduced grey matter volume in the left middle frontal gyrus (peak MNI co-ordinate: x=-26, y=20, z=39) in the CP/HCU group (n=29) compared with TD controls (n=29; p&lt;.05, FWE-corrected across the whole brain at the voxel-level). Results shown at </w:t>
      </w:r>
      <w:r w:rsidRPr="00A62345">
        <w:rPr>
          <w:i/>
          <w:noProof/>
        </w:rPr>
        <w:t>p</w:t>
      </w:r>
      <w:r w:rsidRPr="004B2B38">
        <w:rPr>
          <w:noProof/>
        </w:rPr>
        <w:t>&lt;.001, uncorrected (k=543 voxels), for display purposes. Colour bar represents t-values.</w:t>
      </w:r>
    </w:p>
    <w:p w14:paraId="79B8A863" w14:textId="77777777" w:rsidR="00EA002F" w:rsidRPr="004B2B38" w:rsidRDefault="00EA002F" w:rsidP="00290530">
      <w:pPr>
        <w:pStyle w:val="NormalWeb"/>
        <w:spacing w:line="480" w:lineRule="auto"/>
        <w:divId w:val="1403676802"/>
        <w:rPr>
          <w:noProof/>
        </w:rPr>
      </w:pPr>
      <w:r w:rsidRPr="004B2B38">
        <w:rPr>
          <w:b/>
          <w:noProof/>
        </w:rPr>
        <w:t xml:space="preserve">Figure 2: </w:t>
      </w:r>
      <w:r w:rsidRPr="004B2B38">
        <w:rPr>
          <w:noProof/>
        </w:rPr>
        <w:t xml:space="preserve">Reduced grey matter volume in bilateral orbitofrontal cortex across CP groups (n=60) compared with TD controls (n=29; </w:t>
      </w:r>
      <w:r w:rsidRPr="00A62345">
        <w:rPr>
          <w:i/>
          <w:noProof/>
        </w:rPr>
        <w:t>ps</w:t>
      </w:r>
      <w:r w:rsidRPr="004B2B38">
        <w:rPr>
          <w:noProof/>
        </w:rPr>
        <w:t xml:space="preserve">&lt;.05, FWE-SVC). Peak MNI co-ordinates: right: x=38, y=35, z=-8; left: x=-36, y=36, z=-8. Results in the right (k=462 voxels) and left (k=285 voxels) orbitofrontal cortex are shown at </w:t>
      </w:r>
      <w:r w:rsidRPr="00A62345">
        <w:rPr>
          <w:i/>
          <w:noProof/>
        </w:rPr>
        <w:t>p</w:t>
      </w:r>
      <w:r w:rsidRPr="004B2B38">
        <w:rPr>
          <w:noProof/>
        </w:rPr>
        <w:t>&lt;.001, uncorrected, for display purposes. Colour bar represents t-values.</w:t>
      </w:r>
    </w:p>
    <w:p w14:paraId="3C20D21B" w14:textId="77777777" w:rsidR="00EA002F" w:rsidRPr="004B2B38" w:rsidRDefault="00EA002F" w:rsidP="00290530">
      <w:pPr>
        <w:pStyle w:val="NormalWeb"/>
        <w:spacing w:line="480" w:lineRule="auto"/>
        <w:divId w:val="1403676802"/>
        <w:rPr>
          <w:noProof/>
        </w:rPr>
      </w:pPr>
      <w:r w:rsidRPr="004B2B38">
        <w:rPr>
          <w:b/>
          <w:noProof/>
        </w:rPr>
        <w:t xml:space="preserve">Figure 3: </w:t>
      </w:r>
      <w:r w:rsidRPr="004B2B38">
        <w:rPr>
          <w:noProof/>
        </w:rPr>
        <w:t xml:space="preserve">Reduced grey matter volume in the CP/HCU group (n=29) compared with TD controls (n=29; </w:t>
      </w:r>
      <w:r w:rsidRPr="00A62345">
        <w:rPr>
          <w:i/>
          <w:noProof/>
        </w:rPr>
        <w:t>ps</w:t>
      </w:r>
      <w:r w:rsidRPr="004B2B38">
        <w:rPr>
          <w:noProof/>
        </w:rPr>
        <w:t xml:space="preserve">&lt;.05, FWE-SVC) in </w:t>
      </w:r>
      <w:r w:rsidRPr="004B2B38">
        <w:rPr>
          <w:b/>
          <w:noProof/>
        </w:rPr>
        <w:t>a)</w:t>
      </w:r>
      <w:r w:rsidRPr="004B2B38">
        <w:rPr>
          <w:noProof/>
        </w:rPr>
        <w:t xml:space="preserve"> bilateral orbitofrontal cortex (peak MNI co-ordinates: right: x=39, y=36, z=-8; left: x=-38, y=44, z=-6) and </w:t>
      </w:r>
      <w:r w:rsidRPr="004B2B38">
        <w:rPr>
          <w:b/>
          <w:noProof/>
        </w:rPr>
        <w:t>b)</w:t>
      </w:r>
      <w:r w:rsidRPr="004B2B38">
        <w:rPr>
          <w:noProof/>
        </w:rPr>
        <w:t xml:space="preserve"> right anterior cingulate cortex (peak: x=8, y=45, z=18). Result in the right (k=194 voxels) and left (k=290 voxels) orbitofrontal cortex and right anterior cingulate cortex (k=173 voxels) are shown at </w:t>
      </w:r>
      <w:r w:rsidRPr="00A62345">
        <w:rPr>
          <w:i/>
          <w:noProof/>
        </w:rPr>
        <w:t>p</w:t>
      </w:r>
      <w:r w:rsidRPr="004B2B38">
        <w:rPr>
          <w:noProof/>
        </w:rPr>
        <w:t>&lt;.001, uncorrected, for display purposes.</w:t>
      </w:r>
      <w:r w:rsidRPr="004B2B38">
        <w:t xml:space="preserve"> </w:t>
      </w:r>
      <w:r w:rsidRPr="004B2B38">
        <w:rPr>
          <w:noProof/>
        </w:rPr>
        <w:t xml:space="preserve">Colour bar represents </w:t>
      </w:r>
      <w:r w:rsidRPr="00A62345">
        <w:rPr>
          <w:i/>
          <w:noProof/>
        </w:rPr>
        <w:t>t</w:t>
      </w:r>
      <w:r w:rsidRPr="004B2B38">
        <w:rPr>
          <w:noProof/>
        </w:rPr>
        <w:t>-values.</w:t>
      </w:r>
    </w:p>
    <w:p w14:paraId="52291E43" w14:textId="77777777" w:rsidR="00EA002F" w:rsidRPr="004B2B38" w:rsidRDefault="00EA002F" w:rsidP="00290530">
      <w:pPr>
        <w:pStyle w:val="NormalWeb"/>
        <w:spacing w:line="480" w:lineRule="auto"/>
        <w:divId w:val="1403676802"/>
        <w:rPr>
          <w:noProof/>
        </w:rPr>
      </w:pPr>
      <w:r w:rsidRPr="004B2B38">
        <w:rPr>
          <w:b/>
          <w:noProof/>
        </w:rPr>
        <w:t>Figure 4:</w:t>
      </w:r>
      <w:r w:rsidRPr="004B2B38">
        <w:rPr>
          <w:noProof/>
        </w:rPr>
        <w:t xml:space="preserve"> Left orbitofrontal cortex also showed grey matter volume reduction in the CP/HCU group (n=29) compared with the CP/LCU group (n=31; </w:t>
      </w:r>
      <w:r w:rsidRPr="00A62345">
        <w:rPr>
          <w:i/>
          <w:noProof/>
        </w:rPr>
        <w:t>p</w:t>
      </w:r>
      <w:r w:rsidRPr="004B2B38">
        <w:rPr>
          <w:noProof/>
        </w:rPr>
        <w:t xml:space="preserve">&lt;.05, FWE-SVC; peak: x=-39, </w:t>
      </w:r>
      <w:r w:rsidRPr="004B2B38">
        <w:rPr>
          <w:noProof/>
        </w:rPr>
        <w:lastRenderedPageBreak/>
        <w:t xml:space="preserve">y=44, z=-6). Results shown at </w:t>
      </w:r>
      <w:r w:rsidRPr="00A62345">
        <w:rPr>
          <w:i/>
          <w:noProof/>
        </w:rPr>
        <w:t>p</w:t>
      </w:r>
      <w:r w:rsidRPr="004B2B38">
        <w:rPr>
          <w:noProof/>
        </w:rPr>
        <w:t xml:space="preserve">&lt;.001, uncorrected (k=39 voxels), for display purposes. Colour bar represents </w:t>
      </w:r>
      <w:r w:rsidRPr="00A62345">
        <w:rPr>
          <w:i/>
          <w:noProof/>
        </w:rPr>
        <w:t>t</w:t>
      </w:r>
      <w:r w:rsidRPr="004B2B38">
        <w:rPr>
          <w:noProof/>
        </w:rPr>
        <w:t>-values.</w:t>
      </w:r>
    </w:p>
    <w:p w14:paraId="7C5132CE" w14:textId="60403D56" w:rsidR="00DF54B3" w:rsidRDefault="00EA002F" w:rsidP="00290530">
      <w:pPr>
        <w:pStyle w:val="NormalWeb"/>
        <w:spacing w:line="480" w:lineRule="auto"/>
        <w:divId w:val="1403676802"/>
        <w:rPr>
          <w:noProof/>
        </w:rPr>
      </w:pPr>
      <w:r w:rsidRPr="004B2B38">
        <w:rPr>
          <w:b/>
          <w:noProof/>
        </w:rPr>
        <w:t>Online Supplementary Figures S1a-c</w:t>
      </w:r>
      <w:r w:rsidRPr="004B2B38">
        <w:rPr>
          <w:noProof/>
        </w:rPr>
        <w:t>: Grey matter volume values at peak voxel for the TD, CP/LCU and CP/HCU groups in (a) right orbitofrontal cortex (x=39, y=36, z=-8), (b) the left orbitofrontal cortex (x=-38, y=44, z=-6), and (c) right anterior cingulate cortex (x=8, y=45, z=18).</w:t>
      </w:r>
    </w:p>
    <w:p w14:paraId="59BDB628" w14:textId="77777777" w:rsidR="00CF23BA" w:rsidRDefault="00CF23BA" w:rsidP="00290530">
      <w:pPr>
        <w:pStyle w:val="NormalWeb"/>
        <w:spacing w:line="480" w:lineRule="auto"/>
        <w:divId w:val="1403676802"/>
        <w:rPr>
          <w:noProof/>
        </w:rPr>
      </w:pPr>
    </w:p>
    <w:p w14:paraId="6AD8A5A3" w14:textId="77777777" w:rsidR="00CF23BA" w:rsidRDefault="00CF23BA" w:rsidP="00290530">
      <w:pPr>
        <w:pStyle w:val="NormalWeb"/>
        <w:spacing w:line="480" w:lineRule="auto"/>
        <w:divId w:val="1403676802"/>
        <w:rPr>
          <w:noProof/>
        </w:rPr>
      </w:pPr>
    </w:p>
    <w:p w14:paraId="14574B2A" w14:textId="77777777" w:rsidR="00CF23BA" w:rsidRDefault="00CF23BA" w:rsidP="00290530">
      <w:pPr>
        <w:pStyle w:val="NormalWeb"/>
        <w:spacing w:line="480" w:lineRule="auto"/>
        <w:divId w:val="1403676802"/>
        <w:rPr>
          <w:noProof/>
        </w:rPr>
      </w:pPr>
    </w:p>
    <w:p w14:paraId="73EB41ED" w14:textId="77777777" w:rsidR="00CF23BA" w:rsidRDefault="00CF23BA" w:rsidP="00290530">
      <w:pPr>
        <w:pStyle w:val="NormalWeb"/>
        <w:spacing w:line="480" w:lineRule="auto"/>
        <w:divId w:val="1403676802"/>
        <w:rPr>
          <w:noProof/>
        </w:rPr>
      </w:pPr>
    </w:p>
    <w:p w14:paraId="234D1FBB" w14:textId="77777777" w:rsidR="00CF23BA" w:rsidRDefault="00CF23BA" w:rsidP="00290530">
      <w:pPr>
        <w:pStyle w:val="NormalWeb"/>
        <w:spacing w:line="480" w:lineRule="auto"/>
        <w:divId w:val="1403676802"/>
        <w:rPr>
          <w:noProof/>
        </w:rPr>
      </w:pPr>
    </w:p>
    <w:p w14:paraId="6E7449A0" w14:textId="77777777" w:rsidR="00CF23BA" w:rsidRDefault="00CF23BA" w:rsidP="00290530">
      <w:pPr>
        <w:pStyle w:val="NormalWeb"/>
        <w:spacing w:line="480" w:lineRule="auto"/>
        <w:divId w:val="1403676802"/>
        <w:rPr>
          <w:b/>
          <w:noProof/>
        </w:rPr>
      </w:pPr>
    </w:p>
    <w:p w14:paraId="7E396F37" w14:textId="77777777" w:rsidR="00CF23BA" w:rsidRDefault="00CF23BA" w:rsidP="00290530">
      <w:pPr>
        <w:pStyle w:val="NormalWeb"/>
        <w:spacing w:line="480" w:lineRule="auto"/>
        <w:divId w:val="1403676802"/>
        <w:rPr>
          <w:b/>
          <w:noProof/>
        </w:rPr>
      </w:pPr>
    </w:p>
    <w:p w14:paraId="7C6C86FD" w14:textId="77777777" w:rsidR="00CF23BA" w:rsidRDefault="00CF23BA" w:rsidP="00290530">
      <w:pPr>
        <w:pStyle w:val="NormalWeb"/>
        <w:spacing w:line="480" w:lineRule="auto"/>
        <w:divId w:val="1403676802"/>
        <w:rPr>
          <w:b/>
          <w:noProof/>
        </w:rPr>
      </w:pPr>
    </w:p>
    <w:p w14:paraId="6A839B68" w14:textId="77777777" w:rsidR="00CF23BA" w:rsidRDefault="00CF23BA" w:rsidP="00290530">
      <w:pPr>
        <w:pStyle w:val="NormalWeb"/>
        <w:spacing w:line="480" w:lineRule="auto"/>
        <w:divId w:val="1403676802"/>
        <w:rPr>
          <w:b/>
          <w:noProof/>
        </w:rPr>
      </w:pPr>
    </w:p>
    <w:p w14:paraId="55EDDC97" w14:textId="77777777" w:rsidR="00CF23BA" w:rsidRDefault="00CF23BA" w:rsidP="00290530">
      <w:pPr>
        <w:pStyle w:val="NormalWeb"/>
        <w:spacing w:line="480" w:lineRule="auto"/>
        <w:divId w:val="1403676802"/>
        <w:rPr>
          <w:b/>
          <w:noProof/>
        </w:rPr>
      </w:pPr>
    </w:p>
    <w:p w14:paraId="213477B5" w14:textId="77777777" w:rsidR="00CF23BA" w:rsidRDefault="00CF23BA" w:rsidP="00290530">
      <w:pPr>
        <w:pStyle w:val="NormalWeb"/>
        <w:spacing w:line="480" w:lineRule="auto"/>
        <w:divId w:val="1403676802"/>
        <w:rPr>
          <w:b/>
          <w:noProof/>
        </w:rPr>
      </w:pPr>
    </w:p>
    <w:p w14:paraId="74E10EFA" w14:textId="77777777" w:rsidR="00CF23BA" w:rsidRDefault="00CF23BA" w:rsidP="00290530">
      <w:pPr>
        <w:pStyle w:val="NormalWeb"/>
        <w:spacing w:line="480" w:lineRule="auto"/>
        <w:divId w:val="1403676802"/>
        <w:rPr>
          <w:b/>
          <w:noProof/>
        </w:rPr>
      </w:pPr>
    </w:p>
    <w:p w14:paraId="60C6FB82" w14:textId="4CAB9B5E" w:rsidR="00CF23BA" w:rsidRPr="00CF23BA" w:rsidRDefault="00CF23BA" w:rsidP="00290530">
      <w:pPr>
        <w:pStyle w:val="NormalWeb"/>
        <w:spacing w:line="480" w:lineRule="auto"/>
        <w:divId w:val="1403676802"/>
        <w:rPr>
          <w:b/>
          <w:noProof/>
        </w:rPr>
      </w:pPr>
      <w:bookmarkStart w:id="62" w:name="_GoBack"/>
      <w:bookmarkEnd w:id="62"/>
      <w:r w:rsidRPr="00CF23BA">
        <w:rPr>
          <w:b/>
          <w:noProof/>
        </w:rPr>
        <w:lastRenderedPageBreak/>
        <w:t>Tables and Figures</w:t>
      </w:r>
    </w:p>
    <w:p w14:paraId="1B7E070D" w14:textId="0186EFAC" w:rsidR="00DF54B3" w:rsidRDefault="00CF23BA">
      <w:pPr>
        <w:rPr>
          <w:rFonts w:ascii="Times New Roman" w:eastAsia="Times New Roman" w:hAnsi="Times New Roman" w:cs="Times New Roman"/>
          <w:noProof/>
          <w:sz w:val="24"/>
          <w:szCs w:val="24"/>
          <w:lang w:eastAsia="en-GB"/>
        </w:rPr>
      </w:pPr>
      <w:r w:rsidRPr="00CF23BA">
        <w:drawing>
          <wp:inline distT="0" distB="0" distL="0" distR="0" wp14:anchorId="2FBF5E03" wp14:editId="0105E20D">
            <wp:extent cx="5731510" cy="4238703"/>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38703"/>
                    </a:xfrm>
                    <a:prstGeom prst="rect">
                      <a:avLst/>
                    </a:prstGeom>
                    <a:noFill/>
                    <a:ln>
                      <a:noFill/>
                    </a:ln>
                  </pic:spPr>
                </pic:pic>
              </a:graphicData>
            </a:graphic>
          </wp:inline>
        </w:drawing>
      </w:r>
      <w:r w:rsidR="00DF54B3">
        <w:rPr>
          <w:noProof/>
        </w:rPr>
        <w:br w:type="page"/>
      </w:r>
    </w:p>
    <w:p w14:paraId="7C799B1A" w14:textId="0C645BFA" w:rsidR="00DF54B3" w:rsidRDefault="00DF54B3" w:rsidP="00DF54B3">
      <w:pPr>
        <w:divId w:val="1403676802"/>
        <w:rPr>
          <w:noProof/>
        </w:rPr>
      </w:pPr>
      <w:r>
        <w:rPr>
          <w:noProof/>
        </w:rPr>
        <w:lastRenderedPageBreak/>
        <w:drawing>
          <wp:anchor distT="0" distB="0" distL="114300" distR="114300" simplePos="0" relativeHeight="251659264" behindDoc="1" locked="0" layoutInCell="1" allowOverlap="1" wp14:anchorId="67CF697B" wp14:editId="24AA943E">
            <wp:simplePos x="0" y="0"/>
            <wp:positionH relativeFrom="column">
              <wp:posOffset>0</wp:posOffset>
            </wp:positionH>
            <wp:positionV relativeFrom="paragraph">
              <wp:posOffset>4301656</wp:posOffset>
            </wp:positionV>
            <wp:extent cx="5731510" cy="4298950"/>
            <wp:effectExtent l="0" t="0" r="2540" b="6350"/>
            <wp:wrapTight wrapText="bothSides">
              <wp:wrapPolygon edited="0">
                <wp:start x="0" y="0"/>
                <wp:lineTo x="0" y="21536"/>
                <wp:lineTo x="21538" y="21536"/>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r>
        <w:rPr>
          <w:noProof/>
        </w:rPr>
        <w:drawing>
          <wp:anchor distT="0" distB="0" distL="114300" distR="114300" simplePos="0" relativeHeight="251658240" behindDoc="1" locked="0" layoutInCell="1" allowOverlap="1" wp14:anchorId="5A55069F" wp14:editId="1A4D8189">
            <wp:simplePos x="0" y="0"/>
            <wp:positionH relativeFrom="column">
              <wp:posOffset>0</wp:posOffset>
            </wp:positionH>
            <wp:positionV relativeFrom="paragraph">
              <wp:posOffset>0</wp:posOffset>
            </wp:positionV>
            <wp:extent cx="5731510" cy="4298950"/>
            <wp:effectExtent l="0" t="0" r="2540" b="6350"/>
            <wp:wrapTight wrapText="bothSides">
              <wp:wrapPolygon edited="0">
                <wp:start x="0" y="0"/>
                <wp:lineTo x="0" y="21536"/>
                <wp:lineTo x="21538" y="21536"/>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p>
    <w:p w14:paraId="55FF7631" w14:textId="5394E9BF" w:rsidR="00DF54B3" w:rsidRDefault="00DF54B3">
      <w:pPr>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lastRenderedPageBreak/>
        <w:drawing>
          <wp:anchor distT="0" distB="0" distL="114300" distR="114300" simplePos="0" relativeHeight="251661312" behindDoc="1" locked="0" layoutInCell="1" allowOverlap="1" wp14:anchorId="7FB088D6" wp14:editId="2CE22938">
            <wp:simplePos x="0" y="0"/>
            <wp:positionH relativeFrom="margin">
              <wp:align>right</wp:align>
            </wp:positionH>
            <wp:positionV relativeFrom="paragraph">
              <wp:posOffset>3697357</wp:posOffset>
            </wp:positionV>
            <wp:extent cx="5731510" cy="4298950"/>
            <wp:effectExtent l="0" t="0" r="2540" b="6350"/>
            <wp:wrapTight wrapText="bothSides">
              <wp:wrapPolygon edited="0">
                <wp:start x="0" y="0"/>
                <wp:lineTo x="0" y="21536"/>
                <wp:lineTo x="21538" y="21536"/>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r>
        <w:rPr>
          <w:noProof/>
          <w:lang w:eastAsia="en-GB"/>
        </w:rPr>
        <w:drawing>
          <wp:anchor distT="0" distB="0" distL="114300" distR="114300" simplePos="0" relativeHeight="251660288" behindDoc="1" locked="0" layoutInCell="1" allowOverlap="1" wp14:anchorId="0183DDE8" wp14:editId="2BE8307B">
            <wp:simplePos x="0" y="0"/>
            <wp:positionH relativeFrom="margin">
              <wp:align>center</wp:align>
            </wp:positionH>
            <wp:positionV relativeFrom="paragraph">
              <wp:posOffset>165</wp:posOffset>
            </wp:positionV>
            <wp:extent cx="5731510" cy="4298950"/>
            <wp:effectExtent l="0" t="0" r="2540" b="6350"/>
            <wp:wrapTight wrapText="bothSides">
              <wp:wrapPolygon edited="0">
                <wp:start x="0" y="0"/>
                <wp:lineTo x="0" y="21536"/>
                <wp:lineTo x="21538" y="21536"/>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anchor>
        </w:drawing>
      </w:r>
      <w:r>
        <w:rPr>
          <w:noProof/>
        </w:rPr>
        <w:br w:type="page"/>
      </w:r>
      <w:r w:rsidR="00122DB2">
        <w:rPr>
          <w:rFonts w:ascii="Times New Roman" w:eastAsia="Times New Roman" w:hAnsi="Times New Roman" w:cs="Times New Roman"/>
          <w:noProof/>
          <w:sz w:val="24"/>
          <w:szCs w:val="24"/>
          <w:lang w:eastAsia="en-GB"/>
        </w:rPr>
        <w:lastRenderedPageBreak/>
        <w:drawing>
          <wp:inline distT="0" distB="0" distL="0" distR="0" wp14:anchorId="12D81A1C" wp14:editId="5EA00CC1">
            <wp:extent cx="5731510" cy="42989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_SOM_R1_230615.tif"/>
                    <pic:cNvPicPr/>
                  </pic:nvPicPr>
                  <pic:blipFill>
                    <a:blip r:embed="rId14">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E7AE2FC" w14:textId="0D82DE0E" w:rsidR="00EA002F" w:rsidRPr="008C331F" w:rsidRDefault="00EA002F" w:rsidP="00290530">
      <w:pPr>
        <w:pStyle w:val="NormalWeb"/>
        <w:spacing w:line="480" w:lineRule="auto"/>
        <w:divId w:val="1403676802"/>
        <w:rPr>
          <w:noProof/>
        </w:rPr>
      </w:pPr>
    </w:p>
    <w:sectPr w:rsidR="00EA002F" w:rsidRPr="008C331F" w:rsidSect="00112BEA">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49057" w14:textId="77777777" w:rsidR="008523A8" w:rsidRDefault="008523A8">
      <w:pPr>
        <w:spacing w:after="0" w:line="240" w:lineRule="auto"/>
      </w:pPr>
      <w:r>
        <w:separator/>
      </w:r>
    </w:p>
  </w:endnote>
  <w:endnote w:type="continuationSeparator" w:id="0">
    <w:p w14:paraId="0D9CD9EA" w14:textId="77777777" w:rsidR="008523A8" w:rsidRDefault="0085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69C81" w14:textId="77777777" w:rsidR="008523A8" w:rsidRDefault="008523A8">
      <w:pPr>
        <w:spacing w:after="0" w:line="240" w:lineRule="auto"/>
      </w:pPr>
      <w:r>
        <w:separator/>
      </w:r>
    </w:p>
  </w:footnote>
  <w:footnote w:type="continuationSeparator" w:id="0">
    <w:p w14:paraId="22AA31E3" w14:textId="77777777" w:rsidR="008523A8" w:rsidRDefault="0085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29626"/>
      <w:docPartObj>
        <w:docPartGallery w:val="Page Numbers (Top of Page)"/>
        <w:docPartUnique/>
      </w:docPartObj>
    </w:sdtPr>
    <w:sdtEndPr>
      <w:rPr>
        <w:rFonts w:ascii="Times New Roman" w:hAnsi="Times New Roman" w:cs="Times New Roman"/>
        <w:noProof/>
        <w:sz w:val="24"/>
        <w:szCs w:val="24"/>
      </w:rPr>
    </w:sdtEndPr>
    <w:sdtContent>
      <w:p w14:paraId="674E6F12" w14:textId="77777777" w:rsidR="00112BEA" w:rsidRPr="00112BEA" w:rsidRDefault="00112BEA">
        <w:pPr>
          <w:pStyle w:val="Header"/>
          <w:jc w:val="right"/>
          <w:rPr>
            <w:rFonts w:ascii="Times New Roman" w:hAnsi="Times New Roman" w:cs="Times New Roman"/>
            <w:sz w:val="24"/>
            <w:szCs w:val="24"/>
          </w:rPr>
        </w:pPr>
        <w:r w:rsidRPr="00112BEA">
          <w:rPr>
            <w:rFonts w:ascii="Times New Roman" w:hAnsi="Times New Roman" w:cs="Times New Roman"/>
            <w:sz w:val="24"/>
            <w:szCs w:val="24"/>
          </w:rPr>
          <w:fldChar w:fldCharType="begin"/>
        </w:r>
        <w:r w:rsidRPr="00112BEA">
          <w:rPr>
            <w:rFonts w:ascii="Times New Roman" w:hAnsi="Times New Roman" w:cs="Times New Roman"/>
            <w:sz w:val="24"/>
            <w:szCs w:val="24"/>
          </w:rPr>
          <w:instrText xml:space="preserve"> PAGE   \* MERGEFORMAT </w:instrText>
        </w:r>
        <w:r w:rsidRPr="00112BEA">
          <w:rPr>
            <w:rFonts w:ascii="Times New Roman" w:hAnsi="Times New Roman" w:cs="Times New Roman"/>
            <w:sz w:val="24"/>
            <w:szCs w:val="24"/>
          </w:rPr>
          <w:fldChar w:fldCharType="separate"/>
        </w:r>
        <w:r w:rsidR="00CF23BA">
          <w:rPr>
            <w:rFonts w:ascii="Times New Roman" w:hAnsi="Times New Roman" w:cs="Times New Roman"/>
            <w:noProof/>
            <w:sz w:val="24"/>
            <w:szCs w:val="24"/>
          </w:rPr>
          <w:t>21</w:t>
        </w:r>
        <w:r w:rsidRPr="00112BEA">
          <w:rPr>
            <w:rFonts w:ascii="Times New Roman" w:hAnsi="Times New Roman" w:cs="Times New Roman"/>
            <w:noProof/>
            <w:sz w:val="24"/>
            <w:szCs w:val="24"/>
          </w:rPr>
          <w:fldChar w:fldCharType="end"/>
        </w:r>
      </w:p>
    </w:sdtContent>
  </w:sdt>
  <w:p w14:paraId="470804C4" w14:textId="77777777" w:rsidR="00112BEA" w:rsidRDefault="00112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560"/>
    <w:multiLevelType w:val="hybridMultilevel"/>
    <w:tmpl w:val="9550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618FD"/>
    <w:multiLevelType w:val="hybridMultilevel"/>
    <w:tmpl w:val="59A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06DE1"/>
    <w:multiLevelType w:val="hybridMultilevel"/>
    <w:tmpl w:val="3E0226D2"/>
    <w:lvl w:ilvl="0" w:tplc="CE7A9CFE">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2B63EE"/>
    <w:multiLevelType w:val="hybridMultilevel"/>
    <w:tmpl w:val="E4A0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47704"/>
    <w:multiLevelType w:val="hybridMultilevel"/>
    <w:tmpl w:val="407E9766"/>
    <w:lvl w:ilvl="0" w:tplc="B0FE8FEE">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E7B3B"/>
    <w:multiLevelType w:val="hybridMultilevel"/>
    <w:tmpl w:val="FD207C1C"/>
    <w:lvl w:ilvl="0" w:tplc="851E3B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C3D3B"/>
    <w:multiLevelType w:val="hybridMultilevel"/>
    <w:tmpl w:val="8A0A04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F00204B"/>
    <w:multiLevelType w:val="hybridMultilevel"/>
    <w:tmpl w:val="286AEBD0"/>
    <w:lvl w:ilvl="0" w:tplc="B0FE8FEE">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80140"/>
    <w:multiLevelType w:val="hybridMultilevel"/>
    <w:tmpl w:val="DE82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A002F"/>
    <w:rsid w:val="00022E6D"/>
    <w:rsid w:val="00030AD8"/>
    <w:rsid w:val="000A46CE"/>
    <w:rsid w:val="00112BEA"/>
    <w:rsid w:val="00122DB2"/>
    <w:rsid w:val="00131DB7"/>
    <w:rsid w:val="00163BAA"/>
    <w:rsid w:val="00290530"/>
    <w:rsid w:val="003E014B"/>
    <w:rsid w:val="00416843"/>
    <w:rsid w:val="00487C4B"/>
    <w:rsid w:val="004B2B38"/>
    <w:rsid w:val="00550840"/>
    <w:rsid w:val="00564BF2"/>
    <w:rsid w:val="00615932"/>
    <w:rsid w:val="00656C46"/>
    <w:rsid w:val="00725879"/>
    <w:rsid w:val="007A50AF"/>
    <w:rsid w:val="007C40E5"/>
    <w:rsid w:val="00830D2E"/>
    <w:rsid w:val="008523A8"/>
    <w:rsid w:val="009F6DAA"/>
    <w:rsid w:val="009F7324"/>
    <w:rsid w:val="00A02D4E"/>
    <w:rsid w:val="00A11CD0"/>
    <w:rsid w:val="00A232C4"/>
    <w:rsid w:val="00A32293"/>
    <w:rsid w:val="00A43FA6"/>
    <w:rsid w:val="00A62345"/>
    <w:rsid w:val="00AD2B69"/>
    <w:rsid w:val="00B27835"/>
    <w:rsid w:val="00B45D6C"/>
    <w:rsid w:val="00BF7FFB"/>
    <w:rsid w:val="00C00AB9"/>
    <w:rsid w:val="00C80080"/>
    <w:rsid w:val="00CF23BA"/>
    <w:rsid w:val="00D03C9B"/>
    <w:rsid w:val="00DB7E3A"/>
    <w:rsid w:val="00DD170A"/>
    <w:rsid w:val="00DF54B3"/>
    <w:rsid w:val="00E5789A"/>
    <w:rsid w:val="00EA002F"/>
    <w:rsid w:val="00EB03D4"/>
    <w:rsid w:val="00EF56A3"/>
    <w:rsid w:val="00F1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8117"/>
  <w15:docId w15:val="{A75DEE29-87B2-4F03-8DE9-4F50FBD1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2F"/>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02F"/>
    <w:rPr>
      <w:color w:val="0000FF" w:themeColor="hyperlink"/>
      <w:u w:val="single"/>
    </w:rPr>
  </w:style>
  <w:style w:type="character" w:styleId="CommentReference">
    <w:name w:val="annotation reference"/>
    <w:basedOn w:val="DefaultParagraphFont"/>
    <w:uiPriority w:val="99"/>
    <w:semiHidden/>
    <w:unhideWhenUsed/>
    <w:rsid w:val="00EA002F"/>
    <w:rPr>
      <w:sz w:val="16"/>
      <w:szCs w:val="16"/>
    </w:rPr>
  </w:style>
  <w:style w:type="paragraph" w:styleId="CommentText">
    <w:name w:val="annotation text"/>
    <w:basedOn w:val="Normal"/>
    <w:link w:val="CommentTextChar"/>
    <w:uiPriority w:val="99"/>
    <w:unhideWhenUsed/>
    <w:rsid w:val="00EA002F"/>
    <w:pPr>
      <w:spacing w:line="240" w:lineRule="auto"/>
    </w:pPr>
    <w:rPr>
      <w:sz w:val="20"/>
      <w:szCs w:val="20"/>
    </w:rPr>
  </w:style>
  <w:style w:type="character" w:customStyle="1" w:styleId="CommentTextChar">
    <w:name w:val="Comment Text Char"/>
    <w:basedOn w:val="DefaultParagraphFont"/>
    <w:link w:val="CommentText"/>
    <w:uiPriority w:val="99"/>
    <w:rsid w:val="00EA002F"/>
    <w:rPr>
      <w:rFonts w:eastAsiaTheme="minorEastAsia"/>
      <w:sz w:val="20"/>
      <w:szCs w:val="20"/>
      <w:lang w:eastAsia="zh-CN"/>
    </w:rPr>
  </w:style>
  <w:style w:type="paragraph" w:styleId="BalloonText">
    <w:name w:val="Balloon Text"/>
    <w:basedOn w:val="Normal"/>
    <w:link w:val="BalloonTextChar"/>
    <w:uiPriority w:val="99"/>
    <w:semiHidden/>
    <w:unhideWhenUsed/>
    <w:rsid w:val="00EA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02F"/>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EA002F"/>
    <w:rPr>
      <w:b/>
      <w:bCs/>
    </w:rPr>
  </w:style>
  <w:style w:type="character" w:customStyle="1" w:styleId="CommentSubjectChar">
    <w:name w:val="Comment Subject Char"/>
    <w:basedOn w:val="CommentTextChar"/>
    <w:link w:val="CommentSubject"/>
    <w:uiPriority w:val="99"/>
    <w:semiHidden/>
    <w:rsid w:val="00EA002F"/>
    <w:rPr>
      <w:rFonts w:eastAsiaTheme="minorEastAsia"/>
      <w:b/>
      <w:bCs/>
      <w:sz w:val="20"/>
      <w:szCs w:val="20"/>
      <w:lang w:eastAsia="zh-CN"/>
    </w:rPr>
  </w:style>
  <w:style w:type="paragraph" w:styleId="ListParagraph">
    <w:name w:val="List Paragraph"/>
    <w:basedOn w:val="Normal"/>
    <w:uiPriority w:val="34"/>
    <w:qFormat/>
    <w:rsid w:val="00EA002F"/>
    <w:pPr>
      <w:ind w:left="720"/>
      <w:contextualSpacing/>
    </w:pPr>
  </w:style>
  <w:style w:type="paragraph" w:styleId="NormalWeb">
    <w:name w:val="Normal (Web)"/>
    <w:basedOn w:val="Normal"/>
    <w:link w:val="NormalWebChar"/>
    <w:uiPriority w:val="99"/>
    <w:unhideWhenUsed/>
    <w:rsid w:val="00EA00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2F"/>
    <w:rPr>
      <w:rFonts w:eastAsiaTheme="minorEastAsia"/>
      <w:lang w:eastAsia="zh-CN"/>
    </w:rPr>
  </w:style>
  <w:style w:type="paragraph" w:styleId="Footer">
    <w:name w:val="footer"/>
    <w:basedOn w:val="Normal"/>
    <w:link w:val="FooterChar"/>
    <w:uiPriority w:val="99"/>
    <w:unhideWhenUsed/>
    <w:rsid w:val="00EA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2F"/>
    <w:rPr>
      <w:rFonts w:eastAsiaTheme="minorEastAsia"/>
      <w:lang w:eastAsia="zh-CN"/>
    </w:rPr>
  </w:style>
  <w:style w:type="paragraph" w:styleId="Revision">
    <w:name w:val="Revision"/>
    <w:hidden/>
    <w:uiPriority w:val="99"/>
    <w:semiHidden/>
    <w:rsid w:val="00EA002F"/>
    <w:pPr>
      <w:spacing w:after="0" w:line="240" w:lineRule="auto"/>
    </w:pPr>
    <w:rPr>
      <w:rFonts w:eastAsiaTheme="minorEastAsia"/>
      <w:lang w:eastAsia="zh-CN"/>
    </w:rPr>
  </w:style>
  <w:style w:type="character" w:styleId="LineNumber">
    <w:name w:val="line number"/>
    <w:basedOn w:val="DefaultParagraphFont"/>
    <w:uiPriority w:val="99"/>
    <w:semiHidden/>
    <w:unhideWhenUsed/>
    <w:rsid w:val="00EA002F"/>
  </w:style>
  <w:style w:type="paragraph" w:customStyle="1" w:styleId="EndNoteBibliographyTitle">
    <w:name w:val="EndNote Bibliography Title"/>
    <w:basedOn w:val="Normal"/>
    <w:link w:val="EndNoteBibliographyTitleChar"/>
    <w:rsid w:val="00EA002F"/>
    <w:pPr>
      <w:spacing w:after="0"/>
      <w:jc w:val="center"/>
    </w:pPr>
    <w:rPr>
      <w:rFonts w:ascii="Times New Roman" w:hAnsi="Times New Roman" w:cs="Times New Roman"/>
      <w:noProof/>
      <w:sz w:val="24"/>
      <w:szCs w:val="24"/>
    </w:rPr>
  </w:style>
  <w:style w:type="character" w:customStyle="1" w:styleId="NormalWebChar">
    <w:name w:val="Normal (Web) Char"/>
    <w:basedOn w:val="DefaultParagraphFont"/>
    <w:link w:val="NormalWeb"/>
    <w:uiPriority w:val="99"/>
    <w:rsid w:val="00EA002F"/>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EA002F"/>
    <w:rPr>
      <w:rFonts w:ascii="Times New Roman" w:eastAsiaTheme="minorEastAsia" w:hAnsi="Times New Roman" w:cs="Times New Roman"/>
      <w:noProof/>
      <w:sz w:val="24"/>
      <w:szCs w:val="24"/>
      <w:lang w:eastAsia="zh-CN"/>
    </w:rPr>
  </w:style>
  <w:style w:type="paragraph" w:customStyle="1" w:styleId="EndNoteBibliography">
    <w:name w:val="EndNote Bibliography"/>
    <w:basedOn w:val="Normal"/>
    <w:link w:val="EndNoteBibliographyChar"/>
    <w:rsid w:val="00EA002F"/>
    <w:pPr>
      <w:spacing w:line="240" w:lineRule="auto"/>
    </w:pPr>
    <w:rPr>
      <w:rFonts w:ascii="Times New Roman" w:hAnsi="Times New Roman" w:cs="Times New Roman"/>
      <w:noProof/>
      <w:sz w:val="24"/>
      <w:szCs w:val="24"/>
    </w:rPr>
  </w:style>
  <w:style w:type="character" w:customStyle="1" w:styleId="EndNoteBibliographyChar">
    <w:name w:val="EndNote Bibliography Char"/>
    <w:basedOn w:val="NormalWebChar"/>
    <w:link w:val="EndNoteBibliography"/>
    <w:rsid w:val="00EA002F"/>
    <w:rPr>
      <w:rFonts w:ascii="Times New Roman" w:eastAsiaTheme="minorEastAsia" w:hAnsi="Times New Roman" w:cs="Times New Roman"/>
      <w:noProof/>
      <w:sz w:val="24"/>
      <w:szCs w:val="24"/>
      <w:lang w:eastAsia="zh-CN"/>
    </w:rPr>
  </w:style>
  <w:style w:type="paragraph" w:customStyle="1" w:styleId="EndNoteCategoryHeading">
    <w:name w:val="EndNote Category Heading"/>
    <w:basedOn w:val="Normal"/>
    <w:link w:val="EndNoteCategoryHeadingChar"/>
    <w:rsid w:val="00EA002F"/>
    <w:pPr>
      <w:spacing w:before="120" w:after="120"/>
    </w:pPr>
    <w:rPr>
      <w:rFonts w:ascii="Times New Roman" w:hAnsi="Times New Roman" w:cs="Times New Roman"/>
      <w:noProof/>
      <w:sz w:val="24"/>
      <w:szCs w:val="24"/>
    </w:rPr>
  </w:style>
  <w:style w:type="character" w:customStyle="1" w:styleId="EndNoteCategoryHeadingChar">
    <w:name w:val="EndNote Category Heading Char"/>
    <w:basedOn w:val="EndNoteBibliographyChar"/>
    <w:link w:val="EndNoteCategoryHeading"/>
    <w:rsid w:val="00EA002F"/>
    <w:rPr>
      <w:rFonts w:ascii="Times New Roman" w:eastAsiaTheme="minorEastAsia" w:hAnsi="Times New Roman" w:cs="Times New Roman"/>
      <w:noProof/>
      <w:sz w:val="24"/>
      <w:szCs w:val="24"/>
      <w:lang w:eastAsia="zh-CN"/>
    </w:rPr>
  </w:style>
  <w:style w:type="paragraph" w:customStyle="1" w:styleId="EndNoteCategoryTitle">
    <w:name w:val="EndNote Category Title"/>
    <w:basedOn w:val="Normal"/>
    <w:link w:val="EndNoteCategoryTitleChar"/>
    <w:rsid w:val="00EA002F"/>
    <w:pPr>
      <w:spacing w:before="120" w:after="120"/>
      <w:jc w:val="center"/>
    </w:pPr>
    <w:rPr>
      <w:rFonts w:ascii="Times New Roman" w:hAnsi="Times New Roman" w:cs="Times New Roman"/>
      <w:noProof/>
      <w:sz w:val="24"/>
      <w:szCs w:val="24"/>
    </w:rPr>
  </w:style>
  <w:style w:type="character" w:customStyle="1" w:styleId="EndNoteCategoryTitleChar">
    <w:name w:val="EndNote Category Title Char"/>
    <w:basedOn w:val="EndNoteBibliographyChar"/>
    <w:link w:val="EndNoteCategoryTitle"/>
    <w:rsid w:val="00EA002F"/>
    <w:rPr>
      <w:rFonts w:ascii="Times New Roman" w:eastAsiaTheme="minorEastAsia"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704107">
      <w:bodyDiv w:val="1"/>
      <w:marLeft w:val="0"/>
      <w:marRight w:val="0"/>
      <w:marTop w:val="0"/>
      <w:marBottom w:val="0"/>
      <w:divBdr>
        <w:top w:val="none" w:sz="0" w:space="0" w:color="auto"/>
        <w:left w:val="none" w:sz="0" w:space="0" w:color="auto"/>
        <w:bottom w:val="none" w:sz="0" w:space="0" w:color="auto"/>
        <w:right w:val="none" w:sz="0" w:space="0" w:color="auto"/>
      </w:divBdr>
      <w:divsChild>
        <w:div w:id="70274538">
          <w:marLeft w:val="0"/>
          <w:marRight w:val="0"/>
          <w:marTop w:val="0"/>
          <w:marBottom w:val="0"/>
          <w:divBdr>
            <w:top w:val="none" w:sz="0" w:space="0" w:color="auto"/>
            <w:left w:val="none" w:sz="0" w:space="0" w:color="auto"/>
            <w:bottom w:val="none" w:sz="0" w:space="0" w:color="auto"/>
            <w:right w:val="none" w:sz="0" w:space="0" w:color="auto"/>
          </w:divBdr>
          <w:divsChild>
            <w:div w:id="673267889">
              <w:marLeft w:val="0"/>
              <w:marRight w:val="0"/>
              <w:marTop w:val="0"/>
              <w:marBottom w:val="0"/>
              <w:divBdr>
                <w:top w:val="none" w:sz="0" w:space="0" w:color="auto"/>
                <w:left w:val="none" w:sz="0" w:space="0" w:color="auto"/>
                <w:bottom w:val="none" w:sz="0" w:space="0" w:color="auto"/>
                <w:right w:val="none" w:sz="0" w:space="0" w:color="auto"/>
              </w:divBdr>
              <w:divsChild>
                <w:div w:id="1954094948">
                  <w:marLeft w:val="0"/>
                  <w:marRight w:val="0"/>
                  <w:marTop w:val="0"/>
                  <w:marBottom w:val="0"/>
                  <w:divBdr>
                    <w:top w:val="none" w:sz="0" w:space="0" w:color="auto"/>
                    <w:left w:val="none" w:sz="0" w:space="0" w:color="auto"/>
                    <w:bottom w:val="none" w:sz="0" w:space="0" w:color="auto"/>
                    <w:right w:val="none" w:sz="0" w:space="0" w:color="auto"/>
                  </w:divBdr>
                  <w:divsChild>
                    <w:div w:id="1554151586">
                      <w:marLeft w:val="0"/>
                      <w:marRight w:val="0"/>
                      <w:marTop w:val="0"/>
                      <w:marBottom w:val="0"/>
                      <w:divBdr>
                        <w:top w:val="none" w:sz="0" w:space="0" w:color="auto"/>
                        <w:left w:val="none" w:sz="0" w:space="0" w:color="auto"/>
                        <w:bottom w:val="none" w:sz="0" w:space="0" w:color="auto"/>
                        <w:right w:val="none" w:sz="0" w:space="0" w:color="auto"/>
                      </w:divBdr>
                      <w:divsChild>
                        <w:div w:id="142433476">
                          <w:marLeft w:val="0"/>
                          <w:marRight w:val="0"/>
                          <w:marTop w:val="0"/>
                          <w:marBottom w:val="0"/>
                          <w:divBdr>
                            <w:top w:val="none" w:sz="0" w:space="0" w:color="auto"/>
                            <w:left w:val="none" w:sz="0" w:space="0" w:color="auto"/>
                            <w:bottom w:val="none" w:sz="0" w:space="0" w:color="auto"/>
                            <w:right w:val="none" w:sz="0" w:space="0" w:color="auto"/>
                          </w:divBdr>
                          <w:divsChild>
                            <w:div w:id="1609896431">
                              <w:marLeft w:val="0"/>
                              <w:marRight w:val="0"/>
                              <w:marTop w:val="0"/>
                              <w:marBottom w:val="0"/>
                              <w:divBdr>
                                <w:top w:val="none" w:sz="0" w:space="0" w:color="auto"/>
                                <w:left w:val="none" w:sz="0" w:space="0" w:color="auto"/>
                                <w:bottom w:val="none" w:sz="0" w:space="0" w:color="auto"/>
                                <w:right w:val="none" w:sz="0" w:space="0" w:color="auto"/>
                              </w:divBdr>
                              <w:divsChild>
                                <w:div w:id="1432582814">
                                  <w:marLeft w:val="0"/>
                                  <w:marRight w:val="0"/>
                                  <w:marTop w:val="0"/>
                                  <w:marBottom w:val="0"/>
                                  <w:divBdr>
                                    <w:top w:val="none" w:sz="0" w:space="0" w:color="auto"/>
                                    <w:left w:val="none" w:sz="0" w:space="0" w:color="auto"/>
                                    <w:bottom w:val="none" w:sz="0" w:space="0" w:color="auto"/>
                                    <w:right w:val="none" w:sz="0" w:space="0" w:color="auto"/>
                                  </w:divBdr>
                                  <w:divsChild>
                                    <w:div w:id="1014697135">
                                      <w:marLeft w:val="0"/>
                                      <w:marRight w:val="0"/>
                                      <w:marTop w:val="0"/>
                                      <w:marBottom w:val="0"/>
                                      <w:divBdr>
                                        <w:top w:val="none" w:sz="0" w:space="0" w:color="auto"/>
                                        <w:left w:val="none" w:sz="0" w:space="0" w:color="auto"/>
                                        <w:bottom w:val="none" w:sz="0" w:space="0" w:color="auto"/>
                                        <w:right w:val="none" w:sz="0" w:space="0" w:color="auto"/>
                                      </w:divBdr>
                                      <w:divsChild>
                                        <w:div w:id="637535874">
                                          <w:marLeft w:val="0"/>
                                          <w:marRight w:val="0"/>
                                          <w:marTop w:val="0"/>
                                          <w:marBottom w:val="0"/>
                                          <w:divBdr>
                                            <w:top w:val="none" w:sz="0" w:space="0" w:color="auto"/>
                                            <w:left w:val="none" w:sz="0" w:space="0" w:color="auto"/>
                                            <w:bottom w:val="none" w:sz="0" w:space="0" w:color="auto"/>
                                            <w:right w:val="none" w:sz="0" w:space="0" w:color="auto"/>
                                          </w:divBdr>
                                          <w:divsChild>
                                            <w:div w:id="1823308019">
                                              <w:marLeft w:val="0"/>
                                              <w:marRight w:val="0"/>
                                              <w:marTop w:val="0"/>
                                              <w:marBottom w:val="0"/>
                                              <w:divBdr>
                                                <w:top w:val="none" w:sz="0" w:space="0" w:color="auto"/>
                                                <w:left w:val="none" w:sz="0" w:space="0" w:color="auto"/>
                                                <w:bottom w:val="none" w:sz="0" w:space="0" w:color="auto"/>
                                                <w:right w:val="none" w:sz="0" w:space="0" w:color="auto"/>
                                              </w:divBdr>
                                              <w:divsChild>
                                                <w:div w:id="1729570448">
                                                  <w:marLeft w:val="0"/>
                                                  <w:marRight w:val="0"/>
                                                  <w:marTop w:val="0"/>
                                                  <w:marBottom w:val="0"/>
                                                  <w:divBdr>
                                                    <w:top w:val="none" w:sz="0" w:space="0" w:color="auto"/>
                                                    <w:left w:val="none" w:sz="0" w:space="0" w:color="auto"/>
                                                    <w:bottom w:val="none" w:sz="0" w:space="0" w:color="auto"/>
                                                    <w:right w:val="none" w:sz="0" w:space="0" w:color="auto"/>
                                                  </w:divBdr>
                                                  <w:divsChild>
                                                    <w:div w:id="14036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ynth.org/locations"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e.viding@ucl.ac.uk"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34</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De Brito</dc:creator>
  <cp:lastModifiedBy>Catherine Sebastian</cp:lastModifiedBy>
  <cp:revision>8</cp:revision>
  <dcterms:created xsi:type="dcterms:W3CDTF">2015-08-17T21:02:00Z</dcterms:created>
  <dcterms:modified xsi:type="dcterms:W3CDTF">2015-09-02T15:26:00Z</dcterms:modified>
</cp:coreProperties>
</file>