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DE" w:rsidRDefault="00C05BDE" w:rsidP="00EC42FF">
      <w:bookmarkStart w:id="0" w:name="_GoBack"/>
      <w:bookmarkEnd w:id="0"/>
      <w:r>
        <w:t>1.  Title page</w:t>
      </w:r>
    </w:p>
    <w:p w:rsidR="00014174" w:rsidRDefault="00014174" w:rsidP="000C696B">
      <w:pPr>
        <w:spacing w:line="360" w:lineRule="auto"/>
      </w:pPr>
      <w:r>
        <w:t xml:space="preserve">Leopard density estimates from </w:t>
      </w:r>
      <w:r w:rsidR="000C696B">
        <w:t xml:space="preserve">semi-desert </w:t>
      </w:r>
      <w:r>
        <w:t>commercial farmlands, southwest Namibia</w:t>
      </w:r>
    </w:p>
    <w:p w:rsidR="00014174" w:rsidRPr="00DD3B28" w:rsidRDefault="00014174" w:rsidP="000C696B">
      <w:pPr>
        <w:spacing w:line="360" w:lineRule="auto"/>
        <w:rPr>
          <w:vertAlign w:val="superscript"/>
          <w:lang w:val="de-DE"/>
        </w:rPr>
      </w:pPr>
      <w:r w:rsidRPr="00DD3B28">
        <w:rPr>
          <w:lang w:val="de-DE"/>
        </w:rPr>
        <w:t>Sarah Edwards</w:t>
      </w:r>
      <w:r w:rsidR="000C696B" w:rsidRPr="00DD3B28">
        <w:rPr>
          <w:vertAlign w:val="superscript"/>
          <w:lang w:val="de-DE"/>
        </w:rPr>
        <w:t>*1,2</w:t>
      </w:r>
      <w:r w:rsidRPr="00DD3B28">
        <w:rPr>
          <w:lang w:val="de-DE"/>
        </w:rPr>
        <w:t>,</w:t>
      </w:r>
      <w:r w:rsidR="008C2DB1" w:rsidRPr="00DD3B28">
        <w:rPr>
          <w:lang w:val="de-DE"/>
        </w:rPr>
        <w:t xml:space="preserve"> Ortwin Asch</w:t>
      </w:r>
      <w:r w:rsidR="00B475FA">
        <w:rPr>
          <w:lang w:val="de-DE"/>
        </w:rPr>
        <w:t>en</w:t>
      </w:r>
      <w:r w:rsidR="008C2DB1" w:rsidRPr="00DD3B28">
        <w:rPr>
          <w:lang w:val="de-DE"/>
        </w:rPr>
        <w:t>born</w:t>
      </w:r>
      <w:r w:rsidR="008C2DB1" w:rsidRPr="00DD3B28">
        <w:rPr>
          <w:vertAlign w:val="superscript"/>
          <w:lang w:val="de-DE"/>
        </w:rPr>
        <w:t>3</w:t>
      </w:r>
      <w:r w:rsidR="008C2DB1" w:rsidRPr="00DD3B28">
        <w:rPr>
          <w:lang w:val="de-DE"/>
        </w:rPr>
        <w:t>,</w:t>
      </w:r>
      <w:r w:rsidRPr="00DD3B28">
        <w:rPr>
          <w:lang w:val="de-DE"/>
        </w:rPr>
        <w:t xml:space="preserve"> Alan</w:t>
      </w:r>
      <w:r w:rsidR="000125B4" w:rsidRPr="00DD3B28">
        <w:rPr>
          <w:lang w:val="de-DE"/>
        </w:rPr>
        <w:t xml:space="preserve"> C.</w:t>
      </w:r>
      <w:r w:rsidRPr="00DD3B28">
        <w:rPr>
          <w:lang w:val="de-DE"/>
        </w:rPr>
        <w:t xml:space="preserve"> Gange</w:t>
      </w:r>
      <w:r w:rsidR="000C696B" w:rsidRPr="00DD3B28">
        <w:rPr>
          <w:vertAlign w:val="superscript"/>
          <w:lang w:val="de-DE"/>
        </w:rPr>
        <w:t>2</w:t>
      </w:r>
      <w:r w:rsidR="008C2DB1" w:rsidRPr="00DD3B28">
        <w:rPr>
          <w:lang w:val="de-DE"/>
        </w:rPr>
        <w:t>, Ingrid Wiesel</w:t>
      </w:r>
      <w:r w:rsidR="008C2DB1" w:rsidRPr="00DD3B28">
        <w:rPr>
          <w:vertAlign w:val="superscript"/>
          <w:lang w:val="de-DE"/>
        </w:rPr>
        <w:t>1,4</w:t>
      </w:r>
    </w:p>
    <w:p w:rsidR="00014174" w:rsidRDefault="00014174" w:rsidP="000C696B">
      <w:pPr>
        <w:spacing w:line="360" w:lineRule="auto"/>
      </w:pPr>
      <w:r w:rsidRPr="00ED2F70">
        <w:rPr>
          <w:vertAlign w:val="superscript"/>
        </w:rPr>
        <w:t xml:space="preserve">1 </w:t>
      </w:r>
      <w:r>
        <w:t xml:space="preserve">Brown Hyena Research Project, </w:t>
      </w:r>
      <w:r w:rsidR="000C696B">
        <w:t>P.O. Box 739</w:t>
      </w:r>
      <w:proofErr w:type="gramStart"/>
      <w:r w:rsidR="000C696B">
        <w:t>,</w:t>
      </w:r>
      <w:r>
        <w:t>Luderitz</w:t>
      </w:r>
      <w:proofErr w:type="gramEnd"/>
      <w:r>
        <w:t>, Namibia.</w:t>
      </w:r>
    </w:p>
    <w:p w:rsidR="00014174" w:rsidRDefault="00014174" w:rsidP="000C696B">
      <w:pPr>
        <w:spacing w:line="360" w:lineRule="auto"/>
      </w:pPr>
      <w:r w:rsidRPr="00ED2F70">
        <w:rPr>
          <w:vertAlign w:val="superscript"/>
        </w:rPr>
        <w:t>2</w:t>
      </w:r>
      <w:r>
        <w:t xml:space="preserve"> School of Biological Sciences, Royal Holloway, University of London, </w:t>
      </w:r>
      <w:r w:rsidR="000C696B">
        <w:t xml:space="preserve">Egham Hill, </w:t>
      </w:r>
      <w:r>
        <w:t>Egham, Surrey,</w:t>
      </w:r>
      <w:r w:rsidR="000C696B">
        <w:t xml:space="preserve"> TW20 0EX,</w:t>
      </w:r>
      <w:r>
        <w:t xml:space="preserve"> UK.</w:t>
      </w:r>
    </w:p>
    <w:p w:rsidR="00014174" w:rsidRDefault="00014174" w:rsidP="000C696B">
      <w:pPr>
        <w:spacing w:line="360" w:lineRule="auto"/>
      </w:pPr>
      <w:r w:rsidRPr="00014174">
        <w:rPr>
          <w:vertAlign w:val="superscript"/>
        </w:rPr>
        <w:t>3</w:t>
      </w:r>
      <w:r>
        <w:t>Ministry of Environment and Tourism, Windhoek</w:t>
      </w:r>
      <w:r w:rsidR="000C696B">
        <w:t>, Namibia</w:t>
      </w:r>
    </w:p>
    <w:p w:rsidR="008C2DB1" w:rsidRPr="00014174" w:rsidRDefault="008C2DB1" w:rsidP="008C2DB1">
      <w:pPr>
        <w:spacing w:line="480" w:lineRule="auto"/>
      </w:pPr>
      <w:proofErr w:type="gramStart"/>
      <w:r w:rsidRPr="008C2DB1">
        <w:rPr>
          <w:vertAlign w:val="superscript"/>
        </w:rPr>
        <w:t>4</w:t>
      </w:r>
      <w:r>
        <w:t xml:space="preserve">Centre </w:t>
      </w:r>
      <w:r w:rsidR="00DD3B28">
        <w:t>for Wildlife Management</w:t>
      </w:r>
      <w:r>
        <w:t>, University of Pretoria, Pretoria, South Africa.</w:t>
      </w:r>
      <w:proofErr w:type="gramEnd"/>
    </w:p>
    <w:p w:rsidR="000C696B" w:rsidRDefault="00DE0328" w:rsidP="000C696B">
      <w:pPr>
        <w:spacing w:line="360" w:lineRule="auto"/>
      </w:pPr>
      <w:r>
        <w:t xml:space="preserve">Email addresses:  </w:t>
      </w:r>
    </w:p>
    <w:p w:rsidR="00DE0328" w:rsidRDefault="00DE0328" w:rsidP="000C696B">
      <w:pPr>
        <w:spacing w:line="360" w:lineRule="auto"/>
      </w:pPr>
      <w:r>
        <w:t>Sarah Edwards: hyenaconflict@gmail.com</w:t>
      </w:r>
    </w:p>
    <w:p w:rsidR="00DE0328" w:rsidRPr="00DD3B28" w:rsidRDefault="00DE0328" w:rsidP="000C696B">
      <w:pPr>
        <w:spacing w:line="360" w:lineRule="auto"/>
        <w:rPr>
          <w:lang w:val="de-DE"/>
        </w:rPr>
      </w:pPr>
      <w:r w:rsidRPr="00DD3B28">
        <w:rPr>
          <w:lang w:val="de-DE"/>
        </w:rPr>
        <w:t>Ortwin Aschenborn:  ortwin@aschenborn.com</w:t>
      </w:r>
    </w:p>
    <w:p w:rsidR="00DE0328" w:rsidRPr="00DD3B28" w:rsidRDefault="00DE0328" w:rsidP="000C696B">
      <w:pPr>
        <w:spacing w:line="360" w:lineRule="auto"/>
        <w:rPr>
          <w:lang w:val="de-DE"/>
        </w:rPr>
      </w:pPr>
      <w:r w:rsidRPr="00DD3B28">
        <w:rPr>
          <w:lang w:val="de-DE"/>
        </w:rPr>
        <w:t>Alan Gange:  A.Gange@rhul.ac.uk</w:t>
      </w:r>
    </w:p>
    <w:p w:rsidR="00DE0328" w:rsidRDefault="00DE0328" w:rsidP="000C696B">
      <w:pPr>
        <w:spacing w:line="360" w:lineRule="auto"/>
      </w:pPr>
      <w:r>
        <w:t>Ingrid Wiesel:  strandwolf@iway.na</w:t>
      </w:r>
    </w:p>
    <w:p w:rsidR="008C2DB1" w:rsidRDefault="00E07BA3" w:rsidP="008C2DB1">
      <w:pPr>
        <w:spacing w:line="360" w:lineRule="auto"/>
      </w:pPr>
      <w:r>
        <w:t>*</w:t>
      </w:r>
      <w:r w:rsidR="008C2DB1">
        <w:t xml:space="preserve">Correspondence:  Sarah Edwards, Brown Hyena Research Project, P.O. Box 739, Luderitz, Namibia.  </w:t>
      </w:r>
      <w:proofErr w:type="gramStart"/>
      <w:r w:rsidR="008C2DB1">
        <w:t>Tel. +264 (0) 63 202114.</w:t>
      </w:r>
      <w:proofErr w:type="gramEnd"/>
      <w:r w:rsidR="008C2DB1">
        <w:t xml:space="preserve">  Email: hyenaconflict@gmail.com</w:t>
      </w:r>
    </w:p>
    <w:p w:rsidR="00DE0328" w:rsidRDefault="000A5555" w:rsidP="000C696B">
      <w:pPr>
        <w:spacing w:line="360" w:lineRule="auto"/>
      </w:pPr>
      <w:r>
        <w:t>Number of words:</w:t>
      </w:r>
      <w:r w:rsidR="00E07BA3">
        <w:t xml:space="preserve"> </w:t>
      </w:r>
      <w:r w:rsidR="00B475FA">
        <w:t>1000</w:t>
      </w:r>
    </w:p>
    <w:p w:rsidR="000C696B" w:rsidRDefault="000C696B" w:rsidP="000C696B">
      <w:pPr>
        <w:spacing w:line="360" w:lineRule="auto"/>
      </w:pPr>
    </w:p>
    <w:p w:rsidR="000C696B" w:rsidRDefault="000C696B" w:rsidP="000C696B">
      <w:pPr>
        <w:spacing w:line="360" w:lineRule="auto"/>
      </w:pPr>
    </w:p>
    <w:p w:rsidR="000C696B" w:rsidRDefault="000C696B" w:rsidP="000C696B">
      <w:pPr>
        <w:spacing w:line="360" w:lineRule="auto"/>
      </w:pPr>
    </w:p>
    <w:p w:rsidR="000C696B" w:rsidRDefault="000C696B" w:rsidP="000C696B">
      <w:pPr>
        <w:spacing w:line="360" w:lineRule="auto"/>
      </w:pPr>
    </w:p>
    <w:p w:rsidR="000C696B" w:rsidRDefault="000C696B" w:rsidP="000C696B">
      <w:pPr>
        <w:spacing w:line="360" w:lineRule="auto"/>
      </w:pPr>
    </w:p>
    <w:p w:rsidR="000C696B" w:rsidRDefault="000C696B" w:rsidP="000C696B">
      <w:pPr>
        <w:spacing w:line="360" w:lineRule="auto"/>
      </w:pPr>
    </w:p>
    <w:p w:rsidR="000C696B" w:rsidRDefault="000C696B" w:rsidP="000C696B">
      <w:pPr>
        <w:spacing w:line="360" w:lineRule="auto"/>
      </w:pPr>
    </w:p>
    <w:p w:rsidR="000C696B" w:rsidRDefault="000C696B" w:rsidP="000C696B">
      <w:pPr>
        <w:spacing w:line="360" w:lineRule="auto"/>
      </w:pPr>
    </w:p>
    <w:p w:rsidR="00570D8B" w:rsidRDefault="00C05BDE">
      <w:r>
        <w:lastRenderedPageBreak/>
        <w:t>2.  Introduction</w:t>
      </w:r>
    </w:p>
    <w:p w:rsidR="00BD06D0" w:rsidRDefault="00EE3E20">
      <w:r>
        <w:t>Protected areas are acknowledged as</w:t>
      </w:r>
      <w:r w:rsidR="00C018D7">
        <w:t xml:space="preserve"> largely</w:t>
      </w:r>
      <w:r w:rsidR="007C33AF">
        <w:t xml:space="preserve"> inadequate for the c</w:t>
      </w:r>
      <w:r w:rsidR="00BD06D0">
        <w:t>onservation of many</w:t>
      </w:r>
      <w:r w:rsidR="007C33AF">
        <w:t xml:space="preserve"> </w:t>
      </w:r>
      <w:r w:rsidR="0028747B">
        <w:t>carnivores (Kent &amp;</w:t>
      </w:r>
      <w:r w:rsidR="00466D03">
        <w:t xml:space="preserve"> Hills 2013</w:t>
      </w:r>
      <w:r w:rsidR="007C33AF">
        <w:t>)</w:t>
      </w:r>
      <w:r w:rsidR="008F0BD6">
        <w:t>.  A</w:t>
      </w:r>
      <w:r w:rsidR="00466D03">
        <w:t xml:space="preserve">s a result non-protected areas such as farmland are </w:t>
      </w:r>
      <w:r w:rsidR="00C018D7">
        <w:t>increasingly</w:t>
      </w:r>
      <w:r w:rsidR="003653E2">
        <w:t xml:space="preserve"> </w:t>
      </w:r>
      <w:r w:rsidR="00466D03">
        <w:t xml:space="preserve">recognised as important habitats for </w:t>
      </w:r>
      <w:r w:rsidR="003C38AC">
        <w:t>numerous</w:t>
      </w:r>
      <w:r w:rsidR="00466D03">
        <w:t xml:space="preserve"> species (Smith et al. 2011).  </w:t>
      </w:r>
      <w:r w:rsidR="001958F5">
        <w:t xml:space="preserve">In some areas carnivore density has been found to be higher outside of protected areas, for example </w:t>
      </w:r>
      <w:r w:rsidR="00BD06D0">
        <w:t>leopard density was si</w:t>
      </w:r>
      <w:r w:rsidR="003C38AC">
        <w:t>gnificantly higher on</w:t>
      </w:r>
      <w:r w:rsidR="00BD06D0">
        <w:t xml:space="preserve"> farmland in north central Namibia than the bordering Waterberg Plateau Park (Stein et al. 2011a).</w:t>
      </w:r>
    </w:p>
    <w:p w:rsidR="00014174" w:rsidRDefault="003653E2">
      <w:r>
        <w:tab/>
      </w:r>
      <w:r w:rsidR="008F7489">
        <w:t xml:space="preserve">Farmlands in southern </w:t>
      </w:r>
      <w:r w:rsidR="008759AB">
        <w:t>Namibia represent an unknown area</w:t>
      </w:r>
      <w:r w:rsidR="007B3E94">
        <w:t xml:space="preserve"> on</w:t>
      </w:r>
      <w:r w:rsidR="008F7489">
        <w:t xml:space="preserve"> carnivore distribution maps, and have the potential to be suitable habitat for leopards</w:t>
      </w:r>
      <w:r>
        <w:t>, given the artificially high density of</w:t>
      </w:r>
      <w:r w:rsidR="003C38AC">
        <w:t xml:space="preserve"> water sources and herbivore abundance</w:t>
      </w:r>
      <w:r>
        <w:t>.  However at the same time they are largely unsafe envi</w:t>
      </w:r>
      <w:r w:rsidR="00BD06D0">
        <w:t>ronments due to</w:t>
      </w:r>
      <w:r>
        <w:t xml:space="preserve"> </w:t>
      </w:r>
      <w:r w:rsidR="00AB5840">
        <w:t>conflict with humans (</w:t>
      </w:r>
      <w:proofErr w:type="spellStart"/>
      <w:r w:rsidR="00AB5840">
        <w:t>Henschel</w:t>
      </w:r>
      <w:proofErr w:type="spellEnd"/>
      <w:r w:rsidR="00AB5840">
        <w:t xml:space="preserve"> et al. 2008).</w:t>
      </w:r>
      <w:r w:rsidR="00687856">
        <w:t xml:space="preserve">  We used camera traps to produce the first leopard density estimates for commercial farmlands in southern Namibia.  Additionally, </w:t>
      </w:r>
      <w:r w:rsidR="003C38AC">
        <w:t>to examine the efficiency of</w:t>
      </w:r>
      <w:r w:rsidR="00687856">
        <w:t xml:space="preserve"> questionnaire</w:t>
      </w:r>
      <w:r w:rsidR="003C38AC">
        <w:t>s</w:t>
      </w:r>
      <w:r w:rsidR="00687856">
        <w:t xml:space="preserve"> for assessi</w:t>
      </w:r>
      <w:r w:rsidR="003C38AC">
        <w:t>ng</w:t>
      </w:r>
      <w:r w:rsidR="00BD06D0">
        <w:t xml:space="preserve"> population status,</w:t>
      </w:r>
      <w:r w:rsidR="00687856">
        <w:t xml:space="preserve"> </w:t>
      </w:r>
      <w:r w:rsidR="003C38AC">
        <w:t xml:space="preserve">we </w:t>
      </w:r>
      <w:r w:rsidR="00687856">
        <w:t>asked farmers to estimate leopard numbers on their land for comparison.</w:t>
      </w:r>
    </w:p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BD06D0" w:rsidRDefault="00BD06D0"/>
    <w:p w:rsidR="00570D8B" w:rsidRDefault="00570D8B"/>
    <w:p w:rsidR="0091461D" w:rsidRDefault="00C05BDE">
      <w:r>
        <w:lastRenderedPageBreak/>
        <w:t xml:space="preserve">3. </w:t>
      </w:r>
      <w:r w:rsidR="0091461D">
        <w:t>Materials and Methods</w:t>
      </w:r>
    </w:p>
    <w:p w:rsidR="00F22C9C" w:rsidRDefault="0091461D">
      <w:r>
        <w:t xml:space="preserve">The study was conducted across five commercial farmlands (Fig. 1) bordering </w:t>
      </w:r>
      <w:r w:rsidR="0004178D">
        <w:t xml:space="preserve">the eastern boundaries of </w:t>
      </w:r>
      <w:r>
        <w:t xml:space="preserve">the </w:t>
      </w:r>
      <w:r w:rsidR="007A60B5">
        <w:t>Tsau//Khaeb (</w:t>
      </w:r>
      <w:r>
        <w:t>Sperrgebiet</w:t>
      </w:r>
      <w:r w:rsidR="007A60B5">
        <w:t>)</w:t>
      </w:r>
      <w:r>
        <w:t xml:space="preserve"> or Namib-Naukluft National Parks, Karas region, southern Namibia.</w:t>
      </w:r>
      <w:r w:rsidR="003C2B36">
        <w:t xml:space="preserve">  Main farming activities were livestock production </w:t>
      </w:r>
      <w:r w:rsidR="00675294">
        <w:t xml:space="preserve">of </w:t>
      </w:r>
      <w:proofErr w:type="gramStart"/>
      <w:r w:rsidR="003C2B36">
        <w:t>either sheep</w:t>
      </w:r>
      <w:proofErr w:type="gramEnd"/>
      <w:r w:rsidR="00C018D7">
        <w:t xml:space="preserve"> </w:t>
      </w:r>
      <w:proofErr w:type="spellStart"/>
      <w:r w:rsidR="00C018D7">
        <w:rPr>
          <w:i/>
        </w:rPr>
        <w:t>Ovis</w:t>
      </w:r>
      <w:proofErr w:type="spellEnd"/>
      <w:r w:rsidR="00C018D7">
        <w:rPr>
          <w:i/>
        </w:rPr>
        <w:t xml:space="preserve"> </w:t>
      </w:r>
      <w:proofErr w:type="spellStart"/>
      <w:r w:rsidR="00C018D7">
        <w:rPr>
          <w:i/>
        </w:rPr>
        <w:t>aries</w:t>
      </w:r>
      <w:proofErr w:type="spellEnd"/>
      <w:r w:rsidR="003C2B36">
        <w:t>, cattle</w:t>
      </w:r>
      <w:r w:rsidR="00C018D7">
        <w:t xml:space="preserve"> </w:t>
      </w:r>
      <w:proofErr w:type="spellStart"/>
      <w:r w:rsidR="00C018D7">
        <w:rPr>
          <w:i/>
        </w:rPr>
        <w:t>Bos</w:t>
      </w:r>
      <w:proofErr w:type="spellEnd"/>
      <w:r w:rsidR="00C018D7">
        <w:rPr>
          <w:i/>
        </w:rPr>
        <w:t xml:space="preserve"> </w:t>
      </w:r>
      <w:proofErr w:type="spellStart"/>
      <w:r w:rsidR="00C018D7">
        <w:rPr>
          <w:i/>
        </w:rPr>
        <w:t>taurus</w:t>
      </w:r>
      <w:proofErr w:type="spellEnd"/>
      <w:r w:rsidR="003C38AC">
        <w:t xml:space="preserve"> or</w:t>
      </w:r>
      <w:r w:rsidR="00BD06D0">
        <w:t xml:space="preserve"> game (</w:t>
      </w:r>
      <w:proofErr w:type="spellStart"/>
      <w:r w:rsidR="00BD06D0">
        <w:t>oryx</w:t>
      </w:r>
      <w:proofErr w:type="spellEnd"/>
      <w:r w:rsidR="00C018D7">
        <w:t xml:space="preserve"> </w:t>
      </w:r>
      <w:r w:rsidR="00C018D7">
        <w:rPr>
          <w:i/>
        </w:rPr>
        <w:t xml:space="preserve">Oryx </w:t>
      </w:r>
      <w:proofErr w:type="spellStart"/>
      <w:r w:rsidR="00C018D7">
        <w:rPr>
          <w:i/>
        </w:rPr>
        <w:t>gazella</w:t>
      </w:r>
      <w:proofErr w:type="spellEnd"/>
      <w:r w:rsidR="003C2B36">
        <w:t xml:space="preserve"> and springbok</w:t>
      </w:r>
      <w:r w:rsidR="00C018D7">
        <w:t xml:space="preserve"> </w:t>
      </w:r>
      <w:proofErr w:type="spellStart"/>
      <w:r w:rsidR="00C018D7">
        <w:rPr>
          <w:i/>
        </w:rPr>
        <w:t>Antidorcas</w:t>
      </w:r>
      <w:proofErr w:type="spellEnd"/>
      <w:r w:rsidR="00C018D7">
        <w:rPr>
          <w:i/>
        </w:rPr>
        <w:t xml:space="preserve"> </w:t>
      </w:r>
      <w:proofErr w:type="spellStart"/>
      <w:r w:rsidR="00C018D7">
        <w:rPr>
          <w:i/>
        </w:rPr>
        <w:t>marsupalis</w:t>
      </w:r>
      <w:proofErr w:type="spellEnd"/>
      <w:r w:rsidR="00880035">
        <w:t xml:space="preserve">).  </w:t>
      </w:r>
      <w:r w:rsidR="00880035" w:rsidRPr="0078140B">
        <w:t>Density of artificial water points differed between the two sites (north = 1.85/100 km</w:t>
      </w:r>
      <w:r w:rsidR="00880035" w:rsidRPr="0078140B">
        <w:rPr>
          <w:vertAlign w:val="superscript"/>
        </w:rPr>
        <w:t>2</w:t>
      </w:r>
      <w:r w:rsidR="00880035" w:rsidRPr="0078140B">
        <w:t>, south = 5.44/100 km</w:t>
      </w:r>
      <w:r w:rsidR="00880035" w:rsidRPr="0078140B">
        <w:rPr>
          <w:vertAlign w:val="superscript"/>
        </w:rPr>
        <w:t>2</w:t>
      </w:r>
      <w:r w:rsidR="00880035" w:rsidRPr="0078140B">
        <w:t>).</w:t>
      </w:r>
      <w:r w:rsidR="00880035">
        <w:t xml:space="preserve"> </w:t>
      </w:r>
      <w:r w:rsidR="003C2B36">
        <w:t xml:space="preserve"> </w:t>
      </w:r>
      <w:r w:rsidR="007A60B5">
        <w:t xml:space="preserve">During </w:t>
      </w:r>
      <w:r w:rsidR="00562F31">
        <w:t>the study farmers were asked to estimat</w:t>
      </w:r>
      <w:r w:rsidR="007B3E94">
        <w:t>e the number of leopards</w:t>
      </w:r>
      <w:r w:rsidR="00562F31">
        <w:t xml:space="preserve"> on their property.</w:t>
      </w:r>
    </w:p>
    <w:p w:rsidR="00CD4C53" w:rsidRDefault="00A16323">
      <w:r>
        <w:tab/>
      </w:r>
      <w:r w:rsidR="00FA6A27">
        <w:t>Fifty one</w:t>
      </w:r>
      <w:r w:rsidR="008759AB">
        <w:t xml:space="preserve"> camera trap</w:t>
      </w:r>
      <w:r w:rsidR="00FA6A27">
        <w:t xml:space="preserve"> </w:t>
      </w:r>
      <w:r w:rsidR="00F22C9C">
        <w:t>stations were set up at natural and artificial water sources (</w:t>
      </w:r>
      <w:r>
        <w:t xml:space="preserve">north </w:t>
      </w:r>
      <w:r w:rsidR="00F22C9C">
        <w:t>n=</w:t>
      </w:r>
      <w:r w:rsidR="00632AA8">
        <w:t xml:space="preserve"> </w:t>
      </w:r>
      <w:r w:rsidR="006E1F94">
        <w:t>2</w:t>
      </w:r>
      <w:r w:rsidR="007B3E94">
        <w:t>, south</w:t>
      </w:r>
      <w:r>
        <w:t xml:space="preserve"> </w:t>
      </w:r>
      <w:r w:rsidR="00F22C9C">
        <w:t>n=</w:t>
      </w:r>
      <w:r w:rsidR="00632AA8">
        <w:t xml:space="preserve"> </w:t>
      </w:r>
      <w:r w:rsidR="00F22C9C">
        <w:t>13), and along game trails and roads (</w:t>
      </w:r>
      <w:r>
        <w:t xml:space="preserve">north </w:t>
      </w:r>
      <w:r w:rsidR="00F22C9C">
        <w:t>n=19</w:t>
      </w:r>
      <w:r>
        <w:t>, south</w:t>
      </w:r>
      <w:r w:rsidR="00F22C9C">
        <w:t xml:space="preserve"> n=</w:t>
      </w:r>
      <w:r w:rsidR="00632AA8">
        <w:t xml:space="preserve"> </w:t>
      </w:r>
      <w:r w:rsidR="00F22C9C">
        <w:t>17)</w:t>
      </w:r>
      <w:r w:rsidR="00562F31">
        <w:t xml:space="preserve"> </w:t>
      </w:r>
      <w:r w:rsidR="003C2914">
        <w:t>spaced 3.5</w:t>
      </w:r>
      <w:r w:rsidR="0059553B">
        <w:t xml:space="preserve"> </w:t>
      </w:r>
      <w:r w:rsidR="003C2914">
        <w:t>-</w:t>
      </w:r>
      <w:r w:rsidR="0059553B">
        <w:t xml:space="preserve"> </w:t>
      </w:r>
      <w:r w:rsidR="000767A7">
        <w:t>4</w:t>
      </w:r>
      <w:r w:rsidR="003C2914">
        <w:t xml:space="preserve"> </w:t>
      </w:r>
      <w:r w:rsidR="000767A7">
        <w:t>km apart</w:t>
      </w:r>
      <w:r w:rsidR="000767A7" w:rsidRPr="0078140B">
        <w:t>.</w:t>
      </w:r>
      <w:r w:rsidR="00880035" w:rsidRPr="0078140B">
        <w:t xml:space="preserve">  </w:t>
      </w:r>
      <w:proofErr w:type="gramStart"/>
      <w:r w:rsidR="00880035" w:rsidRPr="0078140B">
        <w:t>Number of traps were</w:t>
      </w:r>
      <w:proofErr w:type="gramEnd"/>
      <w:r w:rsidR="00880035" w:rsidRPr="0078140B">
        <w:t xml:space="preserve"> proportional to study site size.</w:t>
      </w:r>
      <w:r w:rsidR="00F22C9C" w:rsidRPr="0078140B">
        <w:t xml:space="preserve">  </w:t>
      </w:r>
      <w:r w:rsidR="00FA6A27" w:rsidRPr="0078140B">
        <w:t>S</w:t>
      </w:r>
      <w:r w:rsidR="00F22C9C" w:rsidRPr="0078140B">
        <w:t>tations</w:t>
      </w:r>
      <w:r w:rsidR="0059553B">
        <w:t xml:space="preserve"> at water consisted of a</w:t>
      </w:r>
      <w:r w:rsidR="00F22C9C">
        <w:t xml:space="preserve"> Scoutguard SG560V (</w:t>
      </w:r>
      <w:r w:rsidR="00562F31">
        <w:t>HCO Outdoors, Georgia, USA</w:t>
      </w:r>
      <w:r w:rsidR="00F22C9C">
        <w:t xml:space="preserve">) </w:t>
      </w:r>
      <w:r w:rsidR="00675294">
        <w:t>mounted in a wire ca</w:t>
      </w:r>
      <w:r w:rsidR="0059553B">
        <w:t>ge</w:t>
      </w:r>
      <w:r w:rsidR="008F0BD6">
        <w:t xml:space="preserve">. </w:t>
      </w:r>
      <w:r w:rsidR="003C2914">
        <w:t xml:space="preserve"> </w:t>
      </w:r>
      <w:r w:rsidR="006E306A">
        <w:t>Scoutguards were programmed</w:t>
      </w:r>
      <w:r w:rsidR="008F0BD6">
        <w:t xml:space="preserve"> to</w:t>
      </w:r>
      <w:r w:rsidR="00F22C9C">
        <w:t xml:space="preserve"> t</w:t>
      </w:r>
      <w:r w:rsidR="004B5670">
        <w:t>ake one photo per trigger with a mi</w:t>
      </w:r>
      <w:r>
        <w:t xml:space="preserve">nute delay </w:t>
      </w:r>
      <w:r w:rsidR="00B74997">
        <w:t>at</w:t>
      </w:r>
      <w:r w:rsidR="004B5670">
        <w:t xml:space="preserve"> normal sensitivity.  </w:t>
      </w:r>
      <w:r w:rsidR="00562F31">
        <w:t xml:space="preserve">Stations along roads consisted of two </w:t>
      </w:r>
      <w:proofErr w:type="spellStart"/>
      <w:r w:rsidR="004B5670">
        <w:t>Reconyx</w:t>
      </w:r>
      <w:proofErr w:type="spellEnd"/>
      <w:r w:rsidR="004B5670">
        <w:t xml:space="preserve"> HC600 (</w:t>
      </w:r>
      <w:proofErr w:type="spellStart"/>
      <w:r w:rsidR="004B5670">
        <w:t>Reconyx</w:t>
      </w:r>
      <w:proofErr w:type="spellEnd"/>
      <w:r w:rsidR="004B5670">
        <w:t xml:space="preserve"> </w:t>
      </w:r>
      <w:proofErr w:type="spellStart"/>
      <w:r w:rsidR="004B5670">
        <w:t>Inc</w:t>
      </w:r>
      <w:proofErr w:type="spellEnd"/>
      <w:r w:rsidR="004B5670">
        <w:t xml:space="preserve">, </w:t>
      </w:r>
      <w:proofErr w:type="spellStart"/>
      <w:r w:rsidR="004B5670">
        <w:t>Holeman</w:t>
      </w:r>
      <w:proofErr w:type="spellEnd"/>
      <w:r w:rsidR="004B5670">
        <w:t>, Wisconsin, USA)</w:t>
      </w:r>
      <w:r w:rsidR="006E1F94">
        <w:t xml:space="preserve"> opposite each other</w:t>
      </w:r>
      <w:r w:rsidR="00562F31">
        <w:t xml:space="preserve">.  </w:t>
      </w:r>
      <w:r w:rsidR="008D4B18">
        <w:t>Reconyx</w:t>
      </w:r>
      <w:r w:rsidR="00562F31">
        <w:t xml:space="preserve"> </w:t>
      </w:r>
      <w:r w:rsidR="006E1F94">
        <w:t xml:space="preserve">took </w:t>
      </w:r>
      <w:r w:rsidR="00562F31">
        <w:t xml:space="preserve">five photos per trigger, with no delay </w:t>
      </w:r>
      <w:r w:rsidR="00EE6CB5">
        <w:t>and</w:t>
      </w:r>
      <w:r w:rsidR="00B74997">
        <w:t xml:space="preserve"> medium sensitivity</w:t>
      </w:r>
      <w:r w:rsidR="00562F31">
        <w:t xml:space="preserve">.  </w:t>
      </w:r>
      <w:r w:rsidR="00FA6A27">
        <w:tab/>
      </w:r>
      <w:r w:rsidR="004C2F57">
        <w:t xml:space="preserve"> </w:t>
      </w:r>
    </w:p>
    <w:p w:rsidR="00562F31" w:rsidRDefault="00CD4C53">
      <w:r>
        <w:tab/>
      </w:r>
      <w:r w:rsidR="0027600D">
        <w:t xml:space="preserve">Following </w:t>
      </w:r>
      <w:r>
        <w:t>recommendation</w:t>
      </w:r>
      <w:r w:rsidR="0027600D">
        <w:t>s</w:t>
      </w:r>
      <w:r>
        <w:t xml:space="preserve"> of </w:t>
      </w:r>
      <w:proofErr w:type="spellStart"/>
      <w:r>
        <w:t>Karanth</w:t>
      </w:r>
      <w:proofErr w:type="spellEnd"/>
      <w:r>
        <w:t xml:space="preserve"> and Nichols (1998), a </w:t>
      </w:r>
      <w:r w:rsidR="00500B65">
        <w:t>survey length</w:t>
      </w:r>
      <w:r>
        <w:t xml:space="preserve"> of 60 days</w:t>
      </w:r>
      <w:r w:rsidR="0059553B">
        <w:t xml:space="preserve"> (29th May - 28th July 2013)</w:t>
      </w:r>
      <w:r>
        <w:t xml:space="preserve"> was used, which should meet the </w:t>
      </w:r>
      <w:r w:rsidR="008759AB">
        <w:t>demographic closure assumption</w:t>
      </w:r>
      <w:r w:rsidR="004C2F57">
        <w:t>.</w:t>
      </w:r>
      <w:r w:rsidR="000767A7">
        <w:t xml:space="preserve">  </w:t>
      </w:r>
      <w:r w:rsidR="00606C8D">
        <w:t>Adult l</w:t>
      </w:r>
      <w:r w:rsidR="000767A7">
        <w:t xml:space="preserve">eopard images were </w:t>
      </w:r>
      <w:r w:rsidR="00606C8D">
        <w:t>identifie</w:t>
      </w:r>
      <w:r w:rsidR="0059553B">
        <w:t>d to individual using</w:t>
      </w:r>
      <w:r w:rsidR="00606C8D">
        <w:t xml:space="preserve"> pelage patterns.  Images where identity could not be confirmed were discarded</w:t>
      </w:r>
      <w:r w:rsidR="00631E6A">
        <w:t xml:space="preserve"> (north n=2, south n=3)</w:t>
      </w:r>
      <w:r w:rsidR="00606C8D">
        <w:t>.</w:t>
      </w:r>
      <w:r w:rsidR="00D82D80">
        <w:t xml:space="preserve">  </w:t>
      </w:r>
      <w:r w:rsidR="00606C8D">
        <w:t>Indivi</w:t>
      </w:r>
      <w:r w:rsidR="005523A8">
        <w:t>dual capture histories were</w:t>
      </w:r>
      <w:r w:rsidR="00606C8D">
        <w:t xml:space="preserve"> constructed, using each day as a sampling period</w:t>
      </w:r>
      <w:r w:rsidR="00631E6A">
        <w:t xml:space="preserve"> in a </w:t>
      </w:r>
      <w:r w:rsidR="00631E6A">
        <w:rPr>
          <w:rFonts w:ascii="Calibri" w:hAnsi="Calibri"/>
          <w:bCs/>
          <w:color w:val="000000"/>
        </w:rPr>
        <w:t xml:space="preserve">standard X-matrix format, </w:t>
      </w:r>
      <w:r w:rsidR="00606C8D">
        <w:t xml:space="preserve">and entered into programme CAPTURE (Rexstadt and Burnham </w:t>
      </w:r>
      <w:r w:rsidR="0097333D">
        <w:t>1991)</w:t>
      </w:r>
      <w:r w:rsidR="00606C8D">
        <w:t>.</w:t>
      </w:r>
      <w:r w:rsidR="00D53C78">
        <w:t xml:space="preserve"> </w:t>
      </w:r>
      <w:r w:rsidR="00606C8D">
        <w:t xml:space="preserve"> Density was estimated by placing a buffer with radius equal to the half mean maximum distance moved </w:t>
      </w:r>
      <w:r w:rsidR="00DD0567">
        <w:t xml:space="preserve">(1/2MMDM) </w:t>
      </w:r>
      <w:r w:rsidR="00606C8D">
        <w:t>by recapture</w:t>
      </w:r>
      <w:r w:rsidR="0097333D">
        <w:t xml:space="preserve">d individuals </w:t>
      </w:r>
      <w:r w:rsidR="00631E6A">
        <w:t>to calculat</w:t>
      </w:r>
      <w:r w:rsidR="003C2914">
        <w:t xml:space="preserve">e the </w:t>
      </w:r>
      <w:r w:rsidR="0097333D">
        <w:t xml:space="preserve">area covered by </w:t>
      </w:r>
      <w:r w:rsidR="00631E6A">
        <w:t>camera traps.</w:t>
      </w:r>
    </w:p>
    <w:p w:rsidR="00570D8B" w:rsidRDefault="00570D8B">
      <w:pPr>
        <w:rPr>
          <w:b/>
        </w:rPr>
      </w:pPr>
    </w:p>
    <w:p w:rsidR="00570D8B" w:rsidRDefault="00570D8B">
      <w:pPr>
        <w:rPr>
          <w:b/>
        </w:rPr>
      </w:pPr>
    </w:p>
    <w:p w:rsidR="00570D8B" w:rsidRDefault="00570D8B">
      <w:pPr>
        <w:rPr>
          <w:b/>
        </w:rPr>
      </w:pPr>
    </w:p>
    <w:p w:rsidR="00570D8B" w:rsidRDefault="00570D8B">
      <w:pPr>
        <w:rPr>
          <w:b/>
        </w:rPr>
      </w:pPr>
    </w:p>
    <w:p w:rsidR="00570D8B" w:rsidRDefault="00570D8B">
      <w:pPr>
        <w:rPr>
          <w:b/>
        </w:rPr>
      </w:pPr>
    </w:p>
    <w:p w:rsidR="00570D8B" w:rsidRDefault="00570D8B">
      <w:pPr>
        <w:rPr>
          <w:b/>
        </w:rPr>
      </w:pPr>
    </w:p>
    <w:p w:rsidR="0097333D" w:rsidRDefault="0097333D">
      <w:pPr>
        <w:rPr>
          <w:b/>
        </w:rPr>
      </w:pPr>
    </w:p>
    <w:p w:rsidR="00570D8B" w:rsidRDefault="00570D8B">
      <w:pPr>
        <w:rPr>
          <w:b/>
        </w:rPr>
      </w:pPr>
    </w:p>
    <w:p w:rsidR="00570D8B" w:rsidRDefault="00570D8B">
      <w:pPr>
        <w:rPr>
          <w:b/>
        </w:rPr>
      </w:pPr>
    </w:p>
    <w:p w:rsidR="00570D8B" w:rsidRDefault="00570D8B">
      <w:pPr>
        <w:rPr>
          <w:b/>
        </w:rPr>
      </w:pPr>
    </w:p>
    <w:p w:rsidR="00230092" w:rsidRDefault="00230092">
      <w:pPr>
        <w:rPr>
          <w:b/>
        </w:rPr>
      </w:pPr>
    </w:p>
    <w:p w:rsidR="00570D8B" w:rsidRDefault="00570D8B">
      <w:pPr>
        <w:rPr>
          <w:b/>
        </w:rPr>
      </w:pPr>
    </w:p>
    <w:p w:rsidR="00631E6A" w:rsidRPr="00C05BDE" w:rsidRDefault="00C05BDE">
      <w:r>
        <w:lastRenderedPageBreak/>
        <w:t xml:space="preserve">4. </w:t>
      </w:r>
      <w:r w:rsidR="00631E6A" w:rsidRPr="00C05BDE">
        <w:t>Results</w:t>
      </w:r>
    </w:p>
    <w:p w:rsidR="00DD0567" w:rsidRDefault="00631E6A">
      <w:r>
        <w:t xml:space="preserve">A total of </w:t>
      </w:r>
      <w:r w:rsidR="00D82D80">
        <w:t>28 identifiable leopard images were captured across the two sites (Table 1).  Three adult</w:t>
      </w:r>
      <w:r w:rsidR="0027600D">
        <w:t xml:space="preserve"> individuals were detected at</w:t>
      </w:r>
      <w:r w:rsidR="00D82D80">
        <w:t xml:space="preserve"> the northern sites</w:t>
      </w:r>
      <w:r w:rsidR="002D0677">
        <w:t>,</w:t>
      </w:r>
      <w:r w:rsidR="00D82D80">
        <w:t xml:space="preserve"> </w:t>
      </w:r>
      <w:r w:rsidR="00B74997">
        <w:t>whilst five</w:t>
      </w:r>
      <w:r w:rsidR="00D82D80">
        <w:t xml:space="preserve"> individuals</w:t>
      </w:r>
      <w:r w:rsidR="0078140B">
        <w:t xml:space="preserve"> </w:t>
      </w:r>
      <w:r w:rsidR="0027600D">
        <w:t>were recorded in the south</w:t>
      </w:r>
      <w:r w:rsidR="0078140B">
        <w:t>, not all individuals were recaptured</w:t>
      </w:r>
      <w:r w:rsidR="0027600D">
        <w:t xml:space="preserve">.  </w:t>
      </w:r>
      <w:r w:rsidR="00DD0567">
        <w:t>CAPTURE suggested the best models to be heterogeneity (</w:t>
      </w:r>
      <w:proofErr w:type="spellStart"/>
      <w:r w:rsidR="00DD0567">
        <w:t>Mh</w:t>
      </w:r>
      <w:proofErr w:type="spellEnd"/>
      <w:r w:rsidR="00DD0567">
        <w:t>) for the northern sites and the null model (Mo) for the southern sites, and estimated 4 (SE=1.15</w:t>
      </w:r>
      <w:r w:rsidR="00CD75B3">
        <w:t>, 95</w:t>
      </w:r>
      <w:r w:rsidR="00632AA8">
        <w:t xml:space="preserve"> </w:t>
      </w:r>
      <w:r w:rsidR="00CD75B3">
        <w:t>% CI 4-11</w:t>
      </w:r>
      <w:r w:rsidR="00DD0567">
        <w:t>) and 5 (SE=0.41</w:t>
      </w:r>
      <w:r w:rsidR="00CD75B3">
        <w:t>, 95</w:t>
      </w:r>
      <w:r w:rsidR="00632AA8">
        <w:t xml:space="preserve"> </w:t>
      </w:r>
      <w:r w:rsidR="00CD75B3">
        <w:t>% CI 5-5</w:t>
      </w:r>
      <w:r w:rsidR="00DD0567">
        <w:t>) at the northern and southern sites respectively.  1/2MMDM varie</w:t>
      </w:r>
      <w:r w:rsidR="00423A57">
        <w:t>d between the two sites</w:t>
      </w:r>
      <w:r w:rsidR="00DD0567">
        <w:t>; at the northern sites a distance of 4.3</w:t>
      </w:r>
      <w:r w:rsidR="00632AA8">
        <w:t xml:space="preserve"> </w:t>
      </w:r>
      <w:r w:rsidR="00DD0567">
        <w:t>km covered a total of 428.92</w:t>
      </w:r>
      <w:r w:rsidR="00632AA8">
        <w:t xml:space="preserve"> </w:t>
      </w:r>
      <w:r w:rsidR="00DD0567">
        <w:t>km</w:t>
      </w:r>
      <w:r w:rsidR="00DD0567" w:rsidRPr="00DD0567">
        <w:rPr>
          <w:vertAlign w:val="superscript"/>
        </w:rPr>
        <w:t>2</w:t>
      </w:r>
      <w:r w:rsidR="00DD0567">
        <w:t xml:space="preserve"> producing a density of 0.9 leopards/100</w:t>
      </w:r>
      <w:r w:rsidR="00632AA8">
        <w:t xml:space="preserve"> </w:t>
      </w:r>
      <w:r w:rsidR="00DD0567">
        <w:t>km</w:t>
      </w:r>
      <w:r w:rsidR="00DD0567" w:rsidRPr="003D6140">
        <w:rPr>
          <w:vertAlign w:val="superscript"/>
        </w:rPr>
        <w:t>2</w:t>
      </w:r>
      <w:r w:rsidR="00DD0567">
        <w:t>, whilst a 1/2MMDM of 6.88</w:t>
      </w:r>
      <w:r w:rsidR="00632AA8">
        <w:t xml:space="preserve"> </w:t>
      </w:r>
      <w:r w:rsidR="00DD0567">
        <w:t>km at the southern sites covered an area of 852.01</w:t>
      </w:r>
      <w:r w:rsidR="00632AA8">
        <w:t xml:space="preserve"> </w:t>
      </w:r>
      <w:r w:rsidR="00DD0567">
        <w:t>km</w:t>
      </w:r>
      <w:r w:rsidR="00DD0567" w:rsidRPr="003D6140">
        <w:rPr>
          <w:vertAlign w:val="superscript"/>
        </w:rPr>
        <w:t>2</w:t>
      </w:r>
      <w:r w:rsidR="00DD0567">
        <w:t xml:space="preserve"> producing a density of 0.59 leopards/100</w:t>
      </w:r>
      <w:r w:rsidR="00632AA8">
        <w:t xml:space="preserve"> </w:t>
      </w:r>
      <w:r w:rsidR="00DD0567">
        <w:t>km</w:t>
      </w:r>
      <w:r w:rsidR="00DD0567" w:rsidRPr="00DD0567">
        <w:rPr>
          <w:vertAlign w:val="superscript"/>
        </w:rPr>
        <w:t>2</w:t>
      </w:r>
      <w:r w:rsidR="00DD0567">
        <w:t>.</w:t>
      </w:r>
      <w:r w:rsidR="009F6FFC">
        <w:t xml:space="preserve">  Accuracy of farmer estimates of leopard numbers compared to the number generated by camera trap data varied between farmers (Fig. 2)</w:t>
      </w:r>
      <w:r w:rsidR="00106CA0">
        <w:t>.</w:t>
      </w:r>
    </w:p>
    <w:p w:rsidR="00106CA0" w:rsidRDefault="00106CA0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675294" w:rsidRDefault="00675294"/>
    <w:p w:rsidR="009F6FFC" w:rsidRPr="00C05BDE" w:rsidRDefault="00C05BDE">
      <w:r>
        <w:lastRenderedPageBreak/>
        <w:t xml:space="preserve">5. </w:t>
      </w:r>
      <w:r w:rsidR="003D6140" w:rsidRPr="00C05BDE">
        <w:t>Discussion</w:t>
      </w:r>
    </w:p>
    <w:p w:rsidR="00440C1B" w:rsidRDefault="002147CB" w:rsidP="00440C1B">
      <w:r>
        <w:t>A mean leopard density of 1.2 leopards/100</w:t>
      </w:r>
      <w:r w:rsidR="00632AA8">
        <w:t xml:space="preserve"> </w:t>
      </w:r>
      <w:r>
        <w:t>km</w:t>
      </w:r>
      <w:r w:rsidRPr="002147CB">
        <w:rPr>
          <w:vertAlign w:val="superscript"/>
        </w:rPr>
        <w:t xml:space="preserve">2 </w:t>
      </w:r>
      <w:r>
        <w:t xml:space="preserve">is categorised as low in Namibia (Stein et al. 2011b), and our results from both sites are even lower.  </w:t>
      </w:r>
      <w:r w:rsidR="00423A57">
        <w:t>This</w:t>
      </w:r>
      <w:r w:rsidR="0058700C">
        <w:t xml:space="preserve"> is not surprising given</w:t>
      </w:r>
      <w:r w:rsidR="00B74997">
        <w:t xml:space="preserve"> that</w:t>
      </w:r>
      <w:r w:rsidR="002D0677">
        <w:t xml:space="preserve"> sub-Saharan</w:t>
      </w:r>
      <w:r w:rsidR="0058700C">
        <w:t xml:space="preserve"> l</w:t>
      </w:r>
      <w:r w:rsidR="00440C1B">
        <w:t>eopard density is positively corr</w:t>
      </w:r>
      <w:r w:rsidR="0028747B">
        <w:t>elated with rainfall (Martin &amp;</w:t>
      </w:r>
      <w:r w:rsidR="00440C1B">
        <w:t xml:space="preserve"> de </w:t>
      </w:r>
      <w:proofErr w:type="spellStart"/>
      <w:r w:rsidR="00440C1B">
        <w:t>Meulanaer</w:t>
      </w:r>
      <w:proofErr w:type="spellEnd"/>
      <w:r w:rsidR="00440C1B">
        <w:t xml:space="preserve"> 1988), with arid conditions </w:t>
      </w:r>
      <w:r w:rsidR="002D0677">
        <w:t xml:space="preserve">producing </w:t>
      </w:r>
      <w:r w:rsidR="00440C1B">
        <w:t xml:space="preserve">low density </w:t>
      </w:r>
      <w:r w:rsidR="00B74997">
        <w:t xml:space="preserve">populations </w:t>
      </w:r>
      <w:r w:rsidR="00440C1B">
        <w:t>with large home ran</w:t>
      </w:r>
      <w:r w:rsidR="0028747B">
        <w:t>ges (</w:t>
      </w:r>
      <w:proofErr w:type="spellStart"/>
      <w:r w:rsidR="0028747B">
        <w:t>Mizutani</w:t>
      </w:r>
      <w:proofErr w:type="spellEnd"/>
      <w:r w:rsidR="0028747B">
        <w:t xml:space="preserve"> &amp; </w:t>
      </w:r>
      <w:r w:rsidR="0058700C">
        <w:t xml:space="preserve">Jewell 1998).  </w:t>
      </w:r>
      <w:r w:rsidR="00440C1B">
        <w:t>O</w:t>
      </w:r>
      <w:r w:rsidR="00B74997">
        <w:t xml:space="preserve">ur results are similar to </w:t>
      </w:r>
      <w:r w:rsidR="00440C1B">
        <w:t xml:space="preserve">density estimates from </w:t>
      </w:r>
      <w:r w:rsidR="00E046C4">
        <w:t xml:space="preserve">other </w:t>
      </w:r>
      <w:r w:rsidR="00440C1B">
        <w:t>arid areas; 1.0/100</w:t>
      </w:r>
      <w:r w:rsidR="00632AA8">
        <w:t xml:space="preserve"> </w:t>
      </w:r>
      <w:r w:rsidR="00440C1B">
        <w:t>km</w:t>
      </w:r>
      <w:r w:rsidR="00440C1B" w:rsidRPr="00C4560E">
        <w:rPr>
          <w:vertAlign w:val="superscript"/>
        </w:rPr>
        <w:t>2</w:t>
      </w:r>
      <w:r w:rsidR="00440C1B">
        <w:t xml:space="preserve"> on commercial farmlands north central Namibia</w:t>
      </w:r>
      <w:r w:rsidR="00440C1B" w:rsidRPr="00C4560E">
        <w:rPr>
          <w:vertAlign w:val="superscript"/>
        </w:rPr>
        <w:t xml:space="preserve"> </w:t>
      </w:r>
      <w:r w:rsidR="00466D03">
        <w:t>(Stein et al. 2011a</w:t>
      </w:r>
      <w:r w:rsidR="00440C1B">
        <w:t>),</w:t>
      </w:r>
      <w:r w:rsidR="00440C1B" w:rsidRPr="00F90AFC">
        <w:t xml:space="preserve"> </w:t>
      </w:r>
      <w:r w:rsidR="00440C1B">
        <w:t>1.3/100</w:t>
      </w:r>
      <w:r w:rsidR="00632AA8">
        <w:t xml:space="preserve"> </w:t>
      </w:r>
      <w:r w:rsidR="00440C1B">
        <w:t>km</w:t>
      </w:r>
      <w:r w:rsidR="00440C1B" w:rsidRPr="00440C1B">
        <w:rPr>
          <w:vertAlign w:val="superscript"/>
        </w:rPr>
        <w:t>2</w:t>
      </w:r>
      <w:r w:rsidR="0028747B">
        <w:t xml:space="preserve"> in the Kalahari (</w:t>
      </w:r>
      <w:proofErr w:type="spellStart"/>
      <w:r w:rsidR="0028747B">
        <w:t>Bothma</w:t>
      </w:r>
      <w:proofErr w:type="spellEnd"/>
      <w:r w:rsidR="0028747B">
        <w:t xml:space="preserve"> &amp;</w:t>
      </w:r>
      <w:r w:rsidR="00440C1B">
        <w:t xml:space="preserve"> Le Riche 1984), and</w:t>
      </w:r>
      <w:r w:rsidR="00440C1B" w:rsidRPr="00F90AFC">
        <w:t xml:space="preserve"> </w:t>
      </w:r>
      <w:r w:rsidR="00440C1B">
        <w:t>1.5/100</w:t>
      </w:r>
      <w:r w:rsidR="00632AA8">
        <w:t xml:space="preserve"> </w:t>
      </w:r>
      <w:r w:rsidR="00440C1B">
        <w:t>km</w:t>
      </w:r>
      <w:r w:rsidR="00440C1B" w:rsidRPr="00F90AFC">
        <w:rPr>
          <w:vertAlign w:val="superscript"/>
        </w:rPr>
        <w:t>2</w:t>
      </w:r>
      <w:r w:rsidR="00440C1B">
        <w:t xml:space="preserve"> north eastern Namibia (Stander et al. 1997).  </w:t>
      </w:r>
    </w:p>
    <w:p w:rsidR="006E306A" w:rsidRDefault="00E046C4" w:rsidP="00440C1B">
      <w:r>
        <w:tab/>
      </w:r>
      <w:r w:rsidRPr="0078140B">
        <w:t xml:space="preserve">Foster and </w:t>
      </w:r>
      <w:proofErr w:type="spellStart"/>
      <w:r w:rsidRPr="0078140B">
        <w:t>Harmsen</w:t>
      </w:r>
      <w:proofErr w:type="spellEnd"/>
      <w:r w:rsidRPr="0078140B">
        <w:t xml:space="preserve"> (2012) noted small sample sizes</w:t>
      </w:r>
      <w:r w:rsidR="007D43D5" w:rsidRPr="0078140B">
        <w:t xml:space="preserve"> and limited recaptures</w:t>
      </w:r>
      <w:r w:rsidRPr="0078140B">
        <w:t xml:space="preserve"> are associated with low precision</w:t>
      </w:r>
      <w:r w:rsidR="007D43D5" w:rsidRPr="0078140B">
        <w:t>.</w:t>
      </w:r>
      <w:r w:rsidR="00207CC9" w:rsidRPr="0078140B">
        <w:t xml:space="preserve">  The northern estimate showed relatively wide 95</w:t>
      </w:r>
      <w:r w:rsidR="00312AC6" w:rsidRPr="0078140B">
        <w:t xml:space="preserve"> </w:t>
      </w:r>
      <w:r w:rsidR="00207CC9" w:rsidRPr="0078140B">
        <w:t xml:space="preserve">% confidence intervals </w:t>
      </w:r>
      <w:r w:rsidR="00803671" w:rsidRPr="0078140B">
        <w:t>of 4</w:t>
      </w:r>
      <w:r w:rsidR="002D0677">
        <w:t xml:space="preserve"> </w:t>
      </w:r>
      <w:r w:rsidR="00803671" w:rsidRPr="0078140B">
        <w:t>-</w:t>
      </w:r>
      <w:r w:rsidR="002D0677">
        <w:t xml:space="preserve"> </w:t>
      </w:r>
      <w:r w:rsidR="00803671" w:rsidRPr="0078140B">
        <w:t xml:space="preserve">11 individuals, </w:t>
      </w:r>
      <w:r w:rsidR="00207CC9" w:rsidRPr="0078140B">
        <w:t xml:space="preserve">which using the lower and upper limits would produce density estimates in both the low and medium density categories </w:t>
      </w:r>
      <w:r w:rsidR="00AB767F" w:rsidRPr="0078140B">
        <w:t>of</w:t>
      </w:r>
      <w:r w:rsidR="00803671" w:rsidRPr="0078140B">
        <w:t xml:space="preserve"> </w:t>
      </w:r>
      <w:r w:rsidR="00466D03" w:rsidRPr="0078140B">
        <w:t xml:space="preserve">Stein et al. </w:t>
      </w:r>
      <w:r w:rsidR="00803671" w:rsidRPr="0078140B">
        <w:t>(</w:t>
      </w:r>
      <w:r w:rsidR="00466D03" w:rsidRPr="0078140B">
        <w:t>2011b</w:t>
      </w:r>
      <w:r w:rsidR="00207CC9" w:rsidRPr="0078140B">
        <w:t xml:space="preserve">).  </w:t>
      </w:r>
      <w:r w:rsidR="006E306A" w:rsidRPr="0078140B">
        <w:t>Such a range</w:t>
      </w:r>
      <w:r w:rsidR="00312AC6" w:rsidRPr="0078140B">
        <w:t xml:space="preserve"> could be due to the fact not </w:t>
      </w:r>
      <w:r w:rsidR="002D0677">
        <w:t>all individuals were recaptured.  A</w:t>
      </w:r>
      <w:r w:rsidR="00FA31FA" w:rsidRPr="0078140B">
        <w:t xml:space="preserve">s an </w:t>
      </w:r>
      <w:r w:rsidR="006547AB" w:rsidRPr="0078140B">
        <w:t xml:space="preserve">alternative </w:t>
      </w:r>
      <w:r w:rsidR="00207CC9" w:rsidRPr="0078140B">
        <w:t xml:space="preserve">Foster and </w:t>
      </w:r>
      <w:proofErr w:type="spellStart"/>
      <w:r w:rsidR="00207CC9" w:rsidRPr="0078140B">
        <w:t>Harmsen</w:t>
      </w:r>
      <w:proofErr w:type="spellEnd"/>
      <w:r w:rsidR="00207CC9" w:rsidRPr="0078140B">
        <w:t xml:space="preserve"> (2012) suggest</w:t>
      </w:r>
      <w:r w:rsidR="006547AB" w:rsidRPr="0078140B">
        <w:t xml:space="preserve"> reporting the minimum n</w:t>
      </w:r>
      <w:r w:rsidR="00207CC9" w:rsidRPr="0078140B">
        <w:t>umber alive, which would produce</w:t>
      </w:r>
      <w:r w:rsidR="007354D1" w:rsidRPr="0078140B">
        <w:t xml:space="preserve"> </w:t>
      </w:r>
      <w:r w:rsidR="00ED2CE8" w:rsidRPr="0078140B">
        <w:t>lower density estimates for the northern sites</w:t>
      </w:r>
      <w:r w:rsidR="00207CC9" w:rsidRPr="0078140B">
        <w:t xml:space="preserve"> (0.70/100</w:t>
      </w:r>
      <w:r w:rsidR="00312AC6" w:rsidRPr="0078140B">
        <w:t xml:space="preserve"> </w:t>
      </w:r>
      <w:r w:rsidR="00207CC9" w:rsidRPr="0078140B">
        <w:t>km</w:t>
      </w:r>
      <w:r w:rsidR="00207CC9" w:rsidRPr="0078140B">
        <w:rPr>
          <w:vertAlign w:val="superscript"/>
        </w:rPr>
        <w:t>2</w:t>
      </w:r>
      <w:r w:rsidR="00207CC9" w:rsidRPr="0078140B">
        <w:t>)</w:t>
      </w:r>
      <w:r w:rsidR="00ED2CE8" w:rsidRPr="0078140B">
        <w:t xml:space="preserve">, although </w:t>
      </w:r>
      <w:r w:rsidR="00500B65">
        <w:t>the southern</w:t>
      </w:r>
      <w:r w:rsidR="00806DF1" w:rsidRPr="0078140B">
        <w:t xml:space="preserve"> estimate would remain the same</w:t>
      </w:r>
      <w:r w:rsidR="00ED2CE8" w:rsidRPr="0078140B">
        <w:t>.</w:t>
      </w:r>
      <w:r w:rsidR="000835F9">
        <w:t xml:space="preserve">  </w:t>
      </w:r>
    </w:p>
    <w:p w:rsidR="00E046C4" w:rsidRDefault="006E306A" w:rsidP="00440C1B">
      <w:r>
        <w:tab/>
        <w:t xml:space="preserve">Differences </w:t>
      </w:r>
      <w:r w:rsidR="00500B65">
        <w:t>in density estimates between</w:t>
      </w:r>
      <w:r>
        <w:t xml:space="preserve"> sites may have reflected methodological differences. </w:t>
      </w:r>
      <w:r w:rsidR="00500B65">
        <w:t xml:space="preserve"> </w:t>
      </w:r>
      <w:r w:rsidR="000835F9">
        <w:t>As the northern site was smaller and used less camera traps, less area was covered meaning the small</w:t>
      </w:r>
      <w:r w:rsidR="00D0776D">
        <w:t>er</w:t>
      </w:r>
      <w:r w:rsidR="000835F9">
        <w:t xml:space="preserve"> 1/2MMDM calculated and higher density could reflect </w:t>
      </w:r>
      <w:r w:rsidR="008C1E52">
        <w:t>methodological differences between the study sites.  Additionally due to the lower water density in the north, less water points were monitored than in the south</w:t>
      </w:r>
      <w:r w:rsidR="00B02EE6">
        <w:t>, here capture frequency at water points was much higher at water (12.59), than on trails (0.82</w:t>
      </w:r>
      <w:r>
        <w:t>)</w:t>
      </w:r>
      <w:r w:rsidR="00B02EE6">
        <w:t>.</w:t>
      </w:r>
    </w:p>
    <w:p w:rsidR="00694463" w:rsidRDefault="00C94463" w:rsidP="00440C1B">
      <w:r>
        <w:tab/>
        <w:t>Questionnaires</w:t>
      </w:r>
      <w:r w:rsidR="00694463">
        <w:t xml:space="preserve"> are a commonly used tool</w:t>
      </w:r>
      <w:r w:rsidR="00422C53">
        <w:t xml:space="preserve"> for assessing population status </w:t>
      </w:r>
      <w:r w:rsidR="0027600D">
        <w:t xml:space="preserve">and human-wildlife </w:t>
      </w:r>
      <w:proofErr w:type="gramStart"/>
      <w:r w:rsidR="0027600D">
        <w:t>conflict,</w:t>
      </w:r>
      <w:proofErr w:type="gramEnd"/>
      <w:r w:rsidR="0027600D">
        <w:t xml:space="preserve"> however</w:t>
      </w:r>
      <w:r>
        <w:t xml:space="preserve"> concerns exist </w:t>
      </w:r>
      <w:r w:rsidR="00422C53">
        <w:t>regarding the usefulness of this practice</w:t>
      </w:r>
      <w:r w:rsidR="007A60B5">
        <w:t xml:space="preserve"> over</w:t>
      </w:r>
      <w:r w:rsidR="0097333D">
        <w:t xml:space="preserve"> deliberate over-inflation and inaccuracy</w:t>
      </w:r>
      <w:r w:rsidR="00422C53">
        <w:t xml:space="preserve"> (Hermann and Funston 2001).  Our results show variation in the accuracy of farmer estimates of leopard </w:t>
      </w:r>
      <w:r w:rsidR="00574888">
        <w:t>numbers</w:t>
      </w:r>
      <w:r w:rsidR="007A60B5">
        <w:t xml:space="preserve"> compared to numbers detected</w:t>
      </w:r>
      <w:r w:rsidR="00422C53">
        <w:t xml:space="preserve"> </w:t>
      </w:r>
      <w:r w:rsidR="0027600D">
        <w:t xml:space="preserve">by </w:t>
      </w:r>
      <w:r w:rsidR="007A60B5">
        <w:t>camera trap</w:t>
      </w:r>
      <w:r w:rsidR="00422C53">
        <w:t>.</w:t>
      </w:r>
      <w:r w:rsidR="0098613D">
        <w:t xml:space="preserve"> </w:t>
      </w:r>
      <w:r w:rsidR="00574888">
        <w:t xml:space="preserve"> One farmer estimated over five times the number of leopards detected</w:t>
      </w:r>
      <w:r w:rsidR="0098613D">
        <w:t xml:space="preserve">, </w:t>
      </w:r>
      <w:r w:rsidR="00362CF2">
        <w:t>whilst another was</w:t>
      </w:r>
      <w:r>
        <w:t xml:space="preserve"> relatively accurate</w:t>
      </w:r>
      <w:r w:rsidR="00362CF2">
        <w:t xml:space="preserve">.  </w:t>
      </w:r>
      <w:r w:rsidR="00FA31FA">
        <w:t>Our</w:t>
      </w:r>
      <w:r w:rsidR="00362CF2">
        <w:t xml:space="preserve"> results would further questio</w:t>
      </w:r>
      <w:r w:rsidR="00B74997">
        <w:t>n the use</w:t>
      </w:r>
      <w:r w:rsidR="00362CF2">
        <w:t xml:space="preserve"> of</w:t>
      </w:r>
      <w:r w:rsidR="00FA31FA">
        <w:t xml:space="preserve"> </w:t>
      </w:r>
      <w:r>
        <w:t>the</w:t>
      </w:r>
      <w:r w:rsidR="00FA31FA">
        <w:t xml:space="preserve"> question</w:t>
      </w:r>
      <w:r w:rsidR="007A60B5">
        <w:t>naire in lieu of field</w:t>
      </w:r>
      <w:r w:rsidR="00FA31FA">
        <w:t xml:space="preserve"> work, and the suitability of </w:t>
      </w:r>
      <w:r>
        <w:t xml:space="preserve">using </w:t>
      </w:r>
      <w:r w:rsidR="00500B65">
        <w:t xml:space="preserve">such </w:t>
      </w:r>
      <w:r>
        <w:t xml:space="preserve">data gained in </w:t>
      </w:r>
      <w:r w:rsidR="00362CF2">
        <w:t>management practices.</w:t>
      </w:r>
    </w:p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C05BDE" w:rsidP="00440C1B">
      <w:r>
        <w:lastRenderedPageBreak/>
        <w:t xml:space="preserve">6. </w:t>
      </w:r>
      <w:r w:rsidR="00570D8B">
        <w:t>Acknowledgments</w:t>
      </w:r>
    </w:p>
    <w:p w:rsidR="00570D8B" w:rsidRDefault="00570D8B" w:rsidP="00440C1B">
      <w:r>
        <w:t>This project was funded by Nedbank Go Green</w:t>
      </w:r>
      <w:r w:rsidR="00574860">
        <w:t xml:space="preserve"> Fund</w:t>
      </w:r>
      <w:r w:rsidR="0078140B">
        <w:t>, Namdeb</w:t>
      </w:r>
      <w:r>
        <w:t xml:space="preserve"> </w:t>
      </w:r>
      <w:r w:rsidR="00574860">
        <w:t xml:space="preserve">Diamond Corporation </w:t>
      </w:r>
      <w:r>
        <w:t xml:space="preserve">and Royal Holloway University of London to whom we </w:t>
      </w:r>
      <w:r w:rsidR="007A60B5">
        <w:t>thank</w:t>
      </w:r>
      <w:r>
        <w:t>.  Thanks also to Ministry of Environment and Tourism, all participating landowners and research assistants</w:t>
      </w:r>
      <w:r w:rsidR="002B1FA2">
        <w:t>, and an anonymous reviewer who improved the quality of this manuscript</w:t>
      </w:r>
      <w:r>
        <w:t>.</w:t>
      </w:r>
    </w:p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570D8B" w:rsidRDefault="00570D8B" w:rsidP="00440C1B"/>
    <w:p w:rsidR="00230092" w:rsidRDefault="00230092"/>
    <w:p w:rsidR="0059553B" w:rsidRDefault="0059553B"/>
    <w:p w:rsidR="0059553B" w:rsidRDefault="0059553B"/>
    <w:p w:rsidR="0059553B" w:rsidRDefault="0059553B"/>
    <w:p w:rsidR="0059553B" w:rsidRDefault="0059553B"/>
    <w:p w:rsidR="00606C8D" w:rsidRDefault="00C05BDE">
      <w:r>
        <w:lastRenderedPageBreak/>
        <w:t xml:space="preserve">7. </w:t>
      </w:r>
      <w:r w:rsidR="00606C8D">
        <w:t>References</w:t>
      </w:r>
    </w:p>
    <w:p w:rsidR="00440C1B" w:rsidRDefault="00F16783" w:rsidP="00440C1B">
      <w:pPr>
        <w:ind w:left="426" w:hanging="426"/>
      </w:pPr>
      <w:proofErr w:type="spellStart"/>
      <w:r>
        <w:t>Bothma</w:t>
      </w:r>
      <w:proofErr w:type="spellEnd"/>
      <w:r>
        <w:t>, J</w:t>
      </w:r>
      <w:proofErr w:type="gramStart"/>
      <w:r>
        <w:t>.&amp;</w:t>
      </w:r>
      <w:proofErr w:type="gramEnd"/>
      <w:r w:rsidR="00440C1B">
        <w:t xml:space="preserve"> Le  Riche, E.A.N. (1984).  </w:t>
      </w:r>
      <w:proofErr w:type="gramStart"/>
      <w:r w:rsidR="00440C1B">
        <w:t xml:space="preserve">Aspects of the ecology and behaviour of the leopard </w:t>
      </w:r>
      <w:proofErr w:type="spellStart"/>
      <w:r w:rsidR="00440C1B">
        <w:rPr>
          <w:i/>
        </w:rPr>
        <w:t>Panthera</w:t>
      </w:r>
      <w:proofErr w:type="spellEnd"/>
      <w:r w:rsidR="00440C1B">
        <w:rPr>
          <w:i/>
        </w:rPr>
        <w:t xml:space="preserve"> </w:t>
      </w:r>
      <w:proofErr w:type="spellStart"/>
      <w:r w:rsidR="00440C1B">
        <w:rPr>
          <w:i/>
        </w:rPr>
        <w:t>pardus</w:t>
      </w:r>
      <w:proofErr w:type="spellEnd"/>
      <w:r w:rsidR="00440C1B">
        <w:t xml:space="preserve"> in the Kalahari Desert.</w:t>
      </w:r>
      <w:proofErr w:type="gramEnd"/>
      <w:r w:rsidR="00440C1B">
        <w:t xml:space="preserve">  </w:t>
      </w:r>
      <w:proofErr w:type="spellStart"/>
      <w:r w:rsidR="00440C1B">
        <w:rPr>
          <w:i/>
        </w:rPr>
        <w:t>Koedoe</w:t>
      </w:r>
      <w:proofErr w:type="spellEnd"/>
      <w:r w:rsidR="00440C1B">
        <w:t xml:space="preserve"> </w:t>
      </w:r>
      <w:r w:rsidR="00440C1B" w:rsidRPr="00452B65">
        <w:rPr>
          <w:b/>
        </w:rPr>
        <w:t>27</w:t>
      </w:r>
      <w:r w:rsidR="00440C1B">
        <w:t>, 259–279.</w:t>
      </w:r>
    </w:p>
    <w:p w:rsidR="00E046C4" w:rsidRPr="00DD3B28" w:rsidRDefault="00E046C4" w:rsidP="00E046C4">
      <w:pPr>
        <w:pStyle w:val="NormalWeb"/>
        <w:ind w:left="480" w:hanging="480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</w:rPr>
        <w:t>Foster, R. J.</w:t>
      </w:r>
      <w:r w:rsidRPr="00C025D0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C025D0">
        <w:rPr>
          <w:rFonts w:asciiTheme="minorHAnsi" w:hAnsiTheme="minorHAnsi"/>
          <w:sz w:val="22"/>
          <w:szCs w:val="22"/>
        </w:rPr>
        <w:t>Harmsen</w:t>
      </w:r>
      <w:proofErr w:type="spellEnd"/>
      <w:r w:rsidRPr="00C025D0">
        <w:rPr>
          <w:rFonts w:asciiTheme="minorHAnsi" w:hAnsiTheme="minorHAnsi"/>
          <w:sz w:val="22"/>
          <w:szCs w:val="22"/>
        </w:rPr>
        <w:t xml:space="preserve">, B. J. (2012). </w:t>
      </w:r>
      <w:r w:rsidR="0023009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025D0">
        <w:rPr>
          <w:rFonts w:asciiTheme="minorHAnsi" w:hAnsiTheme="minorHAnsi"/>
          <w:sz w:val="22"/>
          <w:szCs w:val="22"/>
        </w:rPr>
        <w:t>A critique of density estimation from camera</w:t>
      </w:r>
      <w:r w:rsidR="00230092">
        <w:rPr>
          <w:rFonts w:asciiTheme="minorHAnsi" w:hAnsiTheme="minorHAnsi"/>
          <w:sz w:val="22"/>
          <w:szCs w:val="22"/>
        </w:rPr>
        <w:t>-</w:t>
      </w:r>
      <w:r w:rsidRPr="00C025D0">
        <w:rPr>
          <w:rFonts w:asciiTheme="minorHAnsi" w:hAnsiTheme="minorHAnsi"/>
          <w:sz w:val="22"/>
          <w:szCs w:val="22"/>
        </w:rPr>
        <w:t>trap data.</w:t>
      </w:r>
      <w:proofErr w:type="gramEnd"/>
      <w:r w:rsidR="00230092">
        <w:rPr>
          <w:rFonts w:asciiTheme="minorHAnsi" w:hAnsiTheme="minorHAnsi"/>
          <w:sz w:val="22"/>
          <w:szCs w:val="22"/>
        </w:rPr>
        <w:t xml:space="preserve"> </w:t>
      </w:r>
      <w:r w:rsidRPr="00C025D0">
        <w:rPr>
          <w:rFonts w:asciiTheme="minorHAnsi" w:hAnsiTheme="minorHAnsi"/>
          <w:sz w:val="22"/>
          <w:szCs w:val="22"/>
        </w:rPr>
        <w:t xml:space="preserve"> </w:t>
      </w:r>
      <w:r w:rsidR="00F16783" w:rsidRPr="00DD3B28">
        <w:rPr>
          <w:rFonts w:asciiTheme="minorHAnsi" w:hAnsiTheme="minorHAnsi"/>
          <w:i/>
          <w:iCs/>
          <w:sz w:val="22"/>
          <w:szCs w:val="22"/>
          <w:lang w:val="de-DE"/>
        </w:rPr>
        <w:t>J. Wildl.</w:t>
      </w:r>
      <w:r w:rsidRPr="00DD3B28">
        <w:rPr>
          <w:rFonts w:asciiTheme="minorHAnsi" w:hAnsiTheme="minorHAnsi"/>
          <w:i/>
          <w:iCs/>
          <w:sz w:val="22"/>
          <w:szCs w:val="22"/>
          <w:lang w:val="de-DE"/>
        </w:rPr>
        <w:t xml:space="preserve"> Manag</w:t>
      </w:r>
      <w:r w:rsidR="0059553B">
        <w:rPr>
          <w:rFonts w:asciiTheme="minorHAnsi" w:hAnsiTheme="minorHAnsi"/>
          <w:i/>
          <w:iCs/>
          <w:sz w:val="22"/>
          <w:szCs w:val="22"/>
          <w:lang w:val="de-DE"/>
        </w:rPr>
        <w:t>e</w:t>
      </w:r>
      <w:r w:rsidR="00F16783" w:rsidRPr="00DD3B28">
        <w:rPr>
          <w:rFonts w:asciiTheme="minorHAnsi" w:hAnsiTheme="minorHAnsi"/>
          <w:i/>
          <w:iCs/>
          <w:sz w:val="22"/>
          <w:szCs w:val="22"/>
          <w:lang w:val="de-DE"/>
        </w:rPr>
        <w:t xml:space="preserve">. </w:t>
      </w:r>
      <w:r w:rsidRPr="00DD3B28">
        <w:rPr>
          <w:rFonts w:asciiTheme="minorHAnsi" w:hAnsiTheme="minorHAnsi"/>
          <w:b/>
          <w:iCs/>
          <w:sz w:val="22"/>
          <w:szCs w:val="22"/>
          <w:lang w:val="de-DE"/>
        </w:rPr>
        <w:t>76</w:t>
      </w:r>
      <w:r w:rsidRPr="00DD3B28">
        <w:rPr>
          <w:rFonts w:asciiTheme="minorHAnsi" w:hAnsiTheme="minorHAnsi"/>
          <w:sz w:val="22"/>
          <w:szCs w:val="22"/>
          <w:lang w:val="de-DE"/>
        </w:rPr>
        <w:t>, 224–236.</w:t>
      </w:r>
    </w:p>
    <w:p w:rsidR="00AB5840" w:rsidRPr="00AB5840" w:rsidRDefault="00AB5840" w:rsidP="00AB5840">
      <w:pPr>
        <w:ind w:left="426" w:hanging="426"/>
        <w:rPr>
          <w:rFonts w:cs="Arial"/>
          <w:color w:val="000000"/>
          <w:shd w:val="clear" w:color="auto" w:fill="FFFFFF"/>
        </w:rPr>
      </w:pPr>
      <w:r w:rsidRPr="00DD3B28">
        <w:rPr>
          <w:rFonts w:cs="Arial"/>
          <w:color w:val="000000"/>
          <w:shd w:val="clear" w:color="auto" w:fill="FFFFFF"/>
          <w:lang w:val="de-DE"/>
        </w:rPr>
        <w:t>Henschel, P., Hunter, L., Breitenmoser, U., Purchase, N., Packer, C., Khorozyan, I., Bauer, H., Marker, L., Sogbohossou, E. &amp; Breitenmoser-Wursten, C.</w:t>
      </w:r>
      <w:r w:rsidR="00B475FA">
        <w:rPr>
          <w:rFonts w:cs="Arial"/>
          <w:color w:val="000000"/>
          <w:shd w:val="clear" w:color="auto" w:fill="FFFFFF"/>
          <w:lang w:val="de-DE"/>
        </w:rPr>
        <w:t xml:space="preserve"> </w:t>
      </w:r>
      <w:r w:rsidR="00452B65" w:rsidRPr="00DD3B28">
        <w:rPr>
          <w:rFonts w:cs="Arial"/>
          <w:color w:val="000000"/>
          <w:shd w:val="clear" w:color="auto" w:fill="FFFFFF"/>
          <w:lang w:val="de-DE"/>
        </w:rPr>
        <w:t>(</w:t>
      </w:r>
      <w:r w:rsidRPr="00DD3B28">
        <w:rPr>
          <w:rFonts w:cs="Arial"/>
          <w:color w:val="000000"/>
          <w:shd w:val="clear" w:color="auto" w:fill="FFFFFF"/>
          <w:lang w:val="de-DE"/>
        </w:rPr>
        <w:t>2008</w:t>
      </w:r>
      <w:r w:rsidR="00452B65" w:rsidRPr="00DD3B28">
        <w:rPr>
          <w:rFonts w:cs="Arial"/>
          <w:color w:val="000000"/>
          <w:shd w:val="clear" w:color="auto" w:fill="FFFFFF"/>
          <w:lang w:val="de-DE"/>
        </w:rPr>
        <w:t>)</w:t>
      </w:r>
      <w:r w:rsidRPr="00DD3B28">
        <w:rPr>
          <w:rFonts w:cs="Arial"/>
          <w:color w:val="000000"/>
          <w:shd w:val="clear" w:color="auto" w:fill="FFFFFF"/>
          <w:lang w:val="de-DE"/>
        </w:rPr>
        <w:t>.</w:t>
      </w:r>
      <w:r w:rsidR="00230092" w:rsidRPr="00DD3B28">
        <w:rPr>
          <w:rFonts w:cs="Arial"/>
          <w:color w:val="000000"/>
          <w:shd w:val="clear" w:color="auto" w:fill="FFFFFF"/>
          <w:lang w:val="de-DE"/>
        </w:rPr>
        <w:t xml:space="preserve"> </w:t>
      </w:r>
      <w:r w:rsidRPr="00DD3B28">
        <w:rPr>
          <w:rStyle w:val="apple-converted-space"/>
          <w:rFonts w:cs="Arial"/>
          <w:color w:val="000000"/>
          <w:shd w:val="clear" w:color="auto" w:fill="FFFFFF"/>
          <w:lang w:val="de-DE"/>
        </w:rPr>
        <w:t> </w:t>
      </w:r>
      <w:proofErr w:type="spellStart"/>
      <w:proofErr w:type="gramStart"/>
      <w:r w:rsidRPr="001319F9">
        <w:rPr>
          <w:rFonts w:cs="Arial"/>
          <w:i/>
          <w:iCs/>
          <w:color w:val="000000"/>
          <w:shd w:val="clear" w:color="auto" w:fill="FFFFFF"/>
        </w:rPr>
        <w:t>Panthera</w:t>
      </w:r>
      <w:proofErr w:type="spellEnd"/>
      <w:r w:rsidRPr="001319F9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1319F9">
        <w:rPr>
          <w:rFonts w:cs="Arial"/>
          <w:i/>
          <w:iCs/>
          <w:color w:val="000000"/>
          <w:shd w:val="clear" w:color="auto" w:fill="FFFFFF"/>
        </w:rPr>
        <w:t>pardus</w:t>
      </w:r>
      <w:proofErr w:type="spellEnd"/>
      <w:r w:rsidRPr="001319F9">
        <w:rPr>
          <w:rFonts w:cs="Arial"/>
          <w:color w:val="000000"/>
          <w:shd w:val="clear" w:color="auto" w:fill="FFFFFF"/>
        </w:rPr>
        <w:t>.</w:t>
      </w:r>
      <w:proofErr w:type="gramEnd"/>
      <w:r w:rsidRPr="001319F9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1319F9">
        <w:rPr>
          <w:rFonts w:cs="Arial"/>
          <w:color w:val="000000"/>
          <w:shd w:val="clear" w:color="auto" w:fill="FFFFFF"/>
        </w:rPr>
        <w:t>The IUCN Red List of Threatened Species.</w:t>
      </w:r>
      <w:proofErr w:type="gramEnd"/>
      <w:r w:rsidRPr="001319F9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1319F9">
        <w:rPr>
          <w:rFonts w:cs="Arial"/>
          <w:color w:val="000000"/>
          <w:shd w:val="clear" w:color="auto" w:fill="FFFFFF"/>
        </w:rPr>
        <w:t>Version 2014.</w:t>
      </w:r>
      <w:r w:rsidRPr="00605715">
        <w:rPr>
          <w:rFonts w:cs="Arial"/>
          <w:color w:val="000000"/>
          <w:shd w:val="clear" w:color="auto" w:fill="FFFFFF"/>
        </w:rPr>
        <w:t>1</w:t>
      </w:r>
      <w:r w:rsidRPr="00C05BDE">
        <w:rPr>
          <w:rFonts w:cs="Arial"/>
          <w:color w:val="000000"/>
          <w:shd w:val="clear" w:color="auto" w:fill="FFFFFF"/>
        </w:rPr>
        <w:t>.</w:t>
      </w:r>
      <w:proofErr w:type="gramEnd"/>
      <w:r w:rsidRPr="00C05BDE">
        <w:rPr>
          <w:rFonts w:cs="Arial"/>
          <w:color w:val="000000"/>
          <w:shd w:val="clear" w:color="auto" w:fill="FFFFFF"/>
        </w:rPr>
        <w:t xml:space="preserve"> </w:t>
      </w:r>
      <w:hyperlink r:id="rId5" w:history="1">
        <w:proofErr w:type="gramStart"/>
        <w:r w:rsidRPr="00C05BDE">
          <w:rPr>
            <w:rStyle w:val="Hyperlink"/>
            <w:rFonts w:cs="Arial"/>
            <w:color w:val="000000"/>
            <w:u w:val="none"/>
            <w:shd w:val="clear" w:color="auto" w:fill="FFFFFF"/>
          </w:rPr>
          <w:t>www.iucnredlist.org</w:t>
        </w:r>
      </w:hyperlink>
      <w:r w:rsidRPr="002449D7">
        <w:rPr>
          <w:rFonts w:cs="Arial"/>
          <w:color w:val="000000"/>
          <w:shd w:val="clear" w:color="auto" w:fill="FFFFFF"/>
        </w:rPr>
        <w:t xml:space="preserve"> </w:t>
      </w:r>
      <w:r w:rsidRPr="00605715">
        <w:rPr>
          <w:rFonts w:cs="Arial"/>
          <w:color w:val="000000"/>
          <w:shd w:val="clear" w:color="auto" w:fill="FFFFFF"/>
        </w:rPr>
        <w:t>[</w:t>
      </w:r>
      <w:r w:rsidRPr="00605715">
        <w:rPr>
          <w:rFonts w:cs="Arial"/>
          <w:bCs/>
          <w:color w:val="000000"/>
          <w:shd w:val="clear" w:color="auto" w:fill="FFFFFF"/>
        </w:rPr>
        <w:t>July 2014]</w:t>
      </w:r>
      <w:r w:rsidRPr="00605715">
        <w:rPr>
          <w:rFonts w:cs="Arial"/>
          <w:color w:val="000000"/>
          <w:shd w:val="clear" w:color="auto" w:fill="FFFFFF"/>
        </w:rPr>
        <w:t>.</w:t>
      </w:r>
      <w:proofErr w:type="gramEnd"/>
    </w:p>
    <w:p w:rsidR="00422C53" w:rsidRPr="00422C53" w:rsidRDefault="00664012" w:rsidP="00E046C4">
      <w:pPr>
        <w:pStyle w:val="NormalWeb"/>
        <w:ind w:left="480" w:hanging="48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Herrmann, E., Funston, P.</w:t>
      </w:r>
      <w:r w:rsidR="00422C53" w:rsidRPr="00422C53">
        <w:rPr>
          <w:rFonts w:asciiTheme="minorHAnsi" w:hAnsiTheme="minorHAnsi"/>
          <w:sz w:val="22"/>
          <w:szCs w:val="22"/>
        </w:rPr>
        <w:t xml:space="preserve">, &amp; </w:t>
      </w:r>
      <w:proofErr w:type="spellStart"/>
      <w:r w:rsidR="00422C53" w:rsidRPr="00422C53">
        <w:rPr>
          <w:rFonts w:asciiTheme="minorHAnsi" w:hAnsiTheme="minorHAnsi"/>
          <w:sz w:val="22"/>
          <w:szCs w:val="22"/>
        </w:rPr>
        <w:t>Babupi</w:t>
      </w:r>
      <w:proofErr w:type="spellEnd"/>
      <w:r w:rsidR="00422C53" w:rsidRPr="00422C53">
        <w:rPr>
          <w:rFonts w:asciiTheme="minorHAnsi" w:hAnsiTheme="minorHAnsi"/>
          <w:sz w:val="22"/>
          <w:szCs w:val="22"/>
        </w:rPr>
        <w:t>, P. (2001).</w:t>
      </w:r>
      <w:proofErr w:type="gramEnd"/>
      <w:r w:rsidR="00230092">
        <w:rPr>
          <w:rFonts w:asciiTheme="minorHAnsi" w:hAnsiTheme="minorHAnsi"/>
          <w:sz w:val="22"/>
          <w:szCs w:val="22"/>
        </w:rPr>
        <w:t xml:space="preserve"> </w:t>
      </w:r>
      <w:r w:rsidR="00422C53" w:rsidRPr="00422C53">
        <w:rPr>
          <w:rFonts w:asciiTheme="minorHAnsi" w:hAnsiTheme="minorHAnsi"/>
          <w:sz w:val="22"/>
          <w:szCs w:val="22"/>
        </w:rPr>
        <w:t xml:space="preserve"> A questionnaire-based survey of farming areas surrounding the </w:t>
      </w:r>
      <w:proofErr w:type="spellStart"/>
      <w:r w:rsidR="00422C53" w:rsidRPr="00422C53">
        <w:rPr>
          <w:rFonts w:asciiTheme="minorHAnsi" w:hAnsiTheme="minorHAnsi"/>
          <w:sz w:val="22"/>
          <w:szCs w:val="22"/>
        </w:rPr>
        <w:t>Kgalagadi</w:t>
      </w:r>
      <w:proofErr w:type="spellEnd"/>
      <w:r w:rsidR="00422C53" w:rsidRPr="00422C5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22C53" w:rsidRPr="00422C53">
        <w:rPr>
          <w:rFonts w:asciiTheme="minorHAnsi" w:hAnsiTheme="minorHAnsi"/>
          <w:sz w:val="22"/>
          <w:szCs w:val="22"/>
        </w:rPr>
        <w:t>Transfrontier</w:t>
      </w:r>
      <w:proofErr w:type="spellEnd"/>
      <w:r w:rsidR="00422C53" w:rsidRPr="00422C53">
        <w:rPr>
          <w:rFonts w:asciiTheme="minorHAnsi" w:hAnsiTheme="minorHAnsi"/>
          <w:sz w:val="22"/>
          <w:szCs w:val="22"/>
        </w:rPr>
        <w:t xml:space="preserve"> Park: </w:t>
      </w:r>
      <w:r w:rsidR="00230092">
        <w:rPr>
          <w:rFonts w:asciiTheme="minorHAnsi" w:hAnsiTheme="minorHAnsi"/>
          <w:sz w:val="22"/>
          <w:szCs w:val="22"/>
        </w:rPr>
        <w:t xml:space="preserve"> </w:t>
      </w:r>
      <w:r w:rsidR="00422C53" w:rsidRPr="00422C53">
        <w:rPr>
          <w:rFonts w:asciiTheme="minorHAnsi" w:hAnsiTheme="minorHAnsi"/>
          <w:sz w:val="22"/>
          <w:szCs w:val="22"/>
        </w:rPr>
        <w:t xml:space="preserve">The extent of conflict between large carnivores and domestic livestock. </w:t>
      </w:r>
      <w:proofErr w:type="gramStart"/>
      <w:r w:rsidR="00422C53" w:rsidRPr="00422C53">
        <w:rPr>
          <w:rFonts w:asciiTheme="minorHAnsi" w:hAnsiTheme="minorHAnsi"/>
          <w:sz w:val="22"/>
          <w:szCs w:val="22"/>
        </w:rPr>
        <w:t xml:space="preserve">In </w:t>
      </w:r>
      <w:r w:rsidR="00422C53" w:rsidRPr="00422C53">
        <w:rPr>
          <w:rFonts w:asciiTheme="minorHAnsi" w:hAnsiTheme="minorHAnsi"/>
          <w:i/>
          <w:iCs/>
          <w:sz w:val="22"/>
          <w:szCs w:val="22"/>
        </w:rPr>
        <w:t>Population-ecology and long term monitoring of a free-ranging population in an arid environment.</w:t>
      </w:r>
      <w:proofErr w:type="gramEnd"/>
      <w:r w:rsidR="00422C53" w:rsidRPr="00422C53">
        <w:rPr>
          <w:rFonts w:asciiTheme="minorHAnsi" w:hAnsiTheme="minorHAnsi"/>
          <w:i/>
          <w:iCs/>
          <w:sz w:val="22"/>
          <w:szCs w:val="22"/>
        </w:rPr>
        <w:t xml:space="preserve"> Funston, P. J. ed. 107-136.</w:t>
      </w:r>
      <w:r w:rsidR="00422C53" w:rsidRPr="00422C53">
        <w:rPr>
          <w:rFonts w:asciiTheme="minorHAnsi" w:hAnsiTheme="minorHAnsi"/>
          <w:sz w:val="22"/>
          <w:szCs w:val="22"/>
        </w:rPr>
        <w:t xml:space="preserve"> (pp. 107–136).</w:t>
      </w:r>
    </w:p>
    <w:p w:rsidR="00606C8D" w:rsidRDefault="00606C8D" w:rsidP="00606C8D">
      <w:pPr>
        <w:ind w:left="426" w:hanging="426"/>
        <w:rPr>
          <w:rFonts w:cstheme="minorHAnsi"/>
        </w:rPr>
      </w:pPr>
      <w:proofErr w:type="spellStart"/>
      <w:proofErr w:type="gramStart"/>
      <w:r>
        <w:rPr>
          <w:rFonts w:cstheme="minorHAnsi"/>
        </w:rPr>
        <w:t>Karanth</w:t>
      </w:r>
      <w:proofErr w:type="spellEnd"/>
      <w:r>
        <w:rPr>
          <w:rFonts w:cstheme="minorHAnsi"/>
        </w:rPr>
        <w:t>, K. U. &amp;</w:t>
      </w:r>
      <w:r w:rsidRPr="00AD50DC">
        <w:rPr>
          <w:rFonts w:cstheme="minorHAnsi"/>
        </w:rPr>
        <w:t xml:space="preserve"> J. D. Nichols.</w:t>
      </w:r>
      <w:proofErr w:type="gramEnd"/>
      <w:r w:rsidRPr="00AD50DC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AD50DC">
        <w:rPr>
          <w:rFonts w:cstheme="minorHAnsi"/>
        </w:rPr>
        <w:t>1998</w:t>
      </w:r>
      <w:r>
        <w:rPr>
          <w:rFonts w:cstheme="minorHAnsi"/>
        </w:rPr>
        <w:t>)</w:t>
      </w:r>
      <w:proofErr w:type="gramStart"/>
      <w:r w:rsidRPr="00AD50DC">
        <w:rPr>
          <w:rFonts w:cstheme="minorHAnsi"/>
        </w:rPr>
        <w:t xml:space="preserve">. </w:t>
      </w:r>
      <w:r w:rsidR="00230092">
        <w:rPr>
          <w:rFonts w:cstheme="minorHAnsi"/>
        </w:rPr>
        <w:t xml:space="preserve"> </w:t>
      </w:r>
      <w:r w:rsidRPr="00AD50DC">
        <w:rPr>
          <w:rFonts w:cstheme="minorHAnsi"/>
        </w:rPr>
        <w:t>Estimation</w:t>
      </w:r>
      <w:proofErr w:type="gramEnd"/>
      <w:r w:rsidRPr="00AD50DC">
        <w:rPr>
          <w:rFonts w:cstheme="minorHAnsi"/>
        </w:rPr>
        <w:t xml:space="preserve"> of tiger densities in India using photographic captures and recaptures.  </w:t>
      </w:r>
      <w:proofErr w:type="gramStart"/>
      <w:r w:rsidRPr="009B5115">
        <w:rPr>
          <w:rFonts w:cstheme="minorHAnsi"/>
          <w:i/>
        </w:rPr>
        <w:t>Ecolog</w:t>
      </w:r>
      <w:r w:rsidR="00452B65">
        <w:rPr>
          <w:rFonts w:cstheme="minorHAnsi"/>
          <w:i/>
        </w:rPr>
        <w:t>y</w:t>
      </w:r>
      <w:r>
        <w:rPr>
          <w:rFonts w:cstheme="minorHAnsi"/>
          <w:i/>
        </w:rPr>
        <w:t xml:space="preserve"> </w:t>
      </w:r>
      <w:r w:rsidRPr="00452B65">
        <w:rPr>
          <w:rFonts w:cstheme="minorHAnsi"/>
          <w:b/>
        </w:rPr>
        <w:t>79</w:t>
      </w:r>
      <w:r>
        <w:rPr>
          <w:rFonts w:cstheme="minorHAnsi"/>
        </w:rPr>
        <w:t xml:space="preserve">, </w:t>
      </w:r>
      <w:r w:rsidRPr="00AD50DC">
        <w:rPr>
          <w:rFonts w:cstheme="minorHAnsi"/>
        </w:rPr>
        <w:t>2852–2862.</w:t>
      </w:r>
      <w:proofErr w:type="gramEnd"/>
    </w:p>
    <w:p w:rsidR="007C33AF" w:rsidRPr="007C33AF" w:rsidRDefault="00452B65" w:rsidP="007C33AF">
      <w:pPr>
        <w:pStyle w:val="NormalWeb"/>
        <w:ind w:left="480" w:hanging="48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Kent, V. T.</w:t>
      </w:r>
      <w:r w:rsidR="00490014">
        <w:rPr>
          <w:rFonts w:asciiTheme="minorHAnsi" w:hAnsiTheme="minorHAnsi"/>
          <w:sz w:val="22"/>
          <w:szCs w:val="22"/>
        </w:rPr>
        <w:t xml:space="preserve"> &amp; Hill, R. A</w:t>
      </w:r>
      <w:r w:rsidR="007C33AF" w:rsidRPr="007C33AF">
        <w:rPr>
          <w:rFonts w:asciiTheme="minorHAnsi" w:hAnsiTheme="minorHAnsi"/>
          <w:sz w:val="22"/>
          <w:szCs w:val="22"/>
        </w:rPr>
        <w:t>. (2013).</w:t>
      </w:r>
      <w:proofErr w:type="gramEnd"/>
      <w:r w:rsidR="00230092">
        <w:rPr>
          <w:rFonts w:asciiTheme="minorHAnsi" w:hAnsiTheme="minorHAnsi"/>
          <w:sz w:val="22"/>
          <w:szCs w:val="22"/>
        </w:rPr>
        <w:t xml:space="preserve"> </w:t>
      </w:r>
      <w:r w:rsidR="007C33AF" w:rsidRPr="007C33A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C33AF" w:rsidRPr="007C33AF">
        <w:rPr>
          <w:rFonts w:asciiTheme="minorHAnsi" w:hAnsiTheme="minorHAnsi"/>
          <w:sz w:val="22"/>
          <w:szCs w:val="22"/>
        </w:rPr>
        <w:t xml:space="preserve">The importance of farmland for the conservation of the brown </w:t>
      </w:r>
      <w:proofErr w:type="spellStart"/>
      <w:r w:rsidR="007C33AF" w:rsidRPr="007C33AF">
        <w:rPr>
          <w:rFonts w:asciiTheme="minorHAnsi" w:hAnsiTheme="minorHAnsi"/>
          <w:sz w:val="22"/>
          <w:szCs w:val="22"/>
        </w:rPr>
        <w:t>hyaena</w:t>
      </w:r>
      <w:proofErr w:type="spellEnd"/>
      <w:r w:rsidR="007C33AF" w:rsidRPr="007C33A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33AF" w:rsidRPr="007C33AF">
        <w:rPr>
          <w:rFonts w:asciiTheme="minorHAnsi" w:hAnsiTheme="minorHAnsi"/>
          <w:i/>
          <w:sz w:val="22"/>
          <w:szCs w:val="22"/>
        </w:rPr>
        <w:t>Parahyaena</w:t>
      </w:r>
      <w:proofErr w:type="spellEnd"/>
      <w:r w:rsidR="007C33AF" w:rsidRPr="007C33A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C33AF" w:rsidRPr="007C33AF">
        <w:rPr>
          <w:rFonts w:asciiTheme="minorHAnsi" w:hAnsiTheme="minorHAnsi"/>
          <w:i/>
          <w:sz w:val="22"/>
          <w:szCs w:val="22"/>
        </w:rPr>
        <w:t>brunnea</w:t>
      </w:r>
      <w:proofErr w:type="spellEnd"/>
      <w:r w:rsidR="007C33AF" w:rsidRPr="007C33AF">
        <w:rPr>
          <w:rFonts w:asciiTheme="minorHAnsi" w:hAnsiTheme="minorHAnsi"/>
          <w:sz w:val="22"/>
          <w:szCs w:val="22"/>
        </w:rPr>
        <w:t>.</w:t>
      </w:r>
      <w:proofErr w:type="gramEnd"/>
      <w:r w:rsidR="007C33AF" w:rsidRPr="007C33AF">
        <w:rPr>
          <w:rFonts w:asciiTheme="minorHAnsi" w:hAnsiTheme="minorHAnsi"/>
          <w:sz w:val="22"/>
          <w:szCs w:val="22"/>
        </w:rPr>
        <w:t xml:space="preserve"> </w:t>
      </w:r>
      <w:r w:rsidR="00230092">
        <w:rPr>
          <w:rFonts w:asciiTheme="minorHAnsi" w:hAnsiTheme="minorHAnsi"/>
          <w:sz w:val="22"/>
          <w:szCs w:val="22"/>
        </w:rPr>
        <w:t xml:space="preserve"> </w:t>
      </w:r>
      <w:r w:rsidR="007C33AF" w:rsidRPr="007C33AF">
        <w:rPr>
          <w:rFonts w:asciiTheme="minorHAnsi" w:hAnsiTheme="minorHAnsi"/>
          <w:i/>
          <w:iCs/>
          <w:sz w:val="22"/>
          <w:szCs w:val="22"/>
        </w:rPr>
        <w:t>Oryx</w:t>
      </w:r>
      <w:r w:rsidR="00C05BDE">
        <w:rPr>
          <w:rFonts w:asciiTheme="minorHAnsi" w:hAnsiTheme="minorHAnsi"/>
          <w:sz w:val="22"/>
          <w:szCs w:val="22"/>
        </w:rPr>
        <w:t xml:space="preserve"> </w:t>
      </w:r>
      <w:r w:rsidR="007C33AF" w:rsidRPr="00452B65">
        <w:rPr>
          <w:rFonts w:asciiTheme="minorHAnsi" w:hAnsiTheme="minorHAnsi"/>
          <w:b/>
          <w:iCs/>
          <w:sz w:val="22"/>
          <w:szCs w:val="22"/>
        </w:rPr>
        <w:t>47</w:t>
      </w:r>
      <w:r w:rsidR="007C33AF" w:rsidRPr="007C33AF">
        <w:rPr>
          <w:rFonts w:asciiTheme="minorHAnsi" w:hAnsiTheme="minorHAnsi"/>
          <w:sz w:val="22"/>
          <w:szCs w:val="22"/>
        </w:rPr>
        <w:t xml:space="preserve">, 431–440. </w:t>
      </w:r>
    </w:p>
    <w:p w:rsidR="00C22359" w:rsidRDefault="00C22359" w:rsidP="00C22359">
      <w:pPr>
        <w:pStyle w:val="NormalWeb"/>
        <w:spacing w:before="240"/>
        <w:ind w:left="480" w:hanging="48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Martin, R.B. &amp; du </w:t>
      </w:r>
      <w:proofErr w:type="spellStart"/>
      <w:r>
        <w:rPr>
          <w:rFonts w:asciiTheme="minorHAnsi" w:hAnsiTheme="minorHAnsi"/>
          <w:sz w:val="22"/>
          <w:szCs w:val="22"/>
        </w:rPr>
        <w:t>Meulenaer</w:t>
      </w:r>
      <w:proofErr w:type="spellEnd"/>
      <w:r>
        <w:rPr>
          <w:rFonts w:asciiTheme="minorHAnsi" w:hAnsiTheme="minorHAnsi"/>
          <w:sz w:val="22"/>
          <w:szCs w:val="22"/>
        </w:rPr>
        <w:t>, T. (1988)</w:t>
      </w:r>
      <w:r w:rsidR="00490014">
        <w:rPr>
          <w:rFonts w:asciiTheme="minorHAnsi" w:hAnsiTheme="minorHAnsi"/>
          <w:sz w:val="22"/>
          <w:szCs w:val="22"/>
        </w:rPr>
        <w:t>.</w:t>
      </w:r>
      <w:proofErr w:type="gramEnd"/>
      <w:r w:rsidR="004900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90014">
        <w:rPr>
          <w:rFonts w:asciiTheme="minorHAnsi" w:hAnsiTheme="minorHAnsi"/>
          <w:i/>
          <w:sz w:val="22"/>
          <w:szCs w:val="22"/>
        </w:rPr>
        <w:t>Survey of the s</w:t>
      </w:r>
      <w:r w:rsidRPr="00516B08">
        <w:rPr>
          <w:rFonts w:asciiTheme="minorHAnsi" w:hAnsiTheme="minorHAnsi"/>
          <w:i/>
          <w:sz w:val="22"/>
          <w:szCs w:val="22"/>
        </w:rPr>
        <w:t>tatus of the leopard (</w:t>
      </w:r>
      <w:proofErr w:type="spellStart"/>
      <w:r w:rsidRPr="00516B08">
        <w:rPr>
          <w:rFonts w:asciiTheme="minorHAnsi" w:hAnsiTheme="minorHAnsi"/>
          <w:i/>
          <w:sz w:val="22"/>
          <w:szCs w:val="22"/>
        </w:rPr>
        <w:t>Panthera</w:t>
      </w:r>
      <w:proofErr w:type="spellEnd"/>
      <w:r w:rsidRPr="00516B0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16B08">
        <w:rPr>
          <w:rFonts w:asciiTheme="minorHAnsi" w:hAnsiTheme="minorHAnsi"/>
          <w:i/>
          <w:sz w:val="22"/>
          <w:szCs w:val="22"/>
        </w:rPr>
        <w:t>pardus</w:t>
      </w:r>
      <w:proofErr w:type="spellEnd"/>
      <w:r w:rsidRPr="00516B08">
        <w:rPr>
          <w:rFonts w:asciiTheme="minorHAnsi" w:hAnsiTheme="minorHAnsi"/>
          <w:i/>
          <w:sz w:val="22"/>
          <w:szCs w:val="22"/>
        </w:rPr>
        <w:t>) in sub</w:t>
      </w:r>
      <w:r w:rsidR="00490014">
        <w:rPr>
          <w:rFonts w:asciiTheme="minorHAnsi" w:hAnsiTheme="minorHAnsi"/>
          <w:i/>
          <w:sz w:val="22"/>
          <w:szCs w:val="22"/>
        </w:rPr>
        <w:t>-</w:t>
      </w:r>
      <w:r w:rsidRPr="00516B08">
        <w:rPr>
          <w:rFonts w:asciiTheme="minorHAnsi" w:hAnsiTheme="minorHAnsi"/>
          <w:i/>
          <w:sz w:val="22"/>
          <w:szCs w:val="22"/>
        </w:rPr>
        <w:t>Saharan Africa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sz w:val="22"/>
          <w:szCs w:val="22"/>
        </w:rPr>
        <w:t>CITES, Switzerland.</w:t>
      </w:r>
      <w:proofErr w:type="gramEnd"/>
    </w:p>
    <w:p w:rsidR="007D43D5" w:rsidRPr="007D43D5" w:rsidRDefault="007D43D5" w:rsidP="00C22359">
      <w:pPr>
        <w:pStyle w:val="NormalWeb"/>
        <w:spacing w:before="240"/>
        <w:ind w:left="480" w:hanging="48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Mizutani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F.A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&amp;</w:t>
      </w:r>
      <w:r w:rsidRPr="001319F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Jewell, P.A. (1998)</w:t>
      </w:r>
      <w:r w:rsidR="0049001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proofErr w:type="gramEnd"/>
      <w:r w:rsidRPr="001319F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49001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1319F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Home</w:t>
      </w:r>
      <w:r w:rsidR="0049001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-</w:t>
      </w:r>
      <w:r w:rsidRPr="001319F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range and movements of leopards (</w:t>
      </w:r>
      <w:proofErr w:type="spellStart"/>
      <w:r w:rsidRPr="001319F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Panthera</w:t>
      </w:r>
      <w:proofErr w:type="spellEnd"/>
      <w:r w:rsidRPr="001319F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319F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pardus</w:t>
      </w:r>
      <w:proofErr w:type="spellEnd"/>
      <w:r w:rsidRPr="001319F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) on a livestock ranch in Kenya.  </w:t>
      </w:r>
      <w:r w:rsidR="00452B65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J. </w:t>
      </w:r>
      <w:r w:rsidRPr="001319F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Zool</w:t>
      </w:r>
      <w:r w:rsidR="00452B65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.</w:t>
      </w:r>
      <w:r w:rsidRPr="001319F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452B6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244</w:t>
      </w:r>
      <w:r w:rsidRPr="001319F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269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–</w:t>
      </w:r>
      <w:r w:rsidRPr="001319F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286.</w:t>
      </w:r>
    </w:p>
    <w:p w:rsidR="00606C8D" w:rsidRDefault="00606C8D" w:rsidP="00606C8D">
      <w:pPr>
        <w:pStyle w:val="NormalWeb"/>
        <w:ind w:left="480" w:hanging="48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Rexstadt, E. &amp; Burnham, K.P. (1991).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</w:t>
      </w:r>
      <w:proofErr w:type="gramStart"/>
      <w:r w:rsidR="00490014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User's guide for interactive p</w:t>
      </w:r>
      <w:r w:rsidRPr="00C05BDE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rogram CAPTURE</w:t>
      </w:r>
      <w:r w:rsidR="0049001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proofErr w:type="gramEnd"/>
      <w:r w:rsidR="0049001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Abundance estimates for closed p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opulations. 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Colarado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State University, USA.</w:t>
      </w:r>
    </w:p>
    <w:p w:rsidR="00466D03" w:rsidRPr="00466D03" w:rsidRDefault="00466D03" w:rsidP="00606C8D">
      <w:pPr>
        <w:pStyle w:val="NormalWeb"/>
        <w:ind w:left="480" w:hanging="480"/>
        <w:rPr>
          <w:rFonts w:asciiTheme="minorHAnsi" w:hAnsiTheme="minorHAnsi"/>
          <w:sz w:val="22"/>
          <w:szCs w:val="22"/>
        </w:rPr>
      </w:pPr>
      <w:proofErr w:type="gramStart"/>
      <w:r w:rsidRPr="00466D03">
        <w:rPr>
          <w:rFonts w:asciiTheme="minorHAnsi" w:hAnsiTheme="minorHAnsi"/>
          <w:sz w:val="22"/>
          <w:szCs w:val="22"/>
        </w:rPr>
        <w:t>Smit</w:t>
      </w:r>
      <w:r w:rsidR="00452B65">
        <w:rPr>
          <w:rFonts w:asciiTheme="minorHAnsi" w:hAnsiTheme="minorHAnsi"/>
          <w:sz w:val="22"/>
          <w:szCs w:val="22"/>
        </w:rPr>
        <w:t xml:space="preserve">h, R. K., Ryan, E., Morley, E. </w:t>
      </w:r>
      <w:r w:rsidR="00490014">
        <w:rPr>
          <w:rFonts w:asciiTheme="minorHAnsi" w:hAnsiTheme="minorHAnsi"/>
          <w:sz w:val="22"/>
          <w:szCs w:val="22"/>
        </w:rPr>
        <w:t>&amp; Hill, R. A</w:t>
      </w:r>
      <w:r w:rsidRPr="00466D03">
        <w:rPr>
          <w:rFonts w:asciiTheme="minorHAnsi" w:hAnsiTheme="minorHAnsi"/>
          <w:sz w:val="22"/>
          <w:szCs w:val="22"/>
        </w:rPr>
        <w:t>. (2011).</w:t>
      </w:r>
      <w:proofErr w:type="gramEnd"/>
      <w:r w:rsidRPr="00466D03">
        <w:rPr>
          <w:rFonts w:asciiTheme="minorHAnsi" w:hAnsiTheme="minorHAnsi"/>
          <w:sz w:val="22"/>
          <w:szCs w:val="22"/>
        </w:rPr>
        <w:t xml:space="preserve"> </w:t>
      </w:r>
      <w:r w:rsidR="00490014">
        <w:rPr>
          <w:rFonts w:asciiTheme="minorHAnsi" w:hAnsiTheme="minorHAnsi"/>
          <w:sz w:val="22"/>
          <w:szCs w:val="22"/>
        </w:rPr>
        <w:t xml:space="preserve"> </w:t>
      </w:r>
      <w:r w:rsidRPr="00466D03">
        <w:rPr>
          <w:rFonts w:asciiTheme="minorHAnsi" w:hAnsiTheme="minorHAnsi"/>
          <w:sz w:val="22"/>
          <w:szCs w:val="22"/>
        </w:rPr>
        <w:t xml:space="preserve">Resolving management conflicts: </w:t>
      </w:r>
      <w:r w:rsidR="00490014">
        <w:rPr>
          <w:rFonts w:asciiTheme="minorHAnsi" w:hAnsiTheme="minorHAnsi"/>
          <w:sz w:val="22"/>
          <w:szCs w:val="22"/>
        </w:rPr>
        <w:t xml:space="preserve"> C</w:t>
      </w:r>
      <w:r w:rsidRPr="00466D03">
        <w:rPr>
          <w:rFonts w:asciiTheme="minorHAnsi" w:hAnsiTheme="minorHAnsi"/>
          <w:sz w:val="22"/>
          <w:szCs w:val="22"/>
        </w:rPr>
        <w:t xml:space="preserve">ould agricultural land provide the answer for an endangered species in a habitat </w:t>
      </w:r>
      <w:r w:rsidR="00490014">
        <w:rPr>
          <w:rFonts w:asciiTheme="minorHAnsi" w:hAnsiTheme="minorHAnsi"/>
          <w:sz w:val="22"/>
          <w:szCs w:val="22"/>
        </w:rPr>
        <w:t>classified as a World Heritage s</w:t>
      </w:r>
      <w:r w:rsidRPr="00466D03">
        <w:rPr>
          <w:rFonts w:asciiTheme="minorHAnsi" w:hAnsiTheme="minorHAnsi"/>
          <w:sz w:val="22"/>
          <w:szCs w:val="22"/>
        </w:rPr>
        <w:t>ite?</w:t>
      </w:r>
      <w:r w:rsidR="00490014">
        <w:rPr>
          <w:rFonts w:asciiTheme="minorHAnsi" w:hAnsiTheme="minorHAnsi"/>
          <w:sz w:val="22"/>
          <w:szCs w:val="22"/>
        </w:rPr>
        <w:t xml:space="preserve"> </w:t>
      </w:r>
      <w:r w:rsidRPr="00466D03">
        <w:rPr>
          <w:rFonts w:asciiTheme="minorHAnsi" w:hAnsiTheme="minorHAnsi"/>
          <w:sz w:val="22"/>
          <w:szCs w:val="22"/>
        </w:rPr>
        <w:t xml:space="preserve"> </w:t>
      </w:r>
      <w:r w:rsidR="00452B65">
        <w:rPr>
          <w:rFonts w:asciiTheme="minorHAnsi" w:hAnsiTheme="minorHAnsi"/>
          <w:i/>
          <w:iCs/>
          <w:sz w:val="22"/>
          <w:szCs w:val="22"/>
        </w:rPr>
        <w:t xml:space="preserve">Environ. </w:t>
      </w:r>
      <w:proofErr w:type="spellStart"/>
      <w:proofErr w:type="gramStart"/>
      <w:r w:rsidRPr="00466D03">
        <w:rPr>
          <w:rFonts w:asciiTheme="minorHAnsi" w:hAnsiTheme="minorHAnsi"/>
          <w:i/>
          <w:iCs/>
          <w:sz w:val="22"/>
          <w:szCs w:val="22"/>
        </w:rPr>
        <w:t>Conserv</w:t>
      </w:r>
      <w:proofErr w:type="spellEnd"/>
      <w:r w:rsidR="00452B65">
        <w:rPr>
          <w:rFonts w:asciiTheme="minorHAnsi" w:hAnsiTheme="minorHAnsi"/>
          <w:i/>
          <w:iCs/>
          <w:sz w:val="22"/>
          <w:szCs w:val="22"/>
        </w:rPr>
        <w:t>.</w:t>
      </w:r>
      <w:proofErr w:type="gramEnd"/>
      <w:r w:rsidRPr="00466D03">
        <w:rPr>
          <w:rFonts w:asciiTheme="minorHAnsi" w:hAnsiTheme="minorHAnsi"/>
          <w:sz w:val="22"/>
          <w:szCs w:val="22"/>
        </w:rPr>
        <w:t xml:space="preserve"> </w:t>
      </w:r>
      <w:r w:rsidRPr="00452B65">
        <w:rPr>
          <w:rFonts w:asciiTheme="minorHAnsi" w:hAnsiTheme="minorHAnsi"/>
          <w:b/>
          <w:iCs/>
          <w:sz w:val="22"/>
          <w:szCs w:val="22"/>
        </w:rPr>
        <w:t>38</w:t>
      </w:r>
      <w:r w:rsidRPr="00466D03">
        <w:rPr>
          <w:rFonts w:asciiTheme="minorHAnsi" w:hAnsiTheme="minorHAnsi"/>
          <w:sz w:val="22"/>
          <w:szCs w:val="22"/>
        </w:rPr>
        <w:t xml:space="preserve">, 325–333. </w:t>
      </w:r>
    </w:p>
    <w:p w:rsidR="00F90AFC" w:rsidRPr="00F90AFC" w:rsidRDefault="00F90AFC" w:rsidP="00606C8D">
      <w:pPr>
        <w:pStyle w:val="NormalWeb"/>
        <w:ind w:left="480" w:hanging="480"/>
        <w:rPr>
          <w:rFonts w:asciiTheme="minorHAnsi" w:hAnsiTheme="minorHAnsi"/>
          <w:sz w:val="22"/>
          <w:szCs w:val="22"/>
        </w:rPr>
      </w:pPr>
      <w:proofErr w:type="gramStart"/>
      <w:r w:rsidRPr="001319F9">
        <w:rPr>
          <w:rFonts w:asciiTheme="minorHAnsi" w:hAnsiTheme="minorHAnsi"/>
          <w:sz w:val="22"/>
          <w:szCs w:val="22"/>
        </w:rPr>
        <w:t xml:space="preserve">Stander, P. E., Haden, P. </w:t>
      </w:r>
      <w:r>
        <w:rPr>
          <w:rFonts w:asciiTheme="minorHAnsi" w:hAnsiTheme="minorHAnsi"/>
          <w:sz w:val="22"/>
          <w:szCs w:val="22"/>
        </w:rPr>
        <w:t xml:space="preserve">J., </w:t>
      </w:r>
      <w:proofErr w:type="spellStart"/>
      <w:r>
        <w:rPr>
          <w:rFonts w:asciiTheme="minorHAnsi" w:hAnsiTheme="minorHAnsi"/>
          <w:sz w:val="22"/>
          <w:szCs w:val="22"/>
        </w:rPr>
        <w:t>Kaqece</w:t>
      </w:r>
      <w:proofErr w:type="spellEnd"/>
      <w:r>
        <w:rPr>
          <w:rFonts w:asciiTheme="minorHAnsi" w:hAnsiTheme="minorHAnsi"/>
          <w:sz w:val="22"/>
          <w:szCs w:val="22"/>
        </w:rPr>
        <w:t xml:space="preserve">, I. &amp; </w:t>
      </w:r>
      <w:proofErr w:type="spellStart"/>
      <w:r>
        <w:rPr>
          <w:rFonts w:asciiTheme="minorHAnsi" w:hAnsiTheme="minorHAnsi"/>
          <w:sz w:val="22"/>
          <w:szCs w:val="22"/>
        </w:rPr>
        <w:t>Ghau</w:t>
      </w:r>
      <w:proofErr w:type="spellEnd"/>
      <w:r>
        <w:rPr>
          <w:rFonts w:asciiTheme="minorHAnsi" w:hAnsiTheme="minorHAnsi"/>
          <w:sz w:val="22"/>
          <w:szCs w:val="22"/>
        </w:rPr>
        <w:t>, I. (1997</w:t>
      </w:r>
      <w:r w:rsidRPr="001319F9">
        <w:rPr>
          <w:rFonts w:asciiTheme="minorHAnsi" w:hAnsiTheme="minorHAnsi"/>
          <w:sz w:val="22"/>
          <w:szCs w:val="22"/>
        </w:rPr>
        <w:t>).</w:t>
      </w:r>
      <w:proofErr w:type="gramEnd"/>
      <w:r w:rsidR="00490014">
        <w:rPr>
          <w:rFonts w:asciiTheme="minorHAnsi" w:hAnsiTheme="minorHAnsi"/>
          <w:sz w:val="22"/>
          <w:szCs w:val="22"/>
        </w:rPr>
        <w:t xml:space="preserve"> </w:t>
      </w:r>
      <w:r w:rsidRPr="001319F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319F9">
        <w:rPr>
          <w:rFonts w:asciiTheme="minorHAnsi" w:hAnsiTheme="minorHAnsi"/>
          <w:sz w:val="22"/>
          <w:szCs w:val="22"/>
        </w:rPr>
        <w:t xml:space="preserve">The ecology of </w:t>
      </w:r>
      <w:proofErr w:type="spellStart"/>
      <w:r w:rsidRPr="001319F9">
        <w:rPr>
          <w:rFonts w:asciiTheme="minorHAnsi" w:hAnsiTheme="minorHAnsi"/>
          <w:sz w:val="22"/>
          <w:szCs w:val="22"/>
        </w:rPr>
        <w:t>asociality</w:t>
      </w:r>
      <w:proofErr w:type="spellEnd"/>
      <w:r w:rsidRPr="001319F9">
        <w:rPr>
          <w:rFonts w:asciiTheme="minorHAnsi" w:hAnsiTheme="minorHAnsi"/>
          <w:sz w:val="22"/>
          <w:szCs w:val="22"/>
        </w:rPr>
        <w:t xml:space="preserve"> in Namibian leopards.</w:t>
      </w:r>
      <w:proofErr w:type="gramEnd"/>
      <w:r w:rsidRPr="001319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452B65">
        <w:rPr>
          <w:rFonts w:asciiTheme="minorHAnsi" w:hAnsiTheme="minorHAnsi"/>
          <w:i/>
          <w:iCs/>
          <w:sz w:val="22"/>
          <w:szCs w:val="22"/>
        </w:rPr>
        <w:t xml:space="preserve">J. </w:t>
      </w:r>
      <w:r w:rsidRPr="001319F9">
        <w:rPr>
          <w:rFonts w:asciiTheme="minorHAnsi" w:hAnsiTheme="minorHAnsi"/>
          <w:i/>
          <w:iCs/>
          <w:sz w:val="22"/>
          <w:szCs w:val="22"/>
        </w:rPr>
        <w:t xml:space="preserve"> Zool</w:t>
      </w:r>
      <w:r w:rsidR="00452B65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Pr="00452B65">
        <w:rPr>
          <w:rFonts w:asciiTheme="minorHAnsi" w:hAnsiTheme="minorHAnsi"/>
          <w:b/>
          <w:iCs/>
          <w:sz w:val="22"/>
          <w:szCs w:val="22"/>
        </w:rPr>
        <w:t>242</w:t>
      </w:r>
      <w:r w:rsidRPr="00794532">
        <w:rPr>
          <w:rFonts w:asciiTheme="minorHAnsi" w:hAnsiTheme="minorHAnsi"/>
          <w:sz w:val="22"/>
          <w:szCs w:val="22"/>
        </w:rPr>
        <w:t>,</w:t>
      </w:r>
      <w:r w:rsidRPr="001319F9">
        <w:rPr>
          <w:rFonts w:asciiTheme="minorHAnsi" w:hAnsiTheme="minorHAnsi"/>
          <w:sz w:val="22"/>
          <w:szCs w:val="22"/>
        </w:rPr>
        <w:t xml:space="preserve"> 343–364. </w:t>
      </w:r>
    </w:p>
    <w:p w:rsidR="00C22359" w:rsidRPr="00C05BDE" w:rsidRDefault="00452B65" w:rsidP="00C22359">
      <w:pPr>
        <w:pStyle w:val="NormalWeb"/>
        <w:ind w:left="480" w:hanging="4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Stein, A., Andreas, A., </w:t>
      </w:r>
      <w:r w:rsidR="00C22359">
        <w:rPr>
          <w:rFonts w:asciiTheme="minorHAnsi" w:hAnsiTheme="minorHAnsi"/>
          <w:sz w:val="22"/>
          <w:szCs w:val="22"/>
        </w:rPr>
        <w:t>Aschenborn,</w:t>
      </w:r>
      <w:r>
        <w:rPr>
          <w:rFonts w:asciiTheme="minorHAnsi" w:hAnsiTheme="minorHAnsi"/>
          <w:sz w:val="22"/>
          <w:szCs w:val="22"/>
        </w:rPr>
        <w:t xml:space="preserve"> O., </w:t>
      </w:r>
      <w:proofErr w:type="spellStart"/>
      <w:r>
        <w:rPr>
          <w:rFonts w:asciiTheme="minorHAnsi" w:hAnsiTheme="minorHAnsi"/>
          <w:sz w:val="22"/>
          <w:szCs w:val="22"/>
        </w:rPr>
        <w:t>Kastern</w:t>
      </w:r>
      <w:proofErr w:type="spellEnd"/>
      <w:r>
        <w:rPr>
          <w:rFonts w:asciiTheme="minorHAnsi" w:hAnsiTheme="minorHAnsi"/>
          <w:sz w:val="22"/>
          <w:szCs w:val="22"/>
        </w:rPr>
        <w:t xml:space="preserve">, M., Andreas, A. &amp; Thompson, S. </w:t>
      </w:r>
      <w:r w:rsidR="00466D03">
        <w:rPr>
          <w:rFonts w:asciiTheme="minorHAnsi" w:hAnsiTheme="minorHAnsi"/>
          <w:sz w:val="22"/>
          <w:szCs w:val="22"/>
        </w:rPr>
        <w:t>(2011b</w:t>
      </w:r>
      <w:r w:rsidR="00C22359">
        <w:rPr>
          <w:rFonts w:asciiTheme="minorHAnsi" w:hAnsiTheme="minorHAnsi"/>
          <w:sz w:val="22"/>
          <w:szCs w:val="22"/>
        </w:rPr>
        <w:t>)</w:t>
      </w:r>
      <w:r w:rsidR="00490014">
        <w:rPr>
          <w:rFonts w:asciiTheme="minorHAnsi" w:hAnsiTheme="minorHAnsi"/>
          <w:sz w:val="22"/>
          <w:szCs w:val="22"/>
        </w:rPr>
        <w:t xml:space="preserve">. </w:t>
      </w:r>
      <w:r w:rsidR="00C2235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90014">
        <w:rPr>
          <w:rFonts w:asciiTheme="minorHAnsi" w:hAnsiTheme="minorHAnsi"/>
          <w:i/>
          <w:sz w:val="22"/>
          <w:szCs w:val="22"/>
        </w:rPr>
        <w:t>Namibian national leopard survey 2011 final r</w:t>
      </w:r>
      <w:r w:rsidR="00C22359" w:rsidRPr="00C05BDE">
        <w:rPr>
          <w:rFonts w:asciiTheme="minorHAnsi" w:hAnsiTheme="minorHAnsi"/>
          <w:i/>
          <w:sz w:val="22"/>
          <w:szCs w:val="22"/>
        </w:rPr>
        <w:t>eport</w:t>
      </w:r>
      <w:r w:rsidR="00C22359">
        <w:rPr>
          <w:rFonts w:asciiTheme="minorHAnsi" w:hAnsiTheme="minorHAnsi"/>
          <w:sz w:val="22"/>
          <w:szCs w:val="22"/>
        </w:rPr>
        <w:t>.</w:t>
      </w:r>
      <w:proofErr w:type="gramEnd"/>
      <w:r w:rsidR="00C22359">
        <w:rPr>
          <w:rFonts w:asciiTheme="minorHAnsi" w:hAnsiTheme="minorHAnsi"/>
          <w:sz w:val="22"/>
          <w:szCs w:val="22"/>
        </w:rPr>
        <w:t xml:space="preserve">  </w:t>
      </w:r>
      <w:r w:rsidR="005B4959">
        <w:rPr>
          <w:rFonts w:asciiTheme="minorHAnsi" w:hAnsiTheme="minorHAnsi"/>
          <w:sz w:val="22"/>
          <w:szCs w:val="22"/>
        </w:rPr>
        <w:t xml:space="preserve">Namibia: </w:t>
      </w:r>
      <w:r w:rsidR="00490014">
        <w:rPr>
          <w:rFonts w:asciiTheme="minorHAnsi" w:hAnsiTheme="minorHAnsi"/>
          <w:sz w:val="22"/>
          <w:szCs w:val="22"/>
        </w:rPr>
        <w:t xml:space="preserve"> </w:t>
      </w:r>
      <w:r w:rsidR="00C22359" w:rsidRPr="00C05BDE">
        <w:rPr>
          <w:rFonts w:asciiTheme="minorHAnsi" w:hAnsiTheme="minorHAnsi"/>
          <w:sz w:val="22"/>
          <w:szCs w:val="22"/>
        </w:rPr>
        <w:t>Ministry of Environment and Tourism Internal Report.</w:t>
      </w:r>
    </w:p>
    <w:p w:rsidR="00F70098" w:rsidRPr="00F70098" w:rsidRDefault="00F70098" w:rsidP="00F70098">
      <w:pPr>
        <w:pStyle w:val="NormalWeb"/>
        <w:ind w:left="480" w:hanging="480"/>
        <w:rPr>
          <w:rFonts w:asciiTheme="minorHAnsi" w:hAnsiTheme="minorHAnsi"/>
          <w:sz w:val="22"/>
          <w:szCs w:val="22"/>
        </w:rPr>
      </w:pPr>
      <w:proofErr w:type="gramStart"/>
      <w:r w:rsidRPr="00F70098">
        <w:rPr>
          <w:rFonts w:asciiTheme="minorHAnsi" w:hAnsiTheme="minorHAnsi"/>
          <w:sz w:val="22"/>
          <w:szCs w:val="22"/>
        </w:rPr>
        <w:t>Stein, A. B</w:t>
      </w:r>
      <w:r>
        <w:rPr>
          <w:rFonts w:asciiTheme="minorHAnsi" w:hAnsiTheme="minorHAnsi"/>
          <w:sz w:val="22"/>
          <w:szCs w:val="22"/>
        </w:rPr>
        <w:t xml:space="preserve">., Fuller, T. K., </w:t>
      </w:r>
      <w:proofErr w:type="spellStart"/>
      <w:r>
        <w:rPr>
          <w:rFonts w:asciiTheme="minorHAnsi" w:hAnsiTheme="minorHAnsi"/>
          <w:sz w:val="22"/>
          <w:szCs w:val="22"/>
        </w:rPr>
        <w:t>Destefano</w:t>
      </w:r>
      <w:proofErr w:type="spellEnd"/>
      <w:r>
        <w:rPr>
          <w:rFonts w:asciiTheme="minorHAnsi" w:hAnsiTheme="minorHAnsi"/>
          <w:sz w:val="22"/>
          <w:szCs w:val="22"/>
        </w:rPr>
        <w:t>, S.</w:t>
      </w:r>
      <w:r w:rsidRPr="00F70098">
        <w:rPr>
          <w:rFonts w:asciiTheme="minorHAnsi" w:hAnsiTheme="minorHAnsi"/>
          <w:sz w:val="22"/>
          <w:szCs w:val="22"/>
        </w:rPr>
        <w:t xml:space="preserve"> &amp; Marker, L. L. (2011</w:t>
      </w:r>
      <w:r>
        <w:rPr>
          <w:rFonts w:asciiTheme="minorHAnsi" w:hAnsiTheme="minorHAnsi"/>
          <w:sz w:val="22"/>
          <w:szCs w:val="22"/>
        </w:rPr>
        <w:t>a</w:t>
      </w:r>
      <w:r w:rsidRPr="00F70098">
        <w:rPr>
          <w:rFonts w:asciiTheme="minorHAnsi" w:hAnsiTheme="minorHAnsi"/>
          <w:sz w:val="22"/>
          <w:szCs w:val="22"/>
        </w:rPr>
        <w:t>).</w:t>
      </w:r>
      <w:proofErr w:type="gramEnd"/>
      <w:r w:rsidRPr="00F70098">
        <w:rPr>
          <w:rFonts w:asciiTheme="minorHAnsi" w:hAnsiTheme="minorHAnsi"/>
          <w:sz w:val="22"/>
          <w:szCs w:val="22"/>
        </w:rPr>
        <w:t xml:space="preserve"> </w:t>
      </w:r>
      <w:r w:rsidR="00490014">
        <w:rPr>
          <w:rFonts w:asciiTheme="minorHAnsi" w:hAnsiTheme="minorHAnsi"/>
          <w:sz w:val="22"/>
          <w:szCs w:val="22"/>
        </w:rPr>
        <w:t xml:space="preserve"> </w:t>
      </w:r>
      <w:r w:rsidRPr="00F70098">
        <w:rPr>
          <w:rFonts w:asciiTheme="minorHAnsi" w:hAnsiTheme="minorHAnsi"/>
          <w:sz w:val="22"/>
          <w:szCs w:val="22"/>
        </w:rPr>
        <w:t>Leopard population and home range estimates in north-central Namibia.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00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Afr. J. </w:t>
      </w:r>
      <w:r w:rsidRPr="00F70098">
        <w:rPr>
          <w:rFonts w:asciiTheme="minorHAnsi" w:hAnsiTheme="minorHAnsi"/>
          <w:i/>
          <w:iCs/>
          <w:sz w:val="22"/>
          <w:szCs w:val="22"/>
        </w:rPr>
        <w:t>Ecol</w:t>
      </w:r>
      <w:r>
        <w:rPr>
          <w:rFonts w:asciiTheme="minorHAnsi" w:hAnsiTheme="minorHAnsi"/>
          <w:i/>
          <w:iCs/>
          <w:sz w:val="22"/>
          <w:szCs w:val="22"/>
        </w:rPr>
        <w:t xml:space="preserve">. </w:t>
      </w:r>
      <w:r w:rsidRPr="00F70098">
        <w:rPr>
          <w:rFonts w:asciiTheme="minorHAnsi" w:hAnsiTheme="minorHAnsi"/>
          <w:b/>
          <w:iCs/>
          <w:sz w:val="22"/>
          <w:szCs w:val="22"/>
        </w:rPr>
        <w:t>49</w:t>
      </w:r>
      <w:r w:rsidRPr="00F70098">
        <w:rPr>
          <w:rFonts w:asciiTheme="minorHAnsi" w:hAnsiTheme="minorHAnsi"/>
          <w:sz w:val="22"/>
          <w:szCs w:val="22"/>
        </w:rPr>
        <w:t>, 383–387.</w:t>
      </w:r>
    </w:p>
    <w:p w:rsidR="00C05BDE" w:rsidRDefault="00C05BDE"/>
    <w:p w:rsidR="00C05BDE" w:rsidRDefault="00C05BDE"/>
    <w:p w:rsidR="00B9513A" w:rsidRDefault="00B9513A">
      <w:pPr>
        <w:sectPr w:rsidR="00B9513A" w:rsidSect="002A124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0D8B" w:rsidRDefault="00C05BDE">
      <w:r>
        <w:lastRenderedPageBreak/>
        <w:t xml:space="preserve">8. </w:t>
      </w:r>
      <w:r w:rsidR="00570D8B">
        <w:t>Tables</w:t>
      </w:r>
    </w:p>
    <w:p w:rsidR="00570D8B" w:rsidRDefault="00570D8B">
      <w:r>
        <w:t>Table 1:  Leopard Density estimates from commercial farmlands, southwest Namibia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4"/>
        <w:gridCol w:w="1184"/>
        <w:gridCol w:w="1106"/>
        <w:gridCol w:w="1048"/>
        <w:gridCol w:w="1103"/>
        <w:gridCol w:w="922"/>
        <w:gridCol w:w="1435"/>
        <w:gridCol w:w="743"/>
        <w:gridCol w:w="1432"/>
        <w:gridCol w:w="1262"/>
        <w:gridCol w:w="1880"/>
        <w:gridCol w:w="1155"/>
      </w:tblGrid>
      <w:tr w:rsidR="00B9513A" w:rsidRPr="00106CA0" w:rsidTr="00B9513A">
        <w:trPr>
          <w:trHeight w:val="825"/>
        </w:trPr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# leopards captured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# recaptures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Mean capture freq.*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Range capture freq.*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Abundance (S.E)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1/2MMDM (km)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Area/km</w:t>
            </w: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Density (# adults/100km</w:t>
            </w: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106C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Density - min. # alive (#/100km</w:t>
            </w:r>
            <w:r w:rsidRPr="006547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9513A" w:rsidRPr="00106CA0" w:rsidTr="00B9513A">
        <w:trPr>
          <w:trHeight w:val="30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North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12-60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Mh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4 (1.15)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4-11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4.3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428.92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0.70</w:t>
            </w:r>
          </w:p>
        </w:tc>
      </w:tr>
      <w:tr w:rsidR="00B9513A" w:rsidRPr="00106CA0" w:rsidTr="00B9513A">
        <w:trPr>
          <w:trHeight w:val="315"/>
        </w:trPr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South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31.11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8.57-60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Mo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5 (0.41)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5-5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6.88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852.01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CA0">
              <w:rPr>
                <w:rFonts w:ascii="Calibri" w:eastAsia="Times New Roman" w:hAnsi="Calibri" w:cs="Times New Roman"/>
                <w:color w:val="000000"/>
                <w:lang w:eastAsia="en-GB"/>
              </w:rPr>
              <w:t>0.59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70D8B" w:rsidRPr="00106CA0" w:rsidRDefault="00570D8B" w:rsidP="00F16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0.59</w:t>
            </w:r>
          </w:p>
        </w:tc>
      </w:tr>
    </w:tbl>
    <w:p w:rsidR="00570D8B" w:rsidRDefault="00570D8B" w:rsidP="00570D8B">
      <w:pPr>
        <w:ind w:left="-426"/>
        <w:rPr>
          <w:i/>
          <w:sz w:val="21"/>
          <w:szCs w:val="21"/>
        </w:rPr>
      </w:pPr>
      <w:r w:rsidRPr="002601F6">
        <w:rPr>
          <w:sz w:val="21"/>
          <w:szCs w:val="21"/>
        </w:rPr>
        <w:t>*</w:t>
      </w:r>
      <w:r w:rsidRPr="002601F6">
        <w:rPr>
          <w:i/>
          <w:sz w:val="21"/>
          <w:szCs w:val="21"/>
        </w:rPr>
        <w:t xml:space="preserve">freq. </w:t>
      </w:r>
      <w:r>
        <w:rPr>
          <w:i/>
          <w:sz w:val="21"/>
          <w:szCs w:val="21"/>
        </w:rPr>
        <w:t>of capture refers to the mean</w:t>
      </w:r>
      <w:r w:rsidRPr="002601F6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number of camera traps nights</w:t>
      </w:r>
      <w:r w:rsidRPr="002601F6">
        <w:rPr>
          <w:i/>
          <w:sz w:val="21"/>
          <w:szCs w:val="21"/>
        </w:rPr>
        <w:t xml:space="preserve"> per event</w:t>
      </w:r>
      <w:r>
        <w:rPr>
          <w:i/>
          <w:sz w:val="21"/>
          <w:szCs w:val="21"/>
        </w:rPr>
        <w:t xml:space="preserve"> for each individual</w:t>
      </w:r>
    </w:p>
    <w:p w:rsidR="00570D8B" w:rsidRDefault="00570D8B"/>
    <w:p w:rsidR="00B9513A" w:rsidRDefault="00B9513A" w:rsidP="00B9513A">
      <w:pPr>
        <w:ind w:left="-1134"/>
        <w:sectPr w:rsidR="00B9513A" w:rsidSect="00B9513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70D8B" w:rsidRDefault="00C05BDE">
      <w:r>
        <w:lastRenderedPageBreak/>
        <w:t xml:space="preserve">9. </w:t>
      </w:r>
      <w:r w:rsidR="00570D8B">
        <w:t>Figure legends</w:t>
      </w:r>
    </w:p>
    <w:p w:rsidR="00C05BDE" w:rsidRDefault="00C05BDE">
      <w:r>
        <w:t>Figure 1:  Location of study sites in southern Namibia</w:t>
      </w:r>
    </w:p>
    <w:p w:rsidR="00570D8B" w:rsidRDefault="00570D8B" w:rsidP="00570D8B">
      <w:r>
        <w:t xml:space="preserve">Figure 2:  Comparison of leopard density estimates from CAPTURE and farmers, commercial farmlands, southwest Namibia.  The fifth farmer could not estimate leopard numbers on </w:t>
      </w:r>
      <w:r w:rsidR="000F4C5D">
        <w:t>his l</w:t>
      </w:r>
      <w:r>
        <w:t>and.</w:t>
      </w:r>
    </w:p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C05BDE">
      <w:r>
        <w:t xml:space="preserve">10. </w:t>
      </w:r>
      <w:r w:rsidR="00570D8B">
        <w:t>Figures</w:t>
      </w:r>
    </w:p>
    <w:p w:rsidR="00C05BDE" w:rsidRDefault="00C05BDE">
      <w:r>
        <w:t>Figure 1</w:t>
      </w:r>
    </w:p>
    <w:p w:rsidR="00C05BDE" w:rsidRDefault="00164CE0">
      <w:r>
        <w:rPr>
          <w:noProof/>
          <w:lang w:val="en-GB" w:eastAsia="en-GB"/>
        </w:rPr>
        <w:drawing>
          <wp:inline distT="0" distB="0" distL="0" distR="0">
            <wp:extent cx="5731510" cy="4053205"/>
            <wp:effectExtent l="19050" t="0" r="2540" b="0"/>
            <wp:docPr id="4" name="Picture 3" descr="Figure on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one.tif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8B" w:rsidRDefault="00570D8B">
      <w:r>
        <w:t>Figure 2</w:t>
      </w:r>
    </w:p>
    <w:p w:rsidR="00570D8B" w:rsidRDefault="00570D8B">
      <w:r w:rsidRPr="00570D8B">
        <w:rPr>
          <w:noProof/>
          <w:lang w:val="en-GB" w:eastAsia="en-GB"/>
        </w:rPr>
        <w:drawing>
          <wp:inline distT="0" distB="0" distL="0" distR="0">
            <wp:extent cx="5731510" cy="3350260"/>
            <wp:effectExtent l="19050" t="0" r="2540" b="0"/>
            <wp:docPr id="2" name="Picture 0" descr="Fig.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p w:rsidR="00570D8B" w:rsidRDefault="00570D8B"/>
    <w:sectPr w:rsidR="00570D8B" w:rsidSect="002A1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46DEC" w15:done="0"/>
  <w15:commentEx w15:paraId="7C4B057F" w15:done="0"/>
  <w15:commentEx w15:paraId="4629C064" w15:done="0"/>
  <w15:commentEx w15:paraId="4AC68502" w15:done="0"/>
  <w15:commentEx w15:paraId="3CE97EE9" w15:done="0"/>
  <w15:commentEx w15:paraId="64B67AAC" w15:done="0"/>
  <w15:commentEx w15:paraId="478D0402" w15:done="0"/>
  <w15:commentEx w15:paraId="07DF8D4F" w15:done="0"/>
  <w15:commentEx w15:paraId="263CB5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Gange">
    <w15:presenceInfo w15:providerId="None" w15:userId="Alan Ga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1D"/>
    <w:rsid w:val="000125B4"/>
    <w:rsid w:val="00014174"/>
    <w:rsid w:val="0004178D"/>
    <w:rsid w:val="000653B7"/>
    <w:rsid w:val="000767A7"/>
    <w:rsid w:val="000835F9"/>
    <w:rsid w:val="000A5555"/>
    <w:rsid w:val="000C696B"/>
    <w:rsid w:val="000D6103"/>
    <w:rsid w:val="000F4C5D"/>
    <w:rsid w:val="00106CA0"/>
    <w:rsid w:val="00140C75"/>
    <w:rsid w:val="00164CE0"/>
    <w:rsid w:val="00166108"/>
    <w:rsid w:val="001958F5"/>
    <w:rsid w:val="001B4A3C"/>
    <w:rsid w:val="001E43D2"/>
    <w:rsid w:val="001E6CFA"/>
    <w:rsid w:val="001F2CB5"/>
    <w:rsid w:val="00207CC9"/>
    <w:rsid w:val="002147CB"/>
    <w:rsid w:val="00230092"/>
    <w:rsid w:val="002626CD"/>
    <w:rsid w:val="0027600D"/>
    <w:rsid w:val="0028747B"/>
    <w:rsid w:val="002A124C"/>
    <w:rsid w:val="002B1FA2"/>
    <w:rsid w:val="002C3E5E"/>
    <w:rsid w:val="002D0677"/>
    <w:rsid w:val="00312AC6"/>
    <w:rsid w:val="003517BE"/>
    <w:rsid w:val="00362CF2"/>
    <w:rsid w:val="003653E2"/>
    <w:rsid w:val="00393F45"/>
    <w:rsid w:val="003C2914"/>
    <w:rsid w:val="003C2B36"/>
    <w:rsid w:val="003C38AC"/>
    <w:rsid w:val="003D6140"/>
    <w:rsid w:val="003F168D"/>
    <w:rsid w:val="00422C53"/>
    <w:rsid w:val="00423A57"/>
    <w:rsid w:val="00425794"/>
    <w:rsid w:val="00440C1B"/>
    <w:rsid w:val="00452588"/>
    <w:rsid w:val="00452B65"/>
    <w:rsid w:val="00466D03"/>
    <w:rsid w:val="00481248"/>
    <w:rsid w:val="00490014"/>
    <w:rsid w:val="004A7B73"/>
    <w:rsid w:val="004B5670"/>
    <w:rsid w:val="004C2F57"/>
    <w:rsid w:val="00500B65"/>
    <w:rsid w:val="0051250C"/>
    <w:rsid w:val="005523A8"/>
    <w:rsid w:val="00562F31"/>
    <w:rsid w:val="00570D8B"/>
    <w:rsid w:val="00574860"/>
    <w:rsid w:val="00574888"/>
    <w:rsid w:val="0058700C"/>
    <w:rsid w:val="0059553B"/>
    <w:rsid w:val="005B4959"/>
    <w:rsid w:val="00606C8D"/>
    <w:rsid w:val="00631E6A"/>
    <w:rsid w:val="00632AA8"/>
    <w:rsid w:val="006547AB"/>
    <w:rsid w:val="006607D4"/>
    <w:rsid w:val="00664012"/>
    <w:rsid w:val="00675294"/>
    <w:rsid w:val="00687856"/>
    <w:rsid w:val="00694463"/>
    <w:rsid w:val="006E1F94"/>
    <w:rsid w:val="006E306A"/>
    <w:rsid w:val="006E6B30"/>
    <w:rsid w:val="00721BC8"/>
    <w:rsid w:val="00721C92"/>
    <w:rsid w:val="007354D1"/>
    <w:rsid w:val="0073751E"/>
    <w:rsid w:val="00741194"/>
    <w:rsid w:val="00762FD2"/>
    <w:rsid w:val="0078140B"/>
    <w:rsid w:val="007A60B5"/>
    <w:rsid w:val="007B3E94"/>
    <w:rsid w:val="007C33AF"/>
    <w:rsid w:val="007D43D5"/>
    <w:rsid w:val="007F1852"/>
    <w:rsid w:val="008015FA"/>
    <w:rsid w:val="00803671"/>
    <w:rsid w:val="00806DF1"/>
    <w:rsid w:val="00844827"/>
    <w:rsid w:val="008759AB"/>
    <w:rsid w:val="00880035"/>
    <w:rsid w:val="008870F1"/>
    <w:rsid w:val="008B42CB"/>
    <w:rsid w:val="008C1E52"/>
    <w:rsid w:val="008C2DB1"/>
    <w:rsid w:val="008D4B18"/>
    <w:rsid w:val="008F0BD6"/>
    <w:rsid w:val="008F7489"/>
    <w:rsid w:val="0091461D"/>
    <w:rsid w:val="009609DA"/>
    <w:rsid w:val="0097333D"/>
    <w:rsid w:val="0098613D"/>
    <w:rsid w:val="009F6FFC"/>
    <w:rsid w:val="00A16323"/>
    <w:rsid w:val="00A33E67"/>
    <w:rsid w:val="00A50C52"/>
    <w:rsid w:val="00AB29D7"/>
    <w:rsid w:val="00AB5840"/>
    <w:rsid w:val="00AB767F"/>
    <w:rsid w:val="00AD219F"/>
    <w:rsid w:val="00B02EE6"/>
    <w:rsid w:val="00B475FA"/>
    <w:rsid w:val="00B61F91"/>
    <w:rsid w:val="00B72D5C"/>
    <w:rsid w:val="00B74997"/>
    <w:rsid w:val="00B9513A"/>
    <w:rsid w:val="00BB1D6E"/>
    <w:rsid w:val="00BD06D0"/>
    <w:rsid w:val="00BF5E3A"/>
    <w:rsid w:val="00C018D7"/>
    <w:rsid w:val="00C05BDE"/>
    <w:rsid w:val="00C22359"/>
    <w:rsid w:val="00C64BF7"/>
    <w:rsid w:val="00C94463"/>
    <w:rsid w:val="00C95F14"/>
    <w:rsid w:val="00CA2AC9"/>
    <w:rsid w:val="00CD4C53"/>
    <w:rsid w:val="00CD75B3"/>
    <w:rsid w:val="00D0776D"/>
    <w:rsid w:val="00D53C78"/>
    <w:rsid w:val="00D82D80"/>
    <w:rsid w:val="00DB515B"/>
    <w:rsid w:val="00DD0567"/>
    <w:rsid w:val="00DD344C"/>
    <w:rsid w:val="00DD3B28"/>
    <w:rsid w:val="00DE0328"/>
    <w:rsid w:val="00E046C4"/>
    <w:rsid w:val="00E07BA3"/>
    <w:rsid w:val="00E238D3"/>
    <w:rsid w:val="00E579F6"/>
    <w:rsid w:val="00EB2AEF"/>
    <w:rsid w:val="00EC42FF"/>
    <w:rsid w:val="00ED0C89"/>
    <w:rsid w:val="00ED2CE8"/>
    <w:rsid w:val="00EE3E20"/>
    <w:rsid w:val="00EE6CB5"/>
    <w:rsid w:val="00F16783"/>
    <w:rsid w:val="00F22C9C"/>
    <w:rsid w:val="00F45406"/>
    <w:rsid w:val="00F5225F"/>
    <w:rsid w:val="00F64063"/>
    <w:rsid w:val="00F70098"/>
    <w:rsid w:val="00F90AFC"/>
    <w:rsid w:val="00FA31FA"/>
    <w:rsid w:val="00F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84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84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11/relationships/people" Target="people.xml"/><Relationship Id="rId5" Type="http://schemas.openxmlformats.org/officeDocument/2006/relationships/hyperlink" Target="http://www.iucnredlis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Edwards</dc:creator>
  <cp:lastModifiedBy>Alan Gange</cp:lastModifiedBy>
  <cp:revision>3</cp:revision>
  <dcterms:created xsi:type="dcterms:W3CDTF">2015-07-30T13:52:00Z</dcterms:created>
  <dcterms:modified xsi:type="dcterms:W3CDTF">2015-08-14T11:36:00Z</dcterms:modified>
</cp:coreProperties>
</file>