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16C68" w14:textId="77777777" w:rsidR="00C206B9" w:rsidRPr="00D272CC" w:rsidRDefault="00C206B9" w:rsidP="00EB06EF">
      <w:pPr>
        <w:pStyle w:val="TitlePage"/>
        <w:rPr>
          <w:lang w:val="en-GB"/>
        </w:rPr>
      </w:pPr>
      <w:bookmarkStart w:id="0" w:name="_GoBack"/>
      <w:bookmarkEnd w:id="0"/>
    </w:p>
    <w:p w14:paraId="32888376" w14:textId="77777777" w:rsidR="00EB06EF" w:rsidRPr="00D272CC" w:rsidRDefault="00EB06EF" w:rsidP="00EB06EF">
      <w:pPr>
        <w:pStyle w:val="TitlePage"/>
        <w:rPr>
          <w:lang w:val="en-GB"/>
        </w:rPr>
      </w:pPr>
    </w:p>
    <w:p w14:paraId="3A2809C1" w14:textId="77777777" w:rsidR="00EB06EF" w:rsidRPr="00D272CC" w:rsidRDefault="00EB06EF" w:rsidP="00EB06EF">
      <w:pPr>
        <w:pStyle w:val="TitlePage"/>
        <w:rPr>
          <w:lang w:val="en-GB"/>
        </w:rPr>
      </w:pPr>
    </w:p>
    <w:p w14:paraId="2D0AFA52" w14:textId="77777777" w:rsidR="00EB06EF" w:rsidRPr="00D272CC" w:rsidRDefault="00EB06EF" w:rsidP="00EB06EF">
      <w:pPr>
        <w:pStyle w:val="TitlePage"/>
        <w:rPr>
          <w:lang w:val="en-GB"/>
        </w:rPr>
      </w:pPr>
    </w:p>
    <w:p w14:paraId="1931E107" w14:textId="77777777" w:rsidR="00EB06EF" w:rsidRPr="00D272CC" w:rsidRDefault="00EB06EF" w:rsidP="00EB06EF">
      <w:pPr>
        <w:pStyle w:val="TitlePage"/>
        <w:rPr>
          <w:lang w:val="en-GB"/>
        </w:rPr>
      </w:pPr>
    </w:p>
    <w:p w14:paraId="299276BA" w14:textId="77777777" w:rsidR="00EB06EF" w:rsidRPr="00D272CC" w:rsidRDefault="00EB06EF" w:rsidP="00EB06EF">
      <w:pPr>
        <w:pStyle w:val="TitlePage"/>
        <w:rPr>
          <w:lang w:val="en-GB"/>
        </w:rPr>
      </w:pPr>
    </w:p>
    <w:p w14:paraId="72E18559" w14:textId="77777777" w:rsidR="000339C7" w:rsidRPr="00D272CC" w:rsidRDefault="006976D8" w:rsidP="00C206B9">
      <w:pPr>
        <w:pStyle w:val="TitlePage"/>
        <w:rPr>
          <w:b/>
          <w:bCs/>
          <w:sz w:val="32"/>
          <w:lang w:val="en-GB"/>
        </w:rPr>
      </w:pPr>
      <w:r w:rsidRPr="00D272CC">
        <w:rPr>
          <w:b/>
          <w:bCs/>
          <w:sz w:val="32"/>
          <w:lang w:val="en-GB"/>
        </w:rPr>
        <w:t xml:space="preserve">The </w:t>
      </w:r>
      <w:r w:rsidR="00D7072E">
        <w:rPr>
          <w:b/>
          <w:bCs/>
          <w:sz w:val="32"/>
          <w:lang w:val="en-GB"/>
        </w:rPr>
        <w:t>q</w:t>
      </w:r>
      <w:r w:rsidR="00C250F6" w:rsidRPr="00D272CC">
        <w:rPr>
          <w:b/>
          <w:bCs/>
          <w:sz w:val="32"/>
          <w:lang w:val="en-GB"/>
        </w:rPr>
        <w:t xml:space="preserve">ualitative </w:t>
      </w:r>
      <w:r w:rsidR="00D7072E">
        <w:rPr>
          <w:b/>
          <w:bCs/>
          <w:sz w:val="32"/>
          <w:lang w:val="en-GB"/>
        </w:rPr>
        <w:t>c</w:t>
      </w:r>
      <w:r w:rsidR="00C250F6" w:rsidRPr="00D272CC">
        <w:rPr>
          <w:b/>
          <w:bCs/>
          <w:sz w:val="32"/>
          <w:lang w:val="en-GB"/>
        </w:rPr>
        <w:t>haracteristics</w:t>
      </w:r>
      <w:r w:rsidR="00A1366E" w:rsidRPr="00D272CC">
        <w:rPr>
          <w:b/>
          <w:bCs/>
          <w:sz w:val="32"/>
          <w:lang w:val="en-GB"/>
        </w:rPr>
        <w:t xml:space="preserve"> of </w:t>
      </w:r>
      <w:r w:rsidR="00D7072E">
        <w:rPr>
          <w:b/>
          <w:bCs/>
          <w:sz w:val="32"/>
          <w:lang w:val="en-GB"/>
        </w:rPr>
        <w:t>f</w:t>
      </w:r>
      <w:r w:rsidR="00A1366E" w:rsidRPr="00D272CC">
        <w:rPr>
          <w:b/>
          <w:bCs/>
          <w:sz w:val="32"/>
          <w:lang w:val="en-GB"/>
        </w:rPr>
        <w:t xml:space="preserve">inancial </w:t>
      </w:r>
      <w:r w:rsidR="00D7072E">
        <w:rPr>
          <w:b/>
          <w:bCs/>
          <w:sz w:val="32"/>
          <w:lang w:val="en-GB"/>
        </w:rPr>
        <w:t>i</w:t>
      </w:r>
      <w:r w:rsidR="00A1366E" w:rsidRPr="00D272CC">
        <w:rPr>
          <w:b/>
          <w:bCs/>
          <w:sz w:val="32"/>
          <w:lang w:val="en-GB"/>
        </w:rPr>
        <w:t>nformation</w:t>
      </w:r>
      <w:r w:rsidRPr="00D272CC">
        <w:rPr>
          <w:b/>
          <w:bCs/>
          <w:sz w:val="32"/>
          <w:lang w:val="en-GB"/>
        </w:rPr>
        <w:t>,</w:t>
      </w:r>
      <w:r w:rsidR="00E01041" w:rsidRPr="00D272CC">
        <w:rPr>
          <w:b/>
          <w:bCs/>
          <w:sz w:val="32"/>
          <w:lang w:val="en-GB"/>
        </w:rPr>
        <w:t xml:space="preserve"> </w:t>
      </w:r>
      <w:r w:rsidR="00AE1B52" w:rsidRPr="00D272CC">
        <w:rPr>
          <w:b/>
          <w:bCs/>
          <w:sz w:val="32"/>
          <w:lang w:val="en-GB"/>
        </w:rPr>
        <w:br/>
      </w:r>
      <w:r w:rsidR="00E01041" w:rsidRPr="00D272CC">
        <w:rPr>
          <w:b/>
          <w:bCs/>
          <w:sz w:val="32"/>
          <w:lang w:val="en-GB"/>
        </w:rPr>
        <w:t xml:space="preserve">and </w:t>
      </w:r>
      <w:r w:rsidR="00D7072E">
        <w:rPr>
          <w:b/>
          <w:bCs/>
          <w:sz w:val="32"/>
          <w:lang w:val="en-GB"/>
        </w:rPr>
        <w:t>m</w:t>
      </w:r>
      <w:r w:rsidR="00E01041" w:rsidRPr="00D272CC">
        <w:rPr>
          <w:b/>
          <w:bCs/>
          <w:sz w:val="32"/>
          <w:lang w:val="en-GB"/>
        </w:rPr>
        <w:t xml:space="preserve">anagers’ </w:t>
      </w:r>
      <w:r w:rsidR="00D7072E">
        <w:rPr>
          <w:b/>
          <w:bCs/>
          <w:sz w:val="32"/>
          <w:lang w:val="en-GB"/>
        </w:rPr>
        <w:t>a</w:t>
      </w:r>
      <w:r w:rsidR="00E01041" w:rsidRPr="00D272CC">
        <w:rPr>
          <w:b/>
          <w:bCs/>
          <w:sz w:val="32"/>
          <w:lang w:val="en-GB"/>
        </w:rPr>
        <w:t xml:space="preserve">ccounting </w:t>
      </w:r>
      <w:r w:rsidR="00D7072E">
        <w:rPr>
          <w:b/>
          <w:bCs/>
          <w:sz w:val="32"/>
          <w:lang w:val="en-GB"/>
        </w:rPr>
        <w:t>d</w:t>
      </w:r>
      <w:r w:rsidR="002C5DE3" w:rsidRPr="00D272CC">
        <w:rPr>
          <w:b/>
          <w:bCs/>
          <w:sz w:val="32"/>
          <w:lang w:val="en-GB"/>
        </w:rPr>
        <w:t>ecision</w:t>
      </w:r>
      <w:r w:rsidR="00E01041" w:rsidRPr="00D272CC">
        <w:rPr>
          <w:b/>
          <w:bCs/>
          <w:sz w:val="32"/>
          <w:lang w:val="en-GB"/>
        </w:rPr>
        <w:t>s:</w:t>
      </w:r>
      <w:r w:rsidR="00C250F6" w:rsidRPr="00D272CC">
        <w:rPr>
          <w:b/>
          <w:bCs/>
          <w:sz w:val="32"/>
          <w:lang w:val="en-GB"/>
        </w:rPr>
        <w:t xml:space="preserve"> </w:t>
      </w:r>
      <w:r w:rsidR="00AE1B52" w:rsidRPr="00D272CC">
        <w:rPr>
          <w:b/>
          <w:bCs/>
          <w:sz w:val="32"/>
          <w:lang w:val="en-GB"/>
        </w:rPr>
        <w:br/>
      </w:r>
      <w:r w:rsidR="00D7072E">
        <w:rPr>
          <w:b/>
          <w:bCs/>
          <w:sz w:val="32"/>
          <w:lang w:val="en-GB"/>
        </w:rPr>
        <w:t>e</w:t>
      </w:r>
      <w:r w:rsidR="008761A3" w:rsidRPr="00D272CC">
        <w:rPr>
          <w:b/>
          <w:bCs/>
          <w:sz w:val="32"/>
          <w:lang w:val="en-GB"/>
        </w:rPr>
        <w:t xml:space="preserve">vidence from </w:t>
      </w:r>
      <w:r w:rsidR="00C250F6" w:rsidRPr="00D272CC">
        <w:rPr>
          <w:b/>
          <w:bCs/>
          <w:sz w:val="32"/>
          <w:lang w:val="en-GB"/>
        </w:rPr>
        <w:t xml:space="preserve">IFRS </w:t>
      </w:r>
      <w:r w:rsidR="00D7072E">
        <w:rPr>
          <w:b/>
          <w:bCs/>
          <w:sz w:val="32"/>
          <w:lang w:val="en-GB"/>
        </w:rPr>
        <w:t>p</w:t>
      </w:r>
      <w:r w:rsidR="00C250F6" w:rsidRPr="00D272CC">
        <w:rPr>
          <w:b/>
          <w:bCs/>
          <w:sz w:val="32"/>
          <w:lang w:val="en-GB"/>
        </w:rPr>
        <w:t>olic</w:t>
      </w:r>
      <w:r w:rsidR="008761A3" w:rsidRPr="00D272CC">
        <w:rPr>
          <w:b/>
          <w:bCs/>
          <w:sz w:val="32"/>
          <w:lang w:val="en-GB"/>
        </w:rPr>
        <w:t xml:space="preserve">y </w:t>
      </w:r>
      <w:r w:rsidR="00D7072E">
        <w:rPr>
          <w:b/>
          <w:bCs/>
          <w:sz w:val="32"/>
          <w:lang w:val="en-GB"/>
        </w:rPr>
        <w:t>c</w:t>
      </w:r>
      <w:r w:rsidR="008761A3" w:rsidRPr="00D272CC">
        <w:rPr>
          <w:b/>
          <w:bCs/>
          <w:sz w:val="32"/>
          <w:lang w:val="en-GB"/>
        </w:rPr>
        <w:t>hanges</w:t>
      </w:r>
    </w:p>
    <w:p w14:paraId="50C5A7FC" w14:textId="77777777" w:rsidR="00C206B9" w:rsidRPr="00D272CC" w:rsidRDefault="00C206B9" w:rsidP="00C206B9">
      <w:pPr>
        <w:pStyle w:val="TitlePage"/>
        <w:rPr>
          <w:lang w:val="en-GB"/>
        </w:rPr>
      </w:pPr>
    </w:p>
    <w:p w14:paraId="49CA43BD" w14:textId="77777777" w:rsidR="00C206B9" w:rsidRPr="00D272CC" w:rsidRDefault="00C206B9" w:rsidP="00C206B9">
      <w:pPr>
        <w:pStyle w:val="TitlePage"/>
        <w:rPr>
          <w:lang w:val="en-GB"/>
        </w:rPr>
      </w:pPr>
    </w:p>
    <w:p w14:paraId="6F9597A7" w14:textId="77777777" w:rsidR="00EB06EF" w:rsidRPr="00D272CC" w:rsidRDefault="00EB06EF" w:rsidP="00C206B9">
      <w:pPr>
        <w:pStyle w:val="TitlePage"/>
        <w:rPr>
          <w:lang w:val="en-GB"/>
        </w:rPr>
      </w:pPr>
    </w:p>
    <w:p w14:paraId="58E7D462" w14:textId="77777777" w:rsidR="00EB06EF" w:rsidRPr="00D272CC" w:rsidRDefault="00EB06EF" w:rsidP="00C206B9">
      <w:pPr>
        <w:pStyle w:val="TitlePage"/>
        <w:rPr>
          <w:lang w:val="en-GB"/>
        </w:rPr>
      </w:pPr>
    </w:p>
    <w:p w14:paraId="50CB9109" w14:textId="77777777" w:rsidR="00C206B9" w:rsidRPr="00D272CC" w:rsidRDefault="00C206B9" w:rsidP="00C206B9">
      <w:pPr>
        <w:pStyle w:val="TitlePage"/>
        <w:rPr>
          <w:lang w:val="en-GB"/>
        </w:rPr>
      </w:pPr>
    </w:p>
    <w:p w14:paraId="2C87F384" w14:textId="77777777" w:rsidR="00EB06EF" w:rsidRPr="00D272CC" w:rsidRDefault="00EB06EF" w:rsidP="00C206B9">
      <w:pPr>
        <w:pStyle w:val="TitlePage"/>
        <w:rPr>
          <w:lang w:val="en-GB"/>
        </w:rPr>
      </w:pPr>
    </w:p>
    <w:p w14:paraId="7695E258" w14:textId="77777777" w:rsidR="00C206B9" w:rsidRPr="00D272CC" w:rsidRDefault="00302638" w:rsidP="00C206B9">
      <w:pPr>
        <w:pStyle w:val="TitlePage"/>
        <w:rPr>
          <w:b/>
          <w:bCs/>
          <w:lang w:val="en-GB"/>
        </w:rPr>
      </w:pPr>
      <w:r w:rsidRPr="00D272CC">
        <w:rPr>
          <w:b/>
          <w:bCs/>
          <w:lang w:val="en-GB"/>
        </w:rPr>
        <w:t>Christopher W. Nobes</w:t>
      </w:r>
      <w:r w:rsidR="00C206B9" w:rsidRPr="00D272CC">
        <w:rPr>
          <w:b/>
          <w:bCs/>
          <w:vertAlign w:val="superscript"/>
          <w:lang w:val="en-GB"/>
        </w:rPr>
        <w:t>a</w:t>
      </w:r>
      <w:r w:rsidR="00C206B9" w:rsidRPr="00D272CC">
        <w:rPr>
          <w:b/>
          <w:bCs/>
          <w:lang w:val="en-GB"/>
        </w:rPr>
        <w:t xml:space="preserve"> and Christian Stadler</w:t>
      </w:r>
      <w:r w:rsidR="00C206B9" w:rsidRPr="00D272CC">
        <w:rPr>
          <w:b/>
          <w:bCs/>
          <w:vertAlign w:val="superscript"/>
          <w:lang w:val="en-GB"/>
        </w:rPr>
        <w:t>b</w:t>
      </w:r>
    </w:p>
    <w:p w14:paraId="6F19508A" w14:textId="77777777" w:rsidR="00C206B9" w:rsidRPr="00D272CC" w:rsidRDefault="00C206B9" w:rsidP="00C206B9">
      <w:pPr>
        <w:pStyle w:val="TitlePage"/>
        <w:rPr>
          <w:lang w:val="en-GB"/>
        </w:rPr>
      </w:pPr>
    </w:p>
    <w:p w14:paraId="3933A0AA" w14:textId="77777777" w:rsidR="00EB06EF" w:rsidRPr="00D272CC" w:rsidRDefault="00EB06EF" w:rsidP="00C206B9">
      <w:pPr>
        <w:pStyle w:val="TitlePage"/>
        <w:rPr>
          <w:lang w:val="en-GB"/>
        </w:rPr>
      </w:pPr>
    </w:p>
    <w:p w14:paraId="0CA76E35" w14:textId="77777777" w:rsidR="00EB06EF" w:rsidRPr="00D272CC" w:rsidRDefault="00EB06EF" w:rsidP="00C206B9">
      <w:pPr>
        <w:pStyle w:val="TitlePage"/>
        <w:rPr>
          <w:lang w:val="en-GB"/>
        </w:rPr>
      </w:pPr>
    </w:p>
    <w:p w14:paraId="0E3B8F92" w14:textId="77777777" w:rsidR="005B370D" w:rsidRPr="00D272CC" w:rsidRDefault="00C206B9" w:rsidP="00C206B9">
      <w:pPr>
        <w:pStyle w:val="TitlePage"/>
        <w:rPr>
          <w:i/>
          <w:iCs w:val="0"/>
          <w:lang w:val="en-GB"/>
        </w:rPr>
      </w:pPr>
      <w:r w:rsidRPr="00D272CC">
        <w:rPr>
          <w:i/>
          <w:iCs w:val="0"/>
          <w:vertAlign w:val="superscript"/>
          <w:lang w:val="en-GB"/>
        </w:rPr>
        <w:t>a</w:t>
      </w:r>
      <w:r w:rsidRPr="00D272CC">
        <w:rPr>
          <w:i/>
          <w:iCs w:val="0"/>
          <w:lang w:val="en-GB"/>
        </w:rPr>
        <w:t xml:space="preserve"> </w:t>
      </w:r>
      <w:r w:rsidR="00302638" w:rsidRPr="00D272CC">
        <w:rPr>
          <w:i/>
          <w:iCs w:val="0"/>
          <w:lang w:val="en-GB"/>
        </w:rPr>
        <w:t>School of Management, Royal Holloway, University of London</w:t>
      </w:r>
    </w:p>
    <w:p w14:paraId="1DFF7CE1" w14:textId="77777777" w:rsidR="00A31B91" w:rsidRPr="00D272CC" w:rsidRDefault="00302638" w:rsidP="00C206B9">
      <w:pPr>
        <w:pStyle w:val="TitlePage"/>
        <w:rPr>
          <w:i/>
          <w:iCs w:val="0"/>
          <w:lang w:val="en-GB"/>
        </w:rPr>
      </w:pPr>
      <w:r w:rsidRPr="00D272CC">
        <w:rPr>
          <w:i/>
          <w:iCs w:val="0"/>
          <w:lang w:val="en-GB"/>
        </w:rPr>
        <w:t>Egham, Surrey, TW20 0EX, UK</w:t>
      </w:r>
    </w:p>
    <w:p w14:paraId="6D6676FD" w14:textId="77777777" w:rsidR="00A31B91" w:rsidRPr="00D272CC" w:rsidRDefault="00A31B91" w:rsidP="00C206B9">
      <w:pPr>
        <w:pStyle w:val="TitlePage"/>
        <w:rPr>
          <w:i/>
          <w:iCs w:val="0"/>
          <w:lang w:val="en-GB"/>
        </w:rPr>
      </w:pPr>
      <w:r w:rsidRPr="00D272CC">
        <w:rPr>
          <w:i/>
          <w:iCs w:val="0"/>
          <w:lang w:val="en-GB"/>
        </w:rPr>
        <w:t>and</w:t>
      </w:r>
    </w:p>
    <w:p w14:paraId="0EEFAB0B" w14:textId="77777777" w:rsidR="00C206B9" w:rsidRPr="00D272CC" w:rsidRDefault="00A31B91" w:rsidP="00C206B9">
      <w:pPr>
        <w:pStyle w:val="TitlePage"/>
        <w:rPr>
          <w:lang w:val="en-GB"/>
        </w:rPr>
      </w:pPr>
      <w:r w:rsidRPr="00D272CC">
        <w:rPr>
          <w:i/>
          <w:lang w:val="en-GB"/>
        </w:rPr>
        <w:t>Discipline of Accounting, University of Sydney</w:t>
      </w:r>
      <w:r w:rsidR="00510993" w:rsidRPr="00D272CC">
        <w:rPr>
          <w:i/>
          <w:iCs w:val="0"/>
          <w:lang w:val="en-GB"/>
        </w:rPr>
        <w:br/>
      </w:r>
      <w:r w:rsidR="00576613" w:rsidRPr="00D272CC">
        <w:rPr>
          <w:lang w:val="en-GB"/>
        </w:rPr>
        <w:t>c</w:t>
      </w:r>
      <w:r w:rsidR="00302638" w:rsidRPr="00D272CC">
        <w:rPr>
          <w:lang w:val="en-GB"/>
        </w:rPr>
        <w:t>hris.</w:t>
      </w:r>
      <w:r w:rsidR="00576613" w:rsidRPr="00D272CC">
        <w:rPr>
          <w:lang w:val="en-GB"/>
        </w:rPr>
        <w:t>n</w:t>
      </w:r>
      <w:r w:rsidR="00302638" w:rsidRPr="00D272CC">
        <w:rPr>
          <w:lang w:val="en-GB"/>
        </w:rPr>
        <w:t>obes@rhul.ac.uk</w:t>
      </w:r>
    </w:p>
    <w:p w14:paraId="1B818477" w14:textId="77777777" w:rsidR="00C206B9" w:rsidRPr="00D272CC" w:rsidRDefault="00C206B9" w:rsidP="00C206B9">
      <w:pPr>
        <w:pStyle w:val="TitlePage"/>
        <w:rPr>
          <w:lang w:val="en-GB"/>
        </w:rPr>
      </w:pPr>
    </w:p>
    <w:p w14:paraId="52C376F0" w14:textId="77777777" w:rsidR="00EB06EF" w:rsidRPr="00D272CC" w:rsidRDefault="00EB06EF" w:rsidP="00C206B9">
      <w:pPr>
        <w:pStyle w:val="TitlePage"/>
        <w:rPr>
          <w:lang w:val="en-GB"/>
        </w:rPr>
      </w:pPr>
    </w:p>
    <w:p w14:paraId="2FB6A763" w14:textId="77777777" w:rsidR="00EB06EF" w:rsidRPr="00D272CC" w:rsidRDefault="00EB06EF" w:rsidP="00C206B9">
      <w:pPr>
        <w:pStyle w:val="TitlePage"/>
        <w:rPr>
          <w:lang w:val="en-GB"/>
        </w:rPr>
      </w:pPr>
    </w:p>
    <w:p w14:paraId="0D403E69" w14:textId="77777777" w:rsidR="005B370D" w:rsidRPr="00D272CC" w:rsidRDefault="00C206B9" w:rsidP="00510993">
      <w:pPr>
        <w:pStyle w:val="TitlePage"/>
        <w:rPr>
          <w:i/>
          <w:iCs w:val="0"/>
          <w:lang w:val="en-GB"/>
        </w:rPr>
      </w:pPr>
      <w:r w:rsidRPr="00D272CC">
        <w:rPr>
          <w:i/>
          <w:iCs w:val="0"/>
          <w:vertAlign w:val="superscript"/>
          <w:lang w:val="en-GB"/>
        </w:rPr>
        <w:t>b</w:t>
      </w:r>
      <w:r w:rsidR="00302638" w:rsidRPr="00D272CC">
        <w:rPr>
          <w:i/>
          <w:iCs w:val="0"/>
          <w:lang w:val="en-GB"/>
        </w:rPr>
        <w:t xml:space="preserve"> Department of Accounting and Finance, Lancaster University Management School</w:t>
      </w:r>
    </w:p>
    <w:p w14:paraId="74A6F385" w14:textId="77777777" w:rsidR="00C206B9" w:rsidRPr="00D272CC" w:rsidRDefault="00302638" w:rsidP="00510993">
      <w:pPr>
        <w:pStyle w:val="TitlePage"/>
        <w:rPr>
          <w:i/>
          <w:iCs w:val="0"/>
          <w:lang w:val="en-GB"/>
        </w:rPr>
      </w:pPr>
      <w:r w:rsidRPr="00D272CC">
        <w:rPr>
          <w:i/>
          <w:iCs w:val="0"/>
          <w:lang w:val="en-GB"/>
        </w:rPr>
        <w:t>Lancaster, Lancashire, LA1 4YX, UK</w:t>
      </w:r>
      <w:r w:rsidR="00510993" w:rsidRPr="00D272CC">
        <w:rPr>
          <w:i/>
          <w:iCs w:val="0"/>
          <w:lang w:val="en-GB"/>
        </w:rPr>
        <w:br/>
      </w:r>
      <w:r w:rsidRPr="00D272CC">
        <w:rPr>
          <w:lang w:val="en-GB"/>
        </w:rPr>
        <w:t>c.stadler@lancaster.ac.uk</w:t>
      </w:r>
    </w:p>
    <w:p w14:paraId="43D92A0E" w14:textId="77777777" w:rsidR="00C206B9" w:rsidRPr="00D272CC" w:rsidRDefault="00C206B9" w:rsidP="00C206B9">
      <w:pPr>
        <w:pStyle w:val="TitlePage"/>
        <w:rPr>
          <w:lang w:val="en-GB"/>
        </w:rPr>
      </w:pPr>
    </w:p>
    <w:p w14:paraId="7D2F34EC" w14:textId="77777777" w:rsidR="00C206B9" w:rsidRPr="00D272CC" w:rsidRDefault="00C206B9" w:rsidP="00C206B9">
      <w:pPr>
        <w:pStyle w:val="TitlePage"/>
        <w:rPr>
          <w:lang w:val="en-GB"/>
        </w:rPr>
      </w:pPr>
    </w:p>
    <w:p w14:paraId="170E39C6" w14:textId="77777777" w:rsidR="00EB06EF" w:rsidRPr="00D272CC" w:rsidRDefault="00EB06EF" w:rsidP="00C206B9">
      <w:pPr>
        <w:pStyle w:val="TitlePage"/>
        <w:rPr>
          <w:lang w:val="en-GB"/>
        </w:rPr>
      </w:pPr>
    </w:p>
    <w:p w14:paraId="17CB141C" w14:textId="77777777" w:rsidR="00EB06EF" w:rsidRPr="00D272CC" w:rsidRDefault="00EB06EF" w:rsidP="00C206B9">
      <w:pPr>
        <w:pStyle w:val="TitlePage"/>
        <w:rPr>
          <w:lang w:val="en-GB"/>
        </w:rPr>
      </w:pPr>
    </w:p>
    <w:p w14:paraId="64CF2BF8" w14:textId="77777777" w:rsidR="00C206B9" w:rsidRPr="00D272CC" w:rsidRDefault="00C206B9" w:rsidP="00C206B9">
      <w:pPr>
        <w:pStyle w:val="TitlePage"/>
        <w:rPr>
          <w:lang w:val="en-GB"/>
        </w:rPr>
      </w:pPr>
    </w:p>
    <w:p w14:paraId="7AD6B2F7" w14:textId="77777777" w:rsidR="00EB06EF" w:rsidRPr="00D272CC" w:rsidRDefault="00EB06EF" w:rsidP="00C206B9">
      <w:pPr>
        <w:pStyle w:val="TitlePage"/>
        <w:rPr>
          <w:lang w:val="en-GB"/>
        </w:rPr>
      </w:pPr>
    </w:p>
    <w:p w14:paraId="199CA0D3" w14:textId="2BF5933D" w:rsidR="004C18AF" w:rsidRPr="00D272CC" w:rsidRDefault="00B34E1D" w:rsidP="00A863C5">
      <w:pPr>
        <w:pStyle w:val="TitlePage"/>
        <w:rPr>
          <w:lang w:val="en-GB"/>
        </w:rPr>
      </w:pPr>
      <w:r>
        <w:rPr>
          <w:lang w:val="en-GB"/>
        </w:rPr>
        <w:t>March</w:t>
      </w:r>
      <w:r w:rsidR="00191441">
        <w:rPr>
          <w:lang w:val="en-GB"/>
        </w:rPr>
        <w:t xml:space="preserve"> </w:t>
      </w:r>
      <w:r w:rsidR="00050B4C">
        <w:rPr>
          <w:lang w:val="en-GB"/>
        </w:rPr>
        <w:t>1</w:t>
      </w:r>
      <w:r w:rsidR="002B7C60">
        <w:rPr>
          <w:lang w:val="en-GB"/>
        </w:rPr>
        <w:t>9</w:t>
      </w:r>
      <w:r w:rsidR="00510993" w:rsidRPr="00D272CC">
        <w:rPr>
          <w:lang w:val="en-GB"/>
        </w:rPr>
        <w:t>, 20</w:t>
      </w:r>
      <w:r w:rsidR="00302638" w:rsidRPr="00D272CC">
        <w:rPr>
          <w:lang w:val="en-GB"/>
        </w:rPr>
        <w:t>1</w:t>
      </w:r>
      <w:r w:rsidR="00250864">
        <w:rPr>
          <w:lang w:val="en-GB"/>
        </w:rPr>
        <w:t>5</w:t>
      </w:r>
    </w:p>
    <w:p w14:paraId="28D27221" w14:textId="77777777" w:rsidR="004C18AF" w:rsidRPr="00D272CC" w:rsidRDefault="004C18AF" w:rsidP="00C206B9">
      <w:pPr>
        <w:pStyle w:val="TitlePage"/>
        <w:rPr>
          <w:lang w:val="en-GB"/>
        </w:rPr>
      </w:pPr>
    </w:p>
    <w:p w14:paraId="2C712DA9" w14:textId="77777777" w:rsidR="00C206B9" w:rsidRPr="00D272CC" w:rsidRDefault="00C206B9" w:rsidP="00386416">
      <w:pPr>
        <w:pStyle w:val="TitlePage"/>
        <w:rPr>
          <w:lang w:val="en-GB"/>
        </w:rPr>
      </w:pPr>
    </w:p>
    <w:p w14:paraId="0CF185CA" w14:textId="77777777" w:rsidR="00BB4E54" w:rsidRPr="00D272CC" w:rsidRDefault="00BB4E54" w:rsidP="00B71F3F">
      <w:pPr>
        <w:pStyle w:val="Acknowledgements"/>
        <w:rPr>
          <w:lang w:val="en-GB"/>
        </w:rPr>
      </w:pPr>
    </w:p>
    <w:p w14:paraId="28A63E3F" w14:textId="77777777" w:rsidR="00C206B9" w:rsidRPr="00D272CC" w:rsidRDefault="00A863C5" w:rsidP="00B71F3F">
      <w:pPr>
        <w:pStyle w:val="Acknowledgements"/>
        <w:rPr>
          <w:lang w:val="en-GB"/>
        </w:rPr>
      </w:pPr>
      <w:r w:rsidRPr="00D272CC">
        <w:rPr>
          <w:lang w:val="en-GB"/>
        </w:rPr>
        <w:t>The authors</w:t>
      </w:r>
      <w:r w:rsidR="004C18AF" w:rsidRPr="00D272CC">
        <w:rPr>
          <w:lang w:val="en-GB"/>
        </w:rPr>
        <w:t xml:space="preserve"> ar</w:t>
      </w:r>
      <w:r w:rsidR="00A31B91" w:rsidRPr="00D272CC">
        <w:rPr>
          <w:lang w:val="en-GB"/>
        </w:rPr>
        <w:t xml:space="preserve">e grateful for comments from </w:t>
      </w:r>
      <w:r w:rsidR="00AE24FE">
        <w:rPr>
          <w:lang w:val="en-GB"/>
        </w:rPr>
        <w:t xml:space="preserve">Mary Barth, </w:t>
      </w:r>
      <w:r w:rsidR="008C0E2D" w:rsidRPr="00D272CC">
        <w:rPr>
          <w:lang w:val="en-GB"/>
        </w:rPr>
        <w:t xml:space="preserve">Vivien Beattie, Jürgen Ernstberger, </w:t>
      </w:r>
      <w:r w:rsidR="00AE24FE">
        <w:rPr>
          <w:lang w:val="en-GB"/>
        </w:rPr>
        <w:t xml:space="preserve">Richard Macve, </w:t>
      </w:r>
      <w:r w:rsidR="00C53B26">
        <w:rPr>
          <w:lang w:val="en-GB"/>
        </w:rPr>
        <w:t xml:space="preserve">Brian Singleton-Green, </w:t>
      </w:r>
      <w:r w:rsidR="008C0E2D" w:rsidRPr="00D272CC">
        <w:rPr>
          <w:lang w:val="en-GB"/>
        </w:rPr>
        <w:t>Steve Young</w:t>
      </w:r>
      <w:r w:rsidR="008E416E">
        <w:rPr>
          <w:lang w:val="en-GB"/>
        </w:rPr>
        <w:t>,</w:t>
      </w:r>
      <w:r w:rsidR="00B71F3F">
        <w:rPr>
          <w:lang w:val="en-GB"/>
        </w:rPr>
        <w:t xml:space="preserve"> Ste</w:t>
      </w:r>
      <w:r w:rsidR="00191441">
        <w:rPr>
          <w:lang w:val="en-GB"/>
        </w:rPr>
        <w:t>ph</w:t>
      </w:r>
      <w:r w:rsidR="00B71F3F">
        <w:rPr>
          <w:lang w:val="en-GB"/>
        </w:rPr>
        <w:t>e</w:t>
      </w:r>
      <w:r w:rsidR="00191441">
        <w:rPr>
          <w:lang w:val="en-GB"/>
        </w:rPr>
        <w:t>n</w:t>
      </w:r>
      <w:r w:rsidR="00B71F3F">
        <w:rPr>
          <w:lang w:val="en-GB"/>
        </w:rPr>
        <w:t xml:space="preserve"> Zeff,</w:t>
      </w:r>
      <w:r w:rsidR="00D36598" w:rsidRPr="00D272CC">
        <w:rPr>
          <w:lang w:val="en-GB"/>
        </w:rPr>
        <w:t xml:space="preserve"> </w:t>
      </w:r>
      <w:r w:rsidR="008B546D" w:rsidRPr="00D272CC">
        <w:rPr>
          <w:lang w:val="en-GB"/>
        </w:rPr>
        <w:t>Na Zhao</w:t>
      </w:r>
      <w:r w:rsidR="00B06DEF">
        <w:rPr>
          <w:lang w:val="en-GB"/>
        </w:rPr>
        <w:t>,</w:t>
      </w:r>
      <w:r w:rsidR="008E416E">
        <w:rPr>
          <w:lang w:val="en-GB"/>
        </w:rPr>
        <w:t xml:space="preserve"> </w:t>
      </w:r>
      <w:r w:rsidR="00AE24FE">
        <w:rPr>
          <w:lang w:val="en-GB"/>
        </w:rPr>
        <w:t xml:space="preserve">Ann Tarca (the </w:t>
      </w:r>
      <w:r w:rsidR="008209BD">
        <w:rPr>
          <w:lang w:val="en-GB"/>
        </w:rPr>
        <w:t xml:space="preserve">guest </w:t>
      </w:r>
      <w:r w:rsidR="00AE24FE">
        <w:rPr>
          <w:lang w:val="en-GB"/>
        </w:rPr>
        <w:t xml:space="preserve">editor), </w:t>
      </w:r>
      <w:r w:rsidR="00B71F3F">
        <w:rPr>
          <w:lang w:val="en-GB"/>
        </w:rPr>
        <w:t xml:space="preserve">two referees of this journal </w:t>
      </w:r>
      <w:r w:rsidR="00B06DEF">
        <w:rPr>
          <w:lang w:val="en-GB"/>
        </w:rPr>
        <w:t>and</w:t>
      </w:r>
      <w:r w:rsidR="00B71F3F">
        <w:rPr>
          <w:lang w:val="en-GB"/>
        </w:rPr>
        <w:t xml:space="preserve"> </w:t>
      </w:r>
      <w:r w:rsidR="000B71B2">
        <w:rPr>
          <w:lang w:val="en-GB"/>
        </w:rPr>
        <w:t xml:space="preserve">workshop </w:t>
      </w:r>
      <w:r w:rsidR="008E416E">
        <w:rPr>
          <w:lang w:val="en-GB"/>
        </w:rPr>
        <w:t>participants at the 2014 British Accounting and Finance Association</w:t>
      </w:r>
      <w:r w:rsidR="00B06DEF">
        <w:rPr>
          <w:lang w:val="en-GB"/>
        </w:rPr>
        <w:t xml:space="preserve"> Annual Conference</w:t>
      </w:r>
      <w:r w:rsidR="00AE24FE">
        <w:rPr>
          <w:lang w:val="en-GB"/>
        </w:rPr>
        <w:t>,</w:t>
      </w:r>
      <w:r w:rsidR="00386416">
        <w:rPr>
          <w:lang w:val="en-GB"/>
        </w:rPr>
        <w:t xml:space="preserve"> </w:t>
      </w:r>
      <w:r w:rsidR="008E416E">
        <w:rPr>
          <w:lang w:val="en-GB"/>
        </w:rPr>
        <w:t xml:space="preserve">the </w:t>
      </w:r>
      <w:r w:rsidR="00B06DEF">
        <w:rPr>
          <w:lang w:val="en-GB"/>
        </w:rPr>
        <w:t xml:space="preserve">2014 </w:t>
      </w:r>
      <w:r w:rsidR="008E416E">
        <w:rPr>
          <w:lang w:val="en-GB"/>
        </w:rPr>
        <w:t>European Accounting Association</w:t>
      </w:r>
      <w:r w:rsidR="00B06DEF">
        <w:rPr>
          <w:lang w:val="en-GB"/>
        </w:rPr>
        <w:t xml:space="preserve"> Annual Congress</w:t>
      </w:r>
      <w:r w:rsidR="00AE24FE">
        <w:rPr>
          <w:lang w:val="en-GB"/>
        </w:rPr>
        <w:t xml:space="preserve"> and the Inaugural IASB Research Forum in 2014, especially Niclas Hellman (the Academic Commentator) and Mary Tokar (the IASB Commentator)</w:t>
      </w:r>
      <w:r w:rsidR="00B71F3F">
        <w:rPr>
          <w:lang w:val="en-GB"/>
        </w:rPr>
        <w:t>. They are grateful</w:t>
      </w:r>
      <w:r w:rsidR="008C0E2D" w:rsidRPr="00D272CC">
        <w:rPr>
          <w:lang w:val="en-GB"/>
        </w:rPr>
        <w:t xml:space="preserve"> for historical documents from Martin Persson</w:t>
      </w:r>
      <w:r w:rsidR="004C18AF" w:rsidRPr="00D272CC">
        <w:rPr>
          <w:lang w:val="en-GB"/>
        </w:rPr>
        <w:t xml:space="preserve"> </w:t>
      </w:r>
      <w:r w:rsidR="00B10E7A" w:rsidRPr="00D272CC">
        <w:rPr>
          <w:lang w:val="en-GB"/>
        </w:rPr>
        <w:t>and research assistance f</w:t>
      </w:r>
      <w:r w:rsidRPr="00D272CC">
        <w:rPr>
          <w:lang w:val="en-GB"/>
        </w:rPr>
        <w:t>r</w:t>
      </w:r>
      <w:r w:rsidR="00B10E7A" w:rsidRPr="00D272CC">
        <w:rPr>
          <w:lang w:val="en-GB"/>
        </w:rPr>
        <w:t>o</w:t>
      </w:r>
      <w:r w:rsidRPr="00D272CC">
        <w:rPr>
          <w:lang w:val="en-GB"/>
        </w:rPr>
        <w:t>m Shiyun Song and Guojing Tang</w:t>
      </w:r>
      <w:r w:rsidR="004C18AF" w:rsidRPr="00D272CC">
        <w:rPr>
          <w:lang w:val="en-GB"/>
        </w:rPr>
        <w:t>.</w:t>
      </w:r>
      <w:r w:rsidR="00F90979" w:rsidRPr="00D272CC">
        <w:rPr>
          <w:lang w:val="en-GB"/>
        </w:rPr>
        <w:t xml:space="preserve"> Financial support was provided by the Department of Accounting and Finance at Lancaster University Management School.</w:t>
      </w:r>
    </w:p>
    <w:p w14:paraId="0CAEC2A5" w14:textId="77777777" w:rsidR="009537F1" w:rsidRDefault="004A282E" w:rsidP="00EC35BE">
      <w:pPr>
        <w:pStyle w:val="TitlePage"/>
        <w:pageBreakBefore/>
        <w:rPr>
          <w:b/>
          <w:bCs/>
          <w:sz w:val="32"/>
          <w:lang w:val="en-GB"/>
        </w:rPr>
      </w:pPr>
      <w:r w:rsidRPr="00D272CC">
        <w:rPr>
          <w:b/>
          <w:bCs/>
          <w:sz w:val="32"/>
          <w:lang w:val="en-GB"/>
        </w:rPr>
        <w:lastRenderedPageBreak/>
        <w:t xml:space="preserve">The </w:t>
      </w:r>
      <w:r w:rsidR="00283039">
        <w:rPr>
          <w:b/>
          <w:bCs/>
          <w:sz w:val="32"/>
          <w:lang w:val="en-GB"/>
        </w:rPr>
        <w:t>q</w:t>
      </w:r>
      <w:r w:rsidR="009537F1" w:rsidRPr="00D272CC">
        <w:rPr>
          <w:b/>
          <w:bCs/>
          <w:sz w:val="32"/>
          <w:lang w:val="en-GB"/>
        </w:rPr>
        <w:t xml:space="preserve">ualitative </w:t>
      </w:r>
      <w:r w:rsidR="00283039">
        <w:rPr>
          <w:b/>
          <w:bCs/>
          <w:sz w:val="32"/>
          <w:lang w:val="en-GB"/>
        </w:rPr>
        <w:t>c</w:t>
      </w:r>
      <w:r w:rsidR="009537F1" w:rsidRPr="00D272CC">
        <w:rPr>
          <w:b/>
          <w:bCs/>
          <w:sz w:val="32"/>
          <w:lang w:val="en-GB"/>
        </w:rPr>
        <w:t xml:space="preserve">haracteristics of </w:t>
      </w:r>
      <w:r w:rsidR="00283039">
        <w:rPr>
          <w:b/>
          <w:bCs/>
          <w:sz w:val="32"/>
          <w:lang w:val="en-GB"/>
        </w:rPr>
        <w:t>f</w:t>
      </w:r>
      <w:r w:rsidR="009537F1" w:rsidRPr="00D272CC">
        <w:rPr>
          <w:b/>
          <w:bCs/>
          <w:sz w:val="32"/>
          <w:lang w:val="en-GB"/>
        </w:rPr>
        <w:t xml:space="preserve">inancial </w:t>
      </w:r>
      <w:r w:rsidR="00283039">
        <w:rPr>
          <w:b/>
          <w:bCs/>
          <w:sz w:val="32"/>
          <w:lang w:val="en-GB"/>
        </w:rPr>
        <w:t>i</w:t>
      </w:r>
      <w:r w:rsidR="009537F1" w:rsidRPr="00D272CC">
        <w:rPr>
          <w:b/>
          <w:bCs/>
          <w:sz w:val="32"/>
          <w:lang w:val="en-GB"/>
        </w:rPr>
        <w:t>nformation</w:t>
      </w:r>
      <w:r w:rsidRPr="00D272CC">
        <w:rPr>
          <w:b/>
          <w:bCs/>
          <w:sz w:val="32"/>
          <w:lang w:val="en-GB"/>
        </w:rPr>
        <w:t>,</w:t>
      </w:r>
      <w:r w:rsidR="00AE1B52" w:rsidRPr="00D272CC">
        <w:rPr>
          <w:b/>
          <w:bCs/>
          <w:sz w:val="32"/>
          <w:lang w:val="en-GB"/>
        </w:rPr>
        <w:t xml:space="preserve"> </w:t>
      </w:r>
      <w:r w:rsidR="00AE1B52" w:rsidRPr="00D272CC">
        <w:rPr>
          <w:b/>
          <w:bCs/>
          <w:sz w:val="32"/>
          <w:lang w:val="en-GB"/>
        </w:rPr>
        <w:br/>
        <w:t xml:space="preserve">and </w:t>
      </w:r>
      <w:r w:rsidR="00283039">
        <w:rPr>
          <w:b/>
          <w:bCs/>
          <w:sz w:val="32"/>
          <w:lang w:val="en-GB"/>
        </w:rPr>
        <w:t>m</w:t>
      </w:r>
      <w:r w:rsidR="00AE1B52" w:rsidRPr="00D272CC">
        <w:rPr>
          <w:b/>
          <w:bCs/>
          <w:sz w:val="32"/>
          <w:lang w:val="en-GB"/>
        </w:rPr>
        <w:t xml:space="preserve">anagers’ </w:t>
      </w:r>
      <w:r w:rsidR="00283039">
        <w:rPr>
          <w:b/>
          <w:bCs/>
          <w:sz w:val="32"/>
          <w:lang w:val="en-GB"/>
        </w:rPr>
        <w:t>a</w:t>
      </w:r>
      <w:r w:rsidR="00AE1B52" w:rsidRPr="00D272CC">
        <w:rPr>
          <w:b/>
          <w:bCs/>
          <w:sz w:val="32"/>
          <w:lang w:val="en-GB"/>
        </w:rPr>
        <w:t xml:space="preserve">ccounting </w:t>
      </w:r>
      <w:r w:rsidR="00283039">
        <w:rPr>
          <w:b/>
          <w:bCs/>
          <w:sz w:val="32"/>
          <w:lang w:val="en-GB"/>
        </w:rPr>
        <w:t>d</w:t>
      </w:r>
      <w:r w:rsidR="002C5DE3" w:rsidRPr="00D272CC">
        <w:rPr>
          <w:b/>
          <w:bCs/>
          <w:sz w:val="32"/>
          <w:lang w:val="en-GB"/>
        </w:rPr>
        <w:t>ecision</w:t>
      </w:r>
      <w:r w:rsidR="00AE1B52" w:rsidRPr="00D272CC">
        <w:rPr>
          <w:b/>
          <w:bCs/>
          <w:sz w:val="32"/>
          <w:lang w:val="en-GB"/>
        </w:rPr>
        <w:t>s:</w:t>
      </w:r>
      <w:r w:rsidR="009537F1" w:rsidRPr="00D272CC">
        <w:rPr>
          <w:b/>
          <w:bCs/>
          <w:sz w:val="32"/>
          <w:lang w:val="en-GB"/>
        </w:rPr>
        <w:t xml:space="preserve"> </w:t>
      </w:r>
      <w:r w:rsidR="00AE1B52" w:rsidRPr="00D272CC">
        <w:rPr>
          <w:b/>
          <w:bCs/>
          <w:sz w:val="32"/>
          <w:lang w:val="en-GB"/>
        </w:rPr>
        <w:br/>
      </w:r>
      <w:r w:rsidR="00283039">
        <w:rPr>
          <w:b/>
          <w:bCs/>
          <w:sz w:val="32"/>
          <w:lang w:val="en-GB"/>
        </w:rPr>
        <w:t>e</w:t>
      </w:r>
      <w:r w:rsidR="009537F1" w:rsidRPr="00D272CC">
        <w:rPr>
          <w:b/>
          <w:bCs/>
          <w:sz w:val="32"/>
          <w:lang w:val="en-GB"/>
        </w:rPr>
        <w:t xml:space="preserve">vidence from IFRS </w:t>
      </w:r>
      <w:r w:rsidR="00283039">
        <w:rPr>
          <w:b/>
          <w:bCs/>
          <w:sz w:val="32"/>
          <w:lang w:val="en-GB"/>
        </w:rPr>
        <w:t>p</w:t>
      </w:r>
      <w:r w:rsidR="009537F1" w:rsidRPr="00D272CC">
        <w:rPr>
          <w:b/>
          <w:bCs/>
          <w:sz w:val="32"/>
          <w:lang w:val="en-GB"/>
        </w:rPr>
        <w:t xml:space="preserve">olicy </w:t>
      </w:r>
      <w:r w:rsidR="00283039">
        <w:rPr>
          <w:b/>
          <w:bCs/>
          <w:sz w:val="32"/>
          <w:lang w:val="en-GB"/>
        </w:rPr>
        <w:t>c</w:t>
      </w:r>
      <w:r w:rsidR="009537F1" w:rsidRPr="00D272CC">
        <w:rPr>
          <w:b/>
          <w:bCs/>
          <w:sz w:val="32"/>
          <w:lang w:val="en-GB"/>
        </w:rPr>
        <w:t>hanges</w:t>
      </w:r>
    </w:p>
    <w:p w14:paraId="276DD98F" w14:textId="77777777" w:rsidR="00411F54" w:rsidRPr="00476F0E" w:rsidRDefault="00411F54" w:rsidP="00476F0E">
      <w:pPr>
        <w:pStyle w:val="TitlePage"/>
        <w:rPr>
          <w:lang w:val="en-GB"/>
        </w:rPr>
      </w:pPr>
    </w:p>
    <w:p w14:paraId="3C3FFD78" w14:textId="77777777" w:rsidR="00411F54" w:rsidRDefault="00411F54" w:rsidP="00411F54">
      <w:pPr>
        <w:pStyle w:val="TitlePage"/>
        <w:jc w:val="left"/>
        <w:rPr>
          <w:b/>
          <w:bCs/>
          <w:lang w:val="en-GB"/>
        </w:rPr>
      </w:pPr>
      <w:r>
        <w:rPr>
          <w:b/>
          <w:bCs/>
          <w:lang w:val="en-GB"/>
        </w:rPr>
        <w:t>Editors’ Note: One of the authors of this paper is one of the editors of this Special Issue. Therefore this paper was handled by the other editors, using the normal double-blind reviewing system.</w:t>
      </w:r>
    </w:p>
    <w:p w14:paraId="7DEBB91C" w14:textId="77777777" w:rsidR="00067657" w:rsidRPr="00D272CC" w:rsidRDefault="00067657" w:rsidP="00EB06EF">
      <w:pPr>
        <w:pStyle w:val="TitlePage"/>
        <w:rPr>
          <w:b/>
          <w:bCs/>
          <w:lang w:val="en-GB"/>
        </w:rPr>
      </w:pPr>
    </w:p>
    <w:p w14:paraId="5729632D" w14:textId="77777777" w:rsidR="00411F54" w:rsidRDefault="00411F54" w:rsidP="00EB06EF">
      <w:pPr>
        <w:pStyle w:val="TitlePage"/>
        <w:rPr>
          <w:b/>
          <w:bCs/>
          <w:lang w:val="en-GB"/>
        </w:rPr>
      </w:pPr>
    </w:p>
    <w:p w14:paraId="69CEA6DD" w14:textId="77777777" w:rsidR="00EB06EF" w:rsidRPr="00D272CC" w:rsidRDefault="00EB06EF" w:rsidP="00EB06EF">
      <w:pPr>
        <w:pStyle w:val="TitlePage"/>
        <w:rPr>
          <w:b/>
          <w:bCs/>
          <w:lang w:val="en-GB"/>
        </w:rPr>
      </w:pPr>
      <w:r w:rsidRPr="00D272CC">
        <w:rPr>
          <w:b/>
          <w:bCs/>
          <w:lang w:val="en-GB"/>
        </w:rPr>
        <w:t>Abstract:</w:t>
      </w:r>
    </w:p>
    <w:p w14:paraId="37E44D3E" w14:textId="77777777" w:rsidR="00EB06EF" w:rsidRPr="00D272CC" w:rsidRDefault="00EB06EF" w:rsidP="00EB06EF">
      <w:pPr>
        <w:pStyle w:val="TitlePage"/>
        <w:rPr>
          <w:lang w:val="en-GB"/>
        </w:rPr>
      </w:pPr>
    </w:p>
    <w:p w14:paraId="4C741F03" w14:textId="77777777" w:rsidR="00B10E7A" w:rsidRPr="00D272CC" w:rsidRDefault="00541988" w:rsidP="00EB06EF">
      <w:pPr>
        <w:pStyle w:val="Abstract"/>
        <w:rPr>
          <w:lang w:val="en-GB"/>
        </w:rPr>
      </w:pPr>
      <w:r w:rsidRPr="00D272CC">
        <w:rPr>
          <w:lang w:val="en-GB"/>
        </w:rPr>
        <w:t xml:space="preserve">This is the first empirical study </w:t>
      </w:r>
      <w:r w:rsidR="009A219E" w:rsidRPr="00D272CC">
        <w:rPr>
          <w:lang w:val="en-GB"/>
        </w:rPr>
        <w:t>t</w:t>
      </w:r>
      <w:r w:rsidR="008E416E">
        <w:rPr>
          <w:lang w:val="en-GB"/>
        </w:rPr>
        <w:t>hat</w:t>
      </w:r>
      <w:r w:rsidRPr="00D272CC">
        <w:rPr>
          <w:lang w:val="en-GB"/>
        </w:rPr>
        <w:t xml:space="preserve"> use</w:t>
      </w:r>
      <w:r w:rsidR="008E416E">
        <w:rPr>
          <w:lang w:val="en-GB"/>
        </w:rPr>
        <w:t>s</w:t>
      </w:r>
      <w:r w:rsidRPr="00D272CC">
        <w:rPr>
          <w:lang w:val="en-GB"/>
        </w:rPr>
        <w:t xml:space="preserve"> publicly available data to provide </w:t>
      </w:r>
      <w:r w:rsidRPr="00D272CC">
        <w:rPr>
          <w:i/>
          <w:lang w:val="en-GB"/>
        </w:rPr>
        <w:t>direct</w:t>
      </w:r>
      <w:r w:rsidRPr="00D272CC">
        <w:rPr>
          <w:lang w:val="en-GB"/>
        </w:rPr>
        <w:t xml:space="preserve"> evidence </w:t>
      </w:r>
      <w:r w:rsidR="00C250F6" w:rsidRPr="00D272CC">
        <w:rPr>
          <w:lang w:val="en-GB"/>
        </w:rPr>
        <w:t>about</w:t>
      </w:r>
      <w:r w:rsidRPr="00D272CC">
        <w:rPr>
          <w:lang w:val="en-GB"/>
        </w:rPr>
        <w:t xml:space="preserve"> the </w:t>
      </w:r>
      <w:r w:rsidR="002552B2" w:rsidRPr="00D272CC">
        <w:rPr>
          <w:lang w:val="en-GB"/>
        </w:rPr>
        <w:t>role</w:t>
      </w:r>
      <w:r w:rsidRPr="00D272CC">
        <w:rPr>
          <w:lang w:val="en-GB"/>
        </w:rPr>
        <w:t xml:space="preserve"> of </w:t>
      </w:r>
      <w:r w:rsidR="002552B2" w:rsidRPr="00D272CC">
        <w:rPr>
          <w:lang w:val="en-GB"/>
        </w:rPr>
        <w:t xml:space="preserve">the </w:t>
      </w:r>
      <w:r w:rsidRPr="00D272CC">
        <w:rPr>
          <w:lang w:val="en-GB"/>
        </w:rPr>
        <w:t>qualitative characteristics</w:t>
      </w:r>
      <w:r w:rsidR="00376B7F">
        <w:rPr>
          <w:lang w:val="en-GB"/>
        </w:rPr>
        <w:t xml:space="preserve"> (QC</w:t>
      </w:r>
      <w:r w:rsidR="00F12A70">
        <w:rPr>
          <w:lang w:val="en-GB"/>
        </w:rPr>
        <w:t>s</w:t>
      </w:r>
      <w:r w:rsidR="00376B7F">
        <w:rPr>
          <w:lang w:val="en-GB"/>
        </w:rPr>
        <w:t>)</w:t>
      </w:r>
      <w:r w:rsidRPr="00D272CC">
        <w:rPr>
          <w:lang w:val="en-GB"/>
        </w:rPr>
        <w:t xml:space="preserve"> </w:t>
      </w:r>
      <w:r w:rsidR="00973F1A" w:rsidRPr="00D272CC">
        <w:rPr>
          <w:lang w:val="en-GB"/>
        </w:rPr>
        <w:t xml:space="preserve">of financial information </w:t>
      </w:r>
      <w:r w:rsidR="00843EB0" w:rsidRPr="00D272CC">
        <w:rPr>
          <w:lang w:val="en-GB"/>
        </w:rPr>
        <w:t>in</w:t>
      </w:r>
      <w:r w:rsidRPr="00D272CC">
        <w:rPr>
          <w:lang w:val="en-GB"/>
        </w:rPr>
        <w:t xml:space="preserve"> management</w:t>
      </w:r>
      <w:r w:rsidR="001F7B18" w:rsidRPr="00D272CC">
        <w:rPr>
          <w:lang w:val="en-GB"/>
        </w:rPr>
        <w:t>s’</w:t>
      </w:r>
      <w:r w:rsidRPr="00D272CC">
        <w:rPr>
          <w:lang w:val="en-GB"/>
        </w:rPr>
        <w:t xml:space="preserve"> </w:t>
      </w:r>
      <w:r w:rsidR="00157215" w:rsidRPr="00D272CC">
        <w:rPr>
          <w:lang w:val="en-GB"/>
        </w:rPr>
        <w:t>accounting decisions</w:t>
      </w:r>
      <w:r w:rsidRPr="00D272CC">
        <w:rPr>
          <w:lang w:val="en-GB"/>
        </w:rPr>
        <w:t>. Based on</w:t>
      </w:r>
      <w:r w:rsidR="000B5545" w:rsidRPr="00D272CC">
        <w:rPr>
          <w:lang w:val="en-GB"/>
        </w:rPr>
        <w:t xml:space="preserve"> </w:t>
      </w:r>
      <w:r w:rsidR="009C1E31" w:rsidRPr="00D272CC">
        <w:rPr>
          <w:lang w:val="en-GB"/>
        </w:rPr>
        <w:t>4</w:t>
      </w:r>
      <w:r w:rsidR="000905EA" w:rsidRPr="00D272CC">
        <w:rPr>
          <w:lang w:val="en-GB"/>
        </w:rPr>
        <w:t>0</w:t>
      </w:r>
      <w:r w:rsidR="000B5545" w:rsidRPr="00D272CC">
        <w:rPr>
          <w:lang w:val="en-GB"/>
        </w:rPr>
        <w:t>,</w:t>
      </w:r>
      <w:r w:rsidR="00356233" w:rsidRPr="00D272CC">
        <w:rPr>
          <w:lang w:val="en-GB"/>
        </w:rPr>
        <w:t>895</w:t>
      </w:r>
      <w:r w:rsidR="000B5545" w:rsidRPr="00D272CC">
        <w:rPr>
          <w:lang w:val="en-GB"/>
        </w:rPr>
        <w:t xml:space="preserve"> </w:t>
      </w:r>
      <w:r w:rsidR="00B10E7A" w:rsidRPr="00D272CC">
        <w:rPr>
          <w:lang w:val="en-GB"/>
        </w:rPr>
        <w:t xml:space="preserve">hand-collected </w:t>
      </w:r>
      <w:r w:rsidR="000B5545" w:rsidRPr="00D272CC">
        <w:rPr>
          <w:lang w:val="en-GB"/>
        </w:rPr>
        <w:t>IFRS policy choices</w:t>
      </w:r>
      <w:r w:rsidR="00631D13">
        <w:rPr>
          <w:lang w:val="en-GB"/>
        </w:rPr>
        <w:t xml:space="preserve"> on 16 topics</w:t>
      </w:r>
      <w:r w:rsidR="000B5545" w:rsidRPr="00D272CC">
        <w:rPr>
          <w:lang w:val="en-GB"/>
        </w:rPr>
        <w:t xml:space="preserve"> </w:t>
      </w:r>
      <w:r w:rsidR="006976D8" w:rsidRPr="00D272CC">
        <w:rPr>
          <w:lang w:val="en-GB"/>
        </w:rPr>
        <w:t>made by</w:t>
      </w:r>
      <w:r w:rsidR="0052552D" w:rsidRPr="00D272CC">
        <w:rPr>
          <w:lang w:val="en-GB"/>
        </w:rPr>
        <w:t xml:space="preserve"> </w:t>
      </w:r>
      <w:r w:rsidR="00BE4C84" w:rsidRPr="00D272CC">
        <w:rPr>
          <w:lang w:val="en-GB"/>
        </w:rPr>
        <w:t>5</w:t>
      </w:r>
      <w:r w:rsidR="002224A4" w:rsidRPr="00D272CC">
        <w:rPr>
          <w:lang w:val="en-GB"/>
        </w:rPr>
        <w:t>14</w:t>
      </w:r>
      <w:r w:rsidR="000B5545" w:rsidRPr="00D272CC">
        <w:rPr>
          <w:lang w:val="en-GB"/>
        </w:rPr>
        <w:t xml:space="preserve"> </w:t>
      </w:r>
      <w:r w:rsidR="0052552D" w:rsidRPr="00D272CC">
        <w:rPr>
          <w:lang w:val="en-GB"/>
        </w:rPr>
        <w:t xml:space="preserve">large </w:t>
      </w:r>
      <w:r w:rsidR="000B5545" w:rsidRPr="00D272CC">
        <w:rPr>
          <w:lang w:val="en-GB"/>
        </w:rPr>
        <w:t xml:space="preserve">firms </w:t>
      </w:r>
      <w:r w:rsidR="006976D8" w:rsidRPr="00D272CC">
        <w:rPr>
          <w:lang w:val="en-GB"/>
        </w:rPr>
        <w:t>of</w:t>
      </w:r>
      <w:r w:rsidR="000B5545" w:rsidRPr="00D272CC">
        <w:rPr>
          <w:lang w:val="en-GB"/>
        </w:rPr>
        <w:t xml:space="preserve"> 1</w:t>
      </w:r>
      <w:r w:rsidR="00837CD4" w:rsidRPr="00D272CC">
        <w:rPr>
          <w:lang w:val="en-GB"/>
        </w:rPr>
        <w:t>0</w:t>
      </w:r>
      <w:r w:rsidR="000B5545" w:rsidRPr="00D272CC">
        <w:rPr>
          <w:lang w:val="en-GB"/>
        </w:rPr>
        <w:t xml:space="preserve"> </w:t>
      </w:r>
      <w:r w:rsidR="00386416">
        <w:rPr>
          <w:lang w:val="en-GB"/>
        </w:rPr>
        <w:t>jurisdictions</w:t>
      </w:r>
      <w:r w:rsidR="00D22FBD" w:rsidRPr="00D272CC">
        <w:rPr>
          <w:lang w:val="en-GB"/>
        </w:rPr>
        <w:t xml:space="preserve"> </w:t>
      </w:r>
      <w:r w:rsidR="006976D8" w:rsidRPr="00D272CC">
        <w:rPr>
          <w:lang w:val="en-GB"/>
        </w:rPr>
        <w:t>in</w:t>
      </w:r>
      <w:r w:rsidR="00D22FBD" w:rsidRPr="00D272CC">
        <w:rPr>
          <w:lang w:val="en-GB"/>
        </w:rPr>
        <w:t xml:space="preserve"> the period 2005</w:t>
      </w:r>
      <w:r w:rsidR="00E56E7F" w:rsidRPr="00D272CC">
        <w:rPr>
          <w:lang w:val="en-GB"/>
        </w:rPr>
        <w:t>–</w:t>
      </w:r>
      <w:r w:rsidR="00D22FBD" w:rsidRPr="00D272CC">
        <w:rPr>
          <w:lang w:val="en-GB"/>
        </w:rPr>
        <w:t>2011</w:t>
      </w:r>
      <w:r w:rsidR="000B5545" w:rsidRPr="00D272CC">
        <w:rPr>
          <w:lang w:val="en-GB"/>
        </w:rPr>
        <w:t xml:space="preserve">, we identify </w:t>
      </w:r>
      <w:r w:rsidR="000B71B2">
        <w:rPr>
          <w:lang w:val="en-GB"/>
        </w:rPr>
        <w:t>204</w:t>
      </w:r>
      <w:r w:rsidR="000B5545" w:rsidRPr="00D272CC">
        <w:rPr>
          <w:lang w:val="en-GB"/>
        </w:rPr>
        <w:t xml:space="preserve"> </w:t>
      </w:r>
      <w:r w:rsidR="000B71B2">
        <w:rPr>
          <w:lang w:val="en-GB"/>
        </w:rPr>
        <w:t>reasons</w:t>
      </w:r>
      <w:r w:rsidR="00B41672" w:rsidRPr="00D272CC">
        <w:rPr>
          <w:lang w:val="en-GB"/>
        </w:rPr>
        <w:t xml:space="preserve"> </w:t>
      </w:r>
      <w:r w:rsidR="000B71B2">
        <w:rPr>
          <w:lang w:val="en-GB"/>
        </w:rPr>
        <w:t>for</w:t>
      </w:r>
      <w:r w:rsidR="000B5545" w:rsidRPr="00D272CC">
        <w:rPr>
          <w:lang w:val="en-GB"/>
        </w:rPr>
        <w:t xml:space="preserve"> policy change</w:t>
      </w:r>
      <w:r w:rsidR="00C250F6" w:rsidRPr="00D272CC">
        <w:rPr>
          <w:lang w:val="en-GB"/>
        </w:rPr>
        <w:t>s</w:t>
      </w:r>
      <w:r w:rsidR="000B5545" w:rsidRPr="00D272CC">
        <w:rPr>
          <w:lang w:val="en-GB"/>
        </w:rPr>
        <w:t xml:space="preserve">. </w:t>
      </w:r>
      <w:r w:rsidR="0052552D" w:rsidRPr="00D272CC">
        <w:rPr>
          <w:lang w:val="en-GB"/>
        </w:rPr>
        <w:t>The majority</w:t>
      </w:r>
      <w:r w:rsidR="000B5545" w:rsidRPr="00D272CC">
        <w:rPr>
          <w:lang w:val="en-GB"/>
        </w:rPr>
        <w:t xml:space="preserve"> of </w:t>
      </w:r>
      <w:r w:rsidR="00837CD4" w:rsidRPr="00D272CC">
        <w:rPr>
          <w:lang w:val="en-GB"/>
        </w:rPr>
        <w:t>the</w:t>
      </w:r>
      <w:r w:rsidR="000A53E3">
        <w:rPr>
          <w:lang w:val="en-GB"/>
        </w:rPr>
        <w:t>se</w:t>
      </w:r>
      <w:r w:rsidR="004E535F" w:rsidRPr="00D272CC">
        <w:rPr>
          <w:lang w:val="en-GB"/>
        </w:rPr>
        <w:t xml:space="preserve"> </w:t>
      </w:r>
      <w:r w:rsidR="000B5545" w:rsidRPr="00D272CC">
        <w:rPr>
          <w:lang w:val="en-GB"/>
        </w:rPr>
        <w:t xml:space="preserve">refer to </w:t>
      </w:r>
      <w:r w:rsidR="00376B7F">
        <w:rPr>
          <w:lang w:val="en-GB"/>
        </w:rPr>
        <w:t>QCs</w:t>
      </w:r>
      <w:r w:rsidR="00B10E7A" w:rsidRPr="00D272CC">
        <w:rPr>
          <w:lang w:val="en-GB"/>
        </w:rPr>
        <w:t xml:space="preserve"> from the conceptual framework</w:t>
      </w:r>
      <w:r w:rsidR="009A22B0" w:rsidRPr="00D272CC">
        <w:rPr>
          <w:lang w:val="en-GB"/>
        </w:rPr>
        <w:t xml:space="preserve"> of the standard</w:t>
      </w:r>
      <w:r w:rsidR="001B2E3C">
        <w:rPr>
          <w:lang w:val="en-GB"/>
        </w:rPr>
        <w:t>-</w:t>
      </w:r>
      <w:r w:rsidR="009A22B0" w:rsidRPr="00D272CC">
        <w:rPr>
          <w:lang w:val="en-GB"/>
        </w:rPr>
        <w:t>setter</w:t>
      </w:r>
      <w:r w:rsidR="000B5545" w:rsidRPr="00D272CC">
        <w:rPr>
          <w:lang w:val="en-GB"/>
        </w:rPr>
        <w:t xml:space="preserve">, </w:t>
      </w:r>
      <w:r w:rsidR="00837CD4" w:rsidRPr="00D272CC">
        <w:rPr>
          <w:lang w:val="en-GB"/>
        </w:rPr>
        <w:t>in particular to</w:t>
      </w:r>
      <w:r w:rsidR="000B5545" w:rsidRPr="00D272CC">
        <w:rPr>
          <w:lang w:val="en-GB"/>
        </w:rPr>
        <w:t xml:space="preserve"> relevance, </w:t>
      </w:r>
      <w:r w:rsidR="009A219E" w:rsidRPr="00D272CC">
        <w:rPr>
          <w:lang w:val="en-GB"/>
        </w:rPr>
        <w:t xml:space="preserve">faithful representation, </w:t>
      </w:r>
      <w:r w:rsidR="000B5545" w:rsidRPr="00D272CC">
        <w:rPr>
          <w:lang w:val="en-GB"/>
        </w:rPr>
        <w:t xml:space="preserve">comparability and understandability. </w:t>
      </w:r>
      <w:r w:rsidR="00C447EE" w:rsidRPr="00D272CC">
        <w:rPr>
          <w:lang w:val="en-GB"/>
        </w:rPr>
        <w:t xml:space="preserve">Firms also frequently refer to transparency, which is not </w:t>
      </w:r>
      <w:r w:rsidR="00CC5449">
        <w:rPr>
          <w:lang w:val="en-GB"/>
        </w:rPr>
        <w:t>directly</w:t>
      </w:r>
      <w:r w:rsidR="00843EB0" w:rsidRPr="00D272CC">
        <w:rPr>
          <w:lang w:val="en-GB"/>
        </w:rPr>
        <w:t xml:space="preserve"> </w:t>
      </w:r>
      <w:r w:rsidR="00C447EE" w:rsidRPr="00D272CC">
        <w:rPr>
          <w:lang w:val="en-GB"/>
        </w:rPr>
        <w:t xml:space="preserve">mentioned in the framework. </w:t>
      </w:r>
      <w:r w:rsidR="00CC5449">
        <w:rPr>
          <w:lang w:val="en-GB"/>
        </w:rPr>
        <w:t>Furthermore</w:t>
      </w:r>
      <w:r w:rsidR="000B5545" w:rsidRPr="00D272CC">
        <w:rPr>
          <w:lang w:val="en-GB"/>
        </w:rPr>
        <w:t xml:space="preserve">, </w:t>
      </w:r>
      <w:r w:rsidR="00830711" w:rsidRPr="00D272CC">
        <w:rPr>
          <w:lang w:val="en-GB"/>
        </w:rPr>
        <w:t xml:space="preserve">we </w:t>
      </w:r>
      <w:r w:rsidR="00B10E7A" w:rsidRPr="00D272CC">
        <w:rPr>
          <w:lang w:val="en-GB"/>
        </w:rPr>
        <w:t>analy</w:t>
      </w:r>
      <w:r w:rsidR="005C51AA" w:rsidRPr="00D272CC">
        <w:rPr>
          <w:lang w:val="en-GB"/>
        </w:rPr>
        <w:t>s</w:t>
      </w:r>
      <w:r w:rsidR="00B10E7A" w:rsidRPr="00D272CC">
        <w:rPr>
          <w:lang w:val="en-GB"/>
        </w:rPr>
        <w:t>e</w:t>
      </w:r>
      <w:r w:rsidR="000B5545" w:rsidRPr="00D272CC">
        <w:rPr>
          <w:lang w:val="en-GB"/>
        </w:rPr>
        <w:t xml:space="preserve"> </w:t>
      </w:r>
      <w:r w:rsidR="004871C0">
        <w:rPr>
          <w:lang w:val="en-GB"/>
        </w:rPr>
        <w:t>the circumstances under which</w:t>
      </w:r>
      <w:r w:rsidR="00843EB0" w:rsidRPr="00D272CC">
        <w:rPr>
          <w:lang w:val="en-GB"/>
        </w:rPr>
        <w:t xml:space="preserve"> </w:t>
      </w:r>
      <w:r w:rsidR="00830711" w:rsidRPr="00D272CC">
        <w:rPr>
          <w:lang w:val="en-GB"/>
        </w:rPr>
        <w:t xml:space="preserve">firms </w:t>
      </w:r>
      <w:r w:rsidR="009B7B56">
        <w:rPr>
          <w:lang w:val="en-GB"/>
        </w:rPr>
        <w:t>explain their</w:t>
      </w:r>
      <w:r w:rsidR="00830711" w:rsidRPr="00D272CC">
        <w:rPr>
          <w:lang w:val="en-GB"/>
        </w:rPr>
        <w:t xml:space="preserve"> policy changes </w:t>
      </w:r>
      <w:r w:rsidR="00376B7F">
        <w:rPr>
          <w:lang w:val="en-GB"/>
        </w:rPr>
        <w:t xml:space="preserve">in terms of </w:t>
      </w:r>
      <w:r w:rsidR="00830711" w:rsidRPr="00D272CC">
        <w:rPr>
          <w:lang w:val="en-GB"/>
        </w:rPr>
        <w:t>impr</w:t>
      </w:r>
      <w:r w:rsidR="002552B2" w:rsidRPr="00D272CC">
        <w:rPr>
          <w:lang w:val="en-GB"/>
        </w:rPr>
        <w:t>oved quality</w:t>
      </w:r>
      <w:r w:rsidR="00830711" w:rsidRPr="00D272CC">
        <w:rPr>
          <w:lang w:val="en-GB"/>
        </w:rPr>
        <w:t xml:space="preserve">. </w:t>
      </w:r>
      <w:r w:rsidR="00846A0A" w:rsidRPr="00D272CC">
        <w:rPr>
          <w:lang w:val="en-GB"/>
        </w:rPr>
        <w:t xml:space="preserve">We </w:t>
      </w:r>
      <w:r w:rsidR="00707C68" w:rsidRPr="00D272CC">
        <w:rPr>
          <w:lang w:val="en-GB"/>
        </w:rPr>
        <w:t xml:space="preserve">hypothesise and </w:t>
      </w:r>
      <w:r w:rsidR="00846A0A" w:rsidRPr="00D272CC">
        <w:rPr>
          <w:lang w:val="en-GB"/>
        </w:rPr>
        <w:t xml:space="preserve">find that </w:t>
      </w:r>
      <w:r w:rsidR="00376B7F">
        <w:rPr>
          <w:lang w:val="en-GB"/>
        </w:rPr>
        <w:t>QCs</w:t>
      </w:r>
      <w:r w:rsidR="00846A0A" w:rsidRPr="00D272CC">
        <w:rPr>
          <w:lang w:val="en-GB"/>
        </w:rPr>
        <w:t xml:space="preserve"> are more </w:t>
      </w:r>
      <w:r w:rsidR="00C250F6" w:rsidRPr="00D272CC">
        <w:rPr>
          <w:lang w:val="en-GB"/>
        </w:rPr>
        <w:t>often</w:t>
      </w:r>
      <w:r w:rsidR="00846A0A" w:rsidRPr="00D272CC">
        <w:rPr>
          <w:lang w:val="en-GB"/>
        </w:rPr>
        <w:t xml:space="preserve"> </w:t>
      </w:r>
      <w:r w:rsidR="00D12A31">
        <w:rPr>
          <w:lang w:val="en-GB"/>
        </w:rPr>
        <w:t>referred to</w:t>
      </w:r>
      <w:r w:rsidR="00846A0A" w:rsidRPr="00D272CC">
        <w:rPr>
          <w:lang w:val="en-GB"/>
        </w:rPr>
        <w:t xml:space="preserve"> </w:t>
      </w:r>
      <w:r w:rsidR="00C250F6" w:rsidRPr="00D272CC">
        <w:rPr>
          <w:lang w:val="en-GB"/>
        </w:rPr>
        <w:t>if the</w:t>
      </w:r>
      <w:r w:rsidR="00846A0A" w:rsidRPr="00D272CC">
        <w:rPr>
          <w:lang w:val="en-GB"/>
        </w:rPr>
        <w:t xml:space="preserve"> change </w:t>
      </w:r>
      <w:r w:rsidR="00C250F6" w:rsidRPr="00D272CC">
        <w:rPr>
          <w:lang w:val="en-GB"/>
        </w:rPr>
        <w:t>relates to</w:t>
      </w:r>
      <w:r w:rsidR="00846A0A" w:rsidRPr="00D272CC">
        <w:rPr>
          <w:lang w:val="en-GB"/>
        </w:rPr>
        <w:t xml:space="preserve"> measurement</w:t>
      </w:r>
      <w:r w:rsidR="003F7C43" w:rsidRPr="00D272CC">
        <w:rPr>
          <w:lang w:val="en-GB"/>
        </w:rPr>
        <w:t xml:space="preserve"> (i.e. </w:t>
      </w:r>
      <w:r w:rsidR="00D12A31">
        <w:rPr>
          <w:lang w:val="en-GB"/>
        </w:rPr>
        <w:t>to</w:t>
      </w:r>
      <w:r w:rsidR="00CC5449">
        <w:rPr>
          <w:lang w:val="en-GB"/>
        </w:rPr>
        <w:t xml:space="preserve"> a more important</w:t>
      </w:r>
      <w:r w:rsidR="003F7C43" w:rsidRPr="00D272CC">
        <w:rPr>
          <w:lang w:val="en-GB"/>
        </w:rPr>
        <w:t xml:space="preserve"> accounting </w:t>
      </w:r>
      <w:r w:rsidR="00D12A31">
        <w:rPr>
          <w:lang w:val="en-GB"/>
        </w:rPr>
        <w:t xml:space="preserve">policy </w:t>
      </w:r>
      <w:r w:rsidR="003F7C43" w:rsidRPr="00D272CC">
        <w:rPr>
          <w:lang w:val="en-GB"/>
        </w:rPr>
        <w:t>decision)</w:t>
      </w:r>
      <w:r w:rsidR="008E416E">
        <w:rPr>
          <w:lang w:val="en-GB"/>
        </w:rPr>
        <w:t>.</w:t>
      </w:r>
      <w:r w:rsidR="00707C68" w:rsidRPr="00D272CC">
        <w:rPr>
          <w:lang w:val="en-GB"/>
        </w:rPr>
        <w:t xml:space="preserve"> </w:t>
      </w:r>
      <w:r w:rsidR="008E416E">
        <w:rPr>
          <w:lang w:val="en-GB"/>
        </w:rPr>
        <w:t xml:space="preserve">We also find </w:t>
      </w:r>
      <w:r w:rsidR="00D12A31">
        <w:rPr>
          <w:lang w:val="en-GB"/>
        </w:rPr>
        <w:t xml:space="preserve">that </w:t>
      </w:r>
      <w:r w:rsidR="008E416E">
        <w:rPr>
          <w:lang w:val="en-GB"/>
        </w:rPr>
        <w:t>reference</w:t>
      </w:r>
      <w:r w:rsidR="00D12A31">
        <w:rPr>
          <w:lang w:val="en-GB"/>
        </w:rPr>
        <w:t>s</w:t>
      </w:r>
      <w:r w:rsidR="008E416E">
        <w:rPr>
          <w:lang w:val="en-GB"/>
        </w:rPr>
        <w:t xml:space="preserve"> to </w:t>
      </w:r>
      <w:r w:rsidR="00376B7F">
        <w:rPr>
          <w:lang w:val="en-GB"/>
        </w:rPr>
        <w:t>QCs</w:t>
      </w:r>
      <w:r w:rsidR="008E416E">
        <w:rPr>
          <w:lang w:val="en-GB"/>
        </w:rPr>
        <w:t xml:space="preserve"> </w:t>
      </w:r>
      <w:r w:rsidR="00D12A31">
        <w:rPr>
          <w:lang w:val="en-GB"/>
        </w:rPr>
        <w:t xml:space="preserve">are </w:t>
      </w:r>
      <w:r w:rsidR="008E6EB9">
        <w:rPr>
          <w:lang w:val="en-GB"/>
        </w:rPr>
        <w:t xml:space="preserve">positively </w:t>
      </w:r>
      <w:r w:rsidR="00D12A31">
        <w:rPr>
          <w:lang w:val="en-GB"/>
        </w:rPr>
        <w:t xml:space="preserve">associated </w:t>
      </w:r>
      <w:r w:rsidR="008E416E">
        <w:rPr>
          <w:lang w:val="en-GB"/>
        </w:rPr>
        <w:t xml:space="preserve">both </w:t>
      </w:r>
      <w:r w:rsidR="00D12A31">
        <w:rPr>
          <w:lang w:val="en-GB"/>
        </w:rPr>
        <w:t xml:space="preserve">with </w:t>
      </w:r>
      <w:r w:rsidR="008E416E">
        <w:rPr>
          <w:lang w:val="en-GB"/>
        </w:rPr>
        <w:t xml:space="preserve">firm size and </w:t>
      </w:r>
      <w:r w:rsidR="00D12A31">
        <w:rPr>
          <w:lang w:val="en-GB"/>
        </w:rPr>
        <w:t xml:space="preserve">with a measure of a jurisdiction’s transparency. </w:t>
      </w:r>
      <w:r w:rsidR="00C615D3" w:rsidRPr="00D272CC">
        <w:rPr>
          <w:lang w:val="en-GB"/>
        </w:rPr>
        <w:t xml:space="preserve">This complements previous research by providing evidence that managers are, at the least, alert to </w:t>
      </w:r>
      <w:r w:rsidR="00376B7F">
        <w:rPr>
          <w:lang w:val="en-GB"/>
        </w:rPr>
        <w:t>QCs</w:t>
      </w:r>
      <w:r w:rsidR="00C615D3" w:rsidRPr="00D272CC">
        <w:rPr>
          <w:lang w:val="en-GB"/>
        </w:rPr>
        <w:t>.</w:t>
      </w:r>
    </w:p>
    <w:p w14:paraId="1DD6879D" w14:textId="77777777" w:rsidR="00EB06EF" w:rsidRPr="00D272CC" w:rsidRDefault="00EB06EF" w:rsidP="00EB06EF">
      <w:pPr>
        <w:pStyle w:val="TitlePage"/>
        <w:rPr>
          <w:lang w:val="en-GB"/>
        </w:rPr>
      </w:pPr>
    </w:p>
    <w:p w14:paraId="4A1D5D7D" w14:textId="77777777" w:rsidR="00EB06EF" w:rsidRPr="00D272CC" w:rsidRDefault="00EB06EF" w:rsidP="00EB06EF">
      <w:pPr>
        <w:pStyle w:val="TitlePage"/>
        <w:rPr>
          <w:lang w:val="en-GB"/>
        </w:rPr>
      </w:pPr>
    </w:p>
    <w:p w14:paraId="63985AE0" w14:textId="77777777" w:rsidR="00EB06EF" w:rsidRPr="00D272CC" w:rsidRDefault="00EB06EF" w:rsidP="00EB06EF">
      <w:pPr>
        <w:pStyle w:val="JEL-Keywords"/>
        <w:rPr>
          <w:lang w:val="en-GB"/>
        </w:rPr>
      </w:pPr>
      <w:r w:rsidRPr="00D272CC">
        <w:rPr>
          <w:b/>
          <w:lang w:val="en-GB"/>
        </w:rPr>
        <w:t>JEL Classifications:</w:t>
      </w:r>
      <w:r w:rsidR="00A863C5" w:rsidRPr="00D272CC">
        <w:rPr>
          <w:lang w:val="en-GB"/>
        </w:rPr>
        <w:t xml:space="preserve"> M41</w:t>
      </w:r>
    </w:p>
    <w:p w14:paraId="66E334BD" w14:textId="77777777" w:rsidR="00EB06EF" w:rsidRPr="00D272CC" w:rsidRDefault="00EB06EF" w:rsidP="00EB06EF">
      <w:pPr>
        <w:pStyle w:val="TitlePage"/>
        <w:rPr>
          <w:lang w:val="en-GB"/>
        </w:rPr>
      </w:pPr>
    </w:p>
    <w:p w14:paraId="356B300C" w14:textId="77777777" w:rsidR="00067657" w:rsidRPr="00D272CC" w:rsidRDefault="00EB06EF">
      <w:pPr>
        <w:pStyle w:val="JEL-Keywords"/>
        <w:ind w:left="1168" w:hanging="1168"/>
        <w:rPr>
          <w:lang w:val="en-GB"/>
        </w:rPr>
      </w:pPr>
      <w:r w:rsidRPr="00D272CC">
        <w:rPr>
          <w:b/>
          <w:lang w:val="en-GB"/>
        </w:rPr>
        <w:t>Keywords:</w:t>
      </w:r>
      <w:r w:rsidR="00A863C5" w:rsidRPr="00D272CC">
        <w:rPr>
          <w:lang w:val="en-GB"/>
        </w:rPr>
        <w:t xml:space="preserve"> </w:t>
      </w:r>
      <w:r w:rsidR="008A2EA3" w:rsidRPr="00D272CC">
        <w:rPr>
          <w:lang w:val="en-GB"/>
        </w:rPr>
        <w:t>qualitative characteristics</w:t>
      </w:r>
      <w:r w:rsidR="00A10B71" w:rsidRPr="00D272CC">
        <w:rPr>
          <w:lang w:val="en-GB"/>
        </w:rPr>
        <w:t>;</w:t>
      </w:r>
      <w:r w:rsidR="00541988" w:rsidRPr="00D272CC">
        <w:rPr>
          <w:lang w:val="en-GB"/>
        </w:rPr>
        <w:t xml:space="preserve"> </w:t>
      </w:r>
      <w:r w:rsidR="00D12A31">
        <w:rPr>
          <w:lang w:val="en-GB"/>
        </w:rPr>
        <w:t xml:space="preserve">IFRS; </w:t>
      </w:r>
      <w:r w:rsidR="00541988" w:rsidRPr="00D272CC">
        <w:rPr>
          <w:lang w:val="en-GB"/>
        </w:rPr>
        <w:t>relevance</w:t>
      </w:r>
      <w:r w:rsidR="00A10B71" w:rsidRPr="00D272CC">
        <w:rPr>
          <w:lang w:val="en-GB"/>
        </w:rPr>
        <w:t>;</w:t>
      </w:r>
      <w:r w:rsidR="009A219E" w:rsidRPr="00D272CC">
        <w:rPr>
          <w:lang w:val="en-GB"/>
        </w:rPr>
        <w:t xml:space="preserve"> faithful representation</w:t>
      </w:r>
      <w:r w:rsidR="00A10B71" w:rsidRPr="00D272CC">
        <w:rPr>
          <w:lang w:val="en-GB"/>
        </w:rPr>
        <w:t>;</w:t>
      </w:r>
      <w:r w:rsidR="00541988" w:rsidRPr="00D272CC">
        <w:rPr>
          <w:lang w:val="en-GB"/>
        </w:rPr>
        <w:t xml:space="preserve"> comparability, understandability</w:t>
      </w:r>
      <w:r w:rsidR="00A10B71" w:rsidRPr="00D272CC">
        <w:rPr>
          <w:lang w:val="en-GB"/>
        </w:rPr>
        <w:t>;</w:t>
      </w:r>
      <w:r w:rsidR="008A2EA3" w:rsidRPr="00D272CC">
        <w:rPr>
          <w:lang w:val="en-GB"/>
        </w:rPr>
        <w:t xml:space="preserve"> transparency</w:t>
      </w:r>
    </w:p>
    <w:p w14:paraId="6C1EF9B9" w14:textId="77777777" w:rsidR="00C206B9" w:rsidRPr="00D272CC" w:rsidRDefault="00C206B9" w:rsidP="00BB4E54">
      <w:pPr>
        <w:pStyle w:val="Heading1"/>
        <w:pageBreakBefore/>
        <w:rPr>
          <w:lang w:val="en-GB"/>
        </w:rPr>
      </w:pPr>
      <w:r w:rsidRPr="00D272CC">
        <w:rPr>
          <w:lang w:val="en-GB"/>
        </w:rPr>
        <w:lastRenderedPageBreak/>
        <w:t>1. Introduction</w:t>
      </w:r>
    </w:p>
    <w:p w14:paraId="7B5F2557" w14:textId="77777777" w:rsidR="007021AB" w:rsidRPr="00D272CC" w:rsidRDefault="007021AB" w:rsidP="007021AB">
      <w:pPr>
        <w:pStyle w:val="Quotation"/>
        <w:rPr>
          <w:i/>
          <w:lang w:val="en-GB"/>
        </w:rPr>
      </w:pPr>
      <w:r w:rsidRPr="00D272CC">
        <w:rPr>
          <w:i/>
          <w:lang w:val="en-GB"/>
        </w:rPr>
        <w:t>If financial information is to be useful, it must be relevant and faithfully represent what it purports to represent. The usefulness of financial information is enhanced if it is comparable, verifiable, timely and understandable.</w:t>
      </w:r>
      <w:r w:rsidRPr="00D272CC">
        <w:rPr>
          <w:i/>
          <w:lang w:val="en-GB"/>
        </w:rPr>
        <w:br/>
      </w:r>
      <w:r w:rsidRPr="00D272CC">
        <w:rPr>
          <w:lang w:val="en-GB"/>
        </w:rPr>
        <w:t xml:space="preserve">(IASB </w:t>
      </w:r>
      <w:r w:rsidR="00A80F1A" w:rsidRPr="00D272CC">
        <w:rPr>
          <w:lang w:val="en-GB"/>
        </w:rPr>
        <w:t>201</w:t>
      </w:r>
      <w:r w:rsidR="00DF659E" w:rsidRPr="00D272CC">
        <w:rPr>
          <w:lang w:val="en-GB"/>
        </w:rPr>
        <w:t>0</w:t>
      </w:r>
      <w:r w:rsidRPr="00D272CC">
        <w:rPr>
          <w:lang w:val="en-GB"/>
        </w:rPr>
        <w:t xml:space="preserve">, </w:t>
      </w:r>
      <w:r w:rsidR="00892C3F" w:rsidRPr="00D272CC">
        <w:rPr>
          <w:lang w:val="en-GB"/>
        </w:rPr>
        <w:t xml:space="preserve">paragraph </w:t>
      </w:r>
      <w:r w:rsidRPr="00D272CC">
        <w:rPr>
          <w:lang w:val="en-GB"/>
        </w:rPr>
        <w:t>QC4)</w:t>
      </w:r>
    </w:p>
    <w:p w14:paraId="0C28739E" w14:textId="77777777" w:rsidR="00841485" w:rsidRDefault="00A80F1A" w:rsidP="004C4F81">
      <w:pPr>
        <w:ind w:firstLine="0"/>
        <w:rPr>
          <w:lang w:val="en-GB"/>
        </w:rPr>
      </w:pPr>
      <w:r w:rsidRPr="00D272CC">
        <w:rPr>
          <w:lang w:val="en-GB"/>
        </w:rPr>
        <w:t>The q</w:t>
      </w:r>
      <w:r w:rsidR="007021AB" w:rsidRPr="00D272CC">
        <w:rPr>
          <w:lang w:val="en-GB"/>
        </w:rPr>
        <w:t xml:space="preserve">ualitative characteristics </w:t>
      </w:r>
      <w:r w:rsidR="00062AF8" w:rsidRPr="00D272CC">
        <w:rPr>
          <w:lang w:val="en-GB"/>
        </w:rPr>
        <w:t xml:space="preserve">(QCs) </w:t>
      </w:r>
      <w:r w:rsidR="007021AB" w:rsidRPr="00D272CC">
        <w:rPr>
          <w:lang w:val="en-GB"/>
        </w:rPr>
        <w:t>of financial information</w:t>
      </w:r>
      <w:r w:rsidR="00666532" w:rsidRPr="00D272CC">
        <w:rPr>
          <w:lang w:val="en-GB"/>
        </w:rPr>
        <w:t xml:space="preserve">, as set out in the </w:t>
      </w:r>
      <w:r w:rsidR="00550644" w:rsidRPr="000C43F3">
        <w:rPr>
          <w:i/>
          <w:lang w:val="en-GB"/>
        </w:rPr>
        <w:t>C</w:t>
      </w:r>
      <w:r w:rsidR="00666532" w:rsidRPr="000C43F3">
        <w:rPr>
          <w:i/>
          <w:lang w:val="en-GB"/>
        </w:rPr>
        <w:t xml:space="preserve">onceptual </w:t>
      </w:r>
      <w:r w:rsidR="00550644" w:rsidRPr="000C43F3">
        <w:rPr>
          <w:i/>
          <w:lang w:val="en-GB"/>
        </w:rPr>
        <w:t>F</w:t>
      </w:r>
      <w:r w:rsidR="00666532" w:rsidRPr="000C43F3">
        <w:rPr>
          <w:i/>
          <w:lang w:val="en-GB"/>
        </w:rPr>
        <w:t>ramework</w:t>
      </w:r>
      <w:r w:rsidR="00666532" w:rsidRPr="00D272CC">
        <w:rPr>
          <w:lang w:val="en-GB"/>
        </w:rPr>
        <w:t xml:space="preserve"> </w:t>
      </w:r>
      <w:r w:rsidR="00550644">
        <w:rPr>
          <w:lang w:val="en-GB"/>
        </w:rPr>
        <w:t xml:space="preserve">(hereafter, </w:t>
      </w:r>
      <w:r w:rsidR="00550644" w:rsidRPr="00E849A3">
        <w:rPr>
          <w:i/>
          <w:lang w:val="en-GB"/>
        </w:rPr>
        <w:t>Framework</w:t>
      </w:r>
      <w:r w:rsidR="00550644">
        <w:rPr>
          <w:lang w:val="en-GB"/>
        </w:rPr>
        <w:t xml:space="preserve">) </w:t>
      </w:r>
      <w:r w:rsidR="00666532" w:rsidRPr="00D272CC">
        <w:rPr>
          <w:lang w:val="en-GB"/>
        </w:rPr>
        <w:t xml:space="preserve">of </w:t>
      </w:r>
      <w:r w:rsidR="00217CF9" w:rsidRPr="00D272CC">
        <w:rPr>
          <w:lang w:val="en-GB"/>
        </w:rPr>
        <w:t>the International Accounting Standard Board (IASB)</w:t>
      </w:r>
      <w:r w:rsidR="00666532" w:rsidRPr="00D272CC">
        <w:rPr>
          <w:lang w:val="en-GB"/>
        </w:rPr>
        <w:t>,</w:t>
      </w:r>
      <w:r w:rsidR="007021AB" w:rsidRPr="00D272CC">
        <w:rPr>
          <w:lang w:val="en-GB"/>
        </w:rPr>
        <w:t xml:space="preserve"> are fundamental for</w:t>
      </w:r>
      <w:r w:rsidRPr="00D272CC">
        <w:rPr>
          <w:lang w:val="en-GB"/>
        </w:rPr>
        <w:t xml:space="preserve"> standard</w:t>
      </w:r>
      <w:r w:rsidR="001B2E3C">
        <w:rPr>
          <w:lang w:val="en-GB"/>
        </w:rPr>
        <w:t>-</w:t>
      </w:r>
      <w:r w:rsidRPr="00D272CC">
        <w:rPr>
          <w:lang w:val="en-GB"/>
        </w:rPr>
        <w:t xml:space="preserve">setting and </w:t>
      </w:r>
      <w:r w:rsidR="00B41672" w:rsidRPr="00D272CC">
        <w:rPr>
          <w:lang w:val="en-GB"/>
        </w:rPr>
        <w:t xml:space="preserve">are intended to be used </w:t>
      </w:r>
      <w:r w:rsidR="00E84CB5" w:rsidRPr="00D272CC">
        <w:rPr>
          <w:lang w:val="en-GB"/>
        </w:rPr>
        <w:t>by</w:t>
      </w:r>
      <w:r w:rsidR="00B41672" w:rsidRPr="00D272CC">
        <w:rPr>
          <w:lang w:val="en-GB"/>
        </w:rPr>
        <w:t xml:space="preserve"> firms </w:t>
      </w:r>
      <w:r w:rsidR="00E84CB5" w:rsidRPr="00D272CC">
        <w:rPr>
          <w:lang w:val="en-GB"/>
        </w:rPr>
        <w:t xml:space="preserve">when they make certain accounting decisions, in particular </w:t>
      </w:r>
      <w:r w:rsidRPr="00D272CC">
        <w:rPr>
          <w:lang w:val="en-GB"/>
        </w:rPr>
        <w:t>policy choice</w:t>
      </w:r>
      <w:r w:rsidR="00B41672" w:rsidRPr="00D272CC">
        <w:rPr>
          <w:lang w:val="en-GB"/>
        </w:rPr>
        <w:t>s and policy changes</w:t>
      </w:r>
      <w:r w:rsidR="00595FC3">
        <w:rPr>
          <w:lang w:val="en-GB"/>
        </w:rPr>
        <w:t xml:space="preserve"> (IASB 2010</w:t>
      </w:r>
      <w:r w:rsidR="0019712E">
        <w:rPr>
          <w:lang w:val="en-GB"/>
        </w:rPr>
        <w:t xml:space="preserve">, </w:t>
      </w:r>
      <w:r w:rsidR="0019712E" w:rsidRPr="004E17E2">
        <w:rPr>
          <w:lang w:val="en-GB"/>
        </w:rPr>
        <w:t>‘Purpose and status’</w:t>
      </w:r>
      <w:r w:rsidR="00595FC3">
        <w:rPr>
          <w:lang w:val="en-GB"/>
        </w:rPr>
        <w:t>)</w:t>
      </w:r>
      <w:r w:rsidR="00BE6312" w:rsidRPr="00D272CC">
        <w:rPr>
          <w:lang w:val="en-GB"/>
        </w:rPr>
        <w:t>.</w:t>
      </w:r>
      <w:r w:rsidR="008A3CC8">
        <w:rPr>
          <w:lang w:val="en-GB"/>
        </w:rPr>
        <w:t xml:space="preserve"> The </w:t>
      </w:r>
      <w:r w:rsidR="00E849A3" w:rsidRPr="00E849A3">
        <w:rPr>
          <w:i/>
          <w:lang w:val="en-GB"/>
        </w:rPr>
        <w:t>Framework</w:t>
      </w:r>
      <w:r w:rsidR="00E849A3">
        <w:rPr>
          <w:lang w:val="en-GB"/>
        </w:rPr>
        <w:t xml:space="preserve"> </w:t>
      </w:r>
      <w:r w:rsidR="008A3CC8">
        <w:rPr>
          <w:lang w:val="en-GB"/>
        </w:rPr>
        <w:t xml:space="preserve">is under review, </w:t>
      </w:r>
      <w:r w:rsidR="0019712E">
        <w:t>including a willingness to re-examine QCs (</w:t>
      </w:r>
      <w:r w:rsidR="0019712E" w:rsidRPr="00D272CC">
        <w:rPr>
          <w:lang w:val="en-GB"/>
        </w:rPr>
        <w:t>IASB 2013, paragraph 9.</w:t>
      </w:r>
      <w:r w:rsidR="0019712E">
        <w:rPr>
          <w:lang w:val="en-GB"/>
        </w:rPr>
        <w:t>3 and Question 22, p. 193). This</w:t>
      </w:r>
      <w:r w:rsidR="008A3CC8">
        <w:rPr>
          <w:lang w:val="en-GB"/>
        </w:rPr>
        <w:t xml:space="preserve"> means that research findings are of unusual topicality for policy makers.</w:t>
      </w:r>
    </w:p>
    <w:p w14:paraId="06E8355D" w14:textId="77777777" w:rsidR="007076E3" w:rsidRPr="00D272CC" w:rsidRDefault="00595FC3" w:rsidP="00841485">
      <w:pPr>
        <w:rPr>
          <w:lang w:val="en-GB"/>
        </w:rPr>
      </w:pPr>
      <w:r>
        <w:rPr>
          <w:lang w:val="en-GB"/>
        </w:rPr>
        <w:t xml:space="preserve">As will be explained, the </w:t>
      </w:r>
      <w:r w:rsidR="00E849A3">
        <w:rPr>
          <w:lang w:val="en-GB"/>
        </w:rPr>
        <w:t>QC</w:t>
      </w:r>
      <w:r w:rsidR="002A663E">
        <w:rPr>
          <w:lang w:val="en-GB"/>
        </w:rPr>
        <w:t>s</w:t>
      </w:r>
      <w:r w:rsidR="00E849A3">
        <w:rPr>
          <w:lang w:val="en-GB"/>
        </w:rPr>
        <w:t xml:space="preserve"> section of the</w:t>
      </w:r>
      <w:r>
        <w:rPr>
          <w:lang w:val="en-GB"/>
        </w:rPr>
        <w:t xml:space="preserve"> </w:t>
      </w:r>
      <w:r w:rsidR="00400FB4" w:rsidRPr="009D312A">
        <w:rPr>
          <w:i/>
          <w:lang w:val="en-GB"/>
        </w:rPr>
        <w:t>Framework</w:t>
      </w:r>
      <w:r>
        <w:rPr>
          <w:lang w:val="en-GB"/>
        </w:rPr>
        <w:t xml:space="preserve"> has </w:t>
      </w:r>
      <w:r w:rsidR="00E849A3">
        <w:rPr>
          <w:lang w:val="en-GB"/>
        </w:rPr>
        <w:t xml:space="preserve">existed in two versions: the original (IASC 1989) and the revised (IASB 2010). These </w:t>
      </w:r>
      <w:r>
        <w:rPr>
          <w:lang w:val="en-GB"/>
        </w:rPr>
        <w:t>contain s</w:t>
      </w:r>
      <w:r w:rsidR="001C5680">
        <w:rPr>
          <w:lang w:val="en-GB"/>
        </w:rPr>
        <w:t>uch concepts as r</w:t>
      </w:r>
      <w:r w:rsidR="007021AB" w:rsidRPr="00D272CC">
        <w:rPr>
          <w:lang w:val="en-GB"/>
        </w:rPr>
        <w:t xml:space="preserve">elevance, </w:t>
      </w:r>
      <w:r w:rsidR="00FA031A">
        <w:rPr>
          <w:lang w:val="en-GB"/>
        </w:rPr>
        <w:t>reliability,</w:t>
      </w:r>
      <w:r w:rsidR="00FA031A" w:rsidRPr="00D272CC">
        <w:rPr>
          <w:lang w:val="en-GB"/>
        </w:rPr>
        <w:t xml:space="preserve"> </w:t>
      </w:r>
      <w:r w:rsidR="007021AB" w:rsidRPr="00D272CC">
        <w:rPr>
          <w:lang w:val="en-GB"/>
        </w:rPr>
        <w:t xml:space="preserve">faithful representation, </w:t>
      </w:r>
      <w:r w:rsidR="00B95445" w:rsidRPr="00D272CC">
        <w:rPr>
          <w:lang w:val="en-GB"/>
        </w:rPr>
        <w:t xml:space="preserve">comparability, </w:t>
      </w:r>
      <w:r w:rsidR="001C5680" w:rsidRPr="00D272CC">
        <w:rPr>
          <w:lang w:val="en-GB"/>
        </w:rPr>
        <w:t>verifiability,</w:t>
      </w:r>
      <w:r w:rsidR="001C5680">
        <w:rPr>
          <w:lang w:val="en-GB"/>
        </w:rPr>
        <w:t xml:space="preserve"> </w:t>
      </w:r>
      <w:r w:rsidR="00B95445">
        <w:rPr>
          <w:lang w:val="en-GB"/>
        </w:rPr>
        <w:t>timeliness</w:t>
      </w:r>
      <w:r w:rsidR="00FA031A">
        <w:rPr>
          <w:lang w:val="en-GB"/>
        </w:rPr>
        <w:t xml:space="preserve"> and</w:t>
      </w:r>
      <w:r w:rsidR="00B95445">
        <w:rPr>
          <w:lang w:val="en-GB"/>
        </w:rPr>
        <w:t xml:space="preserve"> </w:t>
      </w:r>
      <w:r w:rsidR="007021AB" w:rsidRPr="00D272CC">
        <w:rPr>
          <w:lang w:val="en-GB"/>
        </w:rPr>
        <w:t>understandability</w:t>
      </w:r>
      <w:r w:rsidR="0067039C">
        <w:rPr>
          <w:lang w:val="en-GB"/>
        </w:rPr>
        <w:t>.</w:t>
      </w:r>
      <w:r w:rsidR="007021AB" w:rsidRPr="00D272CC">
        <w:rPr>
          <w:lang w:val="en-GB"/>
        </w:rPr>
        <w:t xml:space="preserve"> </w:t>
      </w:r>
      <w:r w:rsidR="00E849A3">
        <w:rPr>
          <w:lang w:val="en-GB"/>
        </w:rPr>
        <w:t xml:space="preserve">With the possible exception of timeliness, these </w:t>
      </w:r>
      <w:r w:rsidR="007021AB" w:rsidRPr="00D272CC">
        <w:rPr>
          <w:lang w:val="en-GB"/>
        </w:rPr>
        <w:t>are abstract.</w:t>
      </w:r>
      <w:r w:rsidR="00841485">
        <w:rPr>
          <w:lang w:val="en-GB"/>
        </w:rPr>
        <w:t xml:space="preserve"> </w:t>
      </w:r>
      <w:r w:rsidR="00D36997">
        <w:rPr>
          <w:i/>
          <w:lang w:val="en-GB"/>
        </w:rPr>
        <w:t>I</w:t>
      </w:r>
      <w:r w:rsidR="007021AB" w:rsidRPr="00D272CC">
        <w:rPr>
          <w:i/>
          <w:lang w:val="en-GB"/>
        </w:rPr>
        <w:t xml:space="preserve">ndirect </w:t>
      </w:r>
      <w:r w:rsidR="007021AB" w:rsidRPr="00D272CC">
        <w:rPr>
          <w:lang w:val="en-GB"/>
        </w:rPr>
        <w:t xml:space="preserve">evidence </w:t>
      </w:r>
      <w:r w:rsidR="00A80F1A" w:rsidRPr="00D272CC">
        <w:rPr>
          <w:lang w:val="en-GB"/>
        </w:rPr>
        <w:t>about</w:t>
      </w:r>
      <w:r w:rsidR="007021AB" w:rsidRPr="00D272CC">
        <w:rPr>
          <w:lang w:val="en-GB"/>
        </w:rPr>
        <w:t xml:space="preserve"> </w:t>
      </w:r>
      <w:r w:rsidR="007916FF" w:rsidRPr="00D272CC">
        <w:rPr>
          <w:lang w:val="en-GB"/>
        </w:rPr>
        <w:t>the</w:t>
      </w:r>
      <w:r w:rsidR="00535407">
        <w:rPr>
          <w:lang w:val="en-GB"/>
        </w:rPr>
        <w:t>se</w:t>
      </w:r>
      <w:r w:rsidR="007916FF" w:rsidRPr="00D272CC">
        <w:rPr>
          <w:lang w:val="en-GB"/>
        </w:rPr>
        <w:t xml:space="preserve"> concepts</w:t>
      </w:r>
      <w:r w:rsidR="00B54BF7" w:rsidRPr="00D272CC">
        <w:rPr>
          <w:lang w:val="en-GB"/>
        </w:rPr>
        <w:t xml:space="preserve"> </w:t>
      </w:r>
      <w:r w:rsidR="00D36997">
        <w:rPr>
          <w:lang w:val="en-GB"/>
        </w:rPr>
        <w:t xml:space="preserve">has been obtained </w:t>
      </w:r>
      <w:r w:rsidR="00B54BF7" w:rsidRPr="00D272CC">
        <w:rPr>
          <w:lang w:val="en-GB"/>
        </w:rPr>
        <w:t>using empirical proxies</w:t>
      </w:r>
      <w:r w:rsidR="007916FF" w:rsidRPr="00D272CC">
        <w:rPr>
          <w:lang w:val="en-GB"/>
        </w:rPr>
        <w:t>, e.g.</w:t>
      </w:r>
      <w:r w:rsidR="00B41672" w:rsidRPr="00D272CC">
        <w:rPr>
          <w:lang w:val="en-GB"/>
        </w:rPr>
        <w:t xml:space="preserve"> </w:t>
      </w:r>
      <w:r w:rsidR="000B21C4" w:rsidRPr="00D272CC">
        <w:rPr>
          <w:lang w:val="en-GB"/>
        </w:rPr>
        <w:t xml:space="preserve">assessments of </w:t>
      </w:r>
      <w:r w:rsidR="00B41672" w:rsidRPr="00D272CC">
        <w:rPr>
          <w:lang w:val="en-GB"/>
        </w:rPr>
        <w:t>the value relevance of</w:t>
      </w:r>
      <w:r w:rsidR="007916FF" w:rsidRPr="00D272CC">
        <w:rPr>
          <w:lang w:val="en-GB"/>
        </w:rPr>
        <w:t xml:space="preserve"> financial information </w:t>
      </w:r>
      <w:r w:rsidR="007076E3" w:rsidRPr="00D272CC">
        <w:rPr>
          <w:lang w:val="en-GB"/>
        </w:rPr>
        <w:t xml:space="preserve">based on </w:t>
      </w:r>
      <w:r w:rsidR="004C396F" w:rsidRPr="00D272CC">
        <w:rPr>
          <w:lang w:val="en-GB"/>
        </w:rPr>
        <w:t>regressions of</w:t>
      </w:r>
      <w:r w:rsidR="007076E3" w:rsidRPr="00D272CC">
        <w:rPr>
          <w:lang w:val="en-GB"/>
        </w:rPr>
        <w:t xml:space="preserve"> price on accounting items such as earnings </w:t>
      </w:r>
      <w:r w:rsidR="007916FF" w:rsidRPr="00D272CC">
        <w:rPr>
          <w:lang w:val="en-GB"/>
        </w:rPr>
        <w:t>(Barth</w:t>
      </w:r>
      <w:r w:rsidR="00995639" w:rsidRPr="00D272CC">
        <w:rPr>
          <w:lang w:val="en-GB"/>
        </w:rPr>
        <w:t xml:space="preserve"> et al.</w:t>
      </w:r>
      <w:r w:rsidR="007916FF" w:rsidRPr="00D272CC">
        <w:rPr>
          <w:lang w:val="en-GB"/>
        </w:rPr>
        <w:t xml:space="preserve"> 2001</w:t>
      </w:r>
      <w:r w:rsidR="002C23A2" w:rsidRPr="00D272CC">
        <w:rPr>
          <w:lang w:val="en-GB"/>
        </w:rPr>
        <w:t>,</w:t>
      </w:r>
      <w:r w:rsidR="001F47BE" w:rsidRPr="00D272CC">
        <w:rPr>
          <w:lang w:val="en-GB"/>
        </w:rPr>
        <w:t xml:space="preserve"> Hail 2013</w:t>
      </w:r>
      <w:r w:rsidR="007916FF" w:rsidRPr="00D272CC">
        <w:rPr>
          <w:lang w:val="en-GB"/>
        </w:rPr>
        <w:t>)</w:t>
      </w:r>
      <w:r w:rsidR="004C396F" w:rsidRPr="00D272CC">
        <w:rPr>
          <w:lang w:val="en-GB"/>
        </w:rPr>
        <w:t>;</w:t>
      </w:r>
      <w:r w:rsidR="007916FF" w:rsidRPr="00D272CC">
        <w:rPr>
          <w:lang w:val="en-GB"/>
        </w:rPr>
        <w:t xml:space="preserve"> </w:t>
      </w:r>
      <w:r w:rsidR="000B21C4" w:rsidRPr="00D272CC">
        <w:rPr>
          <w:lang w:val="en-GB"/>
        </w:rPr>
        <w:t xml:space="preserve">of </w:t>
      </w:r>
      <w:r w:rsidR="00A80F1A" w:rsidRPr="00D272CC">
        <w:rPr>
          <w:lang w:val="en-GB"/>
        </w:rPr>
        <w:t xml:space="preserve">the </w:t>
      </w:r>
      <w:r w:rsidR="007916FF" w:rsidRPr="00D272CC">
        <w:rPr>
          <w:lang w:val="en-GB"/>
        </w:rPr>
        <w:t>determinants of asymmetric timeliness of earnings</w:t>
      </w:r>
      <w:r w:rsidR="00E84CB5" w:rsidRPr="00D272CC">
        <w:rPr>
          <w:lang w:val="en-GB"/>
        </w:rPr>
        <w:t>,</w:t>
      </w:r>
      <w:r w:rsidR="004C396F" w:rsidRPr="00D272CC">
        <w:rPr>
          <w:lang w:val="en-GB"/>
        </w:rPr>
        <w:t xml:space="preserve"> based on regressions of earnings on returns</w:t>
      </w:r>
      <w:r w:rsidR="007916FF" w:rsidRPr="00D272CC">
        <w:rPr>
          <w:lang w:val="en-GB"/>
        </w:rPr>
        <w:t xml:space="preserve"> (Basu 1997</w:t>
      </w:r>
      <w:r w:rsidR="002C23A2" w:rsidRPr="00D272CC">
        <w:rPr>
          <w:lang w:val="en-GB"/>
        </w:rPr>
        <w:t>,</w:t>
      </w:r>
      <w:r w:rsidR="008C590E" w:rsidRPr="00D272CC">
        <w:rPr>
          <w:lang w:val="en-GB"/>
        </w:rPr>
        <w:t xml:space="preserve"> </w:t>
      </w:r>
      <w:r w:rsidR="00A16500" w:rsidRPr="00D272CC">
        <w:rPr>
          <w:lang w:val="en-GB"/>
        </w:rPr>
        <w:t>LaFond</w:t>
      </w:r>
      <w:r w:rsidR="008C590E" w:rsidRPr="00D272CC">
        <w:rPr>
          <w:lang w:val="en-GB"/>
        </w:rPr>
        <w:t xml:space="preserve"> and Watts 200</w:t>
      </w:r>
      <w:r w:rsidR="00A16500" w:rsidRPr="00D272CC">
        <w:rPr>
          <w:lang w:val="en-GB"/>
        </w:rPr>
        <w:t>8</w:t>
      </w:r>
      <w:r w:rsidR="007916FF" w:rsidRPr="00D272CC">
        <w:rPr>
          <w:lang w:val="en-GB"/>
        </w:rPr>
        <w:t>)</w:t>
      </w:r>
      <w:r w:rsidR="004C396F" w:rsidRPr="00D272CC">
        <w:rPr>
          <w:lang w:val="en-GB"/>
        </w:rPr>
        <w:t>;</w:t>
      </w:r>
      <w:r w:rsidR="007916FF" w:rsidRPr="00D272CC">
        <w:rPr>
          <w:lang w:val="en-GB"/>
        </w:rPr>
        <w:t xml:space="preserve"> </w:t>
      </w:r>
      <w:r w:rsidR="000B21C4" w:rsidRPr="00D272CC">
        <w:rPr>
          <w:lang w:val="en-GB"/>
        </w:rPr>
        <w:t xml:space="preserve">of </w:t>
      </w:r>
      <w:r w:rsidR="00A80F1A" w:rsidRPr="00D272CC">
        <w:rPr>
          <w:lang w:val="en-GB"/>
        </w:rPr>
        <w:t xml:space="preserve">the </w:t>
      </w:r>
      <w:r w:rsidR="007916FF" w:rsidRPr="00D272CC">
        <w:rPr>
          <w:lang w:val="en-GB"/>
        </w:rPr>
        <w:t>benefits of comparability</w:t>
      </w:r>
      <w:r w:rsidR="00E84CB5" w:rsidRPr="00D272CC">
        <w:rPr>
          <w:lang w:val="en-GB"/>
        </w:rPr>
        <w:t>,</w:t>
      </w:r>
      <w:r w:rsidR="004C396F" w:rsidRPr="00D272CC">
        <w:rPr>
          <w:lang w:val="en-GB"/>
        </w:rPr>
        <w:t xml:space="preserve"> as measured by the similarity of a firm’s earnings-return relationship to other firms</w:t>
      </w:r>
      <w:r w:rsidR="007916FF" w:rsidRPr="00D272CC">
        <w:rPr>
          <w:lang w:val="en-GB"/>
        </w:rPr>
        <w:t xml:space="preserve"> (De Franco</w:t>
      </w:r>
      <w:r w:rsidR="00995639" w:rsidRPr="00D272CC">
        <w:rPr>
          <w:lang w:val="en-GB"/>
        </w:rPr>
        <w:t xml:space="preserve"> et al.</w:t>
      </w:r>
      <w:r w:rsidR="007916FF" w:rsidRPr="00D272CC">
        <w:rPr>
          <w:lang w:val="en-GB"/>
        </w:rPr>
        <w:t xml:space="preserve"> 2011)</w:t>
      </w:r>
      <w:r w:rsidR="00F6603B" w:rsidRPr="00D272CC">
        <w:rPr>
          <w:lang w:val="en-GB"/>
        </w:rPr>
        <w:t xml:space="preserve">; and of </w:t>
      </w:r>
      <w:r w:rsidR="00535407">
        <w:rPr>
          <w:lang w:val="en-GB"/>
        </w:rPr>
        <w:t xml:space="preserve">the understandability of accounting narratives based on </w:t>
      </w:r>
      <w:r w:rsidR="00F6603B" w:rsidRPr="00D272CC">
        <w:rPr>
          <w:lang w:val="en-GB"/>
        </w:rPr>
        <w:t>readability</w:t>
      </w:r>
      <w:r w:rsidR="00DF3905">
        <w:rPr>
          <w:lang w:val="en-GB"/>
        </w:rPr>
        <w:t xml:space="preserve"> and comprehension</w:t>
      </w:r>
      <w:r w:rsidR="00866614" w:rsidRPr="00D272CC">
        <w:rPr>
          <w:lang w:val="en-GB"/>
        </w:rPr>
        <w:t xml:space="preserve"> tests</w:t>
      </w:r>
      <w:r w:rsidR="00F6603B" w:rsidRPr="00D272CC">
        <w:rPr>
          <w:lang w:val="en-GB"/>
        </w:rPr>
        <w:t xml:space="preserve"> (Smith and Taffler</w:t>
      </w:r>
      <w:r w:rsidR="00EE3C48" w:rsidRPr="00D272CC">
        <w:rPr>
          <w:lang w:val="en-GB"/>
        </w:rPr>
        <w:t xml:space="preserve"> 1992</w:t>
      </w:r>
      <w:r w:rsidR="002C23A2" w:rsidRPr="00D272CC">
        <w:rPr>
          <w:lang w:val="en-GB"/>
        </w:rPr>
        <w:t>,</w:t>
      </w:r>
      <w:r w:rsidR="00F6603B" w:rsidRPr="00D272CC">
        <w:rPr>
          <w:lang w:val="en-GB"/>
        </w:rPr>
        <w:t xml:space="preserve"> Jones</w:t>
      </w:r>
      <w:r w:rsidR="00EE3C48" w:rsidRPr="00D272CC">
        <w:rPr>
          <w:lang w:val="en-GB"/>
        </w:rPr>
        <w:t xml:space="preserve"> and Smith 2014</w:t>
      </w:r>
      <w:r w:rsidR="00F6603B" w:rsidRPr="00D272CC">
        <w:rPr>
          <w:lang w:val="en-GB"/>
        </w:rPr>
        <w:t>)</w:t>
      </w:r>
      <w:r w:rsidR="007916FF" w:rsidRPr="00D272CC">
        <w:rPr>
          <w:lang w:val="en-GB"/>
        </w:rPr>
        <w:t>.</w:t>
      </w:r>
      <w:r w:rsidR="00D4701C" w:rsidRPr="00D272CC" w:rsidDel="00B54BF7">
        <w:rPr>
          <w:lang w:val="en-GB"/>
        </w:rPr>
        <w:t xml:space="preserve"> </w:t>
      </w:r>
      <w:r w:rsidR="00C615D3" w:rsidRPr="00D272CC">
        <w:rPr>
          <w:lang w:val="en-GB"/>
        </w:rPr>
        <w:t xml:space="preserve">However, </w:t>
      </w:r>
      <w:r w:rsidR="007916FF" w:rsidRPr="00D272CC">
        <w:rPr>
          <w:lang w:val="en-GB"/>
        </w:rPr>
        <w:t>t</w:t>
      </w:r>
      <w:r w:rsidR="007021AB" w:rsidRPr="00D272CC">
        <w:rPr>
          <w:lang w:val="en-GB"/>
        </w:rPr>
        <w:t xml:space="preserve">here is </w:t>
      </w:r>
      <w:r w:rsidR="003561E9" w:rsidRPr="00D272CC">
        <w:rPr>
          <w:lang w:val="en-GB"/>
        </w:rPr>
        <w:t>no</w:t>
      </w:r>
      <w:r w:rsidR="007021AB" w:rsidRPr="00D272CC">
        <w:rPr>
          <w:lang w:val="en-GB"/>
        </w:rPr>
        <w:t xml:space="preserve"> </w:t>
      </w:r>
      <w:r w:rsidR="007021AB" w:rsidRPr="00D272CC">
        <w:rPr>
          <w:i/>
          <w:lang w:val="en-GB"/>
        </w:rPr>
        <w:t>direct</w:t>
      </w:r>
      <w:r w:rsidR="007021AB" w:rsidRPr="00D272CC">
        <w:rPr>
          <w:lang w:val="en-GB"/>
        </w:rPr>
        <w:t xml:space="preserve"> </w:t>
      </w:r>
      <w:r w:rsidR="00F74A39" w:rsidRPr="00D272CC">
        <w:rPr>
          <w:lang w:val="en-GB"/>
        </w:rPr>
        <w:t xml:space="preserve">empirical </w:t>
      </w:r>
      <w:r w:rsidR="007021AB" w:rsidRPr="00D272CC">
        <w:rPr>
          <w:lang w:val="en-GB"/>
        </w:rPr>
        <w:t xml:space="preserve">evidence on the role of </w:t>
      </w:r>
      <w:r w:rsidR="00A80F1A" w:rsidRPr="00D272CC">
        <w:rPr>
          <w:lang w:val="en-GB"/>
        </w:rPr>
        <w:t xml:space="preserve">the </w:t>
      </w:r>
      <w:r w:rsidR="00062AF8" w:rsidRPr="00D272CC">
        <w:rPr>
          <w:lang w:val="en-GB"/>
        </w:rPr>
        <w:t>QCs</w:t>
      </w:r>
      <w:r w:rsidR="007021AB" w:rsidRPr="00D272CC">
        <w:rPr>
          <w:lang w:val="en-GB"/>
        </w:rPr>
        <w:t xml:space="preserve"> </w:t>
      </w:r>
      <w:r w:rsidR="00A80F1A" w:rsidRPr="00D272CC">
        <w:rPr>
          <w:lang w:val="en-GB"/>
        </w:rPr>
        <w:t>in</w:t>
      </w:r>
      <w:r w:rsidR="007021AB" w:rsidRPr="00D272CC">
        <w:rPr>
          <w:lang w:val="en-GB"/>
        </w:rPr>
        <w:t xml:space="preserve"> managements’</w:t>
      </w:r>
      <w:r w:rsidR="00F74A39" w:rsidRPr="00D272CC">
        <w:rPr>
          <w:lang w:val="en-GB"/>
        </w:rPr>
        <w:t xml:space="preserve"> accounting</w:t>
      </w:r>
      <w:r w:rsidR="007021AB" w:rsidRPr="00D272CC">
        <w:rPr>
          <w:lang w:val="en-GB"/>
        </w:rPr>
        <w:t xml:space="preserve"> decisions.</w:t>
      </w:r>
    </w:p>
    <w:p w14:paraId="1553F6C5" w14:textId="77777777" w:rsidR="002552B2" w:rsidRPr="00D272CC" w:rsidRDefault="003F7C43" w:rsidP="009C6000">
      <w:pPr>
        <w:rPr>
          <w:lang w:val="en-GB"/>
        </w:rPr>
      </w:pPr>
      <w:r w:rsidRPr="00D272CC">
        <w:rPr>
          <w:lang w:val="en-GB"/>
        </w:rPr>
        <w:lastRenderedPageBreak/>
        <w:t xml:space="preserve">We therefore ask </w:t>
      </w:r>
      <w:r w:rsidR="009506ED" w:rsidRPr="00D272CC">
        <w:rPr>
          <w:lang w:val="en-GB"/>
        </w:rPr>
        <w:t>w</w:t>
      </w:r>
      <w:r w:rsidR="00202E8A" w:rsidRPr="00D272CC">
        <w:rPr>
          <w:lang w:val="en-GB"/>
        </w:rPr>
        <w:t xml:space="preserve">hich </w:t>
      </w:r>
      <w:r w:rsidR="00062AF8" w:rsidRPr="00D272CC">
        <w:rPr>
          <w:lang w:val="en-GB"/>
        </w:rPr>
        <w:t>QCs</w:t>
      </w:r>
      <w:r w:rsidR="003D5862" w:rsidRPr="00D272CC">
        <w:rPr>
          <w:lang w:val="en-GB"/>
        </w:rPr>
        <w:t xml:space="preserve"> </w:t>
      </w:r>
      <w:r w:rsidR="00202E8A" w:rsidRPr="00D272CC">
        <w:rPr>
          <w:lang w:val="en-GB"/>
        </w:rPr>
        <w:t xml:space="preserve">managers </w:t>
      </w:r>
      <w:r w:rsidR="0064216D" w:rsidRPr="00D272CC">
        <w:rPr>
          <w:lang w:val="en-GB"/>
        </w:rPr>
        <w:t xml:space="preserve">refer to </w:t>
      </w:r>
      <w:r w:rsidR="008E0EEB">
        <w:rPr>
          <w:lang w:val="en-GB"/>
        </w:rPr>
        <w:t>when</w:t>
      </w:r>
      <w:r w:rsidR="0064216D" w:rsidRPr="00D272CC">
        <w:rPr>
          <w:lang w:val="en-GB"/>
        </w:rPr>
        <w:t xml:space="preserve"> explain</w:t>
      </w:r>
      <w:r w:rsidR="008E0EEB">
        <w:rPr>
          <w:lang w:val="en-GB"/>
        </w:rPr>
        <w:t>ing</w:t>
      </w:r>
      <w:r w:rsidR="0064216D" w:rsidRPr="00D272CC">
        <w:rPr>
          <w:lang w:val="en-GB"/>
        </w:rPr>
        <w:t xml:space="preserve"> </w:t>
      </w:r>
      <w:r w:rsidR="00202E8A" w:rsidRPr="00D272CC">
        <w:rPr>
          <w:lang w:val="en-GB"/>
        </w:rPr>
        <w:t>their accounting decisions</w:t>
      </w:r>
      <w:r w:rsidR="009506ED" w:rsidRPr="00D272CC">
        <w:rPr>
          <w:lang w:val="en-GB"/>
        </w:rPr>
        <w:t>,</w:t>
      </w:r>
      <w:r w:rsidR="003D5862" w:rsidRPr="00D272CC">
        <w:rPr>
          <w:lang w:val="en-GB"/>
        </w:rPr>
        <w:t xml:space="preserve"> </w:t>
      </w:r>
      <w:r w:rsidR="009506ED" w:rsidRPr="00D272CC">
        <w:rPr>
          <w:lang w:val="en-GB"/>
        </w:rPr>
        <w:t>a</w:t>
      </w:r>
      <w:r w:rsidRPr="00D272CC">
        <w:rPr>
          <w:lang w:val="en-GB"/>
        </w:rPr>
        <w:t xml:space="preserve">nd </w:t>
      </w:r>
      <w:r w:rsidR="009506ED" w:rsidRPr="00D272CC">
        <w:rPr>
          <w:lang w:val="en-GB"/>
        </w:rPr>
        <w:t>when</w:t>
      </w:r>
      <w:r w:rsidRPr="00D272CC">
        <w:rPr>
          <w:lang w:val="en-GB"/>
        </w:rPr>
        <w:t xml:space="preserve"> they refer to QCs</w:t>
      </w:r>
      <w:r w:rsidR="009506ED" w:rsidRPr="00D272CC">
        <w:rPr>
          <w:lang w:val="en-GB"/>
        </w:rPr>
        <w:t>.</w:t>
      </w:r>
      <w:r w:rsidRPr="00D272CC">
        <w:rPr>
          <w:lang w:val="en-GB"/>
        </w:rPr>
        <w:t xml:space="preserve"> </w:t>
      </w:r>
      <w:r w:rsidR="005B716A" w:rsidRPr="00D272CC">
        <w:rPr>
          <w:lang w:val="en-GB"/>
        </w:rPr>
        <w:t xml:space="preserve">Managers usually do not provide reasons for their accounting decisions, at least not publicly. However, </w:t>
      </w:r>
      <w:r w:rsidR="00E139C0" w:rsidRPr="00D272CC">
        <w:rPr>
          <w:lang w:val="en-GB"/>
        </w:rPr>
        <w:t xml:space="preserve">one source of </w:t>
      </w:r>
      <w:r w:rsidR="00426912">
        <w:rPr>
          <w:lang w:val="en-GB"/>
        </w:rPr>
        <w:t xml:space="preserve">such </w:t>
      </w:r>
      <w:r w:rsidR="00E139C0" w:rsidRPr="00D272CC">
        <w:rPr>
          <w:lang w:val="en-GB"/>
        </w:rPr>
        <w:t xml:space="preserve">information relates to changes in accounting policy. </w:t>
      </w:r>
      <w:r w:rsidR="0082360B">
        <w:rPr>
          <w:lang w:val="en-GB"/>
        </w:rPr>
        <w:t>International Financial Reporting Standards (</w:t>
      </w:r>
      <w:r w:rsidR="00E139C0" w:rsidRPr="00D272CC">
        <w:rPr>
          <w:lang w:val="en-GB"/>
        </w:rPr>
        <w:t>IFRS</w:t>
      </w:r>
      <w:r w:rsidR="0082360B">
        <w:rPr>
          <w:lang w:val="en-GB"/>
        </w:rPr>
        <w:t>)</w:t>
      </w:r>
      <w:r w:rsidR="00E139C0" w:rsidRPr="00D272CC">
        <w:rPr>
          <w:lang w:val="en-GB"/>
        </w:rPr>
        <w:t xml:space="preserve"> allow choice on many policy topics; much more so than</w:t>
      </w:r>
      <w:r w:rsidR="00E84CB5" w:rsidRPr="00D272CC">
        <w:rPr>
          <w:lang w:val="en-GB"/>
        </w:rPr>
        <w:t xml:space="preserve"> do</w:t>
      </w:r>
      <w:r w:rsidR="00E139C0" w:rsidRPr="00D272CC">
        <w:rPr>
          <w:lang w:val="en-GB"/>
        </w:rPr>
        <w:t xml:space="preserve"> US</w:t>
      </w:r>
      <w:r w:rsidR="009E59C6" w:rsidRPr="00D272CC">
        <w:rPr>
          <w:lang w:val="en-GB"/>
        </w:rPr>
        <w:t xml:space="preserve"> Generally Accepted Accounting Principles (US GAAP)</w:t>
      </w:r>
      <w:r w:rsidR="001C5680">
        <w:rPr>
          <w:lang w:val="en-GB"/>
        </w:rPr>
        <w:t>, for example</w:t>
      </w:r>
      <w:r w:rsidR="00E139C0" w:rsidRPr="00D272CC">
        <w:rPr>
          <w:lang w:val="en-GB"/>
        </w:rPr>
        <w:t>.</w:t>
      </w:r>
      <w:r w:rsidR="00423252">
        <w:rPr>
          <w:rStyle w:val="FootnoteReference"/>
          <w:lang w:val="en-GB"/>
        </w:rPr>
        <w:footnoteReference w:id="1"/>
      </w:r>
      <w:r w:rsidR="00E139C0" w:rsidRPr="00D272CC">
        <w:rPr>
          <w:lang w:val="en-GB"/>
        </w:rPr>
        <w:t xml:space="preserve"> </w:t>
      </w:r>
      <w:r w:rsidR="0064216D" w:rsidRPr="00D272CC">
        <w:rPr>
          <w:lang w:val="en-GB"/>
        </w:rPr>
        <w:t>I</w:t>
      </w:r>
      <w:r w:rsidR="005B716A" w:rsidRPr="00D272CC">
        <w:rPr>
          <w:lang w:val="en-GB"/>
        </w:rPr>
        <w:t>f manage</w:t>
      </w:r>
      <w:r w:rsidR="007B30CC" w:rsidRPr="00D272CC">
        <w:rPr>
          <w:lang w:val="en-GB"/>
        </w:rPr>
        <w:t>rs</w:t>
      </w:r>
      <w:r w:rsidR="005B716A" w:rsidRPr="00D272CC">
        <w:rPr>
          <w:lang w:val="en-GB"/>
        </w:rPr>
        <w:t xml:space="preserve"> change a choice</w:t>
      </w:r>
      <w:r w:rsidR="00E84CB5" w:rsidRPr="00D272CC">
        <w:rPr>
          <w:lang w:val="en-GB"/>
        </w:rPr>
        <w:t>,</w:t>
      </w:r>
      <w:r w:rsidR="005B716A" w:rsidRPr="00D272CC">
        <w:rPr>
          <w:lang w:val="en-GB"/>
        </w:rPr>
        <w:t xml:space="preserve"> </w:t>
      </w:r>
      <w:r w:rsidR="007B30CC" w:rsidRPr="00D272CC">
        <w:rPr>
          <w:lang w:val="en-GB"/>
        </w:rPr>
        <w:t>they</w:t>
      </w:r>
      <w:r w:rsidR="005B716A" w:rsidRPr="00D272CC">
        <w:rPr>
          <w:lang w:val="en-GB"/>
        </w:rPr>
        <w:t xml:space="preserve"> </w:t>
      </w:r>
      <w:r w:rsidR="000F73C1" w:rsidRPr="00D272CC">
        <w:rPr>
          <w:lang w:val="en-GB"/>
        </w:rPr>
        <w:t>should</w:t>
      </w:r>
      <w:r w:rsidR="005B716A" w:rsidRPr="00D272CC">
        <w:rPr>
          <w:lang w:val="en-GB"/>
        </w:rPr>
        <w:t xml:space="preserve"> provide an expla</w:t>
      </w:r>
      <w:r w:rsidR="00002041" w:rsidRPr="00D272CC">
        <w:rPr>
          <w:lang w:val="en-GB"/>
        </w:rPr>
        <w:t>nation</w:t>
      </w:r>
      <w:r w:rsidR="000F73C1" w:rsidRPr="00D272CC">
        <w:rPr>
          <w:lang w:val="en-GB"/>
        </w:rPr>
        <w:t xml:space="preserve"> (IAS 8</w:t>
      </w:r>
      <w:r w:rsidR="00426912">
        <w:rPr>
          <w:lang w:val="en-GB"/>
        </w:rPr>
        <w:t>.</w:t>
      </w:r>
      <w:r w:rsidR="000F73C1" w:rsidRPr="00D272CC">
        <w:rPr>
          <w:lang w:val="en-GB"/>
        </w:rPr>
        <w:t xml:space="preserve">29 (b)). </w:t>
      </w:r>
      <w:r w:rsidR="00D22BDC" w:rsidRPr="00D272CC">
        <w:rPr>
          <w:lang w:val="en-GB"/>
        </w:rPr>
        <w:t>P</w:t>
      </w:r>
      <w:r w:rsidR="007B30CC" w:rsidRPr="00D272CC">
        <w:rPr>
          <w:lang w:val="en-GB"/>
        </w:rPr>
        <w:t xml:space="preserve">articular </w:t>
      </w:r>
      <w:r w:rsidR="00062AF8" w:rsidRPr="00D272CC">
        <w:rPr>
          <w:lang w:val="en-GB"/>
        </w:rPr>
        <w:t>QCs</w:t>
      </w:r>
      <w:r w:rsidR="005B716A" w:rsidRPr="00D272CC">
        <w:rPr>
          <w:lang w:val="en-GB"/>
        </w:rPr>
        <w:t xml:space="preserve"> are </w:t>
      </w:r>
      <w:r w:rsidR="000F73C1" w:rsidRPr="00D272CC">
        <w:rPr>
          <w:lang w:val="en-GB"/>
        </w:rPr>
        <w:t xml:space="preserve">often </w:t>
      </w:r>
      <w:r w:rsidR="005B716A" w:rsidRPr="00D272CC">
        <w:rPr>
          <w:lang w:val="en-GB"/>
        </w:rPr>
        <w:t xml:space="preserve">stated as reasons for </w:t>
      </w:r>
      <w:r w:rsidR="000F73C1" w:rsidRPr="00D272CC">
        <w:rPr>
          <w:lang w:val="en-GB"/>
        </w:rPr>
        <w:t xml:space="preserve">a </w:t>
      </w:r>
      <w:r w:rsidR="005B716A" w:rsidRPr="00D272CC">
        <w:rPr>
          <w:lang w:val="en-GB"/>
        </w:rPr>
        <w:t xml:space="preserve">policy change, which allows us empirically </w:t>
      </w:r>
      <w:r w:rsidR="000F73C1" w:rsidRPr="00D272CC">
        <w:rPr>
          <w:lang w:val="en-GB"/>
        </w:rPr>
        <w:t xml:space="preserve">to </w:t>
      </w:r>
      <w:r w:rsidR="005B716A" w:rsidRPr="00D272CC">
        <w:rPr>
          <w:lang w:val="en-GB"/>
        </w:rPr>
        <w:t>analy</w:t>
      </w:r>
      <w:r w:rsidR="00513BCF" w:rsidRPr="00D272CC">
        <w:rPr>
          <w:lang w:val="en-GB"/>
        </w:rPr>
        <w:t>s</w:t>
      </w:r>
      <w:r w:rsidR="005B716A" w:rsidRPr="00D272CC">
        <w:rPr>
          <w:lang w:val="en-GB"/>
        </w:rPr>
        <w:t>e them.</w:t>
      </w:r>
    </w:p>
    <w:p w14:paraId="512EB011" w14:textId="77777777" w:rsidR="005B716A" w:rsidRPr="00D272CC" w:rsidRDefault="008B3882" w:rsidP="00C206B9">
      <w:pPr>
        <w:rPr>
          <w:lang w:val="en-GB"/>
        </w:rPr>
      </w:pPr>
      <w:r w:rsidRPr="00D272CC">
        <w:rPr>
          <w:lang w:val="en-GB"/>
        </w:rPr>
        <w:t>We use the following terminology: a firm makes</w:t>
      </w:r>
      <w:r w:rsidR="004F2E0D" w:rsidRPr="00D272CC">
        <w:rPr>
          <w:lang w:val="en-GB"/>
        </w:rPr>
        <w:t xml:space="preserve"> a policy </w:t>
      </w:r>
      <w:r w:rsidR="004F2E0D" w:rsidRPr="00D272CC">
        <w:rPr>
          <w:i/>
          <w:lang w:val="en-GB"/>
        </w:rPr>
        <w:t>choice</w:t>
      </w:r>
      <w:r w:rsidR="004F2E0D" w:rsidRPr="00D272CC">
        <w:rPr>
          <w:lang w:val="en-GB"/>
        </w:rPr>
        <w:t xml:space="preserve"> by selecting an </w:t>
      </w:r>
      <w:r w:rsidR="004F2E0D" w:rsidRPr="00D272CC">
        <w:rPr>
          <w:i/>
          <w:lang w:val="en-GB"/>
        </w:rPr>
        <w:t>option</w:t>
      </w:r>
      <w:r w:rsidR="004F2E0D" w:rsidRPr="00D272CC">
        <w:rPr>
          <w:lang w:val="en-GB"/>
        </w:rPr>
        <w:t xml:space="preserve"> on a given </w:t>
      </w:r>
      <w:r w:rsidR="004F2E0D" w:rsidRPr="00D272CC">
        <w:rPr>
          <w:i/>
          <w:lang w:val="en-GB"/>
        </w:rPr>
        <w:t>topic</w:t>
      </w:r>
      <w:r w:rsidR="004F2E0D" w:rsidRPr="00D272CC">
        <w:rPr>
          <w:lang w:val="en-GB"/>
        </w:rPr>
        <w:t xml:space="preserve">; it makes </w:t>
      </w:r>
      <w:r w:rsidRPr="00D272CC">
        <w:rPr>
          <w:lang w:val="en-GB"/>
        </w:rPr>
        <w:t xml:space="preserve">a policy </w:t>
      </w:r>
      <w:r w:rsidRPr="00D272CC">
        <w:rPr>
          <w:i/>
          <w:lang w:val="en-GB"/>
        </w:rPr>
        <w:t>change</w:t>
      </w:r>
      <w:r w:rsidRPr="00D272CC">
        <w:rPr>
          <w:lang w:val="en-GB"/>
        </w:rPr>
        <w:t xml:space="preserve"> by selecting a different </w:t>
      </w:r>
      <w:r w:rsidRPr="000C43F3">
        <w:rPr>
          <w:lang w:val="en-GB"/>
        </w:rPr>
        <w:t>option</w:t>
      </w:r>
      <w:r w:rsidRPr="00D272CC">
        <w:rPr>
          <w:lang w:val="en-GB"/>
        </w:rPr>
        <w:t xml:space="preserve"> from </w:t>
      </w:r>
      <w:r w:rsidR="004F2E0D" w:rsidRPr="00D272CC">
        <w:rPr>
          <w:lang w:val="en-GB"/>
        </w:rPr>
        <w:t>that of the previous</w:t>
      </w:r>
      <w:r w:rsidRPr="00D272CC">
        <w:rPr>
          <w:lang w:val="en-GB"/>
        </w:rPr>
        <w:t xml:space="preserve"> year. An example of an IFRS policy topic is the presentation of operating flows in the cash flow statement; the available IFRS policy options are </w:t>
      </w:r>
      <w:r w:rsidR="00D83D10" w:rsidRPr="00D272CC">
        <w:rPr>
          <w:lang w:val="en-GB"/>
        </w:rPr>
        <w:t>the direct and indirect methods.</w:t>
      </w:r>
      <w:r w:rsidRPr="00D272CC">
        <w:rPr>
          <w:lang w:val="en-GB"/>
        </w:rPr>
        <w:t xml:space="preserve"> An </w:t>
      </w:r>
      <w:r w:rsidR="002C26CE" w:rsidRPr="00D272CC">
        <w:rPr>
          <w:i/>
          <w:lang w:val="en-GB"/>
        </w:rPr>
        <w:t>explanation</w:t>
      </w:r>
      <w:r w:rsidRPr="00D272CC">
        <w:rPr>
          <w:lang w:val="en-GB"/>
        </w:rPr>
        <w:t xml:space="preserve"> of a policy change is a statement in the annual report which provides one or more </w:t>
      </w:r>
      <w:r w:rsidR="002C26CE" w:rsidRPr="00D272CC">
        <w:rPr>
          <w:i/>
          <w:lang w:val="en-GB"/>
        </w:rPr>
        <w:t>reasons</w:t>
      </w:r>
      <w:r w:rsidRPr="00D272CC">
        <w:rPr>
          <w:lang w:val="en-GB"/>
        </w:rPr>
        <w:t xml:space="preserve"> for the change. Examples of reasons are improved understandability</w:t>
      </w:r>
      <w:r w:rsidR="003B5282" w:rsidRPr="00D272CC">
        <w:rPr>
          <w:lang w:val="en-GB"/>
        </w:rPr>
        <w:t xml:space="preserve"> and </w:t>
      </w:r>
      <w:r w:rsidR="006C579C" w:rsidRPr="00D272CC">
        <w:rPr>
          <w:lang w:val="en-GB"/>
        </w:rPr>
        <w:t>an allegedly beneficial</w:t>
      </w:r>
      <w:r w:rsidR="003B5282" w:rsidRPr="00D272CC">
        <w:rPr>
          <w:lang w:val="en-GB"/>
        </w:rPr>
        <w:t xml:space="preserve"> effect on </w:t>
      </w:r>
      <w:r w:rsidR="006C579C" w:rsidRPr="00D272CC">
        <w:rPr>
          <w:lang w:val="en-GB"/>
        </w:rPr>
        <w:t xml:space="preserve">the </w:t>
      </w:r>
      <w:r w:rsidR="003B5282" w:rsidRPr="00D272CC">
        <w:rPr>
          <w:lang w:val="en-GB"/>
        </w:rPr>
        <w:t>financial statements</w:t>
      </w:r>
      <w:r w:rsidRPr="00D272CC">
        <w:rPr>
          <w:lang w:val="en-GB"/>
        </w:rPr>
        <w:t xml:space="preserve"> </w:t>
      </w:r>
      <w:r w:rsidR="003B5282" w:rsidRPr="00D272CC">
        <w:rPr>
          <w:lang w:val="en-GB"/>
        </w:rPr>
        <w:t xml:space="preserve">(e.g. </w:t>
      </w:r>
      <w:r w:rsidR="00B96F82" w:rsidRPr="00D272CC">
        <w:rPr>
          <w:lang w:val="en-GB"/>
        </w:rPr>
        <w:t>reduc</w:t>
      </w:r>
      <w:r w:rsidR="00D83D10" w:rsidRPr="00D272CC">
        <w:rPr>
          <w:lang w:val="en-GB"/>
        </w:rPr>
        <w:t xml:space="preserve">ing </w:t>
      </w:r>
      <w:r w:rsidR="003B5282" w:rsidRPr="00D272CC">
        <w:rPr>
          <w:lang w:val="en-GB"/>
        </w:rPr>
        <w:t>volatility</w:t>
      </w:r>
      <w:r w:rsidR="004F2E0D" w:rsidRPr="00D272CC">
        <w:rPr>
          <w:lang w:val="en-GB"/>
        </w:rPr>
        <w:t xml:space="preserve"> of earnings</w:t>
      </w:r>
      <w:r w:rsidR="003B5282" w:rsidRPr="00D272CC">
        <w:rPr>
          <w:lang w:val="en-GB"/>
        </w:rPr>
        <w:t>).</w:t>
      </w:r>
      <w:r w:rsidRPr="00D272CC">
        <w:rPr>
          <w:lang w:val="en-GB"/>
        </w:rPr>
        <w:t xml:space="preserve"> </w:t>
      </w:r>
      <w:r w:rsidR="009537F1" w:rsidRPr="00D272CC">
        <w:rPr>
          <w:lang w:val="en-GB"/>
        </w:rPr>
        <w:t xml:space="preserve">Strictly speaking, </w:t>
      </w:r>
      <w:r w:rsidR="00002041" w:rsidRPr="00D272CC">
        <w:rPr>
          <w:lang w:val="en-GB"/>
        </w:rPr>
        <w:t xml:space="preserve">according to IAS 8, </w:t>
      </w:r>
      <w:r w:rsidR="009537F1" w:rsidRPr="00D272CC">
        <w:rPr>
          <w:lang w:val="en-GB"/>
        </w:rPr>
        <w:t>a reference to reliability or relevance is not</w:t>
      </w:r>
      <w:r w:rsidR="00002041" w:rsidRPr="00D272CC">
        <w:rPr>
          <w:lang w:val="en-GB"/>
        </w:rPr>
        <w:t xml:space="preserve"> a ‘reason’ </w:t>
      </w:r>
      <w:r w:rsidR="006C579C" w:rsidRPr="00D272CC">
        <w:rPr>
          <w:lang w:val="en-GB"/>
        </w:rPr>
        <w:t xml:space="preserve">for a policy change </w:t>
      </w:r>
      <w:r w:rsidR="00002041" w:rsidRPr="00D272CC">
        <w:rPr>
          <w:lang w:val="en-GB"/>
        </w:rPr>
        <w:t xml:space="preserve">because IAS 8 asks for </w:t>
      </w:r>
      <w:r w:rsidR="006C579C" w:rsidRPr="00D272CC">
        <w:rPr>
          <w:lang w:val="en-GB"/>
        </w:rPr>
        <w:t>the</w:t>
      </w:r>
      <w:r w:rsidR="00002041" w:rsidRPr="00D272CC">
        <w:rPr>
          <w:lang w:val="en-GB"/>
        </w:rPr>
        <w:t xml:space="preserve"> reason why the change provides ‘reliable and more relevant information’. We take account of this distinction</w:t>
      </w:r>
      <w:r w:rsidR="009866A3" w:rsidRPr="00D272CC">
        <w:rPr>
          <w:lang w:val="en-GB"/>
        </w:rPr>
        <w:t xml:space="preserve"> but our main analys</w:t>
      </w:r>
      <w:r w:rsidR="00E70866" w:rsidRPr="00D272CC">
        <w:rPr>
          <w:lang w:val="en-GB"/>
        </w:rPr>
        <w:t>es treat</w:t>
      </w:r>
      <w:r w:rsidR="009866A3" w:rsidRPr="00D272CC">
        <w:rPr>
          <w:lang w:val="en-GB"/>
        </w:rPr>
        <w:t xml:space="preserve"> reliability and relevance as reasons because we are interested in any reference to </w:t>
      </w:r>
      <w:r w:rsidR="00062AF8" w:rsidRPr="00D272CC">
        <w:rPr>
          <w:lang w:val="en-GB"/>
        </w:rPr>
        <w:t>QCs</w:t>
      </w:r>
      <w:r w:rsidR="00002041" w:rsidRPr="00D272CC">
        <w:rPr>
          <w:lang w:val="en-GB"/>
        </w:rPr>
        <w:t>.</w:t>
      </w:r>
      <w:r w:rsidR="00E139C0" w:rsidRPr="00D272CC">
        <w:rPr>
          <w:lang w:val="en-GB"/>
        </w:rPr>
        <w:t xml:space="preserve"> We acknowledge that we are studying </w:t>
      </w:r>
      <w:r w:rsidR="00E139C0" w:rsidRPr="00D272CC">
        <w:rPr>
          <w:i/>
          <w:lang w:val="en-GB"/>
        </w:rPr>
        <w:t>stated</w:t>
      </w:r>
      <w:r w:rsidR="00E139C0" w:rsidRPr="00D272CC">
        <w:rPr>
          <w:lang w:val="en-GB"/>
        </w:rPr>
        <w:t xml:space="preserve"> reasons which may differ from the real reasons, and we return to that point in our conclusions.</w:t>
      </w:r>
    </w:p>
    <w:p w14:paraId="0725677A" w14:textId="77777777" w:rsidR="009E6EA9" w:rsidRDefault="002864CE" w:rsidP="00C206B9">
      <w:pPr>
        <w:rPr>
          <w:lang w:val="en-GB"/>
        </w:rPr>
      </w:pPr>
      <w:r w:rsidRPr="00D272CC">
        <w:rPr>
          <w:lang w:val="en-GB"/>
        </w:rPr>
        <w:t>The source of our data is</w:t>
      </w:r>
      <w:r w:rsidR="00736ED1" w:rsidRPr="00D272CC">
        <w:rPr>
          <w:lang w:val="en-GB"/>
        </w:rPr>
        <w:t xml:space="preserve"> 4</w:t>
      </w:r>
      <w:r w:rsidR="000905EA" w:rsidRPr="00D272CC">
        <w:rPr>
          <w:lang w:val="en-GB"/>
        </w:rPr>
        <w:t>0</w:t>
      </w:r>
      <w:r w:rsidR="00736ED1" w:rsidRPr="00D272CC">
        <w:rPr>
          <w:lang w:val="en-GB"/>
        </w:rPr>
        <w:t>,</w:t>
      </w:r>
      <w:r w:rsidR="007E745D" w:rsidRPr="00D272CC">
        <w:rPr>
          <w:lang w:val="en-GB"/>
        </w:rPr>
        <w:t>8</w:t>
      </w:r>
      <w:r w:rsidR="000905EA" w:rsidRPr="00D272CC">
        <w:rPr>
          <w:lang w:val="en-GB"/>
        </w:rPr>
        <w:t>95</w:t>
      </w:r>
      <w:r w:rsidR="00736ED1" w:rsidRPr="00D272CC">
        <w:rPr>
          <w:lang w:val="en-GB"/>
        </w:rPr>
        <w:t xml:space="preserve"> hand-collected IFRS policy choices</w:t>
      </w:r>
      <w:r w:rsidR="008A3AEF" w:rsidRPr="00D272CC">
        <w:rPr>
          <w:lang w:val="en-GB"/>
        </w:rPr>
        <w:t xml:space="preserve"> on 16 topics</w:t>
      </w:r>
      <w:r w:rsidRPr="00D272CC">
        <w:rPr>
          <w:lang w:val="en-GB"/>
        </w:rPr>
        <w:t>,</w:t>
      </w:r>
      <w:r w:rsidR="00736ED1" w:rsidRPr="00D272CC">
        <w:rPr>
          <w:lang w:val="en-GB"/>
        </w:rPr>
        <w:t xml:space="preserve"> </w:t>
      </w:r>
      <w:r w:rsidRPr="00D272CC">
        <w:rPr>
          <w:lang w:val="en-GB"/>
        </w:rPr>
        <w:t>as found in</w:t>
      </w:r>
      <w:r w:rsidR="004F2E0D" w:rsidRPr="00D272CC">
        <w:rPr>
          <w:lang w:val="en-GB"/>
        </w:rPr>
        <w:t xml:space="preserve"> the </w:t>
      </w:r>
      <w:r w:rsidRPr="00D272CC">
        <w:rPr>
          <w:lang w:val="en-GB"/>
        </w:rPr>
        <w:t xml:space="preserve">2005–2011 </w:t>
      </w:r>
      <w:r w:rsidR="004F2E0D" w:rsidRPr="00D272CC">
        <w:rPr>
          <w:lang w:val="en-GB"/>
        </w:rPr>
        <w:t xml:space="preserve">financial statements </w:t>
      </w:r>
      <w:r w:rsidR="00736ED1" w:rsidRPr="00D272CC">
        <w:rPr>
          <w:lang w:val="en-GB"/>
        </w:rPr>
        <w:t>of 5</w:t>
      </w:r>
      <w:r w:rsidR="002224A4" w:rsidRPr="00D272CC">
        <w:rPr>
          <w:lang w:val="en-GB"/>
        </w:rPr>
        <w:t>14</w:t>
      </w:r>
      <w:r w:rsidR="00736ED1" w:rsidRPr="00D272CC">
        <w:rPr>
          <w:lang w:val="en-GB"/>
        </w:rPr>
        <w:t xml:space="preserve"> firms from 10 </w:t>
      </w:r>
      <w:r w:rsidR="00386416">
        <w:rPr>
          <w:lang w:val="en-GB"/>
        </w:rPr>
        <w:t>jurisdictions</w:t>
      </w:r>
      <w:r w:rsidR="00856F55">
        <w:rPr>
          <w:lang w:val="en-GB"/>
        </w:rPr>
        <w:t xml:space="preserve"> (hereafter</w:t>
      </w:r>
      <w:r w:rsidR="00550644">
        <w:rPr>
          <w:lang w:val="en-GB"/>
        </w:rPr>
        <w:t>,</w:t>
      </w:r>
      <w:r w:rsidR="00856F55">
        <w:rPr>
          <w:lang w:val="en-GB"/>
        </w:rPr>
        <w:t xml:space="preserve"> ‘countries’).</w:t>
      </w:r>
      <w:r w:rsidR="00386416">
        <w:rPr>
          <w:rStyle w:val="FootnoteReference"/>
          <w:lang w:val="en-GB"/>
        </w:rPr>
        <w:footnoteReference w:id="2"/>
      </w:r>
      <w:r w:rsidR="003E7001">
        <w:rPr>
          <w:lang w:val="en-GB"/>
        </w:rPr>
        <w:t xml:space="preserve"> </w:t>
      </w:r>
      <w:r w:rsidR="004C7934" w:rsidRPr="00D272CC">
        <w:rPr>
          <w:lang w:val="en-GB"/>
        </w:rPr>
        <w:t>From these policy choices, we</w:t>
      </w:r>
      <w:r w:rsidR="004267C2" w:rsidRPr="00D272CC">
        <w:rPr>
          <w:lang w:val="en-GB"/>
        </w:rPr>
        <w:t xml:space="preserve"> </w:t>
      </w:r>
      <w:r w:rsidR="00736ED1" w:rsidRPr="00D272CC">
        <w:rPr>
          <w:lang w:val="en-GB"/>
        </w:rPr>
        <w:t>identify</w:t>
      </w:r>
      <w:r w:rsidR="00666532" w:rsidRPr="00D272CC">
        <w:rPr>
          <w:lang w:val="en-GB"/>
        </w:rPr>
        <w:t xml:space="preserve"> </w:t>
      </w:r>
      <w:r w:rsidR="008A3AEF" w:rsidRPr="00D272CC">
        <w:rPr>
          <w:lang w:val="en-GB"/>
        </w:rPr>
        <w:t xml:space="preserve">434 </w:t>
      </w:r>
      <w:r w:rsidR="00736ED1" w:rsidRPr="00D272CC">
        <w:rPr>
          <w:lang w:val="en-GB"/>
        </w:rPr>
        <w:t>policy changes</w:t>
      </w:r>
      <w:r w:rsidR="004C7934" w:rsidRPr="00D272CC">
        <w:rPr>
          <w:lang w:val="en-GB"/>
        </w:rPr>
        <w:t>. Of these,</w:t>
      </w:r>
      <w:r w:rsidR="00736ED1" w:rsidRPr="00D272CC">
        <w:rPr>
          <w:lang w:val="en-GB"/>
        </w:rPr>
        <w:t xml:space="preserve"> </w:t>
      </w:r>
      <w:r w:rsidR="00666532" w:rsidRPr="00D272CC">
        <w:rPr>
          <w:lang w:val="en-GB"/>
        </w:rPr>
        <w:t>14</w:t>
      </w:r>
      <w:r w:rsidR="00FB7BAC" w:rsidRPr="00D272CC">
        <w:rPr>
          <w:lang w:val="en-GB"/>
        </w:rPr>
        <w:t>7</w:t>
      </w:r>
      <w:r w:rsidR="00666532" w:rsidRPr="00D272CC">
        <w:rPr>
          <w:lang w:val="en-GB"/>
        </w:rPr>
        <w:t xml:space="preserve"> </w:t>
      </w:r>
      <w:r w:rsidR="004C7934" w:rsidRPr="00D272CC">
        <w:rPr>
          <w:lang w:val="en-GB"/>
        </w:rPr>
        <w:t xml:space="preserve">are </w:t>
      </w:r>
      <w:r w:rsidR="00736ED1" w:rsidRPr="00D272CC">
        <w:rPr>
          <w:lang w:val="en-GB"/>
        </w:rPr>
        <w:t>expla</w:t>
      </w:r>
      <w:r w:rsidR="004C7934" w:rsidRPr="00D272CC">
        <w:rPr>
          <w:lang w:val="en-GB"/>
        </w:rPr>
        <w:t>i</w:t>
      </w:r>
      <w:r w:rsidR="00736ED1" w:rsidRPr="00D272CC">
        <w:rPr>
          <w:lang w:val="en-GB"/>
        </w:rPr>
        <w:t>n</w:t>
      </w:r>
      <w:r w:rsidR="004C7934" w:rsidRPr="00D272CC">
        <w:rPr>
          <w:lang w:val="en-GB"/>
        </w:rPr>
        <w:t>ed</w:t>
      </w:r>
      <w:r w:rsidR="006C579C" w:rsidRPr="00D272CC">
        <w:rPr>
          <w:lang w:val="en-GB"/>
        </w:rPr>
        <w:t xml:space="preserve"> with one or more reason</w:t>
      </w:r>
      <w:r w:rsidR="00666532" w:rsidRPr="00D272CC">
        <w:rPr>
          <w:lang w:val="en-GB"/>
        </w:rPr>
        <w:t xml:space="preserve">, </w:t>
      </w:r>
      <w:r w:rsidR="00736ED1" w:rsidRPr="00D272CC">
        <w:rPr>
          <w:lang w:val="en-GB"/>
        </w:rPr>
        <w:t xml:space="preserve">and </w:t>
      </w:r>
      <w:r w:rsidR="004C7934" w:rsidRPr="00D272CC">
        <w:rPr>
          <w:lang w:val="en-GB"/>
        </w:rPr>
        <w:t xml:space="preserve">this </w:t>
      </w:r>
      <w:r w:rsidR="00736ED1" w:rsidRPr="00D272CC">
        <w:rPr>
          <w:lang w:val="en-GB"/>
        </w:rPr>
        <w:t>provide</w:t>
      </w:r>
      <w:r w:rsidR="004C7934" w:rsidRPr="00D272CC">
        <w:rPr>
          <w:lang w:val="en-GB"/>
        </w:rPr>
        <w:t>s</w:t>
      </w:r>
      <w:r w:rsidR="00736ED1" w:rsidRPr="00D272CC">
        <w:rPr>
          <w:lang w:val="en-GB"/>
        </w:rPr>
        <w:t xml:space="preserve"> </w:t>
      </w:r>
      <w:r w:rsidR="004C7934" w:rsidRPr="00D272CC">
        <w:rPr>
          <w:lang w:val="en-GB"/>
        </w:rPr>
        <w:t xml:space="preserve">our </w:t>
      </w:r>
      <w:r w:rsidR="00736ED1" w:rsidRPr="00D272CC">
        <w:rPr>
          <w:lang w:val="en-GB"/>
        </w:rPr>
        <w:t xml:space="preserve">evidence </w:t>
      </w:r>
      <w:r w:rsidR="000F73C1" w:rsidRPr="00D272CC">
        <w:rPr>
          <w:lang w:val="en-GB"/>
        </w:rPr>
        <w:t>about</w:t>
      </w:r>
      <w:r w:rsidR="00736ED1" w:rsidRPr="00D272CC">
        <w:rPr>
          <w:lang w:val="en-GB"/>
        </w:rPr>
        <w:t xml:space="preserve"> the reasons </w:t>
      </w:r>
      <w:r w:rsidR="00B41672" w:rsidRPr="00D272CC">
        <w:rPr>
          <w:lang w:val="en-GB"/>
        </w:rPr>
        <w:t>given when</w:t>
      </w:r>
      <w:r w:rsidR="00736ED1" w:rsidRPr="00D272CC">
        <w:rPr>
          <w:lang w:val="en-GB"/>
        </w:rPr>
        <w:t xml:space="preserve"> </w:t>
      </w:r>
      <w:r w:rsidR="000F73C1" w:rsidRPr="00D272CC">
        <w:rPr>
          <w:lang w:val="en-GB"/>
        </w:rPr>
        <w:t>firms</w:t>
      </w:r>
      <w:r w:rsidR="00736ED1" w:rsidRPr="00D272CC">
        <w:rPr>
          <w:lang w:val="en-GB"/>
        </w:rPr>
        <w:t xml:space="preserve"> make policy changes. </w:t>
      </w:r>
      <w:r w:rsidR="00067657">
        <w:rPr>
          <w:lang w:val="en-GB"/>
        </w:rPr>
        <w:t xml:space="preserve">We </w:t>
      </w:r>
      <w:r w:rsidR="009E6EA9">
        <w:rPr>
          <w:lang w:val="en-GB"/>
        </w:rPr>
        <w:t>discuss</w:t>
      </w:r>
      <w:r w:rsidR="00130F9E">
        <w:rPr>
          <w:lang w:val="en-GB"/>
        </w:rPr>
        <w:t xml:space="preserve"> later whether this</w:t>
      </w:r>
      <w:r w:rsidR="009E6EA9">
        <w:rPr>
          <w:lang w:val="en-GB"/>
        </w:rPr>
        <w:t xml:space="preserve"> implie</w:t>
      </w:r>
      <w:r w:rsidR="00130F9E">
        <w:rPr>
          <w:lang w:val="en-GB"/>
        </w:rPr>
        <w:t>s</w:t>
      </w:r>
      <w:r w:rsidR="009E6EA9">
        <w:rPr>
          <w:lang w:val="en-GB"/>
        </w:rPr>
        <w:t xml:space="preserve"> non-compliance.</w:t>
      </w:r>
    </w:p>
    <w:p w14:paraId="40FF6AFE" w14:textId="77777777" w:rsidR="00736ED1" w:rsidRPr="00D272CC" w:rsidRDefault="00DD4760" w:rsidP="00C206B9">
      <w:pPr>
        <w:rPr>
          <w:lang w:val="en-GB"/>
        </w:rPr>
      </w:pPr>
      <w:r>
        <w:rPr>
          <w:lang w:val="en-GB"/>
        </w:rPr>
        <w:t xml:space="preserve">As some of the explanations contain more than one reason, there </w:t>
      </w:r>
      <w:r w:rsidR="00175C99">
        <w:rPr>
          <w:lang w:val="en-GB"/>
        </w:rPr>
        <w:t xml:space="preserve">are </w:t>
      </w:r>
      <w:r>
        <w:rPr>
          <w:lang w:val="en-GB"/>
        </w:rPr>
        <w:t xml:space="preserve">204 </w:t>
      </w:r>
      <w:r w:rsidRPr="00D272CC">
        <w:rPr>
          <w:lang w:val="en-GB"/>
        </w:rPr>
        <w:t xml:space="preserve">reasons </w:t>
      </w:r>
      <w:r>
        <w:rPr>
          <w:lang w:val="en-GB"/>
        </w:rPr>
        <w:t xml:space="preserve">in all. </w:t>
      </w:r>
      <w:r w:rsidR="007E745D" w:rsidRPr="00D272CC">
        <w:rPr>
          <w:lang w:val="en-GB"/>
        </w:rPr>
        <w:t>More than half</w:t>
      </w:r>
      <w:r w:rsidR="00736ED1" w:rsidRPr="00D272CC">
        <w:rPr>
          <w:lang w:val="en-GB"/>
        </w:rPr>
        <w:t xml:space="preserve"> of the</w:t>
      </w:r>
      <w:r>
        <w:rPr>
          <w:lang w:val="en-GB"/>
        </w:rPr>
        <w:t>se</w:t>
      </w:r>
      <w:r w:rsidR="00736ED1" w:rsidRPr="00D272CC">
        <w:rPr>
          <w:lang w:val="en-GB"/>
        </w:rPr>
        <w:t xml:space="preserve"> refer to </w:t>
      </w:r>
      <w:r w:rsidR="00062AF8" w:rsidRPr="00D272CC">
        <w:rPr>
          <w:lang w:val="en-GB"/>
        </w:rPr>
        <w:t>QCs</w:t>
      </w:r>
      <w:r w:rsidR="00FC2A32" w:rsidRPr="00D272CC">
        <w:rPr>
          <w:lang w:val="en-GB"/>
        </w:rPr>
        <w:t xml:space="preserve"> from the </w:t>
      </w:r>
      <w:r w:rsidR="00FC2A32" w:rsidRPr="00D272CC">
        <w:rPr>
          <w:i/>
          <w:lang w:val="en-GB"/>
        </w:rPr>
        <w:t>F</w:t>
      </w:r>
      <w:r w:rsidR="00736ED1" w:rsidRPr="00D272CC">
        <w:rPr>
          <w:i/>
          <w:lang w:val="en-GB"/>
        </w:rPr>
        <w:t>ramework</w:t>
      </w:r>
      <w:r w:rsidR="00736ED1" w:rsidRPr="00D272CC">
        <w:rPr>
          <w:lang w:val="en-GB"/>
        </w:rPr>
        <w:t xml:space="preserve">, in particular to relevance, </w:t>
      </w:r>
      <w:r w:rsidR="007E745D" w:rsidRPr="00D272CC">
        <w:rPr>
          <w:lang w:val="en-GB"/>
        </w:rPr>
        <w:t xml:space="preserve">faithful representation, </w:t>
      </w:r>
      <w:r w:rsidR="00736ED1" w:rsidRPr="00D272CC">
        <w:rPr>
          <w:lang w:val="en-GB"/>
        </w:rPr>
        <w:t>comparability and understandability.</w:t>
      </w:r>
      <w:r w:rsidR="00A51E4B" w:rsidRPr="00D272CC">
        <w:rPr>
          <w:lang w:val="en-GB"/>
        </w:rPr>
        <w:t xml:space="preserve"> Firms also frequently refer to transparency</w:t>
      </w:r>
      <w:r w:rsidR="00F92B27">
        <w:rPr>
          <w:lang w:val="en-GB"/>
        </w:rPr>
        <w:t xml:space="preserve"> </w:t>
      </w:r>
      <w:r w:rsidR="00F92B27" w:rsidRPr="00D272CC">
        <w:rPr>
          <w:lang w:val="en-GB"/>
        </w:rPr>
        <w:t>(Barth and Schipper 2008)</w:t>
      </w:r>
      <w:r w:rsidR="00A51E4B" w:rsidRPr="00D272CC">
        <w:rPr>
          <w:lang w:val="en-GB"/>
        </w:rPr>
        <w:t xml:space="preserve">, which is not directly mentioned in </w:t>
      </w:r>
      <w:r w:rsidR="00240A56">
        <w:rPr>
          <w:lang w:val="en-GB"/>
        </w:rPr>
        <w:t xml:space="preserve">either version of </w:t>
      </w:r>
      <w:r w:rsidR="00A51E4B" w:rsidRPr="00D272CC">
        <w:rPr>
          <w:lang w:val="en-GB"/>
        </w:rPr>
        <w:t xml:space="preserve">the </w:t>
      </w:r>
      <w:r w:rsidR="00A51E4B" w:rsidRPr="00D272CC">
        <w:rPr>
          <w:i/>
          <w:lang w:val="en-GB"/>
        </w:rPr>
        <w:t>Framework</w:t>
      </w:r>
      <w:r w:rsidR="00A51E4B" w:rsidRPr="00D272CC">
        <w:rPr>
          <w:lang w:val="en-GB"/>
        </w:rPr>
        <w:t>.</w:t>
      </w:r>
      <w:r w:rsidR="00736ED1" w:rsidRPr="00D272CC">
        <w:rPr>
          <w:lang w:val="en-GB"/>
        </w:rPr>
        <w:t xml:space="preserve"> </w:t>
      </w:r>
      <w:r w:rsidR="00973B5F" w:rsidRPr="00D272CC">
        <w:rPr>
          <w:lang w:val="en-GB"/>
        </w:rPr>
        <w:t>W</w:t>
      </w:r>
      <w:r w:rsidR="00736ED1" w:rsidRPr="00D272CC">
        <w:rPr>
          <w:lang w:val="en-GB"/>
        </w:rPr>
        <w:t xml:space="preserve">e </w:t>
      </w:r>
      <w:r w:rsidR="00973B5F" w:rsidRPr="00D272CC">
        <w:rPr>
          <w:lang w:val="en-GB"/>
        </w:rPr>
        <w:t xml:space="preserve">then </w:t>
      </w:r>
      <w:r w:rsidR="00736ED1" w:rsidRPr="00D272CC">
        <w:rPr>
          <w:lang w:val="en-GB"/>
        </w:rPr>
        <w:t>analy</w:t>
      </w:r>
      <w:r w:rsidR="00D63C8C" w:rsidRPr="00D272CC">
        <w:rPr>
          <w:lang w:val="en-GB"/>
        </w:rPr>
        <w:t>s</w:t>
      </w:r>
      <w:r w:rsidR="00736ED1" w:rsidRPr="00D272CC">
        <w:rPr>
          <w:lang w:val="en-GB"/>
        </w:rPr>
        <w:t xml:space="preserve">e </w:t>
      </w:r>
      <w:r w:rsidR="00841485">
        <w:rPr>
          <w:lang w:val="en-GB"/>
        </w:rPr>
        <w:t>the circumstances under which</w:t>
      </w:r>
      <w:r w:rsidR="000F73C1" w:rsidRPr="00D272CC">
        <w:rPr>
          <w:lang w:val="en-GB"/>
        </w:rPr>
        <w:t xml:space="preserve"> </w:t>
      </w:r>
      <w:r w:rsidR="00736ED1" w:rsidRPr="00D272CC">
        <w:rPr>
          <w:lang w:val="en-GB"/>
        </w:rPr>
        <w:t xml:space="preserve">firms make policy changes </w:t>
      </w:r>
      <w:r w:rsidR="004267C2" w:rsidRPr="00D272CC">
        <w:rPr>
          <w:lang w:val="en-GB"/>
        </w:rPr>
        <w:t xml:space="preserve">for </w:t>
      </w:r>
      <w:r w:rsidR="00736ED1" w:rsidRPr="00D272CC">
        <w:rPr>
          <w:lang w:val="en-GB"/>
        </w:rPr>
        <w:t>which they claim improved qualit</w:t>
      </w:r>
      <w:r w:rsidR="004267C2" w:rsidRPr="00D272CC">
        <w:rPr>
          <w:lang w:val="en-GB"/>
        </w:rPr>
        <w:t>y</w:t>
      </w:r>
      <w:r w:rsidR="00736ED1" w:rsidRPr="00D272CC">
        <w:rPr>
          <w:lang w:val="en-GB"/>
        </w:rPr>
        <w:t xml:space="preserve">. </w:t>
      </w:r>
      <w:r w:rsidR="004267C2" w:rsidRPr="00D272CC">
        <w:rPr>
          <w:lang w:val="en-GB"/>
        </w:rPr>
        <w:t>We</w:t>
      </w:r>
      <w:r w:rsidR="000F5237" w:rsidRPr="00D272CC">
        <w:rPr>
          <w:lang w:val="en-GB"/>
        </w:rPr>
        <w:t xml:space="preserve"> hypothesise and</w:t>
      </w:r>
      <w:r w:rsidR="004267C2" w:rsidRPr="00D272CC">
        <w:rPr>
          <w:lang w:val="en-GB"/>
        </w:rPr>
        <w:t xml:space="preserve"> find that </w:t>
      </w:r>
      <w:r w:rsidR="00062AF8" w:rsidRPr="00D272CC">
        <w:rPr>
          <w:lang w:val="en-GB"/>
        </w:rPr>
        <w:t>QCs</w:t>
      </w:r>
      <w:r w:rsidR="004267C2" w:rsidRPr="00D272CC">
        <w:rPr>
          <w:lang w:val="en-GB"/>
        </w:rPr>
        <w:t xml:space="preserve"> are more often stated if the change relates to measurement. </w:t>
      </w:r>
      <w:r w:rsidR="00B96566">
        <w:rPr>
          <w:lang w:val="en-GB"/>
        </w:rPr>
        <w:t xml:space="preserve">We also find that references to QCs are positively associated both with firm size and with a measure of a </w:t>
      </w:r>
      <w:r w:rsidR="00F05EED">
        <w:rPr>
          <w:lang w:val="en-GB"/>
        </w:rPr>
        <w:t>country</w:t>
      </w:r>
      <w:r w:rsidR="00B96566">
        <w:rPr>
          <w:lang w:val="en-GB"/>
        </w:rPr>
        <w:t xml:space="preserve">’s transparency. </w:t>
      </w:r>
      <w:r w:rsidR="00D36997">
        <w:rPr>
          <w:lang w:val="en-GB"/>
        </w:rPr>
        <w:t>However, d</w:t>
      </w:r>
      <w:r w:rsidR="00A1694E" w:rsidRPr="00D272CC">
        <w:rPr>
          <w:lang w:val="en-GB"/>
        </w:rPr>
        <w:t>espite findings in the literature that firms from common law countries exhibit higher accounting quality than firms from code law countries (</w:t>
      </w:r>
      <w:r w:rsidR="00275357" w:rsidRPr="00D272CC">
        <w:rPr>
          <w:lang w:val="en-GB"/>
        </w:rPr>
        <w:t>e.g. Ball et al. 2000</w:t>
      </w:r>
      <w:r w:rsidR="00DF3905">
        <w:rPr>
          <w:lang w:val="en-GB"/>
        </w:rPr>
        <w:t>, Ball 2006</w:t>
      </w:r>
      <w:r w:rsidR="00A1694E" w:rsidRPr="00D272CC">
        <w:rPr>
          <w:lang w:val="en-GB"/>
        </w:rPr>
        <w:t xml:space="preserve">), our results do not </w:t>
      </w:r>
      <w:r w:rsidR="00521C2D">
        <w:rPr>
          <w:lang w:val="en-GB"/>
        </w:rPr>
        <w:t>indicate</w:t>
      </w:r>
      <w:r w:rsidR="00A1694E" w:rsidRPr="00D272CC">
        <w:rPr>
          <w:lang w:val="en-GB"/>
        </w:rPr>
        <w:t xml:space="preserve"> that firms from common law countries claim more frequently that their changes improve quality.</w:t>
      </w:r>
    </w:p>
    <w:p w14:paraId="21B86A8B" w14:textId="77777777" w:rsidR="002F03C4" w:rsidRPr="00D272CC" w:rsidRDefault="00FC2A32" w:rsidP="00A9762C">
      <w:pPr>
        <w:rPr>
          <w:lang w:val="en-GB"/>
        </w:rPr>
      </w:pPr>
      <w:r w:rsidRPr="00D272CC">
        <w:rPr>
          <w:lang w:val="en-GB"/>
        </w:rPr>
        <w:t xml:space="preserve">This paper contributes to the literature in several ways. First, and most importantly, it is the first to provide </w:t>
      </w:r>
      <w:r w:rsidRPr="00D272CC">
        <w:rPr>
          <w:i/>
          <w:lang w:val="en-GB"/>
        </w:rPr>
        <w:t>direct</w:t>
      </w:r>
      <w:r w:rsidRPr="00D272CC">
        <w:rPr>
          <w:lang w:val="en-GB"/>
        </w:rPr>
        <w:t xml:space="preserve"> empirical evidence on the role</w:t>
      </w:r>
      <w:r w:rsidR="000F73C1" w:rsidRPr="00D272CC">
        <w:rPr>
          <w:lang w:val="en-GB"/>
        </w:rPr>
        <w:t xml:space="preserve"> and </w:t>
      </w:r>
      <w:r w:rsidRPr="00D272CC">
        <w:rPr>
          <w:lang w:val="en-GB"/>
        </w:rPr>
        <w:t xml:space="preserve">importance of </w:t>
      </w:r>
      <w:r w:rsidR="000F73C1" w:rsidRPr="00D272CC">
        <w:rPr>
          <w:lang w:val="en-GB"/>
        </w:rPr>
        <w:t xml:space="preserve">the </w:t>
      </w:r>
      <w:r w:rsidR="00062AF8" w:rsidRPr="00D272CC">
        <w:rPr>
          <w:lang w:val="en-GB"/>
        </w:rPr>
        <w:t>QCs</w:t>
      </w:r>
      <w:r w:rsidRPr="00D272CC">
        <w:rPr>
          <w:lang w:val="en-GB"/>
        </w:rPr>
        <w:t xml:space="preserve"> of financial information </w:t>
      </w:r>
      <w:r w:rsidR="000F73C1" w:rsidRPr="00D272CC">
        <w:rPr>
          <w:lang w:val="en-GB"/>
        </w:rPr>
        <w:t>in</w:t>
      </w:r>
      <w:r w:rsidRPr="00D272CC">
        <w:rPr>
          <w:lang w:val="en-GB"/>
        </w:rPr>
        <w:t xml:space="preserve"> managements’ accounting decisions.</w:t>
      </w:r>
      <w:r w:rsidR="00453003" w:rsidRPr="00D272CC">
        <w:rPr>
          <w:lang w:val="en-GB"/>
        </w:rPr>
        <w:t xml:space="preserve"> Instead of using empirical proxies for QC</w:t>
      </w:r>
      <w:r w:rsidR="00062AF8" w:rsidRPr="00D272CC">
        <w:rPr>
          <w:lang w:val="en-GB"/>
        </w:rPr>
        <w:t>s</w:t>
      </w:r>
      <w:r w:rsidR="00E935FD" w:rsidRPr="00D272CC">
        <w:rPr>
          <w:lang w:val="en-GB"/>
        </w:rPr>
        <w:t xml:space="preserve"> based on the perspective of researchers</w:t>
      </w:r>
      <w:r w:rsidR="00453003" w:rsidRPr="00D272CC">
        <w:rPr>
          <w:lang w:val="en-GB"/>
        </w:rPr>
        <w:t xml:space="preserve">, the data used </w:t>
      </w:r>
      <w:r w:rsidR="00E935FD" w:rsidRPr="00D272CC">
        <w:rPr>
          <w:lang w:val="en-GB"/>
        </w:rPr>
        <w:t xml:space="preserve">are </w:t>
      </w:r>
      <w:r w:rsidR="00D36997">
        <w:rPr>
          <w:lang w:val="en-GB"/>
        </w:rPr>
        <w:t xml:space="preserve">the </w:t>
      </w:r>
      <w:r w:rsidR="00E935FD" w:rsidRPr="00D272CC">
        <w:rPr>
          <w:lang w:val="en-GB"/>
        </w:rPr>
        <w:t xml:space="preserve">publicly disclosed reasons </w:t>
      </w:r>
      <w:r w:rsidR="00D36997">
        <w:rPr>
          <w:lang w:val="en-GB"/>
        </w:rPr>
        <w:t xml:space="preserve">given for </w:t>
      </w:r>
      <w:r w:rsidR="00E935FD" w:rsidRPr="00D272CC">
        <w:rPr>
          <w:lang w:val="en-GB"/>
        </w:rPr>
        <w:t>managers’ decisions.</w:t>
      </w:r>
      <w:r w:rsidRPr="00D272CC">
        <w:rPr>
          <w:lang w:val="en-GB"/>
        </w:rPr>
        <w:t xml:space="preserve"> </w:t>
      </w:r>
      <w:r w:rsidR="00E935FD" w:rsidRPr="00D272CC">
        <w:rPr>
          <w:lang w:val="en-GB"/>
        </w:rPr>
        <w:t>The paper</w:t>
      </w:r>
      <w:r w:rsidR="0035782B" w:rsidRPr="00D272CC">
        <w:rPr>
          <w:lang w:val="en-GB"/>
        </w:rPr>
        <w:t xml:space="preserve"> therefore</w:t>
      </w:r>
      <w:r w:rsidRPr="00D272CC">
        <w:rPr>
          <w:lang w:val="en-GB"/>
        </w:rPr>
        <w:t xml:space="preserve"> </w:t>
      </w:r>
      <w:r w:rsidR="00A8728D">
        <w:rPr>
          <w:lang w:val="en-GB"/>
        </w:rPr>
        <w:t xml:space="preserve">provides evidence on </w:t>
      </w:r>
      <w:r w:rsidR="00BD599B">
        <w:rPr>
          <w:lang w:val="en-GB"/>
        </w:rPr>
        <w:t xml:space="preserve">how </w:t>
      </w:r>
      <w:r w:rsidR="00A8728D">
        <w:rPr>
          <w:lang w:val="en-GB"/>
        </w:rPr>
        <w:t>QCs</w:t>
      </w:r>
      <w:r w:rsidR="00BD599B">
        <w:rPr>
          <w:lang w:val="en-GB"/>
        </w:rPr>
        <w:t xml:space="preserve"> are used</w:t>
      </w:r>
      <w:r w:rsidR="00A8728D">
        <w:rPr>
          <w:lang w:val="en-GB"/>
        </w:rPr>
        <w:t xml:space="preserve"> in a real context. It </w:t>
      </w:r>
      <w:r w:rsidRPr="00D272CC">
        <w:rPr>
          <w:lang w:val="en-GB"/>
        </w:rPr>
        <w:t xml:space="preserve">complements prior research </w:t>
      </w:r>
      <w:r w:rsidR="00935F81">
        <w:rPr>
          <w:lang w:val="en-GB"/>
        </w:rPr>
        <w:t>on QCs such as</w:t>
      </w:r>
      <w:r w:rsidRPr="00D272CC">
        <w:rPr>
          <w:lang w:val="en-GB"/>
        </w:rPr>
        <w:t xml:space="preserve"> relevance (Barth</w:t>
      </w:r>
      <w:r w:rsidR="00995639" w:rsidRPr="00D272CC">
        <w:rPr>
          <w:lang w:val="en-GB"/>
        </w:rPr>
        <w:t xml:space="preserve"> et al.</w:t>
      </w:r>
      <w:r w:rsidRPr="00D272CC">
        <w:rPr>
          <w:lang w:val="en-GB"/>
        </w:rPr>
        <w:t xml:space="preserve"> 2001) and comparability (De Franco</w:t>
      </w:r>
      <w:r w:rsidR="00995639" w:rsidRPr="00D272CC">
        <w:rPr>
          <w:lang w:val="en-GB"/>
        </w:rPr>
        <w:t xml:space="preserve"> et al.</w:t>
      </w:r>
      <w:r w:rsidRPr="00D272CC">
        <w:rPr>
          <w:lang w:val="en-GB"/>
        </w:rPr>
        <w:t xml:space="preserve"> 2011)</w:t>
      </w:r>
      <w:r w:rsidR="00FA6D69" w:rsidRPr="00D272CC">
        <w:rPr>
          <w:lang w:val="en-GB"/>
        </w:rPr>
        <w:t>,</w:t>
      </w:r>
      <w:r w:rsidRPr="00D272CC">
        <w:rPr>
          <w:lang w:val="en-GB"/>
        </w:rPr>
        <w:t xml:space="preserve"> by showing that managers </w:t>
      </w:r>
      <w:r w:rsidR="00D83ABF" w:rsidRPr="00D272CC">
        <w:rPr>
          <w:lang w:val="en-GB"/>
        </w:rPr>
        <w:t>refer to</w:t>
      </w:r>
      <w:r w:rsidR="00892C3F" w:rsidRPr="00D272CC">
        <w:rPr>
          <w:lang w:val="en-GB"/>
        </w:rPr>
        <w:t xml:space="preserve"> </w:t>
      </w:r>
      <w:r w:rsidR="00935F81">
        <w:rPr>
          <w:lang w:val="en-GB"/>
        </w:rPr>
        <w:t xml:space="preserve">these </w:t>
      </w:r>
      <w:r w:rsidR="00062AF8" w:rsidRPr="00D272CC">
        <w:rPr>
          <w:lang w:val="en-GB"/>
        </w:rPr>
        <w:t>QCs</w:t>
      </w:r>
      <w:r w:rsidRPr="00D272CC">
        <w:rPr>
          <w:lang w:val="en-GB"/>
        </w:rPr>
        <w:t xml:space="preserve">. </w:t>
      </w:r>
      <w:r w:rsidR="00535407" w:rsidRPr="00D272CC">
        <w:rPr>
          <w:lang w:val="en-GB"/>
        </w:rPr>
        <w:t xml:space="preserve">Additionally, the scope of our empirical work is wider than that in prior literature because our methodology allows us to analyse a large set of QCs instead of just one or a limited number. </w:t>
      </w:r>
      <w:r w:rsidRPr="00D272CC">
        <w:rPr>
          <w:lang w:val="en-GB"/>
        </w:rPr>
        <w:t>Second</w:t>
      </w:r>
      <w:r w:rsidR="00D22BDC" w:rsidRPr="00D272CC">
        <w:rPr>
          <w:lang w:val="en-GB"/>
        </w:rPr>
        <w:t>, it extends the literature on international comparisons of accounting quality (</w:t>
      </w:r>
      <w:r w:rsidR="00275357" w:rsidRPr="00D272CC">
        <w:rPr>
          <w:lang w:val="en-GB"/>
        </w:rPr>
        <w:t>e.g. Ball et al. 2000</w:t>
      </w:r>
      <w:r w:rsidR="00D22BDC" w:rsidRPr="00D272CC">
        <w:rPr>
          <w:lang w:val="en-GB"/>
        </w:rPr>
        <w:t xml:space="preserve">) by </w:t>
      </w:r>
      <w:r w:rsidR="003A0D36" w:rsidRPr="00D272CC">
        <w:rPr>
          <w:lang w:val="en-GB"/>
        </w:rPr>
        <w:t>suggesting that</w:t>
      </w:r>
      <w:r w:rsidR="000B4205">
        <w:rPr>
          <w:lang w:val="en-GB"/>
        </w:rPr>
        <w:t xml:space="preserve"> a measure of a </w:t>
      </w:r>
      <w:r w:rsidR="00F05EED">
        <w:rPr>
          <w:lang w:val="en-GB"/>
        </w:rPr>
        <w:t>country</w:t>
      </w:r>
      <w:r w:rsidR="000B4205">
        <w:rPr>
          <w:lang w:val="en-GB"/>
        </w:rPr>
        <w:t xml:space="preserve">’s transparency </w:t>
      </w:r>
      <w:r w:rsidR="00B96566">
        <w:rPr>
          <w:lang w:val="en-GB"/>
        </w:rPr>
        <w:t>is positively associated with references to QCs</w:t>
      </w:r>
      <w:r w:rsidR="00D22BDC" w:rsidRPr="00D272CC">
        <w:rPr>
          <w:lang w:val="en-GB"/>
        </w:rPr>
        <w:t>. Third</w:t>
      </w:r>
      <w:r w:rsidRPr="00D272CC">
        <w:rPr>
          <w:lang w:val="en-GB"/>
        </w:rPr>
        <w:t xml:space="preserve">, the paper extends the research on </w:t>
      </w:r>
      <w:r w:rsidR="008465D3" w:rsidRPr="00D272CC">
        <w:rPr>
          <w:lang w:val="en-GB"/>
        </w:rPr>
        <w:t xml:space="preserve">(IFRS) </w:t>
      </w:r>
      <w:r w:rsidRPr="00D272CC">
        <w:rPr>
          <w:lang w:val="en-GB"/>
        </w:rPr>
        <w:t xml:space="preserve">accounting </w:t>
      </w:r>
      <w:r w:rsidR="00A9762C" w:rsidRPr="00D272CC">
        <w:rPr>
          <w:lang w:val="en-GB"/>
        </w:rPr>
        <w:t>policy choice (Kvaal and Nobes 2010, 2012) by being the first content analysis of reasons</w:t>
      </w:r>
      <w:r w:rsidR="00666532" w:rsidRPr="00D272CC">
        <w:rPr>
          <w:lang w:val="en-GB"/>
        </w:rPr>
        <w:t xml:space="preserve"> given</w:t>
      </w:r>
      <w:r w:rsidR="00A9762C" w:rsidRPr="00D272CC">
        <w:rPr>
          <w:lang w:val="en-GB"/>
        </w:rPr>
        <w:t xml:space="preserve"> for policy changes.</w:t>
      </w:r>
    </w:p>
    <w:p w14:paraId="3ADC08EC" w14:textId="77777777" w:rsidR="002F03C4" w:rsidRPr="00D272CC" w:rsidRDefault="002F03C4" w:rsidP="002F03C4">
      <w:pPr>
        <w:rPr>
          <w:rFonts w:cs="Arial"/>
          <w:lang w:val="en-GB"/>
        </w:rPr>
      </w:pPr>
      <w:r w:rsidRPr="00D272CC">
        <w:rPr>
          <w:rFonts w:cs="Arial"/>
          <w:lang w:val="en-GB"/>
        </w:rPr>
        <w:t xml:space="preserve">The paper proceeds as follows. Section 2 </w:t>
      </w:r>
      <w:r w:rsidR="00D072F9" w:rsidRPr="00D272CC">
        <w:rPr>
          <w:rFonts w:cs="Arial"/>
          <w:lang w:val="en-GB"/>
        </w:rPr>
        <w:t xml:space="preserve">provides background, </w:t>
      </w:r>
      <w:r w:rsidRPr="00D272CC">
        <w:rPr>
          <w:rFonts w:cs="Arial"/>
          <w:lang w:val="en-GB"/>
        </w:rPr>
        <w:t>reviews the literature</w:t>
      </w:r>
      <w:r w:rsidR="00535407">
        <w:rPr>
          <w:rFonts w:cs="Arial"/>
          <w:lang w:val="en-GB"/>
        </w:rPr>
        <w:t>,</w:t>
      </w:r>
      <w:r w:rsidR="00D072F9" w:rsidRPr="00D272CC">
        <w:rPr>
          <w:rFonts w:cs="Arial"/>
          <w:lang w:val="en-GB"/>
        </w:rPr>
        <w:t xml:space="preserve"> states the research question</w:t>
      </w:r>
      <w:r w:rsidR="009379A3" w:rsidRPr="00D272CC">
        <w:rPr>
          <w:rFonts w:cs="Arial"/>
          <w:lang w:val="en-GB"/>
        </w:rPr>
        <w:t xml:space="preserve">s and </w:t>
      </w:r>
      <w:r w:rsidR="00535407">
        <w:rPr>
          <w:rFonts w:cs="Arial"/>
          <w:lang w:val="en-GB"/>
        </w:rPr>
        <w:t xml:space="preserve">develops </w:t>
      </w:r>
      <w:r w:rsidR="00A817BC">
        <w:rPr>
          <w:rFonts w:cs="Arial"/>
          <w:lang w:val="en-GB"/>
        </w:rPr>
        <w:t xml:space="preserve">a </w:t>
      </w:r>
      <w:r w:rsidR="009379A3" w:rsidRPr="00D272CC">
        <w:rPr>
          <w:rFonts w:cs="Arial"/>
          <w:lang w:val="en-GB"/>
        </w:rPr>
        <w:t>hypothes</w:t>
      </w:r>
      <w:r w:rsidR="00A817BC">
        <w:rPr>
          <w:rFonts w:cs="Arial"/>
          <w:lang w:val="en-GB"/>
        </w:rPr>
        <w:t>i</w:t>
      </w:r>
      <w:r w:rsidR="009379A3" w:rsidRPr="00D272CC">
        <w:rPr>
          <w:rFonts w:cs="Arial"/>
          <w:lang w:val="en-GB"/>
        </w:rPr>
        <w:t>s</w:t>
      </w:r>
      <w:r w:rsidRPr="00D272CC">
        <w:rPr>
          <w:rFonts w:cs="Arial"/>
          <w:lang w:val="en-GB"/>
        </w:rPr>
        <w:t xml:space="preserve">. Section 3 describes the </w:t>
      </w:r>
      <w:r w:rsidR="00D072F9" w:rsidRPr="00D272CC">
        <w:rPr>
          <w:rFonts w:cs="Arial"/>
          <w:lang w:val="en-GB"/>
        </w:rPr>
        <w:t>sample</w:t>
      </w:r>
      <w:r w:rsidR="00C57A29" w:rsidRPr="00D272CC">
        <w:rPr>
          <w:rFonts w:cs="Arial"/>
          <w:lang w:val="en-GB"/>
        </w:rPr>
        <w:t xml:space="preserve"> and data</w:t>
      </w:r>
      <w:r w:rsidRPr="00D272CC">
        <w:rPr>
          <w:rFonts w:cs="Arial"/>
          <w:lang w:val="en-GB"/>
        </w:rPr>
        <w:t xml:space="preserve">. Section 4 </w:t>
      </w:r>
      <w:r w:rsidR="00D072F9" w:rsidRPr="00D272CC">
        <w:rPr>
          <w:rFonts w:cs="Arial"/>
          <w:lang w:val="en-GB"/>
        </w:rPr>
        <w:t>contains</w:t>
      </w:r>
      <w:r w:rsidRPr="00D272CC">
        <w:rPr>
          <w:rFonts w:cs="Arial"/>
          <w:lang w:val="en-GB"/>
        </w:rPr>
        <w:t xml:space="preserve"> the empirical </w:t>
      </w:r>
      <w:r w:rsidR="00D072F9" w:rsidRPr="00D272CC">
        <w:rPr>
          <w:rFonts w:cs="Arial"/>
          <w:lang w:val="en-GB"/>
        </w:rPr>
        <w:t>analysis</w:t>
      </w:r>
      <w:r w:rsidRPr="00D272CC">
        <w:rPr>
          <w:rFonts w:cs="Arial"/>
          <w:lang w:val="en-GB"/>
        </w:rPr>
        <w:t>. Section 5 concludes.</w:t>
      </w:r>
    </w:p>
    <w:p w14:paraId="264F28F1" w14:textId="77777777" w:rsidR="00FE3243" w:rsidRPr="00D272CC" w:rsidRDefault="00FE3243" w:rsidP="00FE3243">
      <w:pPr>
        <w:pStyle w:val="Heading1"/>
        <w:rPr>
          <w:lang w:val="en-GB"/>
        </w:rPr>
      </w:pPr>
      <w:r w:rsidRPr="00D272CC">
        <w:rPr>
          <w:lang w:val="en-GB"/>
        </w:rPr>
        <w:t>2. Background</w:t>
      </w:r>
      <w:r w:rsidR="00421BBF" w:rsidRPr="00D272CC">
        <w:rPr>
          <w:lang w:val="en-GB"/>
        </w:rPr>
        <w:t xml:space="preserve">, </w:t>
      </w:r>
      <w:r w:rsidR="00185999" w:rsidRPr="00D272CC">
        <w:rPr>
          <w:lang w:val="en-GB"/>
        </w:rPr>
        <w:t>l</w:t>
      </w:r>
      <w:r w:rsidR="00421BBF" w:rsidRPr="00D272CC">
        <w:rPr>
          <w:lang w:val="en-GB"/>
        </w:rPr>
        <w:t xml:space="preserve">iterature </w:t>
      </w:r>
      <w:r w:rsidR="00185999" w:rsidRPr="00D272CC">
        <w:rPr>
          <w:lang w:val="en-GB"/>
        </w:rPr>
        <w:t>r</w:t>
      </w:r>
      <w:r w:rsidR="00421BBF" w:rsidRPr="00D272CC">
        <w:rPr>
          <w:lang w:val="en-GB"/>
        </w:rPr>
        <w:t>eview</w:t>
      </w:r>
      <w:r w:rsidR="00292CD4" w:rsidRPr="00D272CC">
        <w:rPr>
          <w:lang w:val="en-GB"/>
        </w:rPr>
        <w:t>,</w:t>
      </w:r>
      <w:r w:rsidR="00421BBF" w:rsidRPr="00D272CC">
        <w:rPr>
          <w:lang w:val="en-GB"/>
        </w:rPr>
        <w:t xml:space="preserve"> </w:t>
      </w:r>
      <w:r w:rsidR="00185999" w:rsidRPr="00D272CC">
        <w:rPr>
          <w:lang w:val="en-GB"/>
        </w:rPr>
        <w:t>r</w:t>
      </w:r>
      <w:r w:rsidR="00421BBF" w:rsidRPr="00D272CC">
        <w:rPr>
          <w:lang w:val="en-GB"/>
        </w:rPr>
        <w:t xml:space="preserve">esearch </w:t>
      </w:r>
      <w:r w:rsidR="00185999" w:rsidRPr="00D272CC">
        <w:rPr>
          <w:lang w:val="en-GB"/>
        </w:rPr>
        <w:t>q</w:t>
      </w:r>
      <w:r w:rsidR="00421BBF" w:rsidRPr="00D272CC">
        <w:rPr>
          <w:lang w:val="en-GB"/>
        </w:rPr>
        <w:t>uestion</w:t>
      </w:r>
      <w:r w:rsidR="002864CE" w:rsidRPr="00D272CC">
        <w:rPr>
          <w:lang w:val="en-GB"/>
        </w:rPr>
        <w:t>s</w:t>
      </w:r>
      <w:r w:rsidR="00292CD4" w:rsidRPr="00D272CC">
        <w:rPr>
          <w:lang w:val="en-GB"/>
        </w:rPr>
        <w:t xml:space="preserve"> and hypothes</w:t>
      </w:r>
      <w:r w:rsidR="00FC68A0">
        <w:rPr>
          <w:lang w:val="en-GB"/>
        </w:rPr>
        <w:t>i</w:t>
      </w:r>
      <w:r w:rsidR="00292CD4" w:rsidRPr="00D272CC">
        <w:rPr>
          <w:lang w:val="en-GB"/>
        </w:rPr>
        <w:t>s</w:t>
      </w:r>
    </w:p>
    <w:p w14:paraId="45E26BE9" w14:textId="77777777" w:rsidR="00421BBF" w:rsidRPr="00D272CC" w:rsidRDefault="00421BBF" w:rsidP="00421BBF">
      <w:pPr>
        <w:pStyle w:val="Heading2"/>
        <w:rPr>
          <w:lang w:val="en-GB"/>
        </w:rPr>
      </w:pPr>
      <w:r w:rsidRPr="00D272CC">
        <w:rPr>
          <w:lang w:val="en-GB"/>
        </w:rPr>
        <w:t xml:space="preserve">Qualitative </w:t>
      </w:r>
      <w:r w:rsidR="00185999" w:rsidRPr="00D272CC">
        <w:rPr>
          <w:lang w:val="en-GB"/>
        </w:rPr>
        <w:t>c</w:t>
      </w:r>
      <w:r w:rsidRPr="00D272CC">
        <w:rPr>
          <w:lang w:val="en-GB"/>
        </w:rPr>
        <w:t xml:space="preserve">haracteristics of </w:t>
      </w:r>
      <w:r w:rsidR="00185999" w:rsidRPr="00D272CC">
        <w:rPr>
          <w:lang w:val="en-GB"/>
        </w:rPr>
        <w:t>f</w:t>
      </w:r>
      <w:r w:rsidRPr="00D272CC">
        <w:rPr>
          <w:lang w:val="en-GB"/>
        </w:rPr>
        <w:t xml:space="preserve">inancial </w:t>
      </w:r>
      <w:r w:rsidR="00185999" w:rsidRPr="00D272CC">
        <w:rPr>
          <w:lang w:val="en-GB"/>
        </w:rPr>
        <w:t>i</w:t>
      </w:r>
      <w:r w:rsidRPr="00D272CC">
        <w:rPr>
          <w:lang w:val="en-GB"/>
        </w:rPr>
        <w:t>nformation</w:t>
      </w:r>
    </w:p>
    <w:p w14:paraId="1A5292A1" w14:textId="12EE1CE5" w:rsidR="00C83A6B" w:rsidRPr="00D272CC" w:rsidRDefault="00BA1DB1" w:rsidP="00FE3243">
      <w:pPr>
        <w:rPr>
          <w:lang w:val="en-GB"/>
        </w:rPr>
      </w:pPr>
      <w:r w:rsidRPr="00D272CC">
        <w:rPr>
          <w:lang w:val="en-GB"/>
        </w:rPr>
        <w:t>For millennia,</w:t>
      </w:r>
      <w:r w:rsidR="00476F0E">
        <w:rPr>
          <w:rStyle w:val="FootnoteReference"/>
          <w:lang w:val="en-GB"/>
        </w:rPr>
        <w:footnoteReference w:id="3"/>
      </w:r>
      <w:r w:rsidRPr="00D272CC">
        <w:rPr>
          <w:lang w:val="en-GB"/>
        </w:rPr>
        <w:t xml:space="preserve"> accounting was carried out without a perceived need for a conceptual framework that set out relevant objectives, definitions and concepts. This continued even when financial reporting became compulsory for some entities (e.g. in the UK</w:t>
      </w:r>
      <w:r w:rsidR="00DF659E" w:rsidRPr="00D272CC">
        <w:rPr>
          <w:lang w:val="en-GB"/>
        </w:rPr>
        <w:t>’s</w:t>
      </w:r>
      <w:r w:rsidRPr="00D272CC">
        <w:rPr>
          <w:lang w:val="en-GB"/>
        </w:rPr>
        <w:t xml:space="preserve"> Companies Act 18</w:t>
      </w:r>
      <w:r w:rsidR="005C4BE6" w:rsidRPr="00D272CC">
        <w:rPr>
          <w:lang w:val="en-GB"/>
        </w:rPr>
        <w:t>44</w:t>
      </w:r>
      <w:r w:rsidRPr="00D272CC">
        <w:rPr>
          <w:lang w:val="en-GB"/>
        </w:rPr>
        <w:t>).</w:t>
      </w:r>
      <w:r w:rsidR="007961D4">
        <w:rPr>
          <w:rStyle w:val="FootnoteReference"/>
          <w:lang w:val="en-GB"/>
        </w:rPr>
        <w:footnoteReference w:id="4"/>
      </w:r>
      <w:r w:rsidRPr="00D272CC">
        <w:rPr>
          <w:lang w:val="en-GB"/>
        </w:rPr>
        <w:t xml:space="preserve"> In several continental </w:t>
      </w:r>
      <w:r w:rsidR="00C250F6" w:rsidRPr="00D272CC">
        <w:rPr>
          <w:lang w:val="en-GB"/>
        </w:rPr>
        <w:t xml:space="preserve">European </w:t>
      </w:r>
      <w:r w:rsidRPr="00D272CC">
        <w:rPr>
          <w:lang w:val="en-GB"/>
        </w:rPr>
        <w:t xml:space="preserve">countries, academic theorists constructed frameworks </w:t>
      </w:r>
      <w:r w:rsidR="00DF659E" w:rsidRPr="00D272CC">
        <w:rPr>
          <w:lang w:val="en-GB"/>
        </w:rPr>
        <w:t xml:space="preserve">of ideas </w:t>
      </w:r>
      <w:r w:rsidRPr="00D272CC">
        <w:rPr>
          <w:lang w:val="en-GB"/>
        </w:rPr>
        <w:t xml:space="preserve">in the early twentieth century (Zambon </w:t>
      </w:r>
      <w:r w:rsidR="00C378A2" w:rsidRPr="00D272CC">
        <w:rPr>
          <w:lang w:val="en-GB"/>
        </w:rPr>
        <w:t>1996</w:t>
      </w:r>
      <w:r w:rsidRPr="00D272CC">
        <w:rPr>
          <w:lang w:val="en-GB"/>
        </w:rPr>
        <w:t xml:space="preserve">), but these were not directly contained in any regulations. In the </w:t>
      </w:r>
      <w:r w:rsidR="002C1702" w:rsidRPr="00D272CC">
        <w:rPr>
          <w:lang w:val="en-GB"/>
        </w:rPr>
        <w:t>European Union (</w:t>
      </w:r>
      <w:r w:rsidRPr="00D272CC">
        <w:rPr>
          <w:lang w:val="en-GB"/>
        </w:rPr>
        <w:t>EU</w:t>
      </w:r>
      <w:r w:rsidR="002C1702" w:rsidRPr="00D272CC">
        <w:rPr>
          <w:lang w:val="en-GB"/>
        </w:rPr>
        <w:t>)</w:t>
      </w:r>
      <w:r w:rsidRPr="00D272CC">
        <w:rPr>
          <w:lang w:val="en-GB"/>
        </w:rPr>
        <w:t>, the Fourth Directive (which was published in first draft in 1971</w:t>
      </w:r>
      <w:r w:rsidR="006D0B6B">
        <w:rPr>
          <w:lang w:val="en-GB"/>
        </w:rPr>
        <w:t xml:space="preserve"> and adopted in 1978</w:t>
      </w:r>
      <w:r w:rsidRPr="00D272CC">
        <w:rPr>
          <w:lang w:val="en-GB"/>
        </w:rPr>
        <w:t xml:space="preserve">) also </w:t>
      </w:r>
      <w:r w:rsidR="00FA6D69" w:rsidRPr="00D272CC">
        <w:rPr>
          <w:lang w:val="en-GB"/>
        </w:rPr>
        <w:t xml:space="preserve">did not </w:t>
      </w:r>
      <w:r w:rsidRPr="00D272CC">
        <w:rPr>
          <w:lang w:val="en-GB"/>
        </w:rPr>
        <w:t>contain objectives or definitions.</w:t>
      </w:r>
      <w:r w:rsidR="00D46A75" w:rsidRPr="00D272CC">
        <w:rPr>
          <w:lang w:val="en-GB"/>
        </w:rPr>
        <w:t xml:space="preserve"> It did</w:t>
      </w:r>
      <w:r w:rsidR="00C250F6" w:rsidRPr="00D272CC">
        <w:rPr>
          <w:rStyle w:val="FootnoteReference"/>
          <w:lang w:val="en-GB"/>
        </w:rPr>
        <w:footnoteReference w:id="5"/>
      </w:r>
      <w:r w:rsidR="00D46A75" w:rsidRPr="00D272CC">
        <w:rPr>
          <w:lang w:val="en-GB"/>
        </w:rPr>
        <w:t xml:space="preserve"> contain </w:t>
      </w:r>
      <w:r w:rsidR="005E0433" w:rsidRPr="00D272CC">
        <w:rPr>
          <w:lang w:val="en-GB"/>
        </w:rPr>
        <w:t>six</w:t>
      </w:r>
      <w:r w:rsidR="00D46A75" w:rsidRPr="00D272CC">
        <w:rPr>
          <w:lang w:val="en-GB"/>
        </w:rPr>
        <w:t xml:space="preserve"> ‘principles’, which are therefore found in EU laws: going concern, consistency over time, prudence, accruals, separate valuation, and correspondence of </w:t>
      </w:r>
      <w:r w:rsidR="00DF659E" w:rsidRPr="00D272CC">
        <w:rPr>
          <w:lang w:val="en-GB"/>
        </w:rPr>
        <w:t xml:space="preserve">the </w:t>
      </w:r>
      <w:r w:rsidR="00D46A75" w:rsidRPr="00D272CC">
        <w:rPr>
          <w:lang w:val="en-GB"/>
        </w:rPr>
        <w:t xml:space="preserve">opening balance sheet with </w:t>
      </w:r>
      <w:r w:rsidR="00DF659E" w:rsidRPr="00D272CC">
        <w:rPr>
          <w:lang w:val="en-GB"/>
        </w:rPr>
        <w:t xml:space="preserve">the </w:t>
      </w:r>
      <w:r w:rsidR="00D46A75" w:rsidRPr="00D272CC">
        <w:rPr>
          <w:lang w:val="en-GB"/>
        </w:rPr>
        <w:t>former closing balance sheet</w:t>
      </w:r>
      <w:r w:rsidR="006D0B6B">
        <w:rPr>
          <w:lang w:val="en-GB"/>
        </w:rPr>
        <w:t xml:space="preserve"> </w:t>
      </w:r>
      <w:r w:rsidR="006D0B6B" w:rsidRPr="00D272CC">
        <w:rPr>
          <w:lang w:val="en-GB"/>
        </w:rPr>
        <w:t>(Article 31)</w:t>
      </w:r>
      <w:r w:rsidR="00D46A75" w:rsidRPr="00D272CC">
        <w:rPr>
          <w:lang w:val="en-GB"/>
        </w:rPr>
        <w:t>.</w:t>
      </w:r>
      <w:r w:rsidR="006D0B6B">
        <w:rPr>
          <w:lang w:val="en-GB"/>
        </w:rPr>
        <w:t xml:space="preserve"> These were a compromise between German and UK ideas (Nobes 198</w:t>
      </w:r>
      <w:r w:rsidR="00355343">
        <w:rPr>
          <w:lang w:val="en-GB"/>
        </w:rPr>
        <w:t>3</w:t>
      </w:r>
      <w:r w:rsidR="006D0B6B">
        <w:rPr>
          <w:lang w:val="en-GB"/>
        </w:rPr>
        <w:t>)</w:t>
      </w:r>
      <w:r w:rsidR="00FC280F">
        <w:rPr>
          <w:lang w:val="en-GB"/>
        </w:rPr>
        <w:t>.</w:t>
      </w:r>
      <w:r w:rsidR="006D0B6B">
        <w:rPr>
          <w:rStyle w:val="FootnoteReference"/>
          <w:lang w:val="en-GB"/>
        </w:rPr>
        <w:footnoteReference w:id="6"/>
      </w:r>
    </w:p>
    <w:p w14:paraId="6CCFDAD1" w14:textId="77777777" w:rsidR="00BA1DB1" w:rsidRPr="00D272CC" w:rsidRDefault="00BA1DB1" w:rsidP="005C4BE6">
      <w:pPr>
        <w:rPr>
          <w:lang w:val="en-GB"/>
        </w:rPr>
      </w:pPr>
      <w:r w:rsidRPr="00D272CC">
        <w:rPr>
          <w:lang w:val="en-GB"/>
        </w:rPr>
        <w:t>I</w:t>
      </w:r>
      <w:r w:rsidR="00245060">
        <w:rPr>
          <w:lang w:val="en-GB"/>
        </w:rPr>
        <w:t xml:space="preserve">n the US, several academics </w:t>
      </w:r>
      <w:r w:rsidR="00BD61E6">
        <w:rPr>
          <w:lang w:val="en-GB"/>
        </w:rPr>
        <w:t xml:space="preserve">had by then </w:t>
      </w:r>
      <w:r w:rsidR="00245060">
        <w:rPr>
          <w:lang w:val="en-GB"/>
        </w:rPr>
        <w:t xml:space="preserve">constructed frameworks of ideas (e.g. Paton </w:t>
      </w:r>
      <w:r w:rsidR="00150305">
        <w:rPr>
          <w:lang w:val="en-GB"/>
        </w:rPr>
        <w:t>1922</w:t>
      </w:r>
      <w:r w:rsidR="00245060">
        <w:rPr>
          <w:lang w:val="en-GB"/>
        </w:rPr>
        <w:t>,</w:t>
      </w:r>
      <w:r w:rsidR="00150305">
        <w:rPr>
          <w:lang w:val="en-GB"/>
        </w:rPr>
        <w:t xml:space="preserve"> </w:t>
      </w:r>
      <w:r w:rsidR="00245060">
        <w:rPr>
          <w:lang w:val="en-GB"/>
        </w:rPr>
        <w:t>Canning</w:t>
      </w:r>
      <w:r w:rsidR="00150305">
        <w:rPr>
          <w:lang w:val="en-GB"/>
        </w:rPr>
        <w:t xml:space="preserve"> 1929</w:t>
      </w:r>
      <w:r w:rsidR="00F05EED">
        <w:rPr>
          <w:lang w:val="en-GB"/>
        </w:rPr>
        <w:t>, MacNeal 1939</w:t>
      </w:r>
      <w:r w:rsidR="00245060">
        <w:rPr>
          <w:lang w:val="en-GB"/>
        </w:rPr>
        <w:t>); and i</w:t>
      </w:r>
      <w:r w:rsidRPr="00D272CC">
        <w:rPr>
          <w:lang w:val="en-GB"/>
        </w:rPr>
        <w:t>t was the</w:t>
      </w:r>
      <w:r w:rsidR="00245060">
        <w:rPr>
          <w:lang w:val="en-GB"/>
        </w:rPr>
        <w:t>re</w:t>
      </w:r>
      <w:r w:rsidRPr="00D272CC">
        <w:rPr>
          <w:lang w:val="en-GB"/>
        </w:rPr>
        <w:t xml:space="preserve"> that a</w:t>
      </w:r>
      <w:r w:rsidR="00D46A75" w:rsidRPr="00D272CC">
        <w:rPr>
          <w:lang w:val="en-GB"/>
        </w:rPr>
        <w:t>n extensive</w:t>
      </w:r>
      <w:r w:rsidRPr="00D272CC">
        <w:rPr>
          <w:lang w:val="en-GB"/>
        </w:rPr>
        <w:t xml:space="preserve"> conceptual framework was first explicitly set forth</w:t>
      </w:r>
      <w:r w:rsidR="00245060">
        <w:rPr>
          <w:lang w:val="en-GB"/>
        </w:rPr>
        <w:t xml:space="preserve"> by an accountancy body</w:t>
      </w:r>
      <w:r w:rsidRPr="00D272CC">
        <w:rPr>
          <w:lang w:val="en-GB"/>
        </w:rPr>
        <w:t xml:space="preserve">. </w:t>
      </w:r>
      <w:r w:rsidR="00DF659E" w:rsidRPr="00D272CC">
        <w:rPr>
          <w:lang w:val="en-GB"/>
        </w:rPr>
        <w:t xml:space="preserve">In 1959, </w:t>
      </w:r>
      <w:r w:rsidRPr="00D272CC">
        <w:rPr>
          <w:lang w:val="en-GB"/>
        </w:rPr>
        <w:t>the American Institute of Certified Public Accountants</w:t>
      </w:r>
      <w:r w:rsidR="00631D13">
        <w:rPr>
          <w:lang w:val="en-GB"/>
        </w:rPr>
        <w:t xml:space="preserve"> (AICPA)</w:t>
      </w:r>
      <w:r w:rsidRPr="00D272CC">
        <w:rPr>
          <w:lang w:val="en-GB"/>
        </w:rPr>
        <w:t xml:space="preserve"> set up </w:t>
      </w:r>
      <w:r w:rsidR="00DF659E" w:rsidRPr="00D272CC">
        <w:rPr>
          <w:lang w:val="en-GB"/>
        </w:rPr>
        <w:t xml:space="preserve">the Accounting Principles Board (APB) and also </w:t>
      </w:r>
      <w:r w:rsidRPr="00D272CC">
        <w:rPr>
          <w:lang w:val="en-GB"/>
        </w:rPr>
        <w:t>a</w:t>
      </w:r>
      <w:r w:rsidR="00DA15BA">
        <w:rPr>
          <w:lang w:val="en-GB"/>
        </w:rPr>
        <w:t>n Accounting</w:t>
      </w:r>
      <w:r w:rsidRPr="00D272CC">
        <w:rPr>
          <w:lang w:val="en-GB"/>
        </w:rPr>
        <w:t xml:space="preserve"> Research Division. The latter </w:t>
      </w:r>
      <w:r w:rsidR="00DA15BA">
        <w:rPr>
          <w:lang w:val="en-GB"/>
        </w:rPr>
        <w:t>wrote</w:t>
      </w:r>
      <w:r w:rsidR="00DA15BA">
        <w:rPr>
          <w:rStyle w:val="FootnoteReference"/>
          <w:lang w:val="en-GB"/>
        </w:rPr>
        <w:footnoteReference w:id="7"/>
      </w:r>
      <w:r w:rsidR="005C4BE6" w:rsidRPr="00D272CC">
        <w:rPr>
          <w:lang w:val="en-GB"/>
        </w:rPr>
        <w:t xml:space="preserve"> Accounting Research Study No. 1 (</w:t>
      </w:r>
      <w:r w:rsidR="005C4BE6" w:rsidRPr="00D272CC">
        <w:rPr>
          <w:i/>
          <w:lang w:val="en-GB"/>
        </w:rPr>
        <w:t>The Basic Postulates of Accounting</w:t>
      </w:r>
      <w:r w:rsidR="005C4BE6" w:rsidRPr="00D272CC">
        <w:rPr>
          <w:lang w:val="en-GB"/>
        </w:rPr>
        <w:t>) in 1961 and</w:t>
      </w:r>
      <w:r w:rsidR="00374A06" w:rsidRPr="00D272CC">
        <w:rPr>
          <w:lang w:val="en-GB"/>
        </w:rPr>
        <w:t xml:space="preserve"> Accounting Research Study</w:t>
      </w:r>
      <w:r w:rsidRPr="00D272CC">
        <w:rPr>
          <w:lang w:val="en-GB"/>
        </w:rPr>
        <w:t xml:space="preserve"> No. </w:t>
      </w:r>
      <w:r w:rsidR="005C4BE6" w:rsidRPr="00D272CC">
        <w:rPr>
          <w:lang w:val="en-GB"/>
        </w:rPr>
        <w:t>3</w:t>
      </w:r>
      <w:r w:rsidRPr="00D272CC">
        <w:rPr>
          <w:lang w:val="en-GB"/>
        </w:rPr>
        <w:t xml:space="preserve"> (</w:t>
      </w:r>
      <w:r w:rsidRPr="00D272CC">
        <w:rPr>
          <w:i/>
          <w:lang w:val="en-GB"/>
        </w:rPr>
        <w:t>A Tentative Set of Broad Accounting Principles for Business Enterprises</w:t>
      </w:r>
      <w:r w:rsidRPr="00D272CC">
        <w:rPr>
          <w:lang w:val="en-GB"/>
        </w:rPr>
        <w:t xml:space="preserve">) in 1962. </w:t>
      </w:r>
      <w:r w:rsidR="005C4BE6" w:rsidRPr="00D272CC">
        <w:rPr>
          <w:lang w:val="en-GB"/>
        </w:rPr>
        <w:t xml:space="preserve">These documents contained </w:t>
      </w:r>
      <w:r w:rsidR="00D75CB5" w:rsidRPr="00D272CC">
        <w:rPr>
          <w:lang w:val="en-GB"/>
        </w:rPr>
        <w:t xml:space="preserve">definitions (e.g. of asset and liability) and </w:t>
      </w:r>
      <w:r w:rsidR="005C4BE6" w:rsidRPr="00D272CC">
        <w:rPr>
          <w:lang w:val="en-GB"/>
        </w:rPr>
        <w:t xml:space="preserve">a series of </w:t>
      </w:r>
      <w:r w:rsidR="007B7623" w:rsidRPr="00D272CC">
        <w:rPr>
          <w:lang w:val="en-GB"/>
        </w:rPr>
        <w:t>‘</w:t>
      </w:r>
      <w:r w:rsidR="005C4BE6" w:rsidRPr="00D272CC">
        <w:rPr>
          <w:lang w:val="en-GB"/>
        </w:rPr>
        <w:t>postulates</w:t>
      </w:r>
      <w:r w:rsidR="007B7623" w:rsidRPr="00D272CC">
        <w:rPr>
          <w:lang w:val="en-GB"/>
        </w:rPr>
        <w:t>’</w:t>
      </w:r>
      <w:r w:rsidR="005C4BE6" w:rsidRPr="00D272CC">
        <w:rPr>
          <w:lang w:val="en-GB"/>
        </w:rPr>
        <w:t xml:space="preserve"> which mixed concepts (e.g. the entity and going concern) with desirable qualities of accounting information (in particular, objectivity and consistency, as postulates 2 and 3 on pp.</w:t>
      </w:r>
      <w:r w:rsidR="000231CD" w:rsidRPr="00D272CC">
        <w:rPr>
          <w:lang w:val="en-GB"/>
        </w:rPr>
        <w:t xml:space="preserve"> </w:t>
      </w:r>
      <w:r w:rsidR="005C4BE6" w:rsidRPr="00D272CC">
        <w:rPr>
          <w:lang w:val="en-GB"/>
        </w:rPr>
        <w:t>41</w:t>
      </w:r>
      <w:r w:rsidR="00E56E7F" w:rsidRPr="00D272CC">
        <w:rPr>
          <w:lang w:val="en-GB"/>
        </w:rPr>
        <w:t>–</w:t>
      </w:r>
      <w:r w:rsidR="005C4BE6" w:rsidRPr="00D272CC">
        <w:rPr>
          <w:lang w:val="en-GB"/>
        </w:rPr>
        <w:t xml:space="preserve">3). </w:t>
      </w:r>
      <w:r w:rsidRPr="00D272CC">
        <w:rPr>
          <w:lang w:val="en-GB"/>
        </w:rPr>
        <w:t xml:space="preserve">However, </w:t>
      </w:r>
      <w:r w:rsidR="00684766">
        <w:rPr>
          <w:lang w:val="en-GB"/>
        </w:rPr>
        <w:t>Studies</w:t>
      </w:r>
      <w:r w:rsidR="005C4BE6" w:rsidRPr="00D272CC">
        <w:rPr>
          <w:lang w:val="en-GB"/>
        </w:rPr>
        <w:t xml:space="preserve"> 1 and 3 were</w:t>
      </w:r>
      <w:r w:rsidRPr="00D272CC">
        <w:rPr>
          <w:lang w:val="en-GB"/>
        </w:rPr>
        <w:t xml:space="preserve"> rejected by the APB</w:t>
      </w:r>
      <w:r w:rsidR="000C1EF0" w:rsidRPr="00D272CC">
        <w:rPr>
          <w:lang w:val="en-GB"/>
        </w:rPr>
        <w:t xml:space="preserve"> because</w:t>
      </w:r>
      <w:r w:rsidRPr="00D272CC">
        <w:rPr>
          <w:lang w:val="en-GB"/>
        </w:rPr>
        <w:t xml:space="preserve"> </w:t>
      </w:r>
      <w:r w:rsidR="000C1EF0" w:rsidRPr="00D272CC">
        <w:rPr>
          <w:lang w:val="en-GB"/>
        </w:rPr>
        <w:t xml:space="preserve">some of their content was </w:t>
      </w:r>
      <w:r w:rsidRPr="00D272CC">
        <w:rPr>
          <w:lang w:val="en-GB"/>
        </w:rPr>
        <w:t xml:space="preserve">too </w:t>
      </w:r>
      <w:r w:rsidR="00922913">
        <w:rPr>
          <w:lang w:val="en-GB"/>
        </w:rPr>
        <w:t>different</w:t>
      </w:r>
      <w:r w:rsidRPr="00D272CC">
        <w:rPr>
          <w:lang w:val="en-GB"/>
        </w:rPr>
        <w:t xml:space="preserve"> from existing practice, and the</w:t>
      </w:r>
      <w:r w:rsidR="00374A06" w:rsidRPr="00D272CC">
        <w:rPr>
          <w:lang w:val="en-GB"/>
        </w:rPr>
        <w:t xml:space="preserve"> APB </w:t>
      </w:r>
      <w:r w:rsidR="00922913">
        <w:rPr>
          <w:lang w:val="en-GB"/>
        </w:rPr>
        <w:t xml:space="preserve">eventually </w:t>
      </w:r>
      <w:r w:rsidR="00374A06" w:rsidRPr="00D272CC">
        <w:rPr>
          <w:lang w:val="en-GB"/>
        </w:rPr>
        <w:t>produced its own</w:t>
      </w:r>
      <w:r w:rsidR="00922913">
        <w:rPr>
          <w:lang w:val="en-GB"/>
        </w:rPr>
        <w:t>,</w:t>
      </w:r>
      <w:r w:rsidR="00374A06" w:rsidRPr="00D272CC">
        <w:rPr>
          <w:lang w:val="en-GB"/>
        </w:rPr>
        <w:t xml:space="preserve"> </w:t>
      </w:r>
      <w:r w:rsidR="00922913">
        <w:rPr>
          <w:lang w:val="en-GB"/>
        </w:rPr>
        <w:t xml:space="preserve">mostly </w:t>
      </w:r>
      <w:r w:rsidR="00374A06" w:rsidRPr="00D272CC">
        <w:rPr>
          <w:lang w:val="en-GB"/>
        </w:rPr>
        <w:t>descriptive</w:t>
      </w:r>
      <w:r w:rsidR="00922913">
        <w:rPr>
          <w:lang w:val="en-GB"/>
        </w:rPr>
        <w:t>,</w:t>
      </w:r>
      <w:r w:rsidR="00374A06" w:rsidRPr="00D272CC">
        <w:rPr>
          <w:lang w:val="en-GB"/>
        </w:rPr>
        <w:t xml:space="preserve"> set of principles as </w:t>
      </w:r>
      <w:r w:rsidR="00374A06" w:rsidRPr="00D272CC">
        <w:rPr>
          <w:i/>
          <w:lang w:val="en-GB"/>
        </w:rPr>
        <w:t>Basic Concepts and Accounting Principles Underlying Financial Statements of Business Enterprises</w:t>
      </w:r>
      <w:r w:rsidR="00374A06" w:rsidRPr="00D272CC">
        <w:rPr>
          <w:lang w:val="en-GB"/>
        </w:rPr>
        <w:t xml:space="preserve"> (APB Statement No. 4) in 1970.</w:t>
      </w:r>
      <w:r w:rsidR="00F72C6D">
        <w:rPr>
          <w:lang w:val="en-GB"/>
        </w:rPr>
        <w:t xml:space="preserve"> Chapter 4 </w:t>
      </w:r>
      <w:r w:rsidR="00684766">
        <w:rPr>
          <w:lang w:val="en-GB"/>
        </w:rPr>
        <w:t xml:space="preserve">of that </w:t>
      </w:r>
      <w:r w:rsidR="00F72C6D">
        <w:rPr>
          <w:lang w:val="en-GB"/>
        </w:rPr>
        <w:t>deals with objectives, leading to a discussion of QCs which gives primacy to relevance ahead of verifiability and neutrality (Schattke 1972, p.</w:t>
      </w:r>
      <w:r w:rsidR="005A7CE7">
        <w:rPr>
          <w:lang w:val="en-GB"/>
        </w:rPr>
        <w:t xml:space="preserve"> </w:t>
      </w:r>
      <w:r w:rsidR="00F72C6D">
        <w:rPr>
          <w:lang w:val="en-GB"/>
        </w:rPr>
        <w:t>238).</w:t>
      </w:r>
    </w:p>
    <w:p w14:paraId="7D0A63D5" w14:textId="77777777" w:rsidR="004A5C9F" w:rsidRPr="00D272CC" w:rsidRDefault="00374A06" w:rsidP="000C1EF0">
      <w:pPr>
        <w:rPr>
          <w:lang w:val="en-GB"/>
        </w:rPr>
      </w:pPr>
      <w:r w:rsidRPr="00D272CC">
        <w:rPr>
          <w:lang w:val="en-GB"/>
        </w:rPr>
        <w:t xml:space="preserve">Meanwhile, </w:t>
      </w:r>
      <w:r w:rsidR="00922913">
        <w:rPr>
          <w:lang w:val="en-GB"/>
        </w:rPr>
        <w:t xml:space="preserve">the American Accounting Association, the organisation of </w:t>
      </w:r>
      <w:r w:rsidRPr="00D272CC">
        <w:rPr>
          <w:lang w:val="en-GB"/>
        </w:rPr>
        <w:t>academic accountants in the US</w:t>
      </w:r>
      <w:r w:rsidR="00922913">
        <w:rPr>
          <w:lang w:val="en-GB"/>
        </w:rPr>
        <w:t>,</w:t>
      </w:r>
      <w:r w:rsidRPr="00D272CC">
        <w:rPr>
          <w:lang w:val="en-GB"/>
        </w:rPr>
        <w:t xml:space="preserve"> had published </w:t>
      </w:r>
      <w:r w:rsidRPr="00D272CC">
        <w:rPr>
          <w:i/>
          <w:lang w:val="en-GB"/>
        </w:rPr>
        <w:t>A Statement of Basic Accounting Theory</w:t>
      </w:r>
      <w:r w:rsidRPr="00D272CC">
        <w:rPr>
          <w:lang w:val="en-GB"/>
        </w:rPr>
        <w:t xml:space="preserve"> (ASOBAT) in 1966 which was </w:t>
      </w:r>
      <w:r w:rsidR="00BD61E6">
        <w:rPr>
          <w:lang w:val="en-GB"/>
        </w:rPr>
        <w:t>‘</w:t>
      </w:r>
      <w:r w:rsidRPr="00D272CC">
        <w:rPr>
          <w:lang w:val="en-GB"/>
        </w:rPr>
        <w:t>revolutionary</w:t>
      </w:r>
      <w:r w:rsidR="00BD61E6">
        <w:rPr>
          <w:lang w:val="en-GB"/>
        </w:rPr>
        <w:t>’</w:t>
      </w:r>
      <w:r w:rsidRPr="00D272CC">
        <w:rPr>
          <w:lang w:val="en-GB"/>
        </w:rPr>
        <w:t xml:space="preserve"> </w:t>
      </w:r>
      <w:r w:rsidR="00FE4014" w:rsidRPr="00D272CC">
        <w:rPr>
          <w:lang w:val="en-GB"/>
        </w:rPr>
        <w:t>(Sterling 1967</w:t>
      </w:r>
      <w:r w:rsidR="00FE4014">
        <w:rPr>
          <w:lang w:val="en-GB"/>
        </w:rPr>
        <w:t>, p.</w:t>
      </w:r>
      <w:r w:rsidR="003246F1">
        <w:rPr>
          <w:lang w:val="en-GB"/>
        </w:rPr>
        <w:t xml:space="preserve"> </w:t>
      </w:r>
      <w:r w:rsidR="00FE4014">
        <w:rPr>
          <w:lang w:val="en-GB"/>
        </w:rPr>
        <w:t>95</w:t>
      </w:r>
      <w:r w:rsidR="00FE4014" w:rsidRPr="00D272CC">
        <w:rPr>
          <w:lang w:val="en-GB"/>
        </w:rPr>
        <w:t>)</w:t>
      </w:r>
      <w:r w:rsidR="00FE4014">
        <w:rPr>
          <w:lang w:val="en-GB"/>
        </w:rPr>
        <w:t>. I</w:t>
      </w:r>
      <w:r w:rsidRPr="00D272CC">
        <w:rPr>
          <w:lang w:val="en-GB"/>
        </w:rPr>
        <w:t>t took a deductive approach rather than drawing on existing practice. ASOBAT was never accepted by the APB</w:t>
      </w:r>
      <w:r w:rsidR="00FB45CA" w:rsidRPr="00D272CC">
        <w:rPr>
          <w:lang w:val="en-GB"/>
        </w:rPr>
        <w:t>. Its</w:t>
      </w:r>
      <w:r w:rsidRPr="00D272CC">
        <w:rPr>
          <w:lang w:val="en-GB"/>
        </w:rPr>
        <w:t xml:space="preserve"> conclusions appear strikingly modern. It put decision-usefulness at the top of its objectives for accounting (p.</w:t>
      </w:r>
      <w:r w:rsidR="000231CD" w:rsidRPr="00D272CC">
        <w:rPr>
          <w:lang w:val="en-GB"/>
        </w:rPr>
        <w:t xml:space="preserve"> </w:t>
      </w:r>
      <w:r w:rsidRPr="00D272CC">
        <w:rPr>
          <w:lang w:val="en-GB"/>
        </w:rPr>
        <w:t>4)</w:t>
      </w:r>
      <w:r w:rsidR="00BD61E6">
        <w:rPr>
          <w:lang w:val="en-GB"/>
        </w:rPr>
        <w:t>, and</w:t>
      </w:r>
      <w:r w:rsidRPr="00D272CC">
        <w:rPr>
          <w:lang w:val="en-GB"/>
        </w:rPr>
        <w:t xml:space="preserve"> set out (p.</w:t>
      </w:r>
      <w:r w:rsidR="000231CD" w:rsidRPr="00D272CC">
        <w:rPr>
          <w:lang w:val="en-GB"/>
        </w:rPr>
        <w:t xml:space="preserve"> </w:t>
      </w:r>
      <w:r w:rsidRPr="00D272CC">
        <w:rPr>
          <w:lang w:val="en-GB"/>
        </w:rPr>
        <w:t xml:space="preserve">7) four </w:t>
      </w:r>
      <w:r w:rsidR="007B7623" w:rsidRPr="00D272CC">
        <w:rPr>
          <w:lang w:val="en-GB"/>
        </w:rPr>
        <w:t>‘</w:t>
      </w:r>
      <w:r w:rsidRPr="00D272CC">
        <w:rPr>
          <w:lang w:val="en-GB"/>
        </w:rPr>
        <w:t>basic standards</w:t>
      </w:r>
      <w:r w:rsidR="007B7623" w:rsidRPr="00D272CC">
        <w:rPr>
          <w:lang w:val="en-GB"/>
        </w:rPr>
        <w:t>’</w:t>
      </w:r>
      <w:r w:rsidRPr="00D272CC">
        <w:rPr>
          <w:rStyle w:val="FootnoteReference"/>
          <w:lang w:val="en-GB"/>
        </w:rPr>
        <w:footnoteReference w:id="8"/>
      </w:r>
      <w:r w:rsidR="004A5C9F" w:rsidRPr="00D272CC">
        <w:rPr>
          <w:lang w:val="en-GB"/>
        </w:rPr>
        <w:t xml:space="preserve"> for accounting information: relevance, verifiability, freedom from bias, and quantifiability. </w:t>
      </w:r>
      <w:r w:rsidR="002864CE" w:rsidRPr="00D272CC">
        <w:rPr>
          <w:lang w:val="en-GB"/>
        </w:rPr>
        <w:t>After that</w:t>
      </w:r>
      <w:r w:rsidR="004A5C9F" w:rsidRPr="00D272CC">
        <w:rPr>
          <w:lang w:val="en-GB"/>
        </w:rPr>
        <w:t>, there were five guides for communication:</w:t>
      </w:r>
      <w:r w:rsidR="00FB45CA" w:rsidRPr="00D272CC">
        <w:rPr>
          <w:lang w:val="en-GB"/>
        </w:rPr>
        <w:t xml:space="preserve"> </w:t>
      </w:r>
      <w:r w:rsidR="004A5C9F" w:rsidRPr="00D272CC">
        <w:rPr>
          <w:lang w:val="en-GB"/>
        </w:rPr>
        <w:t xml:space="preserve">appropriateness to </w:t>
      </w:r>
      <w:r w:rsidR="000C1EF0" w:rsidRPr="00D272CC">
        <w:rPr>
          <w:lang w:val="en-GB"/>
        </w:rPr>
        <w:t xml:space="preserve">use, disclosure of significant relationships, inclusion of environmental information, uniformity of practice within and among entities, and consistency of practices through time. </w:t>
      </w:r>
      <w:r w:rsidR="004A5C9F" w:rsidRPr="00D272CC">
        <w:rPr>
          <w:lang w:val="en-GB"/>
        </w:rPr>
        <w:t xml:space="preserve">These desiderata would now be called </w:t>
      </w:r>
      <w:r w:rsidR="007B7623" w:rsidRPr="00D272CC">
        <w:rPr>
          <w:lang w:val="en-GB"/>
        </w:rPr>
        <w:t>‘</w:t>
      </w:r>
      <w:r w:rsidR="004A5C9F" w:rsidRPr="00D272CC">
        <w:rPr>
          <w:lang w:val="en-GB"/>
        </w:rPr>
        <w:t>qualitative characteristics</w:t>
      </w:r>
      <w:r w:rsidR="007B7623" w:rsidRPr="00D272CC">
        <w:rPr>
          <w:lang w:val="en-GB"/>
        </w:rPr>
        <w:t>’</w:t>
      </w:r>
      <w:r w:rsidR="004A5C9F" w:rsidRPr="00D272CC">
        <w:rPr>
          <w:lang w:val="en-GB"/>
        </w:rPr>
        <w:t>. M</w:t>
      </w:r>
      <w:r w:rsidR="000C1EF0" w:rsidRPr="00D272CC">
        <w:rPr>
          <w:lang w:val="en-GB"/>
        </w:rPr>
        <w:t>any</w:t>
      </w:r>
      <w:r w:rsidR="004A5C9F" w:rsidRPr="00D272CC">
        <w:rPr>
          <w:lang w:val="en-GB"/>
        </w:rPr>
        <w:t xml:space="preserve"> of them are to be seen in the </w:t>
      </w:r>
      <w:r w:rsidR="00FA6D69" w:rsidRPr="00D272CC">
        <w:rPr>
          <w:lang w:val="en-GB"/>
        </w:rPr>
        <w:t xml:space="preserve">later </w:t>
      </w:r>
      <w:r w:rsidR="004A5C9F" w:rsidRPr="00D272CC">
        <w:rPr>
          <w:lang w:val="en-GB"/>
        </w:rPr>
        <w:t xml:space="preserve">frameworks of the IASB and the </w:t>
      </w:r>
      <w:r w:rsidR="00FA6D69" w:rsidRPr="00D272CC">
        <w:rPr>
          <w:lang w:val="en-GB"/>
        </w:rPr>
        <w:t>Financial Accounting Standards Board (</w:t>
      </w:r>
      <w:r w:rsidR="004A5C9F" w:rsidRPr="00D272CC">
        <w:rPr>
          <w:lang w:val="en-GB"/>
        </w:rPr>
        <w:t>FASB</w:t>
      </w:r>
      <w:r w:rsidR="00FA6D69" w:rsidRPr="00D272CC">
        <w:rPr>
          <w:lang w:val="en-GB"/>
        </w:rPr>
        <w:t>)</w:t>
      </w:r>
      <w:r w:rsidR="004A5C9F" w:rsidRPr="00D272CC">
        <w:rPr>
          <w:lang w:val="en-GB"/>
        </w:rPr>
        <w:t>.</w:t>
      </w:r>
    </w:p>
    <w:p w14:paraId="12A4CF67" w14:textId="77777777" w:rsidR="00E03381" w:rsidRDefault="004A5C9F" w:rsidP="009D312A">
      <w:pPr>
        <w:autoSpaceDE w:val="0"/>
        <w:autoSpaceDN w:val="0"/>
        <w:adjustRightInd w:val="0"/>
        <w:rPr>
          <w:lang w:val="en-GB"/>
        </w:rPr>
      </w:pPr>
      <w:r w:rsidRPr="00D272CC">
        <w:rPr>
          <w:lang w:val="en-GB"/>
        </w:rPr>
        <w:t xml:space="preserve">In </w:t>
      </w:r>
      <w:r w:rsidR="00CB5CD8">
        <w:rPr>
          <w:lang w:val="en-GB"/>
        </w:rPr>
        <w:t>1971</w:t>
      </w:r>
      <w:r w:rsidRPr="00D272CC">
        <w:rPr>
          <w:lang w:val="en-GB"/>
        </w:rPr>
        <w:t>, the AICPA set up two committees (</w:t>
      </w:r>
      <w:r w:rsidR="007B7623" w:rsidRPr="00D272CC">
        <w:rPr>
          <w:lang w:val="en-GB"/>
        </w:rPr>
        <w:t>‘</w:t>
      </w:r>
      <w:r w:rsidRPr="00D272CC">
        <w:rPr>
          <w:lang w:val="en-GB"/>
        </w:rPr>
        <w:t>Wheat</w:t>
      </w:r>
      <w:r w:rsidR="007B7623" w:rsidRPr="00D272CC">
        <w:rPr>
          <w:lang w:val="en-GB"/>
        </w:rPr>
        <w:t>’</w:t>
      </w:r>
      <w:r w:rsidRPr="00D272CC">
        <w:rPr>
          <w:lang w:val="en-GB"/>
        </w:rPr>
        <w:t xml:space="preserve"> and </w:t>
      </w:r>
      <w:r w:rsidR="007B7623" w:rsidRPr="00D272CC">
        <w:rPr>
          <w:lang w:val="en-GB"/>
        </w:rPr>
        <w:t>‘</w:t>
      </w:r>
      <w:r w:rsidRPr="00D272CC">
        <w:rPr>
          <w:lang w:val="en-GB"/>
        </w:rPr>
        <w:t>Trueblood</w:t>
      </w:r>
      <w:r w:rsidR="007B7623" w:rsidRPr="00D272CC">
        <w:rPr>
          <w:lang w:val="en-GB"/>
        </w:rPr>
        <w:t>’</w:t>
      </w:r>
      <w:r w:rsidRPr="00D272CC">
        <w:rPr>
          <w:lang w:val="en-GB"/>
        </w:rPr>
        <w:t>) which led, respectively, to the found</w:t>
      </w:r>
      <w:r w:rsidR="000C1EF0" w:rsidRPr="00D272CC">
        <w:rPr>
          <w:lang w:val="en-GB"/>
        </w:rPr>
        <w:t>ing</w:t>
      </w:r>
      <w:r w:rsidRPr="00D272CC">
        <w:rPr>
          <w:lang w:val="en-GB"/>
        </w:rPr>
        <w:t xml:space="preserve"> of the F</w:t>
      </w:r>
      <w:r w:rsidR="00FA6D69" w:rsidRPr="00D272CC">
        <w:rPr>
          <w:lang w:val="en-GB"/>
        </w:rPr>
        <w:t>ASB</w:t>
      </w:r>
      <w:r w:rsidRPr="00D272CC">
        <w:rPr>
          <w:lang w:val="en-GB"/>
        </w:rPr>
        <w:t xml:space="preserve"> in 1973 and to its acceptance of the need </w:t>
      </w:r>
      <w:r w:rsidR="00855836">
        <w:rPr>
          <w:lang w:val="en-GB"/>
        </w:rPr>
        <w:t>to define</w:t>
      </w:r>
      <w:r w:rsidR="00CB5CD8">
        <w:rPr>
          <w:lang w:val="en-GB"/>
        </w:rPr>
        <w:t xml:space="preserve"> the objectives of financial reporting</w:t>
      </w:r>
      <w:r w:rsidRPr="00D272CC">
        <w:rPr>
          <w:lang w:val="en-GB"/>
        </w:rPr>
        <w:t xml:space="preserve"> on which to base standard-setting. </w:t>
      </w:r>
      <w:r w:rsidR="0078726D">
        <w:rPr>
          <w:lang w:val="en-GB"/>
        </w:rPr>
        <w:t>The Trueblood Report (AICPA 1973</w:t>
      </w:r>
      <w:r w:rsidR="00F72C6D">
        <w:rPr>
          <w:lang w:val="en-GB"/>
        </w:rPr>
        <w:t>, ch.</w:t>
      </w:r>
      <w:r w:rsidR="00524E53">
        <w:rPr>
          <w:lang w:val="en-GB"/>
        </w:rPr>
        <w:t xml:space="preserve"> </w:t>
      </w:r>
      <w:r w:rsidR="00F72C6D">
        <w:rPr>
          <w:lang w:val="en-GB"/>
        </w:rPr>
        <w:t>10</w:t>
      </w:r>
      <w:r w:rsidR="00025AE1">
        <w:rPr>
          <w:lang w:val="en-GB"/>
        </w:rPr>
        <w:t xml:space="preserve">) begins the process of applying its objectives (principally decision-usefulness), by suggesting QCs, summarised by Zeff (2013, p. 283) as </w:t>
      </w:r>
      <w:r w:rsidR="00025AE1" w:rsidRPr="00025AE1">
        <w:rPr>
          <w:szCs w:val="24"/>
          <w:lang w:val="en-GB"/>
        </w:rPr>
        <w:t>‘</w:t>
      </w:r>
      <w:r w:rsidR="00400FB4" w:rsidRPr="00386416">
        <w:rPr>
          <w:lang w:val="en-GB"/>
        </w:rPr>
        <w:t>Information must be relevant and material,</w:t>
      </w:r>
      <w:r w:rsidR="00025AE1" w:rsidRPr="00386416">
        <w:rPr>
          <w:lang w:val="en-GB"/>
        </w:rPr>
        <w:t xml:space="preserve"> </w:t>
      </w:r>
      <w:r w:rsidR="00400FB4" w:rsidRPr="00386416">
        <w:rPr>
          <w:lang w:val="en-GB"/>
        </w:rPr>
        <w:t>substance should rule over form, and the information must be reliable, free from bias, must</w:t>
      </w:r>
      <w:r w:rsidR="00025AE1" w:rsidRPr="00386416">
        <w:rPr>
          <w:lang w:val="en-GB"/>
        </w:rPr>
        <w:t xml:space="preserve"> </w:t>
      </w:r>
      <w:r w:rsidR="00400FB4" w:rsidRPr="00386416">
        <w:rPr>
          <w:lang w:val="en-GB"/>
        </w:rPr>
        <w:t>promote comparability, and should be consistent and understandable</w:t>
      </w:r>
      <w:r w:rsidR="00025AE1">
        <w:rPr>
          <w:color w:val="231F20"/>
          <w:szCs w:val="24"/>
          <w:lang w:val="en-GB" w:eastAsia="de-DE"/>
        </w:rPr>
        <w:t>’.</w:t>
      </w:r>
    </w:p>
    <w:p w14:paraId="57B560FB" w14:textId="77777777" w:rsidR="00E03381" w:rsidRPr="009D312A" w:rsidRDefault="004A5C9F" w:rsidP="009D312A">
      <w:pPr>
        <w:autoSpaceDE w:val="0"/>
        <w:autoSpaceDN w:val="0"/>
        <w:adjustRightInd w:val="0"/>
        <w:rPr>
          <w:color w:val="231F20"/>
          <w:szCs w:val="24"/>
          <w:lang w:val="en-GB" w:eastAsia="de-DE"/>
        </w:rPr>
      </w:pPr>
      <w:r w:rsidRPr="00D272CC">
        <w:rPr>
          <w:lang w:val="en-GB"/>
        </w:rPr>
        <w:t xml:space="preserve">The </w:t>
      </w:r>
      <w:r w:rsidR="00491A79">
        <w:rPr>
          <w:lang w:val="en-GB"/>
        </w:rPr>
        <w:t xml:space="preserve">FASB </w:t>
      </w:r>
      <w:r w:rsidR="00855836">
        <w:rPr>
          <w:lang w:val="en-GB"/>
        </w:rPr>
        <w:t xml:space="preserve">produced as series of </w:t>
      </w:r>
      <w:r w:rsidRPr="00D272CC">
        <w:rPr>
          <w:lang w:val="en-GB"/>
        </w:rPr>
        <w:t>document</w:t>
      </w:r>
      <w:r w:rsidR="00855836">
        <w:rPr>
          <w:lang w:val="en-GB"/>
        </w:rPr>
        <w:t>s on concepts, starting with one on objectives. Th</w:t>
      </w:r>
      <w:r w:rsidR="00A817BC">
        <w:rPr>
          <w:lang w:val="en-GB"/>
        </w:rPr>
        <w:t>at</w:t>
      </w:r>
      <w:r w:rsidRPr="00D272CC">
        <w:rPr>
          <w:lang w:val="en-GB"/>
        </w:rPr>
        <w:t xml:space="preserve"> of</w:t>
      </w:r>
      <w:r w:rsidR="005B42EA" w:rsidRPr="00D272CC">
        <w:rPr>
          <w:lang w:val="en-GB"/>
        </w:rPr>
        <w:t xml:space="preserve"> </w:t>
      </w:r>
      <w:r w:rsidRPr="00D272CC">
        <w:rPr>
          <w:lang w:val="en-GB"/>
        </w:rPr>
        <w:t xml:space="preserve">most relevance to this paper is </w:t>
      </w:r>
      <w:r w:rsidRPr="00D272CC">
        <w:rPr>
          <w:i/>
          <w:lang w:val="en-GB"/>
        </w:rPr>
        <w:t>Concepts Statement</w:t>
      </w:r>
      <w:r w:rsidRPr="00D272CC">
        <w:rPr>
          <w:lang w:val="en-GB"/>
        </w:rPr>
        <w:t xml:space="preserve"> </w:t>
      </w:r>
      <w:r w:rsidR="0078212D">
        <w:rPr>
          <w:lang w:val="en-GB"/>
        </w:rPr>
        <w:t>No.</w:t>
      </w:r>
      <w:r w:rsidRPr="00D272CC">
        <w:rPr>
          <w:lang w:val="en-GB"/>
        </w:rPr>
        <w:t xml:space="preserve"> 2 (of 1980) on </w:t>
      </w:r>
      <w:r w:rsidR="005A7B11" w:rsidRPr="007A50EF">
        <w:rPr>
          <w:i/>
          <w:lang w:val="en-GB"/>
        </w:rPr>
        <w:t>Qualitative Characteristics of Accounting Information</w:t>
      </w:r>
      <w:r w:rsidRPr="00D272CC">
        <w:rPr>
          <w:lang w:val="en-GB"/>
        </w:rPr>
        <w:t>. This puts relevance and reliability at the top of a hierarchy of qualities</w:t>
      </w:r>
      <w:r w:rsidR="0022563B">
        <w:rPr>
          <w:lang w:val="en-GB"/>
        </w:rPr>
        <w:t xml:space="preserve">. The </w:t>
      </w:r>
      <w:r w:rsidR="00AE4273">
        <w:rPr>
          <w:lang w:val="en-GB"/>
        </w:rPr>
        <w:t>broad ideas behind these qualities had been established in the earlier documents, such as ASOBAT, but their exact def</w:t>
      </w:r>
      <w:r w:rsidR="002F2E04">
        <w:rPr>
          <w:lang w:val="en-GB"/>
        </w:rPr>
        <w:t>initions and weighting were new</w:t>
      </w:r>
      <w:r w:rsidR="00AE4273">
        <w:rPr>
          <w:lang w:val="en-GB"/>
        </w:rPr>
        <w:t xml:space="preserve"> and have been attributed to David Solomons, </w:t>
      </w:r>
      <w:r w:rsidR="00DF5CF6">
        <w:rPr>
          <w:lang w:val="en-GB"/>
        </w:rPr>
        <w:t xml:space="preserve">who had been </w:t>
      </w:r>
      <w:r w:rsidR="00CB5CD8">
        <w:rPr>
          <w:lang w:val="en-GB"/>
        </w:rPr>
        <w:t>a member</w:t>
      </w:r>
      <w:r w:rsidR="00AE4273">
        <w:rPr>
          <w:lang w:val="en-GB"/>
        </w:rPr>
        <w:t xml:space="preserve"> of the </w:t>
      </w:r>
      <w:r w:rsidR="00DF5CF6">
        <w:rPr>
          <w:lang w:val="en-GB"/>
        </w:rPr>
        <w:t>Wheat</w:t>
      </w:r>
      <w:r w:rsidR="00AE4273">
        <w:rPr>
          <w:lang w:val="en-GB"/>
        </w:rPr>
        <w:t xml:space="preserve"> Committee</w:t>
      </w:r>
      <w:r w:rsidR="00DF5CF6">
        <w:rPr>
          <w:lang w:val="en-GB"/>
        </w:rPr>
        <w:t xml:space="preserve"> and was the draughtsman of </w:t>
      </w:r>
      <w:r w:rsidR="00DF5CF6" w:rsidRPr="00D272CC">
        <w:rPr>
          <w:i/>
          <w:lang w:val="en-GB"/>
        </w:rPr>
        <w:t>Concepts Statement</w:t>
      </w:r>
      <w:r w:rsidR="00DF5CF6" w:rsidRPr="00D272CC">
        <w:rPr>
          <w:lang w:val="en-GB"/>
        </w:rPr>
        <w:t xml:space="preserve"> </w:t>
      </w:r>
      <w:r w:rsidR="00DF5CF6">
        <w:rPr>
          <w:lang w:val="en-GB"/>
        </w:rPr>
        <w:t>No.</w:t>
      </w:r>
      <w:r w:rsidR="00DF5CF6" w:rsidRPr="00D272CC">
        <w:rPr>
          <w:lang w:val="en-GB"/>
        </w:rPr>
        <w:t xml:space="preserve"> 2 </w:t>
      </w:r>
      <w:r w:rsidR="00AE4273">
        <w:rPr>
          <w:lang w:val="en-GB"/>
        </w:rPr>
        <w:t>(Gore 1992</w:t>
      </w:r>
      <w:r w:rsidR="00DF5CF6">
        <w:rPr>
          <w:lang w:val="en-GB"/>
        </w:rPr>
        <w:t>,</w:t>
      </w:r>
      <w:r w:rsidR="006C1FF3">
        <w:rPr>
          <w:lang w:val="en-GB"/>
        </w:rPr>
        <w:t xml:space="preserve"> p</w:t>
      </w:r>
      <w:r w:rsidR="00D67612">
        <w:rPr>
          <w:lang w:val="en-GB"/>
        </w:rPr>
        <w:t>p. 111-2</w:t>
      </w:r>
      <w:r w:rsidR="006C1FF3">
        <w:rPr>
          <w:lang w:val="en-GB"/>
        </w:rPr>
        <w:t xml:space="preserve">, </w:t>
      </w:r>
      <w:r w:rsidR="00DF5CF6">
        <w:rPr>
          <w:lang w:val="en-GB"/>
        </w:rPr>
        <w:t>Zeff 1999</w:t>
      </w:r>
      <w:r w:rsidR="002F2E04">
        <w:rPr>
          <w:lang w:val="en-GB"/>
        </w:rPr>
        <w:t>, p.</w:t>
      </w:r>
      <w:r w:rsidR="005A7CE7">
        <w:rPr>
          <w:lang w:val="en-GB"/>
        </w:rPr>
        <w:t xml:space="preserve"> </w:t>
      </w:r>
      <w:r w:rsidR="002F2E04">
        <w:rPr>
          <w:lang w:val="en-GB"/>
        </w:rPr>
        <w:t>109</w:t>
      </w:r>
      <w:r w:rsidR="00AE4273">
        <w:rPr>
          <w:lang w:val="en-GB"/>
        </w:rPr>
        <w:t>).</w:t>
      </w:r>
    </w:p>
    <w:p w14:paraId="645670B9" w14:textId="77777777" w:rsidR="00AE503F" w:rsidRPr="00D272CC" w:rsidRDefault="0022563B" w:rsidP="00FA4394">
      <w:pPr>
        <w:ind w:firstLine="540"/>
        <w:rPr>
          <w:lang w:val="en-GB"/>
        </w:rPr>
      </w:pPr>
      <w:r w:rsidRPr="00D272CC">
        <w:rPr>
          <w:i/>
          <w:lang w:val="en-GB"/>
        </w:rPr>
        <w:t>Concepts Statement</w:t>
      </w:r>
      <w:r w:rsidRPr="00D272CC">
        <w:rPr>
          <w:lang w:val="en-GB"/>
        </w:rPr>
        <w:t xml:space="preserve"> </w:t>
      </w:r>
      <w:r>
        <w:rPr>
          <w:lang w:val="en-GB"/>
        </w:rPr>
        <w:t>No.</w:t>
      </w:r>
      <w:r w:rsidRPr="00D272CC">
        <w:rPr>
          <w:lang w:val="en-GB"/>
        </w:rPr>
        <w:t xml:space="preserve"> 2 </w:t>
      </w:r>
      <w:r w:rsidR="004A5C9F" w:rsidRPr="00D272CC">
        <w:rPr>
          <w:lang w:val="en-GB"/>
        </w:rPr>
        <w:t xml:space="preserve">is the direct ancestor of the </w:t>
      </w:r>
      <w:r w:rsidR="004A5C9F" w:rsidRPr="00D272CC">
        <w:rPr>
          <w:i/>
          <w:lang w:val="en-GB"/>
        </w:rPr>
        <w:t>Framework</w:t>
      </w:r>
      <w:r w:rsidR="004A5C9F" w:rsidRPr="00D272CC">
        <w:rPr>
          <w:lang w:val="en-GB"/>
        </w:rPr>
        <w:t xml:space="preserve"> of the International Accounting Standards Committee</w:t>
      </w:r>
      <w:r w:rsidR="005E0433" w:rsidRPr="00D272CC">
        <w:rPr>
          <w:lang w:val="en-GB"/>
        </w:rPr>
        <w:t xml:space="preserve"> </w:t>
      </w:r>
      <w:r w:rsidR="003E69A4" w:rsidRPr="00D272CC">
        <w:rPr>
          <w:lang w:val="en-GB"/>
        </w:rPr>
        <w:t xml:space="preserve">(IASC </w:t>
      </w:r>
      <w:r w:rsidR="004A5C9F" w:rsidRPr="00D272CC">
        <w:rPr>
          <w:lang w:val="en-GB"/>
        </w:rPr>
        <w:t>1989</w:t>
      </w:r>
      <w:r w:rsidR="003E69A4" w:rsidRPr="00D272CC">
        <w:rPr>
          <w:lang w:val="en-GB"/>
        </w:rPr>
        <w:t>)</w:t>
      </w:r>
      <w:r w:rsidR="00DF5CF6">
        <w:rPr>
          <w:lang w:val="en-GB"/>
        </w:rPr>
        <w:t xml:space="preserve">. </w:t>
      </w:r>
      <w:r w:rsidR="00E7061F">
        <w:rPr>
          <w:lang w:val="en-GB"/>
        </w:rPr>
        <w:t xml:space="preserve">This </w:t>
      </w:r>
      <w:r w:rsidR="00E7061F" w:rsidRPr="00D272CC">
        <w:rPr>
          <w:lang w:val="en-GB"/>
        </w:rPr>
        <w:t>was adopted</w:t>
      </w:r>
      <w:r w:rsidR="00E7061F">
        <w:rPr>
          <w:rStyle w:val="FootnoteReference"/>
          <w:lang w:val="en-GB"/>
        </w:rPr>
        <w:footnoteReference w:id="9"/>
      </w:r>
      <w:r w:rsidR="00E7061F" w:rsidRPr="00D272CC">
        <w:rPr>
          <w:lang w:val="en-GB"/>
        </w:rPr>
        <w:t xml:space="preserve"> by the IASB</w:t>
      </w:r>
      <w:r w:rsidR="00E7061F">
        <w:rPr>
          <w:lang w:val="en-GB"/>
        </w:rPr>
        <w:t>, who eventually</w:t>
      </w:r>
      <w:r w:rsidR="00E7061F" w:rsidRPr="00D272CC">
        <w:rPr>
          <w:lang w:val="en-GB"/>
        </w:rPr>
        <w:t xml:space="preserve"> amended </w:t>
      </w:r>
      <w:r w:rsidR="00E7061F">
        <w:rPr>
          <w:lang w:val="en-GB"/>
        </w:rPr>
        <w:t xml:space="preserve">the sections on objectives and QCs </w:t>
      </w:r>
      <w:r w:rsidR="00E7061F" w:rsidRPr="00D272CC">
        <w:rPr>
          <w:lang w:val="en-GB"/>
        </w:rPr>
        <w:t>in 2010</w:t>
      </w:r>
      <w:r w:rsidR="00E7061F">
        <w:rPr>
          <w:lang w:val="en-GB"/>
        </w:rPr>
        <w:t>,</w:t>
      </w:r>
      <w:r w:rsidR="00E7061F" w:rsidRPr="00D272CC">
        <w:rPr>
          <w:lang w:val="en-GB"/>
        </w:rPr>
        <w:t xml:space="preserve"> and </w:t>
      </w:r>
      <w:r w:rsidR="00BD61E6">
        <w:rPr>
          <w:lang w:val="en-GB"/>
        </w:rPr>
        <w:t xml:space="preserve">then published </w:t>
      </w:r>
      <w:r w:rsidR="00E7061F" w:rsidRPr="00D272CC">
        <w:rPr>
          <w:lang w:val="en-GB"/>
        </w:rPr>
        <w:t>further proposals for amendment</w:t>
      </w:r>
      <w:r w:rsidR="00BD61E6">
        <w:rPr>
          <w:lang w:val="en-GB"/>
        </w:rPr>
        <w:t xml:space="preserve">, </w:t>
      </w:r>
      <w:r w:rsidR="00E7061F" w:rsidRPr="00D272CC">
        <w:rPr>
          <w:lang w:val="en-GB"/>
        </w:rPr>
        <w:t xml:space="preserve">though not of the QCs (IASB 2013). However, as will be explained, the </w:t>
      </w:r>
      <w:r w:rsidR="00E7061F">
        <w:rPr>
          <w:lang w:val="en-GB"/>
        </w:rPr>
        <w:t xml:space="preserve">most </w:t>
      </w:r>
      <w:r w:rsidR="00E7061F" w:rsidRPr="00D272CC">
        <w:rPr>
          <w:lang w:val="en-GB"/>
        </w:rPr>
        <w:t xml:space="preserve">relevant document for this paper is the </w:t>
      </w:r>
      <w:r w:rsidR="00E7061F" w:rsidRPr="00D272CC">
        <w:rPr>
          <w:i/>
          <w:lang w:val="en-GB"/>
        </w:rPr>
        <w:t>Framework</w:t>
      </w:r>
      <w:r w:rsidR="00E7061F" w:rsidRPr="00D272CC">
        <w:rPr>
          <w:lang w:val="en-GB"/>
        </w:rPr>
        <w:t xml:space="preserve"> of 1989.</w:t>
      </w:r>
      <w:r w:rsidR="00A817BC">
        <w:rPr>
          <w:lang w:val="en-GB"/>
        </w:rPr>
        <w:t xml:space="preserve"> </w:t>
      </w:r>
      <w:r w:rsidR="00AE503F" w:rsidRPr="00D272CC">
        <w:rPr>
          <w:lang w:val="en-GB"/>
        </w:rPr>
        <w:t>Th</w:t>
      </w:r>
      <w:r w:rsidR="00E7061F">
        <w:rPr>
          <w:lang w:val="en-GB"/>
        </w:rPr>
        <w:t xml:space="preserve">at version of the </w:t>
      </w:r>
      <w:r w:rsidR="00AE503F" w:rsidRPr="00D272CC">
        <w:rPr>
          <w:i/>
          <w:lang w:val="en-GB"/>
        </w:rPr>
        <w:t>Framework</w:t>
      </w:r>
      <w:r w:rsidR="00AE503F" w:rsidRPr="00D272CC">
        <w:rPr>
          <w:lang w:val="en-GB"/>
        </w:rPr>
        <w:t xml:space="preserve"> set out four principal QCs: understandability, relevance, reliability and comparability. Other subsidiary qualities </w:t>
      </w:r>
      <w:r w:rsidR="00A6431D">
        <w:rPr>
          <w:lang w:val="en-GB"/>
        </w:rPr>
        <w:t xml:space="preserve">(including neutrality and prudence) </w:t>
      </w:r>
      <w:r w:rsidR="001E3FF7">
        <w:rPr>
          <w:lang w:val="en-GB"/>
        </w:rPr>
        <w:t>we</w:t>
      </w:r>
      <w:r w:rsidR="00AE503F" w:rsidRPr="00D272CC">
        <w:rPr>
          <w:lang w:val="en-GB"/>
        </w:rPr>
        <w:t xml:space="preserve">re described, as shown in Figure 1. </w:t>
      </w:r>
      <w:r w:rsidR="006174EA" w:rsidRPr="00D272CC">
        <w:rPr>
          <w:lang w:val="en-GB"/>
        </w:rPr>
        <w:t xml:space="preserve">The terms are explained in Appendix </w:t>
      </w:r>
      <w:r w:rsidR="006A70B1" w:rsidRPr="00D272CC">
        <w:rPr>
          <w:lang w:val="en-GB"/>
        </w:rPr>
        <w:t>1</w:t>
      </w:r>
      <w:r w:rsidR="006174EA" w:rsidRPr="00D272CC">
        <w:rPr>
          <w:lang w:val="en-GB"/>
        </w:rPr>
        <w:t xml:space="preserve">. </w:t>
      </w:r>
      <w:r w:rsidR="00C668A7" w:rsidRPr="00D272CC">
        <w:rPr>
          <w:lang w:val="en-GB"/>
        </w:rPr>
        <w:t>ASOBAT’s word ‘verifiability’ d</w:t>
      </w:r>
      <w:r w:rsidR="00C668A7">
        <w:rPr>
          <w:lang w:val="en-GB"/>
        </w:rPr>
        <w:t>id not originally appear in the</w:t>
      </w:r>
      <w:r w:rsidR="00C668A7" w:rsidRPr="00D272CC">
        <w:rPr>
          <w:lang w:val="en-GB"/>
        </w:rPr>
        <w:t xml:space="preserve"> </w:t>
      </w:r>
      <w:r w:rsidR="00C668A7" w:rsidRPr="00D272CC">
        <w:rPr>
          <w:i/>
          <w:lang w:val="en-GB"/>
        </w:rPr>
        <w:t>Framework</w:t>
      </w:r>
      <w:r w:rsidR="00C668A7">
        <w:rPr>
          <w:lang w:val="en-GB"/>
        </w:rPr>
        <w:t xml:space="preserve">, although it was in </w:t>
      </w:r>
      <w:r w:rsidR="00E7061F">
        <w:rPr>
          <w:lang w:val="en-GB"/>
        </w:rPr>
        <w:t xml:space="preserve">the FASB’s </w:t>
      </w:r>
      <w:r w:rsidR="00C668A7" w:rsidRPr="00D272CC">
        <w:rPr>
          <w:i/>
          <w:lang w:val="en-GB"/>
        </w:rPr>
        <w:t>Concepts Statement</w:t>
      </w:r>
      <w:r w:rsidR="00C668A7" w:rsidRPr="00D272CC">
        <w:rPr>
          <w:lang w:val="en-GB"/>
        </w:rPr>
        <w:t xml:space="preserve"> </w:t>
      </w:r>
      <w:r w:rsidR="00C668A7">
        <w:rPr>
          <w:lang w:val="en-GB"/>
        </w:rPr>
        <w:t>No.</w:t>
      </w:r>
      <w:r w:rsidR="00C668A7" w:rsidRPr="00D272CC">
        <w:rPr>
          <w:lang w:val="en-GB"/>
        </w:rPr>
        <w:t xml:space="preserve"> 2 </w:t>
      </w:r>
      <w:r w:rsidR="00C668A7">
        <w:rPr>
          <w:lang w:val="en-GB"/>
        </w:rPr>
        <w:t xml:space="preserve">(as a constituent of reliability). It </w:t>
      </w:r>
      <w:r w:rsidR="00C668A7" w:rsidRPr="00D272CC">
        <w:rPr>
          <w:lang w:val="en-GB"/>
        </w:rPr>
        <w:t>was introduced in</w:t>
      </w:r>
      <w:r w:rsidR="00D12A31">
        <w:rPr>
          <w:lang w:val="en-GB"/>
        </w:rPr>
        <w:t xml:space="preserve">to the IASB’s revised </w:t>
      </w:r>
      <w:r w:rsidR="00D26BBE" w:rsidRPr="000C43F3">
        <w:rPr>
          <w:i/>
          <w:lang w:val="en-GB"/>
        </w:rPr>
        <w:t>F</w:t>
      </w:r>
      <w:r w:rsidR="00D12A31" w:rsidRPr="000C43F3">
        <w:rPr>
          <w:i/>
          <w:lang w:val="en-GB"/>
        </w:rPr>
        <w:t>ramework</w:t>
      </w:r>
      <w:r w:rsidR="00D12A31">
        <w:rPr>
          <w:lang w:val="en-GB"/>
        </w:rPr>
        <w:t xml:space="preserve"> in</w:t>
      </w:r>
      <w:r w:rsidR="00C668A7" w:rsidRPr="00D272CC">
        <w:rPr>
          <w:lang w:val="en-GB"/>
        </w:rPr>
        <w:t xml:space="preserve"> 2010, as a partial replacement for reliability</w:t>
      </w:r>
      <w:r w:rsidR="00C668A7">
        <w:rPr>
          <w:lang w:val="en-GB"/>
        </w:rPr>
        <w:t xml:space="preserve"> (IASB 2010, para</w:t>
      </w:r>
      <w:r w:rsidR="00BA2B85">
        <w:rPr>
          <w:lang w:val="en-GB"/>
        </w:rPr>
        <w:t>graph</w:t>
      </w:r>
      <w:r w:rsidR="00C668A7">
        <w:rPr>
          <w:lang w:val="en-GB"/>
        </w:rPr>
        <w:t xml:space="preserve"> QC26)</w:t>
      </w:r>
      <w:r w:rsidR="00544D74">
        <w:rPr>
          <w:lang w:val="en-GB"/>
        </w:rPr>
        <w:t>, as noted below</w:t>
      </w:r>
      <w:r w:rsidR="00C668A7" w:rsidRPr="00D272CC">
        <w:rPr>
          <w:lang w:val="en-GB"/>
        </w:rPr>
        <w:t>.</w:t>
      </w:r>
      <w:r w:rsidR="00E7061F" w:rsidRPr="00E7061F">
        <w:rPr>
          <w:lang w:val="en-GB"/>
        </w:rPr>
        <w:t xml:space="preserve"> </w:t>
      </w:r>
      <w:r w:rsidR="00E7061F">
        <w:rPr>
          <w:lang w:val="en-GB"/>
        </w:rPr>
        <w:t>The FASB’s objectives and concepts were revised jointly with the IASB (FASB 2010).</w:t>
      </w:r>
      <w:r w:rsidR="00E7061F" w:rsidRPr="00D272CC">
        <w:rPr>
          <w:rStyle w:val="FootnoteReference"/>
          <w:lang w:val="en-GB"/>
        </w:rPr>
        <w:footnoteReference w:id="10"/>
      </w:r>
    </w:p>
    <w:p w14:paraId="632F467E" w14:textId="77777777" w:rsidR="00A50F9C" w:rsidRPr="00D272CC" w:rsidRDefault="00AE503F" w:rsidP="00A50F9C">
      <w:pPr>
        <w:pStyle w:val="Table-FigureInsert"/>
        <w:rPr>
          <w:lang w:val="en-GB"/>
        </w:rPr>
      </w:pPr>
      <w:r w:rsidRPr="00D272CC">
        <w:rPr>
          <w:lang w:val="en-GB"/>
        </w:rPr>
        <w:t>&lt; insert Figure 1 about here &gt;</w:t>
      </w:r>
    </w:p>
    <w:p w14:paraId="27B02F16" w14:textId="77777777" w:rsidR="00537884" w:rsidRPr="00D272CC" w:rsidRDefault="00662ADC" w:rsidP="00AE503F">
      <w:pPr>
        <w:ind w:firstLine="540"/>
        <w:rPr>
          <w:lang w:val="en-GB"/>
        </w:rPr>
      </w:pPr>
      <w:r w:rsidRPr="00D272CC">
        <w:rPr>
          <w:lang w:val="en-GB"/>
        </w:rPr>
        <w:t>T</w:t>
      </w:r>
      <w:r w:rsidR="00537884" w:rsidRPr="00D272CC">
        <w:rPr>
          <w:lang w:val="en-GB"/>
        </w:rPr>
        <w:t xml:space="preserve">he principal purpose of the </w:t>
      </w:r>
      <w:r w:rsidR="00537884" w:rsidRPr="00D272CC">
        <w:rPr>
          <w:i/>
          <w:lang w:val="en-GB"/>
        </w:rPr>
        <w:t>Framework</w:t>
      </w:r>
      <w:r w:rsidR="00537884" w:rsidRPr="00D272CC">
        <w:rPr>
          <w:lang w:val="en-GB"/>
        </w:rPr>
        <w:t xml:space="preserve"> is to assist the Board when setting </w:t>
      </w:r>
      <w:r w:rsidRPr="00D272CC">
        <w:rPr>
          <w:lang w:val="en-GB"/>
        </w:rPr>
        <w:t xml:space="preserve">accounting </w:t>
      </w:r>
      <w:r w:rsidR="00537884" w:rsidRPr="00D272CC">
        <w:rPr>
          <w:lang w:val="en-GB"/>
        </w:rPr>
        <w:t>standards (para</w:t>
      </w:r>
      <w:r w:rsidR="003D135B" w:rsidRPr="00D272CC">
        <w:rPr>
          <w:lang w:val="en-GB"/>
        </w:rPr>
        <w:t>graph</w:t>
      </w:r>
      <w:r w:rsidR="00537884" w:rsidRPr="00D272CC">
        <w:rPr>
          <w:lang w:val="en-GB"/>
        </w:rPr>
        <w:t xml:space="preserve"> 1)</w:t>
      </w:r>
      <w:r w:rsidRPr="00D272CC">
        <w:rPr>
          <w:lang w:val="en-GB"/>
        </w:rPr>
        <w:t xml:space="preserve">. </w:t>
      </w:r>
      <w:r w:rsidR="00C41094" w:rsidRPr="00D272CC">
        <w:rPr>
          <w:lang w:val="en-GB"/>
        </w:rPr>
        <w:t>T</w:t>
      </w:r>
      <w:r w:rsidRPr="00D272CC">
        <w:rPr>
          <w:lang w:val="en-GB"/>
        </w:rPr>
        <w:t xml:space="preserve">he </w:t>
      </w:r>
      <w:r w:rsidRPr="00D272CC">
        <w:rPr>
          <w:i/>
          <w:lang w:val="en-GB"/>
        </w:rPr>
        <w:t>Framework</w:t>
      </w:r>
      <w:r w:rsidR="00537884" w:rsidRPr="00D272CC">
        <w:rPr>
          <w:lang w:val="en-GB"/>
        </w:rPr>
        <w:t xml:space="preserve"> is also intended to be of general use to preparers (and auditors) when interpreting and applying standards. </w:t>
      </w:r>
      <w:r w:rsidR="00C41094" w:rsidRPr="00D272CC">
        <w:rPr>
          <w:lang w:val="en-GB"/>
        </w:rPr>
        <w:t>Although it is not a standard,</w:t>
      </w:r>
      <w:r w:rsidR="00C41094" w:rsidRPr="00D272CC">
        <w:rPr>
          <w:rStyle w:val="FootnoteReference"/>
          <w:lang w:val="en-GB"/>
        </w:rPr>
        <w:footnoteReference w:id="11"/>
      </w:r>
      <w:r w:rsidR="00C41094" w:rsidRPr="00D272CC">
        <w:rPr>
          <w:lang w:val="en-GB"/>
        </w:rPr>
        <w:t xml:space="preserve"> </w:t>
      </w:r>
      <w:r w:rsidRPr="00D272CC">
        <w:rPr>
          <w:lang w:val="en-GB"/>
        </w:rPr>
        <w:t xml:space="preserve">preparers of </w:t>
      </w:r>
      <w:r w:rsidR="007B30CC" w:rsidRPr="00D272CC">
        <w:rPr>
          <w:lang w:val="en-GB"/>
        </w:rPr>
        <w:t xml:space="preserve">IFRS </w:t>
      </w:r>
      <w:r w:rsidRPr="00D272CC">
        <w:rPr>
          <w:lang w:val="en-GB"/>
        </w:rPr>
        <w:t xml:space="preserve">financial statements are directed towards </w:t>
      </w:r>
      <w:r w:rsidR="00537884" w:rsidRPr="00D272CC">
        <w:rPr>
          <w:lang w:val="en-GB"/>
        </w:rPr>
        <w:t xml:space="preserve">the </w:t>
      </w:r>
      <w:r w:rsidR="00537884" w:rsidRPr="00D272CC">
        <w:rPr>
          <w:i/>
          <w:lang w:val="en-GB"/>
        </w:rPr>
        <w:t>Framework</w:t>
      </w:r>
      <w:r w:rsidR="00537884" w:rsidRPr="00D272CC">
        <w:rPr>
          <w:lang w:val="en-GB"/>
        </w:rPr>
        <w:t xml:space="preserve"> and its QCs under three circumstances: (i) when departing from the requirements of IFRS </w:t>
      </w:r>
      <w:r w:rsidR="00691206">
        <w:rPr>
          <w:lang w:val="en-GB"/>
        </w:rPr>
        <w:t xml:space="preserve">in ‘extremely rare circumstances’ </w:t>
      </w:r>
      <w:r w:rsidR="00537884" w:rsidRPr="00D272CC">
        <w:rPr>
          <w:lang w:val="en-GB"/>
        </w:rPr>
        <w:t xml:space="preserve">(the </w:t>
      </w:r>
      <w:r w:rsidR="007B7623" w:rsidRPr="00D272CC">
        <w:rPr>
          <w:lang w:val="en-GB"/>
        </w:rPr>
        <w:t>‘</w:t>
      </w:r>
      <w:r w:rsidR="00537884" w:rsidRPr="00D272CC">
        <w:rPr>
          <w:lang w:val="en-GB"/>
        </w:rPr>
        <w:t>override</w:t>
      </w:r>
      <w:r w:rsidR="007B7623" w:rsidRPr="00D272CC">
        <w:rPr>
          <w:lang w:val="en-GB"/>
        </w:rPr>
        <w:t>’</w:t>
      </w:r>
      <w:r w:rsidR="00537884" w:rsidRPr="00D272CC">
        <w:rPr>
          <w:lang w:val="en-GB"/>
        </w:rPr>
        <w:t>), according to IAS 1.19</w:t>
      </w:r>
      <w:r w:rsidR="00AE503F" w:rsidRPr="00D272CC">
        <w:rPr>
          <w:lang w:val="en-GB"/>
        </w:rPr>
        <w:t xml:space="preserve"> (see Nobes 2009)</w:t>
      </w:r>
      <w:r w:rsidR="00537884" w:rsidRPr="00D272CC">
        <w:rPr>
          <w:lang w:val="en-GB"/>
        </w:rPr>
        <w:t>, (ii) when developing an accounting policy to cover a transaction not specifically dealt with by IFRS, according to IAS 8.7</w:t>
      </w:r>
      <w:r w:rsidR="00E56E7F" w:rsidRPr="00D272CC">
        <w:rPr>
          <w:lang w:val="en-GB"/>
        </w:rPr>
        <w:t>–</w:t>
      </w:r>
      <w:r w:rsidR="00537884" w:rsidRPr="00D272CC">
        <w:rPr>
          <w:lang w:val="en-GB"/>
        </w:rPr>
        <w:t xml:space="preserve">12, and (iii) when </w:t>
      </w:r>
      <w:r w:rsidR="00537884" w:rsidRPr="00D272CC">
        <w:rPr>
          <w:i/>
          <w:lang w:val="en-GB"/>
        </w:rPr>
        <w:t>changing</w:t>
      </w:r>
      <w:r w:rsidR="00537884" w:rsidRPr="00D272CC">
        <w:rPr>
          <w:lang w:val="en-GB"/>
        </w:rPr>
        <w:t xml:space="preserve"> an accounting policy, according to IAS 8.14</w:t>
      </w:r>
      <w:r w:rsidR="00E56E7F" w:rsidRPr="00D272CC">
        <w:rPr>
          <w:lang w:val="en-GB"/>
        </w:rPr>
        <w:t>–</w:t>
      </w:r>
      <w:r w:rsidR="00537884" w:rsidRPr="00D272CC">
        <w:rPr>
          <w:lang w:val="en-GB"/>
        </w:rPr>
        <w:t>15.</w:t>
      </w:r>
    </w:p>
    <w:p w14:paraId="1D15542A" w14:textId="6D69824B" w:rsidR="009E5DBC" w:rsidRPr="00F31CF1" w:rsidRDefault="00537884" w:rsidP="002C6A39">
      <w:pPr>
        <w:ind w:firstLine="539"/>
        <w:rPr>
          <w:lang w:val="en-GB"/>
        </w:rPr>
      </w:pPr>
      <w:r w:rsidRPr="00F31CF1">
        <w:rPr>
          <w:lang w:val="en-GB"/>
        </w:rPr>
        <w:t xml:space="preserve">This paper </w:t>
      </w:r>
      <w:r w:rsidR="007B30CC" w:rsidRPr="00F31CF1">
        <w:rPr>
          <w:lang w:val="en-GB"/>
        </w:rPr>
        <w:t xml:space="preserve">is </w:t>
      </w:r>
      <w:r w:rsidRPr="00F31CF1">
        <w:rPr>
          <w:lang w:val="en-GB"/>
        </w:rPr>
        <w:t>concern</w:t>
      </w:r>
      <w:r w:rsidR="007B30CC" w:rsidRPr="00F31CF1">
        <w:rPr>
          <w:lang w:val="en-GB"/>
        </w:rPr>
        <w:t>ed with</w:t>
      </w:r>
      <w:r w:rsidRPr="00F31CF1">
        <w:rPr>
          <w:lang w:val="en-GB"/>
        </w:rPr>
        <w:t xml:space="preserve"> the third of these issues</w:t>
      </w:r>
      <w:r w:rsidR="009A337D" w:rsidRPr="00F31CF1">
        <w:rPr>
          <w:lang w:val="en-GB"/>
        </w:rPr>
        <w:t xml:space="preserve"> </w:t>
      </w:r>
      <w:r w:rsidR="008F092E" w:rsidRPr="00F31CF1">
        <w:rPr>
          <w:lang w:val="en-GB"/>
        </w:rPr>
        <w:t>(</w:t>
      </w:r>
      <w:r w:rsidRPr="00F31CF1">
        <w:rPr>
          <w:lang w:val="en-GB"/>
        </w:rPr>
        <w:t>policy change</w:t>
      </w:r>
      <w:r w:rsidR="008F092E" w:rsidRPr="00F31CF1">
        <w:rPr>
          <w:lang w:val="en-GB"/>
        </w:rPr>
        <w:t>), which far</w:t>
      </w:r>
      <w:r w:rsidR="00BD61E6" w:rsidRPr="00F31CF1">
        <w:rPr>
          <w:lang w:val="en-GB"/>
        </w:rPr>
        <w:t xml:space="preserve"> more</w:t>
      </w:r>
      <w:r w:rsidR="008F092E" w:rsidRPr="00F31CF1">
        <w:rPr>
          <w:lang w:val="en-GB"/>
        </w:rPr>
        <w:t xml:space="preserve"> common</w:t>
      </w:r>
      <w:r w:rsidR="00BD61E6" w:rsidRPr="00F31CF1">
        <w:rPr>
          <w:lang w:val="en-GB"/>
        </w:rPr>
        <w:t>ly</w:t>
      </w:r>
      <w:r w:rsidR="00691206" w:rsidRPr="00F31CF1">
        <w:rPr>
          <w:lang w:val="en-GB"/>
        </w:rPr>
        <w:t xml:space="preserve"> involve</w:t>
      </w:r>
      <w:r w:rsidR="00BD61E6" w:rsidRPr="00F31CF1">
        <w:rPr>
          <w:lang w:val="en-GB"/>
        </w:rPr>
        <w:t>s</w:t>
      </w:r>
      <w:r w:rsidR="00691206" w:rsidRPr="00F31CF1">
        <w:rPr>
          <w:lang w:val="en-GB"/>
        </w:rPr>
        <w:t xml:space="preserve"> disclosures</w:t>
      </w:r>
      <w:r w:rsidR="00BD61E6" w:rsidRPr="00F31CF1">
        <w:rPr>
          <w:lang w:val="en-GB"/>
        </w:rPr>
        <w:t xml:space="preserve"> than do the other two issues</w:t>
      </w:r>
      <w:r w:rsidRPr="00F31CF1">
        <w:rPr>
          <w:lang w:val="en-GB"/>
        </w:rPr>
        <w:t>.</w:t>
      </w:r>
      <w:r w:rsidR="00691206" w:rsidRPr="00F31CF1">
        <w:rPr>
          <w:rStyle w:val="FootnoteReference"/>
          <w:szCs w:val="24"/>
          <w:lang w:val="en-GB"/>
        </w:rPr>
        <w:footnoteReference w:id="12"/>
      </w:r>
      <w:r w:rsidRPr="00F31CF1">
        <w:rPr>
          <w:lang w:val="en-GB"/>
        </w:rPr>
        <w:t xml:space="preserve"> In th</w:t>
      </w:r>
      <w:r w:rsidR="00691206" w:rsidRPr="00F31CF1">
        <w:rPr>
          <w:lang w:val="en-GB"/>
        </w:rPr>
        <w:t>e</w:t>
      </w:r>
      <w:r w:rsidRPr="00F31CF1">
        <w:rPr>
          <w:lang w:val="en-GB"/>
        </w:rPr>
        <w:t xml:space="preserve"> context</w:t>
      </w:r>
      <w:r w:rsidR="00691206" w:rsidRPr="00F31CF1">
        <w:rPr>
          <w:lang w:val="en-GB"/>
        </w:rPr>
        <w:t xml:space="preserve"> of policy change</w:t>
      </w:r>
      <w:r w:rsidRPr="00F31CF1">
        <w:rPr>
          <w:lang w:val="en-GB"/>
        </w:rPr>
        <w:t xml:space="preserve">, IFRS gives </w:t>
      </w:r>
      <w:r w:rsidR="00AE503F" w:rsidRPr="00F31CF1">
        <w:rPr>
          <w:lang w:val="en-GB"/>
        </w:rPr>
        <w:t>prominence</w:t>
      </w:r>
      <w:r w:rsidRPr="00F31CF1">
        <w:rPr>
          <w:lang w:val="en-GB"/>
        </w:rPr>
        <w:t xml:space="preserve"> to two of the four QCs, because it only allows a voluntary</w:t>
      </w:r>
      <w:r w:rsidR="009E5DBC" w:rsidRPr="00F31CF1">
        <w:rPr>
          <w:lang w:val="en-GB"/>
        </w:rPr>
        <w:t xml:space="preserve"> change in policy</w:t>
      </w:r>
      <w:r w:rsidR="00F31CF1">
        <w:rPr>
          <w:lang w:val="en-GB"/>
        </w:rPr>
        <w:t xml:space="preserve"> </w:t>
      </w:r>
      <w:r w:rsidR="00BB20AF">
        <w:rPr>
          <w:lang w:val="en-GB"/>
        </w:rPr>
        <w:t xml:space="preserve">(as opposed to one required by a change to IFRS) </w:t>
      </w:r>
      <w:r w:rsidR="009E5DBC" w:rsidRPr="00F31CF1">
        <w:rPr>
          <w:lang w:val="en-GB"/>
        </w:rPr>
        <w:t xml:space="preserve">if </w:t>
      </w:r>
      <w:r w:rsidR="009A337D" w:rsidRPr="00F31CF1">
        <w:rPr>
          <w:lang w:val="en-GB"/>
        </w:rPr>
        <w:t>it</w:t>
      </w:r>
      <w:r w:rsidR="00EE10AA" w:rsidRPr="00F31CF1">
        <w:rPr>
          <w:lang w:val="en-GB"/>
        </w:rPr>
        <w:t xml:space="preserve"> ‘</w:t>
      </w:r>
      <w:r w:rsidR="009E5DBC" w:rsidRPr="00F31CF1">
        <w:rPr>
          <w:lang w:val="en-GB"/>
        </w:rPr>
        <w:t>results in the financial statements providing reliable and more relevant information</w:t>
      </w:r>
      <w:r w:rsidR="00EE10AA" w:rsidRPr="00F31CF1">
        <w:rPr>
          <w:lang w:val="en-GB"/>
        </w:rPr>
        <w:t>’</w:t>
      </w:r>
      <w:r w:rsidR="009E5DBC" w:rsidRPr="00F31CF1">
        <w:rPr>
          <w:lang w:val="en-GB"/>
        </w:rPr>
        <w:t xml:space="preserve"> (IAS 8.14 (b))</w:t>
      </w:r>
      <w:r w:rsidR="00EE10AA" w:rsidRPr="00F31CF1">
        <w:rPr>
          <w:lang w:val="en-GB"/>
        </w:rPr>
        <w:t xml:space="preserve">. </w:t>
      </w:r>
      <w:r w:rsidR="009E5DBC" w:rsidRPr="00F31CF1">
        <w:rPr>
          <w:lang w:val="en-GB"/>
        </w:rPr>
        <w:t xml:space="preserve">Not only are </w:t>
      </w:r>
      <w:r w:rsidR="00854F61" w:rsidRPr="00F31CF1">
        <w:rPr>
          <w:lang w:val="en-GB"/>
        </w:rPr>
        <w:t xml:space="preserve">the </w:t>
      </w:r>
      <w:r w:rsidR="009E5DBC" w:rsidRPr="00F31CF1">
        <w:rPr>
          <w:lang w:val="en-GB"/>
        </w:rPr>
        <w:t xml:space="preserve">two QCs promoted here above the others, but relevance outranks reliability: the new information must be </w:t>
      </w:r>
      <w:r w:rsidR="009E5DBC" w:rsidRPr="00F31CF1">
        <w:rPr>
          <w:i/>
          <w:lang w:val="en-GB"/>
        </w:rPr>
        <w:t>more</w:t>
      </w:r>
      <w:r w:rsidR="009E5DBC" w:rsidRPr="00F31CF1">
        <w:rPr>
          <w:lang w:val="en-GB"/>
        </w:rPr>
        <w:t xml:space="preserve"> relevant</w:t>
      </w:r>
      <w:r w:rsidR="009A337D" w:rsidRPr="00F31CF1">
        <w:rPr>
          <w:lang w:val="en-GB"/>
        </w:rPr>
        <w:t>,</w:t>
      </w:r>
      <w:r w:rsidR="009E5DBC" w:rsidRPr="00F31CF1">
        <w:rPr>
          <w:lang w:val="en-GB"/>
        </w:rPr>
        <w:t xml:space="preserve"> subject to maintaining a threshold level of reliability.</w:t>
      </w:r>
      <w:r w:rsidR="00F10623" w:rsidRPr="00F31CF1">
        <w:rPr>
          <w:lang w:val="en-GB"/>
        </w:rPr>
        <w:t xml:space="preserve"> </w:t>
      </w:r>
      <w:r w:rsidR="009E5DBC" w:rsidRPr="00F31CF1">
        <w:rPr>
          <w:lang w:val="en-GB"/>
        </w:rPr>
        <w:t>IAS 8 imposes another type of constraint on voluntary policy change, in that it requires</w:t>
      </w:r>
      <w:r w:rsidR="009E5DBC" w:rsidRPr="00F31CF1">
        <w:rPr>
          <w:rStyle w:val="FootnoteReference"/>
          <w:szCs w:val="24"/>
          <w:lang w:val="en-GB"/>
        </w:rPr>
        <w:footnoteReference w:id="13"/>
      </w:r>
      <w:r w:rsidR="009E5DBC" w:rsidRPr="00F31CF1">
        <w:rPr>
          <w:lang w:val="en-GB"/>
        </w:rPr>
        <w:t xml:space="preserve"> retrospective application (IAS 8.22) and a number of disclosures, including an explanation of how the new information is reliable and more relevant (IAS 8.29).</w:t>
      </w:r>
      <w:r w:rsidR="00691206" w:rsidRPr="00F31CF1">
        <w:rPr>
          <w:lang w:val="en-GB"/>
        </w:rPr>
        <w:t xml:space="preserve"> The disclosures of the change and the reasons for it are only required if</w:t>
      </w:r>
      <w:r w:rsidR="00FA5B21" w:rsidRPr="00F31CF1">
        <w:rPr>
          <w:lang w:val="en-GB"/>
        </w:rPr>
        <w:t xml:space="preserve"> the change </w:t>
      </w:r>
      <w:r w:rsidR="00AD41D0" w:rsidRPr="00F31CF1">
        <w:rPr>
          <w:lang w:val="en-GB"/>
        </w:rPr>
        <w:t>‘</w:t>
      </w:r>
      <w:r w:rsidR="00A12519" w:rsidRPr="00F31CF1">
        <w:rPr>
          <w:lang w:val="en-GB"/>
        </w:rPr>
        <w:t>has</w:t>
      </w:r>
      <w:r w:rsidR="00FA5B21" w:rsidRPr="00F31CF1">
        <w:rPr>
          <w:lang w:val="en-GB"/>
        </w:rPr>
        <w:t xml:space="preserve"> an effect’</w:t>
      </w:r>
      <w:r w:rsidR="009A337D" w:rsidRPr="00F31CF1">
        <w:rPr>
          <w:lang w:val="en-GB"/>
        </w:rPr>
        <w:t xml:space="preserve"> on past, present or future financial statements</w:t>
      </w:r>
      <w:r w:rsidR="00FA5B21" w:rsidRPr="00F31CF1">
        <w:rPr>
          <w:lang w:val="en-GB"/>
        </w:rPr>
        <w:t>. As always under IFRS, this means a material effect</w:t>
      </w:r>
      <w:r w:rsidR="00F31CF1" w:rsidRPr="00F31CF1">
        <w:rPr>
          <w:lang w:val="en-GB"/>
        </w:rPr>
        <w:t xml:space="preserve"> (IAS 1.29 and IAS 8.8)</w:t>
      </w:r>
      <w:r w:rsidR="00FA5B21" w:rsidRPr="00F31CF1">
        <w:rPr>
          <w:lang w:val="en-GB"/>
        </w:rPr>
        <w:t>. The implication is that any change that is disclosed should also be explained.</w:t>
      </w:r>
      <w:r w:rsidR="00FA5B21" w:rsidRPr="00F31CF1">
        <w:rPr>
          <w:rStyle w:val="FootnoteReference"/>
          <w:szCs w:val="24"/>
          <w:lang w:val="en-GB"/>
        </w:rPr>
        <w:footnoteReference w:id="14"/>
      </w:r>
    </w:p>
    <w:p w14:paraId="564A9278" w14:textId="77777777" w:rsidR="009E5DBC" w:rsidRPr="00D272CC" w:rsidRDefault="009E5DBC" w:rsidP="009E5DBC">
      <w:pPr>
        <w:ind w:firstLine="540"/>
        <w:rPr>
          <w:lang w:val="en-GB"/>
        </w:rPr>
      </w:pPr>
      <w:r w:rsidRPr="00D272CC">
        <w:rPr>
          <w:lang w:val="en-GB"/>
        </w:rPr>
        <w:t>Our empirical study of polic</w:t>
      </w:r>
      <w:r w:rsidR="00532BFA">
        <w:rPr>
          <w:lang w:val="en-GB"/>
        </w:rPr>
        <w:t xml:space="preserve">y changes relates to </w:t>
      </w:r>
      <w:r w:rsidRPr="00D272CC">
        <w:rPr>
          <w:lang w:val="en-GB"/>
        </w:rPr>
        <w:t xml:space="preserve">2005 to 2011. </w:t>
      </w:r>
      <w:r w:rsidR="007B30CC" w:rsidRPr="00D272CC">
        <w:rPr>
          <w:lang w:val="en-GB"/>
        </w:rPr>
        <w:t>In</w:t>
      </w:r>
      <w:r w:rsidRPr="00D272CC">
        <w:rPr>
          <w:lang w:val="en-GB"/>
        </w:rPr>
        <w:t xml:space="preserve"> that period, various versions of IAS 1 and IAS 8 </w:t>
      </w:r>
      <w:r w:rsidR="007B30CC" w:rsidRPr="00D272CC">
        <w:rPr>
          <w:lang w:val="en-GB"/>
        </w:rPr>
        <w:t xml:space="preserve">were in force, but they all </w:t>
      </w:r>
      <w:r w:rsidRPr="00D272CC">
        <w:rPr>
          <w:lang w:val="en-GB"/>
        </w:rPr>
        <w:t>referred</w:t>
      </w:r>
      <w:r w:rsidRPr="00D272CC">
        <w:rPr>
          <w:rStyle w:val="FootnoteReference"/>
          <w:lang w:val="en-GB"/>
        </w:rPr>
        <w:footnoteReference w:id="15"/>
      </w:r>
      <w:r w:rsidRPr="00D272CC">
        <w:rPr>
          <w:lang w:val="en-GB"/>
        </w:rPr>
        <w:t xml:space="preserve"> </w:t>
      </w:r>
      <w:r w:rsidR="00AE503F" w:rsidRPr="00D272CC">
        <w:rPr>
          <w:lang w:val="en-GB"/>
        </w:rPr>
        <w:t xml:space="preserve">to </w:t>
      </w:r>
      <w:r w:rsidRPr="00D272CC">
        <w:rPr>
          <w:lang w:val="en-GB"/>
        </w:rPr>
        <w:t xml:space="preserve">the </w:t>
      </w:r>
      <w:r w:rsidRPr="00D272CC">
        <w:rPr>
          <w:i/>
          <w:lang w:val="en-GB"/>
        </w:rPr>
        <w:t>Framework</w:t>
      </w:r>
      <w:r w:rsidRPr="00D272CC">
        <w:rPr>
          <w:lang w:val="en-GB"/>
        </w:rPr>
        <w:t xml:space="preserve"> as issued in 1989. Nevertheless, given that the changes to QCs introduced in 2010 were also previously aired in a discussion paper and an exposure draft, some </w:t>
      </w:r>
      <w:r w:rsidR="00B30C8D">
        <w:rPr>
          <w:lang w:val="en-GB"/>
        </w:rPr>
        <w:t>firms</w:t>
      </w:r>
      <w:r w:rsidRPr="00D272CC">
        <w:rPr>
          <w:lang w:val="en-GB"/>
        </w:rPr>
        <w:t xml:space="preserve"> might </w:t>
      </w:r>
      <w:r w:rsidR="00854F61" w:rsidRPr="00D272CC">
        <w:rPr>
          <w:lang w:val="en-GB"/>
        </w:rPr>
        <w:t xml:space="preserve">have </w:t>
      </w:r>
      <w:r w:rsidR="00532BFA">
        <w:rPr>
          <w:lang w:val="en-GB"/>
        </w:rPr>
        <w:t>taken account of</w:t>
      </w:r>
      <w:r w:rsidRPr="00D272CC">
        <w:rPr>
          <w:lang w:val="en-GB"/>
        </w:rPr>
        <w:t xml:space="preserve"> them</w:t>
      </w:r>
      <w:r w:rsidR="00854F61" w:rsidRPr="00D272CC">
        <w:rPr>
          <w:lang w:val="en-GB"/>
        </w:rPr>
        <w:t xml:space="preserve"> in our period</w:t>
      </w:r>
      <w:r w:rsidRPr="00D272CC">
        <w:rPr>
          <w:lang w:val="en-GB"/>
        </w:rPr>
        <w:t xml:space="preserve">. The revised document </w:t>
      </w:r>
      <w:r w:rsidR="00707109" w:rsidRPr="00D272CC">
        <w:rPr>
          <w:lang w:val="en-GB"/>
        </w:rPr>
        <w:t xml:space="preserve">of 2010 </w:t>
      </w:r>
      <w:r w:rsidR="00FA386C" w:rsidRPr="00D272CC">
        <w:rPr>
          <w:lang w:val="en-GB"/>
        </w:rPr>
        <w:t>has two ‘fundamental’ QCs: relevance (including materiality) and faithful representation. Four ‘enhancing’ QCs are comparability, verifiability, timeliness and understandability.</w:t>
      </w:r>
      <w:r w:rsidR="00AE503F" w:rsidRPr="00D272CC">
        <w:rPr>
          <w:lang w:val="en-GB"/>
        </w:rPr>
        <w:t xml:space="preserve"> Reliability is not specifically mentioned, although the IASB has explained that it</w:t>
      </w:r>
      <w:r w:rsidR="00A12519">
        <w:rPr>
          <w:lang w:val="en-GB"/>
        </w:rPr>
        <w:t>s meaning</w:t>
      </w:r>
      <w:r w:rsidR="004972EF">
        <w:rPr>
          <w:lang w:val="en-GB"/>
        </w:rPr>
        <w:t xml:space="preserve"> </w:t>
      </w:r>
      <w:r w:rsidR="00A12519">
        <w:rPr>
          <w:lang w:val="en-GB"/>
        </w:rPr>
        <w:t xml:space="preserve">is </w:t>
      </w:r>
      <w:r w:rsidR="004972EF">
        <w:rPr>
          <w:lang w:val="en-GB"/>
        </w:rPr>
        <w:t>mainly now included in</w:t>
      </w:r>
      <w:r w:rsidR="00AE503F" w:rsidRPr="00D272CC">
        <w:rPr>
          <w:lang w:val="en-GB"/>
        </w:rPr>
        <w:t xml:space="preserve"> ‘faithful</w:t>
      </w:r>
      <w:r w:rsidR="00854F61" w:rsidRPr="00D272CC">
        <w:rPr>
          <w:lang w:val="en-GB"/>
        </w:rPr>
        <w:t xml:space="preserve"> representation</w:t>
      </w:r>
      <w:r w:rsidR="00AE503F" w:rsidRPr="00D272CC">
        <w:rPr>
          <w:lang w:val="en-GB"/>
        </w:rPr>
        <w:t>’ (IASB</w:t>
      </w:r>
      <w:r w:rsidR="003B3A9D" w:rsidRPr="00D272CC">
        <w:rPr>
          <w:lang w:val="en-GB"/>
        </w:rPr>
        <w:t xml:space="preserve"> 2010, para</w:t>
      </w:r>
      <w:r w:rsidR="003D135B" w:rsidRPr="00D272CC">
        <w:rPr>
          <w:lang w:val="en-GB"/>
        </w:rPr>
        <w:t>graph</w:t>
      </w:r>
      <w:r w:rsidR="003B3A9D" w:rsidRPr="00D272CC">
        <w:rPr>
          <w:lang w:val="en-GB"/>
        </w:rPr>
        <w:t xml:space="preserve"> </w:t>
      </w:r>
      <w:r w:rsidR="00253DB8" w:rsidRPr="00D272CC">
        <w:rPr>
          <w:lang w:val="en-GB"/>
        </w:rPr>
        <w:t>BC3.24</w:t>
      </w:r>
      <w:r w:rsidR="00AE503F" w:rsidRPr="00D272CC">
        <w:rPr>
          <w:lang w:val="en-GB"/>
        </w:rPr>
        <w:t>)</w:t>
      </w:r>
      <w:r w:rsidR="00296A1C">
        <w:rPr>
          <w:lang w:val="en-GB"/>
        </w:rPr>
        <w:t xml:space="preserve">. </w:t>
      </w:r>
      <w:r w:rsidR="00544D74">
        <w:rPr>
          <w:lang w:val="en-GB"/>
        </w:rPr>
        <w:t xml:space="preserve">This was </w:t>
      </w:r>
      <w:r w:rsidR="00A12519">
        <w:rPr>
          <w:lang w:val="en-GB"/>
        </w:rPr>
        <w:t>contentious</w:t>
      </w:r>
      <w:r w:rsidR="00960495">
        <w:rPr>
          <w:lang w:val="en-GB"/>
        </w:rPr>
        <w:t xml:space="preserve"> </w:t>
      </w:r>
      <w:r w:rsidR="00544D74">
        <w:rPr>
          <w:lang w:val="en-GB"/>
        </w:rPr>
        <w:t>(Whittington 2008, EFRAG 2013a). Furthermore, p</w:t>
      </w:r>
      <w:r w:rsidR="00AE503F" w:rsidRPr="00D272CC">
        <w:rPr>
          <w:lang w:val="en-GB"/>
        </w:rPr>
        <w:t xml:space="preserve">rudence </w:t>
      </w:r>
      <w:r w:rsidR="00296A1C">
        <w:rPr>
          <w:lang w:val="en-GB"/>
        </w:rPr>
        <w:t>was</w:t>
      </w:r>
      <w:r w:rsidR="00AE503F" w:rsidRPr="00D272CC">
        <w:rPr>
          <w:lang w:val="en-GB"/>
        </w:rPr>
        <w:t xml:space="preserve"> deleted</w:t>
      </w:r>
      <w:r w:rsidR="00296A1C">
        <w:rPr>
          <w:lang w:val="en-GB"/>
        </w:rPr>
        <w:t xml:space="preserve"> in 2010, on the grounds that it is inconsistent with neutrality</w:t>
      </w:r>
      <w:r w:rsidR="00B621FB">
        <w:rPr>
          <w:lang w:val="en-GB"/>
        </w:rPr>
        <w:t xml:space="preserve">. Prudence had always been </w:t>
      </w:r>
      <w:r w:rsidR="00544D74">
        <w:rPr>
          <w:lang w:val="en-GB"/>
        </w:rPr>
        <w:t xml:space="preserve">a </w:t>
      </w:r>
      <w:r w:rsidR="00B621FB">
        <w:rPr>
          <w:lang w:val="en-GB"/>
        </w:rPr>
        <w:t xml:space="preserve">controversial </w:t>
      </w:r>
      <w:r w:rsidR="00544D74">
        <w:rPr>
          <w:lang w:val="en-GB"/>
        </w:rPr>
        <w:t xml:space="preserve">QC </w:t>
      </w:r>
      <w:r w:rsidR="00B621FB">
        <w:rPr>
          <w:lang w:val="en-GB"/>
        </w:rPr>
        <w:t>(e.g. Zeff 2013, p.</w:t>
      </w:r>
      <w:r w:rsidR="00C15968">
        <w:rPr>
          <w:lang w:val="en-GB"/>
        </w:rPr>
        <w:t xml:space="preserve"> </w:t>
      </w:r>
      <w:r w:rsidR="00B621FB">
        <w:rPr>
          <w:lang w:val="en-GB"/>
        </w:rPr>
        <w:t>287)</w:t>
      </w:r>
      <w:r w:rsidR="00296A1C">
        <w:rPr>
          <w:lang w:val="en-GB"/>
        </w:rPr>
        <w:t xml:space="preserve">, </w:t>
      </w:r>
      <w:r w:rsidR="00B621FB">
        <w:rPr>
          <w:lang w:val="en-GB"/>
        </w:rPr>
        <w:t>and its</w:t>
      </w:r>
      <w:r w:rsidR="00296A1C">
        <w:rPr>
          <w:lang w:val="en-GB"/>
        </w:rPr>
        <w:t xml:space="preserve"> deletion was </w:t>
      </w:r>
      <w:r w:rsidR="00B621FB">
        <w:rPr>
          <w:lang w:val="en-GB"/>
        </w:rPr>
        <w:t xml:space="preserve">also </w:t>
      </w:r>
      <w:r w:rsidR="00296A1C">
        <w:rPr>
          <w:lang w:val="en-GB"/>
        </w:rPr>
        <w:t xml:space="preserve">controversial </w:t>
      </w:r>
      <w:r w:rsidR="00B621FB">
        <w:rPr>
          <w:lang w:val="en-GB"/>
        </w:rPr>
        <w:t>amongst standard-setters</w:t>
      </w:r>
      <w:r w:rsidR="00544D74">
        <w:rPr>
          <w:lang w:val="en-GB"/>
        </w:rPr>
        <w:t xml:space="preserve"> (EFRAG 2013b)</w:t>
      </w:r>
      <w:r w:rsidR="00B621FB">
        <w:rPr>
          <w:lang w:val="en-GB"/>
        </w:rPr>
        <w:t xml:space="preserve">, academics (Whittington </w:t>
      </w:r>
      <w:r w:rsidR="00544D74">
        <w:rPr>
          <w:lang w:val="en-GB"/>
        </w:rPr>
        <w:t>2008</w:t>
      </w:r>
      <w:r w:rsidR="00B621FB">
        <w:rPr>
          <w:lang w:val="en-GB"/>
        </w:rPr>
        <w:t>) and some investors.</w:t>
      </w:r>
      <w:r w:rsidR="00B621FB">
        <w:rPr>
          <w:rStyle w:val="FootnoteReference"/>
          <w:lang w:val="en-GB"/>
        </w:rPr>
        <w:footnoteReference w:id="16"/>
      </w:r>
      <w:r w:rsidR="00B621FB">
        <w:rPr>
          <w:lang w:val="en-GB"/>
        </w:rPr>
        <w:t xml:space="preserve"> T</w:t>
      </w:r>
      <w:r w:rsidR="00296A1C">
        <w:rPr>
          <w:lang w:val="en-GB"/>
        </w:rPr>
        <w:t>he IASB has announced an intention to re-insert prudence as part of the current revision (IASB 2014)</w:t>
      </w:r>
      <w:r w:rsidR="00AE503F" w:rsidRPr="00D272CC">
        <w:rPr>
          <w:lang w:val="en-GB"/>
        </w:rPr>
        <w:t>.</w:t>
      </w:r>
    </w:p>
    <w:p w14:paraId="05E1DCD0" w14:textId="77777777" w:rsidR="00707109" w:rsidRPr="00D272CC" w:rsidRDefault="00707109" w:rsidP="000B21C4">
      <w:pPr>
        <w:pStyle w:val="Heading2"/>
        <w:rPr>
          <w:lang w:val="en-GB"/>
        </w:rPr>
      </w:pPr>
      <w:r w:rsidRPr="00D272CC">
        <w:rPr>
          <w:lang w:val="en-GB"/>
        </w:rPr>
        <w:t xml:space="preserve">Prior </w:t>
      </w:r>
      <w:r w:rsidR="00185999" w:rsidRPr="00D272CC">
        <w:rPr>
          <w:lang w:val="en-GB"/>
        </w:rPr>
        <w:t>r</w:t>
      </w:r>
      <w:r w:rsidRPr="00D272CC">
        <w:rPr>
          <w:lang w:val="en-GB"/>
        </w:rPr>
        <w:t xml:space="preserve">esearch on </w:t>
      </w:r>
      <w:r w:rsidR="00185999" w:rsidRPr="00D272CC">
        <w:rPr>
          <w:lang w:val="en-GB"/>
        </w:rPr>
        <w:t>q</w:t>
      </w:r>
      <w:r w:rsidRPr="00D272CC">
        <w:rPr>
          <w:lang w:val="en-GB"/>
        </w:rPr>
        <w:t xml:space="preserve">ualitative </w:t>
      </w:r>
      <w:r w:rsidR="00185999" w:rsidRPr="00D272CC">
        <w:rPr>
          <w:lang w:val="en-GB"/>
        </w:rPr>
        <w:t>c</w:t>
      </w:r>
      <w:r w:rsidRPr="00D272CC">
        <w:rPr>
          <w:lang w:val="en-GB"/>
        </w:rPr>
        <w:t>haracteristics</w:t>
      </w:r>
    </w:p>
    <w:p w14:paraId="44E0DB86" w14:textId="77777777" w:rsidR="00AC0FC9" w:rsidRPr="00D272CC" w:rsidRDefault="00C01F35" w:rsidP="00707109">
      <w:pPr>
        <w:ind w:firstLine="540"/>
        <w:rPr>
          <w:lang w:val="en-GB"/>
        </w:rPr>
      </w:pPr>
      <w:r>
        <w:rPr>
          <w:lang w:val="en-GB"/>
        </w:rPr>
        <w:t xml:space="preserve">Some </w:t>
      </w:r>
      <w:r w:rsidR="00AC0FC9" w:rsidRPr="00D272CC">
        <w:rPr>
          <w:lang w:val="en-GB"/>
        </w:rPr>
        <w:t xml:space="preserve">prior studies investigate </w:t>
      </w:r>
      <w:r w:rsidR="00854F61" w:rsidRPr="00D272CC">
        <w:rPr>
          <w:lang w:val="en-GB"/>
        </w:rPr>
        <w:t>a</w:t>
      </w:r>
      <w:r w:rsidR="00AC0FC9" w:rsidRPr="00D272CC">
        <w:rPr>
          <w:lang w:val="en-GB"/>
        </w:rPr>
        <w:t xml:space="preserve"> specific QC: relevance (</w:t>
      </w:r>
      <w:r w:rsidR="004E63ED">
        <w:rPr>
          <w:lang w:val="en-GB"/>
        </w:rPr>
        <w:t>Koonce et al.</w:t>
      </w:r>
      <w:r w:rsidR="004E63ED" w:rsidRPr="00D272CC">
        <w:rPr>
          <w:lang w:val="en-GB"/>
        </w:rPr>
        <w:t xml:space="preserve"> 201</w:t>
      </w:r>
      <w:r w:rsidR="004E63ED">
        <w:rPr>
          <w:lang w:val="en-GB"/>
        </w:rPr>
        <w:t>1</w:t>
      </w:r>
      <w:r w:rsidR="00AC0FC9" w:rsidRPr="00D272CC">
        <w:rPr>
          <w:lang w:val="en-GB"/>
        </w:rPr>
        <w:t>), reliability (see the review of Maines</w:t>
      </w:r>
      <w:r w:rsidR="00B44037" w:rsidRPr="00D272CC">
        <w:rPr>
          <w:lang w:val="en-GB"/>
        </w:rPr>
        <w:t xml:space="preserve"> and Wahlen 2006</w:t>
      </w:r>
      <w:r w:rsidR="00AC0FC9" w:rsidRPr="00D272CC">
        <w:rPr>
          <w:lang w:val="en-GB"/>
        </w:rPr>
        <w:t xml:space="preserve">), timeliness (e.g. </w:t>
      </w:r>
      <w:r w:rsidR="00144656">
        <w:rPr>
          <w:lang w:val="en-GB"/>
        </w:rPr>
        <w:t>Ball and Brown 1968</w:t>
      </w:r>
      <w:r w:rsidR="00AC0FC9" w:rsidRPr="00D272CC">
        <w:rPr>
          <w:lang w:val="en-GB"/>
        </w:rPr>
        <w:t>), comparability (e.g. De Franco</w:t>
      </w:r>
      <w:r w:rsidR="00B44037" w:rsidRPr="00D272CC">
        <w:rPr>
          <w:lang w:val="en-GB"/>
        </w:rPr>
        <w:t xml:space="preserve"> et al. 2011</w:t>
      </w:r>
      <w:r w:rsidR="00AC0FC9" w:rsidRPr="00D272CC">
        <w:rPr>
          <w:lang w:val="en-GB"/>
        </w:rPr>
        <w:t>), understandability (e.g. Jones</w:t>
      </w:r>
      <w:r w:rsidR="00B44037" w:rsidRPr="00D272CC">
        <w:rPr>
          <w:lang w:val="en-GB"/>
        </w:rPr>
        <w:t xml:space="preserve"> and Smith 2014</w:t>
      </w:r>
      <w:r w:rsidR="00AC0FC9" w:rsidRPr="00D272CC">
        <w:rPr>
          <w:lang w:val="en-GB"/>
        </w:rPr>
        <w:t>) and transparency (e.g. Barth</w:t>
      </w:r>
      <w:r w:rsidR="00B44037" w:rsidRPr="00D272CC">
        <w:rPr>
          <w:lang w:val="en-GB"/>
        </w:rPr>
        <w:t xml:space="preserve"> et al. 2013</w:t>
      </w:r>
      <w:r w:rsidR="00AC0FC9" w:rsidRPr="00D272CC">
        <w:rPr>
          <w:lang w:val="en-GB"/>
        </w:rPr>
        <w:t xml:space="preserve">). </w:t>
      </w:r>
      <w:r w:rsidR="00F91563">
        <w:rPr>
          <w:lang w:val="en-GB"/>
        </w:rPr>
        <w:t>T</w:t>
      </w:r>
      <w:r w:rsidR="007E011C" w:rsidRPr="00D272CC">
        <w:rPr>
          <w:lang w:val="en-GB"/>
        </w:rPr>
        <w:t>he empirical literature uses empirical proxies in order to draw inferences about the respective QC, often based on a relationship between earnings and returns. Experimental studies (e.g. Hunton et al. 2006) allow analysi</w:t>
      </w:r>
      <w:r w:rsidR="00854F61" w:rsidRPr="00D272CC">
        <w:rPr>
          <w:lang w:val="en-GB"/>
        </w:rPr>
        <w:t>s of</w:t>
      </w:r>
      <w:r w:rsidR="007E011C" w:rsidRPr="00D272CC">
        <w:rPr>
          <w:lang w:val="en-GB"/>
        </w:rPr>
        <w:t xml:space="preserve"> a specific QC more directly, but </w:t>
      </w:r>
      <w:r w:rsidR="00A44E1E" w:rsidRPr="00D272CC">
        <w:rPr>
          <w:lang w:val="en-GB"/>
        </w:rPr>
        <w:t>they</w:t>
      </w:r>
      <w:r w:rsidR="007E011C" w:rsidRPr="00D272CC">
        <w:rPr>
          <w:lang w:val="en-GB"/>
        </w:rPr>
        <w:t xml:space="preserve"> also </w:t>
      </w:r>
      <w:r w:rsidR="00A44E1E" w:rsidRPr="00D272CC">
        <w:rPr>
          <w:lang w:val="en-GB"/>
        </w:rPr>
        <w:t>involve interference by</w:t>
      </w:r>
      <w:r w:rsidR="0012147E" w:rsidRPr="00D272CC">
        <w:rPr>
          <w:lang w:val="en-GB"/>
        </w:rPr>
        <w:t xml:space="preserve"> the researchers, i.e. designing an experiment that generates data about the QC</w:t>
      </w:r>
      <w:r w:rsidR="007E011C" w:rsidRPr="00D272CC">
        <w:rPr>
          <w:lang w:val="en-GB"/>
        </w:rPr>
        <w:t>.</w:t>
      </w:r>
    </w:p>
    <w:p w14:paraId="015273DB" w14:textId="77777777" w:rsidR="0012147E" w:rsidRPr="00D272CC" w:rsidRDefault="00C01F35" w:rsidP="0012147E">
      <w:pPr>
        <w:ind w:firstLine="540"/>
        <w:rPr>
          <w:lang w:val="en-GB"/>
        </w:rPr>
      </w:pPr>
      <w:r>
        <w:rPr>
          <w:lang w:val="en-GB"/>
        </w:rPr>
        <w:t>Other</w:t>
      </w:r>
      <w:r w:rsidR="0012147E" w:rsidRPr="00D272CC">
        <w:rPr>
          <w:lang w:val="en-GB"/>
        </w:rPr>
        <w:t xml:space="preserve"> papers analyse two QCs</w:t>
      </w:r>
      <w:r w:rsidR="00A44E1E" w:rsidRPr="00D272CC">
        <w:rPr>
          <w:lang w:val="en-GB"/>
        </w:rPr>
        <w:t xml:space="preserve"> together</w:t>
      </w:r>
      <w:r w:rsidR="008A1E98">
        <w:rPr>
          <w:lang w:val="en-GB"/>
        </w:rPr>
        <w:t>.</w:t>
      </w:r>
      <w:r w:rsidR="0012147E" w:rsidRPr="00D272CC">
        <w:rPr>
          <w:lang w:val="en-GB"/>
        </w:rPr>
        <w:t xml:space="preserve"> </w:t>
      </w:r>
      <w:r w:rsidR="007A5162">
        <w:rPr>
          <w:lang w:val="en-GB"/>
        </w:rPr>
        <w:t>One such</w:t>
      </w:r>
      <w:r w:rsidR="008A1E98">
        <w:rPr>
          <w:lang w:val="en-GB"/>
        </w:rPr>
        <w:t xml:space="preserve"> pair</w:t>
      </w:r>
      <w:r>
        <w:rPr>
          <w:lang w:val="en-GB"/>
        </w:rPr>
        <w:t>ing</w:t>
      </w:r>
      <w:r w:rsidR="008A1E98">
        <w:rPr>
          <w:lang w:val="en-GB"/>
        </w:rPr>
        <w:t xml:space="preserve"> is</w:t>
      </w:r>
      <w:r w:rsidR="0012147E" w:rsidRPr="00D272CC">
        <w:rPr>
          <w:lang w:val="en-GB"/>
        </w:rPr>
        <w:t xml:space="preserve"> relevance and reliability, which </w:t>
      </w:r>
      <w:r w:rsidR="00A44E1E" w:rsidRPr="00D272CC">
        <w:rPr>
          <w:lang w:val="en-GB"/>
        </w:rPr>
        <w:t>were</w:t>
      </w:r>
      <w:r w:rsidR="0012147E" w:rsidRPr="00D272CC">
        <w:rPr>
          <w:lang w:val="en-GB"/>
        </w:rPr>
        <w:t xml:space="preserve"> the two primary QCs of the FASB</w:t>
      </w:r>
      <w:r w:rsidR="00A44E1E" w:rsidRPr="00D272CC">
        <w:rPr>
          <w:lang w:val="en-GB"/>
        </w:rPr>
        <w:t xml:space="preserve"> and the IASB until 2010</w:t>
      </w:r>
      <w:r w:rsidR="0012147E" w:rsidRPr="00D272CC">
        <w:rPr>
          <w:lang w:val="en-GB"/>
        </w:rPr>
        <w:t xml:space="preserve">. </w:t>
      </w:r>
      <w:r w:rsidR="0019379A">
        <w:rPr>
          <w:lang w:val="en-GB"/>
        </w:rPr>
        <w:t xml:space="preserve">Most frequent are </w:t>
      </w:r>
      <w:r w:rsidR="0012147E" w:rsidRPr="00D272CC">
        <w:rPr>
          <w:lang w:val="en-GB"/>
        </w:rPr>
        <w:t>value relevance studies</w:t>
      </w:r>
      <w:r w:rsidR="0019379A">
        <w:rPr>
          <w:lang w:val="en-GB"/>
        </w:rPr>
        <w:t>, which</w:t>
      </w:r>
      <w:r w:rsidR="0012147E" w:rsidRPr="00D272CC">
        <w:rPr>
          <w:lang w:val="en-GB"/>
        </w:rPr>
        <w:t xml:space="preserve"> </w:t>
      </w:r>
      <w:r w:rsidR="0019379A">
        <w:rPr>
          <w:lang w:val="en-GB"/>
        </w:rPr>
        <w:t xml:space="preserve">generally </w:t>
      </w:r>
      <w:r w:rsidR="0012147E" w:rsidRPr="00D272CC">
        <w:rPr>
          <w:lang w:val="en-GB"/>
        </w:rPr>
        <w:t>jointly test relevance and reliability</w:t>
      </w:r>
      <w:r w:rsidR="006E1CBA">
        <w:rPr>
          <w:lang w:val="en-GB"/>
        </w:rPr>
        <w:t xml:space="preserve"> </w:t>
      </w:r>
      <w:r w:rsidR="006E1CBA" w:rsidRPr="00D272CC">
        <w:rPr>
          <w:lang w:val="en-GB"/>
        </w:rPr>
        <w:t>(Barth et al. 2001, p. 81)</w:t>
      </w:r>
      <w:r w:rsidR="0012147E" w:rsidRPr="00D272CC">
        <w:rPr>
          <w:lang w:val="en-GB"/>
        </w:rPr>
        <w:t xml:space="preserve">. </w:t>
      </w:r>
      <w:r w:rsidR="0019379A">
        <w:rPr>
          <w:lang w:val="en-GB"/>
        </w:rPr>
        <w:t xml:space="preserve">Using experiments, </w:t>
      </w:r>
      <w:r w:rsidR="00060ACC" w:rsidRPr="00D272CC">
        <w:rPr>
          <w:lang w:val="en-GB"/>
        </w:rPr>
        <w:t xml:space="preserve">Kadous et al. (2012) </w:t>
      </w:r>
      <w:r w:rsidR="00113012">
        <w:rPr>
          <w:lang w:val="en-GB"/>
        </w:rPr>
        <w:t>suggest</w:t>
      </w:r>
      <w:r w:rsidR="00060ACC" w:rsidRPr="00D272CC">
        <w:rPr>
          <w:lang w:val="en-GB"/>
        </w:rPr>
        <w:t xml:space="preserve">, in the context of fair value measurement, that users do not view relevance and reliability as independent constructs. </w:t>
      </w:r>
      <w:r w:rsidR="001B2E3C">
        <w:rPr>
          <w:lang w:val="en-GB"/>
        </w:rPr>
        <w:t>Analysing standard-</w:t>
      </w:r>
      <w:r w:rsidR="008019F9">
        <w:rPr>
          <w:lang w:val="en-GB"/>
        </w:rPr>
        <w:t xml:space="preserve">setters, </w:t>
      </w:r>
      <w:r w:rsidR="00113012" w:rsidRPr="00D272CC">
        <w:rPr>
          <w:lang w:val="en-GB"/>
        </w:rPr>
        <w:t xml:space="preserve">Power (2010) </w:t>
      </w:r>
      <w:r w:rsidR="00A12519">
        <w:rPr>
          <w:lang w:val="en-GB"/>
        </w:rPr>
        <w:t>suggests that</w:t>
      </w:r>
      <w:r w:rsidR="00113012" w:rsidRPr="00D272CC">
        <w:rPr>
          <w:lang w:val="en-GB"/>
        </w:rPr>
        <w:t xml:space="preserve"> the concept of reliability was stretched by the </w:t>
      </w:r>
      <w:r w:rsidR="008019F9">
        <w:rPr>
          <w:lang w:val="en-GB"/>
        </w:rPr>
        <w:t xml:space="preserve">FASB and </w:t>
      </w:r>
      <w:r w:rsidR="00113012" w:rsidRPr="00D272CC">
        <w:rPr>
          <w:lang w:val="en-GB"/>
        </w:rPr>
        <w:t>IASB in order to accommodate more use of fair value, which was seen as more relevant (decision-useful).</w:t>
      </w:r>
      <w:r w:rsidR="006E1CBA">
        <w:rPr>
          <w:lang w:val="en-GB"/>
        </w:rPr>
        <w:t xml:space="preserve"> </w:t>
      </w:r>
      <w:r w:rsidR="00643F89">
        <w:rPr>
          <w:lang w:val="en-GB"/>
        </w:rPr>
        <w:t xml:space="preserve">Investigating this development empirically, </w:t>
      </w:r>
      <w:r w:rsidR="0012147E" w:rsidRPr="00D272CC">
        <w:rPr>
          <w:lang w:val="en-GB"/>
        </w:rPr>
        <w:t xml:space="preserve">Allen and Ramanna (2013) find that </w:t>
      </w:r>
      <w:r w:rsidR="00113012">
        <w:rPr>
          <w:lang w:val="en-GB"/>
        </w:rPr>
        <w:t>FASB members</w:t>
      </w:r>
      <w:r w:rsidR="0012147E" w:rsidRPr="00D272CC">
        <w:rPr>
          <w:lang w:val="en-GB"/>
        </w:rPr>
        <w:t xml:space="preserve"> with backgrounds </w:t>
      </w:r>
      <w:r w:rsidR="00113012">
        <w:rPr>
          <w:lang w:val="en-GB"/>
        </w:rPr>
        <w:t xml:space="preserve">in financial services </w:t>
      </w:r>
      <w:r w:rsidR="0012147E" w:rsidRPr="00D272CC">
        <w:rPr>
          <w:lang w:val="en-GB"/>
        </w:rPr>
        <w:t xml:space="preserve">tend to propose standards which </w:t>
      </w:r>
      <w:r w:rsidR="00113012">
        <w:rPr>
          <w:lang w:val="en-GB"/>
        </w:rPr>
        <w:t>decrease</w:t>
      </w:r>
      <w:r w:rsidR="0012147E" w:rsidRPr="00D272CC">
        <w:rPr>
          <w:lang w:val="en-GB"/>
        </w:rPr>
        <w:t xml:space="preserve"> reliability </w:t>
      </w:r>
      <w:r w:rsidR="00113012">
        <w:rPr>
          <w:lang w:val="en-GB"/>
        </w:rPr>
        <w:t>and increase</w:t>
      </w:r>
      <w:r w:rsidR="0012147E" w:rsidRPr="00D272CC">
        <w:rPr>
          <w:lang w:val="en-GB"/>
        </w:rPr>
        <w:t xml:space="preserve"> relevance.</w:t>
      </w:r>
      <w:r w:rsidR="008A1E98">
        <w:rPr>
          <w:lang w:val="en-GB"/>
        </w:rPr>
        <w:t xml:space="preserve"> </w:t>
      </w:r>
      <w:r w:rsidR="007A5162">
        <w:rPr>
          <w:lang w:val="en-GB"/>
        </w:rPr>
        <w:t>Another</w:t>
      </w:r>
      <w:r w:rsidR="008A1E98">
        <w:rPr>
          <w:lang w:val="en-GB"/>
        </w:rPr>
        <w:t xml:space="preserve"> pair </w:t>
      </w:r>
      <w:r w:rsidR="00532BFA">
        <w:rPr>
          <w:lang w:val="en-GB"/>
        </w:rPr>
        <w:t xml:space="preserve">of QCs </w:t>
      </w:r>
      <w:r w:rsidR="008A1E98">
        <w:rPr>
          <w:lang w:val="en-GB"/>
        </w:rPr>
        <w:t xml:space="preserve">is timeliness and conservatism. </w:t>
      </w:r>
      <w:r w:rsidR="00CB49BE">
        <w:rPr>
          <w:lang w:val="en-GB"/>
        </w:rPr>
        <w:t>T</w:t>
      </w:r>
      <w:r w:rsidR="008A1E98">
        <w:rPr>
          <w:lang w:val="en-GB"/>
        </w:rPr>
        <w:t xml:space="preserve">imeliness is measured </w:t>
      </w:r>
      <w:r w:rsidR="009F7C97">
        <w:rPr>
          <w:lang w:val="en-GB"/>
        </w:rPr>
        <w:t>as</w:t>
      </w:r>
      <w:r w:rsidR="008A1E98">
        <w:rPr>
          <w:lang w:val="en-GB"/>
        </w:rPr>
        <w:t xml:space="preserve"> </w:t>
      </w:r>
      <w:r w:rsidR="009F7C97">
        <w:rPr>
          <w:lang w:val="en-GB"/>
        </w:rPr>
        <w:t>the sensitivity of a firm’s earnings to returns</w:t>
      </w:r>
      <w:r w:rsidR="00841485">
        <w:rPr>
          <w:lang w:val="en-GB"/>
        </w:rPr>
        <w:t>,</w:t>
      </w:r>
      <w:r w:rsidR="009F7C97">
        <w:rPr>
          <w:lang w:val="en-GB"/>
        </w:rPr>
        <w:t xml:space="preserve"> and</w:t>
      </w:r>
      <w:r w:rsidR="00CB49BE">
        <w:rPr>
          <w:lang w:val="en-GB"/>
        </w:rPr>
        <w:t>,</w:t>
      </w:r>
      <w:r w:rsidR="009F7C97">
        <w:rPr>
          <w:lang w:val="en-GB"/>
        </w:rPr>
        <w:t xml:space="preserve"> </w:t>
      </w:r>
      <w:r w:rsidR="00CB49BE">
        <w:rPr>
          <w:lang w:val="en-GB"/>
        </w:rPr>
        <w:t xml:space="preserve">following </w:t>
      </w:r>
      <w:r w:rsidR="00CB49BE" w:rsidRPr="00D272CC">
        <w:rPr>
          <w:lang w:val="en-GB"/>
        </w:rPr>
        <w:t xml:space="preserve">Basu </w:t>
      </w:r>
      <w:r w:rsidR="00CB49BE">
        <w:rPr>
          <w:lang w:val="en-GB"/>
        </w:rPr>
        <w:t>(</w:t>
      </w:r>
      <w:r w:rsidR="00CB49BE" w:rsidRPr="00D272CC">
        <w:rPr>
          <w:lang w:val="en-GB"/>
        </w:rPr>
        <w:t>1997</w:t>
      </w:r>
      <w:r w:rsidR="00CB49BE">
        <w:rPr>
          <w:lang w:val="en-GB"/>
        </w:rPr>
        <w:t xml:space="preserve">), </w:t>
      </w:r>
      <w:r w:rsidR="009F7C97">
        <w:rPr>
          <w:lang w:val="en-GB"/>
        </w:rPr>
        <w:t xml:space="preserve">conservatism </w:t>
      </w:r>
      <w:r w:rsidR="00532BFA">
        <w:rPr>
          <w:lang w:val="en-GB"/>
        </w:rPr>
        <w:t>is</w:t>
      </w:r>
      <w:r w:rsidR="009F7C97">
        <w:rPr>
          <w:lang w:val="en-GB"/>
        </w:rPr>
        <w:t xml:space="preserve"> </w:t>
      </w:r>
      <w:r w:rsidR="00FA2ADB">
        <w:rPr>
          <w:lang w:val="en-GB"/>
        </w:rPr>
        <w:t xml:space="preserve">the </w:t>
      </w:r>
      <w:r w:rsidR="009F7C97">
        <w:rPr>
          <w:lang w:val="en-GB"/>
        </w:rPr>
        <w:t xml:space="preserve">higher sensitivity to negative returns. </w:t>
      </w:r>
      <w:r w:rsidR="007E75F4">
        <w:rPr>
          <w:lang w:val="en-GB"/>
        </w:rPr>
        <w:t xml:space="preserve">More timely and </w:t>
      </w:r>
      <w:r w:rsidR="000D34ED">
        <w:rPr>
          <w:lang w:val="en-GB"/>
        </w:rPr>
        <w:t xml:space="preserve">more </w:t>
      </w:r>
      <w:r w:rsidR="00004650">
        <w:rPr>
          <w:lang w:val="en-GB"/>
        </w:rPr>
        <w:t xml:space="preserve">(conditionally) </w:t>
      </w:r>
      <w:r w:rsidR="007E75F4">
        <w:rPr>
          <w:lang w:val="en-GB"/>
        </w:rPr>
        <w:t xml:space="preserve">conservative earnings are </w:t>
      </w:r>
      <w:r w:rsidR="00004650">
        <w:rPr>
          <w:lang w:val="en-GB"/>
        </w:rPr>
        <w:t xml:space="preserve">generally regarded as </w:t>
      </w:r>
      <w:r w:rsidR="00F31878">
        <w:rPr>
          <w:lang w:val="en-GB"/>
        </w:rPr>
        <w:t xml:space="preserve">being </w:t>
      </w:r>
      <w:r w:rsidR="000D34ED">
        <w:rPr>
          <w:lang w:val="en-GB"/>
        </w:rPr>
        <w:t xml:space="preserve">of </w:t>
      </w:r>
      <w:r w:rsidR="007E75F4">
        <w:rPr>
          <w:lang w:val="en-GB"/>
        </w:rPr>
        <w:t>higher quality (</w:t>
      </w:r>
      <w:r w:rsidR="00004650">
        <w:rPr>
          <w:lang w:val="en-GB"/>
        </w:rPr>
        <w:t xml:space="preserve">e.g. </w:t>
      </w:r>
      <w:r w:rsidR="007E75F4" w:rsidRPr="00D272CC">
        <w:rPr>
          <w:lang w:val="en-GB"/>
        </w:rPr>
        <w:t>Ball et al. 2000</w:t>
      </w:r>
      <w:r w:rsidR="007E75F4">
        <w:rPr>
          <w:lang w:val="en-GB"/>
        </w:rPr>
        <w:t>, Ball 2006</w:t>
      </w:r>
      <w:r w:rsidR="000D34ED">
        <w:rPr>
          <w:lang w:val="en-GB"/>
        </w:rPr>
        <w:t>, Dechow et al. 20</w:t>
      </w:r>
      <w:r w:rsidR="000D34ED" w:rsidRPr="00D272CC">
        <w:rPr>
          <w:lang w:val="en-GB"/>
        </w:rPr>
        <w:t>1</w:t>
      </w:r>
      <w:r w:rsidR="000D34ED">
        <w:rPr>
          <w:lang w:val="en-GB"/>
        </w:rPr>
        <w:t>0</w:t>
      </w:r>
      <w:r w:rsidR="007E75F4">
        <w:rPr>
          <w:lang w:val="en-GB"/>
        </w:rPr>
        <w:t>)</w:t>
      </w:r>
      <w:r w:rsidR="000D34ED">
        <w:rPr>
          <w:lang w:val="en-GB"/>
        </w:rPr>
        <w:t>.</w:t>
      </w:r>
    </w:p>
    <w:p w14:paraId="533359AC" w14:textId="77777777" w:rsidR="001A08B2" w:rsidRPr="00D272CC" w:rsidRDefault="00B44037" w:rsidP="00895A28">
      <w:pPr>
        <w:ind w:firstLine="540"/>
        <w:rPr>
          <w:lang w:val="en-GB"/>
        </w:rPr>
      </w:pPr>
      <w:r w:rsidRPr="00D272CC">
        <w:rPr>
          <w:lang w:val="en-GB"/>
        </w:rPr>
        <w:t xml:space="preserve">There are very few papers which investigate more than two QCs. </w:t>
      </w:r>
      <w:r w:rsidR="003A55D4" w:rsidRPr="00D272CC">
        <w:rPr>
          <w:lang w:val="en-GB"/>
        </w:rPr>
        <w:t>Joyce et al. (1982) examine US standard-setting in the context of the conceptual framework (SFAC 2)</w:t>
      </w:r>
      <w:r w:rsidR="00426CD9" w:rsidRPr="00D272CC">
        <w:rPr>
          <w:lang w:val="en-GB"/>
        </w:rPr>
        <w:t xml:space="preserve"> via</w:t>
      </w:r>
      <w:r w:rsidR="003A55D4" w:rsidRPr="00D272CC">
        <w:rPr>
          <w:lang w:val="en-GB"/>
        </w:rPr>
        <w:t xml:space="preserve"> </w:t>
      </w:r>
      <w:r w:rsidRPr="00D272CC">
        <w:rPr>
          <w:lang w:val="en-GB"/>
        </w:rPr>
        <w:t xml:space="preserve">an experiment with 26 former board members of the </w:t>
      </w:r>
      <w:r w:rsidR="00650F22" w:rsidRPr="00D272CC">
        <w:rPr>
          <w:lang w:val="en-GB"/>
        </w:rPr>
        <w:t xml:space="preserve">APB or the </w:t>
      </w:r>
      <w:r w:rsidRPr="00D272CC">
        <w:rPr>
          <w:lang w:val="en-GB"/>
        </w:rPr>
        <w:t xml:space="preserve">FASB. </w:t>
      </w:r>
      <w:r w:rsidR="00BF68DB">
        <w:rPr>
          <w:lang w:val="en-GB"/>
        </w:rPr>
        <w:t xml:space="preserve">They investigate a set of eleven QCs and their results suggest that the set is comprehensive but not parsimonious, and that only two QCs (verifiability and cost) are operational. </w:t>
      </w:r>
      <w:r w:rsidRPr="00D272CC">
        <w:rPr>
          <w:lang w:val="en-GB"/>
        </w:rPr>
        <w:t xml:space="preserve">The only study which uses </w:t>
      </w:r>
      <w:r w:rsidR="009F3B64">
        <w:rPr>
          <w:lang w:val="en-GB"/>
        </w:rPr>
        <w:t xml:space="preserve">publicly available </w:t>
      </w:r>
      <w:r w:rsidRPr="00D272CC">
        <w:rPr>
          <w:lang w:val="en-GB"/>
        </w:rPr>
        <w:t>data</w:t>
      </w:r>
      <w:r w:rsidR="001A08B2" w:rsidRPr="00D272CC">
        <w:rPr>
          <w:lang w:val="en-GB"/>
        </w:rPr>
        <w:t xml:space="preserve"> from the preparers of financial statements (</w:t>
      </w:r>
      <w:r w:rsidR="00895A28" w:rsidRPr="00D272CC">
        <w:rPr>
          <w:lang w:val="en-GB"/>
        </w:rPr>
        <w:t xml:space="preserve">i.e. </w:t>
      </w:r>
      <w:r w:rsidR="001A08B2" w:rsidRPr="00D272CC">
        <w:rPr>
          <w:lang w:val="en-GB"/>
        </w:rPr>
        <w:t>managers)</w:t>
      </w:r>
      <w:r w:rsidRPr="00D272CC">
        <w:rPr>
          <w:lang w:val="en-GB"/>
        </w:rPr>
        <w:t xml:space="preserve"> in order to </w:t>
      </w:r>
      <w:r w:rsidR="001B57C1">
        <w:rPr>
          <w:lang w:val="en-GB"/>
        </w:rPr>
        <w:t xml:space="preserve">(indirectly) </w:t>
      </w:r>
      <w:r w:rsidRPr="00D272CC">
        <w:rPr>
          <w:lang w:val="en-GB"/>
        </w:rPr>
        <w:t xml:space="preserve">analyse </w:t>
      </w:r>
      <w:r w:rsidR="001A08B2" w:rsidRPr="00D272CC">
        <w:rPr>
          <w:lang w:val="en-GB"/>
        </w:rPr>
        <w:t>a large set of QCs is</w:t>
      </w:r>
      <w:r w:rsidR="00707109" w:rsidRPr="00D272CC">
        <w:rPr>
          <w:lang w:val="en-GB"/>
        </w:rPr>
        <w:t xml:space="preserve"> van Beest</w:t>
      </w:r>
      <w:r w:rsidR="00995639" w:rsidRPr="00D272CC">
        <w:rPr>
          <w:lang w:val="en-GB"/>
        </w:rPr>
        <w:t xml:space="preserve"> et al.</w:t>
      </w:r>
      <w:r w:rsidR="00707109" w:rsidRPr="00D272CC">
        <w:rPr>
          <w:lang w:val="en-GB"/>
        </w:rPr>
        <w:t xml:space="preserve"> (2009)</w:t>
      </w:r>
      <w:r w:rsidR="001A08B2" w:rsidRPr="00D272CC">
        <w:rPr>
          <w:lang w:val="en-GB"/>
        </w:rPr>
        <w:t>.</w:t>
      </w:r>
      <w:r w:rsidR="00707109" w:rsidRPr="00D272CC">
        <w:rPr>
          <w:lang w:val="en-GB"/>
        </w:rPr>
        <w:t xml:space="preserve"> </w:t>
      </w:r>
      <w:r w:rsidR="001A08B2" w:rsidRPr="00D272CC">
        <w:rPr>
          <w:lang w:val="en-GB"/>
        </w:rPr>
        <w:t>They</w:t>
      </w:r>
      <w:r w:rsidR="00707109" w:rsidRPr="00D272CC">
        <w:rPr>
          <w:lang w:val="en-GB"/>
        </w:rPr>
        <w:t xml:space="preserve"> split the main QCs into 21 items, drawing somewhat on the questions</w:t>
      </w:r>
      <w:r w:rsidR="001A08B2" w:rsidRPr="00D272CC">
        <w:rPr>
          <w:lang w:val="en-GB"/>
        </w:rPr>
        <w:t xml:space="preserve"> </w:t>
      </w:r>
      <w:r w:rsidR="0062476F" w:rsidRPr="00D272CC">
        <w:rPr>
          <w:lang w:val="en-GB"/>
        </w:rPr>
        <w:t xml:space="preserve">proposed by Jonas and Blanchet (2000) </w:t>
      </w:r>
      <w:r w:rsidR="001A08B2" w:rsidRPr="00D272CC">
        <w:rPr>
          <w:lang w:val="en-GB"/>
        </w:rPr>
        <w:t>for assessing the quality of financial reporting</w:t>
      </w:r>
      <w:r w:rsidR="00707109" w:rsidRPr="00D272CC">
        <w:rPr>
          <w:lang w:val="en-GB"/>
        </w:rPr>
        <w:t>. Van Beest et al.</w:t>
      </w:r>
      <w:r w:rsidR="00012DDA" w:rsidRPr="00D272CC">
        <w:rPr>
          <w:lang w:val="en-GB"/>
        </w:rPr>
        <w:t xml:space="preserve"> (2009)</w:t>
      </w:r>
      <w:r w:rsidR="00707109" w:rsidRPr="00D272CC">
        <w:rPr>
          <w:lang w:val="en-GB"/>
        </w:rPr>
        <w:t xml:space="preserve"> apply their approach by scoring the items for 120 firms, some using IFRS and some US GAAP. They find no significant difference in quality between the GAAPs but a relationship with other factors, e.g. size and industry.</w:t>
      </w:r>
      <w:r w:rsidR="008A1E98" w:rsidRPr="008A1E98">
        <w:rPr>
          <w:lang w:val="en-GB"/>
        </w:rPr>
        <w:t xml:space="preserve"> </w:t>
      </w:r>
      <w:r w:rsidR="008A1E98" w:rsidRPr="00D272CC">
        <w:rPr>
          <w:lang w:val="en-GB"/>
        </w:rPr>
        <w:t xml:space="preserve">Given that QCs are abstract and difficult to measure </w:t>
      </w:r>
      <w:r w:rsidR="009F3B64">
        <w:rPr>
          <w:lang w:val="en-GB"/>
        </w:rPr>
        <w:t>via</w:t>
      </w:r>
      <w:r w:rsidR="008A1E98" w:rsidRPr="00D272CC">
        <w:rPr>
          <w:lang w:val="en-GB"/>
        </w:rPr>
        <w:t xml:space="preserve"> empirical proxies or in an experiment, conducting a survey or interviews </w:t>
      </w:r>
      <w:r w:rsidR="009F3B64">
        <w:rPr>
          <w:lang w:val="en-GB"/>
        </w:rPr>
        <w:t>can be used to generate data about QCs</w:t>
      </w:r>
      <w:r w:rsidR="008A1E98" w:rsidRPr="00D272CC">
        <w:rPr>
          <w:lang w:val="en-GB"/>
        </w:rPr>
        <w:t>.</w:t>
      </w:r>
      <w:r w:rsidR="008A1E98">
        <w:rPr>
          <w:lang w:val="en-GB"/>
        </w:rPr>
        <w:t xml:space="preserve"> </w:t>
      </w:r>
      <w:r w:rsidR="008A1E98" w:rsidRPr="00D272CC">
        <w:rPr>
          <w:lang w:val="en-GB"/>
        </w:rPr>
        <w:t>Dichev</w:t>
      </w:r>
      <w:r w:rsidR="008A1E98">
        <w:rPr>
          <w:lang w:val="en-GB"/>
        </w:rPr>
        <w:t xml:space="preserve"> et al. (2013</w:t>
      </w:r>
      <w:r w:rsidR="008A1E98" w:rsidRPr="00D272CC">
        <w:rPr>
          <w:lang w:val="en-GB"/>
        </w:rPr>
        <w:t xml:space="preserve">) </w:t>
      </w:r>
      <w:r w:rsidR="009F3B64">
        <w:rPr>
          <w:lang w:val="en-GB"/>
        </w:rPr>
        <w:t xml:space="preserve">ask </w:t>
      </w:r>
      <w:r w:rsidR="00841485">
        <w:rPr>
          <w:lang w:val="en-GB"/>
        </w:rPr>
        <w:t>chief financial officers (</w:t>
      </w:r>
      <w:r w:rsidR="009F3B64">
        <w:rPr>
          <w:lang w:val="en-GB"/>
        </w:rPr>
        <w:t>CFOs</w:t>
      </w:r>
      <w:r w:rsidR="00841485">
        <w:rPr>
          <w:lang w:val="en-GB"/>
        </w:rPr>
        <w:t>)</w:t>
      </w:r>
      <w:r w:rsidR="009F3B64">
        <w:rPr>
          <w:lang w:val="en-GB"/>
        </w:rPr>
        <w:t xml:space="preserve"> the following </w:t>
      </w:r>
      <w:r w:rsidR="009F3B64" w:rsidRPr="009F3B64">
        <w:rPr>
          <w:lang w:val="en-GB"/>
        </w:rPr>
        <w:t>open-ended</w:t>
      </w:r>
      <w:r w:rsidR="009F3B64">
        <w:rPr>
          <w:lang w:val="en-GB"/>
        </w:rPr>
        <w:t xml:space="preserve"> </w:t>
      </w:r>
      <w:r w:rsidR="00D250E2">
        <w:rPr>
          <w:lang w:val="en-GB"/>
        </w:rPr>
        <w:t>question</w:t>
      </w:r>
      <w:r w:rsidR="0047451D">
        <w:rPr>
          <w:lang w:val="en-GB"/>
        </w:rPr>
        <w:t>:</w:t>
      </w:r>
      <w:r w:rsidR="00D250E2">
        <w:rPr>
          <w:lang w:val="en-GB"/>
        </w:rPr>
        <w:t xml:space="preserve"> ‘</w:t>
      </w:r>
      <w:r w:rsidR="009F3B64" w:rsidRPr="009F3B64">
        <w:rPr>
          <w:lang w:val="en-GB"/>
        </w:rPr>
        <w:t>What does</w:t>
      </w:r>
      <w:r w:rsidR="009F3B64">
        <w:rPr>
          <w:lang w:val="en-GB"/>
        </w:rPr>
        <w:t xml:space="preserve"> </w:t>
      </w:r>
      <w:r w:rsidR="009F3B64" w:rsidRPr="009F3B64">
        <w:rPr>
          <w:lang w:val="en-GB"/>
        </w:rPr>
        <w:t>the</w:t>
      </w:r>
      <w:r w:rsidR="009F3B64">
        <w:rPr>
          <w:lang w:val="en-GB"/>
        </w:rPr>
        <w:t xml:space="preserve"> </w:t>
      </w:r>
      <w:r w:rsidR="009F3B64" w:rsidRPr="009F3B64">
        <w:rPr>
          <w:lang w:val="en-GB"/>
        </w:rPr>
        <w:t>concept</w:t>
      </w:r>
      <w:r w:rsidR="009F3B64">
        <w:rPr>
          <w:lang w:val="en-GB"/>
        </w:rPr>
        <w:t xml:space="preserve"> </w:t>
      </w:r>
      <w:r w:rsidR="009F3B64" w:rsidRPr="009F3B64">
        <w:rPr>
          <w:lang w:val="en-GB"/>
        </w:rPr>
        <w:t>of</w:t>
      </w:r>
      <w:r w:rsidR="009F3B64">
        <w:rPr>
          <w:lang w:val="en-GB"/>
        </w:rPr>
        <w:t xml:space="preserve"> </w:t>
      </w:r>
      <w:r w:rsidR="009F3B64" w:rsidRPr="009F3B64">
        <w:rPr>
          <w:lang w:val="en-GB"/>
        </w:rPr>
        <w:t>earnings</w:t>
      </w:r>
      <w:r w:rsidR="009F3B64">
        <w:rPr>
          <w:lang w:val="en-GB"/>
        </w:rPr>
        <w:t xml:space="preserve"> </w:t>
      </w:r>
      <w:r w:rsidR="009F3B64" w:rsidRPr="009F3B64">
        <w:rPr>
          <w:lang w:val="en-GB"/>
        </w:rPr>
        <w:t>quality</w:t>
      </w:r>
      <w:r w:rsidR="009F3B64">
        <w:rPr>
          <w:lang w:val="en-GB"/>
        </w:rPr>
        <w:t xml:space="preserve"> </w:t>
      </w:r>
      <w:r w:rsidR="00D250E2">
        <w:rPr>
          <w:lang w:val="en-GB"/>
        </w:rPr>
        <w:t>mean?’</w:t>
      </w:r>
      <w:r w:rsidR="0047451D">
        <w:rPr>
          <w:lang w:val="en-GB"/>
        </w:rPr>
        <w:t xml:space="preserve"> (</w:t>
      </w:r>
      <w:r w:rsidR="007A5162">
        <w:rPr>
          <w:lang w:val="en-GB"/>
        </w:rPr>
        <w:t xml:space="preserve">Table 3, </w:t>
      </w:r>
      <w:r w:rsidR="0047451D">
        <w:rPr>
          <w:lang w:val="en-GB"/>
        </w:rPr>
        <w:t>p.</w:t>
      </w:r>
      <w:r w:rsidR="00503AAC">
        <w:rPr>
          <w:lang w:val="en-GB"/>
        </w:rPr>
        <w:t xml:space="preserve"> </w:t>
      </w:r>
      <w:r w:rsidR="0047451D">
        <w:rPr>
          <w:lang w:val="en-GB"/>
        </w:rPr>
        <w:t xml:space="preserve">12). Among the most frequent </w:t>
      </w:r>
      <w:r w:rsidR="001645DB">
        <w:rPr>
          <w:lang w:val="en-GB"/>
        </w:rPr>
        <w:t xml:space="preserve">categories of </w:t>
      </w:r>
      <w:r w:rsidR="00D250E2">
        <w:rPr>
          <w:lang w:val="en-GB"/>
        </w:rPr>
        <w:t xml:space="preserve">responses </w:t>
      </w:r>
      <w:r w:rsidR="0047451D">
        <w:rPr>
          <w:lang w:val="en-GB"/>
        </w:rPr>
        <w:t>is</w:t>
      </w:r>
      <w:r w:rsidR="00D250E2">
        <w:rPr>
          <w:lang w:val="en-GB"/>
        </w:rPr>
        <w:t xml:space="preserve"> </w:t>
      </w:r>
      <w:r w:rsidR="00A12519">
        <w:rPr>
          <w:lang w:val="en-GB"/>
        </w:rPr>
        <w:t xml:space="preserve">that it </w:t>
      </w:r>
      <w:r w:rsidR="00D250E2">
        <w:rPr>
          <w:lang w:val="en-GB"/>
        </w:rPr>
        <w:t>‘a</w:t>
      </w:r>
      <w:r w:rsidR="00D250E2" w:rsidRPr="00D250E2">
        <w:rPr>
          <w:lang w:val="en-GB"/>
        </w:rPr>
        <w:t>ccurately</w:t>
      </w:r>
      <w:r w:rsidR="00D250E2">
        <w:rPr>
          <w:lang w:val="en-GB"/>
        </w:rPr>
        <w:t xml:space="preserve"> </w:t>
      </w:r>
      <w:r w:rsidR="00D250E2" w:rsidRPr="00D250E2">
        <w:rPr>
          <w:lang w:val="en-GB"/>
        </w:rPr>
        <w:t>reflects</w:t>
      </w:r>
      <w:r w:rsidR="00D250E2">
        <w:rPr>
          <w:lang w:val="en-GB"/>
        </w:rPr>
        <w:t xml:space="preserve"> </w:t>
      </w:r>
      <w:r w:rsidR="00D250E2" w:rsidRPr="00D250E2">
        <w:rPr>
          <w:lang w:val="en-GB"/>
        </w:rPr>
        <w:t>economic</w:t>
      </w:r>
      <w:r w:rsidR="00D250E2">
        <w:rPr>
          <w:lang w:val="en-GB"/>
        </w:rPr>
        <w:t xml:space="preserve"> </w:t>
      </w:r>
      <w:r w:rsidR="00D250E2" w:rsidRPr="00D250E2">
        <w:rPr>
          <w:lang w:val="en-GB"/>
        </w:rPr>
        <w:t>reality,</w:t>
      </w:r>
      <w:r w:rsidR="00D250E2">
        <w:rPr>
          <w:lang w:val="en-GB"/>
        </w:rPr>
        <w:t xml:space="preserve"> </w:t>
      </w:r>
      <w:r w:rsidR="00D250E2" w:rsidRPr="00D250E2">
        <w:rPr>
          <w:lang w:val="en-GB"/>
        </w:rPr>
        <w:t>accurately</w:t>
      </w:r>
      <w:r w:rsidR="00D250E2">
        <w:rPr>
          <w:lang w:val="en-GB"/>
        </w:rPr>
        <w:t xml:space="preserve"> </w:t>
      </w:r>
      <w:r w:rsidR="00D250E2" w:rsidRPr="00D250E2">
        <w:rPr>
          <w:lang w:val="en-GB"/>
        </w:rPr>
        <w:t>reflects</w:t>
      </w:r>
      <w:r w:rsidR="00D250E2">
        <w:rPr>
          <w:lang w:val="en-GB"/>
        </w:rPr>
        <w:t xml:space="preserve"> </w:t>
      </w:r>
      <w:r w:rsidR="00D250E2" w:rsidRPr="00D250E2">
        <w:rPr>
          <w:lang w:val="en-GB"/>
        </w:rPr>
        <w:t>the</w:t>
      </w:r>
      <w:r w:rsidR="00D250E2">
        <w:rPr>
          <w:lang w:val="en-GB"/>
        </w:rPr>
        <w:t xml:space="preserve"> </w:t>
      </w:r>
      <w:r w:rsidR="00D250E2" w:rsidRPr="00D250E2">
        <w:rPr>
          <w:lang w:val="en-GB"/>
        </w:rPr>
        <w:t>results</w:t>
      </w:r>
      <w:r w:rsidR="00D250E2">
        <w:rPr>
          <w:lang w:val="en-GB"/>
        </w:rPr>
        <w:t xml:space="preserve"> </w:t>
      </w:r>
      <w:r w:rsidR="00D250E2" w:rsidRPr="00D250E2">
        <w:rPr>
          <w:lang w:val="en-GB"/>
        </w:rPr>
        <w:t>of</w:t>
      </w:r>
      <w:r w:rsidR="00D250E2">
        <w:rPr>
          <w:lang w:val="en-GB"/>
        </w:rPr>
        <w:t xml:space="preserve"> </w:t>
      </w:r>
      <w:r w:rsidR="00D250E2" w:rsidRPr="00D250E2">
        <w:rPr>
          <w:lang w:val="en-GB"/>
        </w:rPr>
        <w:t>operations</w:t>
      </w:r>
      <w:r w:rsidR="00D250E2">
        <w:rPr>
          <w:lang w:val="en-GB"/>
        </w:rPr>
        <w:t xml:space="preserve">’ which is consistent with </w:t>
      </w:r>
      <w:r w:rsidR="008A1E98">
        <w:rPr>
          <w:lang w:val="en-GB"/>
        </w:rPr>
        <w:t>faithful representation</w:t>
      </w:r>
      <w:r w:rsidR="0047451D">
        <w:rPr>
          <w:lang w:val="en-GB"/>
        </w:rPr>
        <w:t>; the responses also include</w:t>
      </w:r>
      <w:r w:rsidR="00D250E2">
        <w:rPr>
          <w:lang w:val="en-GB"/>
        </w:rPr>
        <w:t xml:space="preserve"> </w:t>
      </w:r>
      <w:r w:rsidR="0047451D">
        <w:rPr>
          <w:lang w:val="en-GB"/>
        </w:rPr>
        <w:t xml:space="preserve">‘transparency/clarity’ and </w:t>
      </w:r>
      <w:r w:rsidR="00D250E2">
        <w:rPr>
          <w:lang w:val="en-GB"/>
        </w:rPr>
        <w:t>‘conservative’</w:t>
      </w:r>
      <w:r w:rsidR="008A1E98">
        <w:rPr>
          <w:lang w:val="en-GB"/>
        </w:rPr>
        <w:t>.</w:t>
      </w:r>
    </w:p>
    <w:p w14:paraId="7403EF67" w14:textId="77777777" w:rsidR="00421BBF" w:rsidRPr="00D272CC" w:rsidRDefault="00B603FA" w:rsidP="00421BBF">
      <w:pPr>
        <w:pStyle w:val="Heading2"/>
        <w:rPr>
          <w:lang w:val="en-GB"/>
        </w:rPr>
      </w:pPr>
      <w:r>
        <w:rPr>
          <w:lang w:val="en-GB"/>
        </w:rPr>
        <w:t xml:space="preserve">Prior research on </w:t>
      </w:r>
      <w:r w:rsidR="00421BBF" w:rsidRPr="00D272CC">
        <w:rPr>
          <w:lang w:val="en-GB"/>
        </w:rPr>
        <w:t xml:space="preserve">IFRS </w:t>
      </w:r>
      <w:r w:rsidR="00185999" w:rsidRPr="00D272CC">
        <w:rPr>
          <w:lang w:val="en-GB"/>
        </w:rPr>
        <w:t>p</w:t>
      </w:r>
      <w:r w:rsidR="00421BBF" w:rsidRPr="00D272CC">
        <w:rPr>
          <w:lang w:val="en-GB"/>
        </w:rPr>
        <w:t xml:space="preserve">olicy </w:t>
      </w:r>
      <w:r w:rsidR="00185999" w:rsidRPr="00D272CC">
        <w:rPr>
          <w:lang w:val="en-GB"/>
        </w:rPr>
        <w:t>c</w:t>
      </w:r>
      <w:r w:rsidR="00421BBF" w:rsidRPr="00D272CC">
        <w:rPr>
          <w:lang w:val="en-GB"/>
        </w:rPr>
        <w:t>hoice</w:t>
      </w:r>
      <w:r w:rsidR="002E6363" w:rsidRPr="002E6363">
        <w:rPr>
          <w:lang w:val="en-GB"/>
        </w:rPr>
        <w:t xml:space="preserve"> </w:t>
      </w:r>
      <w:r w:rsidR="002E6363">
        <w:rPr>
          <w:lang w:val="en-GB"/>
        </w:rPr>
        <w:t xml:space="preserve">and the economic determinants of </w:t>
      </w:r>
      <w:r w:rsidR="009E533B">
        <w:rPr>
          <w:lang w:val="en-GB"/>
        </w:rPr>
        <w:t xml:space="preserve">accounting </w:t>
      </w:r>
      <w:r w:rsidR="002E6363" w:rsidRPr="00D272CC">
        <w:rPr>
          <w:lang w:val="en-GB"/>
        </w:rPr>
        <w:t>choice</w:t>
      </w:r>
    </w:p>
    <w:p w14:paraId="56043881" w14:textId="77777777" w:rsidR="00FE3243" w:rsidRPr="00D272CC" w:rsidRDefault="00002CB8" w:rsidP="005A31BB">
      <w:pPr>
        <w:tabs>
          <w:tab w:val="left" w:pos="7560"/>
        </w:tabs>
        <w:rPr>
          <w:color w:val="000000"/>
          <w:szCs w:val="24"/>
          <w:lang w:val="en-GB" w:eastAsia="de-DE"/>
        </w:rPr>
      </w:pPr>
      <w:r w:rsidRPr="00D272CC">
        <w:rPr>
          <w:lang w:val="en-GB"/>
        </w:rPr>
        <w:t xml:space="preserve">Table 1 shows </w:t>
      </w:r>
      <w:r w:rsidR="0062476F" w:rsidRPr="00D272CC">
        <w:rPr>
          <w:lang w:val="en-GB"/>
        </w:rPr>
        <w:t xml:space="preserve">16 </w:t>
      </w:r>
      <w:r w:rsidRPr="00D272CC">
        <w:rPr>
          <w:lang w:val="en-GB"/>
        </w:rPr>
        <w:t>IFRS policy topics</w:t>
      </w:r>
      <w:r w:rsidR="00616AD7" w:rsidRPr="00D272CC">
        <w:rPr>
          <w:lang w:val="en-GB"/>
        </w:rPr>
        <w:t xml:space="preserve"> on which firms had a choice in the period 2005 to 2011</w:t>
      </w:r>
      <w:r w:rsidR="00FE3243" w:rsidRPr="00D272CC">
        <w:rPr>
          <w:lang w:val="en-GB"/>
        </w:rPr>
        <w:t>.</w:t>
      </w:r>
      <w:r w:rsidR="00616AD7" w:rsidRPr="00D272CC">
        <w:rPr>
          <w:rStyle w:val="FootnoteReference"/>
          <w:lang w:val="en-GB"/>
        </w:rPr>
        <w:footnoteReference w:id="17"/>
      </w:r>
      <w:r w:rsidR="00FE3243" w:rsidRPr="00D272CC">
        <w:rPr>
          <w:lang w:val="en-GB"/>
        </w:rPr>
        <w:t xml:space="preserve"> </w:t>
      </w:r>
      <w:r w:rsidR="001B763E" w:rsidRPr="00D272CC">
        <w:rPr>
          <w:lang w:val="en-GB"/>
        </w:rPr>
        <w:t>Kvaal and Nobes (2010) examine the choices made in 2005 by 232 large listed firms from five countries on th</w:t>
      </w:r>
      <w:r w:rsidR="00575848" w:rsidRPr="00D272CC">
        <w:rPr>
          <w:lang w:val="en-GB"/>
        </w:rPr>
        <w:t>os</w:t>
      </w:r>
      <w:r w:rsidR="001B763E" w:rsidRPr="00D272CC">
        <w:rPr>
          <w:lang w:val="en-GB"/>
        </w:rPr>
        <w:t>e topics. They found that firms tended to continue with their pre-IFRS policies where that was possible under IFRS. As a result, national profiles of IFRS practice were clearly apparent.</w:t>
      </w:r>
      <w:r w:rsidR="00934964" w:rsidRPr="00D272CC">
        <w:rPr>
          <w:lang w:val="en-GB"/>
        </w:rPr>
        <w:t xml:space="preserve"> Nobes and Stadler (2013) analy</w:t>
      </w:r>
      <w:r w:rsidR="0062476F" w:rsidRPr="00D272CC">
        <w:rPr>
          <w:lang w:val="en-GB"/>
        </w:rPr>
        <w:t>s</w:t>
      </w:r>
      <w:r w:rsidR="00934964" w:rsidRPr="00D272CC">
        <w:rPr>
          <w:lang w:val="en-GB"/>
        </w:rPr>
        <w:t>e 14 of the 16 topics for large listed firms from twelve countries in 2011 and provide evidence of sectoral differences in IFRS policy choice.</w:t>
      </w:r>
      <w:r w:rsidR="001B763E" w:rsidRPr="00D272CC">
        <w:rPr>
          <w:lang w:val="en-GB"/>
        </w:rPr>
        <w:t xml:space="preserve"> </w:t>
      </w:r>
      <w:r w:rsidR="005A31BB" w:rsidRPr="00D272CC">
        <w:rPr>
          <w:lang w:val="en-GB"/>
        </w:rPr>
        <w:t xml:space="preserve">Cairns et al. (2011) examine policy choice on </w:t>
      </w:r>
      <w:r w:rsidR="0062476F" w:rsidRPr="00D272CC">
        <w:rPr>
          <w:lang w:val="en-GB"/>
        </w:rPr>
        <w:t xml:space="preserve">the </w:t>
      </w:r>
      <w:r w:rsidR="005A31BB" w:rsidRPr="00D272CC">
        <w:rPr>
          <w:lang w:val="en-GB"/>
        </w:rPr>
        <w:t>topics for which fair value is an allowed option, finding limited use of it</w:t>
      </w:r>
      <w:r w:rsidR="00275B05">
        <w:rPr>
          <w:lang w:val="en-GB"/>
        </w:rPr>
        <w:t>, except for investment property</w:t>
      </w:r>
      <w:r w:rsidR="005A31BB" w:rsidRPr="00D272CC">
        <w:rPr>
          <w:lang w:val="en-GB"/>
        </w:rPr>
        <w:t xml:space="preserve">. </w:t>
      </w:r>
      <w:r w:rsidR="00893F29">
        <w:rPr>
          <w:lang w:val="en-GB"/>
        </w:rPr>
        <w:t xml:space="preserve">The </w:t>
      </w:r>
      <w:r w:rsidR="000B71B2">
        <w:rPr>
          <w:lang w:val="en-GB"/>
        </w:rPr>
        <w:t>results</w:t>
      </w:r>
      <w:r w:rsidR="00893F29">
        <w:rPr>
          <w:lang w:val="en-GB"/>
        </w:rPr>
        <w:t xml:space="preserve"> of </w:t>
      </w:r>
      <w:r w:rsidR="006E1B8F" w:rsidRPr="00D272CC">
        <w:rPr>
          <w:lang w:val="en-GB"/>
        </w:rPr>
        <w:t xml:space="preserve">Christensen and Nikolaev (2013) </w:t>
      </w:r>
      <w:r w:rsidR="00893F29">
        <w:rPr>
          <w:lang w:val="en-GB"/>
        </w:rPr>
        <w:t>suggest</w:t>
      </w:r>
      <w:r w:rsidR="003C06D7">
        <w:rPr>
          <w:lang w:val="en-GB"/>
        </w:rPr>
        <w:t xml:space="preserve"> that this use of fair value for the measurement of </w:t>
      </w:r>
      <w:r w:rsidR="006E1B8F" w:rsidRPr="00D272CC">
        <w:rPr>
          <w:lang w:val="en-GB"/>
        </w:rPr>
        <w:t xml:space="preserve">investment property </w:t>
      </w:r>
      <w:r w:rsidR="003C06D7">
        <w:rPr>
          <w:lang w:val="en-GB"/>
        </w:rPr>
        <w:t>is particularly associated with firms whose primary activity is real estate</w:t>
      </w:r>
      <w:r w:rsidR="006E1B8F" w:rsidRPr="00D272CC">
        <w:rPr>
          <w:lang w:val="en-GB"/>
        </w:rPr>
        <w:t>.</w:t>
      </w:r>
    </w:p>
    <w:p w14:paraId="7AF890E4" w14:textId="77777777" w:rsidR="00002CB8" w:rsidRPr="00D272CC" w:rsidRDefault="00002CB8" w:rsidP="00002CB8">
      <w:pPr>
        <w:pStyle w:val="Table-FigureInsert"/>
        <w:ind w:firstLine="0"/>
        <w:rPr>
          <w:lang w:val="en-GB"/>
        </w:rPr>
      </w:pPr>
      <w:r w:rsidRPr="00D272CC">
        <w:rPr>
          <w:lang w:val="en-GB"/>
        </w:rPr>
        <w:t>&lt; insert Table 1 about here &gt;</w:t>
      </w:r>
    </w:p>
    <w:p w14:paraId="2CDB677A" w14:textId="77777777" w:rsidR="00E76884" w:rsidRDefault="00FA386C" w:rsidP="00E76884">
      <w:pPr>
        <w:tabs>
          <w:tab w:val="left" w:pos="7560"/>
        </w:tabs>
        <w:rPr>
          <w:lang w:val="en-GB"/>
        </w:rPr>
      </w:pPr>
      <w:r w:rsidRPr="00D272CC">
        <w:rPr>
          <w:lang w:val="en-GB"/>
        </w:rPr>
        <w:t xml:space="preserve">Kvaal and Nobes (2012) examine the policy </w:t>
      </w:r>
      <w:r w:rsidRPr="00D272CC">
        <w:rPr>
          <w:i/>
          <w:lang w:val="en-GB"/>
        </w:rPr>
        <w:t>changes</w:t>
      </w:r>
      <w:r w:rsidRPr="00D272CC">
        <w:rPr>
          <w:lang w:val="en-GB"/>
        </w:rPr>
        <w:t xml:space="preserve">, from 2005 to 2008, made by the firms which they had studied earlier. They expect </w:t>
      </w:r>
      <w:r w:rsidR="002F42F2" w:rsidRPr="00D272CC">
        <w:rPr>
          <w:lang w:val="en-GB"/>
        </w:rPr>
        <w:t>and</w:t>
      </w:r>
      <w:r w:rsidRPr="00D272CC">
        <w:rPr>
          <w:lang w:val="en-GB"/>
        </w:rPr>
        <w:t xml:space="preserve"> find few changes for two reasons: (i) </w:t>
      </w:r>
      <w:r w:rsidR="001B763E" w:rsidRPr="00D272CC">
        <w:rPr>
          <w:lang w:val="en-GB"/>
        </w:rPr>
        <w:t xml:space="preserve">the </w:t>
      </w:r>
      <w:r w:rsidRPr="00D272CC">
        <w:rPr>
          <w:lang w:val="en-GB"/>
        </w:rPr>
        <w:t xml:space="preserve">continuation of various national pressures that caused the original policy choice, and (ii) the constraints in IAS 8, referred to above. </w:t>
      </w:r>
      <w:r w:rsidR="00C77FB8">
        <w:rPr>
          <w:lang w:val="en-GB"/>
        </w:rPr>
        <w:t xml:space="preserve">However, Kvaal and Nobes (2012) find some evidence that French and Spanish </w:t>
      </w:r>
      <w:r w:rsidR="00D32172">
        <w:rPr>
          <w:lang w:val="en-GB"/>
        </w:rPr>
        <w:t>firms</w:t>
      </w:r>
      <w:r w:rsidR="00C77FB8">
        <w:rPr>
          <w:lang w:val="en-GB"/>
        </w:rPr>
        <w:t xml:space="preserve"> </w:t>
      </w:r>
      <w:r w:rsidR="00546590">
        <w:rPr>
          <w:lang w:val="en-GB"/>
        </w:rPr>
        <w:t xml:space="preserve">moved away from previous national practices, thereby increasing international comparability. </w:t>
      </w:r>
      <w:r w:rsidR="00430F32" w:rsidRPr="00D272CC">
        <w:rPr>
          <w:lang w:val="en-GB"/>
        </w:rPr>
        <w:t xml:space="preserve">Haller and Wehrfritz (2013) present findings for Germany and the UK relating to policy </w:t>
      </w:r>
      <w:r w:rsidR="009C56F3" w:rsidRPr="00D272CC">
        <w:rPr>
          <w:lang w:val="en-GB"/>
        </w:rPr>
        <w:t>choices</w:t>
      </w:r>
      <w:r w:rsidR="00430F32" w:rsidRPr="00D272CC">
        <w:rPr>
          <w:lang w:val="en-GB"/>
        </w:rPr>
        <w:t xml:space="preserve"> from 2005 to 2009</w:t>
      </w:r>
      <w:r w:rsidR="00A15CD2" w:rsidRPr="00D272CC">
        <w:rPr>
          <w:lang w:val="en-GB"/>
        </w:rPr>
        <w:t>, and also find little change</w:t>
      </w:r>
      <w:r w:rsidR="00430F32" w:rsidRPr="00D272CC">
        <w:rPr>
          <w:lang w:val="en-GB"/>
        </w:rPr>
        <w:t>.</w:t>
      </w:r>
    </w:p>
    <w:p w14:paraId="781D757B" w14:textId="77777777" w:rsidR="00A964E2" w:rsidRPr="00D272CC" w:rsidRDefault="008D4B98" w:rsidP="00FA4394">
      <w:pPr>
        <w:tabs>
          <w:tab w:val="left" w:pos="7560"/>
        </w:tabs>
        <w:rPr>
          <w:lang w:val="en-GB"/>
        </w:rPr>
      </w:pPr>
      <w:r>
        <w:rPr>
          <w:lang w:val="en-GB"/>
        </w:rPr>
        <w:t xml:space="preserve">We analyse QCs and our data are IFRS policy changes, which are a particular type of accounting choice. </w:t>
      </w:r>
      <w:r w:rsidR="002E6363">
        <w:t>Holthausen and</w:t>
      </w:r>
      <w:r w:rsidR="002E6363" w:rsidRPr="00951F48">
        <w:t xml:space="preserve"> </w:t>
      </w:r>
      <w:r w:rsidR="002E6363">
        <w:t xml:space="preserve">Leftwich (1983), Watts and Zimmerman (1986) and Fields </w:t>
      </w:r>
      <w:r w:rsidR="002E6363" w:rsidRPr="00B54B46">
        <w:t>et al.</w:t>
      </w:r>
      <w:r w:rsidR="002E6363">
        <w:t xml:space="preserve"> (2001) provide comprehensive reviews of the literature on accounting choice.</w:t>
      </w:r>
      <w:r w:rsidR="00B83CD7">
        <w:rPr>
          <w:lang w:val="en-GB"/>
        </w:rPr>
        <w:t xml:space="preserve"> </w:t>
      </w:r>
      <w:r w:rsidR="00A964E2">
        <w:t xml:space="preserve">The </w:t>
      </w:r>
      <w:r w:rsidR="00B54B46">
        <w:t>economic</w:t>
      </w:r>
      <w:r w:rsidR="00A964E2" w:rsidRPr="00060CBE">
        <w:t xml:space="preserve"> </w:t>
      </w:r>
      <w:r w:rsidR="00B54B46">
        <w:t>factors</w:t>
      </w:r>
      <w:r w:rsidR="00A964E2" w:rsidRPr="00060CBE">
        <w:t xml:space="preserve"> most </w:t>
      </w:r>
      <w:r w:rsidR="00A964E2">
        <w:t>often associated with</w:t>
      </w:r>
      <w:r w:rsidR="00A964E2" w:rsidRPr="00060CBE">
        <w:t xml:space="preserve"> accounting choices </w:t>
      </w:r>
      <w:r w:rsidR="00A964E2">
        <w:t>include</w:t>
      </w:r>
      <w:r w:rsidR="00A964E2" w:rsidRPr="00060CBE">
        <w:t xml:space="preserve"> </w:t>
      </w:r>
      <w:r w:rsidR="006017A5">
        <w:t>political costs</w:t>
      </w:r>
      <w:r w:rsidR="00A964E2" w:rsidRPr="00060CBE">
        <w:t xml:space="preserve"> (e.g.</w:t>
      </w:r>
      <w:r w:rsidR="00A964E2">
        <w:t xml:space="preserve"> </w:t>
      </w:r>
      <w:r w:rsidR="000B71B2">
        <w:rPr>
          <w:lang w:val="en-GB"/>
        </w:rPr>
        <w:t xml:space="preserve">Watts and Zimmerman </w:t>
      </w:r>
      <w:r w:rsidR="000B71B2" w:rsidRPr="00BE1751">
        <w:rPr>
          <w:lang w:val="en-GB"/>
        </w:rPr>
        <w:t>1978</w:t>
      </w:r>
      <w:r w:rsidR="000B71B2">
        <w:rPr>
          <w:lang w:val="en-GB"/>
        </w:rPr>
        <w:t xml:space="preserve">, </w:t>
      </w:r>
      <w:r w:rsidR="00B54B46">
        <w:t>Hagerman and Zmijewski</w:t>
      </w:r>
      <w:r w:rsidR="00A964E2" w:rsidRPr="00060CBE">
        <w:t xml:space="preserve"> 1979), </w:t>
      </w:r>
      <w:r w:rsidR="00A964E2">
        <w:t>debt covenants</w:t>
      </w:r>
      <w:r w:rsidR="00A964E2" w:rsidRPr="00060CBE">
        <w:t xml:space="preserve"> (e</w:t>
      </w:r>
      <w:r w:rsidR="00B54B46">
        <w:t>.g. Hunt 1985</w:t>
      </w:r>
      <w:r w:rsidR="00096FE0">
        <w:t>,</w:t>
      </w:r>
      <w:r w:rsidR="00B54B46">
        <w:t xml:space="preserve"> Sweeney</w:t>
      </w:r>
      <w:r w:rsidR="00A964E2">
        <w:t xml:space="preserve"> 1994)</w:t>
      </w:r>
      <w:r w:rsidR="00A964E2" w:rsidRPr="00060CBE">
        <w:t xml:space="preserve"> and compensation</w:t>
      </w:r>
      <w:r w:rsidR="00A964E2">
        <w:t xml:space="preserve"> arrangements</w:t>
      </w:r>
      <w:r w:rsidR="00A964E2" w:rsidRPr="00060CBE">
        <w:t xml:space="preserve"> (e.g.</w:t>
      </w:r>
      <w:r w:rsidR="00B54B46">
        <w:t xml:space="preserve"> Healy</w:t>
      </w:r>
      <w:r w:rsidR="00A964E2">
        <w:t xml:space="preserve"> 1985</w:t>
      </w:r>
      <w:r w:rsidR="00096FE0">
        <w:t>,</w:t>
      </w:r>
      <w:r w:rsidR="00A964E2" w:rsidRPr="00060CBE">
        <w:t xml:space="preserve"> Bamber</w:t>
      </w:r>
      <w:r w:rsidR="00A964E2">
        <w:t xml:space="preserve"> </w:t>
      </w:r>
      <w:r w:rsidR="00A964E2" w:rsidRPr="00B54B46">
        <w:t>et al.</w:t>
      </w:r>
      <w:r w:rsidR="00A964E2" w:rsidRPr="00D5508F">
        <w:t xml:space="preserve"> 2010</w:t>
      </w:r>
      <w:r w:rsidR="00A964E2" w:rsidRPr="00060CBE">
        <w:t>)</w:t>
      </w:r>
      <w:r w:rsidR="00A964E2">
        <w:t>.</w:t>
      </w:r>
    </w:p>
    <w:p w14:paraId="1D30D870" w14:textId="77777777" w:rsidR="00A50F9C" w:rsidRPr="00D272CC" w:rsidRDefault="00A15023" w:rsidP="00A50F9C">
      <w:pPr>
        <w:pStyle w:val="Heading2"/>
        <w:rPr>
          <w:lang w:val="en-GB"/>
        </w:rPr>
      </w:pPr>
      <w:r w:rsidRPr="00D272CC">
        <w:rPr>
          <w:lang w:val="en-GB"/>
        </w:rPr>
        <w:t xml:space="preserve">Research </w:t>
      </w:r>
      <w:r w:rsidR="00185999" w:rsidRPr="00D272CC">
        <w:rPr>
          <w:lang w:val="en-GB"/>
        </w:rPr>
        <w:t>q</w:t>
      </w:r>
      <w:r w:rsidRPr="00D272CC">
        <w:rPr>
          <w:lang w:val="en-GB"/>
        </w:rPr>
        <w:t>uestion</w:t>
      </w:r>
      <w:r w:rsidR="009506ED" w:rsidRPr="00D272CC">
        <w:rPr>
          <w:lang w:val="en-GB"/>
        </w:rPr>
        <w:t>s</w:t>
      </w:r>
      <w:r w:rsidR="00292CD4" w:rsidRPr="00D272CC">
        <w:rPr>
          <w:lang w:val="en-GB"/>
        </w:rPr>
        <w:t xml:space="preserve"> and hypothes</w:t>
      </w:r>
      <w:r w:rsidR="00A817BC">
        <w:rPr>
          <w:lang w:val="en-GB"/>
        </w:rPr>
        <w:t>i</w:t>
      </w:r>
      <w:r w:rsidR="00292CD4" w:rsidRPr="00D272CC">
        <w:rPr>
          <w:lang w:val="en-GB"/>
        </w:rPr>
        <w:t>s</w:t>
      </w:r>
    </w:p>
    <w:p w14:paraId="75EBF1C3" w14:textId="77777777" w:rsidR="009641E3" w:rsidRPr="00D272CC" w:rsidRDefault="00985CD5" w:rsidP="00386416">
      <w:pPr>
        <w:rPr>
          <w:lang w:val="en-GB"/>
        </w:rPr>
      </w:pPr>
      <w:r w:rsidRPr="00D272CC">
        <w:rPr>
          <w:lang w:val="en-GB"/>
        </w:rPr>
        <w:t>No prior paper</w:t>
      </w:r>
      <w:r w:rsidR="00D45E14" w:rsidRPr="00D272CC">
        <w:rPr>
          <w:lang w:val="en-GB"/>
        </w:rPr>
        <w:t xml:space="preserve"> provide</w:t>
      </w:r>
      <w:r w:rsidRPr="00D272CC">
        <w:rPr>
          <w:lang w:val="en-GB"/>
        </w:rPr>
        <w:t>s</w:t>
      </w:r>
      <w:r w:rsidR="00D45E14" w:rsidRPr="00D272CC">
        <w:rPr>
          <w:lang w:val="en-GB"/>
        </w:rPr>
        <w:t xml:space="preserve"> </w:t>
      </w:r>
      <w:r w:rsidR="002C26CE" w:rsidRPr="00D272CC">
        <w:rPr>
          <w:i/>
          <w:lang w:val="en-GB"/>
        </w:rPr>
        <w:t>direct</w:t>
      </w:r>
      <w:r w:rsidR="00D45E14" w:rsidRPr="00D272CC">
        <w:rPr>
          <w:lang w:val="en-GB"/>
        </w:rPr>
        <w:t xml:space="preserve"> empirical evidence on the role and importance of the </w:t>
      </w:r>
      <w:r w:rsidR="00062AF8" w:rsidRPr="00D272CC">
        <w:rPr>
          <w:lang w:val="en-GB"/>
        </w:rPr>
        <w:t>QCs</w:t>
      </w:r>
      <w:r w:rsidR="00D45E14" w:rsidRPr="00D272CC">
        <w:rPr>
          <w:lang w:val="en-GB"/>
        </w:rPr>
        <w:t xml:space="preserve"> of financial information in managements’ accounting decisions.</w:t>
      </w:r>
      <w:r w:rsidRPr="00D272CC">
        <w:rPr>
          <w:lang w:val="en-GB"/>
        </w:rPr>
        <w:t xml:space="preserve"> </w:t>
      </w:r>
      <w:r w:rsidR="000C2EDF" w:rsidRPr="00D272CC">
        <w:rPr>
          <w:lang w:val="en-GB"/>
        </w:rPr>
        <w:t>W</w:t>
      </w:r>
      <w:r w:rsidR="002944AD" w:rsidRPr="00D272CC">
        <w:rPr>
          <w:lang w:val="en-GB"/>
        </w:rPr>
        <w:t xml:space="preserve">e </w:t>
      </w:r>
      <w:r w:rsidR="000C2EDF" w:rsidRPr="00D272CC">
        <w:rPr>
          <w:lang w:val="en-GB"/>
        </w:rPr>
        <w:t xml:space="preserve">therefore </w:t>
      </w:r>
      <w:r w:rsidR="002944AD" w:rsidRPr="00D272CC">
        <w:rPr>
          <w:lang w:val="en-GB"/>
        </w:rPr>
        <w:t xml:space="preserve">ask the </w:t>
      </w:r>
      <w:r w:rsidR="000C2EDF" w:rsidRPr="00D272CC">
        <w:rPr>
          <w:lang w:val="en-GB"/>
        </w:rPr>
        <w:t xml:space="preserve">following two </w:t>
      </w:r>
      <w:r w:rsidR="002944AD" w:rsidRPr="00D272CC">
        <w:rPr>
          <w:lang w:val="en-GB"/>
        </w:rPr>
        <w:t>research question</w:t>
      </w:r>
      <w:r w:rsidR="000C2EDF" w:rsidRPr="00D272CC">
        <w:rPr>
          <w:lang w:val="en-GB"/>
        </w:rPr>
        <w:t>s</w:t>
      </w:r>
      <w:r w:rsidR="002944AD" w:rsidRPr="00D272CC">
        <w:rPr>
          <w:lang w:val="en-GB"/>
        </w:rPr>
        <w:t xml:space="preserve">: </w:t>
      </w:r>
      <w:r w:rsidR="00AC10F9">
        <w:rPr>
          <w:lang w:val="en-GB"/>
        </w:rPr>
        <w:t>w</w:t>
      </w:r>
      <w:r w:rsidR="004F3CAE" w:rsidRPr="00D272CC">
        <w:rPr>
          <w:lang w:val="en-GB"/>
        </w:rPr>
        <w:t xml:space="preserve">hich QCs do managers </w:t>
      </w:r>
      <w:r w:rsidR="009506ED" w:rsidRPr="00D272CC">
        <w:rPr>
          <w:lang w:val="en-GB"/>
        </w:rPr>
        <w:t>refer to when explaining</w:t>
      </w:r>
      <w:r w:rsidR="004F3CAE" w:rsidRPr="00D272CC">
        <w:rPr>
          <w:lang w:val="en-GB"/>
        </w:rPr>
        <w:t xml:space="preserve"> their accounting decisions</w:t>
      </w:r>
      <w:r w:rsidR="00AC10F9">
        <w:rPr>
          <w:lang w:val="en-GB"/>
        </w:rPr>
        <w:t>, a</w:t>
      </w:r>
      <w:r w:rsidR="004F3CAE" w:rsidRPr="00D272CC">
        <w:rPr>
          <w:lang w:val="en-GB"/>
        </w:rPr>
        <w:t xml:space="preserve">nd </w:t>
      </w:r>
      <w:r w:rsidR="002A2BF1">
        <w:rPr>
          <w:lang w:val="en-GB"/>
        </w:rPr>
        <w:t>when</w:t>
      </w:r>
      <w:r w:rsidR="004F3CAE" w:rsidRPr="00D272CC">
        <w:rPr>
          <w:lang w:val="en-GB"/>
        </w:rPr>
        <w:t xml:space="preserve"> do they</w:t>
      </w:r>
      <w:r w:rsidR="00F41E31">
        <w:rPr>
          <w:lang w:val="en-GB"/>
        </w:rPr>
        <w:t xml:space="preserve"> </w:t>
      </w:r>
      <w:r w:rsidR="004F3CAE" w:rsidRPr="00D272CC">
        <w:rPr>
          <w:lang w:val="en-GB"/>
        </w:rPr>
        <w:t>refer to QCs</w:t>
      </w:r>
      <w:r w:rsidR="003E2153" w:rsidRPr="00D272CC">
        <w:rPr>
          <w:lang w:val="en-GB"/>
        </w:rPr>
        <w:t xml:space="preserve">? </w:t>
      </w:r>
      <w:r w:rsidR="00D45E14" w:rsidRPr="00D272CC">
        <w:rPr>
          <w:lang w:val="en-GB"/>
        </w:rPr>
        <w:t>Our context for addressing th</w:t>
      </w:r>
      <w:r w:rsidR="00292CD4" w:rsidRPr="00D272CC">
        <w:rPr>
          <w:lang w:val="en-GB"/>
        </w:rPr>
        <w:t>e</w:t>
      </w:r>
      <w:r w:rsidR="00D45E14" w:rsidRPr="00D272CC">
        <w:rPr>
          <w:lang w:val="en-GB"/>
        </w:rPr>
        <w:t>s</w:t>
      </w:r>
      <w:r w:rsidR="00292CD4" w:rsidRPr="00D272CC">
        <w:rPr>
          <w:lang w:val="en-GB"/>
        </w:rPr>
        <w:t>e</w:t>
      </w:r>
      <w:r w:rsidR="00D45E14" w:rsidRPr="00D272CC">
        <w:rPr>
          <w:lang w:val="en-GB"/>
        </w:rPr>
        <w:t xml:space="preserve"> question</w:t>
      </w:r>
      <w:r w:rsidR="00292CD4" w:rsidRPr="00D272CC">
        <w:rPr>
          <w:lang w:val="en-GB"/>
        </w:rPr>
        <w:t>s</w:t>
      </w:r>
      <w:r w:rsidR="00D45E14" w:rsidRPr="00D272CC">
        <w:rPr>
          <w:lang w:val="en-GB"/>
        </w:rPr>
        <w:t xml:space="preserve"> is </w:t>
      </w:r>
      <w:r w:rsidR="00D0406D">
        <w:rPr>
          <w:lang w:val="en-GB"/>
        </w:rPr>
        <w:t xml:space="preserve">IFRS </w:t>
      </w:r>
      <w:r w:rsidR="00D45E14" w:rsidRPr="00D272CC">
        <w:rPr>
          <w:lang w:val="en-GB"/>
        </w:rPr>
        <w:t>accounting policy changes.</w:t>
      </w:r>
      <w:r w:rsidR="008E4071" w:rsidRPr="008E4071">
        <w:rPr>
          <w:lang w:val="en-GB"/>
        </w:rPr>
        <w:t xml:space="preserve"> </w:t>
      </w:r>
      <w:r w:rsidR="008E4071">
        <w:rPr>
          <w:lang w:val="en-GB"/>
        </w:rPr>
        <w:t>We choose this context for two reasons: as noted earlier, policy change is the most common context for references to QCs, and there is much greater scope for policy choice (and, therefore, policy change) under IFRS than under US GAAP.</w:t>
      </w:r>
      <w:r w:rsidR="00B52D21">
        <w:rPr>
          <w:lang w:val="en-GB"/>
        </w:rPr>
        <w:t xml:space="preserve"> </w:t>
      </w:r>
      <w:r w:rsidR="00E9200A" w:rsidRPr="00D272CC">
        <w:rPr>
          <w:lang w:val="en-GB"/>
        </w:rPr>
        <w:t>In th</w:t>
      </w:r>
      <w:r w:rsidR="003E2153" w:rsidRPr="00D272CC">
        <w:rPr>
          <w:lang w:val="en-GB"/>
        </w:rPr>
        <w:t>e</w:t>
      </w:r>
      <w:r w:rsidR="00E9200A" w:rsidRPr="00D272CC">
        <w:rPr>
          <w:lang w:val="en-GB"/>
        </w:rPr>
        <w:t xml:space="preserve"> highly unlikely case</w:t>
      </w:r>
      <w:r w:rsidR="003E2153" w:rsidRPr="00D272CC">
        <w:rPr>
          <w:lang w:val="en-GB"/>
        </w:rPr>
        <w:t xml:space="preserve"> </w:t>
      </w:r>
      <w:r w:rsidR="00413634" w:rsidRPr="00D272CC">
        <w:rPr>
          <w:lang w:val="en-GB"/>
        </w:rPr>
        <w:t>that we find</w:t>
      </w:r>
      <w:r w:rsidR="003E2153" w:rsidRPr="00D272CC">
        <w:rPr>
          <w:lang w:val="en-GB"/>
        </w:rPr>
        <w:t xml:space="preserve"> no reference</w:t>
      </w:r>
      <w:r w:rsidR="000C4DC8">
        <w:rPr>
          <w:lang w:val="en-GB"/>
        </w:rPr>
        <w:t>s</w:t>
      </w:r>
      <w:r w:rsidR="003E2153" w:rsidRPr="00D272CC">
        <w:rPr>
          <w:lang w:val="en-GB"/>
        </w:rPr>
        <w:t xml:space="preserve"> to QCs</w:t>
      </w:r>
      <w:r w:rsidR="00E9200A" w:rsidRPr="00D272CC">
        <w:rPr>
          <w:lang w:val="en-GB"/>
        </w:rPr>
        <w:t>,</w:t>
      </w:r>
      <w:r w:rsidR="00E638E7" w:rsidRPr="00D272CC">
        <w:rPr>
          <w:rStyle w:val="FootnoteReference"/>
          <w:lang w:val="en-GB"/>
        </w:rPr>
        <w:footnoteReference w:id="18"/>
      </w:r>
      <w:r w:rsidR="00E9200A" w:rsidRPr="00D272CC">
        <w:rPr>
          <w:lang w:val="en-GB"/>
        </w:rPr>
        <w:t xml:space="preserve"> the simple answer to our research questions would be that managers do not </w:t>
      </w:r>
      <w:r w:rsidR="006C4315" w:rsidRPr="00D272CC">
        <w:rPr>
          <w:lang w:val="en-GB"/>
        </w:rPr>
        <w:t>refer to</w:t>
      </w:r>
      <w:r w:rsidR="00E9200A" w:rsidRPr="00D272CC">
        <w:rPr>
          <w:lang w:val="en-GB"/>
        </w:rPr>
        <w:t xml:space="preserve"> QCs when they change their accounting policies, regardless of the circumstances.</w:t>
      </w:r>
    </w:p>
    <w:p w14:paraId="77A6C511" w14:textId="77777777" w:rsidR="003F7C43" w:rsidRPr="00D272CC" w:rsidRDefault="001B4940" w:rsidP="001B4940">
      <w:pPr>
        <w:tabs>
          <w:tab w:val="left" w:pos="7560"/>
        </w:tabs>
        <w:rPr>
          <w:lang w:val="en-GB"/>
        </w:rPr>
      </w:pPr>
      <w:r w:rsidRPr="00D272CC">
        <w:rPr>
          <w:lang w:val="en-GB"/>
        </w:rPr>
        <w:t>O</w:t>
      </w:r>
      <w:r w:rsidR="00C656CB" w:rsidRPr="00D272CC">
        <w:rPr>
          <w:lang w:val="en-GB"/>
        </w:rPr>
        <w:t>ur first research question</w:t>
      </w:r>
      <w:r w:rsidRPr="00D272CC">
        <w:rPr>
          <w:lang w:val="en-GB"/>
        </w:rPr>
        <w:t xml:space="preserve"> </w:t>
      </w:r>
      <w:r w:rsidR="001D385B">
        <w:rPr>
          <w:lang w:val="en-GB"/>
        </w:rPr>
        <w:t xml:space="preserve">(which QCs are </w:t>
      </w:r>
      <w:r w:rsidR="002D7A1E">
        <w:rPr>
          <w:lang w:val="en-GB"/>
        </w:rPr>
        <w:t>referred to</w:t>
      </w:r>
      <w:r w:rsidR="001D385B">
        <w:rPr>
          <w:lang w:val="en-GB"/>
        </w:rPr>
        <w:t xml:space="preserve">?) </w:t>
      </w:r>
      <w:r w:rsidRPr="00D272CC">
        <w:rPr>
          <w:lang w:val="en-GB"/>
        </w:rPr>
        <w:t>is exploratory</w:t>
      </w:r>
      <w:r w:rsidR="00C656CB" w:rsidRPr="00D272CC">
        <w:rPr>
          <w:lang w:val="en-GB"/>
        </w:rPr>
        <w:t xml:space="preserve">. </w:t>
      </w:r>
      <w:r w:rsidR="004116B7">
        <w:rPr>
          <w:lang w:val="en-GB"/>
        </w:rPr>
        <w:t>Regarding</w:t>
      </w:r>
      <w:r w:rsidR="0069632D" w:rsidRPr="00D272CC">
        <w:rPr>
          <w:lang w:val="en-GB"/>
        </w:rPr>
        <w:t xml:space="preserve"> our second research question</w:t>
      </w:r>
      <w:r w:rsidR="004116B7">
        <w:rPr>
          <w:lang w:val="en-GB"/>
        </w:rPr>
        <w:t xml:space="preserve"> (when are QCs </w:t>
      </w:r>
      <w:r w:rsidR="002D7A1E">
        <w:rPr>
          <w:lang w:val="en-GB"/>
        </w:rPr>
        <w:t>referred to</w:t>
      </w:r>
      <w:r w:rsidR="004116B7">
        <w:rPr>
          <w:lang w:val="en-GB"/>
        </w:rPr>
        <w:t>?)</w:t>
      </w:r>
      <w:r w:rsidR="00C656CB" w:rsidRPr="00D272CC">
        <w:rPr>
          <w:lang w:val="en-GB"/>
        </w:rPr>
        <w:t xml:space="preserve">, we </w:t>
      </w:r>
      <w:r w:rsidR="004116B7">
        <w:rPr>
          <w:lang w:val="en-GB"/>
        </w:rPr>
        <w:t xml:space="preserve">expect that </w:t>
      </w:r>
      <w:r w:rsidR="003F7C43" w:rsidRPr="00D272CC">
        <w:rPr>
          <w:lang w:val="en-GB"/>
        </w:rPr>
        <w:t xml:space="preserve">managers </w:t>
      </w:r>
      <w:r w:rsidR="00DD4760">
        <w:rPr>
          <w:lang w:val="en-GB"/>
        </w:rPr>
        <w:t xml:space="preserve">and auditors </w:t>
      </w:r>
      <w:r w:rsidR="003F7C43" w:rsidRPr="00D272CC">
        <w:rPr>
          <w:lang w:val="en-GB"/>
        </w:rPr>
        <w:t xml:space="preserve">feel more concerned </w:t>
      </w:r>
      <w:r w:rsidR="00DD4760">
        <w:rPr>
          <w:lang w:val="en-GB"/>
        </w:rPr>
        <w:t>that</w:t>
      </w:r>
      <w:r w:rsidR="003F7C43" w:rsidRPr="00D272CC">
        <w:rPr>
          <w:lang w:val="en-GB"/>
        </w:rPr>
        <w:t xml:space="preserve"> a policy change</w:t>
      </w:r>
      <w:r w:rsidR="00683125" w:rsidRPr="00D272CC">
        <w:rPr>
          <w:lang w:val="en-GB"/>
        </w:rPr>
        <w:t xml:space="preserve"> </w:t>
      </w:r>
      <w:r w:rsidR="00DD4760">
        <w:rPr>
          <w:lang w:val="en-GB"/>
        </w:rPr>
        <w:t xml:space="preserve">should be justified </w:t>
      </w:r>
      <w:r w:rsidR="00683125" w:rsidRPr="00D272CC">
        <w:rPr>
          <w:lang w:val="en-GB"/>
        </w:rPr>
        <w:t>with reference to a QC</w:t>
      </w:r>
      <w:r w:rsidR="003F7C43" w:rsidRPr="00D272CC">
        <w:rPr>
          <w:lang w:val="en-GB"/>
        </w:rPr>
        <w:t xml:space="preserve"> if the change is </w:t>
      </w:r>
      <w:r w:rsidR="00826FA9">
        <w:rPr>
          <w:lang w:val="en-GB"/>
        </w:rPr>
        <w:t xml:space="preserve">perceived to be </w:t>
      </w:r>
      <w:r w:rsidR="003F7C43" w:rsidRPr="00D272CC">
        <w:rPr>
          <w:lang w:val="en-GB"/>
        </w:rPr>
        <w:t>important</w:t>
      </w:r>
      <w:r w:rsidR="004116B7">
        <w:rPr>
          <w:lang w:val="en-GB"/>
        </w:rPr>
        <w:t>.</w:t>
      </w:r>
      <w:r w:rsidR="003C06D7">
        <w:rPr>
          <w:lang w:val="en-GB"/>
        </w:rPr>
        <w:t xml:space="preserve"> </w:t>
      </w:r>
      <w:r w:rsidR="004116B7">
        <w:rPr>
          <w:lang w:val="en-GB"/>
        </w:rPr>
        <w:t>W</w:t>
      </w:r>
      <w:r w:rsidR="003C06D7">
        <w:rPr>
          <w:lang w:val="en-GB"/>
        </w:rPr>
        <w:t xml:space="preserve">e </w:t>
      </w:r>
      <w:r w:rsidR="003B013F" w:rsidRPr="00D272CC">
        <w:rPr>
          <w:lang w:val="en-GB"/>
        </w:rPr>
        <w:t xml:space="preserve">propose that the </w:t>
      </w:r>
      <w:r w:rsidR="00F51C26">
        <w:rPr>
          <w:lang w:val="en-GB"/>
        </w:rPr>
        <w:t xml:space="preserve">more </w:t>
      </w:r>
      <w:r w:rsidR="003B013F" w:rsidRPr="00D272CC">
        <w:rPr>
          <w:lang w:val="en-GB"/>
        </w:rPr>
        <w:t xml:space="preserve">important </w:t>
      </w:r>
      <w:r w:rsidR="00826FA9">
        <w:rPr>
          <w:lang w:val="en-GB"/>
        </w:rPr>
        <w:t>changes</w:t>
      </w:r>
      <w:r w:rsidR="003B013F" w:rsidRPr="00D272CC">
        <w:rPr>
          <w:lang w:val="en-GB"/>
        </w:rPr>
        <w:t xml:space="preserve"> are those that affect the size of accounting numbers rather than just their presentation.</w:t>
      </w:r>
      <w:r w:rsidR="003F7C43" w:rsidRPr="00D272CC">
        <w:rPr>
          <w:lang w:val="en-GB"/>
        </w:rPr>
        <w:t xml:space="preserve"> Th</w:t>
      </w:r>
      <w:r w:rsidR="00292CD4" w:rsidRPr="00D272CC">
        <w:rPr>
          <w:lang w:val="en-GB"/>
        </w:rPr>
        <w:t>erefore</w:t>
      </w:r>
      <w:r w:rsidR="003F7C43" w:rsidRPr="00D272CC">
        <w:rPr>
          <w:lang w:val="en-GB"/>
        </w:rPr>
        <w:t xml:space="preserve">, </w:t>
      </w:r>
      <w:r w:rsidR="00683125" w:rsidRPr="00D272CC">
        <w:rPr>
          <w:lang w:val="en-GB"/>
        </w:rPr>
        <w:t>our hypothesis is</w:t>
      </w:r>
      <w:r w:rsidR="003F7C43" w:rsidRPr="00D272CC">
        <w:rPr>
          <w:lang w:val="en-GB"/>
        </w:rPr>
        <w:t>:</w:t>
      </w:r>
    </w:p>
    <w:p w14:paraId="53E30780" w14:textId="77777777" w:rsidR="003F7C43" w:rsidRDefault="003F7C43" w:rsidP="003F7C43">
      <w:pPr>
        <w:pStyle w:val="Hypothesis"/>
        <w:rPr>
          <w:lang w:val="en-GB"/>
        </w:rPr>
      </w:pPr>
      <w:r w:rsidRPr="00D272CC">
        <w:rPr>
          <w:b/>
          <w:lang w:val="en-GB"/>
        </w:rPr>
        <w:t>H</w:t>
      </w:r>
      <w:r w:rsidR="00D138E5">
        <w:rPr>
          <w:b/>
          <w:lang w:val="en-GB"/>
        </w:rPr>
        <w:t>1</w:t>
      </w:r>
      <w:r w:rsidRPr="00D272CC">
        <w:rPr>
          <w:lang w:val="en-GB"/>
        </w:rPr>
        <w:t xml:space="preserve">: </w:t>
      </w:r>
      <w:r w:rsidRPr="00D272CC">
        <w:rPr>
          <w:lang w:val="en-GB"/>
        </w:rPr>
        <w:tab/>
      </w:r>
      <w:r w:rsidR="00E42815" w:rsidRPr="00D272CC">
        <w:rPr>
          <w:lang w:val="en-GB"/>
        </w:rPr>
        <w:t>Managers</w:t>
      </w:r>
      <w:r w:rsidRPr="00D272CC">
        <w:rPr>
          <w:lang w:val="en-GB"/>
        </w:rPr>
        <w:t xml:space="preserve"> </w:t>
      </w:r>
      <w:r w:rsidR="00E42815" w:rsidRPr="00D272CC">
        <w:rPr>
          <w:lang w:val="en-GB"/>
        </w:rPr>
        <w:t xml:space="preserve">more frequently </w:t>
      </w:r>
      <w:r w:rsidR="00783E4D">
        <w:rPr>
          <w:lang w:val="en-GB"/>
        </w:rPr>
        <w:t>explain</w:t>
      </w:r>
      <w:r w:rsidR="00B06D26">
        <w:rPr>
          <w:lang w:val="en-GB"/>
        </w:rPr>
        <w:t xml:space="preserve"> a policy change by referring </w:t>
      </w:r>
      <w:r w:rsidRPr="00D272CC">
        <w:rPr>
          <w:lang w:val="en-GB"/>
        </w:rPr>
        <w:t xml:space="preserve">to QCs </w:t>
      </w:r>
      <w:r w:rsidR="006A4992" w:rsidRPr="00D272CC">
        <w:rPr>
          <w:lang w:val="en-GB"/>
        </w:rPr>
        <w:t>when the change concerns a</w:t>
      </w:r>
      <w:r w:rsidRPr="00D272CC">
        <w:rPr>
          <w:lang w:val="en-GB"/>
        </w:rPr>
        <w:t xml:space="preserve"> measurement </w:t>
      </w:r>
      <w:r w:rsidR="00E42815" w:rsidRPr="00D272CC">
        <w:rPr>
          <w:lang w:val="en-GB"/>
        </w:rPr>
        <w:t>choice</w:t>
      </w:r>
      <w:r w:rsidRPr="00D272CC">
        <w:rPr>
          <w:lang w:val="en-GB"/>
        </w:rPr>
        <w:t xml:space="preserve"> </w:t>
      </w:r>
      <w:r w:rsidR="00E514ED" w:rsidRPr="00D272CC">
        <w:rPr>
          <w:lang w:val="en-GB"/>
        </w:rPr>
        <w:t xml:space="preserve">rather </w:t>
      </w:r>
      <w:r w:rsidRPr="00D272CC">
        <w:rPr>
          <w:lang w:val="en-GB"/>
        </w:rPr>
        <w:t>than</w:t>
      </w:r>
      <w:r w:rsidR="006A4992" w:rsidRPr="00D272CC">
        <w:rPr>
          <w:lang w:val="en-GB"/>
        </w:rPr>
        <w:t xml:space="preserve"> a presentation choice</w:t>
      </w:r>
      <w:r w:rsidRPr="00D272CC">
        <w:rPr>
          <w:lang w:val="en-GB"/>
        </w:rPr>
        <w:t>.</w:t>
      </w:r>
    </w:p>
    <w:p w14:paraId="47A389C0" w14:textId="77777777" w:rsidR="00BA7C92" w:rsidRDefault="0044440F" w:rsidP="0044440F">
      <w:pPr>
        <w:rPr>
          <w:lang w:val="en-GB"/>
        </w:rPr>
      </w:pPr>
      <w:r>
        <w:rPr>
          <w:lang w:val="en-GB"/>
        </w:rPr>
        <w:t>In our empirical analysis, we also investigate whether firm size, leverage, profitability and country factors such as cultural differences are associated with references to QCs.</w:t>
      </w:r>
    </w:p>
    <w:p w14:paraId="67E852D4" w14:textId="77777777" w:rsidR="00C86C65" w:rsidRPr="00D272CC" w:rsidRDefault="00421BBF" w:rsidP="00C86C65">
      <w:pPr>
        <w:pStyle w:val="Heading1"/>
        <w:rPr>
          <w:lang w:val="en-GB"/>
        </w:rPr>
      </w:pPr>
      <w:r w:rsidRPr="00D272CC">
        <w:rPr>
          <w:lang w:val="en-GB"/>
        </w:rPr>
        <w:t>3</w:t>
      </w:r>
      <w:r w:rsidR="00C86C65" w:rsidRPr="00D272CC">
        <w:rPr>
          <w:lang w:val="en-GB"/>
        </w:rPr>
        <w:t xml:space="preserve">. </w:t>
      </w:r>
      <w:r w:rsidR="00FE3243" w:rsidRPr="00D272CC">
        <w:rPr>
          <w:lang w:val="en-GB"/>
        </w:rPr>
        <w:t>Sample</w:t>
      </w:r>
      <w:r w:rsidR="00C86C65" w:rsidRPr="00D272CC">
        <w:rPr>
          <w:lang w:val="en-GB"/>
        </w:rPr>
        <w:t xml:space="preserve"> </w:t>
      </w:r>
      <w:r w:rsidR="00FE3243" w:rsidRPr="00D272CC">
        <w:rPr>
          <w:lang w:val="en-GB"/>
        </w:rPr>
        <w:t xml:space="preserve">and </w:t>
      </w:r>
      <w:r w:rsidR="00185999" w:rsidRPr="00D272CC">
        <w:rPr>
          <w:lang w:val="en-GB"/>
        </w:rPr>
        <w:t>d</w:t>
      </w:r>
      <w:r w:rsidR="00FE3243" w:rsidRPr="00D272CC">
        <w:rPr>
          <w:lang w:val="en-GB"/>
        </w:rPr>
        <w:t>ata</w:t>
      </w:r>
    </w:p>
    <w:p w14:paraId="56BE852D" w14:textId="1D760B90" w:rsidR="00002CB8" w:rsidRPr="00D272CC" w:rsidRDefault="00002CB8" w:rsidP="00C86C65">
      <w:pPr>
        <w:tabs>
          <w:tab w:val="left" w:pos="7560"/>
        </w:tabs>
        <w:rPr>
          <w:lang w:val="en-GB"/>
        </w:rPr>
      </w:pPr>
      <w:r w:rsidRPr="00D272CC">
        <w:rPr>
          <w:lang w:val="en-GB"/>
        </w:rPr>
        <w:t xml:space="preserve">Table 2 </w:t>
      </w:r>
      <w:r w:rsidR="00AD6058" w:rsidRPr="00D272CC">
        <w:rPr>
          <w:lang w:val="en-GB"/>
        </w:rPr>
        <w:t>provides details about</w:t>
      </w:r>
      <w:r w:rsidRPr="00D272CC">
        <w:rPr>
          <w:lang w:val="en-GB"/>
        </w:rPr>
        <w:t xml:space="preserve"> </w:t>
      </w:r>
      <w:r w:rsidR="004D3CC6">
        <w:rPr>
          <w:lang w:val="en-GB"/>
        </w:rPr>
        <w:t>our</w:t>
      </w:r>
      <w:r w:rsidRPr="00D272CC">
        <w:rPr>
          <w:lang w:val="en-GB"/>
        </w:rPr>
        <w:t xml:space="preserve"> sample</w:t>
      </w:r>
      <w:r w:rsidR="00A52A94" w:rsidRPr="00D272CC">
        <w:rPr>
          <w:lang w:val="en-GB"/>
        </w:rPr>
        <w:t xml:space="preserve"> of firms and </w:t>
      </w:r>
      <w:r w:rsidR="004D3CC6">
        <w:rPr>
          <w:lang w:val="en-GB"/>
        </w:rPr>
        <w:t>our</w:t>
      </w:r>
      <w:r w:rsidR="00413634" w:rsidRPr="00D272CC">
        <w:rPr>
          <w:lang w:val="en-GB"/>
        </w:rPr>
        <w:t xml:space="preserve"> </w:t>
      </w:r>
      <w:r w:rsidR="00A52A94" w:rsidRPr="00D272CC">
        <w:rPr>
          <w:lang w:val="en-GB"/>
        </w:rPr>
        <w:t>data on IFRS policy changes</w:t>
      </w:r>
      <w:r w:rsidRPr="00D272CC">
        <w:rPr>
          <w:lang w:val="en-GB"/>
        </w:rPr>
        <w:t>.</w:t>
      </w:r>
      <w:r w:rsidR="00520F77" w:rsidRPr="00D272CC">
        <w:rPr>
          <w:lang w:val="en-GB"/>
        </w:rPr>
        <w:t xml:space="preserve"> </w:t>
      </w:r>
      <w:r w:rsidR="004D3CC6">
        <w:rPr>
          <w:lang w:val="en-GB"/>
        </w:rPr>
        <w:t>The</w:t>
      </w:r>
      <w:r w:rsidR="00520F77" w:rsidRPr="00D272CC">
        <w:rPr>
          <w:lang w:val="en-GB"/>
        </w:rPr>
        <w:t xml:space="preserve"> sample comprises the largest</w:t>
      </w:r>
      <w:r w:rsidR="000A4D35" w:rsidRPr="00D272CC">
        <w:rPr>
          <w:rStyle w:val="FootnoteReference"/>
          <w:lang w:val="en-GB"/>
        </w:rPr>
        <w:footnoteReference w:id="19"/>
      </w:r>
      <w:r w:rsidR="00520F77" w:rsidRPr="00D272CC">
        <w:rPr>
          <w:lang w:val="en-GB"/>
        </w:rPr>
        <w:t xml:space="preserve"> firms from</w:t>
      </w:r>
      <w:r w:rsidR="00D34D12" w:rsidRPr="00D272CC">
        <w:rPr>
          <w:lang w:val="en-GB"/>
        </w:rPr>
        <w:t xml:space="preserve"> ten countries:</w:t>
      </w:r>
      <w:r w:rsidR="00520F77" w:rsidRPr="00D272CC">
        <w:rPr>
          <w:lang w:val="en-GB"/>
        </w:rPr>
        <w:t xml:space="preserve"> </w:t>
      </w:r>
      <w:r w:rsidR="00520F77" w:rsidRPr="00D272CC">
        <w:rPr>
          <w:szCs w:val="20"/>
          <w:lang w:val="en-GB"/>
        </w:rPr>
        <w:t>Australia (AU), Switzerland (CH), China (CN), Germany (DE), Spain (ES), France (FR), United Kingdom (GB), Hong Kong (HK), Italy (IT) and South Africa (ZA). These countries ha</w:t>
      </w:r>
      <w:r w:rsidR="00D34D12" w:rsidRPr="00D272CC">
        <w:rPr>
          <w:szCs w:val="20"/>
          <w:lang w:val="en-GB"/>
        </w:rPr>
        <w:t>ve large stock markets and firms using IFRS since 2005 or earlier.</w:t>
      </w:r>
      <w:r w:rsidR="000F53DD" w:rsidRPr="00D272CC">
        <w:rPr>
          <w:rStyle w:val="FootnoteReference"/>
          <w:szCs w:val="20"/>
          <w:lang w:val="en-GB"/>
        </w:rPr>
        <w:footnoteReference w:id="20"/>
      </w:r>
      <w:r w:rsidR="00D34D12" w:rsidRPr="00D272CC">
        <w:rPr>
          <w:szCs w:val="20"/>
          <w:lang w:val="en-GB"/>
        </w:rPr>
        <w:t xml:space="preserve"> We exclude foreign firms and firms which never used IFRS as their (main) accounting principles</w:t>
      </w:r>
      <w:r w:rsidR="006C3BFB" w:rsidRPr="00D272CC">
        <w:rPr>
          <w:szCs w:val="20"/>
          <w:lang w:val="en-GB"/>
        </w:rPr>
        <w:t xml:space="preserve"> in our sample period </w:t>
      </w:r>
      <w:r w:rsidR="00C01F35">
        <w:rPr>
          <w:szCs w:val="20"/>
          <w:lang w:val="en-GB"/>
        </w:rPr>
        <w:t xml:space="preserve">of </w:t>
      </w:r>
      <w:r w:rsidR="00627F39" w:rsidRPr="00D272CC">
        <w:rPr>
          <w:szCs w:val="20"/>
          <w:lang w:val="en-GB"/>
        </w:rPr>
        <w:t>2005 to 2011</w:t>
      </w:r>
      <w:r w:rsidR="00D34D12" w:rsidRPr="00D272CC">
        <w:rPr>
          <w:szCs w:val="20"/>
          <w:lang w:val="en-GB"/>
        </w:rPr>
        <w:t xml:space="preserve">. </w:t>
      </w:r>
      <w:r w:rsidR="00731C2A" w:rsidRPr="00D272CC">
        <w:rPr>
          <w:szCs w:val="20"/>
          <w:lang w:val="en-GB"/>
        </w:rPr>
        <w:t>W</w:t>
      </w:r>
      <w:r w:rsidR="00D57440" w:rsidRPr="00D272CC">
        <w:rPr>
          <w:szCs w:val="20"/>
          <w:lang w:val="en-GB"/>
        </w:rPr>
        <w:t xml:space="preserve">e </w:t>
      </w:r>
      <w:r w:rsidR="00731C2A" w:rsidRPr="00D272CC">
        <w:rPr>
          <w:szCs w:val="20"/>
          <w:lang w:val="en-GB"/>
        </w:rPr>
        <w:t xml:space="preserve">also </w:t>
      </w:r>
      <w:r w:rsidR="00D57440" w:rsidRPr="00D272CC">
        <w:rPr>
          <w:szCs w:val="20"/>
          <w:lang w:val="en-GB"/>
        </w:rPr>
        <w:t xml:space="preserve">exclude </w:t>
      </w:r>
      <w:r w:rsidR="00D57440" w:rsidRPr="00D272CC">
        <w:rPr>
          <w:lang w:val="en-GB"/>
        </w:rPr>
        <w:t xml:space="preserve">firms with less than two years of data because two years of data are necessary in order to identify policy changes. </w:t>
      </w:r>
      <w:r w:rsidR="00A363F2">
        <w:rPr>
          <w:szCs w:val="20"/>
          <w:lang w:val="en-GB"/>
        </w:rPr>
        <w:t>Based on this procedure, o</w:t>
      </w:r>
      <w:r w:rsidR="00D34D12" w:rsidRPr="00D272CC">
        <w:rPr>
          <w:szCs w:val="20"/>
          <w:lang w:val="en-GB"/>
        </w:rPr>
        <w:t>ur sample</w:t>
      </w:r>
      <w:r w:rsidR="00AD6058" w:rsidRPr="00D272CC">
        <w:rPr>
          <w:szCs w:val="20"/>
          <w:lang w:val="en-GB"/>
        </w:rPr>
        <w:t xml:space="preserve"> </w:t>
      </w:r>
      <w:r w:rsidR="00D34D12" w:rsidRPr="00D272CC">
        <w:rPr>
          <w:szCs w:val="20"/>
          <w:lang w:val="en-GB"/>
        </w:rPr>
        <w:t>comprises 5</w:t>
      </w:r>
      <w:r w:rsidR="002224A4" w:rsidRPr="00D272CC">
        <w:rPr>
          <w:szCs w:val="20"/>
          <w:lang w:val="en-GB"/>
        </w:rPr>
        <w:t>14</w:t>
      </w:r>
      <w:r w:rsidR="00D34D12" w:rsidRPr="00D272CC">
        <w:rPr>
          <w:szCs w:val="20"/>
          <w:lang w:val="en-GB"/>
        </w:rPr>
        <w:t xml:space="preserve"> firms.</w:t>
      </w:r>
    </w:p>
    <w:p w14:paraId="6607FA58" w14:textId="77777777" w:rsidR="00002CB8" w:rsidRPr="00D272CC" w:rsidRDefault="00002CB8" w:rsidP="00002CB8">
      <w:pPr>
        <w:pStyle w:val="Table-FigureInsert"/>
        <w:ind w:firstLine="0"/>
        <w:rPr>
          <w:lang w:val="en-GB"/>
        </w:rPr>
      </w:pPr>
      <w:r w:rsidRPr="00D272CC">
        <w:rPr>
          <w:lang w:val="en-GB"/>
        </w:rPr>
        <w:t>&lt; insert Table 2 about here &gt;</w:t>
      </w:r>
    </w:p>
    <w:p w14:paraId="5B1BEA7E" w14:textId="54A65EC4" w:rsidR="005F4FAB" w:rsidRDefault="00D34D12" w:rsidP="00C22434">
      <w:pPr>
        <w:tabs>
          <w:tab w:val="left" w:pos="7560"/>
        </w:tabs>
        <w:rPr>
          <w:lang w:val="en-GB"/>
        </w:rPr>
      </w:pPr>
      <w:r w:rsidRPr="00D272CC">
        <w:rPr>
          <w:lang w:val="en-GB"/>
        </w:rPr>
        <w:t xml:space="preserve">The remainder of Table </w:t>
      </w:r>
      <w:r w:rsidR="007C2F5A" w:rsidRPr="00D272CC">
        <w:rPr>
          <w:lang w:val="en-GB"/>
        </w:rPr>
        <w:t>2</w:t>
      </w:r>
      <w:r w:rsidRPr="00D272CC">
        <w:rPr>
          <w:lang w:val="en-GB"/>
        </w:rPr>
        <w:t xml:space="preserve"> shows how we use data on IFRS policy c</w:t>
      </w:r>
      <w:r w:rsidR="007C2F5A" w:rsidRPr="00D272CC">
        <w:rPr>
          <w:lang w:val="en-GB"/>
        </w:rPr>
        <w:t>hoices</w:t>
      </w:r>
      <w:r w:rsidRPr="00D272CC">
        <w:rPr>
          <w:lang w:val="en-GB"/>
        </w:rPr>
        <w:t xml:space="preserve"> in order to identify reasons </w:t>
      </w:r>
      <w:r w:rsidR="00253DB8" w:rsidRPr="00D272CC">
        <w:rPr>
          <w:lang w:val="en-GB"/>
        </w:rPr>
        <w:t>for</w:t>
      </w:r>
      <w:r w:rsidRPr="00D272CC">
        <w:rPr>
          <w:lang w:val="en-GB"/>
        </w:rPr>
        <w:t xml:space="preserve"> </w:t>
      </w:r>
      <w:r w:rsidR="001D385B">
        <w:rPr>
          <w:lang w:val="en-GB"/>
        </w:rPr>
        <w:t>the</w:t>
      </w:r>
      <w:r w:rsidRPr="00D272CC">
        <w:rPr>
          <w:lang w:val="en-GB"/>
        </w:rPr>
        <w:t xml:space="preserve"> </w:t>
      </w:r>
      <w:r w:rsidR="00A363F2">
        <w:rPr>
          <w:lang w:val="en-GB"/>
        </w:rPr>
        <w:t xml:space="preserve">policy </w:t>
      </w:r>
      <w:r w:rsidRPr="00D272CC">
        <w:rPr>
          <w:lang w:val="en-GB"/>
        </w:rPr>
        <w:t>changes based on managements’</w:t>
      </w:r>
      <w:r w:rsidR="007C2F5A" w:rsidRPr="00D272CC">
        <w:rPr>
          <w:lang w:val="en-GB"/>
        </w:rPr>
        <w:t xml:space="preserve"> explanations. </w:t>
      </w:r>
      <w:r w:rsidR="00B71BE5" w:rsidRPr="00D272CC">
        <w:rPr>
          <w:lang w:val="en-GB"/>
        </w:rPr>
        <w:t>These data are from published annual reports, generally from the accounting policies section of the audited financial statements. First, we hand-collect 4</w:t>
      </w:r>
      <w:r w:rsidR="000905EA" w:rsidRPr="00D272CC">
        <w:rPr>
          <w:lang w:val="en-GB"/>
        </w:rPr>
        <w:t>0</w:t>
      </w:r>
      <w:r w:rsidR="00B71BE5" w:rsidRPr="00D272CC">
        <w:rPr>
          <w:lang w:val="en-GB"/>
        </w:rPr>
        <w:t>,</w:t>
      </w:r>
      <w:r w:rsidR="00AD6058" w:rsidRPr="00D272CC">
        <w:rPr>
          <w:lang w:val="en-GB"/>
        </w:rPr>
        <w:t>8</w:t>
      </w:r>
      <w:r w:rsidR="000905EA" w:rsidRPr="00D272CC">
        <w:rPr>
          <w:lang w:val="en-GB"/>
        </w:rPr>
        <w:t>95</w:t>
      </w:r>
      <w:r w:rsidR="00B71BE5" w:rsidRPr="00D272CC">
        <w:rPr>
          <w:lang w:val="en-GB"/>
        </w:rPr>
        <w:t xml:space="preserve"> IFRS policy choices on the 16 topics shown in Table 1 for our sample firms for the period 2005 to 2011</w:t>
      </w:r>
      <w:r w:rsidR="00C1359C">
        <w:rPr>
          <w:lang w:val="en-GB"/>
        </w:rPr>
        <w:t xml:space="preserve"> (not tabulated)</w:t>
      </w:r>
      <w:r w:rsidR="00B71BE5" w:rsidRPr="00D272CC">
        <w:rPr>
          <w:lang w:val="en-GB"/>
        </w:rPr>
        <w:t>.</w:t>
      </w:r>
      <w:r w:rsidR="00C22434">
        <w:rPr>
          <w:lang w:val="en-GB"/>
        </w:rPr>
        <w:t xml:space="preserve"> </w:t>
      </w:r>
      <w:r w:rsidR="00D111D5" w:rsidRPr="00D272CC">
        <w:rPr>
          <w:lang w:val="en-GB"/>
        </w:rPr>
        <w:t>Our s</w:t>
      </w:r>
      <w:r w:rsidR="007C2F5A" w:rsidRPr="00D272CC">
        <w:rPr>
          <w:lang w:val="en-GB"/>
        </w:rPr>
        <w:t>econd</w:t>
      </w:r>
      <w:r w:rsidR="00D111D5" w:rsidRPr="00D272CC">
        <w:rPr>
          <w:lang w:val="en-GB"/>
        </w:rPr>
        <w:t xml:space="preserve"> task is</w:t>
      </w:r>
      <w:r w:rsidR="00D138E5">
        <w:rPr>
          <w:lang w:val="en-GB"/>
        </w:rPr>
        <w:t xml:space="preserve"> to use this data</w:t>
      </w:r>
      <w:r w:rsidR="00D111D5" w:rsidRPr="00D272CC">
        <w:rPr>
          <w:lang w:val="en-GB"/>
        </w:rPr>
        <w:t xml:space="preserve"> to</w:t>
      </w:r>
      <w:r w:rsidR="007C2F5A" w:rsidRPr="00D272CC">
        <w:rPr>
          <w:lang w:val="en-GB"/>
        </w:rPr>
        <w:t xml:space="preserve"> identify </w:t>
      </w:r>
      <w:r w:rsidR="00253DB8" w:rsidRPr="00D272CC">
        <w:rPr>
          <w:lang w:val="en-GB"/>
        </w:rPr>
        <w:t>all the</w:t>
      </w:r>
      <w:r w:rsidR="007C2F5A" w:rsidRPr="00D272CC">
        <w:rPr>
          <w:lang w:val="en-GB"/>
        </w:rPr>
        <w:t xml:space="preserve"> policy </w:t>
      </w:r>
      <w:r w:rsidR="007C2F5A" w:rsidRPr="00D272CC">
        <w:rPr>
          <w:i/>
          <w:lang w:val="en-GB"/>
        </w:rPr>
        <w:t>changes</w:t>
      </w:r>
      <w:r w:rsidR="007765F5" w:rsidRPr="00D272CC">
        <w:rPr>
          <w:lang w:val="en-GB"/>
        </w:rPr>
        <w:t xml:space="preserve"> in the statements of 2006 to 2011</w:t>
      </w:r>
      <w:r w:rsidR="001D385B">
        <w:rPr>
          <w:lang w:val="en-GB"/>
        </w:rPr>
        <w:t>, whether</w:t>
      </w:r>
      <w:r w:rsidR="00D138E5">
        <w:rPr>
          <w:lang w:val="en-GB"/>
        </w:rPr>
        <w:t xml:space="preserve"> or not</w:t>
      </w:r>
      <w:r w:rsidR="001D385B">
        <w:rPr>
          <w:lang w:val="en-GB"/>
        </w:rPr>
        <w:t xml:space="preserve"> the</w:t>
      </w:r>
      <w:r w:rsidR="00FB3751">
        <w:rPr>
          <w:lang w:val="en-GB"/>
        </w:rPr>
        <w:t xml:space="preserve"> changes</w:t>
      </w:r>
      <w:r w:rsidR="001D385B">
        <w:rPr>
          <w:lang w:val="en-GB"/>
        </w:rPr>
        <w:t xml:space="preserve"> are </w:t>
      </w:r>
      <w:r w:rsidR="00D138E5">
        <w:rPr>
          <w:lang w:val="en-GB"/>
        </w:rPr>
        <w:t>specifically mention</w:t>
      </w:r>
      <w:r w:rsidR="001D385B">
        <w:rPr>
          <w:lang w:val="en-GB"/>
        </w:rPr>
        <w:t xml:space="preserve">ed </w:t>
      </w:r>
      <w:r w:rsidR="00D138E5">
        <w:rPr>
          <w:lang w:val="en-GB"/>
        </w:rPr>
        <w:t>by the firms</w:t>
      </w:r>
      <w:r w:rsidR="007C2F5A" w:rsidRPr="00D272CC">
        <w:rPr>
          <w:lang w:val="en-GB"/>
        </w:rPr>
        <w:t xml:space="preserve">. </w:t>
      </w:r>
      <w:r w:rsidR="00360878" w:rsidRPr="00D272CC">
        <w:rPr>
          <w:lang w:val="en-GB"/>
        </w:rPr>
        <w:t xml:space="preserve">As Table 2 reports, </w:t>
      </w:r>
      <w:r w:rsidR="00A03D60" w:rsidRPr="00D272CC">
        <w:rPr>
          <w:lang w:val="en-GB"/>
        </w:rPr>
        <w:t>IFRS polic</w:t>
      </w:r>
      <w:r w:rsidR="00253DB8" w:rsidRPr="00D272CC">
        <w:rPr>
          <w:lang w:val="en-GB"/>
        </w:rPr>
        <w:t>ies</w:t>
      </w:r>
      <w:r w:rsidR="00A03D60" w:rsidRPr="00D272CC">
        <w:rPr>
          <w:lang w:val="en-GB"/>
        </w:rPr>
        <w:t xml:space="preserve"> are rarely changed</w:t>
      </w:r>
      <w:r w:rsidR="007C2F5A" w:rsidRPr="00D272CC">
        <w:rPr>
          <w:lang w:val="en-GB"/>
        </w:rPr>
        <w:t xml:space="preserve">: </w:t>
      </w:r>
      <w:r w:rsidR="00253DB8" w:rsidRPr="00D272CC">
        <w:rPr>
          <w:lang w:val="en-GB"/>
        </w:rPr>
        <w:t xml:space="preserve">we found </w:t>
      </w:r>
      <w:r w:rsidR="00AD6058" w:rsidRPr="00D272CC">
        <w:rPr>
          <w:lang w:val="en-GB"/>
        </w:rPr>
        <w:t>434</w:t>
      </w:r>
      <w:r w:rsidR="00253DB8" w:rsidRPr="00D272CC">
        <w:rPr>
          <w:lang w:val="en-GB"/>
        </w:rPr>
        <w:t xml:space="preserve"> changes; </w:t>
      </w:r>
      <w:r w:rsidR="0069664F" w:rsidRPr="00D272CC">
        <w:rPr>
          <w:lang w:val="en-GB"/>
        </w:rPr>
        <w:t xml:space="preserve">on average, only </w:t>
      </w:r>
      <w:r w:rsidR="00A03D60" w:rsidRPr="00D272CC">
        <w:rPr>
          <w:lang w:val="en-GB"/>
        </w:rPr>
        <w:t>1.</w:t>
      </w:r>
      <w:r w:rsidR="00992205" w:rsidRPr="00D272CC">
        <w:rPr>
          <w:lang w:val="en-GB"/>
        </w:rPr>
        <w:t>2</w:t>
      </w:r>
      <w:r w:rsidR="00A03D60" w:rsidRPr="00D272CC">
        <w:rPr>
          <w:lang w:val="en-GB"/>
        </w:rPr>
        <w:t>%</w:t>
      </w:r>
      <w:r w:rsidR="00B84798" w:rsidRPr="00D272CC">
        <w:rPr>
          <w:lang w:val="en-GB"/>
        </w:rPr>
        <w:t xml:space="preserve"> of </w:t>
      </w:r>
      <w:r w:rsidR="00693D35">
        <w:rPr>
          <w:lang w:val="en-GB"/>
        </w:rPr>
        <w:t xml:space="preserve">the </w:t>
      </w:r>
      <w:r w:rsidR="00B84798" w:rsidRPr="00D272CC">
        <w:rPr>
          <w:lang w:val="en-GB"/>
        </w:rPr>
        <w:t>polic</w:t>
      </w:r>
      <w:r w:rsidR="00253DB8" w:rsidRPr="00D272CC">
        <w:rPr>
          <w:lang w:val="en-GB"/>
        </w:rPr>
        <w:t>ies</w:t>
      </w:r>
      <w:r w:rsidR="0069664F" w:rsidRPr="00D272CC">
        <w:rPr>
          <w:lang w:val="en-GB"/>
        </w:rPr>
        <w:t xml:space="preserve"> </w:t>
      </w:r>
      <w:r w:rsidR="00693D35">
        <w:rPr>
          <w:lang w:val="en-GB"/>
        </w:rPr>
        <w:t xml:space="preserve">used in the reports of 2006 to 2011 </w:t>
      </w:r>
      <w:r w:rsidR="002005EE" w:rsidRPr="00D272CC">
        <w:rPr>
          <w:lang w:val="en-GB"/>
        </w:rPr>
        <w:t>were change</w:t>
      </w:r>
      <w:r w:rsidR="00693D35">
        <w:rPr>
          <w:lang w:val="en-GB"/>
        </w:rPr>
        <w:t>s</w:t>
      </w:r>
      <w:r w:rsidR="002005EE" w:rsidRPr="00D272CC">
        <w:rPr>
          <w:lang w:val="en-GB"/>
        </w:rPr>
        <w:t xml:space="preserve"> </w:t>
      </w:r>
      <w:r w:rsidR="00693D35">
        <w:rPr>
          <w:lang w:val="en-GB"/>
        </w:rPr>
        <w:t>from</w:t>
      </w:r>
      <w:r w:rsidR="002005EE" w:rsidRPr="00D272CC">
        <w:rPr>
          <w:lang w:val="en-GB"/>
        </w:rPr>
        <w:t xml:space="preserve"> the </w:t>
      </w:r>
      <w:r w:rsidR="00693D35">
        <w:rPr>
          <w:lang w:val="en-GB"/>
        </w:rPr>
        <w:t xml:space="preserve">previous </w:t>
      </w:r>
      <w:r w:rsidR="002005EE" w:rsidRPr="00D272CC">
        <w:rPr>
          <w:lang w:val="en-GB"/>
        </w:rPr>
        <w:t>period</w:t>
      </w:r>
      <w:r w:rsidR="007C2F5A" w:rsidRPr="00D272CC">
        <w:rPr>
          <w:lang w:val="en-GB"/>
        </w:rPr>
        <w:t xml:space="preserve">. </w:t>
      </w:r>
      <w:r w:rsidR="00BE6AA3">
        <w:t>There are some international differences: French firms changed 1.7% of their policies whereas UK and Italian firms only changed 1.0%.</w:t>
      </w:r>
      <w:r w:rsidR="002200FF">
        <w:rPr>
          <w:rStyle w:val="FootnoteReference"/>
        </w:rPr>
        <w:footnoteReference w:id="21"/>
      </w:r>
      <w:r w:rsidR="00BE6AA3">
        <w:t xml:space="preserve"> Untabulated results show similar differences between </w:t>
      </w:r>
      <w:r w:rsidR="00BE6AA3" w:rsidRPr="00D272CC">
        <w:rPr>
          <w:lang w:val="en-GB"/>
        </w:rPr>
        <w:t>industries according to the first digit of the Industry Classification Benchmark (ICB)</w:t>
      </w:r>
      <w:r w:rsidR="00BE6AA3">
        <w:rPr>
          <w:lang w:val="en-GB"/>
        </w:rPr>
        <w:t xml:space="preserve">: utility firms changed 1.6% of their policies whereas consumer goods firms only changed 0.9%. </w:t>
      </w:r>
      <w:r w:rsidR="007C2F5A" w:rsidRPr="00D272CC">
        <w:rPr>
          <w:lang w:val="en-GB"/>
        </w:rPr>
        <w:t>However</w:t>
      </w:r>
      <w:r w:rsidR="00A03D60" w:rsidRPr="00D272CC">
        <w:rPr>
          <w:lang w:val="en-GB"/>
        </w:rPr>
        <w:t xml:space="preserve">, </w:t>
      </w:r>
      <w:r w:rsidR="00014F59">
        <w:rPr>
          <w:lang w:val="en-GB"/>
        </w:rPr>
        <w:t xml:space="preserve">more than </w:t>
      </w:r>
      <w:r w:rsidR="00A03D60" w:rsidRPr="00D272CC">
        <w:rPr>
          <w:lang w:val="en-GB"/>
        </w:rPr>
        <w:t xml:space="preserve">half of </w:t>
      </w:r>
      <w:r w:rsidR="00C50E52">
        <w:rPr>
          <w:lang w:val="en-GB"/>
        </w:rPr>
        <w:t>our</w:t>
      </w:r>
      <w:r w:rsidR="00A03D60" w:rsidRPr="00D272CC">
        <w:rPr>
          <w:lang w:val="en-GB"/>
        </w:rPr>
        <w:t xml:space="preserve"> firms</w:t>
      </w:r>
      <w:r w:rsidR="00AD6058" w:rsidRPr="00D272CC">
        <w:rPr>
          <w:lang w:val="en-GB"/>
        </w:rPr>
        <w:t xml:space="preserve"> (</w:t>
      </w:r>
      <w:r w:rsidR="005370A9" w:rsidRPr="00D272CC">
        <w:rPr>
          <w:lang w:val="en-GB"/>
        </w:rPr>
        <w:t>261</w:t>
      </w:r>
      <w:r w:rsidR="004A3B0A" w:rsidRPr="00D272CC">
        <w:rPr>
          <w:lang w:val="en-GB"/>
        </w:rPr>
        <w:t xml:space="preserve"> out of </w:t>
      </w:r>
      <w:r w:rsidR="005370A9" w:rsidRPr="00D272CC">
        <w:rPr>
          <w:lang w:val="en-GB"/>
        </w:rPr>
        <w:t>5</w:t>
      </w:r>
      <w:r w:rsidR="002224A4" w:rsidRPr="00D272CC">
        <w:rPr>
          <w:lang w:val="en-GB"/>
        </w:rPr>
        <w:t>14</w:t>
      </w:r>
      <w:r w:rsidR="00AD6058" w:rsidRPr="00D272CC">
        <w:rPr>
          <w:lang w:val="en-GB"/>
        </w:rPr>
        <w:t>)</w:t>
      </w:r>
      <w:r w:rsidR="00A03D60" w:rsidRPr="00D272CC">
        <w:rPr>
          <w:lang w:val="en-GB"/>
        </w:rPr>
        <w:t xml:space="preserve"> ma</w:t>
      </w:r>
      <w:r w:rsidR="00360878" w:rsidRPr="00D272CC">
        <w:rPr>
          <w:lang w:val="en-GB"/>
        </w:rPr>
        <w:t>d</w:t>
      </w:r>
      <w:r w:rsidR="00A03D60" w:rsidRPr="00D272CC">
        <w:rPr>
          <w:lang w:val="en-GB"/>
        </w:rPr>
        <w:t>e a</w:t>
      </w:r>
      <w:r w:rsidR="00B84798" w:rsidRPr="00D272CC">
        <w:rPr>
          <w:lang w:val="en-GB"/>
        </w:rPr>
        <w:t>t least one</w:t>
      </w:r>
      <w:r w:rsidR="00A03D60" w:rsidRPr="00D272CC">
        <w:rPr>
          <w:lang w:val="en-GB"/>
        </w:rPr>
        <w:t xml:space="preserve"> change</w:t>
      </w:r>
      <w:r w:rsidR="00A363F2">
        <w:rPr>
          <w:lang w:val="en-GB"/>
        </w:rPr>
        <w:t xml:space="preserve"> in our period</w:t>
      </w:r>
      <w:r w:rsidR="007C2F5A" w:rsidRPr="00D272CC">
        <w:rPr>
          <w:lang w:val="en-GB"/>
        </w:rPr>
        <w:t>.</w:t>
      </w:r>
      <w:r w:rsidR="00014F59">
        <w:rPr>
          <w:lang w:val="en-GB"/>
        </w:rPr>
        <w:t xml:space="preserve"> We test</w:t>
      </w:r>
      <w:r w:rsidR="00416E09">
        <w:rPr>
          <w:lang w:val="en-GB"/>
        </w:rPr>
        <w:t>ed</w:t>
      </w:r>
      <w:r w:rsidR="00014F59">
        <w:rPr>
          <w:lang w:val="en-GB"/>
        </w:rPr>
        <w:t xml:space="preserve"> whether these firms were </w:t>
      </w:r>
      <w:r w:rsidR="00A363F2">
        <w:rPr>
          <w:lang w:val="en-GB"/>
        </w:rPr>
        <w:t xml:space="preserve">economically </w:t>
      </w:r>
      <w:r w:rsidR="00014F59">
        <w:rPr>
          <w:lang w:val="en-GB"/>
        </w:rPr>
        <w:t xml:space="preserve">atypical, but </w:t>
      </w:r>
      <w:r w:rsidR="00460E26">
        <w:rPr>
          <w:lang w:val="en-GB"/>
        </w:rPr>
        <w:t>found no</w:t>
      </w:r>
      <w:r w:rsidR="00014F59">
        <w:rPr>
          <w:lang w:val="en-GB"/>
        </w:rPr>
        <w:t xml:space="preserve"> evidence of that.</w:t>
      </w:r>
      <w:bookmarkStart w:id="1" w:name="_Ref412387621"/>
      <w:r w:rsidR="00014F59">
        <w:rPr>
          <w:rStyle w:val="FootnoteReference"/>
          <w:lang w:val="en-GB"/>
        </w:rPr>
        <w:footnoteReference w:id="22"/>
      </w:r>
      <w:bookmarkEnd w:id="1"/>
    </w:p>
    <w:p w14:paraId="58FFCC86" w14:textId="2B5AC6E5" w:rsidR="009507F9" w:rsidRPr="00D272CC" w:rsidRDefault="005F4FAB" w:rsidP="00C22434">
      <w:pPr>
        <w:tabs>
          <w:tab w:val="left" w:pos="7560"/>
        </w:tabs>
        <w:rPr>
          <w:lang w:val="en-GB"/>
        </w:rPr>
      </w:pPr>
      <w:r>
        <w:rPr>
          <w:lang w:val="en-GB"/>
        </w:rPr>
        <w:t>Our t</w:t>
      </w:r>
      <w:r w:rsidR="007C2F5A" w:rsidRPr="00D272CC">
        <w:rPr>
          <w:lang w:val="en-GB"/>
        </w:rPr>
        <w:t>hird</w:t>
      </w:r>
      <w:r w:rsidR="00014F59">
        <w:rPr>
          <w:lang w:val="en-GB"/>
        </w:rPr>
        <w:t xml:space="preserve"> task is to</w:t>
      </w:r>
      <w:r w:rsidR="007C2F5A" w:rsidRPr="00D272CC">
        <w:rPr>
          <w:lang w:val="en-GB"/>
        </w:rPr>
        <w:t xml:space="preserve"> search for </w:t>
      </w:r>
      <w:r w:rsidR="007C2F5A" w:rsidRPr="007A50EF">
        <w:rPr>
          <w:i/>
          <w:lang w:val="en-GB"/>
        </w:rPr>
        <w:t>explanations</w:t>
      </w:r>
      <w:r w:rsidR="007C2F5A" w:rsidRPr="00D272CC">
        <w:rPr>
          <w:lang w:val="en-GB"/>
        </w:rPr>
        <w:t xml:space="preserve"> of IFRS policy changes</w:t>
      </w:r>
      <w:r w:rsidR="004C186E" w:rsidRPr="00D272CC">
        <w:rPr>
          <w:lang w:val="en-GB"/>
        </w:rPr>
        <w:t xml:space="preserve">. </w:t>
      </w:r>
      <w:r w:rsidR="007C2F5A" w:rsidRPr="00D272CC">
        <w:rPr>
          <w:lang w:val="en-GB"/>
        </w:rPr>
        <w:t>A</w:t>
      </w:r>
      <w:r w:rsidR="00A03D60" w:rsidRPr="00D272CC">
        <w:rPr>
          <w:lang w:val="en-GB"/>
        </w:rPr>
        <w:t xml:space="preserve">bout one </w:t>
      </w:r>
      <w:r w:rsidR="00AD6058" w:rsidRPr="00D272CC">
        <w:rPr>
          <w:lang w:val="en-GB"/>
        </w:rPr>
        <w:t>quarter</w:t>
      </w:r>
      <w:r w:rsidR="00A03D60" w:rsidRPr="00D272CC">
        <w:rPr>
          <w:lang w:val="en-GB"/>
        </w:rPr>
        <w:t xml:space="preserve"> </w:t>
      </w:r>
      <w:r w:rsidR="007A17FB" w:rsidRPr="00D272CC">
        <w:rPr>
          <w:lang w:val="en-GB"/>
        </w:rPr>
        <w:t>of the firms</w:t>
      </w:r>
      <w:r w:rsidR="00AD6058" w:rsidRPr="00D272CC">
        <w:rPr>
          <w:lang w:val="en-GB"/>
        </w:rPr>
        <w:t xml:space="preserve"> (</w:t>
      </w:r>
      <w:r w:rsidR="005370A9" w:rsidRPr="00D272CC">
        <w:rPr>
          <w:lang w:val="en-GB"/>
        </w:rPr>
        <w:t>122</w:t>
      </w:r>
      <w:r w:rsidR="004A3B0A" w:rsidRPr="00D272CC">
        <w:rPr>
          <w:lang w:val="en-GB"/>
        </w:rPr>
        <w:t xml:space="preserve"> out of </w:t>
      </w:r>
      <w:r w:rsidR="005370A9" w:rsidRPr="00D272CC">
        <w:rPr>
          <w:lang w:val="en-GB"/>
        </w:rPr>
        <w:t>5</w:t>
      </w:r>
      <w:r w:rsidR="002224A4" w:rsidRPr="00D272CC">
        <w:rPr>
          <w:lang w:val="en-GB"/>
        </w:rPr>
        <w:t>14</w:t>
      </w:r>
      <w:r w:rsidR="00AD6058" w:rsidRPr="00D272CC">
        <w:rPr>
          <w:lang w:val="en-GB"/>
        </w:rPr>
        <w:t>)</w:t>
      </w:r>
      <w:r w:rsidR="007A17FB" w:rsidRPr="00D272CC">
        <w:rPr>
          <w:lang w:val="en-GB"/>
        </w:rPr>
        <w:t xml:space="preserve"> </w:t>
      </w:r>
      <w:r w:rsidR="007800C2" w:rsidRPr="00D272CC">
        <w:rPr>
          <w:lang w:val="en-GB"/>
        </w:rPr>
        <w:t xml:space="preserve">provide an explanation for at least </w:t>
      </w:r>
      <w:r w:rsidR="007C2F5A" w:rsidRPr="00D272CC">
        <w:rPr>
          <w:lang w:val="en-GB"/>
        </w:rPr>
        <w:t>one</w:t>
      </w:r>
      <w:r w:rsidR="00A03D60" w:rsidRPr="00D272CC">
        <w:rPr>
          <w:lang w:val="en-GB"/>
        </w:rPr>
        <w:t xml:space="preserve"> change.</w:t>
      </w:r>
      <w:r w:rsidR="00B546F8">
        <w:rPr>
          <w:rStyle w:val="FootnoteReference"/>
          <w:lang w:val="en-GB"/>
        </w:rPr>
        <w:footnoteReference w:id="23"/>
      </w:r>
      <w:r w:rsidR="000D7D46" w:rsidRPr="00D272CC">
        <w:rPr>
          <w:lang w:val="en-GB"/>
        </w:rPr>
        <w:t xml:space="preserve"> Considering all </w:t>
      </w:r>
      <w:r w:rsidR="005E1C66">
        <w:rPr>
          <w:lang w:val="en-GB"/>
        </w:rPr>
        <w:t xml:space="preserve">434 </w:t>
      </w:r>
      <w:r w:rsidR="000D7D46" w:rsidRPr="00D272CC">
        <w:rPr>
          <w:lang w:val="en-GB"/>
        </w:rPr>
        <w:t>policy changes, firms provide explanation</w:t>
      </w:r>
      <w:r w:rsidR="00D111D5" w:rsidRPr="00D272CC">
        <w:rPr>
          <w:lang w:val="en-GB"/>
        </w:rPr>
        <w:t>s</w:t>
      </w:r>
      <w:r w:rsidR="000D7D46" w:rsidRPr="00D272CC">
        <w:rPr>
          <w:lang w:val="en-GB"/>
        </w:rPr>
        <w:t xml:space="preserve"> for </w:t>
      </w:r>
      <w:r w:rsidR="00D111D5" w:rsidRPr="00D272CC">
        <w:rPr>
          <w:lang w:val="en-GB"/>
        </w:rPr>
        <w:t>14</w:t>
      </w:r>
      <w:r w:rsidR="00B06811" w:rsidRPr="00D272CC">
        <w:rPr>
          <w:lang w:val="en-GB"/>
        </w:rPr>
        <w:t>7</w:t>
      </w:r>
      <w:r w:rsidR="000D7D46" w:rsidRPr="00D272CC">
        <w:rPr>
          <w:lang w:val="en-GB"/>
        </w:rPr>
        <w:t xml:space="preserve"> of them (</w:t>
      </w:r>
      <w:r w:rsidR="00AD6058" w:rsidRPr="00D272CC">
        <w:rPr>
          <w:lang w:val="en-GB"/>
        </w:rPr>
        <w:t>34</w:t>
      </w:r>
      <w:r w:rsidR="000D7D46" w:rsidRPr="00D272CC">
        <w:rPr>
          <w:lang w:val="en-GB"/>
        </w:rPr>
        <w:t>%).</w:t>
      </w:r>
      <w:r w:rsidR="002200FF">
        <w:rPr>
          <w:rStyle w:val="FootnoteReference"/>
          <w:lang w:val="en-GB"/>
        </w:rPr>
        <w:footnoteReference w:id="24"/>
      </w:r>
      <w:r w:rsidR="00D111D5" w:rsidRPr="00D272CC">
        <w:rPr>
          <w:lang w:val="en-GB"/>
        </w:rPr>
        <w:t xml:space="preserve"> Some of these explanations contain more than one reason, leading to 204 reasons</w:t>
      </w:r>
      <w:r w:rsidR="0038105A" w:rsidRPr="00D272CC">
        <w:rPr>
          <w:lang w:val="en-GB"/>
        </w:rPr>
        <w:t>, which are o</w:t>
      </w:r>
      <w:r w:rsidR="000D7D46" w:rsidRPr="00D272CC">
        <w:rPr>
          <w:lang w:val="en-GB"/>
        </w:rPr>
        <w:t>ur key data.</w:t>
      </w:r>
      <w:r w:rsidR="00E34353" w:rsidRPr="00D272CC">
        <w:rPr>
          <w:rStyle w:val="FootnoteReference"/>
          <w:lang w:val="en-GB"/>
        </w:rPr>
        <w:footnoteReference w:id="25"/>
      </w:r>
      <w:r w:rsidR="000D7D46" w:rsidRPr="00D272CC">
        <w:rPr>
          <w:lang w:val="en-GB"/>
        </w:rPr>
        <w:t xml:space="preserve"> </w:t>
      </w:r>
      <w:r w:rsidR="00C000AC" w:rsidRPr="00D272CC">
        <w:rPr>
          <w:lang w:val="en-GB"/>
        </w:rPr>
        <w:t>The number of reasons reduces to 17</w:t>
      </w:r>
      <w:r w:rsidR="00B06811" w:rsidRPr="00D272CC">
        <w:rPr>
          <w:lang w:val="en-GB"/>
        </w:rPr>
        <w:t>6</w:t>
      </w:r>
      <w:r w:rsidR="00C000AC" w:rsidRPr="00D272CC">
        <w:rPr>
          <w:lang w:val="en-GB"/>
        </w:rPr>
        <w:t xml:space="preserve"> if we exclude </w:t>
      </w:r>
      <w:r w:rsidR="00073378" w:rsidRPr="00D272CC">
        <w:rPr>
          <w:lang w:val="en-GB"/>
        </w:rPr>
        <w:t xml:space="preserve">reliability and </w:t>
      </w:r>
      <w:r w:rsidR="00C000AC" w:rsidRPr="00D272CC">
        <w:rPr>
          <w:lang w:val="en-GB"/>
        </w:rPr>
        <w:t>relevance as being insufficient</w:t>
      </w:r>
      <w:r w:rsidR="00101EF0" w:rsidRPr="00D272CC">
        <w:rPr>
          <w:lang w:val="en-GB"/>
        </w:rPr>
        <w:t xml:space="preserve"> </w:t>
      </w:r>
      <w:r w:rsidR="00C000AC" w:rsidRPr="00D272CC">
        <w:rPr>
          <w:lang w:val="en-GB"/>
        </w:rPr>
        <w:t xml:space="preserve">because IAS 8 requires reasons why the change provides reliable and more relevant information. </w:t>
      </w:r>
      <w:r w:rsidR="005E1C66">
        <w:rPr>
          <w:lang w:val="en-GB"/>
        </w:rPr>
        <w:t xml:space="preserve">However, </w:t>
      </w:r>
      <w:r w:rsidR="00F46EEB">
        <w:rPr>
          <w:lang w:val="en-GB"/>
        </w:rPr>
        <w:t>most of</w:t>
      </w:r>
      <w:r w:rsidR="005E1C66">
        <w:rPr>
          <w:lang w:val="en-GB"/>
        </w:rPr>
        <w:t xml:space="preserve"> the appearances of reliability and relevance are accompanied by an additional reason</w:t>
      </w:r>
      <w:r w:rsidR="00FB536E">
        <w:rPr>
          <w:lang w:val="en-GB"/>
        </w:rPr>
        <w:t xml:space="preserve"> (see Section 4)</w:t>
      </w:r>
      <w:r w:rsidR="005E1C66">
        <w:rPr>
          <w:lang w:val="en-GB"/>
        </w:rPr>
        <w:t xml:space="preserve">, so excluding them still means that 32% of changes are explained </w:t>
      </w:r>
      <w:r w:rsidR="005E1C66" w:rsidRPr="00D272CC">
        <w:rPr>
          <w:lang w:val="en-GB"/>
        </w:rPr>
        <w:t>(not tabulated)</w:t>
      </w:r>
      <w:r w:rsidR="005E1C66">
        <w:rPr>
          <w:lang w:val="en-GB"/>
        </w:rPr>
        <w:t>.</w:t>
      </w:r>
    </w:p>
    <w:p w14:paraId="685607F8" w14:textId="77777777" w:rsidR="009507F9" w:rsidRPr="00D272CC" w:rsidRDefault="0087227D" w:rsidP="0038105A">
      <w:pPr>
        <w:tabs>
          <w:tab w:val="left" w:pos="7560"/>
        </w:tabs>
        <w:rPr>
          <w:lang w:val="en-GB"/>
        </w:rPr>
      </w:pPr>
      <w:r w:rsidRPr="00D272CC">
        <w:rPr>
          <w:lang w:val="en-GB"/>
        </w:rPr>
        <w:t xml:space="preserve">We </w:t>
      </w:r>
      <w:r w:rsidR="005A6F49" w:rsidRPr="00D272CC">
        <w:rPr>
          <w:lang w:val="en-GB"/>
        </w:rPr>
        <w:t>employ</w:t>
      </w:r>
      <w:r w:rsidRPr="00D272CC">
        <w:rPr>
          <w:lang w:val="en-GB"/>
        </w:rPr>
        <w:t xml:space="preserve"> content analysis in order to </w:t>
      </w:r>
      <w:r w:rsidR="005A6F49" w:rsidRPr="00D272CC">
        <w:rPr>
          <w:lang w:val="en-GB"/>
        </w:rPr>
        <w:t xml:space="preserve">find the reasons </w:t>
      </w:r>
      <w:r w:rsidR="00C01F35">
        <w:rPr>
          <w:lang w:val="en-GB"/>
        </w:rPr>
        <w:t xml:space="preserve">given </w:t>
      </w:r>
      <w:r w:rsidR="005A6F49" w:rsidRPr="00D272CC">
        <w:rPr>
          <w:lang w:val="en-GB"/>
        </w:rPr>
        <w:t>for IFRS policy changes</w:t>
      </w:r>
      <w:r w:rsidRPr="00D272CC">
        <w:rPr>
          <w:lang w:val="en-GB"/>
        </w:rPr>
        <w:t xml:space="preserve">. </w:t>
      </w:r>
      <w:r w:rsidR="009507F9" w:rsidRPr="00D272CC">
        <w:rPr>
          <w:lang w:val="en-GB"/>
        </w:rPr>
        <w:t xml:space="preserve">The following provides </w:t>
      </w:r>
      <w:r w:rsidR="00021BB1" w:rsidRPr="00D272CC">
        <w:rPr>
          <w:lang w:val="en-GB"/>
        </w:rPr>
        <w:t xml:space="preserve">three </w:t>
      </w:r>
      <w:r w:rsidR="009507F9" w:rsidRPr="00D272CC">
        <w:rPr>
          <w:lang w:val="en-GB"/>
        </w:rPr>
        <w:t>examples of how we code the expl</w:t>
      </w:r>
      <w:r w:rsidR="00021BB1" w:rsidRPr="00D272CC">
        <w:rPr>
          <w:lang w:val="en-GB"/>
        </w:rPr>
        <w:t>anations of policy changes:</w:t>
      </w:r>
    </w:p>
    <w:p w14:paraId="477CA663" w14:textId="77777777" w:rsidR="009507F9" w:rsidRPr="00D272CC" w:rsidRDefault="00021BB1" w:rsidP="009C6000">
      <w:pPr>
        <w:pStyle w:val="Quotation"/>
        <w:rPr>
          <w:lang w:val="en-GB"/>
        </w:rPr>
      </w:pPr>
      <w:r w:rsidRPr="00D272CC">
        <w:rPr>
          <w:lang w:val="en-GB"/>
        </w:rPr>
        <w:t>(1)</w:t>
      </w:r>
      <w:r w:rsidR="009507F9" w:rsidRPr="00D272CC">
        <w:rPr>
          <w:lang w:val="en-GB"/>
        </w:rPr>
        <w:t xml:space="preserve"> </w:t>
      </w:r>
      <w:r w:rsidR="007B7623" w:rsidRPr="00D272CC">
        <w:rPr>
          <w:lang w:val="en-GB"/>
        </w:rPr>
        <w:t>‘</w:t>
      </w:r>
      <w:r w:rsidR="009507F9" w:rsidRPr="00D272CC">
        <w:rPr>
          <w:lang w:val="en-GB"/>
        </w:rPr>
        <w:t>The directors of the Company are of the view that the change in accounting method for interests in jointly controlled entities would provide more reliable, relevant and comparable information</w:t>
      </w:r>
      <w:r w:rsidR="00533111" w:rsidRPr="00D272CC">
        <w:rPr>
          <w:lang w:val="en-GB"/>
        </w:rPr>
        <w:t xml:space="preserve"> […].</w:t>
      </w:r>
      <w:r w:rsidR="007B7623" w:rsidRPr="00D272CC">
        <w:rPr>
          <w:lang w:val="en-GB"/>
        </w:rPr>
        <w:t>’</w:t>
      </w:r>
      <w:r w:rsidR="009507F9" w:rsidRPr="00D272CC">
        <w:rPr>
          <w:lang w:val="en-GB"/>
        </w:rPr>
        <w:t xml:space="preserve"> (Shenzhen Expressway</w:t>
      </w:r>
      <w:r w:rsidR="003D5826" w:rsidRPr="00D272CC">
        <w:rPr>
          <w:lang w:val="en-GB"/>
        </w:rPr>
        <w:t>, Annual Report 2007, p.</w:t>
      </w:r>
      <w:r w:rsidR="000231CD" w:rsidRPr="00D272CC">
        <w:rPr>
          <w:lang w:val="en-GB"/>
        </w:rPr>
        <w:t xml:space="preserve"> </w:t>
      </w:r>
      <w:r w:rsidR="003D5826" w:rsidRPr="00D272CC">
        <w:rPr>
          <w:lang w:val="en-GB"/>
        </w:rPr>
        <w:t>109)</w:t>
      </w:r>
    </w:p>
    <w:p w14:paraId="1407F005" w14:textId="77777777" w:rsidR="00021BB1" w:rsidRPr="00D272CC" w:rsidRDefault="00021BB1" w:rsidP="009C6000">
      <w:pPr>
        <w:pStyle w:val="Quotation"/>
        <w:rPr>
          <w:lang w:val="en-GB"/>
        </w:rPr>
      </w:pPr>
      <w:r w:rsidRPr="00D272CC">
        <w:rPr>
          <w:lang w:val="en-GB"/>
        </w:rPr>
        <w:t xml:space="preserve">(2) </w:t>
      </w:r>
      <w:r w:rsidR="007B7623" w:rsidRPr="00D272CC">
        <w:rPr>
          <w:lang w:val="en-GB"/>
        </w:rPr>
        <w:t>‘</w:t>
      </w:r>
      <w:r w:rsidR="006B55F4" w:rsidRPr="00D272CC">
        <w:rPr>
          <w:lang w:val="en-GB"/>
        </w:rPr>
        <w:t>We believe this revised presentation will provide users of our financial statements with a better understanding of our business.</w:t>
      </w:r>
      <w:r w:rsidR="007B7623" w:rsidRPr="00D272CC">
        <w:rPr>
          <w:lang w:val="en-GB"/>
        </w:rPr>
        <w:t>’</w:t>
      </w:r>
      <w:r w:rsidR="006B55F4" w:rsidRPr="00D272CC">
        <w:rPr>
          <w:lang w:val="en-GB"/>
        </w:rPr>
        <w:t xml:space="preserve"> (Imperial Tobacco, Annual Report and Accounts 2007, p.</w:t>
      </w:r>
      <w:r w:rsidR="000231CD" w:rsidRPr="00D272CC">
        <w:rPr>
          <w:lang w:val="en-GB"/>
        </w:rPr>
        <w:t xml:space="preserve"> </w:t>
      </w:r>
      <w:r w:rsidR="006B55F4" w:rsidRPr="00D272CC">
        <w:rPr>
          <w:lang w:val="en-GB"/>
        </w:rPr>
        <w:t>71)</w:t>
      </w:r>
    </w:p>
    <w:p w14:paraId="0F8FB14F" w14:textId="77777777" w:rsidR="009507F9" w:rsidRPr="00D272CC" w:rsidRDefault="00021BB1" w:rsidP="006B55F4">
      <w:pPr>
        <w:pStyle w:val="Quotation"/>
        <w:rPr>
          <w:lang w:val="en-GB"/>
        </w:rPr>
      </w:pPr>
      <w:r w:rsidRPr="00D272CC">
        <w:rPr>
          <w:lang w:val="en-GB"/>
        </w:rPr>
        <w:t xml:space="preserve">(3) </w:t>
      </w:r>
      <w:r w:rsidR="007B7623" w:rsidRPr="00D272CC">
        <w:rPr>
          <w:lang w:val="en-GB"/>
        </w:rPr>
        <w:t>‘</w:t>
      </w:r>
      <w:r w:rsidR="006B55F4" w:rsidRPr="00D272CC">
        <w:rPr>
          <w:lang w:val="en-GB"/>
        </w:rPr>
        <w:t>This change provides information that is clearer and more relevant.</w:t>
      </w:r>
      <w:r w:rsidR="007B7623" w:rsidRPr="00D272CC">
        <w:rPr>
          <w:lang w:val="en-GB"/>
        </w:rPr>
        <w:t>’</w:t>
      </w:r>
      <w:r w:rsidR="006B55F4" w:rsidRPr="00D272CC">
        <w:rPr>
          <w:lang w:val="en-GB"/>
        </w:rPr>
        <w:t xml:space="preserve"> (Unilever, Annual Report and Accounts 2011, p.</w:t>
      </w:r>
      <w:r w:rsidR="000231CD" w:rsidRPr="00D272CC">
        <w:rPr>
          <w:lang w:val="en-GB"/>
        </w:rPr>
        <w:t xml:space="preserve"> </w:t>
      </w:r>
      <w:r w:rsidR="006B55F4" w:rsidRPr="00D272CC">
        <w:rPr>
          <w:lang w:val="en-GB"/>
        </w:rPr>
        <w:t>68)</w:t>
      </w:r>
    </w:p>
    <w:p w14:paraId="1691CDBD" w14:textId="77777777" w:rsidR="00E80D73" w:rsidRPr="00D272CC" w:rsidRDefault="00C436B4" w:rsidP="00E80D73">
      <w:pPr>
        <w:tabs>
          <w:tab w:val="left" w:pos="7560"/>
        </w:tabs>
        <w:ind w:firstLine="0"/>
        <w:rPr>
          <w:lang w:val="en-GB"/>
        </w:rPr>
      </w:pPr>
      <w:r w:rsidRPr="00D272CC">
        <w:rPr>
          <w:lang w:val="en-GB"/>
        </w:rPr>
        <w:t xml:space="preserve">The first </w:t>
      </w:r>
      <w:r w:rsidR="00CD60DF" w:rsidRPr="00D272CC">
        <w:rPr>
          <w:lang w:val="en-GB"/>
        </w:rPr>
        <w:t>example</w:t>
      </w:r>
      <w:r w:rsidRPr="00D272CC">
        <w:rPr>
          <w:lang w:val="en-GB"/>
        </w:rPr>
        <w:t xml:space="preserve"> contains three reasons: reliability, relevance and comparability. The second </w:t>
      </w:r>
      <w:r w:rsidR="00CD60DF" w:rsidRPr="00D272CC">
        <w:rPr>
          <w:lang w:val="en-GB"/>
        </w:rPr>
        <w:t>example</w:t>
      </w:r>
      <w:r w:rsidRPr="00D272CC">
        <w:rPr>
          <w:lang w:val="en-GB"/>
        </w:rPr>
        <w:t xml:space="preserve"> has one reason: </w:t>
      </w:r>
      <w:r w:rsidR="00126FEC">
        <w:rPr>
          <w:lang w:val="en-GB"/>
        </w:rPr>
        <w:t xml:space="preserve">better </w:t>
      </w:r>
      <w:r w:rsidRPr="00D272CC">
        <w:rPr>
          <w:lang w:val="en-GB"/>
        </w:rPr>
        <w:t>understand</w:t>
      </w:r>
      <w:r w:rsidR="00126FEC">
        <w:rPr>
          <w:lang w:val="en-GB"/>
        </w:rPr>
        <w:t>ing, which we score as ‘understandability’</w:t>
      </w:r>
      <w:r w:rsidRPr="00D272CC">
        <w:rPr>
          <w:lang w:val="en-GB"/>
        </w:rPr>
        <w:t>.</w:t>
      </w:r>
      <w:r w:rsidR="00126FEC">
        <w:rPr>
          <w:rStyle w:val="FootnoteReference"/>
          <w:lang w:val="en-GB"/>
        </w:rPr>
        <w:footnoteReference w:id="26"/>
      </w:r>
      <w:r w:rsidR="00C50E52">
        <w:rPr>
          <w:lang w:val="en-GB"/>
        </w:rPr>
        <w:t xml:space="preserve"> S</w:t>
      </w:r>
      <w:r w:rsidRPr="00D272CC">
        <w:rPr>
          <w:lang w:val="en-GB"/>
        </w:rPr>
        <w:t xml:space="preserve">everal explanations do not explicitly refer to </w:t>
      </w:r>
      <w:r w:rsidR="00731C2A" w:rsidRPr="00D272CC">
        <w:rPr>
          <w:lang w:val="en-GB"/>
        </w:rPr>
        <w:t>particular</w:t>
      </w:r>
      <w:r w:rsidRPr="00D272CC">
        <w:rPr>
          <w:lang w:val="en-GB"/>
        </w:rPr>
        <w:t xml:space="preserve"> QCs but can still </w:t>
      </w:r>
      <w:r w:rsidR="00731C2A" w:rsidRPr="00D272CC">
        <w:rPr>
          <w:lang w:val="en-GB"/>
        </w:rPr>
        <w:t xml:space="preserve">be </w:t>
      </w:r>
      <w:r w:rsidRPr="00D272CC">
        <w:rPr>
          <w:lang w:val="en-GB"/>
        </w:rPr>
        <w:t>code</w:t>
      </w:r>
      <w:r w:rsidR="00731C2A" w:rsidRPr="00D272CC">
        <w:rPr>
          <w:lang w:val="en-GB"/>
        </w:rPr>
        <w:t>d</w:t>
      </w:r>
      <w:r w:rsidRPr="00D272CC">
        <w:rPr>
          <w:lang w:val="en-GB"/>
        </w:rPr>
        <w:t xml:space="preserve"> </w:t>
      </w:r>
      <w:r w:rsidR="003D5826" w:rsidRPr="00D272CC">
        <w:rPr>
          <w:lang w:val="en-GB"/>
        </w:rPr>
        <w:t>on an</w:t>
      </w:r>
      <w:r w:rsidRPr="00D272CC">
        <w:rPr>
          <w:lang w:val="en-GB"/>
        </w:rPr>
        <w:t xml:space="preserve"> </w:t>
      </w:r>
      <w:r w:rsidR="007B7623" w:rsidRPr="00D272CC">
        <w:rPr>
          <w:lang w:val="en-GB"/>
        </w:rPr>
        <w:t>‘</w:t>
      </w:r>
      <w:r w:rsidRPr="00D272CC">
        <w:rPr>
          <w:lang w:val="en-GB"/>
        </w:rPr>
        <w:t>inferred</w:t>
      </w:r>
      <w:r w:rsidR="007B7623" w:rsidRPr="00D272CC">
        <w:rPr>
          <w:lang w:val="en-GB"/>
        </w:rPr>
        <w:t>’</w:t>
      </w:r>
      <w:r w:rsidR="003D5826" w:rsidRPr="00D272CC">
        <w:rPr>
          <w:lang w:val="en-GB"/>
        </w:rPr>
        <w:t xml:space="preserve"> basis</w:t>
      </w:r>
      <w:r w:rsidRPr="00D272CC">
        <w:rPr>
          <w:lang w:val="en-GB"/>
        </w:rPr>
        <w:t xml:space="preserve">. </w:t>
      </w:r>
      <w:r w:rsidR="00731C2A" w:rsidRPr="00D272CC">
        <w:rPr>
          <w:lang w:val="en-GB"/>
        </w:rPr>
        <w:t xml:space="preserve">For </w:t>
      </w:r>
      <w:r w:rsidR="00CD60DF" w:rsidRPr="00D272CC">
        <w:rPr>
          <w:lang w:val="en-GB"/>
        </w:rPr>
        <w:t>instance</w:t>
      </w:r>
      <w:r w:rsidR="00731C2A" w:rsidRPr="00D272CC">
        <w:rPr>
          <w:lang w:val="en-GB"/>
        </w:rPr>
        <w:t>, t</w:t>
      </w:r>
      <w:r w:rsidRPr="00D272CC">
        <w:rPr>
          <w:lang w:val="en-GB"/>
        </w:rPr>
        <w:t xml:space="preserve">he third </w:t>
      </w:r>
      <w:r w:rsidR="00CD60DF" w:rsidRPr="00D272CC">
        <w:rPr>
          <w:lang w:val="en-GB"/>
        </w:rPr>
        <w:t>example</w:t>
      </w:r>
      <w:r w:rsidRPr="00D272CC">
        <w:rPr>
          <w:lang w:val="en-GB"/>
        </w:rPr>
        <w:t xml:space="preserve"> shows </w:t>
      </w:r>
      <w:r w:rsidR="00B96F82" w:rsidRPr="00D272CC">
        <w:rPr>
          <w:lang w:val="en-GB"/>
        </w:rPr>
        <w:t xml:space="preserve">(in addition to ‘relevance’) </w:t>
      </w:r>
      <w:r w:rsidRPr="00D272CC">
        <w:rPr>
          <w:lang w:val="en-GB"/>
        </w:rPr>
        <w:t xml:space="preserve">what we label </w:t>
      </w:r>
      <w:r w:rsidR="007B7623" w:rsidRPr="00D272CC">
        <w:rPr>
          <w:lang w:val="en-GB"/>
        </w:rPr>
        <w:t>‘</w:t>
      </w:r>
      <w:r w:rsidRPr="00D272CC">
        <w:rPr>
          <w:lang w:val="en-GB"/>
        </w:rPr>
        <w:t>understandability (inferred)</w:t>
      </w:r>
      <w:r w:rsidR="007B7623" w:rsidRPr="00D272CC">
        <w:rPr>
          <w:lang w:val="en-GB"/>
        </w:rPr>
        <w:t>’</w:t>
      </w:r>
      <w:r w:rsidR="00731C2A" w:rsidRPr="00D272CC">
        <w:rPr>
          <w:lang w:val="en-GB"/>
        </w:rPr>
        <w:t>; i.e.,</w:t>
      </w:r>
      <w:r w:rsidRPr="00D272CC">
        <w:rPr>
          <w:lang w:val="en-GB"/>
        </w:rPr>
        <w:t xml:space="preserve"> </w:t>
      </w:r>
      <w:r w:rsidR="00C50E52" w:rsidRPr="00D272CC">
        <w:rPr>
          <w:lang w:val="en-GB"/>
        </w:rPr>
        <w:t xml:space="preserve">we infer </w:t>
      </w:r>
      <w:r w:rsidR="003D5826" w:rsidRPr="00D272CC">
        <w:rPr>
          <w:lang w:val="en-GB"/>
        </w:rPr>
        <w:t xml:space="preserve">from the reference to </w:t>
      </w:r>
      <w:r w:rsidR="007B7623" w:rsidRPr="00D272CC">
        <w:rPr>
          <w:lang w:val="en-GB"/>
        </w:rPr>
        <w:t>‘</w:t>
      </w:r>
      <w:r w:rsidR="003D5826" w:rsidRPr="00D272CC">
        <w:rPr>
          <w:lang w:val="en-GB"/>
        </w:rPr>
        <w:t>cl</w:t>
      </w:r>
      <w:r w:rsidR="00CD60DF" w:rsidRPr="00D272CC">
        <w:rPr>
          <w:lang w:val="en-GB"/>
        </w:rPr>
        <w:t>e</w:t>
      </w:r>
      <w:r w:rsidR="003D5826" w:rsidRPr="00D272CC">
        <w:rPr>
          <w:lang w:val="en-GB"/>
        </w:rPr>
        <w:t>ar</w:t>
      </w:r>
      <w:r w:rsidR="00CD60DF" w:rsidRPr="00D272CC">
        <w:rPr>
          <w:lang w:val="en-GB"/>
        </w:rPr>
        <w:t>er</w:t>
      </w:r>
      <w:r w:rsidR="007B7623" w:rsidRPr="00D272CC">
        <w:rPr>
          <w:lang w:val="en-GB"/>
        </w:rPr>
        <w:t>’</w:t>
      </w:r>
      <w:r w:rsidR="003D5826" w:rsidRPr="00D272CC">
        <w:rPr>
          <w:lang w:val="en-GB"/>
        </w:rPr>
        <w:t xml:space="preserve"> that one of the reasons for the change was to improve understandability. </w:t>
      </w:r>
      <w:r w:rsidR="008C51B2" w:rsidRPr="00D272CC">
        <w:rPr>
          <w:lang w:val="en-GB"/>
        </w:rPr>
        <w:t xml:space="preserve">Appendix </w:t>
      </w:r>
      <w:r w:rsidR="006A70B1" w:rsidRPr="00D272CC">
        <w:rPr>
          <w:lang w:val="en-GB"/>
        </w:rPr>
        <w:t>2</w:t>
      </w:r>
      <w:r w:rsidR="008C51B2" w:rsidRPr="00D272CC">
        <w:rPr>
          <w:lang w:val="en-GB"/>
        </w:rPr>
        <w:t xml:space="preserve"> provides details o</w:t>
      </w:r>
      <w:r w:rsidR="00B71BE5" w:rsidRPr="00D272CC">
        <w:rPr>
          <w:lang w:val="en-GB"/>
        </w:rPr>
        <w:t>f</w:t>
      </w:r>
      <w:r w:rsidR="008C51B2" w:rsidRPr="00D272CC">
        <w:rPr>
          <w:lang w:val="en-GB"/>
        </w:rPr>
        <w:t xml:space="preserve"> our data collection and coding procedures.</w:t>
      </w:r>
    </w:p>
    <w:p w14:paraId="728E7B50" w14:textId="77777777" w:rsidR="00B24CA2" w:rsidRPr="00D272CC" w:rsidRDefault="00A8400F" w:rsidP="00867EF2">
      <w:pPr>
        <w:rPr>
          <w:lang w:val="en-GB"/>
        </w:rPr>
      </w:pPr>
      <w:r w:rsidRPr="00D272CC">
        <w:rPr>
          <w:lang w:val="en-GB"/>
        </w:rPr>
        <w:t xml:space="preserve">As noted above, only 34% of </w:t>
      </w:r>
      <w:r w:rsidR="009A7C2C" w:rsidRPr="00D272CC">
        <w:rPr>
          <w:lang w:val="en-GB"/>
        </w:rPr>
        <w:t xml:space="preserve">our 434 </w:t>
      </w:r>
      <w:r w:rsidRPr="00D272CC">
        <w:rPr>
          <w:lang w:val="en-GB"/>
        </w:rPr>
        <w:t>policy changes are explained</w:t>
      </w:r>
      <w:r w:rsidR="005E1C66">
        <w:rPr>
          <w:lang w:val="en-GB"/>
        </w:rPr>
        <w:t>, leaving 287 changes unexplained</w:t>
      </w:r>
      <w:r w:rsidRPr="00D272CC">
        <w:rPr>
          <w:lang w:val="en-GB"/>
        </w:rPr>
        <w:t xml:space="preserve">. </w:t>
      </w:r>
      <w:r w:rsidR="002F71A3" w:rsidRPr="00D272CC">
        <w:rPr>
          <w:lang w:val="en-GB"/>
        </w:rPr>
        <w:t xml:space="preserve">This is despite the fact that </w:t>
      </w:r>
      <w:r w:rsidR="009A7C2C" w:rsidRPr="00D272CC">
        <w:rPr>
          <w:lang w:val="en-GB"/>
        </w:rPr>
        <w:t>427 (</w:t>
      </w:r>
      <w:r w:rsidR="002F71A3" w:rsidRPr="00D272CC">
        <w:rPr>
          <w:lang w:val="en-GB"/>
        </w:rPr>
        <w:t>98%</w:t>
      </w:r>
      <w:r w:rsidR="009A7C2C" w:rsidRPr="00D272CC">
        <w:rPr>
          <w:lang w:val="en-GB"/>
        </w:rPr>
        <w:t>)</w:t>
      </w:r>
      <w:r w:rsidR="002F71A3" w:rsidRPr="00D272CC">
        <w:rPr>
          <w:lang w:val="en-GB"/>
        </w:rPr>
        <w:t xml:space="preserve"> of the changes were audited by Big 4 auditors</w:t>
      </w:r>
      <w:r w:rsidR="002B2FA4">
        <w:rPr>
          <w:lang w:val="en-GB"/>
        </w:rPr>
        <w:t xml:space="preserve"> (auditor data are hand-collected)</w:t>
      </w:r>
      <w:r w:rsidR="002F71A3" w:rsidRPr="00D272CC">
        <w:rPr>
          <w:lang w:val="en-GB"/>
        </w:rPr>
        <w:t xml:space="preserve">. </w:t>
      </w:r>
      <w:r w:rsidR="00BD72A7" w:rsidRPr="00D272CC">
        <w:rPr>
          <w:lang w:val="en-GB"/>
        </w:rPr>
        <w:t xml:space="preserve">This appears to suggest considerable non-compliance with IAS 8’s requirement </w:t>
      </w:r>
      <w:r w:rsidR="00B96F82" w:rsidRPr="00D272CC">
        <w:rPr>
          <w:lang w:val="en-GB"/>
        </w:rPr>
        <w:t>to</w:t>
      </w:r>
      <w:r w:rsidR="00BD72A7" w:rsidRPr="00D272CC">
        <w:rPr>
          <w:lang w:val="en-GB"/>
        </w:rPr>
        <w:t xml:space="preserve"> expla</w:t>
      </w:r>
      <w:r w:rsidR="00B96F82" w:rsidRPr="00D272CC">
        <w:rPr>
          <w:lang w:val="en-GB"/>
        </w:rPr>
        <w:t>i</w:t>
      </w:r>
      <w:r w:rsidR="00BD72A7" w:rsidRPr="00D272CC">
        <w:rPr>
          <w:lang w:val="en-GB"/>
        </w:rPr>
        <w:t xml:space="preserve">n policy changes. </w:t>
      </w:r>
      <w:r w:rsidR="007B7911" w:rsidRPr="00D272CC">
        <w:rPr>
          <w:lang w:val="en-GB"/>
        </w:rPr>
        <w:t xml:space="preserve">However, </w:t>
      </w:r>
      <w:r w:rsidR="00BD72A7" w:rsidRPr="00D272CC">
        <w:rPr>
          <w:lang w:val="en-GB"/>
        </w:rPr>
        <w:t>explanation</w:t>
      </w:r>
      <w:r w:rsidR="001C5A13">
        <w:rPr>
          <w:lang w:val="en-GB"/>
        </w:rPr>
        <w:t>s</w:t>
      </w:r>
      <w:r w:rsidR="00BD72A7" w:rsidRPr="00D272CC">
        <w:rPr>
          <w:lang w:val="en-GB"/>
        </w:rPr>
        <w:t xml:space="preserve"> </w:t>
      </w:r>
      <w:r w:rsidR="005E1C66">
        <w:rPr>
          <w:lang w:val="en-GB"/>
        </w:rPr>
        <w:t>might</w:t>
      </w:r>
      <w:r w:rsidR="00BD72A7" w:rsidRPr="00D272CC">
        <w:rPr>
          <w:lang w:val="en-GB"/>
        </w:rPr>
        <w:t xml:space="preserve"> not </w:t>
      </w:r>
      <w:r w:rsidR="005E1C66">
        <w:rPr>
          <w:lang w:val="en-GB"/>
        </w:rPr>
        <w:t xml:space="preserve">be </w:t>
      </w:r>
      <w:r w:rsidR="00BD72A7" w:rsidRPr="00D272CC">
        <w:rPr>
          <w:lang w:val="en-GB"/>
        </w:rPr>
        <w:t xml:space="preserve">required </w:t>
      </w:r>
      <w:r w:rsidR="00FA5B21">
        <w:rPr>
          <w:lang w:val="en-GB"/>
        </w:rPr>
        <w:t xml:space="preserve">in some of these </w:t>
      </w:r>
      <w:r w:rsidR="00076553">
        <w:rPr>
          <w:lang w:val="en-GB"/>
        </w:rPr>
        <w:t xml:space="preserve">287 </w:t>
      </w:r>
      <w:r w:rsidR="00FA5B21">
        <w:rPr>
          <w:lang w:val="en-GB"/>
        </w:rPr>
        <w:t xml:space="preserve">cases </w:t>
      </w:r>
      <w:r w:rsidR="00BD72A7" w:rsidRPr="00D272CC">
        <w:rPr>
          <w:lang w:val="en-GB"/>
        </w:rPr>
        <w:t>because the change</w:t>
      </w:r>
      <w:r w:rsidR="001C5A13">
        <w:rPr>
          <w:lang w:val="en-GB"/>
        </w:rPr>
        <w:t>s</w:t>
      </w:r>
      <w:r w:rsidR="00BD72A7" w:rsidRPr="00D272CC">
        <w:rPr>
          <w:lang w:val="en-GB"/>
        </w:rPr>
        <w:t xml:space="preserve"> ha</w:t>
      </w:r>
      <w:r w:rsidR="001C5A13">
        <w:rPr>
          <w:lang w:val="en-GB"/>
        </w:rPr>
        <w:t>ve</w:t>
      </w:r>
      <w:r w:rsidR="00BD72A7" w:rsidRPr="00D272CC">
        <w:rPr>
          <w:lang w:val="en-GB"/>
        </w:rPr>
        <w:t xml:space="preserve"> no </w:t>
      </w:r>
      <w:r w:rsidR="00ED1C1A">
        <w:rPr>
          <w:lang w:val="en-GB"/>
        </w:rPr>
        <w:t>material</w:t>
      </w:r>
      <w:r w:rsidR="00ED1C1A">
        <w:rPr>
          <w:rStyle w:val="FootnoteReference"/>
          <w:lang w:val="en-GB"/>
        </w:rPr>
        <w:footnoteReference w:id="27"/>
      </w:r>
      <w:r w:rsidR="00ED1C1A">
        <w:rPr>
          <w:lang w:val="en-GB"/>
        </w:rPr>
        <w:t xml:space="preserve"> </w:t>
      </w:r>
      <w:r w:rsidR="00BD72A7" w:rsidRPr="00D272CC">
        <w:rPr>
          <w:lang w:val="en-GB"/>
        </w:rPr>
        <w:t>effect on the financial statements</w:t>
      </w:r>
      <w:r w:rsidR="00552D44" w:rsidRPr="00D272CC">
        <w:rPr>
          <w:lang w:val="en-GB"/>
        </w:rPr>
        <w:t xml:space="preserve"> (IAS 8.29, first line)</w:t>
      </w:r>
      <w:r w:rsidR="00BD72A7" w:rsidRPr="00D272CC">
        <w:rPr>
          <w:lang w:val="en-GB"/>
        </w:rPr>
        <w:t>.</w:t>
      </w:r>
      <w:r w:rsidR="00FA5B21">
        <w:rPr>
          <w:lang w:val="en-GB"/>
        </w:rPr>
        <w:t xml:space="preserve"> Nevertheless, the change is </w:t>
      </w:r>
      <w:r w:rsidR="00FA5B21" w:rsidRPr="00D272CC">
        <w:rPr>
          <w:i/>
          <w:lang w:val="en-GB"/>
        </w:rPr>
        <w:t>mentioned</w:t>
      </w:r>
      <w:r w:rsidR="00FA5B21" w:rsidRPr="00D272CC">
        <w:rPr>
          <w:lang w:val="en-GB"/>
        </w:rPr>
        <w:t xml:space="preserve"> </w:t>
      </w:r>
      <w:r w:rsidR="00076553">
        <w:rPr>
          <w:lang w:val="en-GB"/>
        </w:rPr>
        <w:t>for</w:t>
      </w:r>
      <w:r w:rsidR="00FA5B21" w:rsidRPr="00D272CC">
        <w:rPr>
          <w:lang w:val="en-GB"/>
        </w:rPr>
        <w:t xml:space="preserve"> 53 of the </w:t>
      </w:r>
      <w:r w:rsidR="001C5A13">
        <w:rPr>
          <w:lang w:val="en-GB"/>
        </w:rPr>
        <w:t xml:space="preserve">unexplained </w:t>
      </w:r>
      <w:r w:rsidR="00FA5B21" w:rsidRPr="00D272CC">
        <w:rPr>
          <w:lang w:val="en-GB"/>
        </w:rPr>
        <w:t>changes</w:t>
      </w:r>
      <w:r w:rsidR="001C5A13">
        <w:rPr>
          <w:lang w:val="en-GB"/>
        </w:rPr>
        <w:t xml:space="preserve">, which </w:t>
      </w:r>
      <w:r w:rsidR="00FA5B21">
        <w:rPr>
          <w:lang w:val="en-GB"/>
        </w:rPr>
        <w:t>implies that th</w:t>
      </w:r>
      <w:r w:rsidR="00B06D26">
        <w:rPr>
          <w:lang w:val="en-GB"/>
        </w:rPr>
        <w:t>ose changes</w:t>
      </w:r>
      <w:r w:rsidR="00FA5B21">
        <w:rPr>
          <w:lang w:val="en-GB"/>
        </w:rPr>
        <w:t xml:space="preserve"> </w:t>
      </w:r>
      <w:r w:rsidR="00076553">
        <w:rPr>
          <w:lang w:val="en-GB"/>
        </w:rPr>
        <w:t xml:space="preserve">are </w:t>
      </w:r>
      <w:r w:rsidR="00FA5B21">
        <w:rPr>
          <w:lang w:val="en-GB"/>
        </w:rPr>
        <w:t>material and should therefore be explained.</w:t>
      </w:r>
    </w:p>
    <w:p w14:paraId="5F1D99FB" w14:textId="77777777" w:rsidR="00867EF2" w:rsidRPr="00D272CC" w:rsidRDefault="00524AF1" w:rsidP="00867EF2">
      <w:pPr>
        <w:rPr>
          <w:lang w:val="en-GB"/>
        </w:rPr>
      </w:pPr>
      <w:r>
        <w:rPr>
          <w:lang w:val="en-GB"/>
        </w:rPr>
        <w:t>S</w:t>
      </w:r>
      <w:r w:rsidR="00867EF2" w:rsidRPr="00D272CC">
        <w:rPr>
          <w:lang w:val="en-GB"/>
        </w:rPr>
        <w:t xml:space="preserve">ome </w:t>
      </w:r>
      <w:r w:rsidR="000D7D46" w:rsidRPr="00D272CC">
        <w:rPr>
          <w:lang w:val="en-GB"/>
        </w:rPr>
        <w:t>of the information in Table 2</w:t>
      </w:r>
      <w:r w:rsidR="00867EF2" w:rsidRPr="00D272CC">
        <w:rPr>
          <w:lang w:val="en-GB"/>
        </w:rPr>
        <w:t xml:space="preserve"> contrast</w:t>
      </w:r>
      <w:r w:rsidR="00B71BE5" w:rsidRPr="00D272CC">
        <w:rPr>
          <w:lang w:val="en-GB"/>
        </w:rPr>
        <w:t>s</w:t>
      </w:r>
      <w:r w:rsidR="00867EF2" w:rsidRPr="00D272CC">
        <w:rPr>
          <w:lang w:val="en-GB"/>
        </w:rPr>
        <w:t xml:space="preserve"> </w:t>
      </w:r>
      <w:r w:rsidR="00492C72" w:rsidRPr="00D272CC">
        <w:rPr>
          <w:lang w:val="en-GB"/>
        </w:rPr>
        <w:t>with</w:t>
      </w:r>
      <w:r w:rsidR="00867EF2" w:rsidRPr="00D272CC">
        <w:rPr>
          <w:lang w:val="en-GB"/>
        </w:rPr>
        <w:t xml:space="preserve"> </w:t>
      </w:r>
      <w:r w:rsidR="00B84798" w:rsidRPr="00D272CC">
        <w:rPr>
          <w:lang w:val="en-GB"/>
        </w:rPr>
        <w:t>the conclusions</w:t>
      </w:r>
      <w:r w:rsidR="00867EF2" w:rsidRPr="00D272CC">
        <w:rPr>
          <w:lang w:val="en-GB"/>
        </w:rPr>
        <w:t xml:space="preserve"> of prior literature. For example, Kvaal and Nobes (2012) find that French and Spanish firms made more policy changes between 2005 and 2008 than UK firms </w:t>
      </w:r>
      <w:r w:rsidR="00B84798" w:rsidRPr="00D272CC">
        <w:rPr>
          <w:lang w:val="en-GB"/>
        </w:rPr>
        <w:t xml:space="preserve">did. They suggest that this was </w:t>
      </w:r>
      <w:r w:rsidR="00867EF2" w:rsidRPr="00D272CC">
        <w:rPr>
          <w:lang w:val="en-GB"/>
        </w:rPr>
        <w:t xml:space="preserve">because </w:t>
      </w:r>
      <w:r w:rsidR="00B84798" w:rsidRPr="00D272CC">
        <w:rPr>
          <w:lang w:val="en-GB"/>
        </w:rPr>
        <w:t xml:space="preserve">French and Spanish firms were less familiar with IFRS and therefore </w:t>
      </w:r>
      <w:r w:rsidR="00867EF2" w:rsidRPr="00D272CC">
        <w:rPr>
          <w:lang w:val="en-GB"/>
        </w:rPr>
        <w:t xml:space="preserve">made less settled choices </w:t>
      </w:r>
      <w:r w:rsidR="00B84798" w:rsidRPr="00D272CC">
        <w:rPr>
          <w:lang w:val="en-GB"/>
        </w:rPr>
        <w:t xml:space="preserve">on transition </w:t>
      </w:r>
      <w:r w:rsidR="00867EF2" w:rsidRPr="00D272CC">
        <w:rPr>
          <w:lang w:val="en-GB"/>
        </w:rPr>
        <w:t>in 2005. However, while our data</w:t>
      </w:r>
      <w:r w:rsidR="00B84798" w:rsidRPr="00D272CC">
        <w:rPr>
          <w:lang w:val="en-GB"/>
        </w:rPr>
        <w:t xml:space="preserve"> </w:t>
      </w:r>
      <w:r w:rsidR="00A131E3" w:rsidRPr="00D272CC">
        <w:rPr>
          <w:lang w:val="en-GB"/>
        </w:rPr>
        <w:t xml:space="preserve">(relating to a longer period; 2005 to 2011) </w:t>
      </w:r>
      <w:r w:rsidR="00B84798" w:rsidRPr="00D272CC">
        <w:rPr>
          <w:lang w:val="en-GB"/>
        </w:rPr>
        <w:t>agree</w:t>
      </w:r>
      <w:r w:rsidR="0069664F" w:rsidRPr="00D272CC">
        <w:rPr>
          <w:lang w:val="en-GB"/>
        </w:rPr>
        <w:t xml:space="preserve"> about</w:t>
      </w:r>
      <w:r w:rsidR="00867EF2" w:rsidRPr="00D272CC">
        <w:rPr>
          <w:lang w:val="en-GB"/>
        </w:rPr>
        <w:t xml:space="preserve"> French and Spanis</w:t>
      </w:r>
      <w:r w:rsidR="0069664F" w:rsidRPr="00D272CC">
        <w:rPr>
          <w:lang w:val="en-GB"/>
        </w:rPr>
        <w:t>h firms</w:t>
      </w:r>
      <w:r w:rsidR="00867EF2" w:rsidRPr="00D272CC">
        <w:rPr>
          <w:lang w:val="en-GB"/>
        </w:rPr>
        <w:t xml:space="preserve">, </w:t>
      </w:r>
      <w:r w:rsidR="0069664F" w:rsidRPr="00D272CC">
        <w:rPr>
          <w:lang w:val="en-GB"/>
        </w:rPr>
        <w:t xml:space="preserve">we find that </w:t>
      </w:r>
      <w:r w:rsidR="00867EF2" w:rsidRPr="00D272CC">
        <w:rPr>
          <w:lang w:val="en-GB"/>
        </w:rPr>
        <w:t xml:space="preserve">Italian firms </w:t>
      </w:r>
      <w:r w:rsidR="00A50F9C" w:rsidRPr="00D272CC">
        <w:rPr>
          <w:i/>
          <w:lang w:val="en-GB"/>
        </w:rPr>
        <w:t>do not</w:t>
      </w:r>
      <w:r w:rsidR="00B66A5F" w:rsidRPr="00D272CC">
        <w:rPr>
          <w:lang w:val="en-GB"/>
        </w:rPr>
        <w:t xml:space="preserve"> </w:t>
      </w:r>
      <w:r w:rsidR="00867EF2" w:rsidRPr="00D272CC">
        <w:rPr>
          <w:lang w:val="en-GB"/>
        </w:rPr>
        <w:t xml:space="preserve">make </w:t>
      </w:r>
      <w:r w:rsidR="00B66A5F" w:rsidRPr="00D272CC">
        <w:rPr>
          <w:lang w:val="en-GB"/>
        </w:rPr>
        <w:t>more</w:t>
      </w:r>
      <w:r w:rsidR="00867EF2" w:rsidRPr="00D272CC">
        <w:rPr>
          <w:lang w:val="en-GB"/>
        </w:rPr>
        <w:t xml:space="preserve"> changes</w:t>
      </w:r>
      <w:r w:rsidR="00492C72" w:rsidRPr="00D272CC">
        <w:rPr>
          <w:lang w:val="en-GB"/>
        </w:rPr>
        <w:t xml:space="preserve"> </w:t>
      </w:r>
      <w:r w:rsidR="0069664F" w:rsidRPr="00D272CC">
        <w:rPr>
          <w:lang w:val="en-GB"/>
        </w:rPr>
        <w:t xml:space="preserve">than UK firms </w:t>
      </w:r>
      <w:r w:rsidR="00492C72" w:rsidRPr="00D272CC">
        <w:rPr>
          <w:lang w:val="en-GB"/>
        </w:rPr>
        <w:t xml:space="preserve">even though the same logic should </w:t>
      </w:r>
      <w:r w:rsidR="0069664F" w:rsidRPr="00D272CC">
        <w:rPr>
          <w:lang w:val="en-GB"/>
        </w:rPr>
        <w:t>have applied</w:t>
      </w:r>
      <w:r w:rsidR="00492C72" w:rsidRPr="00D272CC">
        <w:rPr>
          <w:lang w:val="en-GB"/>
        </w:rPr>
        <w:t xml:space="preserve"> to them as to France and Spain</w:t>
      </w:r>
      <w:r w:rsidR="00867EF2" w:rsidRPr="00D272CC">
        <w:rPr>
          <w:lang w:val="en-GB"/>
        </w:rPr>
        <w:t>. Additionally, Swis</w:t>
      </w:r>
      <w:r w:rsidR="005F5179" w:rsidRPr="00D272CC">
        <w:rPr>
          <w:lang w:val="en-GB"/>
        </w:rPr>
        <w:t xml:space="preserve">s firms make a relatively high </w:t>
      </w:r>
      <w:r w:rsidR="00492C72" w:rsidRPr="00D272CC">
        <w:rPr>
          <w:lang w:val="en-GB"/>
        </w:rPr>
        <w:t>number</w:t>
      </w:r>
      <w:r w:rsidR="005F5179" w:rsidRPr="00D272CC">
        <w:rPr>
          <w:lang w:val="en-GB"/>
        </w:rPr>
        <w:t xml:space="preserve"> of changes </w:t>
      </w:r>
      <w:r w:rsidR="00492C72" w:rsidRPr="00D272CC">
        <w:rPr>
          <w:lang w:val="en-GB"/>
        </w:rPr>
        <w:t xml:space="preserve">after 2005 even </w:t>
      </w:r>
      <w:r w:rsidR="005F5179" w:rsidRPr="00D272CC">
        <w:rPr>
          <w:lang w:val="en-GB"/>
        </w:rPr>
        <w:t xml:space="preserve">though </w:t>
      </w:r>
      <w:r w:rsidR="00A131E3" w:rsidRPr="00D272CC">
        <w:rPr>
          <w:lang w:val="en-GB"/>
        </w:rPr>
        <w:t>most</w:t>
      </w:r>
      <w:r w:rsidR="00492C72" w:rsidRPr="00D272CC">
        <w:rPr>
          <w:lang w:val="en-GB"/>
        </w:rPr>
        <w:t xml:space="preserve"> </w:t>
      </w:r>
      <w:r w:rsidR="00076553">
        <w:rPr>
          <w:lang w:val="en-GB"/>
        </w:rPr>
        <w:t xml:space="preserve">of them </w:t>
      </w:r>
      <w:r w:rsidR="005F5179" w:rsidRPr="00D272CC">
        <w:rPr>
          <w:lang w:val="en-GB"/>
        </w:rPr>
        <w:t xml:space="preserve">had </w:t>
      </w:r>
      <w:r w:rsidR="00492C72" w:rsidRPr="00D272CC">
        <w:rPr>
          <w:lang w:val="en-GB"/>
        </w:rPr>
        <w:t xml:space="preserve">been </w:t>
      </w:r>
      <w:r w:rsidR="005F5179" w:rsidRPr="00D272CC">
        <w:rPr>
          <w:lang w:val="en-GB"/>
        </w:rPr>
        <w:t>us</w:t>
      </w:r>
      <w:r w:rsidR="00492C72" w:rsidRPr="00D272CC">
        <w:rPr>
          <w:lang w:val="en-GB"/>
        </w:rPr>
        <w:t>ing</w:t>
      </w:r>
      <w:r w:rsidR="005F5179" w:rsidRPr="00D272CC">
        <w:rPr>
          <w:lang w:val="en-GB"/>
        </w:rPr>
        <w:t xml:space="preserve"> IFRS </w:t>
      </w:r>
      <w:r w:rsidR="00A131E3" w:rsidRPr="00D272CC">
        <w:rPr>
          <w:lang w:val="en-GB"/>
        </w:rPr>
        <w:t xml:space="preserve">from </w:t>
      </w:r>
      <w:r w:rsidR="00492C72" w:rsidRPr="00D272CC">
        <w:rPr>
          <w:lang w:val="en-GB"/>
        </w:rPr>
        <w:t xml:space="preserve">well </w:t>
      </w:r>
      <w:r w:rsidR="005F5179" w:rsidRPr="00D272CC">
        <w:rPr>
          <w:lang w:val="en-GB"/>
        </w:rPr>
        <w:t>before 2005.</w:t>
      </w:r>
    </w:p>
    <w:p w14:paraId="0DA91E02" w14:textId="77777777" w:rsidR="00FE3243" w:rsidRPr="00D272CC" w:rsidRDefault="004D27C8" w:rsidP="00B37988">
      <w:pPr>
        <w:tabs>
          <w:tab w:val="left" w:pos="7560"/>
        </w:tabs>
        <w:rPr>
          <w:lang w:val="en-GB"/>
        </w:rPr>
      </w:pPr>
      <w:r w:rsidRPr="00D272CC">
        <w:rPr>
          <w:lang w:val="en-GB"/>
        </w:rPr>
        <w:t xml:space="preserve">Table 3 </w:t>
      </w:r>
      <w:r w:rsidR="00DC38C0" w:rsidRPr="00D272CC">
        <w:rPr>
          <w:lang w:val="en-GB"/>
        </w:rPr>
        <w:t xml:space="preserve">shows the </w:t>
      </w:r>
      <w:r w:rsidR="00B3236E">
        <w:rPr>
          <w:lang w:val="en-GB"/>
        </w:rPr>
        <w:t xml:space="preserve">number of </w:t>
      </w:r>
      <w:r w:rsidR="00F70539">
        <w:rPr>
          <w:lang w:val="en-GB"/>
        </w:rPr>
        <w:t xml:space="preserve">policy </w:t>
      </w:r>
      <w:r w:rsidR="00DC38C0" w:rsidRPr="00386416">
        <w:rPr>
          <w:i/>
          <w:lang w:val="en-GB"/>
        </w:rPr>
        <w:t>changes</w:t>
      </w:r>
      <w:r w:rsidR="00DC38C0" w:rsidRPr="00D272CC">
        <w:rPr>
          <w:lang w:val="en-GB"/>
        </w:rPr>
        <w:t xml:space="preserve"> per topic and country in the 200</w:t>
      </w:r>
      <w:r w:rsidR="005370A9" w:rsidRPr="00D272CC">
        <w:rPr>
          <w:lang w:val="en-GB"/>
        </w:rPr>
        <w:t>6</w:t>
      </w:r>
      <w:r w:rsidR="00DC38C0" w:rsidRPr="00D272CC">
        <w:rPr>
          <w:lang w:val="en-GB"/>
        </w:rPr>
        <w:t xml:space="preserve"> to 2011 period. The </w:t>
      </w:r>
      <w:r w:rsidR="001C5A13">
        <w:rPr>
          <w:lang w:val="en-GB"/>
        </w:rPr>
        <w:t>amount</w:t>
      </w:r>
      <w:r w:rsidR="00DC38C0" w:rsidRPr="00D272CC">
        <w:rPr>
          <w:lang w:val="en-GB"/>
        </w:rPr>
        <w:t xml:space="preserve"> of change varies substantially by topic: four topics (4, 5, 10 and 11) have fewer than ten changes</w:t>
      </w:r>
      <w:r w:rsidR="00524AF1">
        <w:rPr>
          <w:lang w:val="en-GB"/>
        </w:rPr>
        <w:t xml:space="preserve"> whereas</w:t>
      </w:r>
      <w:r w:rsidR="00DC38C0" w:rsidRPr="00D272CC">
        <w:rPr>
          <w:lang w:val="en-GB"/>
        </w:rPr>
        <w:t xml:space="preserve"> some topics display a relatively large number, e.g. topics 6, 12 and 15 </w:t>
      </w:r>
      <w:r w:rsidR="00076553">
        <w:rPr>
          <w:lang w:val="en-GB"/>
        </w:rPr>
        <w:t xml:space="preserve">each </w:t>
      </w:r>
      <w:r w:rsidR="00DC38C0" w:rsidRPr="00D272CC">
        <w:rPr>
          <w:lang w:val="en-GB"/>
        </w:rPr>
        <w:t xml:space="preserve">have more than 50 changes. Additionally, the changes </w:t>
      </w:r>
      <w:r w:rsidR="000F53DD" w:rsidRPr="00D272CC">
        <w:rPr>
          <w:lang w:val="en-GB"/>
        </w:rPr>
        <w:t>often</w:t>
      </w:r>
      <w:r w:rsidR="00DC38C0" w:rsidRPr="00D272CC">
        <w:rPr>
          <w:lang w:val="en-GB"/>
        </w:rPr>
        <w:t xml:space="preserve"> have a common direction, </w:t>
      </w:r>
      <w:r w:rsidR="004A2D1D" w:rsidRPr="00D272CC">
        <w:rPr>
          <w:lang w:val="en-GB"/>
        </w:rPr>
        <w:t>e.g.</w:t>
      </w:r>
      <w:r w:rsidR="00DC38C0" w:rsidRPr="00D272CC">
        <w:rPr>
          <w:lang w:val="en-GB"/>
        </w:rPr>
        <w:t xml:space="preserve"> </w:t>
      </w:r>
      <w:r w:rsidR="004A2D1D" w:rsidRPr="00D272CC">
        <w:rPr>
          <w:lang w:val="en-GB"/>
        </w:rPr>
        <w:t>for topic</w:t>
      </w:r>
      <w:r w:rsidR="00DC38C0" w:rsidRPr="00D272CC">
        <w:rPr>
          <w:lang w:val="en-GB"/>
        </w:rPr>
        <w:t xml:space="preserve"> </w:t>
      </w:r>
      <w:r w:rsidR="004A2D1D" w:rsidRPr="00D272CC">
        <w:rPr>
          <w:lang w:val="en-GB"/>
        </w:rPr>
        <w:t>15</w:t>
      </w:r>
      <w:r w:rsidR="001C5A13">
        <w:rPr>
          <w:lang w:val="en-GB"/>
        </w:rPr>
        <w:t xml:space="preserve">, </w:t>
      </w:r>
      <w:r w:rsidR="004A2D1D" w:rsidRPr="00D272CC">
        <w:rPr>
          <w:lang w:val="en-GB"/>
        </w:rPr>
        <w:t>the change</w:t>
      </w:r>
      <w:r w:rsidR="00DC38C0" w:rsidRPr="00D272CC">
        <w:rPr>
          <w:lang w:val="en-GB"/>
        </w:rPr>
        <w:t xml:space="preserve"> </w:t>
      </w:r>
      <w:r w:rsidR="004A2D1D" w:rsidRPr="00D272CC">
        <w:rPr>
          <w:lang w:val="en-GB"/>
        </w:rPr>
        <w:t>is usually</w:t>
      </w:r>
      <w:r w:rsidR="00DC38C0" w:rsidRPr="00D272CC">
        <w:rPr>
          <w:lang w:val="en-GB"/>
        </w:rPr>
        <w:t xml:space="preserve"> towards </w:t>
      </w:r>
      <w:r w:rsidR="001C5A13">
        <w:rPr>
          <w:lang w:val="en-GB"/>
        </w:rPr>
        <w:t>treating actuarial gains and losses</w:t>
      </w:r>
      <w:r w:rsidR="00076553">
        <w:rPr>
          <w:lang w:val="en-GB"/>
        </w:rPr>
        <w:t xml:space="preserve"> as </w:t>
      </w:r>
      <w:r w:rsidR="00524AF1">
        <w:rPr>
          <w:lang w:val="en-GB"/>
        </w:rPr>
        <w:t>other comprehensive income (</w:t>
      </w:r>
      <w:r w:rsidR="00076553">
        <w:rPr>
          <w:lang w:val="en-GB"/>
        </w:rPr>
        <w:t>OCI</w:t>
      </w:r>
      <w:r w:rsidR="00524AF1">
        <w:rPr>
          <w:lang w:val="en-GB"/>
        </w:rPr>
        <w:t>)</w:t>
      </w:r>
      <w:r w:rsidR="00DC38C0" w:rsidRPr="00D272CC">
        <w:rPr>
          <w:lang w:val="en-GB"/>
        </w:rPr>
        <w:t>.</w:t>
      </w:r>
      <w:r w:rsidR="004A2D1D" w:rsidRPr="00D272CC">
        <w:rPr>
          <w:lang w:val="en-GB"/>
        </w:rPr>
        <w:t xml:space="preserve"> </w:t>
      </w:r>
      <w:r w:rsidR="006813EE">
        <w:rPr>
          <w:lang w:val="en-GB"/>
        </w:rPr>
        <w:t xml:space="preserve">There are no changes </w:t>
      </w:r>
      <w:r w:rsidR="00B37988">
        <w:rPr>
          <w:lang w:val="en-GB"/>
        </w:rPr>
        <w:t xml:space="preserve">of the </w:t>
      </w:r>
      <w:r w:rsidR="006813EE">
        <w:rPr>
          <w:lang w:val="en-GB"/>
        </w:rPr>
        <w:t>measur</w:t>
      </w:r>
      <w:r w:rsidR="00B37988">
        <w:rPr>
          <w:lang w:val="en-GB"/>
        </w:rPr>
        <w:t>ement basis of</w:t>
      </w:r>
      <w:r w:rsidR="006813EE">
        <w:rPr>
          <w:lang w:val="en-GB"/>
        </w:rPr>
        <w:t xml:space="preserve"> investment property (topic 11) from ‘fair value’ to ‘cost’, </w:t>
      </w:r>
      <w:r w:rsidR="00AA68BC">
        <w:rPr>
          <w:lang w:val="en-GB"/>
        </w:rPr>
        <w:t xml:space="preserve">which is </w:t>
      </w:r>
      <w:r w:rsidR="006813EE">
        <w:rPr>
          <w:lang w:val="en-GB"/>
        </w:rPr>
        <w:t xml:space="preserve">in line with </w:t>
      </w:r>
      <w:r w:rsidR="00AC10F9">
        <w:rPr>
          <w:lang w:val="en-GB"/>
        </w:rPr>
        <w:t xml:space="preserve">the statement in </w:t>
      </w:r>
      <w:r w:rsidR="006813EE">
        <w:rPr>
          <w:lang w:val="en-GB"/>
        </w:rPr>
        <w:t xml:space="preserve">IAS 40.31 that it is ‘highly unlikely’ that such a change </w:t>
      </w:r>
      <w:r w:rsidR="00B37988">
        <w:rPr>
          <w:lang w:val="en-GB"/>
        </w:rPr>
        <w:t>would</w:t>
      </w:r>
      <w:r w:rsidR="006813EE">
        <w:rPr>
          <w:lang w:val="en-GB"/>
        </w:rPr>
        <w:t xml:space="preserve"> ‘result in a more relevant presentation’. </w:t>
      </w:r>
      <w:r w:rsidR="00C97368">
        <w:rPr>
          <w:lang w:val="en-GB"/>
        </w:rPr>
        <w:t xml:space="preserve">However, while firms are ‘encouraged to report cash flows from operating activities using the direct method’ </w:t>
      </w:r>
      <w:r w:rsidR="00AA68BC">
        <w:rPr>
          <w:lang w:val="en-GB"/>
        </w:rPr>
        <w:t>by</w:t>
      </w:r>
      <w:r w:rsidR="00C97368">
        <w:rPr>
          <w:lang w:val="en-GB"/>
        </w:rPr>
        <w:t xml:space="preserve"> IAS 7.19, more </w:t>
      </w:r>
      <w:r w:rsidR="00AA68BC">
        <w:rPr>
          <w:lang w:val="en-GB"/>
        </w:rPr>
        <w:t xml:space="preserve">firms </w:t>
      </w:r>
      <w:r w:rsidR="00C97368">
        <w:rPr>
          <w:lang w:val="en-GB"/>
        </w:rPr>
        <w:t xml:space="preserve">changed away from the direct method than towards it (6 vs 4). This </w:t>
      </w:r>
      <w:r w:rsidR="003E3CF3">
        <w:rPr>
          <w:lang w:val="en-GB"/>
        </w:rPr>
        <w:t xml:space="preserve">is an example </w:t>
      </w:r>
      <w:r w:rsidR="00AA68BC">
        <w:rPr>
          <w:lang w:val="en-GB"/>
        </w:rPr>
        <w:t>of</w:t>
      </w:r>
      <w:r w:rsidR="003E3CF3">
        <w:rPr>
          <w:lang w:val="en-GB"/>
        </w:rPr>
        <w:t xml:space="preserve"> managers</w:t>
      </w:r>
      <w:r w:rsidR="00AA68BC">
        <w:rPr>
          <w:lang w:val="en-GB"/>
        </w:rPr>
        <w:t>’</w:t>
      </w:r>
      <w:r w:rsidR="003E3CF3">
        <w:rPr>
          <w:lang w:val="en-GB"/>
        </w:rPr>
        <w:t xml:space="preserve"> mak</w:t>
      </w:r>
      <w:r w:rsidR="00AA68BC">
        <w:rPr>
          <w:lang w:val="en-GB"/>
        </w:rPr>
        <w:t>ing</w:t>
      </w:r>
      <w:r w:rsidR="003E3CF3">
        <w:rPr>
          <w:lang w:val="en-GB"/>
        </w:rPr>
        <w:t xml:space="preserve"> a choice against the standard setter’s explicit</w:t>
      </w:r>
      <w:r w:rsidR="00C97368">
        <w:rPr>
          <w:lang w:val="en-GB"/>
        </w:rPr>
        <w:t xml:space="preserve"> </w:t>
      </w:r>
      <w:r w:rsidR="003E3CF3">
        <w:rPr>
          <w:lang w:val="en-GB"/>
        </w:rPr>
        <w:t>view on useful information.</w:t>
      </w:r>
    </w:p>
    <w:p w14:paraId="2BF0F4D1" w14:textId="77777777" w:rsidR="00106036" w:rsidRDefault="00002CB8" w:rsidP="004A2D1D">
      <w:pPr>
        <w:pStyle w:val="Table-FigureInsert"/>
        <w:ind w:firstLine="0"/>
        <w:rPr>
          <w:lang w:val="en-GB"/>
        </w:rPr>
      </w:pPr>
      <w:r w:rsidRPr="00D272CC">
        <w:rPr>
          <w:lang w:val="en-GB"/>
        </w:rPr>
        <w:t>&lt; insert Table 3 about here &gt;</w:t>
      </w:r>
    </w:p>
    <w:p w14:paraId="55ECB158" w14:textId="6368057F" w:rsidR="00F7667A" w:rsidRPr="00D272CC" w:rsidRDefault="00F7667A" w:rsidP="003B4715">
      <w:pPr>
        <w:rPr>
          <w:lang w:val="en-GB"/>
        </w:rPr>
      </w:pPr>
      <w:r w:rsidRPr="00D272CC">
        <w:rPr>
          <w:lang w:val="en-GB"/>
        </w:rPr>
        <w:t xml:space="preserve">The numbers in brackets in the last column </w:t>
      </w:r>
      <w:r>
        <w:rPr>
          <w:lang w:val="en-GB"/>
        </w:rPr>
        <w:t xml:space="preserve">of Table 3 </w:t>
      </w:r>
      <w:r w:rsidRPr="00D272CC">
        <w:rPr>
          <w:lang w:val="en-GB"/>
        </w:rPr>
        <w:t>show the number of changes that ha</w:t>
      </w:r>
      <w:r>
        <w:rPr>
          <w:lang w:val="en-GB"/>
        </w:rPr>
        <w:t>ve</w:t>
      </w:r>
      <w:r w:rsidRPr="00D272CC">
        <w:rPr>
          <w:lang w:val="en-GB"/>
        </w:rPr>
        <w:t xml:space="preserve"> explanation</w:t>
      </w:r>
      <w:r>
        <w:rPr>
          <w:lang w:val="en-GB"/>
        </w:rPr>
        <w:t>s</w:t>
      </w:r>
      <w:r w:rsidRPr="00D272CC">
        <w:rPr>
          <w:lang w:val="en-GB"/>
        </w:rPr>
        <w:t>.</w:t>
      </w:r>
      <w:r>
        <w:rPr>
          <w:lang w:val="en-GB"/>
        </w:rPr>
        <w:t xml:space="preserve"> </w:t>
      </w:r>
      <w:r w:rsidR="0091688D">
        <w:rPr>
          <w:lang w:val="en-GB"/>
        </w:rPr>
        <w:t xml:space="preserve">A possible reason for </w:t>
      </w:r>
      <w:r w:rsidR="0047043B">
        <w:rPr>
          <w:lang w:val="en-GB"/>
        </w:rPr>
        <w:t xml:space="preserve">a </w:t>
      </w:r>
      <w:r w:rsidR="0091688D">
        <w:rPr>
          <w:lang w:val="en-GB"/>
        </w:rPr>
        <w:t xml:space="preserve">topic </w:t>
      </w:r>
      <w:r w:rsidR="0047043B">
        <w:rPr>
          <w:lang w:val="en-GB"/>
        </w:rPr>
        <w:t>to have</w:t>
      </w:r>
      <w:r w:rsidR="0091688D">
        <w:rPr>
          <w:lang w:val="en-GB"/>
        </w:rPr>
        <w:t xml:space="preserve"> a low proportion of </w:t>
      </w:r>
      <w:r w:rsidR="0047043B">
        <w:rPr>
          <w:lang w:val="en-GB"/>
        </w:rPr>
        <w:t>explained changes</w:t>
      </w:r>
      <w:r w:rsidR="0091688D">
        <w:rPr>
          <w:lang w:val="en-GB"/>
        </w:rPr>
        <w:t xml:space="preserve"> is that managers do not consider </w:t>
      </w:r>
      <w:r w:rsidR="0047043B">
        <w:rPr>
          <w:lang w:val="en-GB"/>
        </w:rPr>
        <w:t>such</w:t>
      </w:r>
      <w:r w:rsidR="0091688D">
        <w:rPr>
          <w:lang w:val="en-GB"/>
        </w:rPr>
        <w:t xml:space="preserve"> change</w:t>
      </w:r>
      <w:r w:rsidR="0047043B">
        <w:rPr>
          <w:lang w:val="en-GB"/>
        </w:rPr>
        <w:t>s</w:t>
      </w:r>
      <w:r w:rsidR="0091688D">
        <w:rPr>
          <w:lang w:val="en-GB"/>
        </w:rPr>
        <w:t xml:space="preserve"> to have</w:t>
      </w:r>
      <w:r w:rsidR="0091688D" w:rsidRPr="00D272CC">
        <w:rPr>
          <w:lang w:val="en-GB"/>
        </w:rPr>
        <w:t xml:space="preserve"> </w:t>
      </w:r>
      <w:r w:rsidR="00CE4FBF">
        <w:rPr>
          <w:lang w:val="en-GB"/>
        </w:rPr>
        <w:t xml:space="preserve">a </w:t>
      </w:r>
      <w:r w:rsidR="0091688D">
        <w:rPr>
          <w:lang w:val="en-GB"/>
        </w:rPr>
        <w:t xml:space="preserve">material </w:t>
      </w:r>
      <w:r w:rsidR="00CE4FBF">
        <w:rPr>
          <w:lang w:val="en-GB"/>
        </w:rPr>
        <w:t xml:space="preserve">effect </w:t>
      </w:r>
      <w:r w:rsidR="0091688D" w:rsidRPr="00D272CC">
        <w:rPr>
          <w:lang w:val="en-GB"/>
        </w:rPr>
        <w:t>on the financial statements</w:t>
      </w:r>
      <w:r w:rsidR="00CE4FBF">
        <w:rPr>
          <w:lang w:val="en-GB"/>
        </w:rPr>
        <w:t xml:space="preserve">, e.g. </w:t>
      </w:r>
      <w:r w:rsidR="0047043B">
        <w:rPr>
          <w:lang w:val="en-GB"/>
        </w:rPr>
        <w:t>changes on topic 2</w:t>
      </w:r>
      <w:r w:rsidR="00F66219">
        <w:rPr>
          <w:lang w:val="en-GB"/>
        </w:rPr>
        <w:t xml:space="preserve"> </w:t>
      </w:r>
      <w:r w:rsidR="0047043B">
        <w:rPr>
          <w:lang w:val="en-GB"/>
        </w:rPr>
        <w:t>(</w:t>
      </w:r>
      <w:r w:rsidR="00F66219">
        <w:rPr>
          <w:lang w:val="en-GB"/>
        </w:rPr>
        <w:t>operating</w:t>
      </w:r>
      <w:r w:rsidR="00CE4FBF">
        <w:rPr>
          <w:lang w:val="en-GB"/>
        </w:rPr>
        <w:t xml:space="preserve"> profit </w:t>
      </w:r>
      <w:r w:rsidR="001D32C3">
        <w:rPr>
          <w:lang w:val="en-GB"/>
        </w:rPr>
        <w:t xml:space="preserve">shown </w:t>
      </w:r>
      <w:r w:rsidR="00CE4FBF">
        <w:rPr>
          <w:lang w:val="en-GB"/>
        </w:rPr>
        <w:t>or not)</w:t>
      </w:r>
      <w:r w:rsidR="0091688D">
        <w:rPr>
          <w:lang w:val="en-GB"/>
        </w:rPr>
        <w:t>. Additionally, w</w:t>
      </w:r>
      <w:r>
        <w:rPr>
          <w:lang w:val="en-GB"/>
        </w:rPr>
        <w:t xml:space="preserve">e observe few explanations for changes in inventory costing (topic 14), which </w:t>
      </w:r>
      <w:r w:rsidR="00311AC9">
        <w:rPr>
          <w:lang w:val="en-GB"/>
        </w:rPr>
        <w:t xml:space="preserve">might be because some </w:t>
      </w:r>
      <w:r>
        <w:rPr>
          <w:lang w:val="en-GB"/>
        </w:rPr>
        <w:t xml:space="preserve">preparers consider </w:t>
      </w:r>
      <w:r w:rsidR="00311AC9">
        <w:rPr>
          <w:lang w:val="en-GB"/>
        </w:rPr>
        <w:t>these to be</w:t>
      </w:r>
      <w:r>
        <w:rPr>
          <w:lang w:val="en-GB"/>
        </w:rPr>
        <w:t xml:space="preserve"> change</w:t>
      </w:r>
      <w:r w:rsidR="00311AC9">
        <w:rPr>
          <w:lang w:val="en-GB"/>
        </w:rPr>
        <w:t xml:space="preserve">s of estimate </w:t>
      </w:r>
      <w:r w:rsidR="00BB20AF">
        <w:rPr>
          <w:lang w:val="en-GB"/>
        </w:rPr>
        <w:t xml:space="preserve">(i.e. changes in inventory usage) </w:t>
      </w:r>
      <w:r w:rsidR="00311AC9">
        <w:rPr>
          <w:lang w:val="en-GB"/>
        </w:rPr>
        <w:t xml:space="preserve">rather </w:t>
      </w:r>
      <w:r w:rsidR="00E803C8">
        <w:rPr>
          <w:lang w:val="en-GB"/>
        </w:rPr>
        <w:t xml:space="preserve">than </w:t>
      </w:r>
      <w:r w:rsidR="00311AC9">
        <w:rPr>
          <w:lang w:val="en-GB"/>
        </w:rPr>
        <w:t>of</w:t>
      </w:r>
      <w:r>
        <w:rPr>
          <w:lang w:val="en-GB"/>
        </w:rPr>
        <w:t xml:space="preserve"> policy</w:t>
      </w:r>
      <w:r w:rsidR="00311AC9">
        <w:rPr>
          <w:lang w:val="en-GB"/>
        </w:rPr>
        <w:t>, such that</w:t>
      </w:r>
      <w:r>
        <w:rPr>
          <w:lang w:val="en-GB"/>
        </w:rPr>
        <w:t xml:space="preserve"> </w:t>
      </w:r>
      <w:r w:rsidRPr="00D272CC">
        <w:rPr>
          <w:lang w:val="en-GB"/>
        </w:rPr>
        <w:t>IAS 8.14 (b)</w:t>
      </w:r>
      <w:r>
        <w:rPr>
          <w:lang w:val="en-GB"/>
        </w:rPr>
        <w:t xml:space="preserve"> </w:t>
      </w:r>
      <w:r w:rsidR="00311AC9">
        <w:rPr>
          <w:lang w:val="en-GB"/>
        </w:rPr>
        <w:t>does</w:t>
      </w:r>
      <w:r>
        <w:rPr>
          <w:lang w:val="en-GB"/>
        </w:rPr>
        <w:t xml:space="preserve"> not apply.</w:t>
      </w:r>
      <w:r>
        <w:rPr>
          <w:rStyle w:val="FootnoteReference"/>
          <w:lang w:val="en-GB"/>
        </w:rPr>
        <w:footnoteReference w:id="28"/>
      </w:r>
      <w:r w:rsidR="00F42046">
        <w:rPr>
          <w:lang w:val="en-GB"/>
        </w:rPr>
        <w:t xml:space="preserve"> The measurement topic with the smallest proportion of explanations for policy change is designation of financial instruments at fair value (topic 1</w:t>
      </w:r>
      <w:r w:rsidR="00542552">
        <w:rPr>
          <w:lang w:val="en-GB"/>
        </w:rPr>
        <w:t>2</w:t>
      </w:r>
      <w:r w:rsidR="00F42046">
        <w:rPr>
          <w:lang w:val="en-GB"/>
        </w:rPr>
        <w:t xml:space="preserve">). </w:t>
      </w:r>
      <w:r w:rsidR="00F56B75">
        <w:rPr>
          <w:lang w:val="en-GB"/>
        </w:rPr>
        <w:t>T</w:t>
      </w:r>
      <w:r w:rsidR="00F42046">
        <w:rPr>
          <w:lang w:val="en-GB"/>
        </w:rPr>
        <w:t>opic 1</w:t>
      </w:r>
      <w:r w:rsidR="00542552">
        <w:rPr>
          <w:lang w:val="en-GB"/>
        </w:rPr>
        <w:t>2</w:t>
      </w:r>
      <w:r w:rsidR="00F42046">
        <w:rPr>
          <w:lang w:val="en-GB"/>
        </w:rPr>
        <w:t xml:space="preserve"> is unusual in that an apparent change in policy (to or from some designation) might be caused by acquiring or disposing of a particular type of financial instrument</w:t>
      </w:r>
      <w:r w:rsidR="00F56B75">
        <w:rPr>
          <w:lang w:val="en-GB"/>
        </w:rPr>
        <w:t>, which we later refer to as ‘item is new’ and ‘previous choice is no longer applicable’</w:t>
      </w:r>
      <w:r w:rsidR="00F42046">
        <w:rPr>
          <w:lang w:val="en-GB"/>
        </w:rPr>
        <w:t xml:space="preserve">. This would </w:t>
      </w:r>
      <w:r w:rsidR="00243E34">
        <w:rPr>
          <w:lang w:val="en-GB"/>
        </w:rPr>
        <w:t xml:space="preserve">probably </w:t>
      </w:r>
      <w:r w:rsidR="00F42046">
        <w:rPr>
          <w:lang w:val="en-GB"/>
        </w:rPr>
        <w:t>not require explanation</w:t>
      </w:r>
      <w:r w:rsidR="00AC054C">
        <w:rPr>
          <w:lang w:val="en-GB"/>
        </w:rPr>
        <w:t>,</w:t>
      </w:r>
      <w:r w:rsidR="00F56B75">
        <w:rPr>
          <w:lang w:val="en-GB"/>
        </w:rPr>
        <w:t xml:space="preserve"> and we identify 15 such changes. Unfortunately</w:t>
      </w:r>
      <w:r w:rsidR="00F42046">
        <w:rPr>
          <w:lang w:val="en-GB"/>
        </w:rPr>
        <w:t xml:space="preserve">, </w:t>
      </w:r>
      <w:r w:rsidR="00F56B75">
        <w:rPr>
          <w:lang w:val="en-GB"/>
        </w:rPr>
        <w:t xml:space="preserve">there might be further </w:t>
      </w:r>
      <w:r w:rsidR="005832EB">
        <w:rPr>
          <w:lang w:val="en-GB"/>
        </w:rPr>
        <w:t>cases because annual reports often do</w:t>
      </w:r>
      <w:r w:rsidR="00F42046">
        <w:rPr>
          <w:lang w:val="en-GB"/>
        </w:rPr>
        <w:t xml:space="preserve"> not </w:t>
      </w:r>
      <w:r w:rsidR="005832EB">
        <w:rPr>
          <w:lang w:val="en-GB"/>
        </w:rPr>
        <w:t xml:space="preserve">provide </w:t>
      </w:r>
      <w:r w:rsidR="00F42046">
        <w:rPr>
          <w:lang w:val="en-GB"/>
        </w:rPr>
        <w:t xml:space="preserve">enough detail to assess this. </w:t>
      </w:r>
      <w:r w:rsidR="00426A22">
        <w:rPr>
          <w:lang w:val="en-GB"/>
        </w:rPr>
        <w:t>W</w:t>
      </w:r>
      <w:r w:rsidR="00243E34">
        <w:rPr>
          <w:lang w:val="en-GB"/>
        </w:rPr>
        <w:t>hen we test our hypothesis</w:t>
      </w:r>
      <w:r w:rsidR="0055023C">
        <w:rPr>
          <w:lang w:val="en-GB"/>
        </w:rPr>
        <w:t xml:space="preserve">, we </w:t>
      </w:r>
      <w:r w:rsidR="00243E34">
        <w:rPr>
          <w:lang w:val="en-GB"/>
        </w:rPr>
        <w:t>show that our results are</w:t>
      </w:r>
      <w:r w:rsidR="0055023C">
        <w:rPr>
          <w:lang w:val="en-GB"/>
        </w:rPr>
        <w:t xml:space="preserve"> robust </w:t>
      </w:r>
      <w:r w:rsidR="00243E34">
        <w:rPr>
          <w:lang w:val="en-GB"/>
        </w:rPr>
        <w:t xml:space="preserve">to </w:t>
      </w:r>
      <w:r w:rsidR="0055023C">
        <w:rPr>
          <w:lang w:val="en-GB"/>
        </w:rPr>
        <w:t>exclud</w:t>
      </w:r>
      <w:r w:rsidR="00243E34">
        <w:rPr>
          <w:lang w:val="en-GB"/>
        </w:rPr>
        <w:t>ing</w:t>
      </w:r>
      <w:r w:rsidR="0055023C">
        <w:rPr>
          <w:lang w:val="en-GB"/>
        </w:rPr>
        <w:t xml:space="preserve"> topic 1</w:t>
      </w:r>
      <w:r w:rsidR="00542552">
        <w:rPr>
          <w:lang w:val="en-GB"/>
        </w:rPr>
        <w:t>2</w:t>
      </w:r>
      <w:r w:rsidR="0055023C">
        <w:rPr>
          <w:lang w:val="en-GB"/>
        </w:rPr>
        <w:t>.</w:t>
      </w:r>
    </w:p>
    <w:p w14:paraId="745C5861" w14:textId="77777777" w:rsidR="00C86C65" w:rsidRPr="00D272CC" w:rsidRDefault="00421BBF" w:rsidP="00C86C65">
      <w:pPr>
        <w:pStyle w:val="Heading1"/>
        <w:rPr>
          <w:lang w:val="en-GB"/>
        </w:rPr>
      </w:pPr>
      <w:r w:rsidRPr="00D272CC">
        <w:rPr>
          <w:lang w:val="en-GB"/>
        </w:rPr>
        <w:t>4</w:t>
      </w:r>
      <w:r w:rsidR="00C86C65" w:rsidRPr="00D272CC">
        <w:rPr>
          <w:lang w:val="en-GB"/>
        </w:rPr>
        <w:t xml:space="preserve">. </w:t>
      </w:r>
      <w:r w:rsidR="002F03C4" w:rsidRPr="00D272CC">
        <w:rPr>
          <w:lang w:val="en-GB"/>
        </w:rPr>
        <w:t xml:space="preserve">Empirical </w:t>
      </w:r>
      <w:r w:rsidR="00185999" w:rsidRPr="00D272CC">
        <w:rPr>
          <w:lang w:val="en-GB"/>
        </w:rPr>
        <w:t>a</w:t>
      </w:r>
      <w:r w:rsidR="001940A9" w:rsidRPr="00D272CC">
        <w:rPr>
          <w:lang w:val="en-GB"/>
        </w:rPr>
        <w:t>nalysis</w:t>
      </w:r>
    </w:p>
    <w:p w14:paraId="15B77228" w14:textId="77777777" w:rsidR="00C86C65" w:rsidRPr="00D272CC" w:rsidRDefault="008465D3" w:rsidP="00C86C65">
      <w:pPr>
        <w:pStyle w:val="Heading2"/>
        <w:rPr>
          <w:lang w:val="en-GB"/>
        </w:rPr>
      </w:pPr>
      <w:r w:rsidRPr="00D272CC">
        <w:rPr>
          <w:lang w:val="en-GB"/>
        </w:rPr>
        <w:t>Reasons for</w:t>
      </w:r>
      <w:r w:rsidR="00FE3243" w:rsidRPr="00D272CC">
        <w:rPr>
          <w:lang w:val="en-GB"/>
        </w:rPr>
        <w:t xml:space="preserve"> IFRS </w:t>
      </w:r>
      <w:r w:rsidR="00185999" w:rsidRPr="00D272CC">
        <w:rPr>
          <w:lang w:val="en-GB"/>
        </w:rPr>
        <w:t>p</w:t>
      </w:r>
      <w:r w:rsidR="00FE3243" w:rsidRPr="00D272CC">
        <w:rPr>
          <w:lang w:val="en-GB"/>
        </w:rPr>
        <w:t xml:space="preserve">olicy </w:t>
      </w:r>
      <w:r w:rsidR="00185999" w:rsidRPr="00D272CC">
        <w:rPr>
          <w:lang w:val="en-GB"/>
        </w:rPr>
        <w:t>c</w:t>
      </w:r>
      <w:r w:rsidR="00FE3243" w:rsidRPr="00D272CC">
        <w:rPr>
          <w:lang w:val="en-GB"/>
        </w:rPr>
        <w:t>hanges</w:t>
      </w:r>
    </w:p>
    <w:p w14:paraId="39A3382E" w14:textId="4DCB9BC0" w:rsidR="008C0E98" w:rsidRPr="00D272CC" w:rsidRDefault="000D1452" w:rsidP="00C86C65">
      <w:pPr>
        <w:rPr>
          <w:lang w:val="en-GB"/>
        </w:rPr>
      </w:pPr>
      <w:r w:rsidRPr="00D272CC">
        <w:rPr>
          <w:lang w:val="en-GB"/>
        </w:rPr>
        <w:t xml:space="preserve">Table </w:t>
      </w:r>
      <w:r w:rsidR="00F30520" w:rsidRPr="00D272CC">
        <w:rPr>
          <w:lang w:val="en-GB"/>
        </w:rPr>
        <w:t>4</w:t>
      </w:r>
      <w:r w:rsidRPr="00D272CC">
        <w:rPr>
          <w:lang w:val="en-GB"/>
        </w:rPr>
        <w:t xml:space="preserve"> reports </w:t>
      </w:r>
      <w:r w:rsidR="00A03D60" w:rsidRPr="00D272CC">
        <w:rPr>
          <w:lang w:val="en-GB"/>
        </w:rPr>
        <w:t xml:space="preserve">the </w:t>
      </w:r>
      <w:r w:rsidR="00F7526C" w:rsidRPr="00D272CC">
        <w:rPr>
          <w:lang w:val="en-GB"/>
        </w:rPr>
        <w:t>frequencies of reasons</w:t>
      </w:r>
      <w:r w:rsidR="00BE6312" w:rsidRPr="00D272CC">
        <w:rPr>
          <w:lang w:val="en-GB"/>
        </w:rPr>
        <w:t xml:space="preserve"> given </w:t>
      </w:r>
      <w:r w:rsidR="00A03D60" w:rsidRPr="00D272CC">
        <w:rPr>
          <w:lang w:val="en-GB"/>
        </w:rPr>
        <w:t>for IFRS policy changes</w:t>
      </w:r>
      <w:r w:rsidR="00BE6312" w:rsidRPr="00D272CC">
        <w:rPr>
          <w:lang w:val="en-GB"/>
        </w:rPr>
        <w:t>, by category</w:t>
      </w:r>
      <w:r w:rsidR="00A03D60" w:rsidRPr="00D272CC">
        <w:rPr>
          <w:lang w:val="en-GB"/>
        </w:rPr>
        <w:t xml:space="preserve">. </w:t>
      </w:r>
      <w:r w:rsidR="00945144" w:rsidRPr="00D272CC">
        <w:rPr>
          <w:lang w:val="en-GB"/>
        </w:rPr>
        <w:t xml:space="preserve">Our content analysis </w:t>
      </w:r>
      <w:r w:rsidR="00F7526C" w:rsidRPr="00D272CC">
        <w:rPr>
          <w:lang w:val="en-GB"/>
        </w:rPr>
        <w:t>identif</w:t>
      </w:r>
      <w:r w:rsidR="00945144" w:rsidRPr="00D272CC">
        <w:rPr>
          <w:lang w:val="en-GB"/>
        </w:rPr>
        <w:t>ies</w:t>
      </w:r>
      <w:r w:rsidR="00552D44" w:rsidRPr="00D272CC">
        <w:rPr>
          <w:lang w:val="en-GB"/>
        </w:rPr>
        <w:t xml:space="preserve"> </w:t>
      </w:r>
      <w:r w:rsidR="00F7526C" w:rsidRPr="00D272CC">
        <w:rPr>
          <w:lang w:val="en-GB"/>
        </w:rPr>
        <w:t>four broad categories</w:t>
      </w:r>
      <w:r w:rsidR="008C0E98" w:rsidRPr="00D272CC">
        <w:rPr>
          <w:lang w:val="en-GB"/>
        </w:rPr>
        <w:t xml:space="preserve"> of </w:t>
      </w:r>
      <w:r w:rsidR="00EA12F1" w:rsidRPr="00D272CC">
        <w:rPr>
          <w:lang w:val="en-GB"/>
        </w:rPr>
        <w:t xml:space="preserve">the </w:t>
      </w:r>
      <w:r w:rsidR="008C0E98" w:rsidRPr="00D272CC">
        <w:rPr>
          <w:lang w:val="en-GB"/>
        </w:rPr>
        <w:t xml:space="preserve">explanations </w:t>
      </w:r>
      <w:r w:rsidR="00B96F82" w:rsidRPr="00D272CC">
        <w:rPr>
          <w:lang w:val="en-GB"/>
        </w:rPr>
        <w:t>for</w:t>
      </w:r>
      <w:r w:rsidR="008C0E98" w:rsidRPr="00D272CC">
        <w:rPr>
          <w:lang w:val="en-GB"/>
        </w:rPr>
        <w:t xml:space="preserve"> policy changes</w:t>
      </w:r>
      <w:r w:rsidR="00F7526C" w:rsidRPr="00D272CC">
        <w:rPr>
          <w:lang w:val="en-GB"/>
        </w:rPr>
        <w:t xml:space="preserve">: (1) ‘Qualitative characteristics – </w:t>
      </w:r>
      <w:r w:rsidR="00F7526C" w:rsidRPr="00D272CC">
        <w:rPr>
          <w:i/>
          <w:lang w:val="en-GB"/>
        </w:rPr>
        <w:t>Framework</w:t>
      </w:r>
      <w:r w:rsidR="00F7526C" w:rsidRPr="00D272CC">
        <w:rPr>
          <w:lang w:val="en-GB"/>
        </w:rPr>
        <w:t xml:space="preserve">’ includes the </w:t>
      </w:r>
      <w:r w:rsidR="00B96F82" w:rsidRPr="00D272CC">
        <w:rPr>
          <w:lang w:val="en-GB"/>
        </w:rPr>
        <w:t>QCs</w:t>
      </w:r>
      <w:r w:rsidR="00F7526C" w:rsidRPr="00D272CC">
        <w:rPr>
          <w:lang w:val="en-GB"/>
        </w:rPr>
        <w:t xml:space="preserve"> referred to in the </w:t>
      </w:r>
      <w:r w:rsidR="00F7526C" w:rsidRPr="00D272CC">
        <w:rPr>
          <w:i/>
          <w:lang w:val="en-GB"/>
        </w:rPr>
        <w:t>Framework</w:t>
      </w:r>
      <w:r w:rsidR="00F7526C" w:rsidRPr="00D272CC">
        <w:rPr>
          <w:lang w:val="en-GB"/>
        </w:rPr>
        <w:t xml:space="preserve"> of the IASC/B (</w:t>
      </w:r>
      <w:r w:rsidR="00DB4C62" w:rsidRPr="00D272CC">
        <w:rPr>
          <w:lang w:val="en-GB"/>
        </w:rPr>
        <w:t xml:space="preserve">reliability, </w:t>
      </w:r>
      <w:r w:rsidR="00F7526C" w:rsidRPr="00D272CC">
        <w:rPr>
          <w:lang w:val="en-GB"/>
        </w:rPr>
        <w:t xml:space="preserve">relevance, faithful representation, comparability, verifiability, timeliness, understandability, </w:t>
      </w:r>
      <w:r w:rsidR="007765F5" w:rsidRPr="00D272CC">
        <w:rPr>
          <w:lang w:val="en-GB"/>
        </w:rPr>
        <w:t>prudence/</w:t>
      </w:r>
      <w:r w:rsidR="00F7526C" w:rsidRPr="00D272CC">
        <w:rPr>
          <w:lang w:val="en-GB"/>
        </w:rPr>
        <w:t xml:space="preserve">conservatism and </w:t>
      </w:r>
      <w:r w:rsidR="007765F5" w:rsidRPr="00D272CC">
        <w:rPr>
          <w:lang w:val="en-GB"/>
        </w:rPr>
        <w:t>accruals/</w:t>
      </w:r>
      <w:r w:rsidR="00F7526C" w:rsidRPr="00D272CC">
        <w:rPr>
          <w:lang w:val="en-GB"/>
        </w:rPr>
        <w:t xml:space="preserve">matching). (2) ‘Qualitative characteristics – </w:t>
      </w:r>
      <w:r w:rsidR="00661D59" w:rsidRPr="00D272CC">
        <w:rPr>
          <w:lang w:val="en-GB"/>
        </w:rPr>
        <w:t>o</w:t>
      </w:r>
      <w:r w:rsidR="00F7526C" w:rsidRPr="00D272CC">
        <w:rPr>
          <w:lang w:val="en-GB"/>
        </w:rPr>
        <w:t xml:space="preserve">ther’ </w:t>
      </w:r>
      <w:r w:rsidR="00B4003C">
        <w:rPr>
          <w:lang w:val="en-GB"/>
        </w:rPr>
        <w:t>relates to</w:t>
      </w:r>
      <w:r w:rsidR="00F7526C" w:rsidRPr="00D272CC">
        <w:rPr>
          <w:lang w:val="en-GB"/>
        </w:rPr>
        <w:t xml:space="preserve"> transparency, which is not sp</w:t>
      </w:r>
      <w:r w:rsidR="00EA12F1" w:rsidRPr="00D272CC">
        <w:rPr>
          <w:lang w:val="en-GB"/>
        </w:rPr>
        <w:t xml:space="preserve">ecifically mentioned in the </w:t>
      </w:r>
      <w:r w:rsidR="00EA12F1" w:rsidRPr="00D272CC">
        <w:rPr>
          <w:i/>
          <w:lang w:val="en-GB"/>
        </w:rPr>
        <w:t>F</w:t>
      </w:r>
      <w:r w:rsidR="00F7526C" w:rsidRPr="00D272CC">
        <w:rPr>
          <w:i/>
          <w:lang w:val="en-GB"/>
        </w:rPr>
        <w:t>ramework</w:t>
      </w:r>
      <w:r w:rsidR="00F7526C" w:rsidRPr="00D272CC">
        <w:rPr>
          <w:lang w:val="en-GB"/>
        </w:rPr>
        <w:t>. (</w:t>
      </w:r>
      <w:r w:rsidR="008C0E98" w:rsidRPr="00D272CC">
        <w:rPr>
          <w:lang w:val="en-GB"/>
        </w:rPr>
        <w:t>3</w:t>
      </w:r>
      <w:r w:rsidR="00F7526C" w:rsidRPr="00D272CC">
        <w:rPr>
          <w:lang w:val="en-GB"/>
        </w:rPr>
        <w:t>) ‘</w:t>
      </w:r>
      <w:r w:rsidR="008C0E98" w:rsidRPr="00D272CC">
        <w:rPr>
          <w:lang w:val="en-GB"/>
        </w:rPr>
        <w:t>Economic</w:t>
      </w:r>
      <w:r w:rsidR="00F7526C" w:rsidRPr="00D272CC">
        <w:rPr>
          <w:lang w:val="en-GB"/>
        </w:rPr>
        <w:t xml:space="preserve">’ includes </w:t>
      </w:r>
      <w:r w:rsidR="008C0E98" w:rsidRPr="00D272CC">
        <w:rPr>
          <w:lang w:val="en-GB"/>
        </w:rPr>
        <w:t xml:space="preserve">firm event (e.g. a merger), effect on financial statements (e.g. </w:t>
      </w:r>
      <w:r w:rsidR="00B96F82" w:rsidRPr="00D272CC">
        <w:rPr>
          <w:lang w:val="en-GB"/>
        </w:rPr>
        <w:t>reduc</w:t>
      </w:r>
      <w:r w:rsidR="008C0E98" w:rsidRPr="00D272CC">
        <w:rPr>
          <w:lang w:val="en-GB"/>
        </w:rPr>
        <w:t>ing volatility</w:t>
      </w:r>
      <w:r w:rsidR="007765F5" w:rsidRPr="00D272CC">
        <w:rPr>
          <w:lang w:val="en-GB"/>
        </w:rPr>
        <w:t xml:space="preserve"> of earnings</w:t>
      </w:r>
      <w:r w:rsidR="008C0E98" w:rsidRPr="00D272CC">
        <w:rPr>
          <w:lang w:val="en-GB"/>
        </w:rPr>
        <w:t>) and economic/managerial environment</w:t>
      </w:r>
      <w:r w:rsidR="00F7526C" w:rsidRPr="00D272CC">
        <w:rPr>
          <w:lang w:val="en-GB"/>
        </w:rPr>
        <w:t>. (</w:t>
      </w:r>
      <w:r w:rsidR="008C0E98" w:rsidRPr="00D272CC">
        <w:rPr>
          <w:lang w:val="en-GB"/>
        </w:rPr>
        <w:t>4</w:t>
      </w:r>
      <w:r w:rsidR="00F7526C" w:rsidRPr="00D272CC">
        <w:rPr>
          <w:lang w:val="en-GB"/>
        </w:rPr>
        <w:t>) ‘</w:t>
      </w:r>
      <w:r w:rsidR="00702D84">
        <w:rPr>
          <w:lang w:val="en-GB"/>
        </w:rPr>
        <w:t>Other</w:t>
      </w:r>
      <w:r w:rsidR="008C0E98" w:rsidRPr="00D272CC">
        <w:rPr>
          <w:lang w:val="en-GB"/>
        </w:rPr>
        <w:t>’ includes changes due to another policy change, early adoption of a standard, a</w:t>
      </w:r>
      <w:r w:rsidR="00EA12F1" w:rsidRPr="00D272CC">
        <w:rPr>
          <w:lang w:val="en-GB"/>
        </w:rPr>
        <w:t xml:space="preserve">n anticipated change </w:t>
      </w:r>
      <w:r w:rsidR="00053EBC" w:rsidRPr="00D272CC">
        <w:rPr>
          <w:lang w:val="en-GB"/>
        </w:rPr>
        <w:t xml:space="preserve">to a standard </w:t>
      </w:r>
      <w:r w:rsidR="00EA12F1" w:rsidRPr="00D272CC">
        <w:rPr>
          <w:lang w:val="en-GB"/>
        </w:rPr>
        <w:t>and</w:t>
      </w:r>
      <w:r w:rsidR="008C0E98" w:rsidRPr="00D272CC">
        <w:rPr>
          <w:lang w:val="en-GB"/>
        </w:rPr>
        <w:t xml:space="preserve"> </w:t>
      </w:r>
      <w:r w:rsidR="00053EBC" w:rsidRPr="00D272CC">
        <w:rPr>
          <w:lang w:val="en-GB"/>
        </w:rPr>
        <w:t xml:space="preserve">the </w:t>
      </w:r>
      <w:r w:rsidR="008C0E98" w:rsidRPr="00D272CC">
        <w:rPr>
          <w:lang w:val="en-GB"/>
        </w:rPr>
        <w:t xml:space="preserve">requirements of a local regulator (the latter </w:t>
      </w:r>
      <w:r w:rsidR="007B7911" w:rsidRPr="00D272CC">
        <w:rPr>
          <w:lang w:val="en-GB"/>
        </w:rPr>
        <w:t>mainly</w:t>
      </w:r>
      <w:r w:rsidR="008C0E98" w:rsidRPr="00D272CC">
        <w:rPr>
          <w:lang w:val="en-GB"/>
        </w:rPr>
        <w:t xml:space="preserve"> applies </w:t>
      </w:r>
      <w:r w:rsidR="00EA12F1" w:rsidRPr="00D272CC">
        <w:rPr>
          <w:lang w:val="en-GB"/>
        </w:rPr>
        <w:t xml:space="preserve">to </w:t>
      </w:r>
      <w:r w:rsidR="008C0E98" w:rsidRPr="00D272CC">
        <w:rPr>
          <w:lang w:val="en-GB"/>
        </w:rPr>
        <w:t>requirements of the Spanish regulator of financial institutions)</w:t>
      </w:r>
      <w:r w:rsidR="00F7526C" w:rsidRPr="00D272CC">
        <w:rPr>
          <w:lang w:val="en-GB"/>
        </w:rPr>
        <w:t>.</w:t>
      </w:r>
      <w:r w:rsidR="008C0E98" w:rsidRPr="00D272CC">
        <w:rPr>
          <w:lang w:val="en-GB"/>
        </w:rPr>
        <w:t xml:space="preserve"> The table shows</w:t>
      </w:r>
      <w:r w:rsidR="00EA12F1" w:rsidRPr="00D272CC">
        <w:rPr>
          <w:lang w:val="en-GB"/>
        </w:rPr>
        <w:t xml:space="preserve"> </w:t>
      </w:r>
      <w:r w:rsidR="00552D44" w:rsidRPr="00D272CC">
        <w:rPr>
          <w:lang w:val="en-GB"/>
        </w:rPr>
        <w:t xml:space="preserve">where </w:t>
      </w:r>
      <w:r w:rsidR="00EA12F1" w:rsidRPr="00D272CC">
        <w:rPr>
          <w:lang w:val="en-GB"/>
        </w:rPr>
        <w:t>our scores are</w:t>
      </w:r>
      <w:r w:rsidR="008C0E98" w:rsidRPr="00D272CC">
        <w:rPr>
          <w:lang w:val="en-GB"/>
        </w:rPr>
        <w:t xml:space="preserve"> </w:t>
      </w:r>
      <w:r w:rsidR="007B7623" w:rsidRPr="00D272CC">
        <w:rPr>
          <w:lang w:val="en-GB"/>
        </w:rPr>
        <w:t>‘</w:t>
      </w:r>
      <w:r w:rsidR="008C0E98" w:rsidRPr="00D272CC">
        <w:rPr>
          <w:lang w:val="en-GB"/>
        </w:rPr>
        <w:t>inferred</w:t>
      </w:r>
      <w:r w:rsidR="007B7623" w:rsidRPr="00D272CC">
        <w:rPr>
          <w:lang w:val="en-GB"/>
        </w:rPr>
        <w:t>’</w:t>
      </w:r>
      <w:r w:rsidR="00552D44" w:rsidRPr="00D272CC">
        <w:rPr>
          <w:lang w:val="en-GB"/>
        </w:rPr>
        <w:t xml:space="preserve"> (</w:t>
      </w:r>
      <w:r w:rsidR="008C0E98" w:rsidRPr="00D272CC">
        <w:rPr>
          <w:lang w:val="en-GB"/>
        </w:rPr>
        <w:t xml:space="preserve">i.e. </w:t>
      </w:r>
      <w:r w:rsidR="00EA12F1" w:rsidRPr="00D272CC">
        <w:rPr>
          <w:lang w:val="en-GB"/>
        </w:rPr>
        <w:t>not explicitly stated</w:t>
      </w:r>
      <w:r w:rsidR="00552D44" w:rsidRPr="00D272CC">
        <w:rPr>
          <w:lang w:val="en-GB"/>
        </w:rPr>
        <w:t>) for some QCs (faithful representation, understandability and transparency)</w:t>
      </w:r>
      <w:r w:rsidR="00EA12F1" w:rsidRPr="00D272CC">
        <w:rPr>
          <w:lang w:val="en-GB"/>
        </w:rPr>
        <w:t xml:space="preserve">. Appendix </w:t>
      </w:r>
      <w:r w:rsidR="006A70B1" w:rsidRPr="00D272CC">
        <w:rPr>
          <w:lang w:val="en-GB"/>
        </w:rPr>
        <w:t>2</w:t>
      </w:r>
      <w:r w:rsidR="00EA12F1" w:rsidRPr="00D272CC">
        <w:rPr>
          <w:lang w:val="en-GB"/>
        </w:rPr>
        <w:t xml:space="preserve"> provides examples for each category.</w:t>
      </w:r>
    </w:p>
    <w:p w14:paraId="45AF19C6" w14:textId="77777777" w:rsidR="00EA12F1" w:rsidRPr="00D272CC" w:rsidRDefault="00EA12F1" w:rsidP="00EA12F1">
      <w:pPr>
        <w:pStyle w:val="Table-FigureInsert"/>
        <w:ind w:firstLine="0"/>
        <w:rPr>
          <w:lang w:val="en-GB"/>
        </w:rPr>
      </w:pPr>
      <w:r w:rsidRPr="00D272CC">
        <w:rPr>
          <w:lang w:val="en-GB"/>
        </w:rPr>
        <w:t>&lt; insert Table 4 about here &gt;</w:t>
      </w:r>
    </w:p>
    <w:p w14:paraId="697C8B55" w14:textId="77777777" w:rsidR="000542AB" w:rsidRDefault="00053EBC" w:rsidP="000542AB">
      <w:pPr>
        <w:rPr>
          <w:lang w:val="en-GB"/>
        </w:rPr>
      </w:pPr>
      <w:r w:rsidRPr="00D272CC">
        <w:rPr>
          <w:lang w:val="en-GB"/>
        </w:rPr>
        <w:t>As explained earlier, w</w:t>
      </w:r>
      <w:r w:rsidR="00EA12F1" w:rsidRPr="00D272CC">
        <w:rPr>
          <w:lang w:val="en-GB"/>
        </w:rPr>
        <w:t>e identify 204 reasons for policy changes</w:t>
      </w:r>
      <w:r w:rsidR="009A7C2C" w:rsidRPr="00D272CC">
        <w:rPr>
          <w:lang w:val="en-GB"/>
        </w:rPr>
        <w:t xml:space="preserve"> (included in the explanations for 14</w:t>
      </w:r>
      <w:r w:rsidR="004B41A4">
        <w:rPr>
          <w:lang w:val="en-GB"/>
        </w:rPr>
        <w:t>7</w:t>
      </w:r>
      <w:r w:rsidR="009A7C2C" w:rsidRPr="00D272CC">
        <w:rPr>
          <w:lang w:val="en-GB"/>
        </w:rPr>
        <w:t xml:space="preserve"> changes)</w:t>
      </w:r>
      <w:r w:rsidR="00EA12F1" w:rsidRPr="00D272CC">
        <w:rPr>
          <w:lang w:val="en-GB"/>
        </w:rPr>
        <w:t xml:space="preserve">. </w:t>
      </w:r>
      <w:r w:rsidR="00F4434A" w:rsidRPr="00D272CC">
        <w:rPr>
          <w:lang w:val="en-GB"/>
        </w:rPr>
        <w:t xml:space="preserve">This allows us to answer our first research question, i.e. which QCs managers </w:t>
      </w:r>
      <w:r w:rsidR="009A7C2C" w:rsidRPr="00D272CC">
        <w:rPr>
          <w:lang w:val="en-GB"/>
        </w:rPr>
        <w:t>refer to</w:t>
      </w:r>
      <w:r w:rsidR="00F4434A" w:rsidRPr="00D272CC">
        <w:rPr>
          <w:lang w:val="en-GB"/>
        </w:rPr>
        <w:t xml:space="preserve"> in their accounting decisions. </w:t>
      </w:r>
      <w:r w:rsidR="00F30520" w:rsidRPr="00D272CC">
        <w:rPr>
          <w:lang w:val="en-GB"/>
        </w:rPr>
        <w:t xml:space="preserve">Managers frequently </w:t>
      </w:r>
      <w:r w:rsidR="009A7C2C" w:rsidRPr="00D272CC">
        <w:rPr>
          <w:lang w:val="en-GB"/>
        </w:rPr>
        <w:t>mention</w:t>
      </w:r>
      <w:r w:rsidRPr="00D272CC">
        <w:rPr>
          <w:lang w:val="en-GB"/>
        </w:rPr>
        <w:t xml:space="preserve"> </w:t>
      </w:r>
      <w:r w:rsidR="00F30520" w:rsidRPr="00D272CC">
        <w:rPr>
          <w:lang w:val="en-GB"/>
        </w:rPr>
        <w:t>relevance</w:t>
      </w:r>
      <w:r w:rsidR="00EA12F1" w:rsidRPr="00D272CC">
        <w:rPr>
          <w:lang w:val="en-GB"/>
        </w:rPr>
        <w:t xml:space="preserve"> (2</w:t>
      </w:r>
      <w:r w:rsidR="00B06811" w:rsidRPr="00D272CC">
        <w:rPr>
          <w:lang w:val="en-GB"/>
        </w:rPr>
        <w:t>5</w:t>
      </w:r>
      <w:r w:rsidR="00EA12F1" w:rsidRPr="00D272CC">
        <w:rPr>
          <w:lang w:val="en-GB"/>
        </w:rPr>
        <w:t xml:space="preserve"> times), faithful representation</w:t>
      </w:r>
      <w:r w:rsidR="003729E5" w:rsidRPr="00D272CC">
        <w:rPr>
          <w:lang w:val="en-GB"/>
        </w:rPr>
        <w:t xml:space="preserve"> (24 times)</w:t>
      </w:r>
      <w:r w:rsidR="00F30520" w:rsidRPr="00D272CC">
        <w:rPr>
          <w:lang w:val="en-GB"/>
        </w:rPr>
        <w:t>, comparability</w:t>
      </w:r>
      <w:r w:rsidR="003729E5" w:rsidRPr="00D272CC">
        <w:rPr>
          <w:lang w:val="en-GB"/>
        </w:rPr>
        <w:t xml:space="preserve"> (45 times)</w:t>
      </w:r>
      <w:r w:rsidR="00F30520" w:rsidRPr="00D272CC">
        <w:rPr>
          <w:lang w:val="en-GB"/>
        </w:rPr>
        <w:t xml:space="preserve"> and </w:t>
      </w:r>
      <w:r w:rsidR="000C007A" w:rsidRPr="00D272CC">
        <w:rPr>
          <w:lang w:val="en-GB"/>
        </w:rPr>
        <w:t>understandability</w:t>
      </w:r>
      <w:r w:rsidR="003729E5" w:rsidRPr="00D272CC">
        <w:rPr>
          <w:lang w:val="en-GB"/>
        </w:rPr>
        <w:t xml:space="preserve"> (1</w:t>
      </w:r>
      <w:r w:rsidR="00B06811" w:rsidRPr="00D272CC">
        <w:rPr>
          <w:lang w:val="en-GB"/>
        </w:rPr>
        <w:t>1</w:t>
      </w:r>
      <w:r w:rsidR="003729E5" w:rsidRPr="00D272CC">
        <w:rPr>
          <w:lang w:val="en-GB"/>
        </w:rPr>
        <w:t xml:space="preserve"> times)</w:t>
      </w:r>
      <w:r w:rsidR="00F30520" w:rsidRPr="00D272CC">
        <w:rPr>
          <w:lang w:val="en-GB"/>
        </w:rPr>
        <w:t>.</w:t>
      </w:r>
    </w:p>
    <w:p w14:paraId="69FA23E1" w14:textId="04CC23A9" w:rsidR="00526172" w:rsidRPr="00E24589" w:rsidRDefault="00160F92" w:rsidP="00E24589">
      <w:pPr>
        <w:rPr>
          <w:lang w:val="en-GB"/>
        </w:rPr>
      </w:pPr>
      <w:r w:rsidRPr="00454B13">
        <w:rPr>
          <w:lang w:val="en-GB"/>
        </w:rPr>
        <w:t xml:space="preserve">Given that the </w:t>
      </w:r>
      <w:r w:rsidRPr="00FC3645">
        <w:rPr>
          <w:lang w:val="en-GB"/>
        </w:rPr>
        <w:t xml:space="preserve">2010 </w:t>
      </w:r>
      <w:r w:rsidRPr="00B52D21">
        <w:rPr>
          <w:i/>
          <w:lang w:val="en-GB"/>
        </w:rPr>
        <w:t>Framework</w:t>
      </w:r>
      <w:r w:rsidRPr="00E24589">
        <w:rPr>
          <w:lang w:val="en-GB"/>
        </w:rPr>
        <w:t xml:space="preserve"> </w:t>
      </w:r>
      <w:r w:rsidR="003A5771" w:rsidRPr="00E24589">
        <w:rPr>
          <w:lang w:val="en-GB"/>
        </w:rPr>
        <w:t xml:space="preserve">considers </w:t>
      </w:r>
      <w:r w:rsidR="00AC10F9" w:rsidRPr="00E24589">
        <w:rPr>
          <w:lang w:val="en-GB"/>
        </w:rPr>
        <w:t xml:space="preserve">the </w:t>
      </w:r>
      <w:r w:rsidR="000542AB" w:rsidRPr="00E24589">
        <w:rPr>
          <w:lang w:val="en-GB"/>
        </w:rPr>
        <w:t xml:space="preserve">concept of </w:t>
      </w:r>
      <w:r w:rsidR="003A5771" w:rsidRPr="00E24589">
        <w:rPr>
          <w:lang w:val="en-GB"/>
        </w:rPr>
        <w:t>reliability to be</w:t>
      </w:r>
      <w:r w:rsidRPr="00E24589">
        <w:rPr>
          <w:lang w:val="en-GB"/>
        </w:rPr>
        <w:t xml:space="preserve"> </w:t>
      </w:r>
      <w:r w:rsidR="000542AB" w:rsidRPr="00E24589">
        <w:rPr>
          <w:lang w:val="en-GB"/>
        </w:rPr>
        <w:t xml:space="preserve">mainly </w:t>
      </w:r>
      <w:r w:rsidRPr="00E24589">
        <w:rPr>
          <w:lang w:val="en-GB"/>
        </w:rPr>
        <w:t>subsumed within</w:t>
      </w:r>
      <w:r w:rsidR="003A5771" w:rsidRPr="00E24589">
        <w:rPr>
          <w:lang w:val="en-GB"/>
        </w:rPr>
        <w:t xml:space="preserve"> faithful representation, there might be an argument for combining the two</w:t>
      </w:r>
      <w:r w:rsidR="00AC10F9" w:rsidRPr="00E24589">
        <w:rPr>
          <w:lang w:val="en-GB"/>
        </w:rPr>
        <w:t xml:space="preserve"> in our data</w:t>
      </w:r>
      <w:r w:rsidR="003A5771" w:rsidRPr="00E24589">
        <w:rPr>
          <w:lang w:val="en-GB"/>
        </w:rPr>
        <w:t>. However, this would make little differences because of the paucity of references to reliability (only 3). By contrast, managers</w:t>
      </w:r>
      <w:r w:rsidR="00F30520" w:rsidRPr="00E24589">
        <w:rPr>
          <w:lang w:val="en-GB"/>
        </w:rPr>
        <w:t xml:space="preserve"> frequently refer to transparency</w:t>
      </w:r>
      <w:r w:rsidR="003729E5" w:rsidRPr="00E24589">
        <w:rPr>
          <w:lang w:val="en-GB"/>
        </w:rPr>
        <w:t xml:space="preserve"> (1</w:t>
      </w:r>
      <w:r w:rsidR="00B06811" w:rsidRPr="00E24589">
        <w:rPr>
          <w:lang w:val="en-GB"/>
        </w:rPr>
        <w:t>8</w:t>
      </w:r>
      <w:r w:rsidR="003729E5" w:rsidRPr="00E24589">
        <w:rPr>
          <w:lang w:val="en-GB"/>
        </w:rPr>
        <w:t xml:space="preserve"> times)</w:t>
      </w:r>
      <w:r w:rsidR="00F30520" w:rsidRPr="00E24589">
        <w:rPr>
          <w:lang w:val="en-GB"/>
        </w:rPr>
        <w:t xml:space="preserve">, which is not </w:t>
      </w:r>
      <w:r w:rsidR="00BE6312" w:rsidRPr="00E24589">
        <w:rPr>
          <w:lang w:val="en-GB"/>
        </w:rPr>
        <w:t xml:space="preserve">directly </w:t>
      </w:r>
      <w:r w:rsidR="00F30520" w:rsidRPr="00E24589">
        <w:rPr>
          <w:lang w:val="en-GB"/>
        </w:rPr>
        <w:t xml:space="preserve">mentioned in the </w:t>
      </w:r>
      <w:r w:rsidR="000047F3" w:rsidRPr="00E24589">
        <w:rPr>
          <w:i/>
          <w:lang w:val="en-GB"/>
        </w:rPr>
        <w:t>F</w:t>
      </w:r>
      <w:r w:rsidR="00F30520" w:rsidRPr="00E24589">
        <w:rPr>
          <w:i/>
          <w:lang w:val="en-GB"/>
        </w:rPr>
        <w:t>ramework</w:t>
      </w:r>
      <w:r w:rsidR="00B96F82" w:rsidRPr="00E24589">
        <w:rPr>
          <w:lang w:val="en-GB"/>
        </w:rPr>
        <w:t xml:space="preserve">, although </w:t>
      </w:r>
      <w:r w:rsidR="007829C8" w:rsidRPr="00E24589">
        <w:rPr>
          <w:lang w:val="en-GB"/>
        </w:rPr>
        <w:t xml:space="preserve">Dichev et al. (2013, Table 3) provide evidence that CFOs </w:t>
      </w:r>
      <w:r w:rsidR="00FF587C" w:rsidRPr="00E24589">
        <w:rPr>
          <w:lang w:val="en-GB"/>
        </w:rPr>
        <w:t>consider it to be a</w:t>
      </w:r>
      <w:r w:rsidR="007829C8" w:rsidRPr="00E24589">
        <w:rPr>
          <w:lang w:val="en-GB"/>
        </w:rPr>
        <w:t xml:space="preserve"> feature of </w:t>
      </w:r>
      <w:r w:rsidR="00FF587C" w:rsidRPr="00E24589">
        <w:rPr>
          <w:lang w:val="en-GB"/>
        </w:rPr>
        <w:t>earnings quality</w:t>
      </w:r>
      <w:r w:rsidR="007829C8" w:rsidRPr="00E24589">
        <w:rPr>
          <w:lang w:val="en-GB"/>
        </w:rPr>
        <w:t>.</w:t>
      </w:r>
      <w:r w:rsidR="00F30520" w:rsidRPr="00E24589">
        <w:rPr>
          <w:lang w:val="en-GB"/>
        </w:rPr>
        <w:t xml:space="preserve"> </w:t>
      </w:r>
      <w:r w:rsidR="00B54272" w:rsidRPr="00E24589">
        <w:rPr>
          <w:lang w:val="en-GB"/>
        </w:rPr>
        <w:t xml:space="preserve">This raises two questions: what is transparency capturing that is not captured in the </w:t>
      </w:r>
      <w:r w:rsidR="00B54272" w:rsidRPr="00E24589">
        <w:rPr>
          <w:i/>
          <w:lang w:val="en-GB"/>
        </w:rPr>
        <w:t>Framework</w:t>
      </w:r>
      <w:r w:rsidR="00B54272" w:rsidRPr="00E24589">
        <w:rPr>
          <w:lang w:val="en-GB"/>
        </w:rPr>
        <w:t>’s QCs, and should</w:t>
      </w:r>
      <w:r w:rsidR="00BC7F86">
        <w:rPr>
          <w:lang w:val="en-GB"/>
        </w:rPr>
        <w:t xml:space="preserve"> the IASB insert a discussion of</w:t>
      </w:r>
      <w:r w:rsidR="00B54272" w:rsidRPr="00E24589">
        <w:rPr>
          <w:lang w:val="en-GB"/>
        </w:rPr>
        <w:t xml:space="preserve"> transparency in the </w:t>
      </w:r>
      <w:r w:rsidR="00B54272" w:rsidRPr="00E24589">
        <w:rPr>
          <w:i/>
          <w:lang w:val="en-GB"/>
        </w:rPr>
        <w:t>Framework</w:t>
      </w:r>
      <w:r w:rsidR="001F49C4" w:rsidRPr="00E24589">
        <w:rPr>
          <w:i/>
          <w:lang w:val="en-GB"/>
        </w:rPr>
        <w:t>?</w:t>
      </w:r>
      <w:r w:rsidR="00E803C8" w:rsidRPr="00E24589">
        <w:rPr>
          <w:lang w:val="en-GB"/>
        </w:rPr>
        <w:t xml:space="preserve"> We discuss possible policy implications in our conclusions (Section 5).</w:t>
      </w:r>
    </w:p>
    <w:p w14:paraId="3C3F4D13" w14:textId="2680CEA8" w:rsidR="00296A1C" w:rsidRDefault="001F49C4" w:rsidP="00526172">
      <w:pPr>
        <w:rPr>
          <w:lang w:val="en-GB"/>
        </w:rPr>
      </w:pPr>
      <w:r>
        <w:rPr>
          <w:lang w:val="en-GB"/>
        </w:rPr>
        <w:t>For our p</w:t>
      </w:r>
      <w:r w:rsidR="001B0FF2">
        <w:rPr>
          <w:lang w:val="en-GB"/>
        </w:rPr>
        <w:t>e</w:t>
      </w:r>
      <w:r>
        <w:rPr>
          <w:lang w:val="en-GB"/>
        </w:rPr>
        <w:t>riod, we are not able to discern any systematic change over time in the pattern of the</w:t>
      </w:r>
      <w:r w:rsidR="00526172">
        <w:rPr>
          <w:lang w:val="en-GB"/>
        </w:rPr>
        <w:t xml:space="preserve"> above</w:t>
      </w:r>
      <w:r>
        <w:rPr>
          <w:lang w:val="en-GB"/>
        </w:rPr>
        <w:t xml:space="preserve"> reasons for policy changes.</w:t>
      </w:r>
      <w:r w:rsidR="00526172">
        <w:rPr>
          <w:lang w:val="en-GB"/>
        </w:rPr>
        <w:t xml:space="preserve"> </w:t>
      </w:r>
      <w:r w:rsidR="00201BD7" w:rsidRPr="00D272CC" w:rsidDel="000542AB">
        <w:rPr>
          <w:lang w:val="en-GB"/>
        </w:rPr>
        <w:t>Less frequent reasons for changes are r</w:t>
      </w:r>
      <w:r w:rsidR="003729E5" w:rsidRPr="00D272CC" w:rsidDel="000542AB">
        <w:rPr>
          <w:lang w:val="en-GB"/>
        </w:rPr>
        <w:t>eliability (3 times), verifiability (</w:t>
      </w:r>
      <w:r w:rsidR="00053EBC" w:rsidRPr="00D272CC" w:rsidDel="000542AB">
        <w:rPr>
          <w:lang w:val="en-GB"/>
        </w:rPr>
        <w:t>once</w:t>
      </w:r>
      <w:r w:rsidR="003729E5" w:rsidRPr="00D272CC" w:rsidDel="000542AB">
        <w:rPr>
          <w:lang w:val="en-GB"/>
        </w:rPr>
        <w:t xml:space="preserve">), </w:t>
      </w:r>
      <w:r w:rsidR="00E639F2" w:rsidRPr="00D272CC" w:rsidDel="000542AB">
        <w:rPr>
          <w:lang w:val="en-GB"/>
        </w:rPr>
        <w:t>prudence/</w:t>
      </w:r>
      <w:r w:rsidR="003729E5" w:rsidRPr="00D272CC" w:rsidDel="000542AB">
        <w:rPr>
          <w:lang w:val="en-GB"/>
        </w:rPr>
        <w:t>conservatism (</w:t>
      </w:r>
      <w:r w:rsidR="00053EBC" w:rsidRPr="00D272CC" w:rsidDel="000542AB">
        <w:rPr>
          <w:lang w:val="en-GB"/>
        </w:rPr>
        <w:t>once</w:t>
      </w:r>
      <w:r w:rsidR="003729E5" w:rsidRPr="00D272CC" w:rsidDel="000542AB">
        <w:rPr>
          <w:lang w:val="en-GB"/>
        </w:rPr>
        <w:t xml:space="preserve">) and </w:t>
      </w:r>
      <w:r w:rsidR="00E639F2" w:rsidRPr="00D272CC" w:rsidDel="000542AB">
        <w:rPr>
          <w:lang w:val="en-GB"/>
        </w:rPr>
        <w:t>accruals/</w:t>
      </w:r>
      <w:r w:rsidR="003729E5" w:rsidRPr="00D272CC" w:rsidDel="000542AB">
        <w:rPr>
          <w:lang w:val="en-GB"/>
        </w:rPr>
        <w:t>matching (</w:t>
      </w:r>
      <w:r w:rsidR="00053EBC" w:rsidRPr="00D272CC" w:rsidDel="000542AB">
        <w:rPr>
          <w:lang w:val="en-GB"/>
        </w:rPr>
        <w:t>once</w:t>
      </w:r>
      <w:r w:rsidR="003729E5" w:rsidRPr="00D272CC" w:rsidDel="000542AB">
        <w:rPr>
          <w:lang w:val="en-GB"/>
        </w:rPr>
        <w:t>)</w:t>
      </w:r>
      <w:r w:rsidR="00BC7F86">
        <w:rPr>
          <w:lang w:val="en-GB"/>
        </w:rPr>
        <w:t>;</w:t>
      </w:r>
      <w:r w:rsidR="003729E5" w:rsidRPr="00D272CC" w:rsidDel="000542AB">
        <w:rPr>
          <w:lang w:val="en-GB"/>
        </w:rPr>
        <w:t xml:space="preserve"> and timeliness </w:t>
      </w:r>
      <w:r w:rsidR="00053EBC" w:rsidRPr="00D272CC" w:rsidDel="000542AB">
        <w:rPr>
          <w:lang w:val="en-GB"/>
        </w:rPr>
        <w:t>w</w:t>
      </w:r>
      <w:r w:rsidR="003729E5" w:rsidRPr="00D272CC" w:rsidDel="000542AB">
        <w:rPr>
          <w:lang w:val="en-GB"/>
        </w:rPr>
        <w:t>as not referred to</w:t>
      </w:r>
      <w:r w:rsidR="00360878" w:rsidRPr="00D272CC" w:rsidDel="000542AB">
        <w:rPr>
          <w:lang w:val="en-GB"/>
        </w:rPr>
        <w:t xml:space="preserve"> at all</w:t>
      </w:r>
      <w:r w:rsidR="003729E5" w:rsidRPr="00D272CC" w:rsidDel="000542AB">
        <w:rPr>
          <w:lang w:val="en-GB"/>
        </w:rPr>
        <w:t>.</w:t>
      </w:r>
      <w:r w:rsidR="00F03CDA" w:rsidRPr="00D272CC" w:rsidDel="000542AB">
        <w:rPr>
          <w:lang w:val="en-GB"/>
        </w:rPr>
        <w:t xml:space="preserve"> </w:t>
      </w:r>
      <w:r w:rsidR="00296A1C">
        <w:rPr>
          <w:lang w:val="en-GB"/>
        </w:rPr>
        <w:t xml:space="preserve">Given the controversy about the removal of prudence </w:t>
      </w:r>
      <w:r w:rsidR="00CB4FD4">
        <w:rPr>
          <w:lang w:val="en-GB"/>
        </w:rPr>
        <w:t xml:space="preserve">from the </w:t>
      </w:r>
      <w:r w:rsidR="005A7B11" w:rsidRPr="007A50EF">
        <w:rPr>
          <w:i/>
          <w:lang w:val="en-GB"/>
        </w:rPr>
        <w:t>Framework</w:t>
      </w:r>
      <w:r w:rsidR="001B2E94">
        <w:rPr>
          <w:lang w:val="en-GB"/>
        </w:rPr>
        <w:t xml:space="preserve"> </w:t>
      </w:r>
      <w:r w:rsidR="00296A1C">
        <w:rPr>
          <w:lang w:val="en-GB"/>
        </w:rPr>
        <w:t>in 2010, it is interesting to note how seldom managers refer to it.</w:t>
      </w:r>
    </w:p>
    <w:p w14:paraId="637C9FAD" w14:textId="0399E501" w:rsidR="00C86C65" w:rsidRDefault="00E06B9C" w:rsidP="003729E5">
      <w:pPr>
        <w:rPr>
          <w:lang w:val="en-GB"/>
        </w:rPr>
      </w:pPr>
      <w:r>
        <w:rPr>
          <w:lang w:val="en-GB"/>
        </w:rPr>
        <w:t>M</w:t>
      </w:r>
      <w:r w:rsidRPr="00D272CC">
        <w:rPr>
          <w:lang w:val="en-GB"/>
        </w:rPr>
        <w:t xml:space="preserve">ore than half of the </w:t>
      </w:r>
      <w:r>
        <w:rPr>
          <w:lang w:val="en-GB"/>
        </w:rPr>
        <w:t xml:space="preserve">204 </w:t>
      </w:r>
      <w:r w:rsidRPr="00D272CC">
        <w:rPr>
          <w:lang w:val="en-GB"/>
        </w:rPr>
        <w:t>reasons</w:t>
      </w:r>
      <w:r>
        <w:rPr>
          <w:lang w:val="en-GB"/>
        </w:rPr>
        <w:t xml:space="preserve"> (i.e. 111)</w:t>
      </w:r>
      <w:r w:rsidRPr="00D272CC">
        <w:rPr>
          <w:lang w:val="en-GB"/>
        </w:rPr>
        <w:t xml:space="preserve"> refer to QCs </w:t>
      </w:r>
      <w:r w:rsidR="00CB4FD4">
        <w:rPr>
          <w:lang w:val="en-GB"/>
        </w:rPr>
        <w:t>found in</w:t>
      </w:r>
      <w:r w:rsidRPr="00D272CC">
        <w:rPr>
          <w:lang w:val="en-GB"/>
        </w:rPr>
        <w:t xml:space="preserve"> the </w:t>
      </w:r>
      <w:r w:rsidRPr="00D272CC">
        <w:rPr>
          <w:i/>
          <w:lang w:val="en-GB"/>
        </w:rPr>
        <w:t>Framework</w:t>
      </w:r>
      <w:r>
        <w:rPr>
          <w:lang w:val="en-GB"/>
        </w:rPr>
        <w:t xml:space="preserve"> of the </w:t>
      </w:r>
      <w:r w:rsidRPr="00D272CC">
        <w:rPr>
          <w:lang w:val="en-GB"/>
        </w:rPr>
        <w:t>IASB</w:t>
      </w:r>
      <w:r>
        <w:rPr>
          <w:lang w:val="en-GB"/>
        </w:rPr>
        <w:t>.</w:t>
      </w:r>
      <w:r w:rsidR="00385BA6">
        <w:rPr>
          <w:rStyle w:val="FootnoteReference"/>
          <w:lang w:val="en-GB"/>
        </w:rPr>
        <w:footnoteReference w:id="29"/>
      </w:r>
      <w:r w:rsidRPr="00D272CC">
        <w:rPr>
          <w:lang w:val="en-GB"/>
        </w:rPr>
        <w:t xml:space="preserve"> </w:t>
      </w:r>
      <w:r w:rsidR="00CB4FD4">
        <w:rPr>
          <w:lang w:val="en-GB"/>
        </w:rPr>
        <w:t>After adding references to transparency</w:t>
      </w:r>
      <w:r w:rsidR="00F03CDA" w:rsidRPr="00D272CC">
        <w:rPr>
          <w:lang w:val="en-GB"/>
        </w:rPr>
        <w:t>, there are 1</w:t>
      </w:r>
      <w:r w:rsidR="00B06811" w:rsidRPr="00D272CC">
        <w:rPr>
          <w:lang w:val="en-GB"/>
        </w:rPr>
        <w:t>29</w:t>
      </w:r>
      <w:r w:rsidR="00F03CDA" w:rsidRPr="00D272CC">
        <w:rPr>
          <w:lang w:val="en-GB"/>
        </w:rPr>
        <w:t xml:space="preserve"> references to </w:t>
      </w:r>
      <w:r w:rsidR="00053EBC" w:rsidRPr="00D272CC">
        <w:rPr>
          <w:lang w:val="en-GB"/>
        </w:rPr>
        <w:t>QCs</w:t>
      </w:r>
      <w:r w:rsidR="00F03CDA" w:rsidRPr="00D272CC">
        <w:rPr>
          <w:lang w:val="en-GB"/>
        </w:rPr>
        <w:t>.</w:t>
      </w:r>
      <w:r w:rsidR="003729E5" w:rsidRPr="00D272CC">
        <w:rPr>
          <w:lang w:val="en-GB"/>
        </w:rPr>
        <w:t xml:space="preserve"> </w:t>
      </w:r>
      <w:r w:rsidR="00CB4FD4">
        <w:rPr>
          <w:lang w:val="en-GB"/>
        </w:rPr>
        <w:t xml:space="preserve">The last part of </w:t>
      </w:r>
      <w:r w:rsidR="00F30520" w:rsidRPr="00D272CC">
        <w:rPr>
          <w:lang w:val="en-GB"/>
        </w:rPr>
        <w:t xml:space="preserve">Table </w:t>
      </w:r>
      <w:r w:rsidR="009C0A2E" w:rsidRPr="00D272CC">
        <w:rPr>
          <w:lang w:val="en-GB"/>
        </w:rPr>
        <w:t>4</w:t>
      </w:r>
      <w:r w:rsidR="00F30520" w:rsidRPr="00D272CC">
        <w:rPr>
          <w:lang w:val="en-GB"/>
        </w:rPr>
        <w:t xml:space="preserve"> breaks down the category</w:t>
      </w:r>
      <w:r w:rsidR="003729E5" w:rsidRPr="00D272CC">
        <w:rPr>
          <w:lang w:val="en-GB"/>
        </w:rPr>
        <w:t xml:space="preserve"> with the highest frequency</w:t>
      </w:r>
      <w:r w:rsidR="00CB4FD4">
        <w:rPr>
          <w:lang w:val="en-GB"/>
        </w:rPr>
        <w:t>:</w:t>
      </w:r>
      <w:r w:rsidR="00CB4FD4" w:rsidRPr="00CB4FD4">
        <w:rPr>
          <w:lang w:val="en-GB"/>
        </w:rPr>
        <w:t xml:space="preserve"> </w:t>
      </w:r>
      <w:r w:rsidR="00CB4FD4" w:rsidRPr="00D272CC">
        <w:rPr>
          <w:lang w:val="en-GB"/>
        </w:rPr>
        <w:t>comparability</w:t>
      </w:r>
      <w:r w:rsidR="003729E5" w:rsidRPr="00D272CC">
        <w:rPr>
          <w:lang w:val="en-GB"/>
        </w:rPr>
        <w:t>.</w:t>
      </w:r>
      <w:r w:rsidR="001269B2">
        <w:rPr>
          <w:rStyle w:val="FootnoteReference"/>
          <w:lang w:val="en-GB"/>
        </w:rPr>
        <w:footnoteReference w:id="30"/>
      </w:r>
      <w:r w:rsidR="00F30520" w:rsidRPr="00D272CC">
        <w:rPr>
          <w:lang w:val="en-GB"/>
        </w:rPr>
        <w:t xml:space="preserve"> </w:t>
      </w:r>
      <w:r w:rsidR="00CB4FD4">
        <w:rPr>
          <w:lang w:val="en-GB"/>
        </w:rPr>
        <w:t>M</w:t>
      </w:r>
      <w:r w:rsidR="00F30520" w:rsidRPr="00D272CC">
        <w:rPr>
          <w:lang w:val="en-GB"/>
        </w:rPr>
        <w:t xml:space="preserve">any </w:t>
      </w:r>
      <w:r w:rsidR="00B83DB3" w:rsidRPr="00D272CC">
        <w:rPr>
          <w:lang w:val="en-GB"/>
        </w:rPr>
        <w:t>managers</w:t>
      </w:r>
      <w:r w:rsidR="00F30520" w:rsidRPr="00D272CC">
        <w:rPr>
          <w:lang w:val="en-GB"/>
        </w:rPr>
        <w:t xml:space="preserve"> </w:t>
      </w:r>
      <w:r w:rsidR="00B84798" w:rsidRPr="00D272CC">
        <w:rPr>
          <w:lang w:val="en-GB"/>
        </w:rPr>
        <w:t>s</w:t>
      </w:r>
      <w:r w:rsidR="00530AE4" w:rsidRPr="00D272CC">
        <w:rPr>
          <w:lang w:val="en-GB"/>
        </w:rPr>
        <w:t>tate</w:t>
      </w:r>
      <w:r w:rsidR="00B84798" w:rsidRPr="00D272CC">
        <w:rPr>
          <w:lang w:val="en-GB"/>
        </w:rPr>
        <w:t xml:space="preserve"> that th</w:t>
      </w:r>
      <w:r w:rsidR="00CB4FD4">
        <w:rPr>
          <w:lang w:val="en-GB"/>
        </w:rPr>
        <w:t>e</w:t>
      </w:r>
      <w:r w:rsidR="00B4003C">
        <w:rPr>
          <w:lang w:val="en-GB"/>
        </w:rPr>
        <w:t xml:space="preserve"> policy</w:t>
      </w:r>
      <w:r w:rsidR="00B84798" w:rsidRPr="00D272CC">
        <w:rPr>
          <w:lang w:val="en-GB"/>
        </w:rPr>
        <w:t xml:space="preserve"> </w:t>
      </w:r>
      <w:r w:rsidR="00F30520" w:rsidRPr="00D272CC">
        <w:rPr>
          <w:lang w:val="en-GB"/>
        </w:rPr>
        <w:t>change</w:t>
      </w:r>
      <w:r w:rsidR="00CB4FD4">
        <w:rPr>
          <w:lang w:val="en-GB"/>
        </w:rPr>
        <w:t xml:space="preserve"> makes</w:t>
      </w:r>
      <w:r w:rsidR="00886B5E" w:rsidRPr="00D272CC">
        <w:rPr>
          <w:lang w:val="en-GB"/>
        </w:rPr>
        <w:t xml:space="preserve"> the firm</w:t>
      </w:r>
      <w:r w:rsidR="00BC7F86">
        <w:rPr>
          <w:lang w:val="en-GB"/>
        </w:rPr>
        <w:t>’s reporting</w:t>
      </w:r>
      <w:r w:rsidR="00886B5E" w:rsidRPr="00D272CC">
        <w:rPr>
          <w:lang w:val="en-GB"/>
        </w:rPr>
        <w:t xml:space="preserve"> </w:t>
      </w:r>
      <w:r w:rsidR="00CB4FD4">
        <w:rPr>
          <w:lang w:val="en-GB"/>
        </w:rPr>
        <w:t>more</w:t>
      </w:r>
      <w:r w:rsidR="00F30520" w:rsidRPr="00D272CC">
        <w:rPr>
          <w:lang w:val="en-GB"/>
        </w:rPr>
        <w:t xml:space="preserve"> comparable to </w:t>
      </w:r>
      <w:r w:rsidR="00BC7F86">
        <w:rPr>
          <w:lang w:val="en-GB"/>
        </w:rPr>
        <w:t xml:space="preserve">that of </w:t>
      </w:r>
      <w:r w:rsidR="00F30520" w:rsidRPr="00D272CC">
        <w:rPr>
          <w:lang w:val="en-GB"/>
        </w:rPr>
        <w:t>industry peers</w:t>
      </w:r>
      <w:r w:rsidR="003729E5" w:rsidRPr="00D272CC">
        <w:rPr>
          <w:lang w:val="en-GB"/>
        </w:rPr>
        <w:t xml:space="preserve"> (1</w:t>
      </w:r>
      <w:r w:rsidR="00633A83" w:rsidRPr="00D272CC">
        <w:rPr>
          <w:lang w:val="en-GB"/>
        </w:rPr>
        <w:t>6</w:t>
      </w:r>
      <w:r w:rsidR="003729E5" w:rsidRPr="00D272CC">
        <w:rPr>
          <w:lang w:val="en-GB"/>
        </w:rPr>
        <w:t xml:space="preserve"> times) </w:t>
      </w:r>
      <w:r w:rsidR="00201BD7" w:rsidRPr="00D272CC">
        <w:rPr>
          <w:lang w:val="en-GB"/>
        </w:rPr>
        <w:t>or</w:t>
      </w:r>
      <w:r w:rsidR="003729E5" w:rsidRPr="00D272CC">
        <w:rPr>
          <w:lang w:val="en-GB"/>
        </w:rPr>
        <w:t xml:space="preserve"> achieve</w:t>
      </w:r>
      <w:r w:rsidR="00CB4FD4">
        <w:rPr>
          <w:lang w:val="en-GB"/>
        </w:rPr>
        <w:t>s</w:t>
      </w:r>
      <w:r w:rsidR="003729E5" w:rsidRPr="00D272CC">
        <w:rPr>
          <w:lang w:val="en-GB"/>
        </w:rPr>
        <w:t xml:space="preserve"> comparability with local GAAP (14 times); the latter all </w:t>
      </w:r>
      <w:r w:rsidR="000F52CB">
        <w:rPr>
          <w:lang w:val="en-GB"/>
        </w:rPr>
        <w:t>relat</w:t>
      </w:r>
      <w:r w:rsidR="00AA1230">
        <w:rPr>
          <w:lang w:val="en-GB"/>
        </w:rPr>
        <w:t>e</w:t>
      </w:r>
      <w:r w:rsidR="003729E5" w:rsidRPr="00D272CC">
        <w:rPr>
          <w:lang w:val="en-GB"/>
        </w:rPr>
        <w:t xml:space="preserve"> to Chinese firms</w:t>
      </w:r>
      <w:r w:rsidR="00B4003C">
        <w:rPr>
          <w:lang w:val="en-GB"/>
        </w:rPr>
        <w:t xml:space="preserve"> </w:t>
      </w:r>
      <w:r w:rsidR="003729E5" w:rsidRPr="00D272CC">
        <w:rPr>
          <w:lang w:val="en-GB"/>
        </w:rPr>
        <w:t xml:space="preserve">which </w:t>
      </w:r>
      <w:r w:rsidR="00B4003C" w:rsidRPr="00D272CC">
        <w:rPr>
          <w:lang w:val="en-GB"/>
        </w:rPr>
        <w:t>chang</w:t>
      </w:r>
      <w:r w:rsidR="00B4003C">
        <w:rPr>
          <w:lang w:val="en-GB"/>
        </w:rPr>
        <w:t>ed</w:t>
      </w:r>
      <w:r w:rsidR="00B4003C" w:rsidRPr="00D272CC">
        <w:rPr>
          <w:lang w:val="en-GB"/>
        </w:rPr>
        <w:t xml:space="preserve"> </w:t>
      </w:r>
      <w:r w:rsidR="003729E5" w:rsidRPr="00D272CC">
        <w:rPr>
          <w:lang w:val="en-GB"/>
        </w:rPr>
        <w:t xml:space="preserve">towards </w:t>
      </w:r>
      <w:r w:rsidR="00201BD7" w:rsidRPr="00D272CC">
        <w:rPr>
          <w:lang w:val="en-GB"/>
        </w:rPr>
        <w:t xml:space="preserve">the policy in </w:t>
      </w:r>
      <w:r w:rsidR="003729E5" w:rsidRPr="00D272CC">
        <w:rPr>
          <w:lang w:val="en-GB"/>
        </w:rPr>
        <w:t xml:space="preserve">their Chinese GAAP </w:t>
      </w:r>
      <w:r w:rsidR="00201BD7" w:rsidRPr="00D272CC">
        <w:rPr>
          <w:lang w:val="en-GB"/>
        </w:rPr>
        <w:t>statements</w:t>
      </w:r>
      <w:r w:rsidR="00F30520" w:rsidRPr="00D272CC">
        <w:rPr>
          <w:lang w:val="en-GB"/>
        </w:rPr>
        <w:t>.</w:t>
      </w:r>
      <w:r w:rsidR="00874FC1">
        <w:rPr>
          <w:rStyle w:val="FootnoteReference"/>
          <w:lang w:val="en-GB"/>
        </w:rPr>
        <w:footnoteReference w:id="31"/>
      </w:r>
      <w:r w:rsidR="007A0D60">
        <w:rPr>
          <w:lang w:val="en-GB"/>
        </w:rPr>
        <w:t xml:space="preserve"> Industry comparability seems to matter much more to managers than international comparability</w:t>
      </w:r>
      <w:r w:rsidR="00BC7F86">
        <w:rPr>
          <w:lang w:val="en-GB"/>
        </w:rPr>
        <w:t xml:space="preserve"> does</w:t>
      </w:r>
      <w:r w:rsidR="007A0D60">
        <w:rPr>
          <w:lang w:val="en-GB"/>
        </w:rPr>
        <w:t>.</w:t>
      </w:r>
    </w:p>
    <w:p w14:paraId="3F069E84" w14:textId="009A5661" w:rsidR="007475EC" w:rsidRDefault="00CD2B19" w:rsidP="00BE4C48">
      <w:pPr>
        <w:rPr>
          <w:lang w:val="en-GB"/>
        </w:rPr>
      </w:pPr>
      <w:r w:rsidRPr="00294D8B">
        <w:rPr>
          <w:lang w:val="en-GB"/>
        </w:rPr>
        <w:t>In an attempt to shed some light on whether the reasons given by managers are trustworthy, we investigate the 16 references to industry comparability</w:t>
      </w:r>
      <w:r w:rsidR="0000396F">
        <w:rPr>
          <w:lang w:val="en-GB"/>
        </w:rPr>
        <w:t xml:space="preserve"> (hereafter, </w:t>
      </w:r>
      <w:r w:rsidR="00874289">
        <w:rPr>
          <w:lang w:val="en-GB"/>
        </w:rPr>
        <w:t>‘</w:t>
      </w:r>
      <w:r w:rsidR="0000396F">
        <w:rPr>
          <w:lang w:val="en-GB"/>
        </w:rPr>
        <w:t>16 cases’)</w:t>
      </w:r>
      <w:r w:rsidRPr="00294D8B">
        <w:rPr>
          <w:lang w:val="en-GB"/>
        </w:rPr>
        <w:t xml:space="preserve">. </w:t>
      </w:r>
      <w:r w:rsidR="00456533">
        <w:rPr>
          <w:lang w:val="en-GB"/>
        </w:rPr>
        <w:t>We choose this reason</w:t>
      </w:r>
      <w:r w:rsidRPr="00294D8B">
        <w:rPr>
          <w:lang w:val="en-GB"/>
        </w:rPr>
        <w:t xml:space="preserve"> because we believe </w:t>
      </w:r>
      <w:r w:rsidR="00456533">
        <w:rPr>
          <w:lang w:val="en-GB"/>
        </w:rPr>
        <w:t xml:space="preserve">that </w:t>
      </w:r>
      <w:r w:rsidRPr="00294D8B">
        <w:rPr>
          <w:lang w:val="en-GB"/>
        </w:rPr>
        <w:t>we can identify a reasonable benchmark</w:t>
      </w:r>
      <w:r w:rsidR="00456533">
        <w:rPr>
          <w:lang w:val="en-GB"/>
        </w:rPr>
        <w:t xml:space="preserve"> for it</w:t>
      </w:r>
      <w:r w:rsidRPr="00294D8B">
        <w:rPr>
          <w:lang w:val="en-GB"/>
        </w:rPr>
        <w:t>, i.e. the choices of other firms</w:t>
      </w:r>
      <w:r w:rsidR="00BE4C48">
        <w:rPr>
          <w:lang w:val="en-GB"/>
        </w:rPr>
        <w:t xml:space="preserve"> in our sample</w:t>
      </w:r>
      <w:r w:rsidRPr="00294D8B">
        <w:rPr>
          <w:lang w:val="en-GB"/>
        </w:rPr>
        <w:t xml:space="preserve"> </w:t>
      </w:r>
      <w:r w:rsidR="00456533">
        <w:rPr>
          <w:lang w:val="en-GB"/>
        </w:rPr>
        <w:t>which have</w:t>
      </w:r>
      <w:r w:rsidR="00142A6D">
        <w:rPr>
          <w:lang w:val="en-GB"/>
        </w:rPr>
        <w:t xml:space="preserve"> the same first digit of the Industry Classification Benchmark (ICB) in the</w:t>
      </w:r>
      <w:r w:rsidRPr="00294D8B">
        <w:rPr>
          <w:lang w:val="en-GB"/>
        </w:rPr>
        <w:t xml:space="preserve"> year</w:t>
      </w:r>
      <w:r w:rsidR="00142A6D">
        <w:rPr>
          <w:lang w:val="en-GB"/>
        </w:rPr>
        <w:t xml:space="preserve"> of the change</w:t>
      </w:r>
      <w:r w:rsidRPr="00294D8B">
        <w:rPr>
          <w:lang w:val="en-GB"/>
        </w:rPr>
        <w:t xml:space="preserve">. </w:t>
      </w:r>
      <w:r w:rsidR="00294D8B">
        <w:rPr>
          <w:lang w:val="en-GB"/>
        </w:rPr>
        <w:t xml:space="preserve">For example, Woodside Petroleum changed from direct operating cash flows, which is </w:t>
      </w:r>
      <w:r w:rsidR="00B96650">
        <w:rPr>
          <w:lang w:val="en-GB"/>
        </w:rPr>
        <w:t>the IASB’s preferred option</w:t>
      </w:r>
      <w:r w:rsidR="00945A7D">
        <w:rPr>
          <w:lang w:val="en-GB"/>
        </w:rPr>
        <w:t xml:space="preserve"> and </w:t>
      </w:r>
      <w:r w:rsidR="00294D8B">
        <w:rPr>
          <w:lang w:val="en-GB"/>
        </w:rPr>
        <w:t>the typical Australian choice (see e.g. Kvaal and Nobes 2010)</w:t>
      </w:r>
      <w:r w:rsidR="00142A6D">
        <w:rPr>
          <w:lang w:val="en-GB"/>
        </w:rPr>
        <w:t>,</w:t>
      </w:r>
      <w:r w:rsidR="00294D8B">
        <w:rPr>
          <w:lang w:val="en-GB"/>
        </w:rPr>
        <w:t xml:space="preserve"> to the indirect method in 2008. Consequently, </w:t>
      </w:r>
      <w:r w:rsidR="00142A6D">
        <w:rPr>
          <w:lang w:val="en-GB"/>
        </w:rPr>
        <w:t xml:space="preserve">the </w:t>
      </w:r>
      <w:r w:rsidR="00294D8B">
        <w:rPr>
          <w:lang w:val="en-GB"/>
        </w:rPr>
        <w:t xml:space="preserve">new choice </w:t>
      </w:r>
      <w:r w:rsidR="00142A6D">
        <w:rPr>
          <w:lang w:val="en-GB"/>
        </w:rPr>
        <w:t xml:space="preserve">made it </w:t>
      </w:r>
      <w:r w:rsidR="00294D8B">
        <w:rPr>
          <w:lang w:val="en-GB"/>
        </w:rPr>
        <w:t xml:space="preserve">comparable to 83% of </w:t>
      </w:r>
      <w:r w:rsidR="00456533">
        <w:rPr>
          <w:lang w:val="en-GB"/>
        </w:rPr>
        <w:t xml:space="preserve">world-wide </w:t>
      </w:r>
      <w:r w:rsidR="00294D8B">
        <w:rPr>
          <w:lang w:val="en-GB"/>
        </w:rPr>
        <w:t>industry peers in our sample</w:t>
      </w:r>
      <w:r w:rsidR="00142A6D">
        <w:rPr>
          <w:lang w:val="en-GB"/>
        </w:rPr>
        <w:t xml:space="preserve"> compared to 17% under the previous choice</w:t>
      </w:r>
      <w:r w:rsidR="00294D8B">
        <w:rPr>
          <w:lang w:val="en-GB"/>
        </w:rPr>
        <w:t xml:space="preserve">. </w:t>
      </w:r>
      <w:r w:rsidR="005A699B">
        <w:rPr>
          <w:lang w:val="en-GB"/>
        </w:rPr>
        <w:t>When we make this comparison for all 16 cases, we find clear evidence of increased industry comparability due to the changes</w:t>
      </w:r>
      <w:r w:rsidR="005A699B" w:rsidRPr="00294D8B">
        <w:rPr>
          <w:lang w:val="en-GB"/>
        </w:rPr>
        <w:t xml:space="preserve">: </w:t>
      </w:r>
      <w:r w:rsidR="005A699B">
        <w:rPr>
          <w:lang w:val="en-GB"/>
        </w:rPr>
        <w:t>on average, the new choice</w:t>
      </w:r>
      <w:r w:rsidR="00BC7F86">
        <w:rPr>
          <w:lang w:val="en-GB"/>
        </w:rPr>
        <w:t>s</w:t>
      </w:r>
      <w:r w:rsidR="005A699B">
        <w:rPr>
          <w:lang w:val="en-GB"/>
        </w:rPr>
        <w:t xml:space="preserve"> </w:t>
      </w:r>
      <w:r w:rsidR="00BC7F86">
        <w:rPr>
          <w:lang w:val="en-GB"/>
        </w:rPr>
        <w:t>are</w:t>
      </w:r>
      <w:r w:rsidR="005A699B">
        <w:rPr>
          <w:lang w:val="en-GB"/>
        </w:rPr>
        <w:t xml:space="preserve"> comparable to 56% of industry peers compared to 24% under the previous choice</w:t>
      </w:r>
      <w:r w:rsidR="00BC7F86">
        <w:rPr>
          <w:lang w:val="en-GB"/>
        </w:rPr>
        <w:t>s</w:t>
      </w:r>
      <w:r w:rsidR="005A699B">
        <w:rPr>
          <w:lang w:val="en-GB"/>
        </w:rPr>
        <w:t>.</w:t>
      </w:r>
      <w:r w:rsidR="005A699B">
        <w:rPr>
          <w:rStyle w:val="FootnoteReference"/>
          <w:lang w:val="en-GB"/>
        </w:rPr>
        <w:footnoteReference w:id="32"/>
      </w:r>
    </w:p>
    <w:p w14:paraId="7BFC12A7" w14:textId="261A3F17" w:rsidR="00CD2B19" w:rsidRPr="00D272CC" w:rsidRDefault="0000396F" w:rsidP="00BE4C48">
      <w:pPr>
        <w:rPr>
          <w:lang w:val="en-GB"/>
        </w:rPr>
      </w:pPr>
      <w:r>
        <w:rPr>
          <w:lang w:val="en-GB"/>
        </w:rPr>
        <w:t xml:space="preserve">As an alternative analysis, we </w:t>
      </w:r>
      <w:r w:rsidR="006E74D7">
        <w:rPr>
          <w:lang w:val="en-GB"/>
        </w:rPr>
        <w:t>investigate</w:t>
      </w:r>
      <w:r>
        <w:rPr>
          <w:lang w:val="en-GB"/>
        </w:rPr>
        <w:t xml:space="preserve"> w</w:t>
      </w:r>
      <w:r w:rsidR="007475EC">
        <w:rPr>
          <w:lang w:val="en-GB"/>
        </w:rPr>
        <w:t xml:space="preserve">hether the new choice </w:t>
      </w:r>
      <w:r w:rsidR="006E74D7">
        <w:rPr>
          <w:lang w:val="en-GB"/>
        </w:rPr>
        <w:t xml:space="preserve">of a firm </w:t>
      </w:r>
      <w:r w:rsidR="007475EC">
        <w:rPr>
          <w:lang w:val="en-GB"/>
        </w:rPr>
        <w:t xml:space="preserve">made </w:t>
      </w:r>
      <w:r w:rsidR="006E74D7">
        <w:rPr>
          <w:lang w:val="en-GB"/>
        </w:rPr>
        <w:t>it</w:t>
      </w:r>
      <w:r w:rsidR="007475EC">
        <w:rPr>
          <w:lang w:val="en-GB"/>
        </w:rPr>
        <w:t xml:space="preserve"> more comparable to industry peers than the previous choice, as was </w:t>
      </w:r>
      <w:r w:rsidR="00096B91">
        <w:rPr>
          <w:lang w:val="en-GB"/>
        </w:rPr>
        <w:t>true</w:t>
      </w:r>
      <w:r w:rsidR="007475EC">
        <w:rPr>
          <w:lang w:val="en-GB"/>
        </w:rPr>
        <w:t xml:space="preserve"> for Woodside Petroleum. </w:t>
      </w:r>
      <w:r w:rsidR="006E74D7">
        <w:rPr>
          <w:lang w:val="en-GB"/>
        </w:rPr>
        <w:t>We find that</w:t>
      </w:r>
      <w:r w:rsidR="0034297D" w:rsidRPr="00294D8B">
        <w:rPr>
          <w:lang w:val="en-GB"/>
        </w:rPr>
        <w:t xml:space="preserve"> 1</w:t>
      </w:r>
      <w:r w:rsidR="00B1648A">
        <w:rPr>
          <w:lang w:val="en-GB"/>
        </w:rPr>
        <w:t>3</w:t>
      </w:r>
      <w:r w:rsidR="0034297D" w:rsidRPr="00294D8B">
        <w:rPr>
          <w:lang w:val="en-GB"/>
        </w:rPr>
        <w:t xml:space="preserve"> out of 16 cases result </w:t>
      </w:r>
      <w:r w:rsidR="00BE4C48">
        <w:rPr>
          <w:lang w:val="en-GB"/>
        </w:rPr>
        <w:t>in more industry comparability.</w:t>
      </w:r>
      <w:r w:rsidR="00B1648A">
        <w:rPr>
          <w:rStyle w:val="FootnoteReference"/>
          <w:lang w:val="en-GB"/>
        </w:rPr>
        <w:footnoteReference w:id="33"/>
      </w:r>
      <w:r w:rsidR="00BE4C48">
        <w:rPr>
          <w:lang w:val="en-GB"/>
        </w:rPr>
        <w:t xml:space="preserve"> </w:t>
      </w:r>
      <w:r w:rsidR="00C232FC">
        <w:rPr>
          <w:lang w:val="en-GB"/>
        </w:rPr>
        <w:t xml:space="preserve">If we exclude the two cases where firms changed the presentation of the income statement to what we score as ‘neither by function </w:t>
      </w:r>
      <w:r w:rsidR="00FF2DE0">
        <w:rPr>
          <w:lang w:val="en-GB"/>
        </w:rPr>
        <w:t>n</w:t>
      </w:r>
      <w:r w:rsidR="00C232FC">
        <w:rPr>
          <w:lang w:val="en-GB"/>
        </w:rPr>
        <w:t>or by format’ (c), then 1</w:t>
      </w:r>
      <w:r w:rsidR="00B1648A">
        <w:rPr>
          <w:lang w:val="en-GB"/>
        </w:rPr>
        <w:t>3</w:t>
      </w:r>
      <w:r w:rsidR="00C232FC">
        <w:rPr>
          <w:lang w:val="en-GB"/>
        </w:rPr>
        <w:t xml:space="preserve"> out of 14 cases result in more industry comparability.</w:t>
      </w:r>
    </w:p>
    <w:p w14:paraId="106495AB" w14:textId="77777777" w:rsidR="00FC259C" w:rsidRPr="00D272CC" w:rsidRDefault="00B4003C" w:rsidP="00C86C65">
      <w:pPr>
        <w:rPr>
          <w:lang w:val="en-GB"/>
        </w:rPr>
      </w:pPr>
      <w:r>
        <w:rPr>
          <w:lang w:val="en-GB"/>
        </w:rPr>
        <w:t>The remaining reasons</w:t>
      </w:r>
      <w:r w:rsidRPr="00D272CC">
        <w:rPr>
          <w:lang w:val="en-GB"/>
        </w:rPr>
        <w:t xml:space="preserve"> </w:t>
      </w:r>
      <w:r w:rsidR="00456533">
        <w:rPr>
          <w:lang w:val="en-GB"/>
        </w:rPr>
        <w:t xml:space="preserve">given for policy change </w:t>
      </w:r>
      <w:r w:rsidRPr="00D272CC">
        <w:rPr>
          <w:lang w:val="en-GB"/>
        </w:rPr>
        <w:t>are 31 r</w:t>
      </w:r>
      <w:r>
        <w:rPr>
          <w:lang w:val="en-GB"/>
        </w:rPr>
        <w:t xml:space="preserve">eferences to ‘economic’ </w:t>
      </w:r>
      <w:r w:rsidR="000A7BE7">
        <w:rPr>
          <w:lang w:val="en-GB"/>
        </w:rPr>
        <w:t>and 44</w:t>
      </w:r>
      <w:r w:rsidRPr="00D272CC">
        <w:rPr>
          <w:lang w:val="en-GB"/>
        </w:rPr>
        <w:t xml:space="preserve"> to ‘</w:t>
      </w:r>
      <w:r w:rsidR="00AB08B3">
        <w:rPr>
          <w:lang w:val="en-GB"/>
        </w:rPr>
        <w:t>other</w:t>
      </w:r>
      <w:r w:rsidRPr="00D272CC">
        <w:rPr>
          <w:lang w:val="en-GB"/>
        </w:rPr>
        <w:t>’.</w:t>
      </w:r>
      <w:r>
        <w:rPr>
          <w:lang w:val="en-GB"/>
        </w:rPr>
        <w:t xml:space="preserve"> A</w:t>
      </w:r>
      <w:r w:rsidR="00FC259C" w:rsidRPr="00D272CC">
        <w:rPr>
          <w:lang w:val="en-GB"/>
        </w:rPr>
        <w:t xml:space="preserve"> firm event is the most frequent ‘economic’ reason</w:t>
      </w:r>
      <w:r w:rsidR="00F03CDA" w:rsidRPr="00D272CC">
        <w:rPr>
          <w:lang w:val="en-GB"/>
        </w:rPr>
        <w:t xml:space="preserve"> (14 times)</w:t>
      </w:r>
      <w:r w:rsidR="00FC259C" w:rsidRPr="00D272CC">
        <w:rPr>
          <w:lang w:val="en-GB"/>
        </w:rPr>
        <w:t xml:space="preserve"> and </w:t>
      </w:r>
      <w:r w:rsidR="00F03CDA" w:rsidRPr="00D272CC">
        <w:rPr>
          <w:lang w:val="en-GB"/>
        </w:rPr>
        <w:t>early adoption of a standard the most frequent ‘</w:t>
      </w:r>
      <w:r w:rsidR="00AB08B3">
        <w:rPr>
          <w:lang w:val="en-GB"/>
        </w:rPr>
        <w:t>other</w:t>
      </w:r>
      <w:r w:rsidR="00F03CDA" w:rsidRPr="00D272CC">
        <w:rPr>
          <w:lang w:val="en-GB"/>
        </w:rPr>
        <w:t>’</w:t>
      </w:r>
      <w:r w:rsidRPr="00B4003C">
        <w:rPr>
          <w:lang w:val="en-GB"/>
        </w:rPr>
        <w:t xml:space="preserve"> </w:t>
      </w:r>
      <w:r w:rsidRPr="00D272CC">
        <w:rPr>
          <w:lang w:val="en-GB"/>
        </w:rPr>
        <w:t>reason</w:t>
      </w:r>
      <w:r w:rsidR="00F03CDA" w:rsidRPr="00D272CC">
        <w:rPr>
          <w:lang w:val="en-GB"/>
        </w:rPr>
        <w:t xml:space="preserve"> (24 times).</w:t>
      </w:r>
    </w:p>
    <w:p w14:paraId="7DCE847A" w14:textId="57F30F46" w:rsidR="00193C05" w:rsidRPr="00D272CC" w:rsidRDefault="00193C05" w:rsidP="00C86C65">
      <w:pPr>
        <w:rPr>
          <w:lang w:val="en-GB"/>
        </w:rPr>
      </w:pPr>
      <w:r w:rsidRPr="00D272CC">
        <w:rPr>
          <w:lang w:val="en-GB"/>
        </w:rPr>
        <w:t xml:space="preserve">The second and third columns of Table 4 distinguish, by category, whether one </w:t>
      </w:r>
      <w:r w:rsidR="000F52CB">
        <w:rPr>
          <w:lang w:val="en-GB"/>
        </w:rPr>
        <w:t xml:space="preserve">reason </w:t>
      </w:r>
      <w:r w:rsidRPr="00D272CC">
        <w:rPr>
          <w:lang w:val="en-GB"/>
        </w:rPr>
        <w:t xml:space="preserve">or more than one reason is provided in an explanation of policy change. </w:t>
      </w:r>
      <w:r w:rsidR="006C26B8" w:rsidRPr="00D272CC">
        <w:rPr>
          <w:lang w:val="en-GB"/>
        </w:rPr>
        <w:t>Of the 204 reasons, 10</w:t>
      </w:r>
      <w:r w:rsidR="00B06811" w:rsidRPr="00D272CC">
        <w:rPr>
          <w:lang w:val="en-GB"/>
        </w:rPr>
        <w:t>6</w:t>
      </w:r>
      <w:r w:rsidR="006C26B8" w:rsidRPr="00D272CC">
        <w:rPr>
          <w:lang w:val="en-GB"/>
        </w:rPr>
        <w:t xml:space="preserve"> are ‘</w:t>
      </w:r>
      <w:r w:rsidR="00FA3570">
        <w:rPr>
          <w:lang w:val="en-GB"/>
        </w:rPr>
        <w:t>one</w:t>
      </w:r>
      <w:r w:rsidR="006C26B8" w:rsidRPr="00D272CC">
        <w:rPr>
          <w:lang w:val="en-GB"/>
        </w:rPr>
        <w:t xml:space="preserve"> reason only’</w:t>
      </w:r>
      <w:r w:rsidR="004B5034">
        <w:rPr>
          <w:lang w:val="en-GB"/>
        </w:rPr>
        <w:t xml:space="preserve">. Of these, there are </w:t>
      </w:r>
      <w:r w:rsidR="000A7BE7">
        <w:rPr>
          <w:lang w:val="en-GB"/>
        </w:rPr>
        <w:t>only</w:t>
      </w:r>
      <w:r w:rsidRPr="00D272CC">
        <w:rPr>
          <w:lang w:val="en-GB"/>
        </w:rPr>
        <w:t xml:space="preserve"> </w:t>
      </w:r>
      <w:r w:rsidR="00360878" w:rsidRPr="00D272CC">
        <w:rPr>
          <w:lang w:val="en-GB"/>
        </w:rPr>
        <w:t>seven</w:t>
      </w:r>
      <w:r w:rsidRPr="00D272CC">
        <w:rPr>
          <w:lang w:val="en-GB"/>
        </w:rPr>
        <w:t xml:space="preserve"> </w:t>
      </w:r>
      <w:r w:rsidR="000A7BE7">
        <w:rPr>
          <w:lang w:val="en-GB"/>
        </w:rPr>
        <w:t>instances of</w:t>
      </w:r>
      <w:r w:rsidRPr="00D272CC">
        <w:rPr>
          <w:lang w:val="en-GB"/>
        </w:rPr>
        <w:t xml:space="preserve"> relevance and </w:t>
      </w:r>
      <w:r w:rsidR="000A7BE7">
        <w:rPr>
          <w:lang w:val="en-GB"/>
        </w:rPr>
        <w:t>none of</w:t>
      </w:r>
      <w:r w:rsidRPr="00D272CC">
        <w:rPr>
          <w:lang w:val="en-GB"/>
        </w:rPr>
        <w:t xml:space="preserve"> reliability</w:t>
      </w:r>
      <w:r w:rsidR="004B5034">
        <w:rPr>
          <w:lang w:val="en-GB"/>
        </w:rPr>
        <w:t xml:space="preserve">, which </w:t>
      </w:r>
      <w:r w:rsidRPr="00D272CC">
        <w:rPr>
          <w:lang w:val="en-GB"/>
        </w:rPr>
        <w:t xml:space="preserve">is </w:t>
      </w:r>
      <w:r w:rsidR="00101EF0" w:rsidRPr="00D272CC">
        <w:rPr>
          <w:lang w:val="en-GB"/>
        </w:rPr>
        <w:t>probably because</w:t>
      </w:r>
      <w:r w:rsidRPr="00D272CC">
        <w:rPr>
          <w:lang w:val="en-GB"/>
        </w:rPr>
        <w:t xml:space="preserve"> IAS 8 requir</w:t>
      </w:r>
      <w:r w:rsidR="00101EF0" w:rsidRPr="00D272CC">
        <w:rPr>
          <w:lang w:val="en-GB"/>
        </w:rPr>
        <w:t>es</w:t>
      </w:r>
      <w:r w:rsidRPr="00D272CC">
        <w:rPr>
          <w:lang w:val="en-GB"/>
        </w:rPr>
        <w:t xml:space="preserve"> an explanation </w:t>
      </w:r>
      <w:r w:rsidR="00101EF0" w:rsidRPr="00D272CC">
        <w:rPr>
          <w:lang w:val="en-GB"/>
        </w:rPr>
        <w:t xml:space="preserve">in terms of </w:t>
      </w:r>
      <w:r w:rsidRPr="00D272CC">
        <w:rPr>
          <w:lang w:val="en-GB"/>
        </w:rPr>
        <w:t>reasons why the change provides reliable and more relevant information.</w:t>
      </w:r>
      <w:r w:rsidR="007A50EF">
        <w:rPr>
          <w:lang w:val="en-GB"/>
        </w:rPr>
        <w:t xml:space="preserve"> In the ‘</w:t>
      </w:r>
      <w:r w:rsidR="00AB08B3">
        <w:rPr>
          <w:lang w:val="en-GB"/>
        </w:rPr>
        <w:t>other</w:t>
      </w:r>
      <w:r w:rsidR="007A50EF">
        <w:rPr>
          <w:lang w:val="en-GB"/>
        </w:rPr>
        <w:t xml:space="preserve">’ category, usually </w:t>
      </w:r>
      <w:r w:rsidR="006C26B8" w:rsidRPr="00D272CC">
        <w:rPr>
          <w:lang w:val="en-GB"/>
        </w:rPr>
        <w:t>only one reason is provided.</w:t>
      </w:r>
    </w:p>
    <w:p w14:paraId="76BD47D5" w14:textId="77777777" w:rsidR="006C26B8" w:rsidRPr="00D272CC" w:rsidRDefault="006C26B8" w:rsidP="00C86C65">
      <w:pPr>
        <w:rPr>
          <w:lang w:val="en-GB"/>
        </w:rPr>
      </w:pPr>
      <w:r w:rsidRPr="00D272CC">
        <w:rPr>
          <w:lang w:val="en-GB"/>
        </w:rPr>
        <w:t xml:space="preserve">The last column of Table 4 reports the frequencies and proportions for </w:t>
      </w:r>
      <w:r w:rsidR="00E83B76" w:rsidRPr="00D272CC">
        <w:rPr>
          <w:lang w:val="en-GB"/>
        </w:rPr>
        <w:t>measurement</w:t>
      </w:r>
      <w:r w:rsidRPr="00D272CC">
        <w:rPr>
          <w:lang w:val="en-GB"/>
        </w:rPr>
        <w:t xml:space="preserve"> </w:t>
      </w:r>
      <w:r w:rsidR="00E83B76" w:rsidRPr="00D272CC">
        <w:rPr>
          <w:lang w:val="en-GB"/>
        </w:rPr>
        <w:t>topics</w:t>
      </w:r>
      <w:r w:rsidRPr="00D272CC">
        <w:rPr>
          <w:lang w:val="en-GB"/>
        </w:rPr>
        <w:t xml:space="preserve"> only, i.e. for changes </w:t>
      </w:r>
      <w:r w:rsidR="00101EF0" w:rsidRPr="00D272CC">
        <w:rPr>
          <w:lang w:val="en-GB"/>
        </w:rPr>
        <w:t>relating to</w:t>
      </w:r>
      <w:r w:rsidRPr="00D272CC">
        <w:rPr>
          <w:lang w:val="en-GB"/>
        </w:rPr>
        <w:t xml:space="preserve"> topics 1</w:t>
      </w:r>
      <w:r w:rsidR="00E83B76" w:rsidRPr="00D272CC">
        <w:rPr>
          <w:lang w:val="en-GB"/>
        </w:rPr>
        <w:t>0</w:t>
      </w:r>
      <w:r w:rsidRPr="00D272CC">
        <w:rPr>
          <w:lang w:val="en-GB"/>
        </w:rPr>
        <w:t xml:space="preserve"> to </w:t>
      </w:r>
      <w:r w:rsidR="00E83B76" w:rsidRPr="00D272CC">
        <w:rPr>
          <w:lang w:val="en-GB"/>
        </w:rPr>
        <w:t>16</w:t>
      </w:r>
      <w:r w:rsidRPr="00D272CC">
        <w:rPr>
          <w:lang w:val="en-GB"/>
        </w:rPr>
        <w:t xml:space="preserve">. Overall, </w:t>
      </w:r>
      <w:r w:rsidR="00E83B76" w:rsidRPr="00D272CC">
        <w:rPr>
          <w:lang w:val="en-GB"/>
        </w:rPr>
        <w:t>11</w:t>
      </w:r>
      <w:r w:rsidR="00B06811" w:rsidRPr="00D272CC">
        <w:rPr>
          <w:lang w:val="en-GB"/>
        </w:rPr>
        <w:t>5</w:t>
      </w:r>
      <w:r w:rsidRPr="00D272CC">
        <w:rPr>
          <w:lang w:val="en-GB"/>
        </w:rPr>
        <w:t xml:space="preserve"> reasons </w:t>
      </w:r>
      <w:r w:rsidR="00360878" w:rsidRPr="00D272CC">
        <w:rPr>
          <w:lang w:val="en-GB"/>
        </w:rPr>
        <w:t>(</w:t>
      </w:r>
      <w:r w:rsidR="00E83B76" w:rsidRPr="00D272CC">
        <w:rPr>
          <w:lang w:val="en-GB"/>
        </w:rPr>
        <w:t>56</w:t>
      </w:r>
      <w:r w:rsidRPr="00D272CC">
        <w:rPr>
          <w:lang w:val="en-GB"/>
        </w:rPr>
        <w:t>%</w:t>
      </w:r>
      <w:r w:rsidR="00360878" w:rsidRPr="00D272CC">
        <w:rPr>
          <w:lang w:val="en-GB"/>
        </w:rPr>
        <w:t>)</w:t>
      </w:r>
      <w:r w:rsidRPr="00D272CC">
        <w:rPr>
          <w:lang w:val="en-GB"/>
        </w:rPr>
        <w:t xml:space="preserve"> relate to </w:t>
      </w:r>
      <w:r w:rsidR="00E83B76" w:rsidRPr="00D272CC">
        <w:rPr>
          <w:lang w:val="en-GB"/>
        </w:rPr>
        <w:t>measurement</w:t>
      </w:r>
      <w:r w:rsidRPr="00D272CC">
        <w:rPr>
          <w:lang w:val="en-GB"/>
        </w:rPr>
        <w:t xml:space="preserve"> topics. A test of proportions shows that </w:t>
      </w:r>
      <w:r w:rsidR="00E83B76" w:rsidRPr="00D272CC">
        <w:rPr>
          <w:lang w:val="en-GB"/>
        </w:rPr>
        <w:t>measurement</w:t>
      </w:r>
      <w:r w:rsidRPr="00D272CC">
        <w:rPr>
          <w:lang w:val="en-GB"/>
        </w:rPr>
        <w:t xml:space="preserve"> topics are </w:t>
      </w:r>
      <w:r w:rsidR="00E83B76" w:rsidRPr="00D272CC">
        <w:rPr>
          <w:lang w:val="en-GB"/>
        </w:rPr>
        <w:t>over</w:t>
      </w:r>
      <w:r w:rsidR="00E6569A" w:rsidRPr="00D272CC">
        <w:rPr>
          <w:lang w:val="en-GB"/>
        </w:rPr>
        <w:t>-</w:t>
      </w:r>
      <w:r w:rsidRPr="00D272CC">
        <w:rPr>
          <w:lang w:val="en-GB"/>
        </w:rPr>
        <w:t xml:space="preserve">represented in the ‘faithful representation’ and ‘effect on financial statements’ categories, and </w:t>
      </w:r>
      <w:r w:rsidR="00E83B76" w:rsidRPr="00D272CC">
        <w:rPr>
          <w:lang w:val="en-GB"/>
        </w:rPr>
        <w:t>under</w:t>
      </w:r>
      <w:r w:rsidR="00E6569A" w:rsidRPr="00D272CC">
        <w:rPr>
          <w:lang w:val="en-GB"/>
        </w:rPr>
        <w:t>-</w:t>
      </w:r>
      <w:r w:rsidRPr="00D272CC">
        <w:rPr>
          <w:lang w:val="en-GB"/>
        </w:rPr>
        <w:t>represented in the ‘economic/managerial environment’, ‘due to another policy change’, ‘early adoption of standard’ and ‘requirement of local regulator’ categories</w:t>
      </w:r>
      <w:r w:rsidR="00764B55" w:rsidRPr="00D272CC">
        <w:rPr>
          <w:lang w:val="en-GB"/>
        </w:rPr>
        <w:t xml:space="preserve"> (the results are statistically significant at the </w:t>
      </w:r>
      <w:r w:rsidR="00764B55" w:rsidRPr="00D272CC">
        <w:rPr>
          <w:szCs w:val="20"/>
          <w:lang w:val="en-GB"/>
        </w:rPr>
        <w:t xml:space="preserve">5% level </w:t>
      </w:r>
      <w:r w:rsidR="009D31F1" w:rsidRPr="00D272CC">
        <w:rPr>
          <w:szCs w:val="20"/>
          <w:lang w:val="en-GB"/>
        </w:rPr>
        <w:t>using a two-sided test</w:t>
      </w:r>
      <w:r w:rsidR="00764B55" w:rsidRPr="00D272CC">
        <w:rPr>
          <w:szCs w:val="20"/>
          <w:lang w:val="en-GB"/>
        </w:rPr>
        <w:t>)</w:t>
      </w:r>
      <w:r w:rsidRPr="00D272CC">
        <w:rPr>
          <w:lang w:val="en-GB"/>
        </w:rPr>
        <w:t>.</w:t>
      </w:r>
    </w:p>
    <w:p w14:paraId="5679BEF9" w14:textId="7272D367" w:rsidR="00F30520" w:rsidRPr="00D272CC" w:rsidRDefault="00F30520" w:rsidP="00F30520">
      <w:pPr>
        <w:rPr>
          <w:lang w:val="en-GB"/>
        </w:rPr>
      </w:pPr>
      <w:r w:rsidRPr="00D272CC">
        <w:rPr>
          <w:lang w:val="en-GB"/>
        </w:rPr>
        <w:t xml:space="preserve">Table 5 reports </w:t>
      </w:r>
      <w:r w:rsidR="00360878" w:rsidRPr="00D272CC">
        <w:rPr>
          <w:lang w:val="en-GB"/>
        </w:rPr>
        <w:t xml:space="preserve">the </w:t>
      </w:r>
      <w:r w:rsidRPr="00D272CC">
        <w:rPr>
          <w:lang w:val="en-GB"/>
        </w:rPr>
        <w:t xml:space="preserve">results of univariate analyses of </w:t>
      </w:r>
      <w:r w:rsidR="00530AE4" w:rsidRPr="00D272CC">
        <w:rPr>
          <w:lang w:val="en-GB"/>
        </w:rPr>
        <w:t xml:space="preserve">the </w:t>
      </w:r>
      <w:r w:rsidRPr="00D272CC">
        <w:rPr>
          <w:lang w:val="en-GB"/>
        </w:rPr>
        <w:t xml:space="preserve">reasons </w:t>
      </w:r>
      <w:r w:rsidR="000A7BE7">
        <w:rPr>
          <w:lang w:val="en-GB"/>
        </w:rPr>
        <w:t xml:space="preserve">given </w:t>
      </w:r>
      <w:r w:rsidRPr="00D272CC">
        <w:rPr>
          <w:lang w:val="en-GB"/>
        </w:rPr>
        <w:t>for IFRS policy changes</w:t>
      </w:r>
      <w:r w:rsidR="00360878" w:rsidRPr="00D272CC">
        <w:rPr>
          <w:lang w:val="en-GB"/>
        </w:rPr>
        <w:t>,</w:t>
      </w:r>
      <w:r w:rsidR="00530AE4" w:rsidRPr="00D272CC">
        <w:rPr>
          <w:lang w:val="en-GB"/>
        </w:rPr>
        <w:t xml:space="preserve"> </w:t>
      </w:r>
      <w:r w:rsidR="00D21998" w:rsidRPr="00D272CC">
        <w:rPr>
          <w:lang w:val="en-GB"/>
        </w:rPr>
        <w:t xml:space="preserve">based on two-sample tests of </w:t>
      </w:r>
      <w:r w:rsidR="00FC60D8" w:rsidRPr="00D272CC">
        <w:rPr>
          <w:lang w:val="en-GB"/>
        </w:rPr>
        <w:t>proportion</w:t>
      </w:r>
      <w:r w:rsidR="00D21998" w:rsidRPr="00D272CC">
        <w:rPr>
          <w:lang w:val="en-GB"/>
        </w:rPr>
        <w:t xml:space="preserve">s. </w:t>
      </w:r>
      <w:r w:rsidR="00530AE4" w:rsidRPr="00D272CC">
        <w:rPr>
          <w:lang w:val="en-GB"/>
        </w:rPr>
        <w:t xml:space="preserve">Considering all 204 reasons, </w:t>
      </w:r>
      <w:r w:rsidR="00053EBC" w:rsidRPr="00D272CC">
        <w:rPr>
          <w:lang w:val="en-GB"/>
        </w:rPr>
        <w:t xml:space="preserve">QCs </w:t>
      </w:r>
      <w:r w:rsidR="00530AE4" w:rsidRPr="00D272CC">
        <w:rPr>
          <w:lang w:val="en-GB"/>
        </w:rPr>
        <w:t xml:space="preserve">are significantly more frequently </w:t>
      </w:r>
      <w:r w:rsidR="00D21998" w:rsidRPr="00D272CC">
        <w:rPr>
          <w:lang w:val="en-GB"/>
        </w:rPr>
        <w:t>stated as reason</w:t>
      </w:r>
      <w:r w:rsidR="00360878" w:rsidRPr="00D272CC">
        <w:rPr>
          <w:lang w:val="en-GB"/>
        </w:rPr>
        <w:t>s</w:t>
      </w:r>
      <w:r w:rsidR="00D21998" w:rsidRPr="00D272CC">
        <w:rPr>
          <w:lang w:val="en-GB"/>
        </w:rPr>
        <w:t xml:space="preserve"> than </w:t>
      </w:r>
      <w:r w:rsidR="000F52CB">
        <w:rPr>
          <w:lang w:val="en-GB"/>
        </w:rPr>
        <w:t xml:space="preserve">are </w:t>
      </w:r>
      <w:r w:rsidR="00101EF0" w:rsidRPr="00D272CC">
        <w:rPr>
          <w:lang w:val="en-GB"/>
        </w:rPr>
        <w:t>‘</w:t>
      </w:r>
      <w:r w:rsidR="00D21998" w:rsidRPr="00D272CC">
        <w:rPr>
          <w:lang w:val="en-GB"/>
        </w:rPr>
        <w:t>economic</w:t>
      </w:r>
      <w:r w:rsidR="00101EF0" w:rsidRPr="00D272CC">
        <w:rPr>
          <w:lang w:val="en-GB"/>
        </w:rPr>
        <w:t>’</w:t>
      </w:r>
      <w:r w:rsidR="00D21998" w:rsidRPr="00D272CC">
        <w:rPr>
          <w:lang w:val="en-GB"/>
        </w:rPr>
        <w:t xml:space="preserve"> and </w:t>
      </w:r>
      <w:r w:rsidR="00101EF0" w:rsidRPr="00D272CC">
        <w:rPr>
          <w:lang w:val="en-GB"/>
        </w:rPr>
        <w:t>‘</w:t>
      </w:r>
      <w:r w:rsidR="00AB08B3">
        <w:rPr>
          <w:lang w:val="en-GB"/>
        </w:rPr>
        <w:t>other</w:t>
      </w:r>
      <w:r w:rsidR="00101EF0" w:rsidRPr="00D272CC">
        <w:rPr>
          <w:lang w:val="en-GB"/>
        </w:rPr>
        <w:t>’</w:t>
      </w:r>
      <w:r w:rsidR="00E760CF" w:rsidRPr="00D272CC">
        <w:rPr>
          <w:lang w:val="en-GB"/>
        </w:rPr>
        <w:t xml:space="preserve"> combined</w:t>
      </w:r>
      <w:r w:rsidR="00D21998" w:rsidRPr="00D272CC">
        <w:rPr>
          <w:lang w:val="en-GB"/>
        </w:rPr>
        <w:t xml:space="preserve"> (</w:t>
      </w:r>
      <w:r w:rsidR="007A18A3" w:rsidRPr="00D272CC">
        <w:rPr>
          <w:lang w:val="en-GB"/>
        </w:rPr>
        <w:t>6</w:t>
      </w:r>
      <w:r w:rsidR="00B06811" w:rsidRPr="00D272CC">
        <w:rPr>
          <w:lang w:val="en-GB"/>
        </w:rPr>
        <w:t>3</w:t>
      </w:r>
      <w:r w:rsidR="007A18A3" w:rsidRPr="00D272CC">
        <w:rPr>
          <w:lang w:val="en-GB"/>
        </w:rPr>
        <w:t>% vs 3</w:t>
      </w:r>
      <w:r w:rsidR="00B06811" w:rsidRPr="00D272CC">
        <w:rPr>
          <w:lang w:val="en-GB"/>
        </w:rPr>
        <w:t>7</w:t>
      </w:r>
      <w:r w:rsidR="00D21998" w:rsidRPr="00D272CC">
        <w:rPr>
          <w:lang w:val="en-GB"/>
        </w:rPr>
        <w:t xml:space="preserve">%, respectively). </w:t>
      </w:r>
      <w:r w:rsidR="00FF30D2">
        <w:rPr>
          <w:lang w:val="en-GB"/>
        </w:rPr>
        <w:t xml:space="preserve">This is still true if transparency is excluded because it is not </w:t>
      </w:r>
      <w:r w:rsidR="00485738">
        <w:rPr>
          <w:lang w:val="en-GB"/>
        </w:rPr>
        <w:t xml:space="preserve">directly </w:t>
      </w:r>
      <w:r w:rsidR="00FF30D2">
        <w:rPr>
          <w:lang w:val="en-GB"/>
        </w:rPr>
        <w:t xml:space="preserve">mentioned in the </w:t>
      </w:r>
      <w:r w:rsidR="001C69C5" w:rsidRPr="002C29D9">
        <w:rPr>
          <w:i/>
          <w:lang w:val="en-GB"/>
        </w:rPr>
        <w:t>F</w:t>
      </w:r>
      <w:r w:rsidR="00FF30D2" w:rsidRPr="002C29D9">
        <w:rPr>
          <w:i/>
          <w:lang w:val="en-GB"/>
        </w:rPr>
        <w:t>ramework</w:t>
      </w:r>
      <w:r w:rsidR="00FF30D2">
        <w:rPr>
          <w:lang w:val="en-GB"/>
        </w:rPr>
        <w:t xml:space="preserve"> (</w:t>
      </w:r>
      <w:r w:rsidR="00303E46">
        <w:rPr>
          <w:lang w:val="en-GB"/>
        </w:rPr>
        <w:t>60</w:t>
      </w:r>
      <w:r w:rsidR="00FF30D2">
        <w:rPr>
          <w:lang w:val="en-GB"/>
        </w:rPr>
        <w:t xml:space="preserve">% vs </w:t>
      </w:r>
      <w:r w:rsidR="00303E46">
        <w:rPr>
          <w:lang w:val="en-GB"/>
        </w:rPr>
        <w:t>40</w:t>
      </w:r>
      <w:r w:rsidR="00FF30D2">
        <w:rPr>
          <w:lang w:val="en-GB"/>
        </w:rPr>
        <w:t xml:space="preserve">%). </w:t>
      </w:r>
      <w:r w:rsidR="00D21998" w:rsidRPr="00D272CC">
        <w:rPr>
          <w:lang w:val="en-GB"/>
        </w:rPr>
        <w:t xml:space="preserve">This result is </w:t>
      </w:r>
      <w:r w:rsidR="00FF30D2">
        <w:rPr>
          <w:lang w:val="en-GB"/>
        </w:rPr>
        <w:t xml:space="preserve">also </w:t>
      </w:r>
      <w:r w:rsidR="00D21998" w:rsidRPr="00D272CC">
        <w:rPr>
          <w:lang w:val="en-GB"/>
        </w:rPr>
        <w:t xml:space="preserve">robust to </w:t>
      </w:r>
      <w:r w:rsidR="007A18A3" w:rsidRPr="00D272CC">
        <w:rPr>
          <w:lang w:val="en-GB"/>
        </w:rPr>
        <w:t>excluding reliability</w:t>
      </w:r>
      <w:r w:rsidR="00D21998" w:rsidRPr="00D272CC">
        <w:rPr>
          <w:lang w:val="en-GB"/>
        </w:rPr>
        <w:t xml:space="preserve"> and relevance as being insufficient </w:t>
      </w:r>
      <w:r w:rsidR="00661D59" w:rsidRPr="00D272CC">
        <w:rPr>
          <w:lang w:val="en-GB"/>
        </w:rPr>
        <w:t>explanation</w:t>
      </w:r>
      <w:r w:rsidR="00F8291F" w:rsidRPr="00D272CC">
        <w:rPr>
          <w:lang w:val="en-GB"/>
        </w:rPr>
        <w:t>s</w:t>
      </w:r>
      <w:r w:rsidR="00661D59" w:rsidRPr="00D272CC">
        <w:rPr>
          <w:lang w:val="en-GB"/>
        </w:rPr>
        <w:t xml:space="preserve"> </w:t>
      </w:r>
      <w:r w:rsidR="00D21998" w:rsidRPr="00D272CC">
        <w:rPr>
          <w:lang w:val="en-GB"/>
        </w:rPr>
        <w:t>(</w:t>
      </w:r>
      <w:r w:rsidR="007A18A3" w:rsidRPr="00D272CC">
        <w:rPr>
          <w:lang w:val="en-GB"/>
        </w:rPr>
        <w:t>5</w:t>
      </w:r>
      <w:r w:rsidR="00B06811" w:rsidRPr="00D272CC">
        <w:rPr>
          <w:lang w:val="en-GB"/>
        </w:rPr>
        <w:t>7</w:t>
      </w:r>
      <w:r w:rsidR="00D21998" w:rsidRPr="00D272CC">
        <w:rPr>
          <w:lang w:val="en-GB"/>
        </w:rPr>
        <w:t xml:space="preserve">% vs </w:t>
      </w:r>
      <w:r w:rsidR="000F53DD" w:rsidRPr="00D272CC">
        <w:rPr>
          <w:lang w:val="en-GB"/>
        </w:rPr>
        <w:t>4</w:t>
      </w:r>
      <w:r w:rsidR="00B06811" w:rsidRPr="00D272CC">
        <w:rPr>
          <w:lang w:val="en-GB"/>
        </w:rPr>
        <w:t>3</w:t>
      </w:r>
      <w:r w:rsidR="00D21998" w:rsidRPr="00D272CC">
        <w:rPr>
          <w:lang w:val="en-GB"/>
        </w:rPr>
        <w:t>%). Considering only the 1</w:t>
      </w:r>
      <w:r w:rsidR="00B06811" w:rsidRPr="00D272CC">
        <w:rPr>
          <w:lang w:val="en-GB"/>
        </w:rPr>
        <w:t>29</w:t>
      </w:r>
      <w:r w:rsidR="00D21998" w:rsidRPr="00D272CC">
        <w:rPr>
          <w:lang w:val="en-GB"/>
        </w:rPr>
        <w:t xml:space="preserve"> reasons</w:t>
      </w:r>
      <w:r w:rsidR="007A18A3" w:rsidRPr="00D272CC">
        <w:rPr>
          <w:lang w:val="en-GB"/>
        </w:rPr>
        <w:t xml:space="preserve"> </w:t>
      </w:r>
      <w:r w:rsidR="00101EF0" w:rsidRPr="00D272CC">
        <w:rPr>
          <w:lang w:val="en-GB"/>
        </w:rPr>
        <w:t xml:space="preserve">which </w:t>
      </w:r>
      <w:r w:rsidR="007A18A3" w:rsidRPr="00D272CC">
        <w:rPr>
          <w:lang w:val="en-GB"/>
        </w:rPr>
        <w:t>refer to</w:t>
      </w:r>
      <w:r w:rsidR="00053EBC" w:rsidRPr="00D272CC">
        <w:rPr>
          <w:lang w:val="en-GB"/>
        </w:rPr>
        <w:t xml:space="preserve"> QCs</w:t>
      </w:r>
      <w:r w:rsidR="00D21998" w:rsidRPr="00D272CC">
        <w:rPr>
          <w:lang w:val="en-GB"/>
        </w:rPr>
        <w:t xml:space="preserve">, comparability is </w:t>
      </w:r>
      <w:r w:rsidR="000F53DD" w:rsidRPr="00D272CC">
        <w:rPr>
          <w:lang w:val="en-GB"/>
        </w:rPr>
        <w:t xml:space="preserve">significantly </w:t>
      </w:r>
      <w:r w:rsidR="00D21998" w:rsidRPr="00D272CC">
        <w:rPr>
          <w:lang w:val="en-GB"/>
        </w:rPr>
        <w:t>more freque</w:t>
      </w:r>
      <w:r w:rsidR="00E760CF" w:rsidRPr="00D272CC">
        <w:rPr>
          <w:lang w:val="en-GB"/>
        </w:rPr>
        <w:t>ntly mentioned than relevance (</w:t>
      </w:r>
      <w:r w:rsidR="007A18A3" w:rsidRPr="00D272CC">
        <w:rPr>
          <w:lang w:val="en-GB"/>
        </w:rPr>
        <w:t>35</w:t>
      </w:r>
      <w:r w:rsidR="00D21998" w:rsidRPr="00D272CC">
        <w:rPr>
          <w:lang w:val="en-GB"/>
        </w:rPr>
        <w:t xml:space="preserve">% vs </w:t>
      </w:r>
      <w:r w:rsidR="00B06811" w:rsidRPr="00D272CC">
        <w:rPr>
          <w:lang w:val="en-GB"/>
        </w:rPr>
        <w:t>19</w:t>
      </w:r>
      <w:r w:rsidR="00D21998" w:rsidRPr="00D272CC">
        <w:rPr>
          <w:lang w:val="en-GB"/>
        </w:rPr>
        <w:t>%).</w:t>
      </w:r>
      <w:r w:rsidR="009B713E" w:rsidRPr="00D272CC">
        <w:rPr>
          <w:lang w:val="en-GB"/>
        </w:rPr>
        <w:t xml:space="preserve"> Finally, there are significantly more references to </w:t>
      </w:r>
      <w:r w:rsidR="00053EBC" w:rsidRPr="00D272CC">
        <w:rPr>
          <w:lang w:val="en-GB"/>
        </w:rPr>
        <w:t xml:space="preserve">QCs </w:t>
      </w:r>
      <w:r w:rsidR="009B713E" w:rsidRPr="00D272CC">
        <w:rPr>
          <w:lang w:val="en-GB"/>
        </w:rPr>
        <w:t>for a measurement change than for a presentation change (</w:t>
      </w:r>
      <w:r w:rsidR="007A18A3" w:rsidRPr="00D272CC">
        <w:rPr>
          <w:lang w:val="en-GB"/>
        </w:rPr>
        <w:t>65</w:t>
      </w:r>
      <w:r w:rsidR="009B713E" w:rsidRPr="00D272CC">
        <w:rPr>
          <w:lang w:val="en-GB"/>
        </w:rPr>
        <w:t xml:space="preserve">% vs </w:t>
      </w:r>
      <w:r w:rsidR="007A18A3" w:rsidRPr="00D272CC">
        <w:rPr>
          <w:lang w:val="en-GB"/>
        </w:rPr>
        <w:t>35</w:t>
      </w:r>
      <w:r w:rsidR="009B713E" w:rsidRPr="00D272CC">
        <w:rPr>
          <w:lang w:val="en-GB"/>
        </w:rPr>
        <w:t>%).</w:t>
      </w:r>
      <w:r w:rsidR="00A8608A" w:rsidRPr="00D272CC">
        <w:rPr>
          <w:lang w:val="en-GB"/>
        </w:rPr>
        <w:t xml:space="preserve"> The last test provides initial support for </w:t>
      </w:r>
      <w:r w:rsidR="004B5034">
        <w:rPr>
          <w:lang w:val="en-GB"/>
        </w:rPr>
        <w:t>our</w:t>
      </w:r>
      <w:r w:rsidR="00683125" w:rsidRPr="00D272CC">
        <w:rPr>
          <w:lang w:val="en-GB"/>
        </w:rPr>
        <w:t xml:space="preserve"> h</w:t>
      </w:r>
      <w:r w:rsidR="00A8608A" w:rsidRPr="00D272CC">
        <w:rPr>
          <w:lang w:val="en-GB"/>
        </w:rPr>
        <w:t>ypothesis</w:t>
      </w:r>
      <w:r w:rsidR="00552D44" w:rsidRPr="00D272CC">
        <w:rPr>
          <w:lang w:val="en-GB"/>
        </w:rPr>
        <w:t xml:space="preserve"> concerning the greater importance of policy changes</w:t>
      </w:r>
      <w:r w:rsidR="00201BD7" w:rsidRPr="00D272CC">
        <w:rPr>
          <w:lang w:val="en-GB"/>
        </w:rPr>
        <w:t xml:space="preserve"> which</w:t>
      </w:r>
      <w:r w:rsidR="00552D44" w:rsidRPr="00D272CC">
        <w:rPr>
          <w:lang w:val="en-GB"/>
        </w:rPr>
        <w:t xml:space="preserve"> affect measurement</w:t>
      </w:r>
      <w:r w:rsidR="00F4434A" w:rsidRPr="00D272CC">
        <w:rPr>
          <w:lang w:val="en-GB"/>
        </w:rPr>
        <w:t>.</w:t>
      </w:r>
    </w:p>
    <w:p w14:paraId="17A03565" w14:textId="77777777" w:rsidR="007B285F" w:rsidRPr="00D272CC" w:rsidRDefault="007B285F" w:rsidP="004D18D1">
      <w:pPr>
        <w:pStyle w:val="Table-FigureInsert"/>
        <w:ind w:firstLine="0"/>
        <w:rPr>
          <w:lang w:val="en-GB"/>
        </w:rPr>
      </w:pPr>
      <w:r w:rsidRPr="00D272CC">
        <w:rPr>
          <w:lang w:val="en-GB"/>
        </w:rPr>
        <w:t xml:space="preserve">&lt; insert Table </w:t>
      </w:r>
      <w:r w:rsidR="00002CB8" w:rsidRPr="00D272CC">
        <w:rPr>
          <w:lang w:val="en-GB"/>
        </w:rPr>
        <w:t>5</w:t>
      </w:r>
      <w:r w:rsidRPr="00D272CC">
        <w:rPr>
          <w:lang w:val="en-GB"/>
        </w:rPr>
        <w:t xml:space="preserve"> about here &gt;</w:t>
      </w:r>
    </w:p>
    <w:p w14:paraId="782D1C7C" w14:textId="77777777" w:rsidR="00FE3243" w:rsidRPr="00D272CC" w:rsidRDefault="0006147F" w:rsidP="00FE3243">
      <w:pPr>
        <w:pStyle w:val="Heading2"/>
        <w:rPr>
          <w:lang w:val="en-GB"/>
        </w:rPr>
      </w:pPr>
      <w:r w:rsidRPr="00D272CC">
        <w:rPr>
          <w:lang w:val="en-GB"/>
        </w:rPr>
        <w:t>When</w:t>
      </w:r>
      <w:r w:rsidR="00FE2EE6" w:rsidRPr="00D272CC">
        <w:rPr>
          <w:lang w:val="en-GB"/>
        </w:rPr>
        <w:t xml:space="preserve"> do </w:t>
      </w:r>
      <w:r w:rsidR="00185999" w:rsidRPr="00D272CC">
        <w:rPr>
          <w:lang w:val="en-GB"/>
        </w:rPr>
        <w:t>m</w:t>
      </w:r>
      <w:r w:rsidR="004A4FD6" w:rsidRPr="00D272CC">
        <w:rPr>
          <w:lang w:val="en-GB"/>
        </w:rPr>
        <w:t xml:space="preserve">anagers </w:t>
      </w:r>
      <w:r w:rsidR="001C4AF9">
        <w:rPr>
          <w:lang w:val="en-GB"/>
        </w:rPr>
        <w:t xml:space="preserve">explain </w:t>
      </w:r>
      <w:r w:rsidR="0000530D">
        <w:rPr>
          <w:lang w:val="en-GB"/>
        </w:rPr>
        <w:t xml:space="preserve">IFRS </w:t>
      </w:r>
      <w:r w:rsidR="001C4AF9">
        <w:rPr>
          <w:lang w:val="en-GB"/>
        </w:rPr>
        <w:t xml:space="preserve">policy changes by </w:t>
      </w:r>
      <w:r w:rsidR="003F36A0">
        <w:rPr>
          <w:lang w:val="en-GB"/>
        </w:rPr>
        <w:t>refer</w:t>
      </w:r>
      <w:r w:rsidR="001C4AF9">
        <w:rPr>
          <w:lang w:val="en-GB"/>
        </w:rPr>
        <w:t>ring</w:t>
      </w:r>
      <w:r w:rsidR="003F36A0">
        <w:rPr>
          <w:lang w:val="en-GB"/>
        </w:rPr>
        <w:t xml:space="preserve"> to</w:t>
      </w:r>
      <w:r w:rsidR="00201BD7" w:rsidRPr="00D272CC">
        <w:rPr>
          <w:lang w:val="en-GB"/>
        </w:rPr>
        <w:t xml:space="preserve"> </w:t>
      </w:r>
      <w:r w:rsidRPr="00D272CC">
        <w:rPr>
          <w:lang w:val="en-GB"/>
        </w:rPr>
        <w:t>qualitative characteristics</w:t>
      </w:r>
      <w:r w:rsidR="00FE2EE6" w:rsidRPr="00D272CC">
        <w:rPr>
          <w:lang w:val="en-GB"/>
        </w:rPr>
        <w:t>?</w:t>
      </w:r>
    </w:p>
    <w:p w14:paraId="75AAB51C" w14:textId="77777777" w:rsidR="00B66A5F" w:rsidRPr="00D272CC" w:rsidRDefault="00F4434A" w:rsidP="002432C6">
      <w:pPr>
        <w:rPr>
          <w:lang w:val="en-GB"/>
        </w:rPr>
      </w:pPr>
      <w:r w:rsidRPr="00D272CC">
        <w:rPr>
          <w:lang w:val="en-GB"/>
        </w:rPr>
        <w:t xml:space="preserve">In order to answer our second research question </w:t>
      </w:r>
      <w:r w:rsidR="00FE2EE6" w:rsidRPr="00D272CC">
        <w:rPr>
          <w:lang w:val="en-GB"/>
        </w:rPr>
        <w:t>(</w:t>
      </w:r>
      <w:r w:rsidRPr="00D272CC">
        <w:rPr>
          <w:lang w:val="en-GB"/>
        </w:rPr>
        <w:t xml:space="preserve">i.e. </w:t>
      </w:r>
      <w:r w:rsidR="00E1574A">
        <w:rPr>
          <w:lang w:val="en-GB"/>
        </w:rPr>
        <w:t>when do</w:t>
      </w:r>
      <w:r w:rsidRPr="00D272CC">
        <w:rPr>
          <w:lang w:val="en-GB"/>
        </w:rPr>
        <w:t xml:space="preserve"> man</w:t>
      </w:r>
      <w:r w:rsidR="001D7E9D">
        <w:rPr>
          <w:lang w:val="en-GB"/>
        </w:rPr>
        <w:t>a</w:t>
      </w:r>
      <w:r w:rsidRPr="00D272CC">
        <w:rPr>
          <w:lang w:val="en-GB"/>
        </w:rPr>
        <w:t xml:space="preserve">gers </w:t>
      </w:r>
      <w:r w:rsidR="001C4AF9">
        <w:rPr>
          <w:lang w:val="en-GB"/>
        </w:rPr>
        <w:t xml:space="preserve">explain policy changes by </w:t>
      </w:r>
      <w:r w:rsidRPr="00D272CC">
        <w:rPr>
          <w:lang w:val="en-GB"/>
        </w:rPr>
        <w:t>refer</w:t>
      </w:r>
      <w:r w:rsidR="001C4AF9">
        <w:rPr>
          <w:lang w:val="en-GB"/>
        </w:rPr>
        <w:t>ring</w:t>
      </w:r>
      <w:r w:rsidRPr="00D272CC">
        <w:rPr>
          <w:lang w:val="en-GB"/>
        </w:rPr>
        <w:t xml:space="preserve"> to QCs</w:t>
      </w:r>
      <w:r w:rsidR="00E1574A">
        <w:rPr>
          <w:lang w:val="en-GB"/>
        </w:rPr>
        <w:t>?</w:t>
      </w:r>
      <w:r w:rsidR="00FE2EE6" w:rsidRPr="00D272CC">
        <w:rPr>
          <w:lang w:val="en-GB"/>
        </w:rPr>
        <w:t>)</w:t>
      </w:r>
      <w:r w:rsidR="006D5138">
        <w:rPr>
          <w:lang w:val="en-GB"/>
        </w:rPr>
        <w:t xml:space="preserve"> </w:t>
      </w:r>
      <w:r w:rsidR="00673366" w:rsidRPr="00D272CC">
        <w:rPr>
          <w:lang w:val="en-GB"/>
        </w:rPr>
        <w:t xml:space="preserve">and to test </w:t>
      </w:r>
      <w:r w:rsidR="00201BD7" w:rsidRPr="00D272CC">
        <w:rPr>
          <w:lang w:val="en-GB"/>
        </w:rPr>
        <w:t>the</w:t>
      </w:r>
      <w:r w:rsidR="00673366" w:rsidRPr="00D272CC">
        <w:rPr>
          <w:lang w:val="en-GB"/>
        </w:rPr>
        <w:t xml:space="preserve"> </w:t>
      </w:r>
      <w:r w:rsidR="00201BD7" w:rsidRPr="00D272CC">
        <w:rPr>
          <w:lang w:val="en-GB"/>
        </w:rPr>
        <w:t xml:space="preserve">related </w:t>
      </w:r>
      <w:r w:rsidR="00673366" w:rsidRPr="00D272CC">
        <w:rPr>
          <w:lang w:val="en-GB"/>
        </w:rPr>
        <w:t>hypothes</w:t>
      </w:r>
      <w:r w:rsidR="00CA206C">
        <w:rPr>
          <w:lang w:val="en-GB"/>
        </w:rPr>
        <w:t>i</w:t>
      </w:r>
      <w:r w:rsidR="00673366" w:rsidRPr="00D272CC">
        <w:rPr>
          <w:lang w:val="en-GB"/>
        </w:rPr>
        <w:t>s</w:t>
      </w:r>
      <w:r w:rsidR="00AF059D" w:rsidRPr="00D272CC">
        <w:rPr>
          <w:lang w:val="en-GB"/>
        </w:rPr>
        <w:t>, we now perform regression analyses.</w:t>
      </w:r>
      <w:r w:rsidR="00FE2EE6" w:rsidRPr="00D272CC">
        <w:rPr>
          <w:lang w:val="en-GB"/>
        </w:rPr>
        <w:t xml:space="preserve"> </w:t>
      </w:r>
      <w:r w:rsidR="00AF059D" w:rsidRPr="00D272CC">
        <w:rPr>
          <w:lang w:val="en-GB"/>
        </w:rPr>
        <w:t>The bottom of Table 2 d</w:t>
      </w:r>
      <w:r w:rsidR="002E328F" w:rsidRPr="00D272CC">
        <w:rPr>
          <w:lang w:val="en-GB"/>
        </w:rPr>
        <w:t>escribe</w:t>
      </w:r>
      <w:r w:rsidR="00E760CF" w:rsidRPr="00D272CC">
        <w:rPr>
          <w:lang w:val="en-GB"/>
        </w:rPr>
        <w:t>s the</w:t>
      </w:r>
      <w:r w:rsidR="001D02FD">
        <w:rPr>
          <w:lang w:val="en-GB"/>
        </w:rPr>
        <w:t xml:space="preserve"> </w:t>
      </w:r>
      <w:r w:rsidR="002E328F" w:rsidRPr="00D272CC">
        <w:rPr>
          <w:lang w:val="en-GB"/>
        </w:rPr>
        <w:t>r</w:t>
      </w:r>
      <w:r w:rsidR="00B66A5F" w:rsidRPr="00D272CC">
        <w:rPr>
          <w:lang w:val="en-GB"/>
        </w:rPr>
        <w:t>egression sample.</w:t>
      </w:r>
      <w:r w:rsidR="00AF059D" w:rsidRPr="00D272CC">
        <w:rPr>
          <w:lang w:val="en-GB"/>
        </w:rPr>
        <w:t xml:space="preserve"> </w:t>
      </w:r>
      <w:r w:rsidR="001D02FD">
        <w:rPr>
          <w:lang w:val="en-GB"/>
        </w:rPr>
        <w:t>W</w:t>
      </w:r>
      <w:r w:rsidR="00AF059D" w:rsidRPr="00D272CC">
        <w:rPr>
          <w:lang w:val="en-GB"/>
        </w:rPr>
        <w:t>e first consider all firm-year observations with one or more policy change</w:t>
      </w:r>
      <w:r w:rsidR="00CC7B55">
        <w:rPr>
          <w:lang w:val="en-GB"/>
        </w:rPr>
        <w:t>,</w:t>
      </w:r>
      <w:r w:rsidR="00EA2851" w:rsidRPr="00D272CC">
        <w:rPr>
          <w:rStyle w:val="FootnoteReference"/>
          <w:lang w:val="en-GB"/>
        </w:rPr>
        <w:footnoteReference w:id="34"/>
      </w:r>
      <w:r w:rsidR="00CC7B55">
        <w:rPr>
          <w:lang w:val="en-GB"/>
        </w:rPr>
        <w:t xml:space="preserve"> </w:t>
      </w:r>
      <w:r w:rsidR="00CC7B55" w:rsidRPr="00D272CC">
        <w:rPr>
          <w:lang w:val="en-GB"/>
        </w:rPr>
        <w:t xml:space="preserve">both </w:t>
      </w:r>
      <w:r w:rsidR="00B83CD7">
        <w:rPr>
          <w:lang w:val="en-GB"/>
        </w:rPr>
        <w:t xml:space="preserve">those </w:t>
      </w:r>
      <w:r w:rsidR="00CC7B55" w:rsidRPr="00D272CC">
        <w:rPr>
          <w:lang w:val="en-GB"/>
        </w:rPr>
        <w:t xml:space="preserve">with and </w:t>
      </w:r>
      <w:r w:rsidR="00B83CD7">
        <w:rPr>
          <w:lang w:val="en-GB"/>
        </w:rPr>
        <w:t xml:space="preserve">those </w:t>
      </w:r>
      <w:r w:rsidR="00CC7B55" w:rsidRPr="00D272CC">
        <w:rPr>
          <w:lang w:val="en-GB"/>
        </w:rPr>
        <w:t>without an explanation</w:t>
      </w:r>
      <w:r w:rsidR="00CC7B55">
        <w:rPr>
          <w:lang w:val="en-GB"/>
        </w:rPr>
        <w:t>.</w:t>
      </w:r>
      <w:r w:rsidR="00E75EE0">
        <w:rPr>
          <w:lang w:val="en-GB"/>
        </w:rPr>
        <w:t xml:space="preserve"> </w:t>
      </w:r>
      <w:r w:rsidR="00AF059D" w:rsidRPr="00D272CC">
        <w:rPr>
          <w:lang w:val="en-GB"/>
        </w:rPr>
        <w:t xml:space="preserve">We then exclude </w:t>
      </w:r>
      <w:r w:rsidR="00E638AB" w:rsidRPr="00D272CC">
        <w:rPr>
          <w:lang w:val="en-GB"/>
        </w:rPr>
        <w:t>firm-year observations</w:t>
      </w:r>
      <w:r w:rsidR="00AF059D" w:rsidRPr="00D272CC">
        <w:rPr>
          <w:lang w:val="en-GB"/>
        </w:rPr>
        <w:t xml:space="preserve"> </w:t>
      </w:r>
      <w:r w:rsidR="00AF059D" w:rsidRPr="00191441">
        <w:rPr>
          <w:lang w:val="en-GB"/>
        </w:rPr>
        <w:t>in which a firm mentions a change but provides no reason because the effect was</w:t>
      </w:r>
      <w:r w:rsidR="00661D59" w:rsidRPr="00191441">
        <w:rPr>
          <w:lang w:val="en-GB"/>
        </w:rPr>
        <w:t xml:space="preserve"> said to be</w:t>
      </w:r>
      <w:r w:rsidR="00AF059D" w:rsidRPr="00191441">
        <w:rPr>
          <w:lang w:val="en-GB"/>
        </w:rPr>
        <w:t xml:space="preserve"> immaterial and those</w:t>
      </w:r>
      <w:r w:rsidR="00AF059D" w:rsidRPr="00D272CC">
        <w:rPr>
          <w:lang w:val="en-GB"/>
        </w:rPr>
        <w:t xml:space="preserve"> in which a firm does not provide an explanation because the item is new or the previous choice is no longer applicable (which mainly applies to topic 12).</w:t>
      </w:r>
      <w:r w:rsidR="00E638AB" w:rsidRPr="00D272CC">
        <w:rPr>
          <w:lang w:val="en-GB"/>
        </w:rPr>
        <w:t xml:space="preserve"> Our regression sample comprises 3</w:t>
      </w:r>
      <w:r w:rsidR="001A7D21">
        <w:rPr>
          <w:lang w:val="en-GB"/>
        </w:rPr>
        <w:t>2</w:t>
      </w:r>
      <w:r w:rsidR="00B67048">
        <w:rPr>
          <w:lang w:val="en-GB"/>
        </w:rPr>
        <w:t>3</w:t>
      </w:r>
      <w:r w:rsidR="00E638AB" w:rsidRPr="00D272CC">
        <w:rPr>
          <w:lang w:val="en-GB"/>
        </w:rPr>
        <w:t xml:space="preserve"> firm-year observations.</w:t>
      </w:r>
      <w:r w:rsidR="00662B4D">
        <w:rPr>
          <w:rStyle w:val="FootnoteReference"/>
          <w:lang w:val="en-GB"/>
        </w:rPr>
        <w:footnoteReference w:id="35"/>
      </w:r>
    </w:p>
    <w:p w14:paraId="30F2DAF3" w14:textId="77777777" w:rsidR="00FE3243" w:rsidRDefault="00E638AB" w:rsidP="00FE3243">
      <w:pPr>
        <w:rPr>
          <w:lang w:val="en-GB"/>
        </w:rPr>
      </w:pPr>
      <w:r w:rsidRPr="00D272CC">
        <w:rPr>
          <w:lang w:val="en-GB"/>
        </w:rPr>
        <w:t>We estimate logistic r</w:t>
      </w:r>
      <w:r w:rsidR="002A7F06" w:rsidRPr="00D272CC">
        <w:rPr>
          <w:lang w:val="en-GB"/>
        </w:rPr>
        <w:t>egression model</w:t>
      </w:r>
      <w:r w:rsidRPr="00D272CC">
        <w:rPr>
          <w:lang w:val="en-GB"/>
        </w:rPr>
        <w:t>s</w:t>
      </w:r>
      <w:r w:rsidR="002A7F06" w:rsidRPr="00D272CC">
        <w:rPr>
          <w:lang w:val="en-GB"/>
        </w:rPr>
        <w:t xml:space="preserve"> </w:t>
      </w:r>
      <w:r w:rsidRPr="00D272CC">
        <w:rPr>
          <w:lang w:val="en-GB"/>
        </w:rPr>
        <w:t>of the following general form</w:t>
      </w:r>
      <w:r w:rsidR="002A7F06" w:rsidRPr="00D272CC">
        <w:rPr>
          <w:lang w:val="en-GB"/>
        </w:rPr>
        <w:t>:</w:t>
      </w:r>
    </w:p>
    <w:p w14:paraId="6FC665C8" w14:textId="1CBE4FB6" w:rsidR="0005164A" w:rsidRDefault="00F30520" w:rsidP="0005164A">
      <w:pPr>
        <w:pStyle w:val="Formula"/>
        <w:keepNext/>
        <w:rPr>
          <w:lang w:val="en-GB"/>
        </w:rPr>
      </w:pPr>
      <w:r w:rsidRPr="00D272CC">
        <w:rPr>
          <w:lang w:val="en-GB"/>
        </w:rPr>
        <w:t>Q</w:t>
      </w:r>
      <w:r w:rsidR="009A2F60" w:rsidRPr="00D272CC">
        <w:rPr>
          <w:lang w:val="en-GB"/>
        </w:rPr>
        <w:t>C</w:t>
      </w:r>
      <w:r w:rsidR="00FE3243" w:rsidRPr="00D272CC">
        <w:rPr>
          <w:vertAlign w:val="subscript"/>
          <w:lang w:val="en-GB"/>
        </w:rPr>
        <w:t>it</w:t>
      </w:r>
      <w:r w:rsidR="00FE3243" w:rsidRPr="00D272CC">
        <w:rPr>
          <w:lang w:val="en-GB"/>
        </w:rPr>
        <w:t xml:space="preserve"> = α </w:t>
      </w:r>
      <w:r w:rsidR="001518BB" w:rsidRPr="00D272CC">
        <w:rPr>
          <w:lang w:val="en-GB"/>
        </w:rPr>
        <w:t xml:space="preserve">+ </w:t>
      </w:r>
      <w:r w:rsidR="00E80D73" w:rsidRPr="00D272CC">
        <w:rPr>
          <w:b/>
          <w:lang w:val="en-GB"/>
        </w:rPr>
        <w:t>topic</w:t>
      </w:r>
      <w:r w:rsidR="00E05E8F" w:rsidRPr="00D272CC">
        <w:rPr>
          <w:vertAlign w:val="subscript"/>
          <w:lang w:val="en-GB"/>
        </w:rPr>
        <w:t>it</w:t>
      </w:r>
      <w:r w:rsidR="000305F8" w:rsidRPr="00D272CC">
        <w:rPr>
          <w:lang w:val="en-GB"/>
        </w:rPr>
        <w:t xml:space="preserve"> </w:t>
      </w:r>
      <w:r w:rsidR="00D32DC5" w:rsidRPr="00D272CC">
        <w:rPr>
          <w:lang w:val="en-GB"/>
        </w:rPr>
        <w:t xml:space="preserve">β </w:t>
      </w:r>
      <w:r w:rsidR="000305F8" w:rsidRPr="00D272CC">
        <w:rPr>
          <w:lang w:val="en-GB"/>
        </w:rPr>
        <w:t xml:space="preserve">+ </w:t>
      </w:r>
      <w:r w:rsidR="00E80D73" w:rsidRPr="00D272CC">
        <w:rPr>
          <w:b/>
          <w:lang w:val="en-GB"/>
        </w:rPr>
        <w:t>country</w:t>
      </w:r>
      <w:r w:rsidR="00E05E8F" w:rsidRPr="00D272CC">
        <w:rPr>
          <w:vertAlign w:val="subscript"/>
          <w:lang w:val="en-GB"/>
        </w:rPr>
        <w:t>it</w:t>
      </w:r>
      <w:r w:rsidR="001518BB" w:rsidRPr="00D272CC">
        <w:rPr>
          <w:lang w:val="en-GB"/>
        </w:rPr>
        <w:t xml:space="preserve"> </w:t>
      </w:r>
      <w:r w:rsidR="00D32DC5" w:rsidRPr="00D272CC">
        <w:rPr>
          <w:lang w:val="en-GB"/>
        </w:rPr>
        <w:t xml:space="preserve">γ </w:t>
      </w:r>
      <w:r w:rsidR="000305F8" w:rsidRPr="00D272CC">
        <w:rPr>
          <w:lang w:val="en-GB"/>
        </w:rPr>
        <w:t xml:space="preserve">+ </w:t>
      </w:r>
      <w:r w:rsidR="00E324AE" w:rsidRPr="00D272CC">
        <w:rPr>
          <w:b/>
          <w:lang w:val="en-GB"/>
        </w:rPr>
        <w:t>industry</w:t>
      </w:r>
      <w:r w:rsidR="00E324AE" w:rsidRPr="00D272CC">
        <w:rPr>
          <w:vertAlign w:val="subscript"/>
          <w:lang w:val="en-GB"/>
        </w:rPr>
        <w:t>it</w:t>
      </w:r>
      <w:r w:rsidR="00E324AE">
        <w:rPr>
          <w:lang w:val="en-GB"/>
        </w:rPr>
        <w:t xml:space="preserve"> </w:t>
      </w:r>
      <w:r w:rsidR="00D32DC5" w:rsidRPr="00D272CC">
        <w:rPr>
          <w:lang w:val="en-GB"/>
        </w:rPr>
        <w:t>δ</w:t>
      </w:r>
      <w:r w:rsidR="000305F8" w:rsidRPr="00D272CC">
        <w:rPr>
          <w:lang w:val="en-GB"/>
        </w:rPr>
        <w:t xml:space="preserve"> +</w:t>
      </w:r>
      <w:r w:rsidR="00E324AE">
        <w:rPr>
          <w:lang w:val="en-GB"/>
        </w:rPr>
        <w:t xml:space="preserve"> </w:t>
      </w:r>
      <w:r w:rsidR="00E324AE" w:rsidRPr="00D272CC">
        <w:rPr>
          <w:lang w:val="en-GB"/>
        </w:rPr>
        <w:t xml:space="preserve">θ </w:t>
      </w:r>
      <w:r w:rsidR="00702194">
        <w:rPr>
          <w:lang w:val="en-GB"/>
        </w:rPr>
        <w:t>SIZE</w:t>
      </w:r>
      <w:r w:rsidR="00E324AE" w:rsidRPr="00D272CC">
        <w:rPr>
          <w:vertAlign w:val="subscript"/>
          <w:lang w:val="en-GB"/>
        </w:rPr>
        <w:t>it</w:t>
      </w:r>
      <w:r w:rsidR="000305F8" w:rsidRPr="00D272CC">
        <w:rPr>
          <w:lang w:val="en-GB"/>
        </w:rPr>
        <w:t xml:space="preserve"> </w:t>
      </w:r>
      <w:r w:rsidR="00D32DC5" w:rsidRPr="00D272CC">
        <w:rPr>
          <w:lang w:val="en-GB"/>
        </w:rPr>
        <w:t xml:space="preserve">+ λ </w:t>
      </w:r>
      <w:r w:rsidR="00702194">
        <w:rPr>
          <w:lang w:val="en-GB"/>
        </w:rPr>
        <w:t>LEVERAGE</w:t>
      </w:r>
      <w:r w:rsidR="00D32DC5" w:rsidRPr="00D272CC">
        <w:rPr>
          <w:vertAlign w:val="subscript"/>
          <w:lang w:val="en-GB"/>
        </w:rPr>
        <w:t>i</w:t>
      </w:r>
      <w:r w:rsidR="00702194">
        <w:rPr>
          <w:vertAlign w:val="subscript"/>
          <w:lang w:val="en-GB"/>
        </w:rPr>
        <w:t>,</w:t>
      </w:r>
      <w:r w:rsidR="00D32DC5" w:rsidRPr="00D272CC">
        <w:rPr>
          <w:vertAlign w:val="subscript"/>
          <w:lang w:val="en-GB"/>
        </w:rPr>
        <w:t>t</w:t>
      </w:r>
      <w:r w:rsidR="00702194">
        <w:rPr>
          <w:vertAlign w:val="subscript"/>
          <w:lang w:val="en-GB"/>
        </w:rPr>
        <w:t>−1</w:t>
      </w:r>
    </w:p>
    <w:p w14:paraId="293B8AC4" w14:textId="77777777" w:rsidR="0005164A" w:rsidRDefault="00F30520" w:rsidP="0005164A">
      <w:pPr>
        <w:pStyle w:val="Formula"/>
        <w:keepNext/>
        <w:ind w:left="1418" w:hanging="2"/>
        <w:rPr>
          <w:lang w:val="en-GB"/>
        </w:rPr>
      </w:pPr>
      <w:r w:rsidRPr="00D272CC">
        <w:rPr>
          <w:lang w:val="en-GB"/>
        </w:rPr>
        <w:t xml:space="preserve">+ </w:t>
      </w:r>
      <w:r w:rsidR="00D32DC5" w:rsidRPr="00D272CC">
        <w:rPr>
          <w:lang w:val="en-GB"/>
        </w:rPr>
        <w:t xml:space="preserve">μ </w:t>
      </w:r>
      <w:r w:rsidR="00702194">
        <w:rPr>
          <w:lang w:val="en-GB"/>
        </w:rPr>
        <w:t>PROFITABILITY</w:t>
      </w:r>
      <w:r w:rsidR="00702194" w:rsidRPr="00D272CC">
        <w:rPr>
          <w:vertAlign w:val="subscript"/>
          <w:lang w:val="en-GB"/>
        </w:rPr>
        <w:t>i</w:t>
      </w:r>
      <w:r w:rsidR="00702194">
        <w:rPr>
          <w:vertAlign w:val="subscript"/>
          <w:lang w:val="en-GB"/>
        </w:rPr>
        <w:t>,</w:t>
      </w:r>
      <w:r w:rsidR="00702194" w:rsidRPr="00D272CC">
        <w:rPr>
          <w:vertAlign w:val="subscript"/>
          <w:lang w:val="en-GB"/>
        </w:rPr>
        <w:t>t</w:t>
      </w:r>
      <w:r w:rsidR="00702194">
        <w:rPr>
          <w:vertAlign w:val="subscript"/>
          <w:lang w:val="en-GB"/>
        </w:rPr>
        <w:t>−1</w:t>
      </w:r>
      <w:r w:rsidR="00702194">
        <w:rPr>
          <w:lang w:val="en-GB"/>
        </w:rPr>
        <w:t xml:space="preserve"> </w:t>
      </w:r>
      <w:r w:rsidR="00702194" w:rsidRPr="00D272CC">
        <w:rPr>
          <w:lang w:val="en-GB"/>
        </w:rPr>
        <w:t xml:space="preserve">+ </w:t>
      </w:r>
      <w:r w:rsidR="00702194">
        <w:rPr>
          <w:lang w:val="en-GB"/>
        </w:rPr>
        <w:t>σ</w:t>
      </w:r>
      <w:r w:rsidR="00702194" w:rsidRPr="00D272CC">
        <w:rPr>
          <w:lang w:val="en-GB"/>
        </w:rPr>
        <w:t xml:space="preserve"> </w:t>
      </w:r>
      <w:r w:rsidR="00702194">
        <w:rPr>
          <w:lang w:val="en-GB"/>
        </w:rPr>
        <w:t>USLIST</w:t>
      </w:r>
      <w:r w:rsidR="00702194" w:rsidRPr="00D272CC">
        <w:rPr>
          <w:vertAlign w:val="subscript"/>
          <w:lang w:val="en-GB"/>
        </w:rPr>
        <w:t>it</w:t>
      </w:r>
      <w:r w:rsidR="00702194" w:rsidRPr="00D272CC">
        <w:rPr>
          <w:lang w:val="en-GB"/>
        </w:rPr>
        <w:t xml:space="preserve"> </w:t>
      </w:r>
      <w:r w:rsidR="00FE3243" w:rsidRPr="00D272CC">
        <w:rPr>
          <w:lang w:val="en-GB"/>
        </w:rPr>
        <w:t>+ ε</w:t>
      </w:r>
      <w:r w:rsidR="00FE3243" w:rsidRPr="00D272CC">
        <w:rPr>
          <w:vertAlign w:val="subscript"/>
          <w:lang w:val="en-GB"/>
        </w:rPr>
        <w:t>it</w:t>
      </w:r>
      <w:r w:rsidRPr="00D272CC">
        <w:rPr>
          <w:lang w:val="en-GB"/>
        </w:rPr>
        <w:tab/>
      </w:r>
      <w:r w:rsidR="001518BB" w:rsidRPr="00D272CC">
        <w:rPr>
          <w:lang w:val="en-GB"/>
        </w:rPr>
        <w:tab/>
      </w:r>
      <w:r w:rsidR="001518BB" w:rsidRPr="00D272CC">
        <w:rPr>
          <w:lang w:val="en-GB"/>
        </w:rPr>
        <w:tab/>
      </w:r>
      <w:r w:rsidR="009A2F60" w:rsidRPr="00D272CC">
        <w:rPr>
          <w:lang w:val="en-GB"/>
        </w:rPr>
        <w:tab/>
      </w:r>
      <w:r w:rsidR="00FE3243" w:rsidRPr="00D272CC">
        <w:rPr>
          <w:lang w:val="en-GB"/>
        </w:rPr>
        <w:t>(1)</w:t>
      </w:r>
    </w:p>
    <w:p w14:paraId="440E3D21" w14:textId="398BBE69" w:rsidR="009B6790" w:rsidRDefault="002A7F06" w:rsidP="002C26CE">
      <w:pPr>
        <w:ind w:firstLine="0"/>
        <w:rPr>
          <w:lang w:val="en-GB"/>
        </w:rPr>
      </w:pPr>
      <w:r w:rsidRPr="00D272CC">
        <w:rPr>
          <w:lang w:val="en-GB"/>
        </w:rPr>
        <w:t>where</w:t>
      </w:r>
      <w:r w:rsidR="00F375A3">
        <w:rPr>
          <w:lang w:val="en-GB"/>
        </w:rPr>
        <w:t xml:space="preserve"> </w:t>
      </w:r>
      <w:r w:rsidRPr="00D272CC">
        <w:rPr>
          <w:lang w:val="en-GB"/>
        </w:rPr>
        <w:t>Q</w:t>
      </w:r>
      <w:r w:rsidR="009A2F60" w:rsidRPr="00D272CC">
        <w:rPr>
          <w:lang w:val="en-GB"/>
        </w:rPr>
        <w:t>C</w:t>
      </w:r>
      <w:r w:rsidRPr="00D272CC">
        <w:rPr>
          <w:lang w:val="en-GB"/>
        </w:rPr>
        <w:t xml:space="preserve"> is </w:t>
      </w:r>
      <w:r w:rsidR="00E638AB" w:rsidRPr="00D272CC">
        <w:rPr>
          <w:lang w:val="en-GB"/>
        </w:rPr>
        <w:t xml:space="preserve">a </w:t>
      </w:r>
      <w:r w:rsidR="00E638AB" w:rsidRPr="003A5945">
        <w:rPr>
          <w:lang w:val="en-GB"/>
        </w:rPr>
        <w:t>dumm</w:t>
      </w:r>
      <w:r w:rsidR="003A5945">
        <w:rPr>
          <w:lang w:val="en-GB"/>
        </w:rPr>
        <w:t>y</w:t>
      </w:r>
      <w:r w:rsidR="00E638AB" w:rsidRPr="00D272CC">
        <w:rPr>
          <w:lang w:val="en-GB"/>
        </w:rPr>
        <w:t xml:space="preserve"> for a </w:t>
      </w:r>
      <w:r w:rsidR="00B24E03">
        <w:rPr>
          <w:lang w:val="en-GB"/>
        </w:rPr>
        <w:t>qualitative characteristic</w:t>
      </w:r>
      <w:r w:rsidR="00053EBC" w:rsidRPr="00D272CC">
        <w:rPr>
          <w:lang w:val="en-GB"/>
        </w:rPr>
        <w:t xml:space="preserve"> </w:t>
      </w:r>
      <w:r w:rsidR="00E638AB" w:rsidRPr="00D272CC">
        <w:rPr>
          <w:lang w:val="en-GB"/>
        </w:rPr>
        <w:t xml:space="preserve">as </w:t>
      </w:r>
      <w:r w:rsidR="005A53BA">
        <w:rPr>
          <w:lang w:val="en-GB"/>
        </w:rPr>
        <w:t>a</w:t>
      </w:r>
      <w:r w:rsidR="00E638AB" w:rsidRPr="00D272CC">
        <w:rPr>
          <w:lang w:val="en-GB"/>
        </w:rPr>
        <w:t xml:space="preserve"> reason</w:t>
      </w:r>
      <w:r w:rsidR="003A5945">
        <w:rPr>
          <w:lang w:val="en-GB"/>
        </w:rPr>
        <w:t xml:space="preserve"> </w:t>
      </w:r>
      <w:r w:rsidR="00E638AB" w:rsidRPr="00D272CC">
        <w:rPr>
          <w:lang w:val="en-GB"/>
        </w:rPr>
        <w:t>for a change</w:t>
      </w:r>
      <w:r w:rsidR="00946A3A" w:rsidRPr="00D272CC">
        <w:rPr>
          <w:lang w:val="en-GB"/>
        </w:rPr>
        <w:t>; i and t denote firm and time, respectively</w:t>
      </w:r>
      <w:r w:rsidR="00D32DC5" w:rsidRPr="00D272CC">
        <w:rPr>
          <w:lang w:val="en-GB"/>
        </w:rPr>
        <w:t>;</w:t>
      </w:r>
      <w:r w:rsidR="00D32DC5" w:rsidRPr="00D272CC">
        <w:rPr>
          <w:b/>
          <w:lang w:val="en-GB"/>
        </w:rPr>
        <w:t xml:space="preserve"> topic</w:t>
      </w:r>
      <w:r w:rsidR="00D32DC5" w:rsidRPr="00D272CC">
        <w:rPr>
          <w:lang w:val="en-GB"/>
        </w:rPr>
        <w:t xml:space="preserve">, </w:t>
      </w:r>
      <w:r w:rsidR="00D32DC5" w:rsidRPr="00D272CC">
        <w:rPr>
          <w:b/>
          <w:lang w:val="en-GB"/>
        </w:rPr>
        <w:t>country</w:t>
      </w:r>
      <w:r w:rsidR="00D32DC5" w:rsidRPr="00D272CC">
        <w:rPr>
          <w:lang w:val="en-GB"/>
        </w:rPr>
        <w:t xml:space="preserve"> and </w:t>
      </w:r>
      <w:r w:rsidR="00D32DC5" w:rsidRPr="00D272CC">
        <w:rPr>
          <w:b/>
          <w:lang w:val="en-GB"/>
        </w:rPr>
        <w:t>industry</w:t>
      </w:r>
      <w:r w:rsidR="00D32DC5" w:rsidRPr="00D272CC">
        <w:rPr>
          <w:lang w:val="en-GB"/>
        </w:rPr>
        <w:t xml:space="preserve"> denote vectors of variables; and ε denotes the regression disturbance term</w:t>
      </w:r>
      <w:r w:rsidRPr="00D272CC">
        <w:rPr>
          <w:lang w:val="en-GB"/>
        </w:rPr>
        <w:t>.</w:t>
      </w:r>
      <w:r w:rsidR="00E638AB" w:rsidRPr="00D272CC">
        <w:rPr>
          <w:lang w:val="en-GB"/>
        </w:rPr>
        <w:t xml:space="preserve"> </w:t>
      </w:r>
      <w:r w:rsidR="00B24E03">
        <w:rPr>
          <w:lang w:val="en-GB"/>
        </w:rPr>
        <w:t>Since a firm can have one or more policy changes in a given year, the variable QC takes a value of ‘1’ if there is a reference to a QC in at least one explanation of a change</w:t>
      </w:r>
      <w:r w:rsidR="00B24E03" w:rsidRPr="00B24E03">
        <w:rPr>
          <w:lang w:val="en-GB"/>
        </w:rPr>
        <w:t xml:space="preserve">. </w:t>
      </w:r>
      <w:r w:rsidR="00DC4670">
        <w:rPr>
          <w:lang w:val="en-GB"/>
        </w:rPr>
        <w:t>In our default regression specification, the</w:t>
      </w:r>
      <w:r w:rsidR="00DC4670" w:rsidRPr="00D272CC">
        <w:rPr>
          <w:lang w:val="en-GB"/>
        </w:rPr>
        <w:t xml:space="preserve"> topic variables are</w:t>
      </w:r>
      <w:r w:rsidR="00DC4670">
        <w:rPr>
          <w:lang w:val="en-GB"/>
        </w:rPr>
        <w:t xml:space="preserve"> </w:t>
      </w:r>
      <w:r w:rsidR="00DC4670" w:rsidRPr="00D272CC">
        <w:rPr>
          <w:lang w:val="en-GB"/>
        </w:rPr>
        <w:t>dummies for the 16 IFRS policy topics</w:t>
      </w:r>
      <w:r w:rsidR="00DC4670">
        <w:rPr>
          <w:lang w:val="en-GB"/>
        </w:rPr>
        <w:t>,</w:t>
      </w:r>
      <w:r w:rsidR="00DC4670" w:rsidRPr="00D272CC">
        <w:rPr>
          <w:lang w:val="en-GB"/>
        </w:rPr>
        <w:t xml:space="preserve"> </w:t>
      </w:r>
      <w:r w:rsidR="00DC4670">
        <w:rPr>
          <w:lang w:val="en-GB"/>
        </w:rPr>
        <w:t>t</w:t>
      </w:r>
      <w:r w:rsidR="003A5771" w:rsidRPr="00D272CC">
        <w:rPr>
          <w:lang w:val="en-GB"/>
        </w:rPr>
        <w:t>he country variables are dummies for the countries</w:t>
      </w:r>
      <w:r w:rsidR="003A5771">
        <w:rPr>
          <w:lang w:val="en-GB"/>
        </w:rPr>
        <w:t xml:space="preserve">, and the </w:t>
      </w:r>
      <w:r w:rsidR="003A5771" w:rsidRPr="00D272CC">
        <w:rPr>
          <w:lang w:val="en-GB"/>
        </w:rPr>
        <w:t>industry variables</w:t>
      </w:r>
      <w:r w:rsidR="003A5771">
        <w:rPr>
          <w:lang w:val="en-GB"/>
        </w:rPr>
        <w:t xml:space="preserve"> </w:t>
      </w:r>
      <w:r w:rsidR="003A5771" w:rsidRPr="00D272CC">
        <w:rPr>
          <w:lang w:val="en-GB"/>
        </w:rPr>
        <w:t>are dummies for the industries according to the first digit of the Industry Classification Benchmark (ICB).</w:t>
      </w:r>
    </w:p>
    <w:p w14:paraId="6C474443" w14:textId="3D6E2659" w:rsidR="00CD015C" w:rsidRDefault="00BB3142" w:rsidP="002C29D9">
      <w:pPr>
        <w:rPr>
          <w:lang w:val="en-GB"/>
        </w:rPr>
      </w:pPr>
      <w:r>
        <w:rPr>
          <w:lang w:val="en-GB"/>
        </w:rPr>
        <w:t xml:space="preserve">In the </w:t>
      </w:r>
      <w:r w:rsidR="007B65E5">
        <w:rPr>
          <w:lang w:val="en-GB"/>
        </w:rPr>
        <w:t>regression specific</w:t>
      </w:r>
      <w:r w:rsidR="00391AFF">
        <w:rPr>
          <w:lang w:val="en-GB"/>
        </w:rPr>
        <w:t>ation used to test our hypothesi</w:t>
      </w:r>
      <w:r w:rsidR="007B65E5">
        <w:rPr>
          <w:lang w:val="en-GB"/>
        </w:rPr>
        <w:t>s</w:t>
      </w:r>
      <w:r>
        <w:rPr>
          <w:lang w:val="en-GB"/>
        </w:rPr>
        <w:t xml:space="preserve">, </w:t>
      </w:r>
      <w:r w:rsidR="007B65E5">
        <w:rPr>
          <w:lang w:val="en-GB"/>
        </w:rPr>
        <w:t>the topic variables</w:t>
      </w:r>
      <w:r>
        <w:rPr>
          <w:lang w:val="en-GB"/>
        </w:rPr>
        <w:t xml:space="preserve"> are</w:t>
      </w:r>
      <w:r w:rsidR="00040213">
        <w:rPr>
          <w:lang w:val="en-GB"/>
        </w:rPr>
        <w:t xml:space="preserve"> </w:t>
      </w:r>
      <w:r w:rsidR="00CC5DD7" w:rsidRPr="00D272CC">
        <w:rPr>
          <w:lang w:val="en-GB"/>
        </w:rPr>
        <w:t>MEASUREMENT (</w:t>
      </w:r>
      <w:r>
        <w:rPr>
          <w:lang w:val="en-GB"/>
        </w:rPr>
        <w:t xml:space="preserve">a </w:t>
      </w:r>
      <w:r w:rsidR="00CC5DD7" w:rsidRPr="00D272CC">
        <w:rPr>
          <w:lang w:val="en-GB"/>
        </w:rPr>
        <w:t>dummy for a change of a measurement choice) and NOT</w:t>
      </w:r>
      <w:r w:rsidR="0032565F">
        <w:rPr>
          <w:lang w:val="en-GB"/>
        </w:rPr>
        <w:t>2OPTIONS</w:t>
      </w:r>
      <w:r w:rsidR="00CC5DD7" w:rsidRPr="00D272CC">
        <w:rPr>
          <w:lang w:val="en-GB"/>
        </w:rPr>
        <w:t xml:space="preserve"> (</w:t>
      </w:r>
      <w:r>
        <w:rPr>
          <w:lang w:val="en-GB"/>
        </w:rPr>
        <w:t xml:space="preserve">a </w:t>
      </w:r>
      <w:r w:rsidR="00CC5DD7" w:rsidRPr="00D272CC">
        <w:rPr>
          <w:lang w:val="en-GB"/>
        </w:rPr>
        <w:t xml:space="preserve">dummy </w:t>
      </w:r>
      <w:r w:rsidR="0061636E">
        <w:rPr>
          <w:lang w:val="en-GB"/>
        </w:rPr>
        <w:t>for</w:t>
      </w:r>
      <w:r w:rsidR="007B65E5">
        <w:rPr>
          <w:lang w:val="en-GB"/>
        </w:rPr>
        <w:t xml:space="preserve"> </w:t>
      </w:r>
      <w:r w:rsidR="00E803C8">
        <w:rPr>
          <w:lang w:val="en-GB"/>
        </w:rPr>
        <w:t>a</w:t>
      </w:r>
      <w:r w:rsidR="00CC5DD7" w:rsidRPr="00D272CC">
        <w:rPr>
          <w:lang w:val="en-GB"/>
        </w:rPr>
        <w:t xml:space="preserve"> change </w:t>
      </w:r>
      <w:r w:rsidR="00714B86">
        <w:rPr>
          <w:lang w:val="en-GB"/>
        </w:rPr>
        <w:t xml:space="preserve">which is not </w:t>
      </w:r>
      <w:r w:rsidR="00411F54">
        <w:rPr>
          <w:lang w:val="en-GB"/>
        </w:rPr>
        <w:t xml:space="preserve">to or from using </w:t>
      </w:r>
      <w:r w:rsidR="0032565F">
        <w:rPr>
          <w:lang w:val="en-GB"/>
        </w:rPr>
        <w:t>two</w:t>
      </w:r>
      <w:r w:rsidR="00411F54">
        <w:rPr>
          <w:lang w:val="en-GB"/>
        </w:rPr>
        <w:t xml:space="preserve"> options on a topic,</w:t>
      </w:r>
      <w:r w:rsidR="00411F54" w:rsidRPr="00411F54">
        <w:rPr>
          <w:lang w:val="en-GB"/>
        </w:rPr>
        <w:t xml:space="preserve"> </w:t>
      </w:r>
      <w:r w:rsidR="00C42E63">
        <w:rPr>
          <w:lang w:val="en-GB"/>
        </w:rPr>
        <w:t xml:space="preserve">e.g. first in, first out </w:t>
      </w:r>
      <w:r w:rsidR="00411F54">
        <w:rPr>
          <w:lang w:val="en-GB"/>
        </w:rPr>
        <w:t>for some inventories and weighted average for others</w:t>
      </w:r>
      <w:r w:rsidR="007B65E5">
        <w:rPr>
          <w:lang w:val="en-GB"/>
        </w:rPr>
        <w:t xml:space="preserve">). </w:t>
      </w:r>
      <w:r w:rsidR="00A06F5A">
        <w:rPr>
          <w:lang w:val="en-GB"/>
        </w:rPr>
        <w:t xml:space="preserve">The </w:t>
      </w:r>
      <w:r w:rsidR="00C42E63">
        <w:rPr>
          <w:lang w:val="en-GB"/>
        </w:rPr>
        <w:t>NOT</w:t>
      </w:r>
      <w:r w:rsidR="0032565F">
        <w:rPr>
          <w:lang w:val="en-GB"/>
        </w:rPr>
        <w:t>2OPTIONS</w:t>
      </w:r>
      <w:r w:rsidR="00C42E63">
        <w:rPr>
          <w:lang w:val="en-GB"/>
        </w:rPr>
        <w:t xml:space="preserve"> variable</w:t>
      </w:r>
      <w:r w:rsidR="00A06F5A">
        <w:rPr>
          <w:lang w:val="en-GB"/>
        </w:rPr>
        <w:t xml:space="preserve"> takes a value of ‘1’ if the</w:t>
      </w:r>
      <w:r w:rsidR="00714B86">
        <w:rPr>
          <w:lang w:val="en-GB"/>
        </w:rPr>
        <w:t>re is a</w:t>
      </w:r>
      <w:r w:rsidR="00A06F5A">
        <w:rPr>
          <w:lang w:val="en-GB"/>
        </w:rPr>
        <w:t xml:space="preserve"> change </w:t>
      </w:r>
      <w:r w:rsidR="00714B86">
        <w:rPr>
          <w:lang w:val="en-GB"/>
        </w:rPr>
        <w:t xml:space="preserve">which </w:t>
      </w:r>
      <w:r w:rsidR="00A06F5A">
        <w:rPr>
          <w:lang w:val="en-GB"/>
        </w:rPr>
        <w:t xml:space="preserve">is </w:t>
      </w:r>
      <w:r w:rsidR="002B0A0D">
        <w:rPr>
          <w:lang w:val="en-GB"/>
        </w:rPr>
        <w:t>n</w:t>
      </w:r>
      <w:r w:rsidR="003A5771">
        <w:rPr>
          <w:lang w:val="en-GB"/>
        </w:rPr>
        <w:t xml:space="preserve">either to </w:t>
      </w:r>
      <w:r w:rsidR="002B0A0D">
        <w:rPr>
          <w:lang w:val="en-GB"/>
        </w:rPr>
        <w:t>n</w:t>
      </w:r>
      <w:r w:rsidR="003A5771">
        <w:rPr>
          <w:lang w:val="en-GB"/>
        </w:rPr>
        <w:t xml:space="preserve">or from using </w:t>
      </w:r>
      <w:r w:rsidR="0032565F">
        <w:rPr>
          <w:lang w:val="en-GB"/>
        </w:rPr>
        <w:t>two</w:t>
      </w:r>
      <w:r w:rsidR="003A5771">
        <w:rPr>
          <w:lang w:val="en-GB"/>
        </w:rPr>
        <w:t xml:space="preserve"> options on a topic</w:t>
      </w:r>
      <w:r w:rsidR="00312DE1">
        <w:rPr>
          <w:lang w:val="en-GB"/>
        </w:rPr>
        <w:t>.</w:t>
      </w:r>
      <w:r w:rsidR="00C42E63">
        <w:rPr>
          <w:lang w:val="en-GB"/>
        </w:rPr>
        <w:t xml:space="preserve"> </w:t>
      </w:r>
      <w:r w:rsidR="00714B86">
        <w:rPr>
          <w:lang w:val="en-GB"/>
        </w:rPr>
        <w:t xml:space="preserve">In our data, </w:t>
      </w:r>
      <w:r w:rsidR="009B6790">
        <w:rPr>
          <w:lang w:val="en-GB"/>
        </w:rPr>
        <w:t>using</w:t>
      </w:r>
      <w:r w:rsidR="00312DE1">
        <w:rPr>
          <w:lang w:val="en-GB"/>
        </w:rPr>
        <w:t xml:space="preserve"> two options on a topic simultaneously</w:t>
      </w:r>
      <w:r w:rsidR="00C42E63">
        <w:rPr>
          <w:lang w:val="en-GB"/>
        </w:rPr>
        <w:t xml:space="preserve"> </w:t>
      </w:r>
      <w:r w:rsidR="00AA3DDA">
        <w:rPr>
          <w:lang w:val="en-GB"/>
        </w:rPr>
        <w:t xml:space="preserve">can </w:t>
      </w:r>
      <w:r w:rsidR="00C42E63">
        <w:rPr>
          <w:lang w:val="en-GB"/>
        </w:rPr>
        <w:t>only appl</w:t>
      </w:r>
      <w:r w:rsidR="00AA3DDA">
        <w:rPr>
          <w:lang w:val="en-GB"/>
        </w:rPr>
        <w:t>y</w:t>
      </w:r>
      <w:r w:rsidR="00C42E63">
        <w:rPr>
          <w:lang w:val="en-GB"/>
        </w:rPr>
        <w:t xml:space="preserve"> for topics 6 and 1</w:t>
      </w:r>
      <w:r w:rsidR="00BB1D3A">
        <w:rPr>
          <w:lang w:val="en-GB"/>
        </w:rPr>
        <w:t>4</w:t>
      </w:r>
      <w:r w:rsidR="00CC5DD7" w:rsidRPr="00D272CC">
        <w:rPr>
          <w:lang w:val="en-GB"/>
        </w:rPr>
        <w:t xml:space="preserve"> </w:t>
      </w:r>
      <w:r w:rsidR="002B0A0D">
        <w:rPr>
          <w:lang w:val="en-GB"/>
        </w:rPr>
        <w:t>(</w:t>
      </w:r>
      <w:r w:rsidR="00DE61E8">
        <w:rPr>
          <w:lang w:val="en-GB"/>
        </w:rPr>
        <w:t>see Table 1</w:t>
      </w:r>
      <w:r w:rsidR="002B0A0D">
        <w:rPr>
          <w:lang w:val="en-GB"/>
        </w:rPr>
        <w:t>)</w:t>
      </w:r>
      <w:r w:rsidR="00CC5DD7" w:rsidRPr="00D272CC">
        <w:rPr>
          <w:lang w:val="en-GB"/>
        </w:rPr>
        <w:t>. Th</w:t>
      </w:r>
      <w:r w:rsidR="007B65E5">
        <w:rPr>
          <w:lang w:val="en-GB"/>
        </w:rPr>
        <w:t>is</w:t>
      </w:r>
      <w:r w:rsidR="00CC5DD7" w:rsidRPr="00D272CC">
        <w:rPr>
          <w:lang w:val="en-GB"/>
        </w:rPr>
        <w:t xml:space="preserve"> </w:t>
      </w:r>
      <w:r w:rsidR="007B65E5">
        <w:rPr>
          <w:lang w:val="en-GB"/>
        </w:rPr>
        <w:t>variable</w:t>
      </w:r>
      <w:r w:rsidR="00CC5DD7" w:rsidRPr="00D272CC">
        <w:rPr>
          <w:lang w:val="en-GB"/>
        </w:rPr>
        <w:t xml:space="preserve"> is included because managers might not consider a change </w:t>
      </w:r>
      <w:r w:rsidR="00552D44" w:rsidRPr="00D272CC">
        <w:rPr>
          <w:lang w:val="en-GB"/>
        </w:rPr>
        <w:t>to or from</w:t>
      </w:r>
      <w:r w:rsidR="00C42E63">
        <w:rPr>
          <w:lang w:val="en-GB"/>
        </w:rPr>
        <w:t xml:space="preserve"> us</w:t>
      </w:r>
      <w:r w:rsidR="00AA3DDA">
        <w:rPr>
          <w:lang w:val="en-GB"/>
        </w:rPr>
        <w:t>ing</w:t>
      </w:r>
      <w:r w:rsidR="00C42E63">
        <w:rPr>
          <w:lang w:val="en-GB"/>
        </w:rPr>
        <w:t xml:space="preserve"> </w:t>
      </w:r>
      <w:r w:rsidR="0032565F">
        <w:rPr>
          <w:lang w:val="en-GB"/>
        </w:rPr>
        <w:t>two</w:t>
      </w:r>
      <w:r w:rsidR="00C42E63">
        <w:rPr>
          <w:lang w:val="en-GB"/>
        </w:rPr>
        <w:t xml:space="preserve"> options</w:t>
      </w:r>
      <w:r w:rsidR="00CC5DD7" w:rsidRPr="00D272CC">
        <w:rPr>
          <w:lang w:val="en-GB"/>
        </w:rPr>
        <w:t xml:space="preserve"> to be important enough to warrant an explanation.</w:t>
      </w:r>
      <w:r w:rsidR="00B525B5">
        <w:rPr>
          <w:lang w:val="en-GB"/>
        </w:rPr>
        <w:t xml:space="preserve"> </w:t>
      </w:r>
      <w:r w:rsidR="00B525B5" w:rsidRPr="00B525B5">
        <w:rPr>
          <w:lang w:val="en-GB"/>
        </w:rPr>
        <w:t>For firm-years with more than one policy change, MEASUREMENT (NOT2OPTIONS) takes a value of ‘1’ if there is at least one change of a measurement choice (change which is not to or from using two options on a topic).</w:t>
      </w:r>
    </w:p>
    <w:p w14:paraId="0512ADFD" w14:textId="5A5DDA09" w:rsidR="002C26CE" w:rsidRDefault="005B4709" w:rsidP="00F05EED">
      <w:pPr>
        <w:tabs>
          <w:tab w:val="left" w:pos="7560"/>
        </w:tabs>
        <w:rPr>
          <w:lang w:val="en-GB"/>
        </w:rPr>
      </w:pPr>
      <w:r>
        <w:rPr>
          <w:lang w:val="en-GB"/>
        </w:rPr>
        <w:t xml:space="preserve">We </w:t>
      </w:r>
      <w:r w:rsidR="00167A2F">
        <w:rPr>
          <w:lang w:val="en-GB"/>
        </w:rPr>
        <w:t>also include</w:t>
      </w:r>
      <w:r w:rsidR="00CD015C" w:rsidRPr="00D272CC">
        <w:rPr>
          <w:lang w:val="en-GB"/>
        </w:rPr>
        <w:t xml:space="preserve"> </w:t>
      </w:r>
      <w:r w:rsidR="00111FB9" w:rsidRPr="00D272CC">
        <w:rPr>
          <w:lang w:val="en-GB"/>
        </w:rPr>
        <w:t>variable</w:t>
      </w:r>
      <w:r>
        <w:rPr>
          <w:lang w:val="en-GB"/>
        </w:rPr>
        <w:t>s</w:t>
      </w:r>
      <w:r w:rsidR="00167A2F">
        <w:rPr>
          <w:lang w:val="en-GB"/>
        </w:rPr>
        <w:t xml:space="preserve"> for economic factors</w:t>
      </w:r>
      <w:r>
        <w:rPr>
          <w:lang w:val="en-GB"/>
        </w:rPr>
        <w:t xml:space="preserve"> </w:t>
      </w:r>
      <w:r w:rsidR="00F05EED">
        <w:rPr>
          <w:lang w:val="en-GB"/>
        </w:rPr>
        <w:t xml:space="preserve">found to be associated with accounting </w:t>
      </w:r>
      <w:r>
        <w:rPr>
          <w:lang w:val="en-GB"/>
        </w:rPr>
        <w:t xml:space="preserve">choice, as discussed earlier. </w:t>
      </w:r>
      <w:r w:rsidR="006B5980">
        <w:rPr>
          <w:lang w:val="en-GB"/>
        </w:rPr>
        <w:t xml:space="preserve">First, </w:t>
      </w:r>
      <w:r w:rsidR="00111FB9" w:rsidRPr="00D272CC">
        <w:rPr>
          <w:lang w:val="en-GB"/>
        </w:rPr>
        <w:t>SIZE (</w:t>
      </w:r>
      <w:r w:rsidR="00F96A60">
        <w:rPr>
          <w:lang w:val="en-GB"/>
        </w:rPr>
        <w:t xml:space="preserve">the </w:t>
      </w:r>
      <w:r w:rsidR="00111FB9" w:rsidRPr="00D272CC">
        <w:rPr>
          <w:lang w:val="en-GB"/>
        </w:rPr>
        <w:t>natural logarithm of market capitalization in US dollars)</w:t>
      </w:r>
      <w:r w:rsidR="004268CA">
        <w:rPr>
          <w:lang w:val="en-GB"/>
        </w:rPr>
        <w:t xml:space="preserve"> is a proxy for political costs;</w:t>
      </w:r>
      <w:r w:rsidR="00BF6428" w:rsidRPr="00BF6428">
        <w:rPr>
          <w:lang w:val="en-GB"/>
        </w:rPr>
        <w:t xml:space="preserve"> </w:t>
      </w:r>
      <w:r w:rsidR="004268CA">
        <w:rPr>
          <w:lang w:val="en-GB"/>
        </w:rPr>
        <w:t xml:space="preserve">additionally, recent studies find that larger firms have </w:t>
      </w:r>
      <w:r w:rsidR="00BF6428">
        <w:rPr>
          <w:lang w:val="en-GB"/>
        </w:rPr>
        <w:t>higher accounting quality (see Dechow et al. 20</w:t>
      </w:r>
      <w:r w:rsidR="00BF6428" w:rsidRPr="00D272CC">
        <w:rPr>
          <w:lang w:val="en-GB"/>
        </w:rPr>
        <w:t>1</w:t>
      </w:r>
      <w:r w:rsidR="00BF6428">
        <w:rPr>
          <w:lang w:val="en-GB"/>
        </w:rPr>
        <w:t>0)</w:t>
      </w:r>
      <w:r w:rsidR="004268CA">
        <w:rPr>
          <w:lang w:val="en-GB"/>
        </w:rPr>
        <w:t xml:space="preserve"> and </w:t>
      </w:r>
      <w:r w:rsidR="003F00D2">
        <w:rPr>
          <w:lang w:val="en-GB"/>
        </w:rPr>
        <w:t>therefore might</w:t>
      </w:r>
      <w:r w:rsidR="004268CA">
        <w:rPr>
          <w:lang w:val="en-GB"/>
        </w:rPr>
        <w:t xml:space="preserve"> be more concerned </w:t>
      </w:r>
      <w:r w:rsidR="003F00D2">
        <w:rPr>
          <w:lang w:val="en-GB"/>
        </w:rPr>
        <w:t>about the quality of their financial information when making accounting choices and changes</w:t>
      </w:r>
      <w:r w:rsidR="00BF6428">
        <w:rPr>
          <w:lang w:val="en-GB"/>
        </w:rPr>
        <w:t xml:space="preserve">. </w:t>
      </w:r>
      <w:r w:rsidR="006B5980">
        <w:rPr>
          <w:lang w:val="en-GB"/>
        </w:rPr>
        <w:t xml:space="preserve">Then, we </w:t>
      </w:r>
      <w:r w:rsidR="003F00D2">
        <w:rPr>
          <w:lang w:val="en-GB"/>
        </w:rPr>
        <w:t>include</w:t>
      </w:r>
      <w:r w:rsidR="006B5980">
        <w:rPr>
          <w:lang w:val="en-GB"/>
        </w:rPr>
        <w:t xml:space="preserve"> pre-change </w:t>
      </w:r>
      <w:r w:rsidR="003F00D2">
        <w:rPr>
          <w:lang w:val="en-GB"/>
        </w:rPr>
        <w:t>LEVERAGE (total liabilities divided by total assets)</w:t>
      </w:r>
      <w:r w:rsidR="00D352FA">
        <w:rPr>
          <w:lang w:val="en-GB"/>
        </w:rPr>
        <w:t xml:space="preserve"> </w:t>
      </w:r>
      <w:r w:rsidR="001D304C">
        <w:rPr>
          <w:lang w:val="en-GB"/>
        </w:rPr>
        <w:t xml:space="preserve">to proxy </w:t>
      </w:r>
      <w:r w:rsidR="00D352FA">
        <w:rPr>
          <w:lang w:val="en-GB"/>
        </w:rPr>
        <w:t>for debt covenants</w:t>
      </w:r>
      <w:r w:rsidR="00F96A60">
        <w:rPr>
          <w:lang w:val="en-GB"/>
        </w:rPr>
        <w:t>,</w:t>
      </w:r>
      <w:r w:rsidR="003F00D2">
        <w:rPr>
          <w:lang w:val="en-GB"/>
        </w:rPr>
        <w:t xml:space="preserve"> and PROFITABILITY</w:t>
      </w:r>
      <w:r w:rsidR="00665601">
        <w:rPr>
          <w:rStyle w:val="FootnoteReference"/>
          <w:lang w:val="en-GB"/>
        </w:rPr>
        <w:footnoteReference w:id="36"/>
      </w:r>
      <w:r w:rsidR="003F00D2">
        <w:rPr>
          <w:lang w:val="en-GB"/>
        </w:rPr>
        <w:t xml:space="preserve"> (return on assets)</w:t>
      </w:r>
      <w:r w:rsidR="00D352FA">
        <w:rPr>
          <w:lang w:val="en-GB"/>
        </w:rPr>
        <w:t xml:space="preserve"> for compensation arrangements</w:t>
      </w:r>
      <w:r w:rsidR="00DF651C">
        <w:rPr>
          <w:lang w:val="en-GB"/>
        </w:rPr>
        <w:t>.</w:t>
      </w:r>
      <w:r w:rsidR="003F00D2">
        <w:rPr>
          <w:lang w:val="en-GB"/>
        </w:rPr>
        <w:t xml:space="preserve"> </w:t>
      </w:r>
      <w:r w:rsidR="00DF651C">
        <w:rPr>
          <w:lang w:val="en-GB"/>
        </w:rPr>
        <w:t>B</w:t>
      </w:r>
      <w:r w:rsidR="003F00D2">
        <w:rPr>
          <w:lang w:val="en-GB"/>
        </w:rPr>
        <w:t>oth variables are industry-mean</w:t>
      </w:r>
      <w:r w:rsidR="004D0B18">
        <w:rPr>
          <w:rStyle w:val="FootnoteReference"/>
          <w:lang w:val="en-GB"/>
        </w:rPr>
        <w:footnoteReference w:id="37"/>
      </w:r>
      <w:r w:rsidR="003F00D2">
        <w:rPr>
          <w:lang w:val="en-GB"/>
        </w:rPr>
        <w:t xml:space="preserve"> adjusted</w:t>
      </w:r>
      <w:r w:rsidR="00665601">
        <w:rPr>
          <w:lang w:val="en-GB"/>
        </w:rPr>
        <w:t>, as described in Appendix 3</w:t>
      </w:r>
      <w:r w:rsidR="0032239F">
        <w:rPr>
          <w:lang w:val="en-GB"/>
        </w:rPr>
        <w:t xml:space="preserve">, because leverage and profitability of most financial firms in our sample are not comparable to </w:t>
      </w:r>
      <w:r w:rsidR="00F96A60">
        <w:rPr>
          <w:lang w:val="en-GB"/>
        </w:rPr>
        <w:t xml:space="preserve">those of </w:t>
      </w:r>
      <w:r w:rsidR="0032239F">
        <w:rPr>
          <w:lang w:val="en-GB"/>
        </w:rPr>
        <w:t>other firms</w:t>
      </w:r>
      <w:r w:rsidR="00665601">
        <w:rPr>
          <w:lang w:val="en-GB"/>
        </w:rPr>
        <w:t>.</w:t>
      </w:r>
      <w:r w:rsidR="00F05EED">
        <w:rPr>
          <w:lang w:val="en-GB"/>
        </w:rPr>
        <w:t xml:space="preserve"> </w:t>
      </w:r>
      <w:r w:rsidR="006B5980">
        <w:rPr>
          <w:lang w:val="en-GB"/>
        </w:rPr>
        <w:t xml:space="preserve">We also include </w:t>
      </w:r>
      <w:r w:rsidR="00111FB9" w:rsidRPr="00D272CC">
        <w:rPr>
          <w:lang w:val="en-GB"/>
        </w:rPr>
        <w:t>USLIST (dummy for a US listing)</w:t>
      </w:r>
      <w:r w:rsidR="00560317">
        <w:rPr>
          <w:lang w:val="en-GB"/>
        </w:rPr>
        <w:t xml:space="preserve"> </w:t>
      </w:r>
      <w:r w:rsidR="00DF651C">
        <w:rPr>
          <w:lang w:val="en-GB"/>
        </w:rPr>
        <w:t>because of</w:t>
      </w:r>
      <w:r w:rsidR="008423C1">
        <w:rPr>
          <w:lang w:val="en-GB"/>
        </w:rPr>
        <w:t xml:space="preserve"> the different regulatory environment </w:t>
      </w:r>
      <w:r w:rsidR="00DF651C">
        <w:rPr>
          <w:lang w:val="en-GB"/>
        </w:rPr>
        <w:t>of</w:t>
      </w:r>
      <w:r w:rsidR="008423C1">
        <w:rPr>
          <w:lang w:val="en-GB"/>
        </w:rPr>
        <w:t xml:space="preserve"> firms which have a US listing</w:t>
      </w:r>
      <w:r w:rsidR="003E4C25" w:rsidRPr="00D272CC">
        <w:rPr>
          <w:lang w:val="en-GB"/>
        </w:rPr>
        <w:t xml:space="preserve">. </w:t>
      </w:r>
      <w:r w:rsidR="003235E9" w:rsidRPr="00D272CC">
        <w:rPr>
          <w:lang w:val="en-GB"/>
        </w:rPr>
        <w:t xml:space="preserve">Summary statistics of the variables are provided in Panel </w:t>
      </w:r>
      <w:r w:rsidR="00627026">
        <w:rPr>
          <w:lang w:val="en-GB"/>
        </w:rPr>
        <w:t>A</w:t>
      </w:r>
      <w:r w:rsidR="003235E9" w:rsidRPr="00D272CC">
        <w:rPr>
          <w:lang w:val="en-GB"/>
        </w:rPr>
        <w:t xml:space="preserve"> of Table </w:t>
      </w:r>
      <w:r w:rsidR="00627026">
        <w:rPr>
          <w:lang w:val="en-GB"/>
        </w:rPr>
        <w:t>6,</w:t>
      </w:r>
      <w:r w:rsidR="003235E9" w:rsidRPr="00D272CC">
        <w:rPr>
          <w:lang w:val="en-GB"/>
        </w:rPr>
        <w:t xml:space="preserve"> and Appendix </w:t>
      </w:r>
      <w:r w:rsidR="006A70B1" w:rsidRPr="00D272CC">
        <w:rPr>
          <w:lang w:val="en-GB"/>
        </w:rPr>
        <w:t>3</w:t>
      </w:r>
      <w:r w:rsidR="003235E9" w:rsidRPr="00D272CC">
        <w:rPr>
          <w:lang w:val="en-GB"/>
        </w:rPr>
        <w:t xml:space="preserve"> provides more details on the definitions of the variables.</w:t>
      </w:r>
    </w:p>
    <w:p w14:paraId="38A968E6" w14:textId="77777777" w:rsidR="00627026" w:rsidRPr="00D272CC" w:rsidRDefault="00627026" w:rsidP="00627026">
      <w:pPr>
        <w:pStyle w:val="Table-FigureInsert"/>
        <w:ind w:firstLine="0"/>
        <w:rPr>
          <w:lang w:val="en-GB"/>
        </w:rPr>
      </w:pPr>
      <w:r w:rsidRPr="00D272CC">
        <w:rPr>
          <w:lang w:val="en-GB"/>
        </w:rPr>
        <w:t xml:space="preserve">&lt; insert Table 6 about here </w:t>
      </w:r>
      <w:r>
        <w:rPr>
          <w:lang w:val="en-GB"/>
        </w:rPr>
        <w:t>&gt;</w:t>
      </w:r>
    </w:p>
    <w:p w14:paraId="562A1CEA" w14:textId="07CF1555" w:rsidR="00E26FD7" w:rsidRDefault="00627026" w:rsidP="001E6482">
      <w:pPr>
        <w:rPr>
          <w:lang w:val="en-GB"/>
        </w:rPr>
      </w:pPr>
      <w:r>
        <w:rPr>
          <w:lang w:val="en-GB"/>
        </w:rPr>
        <w:t xml:space="preserve">Panel B of </w:t>
      </w:r>
      <w:r w:rsidR="003235E9" w:rsidRPr="00D272CC">
        <w:rPr>
          <w:lang w:val="en-GB"/>
        </w:rPr>
        <w:t>Table 6 reports the regression results</w:t>
      </w:r>
      <w:r w:rsidR="006E4522" w:rsidRPr="00D272CC">
        <w:rPr>
          <w:lang w:val="en-GB"/>
        </w:rPr>
        <w:t xml:space="preserve"> (marginal effects at means)</w:t>
      </w:r>
      <w:r w:rsidR="00360878" w:rsidRPr="00D272CC">
        <w:rPr>
          <w:lang w:val="en-GB"/>
        </w:rPr>
        <w:t>, which</w:t>
      </w:r>
      <w:r w:rsidR="001E6482" w:rsidRPr="00D272CC">
        <w:rPr>
          <w:lang w:val="en-GB"/>
        </w:rPr>
        <w:t xml:space="preserve"> are based on standard errors clustered by firm</w:t>
      </w:r>
      <w:r w:rsidR="001447E1" w:rsidRPr="00D272CC">
        <w:rPr>
          <w:lang w:val="en-GB"/>
        </w:rPr>
        <w:t xml:space="preserve"> because our sample includes firms which make</w:t>
      </w:r>
      <w:r w:rsidR="009E4CD7" w:rsidRPr="00D272CC">
        <w:rPr>
          <w:lang w:val="en-GB"/>
        </w:rPr>
        <w:t xml:space="preserve"> policy changes in more than one year</w:t>
      </w:r>
      <w:r w:rsidR="001E6482" w:rsidRPr="00D272CC">
        <w:rPr>
          <w:lang w:val="en-GB"/>
        </w:rPr>
        <w:t>.</w:t>
      </w:r>
      <w:r w:rsidR="00DD6B1A">
        <w:rPr>
          <w:rStyle w:val="FootnoteReference"/>
          <w:lang w:val="en-GB"/>
        </w:rPr>
        <w:footnoteReference w:id="38"/>
      </w:r>
      <w:r w:rsidR="003235E9" w:rsidRPr="00D272CC">
        <w:rPr>
          <w:lang w:val="en-GB"/>
        </w:rPr>
        <w:t xml:space="preserve"> The first regression shows that </w:t>
      </w:r>
      <w:r w:rsidR="00270507" w:rsidRPr="00D272CC">
        <w:rPr>
          <w:lang w:val="en-GB"/>
        </w:rPr>
        <w:t>eight</w:t>
      </w:r>
      <w:r w:rsidR="003235E9" w:rsidRPr="00D272CC">
        <w:rPr>
          <w:lang w:val="en-GB"/>
        </w:rPr>
        <w:t xml:space="preserve"> topic dummies are statistically significant at the </w:t>
      </w:r>
      <w:r w:rsidR="00127878" w:rsidRPr="00D272CC">
        <w:rPr>
          <w:lang w:val="en-GB"/>
        </w:rPr>
        <w:t>5% level</w:t>
      </w:r>
      <w:r w:rsidR="009F23E7" w:rsidRPr="00D272CC">
        <w:rPr>
          <w:lang w:val="en-GB"/>
        </w:rPr>
        <w:t>. That is,</w:t>
      </w:r>
      <w:r w:rsidR="00127878" w:rsidRPr="00D272CC">
        <w:rPr>
          <w:lang w:val="en-GB"/>
        </w:rPr>
        <w:t xml:space="preserve"> </w:t>
      </w:r>
      <w:r w:rsidR="00270507" w:rsidRPr="00D272CC">
        <w:rPr>
          <w:lang w:val="en-GB"/>
        </w:rPr>
        <w:t>managers more frequently</w:t>
      </w:r>
      <w:r w:rsidR="00D44F67">
        <w:rPr>
          <w:lang w:val="en-GB"/>
        </w:rPr>
        <w:t xml:space="preserve"> </w:t>
      </w:r>
      <w:r w:rsidR="00270507" w:rsidRPr="00D272CC">
        <w:rPr>
          <w:lang w:val="en-GB"/>
        </w:rPr>
        <w:t>state QCs as a reason for a policy change if the change re</w:t>
      </w:r>
      <w:r w:rsidR="00F96A60">
        <w:rPr>
          <w:lang w:val="en-GB"/>
        </w:rPr>
        <w:t>late</w:t>
      </w:r>
      <w:r w:rsidR="00270507" w:rsidRPr="00D272CC">
        <w:rPr>
          <w:lang w:val="en-GB"/>
        </w:rPr>
        <w:t>s to</w:t>
      </w:r>
      <w:r w:rsidR="00127878" w:rsidRPr="00D272CC">
        <w:rPr>
          <w:lang w:val="en-GB"/>
        </w:rPr>
        <w:t xml:space="preserve"> </w:t>
      </w:r>
      <w:r w:rsidR="00C30C40" w:rsidRPr="00D272CC">
        <w:rPr>
          <w:lang w:val="en-GB"/>
        </w:rPr>
        <w:t>TOPIC</w:t>
      </w:r>
      <w:r w:rsidR="00270507" w:rsidRPr="00D272CC">
        <w:rPr>
          <w:lang w:val="en-GB"/>
        </w:rPr>
        <w:t>1</w:t>
      </w:r>
      <w:r w:rsidR="00C30C40" w:rsidRPr="00D272CC">
        <w:rPr>
          <w:lang w:val="en-GB"/>
        </w:rPr>
        <w:t xml:space="preserve"> (</w:t>
      </w:r>
      <w:r w:rsidR="00270507" w:rsidRPr="00D272CC">
        <w:rPr>
          <w:lang w:val="en-GB"/>
        </w:rPr>
        <w:t>income statement format</w:t>
      </w:r>
      <w:r w:rsidR="00C30C40" w:rsidRPr="00D272CC">
        <w:rPr>
          <w:lang w:val="en-GB"/>
        </w:rPr>
        <w:t>), TOPIC</w:t>
      </w:r>
      <w:r w:rsidR="00270507" w:rsidRPr="00D272CC">
        <w:rPr>
          <w:lang w:val="en-GB"/>
        </w:rPr>
        <w:t>5</w:t>
      </w:r>
      <w:r w:rsidR="00C30C40" w:rsidRPr="00D272CC">
        <w:rPr>
          <w:lang w:val="en-GB"/>
        </w:rPr>
        <w:t xml:space="preserve"> (</w:t>
      </w:r>
      <w:r w:rsidR="00270507" w:rsidRPr="00D272CC">
        <w:rPr>
          <w:lang w:val="en-GB"/>
        </w:rPr>
        <w:t>liquidity order of the balance sheet</w:t>
      </w:r>
      <w:r w:rsidR="00C30C40" w:rsidRPr="00D272CC">
        <w:rPr>
          <w:lang w:val="en-GB"/>
        </w:rPr>
        <w:t>)</w:t>
      </w:r>
      <w:r w:rsidR="00127878" w:rsidRPr="00D272CC">
        <w:rPr>
          <w:lang w:val="en-GB"/>
        </w:rPr>
        <w:t>,</w:t>
      </w:r>
      <w:r w:rsidR="006F4197">
        <w:rPr>
          <w:lang w:val="en-GB"/>
        </w:rPr>
        <w:t xml:space="preserve"> TOPIC7 (direct or indirect cash flow),</w:t>
      </w:r>
      <w:r w:rsidR="00127878" w:rsidRPr="00D272CC">
        <w:rPr>
          <w:lang w:val="en-GB"/>
        </w:rPr>
        <w:t xml:space="preserve"> </w:t>
      </w:r>
      <w:r w:rsidR="00C30C40" w:rsidRPr="00D272CC">
        <w:rPr>
          <w:lang w:val="en-GB"/>
        </w:rPr>
        <w:t>TOPIC</w:t>
      </w:r>
      <w:r w:rsidR="00270507" w:rsidRPr="00D272CC">
        <w:rPr>
          <w:lang w:val="en-GB"/>
        </w:rPr>
        <w:t>10</w:t>
      </w:r>
      <w:r w:rsidR="00C30C40" w:rsidRPr="00D272CC">
        <w:rPr>
          <w:lang w:val="en-GB"/>
        </w:rPr>
        <w:t xml:space="preserve"> (</w:t>
      </w:r>
      <w:r w:rsidR="00270507" w:rsidRPr="00D272CC">
        <w:rPr>
          <w:lang w:val="en-GB"/>
        </w:rPr>
        <w:t xml:space="preserve">property </w:t>
      </w:r>
      <w:r w:rsidR="00F96A60">
        <w:rPr>
          <w:lang w:val="en-GB"/>
        </w:rPr>
        <w:t>measurement</w:t>
      </w:r>
      <w:r w:rsidR="00C30C40" w:rsidRPr="00D272CC">
        <w:rPr>
          <w:lang w:val="en-GB"/>
        </w:rPr>
        <w:t xml:space="preserve">), </w:t>
      </w:r>
      <w:r w:rsidR="00127878" w:rsidRPr="00D272CC">
        <w:rPr>
          <w:lang w:val="en-GB"/>
        </w:rPr>
        <w:t>TOPIC1</w:t>
      </w:r>
      <w:r w:rsidR="00270507" w:rsidRPr="00D272CC">
        <w:rPr>
          <w:lang w:val="en-GB"/>
        </w:rPr>
        <w:t>1</w:t>
      </w:r>
      <w:r w:rsidR="00127878" w:rsidRPr="00D272CC">
        <w:rPr>
          <w:lang w:val="en-GB"/>
        </w:rPr>
        <w:t xml:space="preserve"> (</w:t>
      </w:r>
      <w:r w:rsidR="00270507" w:rsidRPr="00D272CC">
        <w:rPr>
          <w:lang w:val="en-GB"/>
        </w:rPr>
        <w:t>investment property</w:t>
      </w:r>
      <w:r w:rsidR="00F96A60">
        <w:rPr>
          <w:lang w:val="en-GB"/>
        </w:rPr>
        <w:t xml:space="preserve"> measurement</w:t>
      </w:r>
      <w:r w:rsidR="00127878" w:rsidRPr="00D272CC">
        <w:rPr>
          <w:lang w:val="en-GB"/>
        </w:rPr>
        <w:t>)</w:t>
      </w:r>
      <w:r w:rsidR="00C30C40" w:rsidRPr="00D272CC">
        <w:rPr>
          <w:lang w:val="en-GB"/>
        </w:rPr>
        <w:t>, TOPIC1</w:t>
      </w:r>
      <w:r w:rsidR="00270507" w:rsidRPr="00D272CC">
        <w:rPr>
          <w:lang w:val="en-GB"/>
        </w:rPr>
        <w:t>5</w:t>
      </w:r>
      <w:r w:rsidR="00C30C40" w:rsidRPr="00D272CC">
        <w:rPr>
          <w:lang w:val="en-GB"/>
        </w:rPr>
        <w:t xml:space="preserve"> (</w:t>
      </w:r>
      <w:r w:rsidR="00270507" w:rsidRPr="00D272CC">
        <w:rPr>
          <w:lang w:val="en-GB"/>
        </w:rPr>
        <w:t>treatment of actuarial gains/losses</w:t>
      </w:r>
      <w:r w:rsidR="00C30C40" w:rsidRPr="00D272CC">
        <w:rPr>
          <w:lang w:val="en-GB"/>
        </w:rPr>
        <w:t>)</w:t>
      </w:r>
      <w:r w:rsidR="00270507" w:rsidRPr="00D272CC">
        <w:rPr>
          <w:lang w:val="en-GB"/>
        </w:rPr>
        <w:t>,</w:t>
      </w:r>
      <w:r w:rsidR="00127878" w:rsidRPr="00D272CC">
        <w:rPr>
          <w:lang w:val="en-GB"/>
        </w:rPr>
        <w:t xml:space="preserve"> </w:t>
      </w:r>
      <w:r w:rsidR="00F96A60">
        <w:rPr>
          <w:lang w:val="en-GB"/>
        </w:rPr>
        <w:t xml:space="preserve">or </w:t>
      </w:r>
      <w:r w:rsidR="00127878" w:rsidRPr="00D272CC">
        <w:rPr>
          <w:lang w:val="en-GB"/>
        </w:rPr>
        <w:t>TOPIC1</w:t>
      </w:r>
      <w:r w:rsidR="00270507" w:rsidRPr="00D272CC">
        <w:rPr>
          <w:lang w:val="en-GB"/>
        </w:rPr>
        <w:t>6</w:t>
      </w:r>
      <w:r w:rsidR="00127878" w:rsidRPr="00D272CC">
        <w:rPr>
          <w:lang w:val="en-GB"/>
        </w:rPr>
        <w:t xml:space="preserve"> (</w:t>
      </w:r>
      <w:r w:rsidR="00270507" w:rsidRPr="00D272CC">
        <w:rPr>
          <w:lang w:val="en-GB"/>
        </w:rPr>
        <w:t>treatment of joint ventures</w:t>
      </w:r>
      <w:r w:rsidR="00127878" w:rsidRPr="00D272CC">
        <w:rPr>
          <w:lang w:val="en-GB"/>
        </w:rPr>
        <w:t>)</w:t>
      </w:r>
      <w:r w:rsidR="003A5945">
        <w:rPr>
          <w:lang w:val="en-GB"/>
        </w:rPr>
        <w:t>;</w:t>
      </w:r>
      <w:r w:rsidR="00FC6CCB">
        <w:rPr>
          <w:lang w:val="en-GB"/>
        </w:rPr>
        <w:t xml:space="preserve"> </w:t>
      </w:r>
      <w:r w:rsidR="00270507" w:rsidRPr="00D272CC">
        <w:rPr>
          <w:lang w:val="en-GB"/>
        </w:rPr>
        <w:t xml:space="preserve">and </w:t>
      </w:r>
      <w:r w:rsidR="00F96A60">
        <w:rPr>
          <w:lang w:val="en-GB"/>
        </w:rPr>
        <w:t xml:space="preserve">they </w:t>
      </w:r>
      <w:r w:rsidR="00270507" w:rsidRPr="00D272CC">
        <w:rPr>
          <w:lang w:val="en-GB"/>
        </w:rPr>
        <w:t xml:space="preserve">less frequently </w:t>
      </w:r>
      <w:r w:rsidR="00F96A60">
        <w:rPr>
          <w:lang w:val="en-GB"/>
        </w:rPr>
        <w:t xml:space="preserve">refer to QCs </w:t>
      </w:r>
      <w:r w:rsidR="00270507" w:rsidRPr="00D272CC">
        <w:rPr>
          <w:lang w:val="en-GB"/>
        </w:rPr>
        <w:t>if the change re</w:t>
      </w:r>
      <w:r w:rsidR="00F96A60">
        <w:rPr>
          <w:lang w:val="en-GB"/>
        </w:rPr>
        <w:t>lates</w:t>
      </w:r>
      <w:r w:rsidR="00270507" w:rsidRPr="00D272CC">
        <w:rPr>
          <w:lang w:val="en-GB"/>
        </w:rPr>
        <w:t xml:space="preserve"> to TOPIC6 (OCI or statement of changes in equity)</w:t>
      </w:r>
      <w:r w:rsidR="00127878" w:rsidRPr="00D272CC">
        <w:rPr>
          <w:lang w:val="en-GB"/>
        </w:rPr>
        <w:t xml:space="preserve">. </w:t>
      </w:r>
      <w:r w:rsidR="00E41744" w:rsidRPr="00D272CC">
        <w:rPr>
          <w:lang w:val="en-GB"/>
        </w:rPr>
        <w:t xml:space="preserve">There is no reference group for the topic fixed effects </w:t>
      </w:r>
      <w:r w:rsidR="00F96A60">
        <w:rPr>
          <w:lang w:val="en-GB"/>
        </w:rPr>
        <w:t>because there are</w:t>
      </w:r>
      <w:r w:rsidR="00E41744" w:rsidRPr="00D272CC">
        <w:rPr>
          <w:lang w:val="en-GB"/>
        </w:rPr>
        <w:t xml:space="preserve"> firm-year observations with more than one policy change and therefore more than one topic dummy with a value of ‘1’. </w:t>
      </w:r>
      <w:r w:rsidR="00C264CB" w:rsidRPr="00D272CC">
        <w:rPr>
          <w:lang w:val="en-GB"/>
        </w:rPr>
        <w:t>The entire set of topic variables is statistically significant at the 1% level (untabulated, based on a Wald test</w:t>
      </w:r>
      <w:r w:rsidR="00731C2A" w:rsidRPr="00D272CC">
        <w:rPr>
          <w:lang w:val="en-GB"/>
        </w:rPr>
        <w:t>).</w:t>
      </w:r>
      <w:r w:rsidR="00C264CB" w:rsidRPr="00D272CC">
        <w:rPr>
          <w:rStyle w:val="FootnoteReference"/>
          <w:lang w:val="en-GB"/>
        </w:rPr>
        <w:footnoteReference w:id="39"/>
      </w:r>
    </w:p>
    <w:p w14:paraId="272D5D41" w14:textId="792F6153" w:rsidR="000A0FF6" w:rsidRPr="00D272CC" w:rsidRDefault="00103A92" w:rsidP="001E6482">
      <w:pPr>
        <w:rPr>
          <w:lang w:val="en-GB"/>
        </w:rPr>
      </w:pPr>
      <w:r>
        <w:rPr>
          <w:lang w:val="en-GB"/>
        </w:rPr>
        <w:t>When we rank the significant topic variables in the first regression from high to low according to the</w:t>
      </w:r>
      <w:r w:rsidR="00A126E4">
        <w:rPr>
          <w:lang w:val="en-GB"/>
        </w:rPr>
        <w:t>ir</w:t>
      </w:r>
      <w:r>
        <w:rPr>
          <w:lang w:val="en-GB"/>
        </w:rPr>
        <w:t xml:space="preserve"> marginal effect, we observe that four of the top five variables are </w:t>
      </w:r>
      <w:r w:rsidR="006D7075">
        <w:rPr>
          <w:lang w:val="en-GB"/>
        </w:rPr>
        <w:t xml:space="preserve">for </w:t>
      </w:r>
      <w:r>
        <w:rPr>
          <w:lang w:val="en-GB"/>
        </w:rPr>
        <w:t xml:space="preserve">measurement topics. </w:t>
      </w:r>
      <w:r w:rsidR="008021FE">
        <w:rPr>
          <w:lang w:val="en-GB"/>
        </w:rPr>
        <w:t xml:space="preserve">Topic 5 has the highest marginal effect and is a presentation topic, but a change for this topic only occurs six times in our sample. </w:t>
      </w:r>
      <w:r>
        <w:rPr>
          <w:lang w:val="en-GB"/>
        </w:rPr>
        <w:t xml:space="preserve">Furthermore, </w:t>
      </w:r>
      <w:r w:rsidR="008021FE">
        <w:rPr>
          <w:lang w:val="en-GB"/>
        </w:rPr>
        <w:t>we observe a negative marginal effect for topic 6, which is a presentation topic</w:t>
      </w:r>
      <w:r>
        <w:rPr>
          <w:lang w:val="en-GB"/>
        </w:rPr>
        <w:t xml:space="preserve">. </w:t>
      </w:r>
      <w:r w:rsidR="008021FE">
        <w:rPr>
          <w:lang w:val="en-GB"/>
        </w:rPr>
        <w:t>Overall, this evidence</w:t>
      </w:r>
      <w:r>
        <w:rPr>
          <w:lang w:val="en-GB"/>
        </w:rPr>
        <w:t xml:space="preserve"> is consistent with our hypothesis.</w:t>
      </w:r>
    </w:p>
    <w:p w14:paraId="28A42349" w14:textId="79CE59B7" w:rsidR="00D142B5" w:rsidRPr="00D272CC" w:rsidRDefault="000A662D" w:rsidP="001E6482">
      <w:pPr>
        <w:rPr>
          <w:lang w:val="en-GB"/>
        </w:rPr>
      </w:pPr>
      <w:r>
        <w:rPr>
          <w:lang w:val="en-GB"/>
        </w:rPr>
        <w:t>In t</w:t>
      </w:r>
      <w:r w:rsidR="00D142B5" w:rsidRPr="00D272CC">
        <w:rPr>
          <w:lang w:val="en-GB"/>
        </w:rPr>
        <w:t>he second regression</w:t>
      </w:r>
      <w:r>
        <w:rPr>
          <w:lang w:val="en-GB"/>
        </w:rPr>
        <w:t>,</w:t>
      </w:r>
      <w:r w:rsidR="00D142B5" w:rsidRPr="00D272CC">
        <w:rPr>
          <w:lang w:val="en-GB"/>
        </w:rPr>
        <w:t xml:space="preserve"> </w:t>
      </w:r>
      <w:r>
        <w:rPr>
          <w:lang w:val="en-GB"/>
        </w:rPr>
        <w:t>we replace</w:t>
      </w:r>
      <w:r w:rsidR="00700C2C">
        <w:rPr>
          <w:rStyle w:val="FootnoteReference"/>
          <w:lang w:val="en-GB"/>
        </w:rPr>
        <w:footnoteReference w:id="40"/>
      </w:r>
      <w:r>
        <w:rPr>
          <w:lang w:val="en-GB"/>
        </w:rPr>
        <w:t xml:space="preserve"> the topic variables with MEASUR</w:t>
      </w:r>
      <w:r w:rsidR="00611EF9">
        <w:rPr>
          <w:lang w:val="en-GB"/>
        </w:rPr>
        <w:t>E</w:t>
      </w:r>
      <w:r>
        <w:rPr>
          <w:lang w:val="en-GB"/>
        </w:rPr>
        <w:t xml:space="preserve">MENT </w:t>
      </w:r>
      <w:r w:rsidR="00EC6321">
        <w:rPr>
          <w:lang w:val="en-GB"/>
        </w:rPr>
        <w:t>(</w:t>
      </w:r>
      <w:r>
        <w:rPr>
          <w:lang w:val="en-GB"/>
        </w:rPr>
        <w:t>in order to test our hypothesis</w:t>
      </w:r>
      <w:r w:rsidR="00EC6321">
        <w:rPr>
          <w:lang w:val="en-GB"/>
        </w:rPr>
        <w:t>)</w:t>
      </w:r>
      <w:r>
        <w:rPr>
          <w:lang w:val="en-GB"/>
        </w:rPr>
        <w:t xml:space="preserve"> and </w:t>
      </w:r>
      <w:r w:rsidRPr="00D272CC">
        <w:rPr>
          <w:lang w:val="en-GB"/>
        </w:rPr>
        <w:t>NOT</w:t>
      </w:r>
      <w:r w:rsidR="00C71A30">
        <w:rPr>
          <w:lang w:val="en-GB"/>
        </w:rPr>
        <w:t>2OPTIONS</w:t>
      </w:r>
      <w:r>
        <w:rPr>
          <w:lang w:val="en-GB"/>
        </w:rPr>
        <w:t xml:space="preserve">. This analysis </w:t>
      </w:r>
      <w:r w:rsidR="00D142B5" w:rsidRPr="00D272CC">
        <w:rPr>
          <w:lang w:val="en-GB"/>
        </w:rPr>
        <w:t>show</w:t>
      </w:r>
      <w:r w:rsidR="003A5945">
        <w:rPr>
          <w:lang w:val="en-GB"/>
        </w:rPr>
        <w:t>s</w:t>
      </w:r>
      <w:r w:rsidR="00D142B5" w:rsidRPr="00D272CC">
        <w:rPr>
          <w:lang w:val="en-GB"/>
        </w:rPr>
        <w:t xml:space="preserve"> that QCs are more often stated if the change relates to measurement (MEASUREMENT)</w:t>
      </w:r>
      <w:r w:rsidR="005975D8">
        <w:rPr>
          <w:lang w:val="en-GB"/>
        </w:rPr>
        <w:t xml:space="preserve">; the result is statistically significant at the </w:t>
      </w:r>
      <w:r w:rsidR="00A86883">
        <w:rPr>
          <w:lang w:val="en-GB"/>
        </w:rPr>
        <w:t>5</w:t>
      </w:r>
      <w:r w:rsidR="005975D8">
        <w:rPr>
          <w:lang w:val="en-GB"/>
        </w:rPr>
        <w:t>% level</w:t>
      </w:r>
      <w:r>
        <w:rPr>
          <w:lang w:val="en-GB"/>
        </w:rPr>
        <w:t>,</w:t>
      </w:r>
      <w:r w:rsidR="00D142B5" w:rsidRPr="00D272CC">
        <w:rPr>
          <w:lang w:val="en-GB"/>
        </w:rPr>
        <w:t xml:space="preserve"> </w:t>
      </w:r>
      <w:r>
        <w:rPr>
          <w:lang w:val="en-GB"/>
        </w:rPr>
        <w:t>which</w:t>
      </w:r>
      <w:r w:rsidR="00C14470">
        <w:rPr>
          <w:lang w:val="en-GB"/>
        </w:rPr>
        <w:t xml:space="preserve"> </w:t>
      </w:r>
      <w:r w:rsidR="005975D8" w:rsidRPr="00D272CC">
        <w:rPr>
          <w:lang w:val="en-GB"/>
        </w:rPr>
        <w:t>support</w:t>
      </w:r>
      <w:r w:rsidR="00C14470">
        <w:rPr>
          <w:lang w:val="en-GB"/>
        </w:rPr>
        <w:t>s</w:t>
      </w:r>
      <w:r w:rsidR="005975D8" w:rsidRPr="00D272CC">
        <w:rPr>
          <w:lang w:val="en-GB"/>
        </w:rPr>
        <w:t xml:space="preserve"> </w:t>
      </w:r>
      <w:r w:rsidR="008F4C7B">
        <w:rPr>
          <w:lang w:val="en-GB"/>
        </w:rPr>
        <w:t>our</w:t>
      </w:r>
      <w:r w:rsidR="00C14470">
        <w:rPr>
          <w:lang w:val="en-GB"/>
        </w:rPr>
        <w:t xml:space="preserve"> </w:t>
      </w:r>
      <w:r w:rsidR="005975D8" w:rsidRPr="00D272CC">
        <w:rPr>
          <w:lang w:val="en-GB"/>
        </w:rPr>
        <w:t>hypothesis.</w:t>
      </w:r>
      <w:r w:rsidR="005975D8">
        <w:rPr>
          <w:lang w:val="en-GB"/>
        </w:rPr>
        <w:t xml:space="preserve"> Additionally, QCs are significantly more often stated</w:t>
      </w:r>
      <w:r w:rsidR="00D142B5" w:rsidRPr="00D272CC">
        <w:rPr>
          <w:lang w:val="en-GB"/>
        </w:rPr>
        <w:t xml:space="preserve"> </w:t>
      </w:r>
      <w:r w:rsidR="000B71B2">
        <w:rPr>
          <w:lang w:val="en-GB"/>
        </w:rPr>
        <w:t xml:space="preserve">if there is </w:t>
      </w:r>
      <w:r w:rsidR="00714B86">
        <w:rPr>
          <w:lang w:val="en-GB"/>
        </w:rPr>
        <w:t>a</w:t>
      </w:r>
      <w:r w:rsidR="000B71B2">
        <w:rPr>
          <w:lang w:val="en-GB"/>
        </w:rPr>
        <w:t xml:space="preserve"> change</w:t>
      </w:r>
      <w:r w:rsidR="00714B86">
        <w:rPr>
          <w:lang w:val="en-GB"/>
        </w:rPr>
        <w:t xml:space="preserve"> which is not</w:t>
      </w:r>
      <w:r w:rsidR="00D142B5" w:rsidRPr="00D272CC">
        <w:rPr>
          <w:lang w:val="en-GB"/>
        </w:rPr>
        <w:t xml:space="preserve"> </w:t>
      </w:r>
      <w:r w:rsidR="00AB08B3">
        <w:rPr>
          <w:lang w:val="en-GB"/>
        </w:rPr>
        <w:t xml:space="preserve">to or from </w:t>
      </w:r>
      <w:r w:rsidR="00425277">
        <w:rPr>
          <w:lang w:val="en-GB"/>
        </w:rPr>
        <w:t xml:space="preserve">using </w:t>
      </w:r>
      <w:r w:rsidR="00C71A30">
        <w:rPr>
          <w:lang w:val="en-GB"/>
        </w:rPr>
        <w:t>two</w:t>
      </w:r>
      <w:r w:rsidR="00425277">
        <w:rPr>
          <w:lang w:val="en-GB"/>
        </w:rPr>
        <w:t xml:space="preserve"> options </w:t>
      </w:r>
      <w:r w:rsidR="00D142B5" w:rsidRPr="00D272CC">
        <w:rPr>
          <w:lang w:val="en-GB"/>
        </w:rPr>
        <w:t>(NOT</w:t>
      </w:r>
      <w:r w:rsidR="00C71A30">
        <w:rPr>
          <w:lang w:val="en-GB"/>
        </w:rPr>
        <w:t>2OPTIONS</w:t>
      </w:r>
      <w:r w:rsidR="00D142B5" w:rsidRPr="00D272CC">
        <w:rPr>
          <w:lang w:val="en-GB"/>
        </w:rPr>
        <w:t>).</w:t>
      </w:r>
      <w:r w:rsidR="005A48B5">
        <w:rPr>
          <w:lang w:val="en-GB"/>
        </w:rPr>
        <w:t xml:space="preserve"> The significance of the variable MEASUREMENT increases when we do not include </w:t>
      </w:r>
      <w:r w:rsidR="005A48B5" w:rsidRPr="00D272CC">
        <w:rPr>
          <w:lang w:val="en-GB"/>
        </w:rPr>
        <w:t>NOT</w:t>
      </w:r>
      <w:r w:rsidR="00C71A30">
        <w:rPr>
          <w:lang w:val="en-GB"/>
        </w:rPr>
        <w:t>2OPTIONS</w:t>
      </w:r>
      <w:r w:rsidR="005A48B5">
        <w:rPr>
          <w:lang w:val="en-GB"/>
        </w:rPr>
        <w:t xml:space="preserve"> (untabulated, </w:t>
      </w:r>
      <w:r w:rsidR="005A48B5" w:rsidRPr="00D272CC">
        <w:rPr>
          <w:lang w:val="en-GB"/>
        </w:rPr>
        <w:t>marginal effect = 0.</w:t>
      </w:r>
      <w:r w:rsidR="005A48B5">
        <w:rPr>
          <w:lang w:val="en-GB"/>
        </w:rPr>
        <w:t>151</w:t>
      </w:r>
      <w:r w:rsidR="005A48B5" w:rsidRPr="00D272CC">
        <w:rPr>
          <w:lang w:val="en-GB"/>
        </w:rPr>
        <w:t xml:space="preserve">, </w:t>
      </w:r>
      <w:r w:rsidR="005A48B5" w:rsidRPr="00D272CC">
        <w:rPr>
          <w:i/>
          <w:lang w:val="en-GB"/>
        </w:rPr>
        <w:t>z</w:t>
      </w:r>
      <w:r w:rsidR="005A48B5" w:rsidRPr="00D272CC">
        <w:rPr>
          <w:lang w:val="en-GB"/>
        </w:rPr>
        <w:noBreakHyphen/>
        <w:t xml:space="preserve">statistic </w:t>
      </w:r>
      <w:r w:rsidR="00D31530" w:rsidRPr="00D272CC">
        <w:rPr>
          <w:lang w:val="en-GB"/>
        </w:rPr>
        <w:t>=</w:t>
      </w:r>
      <w:r w:rsidR="005A48B5">
        <w:rPr>
          <w:lang w:val="en-GB"/>
        </w:rPr>
        <w:t xml:space="preserve"> 3.09***).</w:t>
      </w:r>
    </w:p>
    <w:p w14:paraId="3BEA7F09" w14:textId="666A4040" w:rsidR="00993C5B" w:rsidRDefault="00127878" w:rsidP="00191441">
      <w:pPr>
        <w:tabs>
          <w:tab w:val="left" w:pos="7560"/>
        </w:tabs>
        <w:rPr>
          <w:lang w:val="en-GB"/>
        </w:rPr>
      </w:pPr>
      <w:r w:rsidRPr="00D272CC">
        <w:rPr>
          <w:lang w:val="en-GB"/>
        </w:rPr>
        <w:t>Regarding the country fixed effects</w:t>
      </w:r>
      <w:r w:rsidR="00A543CA">
        <w:rPr>
          <w:lang w:val="en-GB"/>
        </w:rPr>
        <w:t>,</w:t>
      </w:r>
      <w:r w:rsidR="00250E79" w:rsidRPr="00D272CC">
        <w:rPr>
          <w:lang w:val="en-GB"/>
        </w:rPr>
        <w:t xml:space="preserve"> in the first regression</w:t>
      </w:r>
      <w:r w:rsidRPr="00D272CC">
        <w:rPr>
          <w:lang w:val="en-GB"/>
        </w:rPr>
        <w:t>, Spanish (ES)</w:t>
      </w:r>
      <w:r w:rsidR="00C30C40" w:rsidRPr="00D272CC">
        <w:rPr>
          <w:lang w:val="en-GB"/>
        </w:rPr>
        <w:t>, French (FR)</w:t>
      </w:r>
      <w:r w:rsidR="00250E79" w:rsidRPr="00D272CC">
        <w:rPr>
          <w:lang w:val="en-GB"/>
        </w:rPr>
        <w:t xml:space="preserve"> and</w:t>
      </w:r>
      <w:r w:rsidR="00C30C40" w:rsidRPr="00D272CC">
        <w:rPr>
          <w:lang w:val="en-GB"/>
        </w:rPr>
        <w:t xml:space="preserve"> Hong Kong (HK)</w:t>
      </w:r>
      <w:r w:rsidRPr="00D272CC">
        <w:rPr>
          <w:lang w:val="en-GB"/>
        </w:rPr>
        <w:t xml:space="preserve"> firms </w:t>
      </w:r>
      <w:r w:rsidR="001E6482" w:rsidRPr="00D272CC">
        <w:rPr>
          <w:lang w:val="en-GB"/>
        </w:rPr>
        <w:t xml:space="preserve">refer less frequently to </w:t>
      </w:r>
      <w:r w:rsidR="00062AF8" w:rsidRPr="00D272CC">
        <w:rPr>
          <w:lang w:val="en-GB"/>
        </w:rPr>
        <w:t>QCs</w:t>
      </w:r>
      <w:r w:rsidR="001E6482" w:rsidRPr="00D272CC">
        <w:rPr>
          <w:lang w:val="en-GB"/>
        </w:rPr>
        <w:t xml:space="preserve"> than </w:t>
      </w:r>
      <w:r w:rsidR="009F23E7" w:rsidRPr="00D272CC">
        <w:rPr>
          <w:lang w:val="en-GB"/>
        </w:rPr>
        <w:t xml:space="preserve">do </w:t>
      </w:r>
      <w:r w:rsidR="00A543CA">
        <w:rPr>
          <w:lang w:val="en-GB"/>
        </w:rPr>
        <w:t xml:space="preserve">UK </w:t>
      </w:r>
      <w:r w:rsidR="001E6482" w:rsidRPr="00D272CC">
        <w:rPr>
          <w:lang w:val="en-GB"/>
        </w:rPr>
        <w:t>firms</w:t>
      </w:r>
      <w:r w:rsidR="00250E79" w:rsidRPr="00D272CC">
        <w:rPr>
          <w:lang w:val="en-GB"/>
        </w:rPr>
        <w:t xml:space="preserve"> (the</w:t>
      </w:r>
      <w:r w:rsidR="001E6482" w:rsidRPr="00D272CC">
        <w:rPr>
          <w:lang w:val="en-GB"/>
        </w:rPr>
        <w:t xml:space="preserve"> reference group</w:t>
      </w:r>
      <w:r w:rsidR="00250E79" w:rsidRPr="00D272CC">
        <w:rPr>
          <w:lang w:val="en-GB"/>
        </w:rPr>
        <w:t>)</w:t>
      </w:r>
      <w:r w:rsidR="00C30C40" w:rsidRPr="00D272CC">
        <w:rPr>
          <w:lang w:val="en-GB"/>
        </w:rPr>
        <w:t xml:space="preserve">, based on a </w:t>
      </w:r>
      <w:r w:rsidR="00F713D2" w:rsidRPr="00D272CC">
        <w:rPr>
          <w:lang w:val="en-GB"/>
        </w:rPr>
        <w:t>1</w:t>
      </w:r>
      <w:r w:rsidR="00C30C40" w:rsidRPr="00D272CC">
        <w:rPr>
          <w:lang w:val="en-GB"/>
        </w:rPr>
        <w:t>% significance level</w:t>
      </w:r>
      <w:r w:rsidR="001E6482" w:rsidRPr="00D272CC">
        <w:rPr>
          <w:lang w:val="en-GB"/>
        </w:rPr>
        <w:t>.</w:t>
      </w:r>
      <w:r w:rsidR="000D1B75" w:rsidRPr="00D272CC">
        <w:rPr>
          <w:lang w:val="en-GB"/>
        </w:rPr>
        <w:t xml:space="preserve"> </w:t>
      </w:r>
      <w:r w:rsidR="00DA0E5B">
        <w:rPr>
          <w:lang w:val="en-GB"/>
        </w:rPr>
        <w:t xml:space="preserve">This suggests </w:t>
      </w:r>
      <w:r w:rsidR="00A93CAD">
        <w:rPr>
          <w:lang w:val="en-GB"/>
        </w:rPr>
        <w:t xml:space="preserve">some country effect. </w:t>
      </w:r>
      <w:r w:rsidR="00671CF4">
        <w:rPr>
          <w:lang w:val="en-GB"/>
        </w:rPr>
        <w:t xml:space="preserve">A </w:t>
      </w:r>
      <w:r w:rsidR="00671CF4" w:rsidRPr="00D272CC">
        <w:rPr>
          <w:lang w:val="en-GB"/>
        </w:rPr>
        <w:t xml:space="preserve">frequently used variable for classifying </w:t>
      </w:r>
      <w:r w:rsidR="00671CF4">
        <w:rPr>
          <w:lang w:val="en-GB"/>
        </w:rPr>
        <w:t>countries</w:t>
      </w:r>
      <w:r w:rsidR="00671CF4" w:rsidRPr="00D272CC">
        <w:rPr>
          <w:lang w:val="en-GB"/>
        </w:rPr>
        <w:t xml:space="preserve"> is </w:t>
      </w:r>
      <w:r w:rsidR="004F7AF6">
        <w:rPr>
          <w:lang w:val="en-GB"/>
        </w:rPr>
        <w:t xml:space="preserve">the common/code legal dichotomy. It has been found </w:t>
      </w:r>
      <w:r w:rsidR="00A93CAD" w:rsidRPr="00D272CC">
        <w:rPr>
          <w:lang w:val="en-GB"/>
        </w:rPr>
        <w:t>that firms from common law countries exhibit higher accounting quality than firms from code law countries (e.g. Ball et al. 2000</w:t>
      </w:r>
      <w:r w:rsidR="00A93CAD">
        <w:rPr>
          <w:lang w:val="en-GB"/>
        </w:rPr>
        <w:t>, Ball 2006</w:t>
      </w:r>
      <w:r w:rsidR="00A93CAD" w:rsidRPr="00D272CC">
        <w:rPr>
          <w:lang w:val="en-GB"/>
        </w:rPr>
        <w:t>)</w:t>
      </w:r>
      <w:r w:rsidR="00797C26">
        <w:rPr>
          <w:lang w:val="en-GB"/>
        </w:rPr>
        <w:t xml:space="preserve">, </w:t>
      </w:r>
      <w:r w:rsidR="00675E6B">
        <w:rPr>
          <w:lang w:val="en-GB"/>
        </w:rPr>
        <w:t>although</w:t>
      </w:r>
      <w:r w:rsidR="004F7AF6">
        <w:rPr>
          <w:lang w:val="en-GB"/>
        </w:rPr>
        <w:t xml:space="preserve"> the relevance of this legal dichotomy has been questioned (e.g. Lindahl and Schadéwitz 2013).</w:t>
      </w:r>
      <w:r w:rsidR="00A93CAD">
        <w:rPr>
          <w:lang w:val="en-GB"/>
        </w:rPr>
        <w:t xml:space="preserve"> </w:t>
      </w:r>
      <w:r w:rsidR="004F7AF6">
        <w:rPr>
          <w:lang w:val="en-GB"/>
        </w:rPr>
        <w:t>When</w:t>
      </w:r>
      <w:r w:rsidR="00A93CAD">
        <w:rPr>
          <w:lang w:val="en-GB"/>
        </w:rPr>
        <w:t xml:space="preserve"> we replace the country dummies</w:t>
      </w:r>
      <w:r w:rsidR="004F7AF6">
        <w:rPr>
          <w:lang w:val="en-GB"/>
        </w:rPr>
        <w:t xml:space="preserve"> in our regression</w:t>
      </w:r>
      <w:r w:rsidR="00A93CAD">
        <w:rPr>
          <w:lang w:val="en-GB"/>
        </w:rPr>
        <w:t xml:space="preserve"> with </w:t>
      </w:r>
      <w:r w:rsidR="00A93CAD" w:rsidRPr="00D272CC">
        <w:rPr>
          <w:lang w:val="en-GB"/>
        </w:rPr>
        <w:t xml:space="preserve">COMMONLAW (dummy </w:t>
      </w:r>
      <w:r w:rsidR="00E11B84">
        <w:rPr>
          <w:lang w:val="en-GB"/>
        </w:rPr>
        <w:t>which takes a value of ‘1’ for</w:t>
      </w:r>
      <w:r w:rsidR="00A93CAD" w:rsidRPr="00D272CC">
        <w:rPr>
          <w:lang w:val="en-GB"/>
        </w:rPr>
        <w:t xml:space="preserve"> common law</w:t>
      </w:r>
      <w:r w:rsidR="00E11B84">
        <w:rPr>
          <w:lang w:val="en-GB"/>
        </w:rPr>
        <w:t xml:space="preserve"> and ‘0’ for code law</w:t>
      </w:r>
      <w:r w:rsidR="00A93CAD" w:rsidRPr="00D272CC">
        <w:rPr>
          <w:lang w:val="en-GB"/>
        </w:rPr>
        <w:t>)</w:t>
      </w:r>
      <w:r w:rsidR="00A93CAD">
        <w:rPr>
          <w:lang w:val="en-GB"/>
        </w:rPr>
        <w:t>, it</w:t>
      </w:r>
      <w:r w:rsidR="004F7AF6">
        <w:rPr>
          <w:lang w:val="en-GB"/>
        </w:rPr>
        <w:t xml:space="preserve"> is not</w:t>
      </w:r>
      <w:r w:rsidR="00A93CAD">
        <w:rPr>
          <w:lang w:val="en-GB"/>
        </w:rPr>
        <w:t xml:space="preserve"> statistically significant (untabulated, </w:t>
      </w:r>
      <w:r w:rsidR="00A93CAD" w:rsidRPr="00D272CC">
        <w:rPr>
          <w:lang w:val="en-GB"/>
        </w:rPr>
        <w:t>marginal effect = 0.</w:t>
      </w:r>
      <w:r w:rsidR="00A93CAD" w:rsidRPr="00A93CAD">
        <w:rPr>
          <w:lang w:val="en-GB"/>
        </w:rPr>
        <w:t>016</w:t>
      </w:r>
      <w:r w:rsidR="00A93CAD" w:rsidRPr="00D272CC">
        <w:rPr>
          <w:lang w:val="en-GB"/>
        </w:rPr>
        <w:t xml:space="preserve">, </w:t>
      </w:r>
      <w:r w:rsidR="00A93CAD" w:rsidRPr="00D272CC">
        <w:rPr>
          <w:i/>
          <w:lang w:val="en-GB"/>
        </w:rPr>
        <w:t>z</w:t>
      </w:r>
      <w:r w:rsidR="00A93CAD" w:rsidRPr="00D272CC">
        <w:rPr>
          <w:lang w:val="en-GB"/>
        </w:rPr>
        <w:noBreakHyphen/>
        <w:t xml:space="preserve">statistic = </w:t>
      </w:r>
      <w:r w:rsidR="00A93CAD">
        <w:rPr>
          <w:lang w:val="en-GB"/>
        </w:rPr>
        <w:t xml:space="preserve">0.36). </w:t>
      </w:r>
      <w:r w:rsidR="003C6724">
        <w:rPr>
          <w:lang w:val="en-GB"/>
        </w:rPr>
        <w:t>Consequently</w:t>
      </w:r>
      <w:r w:rsidR="004F7AF6">
        <w:rPr>
          <w:lang w:val="en-GB"/>
        </w:rPr>
        <w:t>, we do not find that</w:t>
      </w:r>
      <w:r w:rsidR="004F7AF6" w:rsidRPr="00D272CC">
        <w:rPr>
          <w:lang w:val="en-GB"/>
        </w:rPr>
        <w:t xml:space="preserve"> firms from common law countries claim more frequently tha</w:t>
      </w:r>
      <w:r w:rsidR="004F7AF6">
        <w:rPr>
          <w:lang w:val="en-GB"/>
        </w:rPr>
        <w:t>t their changes improve quality.</w:t>
      </w:r>
      <w:r w:rsidR="009C3D12">
        <w:rPr>
          <w:rStyle w:val="FootnoteReference"/>
          <w:lang w:val="en-GB"/>
        </w:rPr>
        <w:footnoteReference w:id="41"/>
      </w:r>
    </w:p>
    <w:p w14:paraId="2E185C1B" w14:textId="77777777" w:rsidR="00250E79" w:rsidRPr="00D272CC" w:rsidRDefault="007A7035" w:rsidP="00191441">
      <w:pPr>
        <w:tabs>
          <w:tab w:val="left" w:pos="7560"/>
        </w:tabs>
        <w:rPr>
          <w:lang w:val="en-GB"/>
        </w:rPr>
      </w:pPr>
      <w:r>
        <w:rPr>
          <w:lang w:val="en-GB"/>
        </w:rPr>
        <w:t>Continuing</w:t>
      </w:r>
      <w:r w:rsidR="00FA6D94">
        <w:rPr>
          <w:lang w:val="en-GB"/>
        </w:rPr>
        <w:t xml:space="preserve"> to seek an</w:t>
      </w:r>
      <w:r w:rsidR="00DF651C">
        <w:rPr>
          <w:lang w:val="en-GB"/>
        </w:rPr>
        <w:t xml:space="preserve"> </w:t>
      </w:r>
      <w:r w:rsidR="00FA6D94">
        <w:rPr>
          <w:lang w:val="en-GB"/>
        </w:rPr>
        <w:t xml:space="preserve">explanation for the country effect, we </w:t>
      </w:r>
      <w:r w:rsidR="00587B2A">
        <w:rPr>
          <w:lang w:val="en-GB"/>
        </w:rPr>
        <w:t>estimate</w:t>
      </w:r>
      <w:r w:rsidR="00FA6D94">
        <w:rPr>
          <w:lang w:val="en-GB"/>
        </w:rPr>
        <w:t xml:space="preserve"> a</w:t>
      </w:r>
      <w:r w:rsidR="004F7AF6">
        <w:rPr>
          <w:lang w:val="en-GB"/>
        </w:rPr>
        <w:t xml:space="preserve"> </w:t>
      </w:r>
      <w:r w:rsidR="00FD78E5">
        <w:rPr>
          <w:lang w:val="en-GB"/>
        </w:rPr>
        <w:t>third</w:t>
      </w:r>
      <w:r w:rsidR="004F7AF6">
        <w:rPr>
          <w:lang w:val="en-GB"/>
        </w:rPr>
        <w:t xml:space="preserve"> regression </w:t>
      </w:r>
      <w:r w:rsidR="00FA6D94">
        <w:rPr>
          <w:lang w:val="en-GB"/>
        </w:rPr>
        <w:t xml:space="preserve">in which </w:t>
      </w:r>
      <w:r w:rsidR="000A53E3">
        <w:rPr>
          <w:lang w:val="en-GB"/>
        </w:rPr>
        <w:t>we replace the countr</w:t>
      </w:r>
      <w:r w:rsidR="0014305D">
        <w:rPr>
          <w:lang w:val="en-GB"/>
        </w:rPr>
        <w:t>y dummies</w:t>
      </w:r>
      <w:r w:rsidR="000A53E3">
        <w:rPr>
          <w:lang w:val="en-GB"/>
        </w:rPr>
        <w:t xml:space="preserve"> with</w:t>
      </w:r>
      <w:r w:rsidR="00FA6D94">
        <w:rPr>
          <w:lang w:val="en-GB"/>
        </w:rPr>
        <w:t xml:space="preserve"> a </w:t>
      </w:r>
      <w:r w:rsidR="000A53E3">
        <w:rPr>
          <w:lang w:val="en-GB"/>
        </w:rPr>
        <w:t xml:space="preserve">culturally-based </w:t>
      </w:r>
      <w:r w:rsidR="00FD78E5">
        <w:rPr>
          <w:lang w:val="en-GB"/>
        </w:rPr>
        <w:t>variable</w:t>
      </w:r>
      <w:r w:rsidR="00DF651C">
        <w:rPr>
          <w:lang w:val="en-GB"/>
        </w:rPr>
        <w:t>,</w:t>
      </w:r>
      <w:r w:rsidR="00D551A3">
        <w:rPr>
          <w:lang w:val="en-GB"/>
        </w:rPr>
        <w:t xml:space="preserve"> using</w:t>
      </w:r>
      <w:r w:rsidR="00FA6D94">
        <w:rPr>
          <w:lang w:val="en-GB"/>
        </w:rPr>
        <w:t xml:space="preserve"> </w:t>
      </w:r>
      <w:r w:rsidR="00916D8D">
        <w:rPr>
          <w:lang w:val="en-GB"/>
        </w:rPr>
        <w:t>the ‘s</w:t>
      </w:r>
      <w:r w:rsidR="00916D8D" w:rsidRPr="006F1CF6">
        <w:rPr>
          <w:lang w:val="en-GB"/>
        </w:rPr>
        <w:t xml:space="preserve">ecrecy vs transparency’ scores </w:t>
      </w:r>
      <w:r w:rsidR="00916D8D">
        <w:rPr>
          <w:lang w:val="en-GB"/>
        </w:rPr>
        <w:t xml:space="preserve">of Braun and Rodriguez (2008, Table 2) </w:t>
      </w:r>
      <w:r w:rsidR="000A53E3">
        <w:rPr>
          <w:lang w:val="en-GB"/>
        </w:rPr>
        <w:t xml:space="preserve">which </w:t>
      </w:r>
      <w:r w:rsidR="00916D8D">
        <w:rPr>
          <w:lang w:val="en-GB"/>
        </w:rPr>
        <w:t>operationalise Gray’s (1988) framework and are based on Hofstede’s (1980) data</w:t>
      </w:r>
      <w:r w:rsidR="000A53E3">
        <w:rPr>
          <w:lang w:val="en-GB"/>
        </w:rPr>
        <w:t xml:space="preserve">. </w:t>
      </w:r>
      <w:r w:rsidR="0014305D">
        <w:rPr>
          <w:lang w:val="en-GB"/>
        </w:rPr>
        <w:t xml:space="preserve">Our variable, </w:t>
      </w:r>
      <w:r w:rsidR="000A53E3">
        <w:rPr>
          <w:lang w:val="en-GB"/>
        </w:rPr>
        <w:t>TRANSPARENCY</w:t>
      </w:r>
      <w:r w:rsidR="0014305D">
        <w:rPr>
          <w:lang w:val="en-GB"/>
        </w:rPr>
        <w:t>,</w:t>
      </w:r>
      <w:r w:rsidR="000A53E3">
        <w:rPr>
          <w:lang w:val="en-GB"/>
        </w:rPr>
        <w:t xml:space="preserve"> is the </w:t>
      </w:r>
      <w:r w:rsidR="0014305D">
        <w:rPr>
          <w:lang w:val="en-GB"/>
        </w:rPr>
        <w:t>‘</w:t>
      </w:r>
      <w:r w:rsidR="000A53E3">
        <w:rPr>
          <w:lang w:val="en-GB"/>
        </w:rPr>
        <w:t>secrecy</w:t>
      </w:r>
      <w:r w:rsidR="0014305D">
        <w:rPr>
          <w:lang w:val="en-GB"/>
        </w:rPr>
        <w:t xml:space="preserve"> vs </w:t>
      </w:r>
      <w:r w:rsidR="000A53E3">
        <w:rPr>
          <w:lang w:val="en-GB"/>
        </w:rPr>
        <w:t>transparency</w:t>
      </w:r>
      <w:r w:rsidR="0014305D">
        <w:rPr>
          <w:lang w:val="en-GB"/>
        </w:rPr>
        <w:t>’</w:t>
      </w:r>
      <w:r w:rsidR="000A53E3" w:rsidRPr="006F1CF6">
        <w:rPr>
          <w:lang w:val="en-GB"/>
        </w:rPr>
        <w:t xml:space="preserve"> scores </w:t>
      </w:r>
      <w:r w:rsidR="000A53E3">
        <w:rPr>
          <w:lang w:val="en-GB"/>
        </w:rPr>
        <w:t xml:space="preserve">multiplied by −1, </w:t>
      </w:r>
      <w:r w:rsidR="000A53E3" w:rsidRPr="0048226A">
        <w:rPr>
          <w:lang w:val="en-GB"/>
        </w:rPr>
        <w:t xml:space="preserve">so that a higher value implies more </w:t>
      </w:r>
      <w:r w:rsidR="00693D35">
        <w:rPr>
          <w:lang w:val="en-GB"/>
        </w:rPr>
        <w:t xml:space="preserve">country-level </w:t>
      </w:r>
      <w:r w:rsidR="000A53E3" w:rsidRPr="0048226A">
        <w:rPr>
          <w:lang w:val="en-GB"/>
        </w:rPr>
        <w:t>transparency</w:t>
      </w:r>
      <w:r w:rsidR="000A53E3">
        <w:rPr>
          <w:lang w:val="en-GB"/>
        </w:rPr>
        <w:t xml:space="preserve">. </w:t>
      </w:r>
      <w:r w:rsidR="00993C5B">
        <w:rPr>
          <w:lang w:val="en-GB"/>
        </w:rPr>
        <w:t xml:space="preserve">Although the </w:t>
      </w:r>
      <w:r w:rsidR="00160F92">
        <w:rPr>
          <w:lang w:val="en-GB"/>
        </w:rPr>
        <w:t xml:space="preserve">ultimate </w:t>
      </w:r>
      <w:r w:rsidR="00993C5B">
        <w:rPr>
          <w:lang w:val="en-GB"/>
        </w:rPr>
        <w:t>data source is old and much criticised (e.g. Mc</w:t>
      </w:r>
      <w:r w:rsidR="00160F92">
        <w:rPr>
          <w:lang w:val="en-GB"/>
        </w:rPr>
        <w:t>Sweeney 2002</w:t>
      </w:r>
      <w:r w:rsidR="00096FE0">
        <w:rPr>
          <w:lang w:val="en-GB"/>
        </w:rPr>
        <w:t>,</w:t>
      </w:r>
      <w:r w:rsidR="00160F92">
        <w:rPr>
          <w:lang w:val="en-GB"/>
        </w:rPr>
        <w:t xml:space="preserve"> Baskerville 2003</w:t>
      </w:r>
      <w:r w:rsidR="00993C5B">
        <w:rPr>
          <w:lang w:val="en-GB"/>
        </w:rPr>
        <w:t>), our</w:t>
      </w:r>
      <w:r w:rsidR="00FA6D94">
        <w:rPr>
          <w:lang w:val="en-GB"/>
        </w:rPr>
        <w:t xml:space="preserve"> </w:t>
      </w:r>
      <w:r w:rsidR="000A53E3">
        <w:rPr>
          <w:lang w:val="en-GB"/>
        </w:rPr>
        <w:t xml:space="preserve">regression </w:t>
      </w:r>
      <w:r w:rsidR="00FA6D94">
        <w:rPr>
          <w:lang w:val="en-GB"/>
        </w:rPr>
        <w:t xml:space="preserve">shows that references to QCs are </w:t>
      </w:r>
      <w:r w:rsidR="0014305D">
        <w:rPr>
          <w:lang w:val="en-GB"/>
        </w:rPr>
        <w:t xml:space="preserve">positively </w:t>
      </w:r>
      <w:r w:rsidR="000A53E3">
        <w:rPr>
          <w:lang w:val="en-GB"/>
        </w:rPr>
        <w:t xml:space="preserve">associated with </w:t>
      </w:r>
      <w:r w:rsidR="00FA6D94">
        <w:rPr>
          <w:lang w:val="en-GB"/>
        </w:rPr>
        <w:t>TRANSPARENCY</w:t>
      </w:r>
      <w:r w:rsidR="000A53E3">
        <w:rPr>
          <w:lang w:val="en-GB"/>
        </w:rPr>
        <w:t>, which</w:t>
      </w:r>
      <w:r w:rsidR="00FA6D94">
        <w:rPr>
          <w:lang w:val="en-GB"/>
        </w:rPr>
        <w:t xml:space="preserve"> is statistically significant at the 5% level</w:t>
      </w:r>
      <w:r w:rsidR="00916D8D">
        <w:rPr>
          <w:lang w:val="en-GB"/>
        </w:rPr>
        <w:t>.</w:t>
      </w:r>
    </w:p>
    <w:p w14:paraId="7792377F" w14:textId="7C2CB3E1" w:rsidR="00BF3809" w:rsidRPr="00D272CC" w:rsidRDefault="00250E79" w:rsidP="00EF62DC">
      <w:pPr>
        <w:rPr>
          <w:lang w:val="en-GB"/>
        </w:rPr>
      </w:pPr>
      <w:r w:rsidRPr="00D272CC">
        <w:rPr>
          <w:lang w:val="en-GB"/>
        </w:rPr>
        <w:t xml:space="preserve">The variable SIZE is statistically significant at the </w:t>
      </w:r>
      <w:r w:rsidR="00CC7FA5">
        <w:rPr>
          <w:lang w:val="en-GB"/>
        </w:rPr>
        <w:t>5</w:t>
      </w:r>
      <w:r w:rsidRPr="00D272CC">
        <w:rPr>
          <w:lang w:val="en-GB"/>
        </w:rPr>
        <w:t xml:space="preserve">% level in </w:t>
      </w:r>
      <w:r w:rsidR="00CC7FA5">
        <w:rPr>
          <w:lang w:val="en-GB"/>
        </w:rPr>
        <w:t>all</w:t>
      </w:r>
      <w:r w:rsidRPr="00D272CC">
        <w:rPr>
          <w:lang w:val="en-GB"/>
        </w:rPr>
        <w:t xml:space="preserve"> regression</w:t>
      </w:r>
      <w:r w:rsidR="00CC7FA5">
        <w:rPr>
          <w:lang w:val="en-GB"/>
        </w:rPr>
        <w:t>s</w:t>
      </w:r>
      <w:r w:rsidRPr="00D272CC">
        <w:rPr>
          <w:lang w:val="en-GB"/>
        </w:rPr>
        <w:t xml:space="preserve">, i.e. larger firms </w:t>
      </w:r>
      <w:r w:rsidR="00C45CB5">
        <w:rPr>
          <w:lang w:val="en-GB"/>
        </w:rPr>
        <w:t xml:space="preserve">are </w:t>
      </w:r>
      <w:r w:rsidRPr="00D272CC">
        <w:rPr>
          <w:lang w:val="en-GB"/>
        </w:rPr>
        <w:t xml:space="preserve">more </w:t>
      </w:r>
      <w:r w:rsidR="00C45CB5">
        <w:rPr>
          <w:lang w:val="en-GB"/>
        </w:rPr>
        <w:t>likely</w:t>
      </w:r>
      <w:r w:rsidRPr="00D272CC">
        <w:rPr>
          <w:lang w:val="en-GB"/>
        </w:rPr>
        <w:t xml:space="preserve"> </w:t>
      </w:r>
      <w:r w:rsidR="00C45CB5">
        <w:rPr>
          <w:lang w:val="en-GB"/>
        </w:rPr>
        <w:t>to refer to</w:t>
      </w:r>
      <w:r w:rsidR="001B110D">
        <w:rPr>
          <w:lang w:val="en-GB"/>
        </w:rPr>
        <w:t xml:space="preserve"> QCs </w:t>
      </w:r>
      <w:r w:rsidR="00C45CB5">
        <w:rPr>
          <w:lang w:val="en-GB"/>
        </w:rPr>
        <w:t>when</w:t>
      </w:r>
      <w:r w:rsidR="001B110D">
        <w:rPr>
          <w:lang w:val="en-GB"/>
        </w:rPr>
        <w:t xml:space="preserve"> explain</w:t>
      </w:r>
      <w:r w:rsidR="00C45CB5">
        <w:rPr>
          <w:lang w:val="en-GB"/>
        </w:rPr>
        <w:t>ing</w:t>
      </w:r>
      <w:r w:rsidRPr="00D272CC">
        <w:rPr>
          <w:lang w:val="en-GB"/>
        </w:rPr>
        <w:t xml:space="preserve"> their </w:t>
      </w:r>
      <w:r w:rsidR="001B110D">
        <w:rPr>
          <w:lang w:val="en-GB"/>
        </w:rPr>
        <w:t xml:space="preserve">policy </w:t>
      </w:r>
      <w:r w:rsidRPr="00D272CC">
        <w:rPr>
          <w:lang w:val="en-GB"/>
        </w:rPr>
        <w:t>changes.</w:t>
      </w:r>
      <w:r w:rsidR="007508C2">
        <w:rPr>
          <w:rStyle w:val="FootnoteReference"/>
          <w:lang w:val="en-GB"/>
        </w:rPr>
        <w:footnoteReference w:id="42"/>
      </w:r>
      <w:r w:rsidRPr="00D272CC">
        <w:rPr>
          <w:lang w:val="en-GB"/>
        </w:rPr>
        <w:t xml:space="preserve"> </w:t>
      </w:r>
      <w:r w:rsidR="00720DB6">
        <w:rPr>
          <w:lang w:val="en-GB"/>
        </w:rPr>
        <w:t xml:space="preserve">Furthermore, </w:t>
      </w:r>
      <w:r w:rsidR="00195B11">
        <w:rPr>
          <w:lang w:val="en-GB"/>
        </w:rPr>
        <w:t xml:space="preserve">untabulated results show that </w:t>
      </w:r>
      <w:r w:rsidR="00720DB6">
        <w:rPr>
          <w:lang w:val="en-GB"/>
        </w:rPr>
        <w:t>there are differences between</w:t>
      </w:r>
      <w:r w:rsidR="00BF3809">
        <w:rPr>
          <w:lang w:val="en-GB"/>
        </w:rPr>
        <w:t xml:space="preserve"> ‘large’ and ‘small’ </w:t>
      </w:r>
      <w:r w:rsidR="00720DB6">
        <w:rPr>
          <w:lang w:val="en-GB"/>
        </w:rPr>
        <w:t xml:space="preserve">firms, </w:t>
      </w:r>
      <w:r w:rsidR="00BF3809">
        <w:rPr>
          <w:lang w:val="en-GB"/>
        </w:rPr>
        <w:t>using the median of SIZE from Panel A of Table 6</w:t>
      </w:r>
      <w:r w:rsidR="00387164">
        <w:rPr>
          <w:lang w:val="en-GB"/>
        </w:rPr>
        <w:t xml:space="preserve"> to split our sample firms</w:t>
      </w:r>
      <w:r w:rsidR="00720DB6">
        <w:rPr>
          <w:lang w:val="en-GB"/>
        </w:rPr>
        <w:t>:</w:t>
      </w:r>
      <w:r w:rsidR="00BF3809">
        <w:rPr>
          <w:lang w:val="en-GB"/>
        </w:rPr>
        <w:t xml:space="preserve"> ‘large’ firms refer more frequently to relevance (</w:t>
      </w:r>
      <w:r w:rsidR="00387164">
        <w:rPr>
          <w:lang w:val="en-GB"/>
        </w:rPr>
        <w:t>18</w:t>
      </w:r>
      <w:r w:rsidR="00BF3809">
        <w:rPr>
          <w:lang w:val="en-GB"/>
        </w:rPr>
        <w:t xml:space="preserve"> vs </w:t>
      </w:r>
      <w:r w:rsidR="00387164">
        <w:rPr>
          <w:lang w:val="en-GB"/>
        </w:rPr>
        <w:t>7</w:t>
      </w:r>
      <w:r w:rsidR="00BF3809">
        <w:rPr>
          <w:lang w:val="en-GB"/>
        </w:rPr>
        <w:t>), faithful representation (</w:t>
      </w:r>
      <w:r w:rsidR="00387164">
        <w:rPr>
          <w:lang w:val="en-GB"/>
        </w:rPr>
        <w:t>16</w:t>
      </w:r>
      <w:r w:rsidR="00BF3809">
        <w:rPr>
          <w:lang w:val="en-GB"/>
        </w:rPr>
        <w:t xml:space="preserve"> vs </w:t>
      </w:r>
      <w:r w:rsidR="00387164">
        <w:rPr>
          <w:lang w:val="en-GB"/>
        </w:rPr>
        <w:t>8</w:t>
      </w:r>
      <w:r w:rsidR="00BF3809">
        <w:rPr>
          <w:lang w:val="en-GB"/>
        </w:rPr>
        <w:t>) and comparability (</w:t>
      </w:r>
      <w:r w:rsidR="00387164">
        <w:rPr>
          <w:lang w:val="en-GB"/>
        </w:rPr>
        <w:t>32</w:t>
      </w:r>
      <w:r w:rsidR="00BF3809">
        <w:rPr>
          <w:lang w:val="en-GB"/>
        </w:rPr>
        <w:t xml:space="preserve"> vs </w:t>
      </w:r>
      <w:r w:rsidR="00387164">
        <w:rPr>
          <w:lang w:val="en-GB"/>
        </w:rPr>
        <w:t>13</w:t>
      </w:r>
      <w:r w:rsidR="00BF3809">
        <w:rPr>
          <w:lang w:val="en-GB"/>
        </w:rPr>
        <w:t>), in particular industry comparability (</w:t>
      </w:r>
      <w:r w:rsidR="00387164">
        <w:rPr>
          <w:lang w:val="en-GB"/>
        </w:rPr>
        <w:t>15</w:t>
      </w:r>
      <w:r w:rsidR="00BF3809">
        <w:rPr>
          <w:lang w:val="en-GB"/>
        </w:rPr>
        <w:t xml:space="preserve"> vs </w:t>
      </w:r>
      <w:r w:rsidR="00387164">
        <w:rPr>
          <w:lang w:val="en-GB"/>
        </w:rPr>
        <w:t>1</w:t>
      </w:r>
      <w:r w:rsidR="00BF3809">
        <w:rPr>
          <w:lang w:val="en-GB"/>
        </w:rPr>
        <w:t xml:space="preserve">), </w:t>
      </w:r>
      <w:r w:rsidR="00E11B84">
        <w:rPr>
          <w:lang w:val="en-GB"/>
        </w:rPr>
        <w:t xml:space="preserve">but there are only minor or no </w:t>
      </w:r>
      <w:r w:rsidR="00BF3809">
        <w:rPr>
          <w:lang w:val="en-GB"/>
        </w:rPr>
        <w:t>differences in references to understandability (</w:t>
      </w:r>
      <w:r w:rsidR="00387164">
        <w:rPr>
          <w:lang w:val="en-GB"/>
        </w:rPr>
        <w:t>5</w:t>
      </w:r>
      <w:r w:rsidR="00BF3809">
        <w:rPr>
          <w:lang w:val="en-GB"/>
        </w:rPr>
        <w:t xml:space="preserve"> vs </w:t>
      </w:r>
      <w:r w:rsidR="00387164">
        <w:rPr>
          <w:lang w:val="en-GB"/>
        </w:rPr>
        <w:t>6</w:t>
      </w:r>
      <w:r w:rsidR="00BF3809">
        <w:rPr>
          <w:lang w:val="en-GB"/>
        </w:rPr>
        <w:t>) and transparency (</w:t>
      </w:r>
      <w:r w:rsidR="00387164">
        <w:rPr>
          <w:lang w:val="en-GB"/>
        </w:rPr>
        <w:t>9</w:t>
      </w:r>
      <w:r w:rsidR="00BF3809">
        <w:rPr>
          <w:lang w:val="en-GB"/>
        </w:rPr>
        <w:t xml:space="preserve"> vs </w:t>
      </w:r>
      <w:r w:rsidR="00387164">
        <w:rPr>
          <w:lang w:val="en-GB"/>
        </w:rPr>
        <w:t>9</w:t>
      </w:r>
      <w:r w:rsidR="00BF3809">
        <w:rPr>
          <w:lang w:val="en-GB"/>
        </w:rPr>
        <w:t xml:space="preserve">). </w:t>
      </w:r>
      <w:r w:rsidR="002429CA">
        <w:rPr>
          <w:lang w:val="en-GB"/>
        </w:rPr>
        <w:t>W</w:t>
      </w:r>
      <w:r w:rsidR="00887175">
        <w:rPr>
          <w:lang w:val="en-GB"/>
        </w:rPr>
        <w:t xml:space="preserve">e find no </w:t>
      </w:r>
      <w:r w:rsidR="00EF62DC">
        <w:rPr>
          <w:lang w:val="en-GB"/>
        </w:rPr>
        <w:t xml:space="preserve">statistical </w:t>
      </w:r>
      <w:r w:rsidR="00887175">
        <w:rPr>
          <w:lang w:val="en-GB"/>
        </w:rPr>
        <w:t xml:space="preserve">significance for the </w:t>
      </w:r>
      <w:r w:rsidR="00EF62DC">
        <w:rPr>
          <w:lang w:val="en-GB"/>
        </w:rPr>
        <w:t>variables LEVERAGE</w:t>
      </w:r>
      <w:r w:rsidR="00EF62DC" w:rsidRPr="00EF62DC">
        <w:rPr>
          <w:vertAlign w:val="subscript"/>
          <w:lang w:val="en-GB"/>
        </w:rPr>
        <w:t>t−1</w:t>
      </w:r>
      <w:r w:rsidR="00EF62DC">
        <w:rPr>
          <w:lang w:val="en-GB"/>
        </w:rPr>
        <w:t>, PROFITABILITY</w:t>
      </w:r>
      <w:r w:rsidR="00EF62DC" w:rsidRPr="00EF62DC">
        <w:rPr>
          <w:vertAlign w:val="subscript"/>
          <w:lang w:val="en-GB"/>
        </w:rPr>
        <w:t>t−1</w:t>
      </w:r>
      <w:r w:rsidR="00EF62DC" w:rsidRPr="00EF62DC">
        <w:rPr>
          <w:lang w:val="en-GB"/>
        </w:rPr>
        <w:t xml:space="preserve"> </w:t>
      </w:r>
      <w:r w:rsidR="00EF62DC">
        <w:rPr>
          <w:lang w:val="en-GB"/>
        </w:rPr>
        <w:t>and USLIST</w:t>
      </w:r>
      <w:r w:rsidR="00887175">
        <w:rPr>
          <w:lang w:val="en-GB"/>
        </w:rPr>
        <w:t xml:space="preserve">. </w:t>
      </w:r>
      <w:r w:rsidR="00331B3D">
        <w:rPr>
          <w:lang w:val="en-GB"/>
        </w:rPr>
        <w:t>Although f</w:t>
      </w:r>
      <w:r w:rsidR="00074B16" w:rsidRPr="00D272CC">
        <w:rPr>
          <w:lang w:val="en-GB"/>
        </w:rPr>
        <w:t xml:space="preserve">irms from several </w:t>
      </w:r>
      <w:r w:rsidR="008C2C92" w:rsidRPr="00D272CC">
        <w:rPr>
          <w:lang w:val="en-GB"/>
        </w:rPr>
        <w:t>industries</w:t>
      </w:r>
      <w:r w:rsidR="00074B16" w:rsidRPr="00D272CC">
        <w:rPr>
          <w:lang w:val="en-GB"/>
        </w:rPr>
        <w:t xml:space="preserve"> refer less frequently to QCs than do firms</w:t>
      </w:r>
      <w:r w:rsidR="008C2C92" w:rsidRPr="00D272CC">
        <w:rPr>
          <w:lang w:val="en-GB"/>
        </w:rPr>
        <w:t xml:space="preserve"> from the reference group</w:t>
      </w:r>
      <w:r w:rsidR="00074B16" w:rsidRPr="00D272CC">
        <w:rPr>
          <w:lang w:val="en-GB"/>
        </w:rPr>
        <w:t xml:space="preserve"> (</w:t>
      </w:r>
      <w:r w:rsidR="008C2C92" w:rsidRPr="00D272CC">
        <w:rPr>
          <w:lang w:val="en-GB"/>
        </w:rPr>
        <w:t>INDUSTRY2 – industrials</w:t>
      </w:r>
      <w:r w:rsidR="00074B16" w:rsidRPr="00D272CC">
        <w:rPr>
          <w:lang w:val="en-GB"/>
        </w:rPr>
        <w:t xml:space="preserve">), the entire set of </w:t>
      </w:r>
      <w:r w:rsidR="007A5162">
        <w:rPr>
          <w:lang w:val="en-GB"/>
        </w:rPr>
        <w:t>industry</w:t>
      </w:r>
      <w:r w:rsidR="00074B16" w:rsidRPr="00D272CC">
        <w:rPr>
          <w:lang w:val="en-GB"/>
        </w:rPr>
        <w:t xml:space="preserve"> variables is not statistically significant at the 5% level (untabulated, based on a Wald test)</w:t>
      </w:r>
      <w:r w:rsidR="006F4197">
        <w:rPr>
          <w:lang w:val="en-GB"/>
        </w:rPr>
        <w:t xml:space="preserve"> in </w:t>
      </w:r>
      <w:r w:rsidR="009E3D31">
        <w:rPr>
          <w:lang w:val="en-GB"/>
        </w:rPr>
        <w:t>any of the</w:t>
      </w:r>
      <w:r w:rsidR="006F4197">
        <w:rPr>
          <w:lang w:val="en-GB"/>
        </w:rPr>
        <w:t xml:space="preserve"> regression</w:t>
      </w:r>
      <w:r w:rsidR="009E3D31">
        <w:rPr>
          <w:lang w:val="en-GB"/>
        </w:rPr>
        <w:t>s</w:t>
      </w:r>
      <w:r w:rsidR="006F4197">
        <w:rPr>
          <w:lang w:val="en-GB"/>
        </w:rPr>
        <w:t xml:space="preserve"> (</w:t>
      </w:r>
      <w:r w:rsidR="00715485">
        <w:rPr>
          <w:lang w:val="en-GB"/>
        </w:rPr>
        <w:t xml:space="preserve">the </w:t>
      </w:r>
      <w:r w:rsidR="006F4197">
        <w:rPr>
          <w:lang w:val="en-GB"/>
        </w:rPr>
        <w:t>p</w:t>
      </w:r>
      <w:r w:rsidR="006F4197">
        <w:rPr>
          <w:lang w:val="en-GB"/>
        </w:rPr>
        <w:noBreakHyphen/>
        <w:t>value</w:t>
      </w:r>
      <w:r w:rsidR="00715485">
        <w:rPr>
          <w:lang w:val="en-GB"/>
        </w:rPr>
        <w:t xml:space="preserve">s for the three </w:t>
      </w:r>
      <w:r w:rsidR="00715485" w:rsidRPr="007F2CA6">
        <w:rPr>
          <w:lang w:val="en-GB"/>
        </w:rPr>
        <w:t>regressions a</w:t>
      </w:r>
      <w:r w:rsidR="00715485">
        <w:rPr>
          <w:lang w:val="en-GB"/>
        </w:rPr>
        <w:t>re</w:t>
      </w:r>
      <w:r w:rsidR="006F4197" w:rsidRPr="00D272CC">
        <w:rPr>
          <w:lang w:val="en-GB"/>
        </w:rPr>
        <w:t xml:space="preserve"> 0.</w:t>
      </w:r>
      <w:r w:rsidR="006F4197">
        <w:rPr>
          <w:lang w:val="en-GB"/>
        </w:rPr>
        <w:t>05</w:t>
      </w:r>
      <w:r w:rsidR="007F2CA6">
        <w:rPr>
          <w:lang w:val="en-GB"/>
        </w:rPr>
        <w:t>6</w:t>
      </w:r>
      <w:r w:rsidR="00715485">
        <w:rPr>
          <w:lang w:val="en-GB"/>
        </w:rPr>
        <w:t>,</w:t>
      </w:r>
      <w:r w:rsidR="006F4197">
        <w:rPr>
          <w:lang w:val="en-GB"/>
        </w:rPr>
        <w:t xml:space="preserve"> </w:t>
      </w:r>
      <w:r w:rsidR="006F4197" w:rsidRPr="00D272CC">
        <w:rPr>
          <w:lang w:val="en-GB"/>
        </w:rPr>
        <w:t>0.</w:t>
      </w:r>
      <w:r w:rsidR="007F2CA6">
        <w:rPr>
          <w:lang w:val="en-GB"/>
        </w:rPr>
        <w:t>106</w:t>
      </w:r>
      <w:r w:rsidR="00715485">
        <w:rPr>
          <w:lang w:val="en-GB"/>
        </w:rPr>
        <w:t xml:space="preserve"> and 0.</w:t>
      </w:r>
      <w:r w:rsidR="007F2CA6">
        <w:rPr>
          <w:lang w:val="en-GB"/>
        </w:rPr>
        <w:t>054</w:t>
      </w:r>
      <w:r w:rsidR="006F4197">
        <w:rPr>
          <w:lang w:val="en-GB"/>
        </w:rPr>
        <w:t>, respectively)</w:t>
      </w:r>
      <w:r w:rsidR="00074B16" w:rsidRPr="00D272CC">
        <w:rPr>
          <w:lang w:val="en-GB"/>
        </w:rPr>
        <w:t>.</w:t>
      </w:r>
      <w:r w:rsidR="00EF62DC">
        <w:rPr>
          <w:rStyle w:val="FootnoteReference"/>
          <w:lang w:val="en-GB"/>
        </w:rPr>
        <w:footnoteReference w:id="43"/>
      </w:r>
    </w:p>
    <w:p w14:paraId="3F67EC1D" w14:textId="152FBE21" w:rsidR="00F30520" w:rsidRPr="00D272CC" w:rsidRDefault="007A1C92" w:rsidP="000617EC">
      <w:pPr>
        <w:rPr>
          <w:lang w:val="en-GB"/>
        </w:rPr>
      </w:pPr>
      <w:r w:rsidRPr="00D272CC">
        <w:rPr>
          <w:lang w:val="en-GB"/>
        </w:rPr>
        <w:t>Th</w:t>
      </w:r>
      <w:r w:rsidR="00F7264A" w:rsidRPr="00D272CC">
        <w:rPr>
          <w:lang w:val="en-GB"/>
        </w:rPr>
        <w:t>e</w:t>
      </w:r>
      <w:r w:rsidR="00331B3D">
        <w:rPr>
          <w:lang w:val="en-GB"/>
        </w:rPr>
        <w:t>se</w:t>
      </w:r>
      <w:r w:rsidR="00F7264A" w:rsidRPr="00D272CC">
        <w:rPr>
          <w:lang w:val="en-GB"/>
        </w:rPr>
        <w:t xml:space="preserve"> results are</w:t>
      </w:r>
      <w:r w:rsidRPr="00D272CC">
        <w:rPr>
          <w:lang w:val="en-GB"/>
        </w:rPr>
        <w:t xml:space="preserve"> robust to </w:t>
      </w:r>
      <w:r w:rsidR="009B51A1" w:rsidRPr="00D272CC">
        <w:rPr>
          <w:lang w:val="en-GB"/>
        </w:rPr>
        <w:t xml:space="preserve">the </w:t>
      </w:r>
      <w:r w:rsidRPr="00D272CC">
        <w:rPr>
          <w:lang w:val="en-GB"/>
        </w:rPr>
        <w:t>exclu</w:t>
      </w:r>
      <w:r w:rsidR="009B51A1" w:rsidRPr="00D272CC">
        <w:rPr>
          <w:lang w:val="en-GB"/>
        </w:rPr>
        <w:t>sion of</w:t>
      </w:r>
      <w:r w:rsidRPr="00D272CC">
        <w:rPr>
          <w:lang w:val="en-GB"/>
        </w:rPr>
        <w:t xml:space="preserve"> reliability and relevance</w:t>
      </w:r>
      <w:r w:rsidR="00E32064">
        <w:rPr>
          <w:lang w:val="en-GB"/>
        </w:rPr>
        <w:t xml:space="preserve"> as reasons</w:t>
      </w:r>
      <w:r w:rsidRPr="00D272CC">
        <w:rPr>
          <w:lang w:val="en-GB"/>
        </w:rPr>
        <w:t xml:space="preserve"> </w:t>
      </w:r>
      <w:r w:rsidR="001E698C" w:rsidRPr="00D272CC">
        <w:rPr>
          <w:lang w:val="en-GB"/>
        </w:rPr>
        <w:t>on the grounds that they are</w:t>
      </w:r>
      <w:r w:rsidRPr="00D272CC">
        <w:rPr>
          <w:lang w:val="en-GB"/>
        </w:rPr>
        <w:t xml:space="preserve"> insufficient explanations</w:t>
      </w:r>
      <w:r w:rsidR="003D7588">
        <w:rPr>
          <w:lang w:val="en-GB"/>
        </w:rPr>
        <w:t xml:space="preserve"> (the results for MEASUREMENT and TRANSPARENCY are stronger</w:t>
      </w:r>
      <w:r w:rsidR="00E97D9D">
        <w:rPr>
          <w:lang w:val="en-GB"/>
        </w:rPr>
        <w:t>: both are statistically significant at the 1% level</w:t>
      </w:r>
      <w:r w:rsidR="003D7588">
        <w:rPr>
          <w:lang w:val="en-GB"/>
        </w:rPr>
        <w:t>)</w:t>
      </w:r>
      <w:r w:rsidR="00F85710" w:rsidRPr="00D272CC">
        <w:rPr>
          <w:lang w:val="en-GB"/>
        </w:rPr>
        <w:t xml:space="preserve">; to the exclusion of </w:t>
      </w:r>
      <w:r w:rsidR="004210D6">
        <w:rPr>
          <w:lang w:val="en-GB"/>
        </w:rPr>
        <w:t xml:space="preserve">policy changes </w:t>
      </w:r>
      <w:r w:rsidR="000F4907">
        <w:rPr>
          <w:lang w:val="en-GB"/>
        </w:rPr>
        <w:t>with</w:t>
      </w:r>
      <w:r w:rsidR="004210D6">
        <w:rPr>
          <w:lang w:val="en-GB"/>
        </w:rPr>
        <w:t xml:space="preserve"> </w:t>
      </w:r>
      <w:r w:rsidR="00F85710" w:rsidRPr="00D272CC">
        <w:rPr>
          <w:lang w:val="en-GB"/>
        </w:rPr>
        <w:t>‘early adoption of standard’</w:t>
      </w:r>
      <w:r w:rsidR="000F4907">
        <w:rPr>
          <w:lang w:val="en-GB"/>
        </w:rPr>
        <w:t xml:space="preserve"> as the only reason</w:t>
      </w:r>
      <w:r w:rsidR="00F85710" w:rsidRPr="00D272CC">
        <w:rPr>
          <w:lang w:val="en-GB"/>
        </w:rPr>
        <w:t xml:space="preserve"> on the grounds that</w:t>
      </w:r>
      <w:r w:rsidR="00BC5E8A" w:rsidRPr="00D272CC">
        <w:rPr>
          <w:lang w:val="en-GB"/>
        </w:rPr>
        <w:t xml:space="preserve"> </w:t>
      </w:r>
      <w:r w:rsidR="00F373DD" w:rsidRPr="00D272CC">
        <w:rPr>
          <w:lang w:val="en-GB"/>
        </w:rPr>
        <w:t>such a</w:t>
      </w:r>
      <w:r w:rsidR="00BC5E8A" w:rsidRPr="00D272CC">
        <w:rPr>
          <w:lang w:val="en-GB"/>
        </w:rPr>
        <w:t xml:space="preserve"> change does not require</w:t>
      </w:r>
      <w:r w:rsidR="00F85710" w:rsidRPr="00D272CC">
        <w:rPr>
          <w:lang w:val="en-GB"/>
        </w:rPr>
        <w:t xml:space="preserve"> an </w:t>
      </w:r>
      <w:r w:rsidR="003D1C5F" w:rsidRPr="00D272CC">
        <w:rPr>
          <w:lang w:val="en-GB"/>
        </w:rPr>
        <w:t xml:space="preserve">explanation </w:t>
      </w:r>
      <w:r w:rsidR="00F373DD" w:rsidRPr="00D272CC">
        <w:rPr>
          <w:lang w:val="en-GB"/>
        </w:rPr>
        <w:t>in terms of QCs</w:t>
      </w:r>
      <w:r w:rsidR="00532F49">
        <w:rPr>
          <w:lang w:val="en-GB"/>
        </w:rPr>
        <w:t xml:space="preserve">; and to the exclusion of policy changes for which there are only reasons </w:t>
      </w:r>
      <w:r w:rsidR="00675E6B">
        <w:rPr>
          <w:lang w:val="en-GB"/>
        </w:rPr>
        <w:t>in</w:t>
      </w:r>
      <w:r w:rsidR="00532F49">
        <w:rPr>
          <w:lang w:val="en-GB"/>
        </w:rPr>
        <w:t xml:space="preserve"> the ‘other’ category</w:t>
      </w:r>
      <w:r w:rsidRPr="00D272CC">
        <w:rPr>
          <w:lang w:val="en-GB"/>
        </w:rPr>
        <w:t>.</w:t>
      </w:r>
      <w:r w:rsidR="001F1A76" w:rsidRPr="00D272CC">
        <w:rPr>
          <w:lang w:val="en-GB"/>
        </w:rPr>
        <w:t xml:space="preserve"> They are also robust to including year fixed effects.</w:t>
      </w:r>
      <w:r w:rsidR="00EA2851" w:rsidRPr="00D272CC">
        <w:rPr>
          <w:lang w:val="en-GB"/>
        </w:rPr>
        <w:t xml:space="preserve"> </w:t>
      </w:r>
      <w:r w:rsidR="00715485">
        <w:rPr>
          <w:lang w:val="en-GB"/>
        </w:rPr>
        <w:t xml:space="preserve">When we estimate the </w:t>
      </w:r>
      <w:r w:rsidR="00195B11">
        <w:rPr>
          <w:lang w:val="en-GB"/>
        </w:rPr>
        <w:t>second</w:t>
      </w:r>
      <w:r w:rsidR="00715485">
        <w:rPr>
          <w:lang w:val="en-GB"/>
        </w:rPr>
        <w:t xml:space="preserve"> regression without the country and industry variables in order to reduce the number of independent variables, the results </w:t>
      </w:r>
      <w:r w:rsidR="0070246B">
        <w:rPr>
          <w:lang w:val="en-GB"/>
        </w:rPr>
        <w:t>for</w:t>
      </w:r>
      <w:r w:rsidR="00715485">
        <w:rPr>
          <w:lang w:val="en-GB"/>
        </w:rPr>
        <w:t xml:space="preserve"> the remaining variables are not materially affected</w:t>
      </w:r>
      <w:r w:rsidR="0070246B">
        <w:rPr>
          <w:lang w:val="en-GB"/>
        </w:rPr>
        <w:t>,</w:t>
      </w:r>
      <w:r w:rsidR="00715485">
        <w:rPr>
          <w:lang w:val="en-GB"/>
        </w:rPr>
        <w:t xml:space="preserve"> but the significance of MEASUREMENT reduces slightly (</w:t>
      </w:r>
      <w:r w:rsidR="00715485" w:rsidRPr="00D272CC">
        <w:rPr>
          <w:i/>
          <w:lang w:val="en-GB"/>
        </w:rPr>
        <w:t>z</w:t>
      </w:r>
      <w:r w:rsidR="00715485" w:rsidRPr="00D272CC">
        <w:rPr>
          <w:lang w:val="en-GB"/>
        </w:rPr>
        <w:noBreakHyphen/>
        <w:t xml:space="preserve">statistic </w:t>
      </w:r>
      <w:r w:rsidR="00715485">
        <w:rPr>
          <w:lang w:val="en-GB"/>
        </w:rPr>
        <w:t xml:space="preserve">of </w:t>
      </w:r>
      <w:r w:rsidR="0070246B" w:rsidRPr="0070246B">
        <w:rPr>
          <w:lang w:val="en-GB"/>
        </w:rPr>
        <w:t>1.92</w:t>
      </w:r>
      <w:r w:rsidR="0070246B">
        <w:rPr>
          <w:lang w:val="en-GB"/>
        </w:rPr>
        <w:t xml:space="preserve">* </w:t>
      </w:r>
      <w:r w:rsidR="00715485">
        <w:rPr>
          <w:lang w:val="en-GB"/>
        </w:rPr>
        <w:t xml:space="preserve">compared to </w:t>
      </w:r>
      <w:r w:rsidR="00715485" w:rsidRPr="00D272CC">
        <w:rPr>
          <w:lang w:val="en-GB"/>
        </w:rPr>
        <w:t>2.</w:t>
      </w:r>
      <w:r w:rsidR="0070246B">
        <w:rPr>
          <w:lang w:val="en-GB"/>
        </w:rPr>
        <w:t>09</w:t>
      </w:r>
      <w:r w:rsidR="00715485" w:rsidRPr="00D272CC">
        <w:rPr>
          <w:lang w:val="en-GB"/>
        </w:rPr>
        <w:t>**</w:t>
      </w:r>
      <w:r w:rsidR="00715485">
        <w:rPr>
          <w:lang w:val="en-GB"/>
        </w:rPr>
        <w:t xml:space="preserve"> in Table 6). When</w:t>
      </w:r>
      <w:r w:rsidR="00040213">
        <w:rPr>
          <w:lang w:val="en-GB"/>
        </w:rPr>
        <w:t xml:space="preserve"> the ‘immaterial’ cases are not excluded</w:t>
      </w:r>
      <w:r w:rsidR="00715485">
        <w:rPr>
          <w:lang w:val="en-GB"/>
        </w:rPr>
        <w:t xml:space="preserve"> (see the footnote to Table 2)</w:t>
      </w:r>
      <w:r w:rsidR="00040213">
        <w:rPr>
          <w:lang w:val="en-GB"/>
        </w:rPr>
        <w:t xml:space="preserve">, our </w:t>
      </w:r>
      <w:r w:rsidR="0070246B">
        <w:rPr>
          <w:lang w:val="en-GB"/>
        </w:rPr>
        <w:t>regression sample increases by five</w:t>
      </w:r>
      <w:r w:rsidR="00040213">
        <w:rPr>
          <w:lang w:val="en-GB"/>
        </w:rPr>
        <w:t xml:space="preserve"> firm-year observations and the </w:t>
      </w:r>
      <w:r w:rsidR="00715485" w:rsidRPr="00D272CC">
        <w:rPr>
          <w:i/>
          <w:lang w:val="en-GB"/>
        </w:rPr>
        <w:t>z</w:t>
      </w:r>
      <w:r w:rsidR="00715485" w:rsidRPr="00D272CC">
        <w:rPr>
          <w:lang w:val="en-GB"/>
        </w:rPr>
        <w:noBreakHyphen/>
        <w:t>statistic</w:t>
      </w:r>
      <w:r w:rsidR="00040213">
        <w:rPr>
          <w:lang w:val="en-GB"/>
        </w:rPr>
        <w:t xml:space="preserve"> of MEASUREMENT reduces</w:t>
      </w:r>
      <w:r w:rsidR="00D91613">
        <w:rPr>
          <w:lang w:val="en-GB"/>
        </w:rPr>
        <w:t xml:space="preserve"> slightly</w:t>
      </w:r>
      <w:r w:rsidR="00040213">
        <w:rPr>
          <w:lang w:val="en-GB"/>
        </w:rPr>
        <w:t xml:space="preserve"> </w:t>
      </w:r>
      <w:r w:rsidR="00715485">
        <w:rPr>
          <w:lang w:val="en-GB"/>
        </w:rPr>
        <w:t>to</w:t>
      </w:r>
      <w:r w:rsidR="00040213">
        <w:rPr>
          <w:lang w:val="en-GB"/>
        </w:rPr>
        <w:t xml:space="preserve"> 1.96</w:t>
      </w:r>
      <w:r w:rsidR="0070246B">
        <w:rPr>
          <w:lang w:val="en-GB"/>
        </w:rPr>
        <w:t>*</w:t>
      </w:r>
      <w:r w:rsidR="00715485">
        <w:rPr>
          <w:lang w:val="en-GB"/>
        </w:rPr>
        <w:t xml:space="preserve"> compared to 2.0</w:t>
      </w:r>
      <w:r w:rsidR="00D91613">
        <w:rPr>
          <w:lang w:val="en-GB"/>
        </w:rPr>
        <w:t>9</w:t>
      </w:r>
      <w:r w:rsidR="00715485">
        <w:rPr>
          <w:lang w:val="en-GB"/>
        </w:rPr>
        <w:t>** in Table 6</w:t>
      </w:r>
      <w:r w:rsidR="00040213">
        <w:rPr>
          <w:lang w:val="en-GB"/>
        </w:rPr>
        <w:t xml:space="preserve">. </w:t>
      </w:r>
      <w:r w:rsidR="0031471B">
        <w:rPr>
          <w:lang w:val="en-GB"/>
        </w:rPr>
        <w:t xml:space="preserve">When we exclude changes regarding topic 12, the </w:t>
      </w:r>
      <w:r w:rsidR="0031471B" w:rsidRPr="00D272CC">
        <w:rPr>
          <w:i/>
          <w:lang w:val="en-GB"/>
        </w:rPr>
        <w:t>z</w:t>
      </w:r>
      <w:r w:rsidR="0031471B" w:rsidRPr="00D272CC">
        <w:rPr>
          <w:lang w:val="en-GB"/>
        </w:rPr>
        <w:noBreakHyphen/>
        <w:t>statistic</w:t>
      </w:r>
      <w:r w:rsidR="0031471B">
        <w:rPr>
          <w:lang w:val="en-GB"/>
        </w:rPr>
        <w:t xml:space="preserve"> of MEASUREMENT increases to 3.62***. </w:t>
      </w:r>
      <w:r w:rsidR="00853ED7">
        <w:rPr>
          <w:lang w:val="en-GB"/>
        </w:rPr>
        <w:t>Finally, when we exclude financial firms from our regression, our sample size reduces to 256 firm-year observations and MEASUREMENT becomes statistically significant at the 1% level (</w:t>
      </w:r>
      <w:r w:rsidR="00853ED7" w:rsidRPr="00D272CC">
        <w:rPr>
          <w:lang w:val="en-GB"/>
        </w:rPr>
        <w:t>marginal effect = 0.1</w:t>
      </w:r>
      <w:r w:rsidR="00853ED7">
        <w:rPr>
          <w:lang w:val="en-GB"/>
        </w:rPr>
        <w:t>53</w:t>
      </w:r>
      <w:r w:rsidR="00853ED7" w:rsidRPr="00D272CC">
        <w:rPr>
          <w:lang w:val="en-GB"/>
        </w:rPr>
        <w:t xml:space="preserve">, </w:t>
      </w:r>
      <w:r w:rsidR="00853ED7" w:rsidRPr="00D272CC">
        <w:rPr>
          <w:i/>
          <w:lang w:val="en-GB"/>
        </w:rPr>
        <w:t>z</w:t>
      </w:r>
      <w:r w:rsidR="00853ED7" w:rsidRPr="00D272CC">
        <w:rPr>
          <w:lang w:val="en-GB"/>
        </w:rPr>
        <w:noBreakHyphen/>
        <w:t>statistic = 2.</w:t>
      </w:r>
      <w:r w:rsidR="00853ED7">
        <w:rPr>
          <w:lang w:val="en-GB"/>
        </w:rPr>
        <w:t>84</w:t>
      </w:r>
      <w:r w:rsidR="00853ED7" w:rsidRPr="00D272CC">
        <w:rPr>
          <w:lang w:val="en-GB"/>
        </w:rPr>
        <w:t>**</w:t>
      </w:r>
      <w:r w:rsidR="00853ED7">
        <w:rPr>
          <w:lang w:val="en-GB"/>
        </w:rPr>
        <w:t>*).</w:t>
      </w:r>
    </w:p>
    <w:p w14:paraId="10D9DA72" w14:textId="77777777" w:rsidR="00C206B9" w:rsidRPr="00D272CC" w:rsidRDefault="00421BBF" w:rsidP="00C206B9">
      <w:pPr>
        <w:pStyle w:val="Heading1"/>
        <w:rPr>
          <w:lang w:val="en-GB"/>
        </w:rPr>
      </w:pPr>
      <w:r w:rsidRPr="00D272CC">
        <w:rPr>
          <w:lang w:val="en-GB"/>
        </w:rPr>
        <w:t>5</w:t>
      </w:r>
      <w:r w:rsidR="00C206B9" w:rsidRPr="00D272CC">
        <w:rPr>
          <w:lang w:val="en-GB"/>
        </w:rPr>
        <w:t>. Conclusion</w:t>
      </w:r>
      <w:r w:rsidR="00191800">
        <w:rPr>
          <w:lang w:val="en-GB"/>
        </w:rPr>
        <w:t>s</w:t>
      </w:r>
    </w:p>
    <w:p w14:paraId="109E0CF3" w14:textId="168D5F36" w:rsidR="009B51A1" w:rsidRPr="00D272CC" w:rsidRDefault="009B51A1" w:rsidP="009B51A1">
      <w:pPr>
        <w:rPr>
          <w:lang w:val="en-GB"/>
        </w:rPr>
      </w:pPr>
      <w:r w:rsidRPr="00D272CC">
        <w:rPr>
          <w:lang w:val="en-GB"/>
        </w:rPr>
        <w:t xml:space="preserve">Qualitative characteristics of </w:t>
      </w:r>
      <w:r w:rsidR="001B2E3C">
        <w:rPr>
          <w:lang w:val="en-GB"/>
        </w:rPr>
        <w:t>financial</w:t>
      </w:r>
      <w:r w:rsidRPr="00D272CC">
        <w:rPr>
          <w:lang w:val="en-GB"/>
        </w:rPr>
        <w:t xml:space="preserve"> information are discussed in the conceptual framework of the standard-setter, to whose work they are central. However, QCs are also important in the context of the choice and change of accounting policies by firms. The purpose of this paper is to investigate empirically the use of QCs by managers of firms, on which we believe that no evidence has previously been presented. The best setting for this is policy change in the context of reporting under IFRS, because IFRS allows more policy choice </w:t>
      </w:r>
      <w:r w:rsidR="00675E6B">
        <w:rPr>
          <w:lang w:val="en-GB"/>
        </w:rPr>
        <w:t xml:space="preserve">(and therefore more scope for change) </w:t>
      </w:r>
      <w:r w:rsidRPr="00D272CC">
        <w:rPr>
          <w:lang w:val="en-GB"/>
        </w:rPr>
        <w:t xml:space="preserve">than most other accounting systems (e.g. US GAAP), and it requires </w:t>
      </w:r>
      <w:r w:rsidR="00F14FE8">
        <w:rPr>
          <w:lang w:val="en-GB"/>
        </w:rPr>
        <w:t xml:space="preserve">disclosure and </w:t>
      </w:r>
      <w:r w:rsidRPr="00D272CC">
        <w:rPr>
          <w:lang w:val="en-GB"/>
        </w:rPr>
        <w:t>explanation of policy changes</w:t>
      </w:r>
      <w:r w:rsidR="009948CA">
        <w:rPr>
          <w:lang w:val="en-GB"/>
        </w:rPr>
        <w:t xml:space="preserve"> that have a material effect</w:t>
      </w:r>
      <w:r w:rsidRPr="00D272CC">
        <w:rPr>
          <w:lang w:val="en-GB"/>
        </w:rPr>
        <w:t>.</w:t>
      </w:r>
    </w:p>
    <w:p w14:paraId="1A638F56" w14:textId="77777777" w:rsidR="00EC6321" w:rsidRDefault="009B51A1" w:rsidP="007A7035">
      <w:pPr>
        <w:rPr>
          <w:lang w:val="en-GB"/>
        </w:rPr>
      </w:pPr>
      <w:r w:rsidRPr="00D272CC">
        <w:rPr>
          <w:lang w:val="en-GB"/>
        </w:rPr>
        <w:t>We identify 434 policy changes from the financial statements of 5</w:t>
      </w:r>
      <w:r w:rsidR="002224A4" w:rsidRPr="00D272CC">
        <w:rPr>
          <w:lang w:val="en-GB"/>
        </w:rPr>
        <w:t>14</w:t>
      </w:r>
      <w:r w:rsidRPr="00D272CC">
        <w:rPr>
          <w:lang w:val="en-GB"/>
        </w:rPr>
        <w:t xml:space="preserve"> large firms from 10 countries in the period 2006 to 2011. Of these, 14</w:t>
      </w:r>
      <w:r w:rsidR="00FB7BAC" w:rsidRPr="00D272CC">
        <w:rPr>
          <w:lang w:val="en-GB"/>
        </w:rPr>
        <w:t>7</w:t>
      </w:r>
      <w:r w:rsidRPr="00D272CC">
        <w:rPr>
          <w:lang w:val="en-GB"/>
        </w:rPr>
        <w:t xml:space="preserve"> changes </w:t>
      </w:r>
      <w:r w:rsidR="001B2E3C">
        <w:rPr>
          <w:lang w:val="en-GB"/>
        </w:rPr>
        <w:t>are</w:t>
      </w:r>
      <w:r w:rsidRPr="00D272CC">
        <w:rPr>
          <w:lang w:val="en-GB"/>
        </w:rPr>
        <w:t xml:space="preserve"> explained, involving 204 reasons, of which 1</w:t>
      </w:r>
      <w:r w:rsidR="00FB7BAC" w:rsidRPr="00D272CC">
        <w:rPr>
          <w:lang w:val="en-GB"/>
        </w:rPr>
        <w:t>29</w:t>
      </w:r>
      <w:r w:rsidRPr="00D272CC">
        <w:rPr>
          <w:lang w:val="en-GB"/>
        </w:rPr>
        <w:t xml:space="preserve"> </w:t>
      </w:r>
      <w:r w:rsidR="001B2E3C">
        <w:rPr>
          <w:lang w:val="en-GB"/>
        </w:rPr>
        <w:t>are</w:t>
      </w:r>
      <w:r w:rsidRPr="00D272CC">
        <w:rPr>
          <w:lang w:val="en-GB"/>
        </w:rPr>
        <w:t xml:space="preserve"> references to QCs</w:t>
      </w:r>
      <w:r w:rsidR="00385BA6">
        <w:rPr>
          <w:lang w:val="en-GB"/>
        </w:rPr>
        <w:t>, mostly</w:t>
      </w:r>
      <w:r w:rsidR="00CE5FEE">
        <w:rPr>
          <w:lang w:val="en-GB"/>
        </w:rPr>
        <w:t xml:space="preserve"> </w:t>
      </w:r>
      <w:r w:rsidR="00385BA6">
        <w:rPr>
          <w:lang w:val="en-GB"/>
        </w:rPr>
        <w:t>those</w:t>
      </w:r>
      <w:r w:rsidR="00E06B9C" w:rsidRPr="00D272CC">
        <w:rPr>
          <w:lang w:val="en-GB"/>
        </w:rPr>
        <w:t xml:space="preserve"> </w:t>
      </w:r>
      <w:r w:rsidR="00385BA6">
        <w:rPr>
          <w:lang w:val="en-GB"/>
        </w:rPr>
        <w:t>found in</w:t>
      </w:r>
      <w:r w:rsidR="00E06B9C" w:rsidRPr="00D272CC">
        <w:rPr>
          <w:lang w:val="en-GB"/>
        </w:rPr>
        <w:t xml:space="preserve"> the </w:t>
      </w:r>
      <w:r w:rsidR="00E06B9C" w:rsidRPr="00D272CC">
        <w:rPr>
          <w:i/>
          <w:lang w:val="en-GB"/>
        </w:rPr>
        <w:t>Framework</w:t>
      </w:r>
      <w:r w:rsidR="00E06B9C">
        <w:rPr>
          <w:lang w:val="en-GB"/>
        </w:rPr>
        <w:t xml:space="preserve"> of the </w:t>
      </w:r>
      <w:r w:rsidR="00E06B9C" w:rsidRPr="00D272CC">
        <w:rPr>
          <w:lang w:val="en-GB"/>
        </w:rPr>
        <w:t>IASB</w:t>
      </w:r>
      <w:r w:rsidRPr="00D272CC">
        <w:rPr>
          <w:lang w:val="en-GB"/>
        </w:rPr>
        <w:t xml:space="preserve">. The most frequently mentioned QC </w:t>
      </w:r>
      <w:r w:rsidR="001B2E3C">
        <w:rPr>
          <w:lang w:val="en-GB"/>
        </w:rPr>
        <w:t>is</w:t>
      </w:r>
      <w:r w:rsidRPr="00D272CC">
        <w:rPr>
          <w:lang w:val="en-GB"/>
        </w:rPr>
        <w:t xml:space="preserve"> comparability</w:t>
      </w:r>
      <w:r w:rsidR="007A0D60">
        <w:rPr>
          <w:lang w:val="en-GB"/>
        </w:rPr>
        <w:t>, particularly industry comparability</w:t>
      </w:r>
      <w:r w:rsidRPr="00D272CC">
        <w:rPr>
          <w:lang w:val="en-GB"/>
        </w:rPr>
        <w:t xml:space="preserve">. </w:t>
      </w:r>
      <w:r w:rsidR="00EC6321">
        <w:rPr>
          <w:lang w:val="en-GB"/>
        </w:rPr>
        <w:t>Given the importance of policy changes related to industry comparability and given the findings of Kvaal and Nobes (201</w:t>
      </w:r>
      <w:r w:rsidR="00FC45AB">
        <w:rPr>
          <w:lang w:val="en-GB"/>
        </w:rPr>
        <w:t>2</w:t>
      </w:r>
      <w:r w:rsidR="00EC6321">
        <w:rPr>
          <w:lang w:val="en-GB"/>
        </w:rPr>
        <w:t xml:space="preserve">) about policy changes by French and Spanish </w:t>
      </w:r>
      <w:r w:rsidR="00DE4332">
        <w:rPr>
          <w:lang w:val="en-GB"/>
        </w:rPr>
        <w:t>firms</w:t>
      </w:r>
      <w:r w:rsidR="00EC6321">
        <w:rPr>
          <w:lang w:val="en-GB"/>
        </w:rPr>
        <w:t xml:space="preserve"> away from their pre-IFRS practices, industry-related differences might become increasingly important compared to country-related differences. The IASB might consider whether comparability has been given a high enough ranking in its </w:t>
      </w:r>
      <w:r w:rsidR="00EC6321" w:rsidRPr="00D272CC">
        <w:rPr>
          <w:i/>
          <w:lang w:val="en-GB"/>
        </w:rPr>
        <w:t>Framework</w:t>
      </w:r>
      <w:r w:rsidR="00EC6321">
        <w:rPr>
          <w:lang w:val="en-GB"/>
        </w:rPr>
        <w:t>, given that it could be considered central to investor decisions.</w:t>
      </w:r>
    </w:p>
    <w:p w14:paraId="787E8D89" w14:textId="488A5C2E" w:rsidR="007A7035" w:rsidRDefault="007A7035" w:rsidP="007A7035">
      <w:pPr>
        <w:rPr>
          <w:lang w:val="en-GB"/>
        </w:rPr>
      </w:pPr>
      <w:r w:rsidRPr="00D272CC">
        <w:rPr>
          <w:lang w:val="en-GB"/>
        </w:rPr>
        <w:t xml:space="preserve">Other important QCs </w:t>
      </w:r>
      <w:r>
        <w:rPr>
          <w:lang w:val="en-GB"/>
        </w:rPr>
        <w:t>are</w:t>
      </w:r>
      <w:r w:rsidRPr="00D272CC">
        <w:rPr>
          <w:lang w:val="en-GB"/>
        </w:rPr>
        <w:t xml:space="preserve"> </w:t>
      </w:r>
      <w:r>
        <w:rPr>
          <w:lang w:val="en-GB"/>
        </w:rPr>
        <w:t xml:space="preserve">relevance, faithful representation, understandability and </w:t>
      </w:r>
      <w:r w:rsidRPr="00D272CC">
        <w:rPr>
          <w:lang w:val="en-GB"/>
        </w:rPr>
        <w:t xml:space="preserve">transparency (not directly mentioned in the </w:t>
      </w:r>
      <w:r w:rsidRPr="00D272CC">
        <w:rPr>
          <w:i/>
          <w:lang w:val="en-GB"/>
        </w:rPr>
        <w:t>Framework</w:t>
      </w:r>
      <w:r w:rsidRPr="00D272CC">
        <w:rPr>
          <w:lang w:val="en-GB"/>
        </w:rPr>
        <w:t>).</w:t>
      </w:r>
      <w:r>
        <w:rPr>
          <w:lang w:val="en-GB"/>
        </w:rPr>
        <w:t xml:space="preserve"> </w:t>
      </w:r>
      <w:r w:rsidRPr="00767C4C">
        <w:rPr>
          <w:szCs w:val="24"/>
        </w:rPr>
        <w:t xml:space="preserve">In our data, transparency is related to the visibility of financial information. For example, </w:t>
      </w:r>
      <w:r w:rsidRPr="00767C4C">
        <w:rPr>
          <w:szCs w:val="24"/>
          <w:lang w:val="en-GB"/>
        </w:rPr>
        <w:t>treating actuarial gains and losses as OCI shows the full surplus or deficit of</w:t>
      </w:r>
      <w:r w:rsidRPr="004D52CA">
        <w:rPr>
          <w:szCs w:val="24"/>
          <w:lang w:val="en-GB"/>
        </w:rPr>
        <w:t xml:space="preserve"> </w:t>
      </w:r>
      <w:r w:rsidR="000108E5">
        <w:rPr>
          <w:szCs w:val="24"/>
          <w:lang w:val="en-GB"/>
        </w:rPr>
        <w:t xml:space="preserve">a firm’s </w:t>
      </w:r>
      <w:r w:rsidRPr="004D52CA">
        <w:rPr>
          <w:szCs w:val="24"/>
          <w:lang w:val="en-GB"/>
        </w:rPr>
        <w:t>pension plan</w:t>
      </w:r>
      <w:r w:rsidR="000108E5">
        <w:rPr>
          <w:szCs w:val="24"/>
          <w:lang w:val="en-GB"/>
        </w:rPr>
        <w:t>s</w:t>
      </w:r>
      <w:r w:rsidRPr="004D52CA">
        <w:rPr>
          <w:szCs w:val="24"/>
          <w:lang w:val="en-GB"/>
        </w:rPr>
        <w:t xml:space="preserve"> on the balance sheet</w:t>
      </w:r>
      <w:r>
        <w:rPr>
          <w:szCs w:val="24"/>
          <w:lang w:val="en-GB"/>
        </w:rPr>
        <w:t>, which the ‘corridor method’ did not</w:t>
      </w:r>
      <w:r w:rsidRPr="00767C4C">
        <w:rPr>
          <w:szCs w:val="24"/>
          <w:lang w:val="en-GB"/>
        </w:rPr>
        <w:t xml:space="preserve">. Transparency can assist in understandability and could therefore be included in the definition of understandability in the </w:t>
      </w:r>
      <w:r w:rsidRPr="00767C4C">
        <w:rPr>
          <w:i/>
          <w:szCs w:val="24"/>
          <w:lang w:val="en-GB"/>
        </w:rPr>
        <w:t>Framework</w:t>
      </w:r>
      <w:r w:rsidRPr="00767C4C">
        <w:rPr>
          <w:szCs w:val="24"/>
          <w:lang w:val="en-GB"/>
        </w:rPr>
        <w:t>.</w:t>
      </w:r>
      <w:r>
        <w:rPr>
          <w:szCs w:val="24"/>
          <w:lang w:val="en-GB"/>
        </w:rPr>
        <w:t xml:space="preserve"> Finally, </w:t>
      </w:r>
      <w:r>
        <w:rPr>
          <w:lang w:val="en-GB"/>
        </w:rPr>
        <w:t>another</w:t>
      </w:r>
      <w:r w:rsidRPr="00D272CC">
        <w:rPr>
          <w:lang w:val="en-GB"/>
        </w:rPr>
        <w:t xml:space="preserve"> important reason </w:t>
      </w:r>
      <w:r w:rsidR="00675E6B">
        <w:rPr>
          <w:lang w:val="en-GB"/>
        </w:rPr>
        <w:t xml:space="preserve">for policy change </w:t>
      </w:r>
      <w:r w:rsidRPr="00D272CC">
        <w:rPr>
          <w:lang w:val="en-GB"/>
        </w:rPr>
        <w:t>was early adoption of amendments to accounting standards.</w:t>
      </w:r>
    </w:p>
    <w:p w14:paraId="2A08C2EC" w14:textId="77777777" w:rsidR="009B51A1" w:rsidRPr="00D272CC" w:rsidRDefault="001B2E3C" w:rsidP="002D7AB9">
      <w:pPr>
        <w:rPr>
          <w:lang w:val="en-GB"/>
        </w:rPr>
      </w:pPr>
      <w:r>
        <w:rPr>
          <w:lang w:val="en-GB"/>
        </w:rPr>
        <w:t>W</w:t>
      </w:r>
      <w:r w:rsidR="009B51A1" w:rsidRPr="00D272CC">
        <w:rPr>
          <w:lang w:val="en-GB"/>
        </w:rPr>
        <w:t xml:space="preserve">e find </w:t>
      </w:r>
      <w:r w:rsidR="009C0A2E" w:rsidRPr="00D272CC">
        <w:rPr>
          <w:lang w:val="en-GB"/>
        </w:rPr>
        <w:t xml:space="preserve">that </w:t>
      </w:r>
      <w:r w:rsidR="009B51A1" w:rsidRPr="00D272CC">
        <w:rPr>
          <w:lang w:val="en-GB"/>
        </w:rPr>
        <w:t>QCs are referred to more often for measurement changes</w:t>
      </w:r>
      <w:r w:rsidR="00EC6321">
        <w:rPr>
          <w:lang w:val="en-GB"/>
        </w:rPr>
        <w:t xml:space="preserve">. This was our hypothesis, based on the </w:t>
      </w:r>
      <w:r w:rsidR="00195B11">
        <w:rPr>
          <w:lang w:val="en-GB"/>
        </w:rPr>
        <w:t>notion</w:t>
      </w:r>
      <w:r w:rsidR="00EC6321">
        <w:rPr>
          <w:lang w:val="en-GB"/>
        </w:rPr>
        <w:t xml:space="preserve"> that measurement changes are seen as more important. </w:t>
      </w:r>
      <w:r w:rsidR="002C7279">
        <w:rPr>
          <w:lang w:val="en-GB"/>
        </w:rPr>
        <w:t>We also found greater reference to QCs</w:t>
      </w:r>
      <w:r w:rsidR="00CC5DD7" w:rsidRPr="00D272CC">
        <w:rPr>
          <w:lang w:val="en-GB"/>
        </w:rPr>
        <w:t xml:space="preserve"> by large</w:t>
      </w:r>
      <w:r w:rsidR="00385BA6">
        <w:rPr>
          <w:lang w:val="en-GB"/>
        </w:rPr>
        <w:t>r</w:t>
      </w:r>
      <w:r w:rsidR="00CC5DD7" w:rsidRPr="00D272CC">
        <w:rPr>
          <w:lang w:val="en-GB"/>
        </w:rPr>
        <w:t xml:space="preserve"> firms</w:t>
      </w:r>
      <w:r w:rsidR="002C7279">
        <w:rPr>
          <w:lang w:val="en-GB"/>
        </w:rPr>
        <w:t>, perhaps because they are under closer scrutiny</w:t>
      </w:r>
      <w:r w:rsidR="00385BA6">
        <w:rPr>
          <w:lang w:val="en-GB"/>
        </w:rPr>
        <w:t>. O</w:t>
      </w:r>
      <w:r w:rsidR="009C0A2E" w:rsidRPr="00D272CC">
        <w:rPr>
          <w:lang w:val="en-GB"/>
        </w:rPr>
        <w:t xml:space="preserve">ur results </w:t>
      </w:r>
      <w:r w:rsidR="009B51A1" w:rsidRPr="00D272CC">
        <w:rPr>
          <w:lang w:val="en-GB"/>
        </w:rPr>
        <w:t xml:space="preserve">show no importance of </w:t>
      </w:r>
      <w:r w:rsidR="00F373DD" w:rsidRPr="00D272CC">
        <w:rPr>
          <w:lang w:val="en-GB"/>
        </w:rPr>
        <w:t>the</w:t>
      </w:r>
      <w:r w:rsidR="009B51A1" w:rsidRPr="00D272CC">
        <w:rPr>
          <w:lang w:val="en-GB"/>
        </w:rPr>
        <w:t xml:space="preserve"> common/code legal dichotomy</w:t>
      </w:r>
      <w:r w:rsidR="009948CA">
        <w:rPr>
          <w:lang w:val="en-GB"/>
        </w:rPr>
        <w:t xml:space="preserve"> but </w:t>
      </w:r>
      <w:r w:rsidR="00385BA6">
        <w:rPr>
          <w:lang w:val="en-GB"/>
        </w:rPr>
        <w:t>a significant association between</w:t>
      </w:r>
      <w:r w:rsidR="009948CA">
        <w:rPr>
          <w:lang w:val="en-GB"/>
        </w:rPr>
        <w:t xml:space="preserve"> use of QCs and a measure of a </w:t>
      </w:r>
      <w:r w:rsidR="00783E4D">
        <w:rPr>
          <w:lang w:val="en-GB"/>
        </w:rPr>
        <w:t>country’s</w:t>
      </w:r>
      <w:r w:rsidR="009948CA">
        <w:rPr>
          <w:lang w:val="en-GB"/>
        </w:rPr>
        <w:t xml:space="preserve"> </w:t>
      </w:r>
      <w:r w:rsidR="00CE5FEE">
        <w:rPr>
          <w:lang w:val="en-GB"/>
        </w:rPr>
        <w:t>transparency</w:t>
      </w:r>
      <w:r w:rsidR="009B51A1" w:rsidRPr="00D272CC">
        <w:rPr>
          <w:lang w:val="en-GB"/>
        </w:rPr>
        <w:t>.</w:t>
      </w:r>
    </w:p>
    <w:p w14:paraId="2D2A9ED8" w14:textId="77777777" w:rsidR="009B51A1" w:rsidRPr="00D272CC" w:rsidRDefault="0093726C" w:rsidP="0093726C">
      <w:pPr>
        <w:rPr>
          <w:lang w:val="en-GB"/>
        </w:rPr>
      </w:pPr>
      <w:r w:rsidRPr="00D272CC">
        <w:rPr>
          <w:lang w:val="en-GB"/>
        </w:rPr>
        <w:t xml:space="preserve">We enter some caveats. </w:t>
      </w:r>
      <w:r w:rsidR="00F373DD" w:rsidRPr="00D272CC">
        <w:rPr>
          <w:lang w:val="en-GB"/>
        </w:rPr>
        <w:t xml:space="preserve">First, </w:t>
      </w:r>
      <w:r w:rsidR="0013281C">
        <w:rPr>
          <w:lang w:val="en-GB"/>
        </w:rPr>
        <w:t xml:space="preserve">we examine </w:t>
      </w:r>
      <w:r w:rsidR="00F373DD" w:rsidRPr="00D272CC">
        <w:rPr>
          <w:lang w:val="en-GB"/>
        </w:rPr>
        <w:t>p</w:t>
      </w:r>
      <w:r w:rsidR="00344D84" w:rsidRPr="00D272CC">
        <w:rPr>
          <w:lang w:val="en-GB"/>
        </w:rPr>
        <w:t>o</w:t>
      </w:r>
      <w:r w:rsidRPr="00D272CC">
        <w:rPr>
          <w:lang w:val="en-GB"/>
        </w:rPr>
        <w:t xml:space="preserve">licy changes </w:t>
      </w:r>
      <w:r w:rsidR="0013281C">
        <w:rPr>
          <w:lang w:val="en-GB"/>
        </w:rPr>
        <w:t xml:space="preserve">because </w:t>
      </w:r>
      <w:r w:rsidR="00344D84" w:rsidRPr="00D272CC">
        <w:rPr>
          <w:lang w:val="en-GB"/>
        </w:rPr>
        <w:t>they provide a unique setting for the analysis of references to QCs</w:t>
      </w:r>
      <w:r w:rsidR="0013281C">
        <w:rPr>
          <w:lang w:val="en-GB"/>
        </w:rPr>
        <w:t xml:space="preserve">, but </w:t>
      </w:r>
      <w:r w:rsidR="00331B3D">
        <w:rPr>
          <w:lang w:val="en-GB"/>
        </w:rPr>
        <w:t xml:space="preserve">such </w:t>
      </w:r>
      <w:r w:rsidR="0013281C">
        <w:rPr>
          <w:lang w:val="en-GB"/>
        </w:rPr>
        <w:t>changes</w:t>
      </w:r>
      <w:r w:rsidR="0013281C" w:rsidRPr="0013281C">
        <w:rPr>
          <w:lang w:val="en-GB"/>
        </w:rPr>
        <w:t xml:space="preserve"> </w:t>
      </w:r>
      <w:r w:rsidR="0013281C">
        <w:rPr>
          <w:lang w:val="en-GB"/>
        </w:rPr>
        <w:t xml:space="preserve">are infrequent. Nevertheless, most firms made at least one change in our period. </w:t>
      </w:r>
      <w:r w:rsidRPr="00D272CC">
        <w:rPr>
          <w:lang w:val="en-GB"/>
        </w:rPr>
        <w:t>A further</w:t>
      </w:r>
      <w:r w:rsidR="009B51A1" w:rsidRPr="00D272CC">
        <w:rPr>
          <w:lang w:val="en-GB"/>
        </w:rPr>
        <w:t xml:space="preserve"> caveat </w:t>
      </w:r>
      <w:r w:rsidRPr="00D272CC">
        <w:rPr>
          <w:lang w:val="en-GB"/>
        </w:rPr>
        <w:t xml:space="preserve">is </w:t>
      </w:r>
      <w:r w:rsidR="009B51A1" w:rsidRPr="00D272CC">
        <w:rPr>
          <w:lang w:val="en-GB"/>
        </w:rPr>
        <w:t xml:space="preserve">that our data rely on managers’ explanations being honest. </w:t>
      </w:r>
      <w:r w:rsidR="00344D84" w:rsidRPr="00D272CC">
        <w:rPr>
          <w:lang w:val="en-GB"/>
        </w:rPr>
        <w:t xml:space="preserve">It is possible that managers merely ‘satisfice’ by picking QCs at random in response to IAS 8’s requirement for explanations, or that managers have hidden strategic objectives. </w:t>
      </w:r>
      <w:r w:rsidR="009B51A1" w:rsidRPr="00D272CC">
        <w:rPr>
          <w:lang w:val="en-GB"/>
        </w:rPr>
        <w:t xml:space="preserve">However, </w:t>
      </w:r>
      <w:r w:rsidR="00731C2A" w:rsidRPr="00D272CC">
        <w:rPr>
          <w:lang w:val="en-GB"/>
        </w:rPr>
        <w:t xml:space="preserve">the </w:t>
      </w:r>
      <w:r w:rsidR="00F373DD" w:rsidRPr="00D272CC">
        <w:rPr>
          <w:lang w:val="en-GB"/>
        </w:rPr>
        <w:t>available</w:t>
      </w:r>
      <w:r w:rsidR="009B51A1" w:rsidRPr="00D272CC">
        <w:rPr>
          <w:lang w:val="en-GB"/>
        </w:rPr>
        <w:t xml:space="preserve"> reasons are all ‘good’ (e.g. faithful representation, comparability or early adoption), so it is not clear why </w:t>
      </w:r>
      <w:r w:rsidR="004870E5" w:rsidRPr="00D272CC">
        <w:rPr>
          <w:lang w:val="en-GB"/>
        </w:rPr>
        <w:t>managers</w:t>
      </w:r>
      <w:r w:rsidR="009B51A1" w:rsidRPr="00D272CC">
        <w:rPr>
          <w:lang w:val="en-GB"/>
        </w:rPr>
        <w:t xml:space="preserve"> would choose dishonestly among them.</w:t>
      </w:r>
      <w:r w:rsidR="00507351" w:rsidRPr="00507351">
        <w:rPr>
          <w:lang w:val="en-GB"/>
        </w:rPr>
        <w:t xml:space="preserve"> </w:t>
      </w:r>
      <w:r w:rsidR="00195B11">
        <w:rPr>
          <w:lang w:val="en-GB"/>
        </w:rPr>
        <w:t>Furthermore, w</w:t>
      </w:r>
      <w:r w:rsidR="00507351">
        <w:rPr>
          <w:lang w:val="en-GB"/>
        </w:rPr>
        <w:t xml:space="preserve">e found some evidence of </w:t>
      </w:r>
      <w:r w:rsidR="00505ECC">
        <w:rPr>
          <w:lang w:val="en-GB"/>
        </w:rPr>
        <w:t>trustwort</w:t>
      </w:r>
      <w:r w:rsidR="00195B11">
        <w:rPr>
          <w:lang w:val="en-GB"/>
        </w:rPr>
        <w:t>h</w:t>
      </w:r>
      <w:r w:rsidR="00505ECC">
        <w:rPr>
          <w:lang w:val="en-GB"/>
        </w:rPr>
        <w:t>iness</w:t>
      </w:r>
      <w:r w:rsidR="00507351">
        <w:rPr>
          <w:lang w:val="en-GB"/>
        </w:rPr>
        <w:t xml:space="preserve"> in the reasons given, by assessing the references to industry comparability because these can be checked.</w:t>
      </w:r>
    </w:p>
    <w:p w14:paraId="571C8668" w14:textId="639DBA86" w:rsidR="0093726C" w:rsidRDefault="0093726C">
      <w:pPr>
        <w:rPr>
          <w:lang w:val="en-GB"/>
        </w:rPr>
      </w:pPr>
      <w:r w:rsidRPr="00D272CC">
        <w:rPr>
          <w:lang w:val="en-GB"/>
        </w:rPr>
        <w:t xml:space="preserve">In conclusion, we have presented the first </w:t>
      </w:r>
      <w:r w:rsidRPr="00D272CC">
        <w:rPr>
          <w:i/>
          <w:lang w:val="en-GB"/>
        </w:rPr>
        <w:t>direct</w:t>
      </w:r>
      <w:r w:rsidRPr="00D272CC">
        <w:rPr>
          <w:lang w:val="en-GB"/>
        </w:rPr>
        <w:t xml:space="preserve"> evidence about which QCs managers refer to</w:t>
      </w:r>
      <w:r w:rsidR="002B2A8F" w:rsidRPr="00D272CC">
        <w:rPr>
          <w:lang w:val="en-GB"/>
        </w:rPr>
        <w:t xml:space="preserve"> when making</w:t>
      </w:r>
      <w:r w:rsidRPr="00D272CC">
        <w:rPr>
          <w:lang w:val="en-GB"/>
        </w:rPr>
        <w:t xml:space="preserve"> accounting decisions and </w:t>
      </w:r>
      <w:r w:rsidR="002D7AB9">
        <w:rPr>
          <w:lang w:val="en-GB"/>
        </w:rPr>
        <w:t>when they refer to QC</w:t>
      </w:r>
      <w:r w:rsidR="00841485">
        <w:rPr>
          <w:lang w:val="en-GB"/>
        </w:rPr>
        <w:t>s</w:t>
      </w:r>
      <w:r w:rsidRPr="00D272CC">
        <w:rPr>
          <w:lang w:val="en-GB"/>
        </w:rPr>
        <w:t xml:space="preserve">. </w:t>
      </w:r>
      <w:r w:rsidR="00337570" w:rsidRPr="00D272CC" w:rsidDel="00FE2EE6">
        <w:rPr>
          <w:lang w:val="en-GB"/>
        </w:rPr>
        <w:t>For preparers, auditors and users</w:t>
      </w:r>
      <w:r w:rsidR="00337570" w:rsidRPr="00D272CC">
        <w:rPr>
          <w:lang w:val="en-GB"/>
        </w:rPr>
        <w:t>, t</w:t>
      </w:r>
      <w:r w:rsidRPr="00D272CC">
        <w:rPr>
          <w:lang w:val="en-GB"/>
        </w:rPr>
        <w:t>hese findings</w:t>
      </w:r>
      <w:r w:rsidR="00337570" w:rsidRPr="00D272CC" w:rsidDel="00FE2EE6">
        <w:rPr>
          <w:lang w:val="en-GB"/>
        </w:rPr>
        <w:t xml:space="preserve"> </w:t>
      </w:r>
      <w:r w:rsidR="00337570" w:rsidRPr="00D272CC">
        <w:rPr>
          <w:lang w:val="en-GB"/>
        </w:rPr>
        <w:t>enable</w:t>
      </w:r>
      <w:r w:rsidR="00337570" w:rsidRPr="00D272CC" w:rsidDel="00FE2EE6">
        <w:rPr>
          <w:lang w:val="en-GB"/>
        </w:rPr>
        <w:t xml:space="preserve"> comparisons across </w:t>
      </w:r>
      <w:r w:rsidR="00B30C8D">
        <w:rPr>
          <w:lang w:val="en-GB"/>
        </w:rPr>
        <w:t>firms</w:t>
      </w:r>
      <w:r w:rsidR="002B2A8F" w:rsidRPr="00D272CC">
        <w:rPr>
          <w:lang w:val="en-GB"/>
        </w:rPr>
        <w:t>, including</w:t>
      </w:r>
      <w:r w:rsidR="00337570" w:rsidRPr="00D272CC">
        <w:rPr>
          <w:lang w:val="en-GB"/>
        </w:rPr>
        <w:t xml:space="preserve"> internationally. For auditors and regulators, our discovery</w:t>
      </w:r>
      <w:r w:rsidR="002B2A8F" w:rsidRPr="00D272CC">
        <w:rPr>
          <w:lang w:val="en-GB"/>
        </w:rPr>
        <w:t xml:space="preserve"> that most </w:t>
      </w:r>
      <w:r w:rsidR="00337570" w:rsidRPr="00D272CC">
        <w:rPr>
          <w:lang w:val="en-GB"/>
        </w:rPr>
        <w:t xml:space="preserve">policy changes are unexplained </w:t>
      </w:r>
      <w:r w:rsidR="001B2E3C">
        <w:rPr>
          <w:lang w:val="en-GB"/>
        </w:rPr>
        <w:t>suggests</w:t>
      </w:r>
      <w:r w:rsidR="00337570" w:rsidRPr="00D272CC">
        <w:rPr>
          <w:lang w:val="en-GB"/>
        </w:rPr>
        <w:t xml:space="preserve"> </w:t>
      </w:r>
      <w:r w:rsidR="00841485">
        <w:rPr>
          <w:lang w:val="en-GB"/>
        </w:rPr>
        <w:t xml:space="preserve">some </w:t>
      </w:r>
      <w:r w:rsidR="00337570" w:rsidRPr="00D272CC">
        <w:rPr>
          <w:lang w:val="en-GB"/>
        </w:rPr>
        <w:t>non-compliance</w:t>
      </w:r>
      <w:r w:rsidR="002B2A8F" w:rsidRPr="00D272CC">
        <w:rPr>
          <w:lang w:val="en-GB"/>
        </w:rPr>
        <w:t xml:space="preserve"> with IFRS</w:t>
      </w:r>
      <w:r w:rsidR="00F14FE8">
        <w:rPr>
          <w:lang w:val="en-GB"/>
        </w:rPr>
        <w:t xml:space="preserve">, especially as some changes </w:t>
      </w:r>
      <w:r w:rsidR="00385BA6">
        <w:rPr>
          <w:lang w:val="en-GB"/>
        </w:rPr>
        <w:t xml:space="preserve">which are </w:t>
      </w:r>
      <w:r w:rsidR="006914D8">
        <w:rPr>
          <w:lang w:val="en-GB"/>
        </w:rPr>
        <w:t>mentioned by firms</w:t>
      </w:r>
      <w:r w:rsidR="00385BA6">
        <w:rPr>
          <w:lang w:val="en-GB"/>
        </w:rPr>
        <w:t xml:space="preserve"> (implying a material effect) </w:t>
      </w:r>
      <w:r w:rsidR="00F14FE8">
        <w:rPr>
          <w:lang w:val="en-GB"/>
        </w:rPr>
        <w:t>are not explained</w:t>
      </w:r>
      <w:r w:rsidR="00337570" w:rsidRPr="00D272CC">
        <w:rPr>
          <w:lang w:val="en-GB"/>
        </w:rPr>
        <w:t>. The overall findings</w:t>
      </w:r>
      <w:r w:rsidRPr="00D272CC">
        <w:rPr>
          <w:lang w:val="en-GB"/>
        </w:rPr>
        <w:t xml:space="preserve"> should be of importance to the IASB as it continues to revise its </w:t>
      </w:r>
      <w:r w:rsidR="00D26BBE" w:rsidRPr="000C43F3">
        <w:rPr>
          <w:i/>
          <w:lang w:val="en-GB"/>
        </w:rPr>
        <w:t>F</w:t>
      </w:r>
      <w:r w:rsidRPr="000C43F3">
        <w:rPr>
          <w:i/>
          <w:lang w:val="en-GB"/>
        </w:rPr>
        <w:t>ramework</w:t>
      </w:r>
      <w:r w:rsidRPr="00D272CC">
        <w:rPr>
          <w:lang w:val="en-GB"/>
        </w:rPr>
        <w:t>, having opened the possibility of reconsidering the QCs (IASB 2013, para</w:t>
      </w:r>
      <w:r w:rsidR="008C2C92" w:rsidRPr="00D272CC">
        <w:rPr>
          <w:lang w:val="en-GB"/>
        </w:rPr>
        <w:t>graph</w:t>
      </w:r>
      <w:r w:rsidRPr="00D272CC">
        <w:rPr>
          <w:lang w:val="en-GB"/>
        </w:rPr>
        <w:t xml:space="preserve"> 9.</w:t>
      </w:r>
      <w:r w:rsidR="00841485">
        <w:rPr>
          <w:lang w:val="en-GB"/>
        </w:rPr>
        <w:t>3 and Question 22, p.</w:t>
      </w:r>
      <w:r w:rsidR="00BB3306">
        <w:rPr>
          <w:lang w:val="en-GB"/>
        </w:rPr>
        <w:t xml:space="preserve"> </w:t>
      </w:r>
      <w:r w:rsidR="00841485">
        <w:rPr>
          <w:lang w:val="en-GB"/>
        </w:rPr>
        <w:t>193</w:t>
      </w:r>
      <w:r w:rsidR="00296A1C">
        <w:rPr>
          <w:lang w:val="en-GB"/>
        </w:rPr>
        <w:t>, and IASB 2014</w:t>
      </w:r>
      <w:r w:rsidRPr="00D272CC">
        <w:rPr>
          <w:lang w:val="en-GB"/>
        </w:rPr>
        <w:t>).</w:t>
      </w:r>
      <w:r w:rsidR="002C7279">
        <w:rPr>
          <w:lang w:val="en-GB"/>
        </w:rPr>
        <w:t xml:space="preserve"> In particular, we ask whether</w:t>
      </w:r>
      <w:r w:rsidR="00B54272">
        <w:rPr>
          <w:lang w:val="en-GB"/>
        </w:rPr>
        <w:t xml:space="preserve"> ‘comparability’ should be up-graded and whether ‘transparency’ should be included. We note that there is little evidence </w:t>
      </w:r>
      <w:r w:rsidR="008E0EEB">
        <w:rPr>
          <w:lang w:val="en-GB"/>
        </w:rPr>
        <w:t>in our data</w:t>
      </w:r>
      <w:r w:rsidR="00B54272">
        <w:rPr>
          <w:lang w:val="en-GB"/>
        </w:rPr>
        <w:t xml:space="preserve"> that prudence is an important QC</w:t>
      </w:r>
      <w:r w:rsidR="008E0EEB">
        <w:rPr>
          <w:lang w:val="en-GB"/>
        </w:rPr>
        <w:t xml:space="preserve"> for managers when making accounting policy changes</w:t>
      </w:r>
      <w:r w:rsidR="00B54272">
        <w:rPr>
          <w:lang w:val="en-GB"/>
        </w:rPr>
        <w:t>.</w:t>
      </w:r>
    </w:p>
    <w:p w14:paraId="7C5D179F" w14:textId="35098BE9" w:rsidR="00EA230F" w:rsidRPr="00D272CC" w:rsidRDefault="00EA230F">
      <w:pPr>
        <w:rPr>
          <w:lang w:val="en-GB"/>
        </w:rPr>
      </w:pPr>
      <w:r>
        <w:rPr>
          <w:lang w:val="en-GB"/>
        </w:rPr>
        <w:t xml:space="preserve">There are several possibilities for </w:t>
      </w:r>
      <w:r w:rsidR="000B71B2">
        <w:rPr>
          <w:lang w:val="en-GB"/>
        </w:rPr>
        <w:t>future</w:t>
      </w:r>
      <w:r>
        <w:rPr>
          <w:lang w:val="en-GB"/>
        </w:rPr>
        <w:t xml:space="preserve"> research. </w:t>
      </w:r>
      <w:r w:rsidR="00191800">
        <w:rPr>
          <w:lang w:val="en-GB"/>
        </w:rPr>
        <w:t xml:space="preserve">Our </w:t>
      </w:r>
      <w:r w:rsidR="00595953">
        <w:rPr>
          <w:lang w:val="en-GB"/>
        </w:rPr>
        <w:t xml:space="preserve">preliminary investigation into the </w:t>
      </w:r>
      <w:r w:rsidR="00505ECC">
        <w:rPr>
          <w:lang w:val="en-GB"/>
        </w:rPr>
        <w:t>trustworthiness</w:t>
      </w:r>
      <w:r w:rsidR="00595953">
        <w:rPr>
          <w:lang w:val="en-GB"/>
        </w:rPr>
        <w:t xml:space="preserve"> of </w:t>
      </w:r>
      <w:r w:rsidR="00191800">
        <w:rPr>
          <w:lang w:val="en-GB"/>
        </w:rPr>
        <w:t xml:space="preserve">the </w:t>
      </w:r>
      <w:r w:rsidR="00595953">
        <w:rPr>
          <w:lang w:val="en-GB"/>
        </w:rPr>
        <w:t xml:space="preserve">reasons </w:t>
      </w:r>
      <w:r w:rsidR="00191800">
        <w:rPr>
          <w:lang w:val="en-GB"/>
        </w:rPr>
        <w:t xml:space="preserve">given </w:t>
      </w:r>
      <w:r w:rsidR="00595953">
        <w:rPr>
          <w:lang w:val="en-GB"/>
        </w:rPr>
        <w:t>for policy change</w:t>
      </w:r>
      <w:r w:rsidR="00191800">
        <w:rPr>
          <w:lang w:val="en-GB"/>
        </w:rPr>
        <w:t xml:space="preserve"> </w:t>
      </w:r>
      <w:r>
        <w:rPr>
          <w:lang w:val="en-GB"/>
        </w:rPr>
        <w:t xml:space="preserve">suggests </w:t>
      </w:r>
      <w:r w:rsidR="00191800">
        <w:rPr>
          <w:lang w:val="en-GB"/>
        </w:rPr>
        <w:t xml:space="preserve">the possibility of </w:t>
      </w:r>
      <w:r>
        <w:rPr>
          <w:lang w:val="en-GB"/>
        </w:rPr>
        <w:t>further</w:t>
      </w:r>
      <w:r w:rsidR="00595953">
        <w:rPr>
          <w:lang w:val="en-GB"/>
        </w:rPr>
        <w:t xml:space="preserve"> work</w:t>
      </w:r>
      <w:r w:rsidRPr="00D272CC">
        <w:rPr>
          <w:lang w:val="en-GB"/>
        </w:rPr>
        <w:t xml:space="preserve">, </w:t>
      </w:r>
      <w:r w:rsidR="00864781">
        <w:rPr>
          <w:lang w:val="en-GB"/>
        </w:rPr>
        <w:t xml:space="preserve">perhaps involving interviews, </w:t>
      </w:r>
      <w:r w:rsidR="00191800">
        <w:rPr>
          <w:lang w:val="en-GB"/>
        </w:rPr>
        <w:t>on</w:t>
      </w:r>
      <w:r w:rsidRPr="00D272CC">
        <w:rPr>
          <w:lang w:val="en-GB"/>
        </w:rPr>
        <w:t xml:space="preserve"> whether the stated reasons for policy </w:t>
      </w:r>
      <w:r w:rsidR="00191800">
        <w:rPr>
          <w:lang w:val="en-GB"/>
        </w:rPr>
        <w:t xml:space="preserve">changes and other policy </w:t>
      </w:r>
      <w:r w:rsidRPr="00D272CC">
        <w:rPr>
          <w:lang w:val="en-GB"/>
        </w:rPr>
        <w:t>decisions are misleading in any way.</w:t>
      </w:r>
      <w:r>
        <w:rPr>
          <w:lang w:val="en-GB"/>
        </w:rPr>
        <w:t xml:space="preserve"> </w:t>
      </w:r>
      <w:r w:rsidR="002C7279">
        <w:rPr>
          <w:lang w:val="en-GB"/>
        </w:rPr>
        <w:t xml:space="preserve">It would also be useful to investigate what ‘transparency’ is capturing that is not captured by the QCs that are in the </w:t>
      </w:r>
      <w:r w:rsidR="002C7279" w:rsidRPr="000C43F3">
        <w:rPr>
          <w:i/>
          <w:lang w:val="en-GB"/>
        </w:rPr>
        <w:t>Framework</w:t>
      </w:r>
      <w:r w:rsidR="002C7279">
        <w:rPr>
          <w:lang w:val="en-GB"/>
        </w:rPr>
        <w:t xml:space="preserve">. </w:t>
      </w:r>
      <w:r>
        <w:rPr>
          <w:lang w:val="en-GB"/>
        </w:rPr>
        <w:t xml:space="preserve">Other avenues, beyond the scope of research on the conceptual framework, include asking whether policy changes </w:t>
      </w:r>
      <w:r w:rsidR="00864781">
        <w:rPr>
          <w:lang w:val="en-GB"/>
        </w:rPr>
        <w:t>are related to underlying economic events (e.g. poor results), whether the changes are discussed in press releases and analyst conference</w:t>
      </w:r>
      <w:r w:rsidR="00C97849">
        <w:rPr>
          <w:lang w:val="en-GB"/>
        </w:rPr>
        <w:t xml:space="preserve"> calls</w:t>
      </w:r>
      <w:r w:rsidR="00864781">
        <w:rPr>
          <w:lang w:val="en-GB"/>
        </w:rPr>
        <w:t xml:space="preserve">, and whether they matter to analysts or otherwise </w:t>
      </w:r>
      <w:r>
        <w:rPr>
          <w:lang w:val="en-GB"/>
        </w:rPr>
        <w:t>have economic consequences</w:t>
      </w:r>
      <w:r w:rsidR="00864781">
        <w:rPr>
          <w:lang w:val="en-GB"/>
        </w:rPr>
        <w:t>.</w:t>
      </w:r>
    </w:p>
    <w:p w14:paraId="1A6038C8" w14:textId="77777777" w:rsidR="004515FA" w:rsidRPr="004515FA" w:rsidRDefault="00660A01" w:rsidP="004515FA">
      <w:pPr>
        <w:pStyle w:val="Heading1"/>
        <w:pageBreakBefore/>
        <w:rPr>
          <w:lang w:val="en-GB"/>
        </w:rPr>
      </w:pPr>
      <w:r w:rsidRPr="00D272CC">
        <w:rPr>
          <w:lang w:val="en-GB"/>
        </w:rPr>
        <w:t>References</w:t>
      </w:r>
    </w:p>
    <w:p w14:paraId="786F1A9B" w14:textId="77777777" w:rsidR="004515FA" w:rsidRPr="004515FA" w:rsidRDefault="005D3CC2" w:rsidP="00191441">
      <w:pPr>
        <w:pStyle w:val="References"/>
      </w:pPr>
      <w:r w:rsidRPr="004515FA">
        <w:rPr>
          <w:lang w:val="en-GB"/>
        </w:rPr>
        <w:t>AICPA, 197</w:t>
      </w:r>
      <w:r w:rsidR="004515FA" w:rsidRPr="004515FA">
        <w:rPr>
          <w:lang w:val="en-GB"/>
        </w:rPr>
        <w:t>3</w:t>
      </w:r>
      <w:r w:rsidRPr="004515FA">
        <w:rPr>
          <w:lang w:val="en-GB"/>
        </w:rPr>
        <w:t>.</w:t>
      </w:r>
      <w:r w:rsidR="004515FA" w:rsidRPr="004515FA">
        <w:t xml:space="preserve"> </w:t>
      </w:r>
      <w:r w:rsidR="004515FA" w:rsidRPr="004515FA">
        <w:rPr>
          <w:i/>
        </w:rPr>
        <w:t>Objectives of financial statements</w:t>
      </w:r>
      <w:r w:rsidR="004515FA" w:rsidRPr="004515FA">
        <w:t>. Report of the Study Group on the Objectives of Financial Statements. New York, NY: American Institute of Certified Public Accountants.</w:t>
      </w:r>
    </w:p>
    <w:p w14:paraId="595CB739" w14:textId="77777777" w:rsidR="00C37E21" w:rsidRPr="00D272CC" w:rsidRDefault="00C37E21" w:rsidP="00660A01">
      <w:pPr>
        <w:pStyle w:val="References"/>
        <w:rPr>
          <w:lang w:val="en-GB"/>
        </w:rPr>
      </w:pPr>
      <w:r w:rsidRPr="00D272CC">
        <w:rPr>
          <w:lang w:val="en-GB"/>
        </w:rPr>
        <w:t xml:space="preserve">Allen, A. and Ramanna, K., 2013. Towards an understanding of the role of standard setters in standard setting. </w:t>
      </w:r>
      <w:r w:rsidRPr="00D272CC">
        <w:rPr>
          <w:i/>
          <w:lang w:val="en-GB"/>
        </w:rPr>
        <w:t>Journal of Accounting and Economics</w:t>
      </w:r>
      <w:r w:rsidRPr="00D272CC">
        <w:rPr>
          <w:lang w:val="en-GB"/>
        </w:rPr>
        <w:t>, 55 (1), 66–90.</w:t>
      </w:r>
    </w:p>
    <w:p w14:paraId="54EDFCEB" w14:textId="77777777" w:rsidR="00660A01" w:rsidRPr="00D272CC" w:rsidRDefault="00660A01" w:rsidP="00660A01">
      <w:pPr>
        <w:pStyle w:val="References"/>
        <w:rPr>
          <w:lang w:val="en-GB"/>
        </w:rPr>
      </w:pPr>
      <w:r w:rsidRPr="00D272CC">
        <w:rPr>
          <w:lang w:val="en-GB"/>
        </w:rPr>
        <w:t>André, P., Dionysiou, D. and Tsalavoutas, I.</w:t>
      </w:r>
      <w:r w:rsidR="00D669F1" w:rsidRPr="00D272CC">
        <w:rPr>
          <w:lang w:val="en-GB"/>
        </w:rPr>
        <w:t>,</w:t>
      </w:r>
      <w:r w:rsidRPr="00D272CC">
        <w:rPr>
          <w:lang w:val="en-GB"/>
        </w:rPr>
        <w:t xml:space="preserve"> 2012. Mandatory adoption of IFRS by EU listed firms and comparability: determinants and analysts’ forecasts. ESSEC and University of Stirling, Working Paper.</w:t>
      </w:r>
    </w:p>
    <w:p w14:paraId="490C9CD6" w14:textId="77777777" w:rsidR="00DF3905" w:rsidRDefault="00DF3905" w:rsidP="00717E94">
      <w:pPr>
        <w:pStyle w:val="References"/>
        <w:rPr>
          <w:lang w:val="en-GB"/>
        </w:rPr>
      </w:pPr>
      <w:r w:rsidRPr="00951F48">
        <w:t>Ball, R.</w:t>
      </w:r>
      <w:r>
        <w:t>,</w:t>
      </w:r>
      <w:r w:rsidRPr="00951F48">
        <w:t xml:space="preserve"> 2006</w:t>
      </w:r>
      <w:r>
        <w:t xml:space="preserve">. </w:t>
      </w:r>
      <w:r w:rsidRPr="00951F48">
        <w:t>International Financial Reporting Standards (IFRS</w:t>
      </w:r>
      <w:r w:rsidRPr="00D4543A">
        <w:t xml:space="preserve">): </w:t>
      </w:r>
      <w:r>
        <w:t>p</w:t>
      </w:r>
      <w:r w:rsidRPr="00D4543A">
        <w:t xml:space="preserve">ros and </w:t>
      </w:r>
      <w:r>
        <w:t>c</w:t>
      </w:r>
      <w:r w:rsidRPr="00D4543A">
        <w:t xml:space="preserve">ons for </w:t>
      </w:r>
      <w:r>
        <w:t>i</w:t>
      </w:r>
      <w:r w:rsidRPr="00D4543A">
        <w:t>nvestors</w:t>
      </w:r>
      <w:r>
        <w:t>.</w:t>
      </w:r>
      <w:r w:rsidRPr="00951F48">
        <w:t xml:space="preserve"> </w:t>
      </w:r>
      <w:r w:rsidRPr="00951F48">
        <w:rPr>
          <w:i/>
        </w:rPr>
        <w:t>Accounting and Business Research, International Accounting Policy Forum</w:t>
      </w:r>
      <w:r>
        <w:t xml:space="preserve">, </w:t>
      </w:r>
      <w:r w:rsidRPr="00951F48">
        <w:t>36</w:t>
      </w:r>
      <w:r>
        <w:t xml:space="preserve"> (Supplement), </w:t>
      </w:r>
      <w:r>
        <w:rPr>
          <w:lang w:val="en-GB"/>
        </w:rPr>
        <w:t>5–27</w:t>
      </w:r>
      <w:r w:rsidRPr="00951F48">
        <w:t>.</w:t>
      </w:r>
    </w:p>
    <w:p w14:paraId="03E992F1" w14:textId="77777777" w:rsidR="00144656" w:rsidRDefault="00144656" w:rsidP="00717E94">
      <w:pPr>
        <w:pStyle w:val="References"/>
        <w:rPr>
          <w:lang w:val="en-GB"/>
        </w:rPr>
      </w:pPr>
      <w:r w:rsidRPr="00951F48">
        <w:t>Ball, R.</w:t>
      </w:r>
      <w:r>
        <w:rPr>
          <w:lang w:val="en-GB"/>
        </w:rPr>
        <w:t xml:space="preserve"> and Brown, P., 1968</w:t>
      </w:r>
      <w:r w:rsidRPr="00D272CC">
        <w:rPr>
          <w:lang w:val="en-GB"/>
        </w:rPr>
        <w:t xml:space="preserve">. </w:t>
      </w:r>
      <w:r>
        <w:rPr>
          <w:lang w:val="en-GB"/>
        </w:rPr>
        <w:t>An empirical evaluation of accounting income numbers</w:t>
      </w:r>
      <w:r w:rsidRPr="00D272CC">
        <w:rPr>
          <w:lang w:val="en-GB"/>
        </w:rPr>
        <w:t xml:space="preserve">. </w:t>
      </w:r>
      <w:r w:rsidRPr="00D272CC">
        <w:rPr>
          <w:i/>
          <w:lang w:val="en-GB"/>
        </w:rPr>
        <w:t xml:space="preserve">Journal of Accounting </w:t>
      </w:r>
      <w:r>
        <w:rPr>
          <w:i/>
          <w:lang w:val="en-GB"/>
        </w:rPr>
        <w:t>Research</w:t>
      </w:r>
      <w:r w:rsidRPr="00D272CC">
        <w:rPr>
          <w:lang w:val="en-GB"/>
        </w:rPr>
        <w:t xml:space="preserve">, </w:t>
      </w:r>
      <w:r>
        <w:rPr>
          <w:lang w:val="en-GB"/>
        </w:rPr>
        <w:t>6</w:t>
      </w:r>
      <w:r w:rsidRPr="00D272CC">
        <w:rPr>
          <w:lang w:val="en-GB"/>
        </w:rPr>
        <w:t xml:space="preserve"> (</w:t>
      </w:r>
      <w:r>
        <w:rPr>
          <w:lang w:val="en-GB"/>
        </w:rPr>
        <w:t>2), 159–178</w:t>
      </w:r>
      <w:r w:rsidRPr="00D272CC">
        <w:rPr>
          <w:lang w:val="en-GB"/>
        </w:rPr>
        <w:t>.</w:t>
      </w:r>
    </w:p>
    <w:p w14:paraId="32B6C8D2" w14:textId="77777777" w:rsidR="00E514ED" w:rsidRPr="00D272CC" w:rsidRDefault="00E514ED" w:rsidP="00717E94">
      <w:pPr>
        <w:pStyle w:val="References"/>
        <w:rPr>
          <w:rFonts w:eastAsia="Calibri"/>
          <w:lang w:val="en-GB"/>
        </w:rPr>
      </w:pPr>
      <w:r w:rsidRPr="00D272CC">
        <w:rPr>
          <w:lang w:val="en-GB"/>
        </w:rPr>
        <w:t xml:space="preserve">Ball, R., Kothari, S.P. and Robin, A., 2000. The effect of international institutional factors on properties of accounting earnings. </w:t>
      </w:r>
      <w:r w:rsidRPr="00D272CC">
        <w:rPr>
          <w:i/>
          <w:lang w:val="en-GB"/>
        </w:rPr>
        <w:t>Journal of Accounting and Economics</w:t>
      </w:r>
      <w:r w:rsidRPr="00D272CC">
        <w:rPr>
          <w:lang w:val="en-GB"/>
        </w:rPr>
        <w:t>, 29</w:t>
      </w:r>
      <w:r w:rsidR="00717E94" w:rsidRPr="00D272CC">
        <w:rPr>
          <w:lang w:val="en-GB"/>
        </w:rPr>
        <w:t xml:space="preserve"> </w:t>
      </w:r>
      <w:r w:rsidRPr="00D272CC">
        <w:rPr>
          <w:lang w:val="en-GB"/>
        </w:rPr>
        <w:t>(1), 1–51</w:t>
      </w:r>
      <w:r w:rsidRPr="00D272CC">
        <w:rPr>
          <w:color w:val="000000"/>
          <w:lang w:val="en-GB"/>
        </w:rPr>
        <w:t>.</w:t>
      </w:r>
    </w:p>
    <w:p w14:paraId="2942ECA5" w14:textId="77777777" w:rsidR="002B0C2C" w:rsidRDefault="002B0C2C" w:rsidP="00660A01">
      <w:pPr>
        <w:pStyle w:val="References"/>
        <w:rPr>
          <w:lang w:val="en-GB"/>
        </w:rPr>
      </w:pPr>
      <w:r>
        <w:t>Bamber, L.</w:t>
      </w:r>
      <w:r w:rsidRPr="00D5508F">
        <w:t>S., Jiang,</w:t>
      </w:r>
      <w:r>
        <w:t xml:space="preserve"> </w:t>
      </w:r>
      <w:r w:rsidRPr="00D5508F">
        <w:t>J.</w:t>
      </w:r>
      <w:r>
        <w:t>,</w:t>
      </w:r>
      <w:r w:rsidRPr="00D5508F">
        <w:t xml:space="preserve"> </w:t>
      </w:r>
      <w:r>
        <w:t xml:space="preserve">Petroni, K.R. and </w:t>
      </w:r>
      <w:r w:rsidRPr="00D5508F">
        <w:t>Wang</w:t>
      </w:r>
      <w:r>
        <w:t>, I.Y.,</w:t>
      </w:r>
      <w:r w:rsidRPr="00D5508F">
        <w:t xml:space="preserve"> 2010</w:t>
      </w:r>
      <w:r>
        <w:t>. Comprehensive income: who’s afraid of performance r</w:t>
      </w:r>
      <w:r w:rsidRPr="005D36C7">
        <w:t>eporting</w:t>
      </w:r>
      <w:r w:rsidRPr="00D5508F">
        <w:t xml:space="preserve">? </w:t>
      </w:r>
      <w:r w:rsidRPr="00D5508F">
        <w:rPr>
          <w:i/>
          <w:iCs/>
        </w:rPr>
        <w:t>Accounting Review</w:t>
      </w:r>
      <w:r>
        <w:t xml:space="preserve">, </w:t>
      </w:r>
      <w:r w:rsidRPr="00D5508F">
        <w:t>85</w:t>
      </w:r>
      <w:r>
        <w:t xml:space="preserve"> (</w:t>
      </w:r>
      <w:r w:rsidRPr="00D5508F">
        <w:t>1</w:t>
      </w:r>
      <w:r>
        <w:t xml:space="preserve">), </w:t>
      </w:r>
      <w:r w:rsidR="002459AE" w:rsidRPr="00D5508F">
        <w:t>97</w:t>
      </w:r>
      <w:r w:rsidR="002459AE" w:rsidRPr="00D272CC">
        <w:rPr>
          <w:lang w:val="en-GB"/>
        </w:rPr>
        <w:t>–</w:t>
      </w:r>
      <w:r w:rsidR="002459AE" w:rsidRPr="00D5508F">
        <w:t>126</w:t>
      </w:r>
      <w:r w:rsidRPr="00D5508F">
        <w:t>.</w:t>
      </w:r>
    </w:p>
    <w:p w14:paraId="077D2CF1" w14:textId="77777777" w:rsidR="00660A01" w:rsidRPr="00D272CC" w:rsidRDefault="00660A01" w:rsidP="00660A01">
      <w:pPr>
        <w:pStyle w:val="References"/>
        <w:rPr>
          <w:lang w:val="en-GB"/>
        </w:rPr>
      </w:pPr>
      <w:r w:rsidRPr="00D272CC">
        <w:rPr>
          <w:lang w:val="en-GB"/>
        </w:rPr>
        <w:t>Barth, M.E., Beaver, W.H. and Landsman, W.R.</w:t>
      </w:r>
      <w:r w:rsidR="00D669F1" w:rsidRPr="00D272CC">
        <w:rPr>
          <w:lang w:val="en-GB"/>
        </w:rPr>
        <w:t>,</w:t>
      </w:r>
      <w:r w:rsidRPr="00D272CC">
        <w:rPr>
          <w:lang w:val="en-GB"/>
        </w:rPr>
        <w:t xml:space="preserve"> 2001. The relevance of the value relevance literature for financial accounting standard setting: another view. </w:t>
      </w:r>
      <w:r w:rsidRPr="00D272CC">
        <w:rPr>
          <w:i/>
          <w:lang w:val="en-GB"/>
        </w:rPr>
        <w:t>Journal of Accounting and Economics</w:t>
      </w:r>
      <w:r w:rsidRPr="00D272CC">
        <w:rPr>
          <w:lang w:val="en-GB"/>
        </w:rPr>
        <w:t>, 31</w:t>
      </w:r>
      <w:r w:rsidR="00D669F1" w:rsidRPr="00D272CC">
        <w:rPr>
          <w:i/>
          <w:lang w:val="en-GB"/>
        </w:rPr>
        <w:t xml:space="preserve"> </w:t>
      </w:r>
      <w:r w:rsidRPr="00D272CC">
        <w:rPr>
          <w:lang w:val="en-GB"/>
        </w:rPr>
        <w:t>(1</w:t>
      </w:r>
      <w:r w:rsidR="00E56E7F" w:rsidRPr="00D272CC">
        <w:rPr>
          <w:lang w:val="en-GB"/>
        </w:rPr>
        <w:t>–</w:t>
      </w:r>
      <w:r w:rsidRPr="00D272CC">
        <w:rPr>
          <w:lang w:val="en-GB"/>
        </w:rPr>
        <w:t>3), 77</w:t>
      </w:r>
      <w:r w:rsidR="00E56E7F" w:rsidRPr="00D272CC">
        <w:rPr>
          <w:lang w:val="en-GB"/>
        </w:rPr>
        <w:t>–</w:t>
      </w:r>
      <w:r w:rsidRPr="00D272CC">
        <w:rPr>
          <w:lang w:val="en-GB"/>
        </w:rPr>
        <w:t>104.</w:t>
      </w:r>
    </w:p>
    <w:p w14:paraId="6831D976" w14:textId="77777777" w:rsidR="00660A01" w:rsidRDefault="00660A01" w:rsidP="00660A01">
      <w:pPr>
        <w:pStyle w:val="References"/>
        <w:rPr>
          <w:lang w:val="en-GB"/>
        </w:rPr>
      </w:pPr>
      <w:r w:rsidRPr="00D272CC">
        <w:rPr>
          <w:lang w:val="en-GB"/>
        </w:rPr>
        <w:t>Barth, M.E., Konchitchki, Y. and Landsman, W.R.</w:t>
      </w:r>
      <w:r w:rsidR="00D669F1" w:rsidRPr="00D272CC">
        <w:rPr>
          <w:lang w:val="en-GB"/>
        </w:rPr>
        <w:t>,</w:t>
      </w:r>
      <w:r w:rsidRPr="00D272CC">
        <w:rPr>
          <w:lang w:val="en-GB"/>
        </w:rPr>
        <w:t xml:space="preserve"> 2013. Cost of capital and earnings transparency. </w:t>
      </w:r>
      <w:r w:rsidRPr="00D272CC">
        <w:rPr>
          <w:i/>
          <w:lang w:val="en-GB"/>
        </w:rPr>
        <w:t>Journal of Accounting and Economics</w:t>
      </w:r>
      <w:r w:rsidRPr="00D272CC">
        <w:rPr>
          <w:lang w:val="en-GB"/>
        </w:rPr>
        <w:t>, 55</w:t>
      </w:r>
      <w:r w:rsidR="00D669F1" w:rsidRPr="00D272CC">
        <w:rPr>
          <w:i/>
          <w:lang w:val="en-GB"/>
        </w:rPr>
        <w:t xml:space="preserve"> </w:t>
      </w:r>
      <w:r w:rsidRPr="00D272CC">
        <w:rPr>
          <w:lang w:val="en-GB"/>
        </w:rPr>
        <w:t>(2</w:t>
      </w:r>
      <w:r w:rsidR="00E56E7F" w:rsidRPr="00D272CC">
        <w:rPr>
          <w:lang w:val="en-GB"/>
        </w:rPr>
        <w:t>–</w:t>
      </w:r>
      <w:r w:rsidRPr="00D272CC">
        <w:rPr>
          <w:lang w:val="en-GB"/>
        </w:rPr>
        <w:t>3), 206</w:t>
      </w:r>
      <w:r w:rsidR="00E56E7F" w:rsidRPr="00D272CC">
        <w:rPr>
          <w:lang w:val="en-GB"/>
        </w:rPr>
        <w:t>–</w:t>
      </w:r>
      <w:r w:rsidRPr="00D272CC">
        <w:rPr>
          <w:lang w:val="en-GB"/>
        </w:rPr>
        <w:t>224.</w:t>
      </w:r>
    </w:p>
    <w:p w14:paraId="5B7081BF" w14:textId="77777777" w:rsidR="001B2E94" w:rsidRDefault="001B2E94" w:rsidP="001B2E94">
      <w:pPr>
        <w:pStyle w:val="References"/>
        <w:rPr>
          <w:lang w:val="en-GB"/>
        </w:rPr>
      </w:pPr>
      <w:r w:rsidRPr="00D272CC">
        <w:rPr>
          <w:lang w:val="en-GB"/>
        </w:rPr>
        <w:t xml:space="preserve">Barth, M.E. and Schipper, K., 2008. Financial reporting transparency. </w:t>
      </w:r>
      <w:r w:rsidRPr="00D272CC">
        <w:rPr>
          <w:i/>
          <w:lang w:val="en-GB"/>
        </w:rPr>
        <w:t>Journal of Accounting, Auditing &amp; Finance</w:t>
      </w:r>
      <w:r w:rsidRPr="00D272CC">
        <w:rPr>
          <w:lang w:val="en-GB"/>
        </w:rPr>
        <w:t>, 23</w:t>
      </w:r>
      <w:r w:rsidRPr="00D272CC">
        <w:rPr>
          <w:i/>
          <w:lang w:val="en-GB"/>
        </w:rPr>
        <w:t xml:space="preserve"> </w:t>
      </w:r>
      <w:r w:rsidRPr="00D272CC">
        <w:rPr>
          <w:lang w:val="en-GB"/>
        </w:rPr>
        <w:t>(2), 173–190.</w:t>
      </w:r>
    </w:p>
    <w:p w14:paraId="062E5C39" w14:textId="77777777" w:rsidR="008B54D9" w:rsidRPr="00D272CC" w:rsidRDefault="008B54D9" w:rsidP="001B2E94">
      <w:pPr>
        <w:pStyle w:val="References"/>
        <w:rPr>
          <w:lang w:val="en-GB"/>
        </w:rPr>
      </w:pPr>
      <w:r>
        <w:rPr>
          <w:lang w:val="en-GB"/>
        </w:rPr>
        <w:t>Baskerville, R.F</w:t>
      </w:r>
      <w:r w:rsidR="00D352FA">
        <w:rPr>
          <w:lang w:val="en-GB"/>
        </w:rPr>
        <w:t>.</w:t>
      </w:r>
      <w:r>
        <w:rPr>
          <w:lang w:val="en-GB"/>
        </w:rPr>
        <w:t xml:space="preserve">, 2003. Hofstede never studied culture. </w:t>
      </w:r>
      <w:r w:rsidRPr="008E4A3B">
        <w:rPr>
          <w:i/>
          <w:lang w:val="en-GB"/>
        </w:rPr>
        <w:t>Accounting, Organizations and Society</w:t>
      </w:r>
      <w:r>
        <w:rPr>
          <w:lang w:val="en-GB"/>
        </w:rPr>
        <w:t>, 28 (1), 1</w:t>
      </w:r>
      <w:r w:rsidR="00EE40FC" w:rsidRPr="00D272CC">
        <w:rPr>
          <w:lang w:val="en-GB"/>
        </w:rPr>
        <w:t>–</w:t>
      </w:r>
      <w:r>
        <w:rPr>
          <w:lang w:val="en-GB"/>
        </w:rPr>
        <w:t>14.</w:t>
      </w:r>
    </w:p>
    <w:p w14:paraId="3B94B666" w14:textId="77777777" w:rsidR="00660A01" w:rsidRDefault="00660A01" w:rsidP="00660A01">
      <w:pPr>
        <w:pStyle w:val="References"/>
        <w:rPr>
          <w:lang w:val="en-GB"/>
        </w:rPr>
      </w:pPr>
      <w:r w:rsidRPr="00D272CC">
        <w:rPr>
          <w:lang w:val="en-GB"/>
        </w:rPr>
        <w:t>Basu, S.</w:t>
      </w:r>
      <w:r w:rsidR="00D669F1" w:rsidRPr="00D272CC">
        <w:rPr>
          <w:lang w:val="en-GB"/>
        </w:rPr>
        <w:t>,</w:t>
      </w:r>
      <w:r w:rsidRPr="00D272CC">
        <w:rPr>
          <w:lang w:val="en-GB"/>
        </w:rPr>
        <w:t xml:space="preserve"> 1997. The conservatism principle and the asymmetric timeliness of earnings. </w:t>
      </w:r>
      <w:r w:rsidRPr="00D272CC">
        <w:rPr>
          <w:i/>
          <w:lang w:val="en-GB"/>
        </w:rPr>
        <w:t>Journal of Accounting and Economics</w:t>
      </w:r>
      <w:r w:rsidRPr="00D272CC">
        <w:rPr>
          <w:lang w:val="en-GB"/>
        </w:rPr>
        <w:t>, 24</w:t>
      </w:r>
      <w:r w:rsidR="00D669F1" w:rsidRPr="00D272CC">
        <w:rPr>
          <w:i/>
          <w:lang w:val="en-GB"/>
        </w:rPr>
        <w:t xml:space="preserve"> </w:t>
      </w:r>
      <w:r w:rsidRPr="00D272CC">
        <w:rPr>
          <w:lang w:val="en-GB"/>
        </w:rPr>
        <w:t>(1), 3</w:t>
      </w:r>
      <w:r w:rsidR="00E56E7F" w:rsidRPr="00D272CC">
        <w:rPr>
          <w:lang w:val="en-GB"/>
        </w:rPr>
        <w:t>–</w:t>
      </w:r>
      <w:r w:rsidRPr="00D272CC">
        <w:rPr>
          <w:lang w:val="en-GB"/>
        </w:rPr>
        <w:t>37.</w:t>
      </w:r>
    </w:p>
    <w:p w14:paraId="532629AA" w14:textId="77777777" w:rsidR="00267C54" w:rsidRPr="00D272CC" w:rsidRDefault="00267C54" w:rsidP="00660A01">
      <w:pPr>
        <w:pStyle w:val="References"/>
        <w:rPr>
          <w:lang w:val="en-GB"/>
        </w:rPr>
      </w:pPr>
      <w:r>
        <w:rPr>
          <w:lang w:val="en-GB"/>
        </w:rPr>
        <w:t xml:space="preserve">Braun, G.P. and Rodriguez, R.P., 2008. Earnings management and accounting values: a test of Gray (1988). </w:t>
      </w:r>
      <w:r w:rsidR="005A7B11" w:rsidRPr="007A50EF">
        <w:rPr>
          <w:i/>
          <w:lang w:val="en-GB"/>
        </w:rPr>
        <w:t>Journal of International Accounting Research</w:t>
      </w:r>
      <w:r>
        <w:rPr>
          <w:lang w:val="en-GB"/>
        </w:rPr>
        <w:t>, 7 (2), 1</w:t>
      </w:r>
      <w:r w:rsidR="00746FA0">
        <w:rPr>
          <w:lang w:val="en-GB"/>
        </w:rPr>
        <w:t>–</w:t>
      </w:r>
      <w:r>
        <w:rPr>
          <w:lang w:val="en-GB"/>
        </w:rPr>
        <w:t>23.</w:t>
      </w:r>
    </w:p>
    <w:p w14:paraId="7A194AF3" w14:textId="77777777" w:rsidR="00C961A4" w:rsidRDefault="00C961A4" w:rsidP="00660A01">
      <w:pPr>
        <w:pStyle w:val="References"/>
        <w:rPr>
          <w:rFonts w:eastAsia="Calibri"/>
          <w:szCs w:val="22"/>
          <w:lang w:val="en-GB" w:eastAsia="en-US"/>
        </w:rPr>
      </w:pPr>
      <w:r w:rsidRPr="00D272CC">
        <w:rPr>
          <w:lang w:val="en-GB"/>
        </w:rPr>
        <w:t>B</w:t>
      </w:r>
      <w:r>
        <w:rPr>
          <w:lang w:val="en-GB"/>
        </w:rPr>
        <w:t>rown, P.</w:t>
      </w:r>
      <w:r w:rsidRPr="00D272CC">
        <w:rPr>
          <w:lang w:val="en-GB"/>
        </w:rPr>
        <w:t xml:space="preserve">, </w:t>
      </w:r>
      <w:r>
        <w:rPr>
          <w:lang w:val="en-GB"/>
        </w:rPr>
        <w:t>Preiato, J. and Tarca, A.</w:t>
      </w:r>
      <w:r w:rsidRPr="00D272CC">
        <w:rPr>
          <w:lang w:val="en-GB"/>
        </w:rPr>
        <w:t>,</w:t>
      </w:r>
      <w:r>
        <w:rPr>
          <w:lang w:val="en-GB"/>
        </w:rPr>
        <w:t xml:space="preserve"> 2014</w:t>
      </w:r>
      <w:r w:rsidRPr="00D272CC">
        <w:rPr>
          <w:lang w:val="en-GB"/>
        </w:rPr>
        <w:t xml:space="preserve">. </w:t>
      </w:r>
      <w:r>
        <w:rPr>
          <w:lang w:val="en-GB"/>
        </w:rPr>
        <w:t>Measuring country differences in enforcement of accounting standards: an audit and enforcement proxy</w:t>
      </w:r>
      <w:r w:rsidRPr="00D272CC">
        <w:rPr>
          <w:lang w:val="en-GB"/>
        </w:rPr>
        <w:t xml:space="preserve">. </w:t>
      </w:r>
      <w:r w:rsidRPr="00D272CC">
        <w:rPr>
          <w:i/>
          <w:lang w:val="en-GB"/>
        </w:rPr>
        <w:t xml:space="preserve">Journal of </w:t>
      </w:r>
      <w:r>
        <w:rPr>
          <w:i/>
          <w:lang w:val="en-GB"/>
        </w:rPr>
        <w:t>Business Finance &amp; Accounting</w:t>
      </w:r>
      <w:r>
        <w:rPr>
          <w:lang w:val="en-GB"/>
        </w:rPr>
        <w:t>, 41</w:t>
      </w:r>
      <w:r w:rsidRPr="00D272CC">
        <w:rPr>
          <w:i/>
          <w:lang w:val="en-GB"/>
        </w:rPr>
        <w:t xml:space="preserve"> </w:t>
      </w:r>
      <w:r>
        <w:rPr>
          <w:lang w:val="en-GB"/>
        </w:rPr>
        <w:t>(1</w:t>
      </w:r>
      <w:r w:rsidRPr="00D272CC">
        <w:rPr>
          <w:lang w:val="en-GB"/>
        </w:rPr>
        <w:t>–</w:t>
      </w:r>
      <w:r>
        <w:rPr>
          <w:lang w:val="en-GB"/>
        </w:rPr>
        <w:t>2), 1</w:t>
      </w:r>
      <w:r w:rsidRPr="00D272CC">
        <w:rPr>
          <w:lang w:val="en-GB"/>
        </w:rPr>
        <w:t>–</w:t>
      </w:r>
      <w:r>
        <w:rPr>
          <w:lang w:val="en-GB"/>
        </w:rPr>
        <w:t>52</w:t>
      </w:r>
      <w:r w:rsidRPr="00D272CC">
        <w:rPr>
          <w:lang w:val="en-GB"/>
        </w:rPr>
        <w:t>.</w:t>
      </w:r>
    </w:p>
    <w:p w14:paraId="375D5792" w14:textId="77777777" w:rsidR="006E5C0E" w:rsidRDefault="006E5C0E" w:rsidP="00660A01">
      <w:pPr>
        <w:pStyle w:val="References"/>
        <w:rPr>
          <w:rFonts w:eastAsia="Calibri"/>
          <w:szCs w:val="22"/>
          <w:lang w:val="en-GB" w:eastAsia="en-US"/>
        </w:rPr>
      </w:pPr>
      <w:r w:rsidRPr="00D272CC">
        <w:rPr>
          <w:rFonts w:eastAsia="Calibri"/>
          <w:szCs w:val="22"/>
          <w:lang w:val="en-GB" w:eastAsia="en-US"/>
        </w:rPr>
        <w:t xml:space="preserve">Cairns, D., Massoudi, D., Taplin, R. and Tarca, A., 2011. IFRS fair value measurement and accounting policy choice in the United Kingdom and Australia. </w:t>
      </w:r>
      <w:r w:rsidRPr="00D272CC">
        <w:rPr>
          <w:rFonts w:eastAsia="Calibri"/>
          <w:i/>
          <w:szCs w:val="22"/>
          <w:lang w:val="en-GB" w:eastAsia="en-US"/>
        </w:rPr>
        <w:t>British Accounting Review</w:t>
      </w:r>
      <w:r w:rsidRPr="00D272CC">
        <w:rPr>
          <w:rFonts w:eastAsia="Calibri"/>
          <w:szCs w:val="22"/>
          <w:lang w:val="en-GB" w:eastAsia="en-US"/>
        </w:rPr>
        <w:t>, 43 (1), 1–21.</w:t>
      </w:r>
    </w:p>
    <w:p w14:paraId="12F5494B" w14:textId="77777777" w:rsidR="00150305" w:rsidRPr="009D312A" w:rsidRDefault="00150305" w:rsidP="00150305">
      <w:pPr>
        <w:pStyle w:val="References"/>
        <w:rPr>
          <w:lang w:val="en-GB"/>
        </w:rPr>
      </w:pPr>
      <w:r>
        <w:rPr>
          <w:rFonts w:eastAsia="Calibri"/>
          <w:szCs w:val="22"/>
          <w:lang w:val="en-GB" w:eastAsia="en-US"/>
        </w:rPr>
        <w:t xml:space="preserve">Canning, </w:t>
      </w:r>
      <w:r w:rsidR="00E73F48">
        <w:rPr>
          <w:rFonts w:eastAsia="Calibri"/>
          <w:szCs w:val="22"/>
          <w:lang w:val="en-GB" w:eastAsia="en-US"/>
        </w:rPr>
        <w:t>J</w:t>
      </w:r>
      <w:r>
        <w:rPr>
          <w:rFonts w:eastAsia="Calibri"/>
          <w:szCs w:val="22"/>
          <w:lang w:val="en-GB" w:eastAsia="en-US"/>
        </w:rPr>
        <w:t>.</w:t>
      </w:r>
      <w:r w:rsidR="00E73F48">
        <w:rPr>
          <w:rFonts w:eastAsia="Calibri"/>
          <w:szCs w:val="22"/>
          <w:lang w:val="en-GB" w:eastAsia="en-US"/>
        </w:rPr>
        <w:t>B.</w:t>
      </w:r>
      <w:r w:rsidR="00847FDA">
        <w:rPr>
          <w:rFonts w:eastAsia="Calibri"/>
          <w:szCs w:val="22"/>
          <w:lang w:val="en-GB" w:eastAsia="en-US"/>
        </w:rPr>
        <w:t>,</w:t>
      </w:r>
      <w:r>
        <w:rPr>
          <w:rFonts w:eastAsia="Calibri"/>
          <w:szCs w:val="22"/>
          <w:lang w:val="en-GB" w:eastAsia="en-US"/>
        </w:rPr>
        <w:t xml:space="preserve"> 1929</w:t>
      </w:r>
      <w:r w:rsidR="00746FA0">
        <w:rPr>
          <w:rFonts w:eastAsia="Calibri"/>
          <w:szCs w:val="22"/>
          <w:lang w:val="en-GB" w:eastAsia="en-US"/>
        </w:rPr>
        <w:t>.</w:t>
      </w:r>
      <w:r>
        <w:rPr>
          <w:rFonts w:eastAsia="Calibri"/>
          <w:szCs w:val="22"/>
          <w:lang w:val="en-GB" w:eastAsia="en-US"/>
        </w:rPr>
        <w:t xml:space="preserve"> </w:t>
      </w:r>
      <w:r w:rsidR="00400FB4" w:rsidRPr="009D312A">
        <w:rPr>
          <w:rFonts w:eastAsia="Calibri"/>
          <w:i/>
          <w:szCs w:val="22"/>
          <w:lang w:val="en-GB" w:eastAsia="en-US"/>
        </w:rPr>
        <w:t>The economics of account</w:t>
      </w:r>
      <w:r w:rsidR="00B27B6E">
        <w:rPr>
          <w:rFonts w:eastAsia="Calibri"/>
          <w:i/>
          <w:szCs w:val="22"/>
          <w:lang w:val="en-GB" w:eastAsia="en-US"/>
        </w:rPr>
        <w:t>ancy: a critical analysis of accounting theory</w:t>
      </w:r>
      <w:r>
        <w:rPr>
          <w:rFonts w:eastAsia="Calibri"/>
          <w:szCs w:val="22"/>
          <w:lang w:val="en-GB" w:eastAsia="en-US"/>
        </w:rPr>
        <w:t xml:space="preserve">. </w:t>
      </w:r>
      <w:r>
        <w:rPr>
          <w:lang w:val="en-GB"/>
        </w:rPr>
        <w:t>New York</w:t>
      </w:r>
      <w:r w:rsidR="00746FA0">
        <w:rPr>
          <w:lang w:val="en-GB"/>
        </w:rPr>
        <w:t>, NY</w:t>
      </w:r>
      <w:r>
        <w:rPr>
          <w:lang w:val="en-GB"/>
        </w:rPr>
        <w:t>: Ronald Press.</w:t>
      </w:r>
    </w:p>
    <w:p w14:paraId="67098023" w14:textId="77777777" w:rsidR="005A31BB" w:rsidRPr="00386416" w:rsidRDefault="009506ED" w:rsidP="00717E94">
      <w:pPr>
        <w:pStyle w:val="References"/>
        <w:rPr>
          <w:lang w:val="en-GB"/>
        </w:rPr>
      </w:pPr>
      <w:r w:rsidRPr="00D272CC">
        <w:rPr>
          <w:lang w:val="en-GB"/>
        </w:rPr>
        <w:t>Christensen, H.B.</w:t>
      </w:r>
      <w:r w:rsidR="005A31BB" w:rsidRPr="00D272CC">
        <w:rPr>
          <w:lang w:val="en-GB"/>
        </w:rPr>
        <w:t xml:space="preserve"> and</w:t>
      </w:r>
      <w:r w:rsidRPr="00D272CC">
        <w:rPr>
          <w:lang w:val="en-GB"/>
        </w:rPr>
        <w:t xml:space="preserve"> Nikolaev, </w:t>
      </w:r>
      <w:r w:rsidR="005A31BB" w:rsidRPr="00D272CC">
        <w:rPr>
          <w:lang w:val="en-GB"/>
        </w:rPr>
        <w:t xml:space="preserve">V.V., 2013. Does fair value accounting for non-financial assets pass the market test? </w:t>
      </w:r>
      <w:r w:rsidR="005A31BB" w:rsidRPr="00D272CC">
        <w:rPr>
          <w:i/>
          <w:lang w:val="en-GB"/>
        </w:rPr>
        <w:t>Review of Accounting Studies</w:t>
      </w:r>
      <w:r w:rsidR="005A31BB" w:rsidRPr="00D272CC">
        <w:rPr>
          <w:lang w:val="en-GB"/>
        </w:rPr>
        <w:t>, 18</w:t>
      </w:r>
      <w:r w:rsidR="00717E94" w:rsidRPr="00D272CC">
        <w:rPr>
          <w:lang w:val="en-GB"/>
        </w:rPr>
        <w:t xml:space="preserve"> </w:t>
      </w:r>
      <w:r w:rsidR="005A31BB" w:rsidRPr="00D272CC">
        <w:rPr>
          <w:lang w:val="en-GB"/>
        </w:rPr>
        <w:t>(3), 734–775</w:t>
      </w:r>
      <w:r w:rsidR="005A31BB" w:rsidRPr="00386416">
        <w:rPr>
          <w:lang w:val="en-GB"/>
        </w:rPr>
        <w:t>.</w:t>
      </w:r>
    </w:p>
    <w:p w14:paraId="728599E6" w14:textId="77777777" w:rsidR="00660A01" w:rsidRPr="00150305" w:rsidRDefault="00660A01" w:rsidP="00150305">
      <w:pPr>
        <w:pStyle w:val="References"/>
        <w:rPr>
          <w:lang w:val="en-GB"/>
        </w:rPr>
      </w:pPr>
      <w:r w:rsidRPr="00D272CC">
        <w:rPr>
          <w:rFonts w:eastAsia="Calibri"/>
          <w:szCs w:val="22"/>
          <w:lang w:val="en-GB" w:eastAsia="en-US"/>
        </w:rPr>
        <w:t>De Franco</w:t>
      </w:r>
      <w:r w:rsidRPr="00D272CC">
        <w:rPr>
          <w:rFonts w:eastAsia="Calibri"/>
          <w:iCs/>
          <w:szCs w:val="22"/>
          <w:lang w:val="en-GB" w:eastAsia="en-US"/>
        </w:rPr>
        <w:t xml:space="preserve">, G., </w:t>
      </w:r>
      <w:r w:rsidRPr="00D272CC">
        <w:rPr>
          <w:rFonts w:eastAsia="Calibri"/>
          <w:szCs w:val="22"/>
          <w:lang w:val="en-GB" w:eastAsia="en-US"/>
        </w:rPr>
        <w:t xml:space="preserve">Kothari, </w:t>
      </w:r>
      <w:r w:rsidRPr="00D272CC">
        <w:rPr>
          <w:rFonts w:eastAsia="Calibri"/>
          <w:iCs/>
          <w:szCs w:val="22"/>
          <w:lang w:val="en-GB" w:eastAsia="en-US"/>
        </w:rPr>
        <w:t xml:space="preserve">S.P. and </w:t>
      </w:r>
      <w:r w:rsidRPr="00D272CC">
        <w:rPr>
          <w:rFonts w:eastAsia="Calibri"/>
          <w:szCs w:val="22"/>
          <w:lang w:val="en-GB" w:eastAsia="en-US"/>
        </w:rPr>
        <w:t xml:space="preserve">Verdi, </w:t>
      </w:r>
      <w:r w:rsidRPr="00D272CC">
        <w:rPr>
          <w:rFonts w:eastAsia="Calibri"/>
          <w:iCs/>
          <w:szCs w:val="22"/>
          <w:lang w:val="en-GB" w:eastAsia="en-US"/>
        </w:rPr>
        <w:t>R.S.</w:t>
      </w:r>
      <w:r w:rsidR="00D669F1" w:rsidRPr="00D272CC">
        <w:rPr>
          <w:rFonts w:eastAsia="Calibri"/>
          <w:iCs/>
          <w:szCs w:val="22"/>
          <w:lang w:val="en-GB" w:eastAsia="en-US"/>
        </w:rPr>
        <w:t>,</w:t>
      </w:r>
      <w:r w:rsidRPr="00D272CC">
        <w:rPr>
          <w:rFonts w:eastAsia="Calibri"/>
          <w:iCs/>
          <w:szCs w:val="22"/>
          <w:lang w:val="en-GB" w:eastAsia="en-US"/>
        </w:rPr>
        <w:t xml:space="preserve"> </w:t>
      </w:r>
      <w:r w:rsidRPr="00D272CC">
        <w:rPr>
          <w:iCs/>
          <w:lang w:val="en-GB"/>
        </w:rPr>
        <w:t xml:space="preserve">2011. The benefits of financial statement comparability. </w:t>
      </w:r>
      <w:r w:rsidRPr="00D272CC">
        <w:rPr>
          <w:i/>
          <w:iCs/>
          <w:lang w:val="en-GB"/>
        </w:rPr>
        <w:t>Journal of Accounting Research</w:t>
      </w:r>
      <w:r w:rsidRPr="00D272CC">
        <w:rPr>
          <w:iCs/>
          <w:lang w:val="en-GB"/>
        </w:rPr>
        <w:t>, 49</w:t>
      </w:r>
      <w:r w:rsidR="00D669F1" w:rsidRPr="00D272CC">
        <w:rPr>
          <w:i/>
          <w:iCs/>
          <w:lang w:val="en-GB"/>
        </w:rPr>
        <w:t xml:space="preserve"> </w:t>
      </w:r>
      <w:r w:rsidRPr="00D272CC">
        <w:rPr>
          <w:iCs/>
          <w:lang w:val="en-GB"/>
        </w:rPr>
        <w:t>(4), 895</w:t>
      </w:r>
      <w:r w:rsidR="00E56E7F" w:rsidRPr="00D272CC">
        <w:rPr>
          <w:lang w:val="en-GB"/>
        </w:rPr>
        <w:t>–</w:t>
      </w:r>
      <w:r w:rsidRPr="00D272CC">
        <w:rPr>
          <w:iCs/>
          <w:lang w:val="en-GB"/>
        </w:rPr>
        <w:t>931.</w:t>
      </w:r>
    </w:p>
    <w:p w14:paraId="0A6E0EEF" w14:textId="77777777" w:rsidR="00EE2913" w:rsidRPr="00D272CC" w:rsidRDefault="00EE2913" w:rsidP="00660A01">
      <w:pPr>
        <w:pStyle w:val="References"/>
        <w:rPr>
          <w:iCs/>
          <w:lang w:val="en-GB"/>
        </w:rPr>
      </w:pPr>
      <w:r>
        <w:rPr>
          <w:lang w:val="en-GB"/>
        </w:rPr>
        <w:t>Dechow, P.</w:t>
      </w:r>
      <w:r w:rsidRPr="00D272CC">
        <w:rPr>
          <w:lang w:val="en-GB"/>
        </w:rPr>
        <w:t xml:space="preserve">, </w:t>
      </w:r>
      <w:r>
        <w:rPr>
          <w:lang w:val="en-GB"/>
        </w:rPr>
        <w:t>Ge, W.</w:t>
      </w:r>
      <w:r w:rsidRPr="00D272CC">
        <w:rPr>
          <w:lang w:val="en-GB"/>
        </w:rPr>
        <w:t xml:space="preserve"> and </w:t>
      </w:r>
      <w:r>
        <w:rPr>
          <w:lang w:val="en-GB"/>
        </w:rPr>
        <w:t>Schrand, C</w:t>
      </w:r>
      <w:r w:rsidRPr="00D272CC">
        <w:rPr>
          <w:lang w:val="en-GB"/>
        </w:rPr>
        <w:t>.,</w:t>
      </w:r>
      <w:r>
        <w:rPr>
          <w:lang w:val="en-GB"/>
        </w:rPr>
        <w:t xml:space="preserve"> 20</w:t>
      </w:r>
      <w:r w:rsidRPr="00D272CC">
        <w:rPr>
          <w:lang w:val="en-GB"/>
        </w:rPr>
        <w:t>1</w:t>
      </w:r>
      <w:r>
        <w:rPr>
          <w:lang w:val="en-GB"/>
        </w:rPr>
        <w:t>0</w:t>
      </w:r>
      <w:r w:rsidRPr="00D272CC">
        <w:rPr>
          <w:lang w:val="en-GB"/>
        </w:rPr>
        <w:t xml:space="preserve">. </w:t>
      </w:r>
      <w:r>
        <w:rPr>
          <w:lang w:val="en-GB"/>
        </w:rPr>
        <w:t>Understanding earnings quality: a review of the proxies, their determinants and their consequences</w:t>
      </w:r>
      <w:r w:rsidRPr="00D272CC">
        <w:rPr>
          <w:lang w:val="en-GB"/>
        </w:rPr>
        <w:t xml:space="preserve">. </w:t>
      </w:r>
      <w:r w:rsidRPr="00D272CC">
        <w:rPr>
          <w:i/>
          <w:lang w:val="en-GB"/>
        </w:rPr>
        <w:t>Journal of Accounting and Economics</w:t>
      </w:r>
      <w:r>
        <w:rPr>
          <w:lang w:val="en-GB"/>
        </w:rPr>
        <w:t>, 50</w:t>
      </w:r>
      <w:r w:rsidRPr="00D272CC">
        <w:rPr>
          <w:i/>
          <w:lang w:val="en-GB"/>
        </w:rPr>
        <w:t xml:space="preserve"> </w:t>
      </w:r>
      <w:r>
        <w:rPr>
          <w:lang w:val="en-GB"/>
        </w:rPr>
        <w:t>(2</w:t>
      </w:r>
      <w:r w:rsidRPr="00D272CC">
        <w:rPr>
          <w:lang w:val="en-GB"/>
        </w:rPr>
        <w:t>–</w:t>
      </w:r>
      <w:r>
        <w:rPr>
          <w:lang w:val="en-GB"/>
        </w:rPr>
        <w:t>3), 344</w:t>
      </w:r>
      <w:r w:rsidRPr="00D272CC">
        <w:rPr>
          <w:lang w:val="en-GB"/>
        </w:rPr>
        <w:t>–</w:t>
      </w:r>
      <w:r>
        <w:rPr>
          <w:lang w:val="en-GB"/>
        </w:rPr>
        <w:t>401</w:t>
      </w:r>
      <w:r w:rsidRPr="00D272CC">
        <w:rPr>
          <w:lang w:val="en-GB"/>
        </w:rPr>
        <w:t>.</w:t>
      </w:r>
    </w:p>
    <w:p w14:paraId="3B3F9C66" w14:textId="77777777" w:rsidR="00546AF4" w:rsidRDefault="00546AF4" w:rsidP="00546AF4">
      <w:pPr>
        <w:pStyle w:val="References"/>
        <w:rPr>
          <w:lang w:val="en-GB"/>
        </w:rPr>
      </w:pPr>
      <w:r w:rsidRPr="00D272CC">
        <w:rPr>
          <w:iCs/>
          <w:lang w:val="en-GB"/>
        </w:rPr>
        <w:t>Dichev</w:t>
      </w:r>
      <w:r w:rsidRPr="00D272CC">
        <w:rPr>
          <w:lang w:val="en-GB"/>
        </w:rPr>
        <w:t xml:space="preserve">, I.D., </w:t>
      </w:r>
      <w:r w:rsidRPr="00D272CC">
        <w:rPr>
          <w:iCs/>
          <w:lang w:val="en-GB"/>
        </w:rPr>
        <w:t>Graham</w:t>
      </w:r>
      <w:r w:rsidRPr="00D272CC">
        <w:rPr>
          <w:lang w:val="en-GB"/>
        </w:rPr>
        <w:t xml:space="preserve">, J.R., </w:t>
      </w:r>
      <w:r w:rsidRPr="00D272CC">
        <w:rPr>
          <w:iCs/>
          <w:lang w:val="en-GB"/>
        </w:rPr>
        <w:t>Harvey</w:t>
      </w:r>
      <w:r w:rsidRPr="00D272CC">
        <w:rPr>
          <w:lang w:val="en-GB"/>
        </w:rPr>
        <w:t xml:space="preserve">, C.R. and </w:t>
      </w:r>
      <w:r w:rsidRPr="00D272CC">
        <w:rPr>
          <w:iCs/>
          <w:lang w:val="en-GB"/>
        </w:rPr>
        <w:t>Rajgopal</w:t>
      </w:r>
      <w:r w:rsidRPr="00D272CC">
        <w:rPr>
          <w:lang w:val="en-GB"/>
        </w:rPr>
        <w:t xml:space="preserve">, S., 2013. </w:t>
      </w:r>
      <w:r w:rsidRPr="00D272CC">
        <w:rPr>
          <w:iCs/>
          <w:lang w:val="en-GB"/>
        </w:rPr>
        <w:t>Earnings quality: evidence from the field</w:t>
      </w:r>
      <w:r w:rsidRPr="00D272CC">
        <w:rPr>
          <w:lang w:val="en-GB"/>
        </w:rPr>
        <w:t xml:space="preserve">. </w:t>
      </w:r>
      <w:r w:rsidRPr="00D272CC">
        <w:rPr>
          <w:i/>
          <w:lang w:val="en-GB"/>
        </w:rPr>
        <w:t>Journal of Accounting and Economics</w:t>
      </w:r>
      <w:r w:rsidRPr="00D272CC">
        <w:rPr>
          <w:lang w:val="en-GB"/>
        </w:rPr>
        <w:t>, 56</w:t>
      </w:r>
      <w:r w:rsidRPr="00D272CC">
        <w:rPr>
          <w:i/>
          <w:lang w:val="en-GB"/>
        </w:rPr>
        <w:t xml:space="preserve"> </w:t>
      </w:r>
      <w:r w:rsidRPr="00D272CC">
        <w:rPr>
          <w:lang w:val="en-GB"/>
        </w:rPr>
        <w:t>(2–3, Supplement), 1–33.</w:t>
      </w:r>
    </w:p>
    <w:p w14:paraId="125FCA07" w14:textId="77777777" w:rsidR="00E70D5A" w:rsidRDefault="00E70D5A" w:rsidP="0033486C">
      <w:pPr>
        <w:pStyle w:val="References"/>
        <w:rPr>
          <w:lang w:val="en-GB"/>
        </w:rPr>
      </w:pPr>
      <w:r>
        <w:rPr>
          <w:lang w:val="en-GB"/>
        </w:rPr>
        <w:t>EFRAG, 2013a.</w:t>
      </w:r>
      <w:r w:rsidR="0033486C">
        <w:rPr>
          <w:lang w:val="en-GB"/>
        </w:rPr>
        <w:t xml:space="preserve"> </w:t>
      </w:r>
      <w:r w:rsidR="0032669D" w:rsidRPr="0032669D">
        <w:rPr>
          <w:i/>
          <w:lang w:val="en-GB"/>
        </w:rPr>
        <w:t>Getting a better framework:</w:t>
      </w:r>
      <w:r w:rsidR="0032669D">
        <w:rPr>
          <w:lang w:val="en-GB"/>
        </w:rPr>
        <w:t xml:space="preserve"> </w:t>
      </w:r>
      <w:r w:rsidR="0032669D">
        <w:rPr>
          <w:i/>
          <w:lang w:val="en-GB"/>
        </w:rPr>
        <w:t>r</w:t>
      </w:r>
      <w:r w:rsidR="00400FB4" w:rsidRPr="009D312A">
        <w:rPr>
          <w:i/>
          <w:lang w:val="en-GB"/>
        </w:rPr>
        <w:t>eliability of financial information</w:t>
      </w:r>
      <w:r w:rsidR="0033486C">
        <w:rPr>
          <w:lang w:val="en-GB"/>
        </w:rPr>
        <w:t>.</w:t>
      </w:r>
      <w:r w:rsidR="0033486C" w:rsidRPr="0033486C">
        <w:rPr>
          <w:lang w:val="en-GB"/>
        </w:rPr>
        <w:t xml:space="preserve"> </w:t>
      </w:r>
      <w:r w:rsidR="0033486C">
        <w:rPr>
          <w:lang w:val="en-GB"/>
        </w:rPr>
        <w:t xml:space="preserve">Brussels: European Financial </w:t>
      </w:r>
      <w:r w:rsidR="0032669D">
        <w:rPr>
          <w:lang w:val="en-GB"/>
        </w:rPr>
        <w:t xml:space="preserve">Reporting </w:t>
      </w:r>
      <w:r w:rsidR="0033486C">
        <w:rPr>
          <w:lang w:val="en-GB"/>
        </w:rPr>
        <w:t>Advisory Group (and published by national standard</w:t>
      </w:r>
      <w:r w:rsidR="00746FA0">
        <w:rPr>
          <w:lang w:val="en-GB"/>
        </w:rPr>
        <w:t>-</w:t>
      </w:r>
      <w:r w:rsidR="0033486C">
        <w:rPr>
          <w:lang w:val="en-GB"/>
        </w:rPr>
        <w:t>setters).</w:t>
      </w:r>
    </w:p>
    <w:p w14:paraId="7FD62144" w14:textId="77777777" w:rsidR="00E70D5A" w:rsidRPr="0033486C" w:rsidRDefault="00E70D5A" w:rsidP="0033486C">
      <w:pPr>
        <w:pStyle w:val="References"/>
        <w:rPr>
          <w:lang w:val="en-GB"/>
        </w:rPr>
      </w:pPr>
      <w:r>
        <w:rPr>
          <w:lang w:val="en-GB"/>
        </w:rPr>
        <w:t>EFRAG, 2013b.</w:t>
      </w:r>
      <w:r w:rsidR="0033486C">
        <w:rPr>
          <w:lang w:val="en-GB"/>
        </w:rPr>
        <w:t xml:space="preserve"> </w:t>
      </w:r>
      <w:r w:rsidR="0032669D" w:rsidRPr="0032669D">
        <w:rPr>
          <w:i/>
          <w:lang w:val="en-GB"/>
        </w:rPr>
        <w:t>Getting a better framework:</w:t>
      </w:r>
      <w:r w:rsidR="0032669D">
        <w:rPr>
          <w:lang w:val="en-GB"/>
        </w:rPr>
        <w:t xml:space="preserve"> </w:t>
      </w:r>
      <w:r w:rsidR="0032669D">
        <w:rPr>
          <w:i/>
          <w:lang w:val="en-GB"/>
        </w:rPr>
        <w:t>p</w:t>
      </w:r>
      <w:r w:rsidR="00400FB4" w:rsidRPr="009D312A">
        <w:rPr>
          <w:i/>
          <w:lang w:val="en-GB"/>
        </w:rPr>
        <w:t>rudence</w:t>
      </w:r>
      <w:r w:rsidR="0033486C">
        <w:rPr>
          <w:lang w:val="en-GB"/>
        </w:rPr>
        <w:t xml:space="preserve">. Brussels: European Financial </w:t>
      </w:r>
      <w:r w:rsidR="0032669D">
        <w:rPr>
          <w:lang w:val="en-GB"/>
        </w:rPr>
        <w:t xml:space="preserve">Reporting </w:t>
      </w:r>
      <w:r w:rsidR="0033486C">
        <w:rPr>
          <w:lang w:val="en-GB"/>
        </w:rPr>
        <w:t>Advisory Group (and published by national standard</w:t>
      </w:r>
      <w:r w:rsidR="00746FA0">
        <w:rPr>
          <w:lang w:val="en-GB"/>
        </w:rPr>
        <w:t>-</w:t>
      </w:r>
      <w:r w:rsidR="0033486C">
        <w:rPr>
          <w:lang w:val="en-GB"/>
        </w:rPr>
        <w:t>setters).</w:t>
      </w:r>
    </w:p>
    <w:p w14:paraId="54C72CC8" w14:textId="77777777" w:rsidR="00660A01" w:rsidRPr="00D272CC" w:rsidRDefault="00660A01" w:rsidP="00660A01">
      <w:pPr>
        <w:pStyle w:val="References"/>
        <w:rPr>
          <w:iCs/>
          <w:lang w:val="en-GB"/>
        </w:rPr>
      </w:pPr>
      <w:r w:rsidRPr="00D272CC">
        <w:rPr>
          <w:iCs/>
          <w:lang w:val="en-GB"/>
        </w:rPr>
        <w:t>FASB</w:t>
      </w:r>
      <w:r w:rsidR="00D669F1" w:rsidRPr="00D272CC">
        <w:rPr>
          <w:iCs/>
          <w:lang w:val="en-GB"/>
        </w:rPr>
        <w:t>,</w:t>
      </w:r>
      <w:r w:rsidRPr="00D272CC">
        <w:rPr>
          <w:iCs/>
          <w:lang w:val="en-GB"/>
        </w:rPr>
        <w:t xml:space="preserve"> 2010. </w:t>
      </w:r>
      <w:r w:rsidR="00EF2AE5" w:rsidRPr="00D272CC">
        <w:rPr>
          <w:i/>
          <w:iCs/>
          <w:lang w:val="en-GB"/>
        </w:rPr>
        <w:t xml:space="preserve">Statement of </w:t>
      </w:r>
      <w:r w:rsidR="00DC3565" w:rsidRPr="00D272CC">
        <w:rPr>
          <w:i/>
          <w:iCs/>
          <w:lang w:val="en-GB"/>
        </w:rPr>
        <w:t>f</w:t>
      </w:r>
      <w:r w:rsidR="00EF2AE5" w:rsidRPr="00D272CC">
        <w:rPr>
          <w:i/>
          <w:iCs/>
          <w:lang w:val="en-GB"/>
        </w:rPr>
        <w:t xml:space="preserve">inancial </w:t>
      </w:r>
      <w:r w:rsidR="00DC3565" w:rsidRPr="00D272CC">
        <w:rPr>
          <w:i/>
          <w:iCs/>
          <w:lang w:val="en-GB"/>
        </w:rPr>
        <w:t>a</w:t>
      </w:r>
      <w:r w:rsidR="00EF2AE5" w:rsidRPr="00D272CC">
        <w:rPr>
          <w:i/>
          <w:iCs/>
          <w:lang w:val="en-GB"/>
        </w:rPr>
        <w:t>ccounting</w:t>
      </w:r>
      <w:r w:rsidR="00EF2AE5" w:rsidRPr="00D272CC">
        <w:rPr>
          <w:iCs/>
          <w:lang w:val="en-GB"/>
        </w:rPr>
        <w:t xml:space="preserve"> </w:t>
      </w:r>
      <w:r w:rsidR="00DC3565" w:rsidRPr="00D272CC">
        <w:rPr>
          <w:i/>
          <w:iCs/>
          <w:lang w:val="en-GB"/>
        </w:rPr>
        <w:t>c</w:t>
      </w:r>
      <w:r w:rsidRPr="00D272CC">
        <w:rPr>
          <w:i/>
          <w:iCs/>
          <w:lang w:val="en-GB"/>
        </w:rPr>
        <w:t xml:space="preserve">oncepts </w:t>
      </w:r>
      <w:r w:rsidR="00DC3565" w:rsidRPr="00D272CC">
        <w:rPr>
          <w:i/>
          <w:iCs/>
          <w:lang w:val="en-GB"/>
        </w:rPr>
        <w:t>n</w:t>
      </w:r>
      <w:r w:rsidRPr="00D272CC">
        <w:rPr>
          <w:i/>
          <w:iCs/>
          <w:lang w:val="en-GB"/>
        </w:rPr>
        <w:t>o.</w:t>
      </w:r>
      <w:r w:rsidR="00EF2AE5" w:rsidRPr="00D272CC">
        <w:rPr>
          <w:i/>
          <w:iCs/>
          <w:lang w:val="en-GB"/>
        </w:rPr>
        <w:t xml:space="preserve"> </w:t>
      </w:r>
      <w:r w:rsidRPr="00D272CC">
        <w:rPr>
          <w:i/>
          <w:iCs/>
          <w:lang w:val="en-GB"/>
        </w:rPr>
        <w:t>8</w:t>
      </w:r>
      <w:r w:rsidR="00DC3565" w:rsidRPr="00D272CC">
        <w:rPr>
          <w:i/>
          <w:iCs/>
          <w:lang w:val="en-GB"/>
        </w:rPr>
        <w:t>: conceptual framework for financial reporting</w:t>
      </w:r>
      <w:r w:rsidRPr="00D272CC">
        <w:rPr>
          <w:iCs/>
          <w:lang w:val="en-GB"/>
        </w:rPr>
        <w:t>. Norwalk, CT: Financial Accounting Standards Board.</w:t>
      </w:r>
    </w:p>
    <w:p w14:paraId="780DD0E4" w14:textId="77777777" w:rsidR="000A4D35" w:rsidRDefault="000A4D35" w:rsidP="00717E94">
      <w:pPr>
        <w:pStyle w:val="References"/>
        <w:rPr>
          <w:lang w:val="en-GB"/>
        </w:rPr>
      </w:pPr>
      <w:r w:rsidRPr="00D272CC">
        <w:rPr>
          <w:lang w:val="en-GB"/>
        </w:rPr>
        <w:t>Fields, T.D., Lys, T.Z. and Vincent, L., 2001</w:t>
      </w:r>
      <w:r w:rsidR="0066236B" w:rsidRPr="00D272CC">
        <w:rPr>
          <w:lang w:val="en-GB"/>
        </w:rPr>
        <w:t>.</w:t>
      </w:r>
      <w:r w:rsidRPr="00D272CC">
        <w:rPr>
          <w:lang w:val="en-GB"/>
        </w:rPr>
        <w:t xml:space="preserve"> Empirical research on accounting choice</w:t>
      </w:r>
      <w:r w:rsidR="0066236B" w:rsidRPr="00D272CC">
        <w:rPr>
          <w:lang w:val="en-GB"/>
        </w:rPr>
        <w:t>.</w:t>
      </w:r>
      <w:r w:rsidRPr="00D272CC">
        <w:rPr>
          <w:lang w:val="en-GB"/>
        </w:rPr>
        <w:t xml:space="preserve"> </w:t>
      </w:r>
      <w:r w:rsidRPr="00D272CC">
        <w:rPr>
          <w:i/>
          <w:iCs/>
          <w:lang w:val="en-GB"/>
        </w:rPr>
        <w:t>Journal of Accounting and Economics</w:t>
      </w:r>
      <w:r w:rsidRPr="00D272CC">
        <w:rPr>
          <w:lang w:val="en-GB"/>
        </w:rPr>
        <w:t>, 31 (1–3), 255–307.</w:t>
      </w:r>
    </w:p>
    <w:p w14:paraId="4513ABAC" w14:textId="77777777" w:rsidR="00B06116" w:rsidRDefault="00B06116" w:rsidP="00717E94">
      <w:pPr>
        <w:pStyle w:val="References"/>
        <w:rPr>
          <w:lang w:val="en-GB"/>
        </w:rPr>
      </w:pPr>
      <w:r>
        <w:rPr>
          <w:lang w:val="en-GB"/>
        </w:rPr>
        <w:t xml:space="preserve">Gore, P., 1992. </w:t>
      </w:r>
      <w:r w:rsidR="005A7B11" w:rsidRPr="007A50EF">
        <w:rPr>
          <w:i/>
          <w:lang w:val="en-GB"/>
        </w:rPr>
        <w:t>The FASB conceptual framework project 1973-1985: an analysis</w:t>
      </w:r>
      <w:r>
        <w:rPr>
          <w:lang w:val="en-GB"/>
        </w:rPr>
        <w:t>. Manchester: Manchester University Press.</w:t>
      </w:r>
    </w:p>
    <w:p w14:paraId="1EADAE3E" w14:textId="77777777" w:rsidR="00BA7C92" w:rsidRPr="007A50EF" w:rsidRDefault="00BF6428" w:rsidP="00386416">
      <w:pPr>
        <w:pStyle w:val="References"/>
      </w:pPr>
      <w:r>
        <w:t xml:space="preserve">Gray, S.J., 1988. Towards a theory of cultural influence on the development of accounting systems internationally. </w:t>
      </w:r>
      <w:r w:rsidRPr="004B2A70">
        <w:rPr>
          <w:i/>
        </w:rPr>
        <w:t>Abacus</w:t>
      </w:r>
      <w:r>
        <w:t xml:space="preserve">, </w:t>
      </w:r>
      <w:r w:rsidR="005A7B11" w:rsidRPr="007A50EF">
        <w:t>24</w:t>
      </w:r>
      <w:r>
        <w:rPr>
          <w:i/>
        </w:rPr>
        <w:t xml:space="preserve"> </w:t>
      </w:r>
      <w:r>
        <w:t>(1), 1</w:t>
      </w:r>
      <w:r w:rsidR="00746FA0" w:rsidRPr="00D272CC">
        <w:rPr>
          <w:lang w:val="en-GB"/>
        </w:rPr>
        <w:t>–</w:t>
      </w:r>
      <w:r>
        <w:t>15.</w:t>
      </w:r>
    </w:p>
    <w:p w14:paraId="08024250" w14:textId="77777777" w:rsidR="002B0C2C" w:rsidRDefault="002B0C2C" w:rsidP="00660A01">
      <w:pPr>
        <w:pStyle w:val="References"/>
        <w:rPr>
          <w:iCs/>
          <w:lang w:val="en-GB"/>
        </w:rPr>
      </w:pPr>
      <w:r w:rsidRPr="00CD09AD">
        <w:t>Hagerman</w:t>
      </w:r>
      <w:r w:rsidRPr="00951F48">
        <w:t xml:space="preserve">, </w:t>
      </w:r>
      <w:r>
        <w:t>R</w:t>
      </w:r>
      <w:r w:rsidRPr="00951F48">
        <w:t>.</w:t>
      </w:r>
      <w:r>
        <w:t xml:space="preserve">L. and </w:t>
      </w:r>
      <w:r w:rsidRPr="00CD09AD">
        <w:t>Zmijewski</w:t>
      </w:r>
      <w:r>
        <w:t>, M.E</w:t>
      </w:r>
      <w:r w:rsidRPr="00951F48">
        <w:t>.</w:t>
      </w:r>
      <w:r>
        <w:t>,</w:t>
      </w:r>
      <w:r w:rsidRPr="00951F48">
        <w:t xml:space="preserve"> </w:t>
      </w:r>
      <w:r w:rsidRPr="00CD09AD">
        <w:t>1979</w:t>
      </w:r>
      <w:r>
        <w:t>. Some economic determinants of accounting policy choice.</w:t>
      </w:r>
      <w:r w:rsidRPr="00951F48">
        <w:t xml:space="preserve"> </w:t>
      </w:r>
      <w:r w:rsidRPr="00D5508F">
        <w:rPr>
          <w:i/>
        </w:rPr>
        <w:t>Journal of Accounting and Economics</w:t>
      </w:r>
      <w:r>
        <w:t xml:space="preserve">, 1 (2), </w:t>
      </w:r>
      <w:r w:rsidR="002459AE" w:rsidRPr="00951F48">
        <w:t>1</w:t>
      </w:r>
      <w:r w:rsidR="002459AE">
        <w:t>41</w:t>
      </w:r>
      <w:r w:rsidR="002459AE" w:rsidRPr="00D272CC">
        <w:rPr>
          <w:lang w:val="en-GB"/>
        </w:rPr>
        <w:t>–</w:t>
      </w:r>
      <w:r w:rsidR="002459AE" w:rsidRPr="00951F48">
        <w:t>1</w:t>
      </w:r>
      <w:r w:rsidR="002459AE">
        <w:t>61</w:t>
      </w:r>
      <w:r w:rsidRPr="00951F48">
        <w:t>.</w:t>
      </w:r>
    </w:p>
    <w:p w14:paraId="59B6BCF8" w14:textId="77777777" w:rsidR="00660A01" w:rsidRPr="00D272CC" w:rsidRDefault="00660A01" w:rsidP="00660A01">
      <w:pPr>
        <w:pStyle w:val="References"/>
        <w:rPr>
          <w:lang w:val="en-GB"/>
        </w:rPr>
      </w:pPr>
      <w:r w:rsidRPr="00D272CC">
        <w:rPr>
          <w:iCs/>
          <w:lang w:val="en-GB"/>
        </w:rPr>
        <w:t>Hail, L.</w:t>
      </w:r>
      <w:r w:rsidR="00D669F1" w:rsidRPr="00D272CC">
        <w:rPr>
          <w:iCs/>
          <w:lang w:val="en-GB"/>
        </w:rPr>
        <w:t>,</w:t>
      </w:r>
      <w:r w:rsidRPr="00D272CC">
        <w:rPr>
          <w:iCs/>
          <w:lang w:val="en-GB"/>
        </w:rPr>
        <w:t xml:space="preserve"> 2013. Financial reporting and firm valuation: relevance lost or relevance regained?</w:t>
      </w:r>
      <w:r w:rsidRPr="00D272CC">
        <w:rPr>
          <w:i/>
          <w:lang w:val="en-GB"/>
        </w:rPr>
        <w:t xml:space="preserve"> Accounting and Business Research</w:t>
      </w:r>
      <w:r w:rsidRPr="00D272CC">
        <w:rPr>
          <w:lang w:val="en-GB"/>
        </w:rPr>
        <w:t>, 43</w:t>
      </w:r>
      <w:r w:rsidR="00D669F1" w:rsidRPr="00D272CC">
        <w:rPr>
          <w:i/>
          <w:lang w:val="en-GB"/>
        </w:rPr>
        <w:t xml:space="preserve"> </w:t>
      </w:r>
      <w:r w:rsidRPr="00D272CC">
        <w:rPr>
          <w:lang w:val="en-GB"/>
        </w:rPr>
        <w:t>(4), 329</w:t>
      </w:r>
      <w:r w:rsidR="00E56E7F" w:rsidRPr="00D272CC">
        <w:rPr>
          <w:lang w:val="en-GB"/>
        </w:rPr>
        <w:t>–</w:t>
      </w:r>
      <w:r w:rsidRPr="00D272CC">
        <w:rPr>
          <w:lang w:val="en-GB"/>
        </w:rPr>
        <w:t>358.</w:t>
      </w:r>
    </w:p>
    <w:p w14:paraId="527C61FD" w14:textId="77777777" w:rsidR="00660A01" w:rsidRDefault="00660A01" w:rsidP="00660A01">
      <w:pPr>
        <w:pStyle w:val="References"/>
        <w:rPr>
          <w:lang w:val="en-GB"/>
        </w:rPr>
      </w:pPr>
      <w:r w:rsidRPr="00D272CC">
        <w:rPr>
          <w:lang w:val="en-GB"/>
        </w:rPr>
        <w:t>Haller, A. and Wehrfritz, M.</w:t>
      </w:r>
      <w:r w:rsidR="00D669F1" w:rsidRPr="00D272CC">
        <w:rPr>
          <w:lang w:val="en-GB"/>
        </w:rPr>
        <w:t>,</w:t>
      </w:r>
      <w:r w:rsidRPr="00D272CC">
        <w:rPr>
          <w:lang w:val="en-GB"/>
        </w:rPr>
        <w:t xml:space="preserve"> 2013. The impact of national GAAP and accounting traditions on IFRS policy selection: evidence from Germany and the UK. </w:t>
      </w:r>
      <w:r w:rsidRPr="00D272CC">
        <w:rPr>
          <w:i/>
          <w:lang w:val="en-GB"/>
        </w:rPr>
        <w:t>Journal of International Accounting, Auditing and Taxation</w:t>
      </w:r>
      <w:r w:rsidR="00A12EF4" w:rsidRPr="00A12EF4">
        <w:rPr>
          <w:lang w:val="en-GB"/>
        </w:rPr>
        <w:t>,</w:t>
      </w:r>
      <w:r w:rsidRPr="00D272CC">
        <w:rPr>
          <w:i/>
          <w:lang w:val="en-GB"/>
        </w:rPr>
        <w:t xml:space="preserve"> </w:t>
      </w:r>
      <w:r w:rsidRPr="00D272CC">
        <w:rPr>
          <w:lang w:val="en-GB"/>
        </w:rPr>
        <w:t>22</w:t>
      </w:r>
      <w:r w:rsidR="00D669F1" w:rsidRPr="00D272CC">
        <w:rPr>
          <w:i/>
          <w:lang w:val="en-GB"/>
        </w:rPr>
        <w:t xml:space="preserve"> </w:t>
      </w:r>
      <w:r w:rsidRPr="00D272CC">
        <w:rPr>
          <w:lang w:val="en-GB"/>
        </w:rPr>
        <w:t>(1), 39</w:t>
      </w:r>
      <w:r w:rsidR="00E56E7F" w:rsidRPr="00D272CC">
        <w:rPr>
          <w:lang w:val="en-GB"/>
        </w:rPr>
        <w:t>–</w:t>
      </w:r>
      <w:r w:rsidRPr="00D272CC">
        <w:rPr>
          <w:lang w:val="en-GB"/>
        </w:rPr>
        <w:t>56.</w:t>
      </w:r>
    </w:p>
    <w:p w14:paraId="08C81655" w14:textId="77777777" w:rsidR="002B0C2C" w:rsidRDefault="002B0C2C" w:rsidP="00546AF4">
      <w:pPr>
        <w:pStyle w:val="References"/>
      </w:pPr>
      <w:r>
        <w:t>Healy, P.</w:t>
      </w:r>
      <w:r w:rsidRPr="00062F0D">
        <w:t>M.</w:t>
      </w:r>
      <w:r>
        <w:t>,</w:t>
      </w:r>
      <w:r w:rsidRPr="00062F0D">
        <w:t xml:space="preserve"> 1985</w:t>
      </w:r>
      <w:r>
        <w:t xml:space="preserve">. </w:t>
      </w:r>
      <w:r w:rsidRPr="00062F0D">
        <w:t>The</w:t>
      </w:r>
      <w:r>
        <w:t xml:space="preserve"> effect of bonus schemes on accounting decis</w:t>
      </w:r>
      <w:r w:rsidR="00C15C12">
        <w:t>ions.</w:t>
      </w:r>
      <w:r w:rsidRPr="00D5508F">
        <w:t xml:space="preserve"> </w:t>
      </w:r>
      <w:r>
        <w:rPr>
          <w:i/>
        </w:rPr>
        <w:t xml:space="preserve">Journal of </w:t>
      </w:r>
      <w:r w:rsidRPr="00D5508F">
        <w:rPr>
          <w:i/>
        </w:rPr>
        <w:t xml:space="preserve">Accounting </w:t>
      </w:r>
      <w:r>
        <w:rPr>
          <w:i/>
        </w:rPr>
        <w:t>and Economics</w:t>
      </w:r>
      <w:r>
        <w:t>, 7 (1</w:t>
      </w:r>
      <w:r w:rsidR="00E97D9D" w:rsidRPr="00D272CC">
        <w:rPr>
          <w:lang w:val="en-GB"/>
        </w:rPr>
        <w:t>–</w:t>
      </w:r>
      <w:r>
        <w:t xml:space="preserve">3), </w:t>
      </w:r>
      <w:r w:rsidR="002459AE">
        <w:t>85</w:t>
      </w:r>
      <w:r w:rsidR="002459AE" w:rsidRPr="00D272CC">
        <w:rPr>
          <w:lang w:val="en-GB"/>
        </w:rPr>
        <w:t>–</w:t>
      </w:r>
      <w:r w:rsidR="002459AE">
        <w:t>107</w:t>
      </w:r>
      <w:r w:rsidRPr="00D5508F">
        <w:t>.</w:t>
      </w:r>
    </w:p>
    <w:p w14:paraId="7F0D722C" w14:textId="77777777" w:rsidR="006F1CF6" w:rsidRDefault="006F1CF6" w:rsidP="00546AF4">
      <w:pPr>
        <w:pStyle w:val="References"/>
      </w:pPr>
      <w:r w:rsidRPr="006F1CF6">
        <w:t>Hofstede, G.</w:t>
      </w:r>
      <w:r>
        <w:t xml:space="preserve">, 1980. </w:t>
      </w:r>
      <w:r w:rsidRPr="006F1CF6">
        <w:rPr>
          <w:i/>
        </w:rPr>
        <w:t>Culture’s consequences: international differences in work-related values</w:t>
      </w:r>
      <w:r w:rsidRPr="006F1CF6">
        <w:t>. Beverly Hills, CA: Sage.</w:t>
      </w:r>
    </w:p>
    <w:p w14:paraId="41E20423" w14:textId="77777777" w:rsidR="002B0C2C" w:rsidRDefault="002B0C2C" w:rsidP="00546AF4">
      <w:pPr>
        <w:pStyle w:val="References"/>
      </w:pPr>
      <w:r>
        <w:t>Holthausen</w:t>
      </w:r>
      <w:r w:rsidRPr="00951F48">
        <w:t xml:space="preserve">, </w:t>
      </w:r>
      <w:r>
        <w:t>R</w:t>
      </w:r>
      <w:r w:rsidRPr="00951F48">
        <w:t>.</w:t>
      </w:r>
      <w:r>
        <w:t>W. and Leftwich,</w:t>
      </w:r>
      <w:r w:rsidRPr="00951F48">
        <w:t xml:space="preserve"> </w:t>
      </w:r>
      <w:r>
        <w:t>R.W</w:t>
      </w:r>
      <w:r w:rsidRPr="00951F48">
        <w:t>.</w:t>
      </w:r>
      <w:r>
        <w:t>,</w:t>
      </w:r>
      <w:r w:rsidRPr="00951F48">
        <w:t xml:space="preserve"> </w:t>
      </w:r>
      <w:r>
        <w:t xml:space="preserve">1983. </w:t>
      </w:r>
      <w:r w:rsidRPr="003033E1">
        <w:t xml:space="preserve">The </w:t>
      </w:r>
      <w:r>
        <w:t>e</w:t>
      </w:r>
      <w:r w:rsidRPr="003033E1">
        <w:t xml:space="preserve">conomic </w:t>
      </w:r>
      <w:r>
        <w:t>c</w:t>
      </w:r>
      <w:r w:rsidRPr="003033E1">
        <w:t xml:space="preserve">onsequences of </w:t>
      </w:r>
      <w:r>
        <w:t>a</w:t>
      </w:r>
      <w:r w:rsidRPr="003033E1">
        <w:t xml:space="preserve">ccounting </w:t>
      </w:r>
      <w:r>
        <w:t>c</w:t>
      </w:r>
      <w:r w:rsidRPr="003033E1">
        <w:t>hoice</w:t>
      </w:r>
      <w:r>
        <w:t>: i</w:t>
      </w:r>
      <w:r w:rsidRPr="003033E1">
        <w:t xml:space="preserve">mplications of </w:t>
      </w:r>
      <w:r>
        <w:t>c</w:t>
      </w:r>
      <w:r w:rsidRPr="003033E1">
        <w:t xml:space="preserve">ostly </w:t>
      </w:r>
      <w:r>
        <w:t>c</w:t>
      </w:r>
      <w:r w:rsidRPr="003033E1">
        <w:t xml:space="preserve">ontracting and </w:t>
      </w:r>
      <w:r>
        <w:t>m</w:t>
      </w:r>
      <w:r w:rsidRPr="003033E1">
        <w:t>onitoring</w:t>
      </w:r>
      <w:r w:rsidR="00C15C12">
        <w:t>.</w:t>
      </w:r>
      <w:r w:rsidRPr="00951F48">
        <w:t xml:space="preserve"> </w:t>
      </w:r>
      <w:r w:rsidRPr="00D5508F">
        <w:rPr>
          <w:i/>
        </w:rPr>
        <w:t>Journal of Accounting and Economics</w:t>
      </w:r>
      <w:r>
        <w:t xml:space="preserve">, 5, </w:t>
      </w:r>
      <w:r w:rsidR="002459AE">
        <w:t>77</w:t>
      </w:r>
      <w:r w:rsidR="002459AE" w:rsidRPr="00D272CC">
        <w:rPr>
          <w:lang w:val="en-GB"/>
        </w:rPr>
        <w:t>–</w:t>
      </w:r>
      <w:r w:rsidR="002459AE">
        <w:t>117</w:t>
      </w:r>
      <w:r w:rsidRPr="00951F48">
        <w:t>.</w:t>
      </w:r>
    </w:p>
    <w:p w14:paraId="16C579D3" w14:textId="77777777" w:rsidR="002B0C2C" w:rsidRDefault="002B0C2C" w:rsidP="00546AF4">
      <w:pPr>
        <w:pStyle w:val="References"/>
        <w:rPr>
          <w:lang w:val="en-GB"/>
        </w:rPr>
      </w:pPr>
      <w:r>
        <w:t>Hunt, H.G</w:t>
      </w:r>
      <w:r w:rsidRPr="00062F0D">
        <w:t>.</w:t>
      </w:r>
      <w:r>
        <w:t>,</w:t>
      </w:r>
      <w:r w:rsidRPr="00062F0D">
        <w:t xml:space="preserve"> 19</w:t>
      </w:r>
      <w:r>
        <w:t>85. Potential determinants of corporate inventory accounting decisions.</w:t>
      </w:r>
      <w:r w:rsidRPr="00D5508F">
        <w:t xml:space="preserve"> </w:t>
      </w:r>
      <w:r>
        <w:rPr>
          <w:i/>
        </w:rPr>
        <w:t xml:space="preserve">Journal of </w:t>
      </w:r>
      <w:r w:rsidRPr="00D5508F">
        <w:rPr>
          <w:i/>
        </w:rPr>
        <w:t xml:space="preserve">Accounting </w:t>
      </w:r>
      <w:r>
        <w:rPr>
          <w:i/>
        </w:rPr>
        <w:t>Research</w:t>
      </w:r>
      <w:r>
        <w:t xml:space="preserve">, 23 (2), </w:t>
      </w:r>
      <w:r w:rsidR="002459AE">
        <w:t>448</w:t>
      </w:r>
      <w:r w:rsidR="002459AE" w:rsidRPr="00D272CC">
        <w:rPr>
          <w:lang w:val="en-GB"/>
        </w:rPr>
        <w:t>–</w:t>
      </w:r>
      <w:r w:rsidR="002459AE">
        <w:t>467</w:t>
      </w:r>
      <w:r w:rsidRPr="00D5508F">
        <w:t>.</w:t>
      </w:r>
    </w:p>
    <w:p w14:paraId="30DF5597" w14:textId="77777777" w:rsidR="00546AF4" w:rsidRPr="00D272CC" w:rsidRDefault="00546AF4" w:rsidP="00546AF4">
      <w:pPr>
        <w:pStyle w:val="References"/>
        <w:rPr>
          <w:rFonts w:eastAsia="Calibri"/>
          <w:lang w:val="en-GB"/>
        </w:rPr>
      </w:pPr>
      <w:r w:rsidRPr="00D272CC">
        <w:rPr>
          <w:iCs/>
          <w:lang w:val="en-GB"/>
        </w:rPr>
        <w:t>Hunton</w:t>
      </w:r>
      <w:r w:rsidR="00217ADC" w:rsidRPr="00D272CC">
        <w:rPr>
          <w:lang w:val="en-GB"/>
        </w:rPr>
        <w:t>, J.E</w:t>
      </w:r>
      <w:r w:rsidRPr="00D272CC">
        <w:rPr>
          <w:lang w:val="en-GB"/>
        </w:rPr>
        <w:t xml:space="preserve">., </w:t>
      </w:r>
      <w:r w:rsidRPr="00D272CC">
        <w:rPr>
          <w:iCs/>
          <w:lang w:val="en-GB"/>
        </w:rPr>
        <w:t>Libby</w:t>
      </w:r>
      <w:r w:rsidRPr="00D272CC">
        <w:rPr>
          <w:lang w:val="en-GB"/>
        </w:rPr>
        <w:t xml:space="preserve">, </w:t>
      </w:r>
      <w:r w:rsidR="00217ADC" w:rsidRPr="00D272CC">
        <w:rPr>
          <w:lang w:val="en-GB"/>
        </w:rPr>
        <w:t>R</w:t>
      </w:r>
      <w:r w:rsidRPr="00D272CC">
        <w:rPr>
          <w:lang w:val="en-GB"/>
        </w:rPr>
        <w:t xml:space="preserve">. and </w:t>
      </w:r>
      <w:r w:rsidRPr="00D272CC">
        <w:rPr>
          <w:iCs/>
          <w:lang w:val="en-GB"/>
        </w:rPr>
        <w:t>Mazza</w:t>
      </w:r>
      <w:r w:rsidRPr="00D272CC">
        <w:rPr>
          <w:lang w:val="en-GB"/>
        </w:rPr>
        <w:t xml:space="preserve">, </w:t>
      </w:r>
      <w:r w:rsidR="00217ADC" w:rsidRPr="00D272CC">
        <w:rPr>
          <w:lang w:val="en-GB"/>
        </w:rPr>
        <w:t>C.L</w:t>
      </w:r>
      <w:r w:rsidRPr="00D272CC">
        <w:rPr>
          <w:lang w:val="en-GB"/>
        </w:rPr>
        <w:t xml:space="preserve">., 2006. </w:t>
      </w:r>
      <w:r w:rsidRPr="00D272CC">
        <w:rPr>
          <w:iCs/>
          <w:lang w:val="en-GB"/>
        </w:rPr>
        <w:t>Financial reporting transparency and earnings management</w:t>
      </w:r>
      <w:r w:rsidRPr="00D272CC">
        <w:rPr>
          <w:lang w:val="en-GB"/>
        </w:rPr>
        <w:t xml:space="preserve">. </w:t>
      </w:r>
      <w:r w:rsidRPr="00D272CC">
        <w:rPr>
          <w:i/>
          <w:iCs/>
          <w:lang w:val="en-GB"/>
        </w:rPr>
        <w:t>Accounting Review</w:t>
      </w:r>
      <w:r w:rsidRPr="00D272CC">
        <w:rPr>
          <w:lang w:val="en-GB"/>
        </w:rPr>
        <w:t xml:space="preserve">, </w:t>
      </w:r>
      <w:r w:rsidR="00217ADC" w:rsidRPr="00D272CC">
        <w:rPr>
          <w:lang w:val="en-GB"/>
        </w:rPr>
        <w:t>81 (1</w:t>
      </w:r>
      <w:r w:rsidRPr="00D272CC">
        <w:rPr>
          <w:lang w:val="en-GB"/>
        </w:rPr>
        <w:t>),</w:t>
      </w:r>
      <w:r w:rsidR="00217ADC" w:rsidRPr="00D272CC">
        <w:rPr>
          <w:lang w:val="en-GB"/>
        </w:rPr>
        <w:t xml:space="preserve"> 135–157</w:t>
      </w:r>
      <w:r w:rsidRPr="00D272CC">
        <w:rPr>
          <w:lang w:val="en-GB"/>
        </w:rPr>
        <w:t>.</w:t>
      </w:r>
    </w:p>
    <w:p w14:paraId="02E355B4" w14:textId="77777777" w:rsidR="00660A01" w:rsidRPr="00D272CC" w:rsidRDefault="00660A01" w:rsidP="00660A01">
      <w:pPr>
        <w:pStyle w:val="References"/>
        <w:rPr>
          <w:lang w:val="en-GB"/>
        </w:rPr>
      </w:pPr>
      <w:r w:rsidRPr="00D272CC">
        <w:rPr>
          <w:lang w:val="en-GB"/>
        </w:rPr>
        <w:t>IASB</w:t>
      </w:r>
      <w:r w:rsidR="00D669F1" w:rsidRPr="00D272CC">
        <w:rPr>
          <w:lang w:val="en-GB"/>
        </w:rPr>
        <w:t>,</w:t>
      </w:r>
      <w:r w:rsidRPr="00D272CC">
        <w:rPr>
          <w:lang w:val="en-GB"/>
        </w:rPr>
        <w:t xml:space="preserve"> 2010. </w:t>
      </w:r>
      <w:r w:rsidRPr="00D272CC">
        <w:rPr>
          <w:i/>
          <w:lang w:val="en-GB"/>
        </w:rPr>
        <w:t>The conceptual framework for financial reporting</w:t>
      </w:r>
      <w:r w:rsidRPr="00D272CC">
        <w:rPr>
          <w:lang w:val="en-GB"/>
        </w:rPr>
        <w:t>. London: International Accounting Standards Board.</w:t>
      </w:r>
    </w:p>
    <w:p w14:paraId="665B97AE" w14:textId="77777777" w:rsidR="00660A01" w:rsidRDefault="00660A01" w:rsidP="00660A01">
      <w:pPr>
        <w:pStyle w:val="References"/>
        <w:rPr>
          <w:lang w:val="en-GB"/>
        </w:rPr>
      </w:pPr>
      <w:r w:rsidRPr="00D272CC">
        <w:rPr>
          <w:lang w:val="en-GB"/>
        </w:rPr>
        <w:t>IASB</w:t>
      </w:r>
      <w:r w:rsidR="00D669F1" w:rsidRPr="00D272CC">
        <w:rPr>
          <w:lang w:val="en-GB"/>
        </w:rPr>
        <w:t>,</w:t>
      </w:r>
      <w:r w:rsidRPr="00D272CC">
        <w:rPr>
          <w:lang w:val="en-GB"/>
        </w:rPr>
        <w:t xml:space="preserve"> 2013. </w:t>
      </w:r>
      <w:r w:rsidRPr="00D272CC">
        <w:rPr>
          <w:i/>
          <w:lang w:val="en-GB"/>
        </w:rPr>
        <w:t>A review of the conceptual framework for financial reporting</w:t>
      </w:r>
      <w:r w:rsidRPr="00D272CC">
        <w:rPr>
          <w:lang w:val="en-GB"/>
        </w:rPr>
        <w:t>. London: International Accounting Standards Board.</w:t>
      </w:r>
    </w:p>
    <w:p w14:paraId="62D6DE61" w14:textId="77777777" w:rsidR="003B7D6B" w:rsidRPr="00D272CC" w:rsidRDefault="003B7D6B" w:rsidP="00660A01">
      <w:pPr>
        <w:pStyle w:val="References"/>
        <w:rPr>
          <w:lang w:val="en-GB"/>
        </w:rPr>
      </w:pPr>
      <w:r w:rsidRPr="00D272CC">
        <w:rPr>
          <w:lang w:val="en-GB"/>
        </w:rPr>
        <w:t>IASB, 201</w:t>
      </w:r>
      <w:r>
        <w:rPr>
          <w:lang w:val="en-GB"/>
        </w:rPr>
        <w:t>4</w:t>
      </w:r>
      <w:r w:rsidRPr="00D272CC">
        <w:rPr>
          <w:lang w:val="en-GB"/>
        </w:rPr>
        <w:t xml:space="preserve">. </w:t>
      </w:r>
      <w:r w:rsidR="003E6173">
        <w:rPr>
          <w:i/>
          <w:lang w:val="en-GB"/>
        </w:rPr>
        <w:t>IASB update</w:t>
      </w:r>
      <w:r w:rsidR="003E6173" w:rsidRPr="00191441">
        <w:rPr>
          <w:lang w:val="en-GB"/>
        </w:rPr>
        <w:t xml:space="preserve">, </w:t>
      </w:r>
      <w:r w:rsidR="003E6173" w:rsidRPr="00C8059C">
        <w:rPr>
          <w:lang w:val="en-GB"/>
        </w:rPr>
        <w:t>May</w:t>
      </w:r>
      <w:r w:rsidRPr="00D272CC">
        <w:rPr>
          <w:lang w:val="en-GB"/>
        </w:rPr>
        <w:t>. London: International Accounting Standards Board.</w:t>
      </w:r>
    </w:p>
    <w:p w14:paraId="681E1CDB" w14:textId="77777777" w:rsidR="00660A01" w:rsidRDefault="00660A01" w:rsidP="00660A01">
      <w:pPr>
        <w:pStyle w:val="References"/>
        <w:rPr>
          <w:lang w:val="en-GB"/>
        </w:rPr>
      </w:pPr>
      <w:r w:rsidRPr="00D272CC">
        <w:rPr>
          <w:lang w:val="en-GB"/>
        </w:rPr>
        <w:t>IASC</w:t>
      </w:r>
      <w:r w:rsidR="00D669F1" w:rsidRPr="00D272CC">
        <w:rPr>
          <w:lang w:val="en-GB"/>
        </w:rPr>
        <w:t>,</w:t>
      </w:r>
      <w:r w:rsidRPr="00D272CC">
        <w:rPr>
          <w:lang w:val="en-GB"/>
        </w:rPr>
        <w:t xml:space="preserve"> 1989. </w:t>
      </w:r>
      <w:r w:rsidRPr="00D272CC">
        <w:rPr>
          <w:i/>
          <w:lang w:val="en-GB"/>
        </w:rPr>
        <w:t>Framework for the preparation and presentation of financial statements</w:t>
      </w:r>
      <w:r w:rsidRPr="00D272CC">
        <w:rPr>
          <w:lang w:val="en-GB"/>
        </w:rPr>
        <w:t>. London: International Accounting Standards Committee.</w:t>
      </w:r>
    </w:p>
    <w:p w14:paraId="6645F3CB" w14:textId="77777777" w:rsidR="00EE2913" w:rsidRPr="00D272CC" w:rsidRDefault="00EE2913" w:rsidP="00EE2913">
      <w:pPr>
        <w:pStyle w:val="References"/>
        <w:rPr>
          <w:lang w:val="en-GB"/>
        </w:rPr>
      </w:pPr>
      <w:r w:rsidRPr="00D272CC">
        <w:rPr>
          <w:lang w:val="en-GB"/>
        </w:rPr>
        <w:t xml:space="preserve">Jonas, G.J. and Blanchet, J., 2000. Assessing quality of financial reporting. </w:t>
      </w:r>
      <w:r w:rsidRPr="00D272CC">
        <w:rPr>
          <w:i/>
          <w:lang w:val="en-GB"/>
        </w:rPr>
        <w:t>Accounting Horizons</w:t>
      </w:r>
      <w:r w:rsidRPr="00D272CC">
        <w:rPr>
          <w:lang w:val="en-GB"/>
        </w:rPr>
        <w:t>, 14</w:t>
      </w:r>
      <w:r w:rsidRPr="00D272CC">
        <w:rPr>
          <w:i/>
          <w:lang w:val="en-GB"/>
        </w:rPr>
        <w:t xml:space="preserve"> </w:t>
      </w:r>
      <w:r w:rsidRPr="00D272CC">
        <w:rPr>
          <w:lang w:val="en-GB"/>
        </w:rPr>
        <w:t>(3), 353–363.</w:t>
      </w:r>
    </w:p>
    <w:p w14:paraId="24A6A4B7" w14:textId="77777777" w:rsidR="00660A01" w:rsidRPr="00D272CC" w:rsidRDefault="00660A01" w:rsidP="00660A01">
      <w:pPr>
        <w:pStyle w:val="References"/>
        <w:rPr>
          <w:lang w:val="en-GB"/>
        </w:rPr>
      </w:pPr>
      <w:r w:rsidRPr="00D272CC">
        <w:rPr>
          <w:lang w:val="en-GB"/>
        </w:rPr>
        <w:t>Jones, M. and Smith, M.</w:t>
      </w:r>
      <w:r w:rsidR="00D669F1" w:rsidRPr="00D272CC">
        <w:rPr>
          <w:lang w:val="en-GB"/>
        </w:rPr>
        <w:t>,</w:t>
      </w:r>
      <w:r w:rsidRPr="00D272CC">
        <w:rPr>
          <w:lang w:val="en-GB"/>
        </w:rPr>
        <w:t xml:space="preserve"> 2014. Traditional and alternative methods of measuring the understandability of accounting narratives. </w:t>
      </w:r>
      <w:r w:rsidRPr="00D272CC">
        <w:rPr>
          <w:i/>
          <w:lang w:val="en-GB"/>
        </w:rPr>
        <w:t>Accounting, Auditing &amp; Accountability Journal</w:t>
      </w:r>
      <w:r w:rsidRPr="00D272CC">
        <w:rPr>
          <w:lang w:val="en-GB"/>
        </w:rPr>
        <w:t>, 27</w:t>
      </w:r>
      <w:r w:rsidR="00D669F1" w:rsidRPr="00D272CC">
        <w:rPr>
          <w:i/>
          <w:lang w:val="en-GB"/>
        </w:rPr>
        <w:t xml:space="preserve"> </w:t>
      </w:r>
      <w:r w:rsidRPr="00D272CC">
        <w:rPr>
          <w:lang w:val="en-GB"/>
        </w:rPr>
        <w:t>(1), 183</w:t>
      </w:r>
      <w:r w:rsidR="00E56E7F" w:rsidRPr="00D272CC">
        <w:rPr>
          <w:lang w:val="en-GB"/>
        </w:rPr>
        <w:t>–</w:t>
      </w:r>
      <w:r w:rsidRPr="00D272CC">
        <w:rPr>
          <w:lang w:val="en-GB"/>
        </w:rPr>
        <w:t>208.</w:t>
      </w:r>
    </w:p>
    <w:p w14:paraId="2809BE86" w14:textId="77777777" w:rsidR="002864CE" w:rsidRPr="00D272CC" w:rsidRDefault="002864CE" w:rsidP="00717E94">
      <w:pPr>
        <w:pStyle w:val="References"/>
        <w:rPr>
          <w:lang w:val="en-GB"/>
        </w:rPr>
      </w:pPr>
      <w:r w:rsidRPr="00D272CC">
        <w:rPr>
          <w:lang w:val="en-GB"/>
        </w:rPr>
        <w:t xml:space="preserve">Joyce, E.J., Libby, R. </w:t>
      </w:r>
      <w:r w:rsidR="0066236B" w:rsidRPr="00D272CC">
        <w:rPr>
          <w:lang w:val="en-GB"/>
        </w:rPr>
        <w:t>and</w:t>
      </w:r>
      <w:r w:rsidRPr="00D272CC">
        <w:rPr>
          <w:lang w:val="en-GB"/>
        </w:rPr>
        <w:t xml:space="preserve"> Sunder, S.</w:t>
      </w:r>
      <w:r w:rsidR="003A5911" w:rsidRPr="00D272CC">
        <w:rPr>
          <w:lang w:val="en-GB"/>
        </w:rPr>
        <w:t>,</w:t>
      </w:r>
      <w:r w:rsidRPr="00D272CC">
        <w:rPr>
          <w:lang w:val="en-GB"/>
        </w:rPr>
        <w:t xml:space="preserve"> 1982. Using the FASB</w:t>
      </w:r>
      <w:r w:rsidR="00C06F6C">
        <w:rPr>
          <w:lang w:val="en-GB"/>
        </w:rPr>
        <w:t>’</w:t>
      </w:r>
      <w:r w:rsidRPr="00D272CC">
        <w:rPr>
          <w:lang w:val="en-GB"/>
        </w:rPr>
        <w:t xml:space="preserve">s qualitative characteristics in accounting policy choices. </w:t>
      </w:r>
      <w:r w:rsidRPr="00D272CC">
        <w:rPr>
          <w:i/>
          <w:lang w:val="en-GB"/>
        </w:rPr>
        <w:t>Journal of Accounting Research</w:t>
      </w:r>
      <w:r w:rsidRPr="00D272CC">
        <w:rPr>
          <w:lang w:val="en-GB"/>
        </w:rPr>
        <w:t>, 20</w:t>
      </w:r>
      <w:r w:rsidR="003A5911" w:rsidRPr="00D272CC">
        <w:rPr>
          <w:lang w:val="en-GB"/>
        </w:rPr>
        <w:t xml:space="preserve"> </w:t>
      </w:r>
      <w:r w:rsidRPr="00D272CC">
        <w:rPr>
          <w:lang w:val="en-GB"/>
        </w:rPr>
        <w:t>(2), 654</w:t>
      </w:r>
      <w:r w:rsidR="003A5911" w:rsidRPr="00D272CC">
        <w:rPr>
          <w:lang w:val="en-GB"/>
        </w:rPr>
        <w:t>–</w:t>
      </w:r>
      <w:r w:rsidRPr="00D272CC">
        <w:rPr>
          <w:lang w:val="en-GB"/>
        </w:rPr>
        <w:t>675.</w:t>
      </w:r>
    </w:p>
    <w:p w14:paraId="18DEDD72" w14:textId="77777777" w:rsidR="00C37E21" w:rsidRPr="00D272CC" w:rsidRDefault="00C37E21" w:rsidP="00660A01">
      <w:pPr>
        <w:pStyle w:val="References"/>
        <w:rPr>
          <w:lang w:val="en-GB"/>
        </w:rPr>
      </w:pPr>
      <w:r w:rsidRPr="00D272CC">
        <w:rPr>
          <w:lang w:val="en-GB"/>
        </w:rPr>
        <w:t>Kadous, K., Koonce, L. and Thayer, J.</w:t>
      </w:r>
      <w:r w:rsidR="00CE1943" w:rsidRPr="00D272CC">
        <w:rPr>
          <w:lang w:val="en-GB"/>
        </w:rPr>
        <w:t>M.</w:t>
      </w:r>
      <w:r w:rsidRPr="00D272CC">
        <w:rPr>
          <w:lang w:val="en-GB"/>
        </w:rPr>
        <w:t xml:space="preserve">, 2012. Do financial statement users judge relevance based on properties of reliability? </w:t>
      </w:r>
      <w:r w:rsidRPr="00D272CC">
        <w:rPr>
          <w:i/>
          <w:lang w:val="en-GB"/>
        </w:rPr>
        <w:t>Accounting Review</w:t>
      </w:r>
      <w:r w:rsidRPr="00D272CC">
        <w:rPr>
          <w:lang w:val="en-GB"/>
        </w:rPr>
        <w:t>, 87 (4), 1335–1356.</w:t>
      </w:r>
    </w:p>
    <w:p w14:paraId="38E20BD2" w14:textId="77777777" w:rsidR="003C146C" w:rsidRDefault="003C146C" w:rsidP="00660A01">
      <w:pPr>
        <w:pStyle w:val="References"/>
        <w:rPr>
          <w:lang w:val="en-GB"/>
        </w:rPr>
      </w:pPr>
      <w:r>
        <w:rPr>
          <w:lang w:val="en-GB"/>
        </w:rPr>
        <w:t>Kaufmann, D., Kraay, A. and</w:t>
      </w:r>
      <w:r w:rsidRPr="003C146C">
        <w:rPr>
          <w:lang w:val="en-GB"/>
        </w:rPr>
        <w:t xml:space="preserve"> Mastruzzi, M., 2009. Governance </w:t>
      </w:r>
      <w:r>
        <w:rPr>
          <w:lang w:val="en-GB"/>
        </w:rPr>
        <w:t>matters VIII: aggregate and individual governance i</w:t>
      </w:r>
      <w:r w:rsidR="00C961A4">
        <w:rPr>
          <w:lang w:val="en-GB"/>
        </w:rPr>
        <w:t xml:space="preserve">ndicators </w:t>
      </w:r>
      <w:r w:rsidRPr="003C146C">
        <w:rPr>
          <w:lang w:val="en-GB"/>
        </w:rPr>
        <w:t>1996-2008. World Bank Policy Research Working Paper No. 4978.</w:t>
      </w:r>
    </w:p>
    <w:p w14:paraId="52EC53F9" w14:textId="77777777" w:rsidR="00D23D58" w:rsidRDefault="00D23D58" w:rsidP="00660A01">
      <w:pPr>
        <w:pStyle w:val="References"/>
        <w:rPr>
          <w:lang w:val="en-GB"/>
        </w:rPr>
      </w:pPr>
      <w:r w:rsidRPr="00D272CC">
        <w:rPr>
          <w:lang w:val="en-GB"/>
        </w:rPr>
        <w:t xml:space="preserve">Koonce, L., </w:t>
      </w:r>
      <w:r w:rsidRPr="00D23D58">
        <w:rPr>
          <w:lang w:val="en-GB"/>
        </w:rPr>
        <w:t>Nelson</w:t>
      </w:r>
      <w:r w:rsidRPr="00D272CC">
        <w:rPr>
          <w:lang w:val="en-GB"/>
        </w:rPr>
        <w:t xml:space="preserve">, </w:t>
      </w:r>
      <w:r>
        <w:rPr>
          <w:lang w:val="en-GB"/>
        </w:rPr>
        <w:t>K</w:t>
      </w:r>
      <w:r w:rsidRPr="00D272CC">
        <w:rPr>
          <w:lang w:val="en-GB"/>
        </w:rPr>
        <w:t>.</w:t>
      </w:r>
      <w:r>
        <w:rPr>
          <w:lang w:val="en-GB"/>
        </w:rPr>
        <w:t>K.</w:t>
      </w:r>
      <w:r w:rsidRPr="00D272CC">
        <w:rPr>
          <w:lang w:val="en-GB"/>
        </w:rPr>
        <w:t xml:space="preserve"> and </w:t>
      </w:r>
      <w:r w:rsidRPr="00D23D58">
        <w:rPr>
          <w:lang w:val="en-GB"/>
        </w:rPr>
        <w:t>Shakespeare</w:t>
      </w:r>
      <w:r>
        <w:rPr>
          <w:lang w:val="en-GB"/>
        </w:rPr>
        <w:t>, C</w:t>
      </w:r>
      <w:r w:rsidRPr="00D272CC">
        <w:rPr>
          <w:lang w:val="en-GB"/>
        </w:rPr>
        <w:t>.M., 201</w:t>
      </w:r>
      <w:r>
        <w:rPr>
          <w:lang w:val="en-GB"/>
        </w:rPr>
        <w:t>1</w:t>
      </w:r>
      <w:r w:rsidRPr="00D272CC">
        <w:rPr>
          <w:lang w:val="en-GB"/>
        </w:rPr>
        <w:t xml:space="preserve">. </w:t>
      </w:r>
      <w:r w:rsidRPr="00D23D58">
        <w:rPr>
          <w:lang w:val="en-GB"/>
        </w:rPr>
        <w:t xml:space="preserve">Judging the </w:t>
      </w:r>
      <w:r>
        <w:rPr>
          <w:lang w:val="en-GB"/>
        </w:rPr>
        <w:t>r</w:t>
      </w:r>
      <w:r w:rsidRPr="00D23D58">
        <w:rPr>
          <w:lang w:val="en-GB"/>
        </w:rPr>
        <w:t xml:space="preserve">elevance of </w:t>
      </w:r>
      <w:r>
        <w:rPr>
          <w:lang w:val="en-GB"/>
        </w:rPr>
        <w:t>f</w:t>
      </w:r>
      <w:r w:rsidRPr="00D23D58">
        <w:rPr>
          <w:lang w:val="en-GB"/>
        </w:rPr>
        <w:t xml:space="preserve">air </w:t>
      </w:r>
      <w:r>
        <w:rPr>
          <w:lang w:val="en-GB"/>
        </w:rPr>
        <w:t>v</w:t>
      </w:r>
      <w:r w:rsidRPr="00D23D58">
        <w:rPr>
          <w:lang w:val="en-GB"/>
        </w:rPr>
        <w:t>alue for</w:t>
      </w:r>
      <w:r>
        <w:rPr>
          <w:lang w:val="en-GB"/>
        </w:rPr>
        <w:t xml:space="preserve"> f</w:t>
      </w:r>
      <w:r w:rsidRPr="00D23D58">
        <w:rPr>
          <w:lang w:val="en-GB"/>
        </w:rPr>
        <w:t xml:space="preserve">inancial </w:t>
      </w:r>
      <w:r>
        <w:rPr>
          <w:lang w:val="en-GB"/>
        </w:rPr>
        <w:t>i</w:t>
      </w:r>
      <w:r w:rsidRPr="00D23D58">
        <w:rPr>
          <w:lang w:val="en-GB"/>
        </w:rPr>
        <w:t>nstruments</w:t>
      </w:r>
      <w:r>
        <w:rPr>
          <w:lang w:val="en-GB"/>
        </w:rPr>
        <w:t>.</w:t>
      </w:r>
      <w:r w:rsidRPr="00D272CC">
        <w:rPr>
          <w:lang w:val="en-GB"/>
        </w:rPr>
        <w:t xml:space="preserve"> </w:t>
      </w:r>
      <w:r w:rsidRPr="00D272CC">
        <w:rPr>
          <w:i/>
          <w:lang w:val="en-GB"/>
        </w:rPr>
        <w:t>Accounting Review</w:t>
      </w:r>
      <w:r w:rsidRPr="00D272CC">
        <w:rPr>
          <w:lang w:val="en-GB"/>
        </w:rPr>
        <w:t xml:space="preserve">, </w:t>
      </w:r>
      <w:r>
        <w:rPr>
          <w:lang w:val="en-GB"/>
        </w:rPr>
        <w:t>86</w:t>
      </w:r>
      <w:r w:rsidRPr="00D272CC">
        <w:rPr>
          <w:lang w:val="en-GB"/>
        </w:rPr>
        <w:t xml:space="preserve"> (</w:t>
      </w:r>
      <w:r>
        <w:rPr>
          <w:lang w:val="en-GB"/>
        </w:rPr>
        <w:t>6</w:t>
      </w:r>
      <w:r w:rsidRPr="00D272CC">
        <w:rPr>
          <w:lang w:val="en-GB"/>
        </w:rPr>
        <w:t xml:space="preserve">), </w:t>
      </w:r>
      <w:r>
        <w:rPr>
          <w:lang w:val="en-GB"/>
        </w:rPr>
        <w:t>2075</w:t>
      </w:r>
      <w:r w:rsidRPr="00D272CC">
        <w:rPr>
          <w:lang w:val="en-GB"/>
        </w:rPr>
        <w:t>–</w:t>
      </w:r>
      <w:r>
        <w:rPr>
          <w:lang w:val="en-GB"/>
        </w:rPr>
        <w:t>2098</w:t>
      </w:r>
      <w:r w:rsidRPr="00D272CC">
        <w:rPr>
          <w:lang w:val="en-GB"/>
        </w:rPr>
        <w:t>.</w:t>
      </w:r>
    </w:p>
    <w:p w14:paraId="4F5E6BBF" w14:textId="77777777" w:rsidR="00660A01" w:rsidRPr="00D272CC" w:rsidRDefault="00660A01" w:rsidP="00660A01">
      <w:pPr>
        <w:pStyle w:val="References"/>
        <w:rPr>
          <w:lang w:val="en-GB"/>
        </w:rPr>
      </w:pPr>
      <w:r w:rsidRPr="00D272CC">
        <w:rPr>
          <w:lang w:val="en-GB"/>
        </w:rPr>
        <w:t>Kvaal, E. and Nobes, C.W.</w:t>
      </w:r>
      <w:r w:rsidR="00D669F1" w:rsidRPr="00D272CC">
        <w:rPr>
          <w:lang w:val="en-GB"/>
        </w:rPr>
        <w:t>,</w:t>
      </w:r>
      <w:r w:rsidRPr="00D272CC">
        <w:rPr>
          <w:lang w:val="en-GB"/>
        </w:rPr>
        <w:t xml:space="preserve"> 2010. International differences in IFRS policy choice: a research note. </w:t>
      </w:r>
      <w:r w:rsidRPr="00D272CC">
        <w:rPr>
          <w:i/>
          <w:lang w:val="en-GB"/>
        </w:rPr>
        <w:t>Accounting and Business Research</w:t>
      </w:r>
      <w:r w:rsidRPr="00D272CC">
        <w:rPr>
          <w:lang w:val="en-GB"/>
        </w:rPr>
        <w:t>, 40</w:t>
      </w:r>
      <w:r w:rsidR="00D669F1" w:rsidRPr="00D272CC">
        <w:rPr>
          <w:i/>
          <w:lang w:val="en-GB"/>
        </w:rPr>
        <w:t xml:space="preserve"> </w:t>
      </w:r>
      <w:r w:rsidRPr="00D272CC">
        <w:rPr>
          <w:lang w:val="en-GB"/>
        </w:rPr>
        <w:t>(2), 173</w:t>
      </w:r>
      <w:r w:rsidR="00E56E7F" w:rsidRPr="00D272CC">
        <w:rPr>
          <w:lang w:val="en-GB"/>
        </w:rPr>
        <w:t>–</w:t>
      </w:r>
      <w:r w:rsidRPr="00D272CC">
        <w:rPr>
          <w:lang w:val="en-GB"/>
        </w:rPr>
        <w:t>187.</w:t>
      </w:r>
    </w:p>
    <w:p w14:paraId="745854A0" w14:textId="77777777" w:rsidR="00660A01" w:rsidRPr="00D272CC" w:rsidRDefault="00660A01" w:rsidP="00660A01">
      <w:pPr>
        <w:pStyle w:val="References"/>
        <w:rPr>
          <w:lang w:val="en-GB"/>
        </w:rPr>
      </w:pPr>
      <w:r w:rsidRPr="00D272CC">
        <w:rPr>
          <w:lang w:val="en-GB"/>
        </w:rPr>
        <w:t>Kvaal, E. and Nobes, C.W.</w:t>
      </w:r>
      <w:r w:rsidR="00D669F1" w:rsidRPr="00D272CC">
        <w:rPr>
          <w:lang w:val="en-GB"/>
        </w:rPr>
        <w:t>,</w:t>
      </w:r>
      <w:r w:rsidRPr="00D272CC">
        <w:rPr>
          <w:lang w:val="en-GB"/>
        </w:rPr>
        <w:t xml:space="preserve"> 2012. IFRS policy changes and the continuation of national patterns of IFRS practice. </w:t>
      </w:r>
      <w:r w:rsidRPr="00D272CC">
        <w:rPr>
          <w:i/>
          <w:lang w:val="en-GB"/>
        </w:rPr>
        <w:t>European Accounting Review</w:t>
      </w:r>
      <w:r w:rsidRPr="00D272CC">
        <w:rPr>
          <w:lang w:val="en-GB"/>
        </w:rPr>
        <w:t>, 21</w:t>
      </w:r>
      <w:r w:rsidR="00D669F1" w:rsidRPr="00D272CC">
        <w:rPr>
          <w:i/>
          <w:lang w:val="en-GB"/>
        </w:rPr>
        <w:t xml:space="preserve"> </w:t>
      </w:r>
      <w:r w:rsidRPr="00D272CC">
        <w:rPr>
          <w:lang w:val="en-GB"/>
        </w:rPr>
        <w:t>(2), 343</w:t>
      </w:r>
      <w:r w:rsidR="00E56E7F" w:rsidRPr="00D272CC">
        <w:rPr>
          <w:lang w:val="en-GB"/>
        </w:rPr>
        <w:t>–</w:t>
      </w:r>
      <w:r w:rsidRPr="00D272CC">
        <w:rPr>
          <w:lang w:val="en-GB"/>
        </w:rPr>
        <w:t>371.</w:t>
      </w:r>
    </w:p>
    <w:p w14:paraId="7BB380F2" w14:textId="77777777" w:rsidR="00660A01" w:rsidRPr="00D272CC" w:rsidRDefault="00660A01" w:rsidP="00660A01">
      <w:pPr>
        <w:pStyle w:val="References"/>
        <w:rPr>
          <w:lang w:val="en-GB"/>
        </w:rPr>
      </w:pPr>
      <w:r w:rsidRPr="00D272CC">
        <w:rPr>
          <w:lang w:val="en-GB"/>
        </w:rPr>
        <w:t>La Porta, R., Lopez-de-Silanes, F., Shleifer, A. and Vishny, R.W.</w:t>
      </w:r>
      <w:r w:rsidR="00D669F1" w:rsidRPr="00D272CC">
        <w:rPr>
          <w:lang w:val="en-GB"/>
        </w:rPr>
        <w:t>,</w:t>
      </w:r>
      <w:r w:rsidRPr="00D272CC">
        <w:rPr>
          <w:lang w:val="en-GB"/>
        </w:rPr>
        <w:t xml:space="preserve"> 1998. Law and finance. </w:t>
      </w:r>
      <w:r w:rsidRPr="00D272CC">
        <w:rPr>
          <w:i/>
          <w:lang w:val="en-GB"/>
        </w:rPr>
        <w:t>Journal of Political Economy</w:t>
      </w:r>
      <w:r w:rsidRPr="00D272CC">
        <w:rPr>
          <w:lang w:val="en-GB"/>
        </w:rPr>
        <w:t>, 106</w:t>
      </w:r>
      <w:r w:rsidR="00D669F1" w:rsidRPr="00D272CC">
        <w:rPr>
          <w:i/>
          <w:lang w:val="en-GB"/>
        </w:rPr>
        <w:t xml:space="preserve"> </w:t>
      </w:r>
      <w:r w:rsidRPr="00D272CC">
        <w:rPr>
          <w:lang w:val="en-GB"/>
        </w:rPr>
        <w:t>(6), 1113</w:t>
      </w:r>
      <w:r w:rsidR="00E56E7F" w:rsidRPr="00D272CC">
        <w:rPr>
          <w:lang w:val="en-GB"/>
        </w:rPr>
        <w:t>–</w:t>
      </w:r>
      <w:r w:rsidRPr="00D272CC">
        <w:rPr>
          <w:lang w:val="en-GB"/>
        </w:rPr>
        <w:t>1155.</w:t>
      </w:r>
    </w:p>
    <w:p w14:paraId="3066C9D0" w14:textId="77777777" w:rsidR="00D12A31" w:rsidRDefault="00EE2913" w:rsidP="00D12A31">
      <w:pPr>
        <w:pStyle w:val="References"/>
        <w:rPr>
          <w:lang w:val="en-GB"/>
        </w:rPr>
      </w:pPr>
      <w:r w:rsidRPr="00D272CC">
        <w:rPr>
          <w:lang w:val="en-GB"/>
        </w:rPr>
        <w:t xml:space="preserve">LaFond, R. and Watts, R.L., 2008. The information role of conservatism. </w:t>
      </w:r>
      <w:r w:rsidRPr="00D272CC">
        <w:rPr>
          <w:i/>
          <w:lang w:val="en-GB"/>
        </w:rPr>
        <w:t>Accounting Review</w:t>
      </w:r>
      <w:r w:rsidRPr="00D272CC">
        <w:rPr>
          <w:lang w:val="en-GB"/>
        </w:rPr>
        <w:t>, 83</w:t>
      </w:r>
      <w:r w:rsidRPr="00D272CC">
        <w:rPr>
          <w:i/>
          <w:lang w:val="en-GB"/>
        </w:rPr>
        <w:t xml:space="preserve"> </w:t>
      </w:r>
      <w:r w:rsidRPr="00D272CC">
        <w:rPr>
          <w:lang w:val="en-GB"/>
        </w:rPr>
        <w:t>(2), 447–478.</w:t>
      </w:r>
    </w:p>
    <w:p w14:paraId="7258FAD0" w14:textId="77777777" w:rsidR="00BA7C92" w:rsidRDefault="00BF6428" w:rsidP="00386416">
      <w:pPr>
        <w:pStyle w:val="References"/>
      </w:pPr>
      <w:r>
        <w:rPr>
          <w:lang w:val="de-DE"/>
        </w:rPr>
        <w:t>Lindahl, F. and Schadéwitz, H., 2013</w:t>
      </w:r>
      <w:r w:rsidRPr="009A3675">
        <w:rPr>
          <w:lang w:val="de-DE"/>
        </w:rPr>
        <w:t xml:space="preserve">. </w:t>
      </w:r>
      <w:r>
        <w:t xml:space="preserve">Are legal families related to financial reporting quality? </w:t>
      </w:r>
      <w:r w:rsidRPr="00ED32EF">
        <w:rPr>
          <w:i/>
        </w:rPr>
        <w:t>Abacus</w:t>
      </w:r>
      <w:r w:rsidRPr="00B67B06">
        <w:t xml:space="preserve">, </w:t>
      </w:r>
      <w:r w:rsidR="005A7B11" w:rsidRPr="007A50EF">
        <w:t>49</w:t>
      </w:r>
      <w:r>
        <w:rPr>
          <w:i/>
        </w:rPr>
        <w:t xml:space="preserve"> </w:t>
      </w:r>
      <w:r>
        <w:t>(2), 242</w:t>
      </w:r>
      <w:r w:rsidR="00746FA0" w:rsidRPr="00D272CC">
        <w:rPr>
          <w:lang w:val="en-GB"/>
        </w:rPr>
        <w:t>–</w:t>
      </w:r>
      <w:r>
        <w:t>267.</w:t>
      </w:r>
    </w:p>
    <w:p w14:paraId="5A9AFDFD" w14:textId="77777777" w:rsidR="00150305" w:rsidRDefault="00150305" w:rsidP="00386416">
      <w:pPr>
        <w:pStyle w:val="References"/>
        <w:rPr>
          <w:lang w:val="en-GB"/>
        </w:rPr>
      </w:pPr>
      <w:r>
        <w:t>MacNeal, K.</w:t>
      </w:r>
      <w:r w:rsidR="0033486C">
        <w:t>,</w:t>
      </w:r>
      <w:r>
        <w:t xml:space="preserve"> 1939. </w:t>
      </w:r>
      <w:r w:rsidR="00400FB4" w:rsidRPr="009D312A">
        <w:rPr>
          <w:i/>
        </w:rPr>
        <w:t>Truth in accounting</w:t>
      </w:r>
      <w:r>
        <w:t>.</w:t>
      </w:r>
      <w:r w:rsidRPr="00150305">
        <w:rPr>
          <w:lang w:val="en-GB"/>
        </w:rPr>
        <w:t xml:space="preserve"> </w:t>
      </w:r>
      <w:r w:rsidR="00B27B6E">
        <w:rPr>
          <w:lang w:val="en-GB"/>
        </w:rPr>
        <w:t>Philadelphia</w:t>
      </w:r>
      <w:r w:rsidR="00746FA0">
        <w:rPr>
          <w:lang w:val="en-GB"/>
        </w:rPr>
        <w:t xml:space="preserve">, </w:t>
      </w:r>
      <w:r w:rsidR="00B27B6E">
        <w:rPr>
          <w:lang w:val="en-GB"/>
        </w:rPr>
        <w:t>PA</w:t>
      </w:r>
      <w:r>
        <w:rPr>
          <w:lang w:val="en-GB"/>
        </w:rPr>
        <w:t xml:space="preserve">: </w:t>
      </w:r>
      <w:r w:rsidR="00B27B6E">
        <w:rPr>
          <w:lang w:val="en-GB"/>
        </w:rPr>
        <w:t>University of Pennsylvania Press</w:t>
      </w:r>
      <w:r>
        <w:rPr>
          <w:lang w:val="en-GB"/>
        </w:rPr>
        <w:t>.</w:t>
      </w:r>
    </w:p>
    <w:p w14:paraId="070EB9A4" w14:textId="77777777" w:rsidR="00E03381" w:rsidRDefault="00150305" w:rsidP="009D312A">
      <w:pPr>
        <w:pStyle w:val="References"/>
        <w:rPr>
          <w:lang w:val="en-GB"/>
        </w:rPr>
      </w:pPr>
      <w:r>
        <w:rPr>
          <w:lang w:val="en-GB"/>
        </w:rPr>
        <w:t>Macve, R.</w:t>
      </w:r>
      <w:r w:rsidR="001D5A20">
        <w:rPr>
          <w:lang w:val="en-GB"/>
        </w:rPr>
        <w:t>H.</w:t>
      </w:r>
      <w:r>
        <w:rPr>
          <w:lang w:val="en-GB"/>
        </w:rPr>
        <w:t>, 20</w:t>
      </w:r>
      <w:r w:rsidR="001D5A20">
        <w:rPr>
          <w:lang w:val="en-GB"/>
        </w:rPr>
        <w:t>14</w:t>
      </w:r>
      <w:r w:rsidR="0019712E">
        <w:rPr>
          <w:lang w:val="en-GB"/>
        </w:rPr>
        <w:t>a</w:t>
      </w:r>
      <w:r>
        <w:rPr>
          <w:lang w:val="en-GB"/>
        </w:rPr>
        <w:t xml:space="preserve">. </w:t>
      </w:r>
      <w:r w:rsidR="001D5A20" w:rsidRPr="001D5A20">
        <w:rPr>
          <w:lang w:val="en-GB"/>
        </w:rPr>
        <w:t>Fair value vs conservatism? Aspects of the history of accounting, auditing, business and finance from ancient Mesopotamia to modern China</w:t>
      </w:r>
      <w:r>
        <w:rPr>
          <w:lang w:val="en-GB"/>
        </w:rPr>
        <w:t>.</w:t>
      </w:r>
      <w:r w:rsidRPr="00922913">
        <w:rPr>
          <w:i/>
          <w:lang w:val="en-GB"/>
        </w:rPr>
        <w:t xml:space="preserve"> </w:t>
      </w:r>
      <w:r w:rsidR="001D5A20">
        <w:rPr>
          <w:i/>
          <w:lang w:val="en-GB"/>
        </w:rPr>
        <w:t>British</w:t>
      </w:r>
      <w:r w:rsidRPr="00D272CC">
        <w:rPr>
          <w:i/>
          <w:lang w:val="en-GB"/>
        </w:rPr>
        <w:t xml:space="preserve"> Accounting Review</w:t>
      </w:r>
      <w:r w:rsidRPr="000C43F3">
        <w:rPr>
          <w:lang w:val="en-GB"/>
        </w:rPr>
        <w:t>,</w:t>
      </w:r>
      <w:r w:rsidR="00E97D9D">
        <w:rPr>
          <w:lang w:val="en-GB"/>
        </w:rPr>
        <w:t xml:space="preserve"> </w:t>
      </w:r>
      <w:r w:rsidR="001D5A20">
        <w:rPr>
          <w:lang w:val="en-GB"/>
        </w:rPr>
        <w:t>forthcoming</w:t>
      </w:r>
      <w:r w:rsidRPr="000C43F3">
        <w:rPr>
          <w:lang w:val="en-GB"/>
        </w:rPr>
        <w:t>.</w:t>
      </w:r>
    </w:p>
    <w:p w14:paraId="5AF47D2D" w14:textId="77777777" w:rsidR="0019712E" w:rsidRPr="009D312A" w:rsidRDefault="0019712E" w:rsidP="0019712E">
      <w:pPr>
        <w:pStyle w:val="References"/>
        <w:rPr>
          <w:lang w:val="en-GB"/>
        </w:rPr>
      </w:pPr>
      <w:r>
        <w:rPr>
          <w:lang w:val="en-GB"/>
        </w:rPr>
        <w:t xml:space="preserve">Macve, R.H., 2014b. </w:t>
      </w:r>
      <w:r w:rsidRPr="00592324">
        <w:rPr>
          <w:lang w:val="en-GB"/>
        </w:rPr>
        <w:t>What should be the nature and role of a revised Conceptual Framework for International Accounting Standards?</w:t>
      </w:r>
      <w:r>
        <w:rPr>
          <w:lang w:val="en-GB"/>
        </w:rPr>
        <w:t xml:space="preserve"> </w:t>
      </w:r>
      <w:r w:rsidRPr="00592324">
        <w:rPr>
          <w:i/>
          <w:lang w:val="en-GB"/>
        </w:rPr>
        <w:t>China Journal of Accounting Studies</w:t>
      </w:r>
      <w:r>
        <w:rPr>
          <w:lang w:val="en-GB"/>
        </w:rPr>
        <w:t>, 2 (2), 77</w:t>
      </w:r>
      <w:r w:rsidRPr="00D272CC">
        <w:rPr>
          <w:lang w:val="en-GB"/>
        </w:rPr>
        <w:t>–</w:t>
      </w:r>
      <w:r>
        <w:rPr>
          <w:lang w:val="en-GB"/>
        </w:rPr>
        <w:t>95</w:t>
      </w:r>
      <w:r w:rsidRPr="000C43F3">
        <w:rPr>
          <w:lang w:val="en-GB"/>
        </w:rPr>
        <w:t>.</w:t>
      </w:r>
    </w:p>
    <w:p w14:paraId="707314D1" w14:textId="77777777" w:rsidR="008D0ED4" w:rsidRDefault="00660A01" w:rsidP="00150305">
      <w:pPr>
        <w:pStyle w:val="References"/>
        <w:rPr>
          <w:lang w:val="en-GB"/>
        </w:rPr>
      </w:pPr>
      <w:r w:rsidRPr="00D272CC">
        <w:rPr>
          <w:lang w:val="en-GB"/>
        </w:rPr>
        <w:t>Maines, L.A. and Wahlen, J.M.</w:t>
      </w:r>
      <w:r w:rsidR="00D669F1" w:rsidRPr="00D272CC">
        <w:rPr>
          <w:lang w:val="en-GB"/>
        </w:rPr>
        <w:t>,</w:t>
      </w:r>
      <w:r w:rsidRPr="00D272CC">
        <w:rPr>
          <w:lang w:val="en-GB"/>
        </w:rPr>
        <w:t xml:space="preserve"> 2006. The nature of accounting information reliability: inferences from archival and experimental research. </w:t>
      </w:r>
      <w:r w:rsidRPr="00D272CC">
        <w:rPr>
          <w:i/>
          <w:lang w:val="en-GB"/>
        </w:rPr>
        <w:t>Accounting Horizons</w:t>
      </w:r>
      <w:r w:rsidRPr="00D272CC">
        <w:rPr>
          <w:lang w:val="en-GB"/>
        </w:rPr>
        <w:t>, 20</w:t>
      </w:r>
      <w:r w:rsidR="00D669F1" w:rsidRPr="00D272CC">
        <w:rPr>
          <w:i/>
          <w:lang w:val="en-GB"/>
        </w:rPr>
        <w:t xml:space="preserve"> </w:t>
      </w:r>
      <w:r w:rsidRPr="00D272CC">
        <w:rPr>
          <w:lang w:val="en-GB"/>
        </w:rPr>
        <w:t>(4), 399</w:t>
      </w:r>
      <w:r w:rsidR="00E56E7F" w:rsidRPr="00D272CC">
        <w:rPr>
          <w:lang w:val="en-GB"/>
        </w:rPr>
        <w:t>–</w:t>
      </w:r>
      <w:r w:rsidRPr="00D272CC">
        <w:rPr>
          <w:lang w:val="en-GB"/>
        </w:rPr>
        <w:t>425.</w:t>
      </w:r>
    </w:p>
    <w:p w14:paraId="09F27E3B" w14:textId="77777777" w:rsidR="008B54D9" w:rsidRDefault="008B54D9" w:rsidP="00150305">
      <w:pPr>
        <w:pStyle w:val="References"/>
        <w:rPr>
          <w:lang w:val="en-GB"/>
        </w:rPr>
      </w:pPr>
      <w:r>
        <w:rPr>
          <w:lang w:val="en-GB"/>
        </w:rPr>
        <w:t xml:space="preserve">McSweeney, B., 2002. Hofstede’s model of national cultural differences and their consequences: a triumph of faith </w:t>
      </w:r>
      <w:r w:rsidR="00EE40FC">
        <w:rPr>
          <w:lang w:val="en-GB"/>
        </w:rPr>
        <w:t>–</w:t>
      </w:r>
      <w:r>
        <w:rPr>
          <w:lang w:val="en-GB"/>
        </w:rPr>
        <w:t xml:space="preserve"> a failure of analysis</w:t>
      </w:r>
      <w:r w:rsidR="00D352FA">
        <w:rPr>
          <w:lang w:val="en-GB"/>
        </w:rPr>
        <w:t>.</w:t>
      </w:r>
      <w:r>
        <w:rPr>
          <w:lang w:val="en-GB"/>
        </w:rPr>
        <w:t xml:space="preserve"> </w:t>
      </w:r>
      <w:r w:rsidRPr="008E4A3B">
        <w:rPr>
          <w:i/>
          <w:lang w:val="en-GB"/>
        </w:rPr>
        <w:t>Human Relations</w:t>
      </w:r>
      <w:r>
        <w:rPr>
          <w:lang w:val="en-GB"/>
        </w:rPr>
        <w:t>, 55 (1), 89</w:t>
      </w:r>
      <w:r w:rsidR="00EE40FC" w:rsidRPr="00D272CC">
        <w:rPr>
          <w:lang w:val="en-GB"/>
        </w:rPr>
        <w:t>–</w:t>
      </w:r>
      <w:r>
        <w:rPr>
          <w:lang w:val="en-GB"/>
        </w:rPr>
        <w:t>118.</w:t>
      </w:r>
    </w:p>
    <w:p w14:paraId="36E14AEA" w14:textId="77777777" w:rsidR="00E878E0" w:rsidRPr="00D272CC" w:rsidRDefault="00E878E0" w:rsidP="00150305">
      <w:pPr>
        <w:pStyle w:val="References"/>
        <w:rPr>
          <w:lang w:val="en-GB"/>
        </w:rPr>
      </w:pPr>
      <w:r>
        <w:rPr>
          <w:lang w:val="en-GB"/>
        </w:rPr>
        <w:t>Nobes, C.W., 198</w:t>
      </w:r>
      <w:r w:rsidR="00355343">
        <w:rPr>
          <w:lang w:val="en-GB"/>
        </w:rPr>
        <w:t>3</w:t>
      </w:r>
      <w:r>
        <w:rPr>
          <w:lang w:val="en-GB"/>
        </w:rPr>
        <w:t xml:space="preserve">. The evolution of the harmonising provisions of the 1980 and 1981 Companies Acts. </w:t>
      </w:r>
      <w:r w:rsidRPr="00D272CC">
        <w:rPr>
          <w:i/>
          <w:lang w:val="en-GB"/>
        </w:rPr>
        <w:t>Accounting and Business Research</w:t>
      </w:r>
      <w:r w:rsidRPr="00D272CC">
        <w:rPr>
          <w:lang w:val="en-GB"/>
        </w:rPr>
        <w:t>,</w:t>
      </w:r>
      <w:r>
        <w:rPr>
          <w:lang w:val="en-GB"/>
        </w:rPr>
        <w:t xml:space="preserve"> 14</w:t>
      </w:r>
      <w:r w:rsidRPr="00D272CC">
        <w:rPr>
          <w:i/>
          <w:lang w:val="en-GB"/>
        </w:rPr>
        <w:t xml:space="preserve"> </w:t>
      </w:r>
      <w:r>
        <w:rPr>
          <w:lang w:val="en-GB"/>
        </w:rPr>
        <w:t>(53</w:t>
      </w:r>
      <w:r w:rsidRPr="00D272CC">
        <w:rPr>
          <w:lang w:val="en-GB"/>
        </w:rPr>
        <w:t>),</w:t>
      </w:r>
      <w:r>
        <w:rPr>
          <w:lang w:val="en-GB"/>
        </w:rPr>
        <w:t xml:space="preserve"> 43</w:t>
      </w:r>
      <w:r w:rsidR="00746FA0" w:rsidRPr="00D272CC">
        <w:rPr>
          <w:lang w:val="en-GB"/>
        </w:rPr>
        <w:t>–</w:t>
      </w:r>
      <w:r>
        <w:rPr>
          <w:lang w:val="en-GB"/>
        </w:rPr>
        <w:t>53.</w:t>
      </w:r>
    </w:p>
    <w:p w14:paraId="7C03D6A9" w14:textId="77777777" w:rsidR="00660A01" w:rsidRPr="00D272CC" w:rsidRDefault="00660A01" w:rsidP="00660A01">
      <w:pPr>
        <w:pStyle w:val="References"/>
        <w:rPr>
          <w:lang w:val="en-GB"/>
        </w:rPr>
      </w:pPr>
      <w:r w:rsidRPr="00D272CC">
        <w:rPr>
          <w:lang w:val="en-GB"/>
        </w:rPr>
        <w:t>Nobes, C.W.</w:t>
      </w:r>
      <w:r w:rsidR="00D669F1" w:rsidRPr="00D272CC">
        <w:rPr>
          <w:lang w:val="en-GB"/>
        </w:rPr>
        <w:t>,</w:t>
      </w:r>
      <w:r w:rsidRPr="00D272CC">
        <w:rPr>
          <w:lang w:val="en-GB"/>
        </w:rPr>
        <w:t xml:space="preserve"> 2009. The importance of being fair: an analysis of IFRS regulation and practice</w:t>
      </w:r>
      <w:r w:rsidR="008C3364" w:rsidRPr="00D272CC">
        <w:rPr>
          <w:lang w:val="en-GB"/>
        </w:rPr>
        <w:t xml:space="preserve"> – a comment</w:t>
      </w:r>
      <w:r w:rsidRPr="00D272CC">
        <w:rPr>
          <w:lang w:val="en-GB"/>
        </w:rPr>
        <w:t xml:space="preserve">. </w:t>
      </w:r>
      <w:r w:rsidRPr="00D272CC">
        <w:rPr>
          <w:i/>
          <w:lang w:val="en-GB"/>
        </w:rPr>
        <w:t>Accounting and Business Research</w:t>
      </w:r>
      <w:r w:rsidRPr="00D272CC">
        <w:rPr>
          <w:lang w:val="en-GB"/>
        </w:rPr>
        <w:t>, 39</w:t>
      </w:r>
      <w:r w:rsidR="00D669F1" w:rsidRPr="00D272CC">
        <w:rPr>
          <w:i/>
          <w:lang w:val="en-GB"/>
        </w:rPr>
        <w:t xml:space="preserve"> </w:t>
      </w:r>
      <w:r w:rsidRPr="00D272CC">
        <w:rPr>
          <w:lang w:val="en-GB"/>
        </w:rPr>
        <w:t>(4), 415</w:t>
      </w:r>
      <w:r w:rsidR="00E56E7F" w:rsidRPr="00D272CC">
        <w:rPr>
          <w:lang w:val="en-GB"/>
        </w:rPr>
        <w:t>–</w:t>
      </w:r>
      <w:r w:rsidRPr="00D272CC">
        <w:rPr>
          <w:lang w:val="en-GB"/>
        </w:rPr>
        <w:t>427.</w:t>
      </w:r>
    </w:p>
    <w:p w14:paraId="3A4F0190" w14:textId="77777777" w:rsidR="00660A01" w:rsidRDefault="00660A01" w:rsidP="00660A01">
      <w:pPr>
        <w:pStyle w:val="References"/>
        <w:rPr>
          <w:lang w:val="en-GB"/>
        </w:rPr>
      </w:pPr>
      <w:r w:rsidRPr="00D272CC">
        <w:rPr>
          <w:lang w:val="en-GB"/>
        </w:rPr>
        <w:t>Nobes, C.W. and Stadler, C.</w:t>
      </w:r>
      <w:r w:rsidR="00D669F1" w:rsidRPr="00D272CC">
        <w:rPr>
          <w:lang w:val="en-GB"/>
        </w:rPr>
        <w:t>,</w:t>
      </w:r>
      <w:r w:rsidRPr="00D272CC">
        <w:rPr>
          <w:lang w:val="en-GB"/>
        </w:rPr>
        <w:t xml:space="preserve"> 2013. How arbitrary are international accounting classifications? Lessons from centuries of classifying in many disciplines, and experiments with IFRS data. </w:t>
      </w:r>
      <w:r w:rsidRPr="00D272CC">
        <w:rPr>
          <w:i/>
          <w:lang w:val="en-GB"/>
        </w:rPr>
        <w:t>Accounting, Organizations and Society</w:t>
      </w:r>
      <w:r w:rsidRPr="00D272CC">
        <w:rPr>
          <w:lang w:val="en-GB"/>
        </w:rPr>
        <w:t>, 38</w:t>
      </w:r>
      <w:r w:rsidR="00D669F1" w:rsidRPr="00D272CC">
        <w:rPr>
          <w:i/>
          <w:lang w:val="en-GB"/>
        </w:rPr>
        <w:t xml:space="preserve"> </w:t>
      </w:r>
      <w:r w:rsidRPr="00D272CC">
        <w:rPr>
          <w:lang w:val="en-GB"/>
        </w:rPr>
        <w:t>(8), 573</w:t>
      </w:r>
      <w:r w:rsidR="00E56E7F" w:rsidRPr="00D272CC">
        <w:rPr>
          <w:lang w:val="en-GB"/>
        </w:rPr>
        <w:t>–</w:t>
      </w:r>
      <w:r w:rsidRPr="00D272CC">
        <w:rPr>
          <w:lang w:val="en-GB"/>
        </w:rPr>
        <w:t>595.</w:t>
      </w:r>
    </w:p>
    <w:p w14:paraId="03FBC802" w14:textId="77777777" w:rsidR="00150305" w:rsidRPr="00D272CC" w:rsidRDefault="00150305" w:rsidP="00660A01">
      <w:pPr>
        <w:pStyle w:val="References"/>
        <w:rPr>
          <w:lang w:val="en-GB"/>
        </w:rPr>
      </w:pPr>
      <w:r>
        <w:rPr>
          <w:lang w:val="en-GB"/>
        </w:rPr>
        <w:t xml:space="preserve">Paton, W.A., 1922. </w:t>
      </w:r>
      <w:r>
        <w:rPr>
          <w:i/>
          <w:lang w:val="en-GB"/>
        </w:rPr>
        <w:t>Accounting t</w:t>
      </w:r>
      <w:r w:rsidR="00400FB4" w:rsidRPr="009D312A">
        <w:rPr>
          <w:i/>
          <w:lang w:val="en-GB"/>
        </w:rPr>
        <w:t>heory</w:t>
      </w:r>
      <w:r w:rsidR="00B27B6E">
        <w:rPr>
          <w:i/>
          <w:lang w:val="en-GB"/>
        </w:rPr>
        <w:t>: with special reference to the corporate enterprise</w:t>
      </w:r>
      <w:r>
        <w:rPr>
          <w:lang w:val="en-GB"/>
        </w:rPr>
        <w:t>. New York</w:t>
      </w:r>
      <w:r w:rsidR="00746FA0">
        <w:rPr>
          <w:lang w:val="en-GB"/>
        </w:rPr>
        <w:t>, NY</w:t>
      </w:r>
      <w:r>
        <w:rPr>
          <w:lang w:val="en-GB"/>
        </w:rPr>
        <w:t>: Ronald Press.</w:t>
      </w:r>
    </w:p>
    <w:p w14:paraId="6D34AE45" w14:textId="77777777" w:rsidR="00C37E21" w:rsidRPr="00D272CC" w:rsidRDefault="00C37E21" w:rsidP="00660A01">
      <w:pPr>
        <w:pStyle w:val="References"/>
        <w:rPr>
          <w:lang w:val="en-GB"/>
        </w:rPr>
      </w:pPr>
      <w:r w:rsidRPr="00D272CC">
        <w:rPr>
          <w:lang w:val="en-GB"/>
        </w:rPr>
        <w:t xml:space="preserve">Power, M., 2010. Fair value accounting, financial economics and the transformation of reliability. </w:t>
      </w:r>
      <w:r w:rsidRPr="00D272CC">
        <w:rPr>
          <w:i/>
          <w:lang w:val="en-GB"/>
        </w:rPr>
        <w:t>Accounting and Business Research</w:t>
      </w:r>
      <w:r w:rsidR="00554735" w:rsidRPr="00D272CC">
        <w:rPr>
          <w:i/>
          <w:lang w:val="en-GB"/>
        </w:rPr>
        <w:t>, International Accounting Policy Forum</w:t>
      </w:r>
      <w:r w:rsidRPr="00D272CC">
        <w:rPr>
          <w:lang w:val="en-GB"/>
        </w:rPr>
        <w:t>, 40 (3), 197–210.</w:t>
      </w:r>
    </w:p>
    <w:p w14:paraId="190E7A17" w14:textId="77777777" w:rsidR="00660A01" w:rsidRDefault="00660A01" w:rsidP="00660A01">
      <w:pPr>
        <w:pStyle w:val="References"/>
        <w:rPr>
          <w:lang w:val="en-GB"/>
        </w:rPr>
      </w:pPr>
      <w:r w:rsidRPr="00D272CC">
        <w:rPr>
          <w:lang w:val="en-GB"/>
        </w:rPr>
        <w:t>Rutherford, B.</w:t>
      </w:r>
      <w:r w:rsidR="00422ECE" w:rsidRPr="00D272CC">
        <w:rPr>
          <w:lang w:val="en-GB"/>
        </w:rPr>
        <w:t>A.</w:t>
      </w:r>
      <w:r w:rsidR="00D669F1" w:rsidRPr="00D272CC">
        <w:rPr>
          <w:lang w:val="en-GB"/>
        </w:rPr>
        <w:t>,</w:t>
      </w:r>
      <w:r w:rsidRPr="00D272CC">
        <w:rPr>
          <w:lang w:val="en-GB"/>
        </w:rPr>
        <w:t xml:space="preserve"> 2007. </w:t>
      </w:r>
      <w:r w:rsidRPr="00D272CC">
        <w:rPr>
          <w:i/>
          <w:lang w:val="en-GB"/>
        </w:rPr>
        <w:t xml:space="preserve">Financial reporting in the UK: </w:t>
      </w:r>
      <w:r w:rsidR="00422ECE" w:rsidRPr="00D272CC">
        <w:rPr>
          <w:i/>
          <w:lang w:val="en-GB"/>
        </w:rPr>
        <w:t>a</w:t>
      </w:r>
      <w:r w:rsidRPr="00D272CC">
        <w:rPr>
          <w:i/>
          <w:lang w:val="en-GB"/>
        </w:rPr>
        <w:t xml:space="preserve"> history of the Accounting Standards Committee</w:t>
      </w:r>
      <w:r w:rsidR="00422ECE" w:rsidRPr="00D272CC">
        <w:rPr>
          <w:i/>
          <w:lang w:val="en-GB"/>
        </w:rPr>
        <w:t>,</w:t>
      </w:r>
      <w:r w:rsidRPr="00D272CC">
        <w:rPr>
          <w:i/>
          <w:lang w:val="en-GB"/>
        </w:rPr>
        <w:t xml:space="preserve"> 1969–1990</w:t>
      </w:r>
      <w:r w:rsidRPr="00D272CC">
        <w:rPr>
          <w:lang w:val="en-GB"/>
        </w:rPr>
        <w:t>. London: Routledge.</w:t>
      </w:r>
    </w:p>
    <w:p w14:paraId="5B6E82EB" w14:textId="77777777" w:rsidR="00F72C6D" w:rsidRPr="00D272CC" w:rsidRDefault="00F72C6D" w:rsidP="00660A01">
      <w:pPr>
        <w:pStyle w:val="References"/>
        <w:rPr>
          <w:lang w:val="en-GB"/>
        </w:rPr>
      </w:pPr>
      <w:r>
        <w:rPr>
          <w:lang w:val="en-GB"/>
        </w:rPr>
        <w:t>Schattke, R.W., 1972. An analysis of Accounting Principles Board Statement No. 4</w:t>
      </w:r>
      <w:r w:rsidR="00746FA0">
        <w:rPr>
          <w:lang w:val="en-GB"/>
        </w:rPr>
        <w:t>.</w:t>
      </w:r>
      <w:r>
        <w:rPr>
          <w:lang w:val="en-GB"/>
        </w:rPr>
        <w:t xml:space="preserve"> </w:t>
      </w:r>
      <w:r w:rsidR="00400FB4" w:rsidRPr="009D312A">
        <w:rPr>
          <w:i/>
          <w:lang w:val="en-GB"/>
        </w:rPr>
        <w:t>Accounting Review</w:t>
      </w:r>
      <w:r>
        <w:rPr>
          <w:lang w:val="en-GB"/>
        </w:rPr>
        <w:t>, 47</w:t>
      </w:r>
      <w:r w:rsidR="00E878E0">
        <w:rPr>
          <w:lang w:val="en-GB"/>
        </w:rPr>
        <w:t xml:space="preserve"> </w:t>
      </w:r>
      <w:r>
        <w:rPr>
          <w:lang w:val="en-GB"/>
        </w:rPr>
        <w:t>(2), 233</w:t>
      </w:r>
      <w:r w:rsidR="00746FA0" w:rsidRPr="00D272CC">
        <w:rPr>
          <w:lang w:val="en-GB"/>
        </w:rPr>
        <w:t>–</w:t>
      </w:r>
      <w:r>
        <w:rPr>
          <w:lang w:val="en-GB"/>
        </w:rPr>
        <w:t>244.</w:t>
      </w:r>
    </w:p>
    <w:p w14:paraId="39A164E9" w14:textId="77777777" w:rsidR="00660A01" w:rsidRPr="00D272CC" w:rsidRDefault="00660A01" w:rsidP="00660A01">
      <w:pPr>
        <w:pStyle w:val="References"/>
        <w:rPr>
          <w:lang w:val="en-GB"/>
        </w:rPr>
      </w:pPr>
      <w:r w:rsidRPr="00D272CC">
        <w:rPr>
          <w:lang w:val="en-GB"/>
        </w:rPr>
        <w:t>Smith, M. and Taffler, R.</w:t>
      </w:r>
      <w:r w:rsidR="00D669F1" w:rsidRPr="00D272CC">
        <w:rPr>
          <w:lang w:val="en-GB"/>
        </w:rPr>
        <w:t>,</w:t>
      </w:r>
      <w:r w:rsidRPr="00D272CC">
        <w:rPr>
          <w:lang w:val="en-GB"/>
        </w:rPr>
        <w:t xml:space="preserve"> 1992. Readability and understandability: different measures of the textual complexity of accounting narrative. </w:t>
      </w:r>
      <w:r w:rsidRPr="00D272CC">
        <w:rPr>
          <w:i/>
          <w:lang w:val="en-GB"/>
        </w:rPr>
        <w:t>Accounting, Auditing &amp; Accountability Journal</w:t>
      </w:r>
      <w:r w:rsidRPr="00D272CC">
        <w:rPr>
          <w:lang w:val="en-GB"/>
        </w:rPr>
        <w:t>, 5</w:t>
      </w:r>
      <w:r w:rsidR="00D669F1" w:rsidRPr="00D272CC">
        <w:rPr>
          <w:i/>
          <w:lang w:val="en-GB"/>
        </w:rPr>
        <w:t xml:space="preserve"> </w:t>
      </w:r>
      <w:r w:rsidRPr="00D272CC">
        <w:rPr>
          <w:lang w:val="en-GB"/>
        </w:rPr>
        <w:t>(4), 84</w:t>
      </w:r>
      <w:r w:rsidR="00E56E7F" w:rsidRPr="00D272CC">
        <w:rPr>
          <w:lang w:val="en-GB"/>
        </w:rPr>
        <w:t>–</w:t>
      </w:r>
      <w:r w:rsidRPr="00D272CC">
        <w:rPr>
          <w:lang w:val="en-GB"/>
        </w:rPr>
        <w:t>98.</w:t>
      </w:r>
    </w:p>
    <w:p w14:paraId="7FA91BED" w14:textId="77777777" w:rsidR="00660A01" w:rsidRPr="00D272CC" w:rsidRDefault="00660A01" w:rsidP="00660A01">
      <w:pPr>
        <w:pStyle w:val="References"/>
        <w:rPr>
          <w:lang w:val="en-GB"/>
        </w:rPr>
      </w:pPr>
      <w:r w:rsidRPr="00D272CC">
        <w:rPr>
          <w:lang w:val="en-GB"/>
        </w:rPr>
        <w:t>Sterling, R.R.</w:t>
      </w:r>
      <w:r w:rsidR="00D669F1" w:rsidRPr="00D272CC">
        <w:rPr>
          <w:lang w:val="en-GB"/>
        </w:rPr>
        <w:t>,</w:t>
      </w:r>
      <w:r w:rsidRPr="00D272CC">
        <w:rPr>
          <w:lang w:val="en-GB"/>
        </w:rPr>
        <w:t xml:space="preserve"> 1967. A Statement of Basic Accounting Theory: </w:t>
      </w:r>
      <w:r w:rsidR="00422ECE" w:rsidRPr="00D272CC">
        <w:rPr>
          <w:lang w:val="en-GB"/>
        </w:rPr>
        <w:t>a</w:t>
      </w:r>
      <w:r w:rsidRPr="00D272CC">
        <w:rPr>
          <w:lang w:val="en-GB"/>
        </w:rPr>
        <w:t xml:space="preserve"> review article. </w:t>
      </w:r>
      <w:r w:rsidRPr="00D272CC">
        <w:rPr>
          <w:i/>
          <w:lang w:val="en-GB"/>
        </w:rPr>
        <w:t>Journal of Accounting Research</w:t>
      </w:r>
      <w:r w:rsidR="00A12EF4" w:rsidRPr="00A12EF4">
        <w:rPr>
          <w:lang w:val="en-GB"/>
        </w:rPr>
        <w:t>,</w:t>
      </w:r>
      <w:r w:rsidRPr="00D272CC">
        <w:rPr>
          <w:i/>
          <w:lang w:val="en-GB"/>
        </w:rPr>
        <w:t xml:space="preserve"> </w:t>
      </w:r>
      <w:r w:rsidRPr="00D272CC">
        <w:rPr>
          <w:lang w:val="en-GB"/>
        </w:rPr>
        <w:t>5</w:t>
      </w:r>
      <w:r w:rsidR="00D669F1" w:rsidRPr="00D272CC">
        <w:rPr>
          <w:i/>
          <w:lang w:val="en-GB"/>
        </w:rPr>
        <w:t xml:space="preserve"> </w:t>
      </w:r>
      <w:r w:rsidRPr="00D272CC">
        <w:rPr>
          <w:lang w:val="en-GB"/>
        </w:rPr>
        <w:t>(1), 95</w:t>
      </w:r>
      <w:r w:rsidR="00E56E7F" w:rsidRPr="00D272CC">
        <w:rPr>
          <w:lang w:val="en-GB"/>
        </w:rPr>
        <w:t>–</w:t>
      </w:r>
      <w:r w:rsidRPr="00D272CC">
        <w:rPr>
          <w:lang w:val="en-GB"/>
        </w:rPr>
        <w:t>112.</w:t>
      </w:r>
    </w:p>
    <w:p w14:paraId="15A158C6" w14:textId="77777777" w:rsidR="002B0C2C" w:rsidRDefault="002B0C2C" w:rsidP="00660A01">
      <w:pPr>
        <w:pStyle w:val="References"/>
      </w:pPr>
      <w:r>
        <w:t>Sweeney, A.P</w:t>
      </w:r>
      <w:r w:rsidRPr="00062F0D">
        <w:t>.</w:t>
      </w:r>
      <w:r>
        <w:t>,</w:t>
      </w:r>
      <w:r w:rsidRPr="00062F0D">
        <w:t xml:space="preserve"> 19</w:t>
      </w:r>
      <w:r>
        <w:t xml:space="preserve">94. </w:t>
      </w:r>
      <w:r w:rsidRPr="009D1222">
        <w:t>Debt-c</w:t>
      </w:r>
      <w:r>
        <w:t>ovenant violations and managers’</w:t>
      </w:r>
      <w:r w:rsidRPr="009D1222">
        <w:t xml:space="preserve"> </w:t>
      </w:r>
      <w:r>
        <w:t>a</w:t>
      </w:r>
      <w:r w:rsidRPr="009D1222">
        <w:t xml:space="preserve">ccounting </w:t>
      </w:r>
      <w:r>
        <w:t>r</w:t>
      </w:r>
      <w:r w:rsidRPr="009D1222">
        <w:t>esponses</w:t>
      </w:r>
      <w:r>
        <w:t>.</w:t>
      </w:r>
      <w:r w:rsidRPr="00D5508F">
        <w:t xml:space="preserve"> </w:t>
      </w:r>
      <w:r>
        <w:rPr>
          <w:i/>
        </w:rPr>
        <w:t xml:space="preserve">Journal of </w:t>
      </w:r>
      <w:r w:rsidRPr="00D5508F">
        <w:rPr>
          <w:i/>
        </w:rPr>
        <w:t xml:space="preserve">Accounting </w:t>
      </w:r>
      <w:r>
        <w:rPr>
          <w:i/>
        </w:rPr>
        <w:t>and Economics</w:t>
      </w:r>
      <w:r>
        <w:t xml:space="preserve">, 17 (3), </w:t>
      </w:r>
      <w:r w:rsidR="002459AE">
        <w:t>281</w:t>
      </w:r>
      <w:r w:rsidR="002459AE" w:rsidRPr="00D272CC">
        <w:rPr>
          <w:lang w:val="en-GB"/>
        </w:rPr>
        <w:t>–</w:t>
      </w:r>
      <w:r w:rsidR="002459AE">
        <w:t>308</w:t>
      </w:r>
      <w:r w:rsidRPr="00D5508F">
        <w:t>.</w:t>
      </w:r>
    </w:p>
    <w:p w14:paraId="69D75934" w14:textId="77777777" w:rsidR="00660A01" w:rsidRDefault="00660A01" w:rsidP="00660A01">
      <w:pPr>
        <w:pStyle w:val="References"/>
        <w:rPr>
          <w:lang w:val="en-GB"/>
        </w:rPr>
      </w:pPr>
      <w:r w:rsidRPr="00D272CC">
        <w:rPr>
          <w:lang w:val="en-GB"/>
        </w:rPr>
        <w:t>van Beest, F., Braam, G. and Boelens, S.</w:t>
      </w:r>
      <w:r w:rsidR="00D669F1" w:rsidRPr="00D272CC">
        <w:rPr>
          <w:lang w:val="en-GB"/>
        </w:rPr>
        <w:t>,</w:t>
      </w:r>
      <w:r w:rsidRPr="00D272CC">
        <w:rPr>
          <w:lang w:val="en-GB"/>
        </w:rPr>
        <w:t xml:space="preserve"> 2009. Quality of financial reporting: measuring qualitative characteristics. Radboud University Nijmegen, Working Paper.</w:t>
      </w:r>
    </w:p>
    <w:p w14:paraId="0585FF5A" w14:textId="77777777" w:rsidR="00544D74" w:rsidRDefault="00876810" w:rsidP="00544D74">
      <w:pPr>
        <w:pStyle w:val="References"/>
        <w:rPr>
          <w:rFonts w:eastAsia="Calibri"/>
          <w:color w:val="000000"/>
          <w:lang w:val="en-GB"/>
        </w:rPr>
      </w:pPr>
      <w:r w:rsidRPr="00D272CC">
        <w:rPr>
          <w:rFonts w:eastAsia="Calibri"/>
          <w:lang w:val="en-GB"/>
        </w:rPr>
        <w:t xml:space="preserve">Watts, </w:t>
      </w:r>
      <w:r w:rsidRPr="00D272CC">
        <w:rPr>
          <w:lang w:val="en-GB"/>
        </w:rPr>
        <w:t>R.L. and Zimmerman, J.L., 1978. Towards a positive theory of the determination</w:t>
      </w:r>
      <w:r w:rsidRPr="00D272CC">
        <w:rPr>
          <w:rFonts w:eastAsia="Calibri"/>
          <w:lang w:val="en-GB"/>
        </w:rPr>
        <w:t xml:space="preserve"> of</w:t>
      </w:r>
      <w:r w:rsidRPr="00D272CC">
        <w:rPr>
          <w:lang w:val="en-GB"/>
        </w:rPr>
        <w:t xml:space="preserve"> accounting standards.</w:t>
      </w:r>
      <w:r w:rsidRPr="00D272CC">
        <w:rPr>
          <w:rFonts w:eastAsia="Calibri"/>
          <w:lang w:val="en-GB"/>
        </w:rPr>
        <w:t xml:space="preserve"> </w:t>
      </w:r>
      <w:r w:rsidRPr="00D272CC">
        <w:rPr>
          <w:rFonts w:eastAsia="Calibri"/>
          <w:i/>
          <w:lang w:val="en-GB"/>
        </w:rPr>
        <w:t>Accounting Review</w:t>
      </w:r>
      <w:r w:rsidRPr="00D272CC">
        <w:rPr>
          <w:rFonts w:eastAsia="Calibri"/>
          <w:lang w:val="en-GB"/>
        </w:rPr>
        <w:t>,</w:t>
      </w:r>
      <w:r w:rsidRPr="00D272CC">
        <w:rPr>
          <w:lang w:val="en-GB"/>
        </w:rPr>
        <w:t xml:space="preserve"> 53 (1</w:t>
      </w:r>
      <w:r w:rsidRPr="00D272CC">
        <w:rPr>
          <w:rFonts w:eastAsia="Calibri"/>
          <w:lang w:val="en-GB"/>
        </w:rPr>
        <w:t xml:space="preserve">), </w:t>
      </w:r>
      <w:r w:rsidRPr="00D272CC">
        <w:rPr>
          <w:lang w:val="en-GB"/>
        </w:rPr>
        <w:t>112</w:t>
      </w:r>
      <w:r w:rsidR="003A5911" w:rsidRPr="00D272CC">
        <w:rPr>
          <w:lang w:val="en-GB"/>
        </w:rPr>
        <w:t>–</w:t>
      </w:r>
      <w:r w:rsidRPr="00D272CC">
        <w:rPr>
          <w:lang w:val="en-GB"/>
        </w:rPr>
        <w:t>134</w:t>
      </w:r>
      <w:r w:rsidRPr="00386416">
        <w:rPr>
          <w:lang w:val="en-GB"/>
        </w:rPr>
        <w:t>.</w:t>
      </w:r>
    </w:p>
    <w:p w14:paraId="00A1E2E9" w14:textId="77777777" w:rsidR="00D352FA" w:rsidRPr="00D272CC" w:rsidRDefault="00D352FA" w:rsidP="00D352FA">
      <w:pPr>
        <w:pStyle w:val="References"/>
        <w:rPr>
          <w:lang w:val="en-GB"/>
        </w:rPr>
      </w:pPr>
      <w:r w:rsidRPr="00D272CC">
        <w:rPr>
          <w:rFonts w:eastAsia="Calibri"/>
          <w:lang w:val="en-GB"/>
        </w:rPr>
        <w:t xml:space="preserve">Watts, </w:t>
      </w:r>
      <w:r w:rsidRPr="00D272CC">
        <w:rPr>
          <w:lang w:val="en-GB"/>
        </w:rPr>
        <w:t xml:space="preserve">R.L. and Zimmerman, J.L., </w:t>
      </w:r>
      <w:r w:rsidRPr="00D5508F">
        <w:t>1986</w:t>
      </w:r>
      <w:r w:rsidRPr="00D272CC">
        <w:rPr>
          <w:lang w:val="en-GB"/>
        </w:rPr>
        <w:t>.</w:t>
      </w:r>
      <w:r w:rsidRPr="00D5508F">
        <w:t xml:space="preserve"> </w:t>
      </w:r>
      <w:r w:rsidRPr="00D5508F">
        <w:rPr>
          <w:i/>
        </w:rPr>
        <w:t xml:space="preserve">Positive </w:t>
      </w:r>
      <w:r>
        <w:rPr>
          <w:i/>
        </w:rPr>
        <w:t>a</w:t>
      </w:r>
      <w:r w:rsidRPr="00D5508F">
        <w:rPr>
          <w:i/>
        </w:rPr>
        <w:t xml:space="preserve">ccounting </w:t>
      </w:r>
      <w:r>
        <w:rPr>
          <w:i/>
        </w:rPr>
        <w:t>t</w:t>
      </w:r>
      <w:r w:rsidRPr="00D5508F">
        <w:rPr>
          <w:i/>
        </w:rPr>
        <w:t>heory</w:t>
      </w:r>
      <w:r>
        <w:t>.</w:t>
      </w:r>
      <w:r w:rsidRPr="00D5508F">
        <w:t xml:space="preserve"> Upper Saddle River, NJ: Prentice Hall.</w:t>
      </w:r>
    </w:p>
    <w:p w14:paraId="5D8AB57F" w14:textId="77777777" w:rsidR="00E03381" w:rsidRPr="00386416" w:rsidRDefault="00B621FB" w:rsidP="00386416">
      <w:pPr>
        <w:pStyle w:val="References"/>
        <w:rPr>
          <w:lang w:val="en-GB"/>
        </w:rPr>
      </w:pPr>
      <w:r w:rsidRPr="00386416">
        <w:rPr>
          <w:lang w:val="en-GB"/>
        </w:rPr>
        <w:t>Whittington, G., 2008</w:t>
      </w:r>
      <w:r w:rsidR="00400FB4" w:rsidRPr="00386416">
        <w:rPr>
          <w:lang w:val="en-GB"/>
        </w:rPr>
        <w:t>.</w:t>
      </w:r>
      <w:r w:rsidR="000C43F3">
        <w:rPr>
          <w:lang w:val="en-GB"/>
        </w:rPr>
        <w:t xml:space="preserve"> Fair value and the IASB/FASB conceptual framework project: an alternative view. </w:t>
      </w:r>
      <w:r w:rsidR="000C43F3" w:rsidRPr="000C43F3">
        <w:rPr>
          <w:i/>
          <w:lang w:val="en-GB"/>
        </w:rPr>
        <w:t>Abacus</w:t>
      </w:r>
      <w:r w:rsidR="000C43F3">
        <w:rPr>
          <w:lang w:val="en-GB"/>
        </w:rPr>
        <w:t>, 44 (2), 139</w:t>
      </w:r>
      <w:r w:rsidR="000C43F3" w:rsidRPr="00D272CC">
        <w:rPr>
          <w:lang w:val="en-GB"/>
        </w:rPr>
        <w:t>–</w:t>
      </w:r>
      <w:r w:rsidR="000C43F3">
        <w:rPr>
          <w:lang w:val="en-GB"/>
        </w:rPr>
        <w:t>168.</w:t>
      </w:r>
    </w:p>
    <w:p w14:paraId="2D61B376" w14:textId="77777777" w:rsidR="006F069C" w:rsidRDefault="00660A01" w:rsidP="00D07F21">
      <w:pPr>
        <w:pStyle w:val="References"/>
        <w:rPr>
          <w:lang w:val="en-GB"/>
        </w:rPr>
      </w:pPr>
      <w:r w:rsidRPr="00D272CC">
        <w:rPr>
          <w:lang w:val="en-GB"/>
        </w:rPr>
        <w:t>Zambon, S.</w:t>
      </w:r>
      <w:r w:rsidR="00D669F1" w:rsidRPr="00D272CC">
        <w:rPr>
          <w:lang w:val="en-GB"/>
        </w:rPr>
        <w:t>,</w:t>
      </w:r>
      <w:r w:rsidRPr="00D272CC">
        <w:rPr>
          <w:lang w:val="en-GB"/>
        </w:rPr>
        <w:t xml:space="preserve"> 1996. Accounting and business economic</w:t>
      </w:r>
      <w:r w:rsidR="00D07F21">
        <w:rPr>
          <w:lang w:val="en-GB"/>
        </w:rPr>
        <w:t>s traditions: a missing European</w:t>
      </w:r>
      <w:r w:rsidRPr="00D272CC">
        <w:rPr>
          <w:lang w:val="en-GB"/>
        </w:rPr>
        <w:t xml:space="preserve"> connection? </w:t>
      </w:r>
      <w:r w:rsidRPr="00D272CC">
        <w:rPr>
          <w:i/>
          <w:lang w:val="en-GB"/>
        </w:rPr>
        <w:t>European Accounting Review</w:t>
      </w:r>
      <w:r w:rsidRPr="00D272CC">
        <w:rPr>
          <w:lang w:val="en-GB"/>
        </w:rPr>
        <w:t>, 5</w:t>
      </w:r>
      <w:r w:rsidR="00D669F1" w:rsidRPr="00D272CC">
        <w:rPr>
          <w:i/>
          <w:lang w:val="en-GB"/>
        </w:rPr>
        <w:t xml:space="preserve"> </w:t>
      </w:r>
      <w:r w:rsidRPr="00D272CC">
        <w:rPr>
          <w:lang w:val="en-GB"/>
        </w:rPr>
        <w:t>(3), 401</w:t>
      </w:r>
      <w:r w:rsidR="00E56E7F" w:rsidRPr="00D272CC">
        <w:rPr>
          <w:lang w:val="en-GB"/>
        </w:rPr>
        <w:t>–</w:t>
      </w:r>
      <w:r w:rsidRPr="00D272CC">
        <w:rPr>
          <w:lang w:val="en-GB"/>
        </w:rPr>
        <w:t>411.</w:t>
      </w:r>
    </w:p>
    <w:p w14:paraId="182E9182" w14:textId="77777777" w:rsidR="00B06116" w:rsidRDefault="00B06116" w:rsidP="00D07F21">
      <w:pPr>
        <w:pStyle w:val="References"/>
        <w:rPr>
          <w:lang w:val="en-GB"/>
        </w:rPr>
      </w:pPr>
      <w:r>
        <w:rPr>
          <w:lang w:val="en-GB"/>
        </w:rPr>
        <w:t xml:space="preserve">Zeff, S.A., 1999. The evolution of the conceptual framework for business enterprises in the United States. </w:t>
      </w:r>
      <w:r w:rsidR="005A7B11" w:rsidRPr="007A50EF">
        <w:rPr>
          <w:i/>
          <w:lang w:val="en-GB"/>
        </w:rPr>
        <w:t>Accounting Historians Journal</w:t>
      </w:r>
      <w:r>
        <w:rPr>
          <w:lang w:val="en-GB"/>
        </w:rPr>
        <w:t>, 26 (2), 89</w:t>
      </w:r>
      <w:r w:rsidR="00746FA0" w:rsidRPr="00D272CC">
        <w:rPr>
          <w:lang w:val="en-GB"/>
        </w:rPr>
        <w:t>–</w:t>
      </w:r>
      <w:r>
        <w:rPr>
          <w:lang w:val="en-GB"/>
        </w:rPr>
        <w:t>131.</w:t>
      </w:r>
    </w:p>
    <w:p w14:paraId="4D90E152" w14:textId="77777777" w:rsidR="00A6431D" w:rsidRPr="00A6431D" w:rsidRDefault="00A6431D" w:rsidP="00D07F21">
      <w:pPr>
        <w:pStyle w:val="References"/>
        <w:rPr>
          <w:lang w:val="en-GB"/>
        </w:rPr>
      </w:pPr>
      <w:r>
        <w:rPr>
          <w:lang w:val="en-GB"/>
        </w:rPr>
        <w:t>Zeff, S.A., 2013. The objectives of financial reporting: a historical survey and analysis.</w:t>
      </w:r>
      <w:r w:rsidRPr="00A6431D">
        <w:rPr>
          <w:i/>
          <w:lang w:val="en-GB"/>
        </w:rPr>
        <w:t xml:space="preserve"> </w:t>
      </w:r>
      <w:r w:rsidRPr="00D272CC">
        <w:rPr>
          <w:i/>
          <w:lang w:val="en-GB"/>
        </w:rPr>
        <w:t>Accounting and Business Research</w:t>
      </w:r>
      <w:r w:rsidRPr="00386416">
        <w:rPr>
          <w:lang w:val="en-GB"/>
        </w:rPr>
        <w:t xml:space="preserve">, </w:t>
      </w:r>
      <w:r w:rsidR="00400FB4" w:rsidRPr="009D312A">
        <w:rPr>
          <w:lang w:val="en-GB"/>
        </w:rPr>
        <w:t>43</w:t>
      </w:r>
      <w:r w:rsidR="00E878E0">
        <w:rPr>
          <w:lang w:val="en-GB"/>
        </w:rPr>
        <w:t xml:space="preserve"> </w:t>
      </w:r>
      <w:r w:rsidR="00400FB4" w:rsidRPr="009D312A">
        <w:rPr>
          <w:lang w:val="en-GB"/>
        </w:rPr>
        <w:t>(4), 262</w:t>
      </w:r>
      <w:r w:rsidR="00746FA0" w:rsidRPr="00D272CC">
        <w:rPr>
          <w:lang w:val="en-GB"/>
        </w:rPr>
        <w:t>–</w:t>
      </w:r>
      <w:r w:rsidR="00400FB4" w:rsidRPr="009D312A">
        <w:rPr>
          <w:lang w:val="en-GB"/>
        </w:rPr>
        <w:t>327.</w:t>
      </w:r>
    </w:p>
    <w:p w14:paraId="4A20F05D" w14:textId="77777777" w:rsidR="002C26CE" w:rsidRPr="00D272CC" w:rsidRDefault="006174EA" w:rsidP="006F069C">
      <w:pPr>
        <w:pStyle w:val="Heading1"/>
        <w:pageBreakBefore/>
        <w:rPr>
          <w:lang w:val="en-GB"/>
        </w:rPr>
      </w:pPr>
      <w:r w:rsidRPr="00D272CC">
        <w:rPr>
          <w:lang w:val="en-GB"/>
        </w:rPr>
        <w:t xml:space="preserve">Appendix </w:t>
      </w:r>
      <w:r w:rsidR="002E3D7A" w:rsidRPr="00D272CC">
        <w:rPr>
          <w:lang w:val="en-GB"/>
        </w:rPr>
        <w:t>1.</w:t>
      </w:r>
      <w:r w:rsidRPr="00D272CC">
        <w:rPr>
          <w:lang w:val="en-GB"/>
        </w:rPr>
        <w:t xml:space="preserve"> </w:t>
      </w:r>
      <w:r w:rsidR="00BC76AF" w:rsidRPr="00D272CC">
        <w:rPr>
          <w:lang w:val="en-GB"/>
        </w:rPr>
        <w:t xml:space="preserve">Outline of the </w:t>
      </w:r>
      <w:r w:rsidR="00185999" w:rsidRPr="00D272CC">
        <w:rPr>
          <w:lang w:val="en-GB"/>
        </w:rPr>
        <w:t>m</w:t>
      </w:r>
      <w:r w:rsidR="00BC76AF" w:rsidRPr="00D272CC">
        <w:rPr>
          <w:lang w:val="en-GB"/>
        </w:rPr>
        <w:t xml:space="preserve">eaning of the </w:t>
      </w:r>
      <w:r w:rsidR="00185999" w:rsidRPr="00D272CC">
        <w:rPr>
          <w:lang w:val="en-GB"/>
        </w:rPr>
        <w:t>q</w:t>
      </w:r>
      <w:r w:rsidR="00BC76AF" w:rsidRPr="00D272CC">
        <w:rPr>
          <w:lang w:val="en-GB"/>
        </w:rPr>
        <w:t xml:space="preserve">ualitative </w:t>
      </w:r>
      <w:r w:rsidR="00185999" w:rsidRPr="00D272CC">
        <w:rPr>
          <w:lang w:val="en-GB"/>
        </w:rPr>
        <w:t>c</w:t>
      </w:r>
      <w:r w:rsidR="00BC76AF" w:rsidRPr="00D272CC">
        <w:rPr>
          <w:lang w:val="en-GB"/>
        </w:rPr>
        <w:t>haracteristics</w:t>
      </w:r>
    </w:p>
    <w:p w14:paraId="6CB1F700" w14:textId="77777777" w:rsidR="001018A8" w:rsidRPr="00D272CC" w:rsidRDefault="001018A8" w:rsidP="001018A8">
      <w:pPr>
        <w:spacing w:before="120" w:after="60" w:line="240" w:lineRule="auto"/>
        <w:rPr>
          <w:lang w:val="en-GB"/>
        </w:rPr>
      </w:pPr>
      <w:r w:rsidRPr="00D272CC">
        <w:rPr>
          <w:lang w:val="en-GB"/>
        </w:rPr>
        <w:t>This Appendix draws on</w:t>
      </w:r>
      <w:r w:rsidR="00550644">
        <w:rPr>
          <w:lang w:val="en-GB"/>
        </w:rPr>
        <w:t xml:space="preserve"> the 1989 </w:t>
      </w:r>
      <w:r w:rsidR="00550644" w:rsidRPr="000C43F3">
        <w:rPr>
          <w:i/>
          <w:lang w:val="en-GB"/>
        </w:rPr>
        <w:t>Framework</w:t>
      </w:r>
      <w:r w:rsidRPr="00D272CC">
        <w:rPr>
          <w:lang w:val="en-GB"/>
        </w:rPr>
        <w:t xml:space="preserve"> </w:t>
      </w:r>
      <w:r w:rsidR="00550644">
        <w:rPr>
          <w:lang w:val="en-GB"/>
        </w:rPr>
        <w:t>(</w:t>
      </w:r>
      <w:r w:rsidRPr="00D272CC">
        <w:rPr>
          <w:lang w:val="en-GB"/>
        </w:rPr>
        <w:t xml:space="preserve">IASC 1989), supplemented by </w:t>
      </w:r>
      <w:r w:rsidR="00550644">
        <w:rPr>
          <w:lang w:val="en-GB"/>
        </w:rPr>
        <w:t xml:space="preserve">the 2010 </w:t>
      </w:r>
      <w:r w:rsidR="00550644" w:rsidRPr="000C43F3">
        <w:rPr>
          <w:i/>
          <w:lang w:val="en-GB"/>
        </w:rPr>
        <w:t>Framework</w:t>
      </w:r>
      <w:r w:rsidR="00550644">
        <w:rPr>
          <w:lang w:val="en-GB"/>
        </w:rPr>
        <w:t xml:space="preserve"> (</w:t>
      </w:r>
      <w:r w:rsidRPr="00D272CC">
        <w:rPr>
          <w:lang w:val="en-GB"/>
        </w:rPr>
        <w:t>IASB 2010).</w:t>
      </w:r>
      <w:r w:rsidR="00C80017" w:rsidRPr="00D272CC">
        <w:rPr>
          <w:lang w:val="en-GB"/>
        </w:rPr>
        <w:t xml:space="preserve"> </w:t>
      </w:r>
      <w:r w:rsidR="00AE719D">
        <w:rPr>
          <w:lang w:val="en-GB"/>
        </w:rPr>
        <w:t xml:space="preserve">The paragraph numbers refer to the 1989 </w:t>
      </w:r>
      <w:r w:rsidR="005A7B11" w:rsidRPr="007A50EF">
        <w:rPr>
          <w:i/>
          <w:lang w:val="en-GB"/>
        </w:rPr>
        <w:t>Framework</w:t>
      </w:r>
      <w:r w:rsidR="00AE719D">
        <w:rPr>
          <w:lang w:val="en-GB"/>
        </w:rPr>
        <w:t xml:space="preserve">, unless otherwise stated. </w:t>
      </w:r>
      <w:r w:rsidR="00C80017" w:rsidRPr="00D272CC">
        <w:rPr>
          <w:lang w:val="en-GB"/>
        </w:rPr>
        <w:t xml:space="preserve">The QCs are </w:t>
      </w:r>
      <w:r w:rsidR="00127157" w:rsidRPr="00D272CC">
        <w:rPr>
          <w:lang w:val="en-GB"/>
        </w:rPr>
        <w:t>shown in</w:t>
      </w:r>
      <w:r w:rsidR="00C80017" w:rsidRPr="00D272CC">
        <w:rPr>
          <w:lang w:val="en-GB"/>
        </w:rPr>
        <w:t xml:space="preserve"> </w:t>
      </w:r>
      <w:r w:rsidR="00127157" w:rsidRPr="00D272CC">
        <w:rPr>
          <w:lang w:val="en-GB"/>
        </w:rPr>
        <w:t xml:space="preserve">alphabetical </w:t>
      </w:r>
      <w:r w:rsidR="00C80017" w:rsidRPr="00D272CC">
        <w:rPr>
          <w:lang w:val="en-GB"/>
        </w:rPr>
        <w:t>order.</w:t>
      </w:r>
    </w:p>
    <w:p w14:paraId="025DA554" w14:textId="77777777" w:rsidR="00127157" w:rsidRPr="00D272CC" w:rsidRDefault="00E80D73" w:rsidP="002A0D0A">
      <w:pPr>
        <w:spacing w:before="120" w:after="60" w:line="240" w:lineRule="auto"/>
        <w:ind w:left="720" w:hanging="720"/>
        <w:rPr>
          <w:lang w:val="en-GB"/>
        </w:rPr>
      </w:pPr>
      <w:r w:rsidRPr="00D272CC">
        <w:rPr>
          <w:lang w:val="en-GB"/>
        </w:rPr>
        <w:t>Accruals/matching</w:t>
      </w:r>
      <w:r w:rsidR="00280FF9" w:rsidRPr="00D272CC">
        <w:rPr>
          <w:lang w:val="en-GB"/>
        </w:rPr>
        <w:t>:</w:t>
      </w:r>
      <w:r w:rsidR="00127157" w:rsidRPr="00D272CC">
        <w:rPr>
          <w:lang w:val="en-GB"/>
        </w:rPr>
        <w:t xml:space="preserve"> This appears in the </w:t>
      </w:r>
      <w:r w:rsidR="00127157" w:rsidRPr="00D272CC">
        <w:rPr>
          <w:i/>
          <w:lang w:val="en-GB"/>
        </w:rPr>
        <w:t>Framework</w:t>
      </w:r>
      <w:r w:rsidR="00127157" w:rsidRPr="00D272CC">
        <w:rPr>
          <w:lang w:val="en-GB"/>
        </w:rPr>
        <w:t xml:space="preserve"> (para. 22) as part of the ‘underlying assumption’ of the accrual basis, by which the effect of a transaction is reported in the financial statements of the period to which it relates.</w:t>
      </w:r>
    </w:p>
    <w:p w14:paraId="5D9C3166" w14:textId="77777777" w:rsidR="00127157" w:rsidRPr="00D272CC" w:rsidRDefault="00E80D73" w:rsidP="002A0D0A">
      <w:pPr>
        <w:spacing w:before="120" w:after="60" w:line="240" w:lineRule="auto"/>
        <w:ind w:left="720" w:hanging="720"/>
        <w:rPr>
          <w:i/>
          <w:lang w:val="en-GB"/>
        </w:rPr>
      </w:pPr>
      <w:r w:rsidRPr="00D272CC">
        <w:rPr>
          <w:lang w:val="en-GB"/>
        </w:rPr>
        <w:t>Comparability</w:t>
      </w:r>
      <w:r w:rsidR="00280FF9" w:rsidRPr="00D272CC">
        <w:rPr>
          <w:lang w:val="en-GB"/>
        </w:rPr>
        <w:t>:</w:t>
      </w:r>
      <w:r w:rsidR="00127157" w:rsidRPr="00D272CC">
        <w:rPr>
          <w:lang w:val="en-GB"/>
        </w:rPr>
        <w:t xml:space="preserve"> This refers to both comparisons over time and comparisons between entities (paras. 39</w:t>
      </w:r>
      <w:r w:rsidR="00E56E7F" w:rsidRPr="00D272CC">
        <w:rPr>
          <w:lang w:val="en-GB"/>
        </w:rPr>
        <w:t>–</w:t>
      </w:r>
      <w:r w:rsidR="00127157" w:rsidRPr="00D272CC">
        <w:rPr>
          <w:lang w:val="en-GB"/>
        </w:rPr>
        <w:t>42). It is therefore important that policies and policy changes are disclosed. Comparability is not the same as uniformity.</w:t>
      </w:r>
    </w:p>
    <w:p w14:paraId="4C200480" w14:textId="77777777" w:rsidR="00127157" w:rsidRPr="00D272CC" w:rsidRDefault="00E80D73" w:rsidP="002A0D0A">
      <w:pPr>
        <w:spacing w:before="120" w:after="60" w:line="240" w:lineRule="auto"/>
        <w:ind w:left="720" w:hanging="720"/>
        <w:rPr>
          <w:lang w:val="en-GB"/>
        </w:rPr>
      </w:pPr>
      <w:r w:rsidRPr="00D272CC">
        <w:rPr>
          <w:lang w:val="en-GB"/>
        </w:rPr>
        <w:t>Faithful representation</w:t>
      </w:r>
      <w:r w:rsidR="00280FF9" w:rsidRPr="00D272CC">
        <w:rPr>
          <w:lang w:val="en-GB"/>
        </w:rPr>
        <w:t>:</w:t>
      </w:r>
      <w:r w:rsidR="00127157" w:rsidRPr="00D272CC">
        <w:rPr>
          <w:lang w:val="en-GB"/>
        </w:rPr>
        <w:t xml:space="preserve"> In the 1989</w:t>
      </w:r>
      <w:r w:rsidR="00127157" w:rsidRPr="00D272CC">
        <w:rPr>
          <w:i/>
          <w:lang w:val="en-GB"/>
        </w:rPr>
        <w:t xml:space="preserve"> Framework</w:t>
      </w:r>
      <w:r w:rsidR="00127157" w:rsidRPr="00D272CC">
        <w:rPr>
          <w:lang w:val="en-GB"/>
        </w:rPr>
        <w:t xml:space="preserve"> (para. 33), this is explained (circularly) in terms of representing faithfully what is purported to be represented. </w:t>
      </w:r>
      <w:r w:rsidR="00550644">
        <w:rPr>
          <w:lang w:val="en-GB"/>
        </w:rPr>
        <w:t xml:space="preserve">The 2010 </w:t>
      </w:r>
      <w:r w:rsidR="00550644" w:rsidRPr="000C43F3">
        <w:rPr>
          <w:i/>
          <w:lang w:val="en-GB"/>
        </w:rPr>
        <w:t>Framework</w:t>
      </w:r>
      <w:r w:rsidR="00127157" w:rsidRPr="00D272CC">
        <w:rPr>
          <w:lang w:val="en-GB"/>
        </w:rPr>
        <w:t xml:space="preserve"> (para. QC12) suggests that this implies that information is complete, neutral and free from error.</w:t>
      </w:r>
    </w:p>
    <w:p w14:paraId="0359894E" w14:textId="77777777" w:rsidR="00127157" w:rsidRPr="00D272CC" w:rsidRDefault="00E80D73" w:rsidP="001018A8">
      <w:pPr>
        <w:spacing w:before="120" w:after="60" w:line="240" w:lineRule="auto"/>
        <w:ind w:left="720" w:hanging="720"/>
        <w:rPr>
          <w:lang w:val="en-GB"/>
        </w:rPr>
      </w:pPr>
      <w:r w:rsidRPr="00D272CC">
        <w:rPr>
          <w:lang w:val="en-GB"/>
        </w:rPr>
        <w:t>Prudence/conservatism</w:t>
      </w:r>
      <w:r w:rsidR="00280FF9" w:rsidRPr="00D272CC">
        <w:rPr>
          <w:lang w:val="en-GB"/>
        </w:rPr>
        <w:t>:</w:t>
      </w:r>
      <w:r w:rsidR="00127157" w:rsidRPr="00D272CC">
        <w:rPr>
          <w:lang w:val="en-GB"/>
        </w:rPr>
        <w:t xml:space="preserve"> This appears as ‘prudence’ in the </w:t>
      </w:r>
      <w:r w:rsidR="00127157" w:rsidRPr="00D272CC">
        <w:rPr>
          <w:i/>
          <w:lang w:val="en-GB"/>
        </w:rPr>
        <w:t>Framework</w:t>
      </w:r>
      <w:r w:rsidR="00127157" w:rsidRPr="00D272CC">
        <w:rPr>
          <w:lang w:val="en-GB"/>
        </w:rPr>
        <w:t xml:space="preserve"> (para. 37), in which context it is ‘</w:t>
      </w:r>
      <w:r w:rsidR="00186691">
        <w:rPr>
          <w:lang w:val="en-GB"/>
        </w:rPr>
        <w:t xml:space="preserve">the inclusion of </w:t>
      </w:r>
      <w:r w:rsidR="00127157" w:rsidRPr="00D272CC">
        <w:rPr>
          <w:lang w:val="en-GB"/>
        </w:rPr>
        <w:t xml:space="preserve">a degree of caution in the exercise of </w:t>
      </w:r>
      <w:r w:rsidR="00186691">
        <w:rPr>
          <w:lang w:val="en-GB"/>
        </w:rPr>
        <w:t xml:space="preserve">the </w:t>
      </w:r>
      <w:r w:rsidR="00127157" w:rsidRPr="00D272CC">
        <w:rPr>
          <w:lang w:val="en-GB"/>
        </w:rPr>
        <w:t xml:space="preserve">judgements </w:t>
      </w:r>
      <w:r w:rsidR="00186691">
        <w:rPr>
          <w:lang w:val="en-GB"/>
        </w:rPr>
        <w:t>needed in making the estimates required</w:t>
      </w:r>
      <w:r w:rsidR="00127157" w:rsidRPr="00D272CC">
        <w:rPr>
          <w:lang w:val="en-GB"/>
        </w:rPr>
        <w:t xml:space="preserve"> under conditions of uncertainty’.</w:t>
      </w:r>
    </w:p>
    <w:p w14:paraId="1CF530E8" w14:textId="77777777" w:rsidR="00127157" w:rsidRPr="00D272CC" w:rsidRDefault="00E80D73" w:rsidP="000617EC">
      <w:pPr>
        <w:spacing w:before="120" w:after="60" w:line="240" w:lineRule="auto"/>
        <w:ind w:left="720" w:hanging="720"/>
        <w:rPr>
          <w:lang w:val="en-GB"/>
        </w:rPr>
      </w:pPr>
      <w:r w:rsidRPr="00D272CC">
        <w:rPr>
          <w:lang w:val="en-GB"/>
        </w:rPr>
        <w:t>Relevance</w:t>
      </w:r>
      <w:r w:rsidR="00280FF9" w:rsidRPr="00D272CC">
        <w:rPr>
          <w:lang w:val="en-GB"/>
        </w:rPr>
        <w:t>:</w:t>
      </w:r>
      <w:r w:rsidR="00127157" w:rsidRPr="00D272CC">
        <w:rPr>
          <w:lang w:val="en-GB"/>
        </w:rPr>
        <w:t xml:space="preserve"> Relevance means (IASC 1989, para. 26/7; IASB 2010, para. QC6) that information is capable of being useful for the economic decisions of users, particularly equity and debt investors (existing and potential). The information could be predictive or confirmatory.</w:t>
      </w:r>
    </w:p>
    <w:p w14:paraId="0561F745" w14:textId="77777777" w:rsidR="00127157" w:rsidRPr="00D272CC" w:rsidRDefault="00E80D73" w:rsidP="001018A8">
      <w:pPr>
        <w:spacing w:before="120" w:after="60" w:line="240" w:lineRule="auto"/>
        <w:ind w:left="720" w:hanging="720"/>
        <w:rPr>
          <w:lang w:val="en-GB"/>
        </w:rPr>
      </w:pPr>
      <w:r w:rsidRPr="00D272CC">
        <w:rPr>
          <w:lang w:val="en-GB"/>
        </w:rPr>
        <w:t>Reliability</w:t>
      </w:r>
      <w:r w:rsidR="00280FF9" w:rsidRPr="00D272CC">
        <w:rPr>
          <w:lang w:val="en-GB"/>
        </w:rPr>
        <w:t>:</w:t>
      </w:r>
      <w:r w:rsidR="00127157" w:rsidRPr="00D272CC">
        <w:rPr>
          <w:lang w:val="en-GB"/>
        </w:rPr>
        <w:t xml:space="preserve"> In the 1989 </w:t>
      </w:r>
      <w:r w:rsidR="00127157" w:rsidRPr="00D272CC">
        <w:rPr>
          <w:i/>
          <w:lang w:val="en-GB"/>
        </w:rPr>
        <w:t>Framework</w:t>
      </w:r>
      <w:r w:rsidR="00127157" w:rsidRPr="00D272CC">
        <w:rPr>
          <w:lang w:val="en-GB"/>
        </w:rPr>
        <w:t xml:space="preserve"> (para. 31), this included being free from error but was largely explained in terms of other concepts: faithful representation, substance over form, neutrality, prudence and completeness.</w:t>
      </w:r>
    </w:p>
    <w:p w14:paraId="1A57D461" w14:textId="77777777" w:rsidR="00127157" w:rsidRPr="00D272CC" w:rsidRDefault="00E80D73" w:rsidP="000617EC">
      <w:pPr>
        <w:spacing w:before="120" w:after="60" w:line="240" w:lineRule="auto"/>
        <w:ind w:left="720" w:hanging="720"/>
        <w:rPr>
          <w:lang w:val="en-GB"/>
        </w:rPr>
      </w:pPr>
      <w:r w:rsidRPr="00D272CC">
        <w:rPr>
          <w:lang w:val="en-GB"/>
        </w:rPr>
        <w:t>Timeliness</w:t>
      </w:r>
      <w:r w:rsidR="00280FF9" w:rsidRPr="00D272CC">
        <w:rPr>
          <w:lang w:val="en-GB"/>
        </w:rPr>
        <w:t>:</w:t>
      </w:r>
      <w:r w:rsidR="00127157" w:rsidRPr="00D272CC">
        <w:rPr>
          <w:lang w:val="en-GB"/>
        </w:rPr>
        <w:t xml:space="preserve"> This is seen as a ‘constraint’ in the</w:t>
      </w:r>
      <w:r w:rsidR="00550644">
        <w:rPr>
          <w:lang w:val="en-GB"/>
        </w:rPr>
        <w:t xml:space="preserve"> 1989</w:t>
      </w:r>
      <w:r w:rsidR="00127157" w:rsidRPr="00D272CC">
        <w:rPr>
          <w:lang w:val="en-GB"/>
        </w:rPr>
        <w:t xml:space="preserve"> </w:t>
      </w:r>
      <w:r w:rsidR="00127157" w:rsidRPr="00D272CC">
        <w:rPr>
          <w:i/>
          <w:lang w:val="en-GB"/>
        </w:rPr>
        <w:t>Framework</w:t>
      </w:r>
      <w:r w:rsidR="00127157" w:rsidRPr="00D272CC">
        <w:rPr>
          <w:lang w:val="en-GB"/>
        </w:rPr>
        <w:t xml:space="preserve"> (para. 43) but as an enhancing characteristic in </w:t>
      </w:r>
      <w:r w:rsidR="00550644">
        <w:rPr>
          <w:lang w:val="en-GB"/>
        </w:rPr>
        <w:t xml:space="preserve">the 2010 </w:t>
      </w:r>
      <w:r w:rsidR="00550644" w:rsidRPr="000C43F3">
        <w:rPr>
          <w:i/>
          <w:lang w:val="en-GB"/>
        </w:rPr>
        <w:t>Framework</w:t>
      </w:r>
      <w:r w:rsidR="00127157" w:rsidRPr="00D272CC">
        <w:rPr>
          <w:lang w:val="en-GB"/>
        </w:rPr>
        <w:t xml:space="preserve"> (para. QC29). It means making information available in time for it to be relevant.</w:t>
      </w:r>
    </w:p>
    <w:p w14:paraId="367B5D90" w14:textId="77777777" w:rsidR="00127157" w:rsidRPr="00D272CC" w:rsidRDefault="00E80D73" w:rsidP="002A0D0A">
      <w:pPr>
        <w:spacing w:before="120" w:after="60" w:line="240" w:lineRule="auto"/>
        <w:ind w:left="720" w:hanging="720"/>
        <w:rPr>
          <w:lang w:val="en-GB"/>
        </w:rPr>
      </w:pPr>
      <w:r w:rsidRPr="00D272CC">
        <w:rPr>
          <w:lang w:val="en-GB"/>
        </w:rPr>
        <w:t>Transparency</w:t>
      </w:r>
      <w:r w:rsidR="00280FF9" w:rsidRPr="00D272CC">
        <w:rPr>
          <w:lang w:val="en-GB"/>
        </w:rPr>
        <w:t>:</w:t>
      </w:r>
      <w:r w:rsidR="00127157" w:rsidRPr="00D272CC">
        <w:rPr>
          <w:lang w:val="en-GB"/>
        </w:rPr>
        <w:t xml:space="preserve"> This word is not defined in the </w:t>
      </w:r>
      <w:r w:rsidR="003935C2" w:rsidRPr="00D272CC">
        <w:rPr>
          <w:i/>
          <w:lang w:val="en-GB"/>
        </w:rPr>
        <w:t>F</w:t>
      </w:r>
      <w:r w:rsidR="00127157" w:rsidRPr="00D272CC">
        <w:rPr>
          <w:i/>
          <w:lang w:val="en-GB"/>
        </w:rPr>
        <w:t>ramework</w:t>
      </w:r>
      <w:r w:rsidR="00127157" w:rsidRPr="00D272CC">
        <w:rPr>
          <w:lang w:val="en-GB"/>
        </w:rPr>
        <w:t xml:space="preserve"> documents.</w:t>
      </w:r>
    </w:p>
    <w:p w14:paraId="35C12C5D" w14:textId="77777777" w:rsidR="00127157" w:rsidRPr="00D272CC" w:rsidRDefault="00E80D73" w:rsidP="002A0D0A">
      <w:pPr>
        <w:spacing w:before="120" w:after="60" w:line="240" w:lineRule="auto"/>
        <w:ind w:left="720" w:hanging="720"/>
        <w:rPr>
          <w:lang w:val="en-GB"/>
        </w:rPr>
      </w:pPr>
      <w:r w:rsidRPr="00D272CC">
        <w:rPr>
          <w:lang w:val="en-GB"/>
        </w:rPr>
        <w:t>Understandability</w:t>
      </w:r>
      <w:r w:rsidR="00280FF9" w:rsidRPr="00D272CC">
        <w:rPr>
          <w:lang w:val="en-GB"/>
        </w:rPr>
        <w:t>:</w:t>
      </w:r>
      <w:r w:rsidR="00127157" w:rsidRPr="00D272CC">
        <w:rPr>
          <w:lang w:val="en-GB"/>
        </w:rPr>
        <w:t xml:space="preserve"> </w:t>
      </w:r>
      <w:r w:rsidR="00550644">
        <w:rPr>
          <w:lang w:val="en-GB"/>
        </w:rPr>
        <w:t xml:space="preserve">The 2010 </w:t>
      </w:r>
      <w:r w:rsidR="00550644" w:rsidRPr="009366C0">
        <w:rPr>
          <w:i/>
          <w:lang w:val="en-GB"/>
        </w:rPr>
        <w:t>Framework</w:t>
      </w:r>
      <w:r w:rsidR="00127157" w:rsidRPr="00D272CC">
        <w:rPr>
          <w:lang w:val="en-GB"/>
        </w:rPr>
        <w:t xml:space="preserve"> (para. QC30) explains that this means clear and concise. The </w:t>
      </w:r>
      <w:r w:rsidR="00127157" w:rsidRPr="00D272CC">
        <w:rPr>
          <w:i/>
          <w:lang w:val="en-GB"/>
        </w:rPr>
        <w:t>Framework</w:t>
      </w:r>
      <w:r w:rsidR="00127157" w:rsidRPr="00D272CC">
        <w:rPr>
          <w:lang w:val="en-GB"/>
        </w:rPr>
        <w:t xml:space="preserve"> (para. 25) assumes diligent users with reasonable business knowledge.</w:t>
      </w:r>
    </w:p>
    <w:p w14:paraId="4ECFB776" w14:textId="77777777" w:rsidR="00127157" w:rsidRPr="00D272CC" w:rsidRDefault="00E80D73" w:rsidP="001018A8">
      <w:pPr>
        <w:spacing w:before="120" w:after="60" w:line="240" w:lineRule="auto"/>
        <w:ind w:left="720" w:hanging="720"/>
        <w:rPr>
          <w:lang w:val="en-GB"/>
        </w:rPr>
      </w:pPr>
      <w:r w:rsidRPr="00D272CC">
        <w:rPr>
          <w:lang w:val="en-GB"/>
        </w:rPr>
        <w:t>Verifiability</w:t>
      </w:r>
      <w:r w:rsidR="00280FF9" w:rsidRPr="00D272CC">
        <w:rPr>
          <w:lang w:val="en-GB"/>
        </w:rPr>
        <w:t>:</w:t>
      </w:r>
      <w:r w:rsidR="00127157" w:rsidRPr="00D272CC">
        <w:rPr>
          <w:lang w:val="en-GB"/>
        </w:rPr>
        <w:t xml:space="preserve"> This is not a word found in the 1989 </w:t>
      </w:r>
      <w:r w:rsidR="00127157" w:rsidRPr="00D272CC">
        <w:rPr>
          <w:i/>
          <w:lang w:val="en-GB"/>
        </w:rPr>
        <w:t>Framework</w:t>
      </w:r>
      <w:r w:rsidR="00127157" w:rsidRPr="00D272CC">
        <w:rPr>
          <w:lang w:val="en-GB"/>
        </w:rPr>
        <w:t xml:space="preserve">, but </w:t>
      </w:r>
      <w:r w:rsidR="00550644">
        <w:rPr>
          <w:lang w:val="en-GB"/>
        </w:rPr>
        <w:t xml:space="preserve">the 2010 </w:t>
      </w:r>
      <w:r w:rsidR="00550644" w:rsidRPr="009366C0">
        <w:rPr>
          <w:i/>
          <w:lang w:val="en-GB"/>
        </w:rPr>
        <w:t>Framework</w:t>
      </w:r>
      <w:r w:rsidR="00127157" w:rsidRPr="00D272CC">
        <w:rPr>
          <w:lang w:val="en-GB"/>
        </w:rPr>
        <w:t xml:space="preserve"> (para. QC26) refers to it as being a clearer way of explaining part of the meaning of reliability. It means that different knowledgeable and independent observers could reach consensus.</w:t>
      </w:r>
    </w:p>
    <w:p w14:paraId="11BE153E" w14:textId="77777777" w:rsidR="004C18AF" w:rsidRPr="00D272CC" w:rsidRDefault="00C14B9A" w:rsidP="00FB2113">
      <w:pPr>
        <w:pStyle w:val="Heading1"/>
        <w:pageBreakBefore/>
        <w:rPr>
          <w:lang w:val="en-GB"/>
        </w:rPr>
      </w:pPr>
      <w:r w:rsidRPr="00D272CC">
        <w:rPr>
          <w:lang w:val="en-GB"/>
        </w:rPr>
        <w:t xml:space="preserve">Appendix </w:t>
      </w:r>
      <w:r w:rsidR="002E3D7A" w:rsidRPr="00D272CC">
        <w:rPr>
          <w:lang w:val="en-GB"/>
        </w:rPr>
        <w:t>2.</w:t>
      </w:r>
      <w:r w:rsidRPr="00D272CC">
        <w:rPr>
          <w:lang w:val="en-GB"/>
        </w:rPr>
        <w:t xml:space="preserve"> </w:t>
      </w:r>
      <w:r w:rsidR="006E1725" w:rsidRPr="00D272CC">
        <w:rPr>
          <w:lang w:val="en-GB"/>
        </w:rPr>
        <w:t xml:space="preserve">Data </w:t>
      </w:r>
      <w:r w:rsidR="00185999" w:rsidRPr="00D272CC">
        <w:rPr>
          <w:lang w:val="en-GB"/>
        </w:rPr>
        <w:t>c</w:t>
      </w:r>
      <w:r w:rsidR="006E1725" w:rsidRPr="00D272CC">
        <w:rPr>
          <w:lang w:val="en-GB"/>
        </w:rPr>
        <w:t xml:space="preserve">ollection and </w:t>
      </w:r>
      <w:r w:rsidR="00185999" w:rsidRPr="00D272CC">
        <w:rPr>
          <w:lang w:val="en-GB"/>
        </w:rPr>
        <w:t>c</w:t>
      </w:r>
      <w:r w:rsidR="006E1725" w:rsidRPr="00D272CC">
        <w:rPr>
          <w:lang w:val="en-GB"/>
        </w:rPr>
        <w:t xml:space="preserve">oding </w:t>
      </w:r>
      <w:r w:rsidR="00185999" w:rsidRPr="00D272CC">
        <w:rPr>
          <w:lang w:val="en-GB"/>
        </w:rPr>
        <w:t>p</w:t>
      </w:r>
      <w:r w:rsidR="006E1725" w:rsidRPr="00D272CC">
        <w:rPr>
          <w:lang w:val="en-GB"/>
        </w:rPr>
        <w:t>rocedures</w:t>
      </w:r>
    </w:p>
    <w:p w14:paraId="4441AA2A" w14:textId="77777777" w:rsidR="00304525" w:rsidRPr="00D272CC" w:rsidRDefault="00304525" w:rsidP="00C56C29">
      <w:pPr>
        <w:spacing w:before="120" w:after="60" w:line="240" w:lineRule="auto"/>
        <w:rPr>
          <w:lang w:val="en-GB"/>
        </w:rPr>
      </w:pPr>
      <w:r w:rsidRPr="00D272CC">
        <w:rPr>
          <w:lang w:val="en-GB"/>
        </w:rPr>
        <w:t xml:space="preserve">This Appendix provides details on how we collected the data on observable IFRS policy choices (see Table </w:t>
      </w:r>
      <w:r w:rsidR="00DF3398" w:rsidRPr="00D272CC">
        <w:rPr>
          <w:lang w:val="en-GB"/>
        </w:rPr>
        <w:t>1</w:t>
      </w:r>
      <w:r w:rsidRPr="00D272CC">
        <w:rPr>
          <w:lang w:val="en-GB"/>
        </w:rPr>
        <w:t xml:space="preserve">) and </w:t>
      </w:r>
      <w:r w:rsidR="001914E5" w:rsidRPr="00D272CC">
        <w:rPr>
          <w:lang w:val="en-GB"/>
        </w:rPr>
        <w:t>coded the explanations of policy changes</w:t>
      </w:r>
      <w:r w:rsidR="00584C7D" w:rsidRPr="00D272CC">
        <w:rPr>
          <w:lang w:val="en-GB"/>
        </w:rPr>
        <w:t xml:space="preserve"> (see Table 4)</w:t>
      </w:r>
      <w:r w:rsidRPr="00D272CC">
        <w:rPr>
          <w:lang w:val="en-GB"/>
        </w:rPr>
        <w:t>.</w:t>
      </w:r>
    </w:p>
    <w:p w14:paraId="2629E167" w14:textId="77777777" w:rsidR="002552B2" w:rsidRPr="00D272CC" w:rsidRDefault="00EB4F52" w:rsidP="00F140CF">
      <w:pPr>
        <w:pStyle w:val="Heading3"/>
        <w:spacing w:line="240" w:lineRule="auto"/>
        <w:rPr>
          <w:lang w:val="en-GB"/>
        </w:rPr>
      </w:pPr>
      <w:r w:rsidRPr="00D272CC">
        <w:rPr>
          <w:lang w:val="en-GB"/>
        </w:rPr>
        <w:t xml:space="preserve">IFRS policy choices: </w:t>
      </w:r>
      <w:r w:rsidR="00B30C8D">
        <w:rPr>
          <w:lang w:val="en-GB"/>
        </w:rPr>
        <w:t>g</w:t>
      </w:r>
      <w:r w:rsidR="00304525" w:rsidRPr="00D272CC">
        <w:rPr>
          <w:lang w:val="en-GB"/>
        </w:rPr>
        <w:t>eneral procedures</w:t>
      </w:r>
    </w:p>
    <w:p w14:paraId="2FB90595" w14:textId="77777777" w:rsidR="00304525" w:rsidRPr="00D272CC" w:rsidRDefault="00304525" w:rsidP="00C56C29">
      <w:pPr>
        <w:spacing w:before="120" w:after="60" w:line="240" w:lineRule="auto"/>
        <w:rPr>
          <w:lang w:val="en-GB"/>
        </w:rPr>
      </w:pPr>
      <w:r w:rsidRPr="00D272CC">
        <w:rPr>
          <w:lang w:val="en-GB"/>
        </w:rPr>
        <w:t xml:space="preserve">Our default procedure is to record the IFRS policy choices based on the information provided in the financial statements or the accounting policies section of the notes. If there is no or insufficient information, other parts of the notes are searched for the relevant information. We ignore cases without a corresponding number in the current year; this applies when a </w:t>
      </w:r>
      <w:r w:rsidR="0031293A" w:rsidRPr="00D272CC">
        <w:rPr>
          <w:lang w:val="en-GB"/>
        </w:rPr>
        <w:t>firm</w:t>
      </w:r>
      <w:r w:rsidRPr="00D272CC">
        <w:rPr>
          <w:lang w:val="en-GB"/>
        </w:rPr>
        <w:t xml:space="preserve"> states a policy choice which was previously made but is not applicable any more. We also ignore choices that relate</w:t>
      </w:r>
      <w:r w:rsidR="00707339" w:rsidRPr="00D272CC">
        <w:rPr>
          <w:lang w:val="en-GB"/>
        </w:rPr>
        <w:t xml:space="preserve"> only</w:t>
      </w:r>
      <w:r w:rsidRPr="00D272CC">
        <w:rPr>
          <w:lang w:val="en-GB"/>
        </w:rPr>
        <w:t xml:space="preserve"> to an associate or joint venture.</w:t>
      </w:r>
    </w:p>
    <w:p w14:paraId="681804CF" w14:textId="77777777" w:rsidR="002552B2" w:rsidRPr="00D272CC" w:rsidRDefault="00EB4F52" w:rsidP="00F140CF">
      <w:pPr>
        <w:pStyle w:val="Heading3"/>
        <w:spacing w:line="240" w:lineRule="auto"/>
        <w:rPr>
          <w:lang w:val="en-GB"/>
        </w:rPr>
      </w:pPr>
      <w:r w:rsidRPr="00D272CC">
        <w:rPr>
          <w:lang w:val="en-GB"/>
        </w:rPr>
        <w:t xml:space="preserve">IFRS policy choices: </w:t>
      </w:r>
      <w:r w:rsidR="00B30C8D">
        <w:rPr>
          <w:lang w:val="en-GB"/>
        </w:rPr>
        <w:t>s</w:t>
      </w:r>
      <w:r w:rsidR="00304525" w:rsidRPr="00D272CC">
        <w:rPr>
          <w:lang w:val="en-GB"/>
        </w:rPr>
        <w:t>pecific procedures</w:t>
      </w:r>
    </w:p>
    <w:p w14:paraId="7C7D77AD" w14:textId="77777777" w:rsidR="00304525" w:rsidRPr="00D272CC" w:rsidRDefault="00304525" w:rsidP="00C56C29">
      <w:pPr>
        <w:spacing w:before="120" w:after="60" w:line="240" w:lineRule="auto"/>
        <w:ind w:left="720" w:hanging="720"/>
        <w:rPr>
          <w:lang w:val="en-GB"/>
        </w:rPr>
      </w:pPr>
      <w:r w:rsidRPr="00D272CC">
        <w:rPr>
          <w:lang w:val="en-GB"/>
        </w:rPr>
        <w:t xml:space="preserve">Topic 1 (income statement format): ‘neither’ is recorded if the income statement contains both a by-nature and a by-function expense or if the income statement contains so few lines that it is unclear whether it is ‘by nature’ or ‘by function’. For financial </w:t>
      </w:r>
      <w:r w:rsidR="0031293A" w:rsidRPr="00D272CC">
        <w:rPr>
          <w:lang w:val="en-GB"/>
        </w:rPr>
        <w:t>firms</w:t>
      </w:r>
      <w:r w:rsidRPr="00D272CC">
        <w:rPr>
          <w:lang w:val="en-GB"/>
        </w:rPr>
        <w:t>, this topic is omitted because the distinction between ‘by nature’ and ‘by function’ is not applicable to most of them.</w:t>
      </w:r>
    </w:p>
    <w:p w14:paraId="74651910" w14:textId="77777777" w:rsidR="00304525" w:rsidRPr="00D272CC" w:rsidRDefault="00304525" w:rsidP="00C56C29">
      <w:pPr>
        <w:spacing w:before="120" w:after="60" w:line="240" w:lineRule="auto"/>
        <w:ind w:left="720" w:hanging="720"/>
        <w:rPr>
          <w:lang w:val="en-GB"/>
        </w:rPr>
      </w:pPr>
      <w:r w:rsidRPr="00D272CC">
        <w:rPr>
          <w:lang w:val="en-GB"/>
        </w:rPr>
        <w:t xml:space="preserve">Topic 2 (operating profit shown or not): </w:t>
      </w:r>
      <w:r w:rsidR="001E372C" w:rsidRPr="00D272CC">
        <w:rPr>
          <w:lang w:val="en-GB"/>
        </w:rPr>
        <w:t>M</w:t>
      </w:r>
      <w:r w:rsidR="00FB43F8" w:rsidRPr="00D272CC">
        <w:rPr>
          <w:lang w:val="en-GB"/>
        </w:rPr>
        <w:t>any</w:t>
      </w:r>
      <w:r w:rsidRPr="00D272CC">
        <w:rPr>
          <w:lang w:val="en-GB"/>
        </w:rPr>
        <w:t xml:space="preserve"> financial </w:t>
      </w:r>
      <w:r w:rsidR="0031293A" w:rsidRPr="00D272CC">
        <w:rPr>
          <w:lang w:val="en-GB"/>
        </w:rPr>
        <w:t>firms</w:t>
      </w:r>
      <w:r w:rsidRPr="00D272CC">
        <w:rPr>
          <w:lang w:val="en-GB"/>
        </w:rPr>
        <w:t xml:space="preserve"> only </w:t>
      </w:r>
      <w:r w:rsidR="001E372C" w:rsidRPr="00D272CC">
        <w:rPr>
          <w:lang w:val="en-GB"/>
        </w:rPr>
        <w:t xml:space="preserve">have </w:t>
      </w:r>
      <w:r w:rsidRPr="00D272CC">
        <w:rPr>
          <w:lang w:val="en-GB"/>
        </w:rPr>
        <w:t>a line for earnings before taxation (EBT) since EBT = operating profit.</w:t>
      </w:r>
      <w:r w:rsidR="00FB43F8" w:rsidRPr="00D272CC">
        <w:rPr>
          <w:lang w:val="en-GB"/>
        </w:rPr>
        <w:t xml:space="preserve"> </w:t>
      </w:r>
      <w:r w:rsidR="00B80487" w:rsidRPr="00D272CC">
        <w:rPr>
          <w:lang w:val="en-GB"/>
        </w:rPr>
        <w:t>S</w:t>
      </w:r>
      <w:r w:rsidR="00FB43F8" w:rsidRPr="00D272CC">
        <w:rPr>
          <w:lang w:val="en-GB"/>
        </w:rPr>
        <w:t xml:space="preserve">uch cases </w:t>
      </w:r>
      <w:r w:rsidR="00B80487" w:rsidRPr="00D272CC">
        <w:rPr>
          <w:lang w:val="en-GB"/>
        </w:rPr>
        <w:t xml:space="preserve">are treated </w:t>
      </w:r>
      <w:r w:rsidR="00FB43F8" w:rsidRPr="00D272CC">
        <w:rPr>
          <w:lang w:val="en-GB"/>
        </w:rPr>
        <w:t xml:space="preserve">as </w:t>
      </w:r>
      <w:r w:rsidR="00B80487" w:rsidRPr="00D272CC">
        <w:rPr>
          <w:lang w:val="en-GB"/>
        </w:rPr>
        <w:t>inclusion of a line for operating profit.</w:t>
      </w:r>
    </w:p>
    <w:p w14:paraId="657F6655" w14:textId="77777777" w:rsidR="00304525" w:rsidRPr="00D272CC" w:rsidRDefault="00304525" w:rsidP="00C56C29">
      <w:pPr>
        <w:spacing w:before="120" w:after="60" w:line="240" w:lineRule="auto"/>
        <w:ind w:left="720" w:hanging="720"/>
        <w:rPr>
          <w:lang w:val="en-GB"/>
        </w:rPr>
      </w:pPr>
      <w:r w:rsidRPr="00D272CC">
        <w:rPr>
          <w:lang w:val="en-GB"/>
        </w:rPr>
        <w:t xml:space="preserve">Topic 3 (position of equity profits in the income statement): Many financial </w:t>
      </w:r>
      <w:r w:rsidR="0031293A" w:rsidRPr="00D272CC">
        <w:rPr>
          <w:lang w:val="en-GB"/>
        </w:rPr>
        <w:t>firms</w:t>
      </w:r>
      <w:r w:rsidRPr="00D272CC">
        <w:rPr>
          <w:lang w:val="en-GB"/>
        </w:rPr>
        <w:t xml:space="preserve"> do not have a clear ‘operating’ or ‘financing’ section in the income statement; for these, we record that equity profits are </w:t>
      </w:r>
      <w:r w:rsidR="005A3072">
        <w:rPr>
          <w:lang w:val="en-GB"/>
        </w:rPr>
        <w:t>shown immediately a</w:t>
      </w:r>
      <w:r w:rsidR="00B30C8D">
        <w:rPr>
          <w:lang w:val="en-GB"/>
        </w:rPr>
        <w:t>fter</w:t>
      </w:r>
      <w:r w:rsidRPr="00D272CC">
        <w:rPr>
          <w:lang w:val="en-GB"/>
        </w:rPr>
        <w:t xml:space="preserve"> ‘operating’ if they are clearly separately shown below the operating expenses items. We ignore cases where </w:t>
      </w:r>
      <w:r w:rsidR="00B30C8D">
        <w:rPr>
          <w:lang w:val="en-GB"/>
        </w:rPr>
        <w:t>more than one</w:t>
      </w:r>
      <w:r w:rsidRPr="00D272CC">
        <w:rPr>
          <w:lang w:val="en-GB"/>
        </w:rPr>
        <w:t xml:space="preserve"> options are used (which applies to </w:t>
      </w:r>
      <w:r w:rsidR="00464C5B" w:rsidRPr="00D272CC">
        <w:rPr>
          <w:lang w:val="en-GB"/>
        </w:rPr>
        <w:t>14</w:t>
      </w:r>
      <w:r w:rsidR="00DF3398" w:rsidRPr="00D272CC">
        <w:rPr>
          <w:lang w:val="en-GB"/>
        </w:rPr>
        <w:t xml:space="preserve"> </w:t>
      </w:r>
      <w:r w:rsidR="0031293A" w:rsidRPr="00D272CC">
        <w:rPr>
          <w:lang w:val="en-GB"/>
        </w:rPr>
        <w:t>firm</w:t>
      </w:r>
      <w:r w:rsidR="004D2264" w:rsidRPr="00D272CC">
        <w:rPr>
          <w:lang w:val="en-GB"/>
        </w:rPr>
        <w:t>-year observations</w:t>
      </w:r>
      <w:r w:rsidR="001F64E6" w:rsidRPr="00D272CC">
        <w:rPr>
          <w:lang w:val="en-GB"/>
        </w:rPr>
        <w:t xml:space="preserve"> of </w:t>
      </w:r>
      <w:r w:rsidR="00464C5B" w:rsidRPr="00D272CC">
        <w:rPr>
          <w:lang w:val="en-GB"/>
        </w:rPr>
        <w:t>2</w:t>
      </w:r>
      <w:r w:rsidR="001F64E6" w:rsidRPr="00D272CC">
        <w:rPr>
          <w:lang w:val="en-GB"/>
        </w:rPr>
        <w:t xml:space="preserve"> firms</w:t>
      </w:r>
      <w:r w:rsidRPr="00D272CC">
        <w:rPr>
          <w:lang w:val="en-GB"/>
        </w:rPr>
        <w:t>).</w:t>
      </w:r>
    </w:p>
    <w:p w14:paraId="6385BDE4" w14:textId="77777777" w:rsidR="00304525" w:rsidRPr="00D272CC" w:rsidRDefault="00304525" w:rsidP="00C56C29">
      <w:pPr>
        <w:spacing w:before="120" w:after="60" w:line="240" w:lineRule="auto"/>
        <w:ind w:left="720" w:hanging="720"/>
        <w:rPr>
          <w:lang w:val="en-GB"/>
        </w:rPr>
      </w:pPr>
      <w:r w:rsidRPr="00D272CC">
        <w:rPr>
          <w:lang w:val="en-GB"/>
        </w:rPr>
        <w:t>Topic 4 (balance sheet showing net assets or not): Showing ‘net current assets’ is treated as showing ‘net assets’.</w:t>
      </w:r>
    </w:p>
    <w:p w14:paraId="1CD2CD11" w14:textId="77777777" w:rsidR="00304525" w:rsidRPr="00D272CC" w:rsidRDefault="00304525" w:rsidP="00C56C29">
      <w:pPr>
        <w:spacing w:before="120" w:after="60" w:line="240" w:lineRule="auto"/>
        <w:ind w:left="720" w:hanging="720"/>
        <w:rPr>
          <w:lang w:val="en-GB"/>
        </w:rPr>
      </w:pPr>
      <w:r w:rsidRPr="00D272CC">
        <w:rPr>
          <w:lang w:val="en-GB"/>
        </w:rPr>
        <w:t>Topic 5 (liquidity order of the balance sheet): No specific procedures.</w:t>
      </w:r>
    </w:p>
    <w:p w14:paraId="5E11B49B" w14:textId="77777777" w:rsidR="00BF1489" w:rsidRPr="00D272CC" w:rsidRDefault="00BF1489" w:rsidP="00C56C29">
      <w:pPr>
        <w:spacing w:before="120" w:after="60" w:line="240" w:lineRule="auto"/>
        <w:ind w:left="720" w:hanging="720"/>
        <w:rPr>
          <w:lang w:val="en-GB"/>
        </w:rPr>
      </w:pPr>
      <w:r w:rsidRPr="00D272CC">
        <w:rPr>
          <w:lang w:val="en-GB"/>
        </w:rPr>
        <w:t>Topic 6 (</w:t>
      </w:r>
      <w:r w:rsidR="00BB5807" w:rsidRPr="00D272CC">
        <w:rPr>
          <w:lang w:val="en-GB"/>
        </w:rPr>
        <w:t xml:space="preserve">OCI or </w:t>
      </w:r>
      <w:r w:rsidR="0065557B" w:rsidRPr="00D272CC">
        <w:rPr>
          <w:lang w:val="en-GB"/>
        </w:rPr>
        <w:t>statement of changes in equity</w:t>
      </w:r>
      <w:r w:rsidRPr="00D272CC">
        <w:rPr>
          <w:lang w:val="en-GB"/>
        </w:rPr>
        <w:t xml:space="preserve">): </w:t>
      </w:r>
      <w:r w:rsidR="0065557B" w:rsidRPr="00D272CC">
        <w:rPr>
          <w:lang w:val="en-GB"/>
        </w:rPr>
        <w:t>O</w:t>
      </w:r>
      <w:r w:rsidR="001F64E6" w:rsidRPr="00D272CC">
        <w:rPr>
          <w:lang w:val="en-GB"/>
        </w:rPr>
        <w:t xml:space="preserve">nly considered if </w:t>
      </w:r>
      <w:r w:rsidR="0065557B" w:rsidRPr="00D272CC">
        <w:rPr>
          <w:lang w:val="en-GB"/>
        </w:rPr>
        <w:t>part</w:t>
      </w:r>
      <w:r w:rsidR="001F64E6" w:rsidRPr="00D272CC">
        <w:rPr>
          <w:lang w:val="en-GB"/>
        </w:rPr>
        <w:t xml:space="preserve"> of the main financial statements</w:t>
      </w:r>
      <w:r w:rsidRPr="00D272CC">
        <w:rPr>
          <w:lang w:val="en-GB"/>
        </w:rPr>
        <w:t>.</w:t>
      </w:r>
    </w:p>
    <w:p w14:paraId="684A7752" w14:textId="77777777" w:rsidR="00304525" w:rsidRPr="00D272CC" w:rsidRDefault="00304525" w:rsidP="00C56C29">
      <w:pPr>
        <w:spacing w:before="120" w:after="60" w:line="240" w:lineRule="auto"/>
        <w:ind w:left="720" w:hanging="720"/>
        <w:rPr>
          <w:lang w:val="en-GB"/>
        </w:rPr>
      </w:pPr>
      <w:r w:rsidRPr="00D272CC">
        <w:rPr>
          <w:lang w:val="en-GB"/>
        </w:rPr>
        <w:t xml:space="preserve">Topic </w:t>
      </w:r>
      <w:r w:rsidR="00BF1489" w:rsidRPr="00D272CC">
        <w:rPr>
          <w:lang w:val="en-GB"/>
        </w:rPr>
        <w:t>7</w:t>
      </w:r>
      <w:r w:rsidRPr="00D272CC">
        <w:rPr>
          <w:lang w:val="en-GB"/>
        </w:rPr>
        <w:t xml:space="preserve"> (direct or indirect operating cash flow): Information is collected from the cash flow statement only. Otherwise most </w:t>
      </w:r>
      <w:r w:rsidR="0031293A" w:rsidRPr="00D272CC">
        <w:rPr>
          <w:lang w:val="en-GB"/>
        </w:rPr>
        <w:t>firms</w:t>
      </w:r>
      <w:r w:rsidRPr="00D272CC">
        <w:rPr>
          <w:lang w:val="en-GB"/>
        </w:rPr>
        <w:t xml:space="preserve"> would use indirect cash flows because those using direct cash flows usually show a reconciliation of an income statement number to cash flow from operating activities in the notes.</w:t>
      </w:r>
    </w:p>
    <w:p w14:paraId="0BD07CE7" w14:textId="77777777" w:rsidR="00304525" w:rsidRPr="00D272CC" w:rsidRDefault="00304525" w:rsidP="00C56C29">
      <w:pPr>
        <w:spacing w:before="120" w:after="60" w:line="240" w:lineRule="auto"/>
        <w:ind w:left="720" w:hanging="720"/>
        <w:rPr>
          <w:lang w:val="en-GB"/>
        </w:rPr>
      </w:pPr>
      <w:r w:rsidRPr="00D272CC">
        <w:rPr>
          <w:lang w:val="en-GB"/>
        </w:rPr>
        <w:t xml:space="preserve">Topic </w:t>
      </w:r>
      <w:r w:rsidR="00BB5807" w:rsidRPr="00D272CC">
        <w:rPr>
          <w:lang w:val="en-GB"/>
        </w:rPr>
        <w:t>8</w:t>
      </w:r>
      <w:r w:rsidRPr="00D272CC">
        <w:rPr>
          <w:lang w:val="en-GB"/>
        </w:rPr>
        <w:t xml:space="preserve"> (position of dividends received in the cash flow statement): We ignore cases where both options are used for different types of dividends (which applies to </w:t>
      </w:r>
      <w:r w:rsidR="00BA2F6E" w:rsidRPr="00D272CC">
        <w:rPr>
          <w:lang w:val="en-GB"/>
        </w:rPr>
        <w:t>49</w:t>
      </w:r>
      <w:r w:rsidR="00DF3398" w:rsidRPr="00D272CC">
        <w:rPr>
          <w:lang w:val="en-GB"/>
        </w:rPr>
        <w:t xml:space="preserve"> </w:t>
      </w:r>
      <w:r w:rsidR="0031293A" w:rsidRPr="00D272CC">
        <w:rPr>
          <w:lang w:val="en-GB"/>
        </w:rPr>
        <w:t>firm</w:t>
      </w:r>
      <w:r w:rsidR="004D2264" w:rsidRPr="00D272CC">
        <w:rPr>
          <w:lang w:val="en-GB"/>
        </w:rPr>
        <w:t xml:space="preserve">-year observations of </w:t>
      </w:r>
      <w:r w:rsidR="00464C5B" w:rsidRPr="00D272CC">
        <w:rPr>
          <w:lang w:val="en-GB"/>
        </w:rPr>
        <w:t>12</w:t>
      </w:r>
      <w:r w:rsidR="004D2264" w:rsidRPr="00D272CC">
        <w:rPr>
          <w:lang w:val="en-GB"/>
        </w:rPr>
        <w:t xml:space="preserve"> firms</w:t>
      </w:r>
      <w:r w:rsidRPr="00D272CC">
        <w:rPr>
          <w:lang w:val="en-GB"/>
        </w:rPr>
        <w:t>).</w:t>
      </w:r>
    </w:p>
    <w:p w14:paraId="585463E9" w14:textId="77777777" w:rsidR="00304525" w:rsidRPr="00D272CC" w:rsidRDefault="00304525" w:rsidP="00C56C29">
      <w:pPr>
        <w:spacing w:before="120" w:after="60" w:line="240" w:lineRule="auto"/>
        <w:ind w:left="720" w:hanging="720"/>
        <w:rPr>
          <w:lang w:val="en-GB"/>
        </w:rPr>
      </w:pPr>
      <w:r w:rsidRPr="00D272CC">
        <w:rPr>
          <w:lang w:val="en-GB"/>
        </w:rPr>
        <w:t xml:space="preserve">Topic </w:t>
      </w:r>
      <w:r w:rsidR="00BB5807" w:rsidRPr="00D272CC">
        <w:rPr>
          <w:lang w:val="en-GB"/>
        </w:rPr>
        <w:t>9</w:t>
      </w:r>
      <w:r w:rsidRPr="00D272CC">
        <w:rPr>
          <w:lang w:val="en-GB"/>
        </w:rPr>
        <w:t xml:space="preserve"> (position of interest paid in the cash flow statement): Our assumption is that </w:t>
      </w:r>
      <w:r w:rsidR="00B30C8D">
        <w:rPr>
          <w:lang w:val="en-GB"/>
        </w:rPr>
        <w:t>firms</w:t>
      </w:r>
      <w:r w:rsidRPr="00D272CC">
        <w:rPr>
          <w:lang w:val="en-GB"/>
        </w:rPr>
        <w:t xml:space="preserve"> have interest paid, unless there is evidence against it. Therefore if a </w:t>
      </w:r>
      <w:r w:rsidR="0031293A" w:rsidRPr="00D272CC">
        <w:rPr>
          <w:lang w:val="en-GB"/>
        </w:rPr>
        <w:t>firm</w:t>
      </w:r>
      <w:r w:rsidRPr="00D272CC">
        <w:rPr>
          <w:lang w:val="en-GB"/>
        </w:rPr>
        <w:t xml:space="preserve"> uses the indirect method and the cash flow statement does not show interest paid, it can be inferred that interest paid is included in operating cash flows. Interest paid includes capitalised borrowing costs. We ignore cases where both options are used (which applies to </w:t>
      </w:r>
      <w:r w:rsidR="00464C5B" w:rsidRPr="00D272CC">
        <w:rPr>
          <w:lang w:val="en-GB"/>
        </w:rPr>
        <w:t>5</w:t>
      </w:r>
      <w:r w:rsidR="00BA2F6E" w:rsidRPr="00D272CC">
        <w:rPr>
          <w:lang w:val="en-GB"/>
        </w:rPr>
        <w:t>2</w:t>
      </w:r>
      <w:r w:rsidR="00DF3398" w:rsidRPr="00D272CC">
        <w:rPr>
          <w:lang w:val="en-GB"/>
        </w:rPr>
        <w:t xml:space="preserve"> </w:t>
      </w:r>
      <w:r w:rsidR="0031293A" w:rsidRPr="00D272CC">
        <w:rPr>
          <w:lang w:val="en-GB"/>
        </w:rPr>
        <w:t>firm</w:t>
      </w:r>
      <w:r w:rsidR="004D2264" w:rsidRPr="00D272CC">
        <w:rPr>
          <w:lang w:val="en-GB"/>
        </w:rPr>
        <w:t xml:space="preserve">-year observations of </w:t>
      </w:r>
      <w:r w:rsidR="00464C5B" w:rsidRPr="00D272CC">
        <w:rPr>
          <w:lang w:val="en-GB"/>
        </w:rPr>
        <w:t>12</w:t>
      </w:r>
      <w:r w:rsidR="004D2264" w:rsidRPr="00D272CC">
        <w:rPr>
          <w:lang w:val="en-GB"/>
        </w:rPr>
        <w:t xml:space="preserve"> firms</w:t>
      </w:r>
      <w:r w:rsidRPr="00D272CC">
        <w:rPr>
          <w:lang w:val="en-GB"/>
        </w:rPr>
        <w:t>).</w:t>
      </w:r>
    </w:p>
    <w:p w14:paraId="3889D21D" w14:textId="77777777" w:rsidR="00304525" w:rsidRPr="00D272CC" w:rsidRDefault="00304525" w:rsidP="00C56C29">
      <w:pPr>
        <w:spacing w:before="120" w:after="60" w:line="240" w:lineRule="auto"/>
        <w:ind w:left="720" w:hanging="720"/>
        <w:rPr>
          <w:lang w:val="en-GB"/>
        </w:rPr>
      </w:pPr>
      <w:r w:rsidRPr="00D272CC">
        <w:rPr>
          <w:lang w:val="en-GB"/>
        </w:rPr>
        <w:t xml:space="preserve">Topic </w:t>
      </w:r>
      <w:r w:rsidR="00BB5807" w:rsidRPr="00D272CC">
        <w:rPr>
          <w:lang w:val="en-GB"/>
        </w:rPr>
        <w:t>10</w:t>
      </w:r>
      <w:r w:rsidRPr="00D272CC">
        <w:rPr>
          <w:lang w:val="en-GB"/>
        </w:rPr>
        <w:t xml:space="preserve"> (some property at fair value or not): Only annual revaluations to fair value are considered, not initial recognition, impairments or first-time adoption of IFRS.</w:t>
      </w:r>
    </w:p>
    <w:p w14:paraId="1A4E6EAA" w14:textId="77777777" w:rsidR="00304525" w:rsidRPr="00D272CC" w:rsidRDefault="00304525" w:rsidP="00C56C29">
      <w:pPr>
        <w:spacing w:before="120" w:after="60" w:line="240" w:lineRule="auto"/>
        <w:ind w:left="720" w:hanging="720"/>
        <w:rPr>
          <w:lang w:val="en-GB"/>
        </w:rPr>
      </w:pPr>
      <w:r w:rsidRPr="00D272CC">
        <w:rPr>
          <w:lang w:val="en-GB"/>
        </w:rPr>
        <w:t>Topic 1</w:t>
      </w:r>
      <w:r w:rsidR="00BB5807" w:rsidRPr="00D272CC">
        <w:rPr>
          <w:lang w:val="en-GB"/>
        </w:rPr>
        <w:t>1</w:t>
      </w:r>
      <w:r w:rsidRPr="00D272CC">
        <w:rPr>
          <w:lang w:val="en-GB"/>
        </w:rPr>
        <w:t xml:space="preserve"> (investment property at fair value or not): The choice of valuing some investment property at fair value according to IAS 40.32A is ignored if a </w:t>
      </w:r>
      <w:r w:rsidR="0031293A" w:rsidRPr="00D272CC">
        <w:rPr>
          <w:lang w:val="en-GB"/>
        </w:rPr>
        <w:t>firm</w:t>
      </w:r>
      <w:r w:rsidRPr="00D272CC">
        <w:rPr>
          <w:lang w:val="en-GB"/>
        </w:rPr>
        <w:t xml:space="preserve"> generally uses the cost model.</w:t>
      </w:r>
    </w:p>
    <w:p w14:paraId="4DF83837" w14:textId="77777777" w:rsidR="00304525" w:rsidRPr="00D272CC" w:rsidRDefault="00304525" w:rsidP="00C56C29">
      <w:pPr>
        <w:spacing w:before="120" w:after="60" w:line="240" w:lineRule="auto"/>
        <w:ind w:left="720" w:hanging="720"/>
        <w:rPr>
          <w:lang w:val="en-GB"/>
        </w:rPr>
      </w:pPr>
      <w:r w:rsidRPr="00D272CC">
        <w:rPr>
          <w:lang w:val="en-GB"/>
        </w:rPr>
        <w:t>Topic 1</w:t>
      </w:r>
      <w:r w:rsidR="00BB5807" w:rsidRPr="00D272CC">
        <w:rPr>
          <w:lang w:val="en-GB"/>
        </w:rPr>
        <w:t>2</w:t>
      </w:r>
      <w:r w:rsidRPr="00D272CC">
        <w:rPr>
          <w:lang w:val="en-GB"/>
        </w:rPr>
        <w:t xml:space="preserve"> (some designation of financial instruments at fair value or not): Some fair value designation is only recorded if a </w:t>
      </w:r>
      <w:r w:rsidR="0031293A" w:rsidRPr="00D272CC">
        <w:rPr>
          <w:lang w:val="en-GB"/>
        </w:rPr>
        <w:t>firm</w:t>
      </w:r>
      <w:r w:rsidRPr="00D272CC">
        <w:rPr>
          <w:lang w:val="en-GB"/>
        </w:rPr>
        <w:t xml:space="preserve"> clearly states that financial instruments have been designated as </w:t>
      </w:r>
      <w:r w:rsidR="00022DB5" w:rsidRPr="00D272CC">
        <w:rPr>
          <w:lang w:val="en-GB"/>
        </w:rPr>
        <w:t>‘</w:t>
      </w:r>
      <w:r w:rsidRPr="00D272CC">
        <w:rPr>
          <w:lang w:val="en-GB"/>
        </w:rPr>
        <w:t xml:space="preserve">at </w:t>
      </w:r>
      <w:r w:rsidR="00022DB5" w:rsidRPr="00D272CC">
        <w:rPr>
          <w:lang w:val="en-GB"/>
        </w:rPr>
        <w:t xml:space="preserve">fair value through profit or loss’, </w:t>
      </w:r>
      <w:r w:rsidRPr="00D272CC">
        <w:rPr>
          <w:lang w:val="en-GB"/>
        </w:rPr>
        <w:t xml:space="preserve">and the notes show a corresponding number to confirm this. The latter is necessary because many </w:t>
      </w:r>
      <w:r w:rsidR="0031293A" w:rsidRPr="00D272CC">
        <w:rPr>
          <w:lang w:val="en-GB"/>
        </w:rPr>
        <w:t>firms</w:t>
      </w:r>
      <w:r w:rsidRPr="00D272CC">
        <w:rPr>
          <w:lang w:val="en-GB"/>
        </w:rPr>
        <w:t xml:space="preserve"> have boilerplate notes concerning fair value designation even though there is no such designation in the particular </w:t>
      </w:r>
      <w:r w:rsidR="0031293A" w:rsidRPr="00D272CC">
        <w:rPr>
          <w:lang w:val="en-GB"/>
        </w:rPr>
        <w:t>firm</w:t>
      </w:r>
      <w:r w:rsidRPr="00D272CC">
        <w:rPr>
          <w:lang w:val="en-GB"/>
        </w:rPr>
        <w:t>.</w:t>
      </w:r>
    </w:p>
    <w:p w14:paraId="46916242" w14:textId="77777777" w:rsidR="00BB5807" w:rsidRPr="00D272CC" w:rsidRDefault="00BB5807" w:rsidP="00C56C29">
      <w:pPr>
        <w:spacing w:before="120" w:after="60" w:line="240" w:lineRule="auto"/>
        <w:ind w:left="720" w:hanging="720"/>
        <w:rPr>
          <w:lang w:val="en-GB"/>
        </w:rPr>
      </w:pPr>
      <w:r w:rsidRPr="00D272CC">
        <w:rPr>
          <w:lang w:val="en-GB"/>
        </w:rPr>
        <w:t>Topic 13 (interest on construction): No specific procedures.</w:t>
      </w:r>
    </w:p>
    <w:p w14:paraId="5273545E" w14:textId="1077BE38" w:rsidR="00304525" w:rsidRPr="00D272CC" w:rsidRDefault="00304525" w:rsidP="00C56C29">
      <w:pPr>
        <w:spacing w:before="120" w:after="60" w:line="240" w:lineRule="auto"/>
        <w:ind w:left="720" w:hanging="720"/>
        <w:rPr>
          <w:lang w:val="en-GB"/>
        </w:rPr>
      </w:pPr>
      <w:r w:rsidRPr="00D272CC">
        <w:rPr>
          <w:lang w:val="en-GB"/>
        </w:rPr>
        <w:t>Topic 1</w:t>
      </w:r>
      <w:r w:rsidR="00BB5807" w:rsidRPr="00D272CC">
        <w:rPr>
          <w:lang w:val="en-GB"/>
        </w:rPr>
        <w:t>4</w:t>
      </w:r>
      <w:r w:rsidRPr="00D272CC">
        <w:rPr>
          <w:lang w:val="en-GB"/>
        </w:rPr>
        <w:t xml:space="preserve"> (inventory </w:t>
      </w:r>
      <w:r w:rsidR="00022DB5" w:rsidRPr="00D272CC">
        <w:rPr>
          <w:lang w:val="en-GB"/>
        </w:rPr>
        <w:t>cost</w:t>
      </w:r>
      <w:r w:rsidR="006914D8">
        <w:rPr>
          <w:lang w:val="en-GB"/>
        </w:rPr>
        <w:t>ing</w:t>
      </w:r>
      <w:r w:rsidRPr="00D272CC">
        <w:rPr>
          <w:lang w:val="en-GB"/>
        </w:rPr>
        <w:t xml:space="preserve">): Any method other than FIFO or weighted average is ignored. This mainly applies to the ‘retail method’ used in the retail sector. For financial </w:t>
      </w:r>
      <w:r w:rsidR="0031293A" w:rsidRPr="00D272CC">
        <w:rPr>
          <w:lang w:val="en-GB"/>
        </w:rPr>
        <w:t>firms</w:t>
      </w:r>
      <w:r w:rsidRPr="00D272CC">
        <w:rPr>
          <w:lang w:val="en-GB"/>
        </w:rPr>
        <w:t>, this topic is omitted because most of them do not report inventories.</w:t>
      </w:r>
    </w:p>
    <w:p w14:paraId="2D78848C" w14:textId="77777777" w:rsidR="00304525" w:rsidRPr="00D272CC" w:rsidRDefault="00304525" w:rsidP="00C56C29">
      <w:pPr>
        <w:spacing w:before="120" w:after="60" w:line="240" w:lineRule="auto"/>
        <w:ind w:left="720" w:hanging="720"/>
        <w:rPr>
          <w:lang w:val="en-GB"/>
        </w:rPr>
      </w:pPr>
      <w:r w:rsidRPr="00D272CC">
        <w:rPr>
          <w:lang w:val="en-GB"/>
        </w:rPr>
        <w:t>Topic 1</w:t>
      </w:r>
      <w:r w:rsidR="00BB5807" w:rsidRPr="00D272CC">
        <w:rPr>
          <w:lang w:val="en-GB"/>
        </w:rPr>
        <w:t>5</w:t>
      </w:r>
      <w:r w:rsidRPr="00D272CC">
        <w:rPr>
          <w:lang w:val="en-GB"/>
        </w:rPr>
        <w:t xml:space="preserve"> (treatment of actuarial gains/losses): Any choice that results in unrecognised actuarial gains and losses (AGL) is treated as using the corridor method, because the key difference between the corridor method and the other options is the existence of unrecognised AGL.</w:t>
      </w:r>
    </w:p>
    <w:p w14:paraId="0381C601" w14:textId="77777777" w:rsidR="00304525" w:rsidRPr="00D272CC" w:rsidRDefault="00304525" w:rsidP="00C56C29">
      <w:pPr>
        <w:spacing w:before="120" w:after="60" w:line="240" w:lineRule="auto"/>
        <w:ind w:left="720" w:hanging="720"/>
        <w:rPr>
          <w:lang w:val="en-GB"/>
        </w:rPr>
      </w:pPr>
      <w:r w:rsidRPr="00D272CC">
        <w:rPr>
          <w:lang w:val="en-GB"/>
        </w:rPr>
        <w:t>Topic 1</w:t>
      </w:r>
      <w:r w:rsidR="00BB5807" w:rsidRPr="00D272CC">
        <w:rPr>
          <w:lang w:val="en-GB"/>
        </w:rPr>
        <w:t>6</w:t>
      </w:r>
      <w:r w:rsidRPr="00D272CC">
        <w:rPr>
          <w:lang w:val="en-GB"/>
        </w:rPr>
        <w:t xml:space="preserve"> (treatment of joint ventures): The choice of designation as at fair value through profit or loss upon initial recognition (IAS 31.1) is ignored. This only applies to two financial </w:t>
      </w:r>
      <w:r w:rsidR="0031293A" w:rsidRPr="00D272CC">
        <w:rPr>
          <w:lang w:val="en-GB"/>
        </w:rPr>
        <w:t>firms</w:t>
      </w:r>
      <w:r w:rsidRPr="00D272CC">
        <w:rPr>
          <w:lang w:val="en-GB"/>
        </w:rPr>
        <w:t xml:space="preserve"> in our sample</w:t>
      </w:r>
      <w:r w:rsidR="00464C5B" w:rsidRPr="00D272CC">
        <w:rPr>
          <w:lang w:val="en-GB"/>
        </w:rPr>
        <w:t xml:space="preserve"> (11 firm-year observations)</w:t>
      </w:r>
      <w:r w:rsidRPr="00D272CC">
        <w:rPr>
          <w:lang w:val="en-GB"/>
        </w:rPr>
        <w:t xml:space="preserve">. We ignore the choice of one financial </w:t>
      </w:r>
      <w:r w:rsidR="0031293A" w:rsidRPr="00D272CC">
        <w:rPr>
          <w:lang w:val="en-GB"/>
        </w:rPr>
        <w:t>firm</w:t>
      </w:r>
      <w:r w:rsidR="004D2264" w:rsidRPr="00D272CC">
        <w:rPr>
          <w:lang w:val="en-GB"/>
        </w:rPr>
        <w:t xml:space="preserve"> (</w:t>
      </w:r>
      <w:r w:rsidR="00464C5B" w:rsidRPr="00D272CC">
        <w:rPr>
          <w:lang w:val="en-GB"/>
        </w:rPr>
        <w:t>3</w:t>
      </w:r>
      <w:r w:rsidR="004D2264" w:rsidRPr="00D272CC">
        <w:rPr>
          <w:lang w:val="en-GB"/>
        </w:rPr>
        <w:t xml:space="preserve"> firm-year observations)</w:t>
      </w:r>
      <w:r w:rsidRPr="00D272CC">
        <w:rPr>
          <w:lang w:val="en-GB"/>
        </w:rPr>
        <w:t xml:space="preserve"> which </w:t>
      </w:r>
      <w:r w:rsidR="005A3072">
        <w:rPr>
          <w:lang w:val="en-GB"/>
        </w:rPr>
        <w:t xml:space="preserve">claims to </w:t>
      </w:r>
      <w:r w:rsidRPr="00D272CC">
        <w:rPr>
          <w:lang w:val="en-GB"/>
        </w:rPr>
        <w:t>use both proportionate consolidation and the equity method.</w:t>
      </w:r>
    </w:p>
    <w:p w14:paraId="2495D15B" w14:textId="77777777" w:rsidR="00304525" w:rsidRPr="00D272CC" w:rsidRDefault="00DE219A" w:rsidP="002B50E2">
      <w:pPr>
        <w:pStyle w:val="Heading3"/>
        <w:spacing w:line="240" w:lineRule="auto"/>
        <w:rPr>
          <w:lang w:val="en-GB"/>
        </w:rPr>
      </w:pPr>
      <w:r w:rsidRPr="00D272CC">
        <w:rPr>
          <w:lang w:val="en-GB"/>
        </w:rPr>
        <w:t xml:space="preserve">Reasons for </w:t>
      </w:r>
      <w:r w:rsidR="00304525" w:rsidRPr="00D272CC">
        <w:rPr>
          <w:lang w:val="en-GB"/>
        </w:rPr>
        <w:t xml:space="preserve">IFRS policy changes: </w:t>
      </w:r>
      <w:r w:rsidR="005A3072">
        <w:rPr>
          <w:lang w:val="en-GB"/>
        </w:rPr>
        <w:t>p</w:t>
      </w:r>
      <w:r w:rsidR="00304525" w:rsidRPr="00D272CC">
        <w:rPr>
          <w:lang w:val="en-GB"/>
        </w:rPr>
        <w:t>rocedures</w:t>
      </w:r>
    </w:p>
    <w:p w14:paraId="228D645B" w14:textId="77777777" w:rsidR="00304525" w:rsidRPr="00D272CC" w:rsidRDefault="00DE219A" w:rsidP="00DF3398">
      <w:pPr>
        <w:spacing w:before="120" w:after="60" w:line="240" w:lineRule="auto"/>
        <w:rPr>
          <w:lang w:val="en-GB"/>
        </w:rPr>
      </w:pPr>
      <w:r w:rsidRPr="00D272CC">
        <w:rPr>
          <w:lang w:val="en-GB"/>
        </w:rPr>
        <w:t>Explanations for IFRS policy changes are</w:t>
      </w:r>
      <w:r w:rsidR="00063FB2" w:rsidRPr="00D272CC">
        <w:rPr>
          <w:lang w:val="en-GB"/>
        </w:rPr>
        <w:t xml:space="preserve"> generally fro</w:t>
      </w:r>
      <w:r w:rsidR="00A94EFB" w:rsidRPr="00D272CC">
        <w:rPr>
          <w:lang w:val="en-GB"/>
        </w:rPr>
        <w:t xml:space="preserve">m </w:t>
      </w:r>
      <w:r w:rsidR="00796718" w:rsidRPr="00D272CC">
        <w:rPr>
          <w:lang w:val="en-GB"/>
        </w:rPr>
        <w:t xml:space="preserve">the </w:t>
      </w:r>
      <w:r w:rsidR="00A94EFB" w:rsidRPr="00D272CC">
        <w:rPr>
          <w:lang w:val="en-GB"/>
        </w:rPr>
        <w:t>notes to the financial statements</w:t>
      </w:r>
      <w:r w:rsidRPr="00D272CC">
        <w:rPr>
          <w:lang w:val="en-GB"/>
        </w:rPr>
        <w:t xml:space="preserve"> (in particular from the accounting policies section)</w:t>
      </w:r>
      <w:r w:rsidR="00A94EFB" w:rsidRPr="00D272CC">
        <w:rPr>
          <w:lang w:val="en-GB"/>
        </w:rPr>
        <w:t>, but occasionally from elsewhere in the annual report.</w:t>
      </w:r>
      <w:r w:rsidR="005D2D70" w:rsidRPr="00D272CC">
        <w:rPr>
          <w:lang w:val="en-GB"/>
        </w:rPr>
        <w:t xml:space="preserve"> </w:t>
      </w:r>
      <w:r w:rsidR="00E427A7" w:rsidRPr="00D272CC">
        <w:rPr>
          <w:lang w:val="en-GB"/>
        </w:rPr>
        <w:t>T</w:t>
      </w:r>
      <w:r w:rsidR="005D2D70" w:rsidRPr="00D272CC">
        <w:rPr>
          <w:lang w:val="en-GB"/>
        </w:rPr>
        <w:t xml:space="preserve">he explanation may provide one or more reasons for </w:t>
      </w:r>
      <w:r w:rsidR="00E427A7" w:rsidRPr="00D272CC">
        <w:rPr>
          <w:lang w:val="en-GB"/>
        </w:rPr>
        <w:t>the policy change.</w:t>
      </w:r>
      <w:r w:rsidR="006F7F5D" w:rsidRPr="00D272CC">
        <w:rPr>
          <w:lang w:val="en-GB"/>
        </w:rPr>
        <w:t xml:space="preserve"> Several </w:t>
      </w:r>
      <w:r w:rsidR="00053EBC" w:rsidRPr="00D272CC">
        <w:rPr>
          <w:lang w:val="en-GB"/>
        </w:rPr>
        <w:t xml:space="preserve">QCs </w:t>
      </w:r>
      <w:r w:rsidR="006F7F5D" w:rsidRPr="00D272CC">
        <w:rPr>
          <w:lang w:val="en-GB"/>
        </w:rPr>
        <w:t xml:space="preserve">(faithful representation, understandability and transparency) are </w:t>
      </w:r>
      <w:r w:rsidR="00001D0B" w:rsidRPr="00D272CC">
        <w:rPr>
          <w:lang w:val="en-GB"/>
        </w:rPr>
        <w:t xml:space="preserve">not only scored if they are explicitly stated, but also </w:t>
      </w:r>
      <w:r w:rsidR="00022DB5" w:rsidRPr="00D272CC">
        <w:rPr>
          <w:lang w:val="en-GB"/>
        </w:rPr>
        <w:t>if</w:t>
      </w:r>
      <w:r w:rsidR="006F7F5D" w:rsidRPr="00D272CC">
        <w:rPr>
          <w:lang w:val="en-GB"/>
        </w:rPr>
        <w:t xml:space="preserve"> </w:t>
      </w:r>
      <w:r w:rsidR="007B7623" w:rsidRPr="00D272CC">
        <w:rPr>
          <w:lang w:val="en-GB"/>
        </w:rPr>
        <w:t>‘</w:t>
      </w:r>
      <w:r w:rsidR="006F7F5D" w:rsidRPr="00D272CC">
        <w:rPr>
          <w:lang w:val="en-GB"/>
        </w:rPr>
        <w:t>inferred</w:t>
      </w:r>
      <w:r w:rsidR="007B7623" w:rsidRPr="00D272CC">
        <w:rPr>
          <w:lang w:val="en-GB"/>
        </w:rPr>
        <w:t>’</w:t>
      </w:r>
      <w:r w:rsidR="006F7F5D" w:rsidRPr="00D272CC">
        <w:rPr>
          <w:lang w:val="en-GB"/>
        </w:rPr>
        <w:t>; the next paragraph provides further detail and the last section of this appendix provides examples.</w:t>
      </w:r>
    </w:p>
    <w:p w14:paraId="254FB7CC" w14:textId="77777777" w:rsidR="00EB04D4" w:rsidRPr="00D272CC" w:rsidRDefault="005D2D70" w:rsidP="00863F43">
      <w:pPr>
        <w:spacing w:line="240" w:lineRule="auto"/>
        <w:rPr>
          <w:lang w:val="en-GB"/>
        </w:rPr>
      </w:pPr>
      <w:r w:rsidRPr="00D272CC">
        <w:rPr>
          <w:lang w:val="en-GB"/>
        </w:rPr>
        <w:t xml:space="preserve">Specific procedures: </w:t>
      </w:r>
      <w:r w:rsidR="00D4354B" w:rsidRPr="00D272CC">
        <w:rPr>
          <w:lang w:val="en-GB"/>
        </w:rPr>
        <w:t>‘</w:t>
      </w:r>
      <w:r w:rsidR="00863F43" w:rsidRPr="00D272CC">
        <w:rPr>
          <w:lang w:val="en-GB"/>
        </w:rPr>
        <w:t>R</w:t>
      </w:r>
      <w:r w:rsidR="00D4354B" w:rsidRPr="00D272CC">
        <w:rPr>
          <w:lang w:val="en-GB"/>
        </w:rPr>
        <w:t>elevan</w:t>
      </w:r>
      <w:r w:rsidR="00863F43" w:rsidRPr="00D272CC">
        <w:rPr>
          <w:lang w:val="en-GB"/>
        </w:rPr>
        <w:t>ce</w:t>
      </w:r>
      <w:r w:rsidR="00D4354B" w:rsidRPr="00D272CC">
        <w:rPr>
          <w:lang w:val="en-GB"/>
        </w:rPr>
        <w:t>’ is only scored if it is explicitly stated.</w:t>
      </w:r>
      <w:r w:rsidR="00863F43" w:rsidRPr="00D272CC">
        <w:rPr>
          <w:lang w:val="en-GB"/>
        </w:rPr>
        <w:t xml:space="preserve"> ‘</w:t>
      </w:r>
      <w:r w:rsidR="00EB04D4" w:rsidRPr="00D272CC">
        <w:rPr>
          <w:lang w:val="en-GB"/>
        </w:rPr>
        <w:t>Reliability</w:t>
      </w:r>
      <w:r w:rsidR="00863F43" w:rsidRPr="00D272CC">
        <w:rPr>
          <w:lang w:val="en-GB"/>
        </w:rPr>
        <w:t>’</w:t>
      </w:r>
      <w:r w:rsidR="00E208CB" w:rsidRPr="00D272CC">
        <w:rPr>
          <w:lang w:val="en-GB"/>
        </w:rPr>
        <w:t xml:space="preserve"> and ‘relevance’</w:t>
      </w:r>
      <w:r w:rsidR="00EB04D4" w:rsidRPr="00D272CC">
        <w:rPr>
          <w:lang w:val="en-GB"/>
        </w:rPr>
        <w:t xml:space="preserve"> </w:t>
      </w:r>
      <w:r w:rsidR="00E208CB" w:rsidRPr="00D272CC">
        <w:rPr>
          <w:lang w:val="en-GB"/>
        </w:rPr>
        <w:t>are</w:t>
      </w:r>
      <w:r w:rsidR="00863F43" w:rsidRPr="00D272CC">
        <w:rPr>
          <w:lang w:val="en-GB"/>
        </w:rPr>
        <w:t xml:space="preserve"> only </w:t>
      </w:r>
      <w:r w:rsidR="00EB04D4" w:rsidRPr="00D272CC">
        <w:rPr>
          <w:lang w:val="en-GB"/>
        </w:rPr>
        <w:t>scored f</w:t>
      </w:r>
      <w:r w:rsidR="00863F43" w:rsidRPr="00D272CC">
        <w:rPr>
          <w:lang w:val="en-GB"/>
        </w:rPr>
        <w:t>or</w:t>
      </w:r>
      <w:r w:rsidR="00EB04D4" w:rsidRPr="00D272CC">
        <w:rPr>
          <w:lang w:val="en-GB"/>
        </w:rPr>
        <w:t xml:space="preserve"> </w:t>
      </w:r>
      <w:r w:rsidR="007B7623" w:rsidRPr="00D272CC">
        <w:rPr>
          <w:lang w:val="en-GB"/>
        </w:rPr>
        <w:t>‘</w:t>
      </w:r>
      <w:r w:rsidR="00EB04D4" w:rsidRPr="00D272CC">
        <w:rPr>
          <w:lang w:val="en-GB"/>
        </w:rPr>
        <w:t>more reliable</w:t>
      </w:r>
      <w:r w:rsidR="007B7623" w:rsidRPr="00D272CC">
        <w:rPr>
          <w:lang w:val="en-GB"/>
        </w:rPr>
        <w:t>’</w:t>
      </w:r>
      <w:r w:rsidR="00E208CB" w:rsidRPr="00D272CC">
        <w:rPr>
          <w:lang w:val="en-GB"/>
        </w:rPr>
        <w:t xml:space="preserve"> and </w:t>
      </w:r>
      <w:r w:rsidR="007B7623" w:rsidRPr="00D272CC">
        <w:rPr>
          <w:lang w:val="en-GB"/>
        </w:rPr>
        <w:t>‘</w:t>
      </w:r>
      <w:r w:rsidR="00E208CB" w:rsidRPr="00D272CC">
        <w:rPr>
          <w:lang w:val="en-GB"/>
        </w:rPr>
        <w:t>more relevant</w:t>
      </w:r>
      <w:r w:rsidR="007B7623" w:rsidRPr="00D272CC">
        <w:rPr>
          <w:lang w:val="en-GB"/>
        </w:rPr>
        <w:t>’</w:t>
      </w:r>
      <w:r w:rsidR="00863F43" w:rsidRPr="00D272CC">
        <w:rPr>
          <w:lang w:val="en-GB"/>
        </w:rPr>
        <w:t xml:space="preserve">, i.e. not for </w:t>
      </w:r>
      <w:r w:rsidR="007B7623" w:rsidRPr="00D272CC">
        <w:rPr>
          <w:lang w:val="en-GB"/>
        </w:rPr>
        <w:t>‘</w:t>
      </w:r>
      <w:r w:rsidR="00863F43" w:rsidRPr="00D272CC">
        <w:rPr>
          <w:lang w:val="en-GB"/>
        </w:rPr>
        <w:t>reliable</w:t>
      </w:r>
      <w:r w:rsidR="007B7623" w:rsidRPr="00D272CC">
        <w:rPr>
          <w:lang w:val="en-GB"/>
        </w:rPr>
        <w:t>’</w:t>
      </w:r>
      <w:r w:rsidR="00863F43" w:rsidRPr="00D272CC">
        <w:rPr>
          <w:lang w:val="en-GB"/>
        </w:rPr>
        <w:t xml:space="preserve"> </w:t>
      </w:r>
      <w:r w:rsidR="00E208CB" w:rsidRPr="00D272CC">
        <w:rPr>
          <w:lang w:val="en-GB"/>
        </w:rPr>
        <w:t xml:space="preserve">and </w:t>
      </w:r>
      <w:r w:rsidR="007B7623" w:rsidRPr="00D272CC">
        <w:rPr>
          <w:lang w:val="en-GB"/>
        </w:rPr>
        <w:t>‘</w:t>
      </w:r>
      <w:r w:rsidR="00E208CB" w:rsidRPr="00D272CC">
        <w:rPr>
          <w:lang w:val="en-GB"/>
        </w:rPr>
        <w:t>relevant</w:t>
      </w:r>
      <w:r w:rsidR="007B7623" w:rsidRPr="00D272CC">
        <w:rPr>
          <w:lang w:val="en-GB"/>
        </w:rPr>
        <w:t>’</w:t>
      </w:r>
      <w:r w:rsidR="00E208CB" w:rsidRPr="00D272CC">
        <w:rPr>
          <w:lang w:val="en-GB"/>
        </w:rPr>
        <w:t xml:space="preserve"> </w:t>
      </w:r>
      <w:r w:rsidR="00863F43" w:rsidRPr="00D272CC">
        <w:rPr>
          <w:lang w:val="en-GB"/>
        </w:rPr>
        <w:t>only. ‘</w:t>
      </w:r>
      <w:r w:rsidR="00EB04D4" w:rsidRPr="00D272CC">
        <w:rPr>
          <w:lang w:val="en-GB"/>
        </w:rPr>
        <w:t>Comparability</w:t>
      </w:r>
      <w:r w:rsidR="00863F43" w:rsidRPr="00D272CC">
        <w:rPr>
          <w:lang w:val="en-GB"/>
        </w:rPr>
        <w:t xml:space="preserve">’ </w:t>
      </w:r>
      <w:r w:rsidR="00E208CB" w:rsidRPr="00D272CC">
        <w:rPr>
          <w:lang w:val="en-GB"/>
        </w:rPr>
        <w:t xml:space="preserve">includes ‘alignment’ and ‘consistent’; it </w:t>
      </w:r>
      <w:r w:rsidR="00863F43" w:rsidRPr="00D272CC">
        <w:rPr>
          <w:lang w:val="en-GB"/>
        </w:rPr>
        <w:t>is not scored for</w:t>
      </w:r>
      <w:r w:rsidR="00EB04D4" w:rsidRPr="00D272CC">
        <w:rPr>
          <w:lang w:val="en-GB"/>
        </w:rPr>
        <w:t xml:space="preserve"> comparability within </w:t>
      </w:r>
      <w:r w:rsidR="00863F43" w:rsidRPr="00D272CC">
        <w:rPr>
          <w:lang w:val="en-GB"/>
        </w:rPr>
        <w:t xml:space="preserve">a </w:t>
      </w:r>
      <w:r w:rsidR="00427031" w:rsidRPr="00D272CC">
        <w:rPr>
          <w:lang w:val="en-GB"/>
        </w:rPr>
        <w:t>firm</w:t>
      </w:r>
      <w:r w:rsidR="00863F43" w:rsidRPr="00D272CC">
        <w:rPr>
          <w:lang w:val="en-GB"/>
        </w:rPr>
        <w:t xml:space="preserve">. </w:t>
      </w:r>
      <w:r w:rsidR="006F7F5D" w:rsidRPr="00D272CC">
        <w:rPr>
          <w:lang w:val="en-GB"/>
        </w:rPr>
        <w:t xml:space="preserve">‘Faithful representation (inferred)’ includes any reference to </w:t>
      </w:r>
      <w:r w:rsidR="007C470E" w:rsidRPr="00D272CC">
        <w:rPr>
          <w:lang w:val="en-GB"/>
        </w:rPr>
        <w:t>better</w:t>
      </w:r>
      <w:r w:rsidR="006F7F5D" w:rsidRPr="00D272CC">
        <w:rPr>
          <w:lang w:val="en-GB"/>
        </w:rPr>
        <w:t xml:space="preserve"> presentation</w:t>
      </w:r>
      <w:r w:rsidR="007C470E" w:rsidRPr="00D272CC">
        <w:rPr>
          <w:lang w:val="en-GB"/>
        </w:rPr>
        <w:t xml:space="preserve"> of information</w:t>
      </w:r>
      <w:r w:rsidR="006F7F5D" w:rsidRPr="00D272CC">
        <w:rPr>
          <w:lang w:val="en-GB"/>
        </w:rPr>
        <w:t xml:space="preserve">. </w:t>
      </w:r>
      <w:r w:rsidR="00863F43" w:rsidRPr="00D272CC">
        <w:rPr>
          <w:lang w:val="en-GB"/>
        </w:rPr>
        <w:t>‘Understandability (inferred)’ includes</w:t>
      </w:r>
      <w:r w:rsidR="00D11319" w:rsidRPr="00D272CC">
        <w:rPr>
          <w:lang w:val="en-GB"/>
        </w:rPr>
        <w:t xml:space="preserve"> </w:t>
      </w:r>
      <w:r w:rsidR="00AF64C1" w:rsidRPr="00D272CC">
        <w:rPr>
          <w:lang w:val="en-GB"/>
        </w:rPr>
        <w:t>any reference to improved clarity of information</w:t>
      </w:r>
      <w:r w:rsidR="00863F43" w:rsidRPr="00D272CC">
        <w:rPr>
          <w:lang w:val="en-GB"/>
        </w:rPr>
        <w:t>. ‘Transparency (inferred)’ includes</w:t>
      </w:r>
      <w:r w:rsidR="00EB04D4" w:rsidRPr="00D272CC">
        <w:rPr>
          <w:lang w:val="en-GB"/>
        </w:rPr>
        <w:t xml:space="preserve"> </w:t>
      </w:r>
      <w:r w:rsidR="00AF64C1" w:rsidRPr="00D272CC">
        <w:rPr>
          <w:lang w:val="en-GB"/>
        </w:rPr>
        <w:t xml:space="preserve">enhanced disclosure, </w:t>
      </w:r>
      <w:r w:rsidR="00EB04D4" w:rsidRPr="00D272CC">
        <w:rPr>
          <w:lang w:val="en-GB"/>
        </w:rPr>
        <w:t>additional information</w:t>
      </w:r>
      <w:r w:rsidR="00AF64C1" w:rsidRPr="00D272CC">
        <w:rPr>
          <w:lang w:val="en-GB"/>
        </w:rPr>
        <w:t>,</w:t>
      </w:r>
      <w:r w:rsidR="00EB04D4" w:rsidRPr="00D272CC">
        <w:rPr>
          <w:lang w:val="en-GB"/>
        </w:rPr>
        <w:t xml:space="preserve"> and improv</w:t>
      </w:r>
      <w:r w:rsidR="00AF64C1" w:rsidRPr="00D272CC">
        <w:rPr>
          <w:lang w:val="en-GB"/>
        </w:rPr>
        <w:t>ed</w:t>
      </w:r>
      <w:r w:rsidR="00EB04D4" w:rsidRPr="00D272CC">
        <w:rPr>
          <w:lang w:val="en-GB"/>
        </w:rPr>
        <w:t xml:space="preserve"> visibility</w:t>
      </w:r>
      <w:r w:rsidR="00863F43" w:rsidRPr="00D272CC">
        <w:rPr>
          <w:lang w:val="en-GB"/>
        </w:rPr>
        <w:t>.</w:t>
      </w:r>
    </w:p>
    <w:p w14:paraId="7E4AE48C" w14:textId="77777777" w:rsidR="00304525" w:rsidRPr="00D272CC" w:rsidRDefault="00DE219A" w:rsidP="002B50E2">
      <w:pPr>
        <w:pStyle w:val="Heading3"/>
        <w:spacing w:line="240" w:lineRule="auto"/>
        <w:rPr>
          <w:lang w:val="en-GB"/>
        </w:rPr>
      </w:pPr>
      <w:r w:rsidRPr="00D272CC">
        <w:rPr>
          <w:lang w:val="en-GB"/>
        </w:rPr>
        <w:t xml:space="preserve">Reasons for </w:t>
      </w:r>
      <w:r w:rsidR="00304525" w:rsidRPr="00D272CC">
        <w:rPr>
          <w:lang w:val="en-GB"/>
        </w:rPr>
        <w:t xml:space="preserve">IFRS policy changes: </w:t>
      </w:r>
      <w:r w:rsidR="005A3072">
        <w:rPr>
          <w:lang w:val="en-GB"/>
        </w:rPr>
        <w:t>e</w:t>
      </w:r>
      <w:r w:rsidR="00304525" w:rsidRPr="00D272CC">
        <w:rPr>
          <w:lang w:val="en-GB"/>
        </w:rPr>
        <w:t>xamples</w:t>
      </w:r>
    </w:p>
    <w:p w14:paraId="1A2ECE17" w14:textId="77777777" w:rsidR="00DB4C62" w:rsidRPr="00D272CC" w:rsidRDefault="00DB4C62" w:rsidP="00DB4C62">
      <w:pPr>
        <w:spacing w:before="120" w:after="60" w:line="240" w:lineRule="auto"/>
        <w:ind w:left="720" w:hanging="720"/>
        <w:rPr>
          <w:szCs w:val="20"/>
          <w:lang w:val="en-GB"/>
        </w:rPr>
      </w:pPr>
      <w:r w:rsidRPr="00D272CC">
        <w:rPr>
          <w:szCs w:val="20"/>
          <w:lang w:val="en-GB"/>
        </w:rPr>
        <w:t xml:space="preserve">Reliability: </w:t>
      </w:r>
      <w:r w:rsidR="007B7623" w:rsidRPr="00D272CC">
        <w:rPr>
          <w:szCs w:val="20"/>
          <w:lang w:val="en-GB"/>
        </w:rPr>
        <w:t>‘</w:t>
      </w:r>
      <w:r w:rsidRPr="00D272CC">
        <w:rPr>
          <w:szCs w:val="20"/>
          <w:lang w:val="en-GB"/>
        </w:rPr>
        <w:t>The directors of the Company are of the view that the change in accounting method for interests in jointly controlled entities would provide more reliable, relevant and comparable information</w:t>
      </w:r>
      <w:r w:rsidR="00533111" w:rsidRPr="00D272CC">
        <w:rPr>
          <w:szCs w:val="20"/>
          <w:lang w:val="en-GB"/>
        </w:rPr>
        <w:t xml:space="preserve"> of its interests in jointly controlled entities on the Group’s financial position, financial performance and cash flows, which is consistent with the basis adopted in the Group’s PRC statutory financial statements prepared based on the CAS effective from 1 January 2007.</w:t>
      </w:r>
      <w:r w:rsidR="007B7623" w:rsidRPr="00D272CC">
        <w:rPr>
          <w:szCs w:val="20"/>
          <w:lang w:val="en-GB"/>
        </w:rPr>
        <w:t>’</w:t>
      </w:r>
      <w:r w:rsidRPr="00D272CC">
        <w:rPr>
          <w:szCs w:val="20"/>
          <w:lang w:val="en-GB"/>
        </w:rPr>
        <w:t xml:space="preserve"> (Shenzhen Expressway, Annual Report 2007, p.</w:t>
      </w:r>
      <w:r w:rsidR="000231CD" w:rsidRPr="00D272CC">
        <w:rPr>
          <w:szCs w:val="20"/>
          <w:lang w:val="en-GB"/>
        </w:rPr>
        <w:t xml:space="preserve"> </w:t>
      </w:r>
      <w:r w:rsidRPr="00D272CC">
        <w:rPr>
          <w:szCs w:val="20"/>
          <w:lang w:val="en-GB"/>
        </w:rPr>
        <w:t>109)</w:t>
      </w:r>
      <w:r w:rsidR="00D86B1E" w:rsidRPr="00D272CC">
        <w:rPr>
          <w:szCs w:val="20"/>
          <w:lang w:val="en-GB"/>
        </w:rPr>
        <w:t xml:space="preserve"> [We also score ‘relevance’ and ‘comparability’.]</w:t>
      </w:r>
    </w:p>
    <w:p w14:paraId="10A50C52" w14:textId="77777777" w:rsidR="00304525" w:rsidRPr="00D272CC" w:rsidRDefault="00EB4F52" w:rsidP="00C56C29">
      <w:pPr>
        <w:spacing w:before="120" w:after="60" w:line="240" w:lineRule="auto"/>
        <w:ind w:left="720" w:hanging="720"/>
        <w:rPr>
          <w:lang w:val="en-GB"/>
        </w:rPr>
      </w:pPr>
      <w:r w:rsidRPr="00D272CC">
        <w:rPr>
          <w:lang w:val="en-GB"/>
        </w:rPr>
        <w:t>Relevance</w:t>
      </w:r>
      <w:r w:rsidR="00304525" w:rsidRPr="00D272CC">
        <w:rPr>
          <w:lang w:val="en-GB"/>
        </w:rPr>
        <w:t xml:space="preserve">: </w:t>
      </w:r>
      <w:r w:rsidR="007B7623" w:rsidRPr="00D272CC">
        <w:rPr>
          <w:lang w:val="en-GB"/>
        </w:rPr>
        <w:t>‘</w:t>
      </w:r>
      <w:r w:rsidR="00ED4EBF" w:rsidRPr="00D272CC">
        <w:rPr>
          <w:lang w:val="en-GB"/>
        </w:rPr>
        <w:t>The Group believes that subsequent measurement using the fair value model provides more relevant information about the financial performance of these assets.</w:t>
      </w:r>
      <w:r w:rsidR="007B7623" w:rsidRPr="00D272CC">
        <w:rPr>
          <w:lang w:val="en-GB"/>
        </w:rPr>
        <w:t>’</w:t>
      </w:r>
      <w:r w:rsidRPr="00D272CC">
        <w:rPr>
          <w:lang w:val="en-GB"/>
        </w:rPr>
        <w:t xml:space="preserve"> (</w:t>
      </w:r>
      <w:r w:rsidR="00ED4EBF" w:rsidRPr="00D272CC">
        <w:rPr>
          <w:lang w:val="en-GB"/>
        </w:rPr>
        <w:t>PICC Property and Casualty</w:t>
      </w:r>
      <w:r w:rsidR="00A65FCF" w:rsidRPr="00D272CC">
        <w:rPr>
          <w:lang w:val="en-GB"/>
        </w:rPr>
        <w:t>,</w:t>
      </w:r>
      <w:r w:rsidR="00DF3398" w:rsidRPr="00D272CC">
        <w:rPr>
          <w:lang w:val="en-GB"/>
        </w:rPr>
        <w:t xml:space="preserve"> </w:t>
      </w:r>
      <w:r w:rsidRPr="00D272CC">
        <w:rPr>
          <w:lang w:val="en-GB"/>
        </w:rPr>
        <w:t xml:space="preserve">Annual </w:t>
      </w:r>
      <w:r w:rsidR="00ED4EBF" w:rsidRPr="00D272CC">
        <w:rPr>
          <w:lang w:val="en-GB"/>
        </w:rPr>
        <w:t>Report</w:t>
      </w:r>
      <w:r w:rsidRPr="00D272CC">
        <w:rPr>
          <w:lang w:val="en-GB"/>
        </w:rPr>
        <w:t xml:space="preserve"> 20</w:t>
      </w:r>
      <w:r w:rsidR="00ED4EBF" w:rsidRPr="00D272CC">
        <w:rPr>
          <w:lang w:val="en-GB"/>
        </w:rPr>
        <w:t>11</w:t>
      </w:r>
      <w:r w:rsidRPr="00D272CC">
        <w:rPr>
          <w:lang w:val="en-GB"/>
        </w:rPr>
        <w:t>, p.</w:t>
      </w:r>
      <w:r w:rsidR="000231CD" w:rsidRPr="00D272CC">
        <w:rPr>
          <w:lang w:val="en-GB"/>
        </w:rPr>
        <w:t xml:space="preserve"> </w:t>
      </w:r>
      <w:r w:rsidR="00ED4EBF" w:rsidRPr="00D272CC">
        <w:rPr>
          <w:lang w:val="en-GB"/>
        </w:rPr>
        <w:t>68</w:t>
      </w:r>
      <w:r w:rsidRPr="00D272CC">
        <w:rPr>
          <w:lang w:val="en-GB"/>
        </w:rPr>
        <w:t>)</w:t>
      </w:r>
    </w:p>
    <w:p w14:paraId="26D64F9A" w14:textId="77777777" w:rsidR="00EB04D4" w:rsidRPr="00D272CC" w:rsidRDefault="00EB04D4" w:rsidP="00C56C29">
      <w:pPr>
        <w:spacing w:before="120" w:after="60" w:line="240" w:lineRule="auto"/>
        <w:ind w:left="720" w:hanging="720"/>
        <w:rPr>
          <w:lang w:val="en-GB"/>
        </w:rPr>
      </w:pPr>
      <w:r w:rsidRPr="00D272CC">
        <w:rPr>
          <w:szCs w:val="20"/>
          <w:lang w:val="en-GB"/>
        </w:rPr>
        <w:t xml:space="preserve">Faithful representation (inferred): </w:t>
      </w:r>
      <w:r w:rsidR="007B7623" w:rsidRPr="00D272CC">
        <w:rPr>
          <w:szCs w:val="20"/>
          <w:lang w:val="en-GB"/>
        </w:rPr>
        <w:t>‘</w:t>
      </w:r>
      <w:r w:rsidR="006874F4" w:rsidRPr="00D272CC">
        <w:rPr>
          <w:szCs w:val="20"/>
          <w:lang w:val="en-GB"/>
        </w:rPr>
        <w:t>Management believes that the change will more fairly present the fair value of assets and liabilities related to retiree benefits in the company’s balance sheet and will eliminate significant volatility in its results of operations resulting from certain plans, the participants of which are all, or almost all, fully eligible to receive benefits.</w:t>
      </w:r>
      <w:r w:rsidR="007B7623" w:rsidRPr="00D272CC">
        <w:rPr>
          <w:szCs w:val="20"/>
          <w:lang w:val="en-GB"/>
        </w:rPr>
        <w:t>’</w:t>
      </w:r>
      <w:r w:rsidRPr="00D272CC">
        <w:rPr>
          <w:szCs w:val="20"/>
          <w:lang w:val="en-GB"/>
        </w:rPr>
        <w:t xml:space="preserve"> (</w:t>
      </w:r>
      <w:r w:rsidR="006874F4" w:rsidRPr="00D272CC">
        <w:rPr>
          <w:szCs w:val="20"/>
          <w:lang w:val="en-GB"/>
        </w:rPr>
        <w:t>Alcatel-Lucent</w:t>
      </w:r>
      <w:r w:rsidR="00A65FCF" w:rsidRPr="00D272CC">
        <w:rPr>
          <w:szCs w:val="20"/>
          <w:lang w:val="en-GB"/>
        </w:rPr>
        <w:t xml:space="preserve">, </w:t>
      </w:r>
      <w:r w:rsidR="006874F4" w:rsidRPr="00D272CC">
        <w:rPr>
          <w:szCs w:val="20"/>
          <w:lang w:val="en-GB"/>
        </w:rPr>
        <w:t>Annual</w:t>
      </w:r>
      <w:r w:rsidR="00A65FCF" w:rsidRPr="00D272CC">
        <w:rPr>
          <w:szCs w:val="20"/>
          <w:lang w:val="en-GB"/>
        </w:rPr>
        <w:t xml:space="preserve"> Report</w:t>
      </w:r>
      <w:r w:rsidR="006874F4" w:rsidRPr="00D272CC">
        <w:rPr>
          <w:szCs w:val="20"/>
          <w:lang w:val="en-GB"/>
        </w:rPr>
        <w:t xml:space="preserve"> On Form 20-F</w:t>
      </w:r>
      <w:r w:rsidR="00A65FCF" w:rsidRPr="00D272CC">
        <w:rPr>
          <w:szCs w:val="20"/>
          <w:lang w:val="en-GB"/>
        </w:rPr>
        <w:t xml:space="preserve"> 200</w:t>
      </w:r>
      <w:r w:rsidR="006874F4" w:rsidRPr="00D272CC">
        <w:rPr>
          <w:szCs w:val="20"/>
          <w:lang w:val="en-GB"/>
        </w:rPr>
        <w:t>7</w:t>
      </w:r>
      <w:r w:rsidRPr="00D272CC">
        <w:rPr>
          <w:szCs w:val="20"/>
          <w:lang w:val="en-GB"/>
        </w:rPr>
        <w:t>, p.</w:t>
      </w:r>
      <w:r w:rsidR="000231CD" w:rsidRPr="00D272CC">
        <w:rPr>
          <w:szCs w:val="20"/>
          <w:lang w:val="en-GB"/>
        </w:rPr>
        <w:t xml:space="preserve"> </w:t>
      </w:r>
      <w:r w:rsidR="006874F4" w:rsidRPr="00D272CC">
        <w:rPr>
          <w:szCs w:val="20"/>
          <w:lang w:val="en-GB"/>
        </w:rPr>
        <w:t>52</w:t>
      </w:r>
      <w:r w:rsidRPr="00D272CC">
        <w:rPr>
          <w:szCs w:val="20"/>
          <w:lang w:val="en-GB"/>
        </w:rPr>
        <w:t>)</w:t>
      </w:r>
      <w:r w:rsidR="006874F4" w:rsidRPr="00D272CC">
        <w:rPr>
          <w:szCs w:val="20"/>
          <w:lang w:val="en-GB"/>
        </w:rPr>
        <w:t xml:space="preserve"> [We also score ‘effect on financial statements’.]</w:t>
      </w:r>
    </w:p>
    <w:p w14:paraId="06B88810" w14:textId="77777777" w:rsidR="00EB4F52" w:rsidRPr="00D272CC" w:rsidRDefault="00EB4F52" w:rsidP="00C56C29">
      <w:pPr>
        <w:spacing w:before="120" w:after="60" w:line="240" w:lineRule="auto"/>
        <w:ind w:left="720" w:hanging="720"/>
        <w:rPr>
          <w:lang w:val="en-GB"/>
        </w:rPr>
      </w:pPr>
      <w:r w:rsidRPr="00D272CC">
        <w:rPr>
          <w:lang w:val="en-GB"/>
        </w:rPr>
        <w:t xml:space="preserve">Comparability: </w:t>
      </w:r>
      <w:r w:rsidR="007B7623" w:rsidRPr="00D272CC">
        <w:rPr>
          <w:lang w:val="en-GB"/>
        </w:rPr>
        <w:t>‘</w:t>
      </w:r>
      <w:r w:rsidR="00086F6B" w:rsidRPr="00D272CC">
        <w:rPr>
          <w:lang w:val="en-GB"/>
        </w:rPr>
        <w:t xml:space="preserve">The presentation of the Consolidated Statement of Income has been changed to provide additional information in relation to costs and </w:t>
      </w:r>
      <w:r w:rsidR="00A65FCF" w:rsidRPr="00D272CC">
        <w:rPr>
          <w:szCs w:val="24"/>
          <w:lang w:val="en-GB"/>
        </w:rPr>
        <w:t>more alignment with industry practice</w:t>
      </w:r>
      <w:r w:rsidR="00086F6B" w:rsidRPr="00D272CC">
        <w:rPr>
          <w:szCs w:val="24"/>
          <w:lang w:val="en-GB"/>
        </w:rPr>
        <w:t>.</w:t>
      </w:r>
      <w:r w:rsidR="007B7623" w:rsidRPr="00D272CC">
        <w:rPr>
          <w:szCs w:val="24"/>
          <w:lang w:val="en-GB"/>
        </w:rPr>
        <w:t>’</w:t>
      </w:r>
      <w:r w:rsidRPr="00D272CC">
        <w:rPr>
          <w:lang w:val="en-GB"/>
        </w:rPr>
        <w:t xml:space="preserve"> (</w:t>
      </w:r>
      <w:r w:rsidR="00A65FCF" w:rsidRPr="00D272CC">
        <w:rPr>
          <w:lang w:val="en-GB"/>
        </w:rPr>
        <w:t>Royal Dutch Shell,</w:t>
      </w:r>
      <w:r w:rsidR="00DF3398" w:rsidRPr="00D272CC">
        <w:rPr>
          <w:lang w:val="en-GB"/>
        </w:rPr>
        <w:t xml:space="preserve"> </w:t>
      </w:r>
      <w:r w:rsidRPr="00D272CC">
        <w:rPr>
          <w:lang w:val="en-GB"/>
        </w:rPr>
        <w:t>Annual Report 200</w:t>
      </w:r>
      <w:r w:rsidR="00A65FCF" w:rsidRPr="00D272CC">
        <w:rPr>
          <w:lang w:val="en-GB"/>
        </w:rPr>
        <w:t>9</w:t>
      </w:r>
      <w:r w:rsidRPr="00D272CC">
        <w:rPr>
          <w:lang w:val="en-GB"/>
        </w:rPr>
        <w:t>, p.</w:t>
      </w:r>
      <w:r w:rsidR="000231CD" w:rsidRPr="00D272CC">
        <w:rPr>
          <w:lang w:val="en-GB"/>
        </w:rPr>
        <w:t xml:space="preserve"> </w:t>
      </w:r>
      <w:r w:rsidR="00A65FCF" w:rsidRPr="00D272CC">
        <w:rPr>
          <w:lang w:val="en-GB"/>
        </w:rPr>
        <w:t>101</w:t>
      </w:r>
      <w:r w:rsidRPr="00D272CC">
        <w:rPr>
          <w:lang w:val="en-GB"/>
        </w:rPr>
        <w:t>)</w:t>
      </w:r>
      <w:r w:rsidR="00086F6B" w:rsidRPr="00D272CC">
        <w:rPr>
          <w:szCs w:val="20"/>
          <w:lang w:val="en-GB"/>
        </w:rPr>
        <w:t xml:space="preserve"> [We also score ‘</w:t>
      </w:r>
      <w:r w:rsidR="00086F6B" w:rsidRPr="00D272CC">
        <w:rPr>
          <w:lang w:val="en-GB"/>
        </w:rPr>
        <w:t>transparency (inferred)</w:t>
      </w:r>
      <w:r w:rsidR="00086F6B" w:rsidRPr="00D272CC">
        <w:rPr>
          <w:szCs w:val="20"/>
          <w:lang w:val="en-GB"/>
        </w:rPr>
        <w:t>’ for the first reason.]</w:t>
      </w:r>
    </w:p>
    <w:p w14:paraId="70487B5E" w14:textId="77777777" w:rsidR="00EB04D4" w:rsidRPr="00D272CC" w:rsidRDefault="00EB04D4" w:rsidP="00EB04D4">
      <w:pPr>
        <w:spacing w:before="120" w:after="60" w:line="240" w:lineRule="auto"/>
        <w:ind w:left="720" w:hanging="720"/>
        <w:rPr>
          <w:szCs w:val="20"/>
          <w:lang w:val="en-GB"/>
        </w:rPr>
      </w:pPr>
      <w:r w:rsidRPr="00D272CC">
        <w:rPr>
          <w:szCs w:val="20"/>
          <w:lang w:val="en-GB"/>
        </w:rPr>
        <w:t xml:space="preserve">Verifiability: </w:t>
      </w:r>
      <w:r w:rsidR="007B7623" w:rsidRPr="00D272CC">
        <w:rPr>
          <w:szCs w:val="20"/>
          <w:lang w:val="en-GB"/>
        </w:rPr>
        <w:t>‘</w:t>
      </w:r>
      <w:r w:rsidR="00791A7F" w:rsidRPr="00D272CC">
        <w:rPr>
          <w:szCs w:val="20"/>
          <w:lang w:val="en-GB"/>
        </w:rPr>
        <w:t xml:space="preserve">The change in presentation delivers more reliable and more relevant information as it facilitates comparison with other capital-market-oriented companies, </w:t>
      </w:r>
      <w:r w:rsidR="005040E2" w:rsidRPr="00D272CC">
        <w:rPr>
          <w:szCs w:val="20"/>
          <w:lang w:val="en-GB"/>
        </w:rPr>
        <w:t>increases the transparency and verifiability</w:t>
      </w:r>
      <w:r w:rsidR="00791A7F" w:rsidRPr="00D272CC">
        <w:rPr>
          <w:szCs w:val="20"/>
          <w:lang w:val="en-GB"/>
        </w:rPr>
        <w:t xml:space="preserve"> of the change in cash and cash equivalents and secures consistency in the indicators used by management to steer the group.</w:t>
      </w:r>
      <w:r w:rsidR="007B7623" w:rsidRPr="00D272CC">
        <w:rPr>
          <w:szCs w:val="20"/>
          <w:lang w:val="en-GB"/>
        </w:rPr>
        <w:t>’</w:t>
      </w:r>
      <w:r w:rsidRPr="00D272CC">
        <w:rPr>
          <w:szCs w:val="20"/>
          <w:lang w:val="en-GB"/>
        </w:rPr>
        <w:t xml:space="preserve"> (</w:t>
      </w:r>
      <w:r w:rsidR="005040E2" w:rsidRPr="00D272CC">
        <w:rPr>
          <w:szCs w:val="20"/>
          <w:lang w:val="en-GB"/>
        </w:rPr>
        <w:t>Celesio, Annual Report 2009</w:t>
      </w:r>
      <w:r w:rsidRPr="00D272CC">
        <w:rPr>
          <w:szCs w:val="20"/>
          <w:lang w:val="en-GB"/>
        </w:rPr>
        <w:t>, p.</w:t>
      </w:r>
      <w:r w:rsidR="000231CD" w:rsidRPr="00D272CC">
        <w:rPr>
          <w:szCs w:val="20"/>
          <w:lang w:val="en-GB"/>
        </w:rPr>
        <w:t xml:space="preserve"> </w:t>
      </w:r>
      <w:r w:rsidR="005040E2" w:rsidRPr="00D272CC">
        <w:rPr>
          <w:szCs w:val="20"/>
          <w:lang w:val="en-GB"/>
        </w:rPr>
        <w:t>178</w:t>
      </w:r>
      <w:r w:rsidRPr="00D272CC">
        <w:rPr>
          <w:szCs w:val="20"/>
          <w:lang w:val="en-GB"/>
        </w:rPr>
        <w:t>)</w:t>
      </w:r>
      <w:r w:rsidR="00791A7F" w:rsidRPr="00D272CC">
        <w:rPr>
          <w:szCs w:val="20"/>
          <w:lang w:val="en-GB"/>
        </w:rPr>
        <w:t xml:space="preserve"> [We also score ‘</w:t>
      </w:r>
      <w:r w:rsidR="00086F6B" w:rsidRPr="00D272CC">
        <w:rPr>
          <w:szCs w:val="20"/>
          <w:lang w:val="en-GB"/>
        </w:rPr>
        <w:t>reliability</w:t>
      </w:r>
      <w:r w:rsidR="00791A7F" w:rsidRPr="00D272CC">
        <w:rPr>
          <w:szCs w:val="20"/>
          <w:lang w:val="en-GB"/>
        </w:rPr>
        <w:t>’, ‘</w:t>
      </w:r>
      <w:r w:rsidR="00086F6B" w:rsidRPr="00D272CC">
        <w:rPr>
          <w:szCs w:val="20"/>
          <w:lang w:val="en-GB"/>
        </w:rPr>
        <w:t>relevance</w:t>
      </w:r>
      <w:r w:rsidR="00791A7F" w:rsidRPr="00D272CC">
        <w:rPr>
          <w:szCs w:val="20"/>
          <w:lang w:val="en-GB"/>
        </w:rPr>
        <w:t>’, ‘</w:t>
      </w:r>
      <w:r w:rsidR="00086F6B" w:rsidRPr="00D272CC">
        <w:rPr>
          <w:szCs w:val="20"/>
          <w:lang w:val="en-GB"/>
        </w:rPr>
        <w:t>comparability</w:t>
      </w:r>
      <w:r w:rsidR="00791A7F" w:rsidRPr="00D272CC">
        <w:rPr>
          <w:szCs w:val="20"/>
          <w:lang w:val="en-GB"/>
        </w:rPr>
        <w:t>’, ‘t</w:t>
      </w:r>
      <w:r w:rsidR="00086F6B" w:rsidRPr="00D272CC">
        <w:rPr>
          <w:szCs w:val="20"/>
          <w:lang w:val="en-GB"/>
        </w:rPr>
        <w:t>ransparency</w:t>
      </w:r>
      <w:r w:rsidR="00791A7F" w:rsidRPr="00D272CC">
        <w:rPr>
          <w:szCs w:val="20"/>
          <w:lang w:val="en-GB"/>
        </w:rPr>
        <w:t>’</w:t>
      </w:r>
      <w:r w:rsidR="00086F6B" w:rsidRPr="00D272CC">
        <w:rPr>
          <w:szCs w:val="20"/>
          <w:lang w:val="en-GB"/>
        </w:rPr>
        <w:t xml:space="preserve"> and</w:t>
      </w:r>
      <w:r w:rsidR="00791A7F" w:rsidRPr="00D272CC">
        <w:rPr>
          <w:szCs w:val="20"/>
          <w:lang w:val="en-GB"/>
        </w:rPr>
        <w:t xml:space="preserve"> ‘</w:t>
      </w:r>
      <w:r w:rsidR="00086F6B" w:rsidRPr="00D272CC">
        <w:rPr>
          <w:szCs w:val="24"/>
          <w:lang w:val="en-GB"/>
        </w:rPr>
        <w:t>economic/managerial environment</w:t>
      </w:r>
      <w:r w:rsidR="00791A7F" w:rsidRPr="00D272CC">
        <w:rPr>
          <w:szCs w:val="20"/>
          <w:lang w:val="en-GB"/>
        </w:rPr>
        <w:t>’.]</w:t>
      </w:r>
    </w:p>
    <w:p w14:paraId="27B1AFC6" w14:textId="77777777" w:rsidR="00EB04D4" w:rsidRPr="00D272CC" w:rsidRDefault="00EB04D4" w:rsidP="00EB04D4">
      <w:pPr>
        <w:spacing w:before="120" w:after="60" w:line="240" w:lineRule="auto"/>
        <w:ind w:left="720" w:hanging="720"/>
        <w:rPr>
          <w:szCs w:val="20"/>
          <w:lang w:val="en-GB"/>
        </w:rPr>
      </w:pPr>
      <w:r w:rsidRPr="00D272CC">
        <w:rPr>
          <w:szCs w:val="20"/>
          <w:lang w:val="en-GB"/>
        </w:rPr>
        <w:t xml:space="preserve">Understandability: </w:t>
      </w:r>
      <w:r w:rsidR="007B7623" w:rsidRPr="00D272CC">
        <w:rPr>
          <w:szCs w:val="20"/>
          <w:lang w:val="en-GB"/>
        </w:rPr>
        <w:t>‘</w:t>
      </w:r>
      <w:r w:rsidR="006B55F4" w:rsidRPr="00D272CC">
        <w:rPr>
          <w:szCs w:val="20"/>
          <w:lang w:val="en-GB"/>
        </w:rPr>
        <w:t>We believe this revised presentation will provide users of our financial statements with a better understanding of our business.</w:t>
      </w:r>
      <w:r w:rsidR="007B7623" w:rsidRPr="00D272CC">
        <w:rPr>
          <w:szCs w:val="20"/>
          <w:lang w:val="en-GB"/>
        </w:rPr>
        <w:t>’</w:t>
      </w:r>
      <w:r w:rsidRPr="00D272CC">
        <w:rPr>
          <w:szCs w:val="20"/>
          <w:lang w:val="en-GB"/>
        </w:rPr>
        <w:t xml:space="preserve"> (</w:t>
      </w:r>
      <w:r w:rsidR="006B55F4" w:rsidRPr="00D272CC">
        <w:rPr>
          <w:szCs w:val="20"/>
          <w:lang w:val="en-GB"/>
        </w:rPr>
        <w:t>Imperial Tobacco</w:t>
      </w:r>
      <w:r w:rsidR="005040E2" w:rsidRPr="00D272CC">
        <w:rPr>
          <w:szCs w:val="20"/>
          <w:lang w:val="en-GB"/>
        </w:rPr>
        <w:t xml:space="preserve">, </w:t>
      </w:r>
      <w:r w:rsidR="006B55F4" w:rsidRPr="00D272CC">
        <w:rPr>
          <w:szCs w:val="20"/>
          <w:lang w:val="en-GB"/>
        </w:rPr>
        <w:t>Annual</w:t>
      </w:r>
      <w:r w:rsidR="005040E2" w:rsidRPr="00D272CC">
        <w:rPr>
          <w:szCs w:val="20"/>
          <w:lang w:val="en-GB"/>
        </w:rPr>
        <w:t xml:space="preserve"> Report</w:t>
      </w:r>
      <w:r w:rsidR="006B55F4" w:rsidRPr="00D272CC">
        <w:rPr>
          <w:szCs w:val="20"/>
          <w:lang w:val="en-GB"/>
        </w:rPr>
        <w:t xml:space="preserve"> and Accounts</w:t>
      </w:r>
      <w:r w:rsidR="005040E2" w:rsidRPr="00D272CC">
        <w:rPr>
          <w:szCs w:val="20"/>
          <w:lang w:val="en-GB"/>
        </w:rPr>
        <w:t xml:space="preserve"> 20</w:t>
      </w:r>
      <w:r w:rsidR="006B55F4" w:rsidRPr="00D272CC">
        <w:rPr>
          <w:szCs w:val="20"/>
          <w:lang w:val="en-GB"/>
        </w:rPr>
        <w:t>07</w:t>
      </w:r>
      <w:r w:rsidRPr="00D272CC">
        <w:rPr>
          <w:szCs w:val="20"/>
          <w:lang w:val="en-GB"/>
        </w:rPr>
        <w:t>, p.</w:t>
      </w:r>
      <w:r w:rsidR="000231CD" w:rsidRPr="00D272CC">
        <w:rPr>
          <w:szCs w:val="20"/>
          <w:lang w:val="en-GB"/>
        </w:rPr>
        <w:t xml:space="preserve"> </w:t>
      </w:r>
      <w:r w:rsidR="006B55F4" w:rsidRPr="00D272CC">
        <w:rPr>
          <w:szCs w:val="20"/>
          <w:lang w:val="en-GB"/>
        </w:rPr>
        <w:t>71</w:t>
      </w:r>
      <w:r w:rsidRPr="00D272CC">
        <w:rPr>
          <w:szCs w:val="20"/>
          <w:lang w:val="en-GB"/>
        </w:rPr>
        <w:t>)</w:t>
      </w:r>
    </w:p>
    <w:p w14:paraId="66B104B0" w14:textId="77777777" w:rsidR="008D4880" w:rsidRPr="00D272CC" w:rsidRDefault="008D4880" w:rsidP="00C56C29">
      <w:pPr>
        <w:spacing w:before="120" w:after="60" w:line="240" w:lineRule="auto"/>
        <w:ind w:left="720" w:hanging="720"/>
        <w:rPr>
          <w:lang w:val="en-GB"/>
        </w:rPr>
      </w:pPr>
      <w:r w:rsidRPr="00D272CC">
        <w:rPr>
          <w:lang w:val="en-GB"/>
        </w:rPr>
        <w:t>Understandability</w:t>
      </w:r>
      <w:r w:rsidR="002D3949" w:rsidRPr="00D272CC">
        <w:rPr>
          <w:lang w:val="en-GB"/>
        </w:rPr>
        <w:t xml:space="preserve"> (inferred)</w:t>
      </w:r>
      <w:r w:rsidRPr="00D272CC">
        <w:rPr>
          <w:lang w:val="en-GB"/>
        </w:rPr>
        <w:t xml:space="preserve">: </w:t>
      </w:r>
      <w:r w:rsidR="007B7623" w:rsidRPr="00D272CC">
        <w:rPr>
          <w:lang w:val="en-GB"/>
        </w:rPr>
        <w:t>‘</w:t>
      </w:r>
      <w:r w:rsidR="006B55F4" w:rsidRPr="00D272CC">
        <w:rPr>
          <w:szCs w:val="20"/>
          <w:lang w:val="en-GB"/>
        </w:rPr>
        <w:t>This change provides information that is clearer and more relevant.</w:t>
      </w:r>
      <w:r w:rsidR="007B7623" w:rsidRPr="00D272CC">
        <w:rPr>
          <w:szCs w:val="20"/>
          <w:lang w:val="en-GB"/>
        </w:rPr>
        <w:t>’</w:t>
      </w:r>
      <w:r w:rsidR="00D11319" w:rsidRPr="00D272CC">
        <w:rPr>
          <w:szCs w:val="20"/>
          <w:lang w:val="en-GB"/>
        </w:rPr>
        <w:t xml:space="preserve"> (</w:t>
      </w:r>
      <w:r w:rsidR="006B55F4" w:rsidRPr="00D272CC">
        <w:rPr>
          <w:szCs w:val="20"/>
          <w:lang w:val="en-GB"/>
        </w:rPr>
        <w:t>Unilever</w:t>
      </w:r>
      <w:r w:rsidR="00D11319" w:rsidRPr="00D272CC">
        <w:rPr>
          <w:szCs w:val="20"/>
          <w:lang w:val="en-GB"/>
        </w:rPr>
        <w:t xml:space="preserve">, </w:t>
      </w:r>
      <w:r w:rsidR="006B55F4" w:rsidRPr="00D272CC">
        <w:rPr>
          <w:szCs w:val="20"/>
          <w:lang w:val="en-GB"/>
        </w:rPr>
        <w:t>Annual Report and Accounts</w:t>
      </w:r>
      <w:r w:rsidR="00D11319" w:rsidRPr="00D272CC">
        <w:rPr>
          <w:szCs w:val="20"/>
          <w:lang w:val="en-GB"/>
        </w:rPr>
        <w:t xml:space="preserve"> 20</w:t>
      </w:r>
      <w:r w:rsidR="006B55F4" w:rsidRPr="00D272CC">
        <w:rPr>
          <w:szCs w:val="20"/>
          <w:lang w:val="en-GB"/>
        </w:rPr>
        <w:t>11</w:t>
      </w:r>
      <w:r w:rsidR="00D11319" w:rsidRPr="00D272CC">
        <w:rPr>
          <w:szCs w:val="20"/>
          <w:lang w:val="en-GB"/>
        </w:rPr>
        <w:t>, p.</w:t>
      </w:r>
      <w:r w:rsidR="000231CD" w:rsidRPr="00D272CC">
        <w:rPr>
          <w:szCs w:val="20"/>
          <w:lang w:val="en-GB"/>
        </w:rPr>
        <w:t xml:space="preserve"> </w:t>
      </w:r>
      <w:r w:rsidR="006B55F4" w:rsidRPr="00D272CC">
        <w:rPr>
          <w:szCs w:val="20"/>
          <w:lang w:val="en-GB"/>
        </w:rPr>
        <w:t>68</w:t>
      </w:r>
      <w:r w:rsidR="00D11319" w:rsidRPr="00D272CC">
        <w:rPr>
          <w:szCs w:val="20"/>
          <w:lang w:val="en-GB"/>
        </w:rPr>
        <w:t>)</w:t>
      </w:r>
      <w:r w:rsidR="00791A7F" w:rsidRPr="00D272CC">
        <w:rPr>
          <w:szCs w:val="20"/>
          <w:lang w:val="en-GB"/>
        </w:rPr>
        <w:t xml:space="preserve"> [We also score ‘</w:t>
      </w:r>
      <w:r w:rsidR="00004912" w:rsidRPr="00D272CC">
        <w:rPr>
          <w:szCs w:val="20"/>
          <w:lang w:val="en-GB"/>
        </w:rPr>
        <w:t>relevance</w:t>
      </w:r>
      <w:r w:rsidR="00791A7F" w:rsidRPr="00D272CC">
        <w:rPr>
          <w:szCs w:val="20"/>
          <w:lang w:val="en-GB"/>
        </w:rPr>
        <w:t>’.]</w:t>
      </w:r>
    </w:p>
    <w:p w14:paraId="300DB1E6" w14:textId="77777777" w:rsidR="00EB04D4" w:rsidRPr="00D272CC" w:rsidRDefault="00791A7F" w:rsidP="00EB04D4">
      <w:pPr>
        <w:spacing w:before="120" w:after="60" w:line="240" w:lineRule="auto"/>
        <w:ind w:left="720" w:hanging="720"/>
        <w:rPr>
          <w:szCs w:val="20"/>
          <w:lang w:val="en-GB"/>
        </w:rPr>
      </w:pPr>
      <w:r w:rsidRPr="00D272CC">
        <w:rPr>
          <w:szCs w:val="20"/>
          <w:lang w:val="en-GB"/>
        </w:rPr>
        <w:t>Prudence/c</w:t>
      </w:r>
      <w:r w:rsidR="00EB04D4" w:rsidRPr="00D272CC">
        <w:rPr>
          <w:szCs w:val="20"/>
          <w:lang w:val="en-GB"/>
        </w:rPr>
        <w:t xml:space="preserve">onservatism: </w:t>
      </w:r>
      <w:r w:rsidR="007B7623" w:rsidRPr="00D272CC">
        <w:rPr>
          <w:szCs w:val="20"/>
          <w:lang w:val="en-GB"/>
        </w:rPr>
        <w:t>‘</w:t>
      </w:r>
      <w:r w:rsidR="009304D5" w:rsidRPr="00D272CC">
        <w:rPr>
          <w:szCs w:val="20"/>
          <w:lang w:val="en-GB"/>
        </w:rPr>
        <w:t>Directors believe this provides a more conservative approach</w:t>
      </w:r>
      <w:r w:rsidRPr="00D272CC">
        <w:rPr>
          <w:szCs w:val="20"/>
          <w:lang w:val="en-GB"/>
        </w:rPr>
        <w:t xml:space="preserve"> and better matches the short term future economic benefits of these borrowings, rather than expensing them over the life of the asset.</w:t>
      </w:r>
      <w:r w:rsidR="007B7623" w:rsidRPr="00D272CC">
        <w:rPr>
          <w:szCs w:val="20"/>
          <w:lang w:val="en-GB"/>
        </w:rPr>
        <w:t>’</w:t>
      </w:r>
      <w:r w:rsidR="00EB04D4" w:rsidRPr="00D272CC">
        <w:rPr>
          <w:szCs w:val="20"/>
          <w:lang w:val="en-GB"/>
        </w:rPr>
        <w:t xml:space="preserve"> (</w:t>
      </w:r>
      <w:r w:rsidR="009304D5" w:rsidRPr="00D272CC">
        <w:rPr>
          <w:szCs w:val="20"/>
          <w:lang w:val="en-GB"/>
        </w:rPr>
        <w:t>Fortescue Metals Group,</w:t>
      </w:r>
      <w:r w:rsidR="00EB04D4" w:rsidRPr="00D272CC">
        <w:rPr>
          <w:szCs w:val="20"/>
          <w:lang w:val="en-GB"/>
        </w:rPr>
        <w:t xml:space="preserve"> </w:t>
      </w:r>
      <w:r w:rsidR="009304D5" w:rsidRPr="00D272CC">
        <w:rPr>
          <w:szCs w:val="20"/>
          <w:lang w:val="en-GB"/>
        </w:rPr>
        <w:t xml:space="preserve">Annual Report </w:t>
      </w:r>
      <w:r w:rsidR="00EB04D4" w:rsidRPr="00D272CC">
        <w:rPr>
          <w:szCs w:val="20"/>
          <w:lang w:val="en-GB"/>
        </w:rPr>
        <w:t>200</w:t>
      </w:r>
      <w:r w:rsidR="009304D5" w:rsidRPr="00D272CC">
        <w:rPr>
          <w:szCs w:val="20"/>
          <w:lang w:val="en-GB"/>
        </w:rPr>
        <w:t>8</w:t>
      </w:r>
      <w:r w:rsidR="00EB04D4" w:rsidRPr="00D272CC">
        <w:rPr>
          <w:szCs w:val="20"/>
          <w:lang w:val="en-GB"/>
        </w:rPr>
        <w:t>, p.</w:t>
      </w:r>
      <w:r w:rsidR="000231CD" w:rsidRPr="00D272CC">
        <w:rPr>
          <w:szCs w:val="20"/>
          <w:lang w:val="en-GB"/>
        </w:rPr>
        <w:t xml:space="preserve"> </w:t>
      </w:r>
      <w:r w:rsidR="009304D5" w:rsidRPr="00D272CC">
        <w:rPr>
          <w:szCs w:val="20"/>
          <w:lang w:val="en-GB"/>
        </w:rPr>
        <w:t>70</w:t>
      </w:r>
      <w:r w:rsidR="00EB04D4" w:rsidRPr="00D272CC">
        <w:rPr>
          <w:szCs w:val="20"/>
          <w:lang w:val="en-GB"/>
        </w:rPr>
        <w:t>)</w:t>
      </w:r>
      <w:r w:rsidRPr="00D272CC">
        <w:rPr>
          <w:szCs w:val="20"/>
          <w:lang w:val="en-GB"/>
        </w:rPr>
        <w:t xml:space="preserve"> [We also score ‘accruals/matching’ for the second reason.]</w:t>
      </w:r>
    </w:p>
    <w:p w14:paraId="186E95DB" w14:textId="77777777" w:rsidR="00EB04D4" w:rsidRPr="00D272CC" w:rsidRDefault="00791A7F" w:rsidP="00EB04D4">
      <w:pPr>
        <w:spacing w:before="120" w:after="60" w:line="240" w:lineRule="auto"/>
        <w:ind w:left="720" w:hanging="720"/>
        <w:rPr>
          <w:szCs w:val="20"/>
          <w:lang w:val="en-GB"/>
        </w:rPr>
      </w:pPr>
      <w:r w:rsidRPr="00D272CC">
        <w:rPr>
          <w:szCs w:val="20"/>
          <w:lang w:val="en-GB"/>
        </w:rPr>
        <w:t>Accruals/m</w:t>
      </w:r>
      <w:r w:rsidR="00EB04D4" w:rsidRPr="00D272CC">
        <w:rPr>
          <w:szCs w:val="20"/>
          <w:lang w:val="en-GB"/>
        </w:rPr>
        <w:t xml:space="preserve">atching: </w:t>
      </w:r>
      <w:r w:rsidR="007B7623" w:rsidRPr="00D272CC">
        <w:rPr>
          <w:szCs w:val="20"/>
          <w:lang w:val="en-GB"/>
        </w:rPr>
        <w:t>‘</w:t>
      </w:r>
      <w:r w:rsidRPr="00D272CC">
        <w:rPr>
          <w:szCs w:val="20"/>
          <w:lang w:val="en-GB"/>
        </w:rPr>
        <w:t xml:space="preserve">Directors believe this provides a more conservative approach and </w:t>
      </w:r>
      <w:r w:rsidR="009304D5" w:rsidRPr="00D272CC">
        <w:rPr>
          <w:szCs w:val="20"/>
          <w:lang w:val="en-GB"/>
        </w:rPr>
        <w:t>better matches the short term future economic benefits of these borrowings</w:t>
      </w:r>
      <w:r w:rsidRPr="00D272CC">
        <w:rPr>
          <w:szCs w:val="20"/>
          <w:lang w:val="en-GB"/>
        </w:rPr>
        <w:t>, rather than expensing them over the life of the asset.</w:t>
      </w:r>
      <w:r w:rsidR="007B7623" w:rsidRPr="00D272CC">
        <w:rPr>
          <w:szCs w:val="20"/>
          <w:lang w:val="en-GB"/>
        </w:rPr>
        <w:t>’</w:t>
      </w:r>
      <w:r w:rsidR="009304D5" w:rsidRPr="00D272CC">
        <w:rPr>
          <w:szCs w:val="20"/>
          <w:lang w:val="en-GB"/>
        </w:rPr>
        <w:t xml:space="preserve"> (Fortescue Metals Group, Annual Report 2008, p.</w:t>
      </w:r>
      <w:r w:rsidR="000231CD" w:rsidRPr="00D272CC">
        <w:rPr>
          <w:szCs w:val="20"/>
          <w:lang w:val="en-GB"/>
        </w:rPr>
        <w:t xml:space="preserve"> </w:t>
      </w:r>
      <w:r w:rsidR="009304D5" w:rsidRPr="00D272CC">
        <w:rPr>
          <w:szCs w:val="20"/>
          <w:lang w:val="en-GB"/>
        </w:rPr>
        <w:t>70)</w:t>
      </w:r>
      <w:r w:rsidRPr="00D272CC">
        <w:rPr>
          <w:szCs w:val="20"/>
          <w:lang w:val="en-GB"/>
        </w:rPr>
        <w:t xml:space="preserve"> [We also score ‘prudence/conservatism’ for the first reason.]</w:t>
      </w:r>
    </w:p>
    <w:p w14:paraId="6577A91B" w14:textId="77777777" w:rsidR="00EB04D4" w:rsidRPr="00D272CC" w:rsidRDefault="00EB04D4" w:rsidP="00D11319">
      <w:pPr>
        <w:spacing w:before="120" w:after="60" w:line="240" w:lineRule="auto"/>
        <w:ind w:left="720" w:hanging="720"/>
        <w:rPr>
          <w:szCs w:val="20"/>
          <w:lang w:val="en-GB"/>
        </w:rPr>
      </w:pPr>
      <w:r w:rsidRPr="00D272CC">
        <w:rPr>
          <w:szCs w:val="20"/>
          <w:lang w:val="en-GB"/>
        </w:rPr>
        <w:t xml:space="preserve">Transparency: </w:t>
      </w:r>
      <w:r w:rsidR="007B7623" w:rsidRPr="00D272CC">
        <w:rPr>
          <w:szCs w:val="20"/>
          <w:lang w:val="en-GB"/>
        </w:rPr>
        <w:t>‘</w:t>
      </w:r>
      <w:r w:rsidR="008C6A6E" w:rsidRPr="00D272CC">
        <w:rPr>
          <w:szCs w:val="20"/>
          <w:lang w:val="en-GB"/>
        </w:rPr>
        <w:t>LANXESS decided to change the accounting treatment of provisions for pension and other post-employment benefit obligations in order to improve the transparency of financial reporting.</w:t>
      </w:r>
      <w:r w:rsidR="007B7623" w:rsidRPr="00D272CC">
        <w:rPr>
          <w:szCs w:val="20"/>
          <w:lang w:val="en-GB"/>
        </w:rPr>
        <w:t>’</w:t>
      </w:r>
      <w:r w:rsidRPr="00D272CC">
        <w:rPr>
          <w:szCs w:val="20"/>
          <w:lang w:val="en-GB"/>
        </w:rPr>
        <w:t xml:space="preserve"> (</w:t>
      </w:r>
      <w:r w:rsidR="008C6A6E" w:rsidRPr="00D272CC">
        <w:rPr>
          <w:szCs w:val="20"/>
          <w:lang w:val="en-GB"/>
        </w:rPr>
        <w:t>LANXESS</w:t>
      </w:r>
      <w:r w:rsidR="00D11319" w:rsidRPr="00D272CC">
        <w:rPr>
          <w:szCs w:val="20"/>
          <w:lang w:val="en-GB"/>
        </w:rPr>
        <w:t>,</w:t>
      </w:r>
      <w:r w:rsidRPr="00D272CC">
        <w:rPr>
          <w:szCs w:val="20"/>
          <w:lang w:val="en-GB"/>
        </w:rPr>
        <w:t xml:space="preserve"> </w:t>
      </w:r>
      <w:r w:rsidR="00D11319" w:rsidRPr="00D272CC">
        <w:rPr>
          <w:szCs w:val="20"/>
          <w:lang w:val="en-GB"/>
        </w:rPr>
        <w:t>Annual Report 2</w:t>
      </w:r>
      <w:r w:rsidR="00DE219A" w:rsidRPr="00D272CC">
        <w:rPr>
          <w:szCs w:val="20"/>
          <w:lang w:val="en-GB"/>
        </w:rPr>
        <w:t>0</w:t>
      </w:r>
      <w:r w:rsidR="008C6A6E" w:rsidRPr="00D272CC">
        <w:rPr>
          <w:szCs w:val="20"/>
          <w:lang w:val="en-GB"/>
        </w:rPr>
        <w:t>09</w:t>
      </w:r>
      <w:r w:rsidR="00D11319" w:rsidRPr="00D272CC">
        <w:rPr>
          <w:szCs w:val="20"/>
          <w:lang w:val="en-GB"/>
        </w:rPr>
        <w:t>, p.</w:t>
      </w:r>
      <w:r w:rsidR="000231CD" w:rsidRPr="00D272CC">
        <w:rPr>
          <w:szCs w:val="20"/>
          <w:lang w:val="en-GB"/>
        </w:rPr>
        <w:t xml:space="preserve"> </w:t>
      </w:r>
      <w:r w:rsidR="008C6A6E" w:rsidRPr="00D272CC">
        <w:rPr>
          <w:szCs w:val="20"/>
          <w:lang w:val="en-GB"/>
        </w:rPr>
        <w:t>122</w:t>
      </w:r>
      <w:r w:rsidRPr="00D272CC">
        <w:rPr>
          <w:szCs w:val="20"/>
          <w:lang w:val="en-GB"/>
        </w:rPr>
        <w:t>)</w:t>
      </w:r>
    </w:p>
    <w:p w14:paraId="3A9F53A4" w14:textId="77777777" w:rsidR="00EB04D4" w:rsidRPr="00D272CC" w:rsidRDefault="005646C8" w:rsidP="00EB04D4">
      <w:pPr>
        <w:spacing w:before="120" w:after="60" w:line="240" w:lineRule="auto"/>
        <w:ind w:left="720" w:hanging="720"/>
        <w:rPr>
          <w:lang w:val="en-GB"/>
        </w:rPr>
      </w:pPr>
      <w:r w:rsidRPr="00D272CC">
        <w:rPr>
          <w:lang w:val="en-GB"/>
        </w:rPr>
        <w:t>Transparency</w:t>
      </w:r>
      <w:r w:rsidR="002D3949" w:rsidRPr="00D272CC">
        <w:rPr>
          <w:lang w:val="en-GB"/>
        </w:rPr>
        <w:t xml:space="preserve"> (inferred)</w:t>
      </w:r>
      <w:r w:rsidRPr="00D272CC">
        <w:rPr>
          <w:lang w:val="en-GB"/>
        </w:rPr>
        <w:t xml:space="preserve">: </w:t>
      </w:r>
      <w:r w:rsidR="002A3470" w:rsidRPr="00D272CC">
        <w:rPr>
          <w:lang w:val="en-GB"/>
        </w:rPr>
        <w:t>‘The Group believes that recognising actuarial gains and losses in other comprehensive income results in better disclosures in the statement of financial position.’</w:t>
      </w:r>
      <w:r w:rsidR="002A3470" w:rsidRPr="00D272CC" w:rsidDel="002A3470">
        <w:rPr>
          <w:lang w:val="en-GB"/>
        </w:rPr>
        <w:t xml:space="preserve"> </w:t>
      </w:r>
      <w:r w:rsidR="00EB04D4" w:rsidRPr="00D272CC">
        <w:rPr>
          <w:szCs w:val="20"/>
          <w:lang w:val="en-GB"/>
        </w:rPr>
        <w:t>(</w:t>
      </w:r>
      <w:r w:rsidR="002A3470" w:rsidRPr="00D272CC">
        <w:rPr>
          <w:szCs w:val="20"/>
          <w:lang w:val="en-GB"/>
        </w:rPr>
        <w:t>Telkom</w:t>
      </w:r>
      <w:r w:rsidR="00D11319" w:rsidRPr="00D272CC">
        <w:rPr>
          <w:szCs w:val="20"/>
          <w:lang w:val="en-GB"/>
        </w:rPr>
        <w:t>,</w:t>
      </w:r>
      <w:r w:rsidR="00EB04D4" w:rsidRPr="00D272CC">
        <w:rPr>
          <w:szCs w:val="20"/>
          <w:lang w:val="en-GB"/>
        </w:rPr>
        <w:t xml:space="preserve"> </w:t>
      </w:r>
      <w:r w:rsidR="00D11319" w:rsidRPr="00D272CC">
        <w:rPr>
          <w:szCs w:val="20"/>
          <w:lang w:val="en-GB"/>
        </w:rPr>
        <w:t>Annual Report 20</w:t>
      </w:r>
      <w:r w:rsidR="002A3470" w:rsidRPr="00D272CC">
        <w:rPr>
          <w:szCs w:val="20"/>
          <w:lang w:val="en-GB"/>
        </w:rPr>
        <w:t>10</w:t>
      </w:r>
      <w:r w:rsidR="00D11319" w:rsidRPr="00D272CC">
        <w:rPr>
          <w:szCs w:val="20"/>
          <w:lang w:val="en-GB"/>
        </w:rPr>
        <w:t>, p.</w:t>
      </w:r>
      <w:r w:rsidR="000231CD" w:rsidRPr="00D272CC">
        <w:rPr>
          <w:szCs w:val="20"/>
          <w:lang w:val="en-GB"/>
        </w:rPr>
        <w:t xml:space="preserve"> </w:t>
      </w:r>
      <w:r w:rsidR="002A3470" w:rsidRPr="00D272CC">
        <w:rPr>
          <w:szCs w:val="20"/>
          <w:lang w:val="en-GB"/>
        </w:rPr>
        <w:t>138</w:t>
      </w:r>
      <w:r w:rsidR="00EB04D4" w:rsidRPr="00D272CC">
        <w:rPr>
          <w:szCs w:val="20"/>
          <w:lang w:val="en-GB"/>
        </w:rPr>
        <w:t>)</w:t>
      </w:r>
    </w:p>
    <w:p w14:paraId="0D588476" w14:textId="77777777" w:rsidR="00EB04D4" w:rsidRPr="00D272CC" w:rsidRDefault="00EB04D4" w:rsidP="00EB04D4">
      <w:pPr>
        <w:spacing w:before="120" w:after="60" w:line="240" w:lineRule="auto"/>
        <w:ind w:left="720" w:hanging="720"/>
        <w:rPr>
          <w:szCs w:val="20"/>
          <w:lang w:val="en-GB"/>
        </w:rPr>
      </w:pPr>
      <w:r w:rsidRPr="00D272CC">
        <w:rPr>
          <w:szCs w:val="20"/>
          <w:lang w:val="en-GB"/>
        </w:rPr>
        <w:t xml:space="preserve">Firm event: </w:t>
      </w:r>
      <w:r w:rsidR="007B7623" w:rsidRPr="00D272CC">
        <w:rPr>
          <w:szCs w:val="20"/>
          <w:lang w:val="en-GB"/>
        </w:rPr>
        <w:t>‘</w:t>
      </w:r>
      <w:r w:rsidR="009304D5" w:rsidRPr="00D272CC">
        <w:rPr>
          <w:szCs w:val="20"/>
          <w:lang w:val="en-GB"/>
        </w:rPr>
        <w:t>Carrying on with that method, especially after the recent acquisition of British companies with their sizable pension plans, would have made reported results more volatile due to the wide fluctuations in actuarial estimates.</w:t>
      </w:r>
      <w:r w:rsidR="007B7623" w:rsidRPr="00D272CC">
        <w:rPr>
          <w:szCs w:val="20"/>
          <w:lang w:val="en-GB"/>
        </w:rPr>
        <w:t>’</w:t>
      </w:r>
      <w:r w:rsidRPr="00D272CC">
        <w:rPr>
          <w:szCs w:val="20"/>
          <w:lang w:val="en-GB"/>
        </w:rPr>
        <w:t xml:space="preserve"> (</w:t>
      </w:r>
      <w:r w:rsidR="009304D5" w:rsidRPr="00D272CC">
        <w:rPr>
          <w:szCs w:val="20"/>
          <w:lang w:val="en-GB"/>
        </w:rPr>
        <w:t>Autogrill, Report and Accounts 2008</w:t>
      </w:r>
      <w:r w:rsidRPr="00D272CC">
        <w:rPr>
          <w:szCs w:val="20"/>
          <w:lang w:val="en-GB"/>
        </w:rPr>
        <w:t>, p.</w:t>
      </w:r>
      <w:r w:rsidR="000231CD" w:rsidRPr="00D272CC">
        <w:rPr>
          <w:szCs w:val="20"/>
          <w:lang w:val="en-GB"/>
        </w:rPr>
        <w:t xml:space="preserve"> </w:t>
      </w:r>
      <w:r w:rsidR="009304D5" w:rsidRPr="00D272CC">
        <w:rPr>
          <w:szCs w:val="20"/>
          <w:lang w:val="en-GB"/>
        </w:rPr>
        <w:t>88</w:t>
      </w:r>
      <w:r w:rsidRPr="00D272CC">
        <w:rPr>
          <w:szCs w:val="20"/>
          <w:lang w:val="en-GB"/>
        </w:rPr>
        <w:t>)</w:t>
      </w:r>
      <w:r w:rsidR="008C6A6E" w:rsidRPr="00D272CC">
        <w:rPr>
          <w:szCs w:val="20"/>
          <w:lang w:val="en-GB"/>
        </w:rPr>
        <w:t xml:space="preserve"> [We also score ‘effect on financial statements’ for the second part of the sentence.]</w:t>
      </w:r>
    </w:p>
    <w:p w14:paraId="17DE5A18" w14:textId="77777777" w:rsidR="00EB04D4" w:rsidRPr="00D272CC" w:rsidRDefault="00EB04D4" w:rsidP="00EB04D4">
      <w:pPr>
        <w:spacing w:before="120" w:after="60" w:line="240" w:lineRule="auto"/>
        <w:ind w:left="720" w:hanging="720"/>
        <w:rPr>
          <w:szCs w:val="20"/>
          <w:lang w:val="en-GB"/>
        </w:rPr>
      </w:pPr>
      <w:r w:rsidRPr="00D272CC">
        <w:rPr>
          <w:szCs w:val="20"/>
          <w:lang w:val="en-GB"/>
        </w:rPr>
        <w:t xml:space="preserve">Effect on financial statements: </w:t>
      </w:r>
      <w:r w:rsidR="007B7623" w:rsidRPr="00D272CC">
        <w:rPr>
          <w:szCs w:val="20"/>
          <w:lang w:val="en-GB"/>
        </w:rPr>
        <w:t>‘</w:t>
      </w:r>
      <w:r w:rsidR="008C6A6E" w:rsidRPr="00D272CC">
        <w:rPr>
          <w:szCs w:val="20"/>
          <w:lang w:val="en-GB"/>
        </w:rPr>
        <w:t xml:space="preserve">This method appears more responding to the need to reflect in the financial statements the actual value of the liability compared to the corridor method, </w:t>
      </w:r>
      <w:r w:rsidR="009304D5" w:rsidRPr="00D272CC">
        <w:rPr>
          <w:szCs w:val="20"/>
          <w:lang w:val="en-GB"/>
        </w:rPr>
        <w:t>preserving at the same time the income statement from the recognition of the fluctuation of the actuarial components</w:t>
      </w:r>
      <w:r w:rsidR="008C6A6E" w:rsidRPr="00D272CC">
        <w:rPr>
          <w:szCs w:val="20"/>
          <w:lang w:val="en-GB"/>
        </w:rPr>
        <w:t>, highly volatile.</w:t>
      </w:r>
      <w:r w:rsidR="007B7623" w:rsidRPr="00D272CC">
        <w:rPr>
          <w:szCs w:val="20"/>
          <w:lang w:val="en-GB"/>
        </w:rPr>
        <w:t>’</w:t>
      </w:r>
      <w:r w:rsidRPr="00D272CC">
        <w:rPr>
          <w:szCs w:val="20"/>
          <w:lang w:val="en-GB"/>
        </w:rPr>
        <w:t xml:space="preserve"> (</w:t>
      </w:r>
      <w:r w:rsidR="009304D5" w:rsidRPr="00D272CC">
        <w:rPr>
          <w:szCs w:val="20"/>
          <w:lang w:val="en-GB"/>
        </w:rPr>
        <w:t>Ansaldo STS, Consolidated Annual Report 2007</w:t>
      </w:r>
      <w:r w:rsidRPr="00D272CC">
        <w:rPr>
          <w:szCs w:val="20"/>
          <w:lang w:val="en-GB"/>
        </w:rPr>
        <w:t>, p.</w:t>
      </w:r>
      <w:r w:rsidR="000231CD" w:rsidRPr="00D272CC">
        <w:rPr>
          <w:szCs w:val="20"/>
          <w:lang w:val="en-GB"/>
        </w:rPr>
        <w:t xml:space="preserve"> </w:t>
      </w:r>
      <w:r w:rsidR="009304D5" w:rsidRPr="00D272CC">
        <w:rPr>
          <w:szCs w:val="20"/>
          <w:lang w:val="en-GB"/>
        </w:rPr>
        <w:t>118</w:t>
      </w:r>
      <w:r w:rsidRPr="00D272CC">
        <w:rPr>
          <w:szCs w:val="20"/>
          <w:lang w:val="en-GB"/>
        </w:rPr>
        <w:t>)</w:t>
      </w:r>
      <w:r w:rsidR="008C6A6E" w:rsidRPr="00D272CC">
        <w:rPr>
          <w:szCs w:val="20"/>
          <w:lang w:val="en-GB"/>
        </w:rPr>
        <w:t xml:space="preserve"> [We also score ‘faithful representation (inferred)’ for the first part of the sentence.]</w:t>
      </w:r>
    </w:p>
    <w:p w14:paraId="4832F92D" w14:textId="77777777" w:rsidR="00EB04D4" w:rsidRPr="00D272CC" w:rsidRDefault="00EB04D4" w:rsidP="00EB04D4">
      <w:pPr>
        <w:spacing w:before="120" w:after="60" w:line="240" w:lineRule="auto"/>
        <w:ind w:left="720" w:hanging="720"/>
        <w:rPr>
          <w:szCs w:val="24"/>
          <w:lang w:val="en-GB"/>
        </w:rPr>
      </w:pPr>
      <w:r w:rsidRPr="00D272CC">
        <w:rPr>
          <w:szCs w:val="24"/>
          <w:lang w:val="en-GB"/>
        </w:rPr>
        <w:t xml:space="preserve">Economic/managerial environment: </w:t>
      </w:r>
      <w:r w:rsidR="007B7623" w:rsidRPr="00D272CC">
        <w:rPr>
          <w:szCs w:val="24"/>
          <w:lang w:val="en-GB"/>
        </w:rPr>
        <w:t>‘</w:t>
      </w:r>
      <w:r w:rsidR="002B597B" w:rsidRPr="00D272CC">
        <w:rPr>
          <w:szCs w:val="24"/>
          <w:lang w:val="en-GB"/>
        </w:rPr>
        <w:t>Presentation of the nature of expenses reflects more appropriately the manner in which the diversified Group manages its expenses</w:t>
      </w:r>
      <w:r w:rsidR="00BC7FDC" w:rsidRPr="00D272CC">
        <w:rPr>
          <w:szCs w:val="24"/>
          <w:lang w:val="en-GB"/>
        </w:rPr>
        <w:t>.</w:t>
      </w:r>
      <w:r w:rsidR="007B7623" w:rsidRPr="00D272CC">
        <w:rPr>
          <w:szCs w:val="24"/>
          <w:lang w:val="en-GB"/>
        </w:rPr>
        <w:t>’</w:t>
      </w:r>
      <w:r w:rsidRPr="00D272CC">
        <w:rPr>
          <w:szCs w:val="24"/>
          <w:lang w:val="en-GB"/>
        </w:rPr>
        <w:t xml:space="preserve"> (</w:t>
      </w:r>
      <w:r w:rsidR="002B597B" w:rsidRPr="00D272CC">
        <w:rPr>
          <w:szCs w:val="24"/>
          <w:lang w:val="en-GB"/>
        </w:rPr>
        <w:t>Wesfarmers, Annual Report 2007</w:t>
      </w:r>
      <w:r w:rsidRPr="00D272CC">
        <w:rPr>
          <w:szCs w:val="24"/>
          <w:lang w:val="en-GB"/>
        </w:rPr>
        <w:t>, p.</w:t>
      </w:r>
      <w:r w:rsidR="000231CD" w:rsidRPr="00D272CC">
        <w:rPr>
          <w:szCs w:val="24"/>
          <w:lang w:val="en-GB"/>
        </w:rPr>
        <w:t xml:space="preserve"> </w:t>
      </w:r>
      <w:r w:rsidR="002B597B" w:rsidRPr="00D272CC">
        <w:rPr>
          <w:szCs w:val="24"/>
          <w:lang w:val="en-GB"/>
        </w:rPr>
        <w:t>59</w:t>
      </w:r>
      <w:r w:rsidRPr="00D272CC">
        <w:rPr>
          <w:szCs w:val="24"/>
          <w:lang w:val="en-GB"/>
        </w:rPr>
        <w:t>)</w:t>
      </w:r>
    </w:p>
    <w:p w14:paraId="668DFE80" w14:textId="77777777" w:rsidR="00EB04D4" w:rsidRPr="00D272CC" w:rsidRDefault="00EB04D4" w:rsidP="006C504C">
      <w:pPr>
        <w:spacing w:before="120" w:after="60" w:line="240" w:lineRule="auto"/>
        <w:ind w:left="720" w:hanging="720"/>
        <w:rPr>
          <w:szCs w:val="20"/>
          <w:lang w:val="en-GB"/>
        </w:rPr>
      </w:pPr>
      <w:r w:rsidRPr="00D272CC">
        <w:rPr>
          <w:szCs w:val="20"/>
          <w:lang w:val="en-GB"/>
        </w:rPr>
        <w:t xml:space="preserve">Due to another policy change: </w:t>
      </w:r>
      <w:r w:rsidR="007B7623" w:rsidRPr="00D272CC">
        <w:rPr>
          <w:szCs w:val="20"/>
          <w:lang w:val="en-GB"/>
        </w:rPr>
        <w:t>‘</w:t>
      </w:r>
      <w:r w:rsidR="006C504C" w:rsidRPr="00D272CC">
        <w:rPr>
          <w:szCs w:val="20"/>
          <w:lang w:val="en-GB"/>
        </w:rPr>
        <w:t>Following its adoption of the option allowed under IAS 19 to recognise actuarial gains and losses directly in equity, the Bouygues group has for the first time presented a comparative statement of recognised income and expense.</w:t>
      </w:r>
      <w:r w:rsidR="007B7623" w:rsidRPr="00D272CC">
        <w:rPr>
          <w:szCs w:val="20"/>
          <w:lang w:val="en-GB"/>
        </w:rPr>
        <w:t>’</w:t>
      </w:r>
      <w:r w:rsidRPr="00D272CC">
        <w:rPr>
          <w:szCs w:val="20"/>
          <w:lang w:val="en-GB"/>
        </w:rPr>
        <w:t xml:space="preserve"> (</w:t>
      </w:r>
      <w:r w:rsidR="006C504C" w:rsidRPr="00D272CC">
        <w:rPr>
          <w:szCs w:val="20"/>
          <w:lang w:val="en-GB"/>
        </w:rPr>
        <w:t>Bouygues,</w:t>
      </w:r>
      <w:r w:rsidR="002B597B" w:rsidRPr="00D272CC">
        <w:rPr>
          <w:szCs w:val="20"/>
          <w:lang w:val="en-GB"/>
        </w:rPr>
        <w:t xml:space="preserve"> Registration Document 2007</w:t>
      </w:r>
      <w:r w:rsidRPr="00D272CC">
        <w:rPr>
          <w:szCs w:val="20"/>
          <w:lang w:val="en-GB"/>
        </w:rPr>
        <w:t>, p.</w:t>
      </w:r>
      <w:r w:rsidR="000231CD" w:rsidRPr="00D272CC">
        <w:rPr>
          <w:szCs w:val="20"/>
          <w:lang w:val="en-GB"/>
        </w:rPr>
        <w:t xml:space="preserve"> </w:t>
      </w:r>
      <w:r w:rsidR="002B597B" w:rsidRPr="00D272CC">
        <w:rPr>
          <w:szCs w:val="20"/>
          <w:lang w:val="en-GB"/>
        </w:rPr>
        <w:t>171</w:t>
      </w:r>
      <w:r w:rsidRPr="00D272CC">
        <w:rPr>
          <w:szCs w:val="20"/>
          <w:lang w:val="en-GB"/>
        </w:rPr>
        <w:t>)</w:t>
      </w:r>
    </w:p>
    <w:p w14:paraId="70695574" w14:textId="77777777" w:rsidR="00EB04D4" w:rsidRPr="00D272CC" w:rsidRDefault="00EB04D4" w:rsidP="00EB04D4">
      <w:pPr>
        <w:spacing w:before="120" w:after="60" w:line="240" w:lineRule="auto"/>
        <w:ind w:left="720" w:hanging="720"/>
        <w:rPr>
          <w:szCs w:val="20"/>
          <w:lang w:val="en-GB"/>
        </w:rPr>
      </w:pPr>
      <w:r w:rsidRPr="00D272CC">
        <w:rPr>
          <w:szCs w:val="20"/>
          <w:lang w:val="en-GB"/>
        </w:rPr>
        <w:t>Early adoption of standard</w:t>
      </w:r>
      <w:r w:rsidR="006C504C" w:rsidRPr="00D272CC">
        <w:rPr>
          <w:szCs w:val="20"/>
          <w:lang w:val="en-GB"/>
        </w:rPr>
        <w:t xml:space="preserve">: </w:t>
      </w:r>
      <w:r w:rsidR="007B7623" w:rsidRPr="00D272CC">
        <w:rPr>
          <w:szCs w:val="20"/>
          <w:lang w:val="en-GB"/>
        </w:rPr>
        <w:t>‘</w:t>
      </w:r>
      <w:r w:rsidR="00BC7FDC" w:rsidRPr="00D272CC">
        <w:rPr>
          <w:szCs w:val="20"/>
          <w:lang w:val="en-GB"/>
        </w:rPr>
        <w:t>In 2008 the FCC Group presented a consolidated statement of recognised income and expense for the first time as a result of the early application of the amendments to IAS 1.</w:t>
      </w:r>
      <w:r w:rsidR="007B7623" w:rsidRPr="00D272CC">
        <w:rPr>
          <w:szCs w:val="20"/>
          <w:lang w:val="en-GB"/>
        </w:rPr>
        <w:t>’</w:t>
      </w:r>
      <w:r w:rsidR="006C504C" w:rsidRPr="00D272CC">
        <w:rPr>
          <w:szCs w:val="20"/>
          <w:lang w:val="en-GB"/>
        </w:rPr>
        <w:t xml:space="preserve"> (</w:t>
      </w:r>
      <w:r w:rsidR="00BC7FDC" w:rsidRPr="00D272CC">
        <w:rPr>
          <w:szCs w:val="20"/>
          <w:lang w:val="en-GB"/>
        </w:rPr>
        <w:t>FCC</w:t>
      </w:r>
      <w:r w:rsidR="006C504C" w:rsidRPr="00D272CC">
        <w:rPr>
          <w:szCs w:val="20"/>
          <w:lang w:val="en-GB"/>
        </w:rPr>
        <w:t>, Annual Report</w:t>
      </w:r>
      <w:r w:rsidRPr="00D272CC">
        <w:rPr>
          <w:szCs w:val="20"/>
          <w:lang w:val="en-GB"/>
        </w:rPr>
        <w:t xml:space="preserve"> 200</w:t>
      </w:r>
      <w:r w:rsidR="00BC7FDC" w:rsidRPr="00D272CC">
        <w:rPr>
          <w:szCs w:val="20"/>
          <w:lang w:val="en-GB"/>
        </w:rPr>
        <w:t>8</w:t>
      </w:r>
      <w:r w:rsidRPr="00D272CC">
        <w:rPr>
          <w:szCs w:val="20"/>
          <w:lang w:val="en-GB"/>
        </w:rPr>
        <w:t>, p.</w:t>
      </w:r>
      <w:r w:rsidR="000231CD" w:rsidRPr="00D272CC">
        <w:rPr>
          <w:szCs w:val="20"/>
          <w:lang w:val="en-GB"/>
        </w:rPr>
        <w:t xml:space="preserve"> </w:t>
      </w:r>
      <w:r w:rsidR="00BC7FDC" w:rsidRPr="00D272CC">
        <w:rPr>
          <w:szCs w:val="20"/>
          <w:lang w:val="en-GB"/>
        </w:rPr>
        <w:t>103</w:t>
      </w:r>
      <w:r w:rsidRPr="00D272CC">
        <w:rPr>
          <w:szCs w:val="20"/>
          <w:lang w:val="en-GB"/>
        </w:rPr>
        <w:t>)</w:t>
      </w:r>
    </w:p>
    <w:p w14:paraId="140044FF" w14:textId="77777777" w:rsidR="00EB04D4" w:rsidRPr="00D272CC" w:rsidRDefault="00EB04D4" w:rsidP="00EB04D4">
      <w:pPr>
        <w:spacing w:before="120" w:after="60" w:line="240" w:lineRule="auto"/>
        <w:ind w:left="720" w:hanging="720"/>
        <w:rPr>
          <w:szCs w:val="20"/>
          <w:lang w:val="en-GB"/>
        </w:rPr>
      </w:pPr>
      <w:r w:rsidRPr="00D272CC">
        <w:rPr>
          <w:szCs w:val="20"/>
          <w:lang w:val="en-GB"/>
        </w:rPr>
        <w:t>Anticipated change</w:t>
      </w:r>
      <w:r w:rsidR="00022DB5" w:rsidRPr="00D272CC">
        <w:rPr>
          <w:szCs w:val="20"/>
          <w:lang w:val="en-GB"/>
        </w:rPr>
        <w:t xml:space="preserve"> to standard</w:t>
      </w:r>
      <w:r w:rsidR="006C504C" w:rsidRPr="00D272CC">
        <w:rPr>
          <w:szCs w:val="20"/>
          <w:lang w:val="en-GB"/>
        </w:rPr>
        <w:t xml:space="preserve">: </w:t>
      </w:r>
      <w:r w:rsidR="007B7623" w:rsidRPr="00D272CC">
        <w:rPr>
          <w:szCs w:val="20"/>
          <w:lang w:val="en-GB"/>
        </w:rPr>
        <w:t>‘</w:t>
      </w:r>
      <w:r w:rsidR="00BC7FDC" w:rsidRPr="00D272CC">
        <w:rPr>
          <w:szCs w:val="20"/>
          <w:lang w:val="en-GB"/>
        </w:rPr>
        <w:t>The Group believes that equity accounting aligns it with the expected changes that will be introduced with IFRS 11 Joint Arrangements.</w:t>
      </w:r>
      <w:r w:rsidR="007B7623" w:rsidRPr="00D272CC">
        <w:rPr>
          <w:szCs w:val="20"/>
          <w:lang w:val="en-GB"/>
        </w:rPr>
        <w:t>’</w:t>
      </w:r>
      <w:r w:rsidR="006C504C" w:rsidRPr="00D272CC">
        <w:rPr>
          <w:szCs w:val="20"/>
          <w:lang w:val="en-GB"/>
        </w:rPr>
        <w:t xml:space="preserve"> (</w:t>
      </w:r>
      <w:r w:rsidR="00BC7FDC" w:rsidRPr="00D272CC">
        <w:rPr>
          <w:szCs w:val="20"/>
          <w:lang w:val="en-GB"/>
        </w:rPr>
        <w:t>Telkom</w:t>
      </w:r>
      <w:r w:rsidR="006C504C" w:rsidRPr="00D272CC">
        <w:rPr>
          <w:szCs w:val="20"/>
          <w:lang w:val="en-GB"/>
        </w:rPr>
        <w:t xml:space="preserve">, </w:t>
      </w:r>
      <w:r w:rsidR="00BC7FDC" w:rsidRPr="00D272CC">
        <w:rPr>
          <w:szCs w:val="20"/>
          <w:lang w:val="en-GB"/>
        </w:rPr>
        <w:t>Integrated Annual</w:t>
      </w:r>
      <w:r w:rsidR="006C504C" w:rsidRPr="00D272CC">
        <w:rPr>
          <w:szCs w:val="20"/>
          <w:lang w:val="en-GB"/>
        </w:rPr>
        <w:t xml:space="preserve"> Report 201</w:t>
      </w:r>
      <w:r w:rsidR="00BC7FDC" w:rsidRPr="00D272CC">
        <w:rPr>
          <w:szCs w:val="20"/>
          <w:lang w:val="en-GB"/>
        </w:rPr>
        <w:t>1</w:t>
      </w:r>
      <w:r w:rsidR="006C504C" w:rsidRPr="00D272CC">
        <w:rPr>
          <w:szCs w:val="20"/>
          <w:lang w:val="en-GB"/>
        </w:rPr>
        <w:t>, p.</w:t>
      </w:r>
      <w:r w:rsidR="000231CD" w:rsidRPr="00D272CC">
        <w:rPr>
          <w:szCs w:val="20"/>
          <w:lang w:val="en-GB"/>
        </w:rPr>
        <w:t xml:space="preserve"> </w:t>
      </w:r>
      <w:r w:rsidR="00BC7FDC" w:rsidRPr="00D272CC">
        <w:rPr>
          <w:szCs w:val="20"/>
          <w:lang w:val="en-GB"/>
        </w:rPr>
        <w:t>148</w:t>
      </w:r>
      <w:r w:rsidRPr="00D272CC">
        <w:rPr>
          <w:szCs w:val="20"/>
          <w:lang w:val="en-GB"/>
        </w:rPr>
        <w:t>)</w:t>
      </w:r>
    </w:p>
    <w:p w14:paraId="696395DE" w14:textId="77777777" w:rsidR="00EB04D4" w:rsidRPr="00D272CC" w:rsidRDefault="00EB04D4" w:rsidP="006C504C">
      <w:pPr>
        <w:spacing w:before="120" w:after="60" w:line="240" w:lineRule="auto"/>
        <w:ind w:left="720" w:hanging="720"/>
        <w:rPr>
          <w:szCs w:val="20"/>
          <w:lang w:val="en-GB"/>
        </w:rPr>
      </w:pPr>
      <w:r w:rsidRPr="00D272CC">
        <w:rPr>
          <w:szCs w:val="20"/>
          <w:lang w:val="en-GB"/>
        </w:rPr>
        <w:t>Requirements of local regulator</w:t>
      </w:r>
      <w:r w:rsidR="006C504C" w:rsidRPr="00D272CC">
        <w:rPr>
          <w:szCs w:val="20"/>
          <w:lang w:val="en-GB"/>
        </w:rPr>
        <w:t xml:space="preserve">: </w:t>
      </w:r>
      <w:r w:rsidR="007B7623" w:rsidRPr="00D272CC">
        <w:rPr>
          <w:szCs w:val="20"/>
          <w:lang w:val="en-GB"/>
        </w:rPr>
        <w:t>‘</w:t>
      </w:r>
      <w:r w:rsidR="006C504C" w:rsidRPr="00D272CC">
        <w:rPr>
          <w:szCs w:val="20"/>
          <w:lang w:val="en-GB"/>
        </w:rPr>
        <w:t>In 2008 the Bank of Spain amended the formats of the standard public financial statements and brought them into line with the general international consensus</w:t>
      </w:r>
      <w:r w:rsidR="00BC7FDC" w:rsidRPr="00D272CC">
        <w:rPr>
          <w:szCs w:val="20"/>
          <w:lang w:val="en-GB"/>
        </w:rPr>
        <w:t>, thereby completing the process towards ensuring the comparability of the financial statements between credit institutions.</w:t>
      </w:r>
      <w:r w:rsidR="007B7623" w:rsidRPr="00D272CC">
        <w:rPr>
          <w:szCs w:val="20"/>
          <w:lang w:val="en-GB"/>
        </w:rPr>
        <w:t>’</w:t>
      </w:r>
      <w:r w:rsidR="006C504C" w:rsidRPr="00D272CC">
        <w:rPr>
          <w:szCs w:val="20"/>
          <w:lang w:val="en-GB"/>
        </w:rPr>
        <w:t xml:space="preserve"> (Banco Popular,</w:t>
      </w:r>
      <w:r w:rsidRPr="00D272CC">
        <w:rPr>
          <w:szCs w:val="20"/>
          <w:lang w:val="en-GB"/>
        </w:rPr>
        <w:t xml:space="preserve"> </w:t>
      </w:r>
      <w:r w:rsidR="006C504C" w:rsidRPr="00D272CC">
        <w:rPr>
          <w:szCs w:val="20"/>
          <w:lang w:val="en-GB"/>
        </w:rPr>
        <w:t>Annual Report 2008</w:t>
      </w:r>
      <w:r w:rsidRPr="00D272CC">
        <w:rPr>
          <w:szCs w:val="20"/>
          <w:lang w:val="en-GB"/>
        </w:rPr>
        <w:t>, p.</w:t>
      </w:r>
      <w:r w:rsidR="000231CD" w:rsidRPr="00D272CC">
        <w:rPr>
          <w:szCs w:val="20"/>
          <w:lang w:val="en-GB"/>
        </w:rPr>
        <w:t xml:space="preserve"> </w:t>
      </w:r>
      <w:r w:rsidR="006C504C" w:rsidRPr="00D272CC">
        <w:rPr>
          <w:szCs w:val="20"/>
          <w:lang w:val="en-GB"/>
        </w:rPr>
        <w:t>201</w:t>
      </w:r>
      <w:r w:rsidRPr="00D272CC">
        <w:rPr>
          <w:szCs w:val="20"/>
          <w:lang w:val="en-GB"/>
        </w:rPr>
        <w:t>)</w:t>
      </w:r>
    </w:p>
    <w:p w14:paraId="2C795E6F" w14:textId="77777777" w:rsidR="004C18AF" w:rsidRPr="00D272CC" w:rsidRDefault="006E1725" w:rsidP="00FB2113">
      <w:pPr>
        <w:pStyle w:val="Heading1"/>
        <w:pageBreakBefore/>
        <w:rPr>
          <w:lang w:val="en-GB"/>
        </w:rPr>
      </w:pPr>
      <w:r w:rsidRPr="00D272CC">
        <w:rPr>
          <w:lang w:val="en-GB"/>
        </w:rPr>
        <w:t xml:space="preserve">Appendix </w:t>
      </w:r>
      <w:r w:rsidR="002E3D7A" w:rsidRPr="00D272CC">
        <w:rPr>
          <w:lang w:val="en-GB"/>
        </w:rPr>
        <w:t>3.</w:t>
      </w:r>
      <w:r w:rsidRPr="00D272CC">
        <w:rPr>
          <w:lang w:val="en-GB"/>
        </w:rPr>
        <w:t xml:space="preserve"> Definitions of </w:t>
      </w:r>
      <w:r w:rsidR="00185999" w:rsidRPr="00D272CC">
        <w:rPr>
          <w:lang w:val="en-GB"/>
        </w:rPr>
        <w:t>v</w:t>
      </w:r>
      <w:r w:rsidRPr="00D272CC">
        <w:rPr>
          <w:lang w:val="en-GB"/>
        </w:rPr>
        <w:t>ariables</w:t>
      </w:r>
    </w:p>
    <w:p w14:paraId="47289AAC" w14:textId="77777777" w:rsidR="00463F85" w:rsidRPr="00D272CC" w:rsidRDefault="00463F85" w:rsidP="00463F85">
      <w:pPr>
        <w:rPr>
          <w:lang w:val="en-GB"/>
        </w:rPr>
      </w:pPr>
      <w:r w:rsidRPr="00D272CC">
        <w:rPr>
          <w:lang w:val="en-GB"/>
        </w:rPr>
        <w:t>Data sources, including Worldscope codes, are shown in square brackets.</w:t>
      </w:r>
    </w:p>
    <w:p w14:paraId="7BC283DC" w14:textId="77777777" w:rsidR="00463F85" w:rsidRPr="00D272CC" w:rsidRDefault="00EF4848" w:rsidP="00463F85">
      <w:pPr>
        <w:pStyle w:val="Heading3"/>
        <w:spacing w:line="240" w:lineRule="auto"/>
        <w:rPr>
          <w:lang w:val="en-GB"/>
        </w:rPr>
      </w:pPr>
      <w:r w:rsidRPr="00D272CC">
        <w:rPr>
          <w:lang w:val="en-GB"/>
        </w:rPr>
        <w:t>D</w:t>
      </w:r>
      <w:r w:rsidR="004D2264" w:rsidRPr="00D272CC">
        <w:rPr>
          <w:lang w:val="en-GB"/>
        </w:rPr>
        <w:t>ependent variable</w:t>
      </w:r>
      <w:r w:rsidR="00463F85" w:rsidRPr="00D272CC">
        <w:rPr>
          <w:lang w:val="en-GB"/>
        </w:rPr>
        <w:t>:</w:t>
      </w:r>
    </w:p>
    <w:p w14:paraId="704984C8" w14:textId="743685AD" w:rsidR="00A50F9C" w:rsidRPr="00D272CC" w:rsidRDefault="008B09E8" w:rsidP="00A50F9C">
      <w:pPr>
        <w:spacing w:line="240" w:lineRule="auto"/>
        <w:ind w:left="2832" w:hanging="2265"/>
        <w:rPr>
          <w:lang w:val="en-GB"/>
        </w:rPr>
      </w:pPr>
      <w:r w:rsidRPr="00D272CC">
        <w:rPr>
          <w:lang w:val="en-GB"/>
        </w:rPr>
        <w:t>Q</w:t>
      </w:r>
      <w:r w:rsidR="00D34EC9" w:rsidRPr="00D272CC">
        <w:rPr>
          <w:lang w:val="en-GB"/>
        </w:rPr>
        <w:t>C</w:t>
      </w:r>
      <w:r w:rsidRPr="00D272CC">
        <w:rPr>
          <w:lang w:val="en-GB"/>
        </w:rPr>
        <w:tab/>
        <w:t xml:space="preserve">Dummy for </w:t>
      </w:r>
      <w:r w:rsidR="007E11F2" w:rsidRPr="00D272CC">
        <w:rPr>
          <w:lang w:val="en-GB"/>
        </w:rPr>
        <w:t>a</w:t>
      </w:r>
      <w:r w:rsidRPr="00D272CC">
        <w:rPr>
          <w:lang w:val="en-GB"/>
        </w:rPr>
        <w:t xml:space="preserve"> </w:t>
      </w:r>
      <w:r w:rsidR="00053EBC" w:rsidRPr="00D272CC">
        <w:rPr>
          <w:lang w:val="en-GB"/>
        </w:rPr>
        <w:t>QC</w:t>
      </w:r>
      <w:r w:rsidR="00E07F16" w:rsidRPr="00D272CC">
        <w:rPr>
          <w:lang w:val="en-GB"/>
        </w:rPr>
        <w:t xml:space="preserve"> as a</w:t>
      </w:r>
      <w:r w:rsidRPr="00D272CC">
        <w:rPr>
          <w:lang w:val="en-GB"/>
        </w:rPr>
        <w:t xml:space="preserve"> </w:t>
      </w:r>
      <w:r w:rsidR="00E07F16" w:rsidRPr="00D272CC">
        <w:rPr>
          <w:lang w:val="en-GB"/>
        </w:rPr>
        <w:t>reason</w:t>
      </w:r>
      <w:r w:rsidRPr="00D272CC">
        <w:rPr>
          <w:lang w:val="en-GB"/>
        </w:rPr>
        <w:t xml:space="preserve"> for an IFRS policy change, 0 otherwise</w:t>
      </w:r>
      <w:r w:rsidR="00371B21">
        <w:rPr>
          <w:lang w:val="en-GB"/>
        </w:rPr>
        <w:t>; QCs comprise</w:t>
      </w:r>
      <w:r w:rsidR="006914D8">
        <w:rPr>
          <w:lang w:val="en-GB"/>
        </w:rPr>
        <w:t xml:space="preserve"> those</w:t>
      </w:r>
      <w:r w:rsidR="00371B21">
        <w:rPr>
          <w:lang w:val="en-GB"/>
        </w:rPr>
        <w:t xml:space="preserve"> from the </w:t>
      </w:r>
      <w:r w:rsidR="00371B21" w:rsidRPr="002C29D9">
        <w:rPr>
          <w:i/>
          <w:lang w:val="en-GB"/>
        </w:rPr>
        <w:t>Framework</w:t>
      </w:r>
      <w:r w:rsidR="00371B21">
        <w:rPr>
          <w:lang w:val="en-GB"/>
        </w:rPr>
        <w:t xml:space="preserve"> </w:t>
      </w:r>
      <w:r w:rsidR="006914D8">
        <w:rPr>
          <w:lang w:val="en-GB"/>
        </w:rPr>
        <w:t>plus</w:t>
      </w:r>
      <w:r w:rsidR="00371B21">
        <w:rPr>
          <w:lang w:val="en-GB"/>
        </w:rPr>
        <w:t xml:space="preserve"> transparency</w:t>
      </w:r>
      <w:r w:rsidRPr="00D272CC">
        <w:rPr>
          <w:lang w:val="en-GB"/>
        </w:rPr>
        <w:t xml:space="preserve"> [hand-collected]</w:t>
      </w:r>
    </w:p>
    <w:p w14:paraId="4F77E238" w14:textId="77777777" w:rsidR="00E07F16" w:rsidRPr="00D272CC" w:rsidRDefault="003E6BA5" w:rsidP="00E07F16">
      <w:pPr>
        <w:pStyle w:val="Heading3"/>
        <w:spacing w:line="240" w:lineRule="auto"/>
        <w:rPr>
          <w:lang w:val="en-GB"/>
        </w:rPr>
      </w:pPr>
      <w:r w:rsidRPr="00D272CC">
        <w:rPr>
          <w:lang w:val="en-GB"/>
        </w:rPr>
        <w:t>Independent</w:t>
      </w:r>
      <w:r w:rsidR="00E07F16" w:rsidRPr="00D272CC">
        <w:rPr>
          <w:lang w:val="en-GB"/>
        </w:rPr>
        <w:t xml:space="preserve"> variables:</w:t>
      </w:r>
    </w:p>
    <w:p w14:paraId="452E5808" w14:textId="77777777" w:rsidR="002D7398" w:rsidRPr="00D272CC" w:rsidRDefault="002D7398" w:rsidP="002D7398">
      <w:pPr>
        <w:spacing w:line="240" w:lineRule="auto"/>
        <w:ind w:left="2832" w:hanging="2265"/>
        <w:rPr>
          <w:szCs w:val="20"/>
          <w:lang w:val="en-GB"/>
        </w:rPr>
      </w:pPr>
      <w:r w:rsidRPr="00D272CC">
        <w:rPr>
          <w:szCs w:val="20"/>
          <w:lang w:val="en-GB"/>
        </w:rPr>
        <w:t>MEASUREMENT</w:t>
      </w:r>
      <w:r w:rsidRPr="00D272CC">
        <w:rPr>
          <w:szCs w:val="20"/>
          <w:lang w:val="en-GB"/>
        </w:rPr>
        <w:tab/>
      </w:r>
      <w:r w:rsidRPr="00D272CC">
        <w:rPr>
          <w:lang w:val="en-GB"/>
        </w:rPr>
        <w:t>Dummy for a change of a measurement choice, i.e. topics 10 to 16</w:t>
      </w:r>
      <w:r w:rsidR="00E300E8">
        <w:rPr>
          <w:lang w:val="en-GB"/>
        </w:rPr>
        <w:t xml:space="preserve"> (see Table 1)</w:t>
      </w:r>
      <w:r w:rsidR="00E11B84" w:rsidRPr="00D272CC">
        <w:rPr>
          <w:lang w:val="en-GB"/>
        </w:rPr>
        <w:t>, 0 otherwise</w:t>
      </w:r>
      <w:r w:rsidRPr="00D272CC">
        <w:rPr>
          <w:lang w:val="en-GB"/>
        </w:rPr>
        <w:t xml:space="preserve"> [hand-collected]</w:t>
      </w:r>
    </w:p>
    <w:p w14:paraId="1DF41502" w14:textId="6AEF5E98" w:rsidR="002D7398" w:rsidRPr="00D272CC" w:rsidRDefault="002D7398" w:rsidP="002D7398">
      <w:pPr>
        <w:spacing w:line="240" w:lineRule="auto"/>
        <w:ind w:left="2832" w:hanging="2265"/>
        <w:rPr>
          <w:lang w:val="en-GB"/>
        </w:rPr>
      </w:pPr>
      <w:r w:rsidRPr="00D272CC">
        <w:rPr>
          <w:szCs w:val="20"/>
          <w:lang w:val="en-GB"/>
        </w:rPr>
        <w:t>NOT</w:t>
      </w:r>
      <w:r w:rsidR="00C71A30">
        <w:rPr>
          <w:lang w:val="en-GB"/>
        </w:rPr>
        <w:t>2OPTIONS</w:t>
      </w:r>
      <w:r w:rsidRPr="00D272CC">
        <w:rPr>
          <w:szCs w:val="20"/>
          <w:lang w:val="en-GB"/>
        </w:rPr>
        <w:tab/>
      </w:r>
      <w:r w:rsidRPr="00D272CC">
        <w:rPr>
          <w:lang w:val="en-GB"/>
        </w:rPr>
        <w:t xml:space="preserve">Dummy </w:t>
      </w:r>
      <w:r w:rsidR="0061636E">
        <w:rPr>
          <w:lang w:val="en-GB"/>
        </w:rPr>
        <w:t>for</w:t>
      </w:r>
      <w:r w:rsidRPr="00D272CC">
        <w:rPr>
          <w:lang w:val="en-GB"/>
        </w:rPr>
        <w:t xml:space="preserve"> </w:t>
      </w:r>
      <w:r w:rsidR="00FC3645">
        <w:rPr>
          <w:lang w:val="en-GB"/>
        </w:rPr>
        <w:t>a</w:t>
      </w:r>
      <w:r w:rsidRPr="00D272CC">
        <w:rPr>
          <w:lang w:val="en-GB"/>
        </w:rPr>
        <w:t xml:space="preserve"> change </w:t>
      </w:r>
      <w:r w:rsidR="00714B86">
        <w:rPr>
          <w:lang w:val="en-GB"/>
        </w:rPr>
        <w:t xml:space="preserve">which is not </w:t>
      </w:r>
      <w:r w:rsidR="00BB1D3A">
        <w:rPr>
          <w:lang w:val="en-GB"/>
        </w:rPr>
        <w:t>to or from</w:t>
      </w:r>
      <w:r w:rsidRPr="00D272CC">
        <w:rPr>
          <w:lang w:val="en-GB"/>
        </w:rPr>
        <w:t xml:space="preserve"> </w:t>
      </w:r>
      <w:r w:rsidR="00C71A30">
        <w:rPr>
          <w:lang w:val="en-GB"/>
        </w:rPr>
        <w:t>using two</w:t>
      </w:r>
      <w:r w:rsidR="00F464E7">
        <w:rPr>
          <w:lang w:val="en-GB"/>
        </w:rPr>
        <w:t xml:space="preserve"> options on a topic (i.e. </w:t>
      </w:r>
      <w:r w:rsidRPr="00D272CC">
        <w:rPr>
          <w:lang w:val="en-GB"/>
        </w:rPr>
        <w:t>the choice ‘a+b’</w:t>
      </w:r>
      <w:r w:rsidR="00E300E8">
        <w:rPr>
          <w:lang w:val="en-GB"/>
        </w:rPr>
        <w:t xml:space="preserve"> </w:t>
      </w:r>
      <w:r w:rsidR="00BB1D3A">
        <w:rPr>
          <w:lang w:val="en-GB"/>
        </w:rPr>
        <w:t>on topics 6 or 14</w:t>
      </w:r>
      <w:r w:rsidR="00F464E7">
        <w:rPr>
          <w:lang w:val="en-GB"/>
        </w:rPr>
        <w:t>,</w:t>
      </w:r>
      <w:r w:rsidR="00BB1D3A">
        <w:rPr>
          <w:lang w:val="en-GB"/>
        </w:rPr>
        <w:t xml:space="preserve"> </w:t>
      </w:r>
      <w:r w:rsidR="00E300E8">
        <w:rPr>
          <w:lang w:val="en-GB"/>
        </w:rPr>
        <w:t>see Table 1)</w:t>
      </w:r>
      <w:r w:rsidR="00E11B84" w:rsidRPr="00D272CC">
        <w:rPr>
          <w:lang w:val="en-GB"/>
        </w:rPr>
        <w:t>, 0 otherwise</w:t>
      </w:r>
      <w:r w:rsidRPr="00D272CC">
        <w:rPr>
          <w:lang w:val="en-GB"/>
        </w:rPr>
        <w:t xml:space="preserve"> [hand-collected]</w:t>
      </w:r>
    </w:p>
    <w:p w14:paraId="37D6A8FF" w14:textId="77777777" w:rsidR="002D7398" w:rsidRDefault="002D7398" w:rsidP="002D7398">
      <w:pPr>
        <w:spacing w:line="240" w:lineRule="auto"/>
        <w:ind w:left="2832" w:hanging="2265"/>
        <w:rPr>
          <w:lang w:val="en-GB"/>
        </w:rPr>
      </w:pPr>
      <w:r w:rsidRPr="00D272CC">
        <w:rPr>
          <w:szCs w:val="20"/>
          <w:lang w:val="en-GB"/>
        </w:rPr>
        <w:t>COMMONLAW</w:t>
      </w:r>
      <w:r w:rsidRPr="00D272CC">
        <w:rPr>
          <w:szCs w:val="20"/>
          <w:lang w:val="en-GB"/>
        </w:rPr>
        <w:tab/>
      </w:r>
      <w:r w:rsidRPr="00D272CC">
        <w:rPr>
          <w:lang w:val="en-GB"/>
        </w:rPr>
        <w:t>Dummy for common law</w:t>
      </w:r>
      <w:r w:rsidR="00700C2C">
        <w:rPr>
          <w:lang w:val="en-GB"/>
        </w:rPr>
        <w:t>, i.e. ‘1’ for common law and ‘0’ for code law</w:t>
      </w:r>
      <w:r w:rsidRPr="00D272CC">
        <w:rPr>
          <w:lang w:val="en-GB"/>
        </w:rPr>
        <w:t xml:space="preserve"> </w:t>
      </w:r>
      <w:r w:rsidR="006412B9">
        <w:rPr>
          <w:lang w:val="en-GB"/>
        </w:rPr>
        <w:t>[</w:t>
      </w:r>
      <w:r w:rsidRPr="00D272CC">
        <w:rPr>
          <w:lang w:val="en-GB"/>
        </w:rPr>
        <w:t>La Porta et al. 1998; additionally, China is classified as code law</w:t>
      </w:r>
      <w:r w:rsidR="006412B9">
        <w:rPr>
          <w:lang w:val="en-GB"/>
        </w:rPr>
        <w:t>]</w:t>
      </w:r>
    </w:p>
    <w:p w14:paraId="411E0C1D" w14:textId="77777777" w:rsidR="0077190E" w:rsidRPr="00D272CC" w:rsidRDefault="00E602BF" w:rsidP="002D7398">
      <w:pPr>
        <w:spacing w:line="240" w:lineRule="auto"/>
        <w:ind w:left="2832" w:hanging="2265"/>
        <w:rPr>
          <w:lang w:val="en-GB"/>
        </w:rPr>
      </w:pPr>
      <w:r>
        <w:rPr>
          <w:lang w:val="en-GB"/>
        </w:rPr>
        <w:t>TRANSPARENCY</w:t>
      </w:r>
      <w:r w:rsidR="0077190E">
        <w:rPr>
          <w:lang w:val="en-GB"/>
        </w:rPr>
        <w:tab/>
      </w:r>
      <w:r w:rsidR="00EA2C3C">
        <w:rPr>
          <w:lang w:val="en-GB"/>
        </w:rPr>
        <w:t>T</w:t>
      </w:r>
      <w:r w:rsidR="00AD6D36">
        <w:rPr>
          <w:lang w:val="en-GB"/>
        </w:rPr>
        <w:t>ransparency</w:t>
      </w:r>
      <w:r w:rsidR="00AB1E0B">
        <w:rPr>
          <w:lang w:val="en-GB"/>
        </w:rPr>
        <w:t xml:space="preserve"> </w:t>
      </w:r>
      <w:r w:rsidR="008749D7">
        <w:rPr>
          <w:lang w:val="en-GB"/>
        </w:rPr>
        <w:t xml:space="preserve">measure </w:t>
      </w:r>
      <w:r w:rsidR="00AB1E0B">
        <w:rPr>
          <w:lang w:val="en-GB"/>
        </w:rPr>
        <w:t>of a firm’s country</w:t>
      </w:r>
      <w:r w:rsidR="006F1CF6">
        <w:rPr>
          <w:lang w:val="en-GB"/>
        </w:rPr>
        <w:t xml:space="preserve">: </w:t>
      </w:r>
      <w:r w:rsidR="00EA2C3C">
        <w:rPr>
          <w:lang w:val="en-GB"/>
        </w:rPr>
        <w:t>‘s</w:t>
      </w:r>
      <w:r w:rsidR="006F1CF6" w:rsidRPr="006F1CF6">
        <w:rPr>
          <w:lang w:val="en-GB"/>
        </w:rPr>
        <w:t xml:space="preserve">ecrecy vs transparency’ scores </w:t>
      </w:r>
      <w:r w:rsidR="0077190E">
        <w:rPr>
          <w:lang w:val="en-GB"/>
        </w:rPr>
        <w:t>of Braun</w:t>
      </w:r>
      <w:r w:rsidR="00AD6D36">
        <w:rPr>
          <w:lang w:val="en-GB"/>
        </w:rPr>
        <w:t xml:space="preserve"> and </w:t>
      </w:r>
      <w:r w:rsidR="0077190E">
        <w:rPr>
          <w:lang w:val="en-GB"/>
        </w:rPr>
        <w:t>Rodriguez</w:t>
      </w:r>
      <w:r w:rsidR="00AD6D36">
        <w:rPr>
          <w:lang w:val="en-GB"/>
        </w:rPr>
        <w:t xml:space="preserve"> (2008)</w:t>
      </w:r>
      <w:r w:rsidR="00EA2C3C">
        <w:rPr>
          <w:lang w:val="en-GB"/>
        </w:rPr>
        <w:t xml:space="preserve"> multiplied by −1</w:t>
      </w:r>
      <w:r w:rsidR="00797C26">
        <w:rPr>
          <w:lang w:val="en-GB"/>
        </w:rPr>
        <w:t>,</w:t>
      </w:r>
      <w:r w:rsidR="00EA2C3C">
        <w:rPr>
          <w:lang w:val="en-GB"/>
        </w:rPr>
        <w:t xml:space="preserve"> </w:t>
      </w:r>
      <w:r w:rsidR="0048226A" w:rsidRPr="0048226A">
        <w:rPr>
          <w:lang w:val="en-GB"/>
        </w:rPr>
        <w:t>so that a higher value implies more transparency</w:t>
      </w:r>
      <w:r w:rsidR="00EA2C3C">
        <w:rPr>
          <w:lang w:val="en-GB"/>
        </w:rPr>
        <w:t>; the scores operationalise</w:t>
      </w:r>
      <w:r w:rsidR="00AD6D36">
        <w:rPr>
          <w:lang w:val="en-GB"/>
        </w:rPr>
        <w:t xml:space="preserve"> Gray</w:t>
      </w:r>
      <w:r w:rsidR="00EA2C3C">
        <w:rPr>
          <w:lang w:val="en-GB"/>
        </w:rPr>
        <w:t>’s</w:t>
      </w:r>
      <w:r w:rsidR="00AD6D36">
        <w:rPr>
          <w:lang w:val="en-GB"/>
        </w:rPr>
        <w:t xml:space="preserve"> (1988)</w:t>
      </w:r>
      <w:r w:rsidR="00EA2C3C">
        <w:rPr>
          <w:lang w:val="en-GB"/>
        </w:rPr>
        <w:t xml:space="preserve"> framework and are based on Hofstede’s (1980) data</w:t>
      </w:r>
      <w:r w:rsidR="006412B9">
        <w:rPr>
          <w:lang w:val="en-GB"/>
        </w:rPr>
        <w:t xml:space="preserve"> [Braun and Rodriguez 2008</w:t>
      </w:r>
      <w:r w:rsidR="00EA2C3C">
        <w:rPr>
          <w:lang w:val="en-GB"/>
        </w:rPr>
        <w:t>, Table 2]</w:t>
      </w:r>
    </w:p>
    <w:p w14:paraId="38C38755" w14:textId="77777777" w:rsidR="00A50F9C" w:rsidRDefault="00E07F16" w:rsidP="00A50F9C">
      <w:pPr>
        <w:spacing w:line="240" w:lineRule="auto"/>
        <w:ind w:left="2832" w:hanging="2265"/>
        <w:rPr>
          <w:lang w:val="en-GB"/>
        </w:rPr>
      </w:pPr>
      <w:r w:rsidRPr="00D272CC">
        <w:rPr>
          <w:lang w:val="en-GB"/>
        </w:rPr>
        <w:t>SIZE</w:t>
      </w:r>
      <w:r w:rsidRPr="00D272CC">
        <w:rPr>
          <w:lang w:val="en-GB"/>
        </w:rPr>
        <w:tab/>
        <w:t>Natural logarithm of market capitalization (in US dollars) [WC07210]</w:t>
      </w:r>
    </w:p>
    <w:p w14:paraId="402B96B4" w14:textId="77777777" w:rsidR="00BB6938" w:rsidRDefault="00BB6938" w:rsidP="00A50F9C">
      <w:pPr>
        <w:spacing w:line="240" w:lineRule="auto"/>
        <w:ind w:left="2832" w:hanging="2265"/>
        <w:rPr>
          <w:lang w:val="en-GB"/>
        </w:rPr>
      </w:pPr>
      <w:r>
        <w:rPr>
          <w:lang w:val="en-GB"/>
        </w:rPr>
        <w:t>LEVERAGE</w:t>
      </w:r>
      <w:r>
        <w:rPr>
          <w:lang w:val="en-GB"/>
        </w:rPr>
        <w:tab/>
      </w:r>
      <w:r w:rsidR="00AB1E0B">
        <w:rPr>
          <w:lang w:val="en-GB"/>
        </w:rPr>
        <w:t>Leverage = total liabilities / total assets</w:t>
      </w:r>
      <w:r w:rsidR="007F63BC">
        <w:rPr>
          <w:lang w:val="en-GB"/>
        </w:rPr>
        <w:t>,</w:t>
      </w:r>
      <w:r w:rsidR="00AB1E0B">
        <w:rPr>
          <w:lang w:val="en-GB"/>
        </w:rPr>
        <w:t xml:space="preserve"> industry-</w:t>
      </w:r>
      <w:r>
        <w:rPr>
          <w:lang w:val="en-GB"/>
        </w:rPr>
        <w:t>mean adjusted</w:t>
      </w:r>
      <w:r w:rsidR="003062C4">
        <w:rPr>
          <w:lang w:val="en-GB"/>
        </w:rPr>
        <w:t xml:space="preserve">: </w:t>
      </w:r>
      <w:r w:rsidR="00AB1E0B">
        <w:rPr>
          <w:lang w:val="en-GB"/>
        </w:rPr>
        <w:t xml:space="preserve">leverage of a firm minus </w:t>
      </w:r>
      <w:r w:rsidR="00AB1E0B" w:rsidRPr="00AB1E0B">
        <w:rPr>
          <w:lang w:val="en-GB"/>
        </w:rPr>
        <w:t xml:space="preserve">the mean leverage of all other firms </w:t>
      </w:r>
      <w:r w:rsidR="003062C4">
        <w:rPr>
          <w:lang w:val="en-GB"/>
        </w:rPr>
        <w:t>in the same</w:t>
      </w:r>
      <w:r w:rsidR="00B3127F">
        <w:rPr>
          <w:lang w:val="en-GB"/>
        </w:rPr>
        <w:t xml:space="preserve"> year and</w:t>
      </w:r>
      <w:r w:rsidR="003062C4">
        <w:rPr>
          <w:lang w:val="en-GB"/>
        </w:rPr>
        <w:t xml:space="preserve"> ‘supersector’ (i.e. the first two digits of the ICB code are the same)</w:t>
      </w:r>
      <w:r w:rsidRPr="00D272CC">
        <w:rPr>
          <w:lang w:val="en-GB"/>
        </w:rPr>
        <w:t xml:space="preserve"> [</w:t>
      </w:r>
      <w:r w:rsidR="00AB1E0B">
        <w:rPr>
          <w:lang w:val="en-GB"/>
        </w:rPr>
        <w:t xml:space="preserve">WC03351/WC02999, </w:t>
      </w:r>
      <w:r w:rsidR="00AB1E0B" w:rsidRPr="00D272CC">
        <w:rPr>
          <w:lang w:val="en-GB"/>
        </w:rPr>
        <w:t>WC07040</w:t>
      </w:r>
      <w:r w:rsidRPr="00D272CC">
        <w:rPr>
          <w:lang w:val="en-GB"/>
        </w:rPr>
        <w:t>]</w:t>
      </w:r>
    </w:p>
    <w:p w14:paraId="63415486" w14:textId="77777777" w:rsidR="00BB6938" w:rsidRPr="00D272CC" w:rsidRDefault="00BB6938" w:rsidP="00A50F9C">
      <w:pPr>
        <w:spacing w:line="240" w:lineRule="auto"/>
        <w:ind w:left="2832" w:hanging="2265"/>
        <w:rPr>
          <w:lang w:val="en-GB"/>
        </w:rPr>
      </w:pPr>
      <w:r>
        <w:rPr>
          <w:lang w:val="en-GB"/>
        </w:rPr>
        <w:t>PROFITABILITY</w:t>
      </w:r>
      <w:r>
        <w:rPr>
          <w:lang w:val="en-GB"/>
        </w:rPr>
        <w:tab/>
      </w:r>
      <w:r w:rsidR="00AB1E0B">
        <w:rPr>
          <w:lang w:val="en-GB"/>
        </w:rPr>
        <w:t>Profitability = return on assets</w:t>
      </w:r>
      <w:r w:rsidR="007F63BC">
        <w:rPr>
          <w:lang w:val="en-GB"/>
        </w:rPr>
        <w:t>,</w:t>
      </w:r>
      <w:r w:rsidR="00AB1E0B">
        <w:rPr>
          <w:lang w:val="en-GB"/>
        </w:rPr>
        <w:t xml:space="preserve"> </w:t>
      </w:r>
      <w:r w:rsidR="006F32C3">
        <w:rPr>
          <w:lang w:val="en-GB"/>
        </w:rPr>
        <w:t xml:space="preserve">industry-mean adjusted: profitability of a firm minus </w:t>
      </w:r>
      <w:r w:rsidR="006F32C3" w:rsidRPr="00AB1E0B">
        <w:rPr>
          <w:lang w:val="en-GB"/>
        </w:rPr>
        <w:t xml:space="preserve">the mean </w:t>
      </w:r>
      <w:r w:rsidR="006F32C3">
        <w:rPr>
          <w:lang w:val="en-GB"/>
        </w:rPr>
        <w:t>profitability</w:t>
      </w:r>
      <w:r w:rsidR="006F32C3" w:rsidRPr="00AB1E0B">
        <w:rPr>
          <w:lang w:val="en-GB"/>
        </w:rPr>
        <w:t xml:space="preserve"> of all other firms </w:t>
      </w:r>
      <w:r w:rsidR="006F32C3">
        <w:rPr>
          <w:lang w:val="en-GB"/>
        </w:rPr>
        <w:t>in the same</w:t>
      </w:r>
      <w:r w:rsidR="00B3127F">
        <w:rPr>
          <w:lang w:val="en-GB"/>
        </w:rPr>
        <w:t xml:space="preserve"> year and</w:t>
      </w:r>
      <w:r w:rsidR="006F32C3">
        <w:rPr>
          <w:lang w:val="en-GB"/>
        </w:rPr>
        <w:t xml:space="preserve"> ‘supersector’ (i.e. the first two digits of the ICB code are the same)</w:t>
      </w:r>
      <w:r w:rsidR="006F1CF6">
        <w:rPr>
          <w:lang w:val="en-GB"/>
        </w:rPr>
        <w:t xml:space="preserve">; </w:t>
      </w:r>
      <w:r w:rsidR="006F1CF6" w:rsidRPr="00027C06">
        <w:t>winsorized at the 1</w:t>
      </w:r>
      <w:r w:rsidR="006F1CF6" w:rsidRPr="00027C06">
        <w:rPr>
          <w:vertAlign w:val="superscript"/>
        </w:rPr>
        <w:t>st</w:t>
      </w:r>
      <w:r w:rsidR="006F1CF6" w:rsidRPr="00027C06">
        <w:t xml:space="preserve"> and 99</w:t>
      </w:r>
      <w:r w:rsidR="006F1CF6" w:rsidRPr="00027C06">
        <w:rPr>
          <w:vertAlign w:val="superscript"/>
        </w:rPr>
        <w:t>th</w:t>
      </w:r>
      <w:r w:rsidR="006F1CF6" w:rsidRPr="00027C06">
        <w:t xml:space="preserve"> percentile</w:t>
      </w:r>
      <w:r w:rsidR="006F1CF6">
        <w:t>s</w:t>
      </w:r>
      <w:r w:rsidR="00AB1E0B">
        <w:rPr>
          <w:lang w:val="en-GB"/>
        </w:rPr>
        <w:t xml:space="preserve"> </w:t>
      </w:r>
      <w:r w:rsidRPr="00D272CC">
        <w:rPr>
          <w:lang w:val="en-GB"/>
        </w:rPr>
        <w:t>[</w:t>
      </w:r>
      <w:r w:rsidR="00AB1E0B">
        <w:rPr>
          <w:lang w:val="en-GB"/>
        </w:rPr>
        <w:t xml:space="preserve">WC08326/100, </w:t>
      </w:r>
      <w:r w:rsidR="00AB1E0B" w:rsidRPr="00D272CC">
        <w:rPr>
          <w:lang w:val="en-GB"/>
        </w:rPr>
        <w:t>WC07040</w:t>
      </w:r>
      <w:r w:rsidRPr="00D272CC">
        <w:rPr>
          <w:lang w:val="en-GB"/>
        </w:rPr>
        <w:t>]</w:t>
      </w:r>
    </w:p>
    <w:p w14:paraId="5C54906A" w14:textId="77777777" w:rsidR="00A50F9C" w:rsidRPr="00D272CC" w:rsidRDefault="00E07F16" w:rsidP="00A50F9C">
      <w:pPr>
        <w:spacing w:line="240" w:lineRule="auto"/>
        <w:ind w:left="2832" w:hanging="2265"/>
        <w:rPr>
          <w:lang w:val="en-GB"/>
        </w:rPr>
      </w:pPr>
      <w:r w:rsidRPr="00D272CC">
        <w:rPr>
          <w:lang w:val="en-GB"/>
        </w:rPr>
        <w:t>USLIST</w:t>
      </w:r>
      <w:r w:rsidRPr="00D272CC">
        <w:rPr>
          <w:lang w:val="en-GB"/>
        </w:rPr>
        <w:tab/>
        <w:t>Dummy for US listing (20-F filed with the SEC)</w:t>
      </w:r>
      <w:r w:rsidR="00E11B84" w:rsidRPr="00D272CC">
        <w:rPr>
          <w:lang w:val="en-GB"/>
        </w:rPr>
        <w:t>, 0 otherwise</w:t>
      </w:r>
      <w:r w:rsidRPr="00D272CC">
        <w:rPr>
          <w:lang w:val="en-GB"/>
        </w:rPr>
        <w:t xml:space="preserve"> [hand-collected: EDGAR database]</w:t>
      </w:r>
    </w:p>
    <w:p w14:paraId="33351663" w14:textId="77777777" w:rsidR="00390BDD" w:rsidRPr="00D272CC" w:rsidRDefault="00390BDD" w:rsidP="0067327A">
      <w:pPr>
        <w:pStyle w:val="Heading3"/>
        <w:spacing w:line="240" w:lineRule="auto"/>
        <w:ind w:firstLine="567"/>
        <w:rPr>
          <w:lang w:val="en-GB"/>
        </w:rPr>
      </w:pPr>
      <w:r w:rsidRPr="00D272CC">
        <w:rPr>
          <w:lang w:val="en-GB"/>
        </w:rPr>
        <w:t>Topic</w:t>
      </w:r>
      <w:r w:rsidR="003E6BA5" w:rsidRPr="00D272CC">
        <w:rPr>
          <w:lang w:val="en-GB"/>
        </w:rPr>
        <w:t xml:space="preserve"> fixed effects</w:t>
      </w:r>
      <w:r w:rsidRPr="00D272CC">
        <w:rPr>
          <w:lang w:val="en-GB"/>
        </w:rPr>
        <w:t>:</w:t>
      </w:r>
    </w:p>
    <w:p w14:paraId="16A8B2AD" w14:textId="77777777" w:rsidR="00390BDD" w:rsidRPr="00D272CC" w:rsidRDefault="00390BDD" w:rsidP="00390BDD">
      <w:pPr>
        <w:spacing w:line="240" w:lineRule="auto"/>
        <w:ind w:left="567" w:firstLine="0"/>
        <w:rPr>
          <w:lang w:val="en-GB"/>
        </w:rPr>
      </w:pPr>
      <w:r w:rsidRPr="00D272CC">
        <w:rPr>
          <w:lang w:val="en-GB"/>
        </w:rPr>
        <w:t xml:space="preserve">Dummy for </w:t>
      </w:r>
      <w:r w:rsidR="00E464E6" w:rsidRPr="00D272CC">
        <w:rPr>
          <w:lang w:val="en-GB"/>
        </w:rPr>
        <w:t xml:space="preserve">a </w:t>
      </w:r>
      <w:r w:rsidR="008B294C" w:rsidRPr="00D272CC">
        <w:rPr>
          <w:lang w:val="en-GB"/>
        </w:rPr>
        <w:t xml:space="preserve">policy </w:t>
      </w:r>
      <w:r w:rsidR="00E464E6" w:rsidRPr="00D272CC">
        <w:rPr>
          <w:lang w:val="en-GB"/>
        </w:rPr>
        <w:t xml:space="preserve">change for </w:t>
      </w:r>
      <w:r w:rsidRPr="00D272CC">
        <w:rPr>
          <w:lang w:val="en-GB"/>
        </w:rPr>
        <w:t>the respective topic:</w:t>
      </w:r>
    </w:p>
    <w:p w14:paraId="60DB611A" w14:textId="6343198D" w:rsidR="00390BDD" w:rsidRPr="00D272CC" w:rsidRDefault="00390BDD" w:rsidP="00390BDD">
      <w:pPr>
        <w:spacing w:line="240" w:lineRule="auto"/>
        <w:ind w:left="567" w:firstLine="0"/>
        <w:rPr>
          <w:lang w:val="en-GB"/>
        </w:rPr>
      </w:pPr>
      <w:r w:rsidRPr="00D272CC">
        <w:rPr>
          <w:lang w:val="en-GB"/>
        </w:rPr>
        <w:t>TOPIC1 (income statement format), TOPIC2 (operating profit shown or not),</w:t>
      </w:r>
      <w:r w:rsidR="004A3B0A" w:rsidRPr="00D272CC">
        <w:rPr>
          <w:lang w:val="en-GB"/>
        </w:rPr>
        <w:t xml:space="preserve"> </w:t>
      </w:r>
      <w:r w:rsidRPr="00D272CC">
        <w:rPr>
          <w:lang w:val="en-GB"/>
        </w:rPr>
        <w:t>TOPIC3 (position of equity profits),</w:t>
      </w:r>
      <w:r w:rsidR="004A3B0A" w:rsidRPr="00D272CC">
        <w:rPr>
          <w:lang w:val="en-GB"/>
        </w:rPr>
        <w:t xml:space="preserve"> </w:t>
      </w:r>
      <w:r w:rsidRPr="00D272CC">
        <w:rPr>
          <w:lang w:val="en-GB"/>
        </w:rPr>
        <w:t>TOPIC4 (showing net assets or not),</w:t>
      </w:r>
      <w:r w:rsidR="004A3B0A" w:rsidRPr="00D272CC">
        <w:rPr>
          <w:lang w:val="en-GB"/>
        </w:rPr>
        <w:t xml:space="preserve"> </w:t>
      </w:r>
      <w:r w:rsidRPr="00D272CC">
        <w:rPr>
          <w:lang w:val="en-GB"/>
        </w:rPr>
        <w:t>TOPIC5 (liquidity order),</w:t>
      </w:r>
      <w:r w:rsidR="004A3B0A" w:rsidRPr="00D272CC">
        <w:rPr>
          <w:lang w:val="en-GB"/>
        </w:rPr>
        <w:t xml:space="preserve"> </w:t>
      </w:r>
      <w:r w:rsidRPr="00D272CC">
        <w:rPr>
          <w:lang w:val="en-GB"/>
        </w:rPr>
        <w:t>TOPIC6 (OCI or statement of changes in equity),</w:t>
      </w:r>
      <w:r w:rsidR="004A3B0A" w:rsidRPr="00D272CC">
        <w:rPr>
          <w:lang w:val="en-GB"/>
        </w:rPr>
        <w:t xml:space="preserve"> </w:t>
      </w:r>
      <w:r w:rsidRPr="00D272CC">
        <w:rPr>
          <w:lang w:val="en-GB"/>
        </w:rPr>
        <w:t>TOPIC7 (direct or indirect cash flow),</w:t>
      </w:r>
      <w:r w:rsidR="004A3B0A" w:rsidRPr="00D272CC">
        <w:rPr>
          <w:lang w:val="en-GB"/>
        </w:rPr>
        <w:t xml:space="preserve"> </w:t>
      </w:r>
      <w:r w:rsidRPr="00D272CC">
        <w:rPr>
          <w:lang w:val="en-GB"/>
        </w:rPr>
        <w:t>TOPIC8 (position of dividends received),</w:t>
      </w:r>
      <w:r w:rsidR="004A3B0A" w:rsidRPr="00D272CC">
        <w:rPr>
          <w:lang w:val="en-GB"/>
        </w:rPr>
        <w:t xml:space="preserve"> </w:t>
      </w:r>
      <w:r w:rsidRPr="00D272CC">
        <w:rPr>
          <w:lang w:val="en-GB"/>
        </w:rPr>
        <w:t>TOPIC9 (position of interest paid),</w:t>
      </w:r>
      <w:r w:rsidR="004A3B0A" w:rsidRPr="00D272CC">
        <w:rPr>
          <w:lang w:val="en-GB"/>
        </w:rPr>
        <w:t xml:space="preserve"> </w:t>
      </w:r>
      <w:r w:rsidRPr="00D272CC">
        <w:rPr>
          <w:lang w:val="en-GB"/>
        </w:rPr>
        <w:t>TOPIC10 (some property at fair value or not),</w:t>
      </w:r>
      <w:r w:rsidR="004A3B0A" w:rsidRPr="00D272CC">
        <w:rPr>
          <w:lang w:val="en-GB"/>
        </w:rPr>
        <w:t xml:space="preserve"> </w:t>
      </w:r>
      <w:r w:rsidRPr="00D272CC">
        <w:rPr>
          <w:lang w:val="en-GB"/>
        </w:rPr>
        <w:t>TOPIC11 (investment property at fair value or not),</w:t>
      </w:r>
      <w:r w:rsidR="004A3B0A" w:rsidRPr="00D272CC">
        <w:rPr>
          <w:lang w:val="en-GB"/>
        </w:rPr>
        <w:t xml:space="preserve"> </w:t>
      </w:r>
      <w:r w:rsidRPr="00D272CC">
        <w:rPr>
          <w:lang w:val="en-GB"/>
        </w:rPr>
        <w:t>TOPIC12 (some fair value designation or not),</w:t>
      </w:r>
      <w:r w:rsidR="004A3B0A" w:rsidRPr="00D272CC">
        <w:rPr>
          <w:lang w:val="en-GB"/>
        </w:rPr>
        <w:t xml:space="preserve"> </w:t>
      </w:r>
      <w:r w:rsidRPr="00D272CC">
        <w:rPr>
          <w:lang w:val="en-GB"/>
        </w:rPr>
        <w:t>TOPIC13 (interest on construction),</w:t>
      </w:r>
      <w:r w:rsidR="004A3B0A" w:rsidRPr="00D272CC">
        <w:rPr>
          <w:lang w:val="en-GB"/>
        </w:rPr>
        <w:t xml:space="preserve"> </w:t>
      </w:r>
      <w:r w:rsidRPr="00D272CC">
        <w:rPr>
          <w:lang w:val="en-GB"/>
        </w:rPr>
        <w:t xml:space="preserve">TOPIC14 (inventory </w:t>
      </w:r>
      <w:r w:rsidR="00E61556" w:rsidRPr="00D272CC">
        <w:rPr>
          <w:lang w:val="en-GB"/>
        </w:rPr>
        <w:t>cost</w:t>
      </w:r>
      <w:r w:rsidR="006914D8">
        <w:rPr>
          <w:lang w:val="en-GB"/>
        </w:rPr>
        <w:t>ing</w:t>
      </w:r>
      <w:r w:rsidRPr="00D272CC">
        <w:rPr>
          <w:lang w:val="en-GB"/>
        </w:rPr>
        <w:t>),</w:t>
      </w:r>
      <w:r w:rsidR="004A3B0A" w:rsidRPr="00D272CC">
        <w:rPr>
          <w:lang w:val="en-GB"/>
        </w:rPr>
        <w:t xml:space="preserve"> </w:t>
      </w:r>
      <w:r w:rsidRPr="00D272CC">
        <w:rPr>
          <w:lang w:val="en-GB"/>
        </w:rPr>
        <w:t>TOPIC15 (treatment of actuarial gains/losses), TOPIC16 (treatment of joint ventures )</w:t>
      </w:r>
    </w:p>
    <w:p w14:paraId="5B28FC82" w14:textId="77777777" w:rsidR="00463F85" w:rsidRPr="00D272CC" w:rsidRDefault="00463F85" w:rsidP="0067327A">
      <w:pPr>
        <w:pStyle w:val="Heading3"/>
        <w:spacing w:line="240" w:lineRule="auto"/>
        <w:ind w:firstLine="567"/>
        <w:rPr>
          <w:lang w:val="en-GB"/>
        </w:rPr>
      </w:pPr>
      <w:r w:rsidRPr="00D272CC">
        <w:rPr>
          <w:lang w:val="en-GB"/>
        </w:rPr>
        <w:t>Country</w:t>
      </w:r>
      <w:r w:rsidR="003E6BA5" w:rsidRPr="00D272CC">
        <w:rPr>
          <w:lang w:val="en-GB"/>
        </w:rPr>
        <w:t xml:space="preserve"> fixed effects</w:t>
      </w:r>
      <w:r w:rsidRPr="00D272CC">
        <w:rPr>
          <w:lang w:val="en-GB"/>
        </w:rPr>
        <w:t>:</w:t>
      </w:r>
    </w:p>
    <w:p w14:paraId="4E6BEDCE" w14:textId="77777777" w:rsidR="00463F85" w:rsidRPr="00D272CC" w:rsidRDefault="00463F85" w:rsidP="00463F85">
      <w:pPr>
        <w:spacing w:line="240" w:lineRule="auto"/>
        <w:ind w:left="567" w:firstLine="0"/>
        <w:rPr>
          <w:lang w:val="en-GB"/>
        </w:rPr>
      </w:pPr>
      <w:r w:rsidRPr="00D272CC">
        <w:rPr>
          <w:lang w:val="en-GB"/>
        </w:rPr>
        <w:t>Dummy for the respective country (abbreviations are according to the ISO 3166-1 alpha-2 code):</w:t>
      </w:r>
    </w:p>
    <w:p w14:paraId="1D8EC4DD" w14:textId="77777777" w:rsidR="00463F85" w:rsidRPr="00D272CC" w:rsidRDefault="00463F85" w:rsidP="00463F85">
      <w:pPr>
        <w:spacing w:line="240" w:lineRule="auto"/>
        <w:ind w:left="567" w:firstLine="0"/>
        <w:rPr>
          <w:lang w:val="en-GB"/>
        </w:rPr>
      </w:pPr>
      <w:r w:rsidRPr="00D272CC">
        <w:rPr>
          <w:lang w:val="en-GB"/>
        </w:rPr>
        <w:t>AU (Australia), CH (Switzerland), CN (China), DE (Germany), ES (Spain), FR (France), GB (United Kingdom), HK (Hong Kong), IT (Italy), ZA (South Africa)</w:t>
      </w:r>
    </w:p>
    <w:p w14:paraId="092321A3" w14:textId="77777777" w:rsidR="00463F85" w:rsidRPr="00D272CC" w:rsidRDefault="00463F85" w:rsidP="0067327A">
      <w:pPr>
        <w:pStyle w:val="Heading3"/>
        <w:spacing w:line="240" w:lineRule="auto"/>
        <w:ind w:firstLine="567"/>
        <w:rPr>
          <w:lang w:val="en-GB"/>
        </w:rPr>
      </w:pPr>
      <w:r w:rsidRPr="00D272CC">
        <w:rPr>
          <w:lang w:val="en-GB"/>
        </w:rPr>
        <w:t>Industry</w:t>
      </w:r>
      <w:r w:rsidR="003E6BA5" w:rsidRPr="00D272CC">
        <w:rPr>
          <w:lang w:val="en-GB"/>
        </w:rPr>
        <w:t xml:space="preserve"> fixed effects</w:t>
      </w:r>
      <w:r w:rsidRPr="00D272CC">
        <w:rPr>
          <w:lang w:val="en-GB"/>
        </w:rPr>
        <w:t>:</w:t>
      </w:r>
    </w:p>
    <w:p w14:paraId="23CE2B68" w14:textId="77777777" w:rsidR="00463F85" w:rsidRPr="00D272CC" w:rsidRDefault="00463F85" w:rsidP="00463F85">
      <w:pPr>
        <w:spacing w:line="240" w:lineRule="auto"/>
        <w:ind w:left="567" w:firstLine="0"/>
        <w:rPr>
          <w:lang w:val="en-GB"/>
        </w:rPr>
      </w:pPr>
      <w:r w:rsidRPr="00D272CC">
        <w:rPr>
          <w:lang w:val="en-GB"/>
        </w:rPr>
        <w:t>Dummy for the respective industry according to the first digit of the Industry Classification Benchmark (ICB) [WC07040]:</w:t>
      </w:r>
    </w:p>
    <w:p w14:paraId="3763E94F" w14:textId="77777777" w:rsidR="00463F85" w:rsidRPr="00D272CC" w:rsidRDefault="00463F85" w:rsidP="00463F85">
      <w:pPr>
        <w:spacing w:line="240" w:lineRule="auto"/>
        <w:ind w:left="567" w:firstLine="0"/>
        <w:rPr>
          <w:lang w:val="en-GB"/>
        </w:rPr>
      </w:pPr>
      <w:r w:rsidRPr="00D272CC">
        <w:rPr>
          <w:szCs w:val="20"/>
          <w:lang w:val="en-GB"/>
        </w:rPr>
        <w:t>INDUSTRY0 (</w:t>
      </w:r>
      <w:r w:rsidRPr="00D272CC">
        <w:rPr>
          <w:lang w:val="en-GB"/>
        </w:rPr>
        <w:t>oil and gas</w:t>
      </w:r>
      <w:r w:rsidRPr="00D272CC">
        <w:rPr>
          <w:szCs w:val="20"/>
          <w:lang w:val="en-GB"/>
        </w:rPr>
        <w:t>), INDUSTRY1 (</w:t>
      </w:r>
      <w:r w:rsidRPr="00D272CC">
        <w:rPr>
          <w:lang w:val="en-GB"/>
        </w:rPr>
        <w:t>basic materials</w:t>
      </w:r>
      <w:r w:rsidRPr="00D272CC">
        <w:rPr>
          <w:szCs w:val="20"/>
          <w:lang w:val="en-GB"/>
        </w:rPr>
        <w:t>), INDUSTRY2 (</w:t>
      </w:r>
      <w:r w:rsidRPr="00D272CC">
        <w:rPr>
          <w:lang w:val="en-GB"/>
        </w:rPr>
        <w:t>industrials</w:t>
      </w:r>
      <w:r w:rsidRPr="00D272CC">
        <w:rPr>
          <w:szCs w:val="20"/>
          <w:lang w:val="en-GB"/>
        </w:rPr>
        <w:t>), INDUSTRY3 (</w:t>
      </w:r>
      <w:r w:rsidRPr="00D272CC">
        <w:rPr>
          <w:lang w:val="en-GB"/>
        </w:rPr>
        <w:t>consumer goods</w:t>
      </w:r>
      <w:r w:rsidRPr="00D272CC">
        <w:rPr>
          <w:szCs w:val="20"/>
          <w:lang w:val="en-GB"/>
        </w:rPr>
        <w:t>), INDUSTRY4 (</w:t>
      </w:r>
      <w:r w:rsidRPr="00D272CC">
        <w:rPr>
          <w:lang w:val="en-GB"/>
        </w:rPr>
        <w:t>health care</w:t>
      </w:r>
      <w:r w:rsidRPr="00D272CC">
        <w:rPr>
          <w:szCs w:val="20"/>
          <w:lang w:val="en-GB"/>
        </w:rPr>
        <w:t>), INDUSTRY5 (</w:t>
      </w:r>
      <w:r w:rsidRPr="00D272CC">
        <w:rPr>
          <w:lang w:val="en-GB"/>
        </w:rPr>
        <w:t>consumer services</w:t>
      </w:r>
      <w:r w:rsidRPr="00D272CC">
        <w:rPr>
          <w:szCs w:val="20"/>
          <w:lang w:val="en-GB"/>
        </w:rPr>
        <w:t>), INDUSTRY6 (</w:t>
      </w:r>
      <w:r w:rsidRPr="00D272CC">
        <w:rPr>
          <w:lang w:val="en-GB"/>
        </w:rPr>
        <w:t>telecommunications</w:t>
      </w:r>
      <w:r w:rsidRPr="00D272CC">
        <w:rPr>
          <w:szCs w:val="20"/>
          <w:lang w:val="en-GB"/>
        </w:rPr>
        <w:t>), INDUSTRY7 (</w:t>
      </w:r>
      <w:r w:rsidRPr="00D272CC">
        <w:rPr>
          <w:lang w:val="en-GB"/>
        </w:rPr>
        <w:t>utilities</w:t>
      </w:r>
      <w:r w:rsidRPr="00D272CC">
        <w:rPr>
          <w:szCs w:val="20"/>
          <w:lang w:val="en-GB"/>
        </w:rPr>
        <w:t>),</w:t>
      </w:r>
      <w:r w:rsidR="00390BDD" w:rsidRPr="00D272CC">
        <w:rPr>
          <w:szCs w:val="20"/>
          <w:lang w:val="en-GB"/>
        </w:rPr>
        <w:t xml:space="preserve"> INDUSTRY8 (financials),</w:t>
      </w:r>
      <w:r w:rsidRPr="00D272CC">
        <w:rPr>
          <w:szCs w:val="20"/>
          <w:lang w:val="en-GB"/>
        </w:rPr>
        <w:t xml:space="preserve"> INDUSTRY9 (</w:t>
      </w:r>
      <w:r w:rsidRPr="00D272CC">
        <w:rPr>
          <w:lang w:val="en-GB"/>
        </w:rPr>
        <w:t>technology</w:t>
      </w:r>
      <w:r w:rsidRPr="00D272CC">
        <w:rPr>
          <w:szCs w:val="20"/>
          <w:lang w:val="en-GB"/>
        </w:rPr>
        <w:t>)</w:t>
      </w:r>
    </w:p>
    <w:p w14:paraId="0EFA3BD7" w14:textId="77777777" w:rsidR="001007EF" w:rsidRPr="00D272CC" w:rsidRDefault="00B64C67" w:rsidP="00C32BD8">
      <w:pPr>
        <w:pStyle w:val="Caption"/>
        <w:jc w:val="left"/>
        <w:rPr>
          <w:lang w:val="en-GB"/>
        </w:rPr>
      </w:pPr>
      <w:r w:rsidRPr="00D272CC">
        <w:rPr>
          <w:lang w:val="en-GB"/>
        </w:rPr>
        <w:t xml:space="preserve">Figure </w:t>
      </w:r>
      <w:r w:rsidR="00680D7F" w:rsidRPr="00D272CC">
        <w:rPr>
          <w:lang w:val="en-GB"/>
        </w:rPr>
        <w:fldChar w:fldCharType="begin"/>
      </w:r>
      <w:r w:rsidRPr="00D272CC">
        <w:rPr>
          <w:lang w:val="en-GB"/>
        </w:rPr>
        <w:instrText xml:space="preserve"> SEQ Figure \* ARABIC </w:instrText>
      </w:r>
      <w:r w:rsidR="00680D7F" w:rsidRPr="00D272CC">
        <w:rPr>
          <w:lang w:val="en-GB"/>
        </w:rPr>
        <w:fldChar w:fldCharType="separate"/>
      </w:r>
      <w:r w:rsidR="004F4900">
        <w:rPr>
          <w:noProof/>
          <w:lang w:val="en-GB"/>
        </w:rPr>
        <w:t>1</w:t>
      </w:r>
      <w:r w:rsidR="00680D7F" w:rsidRPr="00D272CC">
        <w:rPr>
          <w:lang w:val="en-GB"/>
        </w:rPr>
        <w:fldChar w:fldCharType="end"/>
      </w:r>
      <w:r w:rsidR="00347E63" w:rsidRPr="00D272CC">
        <w:rPr>
          <w:lang w:val="en-GB"/>
        </w:rPr>
        <w:t xml:space="preserve">. </w:t>
      </w:r>
      <w:r w:rsidRPr="00D272CC">
        <w:rPr>
          <w:b w:val="0"/>
          <w:lang w:val="en-GB"/>
        </w:rPr>
        <w:t xml:space="preserve">Qualitative </w:t>
      </w:r>
      <w:r w:rsidR="00347E63" w:rsidRPr="00D272CC">
        <w:rPr>
          <w:b w:val="0"/>
          <w:lang w:val="en-GB"/>
        </w:rPr>
        <w:t>c</w:t>
      </w:r>
      <w:r w:rsidRPr="00D272CC">
        <w:rPr>
          <w:b w:val="0"/>
          <w:lang w:val="en-GB"/>
        </w:rPr>
        <w:t>haracteristics of the</w:t>
      </w:r>
      <w:r w:rsidR="00E300E8">
        <w:rPr>
          <w:b w:val="0"/>
          <w:lang w:val="en-GB"/>
        </w:rPr>
        <w:t xml:space="preserve"> IASC’s</w:t>
      </w:r>
      <w:r w:rsidRPr="00D272CC">
        <w:rPr>
          <w:b w:val="0"/>
          <w:lang w:val="en-GB"/>
        </w:rPr>
        <w:t xml:space="preserve"> </w:t>
      </w:r>
      <w:r w:rsidRPr="00D272CC">
        <w:rPr>
          <w:b w:val="0"/>
          <w:i/>
          <w:lang w:val="en-GB"/>
        </w:rPr>
        <w:t>Framework</w:t>
      </w:r>
      <w:r w:rsidR="00347E63" w:rsidRPr="00D272CC">
        <w:rPr>
          <w:b w:val="0"/>
          <w:lang w:val="en-GB"/>
        </w:rPr>
        <w:t>.</w:t>
      </w:r>
    </w:p>
    <w:p w14:paraId="30D66D2A" w14:textId="77777777" w:rsidR="002C26CE" w:rsidRPr="00D272CC" w:rsidRDefault="002C26CE" w:rsidP="002C26CE">
      <w:pPr>
        <w:pStyle w:val="Table-FigureDescription"/>
        <w:rPr>
          <w:lang w:val="en-GB"/>
        </w:rPr>
      </w:pPr>
    </w:p>
    <w:p w14:paraId="2D26B7BB" w14:textId="77777777" w:rsidR="002C26CE" w:rsidRPr="00D272CC" w:rsidRDefault="00074776" w:rsidP="00C32BD8">
      <w:pPr>
        <w:pStyle w:val="Figure"/>
        <w:rPr>
          <w:lang w:val="en-GB"/>
        </w:rPr>
      </w:pPr>
      <w:r w:rsidRPr="00D272CC">
        <w:rPr>
          <w:noProof/>
          <w:lang w:val="en-GB" w:eastAsia="en-GB"/>
        </w:rPr>
        <w:drawing>
          <wp:inline distT="0" distB="0" distL="0" distR="0" wp14:anchorId="1ACF6BA1" wp14:editId="2260AD59">
            <wp:extent cx="4760452" cy="2985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s-choices-explanations-figure-v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0452" cy="2985409"/>
                    </a:xfrm>
                    <a:prstGeom prst="rect">
                      <a:avLst/>
                    </a:prstGeom>
                  </pic:spPr>
                </pic:pic>
              </a:graphicData>
            </a:graphic>
          </wp:inline>
        </w:drawing>
      </w:r>
    </w:p>
    <w:p w14:paraId="416341BF" w14:textId="77777777" w:rsidR="002C26CE" w:rsidRPr="00D272CC" w:rsidRDefault="002C26CE" w:rsidP="002C26CE">
      <w:pPr>
        <w:pStyle w:val="Table-FigureDescription"/>
        <w:rPr>
          <w:lang w:val="en-GB"/>
        </w:rPr>
      </w:pPr>
    </w:p>
    <w:p w14:paraId="17DE1ACD" w14:textId="77777777" w:rsidR="002C26CE" w:rsidRPr="00D272CC" w:rsidRDefault="00E37E25" w:rsidP="002C26CE">
      <w:pPr>
        <w:pStyle w:val="Table-FigureDescription"/>
        <w:rPr>
          <w:lang w:val="en-GB"/>
        </w:rPr>
      </w:pPr>
      <w:r w:rsidRPr="00D272CC">
        <w:rPr>
          <w:lang w:val="en-GB"/>
        </w:rPr>
        <w:t xml:space="preserve">This figure shows the qualitative characteristics of the </w:t>
      </w:r>
      <w:r w:rsidRPr="00D272CC">
        <w:rPr>
          <w:i/>
          <w:lang w:val="en-GB"/>
        </w:rPr>
        <w:t>Framework</w:t>
      </w:r>
      <w:r w:rsidRPr="00D272CC">
        <w:rPr>
          <w:lang w:val="en-GB"/>
        </w:rPr>
        <w:t xml:space="preserve"> of the International Accounting Standards Committee (IASC 1989). The terms are explained in Appendix </w:t>
      </w:r>
      <w:r w:rsidR="006A70B1" w:rsidRPr="00D272CC">
        <w:rPr>
          <w:lang w:val="en-GB"/>
        </w:rPr>
        <w:t>1</w:t>
      </w:r>
      <w:r w:rsidRPr="00D272CC">
        <w:rPr>
          <w:lang w:val="en-GB"/>
        </w:rPr>
        <w:t>.</w:t>
      </w:r>
    </w:p>
    <w:p w14:paraId="3EB6D8DB" w14:textId="77777777" w:rsidR="008177B1" w:rsidRPr="00D272CC" w:rsidRDefault="008177B1" w:rsidP="00C32BD8">
      <w:pPr>
        <w:pStyle w:val="Caption"/>
        <w:jc w:val="left"/>
        <w:rPr>
          <w:lang w:val="en-GB"/>
        </w:rPr>
      </w:pPr>
      <w:r w:rsidRPr="00D272CC">
        <w:rPr>
          <w:lang w:val="en-GB"/>
        </w:rPr>
        <w:t xml:space="preserve">Table </w:t>
      </w:r>
      <w:r w:rsidR="00680D7F" w:rsidRPr="00D272CC">
        <w:rPr>
          <w:lang w:val="en-GB"/>
        </w:rPr>
        <w:fldChar w:fldCharType="begin"/>
      </w:r>
      <w:r w:rsidRPr="00D272CC">
        <w:rPr>
          <w:lang w:val="en-GB"/>
        </w:rPr>
        <w:instrText xml:space="preserve"> SEQ Table \* ARABIC </w:instrText>
      </w:r>
      <w:r w:rsidR="00680D7F" w:rsidRPr="00D272CC">
        <w:rPr>
          <w:lang w:val="en-GB"/>
        </w:rPr>
        <w:fldChar w:fldCharType="separate"/>
      </w:r>
      <w:r w:rsidR="004F4900">
        <w:rPr>
          <w:noProof/>
          <w:lang w:val="en-GB"/>
        </w:rPr>
        <w:t>1</w:t>
      </w:r>
      <w:r w:rsidR="00680D7F" w:rsidRPr="00D272CC">
        <w:rPr>
          <w:lang w:val="en-GB"/>
        </w:rPr>
        <w:fldChar w:fldCharType="end"/>
      </w:r>
      <w:r w:rsidR="00380C8B" w:rsidRPr="00D272CC">
        <w:rPr>
          <w:lang w:val="en-GB"/>
        </w:rPr>
        <w:t xml:space="preserve">. </w:t>
      </w:r>
      <w:r w:rsidRPr="00D272CC">
        <w:rPr>
          <w:b w:val="0"/>
          <w:lang w:val="en-GB"/>
        </w:rPr>
        <w:t xml:space="preserve">IFRS </w:t>
      </w:r>
      <w:r w:rsidR="00380C8B" w:rsidRPr="00D272CC">
        <w:rPr>
          <w:b w:val="0"/>
          <w:lang w:val="en-GB"/>
        </w:rPr>
        <w:t>p</w:t>
      </w:r>
      <w:r w:rsidRPr="00D272CC">
        <w:rPr>
          <w:b w:val="0"/>
          <w:lang w:val="en-GB"/>
        </w:rPr>
        <w:t xml:space="preserve">olicy </w:t>
      </w:r>
      <w:r w:rsidR="00380C8B" w:rsidRPr="00D272CC">
        <w:rPr>
          <w:b w:val="0"/>
          <w:lang w:val="en-GB"/>
        </w:rPr>
        <w:t>t</w:t>
      </w:r>
      <w:r w:rsidRPr="00D272CC">
        <w:rPr>
          <w:b w:val="0"/>
          <w:lang w:val="en-GB"/>
        </w:rPr>
        <w:t>opics</w:t>
      </w:r>
      <w:r w:rsidR="00380C8B" w:rsidRPr="00D272CC">
        <w:rPr>
          <w:b w:val="0"/>
          <w:lang w:val="en-GB"/>
        </w:rPr>
        <w:t>.</w:t>
      </w:r>
    </w:p>
    <w:p w14:paraId="07AA0DBF" w14:textId="77777777" w:rsidR="008177B1" w:rsidRPr="00D272CC" w:rsidRDefault="008177B1" w:rsidP="008177B1">
      <w:pPr>
        <w:pStyle w:val="Table-FigureDescription"/>
        <w:rPr>
          <w:lang w:val="en-GB"/>
        </w:rPr>
      </w:pPr>
    </w:p>
    <w:tbl>
      <w:tblPr>
        <w:tblW w:w="9072" w:type="dxa"/>
        <w:tblInd w:w="108" w:type="dxa"/>
        <w:tblLayout w:type="fixed"/>
        <w:tblCellMar>
          <w:left w:w="0" w:type="dxa"/>
          <w:right w:w="0" w:type="dxa"/>
        </w:tblCellMar>
        <w:tblLook w:val="00A0" w:firstRow="1" w:lastRow="0" w:firstColumn="1" w:lastColumn="0" w:noHBand="0" w:noVBand="0"/>
      </w:tblPr>
      <w:tblGrid>
        <w:gridCol w:w="709"/>
        <w:gridCol w:w="6379"/>
        <w:gridCol w:w="1984"/>
      </w:tblGrid>
      <w:tr w:rsidR="008177B1" w:rsidRPr="00D272CC" w14:paraId="0AA61D56" w14:textId="77777777" w:rsidTr="0038105A">
        <w:tc>
          <w:tcPr>
            <w:tcW w:w="709" w:type="dxa"/>
            <w:tcBorders>
              <w:top w:val="single" w:sz="4" w:space="0" w:color="000000"/>
              <w:bottom w:val="single" w:sz="4" w:space="0" w:color="000000"/>
            </w:tcBorders>
            <w:tcMar>
              <w:left w:w="108" w:type="dxa"/>
              <w:right w:w="108" w:type="dxa"/>
            </w:tcMar>
          </w:tcPr>
          <w:p w14:paraId="21DE171B" w14:textId="77777777" w:rsidR="008177B1" w:rsidRPr="00D272CC" w:rsidRDefault="008177B1" w:rsidP="0038105A">
            <w:pPr>
              <w:pStyle w:val="Table"/>
              <w:jc w:val="center"/>
              <w:rPr>
                <w:rFonts w:eastAsia="Times New Roman"/>
                <w:b/>
                <w:lang w:val="en-GB"/>
              </w:rPr>
            </w:pPr>
            <w:r w:rsidRPr="00D272CC">
              <w:rPr>
                <w:b/>
                <w:lang w:val="en-GB"/>
              </w:rPr>
              <w:t>Topic</w:t>
            </w:r>
          </w:p>
        </w:tc>
        <w:tc>
          <w:tcPr>
            <w:tcW w:w="6379" w:type="dxa"/>
            <w:tcBorders>
              <w:top w:val="single" w:sz="4" w:space="0" w:color="000000"/>
              <w:bottom w:val="single" w:sz="4" w:space="0" w:color="000000"/>
            </w:tcBorders>
            <w:tcMar>
              <w:left w:w="108" w:type="dxa"/>
              <w:right w:w="108" w:type="dxa"/>
            </w:tcMar>
          </w:tcPr>
          <w:p w14:paraId="60291B8E" w14:textId="77777777" w:rsidR="008177B1" w:rsidRPr="00D272CC" w:rsidRDefault="008177B1" w:rsidP="0038105A">
            <w:pPr>
              <w:pStyle w:val="Table"/>
              <w:rPr>
                <w:b/>
                <w:lang w:val="en-GB"/>
              </w:rPr>
            </w:pPr>
            <w:r w:rsidRPr="00D272CC">
              <w:rPr>
                <w:b/>
                <w:lang w:val="en-GB"/>
              </w:rPr>
              <w:t xml:space="preserve">IFRS </w:t>
            </w:r>
            <w:r w:rsidR="00380C8B" w:rsidRPr="00D272CC">
              <w:rPr>
                <w:b/>
                <w:lang w:val="en-GB"/>
              </w:rPr>
              <w:t>p</w:t>
            </w:r>
            <w:r w:rsidRPr="00D272CC">
              <w:rPr>
                <w:b/>
                <w:lang w:val="en-GB"/>
              </w:rPr>
              <w:t xml:space="preserve">olicy </w:t>
            </w:r>
            <w:r w:rsidR="00380C8B" w:rsidRPr="00D272CC">
              <w:rPr>
                <w:b/>
                <w:lang w:val="en-GB"/>
              </w:rPr>
              <w:t>o</w:t>
            </w:r>
            <w:r w:rsidRPr="00D272CC">
              <w:rPr>
                <w:b/>
                <w:lang w:val="en-GB"/>
              </w:rPr>
              <w:t>ptions</w:t>
            </w:r>
          </w:p>
        </w:tc>
        <w:tc>
          <w:tcPr>
            <w:tcW w:w="1984" w:type="dxa"/>
            <w:tcBorders>
              <w:top w:val="single" w:sz="4" w:space="0" w:color="000000"/>
              <w:bottom w:val="single" w:sz="4" w:space="0" w:color="000000"/>
            </w:tcBorders>
            <w:tcMar>
              <w:left w:w="108" w:type="dxa"/>
              <w:right w:w="108" w:type="dxa"/>
            </w:tcMar>
          </w:tcPr>
          <w:p w14:paraId="241311FF" w14:textId="77777777" w:rsidR="008177B1" w:rsidRPr="00D272CC" w:rsidRDefault="008177B1" w:rsidP="0038105A">
            <w:pPr>
              <w:pStyle w:val="Table"/>
              <w:rPr>
                <w:b/>
                <w:lang w:val="en-GB"/>
              </w:rPr>
            </w:pPr>
            <w:r w:rsidRPr="00D272CC">
              <w:rPr>
                <w:b/>
                <w:lang w:val="en-GB"/>
              </w:rPr>
              <w:t>Standard</w:t>
            </w:r>
            <w:r w:rsidRPr="00D272CC">
              <w:rPr>
                <w:b/>
                <w:vertAlign w:val="superscript"/>
                <w:lang w:val="en-GB"/>
              </w:rPr>
              <w:t>b</w:t>
            </w:r>
          </w:p>
        </w:tc>
      </w:tr>
      <w:tr w:rsidR="008177B1" w:rsidRPr="00D272CC" w14:paraId="757FABFF" w14:textId="77777777" w:rsidTr="0038105A">
        <w:tc>
          <w:tcPr>
            <w:tcW w:w="709" w:type="dxa"/>
            <w:tcBorders>
              <w:top w:val="single" w:sz="4" w:space="0" w:color="000000"/>
            </w:tcBorders>
            <w:tcMar>
              <w:left w:w="108" w:type="dxa"/>
              <w:right w:w="108" w:type="dxa"/>
            </w:tcMar>
          </w:tcPr>
          <w:p w14:paraId="21C01A7A" w14:textId="77777777" w:rsidR="008177B1" w:rsidRPr="00D272CC" w:rsidRDefault="008177B1" w:rsidP="0038105A">
            <w:pPr>
              <w:pStyle w:val="Table"/>
              <w:spacing w:before="60" w:after="60"/>
              <w:jc w:val="center"/>
              <w:rPr>
                <w:rFonts w:eastAsia="Times New Roman"/>
                <w:b/>
                <w:lang w:val="en-GB"/>
              </w:rPr>
            </w:pPr>
            <w:r w:rsidRPr="00D272CC">
              <w:rPr>
                <w:lang w:val="en-GB"/>
              </w:rPr>
              <w:t>1</w:t>
            </w:r>
            <w:r w:rsidRPr="00D272CC">
              <w:rPr>
                <w:vertAlign w:val="superscript"/>
                <w:lang w:val="en-GB"/>
              </w:rPr>
              <w:t>a</w:t>
            </w:r>
          </w:p>
        </w:tc>
        <w:tc>
          <w:tcPr>
            <w:tcW w:w="6379" w:type="dxa"/>
            <w:tcBorders>
              <w:top w:val="single" w:sz="4" w:space="0" w:color="000000"/>
            </w:tcBorders>
            <w:tcMar>
              <w:left w:w="108" w:type="dxa"/>
              <w:right w:w="108" w:type="dxa"/>
            </w:tcMar>
          </w:tcPr>
          <w:p w14:paraId="61C47091" w14:textId="77777777" w:rsidR="008177B1" w:rsidRPr="00D272CC" w:rsidRDefault="008177B1" w:rsidP="0038105A">
            <w:pPr>
              <w:pStyle w:val="Table"/>
              <w:spacing w:before="60" w:after="60"/>
              <w:rPr>
                <w:lang w:val="en-GB"/>
              </w:rPr>
            </w:pPr>
            <w:r w:rsidRPr="00D272CC">
              <w:rPr>
                <w:lang w:val="en-GB"/>
              </w:rPr>
              <w:t>(a) income statement by function</w:t>
            </w:r>
            <w:r w:rsidRPr="00D272CC">
              <w:rPr>
                <w:lang w:val="en-GB"/>
              </w:rPr>
              <w:br/>
              <w:t>(b) by nature</w:t>
            </w:r>
            <w:r w:rsidRPr="00D272CC">
              <w:rPr>
                <w:lang w:val="en-GB"/>
              </w:rPr>
              <w:br/>
              <w:t>(c) neither</w:t>
            </w:r>
          </w:p>
        </w:tc>
        <w:tc>
          <w:tcPr>
            <w:tcW w:w="1984" w:type="dxa"/>
            <w:tcBorders>
              <w:top w:val="single" w:sz="4" w:space="0" w:color="000000"/>
            </w:tcBorders>
            <w:tcMar>
              <w:left w:w="108" w:type="dxa"/>
              <w:right w:w="108" w:type="dxa"/>
            </w:tcMar>
          </w:tcPr>
          <w:p w14:paraId="481F57FF" w14:textId="77777777" w:rsidR="008177B1" w:rsidRPr="00D272CC" w:rsidRDefault="008177B1" w:rsidP="0038105A">
            <w:pPr>
              <w:pStyle w:val="Table"/>
              <w:spacing w:before="60" w:after="60"/>
              <w:rPr>
                <w:lang w:val="en-GB"/>
              </w:rPr>
            </w:pPr>
            <w:r w:rsidRPr="00D272CC">
              <w:rPr>
                <w:lang w:val="en-GB"/>
              </w:rPr>
              <w:t>IAS 1.99</w:t>
            </w:r>
          </w:p>
        </w:tc>
      </w:tr>
      <w:tr w:rsidR="008177B1" w:rsidRPr="00D272CC" w14:paraId="2479B0C6" w14:textId="77777777" w:rsidTr="0038105A">
        <w:tc>
          <w:tcPr>
            <w:tcW w:w="709" w:type="dxa"/>
            <w:tcMar>
              <w:left w:w="108" w:type="dxa"/>
              <w:right w:w="108" w:type="dxa"/>
            </w:tcMar>
          </w:tcPr>
          <w:p w14:paraId="3DF65816" w14:textId="77777777" w:rsidR="008177B1" w:rsidRPr="00D272CC" w:rsidRDefault="008177B1" w:rsidP="0038105A">
            <w:pPr>
              <w:pStyle w:val="Table"/>
              <w:spacing w:before="60" w:after="60"/>
              <w:jc w:val="center"/>
              <w:rPr>
                <w:rFonts w:eastAsia="Times New Roman"/>
                <w:b/>
                <w:lang w:val="en-GB"/>
              </w:rPr>
            </w:pPr>
            <w:r w:rsidRPr="00D272CC">
              <w:rPr>
                <w:lang w:val="en-GB"/>
              </w:rPr>
              <w:t>2</w:t>
            </w:r>
          </w:p>
        </w:tc>
        <w:tc>
          <w:tcPr>
            <w:tcW w:w="6379" w:type="dxa"/>
            <w:tcMar>
              <w:left w:w="108" w:type="dxa"/>
              <w:right w:w="108" w:type="dxa"/>
            </w:tcMar>
          </w:tcPr>
          <w:p w14:paraId="2E9E26F9" w14:textId="77777777" w:rsidR="008177B1" w:rsidRPr="00D272CC" w:rsidRDefault="008177B1" w:rsidP="0038105A">
            <w:pPr>
              <w:pStyle w:val="Table"/>
              <w:spacing w:before="60" w:after="60"/>
              <w:rPr>
                <w:lang w:val="en-GB"/>
              </w:rPr>
            </w:pPr>
            <w:r w:rsidRPr="00D272CC">
              <w:rPr>
                <w:lang w:val="en-GB"/>
              </w:rPr>
              <w:t>(a) inclusion of a line for EBIT or operating profit</w:t>
            </w:r>
            <w:r w:rsidRPr="00D272CC">
              <w:rPr>
                <w:lang w:val="en-GB"/>
              </w:rPr>
              <w:br/>
              <w:t>(b) no line included</w:t>
            </w:r>
          </w:p>
        </w:tc>
        <w:tc>
          <w:tcPr>
            <w:tcW w:w="1984" w:type="dxa"/>
            <w:tcMar>
              <w:left w:w="108" w:type="dxa"/>
              <w:right w:w="108" w:type="dxa"/>
            </w:tcMar>
          </w:tcPr>
          <w:p w14:paraId="0449F647" w14:textId="77777777" w:rsidR="008177B1" w:rsidRPr="00D272CC" w:rsidRDefault="008177B1" w:rsidP="0038105A">
            <w:pPr>
              <w:pStyle w:val="Table"/>
              <w:spacing w:before="60" w:after="60"/>
              <w:rPr>
                <w:lang w:val="en-GB"/>
              </w:rPr>
            </w:pPr>
            <w:r w:rsidRPr="00D272CC">
              <w:rPr>
                <w:lang w:val="en-GB"/>
              </w:rPr>
              <w:t>IAS 1.82</w:t>
            </w:r>
          </w:p>
        </w:tc>
      </w:tr>
      <w:tr w:rsidR="008177B1" w:rsidRPr="00D272CC" w14:paraId="151074C4" w14:textId="77777777" w:rsidTr="0038105A">
        <w:tc>
          <w:tcPr>
            <w:tcW w:w="709" w:type="dxa"/>
            <w:tcMar>
              <w:left w:w="108" w:type="dxa"/>
              <w:right w:w="108" w:type="dxa"/>
            </w:tcMar>
          </w:tcPr>
          <w:p w14:paraId="6B7F717F" w14:textId="77777777" w:rsidR="008177B1" w:rsidRPr="00D272CC" w:rsidRDefault="008177B1" w:rsidP="0038105A">
            <w:pPr>
              <w:pStyle w:val="Table"/>
              <w:spacing w:before="60" w:after="60"/>
              <w:jc w:val="center"/>
              <w:rPr>
                <w:lang w:val="en-GB"/>
              </w:rPr>
            </w:pPr>
            <w:r w:rsidRPr="00D272CC">
              <w:rPr>
                <w:lang w:val="en-GB"/>
              </w:rPr>
              <w:t>3</w:t>
            </w:r>
          </w:p>
        </w:tc>
        <w:tc>
          <w:tcPr>
            <w:tcW w:w="6379" w:type="dxa"/>
            <w:tcMar>
              <w:left w:w="108" w:type="dxa"/>
              <w:right w:w="108" w:type="dxa"/>
            </w:tcMar>
          </w:tcPr>
          <w:p w14:paraId="1331FF9D" w14:textId="77777777" w:rsidR="008177B1" w:rsidRPr="00D272CC" w:rsidRDefault="008177B1" w:rsidP="0038105A">
            <w:pPr>
              <w:pStyle w:val="Table"/>
              <w:spacing w:before="60" w:after="60"/>
              <w:rPr>
                <w:lang w:val="en-GB"/>
              </w:rPr>
            </w:pPr>
            <w:r w:rsidRPr="00D272CC">
              <w:rPr>
                <w:lang w:val="en-GB"/>
              </w:rPr>
              <w:t>(a) equity accounting results included in ‘operating’</w:t>
            </w:r>
            <w:r w:rsidRPr="00D272CC">
              <w:rPr>
                <w:lang w:val="en-GB"/>
              </w:rPr>
              <w:br/>
              <w:t>(b) immediately after</w:t>
            </w:r>
            <w:r w:rsidRPr="00D272CC">
              <w:rPr>
                <w:lang w:val="en-GB"/>
              </w:rPr>
              <w:br/>
              <w:t>(c) after ‘finance’</w:t>
            </w:r>
          </w:p>
        </w:tc>
        <w:tc>
          <w:tcPr>
            <w:tcW w:w="1984" w:type="dxa"/>
            <w:tcMar>
              <w:left w:w="108" w:type="dxa"/>
              <w:right w:w="108" w:type="dxa"/>
            </w:tcMar>
          </w:tcPr>
          <w:p w14:paraId="0027E1DC" w14:textId="77777777" w:rsidR="008177B1" w:rsidRPr="00D272CC" w:rsidRDefault="008177B1" w:rsidP="0038105A">
            <w:pPr>
              <w:pStyle w:val="Table"/>
              <w:spacing w:before="60" w:after="60"/>
              <w:rPr>
                <w:lang w:val="en-GB"/>
              </w:rPr>
            </w:pPr>
            <w:r w:rsidRPr="00D272CC">
              <w:rPr>
                <w:lang w:val="en-GB"/>
              </w:rPr>
              <w:t>IAS 1.82</w:t>
            </w:r>
            <w:r w:rsidRPr="00D272CC">
              <w:rPr>
                <w:vertAlign w:val="superscript"/>
                <w:lang w:val="en-GB"/>
              </w:rPr>
              <w:t>c</w:t>
            </w:r>
          </w:p>
        </w:tc>
      </w:tr>
      <w:tr w:rsidR="008177B1" w:rsidRPr="00D272CC" w14:paraId="1B63EC83" w14:textId="77777777" w:rsidTr="0038105A">
        <w:tc>
          <w:tcPr>
            <w:tcW w:w="709" w:type="dxa"/>
            <w:tcMar>
              <w:left w:w="108" w:type="dxa"/>
              <w:right w:w="108" w:type="dxa"/>
            </w:tcMar>
          </w:tcPr>
          <w:p w14:paraId="335C2D64" w14:textId="77777777" w:rsidR="008177B1" w:rsidRPr="00D272CC" w:rsidRDefault="008177B1" w:rsidP="0038105A">
            <w:pPr>
              <w:pStyle w:val="Table"/>
              <w:spacing w:before="60" w:after="60"/>
              <w:jc w:val="center"/>
              <w:rPr>
                <w:lang w:val="en-GB"/>
              </w:rPr>
            </w:pPr>
            <w:r w:rsidRPr="00D272CC">
              <w:rPr>
                <w:lang w:val="en-GB"/>
              </w:rPr>
              <w:t>4</w:t>
            </w:r>
          </w:p>
        </w:tc>
        <w:tc>
          <w:tcPr>
            <w:tcW w:w="6379" w:type="dxa"/>
            <w:tcMar>
              <w:left w:w="108" w:type="dxa"/>
              <w:right w:w="108" w:type="dxa"/>
            </w:tcMar>
          </w:tcPr>
          <w:p w14:paraId="72462149" w14:textId="77777777" w:rsidR="008177B1" w:rsidRPr="00D272CC" w:rsidRDefault="008177B1" w:rsidP="0038105A">
            <w:pPr>
              <w:pStyle w:val="Table"/>
              <w:spacing w:before="60" w:after="60"/>
              <w:rPr>
                <w:lang w:val="en-GB"/>
              </w:rPr>
            </w:pPr>
            <w:r w:rsidRPr="00D272CC">
              <w:rPr>
                <w:lang w:val="en-GB"/>
              </w:rPr>
              <w:t>(a) balance sheet showing net assets</w:t>
            </w:r>
            <w:r w:rsidRPr="00D272CC">
              <w:rPr>
                <w:lang w:val="en-GB"/>
              </w:rPr>
              <w:br/>
              <w:t>(b) showing assets = credits</w:t>
            </w:r>
          </w:p>
        </w:tc>
        <w:tc>
          <w:tcPr>
            <w:tcW w:w="1984" w:type="dxa"/>
            <w:tcMar>
              <w:left w:w="108" w:type="dxa"/>
              <w:right w:w="108" w:type="dxa"/>
            </w:tcMar>
          </w:tcPr>
          <w:p w14:paraId="0777D646" w14:textId="77777777" w:rsidR="008177B1" w:rsidRPr="00D272CC" w:rsidRDefault="008177B1" w:rsidP="0038105A">
            <w:pPr>
              <w:pStyle w:val="Table"/>
              <w:spacing w:before="60" w:after="60"/>
              <w:rPr>
                <w:lang w:val="en-GB"/>
              </w:rPr>
            </w:pPr>
            <w:r w:rsidRPr="00D272CC">
              <w:rPr>
                <w:lang w:val="en-GB"/>
              </w:rPr>
              <w:t>IAS 1.54</w:t>
            </w:r>
            <w:r w:rsidRPr="00D272CC">
              <w:rPr>
                <w:vertAlign w:val="superscript"/>
                <w:lang w:val="en-GB"/>
              </w:rPr>
              <w:t>c</w:t>
            </w:r>
          </w:p>
        </w:tc>
      </w:tr>
      <w:tr w:rsidR="008177B1" w:rsidRPr="00D272CC" w14:paraId="6EEEC64B" w14:textId="77777777" w:rsidTr="0038105A">
        <w:tc>
          <w:tcPr>
            <w:tcW w:w="709" w:type="dxa"/>
            <w:tcMar>
              <w:left w:w="108" w:type="dxa"/>
              <w:right w:w="108" w:type="dxa"/>
            </w:tcMar>
          </w:tcPr>
          <w:p w14:paraId="63751017" w14:textId="77777777" w:rsidR="008177B1" w:rsidRPr="00D272CC" w:rsidRDefault="008177B1" w:rsidP="0038105A">
            <w:pPr>
              <w:pStyle w:val="Table"/>
              <w:spacing w:before="60" w:after="60"/>
              <w:jc w:val="center"/>
              <w:rPr>
                <w:lang w:val="en-GB"/>
              </w:rPr>
            </w:pPr>
            <w:r w:rsidRPr="00D272CC">
              <w:rPr>
                <w:lang w:val="en-GB"/>
              </w:rPr>
              <w:t>5</w:t>
            </w:r>
          </w:p>
        </w:tc>
        <w:tc>
          <w:tcPr>
            <w:tcW w:w="6379" w:type="dxa"/>
            <w:tcMar>
              <w:left w:w="108" w:type="dxa"/>
              <w:right w:w="108" w:type="dxa"/>
            </w:tcMar>
          </w:tcPr>
          <w:p w14:paraId="1CF72C88" w14:textId="77777777" w:rsidR="008177B1" w:rsidRPr="00D272CC" w:rsidRDefault="008177B1" w:rsidP="0038105A">
            <w:pPr>
              <w:pStyle w:val="Table"/>
              <w:spacing w:before="60" w:after="60"/>
              <w:rPr>
                <w:lang w:val="en-GB"/>
              </w:rPr>
            </w:pPr>
            <w:r w:rsidRPr="00D272CC">
              <w:rPr>
                <w:lang w:val="en-GB"/>
              </w:rPr>
              <w:t>(a) balance sheet with liquidity decreasing (cash at top)</w:t>
            </w:r>
            <w:r w:rsidRPr="00D272CC">
              <w:rPr>
                <w:lang w:val="en-GB"/>
              </w:rPr>
              <w:br/>
              <w:t>(b) liquidity increasing</w:t>
            </w:r>
          </w:p>
        </w:tc>
        <w:tc>
          <w:tcPr>
            <w:tcW w:w="1984" w:type="dxa"/>
            <w:tcMar>
              <w:left w:w="108" w:type="dxa"/>
              <w:right w:w="108" w:type="dxa"/>
            </w:tcMar>
          </w:tcPr>
          <w:p w14:paraId="51741FA4" w14:textId="77777777" w:rsidR="008177B1" w:rsidRPr="00D272CC" w:rsidRDefault="008177B1" w:rsidP="0038105A">
            <w:pPr>
              <w:pStyle w:val="Table"/>
              <w:spacing w:before="60" w:after="60"/>
              <w:rPr>
                <w:lang w:val="en-GB"/>
              </w:rPr>
            </w:pPr>
            <w:r w:rsidRPr="00D272CC">
              <w:rPr>
                <w:lang w:val="en-GB"/>
              </w:rPr>
              <w:t>IAS 1.54</w:t>
            </w:r>
            <w:r w:rsidRPr="00D272CC">
              <w:rPr>
                <w:vertAlign w:val="superscript"/>
                <w:lang w:val="en-GB"/>
              </w:rPr>
              <w:t>c</w:t>
            </w:r>
          </w:p>
        </w:tc>
      </w:tr>
      <w:tr w:rsidR="008177B1" w:rsidRPr="00D272CC" w14:paraId="710FDE94" w14:textId="77777777" w:rsidTr="0038105A">
        <w:tc>
          <w:tcPr>
            <w:tcW w:w="709" w:type="dxa"/>
            <w:tcMar>
              <w:left w:w="108" w:type="dxa"/>
              <w:right w:w="108" w:type="dxa"/>
            </w:tcMar>
          </w:tcPr>
          <w:p w14:paraId="593A24C7" w14:textId="77777777" w:rsidR="008177B1" w:rsidRPr="00D272CC" w:rsidRDefault="008177B1" w:rsidP="0038105A">
            <w:pPr>
              <w:pStyle w:val="Table"/>
              <w:spacing w:before="60" w:after="60"/>
              <w:jc w:val="center"/>
              <w:rPr>
                <w:lang w:val="en-GB"/>
              </w:rPr>
            </w:pPr>
            <w:r w:rsidRPr="00D272CC">
              <w:rPr>
                <w:lang w:val="en-GB"/>
              </w:rPr>
              <w:t>6</w:t>
            </w:r>
          </w:p>
        </w:tc>
        <w:tc>
          <w:tcPr>
            <w:tcW w:w="6379" w:type="dxa"/>
            <w:tcMar>
              <w:left w:w="108" w:type="dxa"/>
              <w:right w:w="108" w:type="dxa"/>
            </w:tcMar>
          </w:tcPr>
          <w:p w14:paraId="26A1D81C" w14:textId="77777777" w:rsidR="008177B1" w:rsidRPr="00D272CC" w:rsidRDefault="008177B1" w:rsidP="0038105A">
            <w:pPr>
              <w:pStyle w:val="Table"/>
              <w:spacing w:before="60" w:after="60"/>
              <w:rPr>
                <w:lang w:val="en-GB"/>
              </w:rPr>
            </w:pPr>
            <w:r w:rsidRPr="00D272CC">
              <w:rPr>
                <w:lang w:val="en-GB"/>
              </w:rPr>
              <w:t>(a) OCI, excluding shareholder transactions</w:t>
            </w:r>
            <w:r w:rsidRPr="00D272CC">
              <w:rPr>
                <w:lang w:val="en-GB"/>
              </w:rPr>
              <w:br/>
              <w:t>(b) statement of changes in equity</w:t>
            </w:r>
            <w:r w:rsidRPr="00D272CC">
              <w:rPr>
                <w:lang w:val="en-GB"/>
              </w:rPr>
              <w:br/>
              <w:t>(a+b) both</w:t>
            </w:r>
          </w:p>
        </w:tc>
        <w:tc>
          <w:tcPr>
            <w:tcW w:w="1984" w:type="dxa"/>
            <w:tcMar>
              <w:left w:w="108" w:type="dxa"/>
              <w:right w:w="108" w:type="dxa"/>
            </w:tcMar>
          </w:tcPr>
          <w:p w14:paraId="29EC80A4" w14:textId="77777777" w:rsidR="008177B1" w:rsidRPr="00D272CC" w:rsidRDefault="008177B1" w:rsidP="0038105A">
            <w:pPr>
              <w:pStyle w:val="Table"/>
              <w:spacing w:before="60" w:after="60"/>
              <w:rPr>
                <w:lang w:val="en-GB"/>
              </w:rPr>
            </w:pPr>
            <w:r w:rsidRPr="00D272CC">
              <w:rPr>
                <w:lang w:val="en-GB"/>
              </w:rPr>
              <w:t>IAS 1.10</w:t>
            </w:r>
            <w:r w:rsidRPr="00D272CC">
              <w:rPr>
                <w:vertAlign w:val="superscript"/>
                <w:lang w:val="en-GB"/>
              </w:rPr>
              <w:t>d</w:t>
            </w:r>
          </w:p>
        </w:tc>
      </w:tr>
      <w:tr w:rsidR="008177B1" w:rsidRPr="00D272CC" w14:paraId="21549CFF" w14:textId="77777777" w:rsidTr="0038105A">
        <w:tc>
          <w:tcPr>
            <w:tcW w:w="709" w:type="dxa"/>
            <w:tcMar>
              <w:left w:w="108" w:type="dxa"/>
              <w:right w:w="108" w:type="dxa"/>
            </w:tcMar>
          </w:tcPr>
          <w:p w14:paraId="08DACD27" w14:textId="77777777" w:rsidR="008177B1" w:rsidRPr="00D272CC" w:rsidRDefault="008177B1" w:rsidP="0038105A">
            <w:pPr>
              <w:pStyle w:val="Table"/>
              <w:spacing w:before="60" w:after="60"/>
              <w:jc w:val="center"/>
              <w:rPr>
                <w:lang w:val="en-GB"/>
              </w:rPr>
            </w:pPr>
            <w:r w:rsidRPr="00D272CC">
              <w:rPr>
                <w:lang w:val="en-GB"/>
              </w:rPr>
              <w:t>7</w:t>
            </w:r>
          </w:p>
        </w:tc>
        <w:tc>
          <w:tcPr>
            <w:tcW w:w="6379" w:type="dxa"/>
            <w:tcMar>
              <w:left w:w="108" w:type="dxa"/>
              <w:right w:w="108" w:type="dxa"/>
            </w:tcMar>
          </w:tcPr>
          <w:p w14:paraId="4CFD0E89" w14:textId="77777777" w:rsidR="008177B1" w:rsidRPr="00D272CC" w:rsidRDefault="008177B1" w:rsidP="0038105A">
            <w:pPr>
              <w:pStyle w:val="Table"/>
              <w:spacing w:before="60" w:after="60"/>
              <w:rPr>
                <w:lang w:val="en-GB"/>
              </w:rPr>
            </w:pPr>
            <w:r w:rsidRPr="00D272CC">
              <w:rPr>
                <w:lang w:val="en-GB"/>
              </w:rPr>
              <w:t>(a) indirect operating cash flows</w:t>
            </w:r>
            <w:r w:rsidRPr="00D272CC">
              <w:rPr>
                <w:lang w:val="en-GB"/>
              </w:rPr>
              <w:br/>
              <w:t>(b) direct</w:t>
            </w:r>
          </w:p>
        </w:tc>
        <w:tc>
          <w:tcPr>
            <w:tcW w:w="1984" w:type="dxa"/>
            <w:tcMar>
              <w:left w:w="108" w:type="dxa"/>
              <w:right w:w="108" w:type="dxa"/>
            </w:tcMar>
          </w:tcPr>
          <w:p w14:paraId="23236E8B" w14:textId="77777777" w:rsidR="008177B1" w:rsidRPr="00D272CC" w:rsidRDefault="008177B1" w:rsidP="0038105A">
            <w:pPr>
              <w:pStyle w:val="Table"/>
              <w:spacing w:before="60" w:after="60"/>
              <w:rPr>
                <w:lang w:val="en-GB"/>
              </w:rPr>
            </w:pPr>
            <w:r w:rsidRPr="00D272CC">
              <w:rPr>
                <w:lang w:val="en-GB"/>
              </w:rPr>
              <w:t>IAS 7.18</w:t>
            </w:r>
          </w:p>
        </w:tc>
      </w:tr>
      <w:tr w:rsidR="008177B1" w:rsidRPr="00D272CC" w14:paraId="20BAA0C0" w14:textId="77777777" w:rsidTr="0038105A">
        <w:tc>
          <w:tcPr>
            <w:tcW w:w="709" w:type="dxa"/>
            <w:tcMar>
              <w:left w:w="108" w:type="dxa"/>
              <w:right w:w="108" w:type="dxa"/>
            </w:tcMar>
          </w:tcPr>
          <w:p w14:paraId="46179597" w14:textId="77777777" w:rsidR="008177B1" w:rsidRPr="00D272CC" w:rsidRDefault="008177B1" w:rsidP="0038105A">
            <w:pPr>
              <w:pStyle w:val="Table"/>
              <w:spacing w:before="60" w:after="60"/>
              <w:jc w:val="center"/>
              <w:rPr>
                <w:lang w:val="en-GB"/>
              </w:rPr>
            </w:pPr>
            <w:r w:rsidRPr="00D272CC">
              <w:rPr>
                <w:lang w:val="en-GB"/>
              </w:rPr>
              <w:t>8</w:t>
            </w:r>
          </w:p>
        </w:tc>
        <w:tc>
          <w:tcPr>
            <w:tcW w:w="6379" w:type="dxa"/>
            <w:tcMar>
              <w:left w:w="108" w:type="dxa"/>
              <w:right w:w="108" w:type="dxa"/>
            </w:tcMar>
          </w:tcPr>
          <w:p w14:paraId="11D2891E" w14:textId="77777777" w:rsidR="008177B1" w:rsidRPr="00D272CC" w:rsidRDefault="008177B1" w:rsidP="0038105A">
            <w:pPr>
              <w:pStyle w:val="Table"/>
              <w:spacing w:before="60" w:after="60"/>
              <w:rPr>
                <w:lang w:val="en-GB"/>
              </w:rPr>
            </w:pPr>
            <w:r w:rsidRPr="00D272CC">
              <w:rPr>
                <w:lang w:val="en-GB"/>
              </w:rPr>
              <w:t>(a) dividends received shown as operating cash flow</w:t>
            </w:r>
            <w:r w:rsidRPr="00D272CC">
              <w:rPr>
                <w:lang w:val="en-GB"/>
              </w:rPr>
              <w:br/>
              <w:t>(b) not</w:t>
            </w:r>
          </w:p>
        </w:tc>
        <w:tc>
          <w:tcPr>
            <w:tcW w:w="1984" w:type="dxa"/>
            <w:tcMar>
              <w:left w:w="108" w:type="dxa"/>
              <w:right w:w="108" w:type="dxa"/>
            </w:tcMar>
          </w:tcPr>
          <w:p w14:paraId="54E2ED68" w14:textId="77777777" w:rsidR="008177B1" w:rsidRPr="00D272CC" w:rsidRDefault="008177B1" w:rsidP="0038105A">
            <w:pPr>
              <w:pStyle w:val="Table"/>
              <w:spacing w:before="60" w:after="60"/>
              <w:rPr>
                <w:lang w:val="en-GB"/>
              </w:rPr>
            </w:pPr>
            <w:r w:rsidRPr="00D272CC">
              <w:rPr>
                <w:lang w:val="en-GB"/>
              </w:rPr>
              <w:t>IAS 7.31</w:t>
            </w:r>
          </w:p>
        </w:tc>
      </w:tr>
      <w:tr w:rsidR="008177B1" w:rsidRPr="00D272CC" w14:paraId="0744B67A" w14:textId="77777777" w:rsidTr="0038105A">
        <w:tc>
          <w:tcPr>
            <w:tcW w:w="709" w:type="dxa"/>
            <w:tcMar>
              <w:left w:w="108" w:type="dxa"/>
              <w:right w:w="108" w:type="dxa"/>
            </w:tcMar>
          </w:tcPr>
          <w:p w14:paraId="32B5A3CB" w14:textId="77777777" w:rsidR="008177B1" w:rsidRPr="00D272CC" w:rsidRDefault="008177B1" w:rsidP="0038105A">
            <w:pPr>
              <w:pStyle w:val="Table"/>
              <w:spacing w:before="60" w:after="60"/>
              <w:jc w:val="center"/>
              <w:rPr>
                <w:lang w:val="en-GB"/>
              </w:rPr>
            </w:pPr>
            <w:r w:rsidRPr="00D272CC">
              <w:rPr>
                <w:lang w:val="en-GB"/>
              </w:rPr>
              <w:t>9</w:t>
            </w:r>
          </w:p>
        </w:tc>
        <w:tc>
          <w:tcPr>
            <w:tcW w:w="6379" w:type="dxa"/>
            <w:tcMar>
              <w:left w:w="108" w:type="dxa"/>
              <w:right w:w="108" w:type="dxa"/>
            </w:tcMar>
          </w:tcPr>
          <w:p w14:paraId="7D596581" w14:textId="77777777" w:rsidR="008177B1" w:rsidRPr="00D272CC" w:rsidRDefault="008177B1" w:rsidP="0038105A">
            <w:pPr>
              <w:pStyle w:val="Table"/>
              <w:spacing w:before="60" w:after="60"/>
              <w:rPr>
                <w:lang w:val="en-GB"/>
              </w:rPr>
            </w:pPr>
            <w:r w:rsidRPr="00D272CC">
              <w:rPr>
                <w:lang w:val="en-GB"/>
              </w:rPr>
              <w:t>(a) interest paid shown as operating cash flow</w:t>
            </w:r>
            <w:r w:rsidRPr="00D272CC">
              <w:rPr>
                <w:lang w:val="en-GB"/>
              </w:rPr>
              <w:br/>
              <w:t>(b) not</w:t>
            </w:r>
          </w:p>
        </w:tc>
        <w:tc>
          <w:tcPr>
            <w:tcW w:w="1984" w:type="dxa"/>
            <w:tcMar>
              <w:left w:w="108" w:type="dxa"/>
              <w:right w:w="108" w:type="dxa"/>
            </w:tcMar>
          </w:tcPr>
          <w:p w14:paraId="6997FFFF" w14:textId="77777777" w:rsidR="008177B1" w:rsidRPr="00D272CC" w:rsidRDefault="008177B1" w:rsidP="0038105A">
            <w:pPr>
              <w:pStyle w:val="Table"/>
              <w:spacing w:before="60" w:after="60"/>
              <w:rPr>
                <w:lang w:val="en-GB"/>
              </w:rPr>
            </w:pPr>
            <w:r w:rsidRPr="00D272CC">
              <w:rPr>
                <w:lang w:val="en-GB"/>
              </w:rPr>
              <w:t>IAS 7.31</w:t>
            </w:r>
          </w:p>
        </w:tc>
      </w:tr>
      <w:tr w:rsidR="008177B1" w:rsidRPr="00D272CC" w14:paraId="590571EE" w14:textId="77777777" w:rsidTr="0038105A">
        <w:tc>
          <w:tcPr>
            <w:tcW w:w="709" w:type="dxa"/>
            <w:tcMar>
              <w:left w:w="108" w:type="dxa"/>
              <w:right w:w="108" w:type="dxa"/>
            </w:tcMar>
          </w:tcPr>
          <w:p w14:paraId="72191BD1" w14:textId="77777777" w:rsidR="008177B1" w:rsidRPr="00D272CC" w:rsidRDefault="008177B1" w:rsidP="0038105A">
            <w:pPr>
              <w:pStyle w:val="Table"/>
              <w:spacing w:before="60" w:after="60"/>
              <w:jc w:val="center"/>
              <w:rPr>
                <w:lang w:val="en-GB"/>
              </w:rPr>
            </w:pPr>
            <w:r w:rsidRPr="00D272CC">
              <w:rPr>
                <w:lang w:val="en-GB"/>
              </w:rPr>
              <w:t>10</w:t>
            </w:r>
          </w:p>
        </w:tc>
        <w:tc>
          <w:tcPr>
            <w:tcW w:w="6379" w:type="dxa"/>
            <w:tcMar>
              <w:left w:w="108" w:type="dxa"/>
              <w:right w:w="108" w:type="dxa"/>
            </w:tcMar>
          </w:tcPr>
          <w:p w14:paraId="484D154A" w14:textId="77777777" w:rsidR="008177B1" w:rsidRPr="00D272CC" w:rsidRDefault="008177B1" w:rsidP="0038105A">
            <w:pPr>
              <w:pStyle w:val="Table"/>
              <w:spacing w:before="60" w:after="60"/>
              <w:rPr>
                <w:lang w:val="en-GB"/>
              </w:rPr>
            </w:pPr>
            <w:r w:rsidRPr="00D272CC">
              <w:rPr>
                <w:lang w:val="en-GB"/>
              </w:rPr>
              <w:t>(a) some property at fair value</w:t>
            </w:r>
            <w:r w:rsidRPr="00D272CC">
              <w:rPr>
                <w:lang w:val="en-GB"/>
              </w:rPr>
              <w:br/>
              <w:t>(b) only cost</w:t>
            </w:r>
          </w:p>
        </w:tc>
        <w:tc>
          <w:tcPr>
            <w:tcW w:w="1984" w:type="dxa"/>
            <w:tcMar>
              <w:left w:w="108" w:type="dxa"/>
              <w:right w:w="108" w:type="dxa"/>
            </w:tcMar>
          </w:tcPr>
          <w:p w14:paraId="5036952B" w14:textId="77777777" w:rsidR="008177B1" w:rsidRPr="00D272CC" w:rsidRDefault="008177B1" w:rsidP="0038105A">
            <w:pPr>
              <w:pStyle w:val="Table"/>
              <w:spacing w:before="60" w:after="60"/>
              <w:rPr>
                <w:lang w:val="en-GB"/>
              </w:rPr>
            </w:pPr>
            <w:r w:rsidRPr="00D272CC">
              <w:rPr>
                <w:lang w:val="en-GB"/>
              </w:rPr>
              <w:t>IAS 16.29</w:t>
            </w:r>
          </w:p>
        </w:tc>
      </w:tr>
      <w:tr w:rsidR="008177B1" w:rsidRPr="00D272CC" w14:paraId="3A02BEF9" w14:textId="77777777" w:rsidTr="0038105A">
        <w:tc>
          <w:tcPr>
            <w:tcW w:w="709" w:type="dxa"/>
            <w:tcMar>
              <w:left w:w="108" w:type="dxa"/>
              <w:right w:w="108" w:type="dxa"/>
            </w:tcMar>
          </w:tcPr>
          <w:p w14:paraId="40F09319" w14:textId="77777777" w:rsidR="008177B1" w:rsidRPr="00D272CC" w:rsidRDefault="008177B1" w:rsidP="0038105A">
            <w:pPr>
              <w:pStyle w:val="Table"/>
              <w:spacing w:before="60" w:after="60"/>
              <w:jc w:val="center"/>
              <w:rPr>
                <w:lang w:val="en-GB"/>
              </w:rPr>
            </w:pPr>
            <w:r w:rsidRPr="00D272CC">
              <w:rPr>
                <w:lang w:val="en-GB"/>
              </w:rPr>
              <w:t>11</w:t>
            </w:r>
          </w:p>
        </w:tc>
        <w:tc>
          <w:tcPr>
            <w:tcW w:w="6379" w:type="dxa"/>
            <w:tcMar>
              <w:left w:w="108" w:type="dxa"/>
              <w:right w:w="108" w:type="dxa"/>
            </w:tcMar>
          </w:tcPr>
          <w:p w14:paraId="6848058A" w14:textId="77777777" w:rsidR="008177B1" w:rsidRPr="00D272CC" w:rsidRDefault="008177B1" w:rsidP="0038105A">
            <w:pPr>
              <w:pStyle w:val="Table"/>
              <w:spacing w:before="60" w:after="60"/>
              <w:rPr>
                <w:lang w:val="en-GB"/>
              </w:rPr>
            </w:pPr>
            <w:r w:rsidRPr="00D272CC">
              <w:rPr>
                <w:lang w:val="en-GB"/>
              </w:rPr>
              <w:t>(a) investment property at fair value</w:t>
            </w:r>
            <w:r w:rsidRPr="00D272CC">
              <w:rPr>
                <w:lang w:val="en-GB"/>
              </w:rPr>
              <w:br/>
              <w:t>(b) at cost</w:t>
            </w:r>
          </w:p>
        </w:tc>
        <w:tc>
          <w:tcPr>
            <w:tcW w:w="1984" w:type="dxa"/>
            <w:tcMar>
              <w:left w:w="108" w:type="dxa"/>
              <w:right w:w="108" w:type="dxa"/>
            </w:tcMar>
          </w:tcPr>
          <w:p w14:paraId="2E0968B5" w14:textId="77777777" w:rsidR="008177B1" w:rsidRPr="00D272CC" w:rsidRDefault="008177B1" w:rsidP="0038105A">
            <w:pPr>
              <w:pStyle w:val="Table"/>
              <w:spacing w:before="60" w:after="60"/>
              <w:rPr>
                <w:lang w:val="en-GB"/>
              </w:rPr>
            </w:pPr>
            <w:r w:rsidRPr="00D272CC">
              <w:rPr>
                <w:lang w:val="en-GB"/>
              </w:rPr>
              <w:t>IAS 40.30</w:t>
            </w:r>
          </w:p>
        </w:tc>
      </w:tr>
      <w:tr w:rsidR="008177B1" w:rsidRPr="00D272CC" w14:paraId="6F7B11E0" w14:textId="77777777" w:rsidTr="0038105A">
        <w:tc>
          <w:tcPr>
            <w:tcW w:w="709" w:type="dxa"/>
            <w:tcMar>
              <w:left w:w="108" w:type="dxa"/>
              <w:right w:w="108" w:type="dxa"/>
            </w:tcMar>
          </w:tcPr>
          <w:p w14:paraId="16651A6B" w14:textId="77777777" w:rsidR="008177B1" w:rsidRPr="00D272CC" w:rsidRDefault="008177B1" w:rsidP="0038105A">
            <w:pPr>
              <w:pStyle w:val="Table"/>
              <w:spacing w:before="60" w:after="60"/>
              <w:jc w:val="center"/>
              <w:rPr>
                <w:lang w:val="en-GB"/>
              </w:rPr>
            </w:pPr>
            <w:r w:rsidRPr="00D272CC">
              <w:rPr>
                <w:lang w:val="en-GB"/>
              </w:rPr>
              <w:t>12</w:t>
            </w:r>
          </w:p>
        </w:tc>
        <w:tc>
          <w:tcPr>
            <w:tcW w:w="6379" w:type="dxa"/>
            <w:tcMar>
              <w:left w:w="108" w:type="dxa"/>
              <w:right w:w="108" w:type="dxa"/>
            </w:tcMar>
          </w:tcPr>
          <w:p w14:paraId="3FB34B0B" w14:textId="77777777" w:rsidR="008177B1" w:rsidRPr="00D272CC" w:rsidRDefault="008177B1" w:rsidP="0038105A">
            <w:pPr>
              <w:pStyle w:val="Table"/>
              <w:spacing w:before="60" w:after="60"/>
              <w:rPr>
                <w:lang w:val="en-GB"/>
              </w:rPr>
            </w:pPr>
            <w:r w:rsidRPr="00D272CC">
              <w:rPr>
                <w:lang w:val="en-GB"/>
              </w:rPr>
              <w:t>(a) some designation of financial instruments at fair value</w:t>
            </w:r>
            <w:r w:rsidRPr="00D272CC">
              <w:rPr>
                <w:lang w:val="en-GB"/>
              </w:rPr>
              <w:br/>
              <w:t>(b) none</w:t>
            </w:r>
          </w:p>
        </w:tc>
        <w:tc>
          <w:tcPr>
            <w:tcW w:w="1984" w:type="dxa"/>
            <w:tcMar>
              <w:left w:w="108" w:type="dxa"/>
              <w:right w:w="108" w:type="dxa"/>
            </w:tcMar>
          </w:tcPr>
          <w:p w14:paraId="5C52CC78" w14:textId="77777777" w:rsidR="008177B1" w:rsidRPr="00D272CC" w:rsidRDefault="008177B1" w:rsidP="0038105A">
            <w:pPr>
              <w:pStyle w:val="Table"/>
              <w:spacing w:before="60" w:after="60"/>
              <w:rPr>
                <w:lang w:val="en-GB"/>
              </w:rPr>
            </w:pPr>
            <w:r w:rsidRPr="00D272CC">
              <w:rPr>
                <w:lang w:val="en-GB"/>
              </w:rPr>
              <w:t>IAS 39.9</w:t>
            </w:r>
          </w:p>
        </w:tc>
      </w:tr>
      <w:tr w:rsidR="008177B1" w:rsidRPr="00D272CC" w14:paraId="0C89C423" w14:textId="77777777" w:rsidTr="0038105A">
        <w:tc>
          <w:tcPr>
            <w:tcW w:w="709" w:type="dxa"/>
            <w:tcMar>
              <w:left w:w="108" w:type="dxa"/>
              <w:right w:w="108" w:type="dxa"/>
            </w:tcMar>
          </w:tcPr>
          <w:p w14:paraId="5F69A8FF" w14:textId="77777777" w:rsidR="008177B1" w:rsidRPr="00D272CC" w:rsidRDefault="008177B1" w:rsidP="0038105A">
            <w:pPr>
              <w:pStyle w:val="Table"/>
              <w:spacing w:before="60" w:after="60"/>
              <w:jc w:val="center"/>
              <w:rPr>
                <w:lang w:val="en-GB"/>
              </w:rPr>
            </w:pPr>
            <w:r w:rsidRPr="00D272CC">
              <w:rPr>
                <w:lang w:val="en-GB"/>
              </w:rPr>
              <w:t>13</w:t>
            </w:r>
          </w:p>
        </w:tc>
        <w:tc>
          <w:tcPr>
            <w:tcW w:w="6379" w:type="dxa"/>
            <w:tcMar>
              <w:left w:w="108" w:type="dxa"/>
              <w:right w:w="108" w:type="dxa"/>
            </w:tcMar>
          </w:tcPr>
          <w:p w14:paraId="73852AC1" w14:textId="77777777" w:rsidR="008177B1" w:rsidRPr="00D272CC" w:rsidRDefault="008177B1" w:rsidP="0038105A">
            <w:pPr>
              <w:pStyle w:val="Table"/>
              <w:spacing w:before="60" w:after="60"/>
              <w:rPr>
                <w:lang w:val="en-GB"/>
              </w:rPr>
            </w:pPr>
            <w:r w:rsidRPr="00D272CC">
              <w:rPr>
                <w:lang w:val="en-GB"/>
              </w:rPr>
              <w:t>(a) capitalization of interest on construction</w:t>
            </w:r>
            <w:r w:rsidRPr="00D272CC">
              <w:rPr>
                <w:lang w:val="en-GB"/>
              </w:rPr>
              <w:br/>
              <w:t>(b) expensing</w:t>
            </w:r>
          </w:p>
        </w:tc>
        <w:tc>
          <w:tcPr>
            <w:tcW w:w="1984" w:type="dxa"/>
            <w:tcMar>
              <w:left w:w="108" w:type="dxa"/>
              <w:right w:w="108" w:type="dxa"/>
            </w:tcMar>
          </w:tcPr>
          <w:p w14:paraId="56C63270" w14:textId="77777777" w:rsidR="008177B1" w:rsidRPr="00D272CC" w:rsidRDefault="008177B1" w:rsidP="0038105A">
            <w:pPr>
              <w:pStyle w:val="Table"/>
              <w:spacing w:before="60" w:after="60"/>
              <w:rPr>
                <w:lang w:val="en-GB"/>
              </w:rPr>
            </w:pPr>
            <w:r w:rsidRPr="00D272CC">
              <w:rPr>
                <w:lang w:val="en-GB"/>
              </w:rPr>
              <w:t>IAS 23.7/10</w:t>
            </w:r>
            <w:r w:rsidRPr="00D272CC">
              <w:rPr>
                <w:vertAlign w:val="superscript"/>
                <w:lang w:val="en-GB"/>
              </w:rPr>
              <w:t>d</w:t>
            </w:r>
          </w:p>
        </w:tc>
      </w:tr>
      <w:tr w:rsidR="008177B1" w:rsidRPr="00D272CC" w14:paraId="64206095" w14:textId="77777777" w:rsidTr="0038105A">
        <w:tc>
          <w:tcPr>
            <w:tcW w:w="709" w:type="dxa"/>
            <w:tcMar>
              <w:left w:w="108" w:type="dxa"/>
              <w:right w:w="108" w:type="dxa"/>
            </w:tcMar>
          </w:tcPr>
          <w:p w14:paraId="1C363734" w14:textId="77777777" w:rsidR="008177B1" w:rsidRPr="00D272CC" w:rsidRDefault="008177B1" w:rsidP="0038105A">
            <w:pPr>
              <w:pStyle w:val="Table"/>
              <w:spacing w:before="60" w:after="60"/>
              <w:jc w:val="center"/>
              <w:rPr>
                <w:lang w:val="en-GB"/>
              </w:rPr>
            </w:pPr>
            <w:r w:rsidRPr="00D272CC">
              <w:rPr>
                <w:lang w:val="en-GB"/>
              </w:rPr>
              <w:t>14</w:t>
            </w:r>
            <w:r w:rsidRPr="00D272CC">
              <w:rPr>
                <w:vertAlign w:val="superscript"/>
                <w:lang w:val="en-GB"/>
              </w:rPr>
              <w:t>a</w:t>
            </w:r>
          </w:p>
        </w:tc>
        <w:tc>
          <w:tcPr>
            <w:tcW w:w="6379" w:type="dxa"/>
            <w:tcMar>
              <w:left w:w="108" w:type="dxa"/>
              <w:right w:w="108" w:type="dxa"/>
            </w:tcMar>
          </w:tcPr>
          <w:p w14:paraId="66F07A1D" w14:textId="77777777" w:rsidR="008177B1" w:rsidRPr="00D272CC" w:rsidRDefault="008177B1" w:rsidP="0038105A">
            <w:pPr>
              <w:pStyle w:val="Table"/>
              <w:spacing w:before="60" w:after="60"/>
              <w:rPr>
                <w:lang w:val="en-GB"/>
              </w:rPr>
            </w:pPr>
            <w:r w:rsidRPr="00D272CC">
              <w:rPr>
                <w:lang w:val="en-GB"/>
              </w:rPr>
              <w:t xml:space="preserve">(a) </w:t>
            </w:r>
            <w:r w:rsidR="00C42E63">
              <w:rPr>
                <w:lang w:val="en-GB"/>
              </w:rPr>
              <w:t>First in, first out (</w:t>
            </w:r>
            <w:r w:rsidRPr="00D272CC">
              <w:rPr>
                <w:lang w:val="en-GB"/>
              </w:rPr>
              <w:t>FIFO</w:t>
            </w:r>
            <w:r w:rsidR="00C42E63">
              <w:rPr>
                <w:lang w:val="en-GB"/>
              </w:rPr>
              <w:t>)</w:t>
            </w:r>
            <w:r w:rsidRPr="00D272CC">
              <w:rPr>
                <w:lang w:val="en-GB"/>
              </w:rPr>
              <w:t xml:space="preserve"> for inventory cost</w:t>
            </w:r>
            <w:r w:rsidRPr="00D272CC">
              <w:rPr>
                <w:lang w:val="en-GB"/>
              </w:rPr>
              <w:br/>
              <w:t>(b) weighted average</w:t>
            </w:r>
            <w:r w:rsidRPr="00D272CC">
              <w:rPr>
                <w:lang w:val="en-GB"/>
              </w:rPr>
              <w:br/>
              <w:t>(a+b) both</w:t>
            </w:r>
          </w:p>
        </w:tc>
        <w:tc>
          <w:tcPr>
            <w:tcW w:w="1984" w:type="dxa"/>
            <w:tcMar>
              <w:left w:w="108" w:type="dxa"/>
              <w:right w:w="108" w:type="dxa"/>
            </w:tcMar>
          </w:tcPr>
          <w:p w14:paraId="32899B87" w14:textId="77777777" w:rsidR="008177B1" w:rsidRPr="00D272CC" w:rsidRDefault="008177B1" w:rsidP="0038105A">
            <w:pPr>
              <w:pStyle w:val="Table"/>
              <w:spacing w:before="60" w:after="60"/>
              <w:rPr>
                <w:lang w:val="en-GB"/>
              </w:rPr>
            </w:pPr>
            <w:r w:rsidRPr="00D272CC">
              <w:rPr>
                <w:lang w:val="en-GB"/>
              </w:rPr>
              <w:t>IAS 2.25</w:t>
            </w:r>
          </w:p>
        </w:tc>
      </w:tr>
      <w:tr w:rsidR="008177B1" w:rsidRPr="00D272CC" w14:paraId="6090C3F8" w14:textId="77777777" w:rsidTr="0038105A">
        <w:tc>
          <w:tcPr>
            <w:tcW w:w="709" w:type="dxa"/>
            <w:tcMar>
              <w:left w:w="108" w:type="dxa"/>
              <w:right w:w="108" w:type="dxa"/>
            </w:tcMar>
          </w:tcPr>
          <w:p w14:paraId="49262C77" w14:textId="77777777" w:rsidR="008177B1" w:rsidRPr="00D272CC" w:rsidRDefault="008177B1" w:rsidP="0038105A">
            <w:pPr>
              <w:pStyle w:val="Table"/>
              <w:spacing w:before="60" w:after="60"/>
              <w:jc w:val="center"/>
              <w:rPr>
                <w:lang w:val="en-GB"/>
              </w:rPr>
            </w:pPr>
            <w:r w:rsidRPr="00D272CC">
              <w:rPr>
                <w:lang w:val="en-GB"/>
              </w:rPr>
              <w:t>15</w:t>
            </w:r>
          </w:p>
        </w:tc>
        <w:tc>
          <w:tcPr>
            <w:tcW w:w="6379" w:type="dxa"/>
            <w:tcMar>
              <w:left w:w="108" w:type="dxa"/>
              <w:right w:w="108" w:type="dxa"/>
            </w:tcMar>
          </w:tcPr>
          <w:p w14:paraId="5884A021" w14:textId="77777777" w:rsidR="008177B1" w:rsidRPr="00D272CC" w:rsidRDefault="008177B1" w:rsidP="0038105A">
            <w:pPr>
              <w:pStyle w:val="Table"/>
              <w:spacing w:before="60" w:after="60"/>
              <w:rPr>
                <w:lang w:val="en-GB"/>
              </w:rPr>
            </w:pPr>
            <w:r w:rsidRPr="00D272CC">
              <w:rPr>
                <w:lang w:val="en-GB"/>
              </w:rPr>
              <w:t>(a) actuarial gains and losses to OCI</w:t>
            </w:r>
            <w:r w:rsidRPr="00D272CC">
              <w:rPr>
                <w:lang w:val="en-GB"/>
              </w:rPr>
              <w:br/>
              <w:t>(b) corridor method</w:t>
            </w:r>
            <w:r w:rsidRPr="00D272CC">
              <w:rPr>
                <w:lang w:val="en-GB"/>
              </w:rPr>
              <w:br/>
              <w:t>(c) to income in full</w:t>
            </w:r>
          </w:p>
        </w:tc>
        <w:tc>
          <w:tcPr>
            <w:tcW w:w="1984" w:type="dxa"/>
            <w:tcMar>
              <w:left w:w="108" w:type="dxa"/>
              <w:right w:w="108" w:type="dxa"/>
            </w:tcMar>
          </w:tcPr>
          <w:p w14:paraId="72FFF617" w14:textId="77777777" w:rsidR="008177B1" w:rsidRPr="00D272CC" w:rsidRDefault="008177B1" w:rsidP="0038105A">
            <w:pPr>
              <w:pStyle w:val="Table"/>
              <w:spacing w:before="60" w:after="60"/>
              <w:rPr>
                <w:lang w:val="en-GB"/>
              </w:rPr>
            </w:pPr>
            <w:r w:rsidRPr="00D272CC">
              <w:rPr>
                <w:lang w:val="en-GB"/>
              </w:rPr>
              <w:t>IAS 19.92/3</w:t>
            </w:r>
          </w:p>
        </w:tc>
      </w:tr>
      <w:tr w:rsidR="008177B1" w:rsidRPr="00D272CC" w14:paraId="259716A8" w14:textId="77777777" w:rsidTr="0038105A">
        <w:tc>
          <w:tcPr>
            <w:tcW w:w="709" w:type="dxa"/>
            <w:tcBorders>
              <w:bottom w:val="single" w:sz="4" w:space="0" w:color="auto"/>
            </w:tcBorders>
            <w:tcMar>
              <w:left w:w="108" w:type="dxa"/>
              <w:right w:w="108" w:type="dxa"/>
            </w:tcMar>
          </w:tcPr>
          <w:p w14:paraId="2CBAE56D" w14:textId="77777777" w:rsidR="008177B1" w:rsidRPr="00D272CC" w:rsidRDefault="008177B1" w:rsidP="0038105A">
            <w:pPr>
              <w:pStyle w:val="Table"/>
              <w:spacing w:before="60" w:after="60"/>
              <w:jc w:val="center"/>
              <w:rPr>
                <w:lang w:val="en-GB"/>
              </w:rPr>
            </w:pPr>
            <w:r w:rsidRPr="00D272CC">
              <w:rPr>
                <w:lang w:val="en-GB"/>
              </w:rPr>
              <w:t>16</w:t>
            </w:r>
          </w:p>
        </w:tc>
        <w:tc>
          <w:tcPr>
            <w:tcW w:w="6379" w:type="dxa"/>
            <w:tcBorders>
              <w:bottom w:val="single" w:sz="4" w:space="0" w:color="auto"/>
            </w:tcBorders>
            <w:tcMar>
              <w:left w:w="108" w:type="dxa"/>
              <w:right w:w="108" w:type="dxa"/>
            </w:tcMar>
          </w:tcPr>
          <w:p w14:paraId="19004265" w14:textId="77777777" w:rsidR="008177B1" w:rsidRPr="00D272CC" w:rsidRDefault="008177B1" w:rsidP="0038105A">
            <w:pPr>
              <w:pStyle w:val="Table"/>
              <w:spacing w:before="60" w:after="60"/>
              <w:rPr>
                <w:lang w:val="en-GB"/>
              </w:rPr>
            </w:pPr>
            <w:r w:rsidRPr="00D272CC">
              <w:rPr>
                <w:lang w:val="en-GB"/>
              </w:rPr>
              <w:t>(a) proportionate consolidation of joint ventures</w:t>
            </w:r>
            <w:r w:rsidRPr="00D272CC">
              <w:rPr>
                <w:lang w:val="en-GB"/>
              </w:rPr>
              <w:br/>
              <w:t>(b) equity method</w:t>
            </w:r>
          </w:p>
        </w:tc>
        <w:tc>
          <w:tcPr>
            <w:tcW w:w="1984" w:type="dxa"/>
            <w:tcBorders>
              <w:bottom w:val="single" w:sz="4" w:space="0" w:color="auto"/>
            </w:tcBorders>
            <w:tcMar>
              <w:left w:w="108" w:type="dxa"/>
              <w:right w:w="108" w:type="dxa"/>
            </w:tcMar>
          </w:tcPr>
          <w:p w14:paraId="39FFCE38" w14:textId="77777777" w:rsidR="008177B1" w:rsidRPr="00D272CC" w:rsidRDefault="008177B1" w:rsidP="0038105A">
            <w:pPr>
              <w:pStyle w:val="Table"/>
              <w:spacing w:before="60" w:after="60"/>
              <w:rPr>
                <w:lang w:val="en-GB"/>
              </w:rPr>
            </w:pPr>
            <w:r w:rsidRPr="00D272CC">
              <w:rPr>
                <w:lang w:val="en-GB"/>
              </w:rPr>
              <w:t>IAS 31.30</w:t>
            </w:r>
          </w:p>
        </w:tc>
      </w:tr>
    </w:tbl>
    <w:p w14:paraId="304CFC7B" w14:textId="77777777" w:rsidR="008177B1" w:rsidRPr="00D272CC" w:rsidRDefault="008177B1" w:rsidP="008177B1">
      <w:pPr>
        <w:pStyle w:val="Table-FigureDescription"/>
        <w:rPr>
          <w:lang w:val="en-GB"/>
        </w:rPr>
      </w:pPr>
    </w:p>
    <w:p w14:paraId="147EBF2C" w14:textId="77777777" w:rsidR="008177B1" w:rsidRPr="00D272CC" w:rsidRDefault="008177B1" w:rsidP="008177B1">
      <w:pPr>
        <w:pStyle w:val="Table-FigureDescription"/>
        <w:rPr>
          <w:lang w:val="en-GB"/>
        </w:rPr>
      </w:pPr>
      <w:r w:rsidRPr="00D272CC">
        <w:rPr>
          <w:lang w:val="en-GB"/>
        </w:rPr>
        <w:t>This table shows 16 IFRS policy topics on which choices were observable during 2005 to 2011. Topics 1 to 9 are presentation issues and topics 10 to 16 are measurement issues. The topics are as in Kvaal and Nobes (2010).</w:t>
      </w:r>
    </w:p>
    <w:p w14:paraId="5D78AF35" w14:textId="77777777" w:rsidR="00533FA7" w:rsidRPr="00D272CC" w:rsidRDefault="00533FA7" w:rsidP="008177B1">
      <w:pPr>
        <w:pStyle w:val="Table-FigureDescription"/>
        <w:rPr>
          <w:lang w:val="en-GB"/>
        </w:rPr>
      </w:pPr>
    </w:p>
    <w:p w14:paraId="79E6753E" w14:textId="77777777" w:rsidR="00533FA7" w:rsidRPr="00D272CC" w:rsidRDefault="00533FA7" w:rsidP="00533FA7">
      <w:pPr>
        <w:pStyle w:val="Table-FigureDescription"/>
        <w:rPr>
          <w:szCs w:val="20"/>
          <w:lang w:val="en-GB"/>
        </w:rPr>
      </w:pPr>
      <w:r w:rsidRPr="00D272CC">
        <w:rPr>
          <w:szCs w:val="20"/>
          <w:vertAlign w:val="superscript"/>
          <w:lang w:val="en-GB"/>
        </w:rPr>
        <w:t>a</w:t>
      </w:r>
      <w:r w:rsidRPr="00D272CC">
        <w:rPr>
          <w:szCs w:val="20"/>
          <w:lang w:val="en-GB"/>
        </w:rPr>
        <w:t xml:space="preserve"> = not appropriate, and therefore not collected, for financial firms.</w:t>
      </w:r>
    </w:p>
    <w:p w14:paraId="192CC86E" w14:textId="77777777" w:rsidR="00533FA7" w:rsidRPr="00D272CC" w:rsidRDefault="00533FA7" w:rsidP="00533FA7">
      <w:pPr>
        <w:pStyle w:val="Table-FigureDescription"/>
        <w:rPr>
          <w:szCs w:val="20"/>
          <w:lang w:val="en-GB"/>
        </w:rPr>
      </w:pPr>
      <w:r w:rsidRPr="00D272CC">
        <w:rPr>
          <w:szCs w:val="20"/>
          <w:vertAlign w:val="superscript"/>
          <w:lang w:val="en-GB"/>
        </w:rPr>
        <w:t>b</w:t>
      </w:r>
      <w:r w:rsidRPr="00D272CC">
        <w:rPr>
          <w:szCs w:val="20"/>
          <w:lang w:val="en-GB"/>
        </w:rPr>
        <w:t xml:space="preserve"> = versions of the standards ruling from 2005 to 2011 (to 2008 for topics 6 and 13).</w:t>
      </w:r>
    </w:p>
    <w:p w14:paraId="6611F601" w14:textId="77777777" w:rsidR="00533FA7" w:rsidRPr="00D272CC" w:rsidRDefault="00533FA7" w:rsidP="00533FA7">
      <w:pPr>
        <w:pStyle w:val="Table-FigureDescription"/>
        <w:rPr>
          <w:szCs w:val="20"/>
          <w:lang w:val="en-GB"/>
        </w:rPr>
      </w:pPr>
      <w:r w:rsidRPr="00D272CC">
        <w:rPr>
          <w:szCs w:val="20"/>
          <w:vertAlign w:val="superscript"/>
          <w:lang w:val="en-GB"/>
        </w:rPr>
        <w:t>c</w:t>
      </w:r>
      <w:r w:rsidRPr="00D272CC">
        <w:rPr>
          <w:szCs w:val="20"/>
          <w:lang w:val="en-GB"/>
        </w:rPr>
        <w:t xml:space="preserve"> = IAS 1 specifies lists of items to be shown in financial statements, but does not specify their order.</w:t>
      </w:r>
    </w:p>
    <w:p w14:paraId="5A178098" w14:textId="77777777" w:rsidR="00993D57" w:rsidRPr="00D272CC" w:rsidRDefault="00533FA7" w:rsidP="00993D57">
      <w:pPr>
        <w:pStyle w:val="Table-FigureDescription"/>
        <w:rPr>
          <w:szCs w:val="20"/>
          <w:lang w:val="en-GB"/>
        </w:rPr>
      </w:pPr>
      <w:r w:rsidRPr="00D272CC">
        <w:rPr>
          <w:szCs w:val="20"/>
          <w:vertAlign w:val="superscript"/>
          <w:lang w:val="en-GB"/>
        </w:rPr>
        <w:t>d</w:t>
      </w:r>
      <w:r w:rsidRPr="00D272CC">
        <w:rPr>
          <w:szCs w:val="20"/>
          <w:lang w:val="en-GB"/>
        </w:rPr>
        <w:t xml:space="preserve"> = removed for accounting periods beginning on 1 January 2009.</w:t>
      </w:r>
    </w:p>
    <w:p w14:paraId="52AD2733" w14:textId="77777777" w:rsidR="003371A2" w:rsidRPr="00D272CC" w:rsidRDefault="003371A2" w:rsidP="00C32BD8">
      <w:pPr>
        <w:pStyle w:val="Caption"/>
        <w:jc w:val="left"/>
        <w:rPr>
          <w:lang w:val="en-GB"/>
        </w:rPr>
      </w:pPr>
      <w:r w:rsidRPr="00D272CC">
        <w:rPr>
          <w:lang w:val="en-GB"/>
        </w:rPr>
        <w:t xml:space="preserve">Table </w:t>
      </w:r>
      <w:r w:rsidR="00680D7F" w:rsidRPr="00D272CC">
        <w:rPr>
          <w:lang w:val="en-GB"/>
        </w:rPr>
        <w:fldChar w:fldCharType="begin"/>
      </w:r>
      <w:r w:rsidR="00FB2113" w:rsidRPr="00D272CC">
        <w:rPr>
          <w:lang w:val="en-GB"/>
        </w:rPr>
        <w:instrText xml:space="preserve"> SEQ Table \* ARABIC </w:instrText>
      </w:r>
      <w:r w:rsidR="00680D7F" w:rsidRPr="00D272CC">
        <w:rPr>
          <w:lang w:val="en-GB"/>
        </w:rPr>
        <w:fldChar w:fldCharType="separate"/>
      </w:r>
      <w:r w:rsidR="004F4900">
        <w:rPr>
          <w:noProof/>
          <w:lang w:val="en-GB"/>
        </w:rPr>
        <w:t>2</w:t>
      </w:r>
      <w:r w:rsidR="00680D7F" w:rsidRPr="00D272CC">
        <w:rPr>
          <w:lang w:val="en-GB"/>
        </w:rPr>
        <w:fldChar w:fldCharType="end"/>
      </w:r>
      <w:r w:rsidR="00380C8B" w:rsidRPr="00D272CC">
        <w:rPr>
          <w:lang w:val="en-GB"/>
        </w:rPr>
        <w:t xml:space="preserve">. </w:t>
      </w:r>
      <w:r w:rsidR="00A728A9" w:rsidRPr="00D272CC">
        <w:rPr>
          <w:b w:val="0"/>
          <w:lang w:val="en-GB"/>
        </w:rPr>
        <w:t>Sample</w:t>
      </w:r>
      <w:r w:rsidR="00461BBA" w:rsidRPr="00D272CC">
        <w:rPr>
          <w:b w:val="0"/>
          <w:lang w:val="en-GB"/>
        </w:rPr>
        <w:t xml:space="preserve"> of </w:t>
      </w:r>
      <w:r w:rsidR="00380C8B" w:rsidRPr="00D272CC">
        <w:rPr>
          <w:b w:val="0"/>
          <w:lang w:val="en-GB"/>
        </w:rPr>
        <w:t>f</w:t>
      </w:r>
      <w:r w:rsidR="00461BBA" w:rsidRPr="00D272CC">
        <w:rPr>
          <w:b w:val="0"/>
          <w:lang w:val="en-GB"/>
        </w:rPr>
        <w:t xml:space="preserve">irms and </w:t>
      </w:r>
      <w:r w:rsidR="00380C8B" w:rsidRPr="00D272CC">
        <w:rPr>
          <w:b w:val="0"/>
          <w:lang w:val="en-GB"/>
        </w:rPr>
        <w:t>d</w:t>
      </w:r>
      <w:r w:rsidR="00D940DC" w:rsidRPr="00D272CC">
        <w:rPr>
          <w:b w:val="0"/>
          <w:lang w:val="en-GB"/>
        </w:rPr>
        <w:t xml:space="preserve">ata on </w:t>
      </w:r>
      <w:r w:rsidR="002C6581" w:rsidRPr="00D272CC">
        <w:rPr>
          <w:b w:val="0"/>
          <w:lang w:val="en-GB"/>
        </w:rPr>
        <w:t xml:space="preserve">IFRS </w:t>
      </w:r>
      <w:r w:rsidR="00380C8B" w:rsidRPr="00D272CC">
        <w:rPr>
          <w:b w:val="0"/>
          <w:lang w:val="en-GB"/>
        </w:rPr>
        <w:t>p</w:t>
      </w:r>
      <w:r w:rsidR="00461BBA" w:rsidRPr="00D272CC">
        <w:rPr>
          <w:b w:val="0"/>
          <w:lang w:val="en-GB"/>
        </w:rPr>
        <w:t xml:space="preserve">olicy </w:t>
      </w:r>
      <w:r w:rsidR="00380C8B" w:rsidRPr="00D272CC">
        <w:rPr>
          <w:b w:val="0"/>
          <w:lang w:val="en-GB"/>
        </w:rPr>
        <w:t>c</w:t>
      </w:r>
      <w:r w:rsidR="00461BBA" w:rsidRPr="00D272CC">
        <w:rPr>
          <w:b w:val="0"/>
          <w:lang w:val="en-GB"/>
        </w:rPr>
        <w:t>hanges</w:t>
      </w:r>
      <w:r w:rsidR="00380C8B" w:rsidRPr="00D272CC">
        <w:rPr>
          <w:b w:val="0"/>
          <w:lang w:val="en-GB"/>
        </w:rPr>
        <w:t>.</w:t>
      </w:r>
    </w:p>
    <w:p w14:paraId="57C5C384" w14:textId="77777777" w:rsidR="003371A2" w:rsidRPr="00D272CC" w:rsidRDefault="003371A2" w:rsidP="003371A2">
      <w:pPr>
        <w:pStyle w:val="Table-FigureDescription"/>
        <w:rPr>
          <w:lang w:val="en-GB"/>
        </w:rPr>
      </w:pPr>
    </w:p>
    <w:tbl>
      <w:tblPr>
        <w:tblW w:w="9072" w:type="dxa"/>
        <w:tblLayout w:type="fixed"/>
        <w:tblCellMar>
          <w:left w:w="0" w:type="dxa"/>
          <w:right w:w="0" w:type="dxa"/>
        </w:tblCellMar>
        <w:tblLook w:val="00A0" w:firstRow="1" w:lastRow="0" w:firstColumn="1" w:lastColumn="0" w:noHBand="0" w:noVBand="0"/>
      </w:tblPr>
      <w:tblGrid>
        <w:gridCol w:w="3261"/>
        <w:gridCol w:w="524"/>
        <w:gridCol w:w="524"/>
        <w:gridCol w:w="525"/>
        <w:gridCol w:w="524"/>
        <w:gridCol w:w="525"/>
        <w:gridCol w:w="524"/>
        <w:gridCol w:w="524"/>
        <w:gridCol w:w="525"/>
        <w:gridCol w:w="524"/>
        <w:gridCol w:w="525"/>
        <w:gridCol w:w="567"/>
      </w:tblGrid>
      <w:tr w:rsidR="00567EA1" w:rsidRPr="00D272CC" w14:paraId="15CC2EE3" w14:textId="77777777" w:rsidTr="006411D6">
        <w:tc>
          <w:tcPr>
            <w:tcW w:w="3261" w:type="dxa"/>
            <w:tcBorders>
              <w:top w:val="single" w:sz="4" w:space="0" w:color="000000"/>
              <w:bottom w:val="single" w:sz="4" w:space="0" w:color="000000"/>
            </w:tcBorders>
          </w:tcPr>
          <w:p w14:paraId="58EA7FAF" w14:textId="77777777" w:rsidR="0031293A" w:rsidRPr="00D272CC" w:rsidRDefault="0031293A" w:rsidP="007831D1">
            <w:pPr>
              <w:pStyle w:val="Tablesmall"/>
              <w:rPr>
                <w:b/>
              </w:rPr>
            </w:pPr>
            <w:r w:rsidRPr="00D272CC">
              <w:rPr>
                <w:b/>
              </w:rPr>
              <w:t>Country</w:t>
            </w:r>
          </w:p>
        </w:tc>
        <w:tc>
          <w:tcPr>
            <w:tcW w:w="524" w:type="dxa"/>
            <w:tcBorders>
              <w:top w:val="single" w:sz="4" w:space="0" w:color="000000"/>
              <w:bottom w:val="single" w:sz="4" w:space="0" w:color="000000"/>
            </w:tcBorders>
          </w:tcPr>
          <w:p w14:paraId="37314985" w14:textId="77777777" w:rsidR="0031293A" w:rsidRPr="00D272CC" w:rsidRDefault="0031293A" w:rsidP="007831D1">
            <w:pPr>
              <w:pStyle w:val="Tablesmall"/>
              <w:jc w:val="center"/>
              <w:rPr>
                <w:b/>
              </w:rPr>
            </w:pPr>
            <w:r w:rsidRPr="00D272CC">
              <w:rPr>
                <w:b/>
              </w:rPr>
              <w:t>AU</w:t>
            </w:r>
          </w:p>
        </w:tc>
        <w:tc>
          <w:tcPr>
            <w:tcW w:w="524" w:type="dxa"/>
            <w:tcBorders>
              <w:top w:val="single" w:sz="4" w:space="0" w:color="000000"/>
              <w:bottom w:val="single" w:sz="4" w:space="0" w:color="000000"/>
            </w:tcBorders>
          </w:tcPr>
          <w:p w14:paraId="78DE5133" w14:textId="77777777" w:rsidR="0031293A" w:rsidRPr="00D272CC" w:rsidRDefault="0031293A" w:rsidP="007831D1">
            <w:pPr>
              <w:pStyle w:val="Tablesmall"/>
              <w:jc w:val="center"/>
              <w:rPr>
                <w:b/>
              </w:rPr>
            </w:pPr>
            <w:r w:rsidRPr="00D272CC">
              <w:rPr>
                <w:b/>
              </w:rPr>
              <w:t>CH</w:t>
            </w:r>
          </w:p>
        </w:tc>
        <w:tc>
          <w:tcPr>
            <w:tcW w:w="525" w:type="dxa"/>
            <w:tcBorders>
              <w:top w:val="single" w:sz="4" w:space="0" w:color="000000"/>
              <w:bottom w:val="single" w:sz="4" w:space="0" w:color="000000"/>
            </w:tcBorders>
          </w:tcPr>
          <w:p w14:paraId="03DE0239" w14:textId="77777777" w:rsidR="0031293A" w:rsidRPr="00D272CC" w:rsidRDefault="0031293A" w:rsidP="007831D1">
            <w:pPr>
              <w:pStyle w:val="Tablesmall"/>
              <w:jc w:val="center"/>
              <w:rPr>
                <w:b/>
              </w:rPr>
            </w:pPr>
            <w:r w:rsidRPr="00D272CC">
              <w:rPr>
                <w:b/>
              </w:rPr>
              <w:t>CN</w:t>
            </w:r>
          </w:p>
        </w:tc>
        <w:tc>
          <w:tcPr>
            <w:tcW w:w="524" w:type="dxa"/>
            <w:tcBorders>
              <w:top w:val="single" w:sz="4" w:space="0" w:color="000000"/>
              <w:bottom w:val="single" w:sz="4" w:space="0" w:color="000000"/>
            </w:tcBorders>
          </w:tcPr>
          <w:p w14:paraId="7707FF5F" w14:textId="77777777" w:rsidR="0031293A" w:rsidRPr="00D272CC" w:rsidRDefault="0031293A" w:rsidP="007831D1">
            <w:pPr>
              <w:pStyle w:val="Tablesmall"/>
              <w:jc w:val="center"/>
              <w:rPr>
                <w:b/>
              </w:rPr>
            </w:pPr>
            <w:r w:rsidRPr="00D272CC">
              <w:rPr>
                <w:b/>
              </w:rPr>
              <w:t>DE</w:t>
            </w:r>
          </w:p>
        </w:tc>
        <w:tc>
          <w:tcPr>
            <w:tcW w:w="525" w:type="dxa"/>
            <w:tcBorders>
              <w:top w:val="single" w:sz="4" w:space="0" w:color="000000"/>
              <w:bottom w:val="single" w:sz="4" w:space="0" w:color="000000"/>
            </w:tcBorders>
          </w:tcPr>
          <w:p w14:paraId="08DCE856" w14:textId="77777777" w:rsidR="0031293A" w:rsidRPr="00D272CC" w:rsidRDefault="0031293A" w:rsidP="007831D1">
            <w:pPr>
              <w:pStyle w:val="Tablesmall"/>
              <w:jc w:val="center"/>
              <w:rPr>
                <w:b/>
              </w:rPr>
            </w:pPr>
            <w:r w:rsidRPr="00D272CC">
              <w:rPr>
                <w:b/>
              </w:rPr>
              <w:t>ES</w:t>
            </w:r>
          </w:p>
        </w:tc>
        <w:tc>
          <w:tcPr>
            <w:tcW w:w="524" w:type="dxa"/>
            <w:tcBorders>
              <w:top w:val="single" w:sz="4" w:space="0" w:color="000000"/>
              <w:bottom w:val="single" w:sz="4" w:space="0" w:color="000000"/>
            </w:tcBorders>
          </w:tcPr>
          <w:p w14:paraId="1DC9D26F" w14:textId="77777777" w:rsidR="0031293A" w:rsidRPr="00D272CC" w:rsidRDefault="0031293A" w:rsidP="007831D1">
            <w:pPr>
              <w:pStyle w:val="Tablesmall"/>
              <w:jc w:val="center"/>
              <w:rPr>
                <w:b/>
              </w:rPr>
            </w:pPr>
            <w:r w:rsidRPr="00D272CC">
              <w:rPr>
                <w:b/>
              </w:rPr>
              <w:t>FR</w:t>
            </w:r>
          </w:p>
        </w:tc>
        <w:tc>
          <w:tcPr>
            <w:tcW w:w="524" w:type="dxa"/>
            <w:tcBorders>
              <w:top w:val="single" w:sz="4" w:space="0" w:color="000000"/>
              <w:bottom w:val="single" w:sz="4" w:space="0" w:color="000000"/>
            </w:tcBorders>
          </w:tcPr>
          <w:p w14:paraId="629A9FB9" w14:textId="77777777" w:rsidR="0031293A" w:rsidRPr="00D272CC" w:rsidRDefault="0031293A" w:rsidP="007831D1">
            <w:pPr>
              <w:pStyle w:val="Tablesmall"/>
              <w:jc w:val="center"/>
              <w:rPr>
                <w:b/>
              </w:rPr>
            </w:pPr>
            <w:r w:rsidRPr="00D272CC">
              <w:rPr>
                <w:b/>
              </w:rPr>
              <w:t>GB</w:t>
            </w:r>
          </w:p>
        </w:tc>
        <w:tc>
          <w:tcPr>
            <w:tcW w:w="525" w:type="dxa"/>
            <w:tcBorders>
              <w:top w:val="single" w:sz="4" w:space="0" w:color="000000"/>
              <w:bottom w:val="single" w:sz="4" w:space="0" w:color="000000"/>
            </w:tcBorders>
          </w:tcPr>
          <w:p w14:paraId="60EE6D46" w14:textId="77777777" w:rsidR="0031293A" w:rsidRPr="00D272CC" w:rsidRDefault="0031293A" w:rsidP="007831D1">
            <w:pPr>
              <w:pStyle w:val="Tablesmall"/>
              <w:jc w:val="center"/>
              <w:rPr>
                <w:b/>
              </w:rPr>
            </w:pPr>
            <w:r w:rsidRPr="00D272CC">
              <w:rPr>
                <w:b/>
              </w:rPr>
              <w:t>HK</w:t>
            </w:r>
          </w:p>
        </w:tc>
        <w:tc>
          <w:tcPr>
            <w:tcW w:w="524" w:type="dxa"/>
            <w:tcBorders>
              <w:top w:val="single" w:sz="4" w:space="0" w:color="000000"/>
              <w:bottom w:val="single" w:sz="4" w:space="0" w:color="000000"/>
            </w:tcBorders>
          </w:tcPr>
          <w:p w14:paraId="35E2F3F1" w14:textId="77777777" w:rsidR="0031293A" w:rsidRPr="00D272CC" w:rsidRDefault="0031293A" w:rsidP="007831D1">
            <w:pPr>
              <w:pStyle w:val="Tablesmall"/>
              <w:jc w:val="center"/>
              <w:rPr>
                <w:b/>
              </w:rPr>
            </w:pPr>
            <w:r w:rsidRPr="00D272CC">
              <w:rPr>
                <w:b/>
              </w:rPr>
              <w:t>IT</w:t>
            </w:r>
          </w:p>
        </w:tc>
        <w:tc>
          <w:tcPr>
            <w:tcW w:w="525" w:type="dxa"/>
            <w:tcBorders>
              <w:top w:val="single" w:sz="4" w:space="0" w:color="000000"/>
              <w:bottom w:val="single" w:sz="4" w:space="0" w:color="000000"/>
            </w:tcBorders>
          </w:tcPr>
          <w:p w14:paraId="5EB53266" w14:textId="77777777" w:rsidR="0031293A" w:rsidRPr="00D272CC" w:rsidRDefault="0031293A" w:rsidP="007831D1">
            <w:pPr>
              <w:pStyle w:val="Tablesmall"/>
              <w:jc w:val="center"/>
              <w:rPr>
                <w:b/>
              </w:rPr>
            </w:pPr>
            <w:r w:rsidRPr="00D272CC">
              <w:rPr>
                <w:b/>
              </w:rPr>
              <w:t>ZA</w:t>
            </w:r>
          </w:p>
        </w:tc>
        <w:tc>
          <w:tcPr>
            <w:tcW w:w="567" w:type="dxa"/>
            <w:tcBorders>
              <w:top w:val="single" w:sz="4" w:space="0" w:color="000000"/>
              <w:bottom w:val="single" w:sz="4" w:space="0" w:color="000000"/>
            </w:tcBorders>
          </w:tcPr>
          <w:p w14:paraId="685B68B1" w14:textId="77777777" w:rsidR="0031293A" w:rsidRPr="00D272CC" w:rsidRDefault="0031293A" w:rsidP="007831D1">
            <w:pPr>
              <w:pStyle w:val="Tablesmall"/>
              <w:jc w:val="center"/>
              <w:rPr>
                <w:b/>
              </w:rPr>
            </w:pPr>
            <w:r w:rsidRPr="00D272CC">
              <w:rPr>
                <w:b/>
              </w:rPr>
              <w:t>∑</w:t>
            </w:r>
          </w:p>
        </w:tc>
      </w:tr>
      <w:tr w:rsidR="00567EA1" w:rsidRPr="00D272CC" w14:paraId="0BE76386" w14:textId="77777777" w:rsidTr="006411D6">
        <w:tc>
          <w:tcPr>
            <w:tcW w:w="3261" w:type="dxa"/>
            <w:tcBorders>
              <w:top w:val="single" w:sz="4" w:space="0" w:color="auto"/>
            </w:tcBorders>
          </w:tcPr>
          <w:p w14:paraId="552F731C" w14:textId="77777777" w:rsidR="0031293A" w:rsidRPr="00D272CC" w:rsidRDefault="0031293A" w:rsidP="007831D1">
            <w:pPr>
              <w:pStyle w:val="Tablesmall"/>
            </w:pPr>
          </w:p>
        </w:tc>
        <w:tc>
          <w:tcPr>
            <w:tcW w:w="524" w:type="dxa"/>
            <w:tcBorders>
              <w:top w:val="single" w:sz="4" w:space="0" w:color="auto"/>
            </w:tcBorders>
          </w:tcPr>
          <w:p w14:paraId="185FDF4D" w14:textId="77777777" w:rsidR="0031293A" w:rsidRPr="00D272CC" w:rsidRDefault="0031293A" w:rsidP="007831D1">
            <w:pPr>
              <w:pStyle w:val="Tablesmall"/>
              <w:jc w:val="center"/>
            </w:pPr>
          </w:p>
        </w:tc>
        <w:tc>
          <w:tcPr>
            <w:tcW w:w="524" w:type="dxa"/>
            <w:tcBorders>
              <w:top w:val="single" w:sz="4" w:space="0" w:color="auto"/>
            </w:tcBorders>
          </w:tcPr>
          <w:p w14:paraId="3106568E" w14:textId="77777777" w:rsidR="0031293A" w:rsidRPr="00D272CC" w:rsidRDefault="0031293A" w:rsidP="007831D1">
            <w:pPr>
              <w:pStyle w:val="Tablesmall"/>
              <w:jc w:val="center"/>
            </w:pPr>
          </w:p>
        </w:tc>
        <w:tc>
          <w:tcPr>
            <w:tcW w:w="525" w:type="dxa"/>
            <w:tcBorders>
              <w:top w:val="single" w:sz="4" w:space="0" w:color="auto"/>
            </w:tcBorders>
          </w:tcPr>
          <w:p w14:paraId="5B33474C" w14:textId="77777777" w:rsidR="0031293A" w:rsidRPr="00D272CC" w:rsidRDefault="0031293A" w:rsidP="007831D1">
            <w:pPr>
              <w:pStyle w:val="Tablesmall"/>
              <w:jc w:val="center"/>
            </w:pPr>
          </w:p>
        </w:tc>
        <w:tc>
          <w:tcPr>
            <w:tcW w:w="524" w:type="dxa"/>
            <w:tcBorders>
              <w:top w:val="single" w:sz="4" w:space="0" w:color="auto"/>
            </w:tcBorders>
          </w:tcPr>
          <w:p w14:paraId="594313E9" w14:textId="77777777" w:rsidR="0031293A" w:rsidRPr="00D272CC" w:rsidRDefault="0031293A" w:rsidP="007831D1">
            <w:pPr>
              <w:pStyle w:val="Tablesmall"/>
              <w:jc w:val="center"/>
            </w:pPr>
          </w:p>
        </w:tc>
        <w:tc>
          <w:tcPr>
            <w:tcW w:w="525" w:type="dxa"/>
            <w:tcBorders>
              <w:top w:val="single" w:sz="4" w:space="0" w:color="auto"/>
            </w:tcBorders>
          </w:tcPr>
          <w:p w14:paraId="7D5FC1A9" w14:textId="77777777" w:rsidR="0031293A" w:rsidRPr="00D272CC" w:rsidRDefault="0031293A" w:rsidP="007831D1">
            <w:pPr>
              <w:pStyle w:val="Tablesmall"/>
              <w:jc w:val="center"/>
            </w:pPr>
          </w:p>
        </w:tc>
        <w:tc>
          <w:tcPr>
            <w:tcW w:w="524" w:type="dxa"/>
            <w:tcBorders>
              <w:top w:val="single" w:sz="4" w:space="0" w:color="auto"/>
            </w:tcBorders>
          </w:tcPr>
          <w:p w14:paraId="5D955F70" w14:textId="77777777" w:rsidR="0031293A" w:rsidRPr="00D272CC" w:rsidRDefault="0031293A" w:rsidP="007831D1">
            <w:pPr>
              <w:pStyle w:val="Tablesmall"/>
              <w:jc w:val="center"/>
            </w:pPr>
          </w:p>
        </w:tc>
        <w:tc>
          <w:tcPr>
            <w:tcW w:w="524" w:type="dxa"/>
            <w:tcBorders>
              <w:top w:val="single" w:sz="4" w:space="0" w:color="auto"/>
            </w:tcBorders>
          </w:tcPr>
          <w:p w14:paraId="467B2D05" w14:textId="77777777" w:rsidR="0031293A" w:rsidRPr="00D272CC" w:rsidRDefault="0031293A" w:rsidP="007831D1">
            <w:pPr>
              <w:pStyle w:val="Tablesmall"/>
              <w:jc w:val="center"/>
            </w:pPr>
          </w:p>
        </w:tc>
        <w:tc>
          <w:tcPr>
            <w:tcW w:w="525" w:type="dxa"/>
            <w:tcBorders>
              <w:top w:val="single" w:sz="4" w:space="0" w:color="auto"/>
            </w:tcBorders>
          </w:tcPr>
          <w:p w14:paraId="7E7AF0C7" w14:textId="77777777" w:rsidR="0031293A" w:rsidRPr="00D272CC" w:rsidRDefault="0031293A" w:rsidP="007831D1">
            <w:pPr>
              <w:pStyle w:val="Tablesmall"/>
              <w:jc w:val="center"/>
            </w:pPr>
          </w:p>
        </w:tc>
        <w:tc>
          <w:tcPr>
            <w:tcW w:w="524" w:type="dxa"/>
            <w:tcBorders>
              <w:top w:val="single" w:sz="4" w:space="0" w:color="auto"/>
            </w:tcBorders>
          </w:tcPr>
          <w:p w14:paraId="4D740BF0" w14:textId="77777777" w:rsidR="0031293A" w:rsidRPr="00D272CC" w:rsidRDefault="0031293A" w:rsidP="007831D1">
            <w:pPr>
              <w:pStyle w:val="Tablesmall"/>
              <w:jc w:val="center"/>
            </w:pPr>
          </w:p>
        </w:tc>
        <w:tc>
          <w:tcPr>
            <w:tcW w:w="525" w:type="dxa"/>
            <w:tcBorders>
              <w:top w:val="single" w:sz="4" w:space="0" w:color="auto"/>
            </w:tcBorders>
          </w:tcPr>
          <w:p w14:paraId="77FAC396" w14:textId="77777777" w:rsidR="0031293A" w:rsidRPr="00D272CC" w:rsidRDefault="0031293A" w:rsidP="007831D1">
            <w:pPr>
              <w:pStyle w:val="Tablesmall"/>
              <w:jc w:val="center"/>
            </w:pPr>
          </w:p>
        </w:tc>
        <w:tc>
          <w:tcPr>
            <w:tcW w:w="567" w:type="dxa"/>
            <w:tcBorders>
              <w:top w:val="single" w:sz="4" w:space="0" w:color="auto"/>
            </w:tcBorders>
          </w:tcPr>
          <w:p w14:paraId="6A2E43AE" w14:textId="77777777" w:rsidR="0031293A" w:rsidRPr="00D272CC" w:rsidRDefault="0031293A" w:rsidP="007831D1">
            <w:pPr>
              <w:pStyle w:val="Tablesmall"/>
              <w:jc w:val="center"/>
            </w:pPr>
          </w:p>
        </w:tc>
      </w:tr>
      <w:tr w:rsidR="00567EA1" w:rsidRPr="00D272CC" w14:paraId="2B8F5B77" w14:textId="77777777" w:rsidTr="006411D6">
        <w:tc>
          <w:tcPr>
            <w:tcW w:w="3261" w:type="dxa"/>
          </w:tcPr>
          <w:p w14:paraId="46E1C214" w14:textId="77777777" w:rsidR="0031293A" w:rsidRPr="00D272CC" w:rsidRDefault="0031293A" w:rsidP="007831D1">
            <w:pPr>
              <w:pStyle w:val="Tablesmall"/>
            </w:pPr>
            <w:r w:rsidRPr="00D272CC">
              <w:t>Index constituents on 31/12/2005</w:t>
            </w:r>
          </w:p>
        </w:tc>
        <w:tc>
          <w:tcPr>
            <w:tcW w:w="524" w:type="dxa"/>
          </w:tcPr>
          <w:p w14:paraId="5DDF4E28" w14:textId="77777777" w:rsidR="0031293A" w:rsidRPr="00D272CC" w:rsidRDefault="0031293A" w:rsidP="007831D1">
            <w:pPr>
              <w:pStyle w:val="Tablesmall"/>
              <w:jc w:val="center"/>
            </w:pPr>
            <w:r w:rsidRPr="00D272CC">
              <w:t>50</w:t>
            </w:r>
          </w:p>
        </w:tc>
        <w:tc>
          <w:tcPr>
            <w:tcW w:w="524" w:type="dxa"/>
          </w:tcPr>
          <w:p w14:paraId="5AC64D04" w14:textId="77777777" w:rsidR="0031293A" w:rsidRPr="00D272CC" w:rsidRDefault="0031293A" w:rsidP="007831D1">
            <w:pPr>
              <w:pStyle w:val="Tablesmall"/>
              <w:jc w:val="center"/>
            </w:pPr>
            <w:r w:rsidRPr="00D272CC">
              <w:t>26</w:t>
            </w:r>
          </w:p>
        </w:tc>
        <w:tc>
          <w:tcPr>
            <w:tcW w:w="525" w:type="dxa"/>
          </w:tcPr>
          <w:p w14:paraId="04856F4B" w14:textId="77777777" w:rsidR="0031293A" w:rsidRPr="00D272CC" w:rsidRDefault="0031293A" w:rsidP="007831D1">
            <w:pPr>
              <w:pStyle w:val="Tablesmall"/>
              <w:jc w:val="center"/>
            </w:pPr>
            <w:r w:rsidRPr="00D272CC">
              <w:t>40</w:t>
            </w:r>
          </w:p>
        </w:tc>
        <w:tc>
          <w:tcPr>
            <w:tcW w:w="524" w:type="dxa"/>
          </w:tcPr>
          <w:p w14:paraId="0E0B45C0" w14:textId="77777777" w:rsidR="0031293A" w:rsidRPr="00D272CC" w:rsidRDefault="0031293A" w:rsidP="007831D1">
            <w:pPr>
              <w:pStyle w:val="Tablesmall"/>
              <w:jc w:val="center"/>
            </w:pPr>
            <w:r w:rsidRPr="00D272CC">
              <w:t>40</w:t>
            </w:r>
          </w:p>
        </w:tc>
        <w:tc>
          <w:tcPr>
            <w:tcW w:w="525" w:type="dxa"/>
          </w:tcPr>
          <w:p w14:paraId="617F7E63" w14:textId="77777777" w:rsidR="0031293A" w:rsidRPr="00D272CC" w:rsidRDefault="0031293A" w:rsidP="007831D1">
            <w:pPr>
              <w:pStyle w:val="Tablesmall"/>
              <w:jc w:val="center"/>
            </w:pPr>
            <w:r w:rsidRPr="00D272CC">
              <w:t>35</w:t>
            </w:r>
          </w:p>
        </w:tc>
        <w:tc>
          <w:tcPr>
            <w:tcW w:w="524" w:type="dxa"/>
          </w:tcPr>
          <w:p w14:paraId="7320792C" w14:textId="77777777" w:rsidR="0031293A" w:rsidRPr="00D272CC" w:rsidRDefault="0031293A" w:rsidP="007831D1">
            <w:pPr>
              <w:pStyle w:val="Tablesmall"/>
              <w:jc w:val="center"/>
            </w:pPr>
            <w:r w:rsidRPr="00D272CC">
              <w:t>40</w:t>
            </w:r>
          </w:p>
        </w:tc>
        <w:tc>
          <w:tcPr>
            <w:tcW w:w="524" w:type="dxa"/>
          </w:tcPr>
          <w:p w14:paraId="3FD58BB0" w14:textId="77777777" w:rsidR="0031293A" w:rsidRPr="00D272CC" w:rsidRDefault="0031293A" w:rsidP="007831D1">
            <w:pPr>
              <w:pStyle w:val="Tablesmall"/>
              <w:jc w:val="center"/>
            </w:pPr>
            <w:r w:rsidRPr="00D272CC">
              <w:t>100</w:t>
            </w:r>
          </w:p>
        </w:tc>
        <w:tc>
          <w:tcPr>
            <w:tcW w:w="525" w:type="dxa"/>
          </w:tcPr>
          <w:p w14:paraId="7E5CBEC4" w14:textId="77777777" w:rsidR="0031293A" w:rsidRPr="00D272CC" w:rsidRDefault="0031293A" w:rsidP="007831D1">
            <w:pPr>
              <w:pStyle w:val="Tablesmall"/>
              <w:jc w:val="center"/>
            </w:pPr>
            <w:r w:rsidRPr="00D272CC">
              <w:t>33</w:t>
            </w:r>
          </w:p>
        </w:tc>
        <w:tc>
          <w:tcPr>
            <w:tcW w:w="524" w:type="dxa"/>
          </w:tcPr>
          <w:p w14:paraId="470F719E" w14:textId="77777777" w:rsidR="0031293A" w:rsidRPr="00D272CC" w:rsidRDefault="0031293A" w:rsidP="007831D1">
            <w:pPr>
              <w:pStyle w:val="Tablesmall"/>
              <w:jc w:val="center"/>
            </w:pPr>
            <w:r w:rsidRPr="00D272CC">
              <w:t>40</w:t>
            </w:r>
          </w:p>
        </w:tc>
        <w:tc>
          <w:tcPr>
            <w:tcW w:w="525" w:type="dxa"/>
          </w:tcPr>
          <w:p w14:paraId="3686A386" w14:textId="77777777" w:rsidR="0031293A" w:rsidRPr="00D272CC" w:rsidRDefault="0031293A" w:rsidP="007831D1">
            <w:pPr>
              <w:pStyle w:val="Tablesmall"/>
              <w:jc w:val="center"/>
            </w:pPr>
            <w:r w:rsidRPr="00D272CC">
              <w:t>40</w:t>
            </w:r>
          </w:p>
        </w:tc>
        <w:tc>
          <w:tcPr>
            <w:tcW w:w="567" w:type="dxa"/>
          </w:tcPr>
          <w:p w14:paraId="663C1F73" w14:textId="77777777" w:rsidR="0031293A" w:rsidRPr="00D272CC" w:rsidRDefault="0031293A" w:rsidP="007831D1">
            <w:pPr>
              <w:pStyle w:val="Tablesmall"/>
              <w:jc w:val="center"/>
            </w:pPr>
          </w:p>
        </w:tc>
      </w:tr>
      <w:tr w:rsidR="00567EA1" w:rsidRPr="00D272CC" w14:paraId="03FEF92D" w14:textId="77777777" w:rsidTr="006411D6">
        <w:tc>
          <w:tcPr>
            <w:tcW w:w="3261" w:type="dxa"/>
          </w:tcPr>
          <w:p w14:paraId="35B4B228" w14:textId="77777777" w:rsidR="0031293A" w:rsidRPr="00D272CC" w:rsidRDefault="0031293A" w:rsidP="007831D1">
            <w:pPr>
              <w:pStyle w:val="Tablesmall"/>
            </w:pPr>
            <w:r w:rsidRPr="00D272CC">
              <w:t>Index constituents on 31/12/2010</w:t>
            </w:r>
          </w:p>
        </w:tc>
        <w:tc>
          <w:tcPr>
            <w:tcW w:w="524" w:type="dxa"/>
          </w:tcPr>
          <w:p w14:paraId="70237EC5" w14:textId="77777777" w:rsidR="0031293A" w:rsidRPr="00D272CC" w:rsidRDefault="0031293A" w:rsidP="007831D1">
            <w:pPr>
              <w:pStyle w:val="Tablesmall"/>
              <w:jc w:val="center"/>
            </w:pPr>
            <w:r w:rsidRPr="00D272CC">
              <w:t>50</w:t>
            </w:r>
          </w:p>
        </w:tc>
        <w:tc>
          <w:tcPr>
            <w:tcW w:w="524" w:type="dxa"/>
          </w:tcPr>
          <w:p w14:paraId="1CC34E65" w14:textId="77777777" w:rsidR="0031293A" w:rsidRPr="00D272CC" w:rsidRDefault="0031293A" w:rsidP="007831D1">
            <w:pPr>
              <w:pStyle w:val="Tablesmall"/>
              <w:jc w:val="center"/>
            </w:pPr>
            <w:r w:rsidRPr="00D272CC">
              <w:t>20</w:t>
            </w:r>
          </w:p>
        </w:tc>
        <w:tc>
          <w:tcPr>
            <w:tcW w:w="525" w:type="dxa"/>
          </w:tcPr>
          <w:p w14:paraId="0BA331DD" w14:textId="77777777" w:rsidR="0031293A" w:rsidRPr="00D272CC" w:rsidRDefault="0031293A" w:rsidP="007831D1">
            <w:pPr>
              <w:pStyle w:val="Tablesmall"/>
              <w:jc w:val="center"/>
            </w:pPr>
            <w:r w:rsidRPr="00D272CC">
              <w:t>40</w:t>
            </w:r>
          </w:p>
        </w:tc>
        <w:tc>
          <w:tcPr>
            <w:tcW w:w="524" w:type="dxa"/>
          </w:tcPr>
          <w:p w14:paraId="0EBCB578" w14:textId="77777777" w:rsidR="0031293A" w:rsidRPr="00D272CC" w:rsidRDefault="0031293A" w:rsidP="007831D1">
            <w:pPr>
              <w:pStyle w:val="Tablesmall"/>
              <w:jc w:val="center"/>
            </w:pPr>
            <w:r w:rsidRPr="00D272CC">
              <w:t>40</w:t>
            </w:r>
          </w:p>
        </w:tc>
        <w:tc>
          <w:tcPr>
            <w:tcW w:w="525" w:type="dxa"/>
          </w:tcPr>
          <w:p w14:paraId="788A6953" w14:textId="77777777" w:rsidR="0031293A" w:rsidRPr="00D272CC" w:rsidRDefault="0031293A" w:rsidP="007831D1">
            <w:pPr>
              <w:pStyle w:val="Tablesmall"/>
              <w:jc w:val="center"/>
            </w:pPr>
            <w:r w:rsidRPr="00D272CC">
              <w:t>35</w:t>
            </w:r>
          </w:p>
        </w:tc>
        <w:tc>
          <w:tcPr>
            <w:tcW w:w="524" w:type="dxa"/>
          </w:tcPr>
          <w:p w14:paraId="70F77FD9" w14:textId="77777777" w:rsidR="0031293A" w:rsidRPr="00D272CC" w:rsidRDefault="0031293A" w:rsidP="007831D1">
            <w:pPr>
              <w:pStyle w:val="Tablesmall"/>
              <w:jc w:val="center"/>
            </w:pPr>
            <w:r w:rsidRPr="00D272CC">
              <w:t>40</w:t>
            </w:r>
          </w:p>
        </w:tc>
        <w:tc>
          <w:tcPr>
            <w:tcW w:w="524" w:type="dxa"/>
          </w:tcPr>
          <w:p w14:paraId="61F09AD8" w14:textId="77777777" w:rsidR="0031293A" w:rsidRPr="00D272CC" w:rsidRDefault="0031293A" w:rsidP="007831D1">
            <w:pPr>
              <w:pStyle w:val="Tablesmall"/>
              <w:jc w:val="center"/>
            </w:pPr>
            <w:r w:rsidRPr="00D272CC">
              <w:t>100</w:t>
            </w:r>
          </w:p>
        </w:tc>
        <w:tc>
          <w:tcPr>
            <w:tcW w:w="525" w:type="dxa"/>
          </w:tcPr>
          <w:p w14:paraId="667149C7" w14:textId="77777777" w:rsidR="0031293A" w:rsidRPr="00D272CC" w:rsidRDefault="0031293A" w:rsidP="007831D1">
            <w:pPr>
              <w:pStyle w:val="Tablesmall"/>
              <w:jc w:val="center"/>
            </w:pPr>
            <w:r w:rsidRPr="00D272CC">
              <w:t>45</w:t>
            </w:r>
          </w:p>
        </w:tc>
        <w:tc>
          <w:tcPr>
            <w:tcW w:w="524" w:type="dxa"/>
          </w:tcPr>
          <w:p w14:paraId="2328340E" w14:textId="77777777" w:rsidR="0031293A" w:rsidRPr="00D272CC" w:rsidRDefault="0031293A" w:rsidP="007831D1">
            <w:pPr>
              <w:pStyle w:val="Tablesmall"/>
              <w:jc w:val="center"/>
            </w:pPr>
            <w:r w:rsidRPr="00D272CC">
              <w:t>40</w:t>
            </w:r>
          </w:p>
        </w:tc>
        <w:tc>
          <w:tcPr>
            <w:tcW w:w="525" w:type="dxa"/>
          </w:tcPr>
          <w:p w14:paraId="5861D1FB" w14:textId="77777777" w:rsidR="0031293A" w:rsidRPr="00D272CC" w:rsidRDefault="0031293A" w:rsidP="007831D1">
            <w:pPr>
              <w:pStyle w:val="Tablesmall"/>
              <w:jc w:val="center"/>
            </w:pPr>
            <w:r w:rsidRPr="00D272CC">
              <w:t>40</w:t>
            </w:r>
          </w:p>
        </w:tc>
        <w:tc>
          <w:tcPr>
            <w:tcW w:w="567" w:type="dxa"/>
          </w:tcPr>
          <w:p w14:paraId="3BC15C4E" w14:textId="77777777" w:rsidR="0031293A" w:rsidRPr="00D272CC" w:rsidRDefault="0031293A" w:rsidP="007831D1">
            <w:pPr>
              <w:pStyle w:val="Tablesmall"/>
              <w:jc w:val="center"/>
            </w:pPr>
          </w:p>
        </w:tc>
      </w:tr>
      <w:tr w:rsidR="00567EA1" w:rsidRPr="00D272CC" w14:paraId="16CD3E16" w14:textId="77777777" w:rsidTr="006411D6">
        <w:tc>
          <w:tcPr>
            <w:tcW w:w="3261" w:type="dxa"/>
            <w:tcBorders>
              <w:top w:val="single" w:sz="4" w:space="0" w:color="auto"/>
            </w:tcBorders>
          </w:tcPr>
          <w:p w14:paraId="67A9E8D8" w14:textId="77777777" w:rsidR="0031293A" w:rsidRPr="00D272CC" w:rsidRDefault="0031293A" w:rsidP="007831D1">
            <w:pPr>
              <w:pStyle w:val="Tablesmall"/>
              <w:rPr>
                <w:b/>
              </w:rPr>
            </w:pPr>
            <w:r w:rsidRPr="00D272CC">
              <w:rPr>
                <w:b/>
              </w:rPr>
              <w:t>Unique firms per country</w:t>
            </w:r>
          </w:p>
        </w:tc>
        <w:tc>
          <w:tcPr>
            <w:tcW w:w="524" w:type="dxa"/>
            <w:tcBorders>
              <w:top w:val="single" w:sz="4" w:space="0" w:color="auto"/>
            </w:tcBorders>
          </w:tcPr>
          <w:p w14:paraId="7C569AD4" w14:textId="77777777" w:rsidR="0031293A" w:rsidRPr="00D272CC" w:rsidRDefault="0031293A" w:rsidP="007831D1">
            <w:pPr>
              <w:pStyle w:val="Tablesmall"/>
              <w:jc w:val="center"/>
              <w:rPr>
                <w:b/>
              </w:rPr>
            </w:pPr>
            <w:r w:rsidRPr="00D272CC">
              <w:rPr>
                <w:b/>
              </w:rPr>
              <w:t>64</w:t>
            </w:r>
          </w:p>
        </w:tc>
        <w:tc>
          <w:tcPr>
            <w:tcW w:w="524" w:type="dxa"/>
            <w:tcBorders>
              <w:top w:val="single" w:sz="4" w:space="0" w:color="auto"/>
            </w:tcBorders>
          </w:tcPr>
          <w:p w14:paraId="217EBA98" w14:textId="77777777" w:rsidR="0031293A" w:rsidRPr="00D272CC" w:rsidRDefault="0031293A" w:rsidP="007831D1">
            <w:pPr>
              <w:pStyle w:val="Tablesmall"/>
              <w:jc w:val="center"/>
              <w:rPr>
                <w:b/>
              </w:rPr>
            </w:pPr>
            <w:r w:rsidRPr="00D272CC">
              <w:rPr>
                <w:b/>
              </w:rPr>
              <w:t>29</w:t>
            </w:r>
          </w:p>
        </w:tc>
        <w:tc>
          <w:tcPr>
            <w:tcW w:w="525" w:type="dxa"/>
            <w:tcBorders>
              <w:top w:val="single" w:sz="4" w:space="0" w:color="auto"/>
            </w:tcBorders>
          </w:tcPr>
          <w:p w14:paraId="15C90B33" w14:textId="77777777" w:rsidR="0031293A" w:rsidRPr="00D272CC" w:rsidRDefault="0031293A" w:rsidP="007831D1">
            <w:pPr>
              <w:pStyle w:val="Tablesmall"/>
              <w:jc w:val="center"/>
              <w:rPr>
                <w:b/>
              </w:rPr>
            </w:pPr>
            <w:r w:rsidRPr="00D272CC">
              <w:rPr>
                <w:b/>
              </w:rPr>
              <w:t>58</w:t>
            </w:r>
          </w:p>
        </w:tc>
        <w:tc>
          <w:tcPr>
            <w:tcW w:w="524" w:type="dxa"/>
            <w:tcBorders>
              <w:top w:val="single" w:sz="4" w:space="0" w:color="auto"/>
            </w:tcBorders>
          </w:tcPr>
          <w:p w14:paraId="5CBF5CEC" w14:textId="77777777" w:rsidR="0031293A" w:rsidRPr="00D272CC" w:rsidRDefault="0031293A" w:rsidP="007831D1">
            <w:pPr>
              <w:pStyle w:val="Tablesmall"/>
              <w:jc w:val="center"/>
              <w:rPr>
                <w:b/>
              </w:rPr>
            </w:pPr>
            <w:r w:rsidRPr="00D272CC">
              <w:rPr>
                <w:b/>
              </w:rPr>
              <w:t>49</w:t>
            </w:r>
          </w:p>
        </w:tc>
        <w:tc>
          <w:tcPr>
            <w:tcW w:w="525" w:type="dxa"/>
            <w:tcBorders>
              <w:top w:val="single" w:sz="4" w:space="0" w:color="auto"/>
            </w:tcBorders>
          </w:tcPr>
          <w:p w14:paraId="345CA8D2" w14:textId="77777777" w:rsidR="0031293A" w:rsidRPr="00D272CC" w:rsidRDefault="0031293A" w:rsidP="007831D1">
            <w:pPr>
              <w:pStyle w:val="Tablesmall"/>
              <w:jc w:val="center"/>
              <w:rPr>
                <w:b/>
              </w:rPr>
            </w:pPr>
            <w:r w:rsidRPr="00D272CC">
              <w:rPr>
                <w:b/>
              </w:rPr>
              <w:t>45</w:t>
            </w:r>
          </w:p>
        </w:tc>
        <w:tc>
          <w:tcPr>
            <w:tcW w:w="524" w:type="dxa"/>
            <w:tcBorders>
              <w:top w:val="single" w:sz="4" w:space="0" w:color="auto"/>
            </w:tcBorders>
          </w:tcPr>
          <w:p w14:paraId="61C54705" w14:textId="77777777" w:rsidR="0031293A" w:rsidRPr="00D272CC" w:rsidRDefault="0031293A" w:rsidP="007831D1">
            <w:pPr>
              <w:pStyle w:val="Tablesmall"/>
              <w:jc w:val="center"/>
              <w:rPr>
                <w:b/>
              </w:rPr>
            </w:pPr>
            <w:r w:rsidRPr="00D272CC">
              <w:rPr>
                <w:b/>
              </w:rPr>
              <w:t>47</w:t>
            </w:r>
          </w:p>
        </w:tc>
        <w:tc>
          <w:tcPr>
            <w:tcW w:w="524" w:type="dxa"/>
            <w:tcBorders>
              <w:top w:val="single" w:sz="4" w:space="0" w:color="auto"/>
            </w:tcBorders>
          </w:tcPr>
          <w:p w14:paraId="684276A3" w14:textId="77777777" w:rsidR="0031293A" w:rsidRPr="00D272CC" w:rsidRDefault="0031293A" w:rsidP="007831D1">
            <w:pPr>
              <w:pStyle w:val="Tablesmall"/>
              <w:jc w:val="center"/>
              <w:rPr>
                <w:b/>
              </w:rPr>
            </w:pPr>
            <w:r w:rsidRPr="00D272CC">
              <w:rPr>
                <w:b/>
              </w:rPr>
              <w:t>131</w:t>
            </w:r>
          </w:p>
        </w:tc>
        <w:tc>
          <w:tcPr>
            <w:tcW w:w="525" w:type="dxa"/>
            <w:tcBorders>
              <w:top w:val="single" w:sz="4" w:space="0" w:color="auto"/>
            </w:tcBorders>
          </w:tcPr>
          <w:p w14:paraId="58CE33AA" w14:textId="77777777" w:rsidR="0031293A" w:rsidRPr="00D272CC" w:rsidRDefault="0031293A" w:rsidP="007831D1">
            <w:pPr>
              <w:pStyle w:val="Tablesmall"/>
              <w:jc w:val="center"/>
              <w:rPr>
                <w:b/>
              </w:rPr>
            </w:pPr>
            <w:r w:rsidRPr="00D272CC">
              <w:rPr>
                <w:b/>
              </w:rPr>
              <w:t>51</w:t>
            </w:r>
          </w:p>
        </w:tc>
        <w:tc>
          <w:tcPr>
            <w:tcW w:w="524" w:type="dxa"/>
            <w:tcBorders>
              <w:top w:val="single" w:sz="4" w:space="0" w:color="auto"/>
            </w:tcBorders>
          </w:tcPr>
          <w:p w14:paraId="79A0E289" w14:textId="77777777" w:rsidR="0031293A" w:rsidRPr="00D272CC" w:rsidRDefault="0031293A" w:rsidP="007831D1">
            <w:pPr>
              <w:pStyle w:val="Tablesmall"/>
              <w:jc w:val="center"/>
              <w:rPr>
                <w:b/>
              </w:rPr>
            </w:pPr>
            <w:r w:rsidRPr="00D272CC">
              <w:rPr>
                <w:b/>
              </w:rPr>
              <w:t>52</w:t>
            </w:r>
          </w:p>
        </w:tc>
        <w:tc>
          <w:tcPr>
            <w:tcW w:w="525" w:type="dxa"/>
            <w:tcBorders>
              <w:top w:val="single" w:sz="4" w:space="0" w:color="auto"/>
            </w:tcBorders>
          </w:tcPr>
          <w:p w14:paraId="2C1FA38C" w14:textId="77777777" w:rsidR="0031293A" w:rsidRPr="00D272CC" w:rsidRDefault="0031293A" w:rsidP="007831D1">
            <w:pPr>
              <w:pStyle w:val="Tablesmall"/>
              <w:jc w:val="center"/>
              <w:rPr>
                <w:b/>
              </w:rPr>
            </w:pPr>
            <w:r w:rsidRPr="00D272CC">
              <w:rPr>
                <w:b/>
              </w:rPr>
              <w:t>52</w:t>
            </w:r>
          </w:p>
        </w:tc>
        <w:tc>
          <w:tcPr>
            <w:tcW w:w="567" w:type="dxa"/>
            <w:tcBorders>
              <w:top w:val="single" w:sz="4" w:space="0" w:color="auto"/>
            </w:tcBorders>
          </w:tcPr>
          <w:p w14:paraId="54D1FC69" w14:textId="77777777" w:rsidR="0031293A" w:rsidRPr="00D272CC" w:rsidRDefault="0031293A" w:rsidP="007831D1">
            <w:pPr>
              <w:pStyle w:val="Tablesmall"/>
              <w:jc w:val="center"/>
              <w:rPr>
                <w:b/>
              </w:rPr>
            </w:pPr>
            <w:r w:rsidRPr="00D272CC">
              <w:rPr>
                <w:b/>
              </w:rPr>
              <w:t>578</w:t>
            </w:r>
          </w:p>
        </w:tc>
      </w:tr>
      <w:tr w:rsidR="00567EA1" w:rsidRPr="00D272CC" w14:paraId="48D8A88B" w14:textId="77777777" w:rsidTr="006411D6">
        <w:tc>
          <w:tcPr>
            <w:tcW w:w="3261" w:type="dxa"/>
          </w:tcPr>
          <w:p w14:paraId="5AD381B8" w14:textId="77777777" w:rsidR="0031293A" w:rsidRPr="00D272CC" w:rsidRDefault="0031293A" w:rsidP="007831D1">
            <w:pPr>
              <w:pStyle w:val="Tablesmall"/>
            </w:pPr>
          </w:p>
        </w:tc>
        <w:tc>
          <w:tcPr>
            <w:tcW w:w="524" w:type="dxa"/>
          </w:tcPr>
          <w:p w14:paraId="7F2464BA" w14:textId="77777777" w:rsidR="0031293A" w:rsidRPr="00D272CC" w:rsidRDefault="0031293A" w:rsidP="007831D1">
            <w:pPr>
              <w:pStyle w:val="Tablesmall"/>
              <w:jc w:val="center"/>
            </w:pPr>
          </w:p>
        </w:tc>
        <w:tc>
          <w:tcPr>
            <w:tcW w:w="524" w:type="dxa"/>
          </w:tcPr>
          <w:p w14:paraId="32394190" w14:textId="77777777" w:rsidR="0031293A" w:rsidRPr="00D272CC" w:rsidRDefault="0031293A" w:rsidP="007831D1">
            <w:pPr>
              <w:pStyle w:val="Tablesmall"/>
              <w:jc w:val="center"/>
            </w:pPr>
          </w:p>
        </w:tc>
        <w:tc>
          <w:tcPr>
            <w:tcW w:w="525" w:type="dxa"/>
          </w:tcPr>
          <w:p w14:paraId="5994ECE1" w14:textId="77777777" w:rsidR="0031293A" w:rsidRPr="00D272CC" w:rsidRDefault="0031293A" w:rsidP="007831D1">
            <w:pPr>
              <w:pStyle w:val="Tablesmall"/>
              <w:jc w:val="center"/>
            </w:pPr>
          </w:p>
        </w:tc>
        <w:tc>
          <w:tcPr>
            <w:tcW w:w="524" w:type="dxa"/>
          </w:tcPr>
          <w:p w14:paraId="41505D16" w14:textId="77777777" w:rsidR="0031293A" w:rsidRPr="00D272CC" w:rsidRDefault="0031293A" w:rsidP="007831D1">
            <w:pPr>
              <w:pStyle w:val="Tablesmall"/>
              <w:jc w:val="center"/>
            </w:pPr>
          </w:p>
        </w:tc>
        <w:tc>
          <w:tcPr>
            <w:tcW w:w="525" w:type="dxa"/>
          </w:tcPr>
          <w:p w14:paraId="430FFDAB" w14:textId="77777777" w:rsidR="0031293A" w:rsidRPr="00D272CC" w:rsidRDefault="0031293A" w:rsidP="007831D1">
            <w:pPr>
              <w:pStyle w:val="Tablesmall"/>
              <w:jc w:val="center"/>
            </w:pPr>
          </w:p>
        </w:tc>
        <w:tc>
          <w:tcPr>
            <w:tcW w:w="524" w:type="dxa"/>
          </w:tcPr>
          <w:p w14:paraId="57835971" w14:textId="77777777" w:rsidR="0031293A" w:rsidRPr="00D272CC" w:rsidRDefault="0031293A" w:rsidP="007831D1">
            <w:pPr>
              <w:pStyle w:val="Tablesmall"/>
              <w:jc w:val="center"/>
            </w:pPr>
          </w:p>
        </w:tc>
        <w:tc>
          <w:tcPr>
            <w:tcW w:w="524" w:type="dxa"/>
          </w:tcPr>
          <w:p w14:paraId="650B3976" w14:textId="77777777" w:rsidR="0031293A" w:rsidRPr="00D272CC" w:rsidRDefault="0031293A" w:rsidP="007831D1">
            <w:pPr>
              <w:pStyle w:val="Tablesmall"/>
              <w:jc w:val="center"/>
            </w:pPr>
          </w:p>
        </w:tc>
        <w:tc>
          <w:tcPr>
            <w:tcW w:w="525" w:type="dxa"/>
          </w:tcPr>
          <w:p w14:paraId="7AA855E8" w14:textId="77777777" w:rsidR="0031293A" w:rsidRPr="00D272CC" w:rsidRDefault="0031293A" w:rsidP="007831D1">
            <w:pPr>
              <w:pStyle w:val="Tablesmall"/>
              <w:jc w:val="center"/>
            </w:pPr>
          </w:p>
        </w:tc>
        <w:tc>
          <w:tcPr>
            <w:tcW w:w="524" w:type="dxa"/>
          </w:tcPr>
          <w:p w14:paraId="26F490A8" w14:textId="77777777" w:rsidR="0031293A" w:rsidRPr="00D272CC" w:rsidRDefault="0031293A" w:rsidP="007831D1">
            <w:pPr>
              <w:pStyle w:val="Tablesmall"/>
              <w:jc w:val="center"/>
            </w:pPr>
          </w:p>
        </w:tc>
        <w:tc>
          <w:tcPr>
            <w:tcW w:w="525" w:type="dxa"/>
          </w:tcPr>
          <w:p w14:paraId="0F5E3BC0" w14:textId="77777777" w:rsidR="0031293A" w:rsidRPr="00D272CC" w:rsidRDefault="0031293A" w:rsidP="007831D1">
            <w:pPr>
              <w:pStyle w:val="Tablesmall"/>
              <w:jc w:val="center"/>
            </w:pPr>
          </w:p>
        </w:tc>
        <w:tc>
          <w:tcPr>
            <w:tcW w:w="567" w:type="dxa"/>
          </w:tcPr>
          <w:p w14:paraId="2D26E980" w14:textId="77777777" w:rsidR="0031293A" w:rsidRPr="00D272CC" w:rsidRDefault="0031293A" w:rsidP="007831D1">
            <w:pPr>
              <w:pStyle w:val="Tablesmall"/>
              <w:jc w:val="center"/>
            </w:pPr>
          </w:p>
        </w:tc>
      </w:tr>
      <w:tr w:rsidR="00567EA1" w:rsidRPr="00D272CC" w14:paraId="45B32EE5" w14:textId="77777777" w:rsidTr="006411D6">
        <w:tc>
          <w:tcPr>
            <w:tcW w:w="3261" w:type="dxa"/>
          </w:tcPr>
          <w:p w14:paraId="3AC6BC8E" w14:textId="77777777" w:rsidR="0031293A" w:rsidRPr="00D272CC" w:rsidRDefault="00FF6E50" w:rsidP="007831D1">
            <w:pPr>
              <w:pStyle w:val="Tablesmall"/>
            </w:pPr>
            <w:r w:rsidRPr="00D272CC">
              <w:t>Excluded:</w:t>
            </w:r>
            <w:r w:rsidR="0031293A" w:rsidRPr="00D272CC">
              <w:t xml:space="preserve"> </w:t>
            </w:r>
            <w:r w:rsidR="009B29EF" w:rsidRPr="00D272CC">
              <w:t>f</w:t>
            </w:r>
            <w:r w:rsidR="0031293A" w:rsidRPr="00D272CC">
              <w:t>oreign firms</w:t>
            </w:r>
          </w:p>
        </w:tc>
        <w:tc>
          <w:tcPr>
            <w:tcW w:w="524" w:type="dxa"/>
            <w:vAlign w:val="bottom"/>
          </w:tcPr>
          <w:p w14:paraId="753C682D" w14:textId="77777777" w:rsidR="0031293A" w:rsidRPr="00D272CC" w:rsidRDefault="00FC0D04" w:rsidP="007831D1">
            <w:pPr>
              <w:pStyle w:val="Tablesmall"/>
              <w:jc w:val="center"/>
            </w:pPr>
            <w:r w:rsidRPr="00D272CC">
              <w:t>5</w:t>
            </w:r>
          </w:p>
        </w:tc>
        <w:tc>
          <w:tcPr>
            <w:tcW w:w="524" w:type="dxa"/>
            <w:vAlign w:val="bottom"/>
          </w:tcPr>
          <w:p w14:paraId="29758953" w14:textId="77777777" w:rsidR="0031293A" w:rsidRPr="00D272CC" w:rsidRDefault="0031293A" w:rsidP="007831D1">
            <w:pPr>
              <w:pStyle w:val="Tablesmall"/>
              <w:jc w:val="center"/>
            </w:pPr>
            <w:r w:rsidRPr="00D272CC">
              <w:t>-</w:t>
            </w:r>
          </w:p>
        </w:tc>
        <w:tc>
          <w:tcPr>
            <w:tcW w:w="525" w:type="dxa"/>
            <w:vAlign w:val="bottom"/>
          </w:tcPr>
          <w:p w14:paraId="1D21FC1D" w14:textId="77777777" w:rsidR="0031293A" w:rsidRPr="00D272CC" w:rsidRDefault="0031293A" w:rsidP="007831D1">
            <w:pPr>
              <w:pStyle w:val="Tablesmall"/>
              <w:jc w:val="center"/>
            </w:pPr>
            <w:r w:rsidRPr="00D272CC">
              <w:t>-</w:t>
            </w:r>
          </w:p>
        </w:tc>
        <w:tc>
          <w:tcPr>
            <w:tcW w:w="524" w:type="dxa"/>
            <w:vAlign w:val="bottom"/>
          </w:tcPr>
          <w:p w14:paraId="3BD19889" w14:textId="77777777" w:rsidR="0031293A" w:rsidRPr="00D272CC" w:rsidRDefault="0031293A" w:rsidP="007831D1">
            <w:pPr>
              <w:pStyle w:val="Tablesmall"/>
              <w:jc w:val="center"/>
            </w:pPr>
            <w:r w:rsidRPr="00D272CC">
              <w:t>1</w:t>
            </w:r>
          </w:p>
        </w:tc>
        <w:tc>
          <w:tcPr>
            <w:tcW w:w="525" w:type="dxa"/>
            <w:vAlign w:val="bottom"/>
          </w:tcPr>
          <w:p w14:paraId="72D59BDB" w14:textId="77777777" w:rsidR="0031293A" w:rsidRPr="00D272CC" w:rsidRDefault="0031293A" w:rsidP="007831D1">
            <w:pPr>
              <w:pStyle w:val="Tablesmall"/>
              <w:jc w:val="center"/>
            </w:pPr>
            <w:r w:rsidRPr="00D272CC">
              <w:t>2</w:t>
            </w:r>
          </w:p>
        </w:tc>
        <w:tc>
          <w:tcPr>
            <w:tcW w:w="524" w:type="dxa"/>
            <w:vAlign w:val="bottom"/>
          </w:tcPr>
          <w:p w14:paraId="07C90378" w14:textId="77777777" w:rsidR="0031293A" w:rsidRPr="00D272CC" w:rsidRDefault="0031293A" w:rsidP="007831D1">
            <w:pPr>
              <w:pStyle w:val="Tablesmall"/>
              <w:jc w:val="center"/>
            </w:pPr>
            <w:r w:rsidRPr="00D272CC">
              <w:t>5</w:t>
            </w:r>
          </w:p>
        </w:tc>
        <w:tc>
          <w:tcPr>
            <w:tcW w:w="524" w:type="dxa"/>
            <w:vAlign w:val="bottom"/>
          </w:tcPr>
          <w:p w14:paraId="4596BD14" w14:textId="77777777" w:rsidR="0031293A" w:rsidRPr="00D272CC" w:rsidRDefault="00FC0D04" w:rsidP="007831D1">
            <w:pPr>
              <w:pStyle w:val="Tablesmall"/>
              <w:jc w:val="center"/>
            </w:pPr>
            <w:r w:rsidRPr="00D272CC">
              <w:t>2</w:t>
            </w:r>
          </w:p>
        </w:tc>
        <w:tc>
          <w:tcPr>
            <w:tcW w:w="525" w:type="dxa"/>
            <w:vAlign w:val="bottom"/>
          </w:tcPr>
          <w:p w14:paraId="42E081BB" w14:textId="77777777" w:rsidR="0031293A" w:rsidRPr="00D272CC" w:rsidRDefault="0031293A" w:rsidP="007831D1">
            <w:pPr>
              <w:pStyle w:val="Tablesmall"/>
              <w:jc w:val="center"/>
            </w:pPr>
            <w:r w:rsidRPr="00D272CC">
              <w:t>13</w:t>
            </w:r>
          </w:p>
        </w:tc>
        <w:tc>
          <w:tcPr>
            <w:tcW w:w="524" w:type="dxa"/>
            <w:vAlign w:val="bottom"/>
          </w:tcPr>
          <w:p w14:paraId="39DDB821" w14:textId="77777777" w:rsidR="0031293A" w:rsidRPr="00D272CC" w:rsidRDefault="0031293A" w:rsidP="007831D1">
            <w:pPr>
              <w:pStyle w:val="Tablesmall"/>
              <w:jc w:val="center"/>
            </w:pPr>
            <w:r w:rsidRPr="00D272CC">
              <w:t>2</w:t>
            </w:r>
          </w:p>
        </w:tc>
        <w:tc>
          <w:tcPr>
            <w:tcW w:w="525" w:type="dxa"/>
            <w:vAlign w:val="bottom"/>
          </w:tcPr>
          <w:p w14:paraId="09ED91A0" w14:textId="77777777" w:rsidR="0031293A" w:rsidRPr="00D272CC" w:rsidRDefault="00FC0D04" w:rsidP="007831D1">
            <w:pPr>
              <w:pStyle w:val="Tablesmall"/>
              <w:jc w:val="center"/>
            </w:pPr>
            <w:r w:rsidRPr="00D272CC">
              <w:t>9</w:t>
            </w:r>
          </w:p>
        </w:tc>
        <w:tc>
          <w:tcPr>
            <w:tcW w:w="567" w:type="dxa"/>
            <w:vAlign w:val="bottom"/>
          </w:tcPr>
          <w:p w14:paraId="79F84D1C" w14:textId="77777777" w:rsidR="0031293A" w:rsidRPr="00D272CC" w:rsidRDefault="0031293A" w:rsidP="007831D1">
            <w:pPr>
              <w:pStyle w:val="Tablesmall"/>
              <w:jc w:val="center"/>
            </w:pPr>
            <w:r w:rsidRPr="00D272CC">
              <w:t>3</w:t>
            </w:r>
            <w:r w:rsidR="00FC0D04" w:rsidRPr="00D272CC">
              <w:t>9</w:t>
            </w:r>
          </w:p>
        </w:tc>
      </w:tr>
      <w:tr w:rsidR="00567EA1" w:rsidRPr="00D272CC" w14:paraId="6AD55C44" w14:textId="77777777" w:rsidTr="006411D6">
        <w:tc>
          <w:tcPr>
            <w:tcW w:w="3261" w:type="dxa"/>
          </w:tcPr>
          <w:p w14:paraId="061AED9F" w14:textId="77777777" w:rsidR="0031293A" w:rsidRPr="00D272CC" w:rsidRDefault="0031293A" w:rsidP="007831D1">
            <w:pPr>
              <w:pStyle w:val="Tablesmall"/>
            </w:pPr>
            <w:r w:rsidRPr="00D272CC">
              <w:t>US GAAP used</w:t>
            </w:r>
            <w:r w:rsidR="004D2264" w:rsidRPr="00D272CC">
              <w:t xml:space="preserve"> in every year</w:t>
            </w:r>
          </w:p>
        </w:tc>
        <w:tc>
          <w:tcPr>
            <w:tcW w:w="524" w:type="dxa"/>
            <w:vAlign w:val="bottom"/>
          </w:tcPr>
          <w:p w14:paraId="521AABDA" w14:textId="77777777" w:rsidR="0031293A" w:rsidRPr="00D272CC" w:rsidRDefault="0031293A" w:rsidP="007831D1">
            <w:pPr>
              <w:pStyle w:val="Tablesmall"/>
              <w:jc w:val="center"/>
            </w:pPr>
            <w:r w:rsidRPr="00D272CC">
              <w:t>-</w:t>
            </w:r>
          </w:p>
        </w:tc>
        <w:tc>
          <w:tcPr>
            <w:tcW w:w="524" w:type="dxa"/>
            <w:vAlign w:val="bottom"/>
          </w:tcPr>
          <w:p w14:paraId="643FA1C9" w14:textId="77777777" w:rsidR="0031293A" w:rsidRPr="00D272CC" w:rsidRDefault="0031293A" w:rsidP="007831D1">
            <w:pPr>
              <w:pStyle w:val="Tablesmall"/>
              <w:jc w:val="center"/>
            </w:pPr>
            <w:r w:rsidRPr="00D272CC">
              <w:t>8</w:t>
            </w:r>
          </w:p>
        </w:tc>
        <w:tc>
          <w:tcPr>
            <w:tcW w:w="525" w:type="dxa"/>
            <w:vAlign w:val="bottom"/>
          </w:tcPr>
          <w:p w14:paraId="782E82D1" w14:textId="77777777" w:rsidR="0031293A" w:rsidRPr="00D272CC" w:rsidRDefault="0031293A" w:rsidP="007831D1">
            <w:pPr>
              <w:pStyle w:val="Tablesmall"/>
              <w:jc w:val="center"/>
            </w:pPr>
            <w:r w:rsidRPr="00D272CC">
              <w:t>-</w:t>
            </w:r>
          </w:p>
        </w:tc>
        <w:tc>
          <w:tcPr>
            <w:tcW w:w="524" w:type="dxa"/>
            <w:vAlign w:val="bottom"/>
          </w:tcPr>
          <w:p w14:paraId="2B5D9439" w14:textId="77777777" w:rsidR="0031293A" w:rsidRPr="00D272CC" w:rsidRDefault="00FC0D04" w:rsidP="007831D1">
            <w:pPr>
              <w:pStyle w:val="Tablesmall"/>
              <w:jc w:val="center"/>
            </w:pPr>
            <w:r w:rsidRPr="00D272CC">
              <w:t>1</w:t>
            </w:r>
          </w:p>
        </w:tc>
        <w:tc>
          <w:tcPr>
            <w:tcW w:w="525" w:type="dxa"/>
            <w:vAlign w:val="bottom"/>
          </w:tcPr>
          <w:p w14:paraId="400C11C5" w14:textId="77777777" w:rsidR="0031293A" w:rsidRPr="00D272CC" w:rsidRDefault="0031293A" w:rsidP="007831D1">
            <w:pPr>
              <w:pStyle w:val="Tablesmall"/>
              <w:jc w:val="center"/>
            </w:pPr>
            <w:r w:rsidRPr="00D272CC">
              <w:t>-</w:t>
            </w:r>
          </w:p>
        </w:tc>
        <w:tc>
          <w:tcPr>
            <w:tcW w:w="524" w:type="dxa"/>
            <w:vAlign w:val="bottom"/>
          </w:tcPr>
          <w:p w14:paraId="2A127BD9" w14:textId="77777777" w:rsidR="0031293A" w:rsidRPr="00D272CC" w:rsidRDefault="0031293A" w:rsidP="007831D1">
            <w:pPr>
              <w:pStyle w:val="Tablesmall"/>
              <w:jc w:val="center"/>
            </w:pPr>
            <w:r w:rsidRPr="00D272CC">
              <w:t>-</w:t>
            </w:r>
          </w:p>
        </w:tc>
        <w:tc>
          <w:tcPr>
            <w:tcW w:w="524" w:type="dxa"/>
            <w:vAlign w:val="bottom"/>
          </w:tcPr>
          <w:p w14:paraId="22260009" w14:textId="77777777" w:rsidR="0031293A" w:rsidRPr="00D272CC" w:rsidRDefault="0031293A" w:rsidP="007831D1">
            <w:pPr>
              <w:pStyle w:val="Tablesmall"/>
              <w:jc w:val="center"/>
            </w:pPr>
            <w:r w:rsidRPr="00D272CC">
              <w:t>1</w:t>
            </w:r>
          </w:p>
        </w:tc>
        <w:tc>
          <w:tcPr>
            <w:tcW w:w="525" w:type="dxa"/>
            <w:vAlign w:val="bottom"/>
          </w:tcPr>
          <w:p w14:paraId="26DC28B2" w14:textId="77777777" w:rsidR="0031293A" w:rsidRPr="00D272CC" w:rsidRDefault="0031293A" w:rsidP="007831D1">
            <w:pPr>
              <w:pStyle w:val="Tablesmall"/>
              <w:jc w:val="center"/>
            </w:pPr>
            <w:r w:rsidRPr="00D272CC">
              <w:t>-</w:t>
            </w:r>
          </w:p>
        </w:tc>
        <w:tc>
          <w:tcPr>
            <w:tcW w:w="524" w:type="dxa"/>
            <w:vAlign w:val="bottom"/>
          </w:tcPr>
          <w:p w14:paraId="6711FCD1" w14:textId="77777777" w:rsidR="0031293A" w:rsidRPr="00D272CC" w:rsidRDefault="00FC0D04" w:rsidP="007831D1">
            <w:pPr>
              <w:pStyle w:val="Tablesmall"/>
              <w:jc w:val="center"/>
            </w:pPr>
            <w:r w:rsidRPr="00D272CC">
              <w:t>-</w:t>
            </w:r>
          </w:p>
        </w:tc>
        <w:tc>
          <w:tcPr>
            <w:tcW w:w="525" w:type="dxa"/>
            <w:vAlign w:val="bottom"/>
          </w:tcPr>
          <w:p w14:paraId="381CDB0F" w14:textId="77777777" w:rsidR="0031293A" w:rsidRPr="00D272CC" w:rsidRDefault="0031293A" w:rsidP="007831D1">
            <w:pPr>
              <w:pStyle w:val="Tablesmall"/>
              <w:jc w:val="center"/>
            </w:pPr>
            <w:r w:rsidRPr="00D272CC">
              <w:t>-</w:t>
            </w:r>
          </w:p>
        </w:tc>
        <w:tc>
          <w:tcPr>
            <w:tcW w:w="567" w:type="dxa"/>
            <w:vAlign w:val="bottom"/>
          </w:tcPr>
          <w:p w14:paraId="460C8EF6" w14:textId="77777777" w:rsidR="0031293A" w:rsidRPr="00D272CC" w:rsidRDefault="0031293A" w:rsidP="007831D1">
            <w:pPr>
              <w:pStyle w:val="Tablesmall"/>
              <w:jc w:val="center"/>
            </w:pPr>
            <w:r w:rsidRPr="00D272CC">
              <w:t>1</w:t>
            </w:r>
            <w:r w:rsidR="00FC0D04" w:rsidRPr="00D272CC">
              <w:t>0</w:t>
            </w:r>
          </w:p>
        </w:tc>
      </w:tr>
      <w:tr w:rsidR="00567EA1" w:rsidRPr="00D272CC" w14:paraId="195C2750" w14:textId="77777777" w:rsidTr="006411D6">
        <w:tc>
          <w:tcPr>
            <w:tcW w:w="3261" w:type="dxa"/>
          </w:tcPr>
          <w:p w14:paraId="164181EF" w14:textId="77777777" w:rsidR="0031293A" w:rsidRPr="00D272CC" w:rsidRDefault="00C73D8D" w:rsidP="00A84E3E">
            <w:pPr>
              <w:pStyle w:val="Tablesmall"/>
            </w:pPr>
            <w:r w:rsidRPr="00D272CC">
              <w:t xml:space="preserve">Firms </w:t>
            </w:r>
            <w:r w:rsidR="00A84E3E" w:rsidRPr="00D272CC">
              <w:t>with less than</w:t>
            </w:r>
            <w:r w:rsidRPr="00D272CC">
              <w:t xml:space="preserve"> two years of data</w:t>
            </w:r>
          </w:p>
        </w:tc>
        <w:tc>
          <w:tcPr>
            <w:tcW w:w="524" w:type="dxa"/>
            <w:vAlign w:val="bottom"/>
          </w:tcPr>
          <w:p w14:paraId="6A227095" w14:textId="77777777" w:rsidR="0031293A" w:rsidRPr="00D272CC" w:rsidRDefault="00D650F8" w:rsidP="007831D1">
            <w:pPr>
              <w:pStyle w:val="Tablesmall"/>
              <w:jc w:val="center"/>
            </w:pPr>
            <w:r w:rsidRPr="00D272CC">
              <w:t>1</w:t>
            </w:r>
          </w:p>
        </w:tc>
        <w:tc>
          <w:tcPr>
            <w:tcW w:w="524" w:type="dxa"/>
            <w:vAlign w:val="bottom"/>
          </w:tcPr>
          <w:p w14:paraId="4645FE43" w14:textId="77777777" w:rsidR="0031293A" w:rsidRPr="00D272CC" w:rsidRDefault="00D650F8" w:rsidP="007831D1">
            <w:pPr>
              <w:pStyle w:val="Tablesmall"/>
              <w:jc w:val="center"/>
            </w:pPr>
            <w:r w:rsidRPr="00D272CC">
              <w:t>1</w:t>
            </w:r>
          </w:p>
        </w:tc>
        <w:tc>
          <w:tcPr>
            <w:tcW w:w="525" w:type="dxa"/>
            <w:vAlign w:val="bottom"/>
          </w:tcPr>
          <w:p w14:paraId="06382D08" w14:textId="77777777" w:rsidR="0031293A" w:rsidRPr="00D272CC" w:rsidRDefault="00FC0D04" w:rsidP="007831D1">
            <w:pPr>
              <w:pStyle w:val="Tablesmall"/>
              <w:jc w:val="center"/>
            </w:pPr>
            <w:r w:rsidRPr="00D272CC">
              <w:t>1</w:t>
            </w:r>
          </w:p>
        </w:tc>
        <w:tc>
          <w:tcPr>
            <w:tcW w:w="524" w:type="dxa"/>
            <w:vAlign w:val="bottom"/>
          </w:tcPr>
          <w:p w14:paraId="34243378" w14:textId="77777777" w:rsidR="0031293A" w:rsidRPr="00D272CC" w:rsidRDefault="00FC0D04" w:rsidP="007831D1">
            <w:pPr>
              <w:pStyle w:val="Tablesmall"/>
              <w:jc w:val="center"/>
            </w:pPr>
            <w:r w:rsidRPr="00D272CC">
              <w:t>-</w:t>
            </w:r>
          </w:p>
        </w:tc>
        <w:tc>
          <w:tcPr>
            <w:tcW w:w="525" w:type="dxa"/>
            <w:vAlign w:val="bottom"/>
          </w:tcPr>
          <w:p w14:paraId="6BD758D5" w14:textId="77777777" w:rsidR="0031293A" w:rsidRPr="00D272CC" w:rsidRDefault="00D650F8" w:rsidP="007831D1">
            <w:pPr>
              <w:pStyle w:val="Tablesmall"/>
              <w:jc w:val="center"/>
            </w:pPr>
            <w:r w:rsidRPr="00D272CC">
              <w:t>2</w:t>
            </w:r>
          </w:p>
        </w:tc>
        <w:tc>
          <w:tcPr>
            <w:tcW w:w="524" w:type="dxa"/>
            <w:vAlign w:val="bottom"/>
          </w:tcPr>
          <w:p w14:paraId="3F77E634" w14:textId="77777777" w:rsidR="0031293A" w:rsidRPr="00D272CC" w:rsidRDefault="00FC0D04" w:rsidP="007831D1">
            <w:pPr>
              <w:pStyle w:val="Tablesmall"/>
              <w:jc w:val="center"/>
            </w:pPr>
            <w:r w:rsidRPr="00D272CC">
              <w:t>-</w:t>
            </w:r>
          </w:p>
        </w:tc>
        <w:tc>
          <w:tcPr>
            <w:tcW w:w="524" w:type="dxa"/>
            <w:vAlign w:val="bottom"/>
          </w:tcPr>
          <w:p w14:paraId="75C7386C" w14:textId="77777777" w:rsidR="0031293A" w:rsidRPr="00D272CC" w:rsidRDefault="00D650F8" w:rsidP="007831D1">
            <w:pPr>
              <w:pStyle w:val="Tablesmall"/>
              <w:jc w:val="center"/>
            </w:pPr>
            <w:r w:rsidRPr="00D272CC">
              <w:t>6</w:t>
            </w:r>
          </w:p>
        </w:tc>
        <w:tc>
          <w:tcPr>
            <w:tcW w:w="525" w:type="dxa"/>
            <w:vAlign w:val="bottom"/>
          </w:tcPr>
          <w:p w14:paraId="76CC77C6" w14:textId="77777777" w:rsidR="0031293A" w:rsidRPr="00D272CC" w:rsidRDefault="0031293A" w:rsidP="007831D1">
            <w:pPr>
              <w:pStyle w:val="Tablesmall"/>
              <w:jc w:val="center"/>
            </w:pPr>
            <w:r w:rsidRPr="00D272CC">
              <w:t>-</w:t>
            </w:r>
          </w:p>
        </w:tc>
        <w:tc>
          <w:tcPr>
            <w:tcW w:w="524" w:type="dxa"/>
            <w:vAlign w:val="bottom"/>
          </w:tcPr>
          <w:p w14:paraId="1D1BE08A" w14:textId="77777777" w:rsidR="0031293A" w:rsidRPr="00D272CC" w:rsidRDefault="00B21930" w:rsidP="007831D1">
            <w:pPr>
              <w:pStyle w:val="Tablesmall"/>
              <w:jc w:val="center"/>
            </w:pPr>
            <w:r w:rsidRPr="00D272CC">
              <w:t>2</w:t>
            </w:r>
          </w:p>
        </w:tc>
        <w:tc>
          <w:tcPr>
            <w:tcW w:w="525" w:type="dxa"/>
            <w:vAlign w:val="bottom"/>
          </w:tcPr>
          <w:p w14:paraId="5181E07A" w14:textId="77777777" w:rsidR="0031293A" w:rsidRPr="00D272CC" w:rsidRDefault="00B21930" w:rsidP="007831D1">
            <w:pPr>
              <w:pStyle w:val="Tablesmall"/>
              <w:jc w:val="center"/>
            </w:pPr>
            <w:r w:rsidRPr="00D272CC">
              <w:t>2</w:t>
            </w:r>
          </w:p>
        </w:tc>
        <w:tc>
          <w:tcPr>
            <w:tcW w:w="567" w:type="dxa"/>
            <w:vAlign w:val="bottom"/>
          </w:tcPr>
          <w:p w14:paraId="7E8D9A0F" w14:textId="77777777" w:rsidR="0031293A" w:rsidRPr="00D272CC" w:rsidRDefault="00B21930" w:rsidP="007831D1">
            <w:pPr>
              <w:pStyle w:val="Tablesmall"/>
              <w:jc w:val="center"/>
            </w:pPr>
            <w:r w:rsidRPr="00D272CC">
              <w:t>15</w:t>
            </w:r>
          </w:p>
        </w:tc>
      </w:tr>
      <w:tr w:rsidR="00567EA1" w:rsidRPr="00D272CC" w14:paraId="7B7259C8" w14:textId="77777777" w:rsidTr="006411D6">
        <w:tc>
          <w:tcPr>
            <w:tcW w:w="3261" w:type="dxa"/>
          </w:tcPr>
          <w:p w14:paraId="7F5CF742" w14:textId="77777777" w:rsidR="0031293A" w:rsidRPr="00D272CC" w:rsidRDefault="0031293A" w:rsidP="007831D1">
            <w:pPr>
              <w:pStyle w:val="Tablesmall"/>
            </w:pPr>
          </w:p>
        </w:tc>
        <w:tc>
          <w:tcPr>
            <w:tcW w:w="524" w:type="dxa"/>
            <w:vAlign w:val="bottom"/>
          </w:tcPr>
          <w:p w14:paraId="2C869EF5" w14:textId="77777777" w:rsidR="0031293A" w:rsidRPr="00D272CC" w:rsidRDefault="0031293A" w:rsidP="007831D1">
            <w:pPr>
              <w:pStyle w:val="Tablesmall"/>
              <w:jc w:val="center"/>
            </w:pPr>
          </w:p>
        </w:tc>
        <w:tc>
          <w:tcPr>
            <w:tcW w:w="524" w:type="dxa"/>
            <w:vAlign w:val="bottom"/>
          </w:tcPr>
          <w:p w14:paraId="438CD9C5" w14:textId="77777777" w:rsidR="0031293A" w:rsidRPr="00D272CC" w:rsidRDefault="0031293A" w:rsidP="007831D1">
            <w:pPr>
              <w:pStyle w:val="Tablesmall"/>
              <w:jc w:val="center"/>
            </w:pPr>
          </w:p>
        </w:tc>
        <w:tc>
          <w:tcPr>
            <w:tcW w:w="525" w:type="dxa"/>
            <w:vAlign w:val="bottom"/>
          </w:tcPr>
          <w:p w14:paraId="0D8B4053" w14:textId="77777777" w:rsidR="0031293A" w:rsidRPr="00D272CC" w:rsidRDefault="0031293A" w:rsidP="007831D1">
            <w:pPr>
              <w:pStyle w:val="Tablesmall"/>
              <w:jc w:val="center"/>
            </w:pPr>
          </w:p>
        </w:tc>
        <w:tc>
          <w:tcPr>
            <w:tcW w:w="524" w:type="dxa"/>
            <w:vAlign w:val="bottom"/>
          </w:tcPr>
          <w:p w14:paraId="322F56E4" w14:textId="77777777" w:rsidR="0031293A" w:rsidRPr="00D272CC" w:rsidRDefault="0031293A" w:rsidP="007831D1">
            <w:pPr>
              <w:pStyle w:val="Tablesmall"/>
              <w:jc w:val="center"/>
            </w:pPr>
          </w:p>
        </w:tc>
        <w:tc>
          <w:tcPr>
            <w:tcW w:w="525" w:type="dxa"/>
            <w:vAlign w:val="bottom"/>
          </w:tcPr>
          <w:p w14:paraId="5D253F25" w14:textId="77777777" w:rsidR="0031293A" w:rsidRPr="00D272CC" w:rsidRDefault="0031293A" w:rsidP="007831D1">
            <w:pPr>
              <w:pStyle w:val="Tablesmall"/>
              <w:jc w:val="center"/>
            </w:pPr>
          </w:p>
        </w:tc>
        <w:tc>
          <w:tcPr>
            <w:tcW w:w="524" w:type="dxa"/>
            <w:vAlign w:val="bottom"/>
          </w:tcPr>
          <w:p w14:paraId="78F451DE" w14:textId="77777777" w:rsidR="0031293A" w:rsidRPr="00D272CC" w:rsidRDefault="0031293A" w:rsidP="007831D1">
            <w:pPr>
              <w:pStyle w:val="Tablesmall"/>
              <w:jc w:val="center"/>
            </w:pPr>
          </w:p>
        </w:tc>
        <w:tc>
          <w:tcPr>
            <w:tcW w:w="524" w:type="dxa"/>
            <w:vAlign w:val="bottom"/>
          </w:tcPr>
          <w:p w14:paraId="4FF5B346" w14:textId="77777777" w:rsidR="0031293A" w:rsidRPr="00D272CC" w:rsidRDefault="0031293A" w:rsidP="007831D1">
            <w:pPr>
              <w:pStyle w:val="Tablesmall"/>
              <w:jc w:val="center"/>
            </w:pPr>
          </w:p>
        </w:tc>
        <w:tc>
          <w:tcPr>
            <w:tcW w:w="525" w:type="dxa"/>
            <w:vAlign w:val="bottom"/>
          </w:tcPr>
          <w:p w14:paraId="1FEB6790" w14:textId="77777777" w:rsidR="0031293A" w:rsidRPr="00D272CC" w:rsidRDefault="0031293A" w:rsidP="007831D1">
            <w:pPr>
              <w:pStyle w:val="Tablesmall"/>
              <w:jc w:val="center"/>
            </w:pPr>
          </w:p>
        </w:tc>
        <w:tc>
          <w:tcPr>
            <w:tcW w:w="524" w:type="dxa"/>
            <w:vAlign w:val="bottom"/>
          </w:tcPr>
          <w:p w14:paraId="24F0BEB4" w14:textId="77777777" w:rsidR="0031293A" w:rsidRPr="00D272CC" w:rsidRDefault="0031293A" w:rsidP="007831D1">
            <w:pPr>
              <w:pStyle w:val="Tablesmall"/>
              <w:jc w:val="center"/>
            </w:pPr>
          </w:p>
        </w:tc>
        <w:tc>
          <w:tcPr>
            <w:tcW w:w="525" w:type="dxa"/>
            <w:vAlign w:val="bottom"/>
          </w:tcPr>
          <w:p w14:paraId="42D0CC7E" w14:textId="77777777" w:rsidR="0031293A" w:rsidRPr="00D272CC" w:rsidRDefault="0031293A" w:rsidP="007831D1">
            <w:pPr>
              <w:pStyle w:val="Tablesmall"/>
              <w:jc w:val="center"/>
            </w:pPr>
          </w:p>
        </w:tc>
        <w:tc>
          <w:tcPr>
            <w:tcW w:w="567" w:type="dxa"/>
            <w:vAlign w:val="bottom"/>
          </w:tcPr>
          <w:p w14:paraId="5F41D417" w14:textId="77777777" w:rsidR="0031293A" w:rsidRPr="00D272CC" w:rsidRDefault="0031293A" w:rsidP="007831D1">
            <w:pPr>
              <w:pStyle w:val="Tablesmall"/>
              <w:jc w:val="center"/>
            </w:pPr>
          </w:p>
        </w:tc>
      </w:tr>
      <w:tr w:rsidR="00567EA1" w:rsidRPr="00D272CC" w14:paraId="7BC5AE29" w14:textId="77777777" w:rsidTr="006411D6">
        <w:tc>
          <w:tcPr>
            <w:tcW w:w="3261" w:type="dxa"/>
            <w:tcBorders>
              <w:top w:val="single" w:sz="4" w:space="0" w:color="auto"/>
            </w:tcBorders>
          </w:tcPr>
          <w:p w14:paraId="6CEB4F48" w14:textId="77777777" w:rsidR="0031293A" w:rsidRPr="00D272CC" w:rsidRDefault="0031293A" w:rsidP="007831D1">
            <w:pPr>
              <w:pStyle w:val="Tablesmall"/>
              <w:rPr>
                <w:b/>
              </w:rPr>
            </w:pPr>
            <w:r w:rsidRPr="00D272CC">
              <w:rPr>
                <w:b/>
              </w:rPr>
              <w:t>Firms</w:t>
            </w:r>
          </w:p>
        </w:tc>
        <w:tc>
          <w:tcPr>
            <w:tcW w:w="524" w:type="dxa"/>
            <w:tcBorders>
              <w:top w:val="single" w:sz="4" w:space="0" w:color="auto"/>
            </w:tcBorders>
            <w:vAlign w:val="bottom"/>
          </w:tcPr>
          <w:p w14:paraId="1A4D604A" w14:textId="77777777" w:rsidR="0031293A" w:rsidRPr="00D272CC" w:rsidRDefault="00F2578B" w:rsidP="007831D1">
            <w:pPr>
              <w:pStyle w:val="Tablesmall"/>
              <w:jc w:val="center"/>
              <w:rPr>
                <w:b/>
              </w:rPr>
            </w:pPr>
            <w:r w:rsidRPr="00D272CC">
              <w:rPr>
                <w:b/>
              </w:rPr>
              <w:t>5</w:t>
            </w:r>
            <w:r w:rsidR="00D650F8" w:rsidRPr="00D272CC">
              <w:rPr>
                <w:b/>
              </w:rPr>
              <w:t>8</w:t>
            </w:r>
          </w:p>
        </w:tc>
        <w:tc>
          <w:tcPr>
            <w:tcW w:w="524" w:type="dxa"/>
            <w:tcBorders>
              <w:top w:val="single" w:sz="4" w:space="0" w:color="auto"/>
            </w:tcBorders>
            <w:vAlign w:val="bottom"/>
          </w:tcPr>
          <w:p w14:paraId="2573B659" w14:textId="77777777" w:rsidR="0031293A" w:rsidRPr="00D272CC" w:rsidRDefault="00F2578B" w:rsidP="007831D1">
            <w:pPr>
              <w:pStyle w:val="Tablesmall"/>
              <w:jc w:val="center"/>
              <w:rPr>
                <w:b/>
              </w:rPr>
            </w:pPr>
            <w:r w:rsidRPr="00D272CC">
              <w:rPr>
                <w:b/>
              </w:rPr>
              <w:t>2</w:t>
            </w:r>
            <w:r w:rsidR="00D650F8" w:rsidRPr="00D272CC">
              <w:rPr>
                <w:b/>
              </w:rPr>
              <w:t>0</w:t>
            </w:r>
          </w:p>
        </w:tc>
        <w:tc>
          <w:tcPr>
            <w:tcW w:w="525" w:type="dxa"/>
            <w:tcBorders>
              <w:top w:val="single" w:sz="4" w:space="0" w:color="auto"/>
            </w:tcBorders>
            <w:vAlign w:val="bottom"/>
          </w:tcPr>
          <w:p w14:paraId="63274866" w14:textId="77777777" w:rsidR="0031293A" w:rsidRPr="00D272CC" w:rsidRDefault="00F2578B" w:rsidP="007831D1">
            <w:pPr>
              <w:pStyle w:val="Tablesmall"/>
              <w:jc w:val="center"/>
              <w:rPr>
                <w:b/>
              </w:rPr>
            </w:pPr>
            <w:r w:rsidRPr="00D272CC">
              <w:rPr>
                <w:b/>
              </w:rPr>
              <w:t>5</w:t>
            </w:r>
            <w:r w:rsidR="00FC0D04" w:rsidRPr="00D272CC">
              <w:rPr>
                <w:b/>
              </w:rPr>
              <w:t>7</w:t>
            </w:r>
          </w:p>
        </w:tc>
        <w:tc>
          <w:tcPr>
            <w:tcW w:w="524" w:type="dxa"/>
            <w:tcBorders>
              <w:top w:val="single" w:sz="4" w:space="0" w:color="auto"/>
            </w:tcBorders>
            <w:vAlign w:val="bottom"/>
          </w:tcPr>
          <w:p w14:paraId="7511699D" w14:textId="77777777" w:rsidR="0031293A" w:rsidRPr="00D272CC" w:rsidRDefault="00F2578B" w:rsidP="007831D1">
            <w:pPr>
              <w:pStyle w:val="Tablesmall"/>
              <w:jc w:val="center"/>
              <w:rPr>
                <w:b/>
              </w:rPr>
            </w:pPr>
            <w:r w:rsidRPr="00D272CC">
              <w:rPr>
                <w:b/>
              </w:rPr>
              <w:t>4</w:t>
            </w:r>
            <w:r w:rsidR="00FC0D04" w:rsidRPr="00D272CC">
              <w:rPr>
                <w:b/>
              </w:rPr>
              <w:t>7</w:t>
            </w:r>
          </w:p>
        </w:tc>
        <w:tc>
          <w:tcPr>
            <w:tcW w:w="525" w:type="dxa"/>
            <w:tcBorders>
              <w:top w:val="single" w:sz="4" w:space="0" w:color="auto"/>
            </w:tcBorders>
            <w:vAlign w:val="bottom"/>
          </w:tcPr>
          <w:p w14:paraId="380D8FD7" w14:textId="77777777" w:rsidR="0031293A" w:rsidRPr="00D272CC" w:rsidRDefault="00F2578B" w:rsidP="00D650F8">
            <w:pPr>
              <w:pStyle w:val="Tablesmall"/>
              <w:jc w:val="center"/>
              <w:rPr>
                <w:b/>
              </w:rPr>
            </w:pPr>
            <w:r w:rsidRPr="00D272CC">
              <w:rPr>
                <w:b/>
              </w:rPr>
              <w:t>4</w:t>
            </w:r>
            <w:r w:rsidR="00D650F8" w:rsidRPr="00D272CC">
              <w:rPr>
                <w:b/>
              </w:rPr>
              <w:t>1</w:t>
            </w:r>
          </w:p>
        </w:tc>
        <w:tc>
          <w:tcPr>
            <w:tcW w:w="524" w:type="dxa"/>
            <w:tcBorders>
              <w:top w:val="single" w:sz="4" w:space="0" w:color="auto"/>
            </w:tcBorders>
            <w:vAlign w:val="bottom"/>
          </w:tcPr>
          <w:p w14:paraId="7B5402D8" w14:textId="77777777" w:rsidR="0031293A" w:rsidRPr="00D272CC" w:rsidRDefault="00F2578B" w:rsidP="007831D1">
            <w:pPr>
              <w:pStyle w:val="Tablesmall"/>
              <w:jc w:val="center"/>
              <w:rPr>
                <w:b/>
              </w:rPr>
            </w:pPr>
            <w:r w:rsidRPr="00D272CC">
              <w:rPr>
                <w:b/>
              </w:rPr>
              <w:t>4</w:t>
            </w:r>
            <w:r w:rsidR="00FC0D04" w:rsidRPr="00D272CC">
              <w:rPr>
                <w:b/>
              </w:rPr>
              <w:t>2</w:t>
            </w:r>
          </w:p>
        </w:tc>
        <w:tc>
          <w:tcPr>
            <w:tcW w:w="524" w:type="dxa"/>
            <w:tcBorders>
              <w:top w:val="single" w:sz="4" w:space="0" w:color="auto"/>
            </w:tcBorders>
            <w:vAlign w:val="bottom"/>
          </w:tcPr>
          <w:p w14:paraId="60FE0D35" w14:textId="77777777" w:rsidR="0031293A" w:rsidRPr="00D272CC" w:rsidRDefault="00F2578B" w:rsidP="00D650F8">
            <w:pPr>
              <w:pStyle w:val="Tablesmall"/>
              <w:jc w:val="center"/>
              <w:rPr>
                <w:b/>
              </w:rPr>
            </w:pPr>
            <w:r w:rsidRPr="00D272CC">
              <w:rPr>
                <w:b/>
              </w:rPr>
              <w:t>1</w:t>
            </w:r>
            <w:r w:rsidR="00FC0D04" w:rsidRPr="00D272CC">
              <w:rPr>
                <w:b/>
              </w:rPr>
              <w:t>2</w:t>
            </w:r>
            <w:r w:rsidR="00D650F8" w:rsidRPr="00D272CC">
              <w:rPr>
                <w:b/>
              </w:rPr>
              <w:t>2</w:t>
            </w:r>
          </w:p>
        </w:tc>
        <w:tc>
          <w:tcPr>
            <w:tcW w:w="525" w:type="dxa"/>
            <w:tcBorders>
              <w:top w:val="single" w:sz="4" w:space="0" w:color="auto"/>
            </w:tcBorders>
            <w:vAlign w:val="bottom"/>
          </w:tcPr>
          <w:p w14:paraId="0D4D8419" w14:textId="77777777" w:rsidR="0031293A" w:rsidRPr="00D272CC" w:rsidRDefault="00F2578B" w:rsidP="007831D1">
            <w:pPr>
              <w:pStyle w:val="Tablesmall"/>
              <w:jc w:val="center"/>
              <w:rPr>
                <w:b/>
              </w:rPr>
            </w:pPr>
            <w:r w:rsidRPr="00D272CC">
              <w:rPr>
                <w:b/>
              </w:rPr>
              <w:t>38</w:t>
            </w:r>
          </w:p>
        </w:tc>
        <w:tc>
          <w:tcPr>
            <w:tcW w:w="524" w:type="dxa"/>
            <w:tcBorders>
              <w:top w:val="single" w:sz="4" w:space="0" w:color="auto"/>
            </w:tcBorders>
            <w:vAlign w:val="bottom"/>
          </w:tcPr>
          <w:p w14:paraId="71D15E63" w14:textId="77777777" w:rsidR="0031293A" w:rsidRPr="00D272CC" w:rsidRDefault="00D650F8" w:rsidP="007831D1">
            <w:pPr>
              <w:pStyle w:val="Tablesmall"/>
              <w:jc w:val="center"/>
              <w:rPr>
                <w:b/>
              </w:rPr>
            </w:pPr>
            <w:r w:rsidRPr="00D272CC">
              <w:rPr>
                <w:b/>
              </w:rPr>
              <w:t>48</w:t>
            </w:r>
          </w:p>
        </w:tc>
        <w:tc>
          <w:tcPr>
            <w:tcW w:w="525" w:type="dxa"/>
            <w:tcBorders>
              <w:top w:val="single" w:sz="4" w:space="0" w:color="auto"/>
            </w:tcBorders>
            <w:vAlign w:val="bottom"/>
          </w:tcPr>
          <w:p w14:paraId="081EFBB9" w14:textId="77777777" w:rsidR="0031293A" w:rsidRPr="00D272CC" w:rsidRDefault="00F2578B" w:rsidP="007831D1">
            <w:pPr>
              <w:pStyle w:val="Tablesmall"/>
              <w:jc w:val="center"/>
              <w:rPr>
                <w:b/>
              </w:rPr>
            </w:pPr>
            <w:r w:rsidRPr="00D272CC">
              <w:rPr>
                <w:b/>
              </w:rPr>
              <w:t>4</w:t>
            </w:r>
            <w:r w:rsidR="00D650F8" w:rsidRPr="00D272CC">
              <w:rPr>
                <w:b/>
              </w:rPr>
              <w:t>1</w:t>
            </w:r>
          </w:p>
        </w:tc>
        <w:tc>
          <w:tcPr>
            <w:tcW w:w="567" w:type="dxa"/>
            <w:tcBorders>
              <w:top w:val="single" w:sz="4" w:space="0" w:color="auto"/>
            </w:tcBorders>
            <w:vAlign w:val="bottom"/>
          </w:tcPr>
          <w:p w14:paraId="27AB9025" w14:textId="77777777" w:rsidR="0031293A" w:rsidRPr="00D272CC" w:rsidRDefault="00F2578B" w:rsidP="00D650F8">
            <w:pPr>
              <w:pStyle w:val="Tablesmall"/>
              <w:jc w:val="center"/>
              <w:rPr>
                <w:b/>
              </w:rPr>
            </w:pPr>
            <w:r w:rsidRPr="00D272CC">
              <w:rPr>
                <w:b/>
              </w:rPr>
              <w:t>5</w:t>
            </w:r>
            <w:r w:rsidR="00D650F8" w:rsidRPr="00D272CC">
              <w:rPr>
                <w:b/>
              </w:rPr>
              <w:t>14</w:t>
            </w:r>
          </w:p>
        </w:tc>
      </w:tr>
      <w:tr w:rsidR="0031293A" w:rsidRPr="00D272CC" w14:paraId="01F9F7B3" w14:textId="77777777" w:rsidTr="006411D6">
        <w:tc>
          <w:tcPr>
            <w:tcW w:w="3261" w:type="dxa"/>
          </w:tcPr>
          <w:p w14:paraId="69B7491D" w14:textId="77777777" w:rsidR="0031293A" w:rsidRPr="00D272CC" w:rsidRDefault="0031293A" w:rsidP="007831D1">
            <w:pPr>
              <w:pStyle w:val="Tablesmall"/>
            </w:pPr>
          </w:p>
        </w:tc>
        <w:tc>
          <w:tcPr>
            <w:tcW w:w="524" w:type="dxa"/>
            <w:vAlign w:val="bottom"/>
          </w:tcPr>
          <w:p w14:paraId="377CBEDE" w14:textId="77777777" w:rsidR="0031293A" w:rsidRPr="00D272CC" w:rsidRDefault="0031293A" w:rsidP="007831D1">
            <w:pPr>
              <w:pStyle w:val="Tablesmall"/>
              <w:jc w:val="center"/>
            </w:pPr>
          </w:p>
        </w:tc>
        <w:tc>
          <w:tcPr>
            <w:tcW w:w="524" w:type="dxa"/>
            <w:vAlign w:val="bottom"/>
          </w:tcPr>
          <w:p w14:paraId="47B3229D" w14:textId="77777777" w:rsidR="0031293A" w:rsidRPr="00D272CC" w:rsidRDefault="0031293A" w:rsidP="007831D1">
            <w:pPr>
              <w:pStyle w:val="Tablesmall"/>
              <w:jc w:val="center"/>
            </w:pPr>
          </w:p>
        </w:tc>
        <w:tc>
          <w:tcPr>
            <w:tcW w:w="525" w:type="dxa"/>
            <w:vAlign w:val="bottom"/>
          </w:tcPr>
          <w:p w14:paraId="3E43C451" w14:textId="77777777" w:rsidR="0031293A" w:rsidRPr="00D272CC" w:rsidRDefault="0031293A" w:rsidP="007831D1">
            <w:pPr>
              <w:pStyle w:val="Tablesmall"/>
              <w:jc w:val="center"/>
            </w:pPr>
          </w:p>
        </w:tc>
        <w:tc>
          <w:tcPr>
            <w:tcW w:w="524" w:type="dxa"/>
            <w:vAlign w:val="bottom"/>
          </w:tcPr>
          <w:p w14:paraId="48CF24C0" w14:textId="77777777" w:rsidR="0031293A" w:rsidRPr="00D272CC" w:rsidRDefault="0031293A" w:rsidP="007831D1">
            <w:pPr>
              <w:pStyle w:val="Tablesmall"/>
              <w:jc w:val="center"/>
            </w:pPr>
          </w:p>
        </w:tc>
        <w:tc>
          <w:tcPr>
            <w:tcW w:w="525" w:type="dxa"/>
            <w:vAlign w:val="bottom"/>
          </w:tcPr>
          <w:p w14:paraId="4DC1C4F9" w14:textId="77777777" w:rsidR="0031293A" w:rsidRPr="00D272CC" w:rsidRDefault="0031293A" w:rsidP="007831D1">
            <w:pPr>
              <w:pStyle w:val="Tablesmall"/>
              <w:jc w:val="center"/>
            </w:pPr>
          </w:p>
        </w:tc>
        <w:tc>
          <w:tcPr>
            <w:tcW w:w="524" w:type="dxa"/>
            <w:vAlign w:val="bottom"/>
          </w:tcPr>
          <w:p w14:paraId="1DAE5B87" w14:textId="77777777" w:rsidR="0031293A" w:rsidRPr="00D272CC" w:rsidRDefault="0031293A" w:rsidP="007831D1">
            <w:pPr>
              <w:pStyle w:val="Tablesmall"/>
              <w:jc w:val="center"/>
            </w:pPr>
          </w:p>
        </w:tc>
        <w:tc>
          <w:tcPr>
            <w:tcW w:w="524" w:type="dxa"/>
            <w:vAlign w:val="bottom"/>
          </w:tcPr>
          <w:p w14:paraId="44FA0011" w14:textId="77777777" w:rsidR="0031293A" w:rsidRPr="00D272CC" w:rsidRDefault="0031293A" w:rsidP="007831D1">
            <w:pPr>
              <w:pStyle w:val="Tablesmall"/>
              <w:jc w:val="center"/>
            </w:pPr>
          </w:p>
        </w:tc>
        <w:tc>
          <w:tcPr>
            <w:tcW w:w="525" w:type="dxa"/>
            <w:vAlign w:val="bottom"/>
          </w:tcPr>
          <w:p w14:paraId="45E16497" w14:textId="77777777" w:rsidR="0031293A" w:rsidRPr="00D272CC" w:rsidRDefault="0031293A" w:rsidP="007831D1">
            <w:pPr>
              <w:pStyle w:val="Tablesmall"/>
              <w:jc w:val="center"/>
            </w:pPr>
          </w:p>
        </w:tc>
        <w:tc>
          <w:tcPr>
            <w:tcW w:w="524" w:type="dxa"/>
            <w:vAlign w:val="bottom"/>
          </w:tcPr>
          <w:p w14:paraId="72DCDB94" w14:textId="77777777" w:rsidR="0031293A" w:rsidRPr="00D272CC" w:rsidRDefault="0031293A" w:rsidP="007831D1">
            <w:pPr>
              <w:pStyle w:val="Tablesmall"/>
              <w:jc w:val="center"/>
            </w:pPr>
          </w:p>
        </w:tc>
        <w:tc>
          <w:tcPr>
            <w:tcW w:w="525" w:type="dxa"/>
            <w:vAlign w:val="bottom"/>
          </w:tcPr>
          <w:p w14:paraId="1DE0BE18" w14:textId="77777777" w:rsidR="0031293A" w:rsidRPr="00D272CC" w:rsidRDefault="0031293A" w:rsidP="007831D1">
            <w:pPr>
              <w:pStyle w:val="Tablesmall"/>
              <w:jc w:val="center"/>
            </w:pPr>
          </w:p>
        </w:tc>
        <w:tc>
          <w:tcPr>
            <w:tcW w:w="567" w:type="dxa"/>
            <w:vAlign w:val="bottom"/>
          </w:tcPr>
          <w:p w14:paraId="51E965FA" w14:textId="77777777" w:rsidR="0031293A" w:rsidRPr="00D272CC" w:rsidRDefault="0031293A" w:rsidP="007831D1">
            <w:pPr>
              <w:pStyle w:val="Tablesmall"/>
              <w:jc w:val="center"/>
            </w:pPr>
          </w:p>
        </w:tc>
      </w:tr>
      <w:tr w:rsidR="00C34707" w:rsidRPr="00D272CC" w14:paraId="484B61A4" w14:textId="77777777" w:rsidTr="006411D6">
        <w:tc>
          <w:tcPr>
            <w:tcW w:w="3261" w:type="dxa"/>
          </w:tcPr>
          <w:p w14:paraId="508222B6" w14:textId="77777777" w:rsidR="00C34707" w:rsidRPr="00D272CC" w:rsidRDefault="00C34707" w:rsidP="007831D1">
            <w:pPr>
              <w:pStyle w:val="Tablesmall"/>
              <w:rPr>
                <w:b/>
              </w:rPr>
            </w:pPr>
            <w:r w:rsidRPr="00D272CC">
              <w:rPr>
                <w:b/>
              </w:rPr>
              <w:t>IFRS policy changes (200</w:t>
            </w:r>
            <w:r w:rsidR="003A654C" w:rsidRPr="00D272CC">
              <w:rPr>
                <w:b/>
              </w:rPr>
              <w:t>6</w:t>
            </w:r>
            <w:r w:rsidRPr="00D272CC">
              <w:rPr>
                <w:b/>
              </w:rPr>
              <w:t>-2011)</w:t>
            </w:r>
          </w:p>
        </w:tc>
        <w:tc>
          <w:tcPr>
            <w:tcW w:w="524" w:type="dxa"/>
            <w:vAlign w:val="bottom"/>
          </w:tcPr>
          <w:p w14:paraId="2B7A746A" w14:textId="77777777" w:rsidR="00C34707" w:rsidRPr="00D272CC" w:rsidRDefault="00C34707" w:rsidP="007831D1">
            <w:pPr>
              <w:pStyle w:val="Tablesmall"/>
              <w:jc w:val="center"/>
              <w:rPr>
                <w:b/>
              </w:rPr>
            </w:pPr>
            <w:r w:rsidRPr="00D272CC">
              <w:rPr>
                <w:b/>
              </w:rPr>
              <w:t>37</w:t>
            </w:r>
          </w:p>
        </w:tc>
        <w:tc>
          <w:tcPr>
            <w:tcW w:w="524" w:type="dxa"/>
            <w:vAlign w:val="bottom"/>
          </w:tcPr>
          <w:p w14:paraId="13D0C740" w14:textId="77777777" w:rsidR="00C34707" w:rsidRPr="00D272CC" w:rsidRDefault="00C34707" w:rsidP="007831D1">
            <w:pPr>
              <w:pStyle w:val="Tablesmall"/>
              <w:jc w:val="center"/>
              <w:rPr>
                <w:b/>
              </w:rPr>
            </w:pPr>
            <w:r w:rsidRPr="00D272CC">
              <w:rPr>
                <w:b/>
              </w:rPr>
              <w:t>21</w:t>
            </w:r>
          </w:p>
        </w:tc>
        <w:tc>
          <w:tcPr>
            <w:tcW w:w="525" w:type="dxa"/>
            <w:vAlign w:val="bottom"/>
          </w:tcPr>
          <w:p w14:paraId="4B789354" w14:textId="77777777" w:rsidR="00C34707" w:rsidRPr="00D272CC" w:rsidRDefault="00C34707" w:rsidP="007831D1">
            <w:pPr>
              <w:pStyle w:val="Tablesmall"/>
              <w:jc w:val="center"/>
              <w:rPr>
                <w:b/>
              </w:rPr>
            </w:pPr>
            <w:r w:rsidRPr="00D272CC">
              <w:rPr>
                <w:b/>
              </w:rPr>
              <w:t>50</w:t>
            </w:r>
          </w:p>
        </w:tc>
        <w:tc>
          <w:tcPr>
            <w:tcW w:w="524" w:type="dxa"/>
            <w:vAlign w:val="bottom"/>
          </w:tcPr>
          <w:p w14:paraId="6BB8D661" w14:textId="77777777" w:rsidR="00C34707" w:rsidRPr="00D272CC" w:rsidRDefault="00C34707" w:rsidP="007831D1">
            <w:pPr>
              <w:pStyle w:val="Tablesmall"/>
              <w:jc w:val="center"/>
              <w:rPr>
                <w:b/>
              </w:rPr>
            </w:pPr>
            <w:r w:rsidRPr="00D272CC">
              <w:rPr>
                <w:b/>
              </w:rPr>
              <w:t>44</w:t>
            </w:r>
          </w:p>
        </w:tc>
        <w:tc>
          <w:tcPr>
            <w:tcW w:w="525" w:type="dxa"/>
            <w:vAlign w:val="bottom"/>
          </w:tcPr>
          <w:p w14:paraId="2D05316A" w14:textId="77777777" w:rsidR="00C34707" w:rsidRPr="00D272CC" w:rsidRDefault="00C34707" w:rsidP="007831D1">
            <w:pPr>
              <w:pStyle w:val="Tablesmall"/>
              <w:jc w:val="center"/>
              <w:rPr>
                <w:b/>
              </w:rPr>
            </w:pPr>
            <w:r w:rsidRPr="00D272CC">
              <w:rPr>
                <w:b/>
              </w:rPr>
              <w:t>47</w:t>
            </w:r>
          </w:p>
        </w:tc>
        <w:tc>
          <w:tcPr>
            <w:tcW w:w="524" w:type="dxa"/>
            <w:vAlign w:val="bottom"/>
          </w:tcPr>
          <w:p w14:paraId="3B4571D2" w14:textId="77777777" w:rsidR="00C34707" w:rsidRPr="00D272CC" w:rsidRDefault="00C34707" w:rsidP="007831D1">
            <w:pPr>
              <w:pStyle w:val="Tablesmall"/>
              <w:jc w:val="center"/>
              <w:rPr>
                <w:b/>
              </w:rPr>
            </w:pPr>
            <w:r w:rsidRPr="00D272CC">
              <w:rPr>
                <w:b/>
              </w:rPr>
              <w:t>56</w:t>
            </w:r>
          </w:p>
        </w:tc>
        <w:tc>
          <w:tcPr>
            <w:tcW w:w="524" w:type="dxa"/>
            <w:vAlign w:val="bottom"/>
          </w:tcPr>
          <w:p w14:paraId="722C559C" w14:textId="77777777" w:rsidR="00C34707" w:rsidRPr="00D272CC" w:rsidRDefault="00C34707" w:rsidP="007831D1">
            <w:pPr>
              <w:pStyle w:val="Tablesmall"/>
              <w:jc w:val="center"/>
              <w:rPr>
                <w:b/>
              </w:rPr>
            </w:pPr>
            <w:r w:rsidRPr="00D272CC">
              <w:rPr>
                <w:b/>
              </w:rPr>
              <w:t>73</w:t>
            </w:r>
          </w:p>
        </w:tc>
        <w:tc>
          <w:tcPr>
            <w:tcW w:w="525" w:type="dxa"/>
            <w:vAlign w:val="bottom"/>
          </w:tcPr>
          <w:p w14:paraId="29DD3716" w14:textId="77777777" w:rsidR="00C34707" w:rsidRPr="00D272CC" w:rsidRDefault="00C34707" w:rsidP="007831D1">
            <w:pPr>
              <w:pStyle w:val="Tablesmall"/>
              <w:jc w:val="center"/>
              <w:rPr>
                <w:b/>
              </w:rPr>
            </w:pPr>
            <w:r w:rsidRPr="00D272CC">
              <w:rPr>
                <w:b/>
              </w:rPr>
              <w:t>30</w:t>
            </w:r>
          </w:p>
        </w:tc>
        <w:tc>
          <w:tcPr>
            <w:tcW w:w="524" w:type="dxa"/>
            <w:vAlign w:val="bottom"/>
          </w:tcPr>
          <w:p w14:paraId="269712BF" w14:textId="77777777" w:rsidR="00C34707" w:rsidRPr="00D272CC" w:rsidRDefault="00C34707" w:rsidP="007831D1">
            <w:pPr>
              <w:pStyle w:val="Tablesmall"/>
              <w:jc w:val="center"/>
              <w:rPr>
                <w:b/>
              </w:rPr>
            </w:pPr>
            <w:r w:rsidRPr="00D272CC">
              <w:rPr>
                <w:b/>
              </w:rPr>
              <w:t>33</w:t>
            </w:r>
          </w:p>
        </w:tc>
        <w:tc>
          <w:tcPr>
            <w:tcW w:w="525" w:type="dxa"/>
            <w:vAlign w:val="bottom"/>
          </w:tcPr>
          <w:p w14:paraId="0CB6F55E" w14:textId="77777777" w:rsidR="00C34707" w:rsidRPr="00D272CC" w:rsidRDefault="00C34707" w:rsidP="007831D1">
            <w:pPr>
              <w:pStyle w:val="Tablesmall"/>
              <w:jc w:val="center"/>
              <w:rPr>
                <w:b/>
              </w:rPr>
            </w:pPr>
            <w:r w:rsidRPr="00D272CC">
              <w:rPr>
                <w:b/>
              </w:rPr>
              <w:t>43</w:t>
            </w:r>
          </w:p>
        </w:tc>
        <w:tc>
          <w:tcPr>
            <w:tcW w:w="567" w:type="dxa"/>
            <w:vAlign w:val="bottom"/>
          </w:tcPr>
          <w:p w14:paraId="61EFD1AA" w14:textId="77777777" w:rsidR="00C34707" w:rsidRPr="00D272CC" w:rsidRDefault="00C34707" w:rsidP="007831D1">
            <w:pPr>
              <w:pStyle w:val="Tablesmall"/>
              <w:jc w:val="center"/>
              <w:rPr>
                <w:b/>
              </w:rPr>
            </w:pPr>
            <w:r w:rsidRPr="00D272CC">
              <w:rPr>
                <w:b/>
              </w:rPr>
              <w:t>434</w:t>
            </w:r>
          </w:p>
        </w:tc>
      </w:tr>
      <w:tr w:rsidR="008C69E3" w:rsidRPr="00D272CC" w14:paraId="6A897215" w14:textId="77777777" w:rsidTr="006411D6">
        <w:tc>
          <w:tcPr>
            <w:tcW w:w="3261" w:type="dxa"/>
          </w:tcPr>
          <w:p w14:paraId="0EEDA639" w14:textId="77777777" w:rsidR="008C69E3" w:rsidRPr="00D272CC" w:rsidRDefault="008C69E3" w:rsidP="00C12E57">
            <w:pPr>
              <w:pStyle w:val="Tablesmall"/>
              <w:rPr>
                <w:b/>
              </w:rPr>
            </w:pPr>
            <w:r w:rsidRPr="00D272CC">
              <w:t>IFRS policy choices (2006-2011)</w:t>
            </w:r>
          </w:p>
        </w:tc>
        <w:tc>
          <w:tcPr>
            <w:tcW w:w="524" w:type="dxa"/>
            <w:vAlign w:val="bottom"/>
          </w:tcPr>
          <w:p w14:paraId="4E0EA3C9" w14:textId="77777777" w:rsidR="008C69E3" w:rsidRPr="00D272CC" w:rsidRDefault="00EC6B9A" w:rsidP="00134787">
            <w:pPr>
              <w:pStyle w:val="Tablesmall"/>
              <w:jc w:val="center"/>
            </w:pPr>
            <w:r w:rsidRPr="00D272CC">
              <w:t>3,3</w:t>
            </w:r>
            <w:r w:rsidR="00134787" w:rsidRPr="00D272CC">
              <w:t>61</w:t>
            </w:r>
          </w:p>
        </w:tc>
        <w:tc>
          <w:tcPr>
            <w:tcW w:w="524" w:type="dxa"/>
            <w:vAlign w:val="bottom"/>
          </w:tcPr>
          <w:p w14:paraId="22AE3003" w14:textId="77777777" w:rsidR="008C69E3" w:rsidRPr="00D272CC" w:rsidRDefault="00EC6B9A" w:rsidP="008C69E3">
            <w:pPr>
              <w:pStyle w:val="Tablesmall"/>
              <w:jc w:val="center"/>
            </w:pPr>
            <w:r w:rsidRPr="00D272CC">
              <w:t>1,490</w:t>
            </w:r>
          </w:p>
        </w:tc>
        <w:tc>
          <w:tcPr>
            <w:tcW w:w="525" w:type="dxa"/>
            <w:vAlign w:val="bottom"/>
          </w:tcPr>
          <w:p w14:paraId="0F749C57" w14:textId="77777777" w:rsidR="008C69E3" w:rsidRPr="00D272CC" w:rsidRDefault="00EC6B9A" w:rsidP="008C69E3">
            <w:pPr>
              <w:pStyle w:val="Tablesmall"/>
              <w:jc w:val="center"/>
            </w:pPr>
            <w:r w:rsidRPr="00D272CC">
              <w:t>3,873</w:t>
            </w:r>
          </w:p>
        </w:tc>
        <w:tc>
          <w:tcPr>
            <w:tcW w:w="524" w:type="dxa"/>
            <w:vAlign w:val="bottom"/>
          </w:tcPr>
          <w:p w14:paraId="079E6065" w14:textId="77777777" w:rsidR="008C69E3" w:rsidRPr="00D272CC" w:rsidRDefault="00EC6B9A" w:rsidP="008C69E3">
            <w:pPr>
              <w:pStyle w:val="Tablesmall"/>
              <w:jc w:val="center"/>
            </w:pPr>
            <w:r w:rsidRPr="00D272CC">
              <w:t>3,443</w:t>
            </w:r>
          </w:p>
        </w:tc>
        <w:tc>
          <w:tcPr>
            <w:tcW w:w="525" w:type="dxa"/>
            <w:vAlign w:val="bottom"/>
          </w:tcPr>
          <w:p w14:paraId="61E4AB4D" w14:textId="77777777" w:rsidR="008C69E3" w:rsidRPr="00D272CC" w:rsidRDefault="00EC6B9A" w:rsidP="008C69E3">
            <w:pPr>
              <w:pStyle w:val="Tablesmall"/>
              <w:jc w:val="center"/>
            </w:pPr>
            <w:r w:rsidRPr="00D272CC">
              <w:t>2,908</w:t>
            </w:r>
          </w:p>
        </w:tc>
        <w:tc>
          <w:tcPr>
            <w:tcW w:w="524" w:type="dxa"/>
            <w:vAlign w:val="bottom"/>
          </w:tcPr>
          <w:p w14:paraId="1C8C940C" w14:textId="77777777" w:rsidR="008C69E3" w:rsidRPr="00D272CC" w:rsidRDefault="00EC6B9A" w:rsidP="008C69E3">
            <w:pPr>
              <w:pStyle w:val="Tablesmall"/>
              <w:jc w:val="center"/>
            </w:pPr>
            <w:r w:rsidRPr="00D272CC">
              <w:t>3,207</w:t>
            </w:r>
          </w:p>
        </w:tc>
        <w:tc>
          <w:tcPr>
            <w:tcW w:w="524" w:type="dxa"/>
            <w:vAlign w:val="bottom"/>
          </w:tcPr>
          <w:p w14:paraId="5818597D" w14:textId="77777777" w:rsidR="008C69E3" w:rsidRPr="00D272CC" w:rsidRDefault="00EC6B9A" w:rsidP="008C69E3">
            <w:pPr>
              <w:pStyle w:val="Tablesmall"/>
              <w:jc w:val="center"/>
            </w:pPr>
            <w:r w:rsidRPr="00D272CC">
              <w:t>7,561</w:t>
            </w:r>
          </w:p>
        </w:tc>
        <w:tc>
          <w:tcPr>
            <w:tcW w:w="525" w:type="dxa"/>
            <w:vAlign w:val="bottom"/>
          </w:tcPr>
          <w:p w14:paraId="392DF50A" w14:textId="77777777" w:rsidR="008C69E3" w:rsidRPr="00D272CC" w:rsidRDefault="00EC6B9A" w:rsidP="008C69E3">
            <w:pPr>
              <w:pStyle w:val="Tablesmall"/>
              <w:jc w:val="center"/>
            </w:pPr>
            <w:r w:rsidRPr="00D272CC">
              <w:t>2,789</w:t>
            </w:r>
          </w:p>
        </w:tc>
        <w:tc>
          <w:tcPr>
            <w:tcW w:w="524" w:type="dxa"/>
            <w:vAlign w:val="bottom"/>
          </w:tcPr>
          <w:p w14:paraId="331E584D" w14:textId="77777777" w:rsidR="008C69E3" w:rsidRPr="00D272CC" w:rsidRDefault="00EC6B9A" w:rsidP="008C69E3">
            <w:pPr>
              <w:pStyle w:val="Tablesmall"/>
              <w:jc w:val="center"/>
            </w:pPr>
            <w:r w:rsidRPr="00D272CC">
              <w:t>3,283</w:t>
            </w:r>
          </w:p>
        </w:tc>
        <w:tc>
          <w:tcPr>
            <w:tcW w:w="525" w:type="dxa"/>
            <w:vAlign w:val="bottom"/>
          </w:tcPr>
          <w:p w14:paraId="2E2E4961" w14:textId="77777777" w:rsidR="008C69E3" w:rsidRPr="00D272CC" w:rsidRDefault="00EC6B9A" w:rsidP="008C69E3">
            <w:pPr>
              <w:pStyle w:val="Tablesmall"/>
              <w:jc w:val="center"/>
            </w:pPr>
            <w:r w:rsidRPr="00D272CC">
              <w:t>2,811</w:t>
            </w:r>
          </w:p>
        </w:tc>
        <w:tc>
          <w:tcPr>
            <w:tcW w:w="567" w:type="dxa"/>
            <w:vAlign w:val="bottom"/>
          </w:tcPr>
          <w:p w14:paraId="40C1EC0C" w14:textId="77777777" w:rsidR="008C69E3" w:rsidRPr="00D272CC" w:rsidRDefault="00EC6B9A" w:rsidP="00134787">
            <w:pPr>
              <w:pStyle w:val="Tablesmall"/>
              <w:jc w:val="center"/>
            </w:pPr>
            <w:r w:rsidRPr="00D272CC">
              <w:t>34,7</w:t>
            </w:r>
            <w:r w:rsidR="00134787" w:rsidRPr="00D272CC">
              <w:t>26</w:t>
            </w:r>
          </w:p>
        </w:tc>
      </w:tr>
      <w:tr w:rsidR="008C69E3" w:rsidRPr="00D272CC" w14:paraId="5C8A619B" w14:textId="77777777" w:rsidTr="006411D6">
        <w:tc>
          <w:tcPr>
            <w:tcW w:w="3261" w:type="dxa"/>
          </w:tcPr>
          <w:p w14:paraId="35EA74C8" w14:textId="77777777" w:rsidR="008C69E3" w:rsidRPr="00D272CC" w:rsidRDefault="008C69E3" w:rsidP="007831D1">
            <w:pPr>
              <w:pStyle w:val="Tablesmall"/>
            </w:pPr>
            <w:r w:rsidRPr="00D272CC">
              <w:t>Proportion of choices changed</w:t>
            </w:r>
          </w:p>
        </w:tc>
        <w:tc>
          <w:tcPr>
            <w:tcW w:w="524" w:type="dxa"/>
            <w:vAlign w:val="bottom"/>
          </w:tcPr>
          <w:p w14:paraId="7E8EFEBC" w14:textId="77777777" w:rsidR="008C69E3" w:rsidRPr="00D272CC" w:rsidRDefault="008C69E3" w:rsidP="008C69E3">
            <w:pPr>
              <w:pStyle w:val="Tablesmall"/>
              <w:jc w:val="center"/>
            </w:pPr>
            <w:r w:rsidRPr="00D272CC">
              <w:t>1.</w:t>
            </w:r>
            <w:r w:rsidR="00EC6B9A" w:rsidRPr="00D272CC">
              <w:t>1</w:t>
            </w:r>
            <w:r w:rsidRPr="00D272CC">
              <w:t>%</w:t>
            </w:r>
          </w:p>
        </w:tc>
        <w:tc>
          <w:tcPr>
            <w:tcW w:w="524" w:type="dxa"/>
            <w:vAlign w:val="bottom"/>
          </w:tcPr>
          <w:p w14:paraId="4ECF6995" w14:textId="77777777" w:rsidR="008C69E3" w:rsidRPr="00D272CC" w:rsidRDefault="008C69E3" w:rsidP="008C69E3">
            <w:pPr>
              <w:pStyle w:val="Tablesmall"/>
              <w:jc w:val="center"/>
            </w:pPr>
            <w:r w:rsidRPr="00D272CC">
              <w:t>1.4%</w:t>
            </w:r>
          </w:p>
        </w:tc>
        <w:tc>
          <w:tcPr>
            <w:tcW w:w="525" w:type="dxa"/>
            <w:vAlign w:val="bottom"/>
          </w:tcPr>
          <w:p w14:paraId="06125991" w14:textId="77777777" w:rsidR="008C69E3" w:rsidRPr="00D272CC" w:rsidRDefault="008C69E3" w:rsidP="008C69E3">
            <w:pPr>
              <w:pStyle w:val="Tablesmall"/>
              <w:jc w:val="center"/>
            </w:pPr>
            <w:r w:rsidRPr="00D272CC">
              <w:t>1.</w:t>
            </w:r>
            <w:r w:rsidR="00EC6B9A" w:rsidRPr="00D272CC">
              <w:t>3</w:t>
            </w:r>
            <w:r w:rsidRPr="00D272CC">
              <w:t>%</w:t>
            </w:r>
          </w:p>
        </w:tc>
        <w:tc>
          <w:tcPr>
            <w:tcW w:w="524" w:type="dxa"/>
            <w:vAlign w:val="bottom"/>
          </w:tcPr>
          <w:p w14:paraId="0902BA63" w14:textId="77777777" w:rsidR="008C69E3" w:rsidRPr="00D272CC" w:rsidRDefault="008C69E3" w:rsidP="008C69E3">
            <w:pPr>
              <w:pStyle w:val="Tablesmall"/>
              <w:jc w:val="center"/>
            </w:pPr>
            <w:r w:rsidRPr="00D272CC">
              <w:t>1.3%</w:t>
            </w:r>
          </w:p>
        </w:tc>
        <w:tc>
          <w:tcPr>
            <w:tcW w:w="525" w:type="dxa"/>
            <w:vAlign w:val="bottom"/>
          </w:tcPr>
          <w:p w14:paraId="48B52FF9" w14:textId="77777777" w:rsidR="008C69E3" w:rsidRPr="00D272CC" w:rsidRDefault="008C69E3" w:rsidP="008C69E3">
            <w:pPr>
              <w:pStyle w:val="Tablesmall"/>
              <w:jc w:val="center"/>
            </w:pPr>
            <w:r w:rsidRPr="00D272CC">
              <w:t>1.6%</w:t>
            </w:r>
          </w:p>
        </w:tc>
        <w:tc>
          <w:tcPr>
            <w:tcW w:w="524" w:type="dxa"/>
            <w:vAlign w:val="bottom"/>
          </w:tcPr>
          <w:p w14:paraId="69FE2C49" w14:textId="77777777" w:rsidR="008C69E3" w:rsidRPr="00D272CC" w:rsidRDefault="008C69E3" w:rsidP="008C69E3">
            <w:pPr>
              <w:pStyle w:val="Tablesmall"/>
              <w:jc w:val="center"/>
            </w:pPr>
            <w:r w:rsidRPr="00D272CC">
              <w:t>1.</w:t>
            </w:r>
            <w:r w:rsidR="00EC6B9A" w:rsidRPr="00D272CC">
              <w:t>7</w:t>
            </w:r>
            <w:r w:rsidRPr="00D272CC">
              <w:t>%</w:t>
            </w:r>
          </w:p>
        </w:tc>
        <w:tc>
          <w:tcPr>
            <w:tcW w:w="524" w:type="dxa"/>
            <w:vAlign w:val="bottom"/>
          </w:tcPr>
          <w:p w14:paraId="56F5DBA3" w14:textId="77777777" w:rsidR="008C69E3" w:rsidRPr="00D272CC" w:rsidRDefault="00EC6B9A" w:rsidP="008C69E3">
            <w:pPr>
              <w:pStyle w:val="Tablesmall"/>
              <w:jc w:val="center"/>
            </w:pPr>
            <w:r w:rsidRPr="00D272CC">
              <w:t>1</w:t>
            </w:r>
            <w:r w:rsidR="008C69E3" w:rsidRPr="00D272CC">
              <w:t>.</w:t>
            </w:r>
            <w:r w:rsidRPr="00D272CC">
              <w:t>0</w:t>
            </w:r>
            <w:r w:rsidR="008C69E3" w:rsidRPr="00D272CC">
              <w:t>%</w:t>
            </w:r>
          </w:p>
        </w:tc>
        <w:tc>
          <w:tcPr>
            <w:tcW w:w="525" w:type="dxa"/>
            <w:vAlign w:val="bottom"/>
          </w:tcPr>
          <w:p w14:paraId="30F7E45E" w14:textId="77777777" w:rsidR="008C69E3" w:rsidRPr="00D272CC" w:rsidRDefault="008C69E3" w:rsidP="008C69E3">
            <w:pPr>
              <w:pStyle w:val="Tablesmall"/>
              <w:jc w:val="center"/>
            </w:pPr>
            <w:r w:rsidRPr="00D272CC">
              <w:t>1.1%</w:t>
            </w:r>
          </w:p>
        </w:tc>
        <w:tc>
          <w:tcPr>
            <w:tcW w:w="524" w:type="dxa"/>
            <w:vAlign w:val="bottom"/>
          </w:tcPr>
          <w:p w14:paraId="3100B00F" w14:textId="77777777" w:rsidR="008C69E3" w:rsidRPr="00D272CC" w:rsidRDefault="008C69E3" w:rsidP="008C69E3">
            <w:pPr>
              <w:pStyle w:val="Tablesmall"/>
              <w:jc w:val="center"/>
            </w:pPr>
            <w:r w:rsidRPr="00D272CC">
              <w:t>1.0%</w:t>
            </w:r>
          </w:p>
        </w:tc>
        <w:tc>
          <w:tcPr>
            <w:tcW w:w="525" w:type="dxa"/>
            <w:vAlign w:val="bottom"/>
          </w:tcPr>
          <w:p w14:paraId="026EF4FD" w14:textId="77777777" w:rsidR="008C69E3" w:rsidRPr="00D272CC" w:rsidRDefault="008C69E3" w:rsidP="008C69E3">
            <w:pPr>
              <w:pStyle w:val="Tablesmall"/>
              <w:jc w:val="center"/>
            </w:pPr>
            <w:r w:rsidRPr="00D272CC">
              <w:t>1.</w:t>
            </w:r>
            <w:r w:rsidR="00EC6B9A" w:rsidRPr="00D272CC">
              <w:t>5</w:t>
            </w:r>
            <w:r w:rsidRPr="00D272CC">
              <w:t>%</w:t>
            </w:r>
          </w:p>
        </w:tc>
        <w:tc>
          <w:tcPr>
            <w:tcW w:w="567" w:type="dxa"/>
            <w:vAlign w:val="bottom"/>
          </w:tcPr>
          <w:p w14:paraId="75B93099" w14:textId="77777777" w:rsidR="008C69E3" w:rsidRPr="00D272CC" w:rsidRDefault="008C69E3" w:rsidP="008C69E3">
            <w:pPr>
              <w:pStyle w:val="Tablesmall"/>
              <w:jc w:val="center"/>
            </w:pPr>
            <w:r w:rsidRPr="00D272CC">
              <w:t>1.2%</w:t>
            </w:r>
          </w:p>
        </w:tc>
      </w:tr>
      <w:tr w:rsidR="00953EE5" w:rsidRPr="00D272CC" w14:paraId="26ED1D0D" w14:textId="77777777" w:rsidTr="006411D6">
        <w:tc>
          <w:tcPr>
            <w:tcW w:w="3261" w:type="dxa"/>
          </w:tcPr>
          <w:p w14:paraId="43CF6A2C" w14:textId="77777777" w:rsidR="00953EE5" w:rsidRPr="00D272CC" w:rsidRDefault="00953EE5" w:rsidP="007831D1">
            <w:pPr>
              <w:pStyle w:val="Tablesmall"/>
            </w:pPr>
          </w:p>
        </w:tc>
        <w:tc>
          <w:tcPr>
            <w:tcW w:w="524" w:type="dxa"/>
            <w:vAlign w:val="bottom"/>
          </w:tcPr>
          <w:p w14:paraId="07290549" w14:textId="77777777" w:rsidR="00953EE5" w:rsidRPr="00D272CC" w:rsidRDefault="00953EE5" w:rsidP="007831D1">
            <w:pPr>
              <w:pStyle w:val="Tablesmall"/>
              <w:jc w:val="center"/>
            </w:pPr>
          </w:p>
        </w:tc>
        <w:tc>
          <w:tcPr>
            <w:tcW w:w="524" w:type="dxa"/>
            <w:vAlign w:val="bottom"/>
          </w:tcPr>
          <w:p w14:paraId="4BBC7931" w14:textId="77777777" w:rsidR="00953EE5" w:rsidRPr="00D272CC" w:rsidRDefault="00953EE5" w:rsidP="007831D1">
            <w:pPr>
              <w:pStyle w:val="Tablesmall"/>
              <w:jc w:val="center"/>
            </w:pPr>
          </w:p>
        </w:tc>
        <w:tc>
          <w:tcPr>
            <w:tcW w:w="525" w:type="dxa"/>
            <w:vAlign w:val="bottom"/>
          </w:tcPr>
          <w:p w14:paraId="18822512" w14:textId="77777777" w:rsidR="00953EE5" w:rsidRPr="00D272CC" w:rsidRDefault="00953EE5" w:rsidP="007831D1">
            <w:pPr>
              <w:pStyle w:val="Tablesmall"/>
              <w:jc w:val="center"/>
            </w:pPr>
          </w:p>
        </w:tc>
        <w:tc>
          <w:tcPr>
            <w:tcW w:w="524" w:type="dxa"/>
            <w:vAlign w:val="bottom"/>
          </w:tcPr>
          <w:p w14:paraId="53D4D5F7" w14:textId="77777777" w:rsidR="00953EE5" w:rsidRPr="00D272CC" w:rsidRDefault="00953EE5" w:rsidP="007831D1">
            <w:pPr>
              <w:pStyle w:val="Tablesmall"/>
              <w:jc w:val="center"/>
            </w:pPr>
          </w:p>
        </w:tc>
        <w:tc>
          <w:tcPr>
            <w:tcW w:w="525" w:type="dxa"/>
            <w:vAlign w:val="bottom"/>
          </w:tcPr>
          <w:p w14:paraId="272147F0" w14:textId="77777777" w:rsidR="00953EE5" w:rsidRPr="00D272CC" w:rsidRDefault="00953EE5" w:rsidP="007831D1">
            <w:pPr>
              <w:pStyle w:val="Tablesmall"/>
              <w:jc w:val="center"/>
            </w:pPr>
          </w:p>
        </w:tc>
        <w:tc>
          <w:tcPr>
            <w:tcW w:w="524" w:type="dxa"/>
            <w:vAlign w:val="bottom"/>
          </w:tcPr>
          <w:p w14:paraId="42D1888C" w14:textId="77777777" w:rsidR="00953EE5" w:rsidRPr="00D272CC" w:rsidRDefault="00953EE5" w:rsidP="007831D1">
            <w:pPr>
              <w:pStyle w:val="Tablesmall"/>
              <w:jc w:val="center"/>
            </w:pPr>
          </w:p>
        </w:tc>
        <w:tc>
          <w:tcPr>
            <w:tcW w:w="524" w:type="dxa"/>
            <w:vAlign w:val="bottom"/>
          </w:tcPr>
          <w:p w14:paraId="7B702BD6" w14:textId="77777777" w:rsidR="00953EE5" w:rsidRPr="00D272CC" w:rsidRDefault="00953EE5" w:rsidP="007831D1">
            <w:pPr>
              <w:pStyle w:val="Tablesmall"/>
              <w:jc w:val="center"/>
            </w:pPr>
          </w:p>
        </w:tc>
        <w:tc>
          <w:tcPr>
            <w:tcW w:w="525" w:type="dxa"/>
            <w:vAlign w:val="bottom"/>
          </w:tcPr>
          <w:p w14:paraId="194EADCD" w14:textId="77777777" w:rsidR="00953EE5" w:rsidRPr="00D272CC" w:rsidRDefault="00953EE5" w:rsidP="007831D1">
            <w:pPr>
              <w:pStyle w:val="Tablesmall"/>
              <w:jc w:val="center"/>
            </w:pPr>
          </w:p>
        </w:tc>
        <w:tc>
          <w:tcPr>
            <w:tcW w:w="524" w:type="dxa"/>
            <w:vAlign w:val="bottom"/>
          </w:tcPr>
          <w:p w14:paraId="7A6E4B17" w14:textId="77777777" w:rsidR="00953EE5" w:rsidRPr="00D272CC" w:rsidRDefault="00953EE5" w:rsidP="007831D1">
            <w:pPr>
              <w:pStyle w:val="Tablesmall"/>
              <w:jc w:val="center"/>
            </w:pPr>
          </w:p>
        </w:tc>
        <w:tc>
          <w:tcPr>
            <w:tcW w:w="525" w:type="dxa"/>
            <w:vAlign w:val="bottom"/>
          </w:tcPr>
          <w:p w14:paraId="7443A557" w14:textId="77777777" w:rsidR="00953EE5" w:rsidRPr="00D272CC" w:rsidRDefault="00953EE5" w:rsidP="007831D1">
            <w:pPr>
              <w:pStyle w:val="Tablesmall"/>
              <w:jc w:val="center"/>
            </w:pPr>
          </w:p>
        </w:tc>
        <w:tc>
          <w:tcPr>
            <w:tcW w:w="567" w:type="dxa"/>
            <w:vAlign w:val="bottom"/>
          </w:tcPr>
          <w:p w14:paraId="622B01B3" w14:textId="77777777" w:rsidR="00953EE5" w:rsidRPr="00D272CC" w:rsidRDefault="00953EE5" w:rsidP="007831D1">
            <w:pPr>
              <w:pStyle w:val="Tablesmall"/>
              <w:jc w:val="center"/>
            </w:pPr>
          </w:p>
        </w:tc>
      </w:tr>
      <w:tr w:rsidR="007831D1" w:rsidRPr="00D272CC" w14:paraId="7390F495" w14:textId="77777777" w:rsidTr="006411D6">
        <w:tc>
          <w:tcPr>
            <w:tcW w:w="3261" w:type="dxa"/>
          </w:tcPr>
          <w:p w14:paraId="71803A36" w14:textId="77777777" w:rsidR="007831D1" w:rsidRPr="00D272CC" w:rsidRDefault="007831D1" w:rsidP="007831D1">
            <w:pPr>
              <w:pStyle w:val="Tablesmall"/>
            </w:pPr>
            <w:r w:rsidRPr="00D272CC">
              <w:t>Firms with one or more policy change</w:t>
            </w:r>
          </w:p>
        </w:tc>
        <w:tc>
          <w:tcPr>
            <w:tcW w:w="524" w:type="dxa"/>
            <w:vAlign w:val="bottom"/>
          </w:tcPr>
          <w:p w14:paraId="5F461630" w14:textId="77777777" w:rsidR="007831D1" w:rsidRPr="00D272CC" w:rsidRDefault="007831D1" w:rsidP="007831D1">
            <w:pPr>
              <w:pStyle w:val="Tablesmall"/>
              <w:jc w:val="center"/>
            </w:pPr>
            <w:r w:rsidRPr="00D272CC">
              <w:t>25</w:t>
            </w:r>
          </w:p>
        </w:tc>
        <w:tc>
          <w:tcPr>
            <w:tcW w:w="524" w:type="dxa"/>
            <w:vAlign w:val="bottom"/>
          </w:tcPr>
          <w:p w14:paraId="1ECE10EC" w14:textId="77777777" w:rsidR="007831D1" w:rsidRPr="00D272CC" w:rsidRDefault="007831D1" w:rsidP="007831D1">
            <w:pPr>
              <w:pStyle w:val="Tablesmall"/>
              <w:jc w:val="center"/>
            </w:pPr>
            <w:r w:rsidRPr="00D272CC">
              <w:t>11</w:t>
            </w:r>
          </w:p>
        </w:tc>
        <w:tc>
          <w:tcPr>
            <w:tcW w:w="525" w:type="dxa"/>
            <w:vAlign w:val="bottom"/>
          </w:tcPr>
          <w:p w14:paraId="626BED46" w14:textId="77777777" w:rsidR="007831D1" w:rsidRPr="00D272CC" w:rsidRDefault="007831D1" w:rsidP="007831D1">
            <w:pPr>
              <w:pStyle w:val="Tablesmall"/>
              <w:jc w:val="center"/>
            </w:pPr>
            <w:r w:rsidRPr="00D272CC">
              <w:t>35</w:t>
            </w:r>
          </w:p>
        </w:tc>
        <w:tc>
          <w:tcPr>
            <w:tcW w:w="524" w:type="dxa"/>
            <w:vAlign w:val="bottom"/>
          </w:tcPr>
          <w:p w14:paraId="617A7177" w14:textId="77777777" w:rsidR="007831D1" w:rsidRPr="00D272CC" w:rsidRDefault="007831D1" w:rsidP="007831D1">
            <w:pPr>
              <w:pStyle w:val="Tablesmall"/>
              <w:jc w:val="center"/>
            </w:pPr>
            <w:r w:rsidRPr="00D272CC">
              <w:t>24</w:t>
            </w:r>
          </w:p>
        </w:tc>
        <w:tc>
          <w:tcPr>
            <w:tcW w:w="525" w:type="dxa"/>
            <w:vAlign w:val="bottom"/>
          </w:tcPr>
          <w:p w14:paraId="315FD6AC" w14:textId="77777777" w:rsidR="007831D1" w:rsidRPr="00D272CC" w:rsidRDefault="007831D1" w:rsidP="007831D1">
            <w:pPr>
              <w:pStyle w:val="Tablesmall"/>
              <w:jc w:val="center"/>
            </w:pPr>
            <w:r w:rsidRPr="00D272CC">
              <w:t>29</w:t>
            </w:r>
          </w:p>
        </w:tc>
        <w:tc>
          <w:tcPr>
            <w:tcW w:w="524" w:type="dxa"/>
            <w:vAlign w:val="bottom"/>
          </w:tcPr>
          <w:p w14:paraId="44BB424D" w14:textId="77777777" w:rsidR="007831D1" w:rsidRPr="00D272CC" w:rsidRDefault="007831D1" w:rsidP="007831D1">
            <w:pPr>
              <w:pStyle w:val="Tablesmall"/>
              <w:jc w:val="center"/>
            </w:pPr>
            <w:r w:rsidRPr="00D272CC">
              <w:t>30</w:t>
            </w:r>
          </w:p>
        </w:tc>
        <w:tc>
          <w:tcPr>
            <w:tcW w:w="524" w:type="dxa"/>
            <w:vAlign w:val="bottom"/>
          </w:tcPr>
          <w:p w14:paraId="5EEB5831" w14:textId="77777777" w:rsidR="007831D1" w:rsidRPr="00D272CC" w:rsidRDefault="007831D1" w:rsidP="007831D1">
            <w:pPr>
              <w:pStyle w:val="Tablesmall"/>
              <w:jc w:val="center"/>
            </w:pPr>
            <w:r w:rsidRPr="00D272CC">
              <w:t>46</w:t>
            </w:r>
          </w:p>
        </w:tc>
        <w:tc>
          <w:tcPr>
            <w:tcW w:w="525" w:type="dxa"/>
            <w:vAlign w:val="bottom"/>
          </w:tcPr>
          <w:p w14:paraId="05A32FF0" w14:textId="77777777" w:rsidR="007831D1" w:rsidRPr="00D272CC" w:rsidRDefault="007831D1" w:rsidP="007831D1">
            <w:pPr>
              <w:pStyle w:val="Tablesmall"/>
              <w:jc w:val="center"/>
            </w:pPr>
            <w:r w:rsidRPr="00D272CC">
              <w:t>17</w:t>
            </w:r>
          </w:p>
        </w:tc>
        <w:tc>
          <w:tcPr>
            <w:tcW w:w="524" w:type="dxa"/>
            <w:vAlign w:val="bottom"/>
          </w:tcPr>
          <w:p w14:paraId="6072BF63" w14:textId="77777777" w:rsidR="007831D1" w:rsidRPr="00D272CC" w:rsidRDefault="007831D1" w:rsidP="007831D1">
            <w:pPr>
              <w:pStyle w:val="Tablesmall"/>
              <w:jc w:val="center"/>
            </w:pPr>
            <w:r w:rsidRPr="00D272CC">
              <w:t>19</w:t>
            </w:r>
          </w:p>
        </w:tc>
        <w:tc>
          <w:tcPr>
            <w:tcW w:w="525" w:type="dxa"/>
            <w:vAlign w:val="bottom"/>
          </w:tcPr>
          <w:p w14:paraId="2D251175" w14:textId="77777777" w:rsidR="007831D1" w:rsidRPr="00D272CC" w:rsidRDefault="007831D1" w:rsidP="007831D1">
            <w:pPr>
              <w:pStyle w:val="Tablesmall"/>
              <w:jc w:val="center"/>
            </w:pPr>
            <w:r w:rsidRPr="00D272CC">
              <w:t>25</w:t>
            </w:r>
          </w:p>
        </w:tc>
        <w:tc>
          <w:tcPr>
            <w:tcW w:w="567" w:type="dxa"/>
            <w:vAlign w:val="bottom"/>
          </w:tcPr>
          <w:p w14:paraId="021B7CD7" w14:textId="77777777" w:rsidR="007831D1" w:rsidRPr="00D272CC" w:rsidRDefault="007831D1" w:rsidP="007831D1">
            <w:pPr>
              <w:pStyle w:val="Tablesmall"/>
              <w:jc w:val="center"/>
            </w:pPr>
            <w:r w:rsidRPr="00D272CC">
              <w:t>261</w:t>
            </w:r>
          </w:p>
        </w:tc>
      </w:tr>
      <w:tr w:rsidR="007831D1" w:rsidRPr="00D272CC" w14:paraId="33A39F60" w14:textId="77777777" w:rsidTr="006411D6">
        <w:tc>
          <w:tcPr>
            <w:tcW w:w="3261" w:type="dxa"/>
          </w:tcPr>
          <w:p w14:paraId="1B03E5FB" w14:textId="77777777" w:rsidR="007831D1" w:rsidRPr="00D272CC" w:rsidRDefault="007831D1" w:rsidP="007831D1">
            <w:pPr>
              <w:pStyle w:val="Tablesmall"/>
            </w:pPr>
            <w:r w:rsidRPr="00D272CC">
              <w:t>Firms with one or more explanation</w:t>
            </w:r>
          </w:p>
        </w:tc>
        <w:tc>
          <w:tcPr>
            <w:tcW w:w="524" w:type="dxa"/>
            <w:vAlign w:val="bottom"/>
          </w:tcPr>
          <w:p w14:paraId="7F9A7D4F" w14:textId="77777777" w:rsidR="007831D1" w:rsidRPr="00D272CC" w:rsidRDefault="007831D1" w:rsidP="007831D1">
            <w:pPr>
              <w:pStyle w:val="Tablesmall"/>
              <w:jc w:val="center"/>
            </w:pPr>
            <w:r w:rsidRPr="00D272CC">
              <w:t>10</w:t>
            </w:r>
          </w:p>
        </w:tc>
        <w:tc>
          <w:tcPr>
            <w:tcW w:w="524" w:type="dxa"/>
            <w:vAlign w:val="bottom"/>
          </w:tcPr>
          <w:p w14:paraId="64C64991" w14:textId="77777777" w:rsidR="007831D1" w:rsidRPr="00D272CC" w:rsidRDefault="007831D1" w:rsidP="007831D1">
            <w:pPr>
              <w:pStyle w:val="Tablesmall"/>
              <w:jc w:val="center"/>
            </w:pPr>
            <w:r w:rsidRPr="00D272CC">
              <w:t>6</w:t>
            </w:r>
          </w:p>
        </w:tc>
        <w:tc>
          <w:tcPr>
            <w:tcW w:w="525" w:type="dxa"/>
            <w:vAlign w:val="bottom"/>
          </w:tcPr>
          <w:p w14:paraId="260121E9" w14:textId="77777777" w:rsidR="007831D1" w:rsidRPr="00D272CC" w:rsidRDefault="007831D1" w:rsidP="007831D1">
            <w:pPr>
              <w:pStyle w:val="Tablesmall"/>
              <w:jc w:val="center"/>
            </w:pPr>
            <w:r w:rsidRPr="00D272CC">
              <w:t>17</w:t>
            </w:r>
          </w:p>
        </w:tc>
        <w:tc>
          <w:tcPr>
            <w:tcW w:w="524" w:type="dxa"/>
            <w:vAlign w:val="bottom"/>
          </w:tcPr>
          <w:p w14:paraId="147EA025" w14:textId="77777777" w:rsidR="007831D1" w:rsidRPr="00D272CC" w:rsidRDefault="007831D1" w:rsidP="007831D1">
            <w:pPr>
              <w:pStyle w:val="Tablesmall"/>
              <w:jc w:val="center"/>
            </w:pPr>
            <w:r w:rsidRPr="00D272CC">
              <w:t>11</w:t>
            </w:r>
          </w:p>
        </w:tc>
        <w:tc>
          <w:tcPr>
            <w:tcW w:w="525" w:type="dxa"/>
            <w:vAlign w:val="bottom"/>
          </w:tcPr>
          <w:p w14:paraId="58D25D44" w14:textId="77777777" w:rsidR="007831D1" w:rsidRPr="00D272CC" w:rsidRDefault="007831D1" w:rsidP="007831D1">
            <w:pPr>
              <w:pStyle w:val="Tablesmall"/>
              <w:jc w:val="center"/>
            </w:pPr>
            <w:r w:rsidRPr="00D272CC">
              <w:t>17</w:t>
            </w:r>
          </w:p>
        </w:tc>
        <w:tc>
          <w:tcPr>
            <w:tcW w:w="524" w:type="dxa"/>
            <w:vAlign w:val="bottom"/>
          </w:tcPr>
          <w:p w14:paraId="1950F1E4" w14:textId="77777777" w:rsidR="007831D1" w:rsidRPr="00D272CC" w:rsidRDefault="007831D1" w:rsidP="007831D1">
            <w:pPr>
              <w:pStyle w:val="Tablesmall"/>
              <w:jc w:val="center"/>
            </w:pPr>
            <w:r w:rsidRPr="00D272CC">
              <w:t>11</w:t>
            </w:r>
          </w:p>
        </w:tc>
        <w:tc>
          <w:tcPr>
            <w:tcW w:w="524" w:type="dxa"/>
            <w:vAlign w:val="bottom"/>
          </w:tcPr>
          <w:p w14:paraId="515C78CA" w14:textId="77777777" w:rsidR="007831D1" w:rsidRPr="00D272CC" w:rsidRDefault="007831D1" w:rsidP="007831D1">
            <w:pPr>
              <w:pStyle w:val="Tablesmall"/>
              <w:jc w:val="center"/>
            </w:pPr>
            <w:r w:rsidRPr="00D272CC">
              <w:t>19</w:t>
            </w:r>
          </w:p>
        </w:tc>
        <w:tc>
          <w:tcPr>
            <w:tcW w:w="525" w:type="dxa"/>
            <w:vAlign w:val="bottom"/>
          </w:tcPr>
          <w:p w14:paraId="6392C9BA" w14:textId="77777777" w:rsidR="007831D1" w:rsidRPr="00D272CC" w:rsidRDefault="007831D1" w:rsidP="007831D1">
            <w:pPr>
              <w:pStyle w:val="Tablesmall"/>
              <w:jc w:val="center"/>
            </w:pPr>
            <w:r w:rsidRPr="00D272CC">
              <w:t>3</w:t>
            </w:r>
          </w:p>
        </w:tc>
        <w:tc>
          <w:tcPr>
            <w:tcW w:w="524" w:type="dxa"/>
            <w:vAlign w:val="bottom"/>
          </w:tcPr>
          <w:p w14:paraId="1151D770" w14:textId="77777777" w:rsidR="007831D1" w:rsidRPr="00D272CC" w:rsidRDefault="007831D1" w:rsidP="007831D1">
            <w:pPr>
              <w:pStyle w:val="Tablesmall"/>
              <w:jc w:val="center"/>
            </w:pPr>
            <w:r w:rsidRPr="00D272CC">
              <w:t>12</w:t>
            </w:r>
          </w:p>
        </w:tc>
        <w:tc>
          <w:tcPr>
            <w:tcW w:w="525" w:type="dxa"/>
            <w:vAlign w:val="bottom"/>
          </w:tcPr>
          <w:p w14:paraId="0BC2A8A0" w14:textId="77777777" w:rsidR="007831D1" w:rsidRPr="00D272CC" w:rsidRDefault="007831D1" w:rsidP="007831D1">
            <w:pPr>
              <w:pStyle w:val="Tablesmall"/>
              <w:jc w:val="center"/>
            </w:pPr>
            <w:r w:rsidRPr="00D272CC">
              <w:t>16</w:t>
            </w:r>
          </w:p>
        </w:tc>
        <w:tc>
          <w:tcPr>
            <w:tcW w:w="567" w:type="dxa"/>
            <w:vAlign w:val="bottom"/>
          </w:tcPr>
          <w:p w14:paraId="45CBB9CC" w14:textId="77777777" w:rsidR="007831D1" w:rsidRPr="00D272CC" w:rsidRDefault="007831D1" w:rsidP="007831D1">
            <w:pPr>
              <w:pStyle w:val="Tablesmall"/>
              <w:jc w:val="center"/>
            </w:pPr>
            <w:r w:rsidRPr="00D272CC">
              <w:t>122</w:t>
            </w:r>
          </w:p>
        </w:tc>
      </w:tr>
      <w:tr w:rsidR="007B65A9" w:rsidRPr="00D272CC" w14:paraId="5E6FE579" w14:textId="77777777" w:rsidTr="006411D6">
        <w:tc>
          <w:tcPr>
            <w:tcW w:w="3261" w:type="dxa"/>
          </w:tcPr>
          <w:p w14:paraId="2725FEAB" w14:textId="77777777" w:rsidR="007B65A9" w:rsidRPr="00D272CC" w:rsidRDefault="007B65A9" w:rsidP="007831D1">
            <w:pPr>
              <w:pStyle w:val="Tablesmall"/>
            </w:pPr>
          </w:p>
        </w:tc>
        <w:tc>
          <w:tcPr>
            <w:tcW w:w="524" w:type="dxa"/>
            <w:vAlign w:val="bottom"/>
          </w:tcPr>
          <w:p w14:paraId="77A7A2F6" w14:textId="77777777" w:rsidR="007B65A9" w:rsidRPr="00D272CC" w:rsidRDefault="007B65A9" w:rsidP="007831D1">
            <w:pPr>
              <w:pStyle w:val="Tablesmall"/>
              <w:jc w:val="center"/>
            </w:pPr>
          </w:p>
        </w:tc>
        <w:tc>
          <w:tcPr>
            <w:tcW w:w="524" w:type="dxa"/>
            <w:vAlign w:val="bottom"/>
          </w:tcPr>
          <w:p w14:paraId="7523A416" w14:textId="77777777" w:rsidR="007B65A9" w:rsidRPr="00D272CC" w:rsidRDefault="007B65A9" w:rsidP="007831D1">
            <w:pPr>
              <w:pStyle w:val="Tablesmall"/>
              <w:jc w:val="center"/>
            </w:pPr>
          </w:p>
        </w:tc>
        <w:tc>
          <w:tcPr>
            <w:tcW w:w="525" w:type="dxa"/>
            <w:vAlign w:val="bottom"/>
          </w:tcPr>
          <w:p w14:paraId="735ACF68" w14:textId="77777777" w:rsidR="007B65A9" w:rsidRPr="00D272CC" w:rsidRDefault="007B65A9" w:rsidP="007831D1">
            <w:pPr>
              <w:pStyle w:val="Tablesmall"/>
              <w:jc w:val="center"/>
            </w:pPr>
          </w:p>
        </w:tc>
        <w:tc>
          <w:tcPr>
            <w:tcW w:w="524" w:type="dxa"/>
            <w:vAlign w:val="bottom"/>
          </w:tcPr>
          <w:p w14:paraId="7DD3CCE0" w14:textId="77777777" w:rsidR="007B65A9" w:rsidRPr="00D272CC" w:rsidRDefault="007B65A9" w:rsidP="007831D1">
            <w:pPr>
              <w:pStyle w:val="Tablesmall"/>
              <w:jc w:val="center"/>
            </w:pPr>
          </w:p>
        </w:tc>
        <w:tc>
          <w:tcPr>
            <w:tcW w:w="525" w:type="dxa"/>
            <w:vAlign w:val="bottom"/>
          </w:tcPr>
          <w:p w14:paraId="4167B692" w14:textId="77777777" w:rsidR="007B65A9" w:rsidRPr="00D272CC" w:rsidRDefault="007B65A9" w:rsidP="007831D1">
            <w:pPr>
              <w:pStyle w:val="Tablesmall"/>
              <w:jc w:val="center"/>
            </w:pPr>
          </w:p>
        </w:tc>
        <w:tc>
          <w:tcPr>
            <w:tcW w:w="524" w:type="dxa"/>
            <w:vAlign w:val="bottom"/>
          </w:tcPr>
          <w:p w14:paraId="42D3C8FE" w14:textId="77777777" w:rsidR="007B65A9" w:rsidRPr="00D272CC" w:rsidRDefault="007B65A9" w:rsidP="007831D1">
            <w:pPr>
              <w:pStyle w:val="Tablesmall"/>
              <w:jc w:val="center"/>
            </w:pPr>
          </w:p>
        </w:tc>
        <w:tc>
          <w:tcPr>
            <w:tcW w:w="524" w:type="dxa"/>
            <w:vAlign w:val="bottom"/>
          </w:tcPr>
          <w:p w14:paraId="51D29CD4" w14:textId="77777777" w:rsidR="007B65A9" w:rsidRPr="00D272CC" w:rsidRDefault="007B65A9" w:rsidP="007831D1">
            <w:pPr>
              <w:pStyle w:val="Tablesmall"/>
              <w:jc w:val="center"/>
            </w:pPr>
          </w:p>
        </w:tc>
        <w:tc>
          <w:tcPr>
            <w:tcW w:w="525" w:type="dxa"/>
            <w:vAlign w:val="bottom"/>
          </w:tcPr>
          <w:p w14:paraId="17D741B7" w14:textId="77777777" w:rsidR="007B65A9" w:rsidRPr="00D272CC" w:rsidRDefault="007B65A9" w:rsidP="007831D1">
            <w:pPr>
              <w:pStyle w:val="Tablesmall"/>
              <w:jc w:val="center"/>
            </w:pPr>
          </w:p>
        </w:tc>
        <w:tc>
          <w:tcPr>
            <w:tcW w:w="524" w:type="dxa"/>
            <w:vAlign w:val="bottom"/>
          </w:tcPr>
          <w:p w14:paraId="3800D502" w14:textId="77777777" w:rsidR="007B65A9" w:rsidRPr="00D272CC" w:rsidRDefault="007B65A9" w:rsidP="007831D1">
            <w:pPr>
              <w:pStyle w:val="Tablesmall"/>
              <w:jc w:val="center"/>
            </w:pPr>
          </w:p>
        </w:tc>
        <w:tc>
          <w:tcPr>
            <w:tcW w:w="525" w:type="dxa"/>
            <w:vAlign w:val="bottom"/>
          </w:tcPr>
          <w:p w14:paraId="12F88B2A" w14:textId="77777777" w:rsidR="007B65A9" w:rsidRPr="00D272CC" w:rsidRDefault="007B65A9" w:rsidP="007831D1">
            <w:pPr>
              <w:pStyle w:val="Tablesmall"/>
              <w:jc w:val="center"/>
            </w:pPr>
          </w:p>
        </w:tc>
        <w:tc>
          <w:tcPr>
            <w:tcW w:w="567" w:type="dxa"/>
            <w:vAlign w:val="bottom"/>
          </w:tcPr>
          <w:p w14:paraId="63FF9123" w14:textId="77777777" w:rsidR="007B65A9" w:rsidRPr="00D272CC" w:rsidRDefault="007B65A9" w:rsidP="007831D1">
            <w:pPr>
              <w:pStyle w:val="Tablesmall"/>
              <w:jc w:val="center"/>
            </w:pPr>
          </w:p>
        </w:tc>
      </w:tr>
      <w:tr w:rsidR="007B65A9" w:rsidRPr="00D272CC" w14:paraId="08C8E33A" w14:textId="77777777" w:rsidTr="006411D6">
        <w:tc>
          <w:tcPr>
            <w:tcW w:w="3261" w:type="dxa"/>
          </w:tcPr>
          <w:p w14:paraId="05C3332B" w14:textId="77777777" w:rsidR="007B65A9" w:rsidRPr="00D272CC" w:rsidRDefault="007B65A9" w:rsidP="007831D1">
            <w:pPr>
              <w:pStyle w:val="Tablesmall"/>
            </w:pPr>
            <w:r w:rsidRPr="00D272CC">
              <w:t>IFRS policy changes</w:t>
            </w:r>
          </w:p>
        </w:tc>
        <w:tc>
          <w:tcPr>
            <w:tcW w:w="524" w:type="dxa"/>
            <w:vAlign w:val="bottom"/>
          </w:tcPr>
          <w:p w14:paraId="2C8EB4CA" w14:textId="77777777" w:rsidR="007B65A9" w:rsidRPr="00D272CC" w:rsidRDefault="007B65A9" w:rsidP="007831D1">
            <w:pPr>
              <w:pStyle w:val="Tablesmall"/>
              <w:jc w:val="center"/>
            </w:pPr>
          </w:p>
        </w:tc>
        <w:tc>
          <w:tcPr>
            <w:tcW w:w="524" w:type="dxa"/>
            <w:vAlign w:val="bottom"/>
          </w:tcPr>
          <w:p w14:paraId="79BA7DC0" w14:textId="77777777" w:rsidR="007B65A9" w:rsidRPr="00D272CC" w:rsidRDefault="007B65A9" w:rsidP="007831D1">
            <w:pPr>
              <w:pStyle w:val="Tablesmall"/>
              <w:jc w:val="center"/>
            </w:pPr>
          </w:p>
        </w:tc>
        <w:tc>
          <w:tcPr>
            <w:tcW w:w="525" w:type="dxa"/>
            <w:vAlign w:val="bottom"/>
          </w:tcPr>
          <w:p w14:paraId="02771CD3" w14:textId="77777777" w:rsidR="007B65A9" w:rsidRPr="00D272CC" w:rsidRDefault="007B65A9" w:rsidP="007831D1">
            <w:pPr>
              <w:pStyle w:val="Tablesmall"/>
              <w:jc w:val="center"/>
            </w:pPr>
          </w:p>
        </w:tc>
        <w:tc>
          <w:tcPr>
            <w:tcW w:w="524" w:type="dxa"/>
            <w:vAlign w:val="bottom"/>
          </w:tcPr>
          <w:p w14:paraId="2E9977B0" w14:textId="77777777" w:rsidR="007B65A9" w:rsidRPr="00D272CC" w:rsidRDefault="007B65A9" w:rsidP="007831D1">
            <w:pPr>
              <w:pStyle w:val="Tablesmall"/>
              <w:jc w:val="center"/>
            </w:pPr>
          </w:p>
        </w:tc>
        <w:tc>
          <w:tcPr>
            <w:tcW w:w="525" w:type="dxa"/>
            <w:vAlign w:val="bottom"/>
          </w:tcPr>
          <w:p w14:paraId="509154C9" w14:textId="77777777" w:rsidR="007B65A9" w:rsidRPr="00D272CC" w:rsidRDefault="007B65A9" w:rsidP="007831D1">
            <w:pPr>
              <w:pStyle w:val="Tablesmall"/>
              <w:jc w:val="center"/>
            </w:pPr>
          </w:p>
        </w:tc>
        <w:tc>
          <w:tcPr>
            <w:tcW w:w="524" w:type="dxa"/>
            <w:vAlign w:val="bottom"/>
          </w:tcPr>
          <w:p w14:paraId="726E7630" w14:textId="77777777" w:rsidR="007B65A9" w:rsidRPr="00D272CC" w:rsidRDefault="007B65A9" w:rsidP="007831D1">
            <w:pPr>
              <w:pStyle w:val="Tablesmall"/>
              <w:jc w:val="center"/>
            </w:pPr>
          </w:p>
        </w:tc>
        <w:tc>
          <w:tcPr>
            <w:tcW w:w="524" w:type="dxa"/>
            <w:vAlign w:val="bottom"/>
          </w:tcPr>
          <w:p w14:paraId="12B9011B" w14:textId="77777777" w:rsidR="007B65A9" w:rsidRPr="00D272CC" w:rsidRDefault="007B65A9" w:rsidP="007831D1">
            <w:pPr>
              <w:pStyle w:val="Tablesmall"/>
              <w:jc w:val="center"/>
            </w:pPr>
          </w:p>
        </w:tc>
        <w:tc>
          <w:tcPr>
            <w:tcW w:w="525" w:type="dxa"/>
            <w:vAlign w:val="bottom"/>
          </w:tcPr>
          <w:p w14:paraId="5E6C316A" w14:textId="77777777" w:rsidR="007B65A9" w:rsidRPr="00D272CC" w:rsidRDefault="007B65A9" w:rsidP="007831D1">
            <w:pPr>
              <w:pStyle w:val="Tablesmall"/>
              <w:jc w:val="center"/>
            </w:pPr>
          </w:p>
        </w:tc>
        <w:tc>
          <w:tcPr>
            <w:tcW w:w="524" w:type="dxa"/>
            <w:vAlign w:val="bottom"/>
          </w:tcPr>
          <w:p w14:paraId="77B089B8" w14:textId="77777777" w:rsidR="007B65A9" w:rsidRPr="00D272CC" w:rsidRDefault="007B65A9" w:rsidP="007831D1">
            <w:pPr>
              <w:pStyle w:val="Tablesmall"/>
              <w:jc w:val="center"/>
            </w:pPr>
          </w:p>
        </w:tc>
        <w:tc>
          <w:tcPr>
            <w:tcW w:w="525" w:type="dxa"/>
            <w:vAlign w:val="bottom"/>
          </w:tcPr>
          <w:p w14:paraId="4AA04C5B" w14:textId="77777777" w:rsidR="007B65A9" w:rsidRPr="00D272CC" w:rsidRDefault="007B65A9" w:rsidP="007831D1">
            <w:pPr>
              <w:pStyle w:val="Tablesmall"/>
              <w:jc w:val="center"/>
            </w:pPr>
          </w:p>
        </w:tc>
        <w:tc>
          <w:tcPr>
            <w:tcW w:w="567" w:type="dxa"/>
            <w:vAlign w:val="bottom"/>
          </w:tcPr>
          <w:p w14:paraId="029E2A49" w14:textId="77777777" w:rsidR="007B65A9" w:rsidRPr="00D272CC" w:rsidRDefault="007B65A9" w:rsidP="007831D1">
            <w:pPr>
              <w:pStyle w:val="Tablesmall"/>
              <w:jc w:val="center"/>
            </w:pPr>
          </w:p>
        </w:tc>
      </w:tr>
      <w:tr w:rsidR="00C34707" w:rsidRPr="00D272CC" w14:paraId="4DB3E146" w14:textId="77777777" w:rsidTr="006411D6">
        <w:tc>
          <w:tcPr>
            <w:tcW w:w="3261" w:type="dxa"/>
          </w:tcPr>
          <w:p w14:paraId="1DC1DE19" w14:textId="77777777" w:rsidR="00C34707" w:rsidRPr="00D272CC" w:rsidRDefault="00C34707" w:rsidP="007831D1">
            <w:pPr>
              <w:pStyle w:val="Tablesmall"/>
            </w:pPr>
            <w:r w:rsidRPr="00D272CC">
              <w:t>- with an explanation</w:t>
            </w:r>
          </w:p>
        </w:tc>
        <w:tc>
          <w:tcPr>
            <w:tcW w:w="524" w:type="dxa"/>
            <w:vAlign w:val="bottom"/>
          </w:tcPr>
          <w:p w14:paraId="31722E21" w14:textId="77777777" w:rsidR="00C34707" w:rsidRPr="00D272CC" w:rsidRDefault="00C34707" w:rsidP="007831D1">
            <w:pPr>
              <w:pStyle w:val="Tablesmall"/>
              <w:jc w:val="center"/>
            </w:pPr>
            <w:r w:rsidRPr="00D272CC">
              <w:t>12</w:t>
            </w:r>
          </w:p>
        </w:tc>
        <w:tc>
          <w:tcPr>
            <w:tcW w:w="524" w:type="dxa"/>
            <w:vAlign w:val="bottom"/>
          </w:tcPr>
          <w:p w14:paraId="04607668" w14:textId="77777777" w:rsidR="00C34707" w:rsidRPr="00D272CC" w:rsidRDefault="00C34707" w:rsidP="007831D1">
            <w:pPr>
              <w:pStyle w:val="Tablesmall"/>
              <w:jc w:val="center"/>
            </w:pPr>
            <w:r w:rsidRPr="00D272CC">
              <w:t>9</w:t>
            </w:r>
          </w:p>
        </w:tc>
        <w:tc>
          <w:tcPr>
            <w:tcW w:w="525" w:type="dxa"/>
            <w:vAlign w:val="bottom"/>
          </w:tcPr>
          <w:p w14:paraId="03AB176A" w14:textId="77777777" w:rsidR="00C34707" w:rsidRPr="00D272CC" w:rsidRDefault="00C34707" w:rsidP="007831D1">
            <w:pPr>
              <w:pStyle w:val="Tablesmall"/>
              <w:jc w:val="center"/>
            </w:pPr>
            <w:r w:rsidRPr="00D272CC">
              <w:t>20</w:t>
            </w:r>
          </w:p>
        </w:tc>
        <w:tc>
          <w:tcPr>
            <w:tcW w:w="524" w:type="dxa"/>
            <w:vAlign w:val="bottom"/>
          </w:tcPr>
          <w:p w14:paraId="55ADEC00" w14:textId="77777777" w:rsidR="00C34707" w:rsidRPr="00D272CC" w:rsidRDefault="00C34707" w:rsidP="007831D1">
            <w:pPr>
              <w:pStyle w:val="Tablesmall"/>
              <w:jc w:val="center"/>
            </w:pPr>
            <w:r w:rsidRPr="00D272CC">
              <w:t>1</w:t>
            </w:r>
            <w:r w:rsidR="00033991" w:rsidRPr="00D272CC">
              <w:t>3</w:t>
            </w:r>
          </w:p>
        </w:tc>
        <w:tc>
          <w:tcPr>
            <w:tcW w:w="525" w:type="dxa"/>
            <w:vAlign w:val="bottom"/>
          </w:tcPr>
          <w:p w14:paraId="0C439DD3" w14:textId="77777777" w:rsidR="00C34707" w:rsidRPr="00D272CC" w:rsidRDefault="00C34707" w:rsidP="007831D1">
            <w:pPr>
              <w:pStyle w:val="Tablesmall"/>
              <w:jc w:val="center"/>
            </w:pPr>
            <w:r w:rsidRPr="00D272CC">
              <w:t>18</w:t>
            </w:r>
          </w:p>
        </w:tc>
        <w:tc>
          <w:tcPr>
            <w:tcW w:w="524" w:type="dxa"/>
            <w:vAlign w:val="bottom"/>
          </w:tcPr>
          <w:p w14:paraId="190A4CF8" w14:textId="77777777" w:rsidR="00C34707" w:rsidRPr="00D272CC" w:rsidRDefault="00C34707" w:rsidP="007831D1">
            <w:pPr>
              <w:pStyle w:val="Tablesmall"/>
              <w:jc w:val="center"/>
            </w:pPr>
            <w:r w:rsidRPr="00D272CC">
              <w:t>14</w:t>
            </w:r>
          </w:p>
        </w:tc>
        <w:tc>
          <w:tcPr>
            <w:tcW w:w="524" w:type="dxa"/>
            <w:vAlign w:val="bottom"/>
          </w:tcPr>
          <w:p w14:paraId="3B378B1A" w14:textId="77777777" w:rsidR="00C34707" w:rsidRPr="00D272CC" w:rsidRDefault="00C34707" w:rsidP="007831D1">
            <w:pPr>
              <w:pStyle w:val="Tablesmall"/>
              <w:jc w:val="center"/>
            </w:pPr>
            <w:r w:rsidRPr="00D272CC">
              <w:t>25</w:t>
            </w:r>
          </w:p>
        </w:tc>
        <w:tc>
          <w:tcPr>
            <w:tcW w:w="525" w:type="dxa"/>
            <w:vAlign w:val="bottom"/>
          </w:tcPr>
          <w:p w14:paraId="5CE04972" w14:textId="77777777" w:rsidR="00C34707" w:rsidRPr="00D272CC" w:rsidRDefault="00C34707" w:rsidP="007831D1">
            <w:pPr>
              <w:pStyle w:val="Tablesmall"/>
              <w:jc w:val="center"/>
            </w:pPr>
            <w:r w:rsidRPr="00D272CC">
              <w:t>5</w:t>
            </w:r>
          </w:p>
        </w:tc>
        <w:tc>
          <w:tcPr>
            <w:tcW w:w="524" w:type="dxa"/>
            <w:vAlign w:val="bottom"/>
          </w:tcPr>
          <w:p w14:paraId="236E94ED" w14:textId="77777777" w:rsidR="00C34707" w:rsidRPr="00D272CC" w:rsidRDefault="00C34707" w:rsidP="007831D1">
            <w:pPr>
              <w:pStyle w:val="Tablesmall"/>
              <w:jc w:val="center"/>
            </w:pPr>
            <w:r w:rsidRPr="00D272CC">
              <w:t>13</w:t>
            </w:r>
          </w:p>
        </w:tc>
        <w:tc>
          <w:tcPr>
            <w:tcW w:w="525" w:type="dxa"/>
            <w:vAlign w:val="bottom"/>
          </w:tcPr>
          <w:p w14:paraId="6453FAE6" w14:textId="77777777" w:rsidR="00C34707" w:rsidRPr="00D272CC" w:rsidRDefault="00C34707" w:rsidP="007831D1">
            <w:pPr>
              <w:pStyle w:val="Tablesmall"/>
              <w:jc w:val="center"/>
            </w:pPr>
            <w:r w:rsidRPr="00D272CC">
              <w:t>18</w:t>
            </w:r>
          </w:p>
        </w:tc>
        <w:tc>
          <w:tcPr>
            <w:tcW w:w="567" w:type="dxa"/>
            <w:vAlign w:val="bottom"/>
          </w:tcPr>
          <w:p w14:paraId="04CD293E" w14:textId="77777777" w:rsidR="00C34707" w:rsidRPr="00D272CC" w:rsidRDefault="00C34707" w:rsidP="007831D1">
            <w:pPr>
              <w:pStyle w:val="Tablesmall"/>
              <w:jc w:val="center"/>
            </w:pPr>
            <w:r w:rsidRPr="00D272CC">
              <w:t>14</w:t>
            </w:r>
            <w:r w:rsidR="00033991" w:rsidRPr="00D272CC">
              <w:t>7</w:t>
            </w:r>
          </w:p>
        </w:tc>
      </w:tr>
      <w:tr w:rsidR="00C34707" w:rsidRPr="00D272CC" w14:paraId="30D7E7D1" w14:textId="77777777" w:rsidTr="006411D6">
        <w:tc>
          <w:tcPr>
            <w:tcW w:w="3261" w:type="dxa"/>
          </w:tcPr>
          <w:p w14:paraId="08D62BA6" w14:textId="77777777" w:rsidR="00C34707" w:rsidRPr="00D272CC" w:rsidRDefault="00C34707" w:rsidP="007831D1">
            <w:pPr>
              <w:pStyle w:val="Tablesmall"/>
            </w:pPr>
            <w:r w:rsidRPr="00D272CC">
              <w:t>- without an explanation</w:t>
            </w:r>
          </w:p>
        </w:tc>
        <w:tc>
          <w:tcPr>
            <w:tcW w:w="524" w:type="dxa"/>
            <w:vAlign w:val="bottom"/>
          </w:tcPr>
          <w:p w14:paraId="1B554464" w14:textId="77777777" w:rsidR="00C34707" w:rsidRPr="00D272CC" w:rsidRDefault="00C34707" w:rsidP="007831D1">
            <w:pPr>
              <w:pStyle w:val="Tablesmall"/>
              <w:jc w:val="center"/>
            </w:pPr>
            <w:r w:rsidRPr="00D272CC">
              <w:t>25</w:t>
            </w:r>
          </w:p>
        </w:tc>
        <w:tc>
          <w:tcPr>
            <w:tcW w:w="524" w:type="dxa"/>
            <w:vAlign w:val="bottom"/>
          </w:tcPr>
          <w:p w14:paraId="312D75F0" w14:textId="77777777" w:rsidR="00C34707" w:rsidRPr="00D272CC" w:rsidRDefault="00C34707" w:rsidP="007831D1">
            <w:pPr>
              <w:pStyle w:val="Tablesmall"/>
              <w:jc w:val="center"/>
            </w:pPr>
            <w:r w:rsidRPr="00D272CC">
              <w:t>12</w:t>
            </w:r>
          </w:p>
        </w:tc>
        <w:tc>
          <w:tcPr>
            <w:tcW w:w="525" w:type="dxa"/>
            <w:vAlign w:val="bottom"/>
          </w:tcPr>
          <w:p w14:paraId="38124836" w14:textId="77777777" w:rsidR="00C34707" w:rsidRPr="00D272CC" w:rsidRDefault="00C34707" w:rsidP="007831D1">
            <w:pPr>
              <w:pStyle w:val="Tablesmall"/>
              <w:jc w:val="center"/>
            </w:pPr>
            <w:r w:rsidRPr="00D272CC">
              <w:t>30</w:t>
            </w:r>
          </w:p>
        </w:tc>
        <w:tc>
          <w:tcPr>
            <w:tcW w:w="524" w:type="dxa"/>
            <w:vAlign w:val="bottom"/>
          </w:tcPr>
          <w:p w14:paraId="30691928" w14:textId="77777777" w:rsidR="00C34707" w:rsidRPr="00D272CC" w:rsidRDefault="00C34707" w:rsidP="007831D1">
            <w:pPr>
              <w:pStyle w:val="Tablesmall"/>
              <w:jc w:val="center"/>
            </w:pPr>
            <w:r w:rsidRPr="00D272CC">
              <w:t>3</w:t>
            </w:r>
            <w:r w:rsidR="00033991" w:rsidRPr="00D272CC">
              <w:t>1</w:t>
            </w:r>
          </w:p>
        </w:tc>
        <w:tc>
          <w:tcPr>
            <w:tcW w:w="525" w:type="dxa"/>
            <w:vAlign w:val="bottom"/>
          </w:tcPr>
          <w:p w14:paraId="4AF6EFB1" w14:textId="77777777" w:rsidR="00C34707" w:rsidRPr="00D272CC" w:rsidRDefault="00C34707" w:rsidP="007831D1">
            <w:pPr>
              <w:pStyle w:val="Tablesmall"/>
              <w:jc w:val="center"/>
            </w:pPr>
            <w:r w:rsidRPr="00D272CC">
              <w:t>29</w:t>
            </w:r>
          </w:p>
        </w:tc>
        <w:tc>
          <w:tcPr>
            <w:tcW w:w="524" w:type="dxa"/>
            <w:vAlign w:val="bottom"/>
          </w:tcPr>
          <w:p w14:paraId="7E56432C" w14:textId="77777777" w:rsidR="00C34707" w:rsidRPr="00D272CC" w:rsidRDefault="00C34707" w:rsidP="007831D1">
            <w:pPr>
              <w:pStyle w:val="Tablesmall"/>
              <w:jc w:val="center"/>
            </w:pPr>
            <w:r w:rsidRPr="00D272CC">
              <w:t>42</w:t>
            </w:r>
          </w:p>
        </w:tc>
        <w:tc>
          <w:tcPr>
            <w:tcW w:w="524" w:type="dxa"/>
            <w:vAlign w:val="bottom"/>
          </w:tcPr>
          <w:p w14:paraId="4E5BE213" w14:textId="77777777" w:rsidR="00C34707" w:rsidRPr="00D272CC" w:rsidRDefault="00C34707" w:rsidP="007831D1">
            <w:pPr>
              <w:pStyle w:val="Tablesmall"/>
              <w:jc w:val="center"/>
            </w:pPr>
            <w:r w:rsidRPr="00D272CC">
              <w:t>48</w:t>
            </w:r>
          </w:p>
        </w:tc>
        <w:tc>
          <w:tcPr>
            <w:tcW w:w="525" w:type="dxa"/>
            <w:vAlign w:val="bottom"/>
          </w:tcPr>
          <w:p w14:paraId="35FCCCBE" w14:textId="77777777" w:rsidR="00C34707" w:rsidRPr="00D272CC" w:rsidRDefault="00C34707" w:rsidP="007831D1">
            <w:pPr>
              <w:pStyle w:val="Tablesmall"/>
              <w:jc w:val="center"/>
            </w:pPr>
            <w:r w:rsidRPr="00D272CC">
              <w:t>25</w:t>
            </w:r>
          </w:p>
        </w:tc>
        <w:tc>
          <w:tcPr>
            <w:tcW w:w="524" w:type="dxa"/>
            <w:vAlign w:val="bottom"/>
          </w:tcPr>
          <w:p w14:paraId="3E4766B2" w14:textId="77777777" w:rsidR="00C34707" w:rsidRPr="00D272CC" w:rsidRDefault="00C34707" w:rsidP="007831D1">
            <w:pPr>
              <w:pStyle w:val="Tablesmall"/>
              <w:jc w:val="center"/>
            </w:pPr>
            <w:r w:rsidRPr="00D272CC">
              <w:t>20</w:t>
            </w:r>
          </w:p>
        </w:tc>
        <w:tc>
          <w:tcPr>
            <w:tcW w:w="525" w:type="dxa"/>
            <w:vAlign w:val="bottom"/>
          </w:tcPr>
          <w:p w14:paraId="543B940D" w14:textId="77777777" w:rsidR="00C34707" w:rsidRPr="00D272CC" w:rsidRDefault="00C34707" w:rsidP="007831D1">
            <w:pPr>
              <w:pStyle w:val="Tablesmall"/>
              <w:jc w:val="center"/>
            </w:pPr>
            <w:r w:rsidRPr="00D272CC">
              <w:t>25</w:t>
            </w:r>
          </w:p>
        </w:tc>
        <w:tc>
          <w:tcPr>
            <w:tcW w:w="567" w:type="dxa"/>
            <w:vAlign w:val="bottom"/>
          </w:tcPr>
          <w:p w14:paraId="0CABAB51" w14:textId="77777777" w:rsidR="00C34707" w:rsidRPr="00D272CC" w:rsidRDefault="00C34707" w:rsidP="007831D1">
            <w:pPr>
              <w:pStyle w:val="Tablesmall"/>
              <w:jc w:val="center"/>
            </w:pPr>
            <w:r w:rsidRPr="00D272CC">
              <w:t>28</w:t>
            </w:r>
            <w:r w:rsidR="00033991" w:rsidRPr="00D272CC">
              <w:t>7</w:t>
            </w:r>
          </w:p>
        </w:tc>
      </w:tr>
      <w:tr w:rsidR="00C12E57" w:rsidRPr="00D272CC" w14:paraId="25BEEC9F" w14:textId="77777777" w:rsidTr="006411D6">
        <w:tc>
          <w:tcPr>
            <w:tcW w:w="3261" w:type="dxa"/>
          </w:tcPr>
          <w:p w14:paraId="65E508E7" w14:textId="77777777" w:rsidR="00C12E57" w:rsidRPr="00D272CC" w:rsidRDefault="009B29EF" w:rsidP="007831D1">
            <w:pPr>
              <w:pStyle w:val="Tablesmall"/>
            </w:pPr>
            <w:r w:rsidRPr="00D272CC">
              <w:rPr>
                <w:i/>
              </w:rPr>
              <w:t xml:space="preserve"> </w:t>
            </w:r>
            <w:r w:rsidR="00C12E57" w:rsidRPr="00D272CC">
              <w:rPr>
                <w:i/>
              </w:rPr>
              <w:t xml:space="preserve"> thereof: change mentioned</w:t>
            </w:r>
          </w:p>
        </w:tc>
        <w:tc>
          <w:tcPr>
            <w:tcW w:w="524" w:type="dxa"/>
            <w:vAlign w:val="bottom"/>
          </w:tcPr>
          <w:p w14:paraId="1E9366CD" w14:textId="77777777" w:rsidR="00C12E57" w:rsidRPr="00D272CC" w:rsidRDefault="00033991" w:rsidP="007831D1">
            <w:pPr>
              <w:pStyle w:val="Tablesmall"/>
              <w:jc w:val="center"/>
              <w:rPr>
                <w:i/>
              </w:rPr>
            </w:pPr>
            <w:r w:rsidRPr="00D272CC">
              <w:rPr>
                <w:i/>
              </w:rPr>
              <w:t>4</w:t>
            </w:r>
          </w:p>
        </w:tc>
        <w:tc>
          <w:tcPr>
            <w:tcW w:w="524" w:type="dxa"/>
            <w:vAlign w:val="bottom"/>
          </w:tcPr>
          <w:p w14:paraId="17DB9AFF" w14:textId="77777777" w:rsidR="00C12E57" w:rsidRPr="00D272CC" w:rsidRDefault="00033991" w:rsidP="007831D1">
            <w:pPr>
              <w:pStyle w:val="Tablesmall"/>
              <w:jc w:val="center"/>
              <w:rPr>
                <w:i/>
              </w:rPr>
            </w:pPr>
            <w:r w:rsidRPr="00D272CC">
              <w:rPr>
                <w:i/>
              </w:rPr>
              <w:t>3</w:t>
            </w:r>
          </w:p>
        </w:tc>
        <w:tc>
          <w:tcPr>
            <w:tcW w:w="525" w:type="dxa"/>
            <w:vAlign w:val="bottom"/>
          </w:tcPr>
          <w:p w14:paraId="5ED5D7EA" w14:textId="77777777" w:rsidR="00C12E57" w:rsidRPr="00D272CC" w:rsidRDefault="00033991" w:rsidP="007831D1">
            <w:pPr>
              <w:pStyle w:val="Tablesmall"/>
              <w:jc w:val="center"/>
              <w:rPr>
                <w:i/>
              </w:rPr>
            </w:pPr>
            <w:r w:rsidRPr="00D272CC">
              <w:rPr>
                <w:i/>
              </w:rPr>
              <w:t>3</w:t>
            </w:r>
          </w:p>
        </w:tc>
        <w:tc>
          <w:tcPr>
            <w:tcW w:w="524" w:type="dxa"/>
            <w:vAlign w:val="bottom"/>
          </w:tcPr>
          <w:p w14:paraId="4CC91D73" w14:textId="77777777" w:rsidR="00C12E57" w:rsidRPr="00D272CC" w:rsidRDefault="00033991" w:rsidP="007831D1">
            <w:pPr>
              <w:pStyle w:val="Tablesmall"/>
              <w:jc w:val="center"/>
              <w:rPr>
                <w:i/>
              </w:rPr>
            </w:pPr>
            <w:r w:rsidRPr="00D272CC">
              <w:rPr>
                <w:i/>
              </w:rPr>
              <w:t>9</w:t>
            </w:r>
          </w:p>
        </w:tc>
        <w:tc>
          <w:tcPr>
            <w:tcW w:w="525" w:type="dxa"/>
            <w:vAlign w:val="bottom"/>
          </w:tcPr>
          <w:p w14:paraId="5A7B9EC4" w14:textId="77777777" w:rsidR="00C12E57" w:rsidRPr="00D272CC" w:rsidRDefault="00C12E57" w:rsidP="007831D1">
            <w:pPr>
              <w:pStyle w:val="Tablesmall"/>
              <w:jc w:val="center"/>
              <w:rPr>
                <w:i/>
              </w:rPr>
            </w:pPr>
            <w:r w:rsidRPr="00D272CC">
              <w:rPr>
                <w:i/>
              </w:rPr>
              <w:t>6</w:t>
            </w:r>
          </w:p>
        </w:tc>
        <w:tc>
          <w:tcPr>
            <w:tcW w:w="524" w:type="dxa"/>
            <w:vAlign w:val="bottom"/>
          </w:tcPr>
          <w:p w14:paraId="5386A4D0" w14:textId="77777777" w:rsidR="00C12E57" w:rsidRPr="00D272CC" w:rsidRDefault="00C12E57" w:rsidP="007831D1">
            <w:pPr>
              <w:pStyle w:val="Tablesmall"/>
              <w:jc w:val="center"/>
              <w:rPr>
                <w:i/>
              </w:rPr>
            </w:pPr>
            <w:r w:rsidRPr="00D272CC">
              <w:rPr>
                <w:i/>
              </w:rPr>
              <w:t>15</w:t>
            </w:r>
          </w:p>
        </w:tc>
        <w:tc>
          <w:tcPr>
            <w:tcW w:w="524" w:type="dxa"/>
            <w:vAlign w:val="bottom"/>
          </w:tcPr>
          <w:p w14:paraId="6F6D90B5" w14:textId="77777777" w:rsidR="00C12E57" w:rsidRPr="00D272CC" w:rsidRDefault="00033991" w:rsidP="007831D1">
            <w:pPr>
              <w:pStyle w:val="Tablesmall"/>
              <w:jc w:val="center"/>
              <w:rPr>
                <w:i/>
              </w:rPr>
            </w:pPr>
            <w:r w:rsidRPr="00D272CC">
              <w:rPr>
                <w:i/>
              </w:rPr>
              <w:t>6</w:t>
            </w:r>
          </w:p>
        </w:tc>
        <w:tc>
          <w:tcPr>
            <w:tcW w:w="525" w:type="dxa"/>
            <w:vAlign w:val="bottom"/>
          </w:tcPr>
          <w:p w14:paraId="59556517" w14:textId="77777777" w:rsidR="00C12E57" w:rsidRPr="00D272CC" w:rsidRDefault="00C12E57" w:rsidP="007831D1">
            <w:pPr>
              <w:pStyle w:val="Tablesmall"/>
              <w:jc w:val="center"/>
              <w:rPr>
                <w:i/>
              </w:rPr>
            </w:pPr>
            <w:r w:rsidRPr="00D272CC">
              <w:rPr>
                <w:i/>
              </w:rPr>
              <w:t>4</w:t>
            </w:r>
          </w:p>
        </w:tc>
        <w:tc>
          <w:tcPr>
            <w:tcW w:w="524" w:type="dxa"/>
            <w:vAlign w:val="bottom"/>
          </w:tcPr>
          <w:p w14:paraId="3C140E94" w14:textId="77777777" w:rsidR="00C12E57" w:rsidRPr="00D272CC" w:rsidRDefault="00C12E57" w:rsidP="007831D1">
            <w:pPr>
              <w:pStyle w:val="Tablesmall"/>
              <w:jc w:val="center"/>
              <w:rPr>
                <w:i/>
              </w:rPr>
            </w:pPr>
            <w:r w:rsidRPr="00D272CC">
              <w:rPr>
                <w:i/>
              </w:rPr>
              <w:t>2</w:t>
            </w:r>
          </w:p>
        </w:tc>
        <w:tc>
          <w:tcPr>
            <w:tcW w:w="525" w:type="dxa"/>
            <w:vAlign w:val="bottom"/>
          </w:tcPr>
          <w:p w14:paraId="68801AD5" w14:textId="77777777" w:rsidR="00C12E57" w:rsidRPr="00D272CC" w:rsidRDefault="00C12E57" w:rsidP="007831D1">
            <w:pPr>
              <w:pStyle w:val="Tablesmall"/>
              <w:jc w:val="center"/>
              <w:rPr>
                <w:i/>
              </w:rPr>
            </w:pPr>
            <w:r w:rsidRPr="00D272CC">
              <w:rPr>
                <w:i/>
              </w:rPr>
              <w:t>1</w:t>
            </w:r>
          </w:p>
        </w:tc>
        <w:tc>
          <w:tcPr>
            <w:tcW w:w="567" w:type="dxa"/>
            <w:vAlign w:val="bottom"/>
          </w:tcPr>
          <w:p w14:paraId="159239C5" w14:textId="77777777" w:rsidR="00C12E57" w:rsidRPr="00D272CC" w:rsidRDefault="00033991" w:rsidP="007831D1">
            <w:pPr>
              <w:pStyle w:val="Tablesmall"/>
              <w:jc w:val="center"/>
              <w:rPr>
                <w:i/>
              </w:rPr>
            </w:pPr>
            <w:r w:rsidRPr="00D272CC">
              <w:rPr>
                <w:i/>
              </w:rPr>
              <w:t>53</w:t>
            </w:r>
          </w:p>
        </w:tc>
      </w:tr>
      <w:tr w:rsidR="00C12E57" w:rsidRPr="00D272CC" w14:paraId="4C7CF64F" w14:textId="77777777" w:rsidTr="006411D6">
        <w:tc>
          <w:tcPr>
            <w:tcW w:w="3261" w:type="dxa"/>
          </w:tcPr>
          <w:p w14:paraId="28885020" w14:textId="77777777" w:rsidR="00C12E57" w:rsidRPr="00D272CC" w:rsidRDefault="00C12E57" w:rsidP="007831D1">
            <w:pPr>
              <w:pStyle w:val="Tablesmall"/>
            </w:pPr>
            <w:r w:rsidRPr="00D272CC">
              <w:t>- proportion of changes explained</w:t>
            </w:r>
          </w:p>
        </w:tc>
        <w:tc>
          <w:tcPr>
            <w:tcW w:w="524" w:type="dxa"/>
            <w:vAlign w:val="bottom"/>
          </w:tcPr>
          <w:p w14:paraId="1076B697" w14:textId="77777777" w:rsidR="00C12E57" w:rsidRPr="00D272CC" w:rsidRDefault="00C12E57" w:rsidP="007831D1">
            <w:pPr>
              <w:pStyle w:val="Tablesmall"/>
              <w:jc w:val="center"/>
            </w:pPr>
            <w:r w:rsidRPr="00D272CC">
              <w:t>32%</w:t>
            </w:r>
          </w:p>
        </w:tc>
        <w:tc>
          <w:tcPr>
            <w:tcW w:w="524" w:type="dxa"/>
            <w:vAlign w:val="bottom"/>
          </w:tcPr>
          <w:p w14:paraId="354785F7" w14:textId="77777777" w:rsidR="00C12E57" w:rsidRPr="00D272CC" w:rsidRDefault="00C12E57" w:rsidP="007831D1">
            <w:pPr>
              <w:pStyle w:val="Tablesmall"/>
              <w:jc w:val="center"/>
            </w:pPr>
            <w:r w:rsidRPr="00D272CC">
              <w:t>43%</w:t>
            </w:r>
          </w:p>
        </w:tc>
        <w:tc>
          <w:tcPr>
            <w:tcW w:w="525" w:type="dxa"/>
            <w:vAlign w:val="bottom"/>
          </w:tcPr>
          <w:p w14:paraId="13EB16AC" w14:textId="77777777" w:rsidR="00C12E57" w:rsidRPr="00D272CC" w:rsidRDefault="00C12E57" w:rsidP="007831D1">
            <w:pPr>
              <w:pStyle w:val="Tablesmall"/>
              <w:jc w:val="center"/>
            </w:pPr>
            <w:r w:rsidRPr="00D272CC">
              <w:t>40%</w:t>
            </w:r>
          </w:p>
        </w:tc>
        <w:tc>
          <w:tcPr>
            <w:tcW w:w="524" w:type="dxa"/>
            <w:vAlign w:val="bottom"/>
          </w:tcPr>
          <w:p w14:paraId="3CD171F7" w14:textId="77777777" w:rsidR="00C12E57" w:rsidRPr="00D272CC" w:rsidRDefault="00C12E57" w:rsidP="007831D1">
            <w:pPr>
              <w:pStyle w:val="Tablesmall"/>
              <w:jc w:val="center"/>
            </w:pPr>
            <w:r w:rsidRPr="00D272CC">
              <w:t>3</w:t>
            </w:r>
            <w:r w:rsidR="00562C99" w:rsidRPr="00D272CC">
              <w:t>0</w:t>
            </w:r>
            <w:r w:rsidRPr="00D272CC">
              <w:t>%</w:t>
            </w:r>
          </w:p>
        </w:tc>
        <w:tc>
          <w:tcPr>
            <w:tcW w:w="525" w:type="dxa"/>
            <w:vAlign w:val="bottom"/>
          </w:tcPr>
          <w:p w14:paraId="4A0DF463" w14:textId="77777777" w:rsidR="00C12E57" w:rsidRPr="00D272CC" w:rsidRDefault="00C12E57" w:rsidP="007831D1">
            <w:pPr>
              <w:pStyle w:val="Tablesmall"/>
              <w:jc w:val="center"/>
            </w:pPr>
            <w:r w:rsidRPr="00D272CC">
              <w:t>38%</w:t>
            </w:r>
          </w:p>
        </w:tc>
        <w:tc>
          <w:tcPr>
            <w:tcW w:w="524" w:type="dxa"/>
            <w:vAlign w:val="bottom"/>
          </w:tcPr>
          <w:p w14:paraId="146543C6" w14:textId="77777777" w:rsidR="00C12E57" w:rsidRPr="00D272CC" w:rsidRDefault="00C12E57" w:rsidP="007831D1">
            <w:pPr>
              <w:pStyle w:val="Tablesmall"/>
              <w:jc w:val="center"/>
            </w:pPr>
            <w:r w:rsidRPr="00D272CC">
              <w:t>25%</w:t>
            </w:r>
          </w:p>
        </w:tc>
        <w:tc>
          <w:tcPr>
            <w:tcW w:w="524" w:type="dxa"/>
            <w:vAlign w:val="bottom"/>
          </w:tcPr>
          <w:p w14:paraId="0BE5B330" w14:textId="77777777" w:rsidR="00C12E57" w:rsidRPr="00D272CC" w:rsidRDefault="00C12E57" w:rsidP="007831D1">
            <w:pPr>
              <w:pStyle w:val="Tablesmall"/>
              <w:jc w:val="center"/>
            </w:pPr>
            <w:r w:rsidRPr="00D272CC">
              <w:t>34%</w:t>
            </w:r>
          </w:p>
        </w:tc>
        <w:tc>
          <w:tcPr>
            <w:tcW w:w="525" w:type="dxa"/>
            <w:vAlign w:val="bottom"/>
          </w:tcPr>
          <w:p w14:paraId="0617EB05" w14:textId="77777777" w:rsidR="00C12E57" w:rsidRPr="00D272CC" w:rsidRDefault="00C12E57" w:rsidP="007831D1">
            <w:pPr>
              <w:pStyle w:val="Tablesmall"/>
              <w:jc w:val="center"/>
            </w:pPr>
            <w:r w:rsidRPr="00D272CC">
              <w:t>17%</w:t>
            </w:r>
          </w:p>
        </w:tc>
        <w:tc>
          <w:tcPr>
            <w:tcW w:w="524" w:type="dxa"/>
            <w:vAlign w:val="bottom"/>
          </w:tcPr>
          <w:p w14:paraId="5E9FC33B" w14:textId="77777777" w:rsidR="00C12E57" w:rsidRPr="00D272CC" w:rsidRDefault="00C12E57" w:rsidP="007831D1">
            <w:pPr>
              <w:pStyle w:val="Tablesmall"/>
              <w:jc w:val="center"/>
            </w:pPr>
            <w:r w:rsidRPr="00D272CC">
              <w:t>39%</w:t>
            </w:r>
          </w:p>
        </w:tc>
        <w:tc>
          <w:tcPr>
            <w:tcW w:w="525" w:type="dxa"/>
            <w:vAlign w:val="bottom"/>
          </w:tcPr>
          <w:p w14:paraId="321192EA" w14:textId="77777777" w:rsidR="00C12E57" w:rsidRPr="00D272CC" w:rsidRDefault="00C12E57" w:rsidP="007831D1">
            <w:pPr>
              <w:pStyle w:val="Tablesmall"/>
              <w:jc w:val="center"/>
            </w:pPr>
            <w:r w:rsidRPr="00D272CC">
              <w:t>42%</w:t>
            </w:r>
          </w:p>
        </w:tc>
        <w:tc>
          <w:tcPr>
            <w:tcW w:w="567" w:type="dxa"/>
            <w:vAlign w:val="bottom"/>
          </w:tcPr>
          <w:p w14:paraId="673DE4BC" w14:textId="77777777" w:rsidR="00C12E57" w:rsidRPr="00D272CC" w:rsidRDefault="00C12E57" w:rsidP="007831D1">
            <w:pPr>
              <w:pStyle w:val="Tablesmall"/>
              <w:jc w:val="center"/>
            </w:pPr>
            <w:r w:rsidRPr="00D272CC">
              <w:t>34%</w:t>
            </w:r>
          </w:p>
        </w:tc>
      </w:tr>
      <w:tr w:rsidR="00C12E57" w:rsidRPr="00D272CC" w14:paraId="3F3347B3" w14:textId="77777777" w:rsidTr="006411D6">
        <w:tc>
          <w:tcPr>
            <w:tcW w:w="3261" w:type="dxa"/>
          </w:tcPr>
          <w:p w14:paraId="710211C2" w14:textId="77777777" w:rsidR="00C12E57" w:rsidRPr="00D272CC" w:rsidRDefault="00C12E57" w:rsidP="007831D1">
            <w:pPr>
              <w:pStyle w:val="Tablesmall"/>
              <w:jc w:val="center"/>
            </w:pPr>
          </w:p>
        </w:tc>
        <w:tc>
          <w:tcPr>
            <w:tcW w:w="524" w:type="dxa"/>
            <w:vAlign w:val="bottom"/>
          </w:tcPr>
          <w:p w14:paraId="7770303E" w14:textId="77777777" w:rsidR="00C12E57" w:rsidRPr="00D272CC" w:rsidRDefault="00C12E57" w:rsidP="007831D1">
            <w:pPr>
              <w:pStyle w:val="Tablesmall"/>
              <w:jc w:val="center"/>
            </w:pPr>
          </w:p>
        </w:tc>
        <w:tc>
          <w:tcPr>
            <w:tcW w:w="524" w:type="dxa"/>
            <w:vAlign w:val="bottom"/>
          </w:tcPr>
          <w:p w14:paraId="25F7A29A" w14:textId="77777777" w:rsidR="00C12E57" w:rsidRPr="00D272CC" w:rsidRDefault="00C12E57" w:rsidP="007831D1">
            <w:pPr>
              <w:pStyle w:val="Tablesmall"/>
              <w:jc w:val="center"/>
            </w:pPr>
          </w:p>
        </w:tc>
        <w:tc>
          <w:tcPr>
            <w:tcW w:w="525" w:type="dxa"/>
            <w:vAlign w:val="bottom"/>
          </w:tcPr>
          <w:p w14:paraId="2825ACF6" w14:textId="77777777" w:rsidR="00C12E57" w:rsidRPr="00D272CC" w:rsidRDefault="00C12E57" w:rsidP="007831D1">
            <w:pPr>
              <w:pStyle w:val="Tablesmall"/>
              <w:jc w:val="center"/>
            </w:pPr>
          </w:p>
        </w:tc>
        <w:tc>
          <w:tcPr>
            <w:tcW w:w="524" w:type="dxa"/>
            <w:vAlign w:val="bottom"/>
          </w:tcPr>
          <w:p w14:paraId="486929FD" w14:textId="77777777" w:rsidR="00C12E57" w:rsidRPr="00D272CC" w:rsidRDefault="00C12E57" w:rsidP="007831D1">
            <w:pPr>
              <w:pStyle w:val="Tablesmall"/>
              <w:jc w:val="center"/>
            </w:pPr>
          </w:p>
        </w:tc>
        <w:tc>
          <w:tcPr>
            <w:tcW w:w="525" w:type="dxa"/>
            <w:vAlign w:val="bottom"/>
          </w:tcPr>
          <w:p w14:paraId="057CB9D6" w14:textId="77777777" w:rsidR="00C12E57" w:rsidRPr="00D272CC" w:rsidRDefault="00C12E57" w:rsidP="007831D1">
            <w:pPr>
              <w:pStyle w:val="Tablesmall"/>
              <w:jc w:val="center"/>
            </w:pPr>
          </w:p>
        </w:tc>
        <w:tc>
          <w:tcPr>
            <w:tcW w:w="524" w:type="dxa"/>
            <w:vAlign w:val="bottom"/>
          </w:tcPr>
          <w:p w14:paraId="1CF201F0" w14:textId="77777777" w:rsidR="00C12E57" w:rsidRPr="00D272CC" w:rsidRDefault="00C12E57" w:rsidP="007831D1">
            <w:pPr>
              <w:pStyle w:val="Tablesmall"/>
              <w:jc w:val="center"/>
            </w:pPr>
          </w:p>
        </w:tc>
        <w:tc>
          <w:tcPr>
            <w:tcW w:w="524" w:type="dxa"/>
            <w:vAlign w:val="bottom"/>
          </w:tcPr>
          <w:p w14:paraId="0B411AB3" w14:textId="77777777" w:rsidR="00C12E57" w:rsidRPr="00D272CC" w:rsidRDefault="00C12E57" w:rsidP="007831D1">
            <w:pPr>
              <w:pStyle w:val="Tablesmall"/>
              <w:jc w:val="center"/>
            </w:pPr>
          </w:p>
        </w:tc>
        <w:tc>
          <w:tcPr>
            <w:tcW w:w="525" w:type="dxa"/>
            <w:vAlign w:val="bottom"/>
          </w:tcPr>
          <w:p w14:paraId="5BA9F594" w14:textId="77777777" w:rsidR="00C12E57" w:rsidRPr="00D272CC" w:rsidRDefault="00C12E57" w:rsidP="007831D1">
            <w:pPr>
              <w:pStyle w:val="Tablesmall"/>
              <w:jc w:val="center"/>
            </w:pPr>
          </w:p>
        </w:tc>
        <w:tc>
          <w:tcPr>
            <w:tcW w:w="524" w:type="dxa"/>
            <w:vAlign w:val="bottom"/>
          </w:tcPr>
          <w:p w14:paraId="223F2395" w14:textId="77777777" w:rsidR="00C12E57" w:rsidRPr="00D272CC" w:rsidRDefault="00C12E57" w:rsidP="007831D1">
            <w:pPr>
              <w:pStyle w:val="Tablesmall"/>
              <w:jc w:val="center"/>
            </w:pPr>
          </w:p>
        </w:tc>
        <w:tc>
          <w:tcPr>
            <w:tcW w:w="525" w:type="dxa"/>
            <w:vAlign w:val="bottom"/>
          </w:tcPr>
          <w:p w14:paraId="6B44C56C" w14:textId="77777777" w:rsidR="00C12E57" w:rsidRPr="00D272CC" w:rsidRDefault="00C12E57" w:rsidP="007831D1">
            <w:pPr>
              <w:pStyle w:val="Tablesmall"/>
              <w:jc w:val="center"/>
            </w:pPr>
          </w:p>
        </w:tc>
        <w:tc>
          <w:tcPr>
            <w:tcW w:w="567" w:type="dxa"/>
            <w:vAlign w:val="bottom"/>
          </w:tcPr>
          <w:p w14:paraId="4856A636" w14:textId="77777777" w:rsidR="00C12E57" w:rsidRPr="00D272CC" w:rsidRDefault="00C12E57" w:rsidP="007831D1">
            <w:pPr>
              <w:pStyle w:val="Tablesmall"/>
              <w:jc w:val="center"/>
            </w:pPr>
          </w:p>
        </w:tc>
      </w:tr>
      <w:tr w:rsidR="00C12E57" w:rsidRPr="00D272CC" w14:paraId="007F47C4" w14:textId="77777777" w:rsidTr="006411D6">
        <w:tc>
          <w:tcPr>
            <w:tcW w:w="3261" w:type="dxa"/>
          </w:tcPr>
          <w:p w14:paraId="2D526EF4" w14:textId="77777777" w:rsidR="00C12E57" w:rsidRPr="00D272CC" w:rsidRDefault="00C12E57" w:rsidP="007831D1">
            <w:pPr>
              <w:pStyle w:val="Tablesmall"/>
              <w:rPr>
                <w:b/>
              </w:rPr>
            </w:pPr>
            <w:r w:rsidRPr="00D272CC">
              <w:rPr>
                <w:b/>
              </w:rPr>
              <w:t>Reasons for IFRS policy changes</w:t>
            </w:r>
          </w:p>
        </w:tc>
        <w:tc>
          <w:tcPr>
            <w:tcW w:w="524" w:type="dxa"/>
            <w:vAlign w:val="bottom"/>
          </w:tcPr>
          <w:p w14:paraId="4E7740B6" w14:textId="77777777" w:rsidR="00C12E57" w:rsidRPr="00D272CC" w:rsidRDefault="00C12E57" w:rsidP="007831D1">
            <w:pPr>
              <w:pStyle w:val="Tablesmall"/>
              <w:jc w:val="center"/>
              <w:rPr>
                <w:b/>
              </w:rPr>
            </w:pPr>
            <w:r w:rsidRPr="00D272CC">
              <w:rPr>
                <w:b/>
              </w:rPr>
              <w:t>16</w:t>
            </w:r>
          </w:p>
        </w:tc>
        <w:tc>
          <w:tcPr>
            <w:tcW w:w="524" w:type="dxa"/>
            <w:vAlign w:val="bottom"/>
          </w:tcPr>
          <w:p w14:paraId="4FFA5730" w14:textId="77777777" w:rsidR="00C12E57" w:rsidRPr="00D272CC" w:rsidRDefault="00C12E57" w:rsidP="007831D1">
            <w:pPr>
              <w:pStyle w:val="Tablesmall"/>
              <w:jc w:val="center"/>
              <w:rPr>
                <w:b/>
              </w:rPr>
            </w:pPr>
            <w:r w:rsidRPr="00D272CC">
              <w:rPr>
                <w:b/>
              </w:rPr>
              <w:t>9</w:t>
            </w:r>
          </w:p>
        </w:tc>
        <w:tc>
          <w:tcPr>
            <w:tcW w:w="525" w:type="dxa"/>
            <w:vAlign w:val="bottom"/>
          </w:tcPr>
          <w:p w14:paraId="51EFBACE" w14:textId="77777777" w:rsidR="00C12E57" w:rsidRPr="00D272CC" w:rsidRDefault="00C12E57" w:rsidP="007831D1">
            <w:pPr>
              <w:pStyle w:val="Tablesmall"/>
              <w:jc w:val="center"/>
              <w:rPr>
                <w:b/>
              </w:rPr>
            </w:pPr>
            <w:r w:rsidRPr="00D272CC">
              <w:rPr>
                <w:b/>
              </w:rPr>
              <w:t>2</w:t>
            </w:r>
            <w:r w:rsidR="00562C99" w:rsidRPr="00D272CC">
              <w:rPr>
                <w:b/>
              </w:rPr>
              <w:t>9</w:t>
            </w:r>
          </w:p>
        </w:tc>
        <w:tc>
          <w:tcPr>
            <w:tcW w:w="524" w:type="dxa"/>
            <w:vAlign w:val="bottom"/>
          </w:tcPr>
          <w:p w14:paraId="74DE6007" w14:textId="77777777" w:rsidR="00C12E57" w:rsidRPr="00D272CC" w:rsidRDefault="00C12E57" w:rsidP="007831D1">
            <w:pPr>
              <w:pStyle w:val="Tablesmall"/>
              <w:jc w:val="center"/>
              <w:rPr>
                <w:b/>
              </w:rPr>
            </w:pPr>
            <w:r w:rsidRPr="00D272CC">
              <w:rPr>
                <w:b/>
              </w:rPr>
              <w:t>2</w:t>
            </w:r>
            <w:r w:rsidR="00562C99" w:rsidRPr="00D272CC">
              <w:rPr>
                <w:b/>
              </w:rPr>
              <w:t>2</w:t>
            </w:r>
          </w:p>
        </w:tc>
        <w:tc>
          <w:tcPr>
            <w:tcW w:w="525" w:type="dxa"/>
            <w:vAlign w:val="bottom"/>
          </w:tcPr>
          <w:p w14:paraId="1216DBAA" w14:textId="77777777" w:rsidR="00C12E57" w:rsidRPr="00D272CC" w:rsidRDefault="00C12E57" w:rsidP="007831D1">
            <w:pPr>
              <w:pStyle w:val="Tablesmall"/>
              <w:jc w:val="center"/>
              <w:rPr>
                <w:b/>
              </w:rPr>
            </w:pPr>
            <w:r w:rsidRPr="00D272CC">
              <w:rPr>
                <w:b/>
              </w:rPr>
              <w:t>20</w:t>
            </w:r>
          </w:p>
        </w:tc>
        <w:tc>
          <w:tcPr>
            <w:tcW w:w="524" w:type="dxa"/>
            <w:vAlign w:val="bottom"/>
          </w:tcPr>
          <w:p w14:paraId="11F5CA9F" w14:textId="77777777" w:rsidR="00C12E57" w:rsidRPr="00D272CC" w:rsidRDefault="00C12E57" w:rsidP="007831D1">
            <w:pPr>
              <w:pStyle w:val="Tablesmall"/>
              <w:jc w:val="center"/>
              <w:rPr>
                <w:b/>
              </w:rPr>
            </w:pPr>
            <w:r w:rsidRPr="00D272CC">
              <w:rPr>
                <w:b/>
              </w:rPr>
              <w:t>25</w:t>
            </w:r>
          </w:p>
        </w:tc>
        <w:tc>
          <w:tcPr>
            <w:tcW w:w="524" w:type="dxa"/>
            <w:vAlign w:val="bottom"/>
          </w:tcPr>
          <w:p w14:paraId="1D6B02A4" w14:textId="77777777" w:rsidR="00C12E57" w:rsidRPr="00D272CC" w:rsidRDefault="00C12E57" w:rsidP="007831D1">
            <w:pPr>
              <w:pStyle w:val="Tablesmall"/>
              <w:jc w:val="center"/>
              <w:rPr>
                <w:b/>
              </w:rPr>
            </w:pPr>
            <w:r w:rsidRPr="00D272CC">
              <w:rPr>
                <w:b/>
              </w:rPr>
              <w:t>36</w:t>
            </w:r>
          </w:p>
        </w:tc>
        <w:tc>
          <w:tcPr>
            <w:tcW w:w="525" w:type="dxa"/>
            <w:vAlign w:val="bottom"/>
          </w:tcPr>
          <w:p w14:paraId="2D510EFE" w14:textId="77777777" w:rsidR="00C12E57" w:rsidRPr="00D272CC" w:rsidRDefault="00C12E57" w:rsidP="007831D1">
            <w:pPr>
              <w:pStyle w:val="Tablesmall"/>
              <w:jc w:val="center"/>
              <w:rPr>
                <w:b/>
              </w:rPr>
            </w:pPr>
            <w:r w:rsidRPr="00D272CC">
              <w:rPr>
                <w:b/>
              </w:rPr>
              <w:t>7</w:t>
            </w:r>
          </w:p>
        </w:tc>
        <w:tc>
          <w:tcPr>
            <w:tcW w:w="524" w:type="dxa"/>
            <w:vAlign w:val="bottom"/>
          </w:tcPr>
          <w:p w14:paraId="19B8EFB5" w14:textId="77777777" w:rsidR="00C12E57" w:rsidRPr="00D272CC" w:rsidRDefault="00C12E57" w:rsidP="007831D1">
            <w:pPr>
              <w:pStyle w:val="Tablesmall"/>
              <w:jc w:val="center"/>
              <w:rPr>
                <w:b/>
              </w:rPr>
            </w:pPr>
            <w:r w:rsidRPr="00D272CC">
              <w:rPr>
                <w:b/>
              </w:rPr>
              <w:t>19</w:t>
            </w:r>
          </w:p>
        </w:tc>
        <w:tc>
          <w:tcPr>
            <w:tcW w:w="525" w:type="dxa"/>
            <w:vAlign w:val="bottom"/>
          </w:tcPr>
          <w:p w14:paraId="66D0A687" w14:textId="77777777" w:rsidR="00C12E57" w:rsidRPr="00D272CC" w:rsidRDefault="00C12E57" w:rsidP="007831D1">
            <w:pPr>
              <w:pStyle w:val="Tablesmall"/>
              <w:jc w:val="center"/>
              <w:rPr>
                <w:b/>
              </w:rPr>
            </w:pPr>
            <w:r w:rsidRPr="00D272CC">
              <w:rPr>
                <w:b/>
              </w:rPr>
              <w:t>21</w:t>
            </w:r>
          </w:p>
        </w:tc>
        <w:tc>
          <w:tcPr>
            <w:tcW w:w="567" w:type="dxa"/>
            <w:vAlign w:val="bottom"/>
          </w:tcPr>
          <w:p w14:paraId="6D917696" w14:textId="77777777" w:rsidR="00C12E57" w:rsidRPr="00D272CC" w:rsidRDefault="00C12E57" w:rsidP="007831D1">
            <w:pPr>
              <w:pStyle w:val="Tablesmall"/>
              <w:jc w:val="center"/>
              <w:rPr>
                <w:b/>
              </w:rPr>
            </w:pPr>
            <w:r w:rsidRPr="00D272CC">
              <w:rPr>
                <w:b/>
              </w:rPr>
              <w:t>204</w:t>
            </w:r>
          </w:p>
        </w:tc>
      </w:tr>
      <w:tr w:rsidR="00F67D73" w:rsidRPr="00D272CC" w14:paraId="1190CE93" w14:textId="77777777" w:rsidTr="006411D6">
        <w:tc>
          <w:tcPr>
            <w:tcW w:w="3261" w:type="dxa"/>
          </w:tcPr>
          <w:p w14:paraId="2DF0D3A4" w14:textId="77777777" w:rsidR="00F67D73" w:rsidRPr="00D272CC" w:rsidRDefault="00F67D73" w:rsidP="00921766">
            <w:pPr>
              <w:pStyle w:val="Tablesmall"/>
            </w:pPr>
            <w:r w:rsidRPr="00D272CC">
              <w:t>Reasons excluding reliability</w:t>
            </w:r>
            <w:r w:rsidR="00921766" w:rsidRPr="00D272CC">
              <w:t xml:space="preserve"> and relevance</w:t>
            </w:r>
          </w:p>
        </w:tc>
        <w:tc>
          <w:tcPr>
            <w:tcW w:w="524" w:type="dxa"/>
            <w:vAlign w:val="bottom"/>
          </w:tcPr>
          <w:p w14:paraId="0AF3FF38" w14:textId="77777777" w:rsidR="00F67D73" w:rsidRPr="00D272CC" w:rsidRDefault="00F67D73" w:rsidP="00F67D73">
            <w:pPr>
              <w:pStyle w:val="Tablesmall"/>
              <w:jc w:val="center"/>
            </w:pPr>
            <w:r w:rsidRPr="00D272CC">
              <w:t>13</w:t>
            </w:r>
          </w:p>
        </w:tc>
        <w:tc>
          <w:tcPr>
            <w:tcW w:w="524" w:type="dxa"/>
            <w:vAlign w:val="bottom"/>
          </w:tcPr>
          <w:p w14:paraId="4D92AEA5" w14:textId="77777777" w:rsidR="00F67D73" w:rsidRPr="00D272CC" w:rsidRDefault="00F67D73" w:rsidP="00F67D73">
            <w:pPr>
              <w:pStyle w:val="Tablesmall"/>
              <w:jc w:val="center"/>
            </w:pPr>
            <w:r w:rsidRPr="00D272CC">
              <w:t>7</w:t>
            </w:r>
          </w:p>
        </w:tc>
        <w:tc>
          <w:tcPr>
            <w:tcW w:w="525" w:type="dxa"/>
            <w:vAlign w:val="bottom"/>
          </w:tcPr>
          <w:p w14:paraId="0F42C0FB" w14:textId="77777777" w:rsidR="00F67D73" w:rsidRPr="00D272CC" w:rsidRDefault="00F67D73" w:rsidP="00F67D73">
            <w:pPr>
              <w:pStyle w:val="Tablesmall"/>
              <w:jc w:val="center"/>
            </w:pPr>
            <w:r w:rsidRPr="00D272CC">
              <w:t>2</w:t>
            </w:r>
            <w:r w:rsidR="00562C99" w:rsidRPr="00D272CC">
              <w:t>2</w:t>
            </w:r>
          </w:p>
        </w:tc>
        <w:tc>
          <w:tcPr>
            <w:tcW w:w="524" w:type="dxa"/>
            <w:vAlign w:val="bottom"/>
          </w:tcPr>
          <w:p w14:paraId="0EF20E7D" w14:textId="77777777" w:rsidR="00F67D73" w:rsidRPr="00D272CC" w:rsidRDefault="00562C99" w:rsidP="00F67D73">
            <w:pPr>
              <w:pStyle w:val="Tablesmall"/>
              <w:jc w:val="center"/>
            </w:pPr>
            <w:r w:rsidRPr="00D272CC">
              <w:t>19</w:t>
            </w:r>
          </w:p>
        </w:tc>
        <w:tc>
          <w:tcPr>
            <w:tcW w:w="525" w:type="dxa"/>
            <w:vAlign w:val="bottom"/>
          </w:tcPr>
          <w:p w14:paraId="772298D0" w14:textId="77777777" w:rsidR="00F67D73" w:rsidRPr="00D272CC" w:rsidRDefault="00F67D73" w:rsidP="00F67D73">
            <w:pPr>
              <w:pStyle w:val="Tablesmall"/>
              <w:jc w:val="center"/>
            </w:pPr>
            <w:r w:rsidRPr="00D272CC">
              <w:t>19</w:t>
            </w:r>
          </w:p>
        </w:tc>
        <w:tc>
          <w:tcPr>
            <w:tcW w:w="524" w:type="dxa"/>
            <w:vAlign w:val="bottom"/>
          </w:tcPr>
          <w:p w14:paraId="054D67BD" w14:textId="77777777" w:rsidR="00F67D73" w:rsidRPr="00D272CC" w:rsidRDefault="00F67D73" w:rsidP="00F67D73">
            <w:pPr>
              <w:pStyle w:val="Tablesmall"/>
              <w:jc w:val="center"/>
            </w:pPr>
            <w:r w:rsidRPr="00D272CC">
              <w:t>22</w:t>
            </w:r>
          </w:p>
        </w:tc>
        <w:tc>
          <w:tcPr>
            <w:tcW w:w="524" w:type="dxa"/>
            <w:vAlign w:val="bottom"/>
          </w:tcPr>
          <w:p w14:paraId="05918106" w14:textId="77777777" w:rsidR="00F67D73" w:rsidRPr="00D272CC" w:rsidRDefault="00F67D73" w:rsidP="00F67D73">
            <w:pPr>
              <w:pStyle w:val="Tablesmall"/>
              <w:jc w:val="center"/>
            </w:pPr>
            <w:r w:rsidRPr="00D272CC">
              <w:t>3</w:t>
            </w:r>
            <w:r w:rsidR="00562C99" w:rsidRPr="00D272CC">
              <w:t>2</w:t>
            </w:r>
          </w:p>
        </w:tc>
        <w:tc>
          <w:tcPr>
            <w:tcW w:w="525" w:type="dxa"/>
            <w:vAlign w:val="bottom"/>
          </w:tcPr>
          <w:p w14:paraId="3A0F81F8" w14:textId="77777777" w:rsidR="00F67D73" w:rsidRPr="00D272CC" w:rsidRDefault="00F67D73" w:rsidP="00F67D73">
            <w:pPr>
              <w:pStyle w:val="Tablesmall"/>
              <w:jc w:val="center"/>
            </w:pPr>
            <w:r w:rsidRPr="00D272CC">
              <w:t>5</w:t>
            </w:r>
          </w:p>
        </w:tc>
        <w:tc>
          <w:tcPr>
            <w:tcW w:w="524" w:type="dxa"/>
            <w:vAlign w:val="bottom"/>
          </w:tcPr>
          <w:p w14:paraId="7FF9E92C" w14:textId="77777777" w:rsidR="00F67D73" w:rsidRPr="00D272CC" w:rsidRDefault="00F67D73" w:rsidP="00F67D73">
            <w:pPr>
              <w:pStyle w:val="Tablesmall"/>
              <w:jc w:val="center"/>
            </w:pPr>
            <w:r w:rsidRPr="00D272CC">
              <w:t>19</w:t>
            </w:r>
          </w:p>
        </w:tc>
        <w:tc>
          <w:tcPr>
            <w:tcW w:w="525" w:type="dxa"/>
            <w:vAlign w:val="bottom"/>
          </w:tcPr>
          <w:p w14:paraId="31733445" w14:textId="77777777" w:rsidR="00F67D73" w:rsidRPr="00D272CC" w:rsidRDefault="00F67D73" w:rsidP="00F67D73">
            <w:pPr>
              <w:pStyle w:val="Tablesmall"/>
              <w:jc w:val="center"/>
            </w:pPr>
            <w:r w:rsidRPr="00D272CC">
              <w:t>18</w:t>
            </w:r>
          </w:p>
        </w:tc>
        <w:tc>
          <w:tcPr>
            <w:tcW w:w="567" w:type="dxa"/>
            <w:vAlign w:val="bottom"/>
          </w:tcPr>
          <w:p w14:paraId="2BA91B80" w14:textId="77777777" w:rsidR="00F67D73" w:rsidRPr="00D272CC" w:rsidRDefault="00F67D73" w:rsidP="00F67D73">
            <w:pPr>
              <w:pStyle w:val="Tablesmall"/>
              <w:jc w:val="center"/>
            </w:pPr>
            <w:r w:rsidRPr="00D272CC">
              <w:t>17</w:t>
            </w:r>
            <w:r w:rsidR="00562C99" w:rsidRPr="00D272CC">
              <w:t>6</w:t>
            </w:r>
          </w:p>
        </w:tc>
      </w:tr>
      <w:tr w:rsidR="00C12E57" w:rsidRPr="00D272CC" w14:paraId="6B14941F" w14:textId="77777777" w:rsidTr="006411D6">
        <w:tc>
          <w:tcPr>
            <w:tcW w:w="3261" w:type="dxa"/>
            <w:tcBorders>
              <w:bottom w:val="single" w:sz="4" w:space="0" w:color="auto"/>
            </w:tcBorders>
          </w:tcPr>
          <w:p w14:paraId="7B51A568" w14:textId="77777777" w:rsidR="00C12E57" w:rsidRPr="00D272CC" w:rsidRDefault="00C12E57" w:rsidP="007831D1">
            <w:pPr>
              <w:pStyle w:val="Tablesmall"/>
            </w:pPr>
          </w:p>
        </w:tc>
        <w:tc>
          <w:tcPr>
            <w:tcW w:w="524" w:type="dxa"/>
            <w:tcBorders>
              <w:bottom w:val="single" w:sz="4" w:space="0" w:color="auto"/>
            </w:tcBorders>
            <w:vAlign w:val="bottom"/>
          </w:tcPr>
          <w:p w14:paraId="064375FB" w14:textId="77777777" w:rsidR="00C12E57" w:rsidRPr="00D272CC" w:rsidRDefault="00C12E57" w:rsidP="007831D1">
            <w:pPr>
              <w:pStyle w:val="Tablesmall"/>
              <w:jc w:val="center"/>
            </w:pPr>
          </w:p>
        </w:tc>
        <w:tc>
          <w:tcPr>
            <w:tcW w:w="524" w:type="dxa"/>
            <w:tcBorders>
              <w:bottom w:val="single" w:sz="4" w:space="0" w:color="auto"/>
            </w:tcBorders>
            <w:vAlign w:val="bottom"/>
          </w:tcPr>
          <w:p w14:paraId="6511C093" w14:textId="77777777" w:rsidR="00C12E57" w:rsidRPr="00D272CC" w:rsidRDefault="00C12E57" w:rsidP="007831D1">
            <w:pPr>
              <w:pStyle w:val="Tablesmall"/>
              <w:jc w:val="center"/>
            </w:pPr>
          </w:p>
        </w:tc>
        <w:tc>
          <w:tcPr>
            <w:tcW w:w="525" w:type="dxa"/>
            <w:tcBorders>
              <w:bottom w:val="single" w:sz="4" w:space="0" w:color="auto"/>
            </w:tcBorders>
            <w:vAlign w:val="bottom"/>
          </w:tcPr>
          <w:p w14:paraId="7515AF8D" w14:textId="77777777" w:rsidR="00C12E57" w:rsidRPr="00D272CC" w:rsidRDefault="00C12E57" w:rsidP="007831D1">
            <w:pPr>
              <w:pStyle w:val="Tablesmall"/>
              <w:jc w:val="center"/>
            </w:pPr>
          </w:p>
        </w:tc>
        <w:tc>
          <w:tcPr>
            <w:tcW w:w="524" w:type="dxa"/>
            <w:tcBorders>
              <w:bottom w:val="single" w:sz="4" w:space="0" w:color="auto"/>
            </w:tcBorders>
            <w:vAlign w:val="bottom"/>
          </w:tcPr>
          <w:p w14:paraId="5BFCA07E" w14:textId="77777777" w:rsidR="00C12E57" w:rsidRPr="00D272CC" w:rsidRDefault="00C12E57" w:rsidP="007831D1">
            <w:pPr>
              <w:pStyle w:val="Tablesmall"/>
              <w:jc w:val="center"/>
            </w:pPr>
          </w:p>
        </w:tc>
        <w:tc>
          <w:tcPr>
            <w:tcW w:w="525" w:type="dxa"/>
            <w:tcBorders>
              <w:bottom w:val="single" w:sz="4" w:space="0" w:color="auto"/>
            </w:tcBorders>
            <w:vAlign w:val="bottom"/>
          </w:tcPr>
          <w:p w14:paraId="05A5EDC0" w14:textId="77777777" w:rsidR="00C12E57" w:rsidRPr="00D272CC" w:rsidRDefault="00C12E57" w:rsidP="007831D1">
            <w:pPr>
              <w:pStyle w:val="Tablesmall"/>
              <w:jc w:val="center"/>
            </w:pPr>
          </w:p>
        </w:tc>
        <w:tc>
          <w:tcPr>
            <w:tcW w:w="524" w:type="dxa"/>
            <w:tcBorders>
              <w:bottom w:val="single" w:sz="4" w:space="0" w:color="auto"/>
            </w:tcBorders>
            <w:vAlign w:val="bottom"/>
          </w:tcPr>
          <w:p w14:paraId="499E8869" w14:textId="77777777" w:rsidR="00C12E57" w:rsidRPr="00D272CC" w:rsidRDefault="00C12E57" w:rsidP="007831D1">
            <w:pPr>
              <w:pStyle w:val="Tablesmall"/>
              <w:jc w:val="center"/>
            </w:pPr>
          </w:p>
        </w:tc>
        <w:tc>
          <w:tcPr>
            <w:tcW w:w="524" w:type="dxa"/>
            <w:tcBorders>
              <w:bottom w:val="single" w:sz="4" w:space="0" w:color="auto"/>
            </w:tcBorders>
            <w:vAlign w:val="bottom"/>
          </w:tcPr>
          <w:p w14:paraId="61E3FDAF" w14:textId="77777777" w:rsidR="00C12E57" w:rsidRPr="00D272CC" w:rsidRDefault="00C12E57" w:rsidP="007831D1">
            <w:pPr>
              <w:pStyle w:val="Tablesmall"/>
              <w:jc w:val="center"/>
            </w:pPr>
          </w:p>
        </w:tc>
        <w:tc>
          <w:tcPr>
            <w:tcW w:w="525" w:type="dxa"/>
            <w:tcBorders>
              <w:bottom w:val="single" w:sz="4" w:space="0" w:color="auto"/>
            </w:tcBorders>
            <w:vAlign w:val="bottom"/>
          </w:tcPr>
          <w:p w14:paraId="0287FEBD" w14:textId="77777777" w:rsidR="00C12E57" w:rsidRPr="00D272CC" w:rsidRDefault="00C12E57" w:rsidP="007831D1">
            <w:pPr>
              <w:pStyle w:val="Tablesmall"/>
              <w:jc w:val="center"/>
            </w:pPr>
          </w:p>
        </w:tc>
        <w:tc>
          <w:tcPr>
            <w:tcW w:w="524" w:type="dxa"/>
            <w:tcBorders>
              <w:bottom w:val="single" w:sz="4" w:space="0" w:color="auto"/>
            </w:tcBorders>
            <w:vAlign w:val="bottom"/>
          </w:tcPr>
          <w:p w14:paraId="36445C2C" w14:textId="77777777" w:rsidR="00C12E57" w:rsidRPr="00D272CC" w:rsidRDefault="00C12E57" w:rsidP="007831D1">
            <w:pPr>
              <w:pStyle w:val="Tablesmall"/>
              <w:jc w:val="center"/>
            </w:pPr>
          </w:p>
        </w:tc>
        <w:tc>
          <w:tcPr>
            <w:tcW w:w="525" w:type="dxa"/>
            <w:tcBorders>
              <w:bottom w:val="single" w:sz="4" w:space="0" w:color="auto"/>
            </w:tcBorders>
            <w:vAlign w:val="bottom"/>
          </w:tcPr>
          <w:p w14:paraId="7790D0B6" w14:textId="77777777" w:rsidR="00C12E57" w:rsidRPr="00D272CC" w:rsidRDefault="00C12E57" w:rsidP="007831D1">
            <w:pPr>
              <w:pStyle w:val="Tablesmall"/>
              <w:jc w:val="center"/>
            </w:pPr>
          </w:p>
        </w:tc>
        <w:tc>
          <w:tcPr>
            <w:tcW w:w="567" w:type="dxa"/>
            <w:tcBorders>
              <w:bottom w:val="single" w:sz="4" w:space="0" w:color="auto"/>
            </w:tcBorders>
            <w:vAlign w:val="bottom"/>
          </w:tcPr>
          <w:p w14:paraId="09A3C6F6" w14:textId="77777777" w:rsidR="00C12E57" w:rsidRPr="00D272CC" w:rsidRDefault="00C12E57" w:rsidP="007831D1">
            <w:pPr>
              <w:pStyle w:val="Tablesmall"/>
              <w:jc w:val="center"/>
            </w:pPr>
          </w:p>
        </w:tc>
      </w:tr>
      <w:tr w:rsidR="00C12E57" w:rsidRPr="00D272CC" w14:paraId="1788BC9D" w14:textId="77777777" w:rsidTr="006411D6">
        <w:tc>
          <w:tcPr>
            <w:tcW w:w="3261" w:type="dxa"/>
            <w:tcBorders>
              <w:top w:val="single" w:sz="4" w:space="0" w:color="auto"/>
            </w:tcBorders>
          </w:tcPr>
          <w:p w14:paraId="0F83516A" w14:textId="77777777" w:rsidR="00C12E57" w:rsidRPr="00D272CC" w:rsidRDefault="00C12E57" w:rsidP="007831D1">
            <w:pPr>
              <w:pStyle w:val="Tablesmall"/>
            </w:pPr>
          </w:p>
        </w:tc>
        <w:tc>
          <w:tcPr>
            <w:tcW w:w="524" w:type="dxa"/>
            <w:tcBorders>
              <w:top w:val="single" w:sz="4" w:space="0" w:color="auto"/>
            </w:tcBorders>
            <w:vAlign w:val="bottom"/>
          </w:tcPr>
          <w:p w14:paraId="3BD71591" w14:textId="77777777" w:rsidR="00C12E57" w:rsidRPr="00D272CC" w:rsidRDefault="00C12E57" w:rsidP="007831D1">
            <w:pPr>
              <w:pStyle w:val="Tablesmall"/>
              <w:jc w:val="center"/>
            </w:pPr>
          </w:p>
        </w:tc>
        <w:tc>
          <w:tcPr>
            <w:tcW w:w="524" w:type="dxa"/>
            <w:tcBorders>
              <w:top w:val="single" w:sz="4" w:space="0" w:color="auto"/>
            </w:tcBorders>
            <w:vAlign w:val="bottom"/>
          </w:tcPr>
          <w:p w14:paraId="45632F25" w14:textId="77777777" w:rsidR="00C12E57" w:rsidRPr="00D272CC" w:rsidRDefault="00C12E57" w:rsidP="007831D1">
            <w:pPr>
              <w:pStyle w:val="Tablesmall"/>
              <w:jc w:val="center"/>
            </w:pPr>
          </w:p>
        </w:tc>
        <w:tc>
          <w:tcPr>
            <w:tcW w:w="525" w:type="dxa"/>
            <w:tcBorders>
              <w:top w:val="single" w:sz="4" w:space="0" w:color="auto"/>
            </w:tcBorders>
            <w:vAlign w:val="bottom"/>
          </w:tcPr>
          <w:p w14:paraId="0914859F" w14:textId="77777777" w:rsidR="00C12E57" w:rsidRPr="00D272CC" w:rsidRDefault="00C12E57" w:rsidP="007831D1">
            <w:pPr>
              <w:pStyle w:val="Tablesmall"/>
              <w:jc w:val="center"/>
            </w:pPr>
          </w:p>
        </w:tc>
        <w:tc>
          <w:tcPr>
            <w:tcW w:w="524" w:type="dxa"/>
            <w:tcBorders>
              <w:top w:val="single" w:sz="4" w:space="0" w:color="auto"/>
            </w:tcBorders>
            <w:vAlign w:val="bottom"/>
          </w:tcPr>
          <w:p w14:paraId="7356DCCE" w14:textId="77777777" w:rsidR="00C12E57" w:rsidRPr="00D272CC" w:rsidRDefault="00C12E57" w:rsidP="007831D1">
            <w:pPr>
              <w:pStyle w:val="Tablesmall"/>
              <w:jc w:val="center"/>
            </w:pPr>
          </w:p>
        </w:tc>
        <w:tc>
          <w:tcPr>
            <w:tcW w:w="525" w:type="dxa"/>
            <w:tcBorders>
              <w:top w:val="single" w:sz="4" w:space="0" w:color="auto"/>
            </w:tcBorders>
            <w:vAlign w:val="bottom"/>
          </w:tcPr>
          <w:p w14:paraId="6661C5F1" w14:textId="77777777" w:rsidR="00C12E57" w:rsidRPr="00D272CC" w:rsidRDefault="00C12E57" w:rsidP="007831D1">
            <w:pPr>
              <w:pStyle w:val="Tablesmall"/>
              <w:jc w:val="center"/>
            </w:pPr>
          </w:p>
        </w:tc>
        <w:tc>
          <w:tcPr>
            <w:tcW w:w="524" w:type="dxa"/>
            <w:tcBorders>
              <w:top w:val="single" w:sz="4" w:space="0" w:color="auto"/>
            </w:tcBorders>
            <w:vAlign w:val="bottom"/>
          </w:tcPr>
          <w:p w14:paraId="4FF3992C" w14:textId="77777777" w:rsidR="00C12E57" w:rsidRPr="00D272CC" w:rsidRDefault="00C12E57" w:rsidP="007831D1">
            <w:pPr>
              <w:pStyle w:val="Tablesmall"/>
              <w:jc w:val="center"/>
            </w:pPr>
          </w:p>
        </w:tc>
        <w:tc>
          <w:tcPr>
            <w:tcW w:w="524" w:type="dxa"/>
            <w:tcBorders>
              <w:top w:val="single" w:sz="4" w:space="0" w:color="auto"/>
            </w:tcBorders>
            <w:vAlign w:val="bottom"/>
          </w:tcPr>
          <w:p w14:paraId="4F481908" w14:textId="77777777" w:rsidR="00C12E57" w:rsidRPr="00D272CC" w:rsidRDefault="00C12E57" w:rsidP="007831D1">
            <w:pPr>
              <w:pStyle w:val="Tablesmall"/>
              <w:jc w:val="center"/>
            </w:pPr>
          </w:p>
        </w:tc>
        <w:tc>
          <w:tcPr>
            <w:tcW w:w="525" w:type="dxa"/>
            <w:tcBorders>
              <w:top w:val="single" w:sz="4" w:space="0" w:color="auto"/>
            </w:tcBorders>
            <w:vAlign w:val="bottom"/>
          </w:tcPr>
          <w:p w14:paraId="1BF51EE7" w14:textId="77777777" w:rsidR="00C12E57" w:rsidRPr="00D272CC" w:rsidRDefault="00C12E57" w:rsidP="007831D1">
            <w:pPr>
              <w:pStyle w:val="Tablesmall"/>
              <w:jc w:val="center"/>
            </w:pPr>
          </w:p>
        </w:tc>
        <w:tc>
          <w:tcPr>
            <w:tcW w:w="524" w:type="dxa"/>
            <w:tcBorders>
              <w:top w:val="single" w:sz="4" w:space="0" w:color="auto"/>
            </w:tcBorders>
            <w:vAlign w:val="bottom"/>
          </w:tcPr>
          <w:p w14:paraId="25AF32FA" w14:textId="77777777" w:rsidR="00C12E57" w:rsidRPr="00D272CC" w:rsidRDefault="00C12E57" w:rsidP="007831D1">
            <w:pPr>
              <w:pStyle w:val="Tablesmall"/>
              <w:jc w:val="center"/>
            </w:pPr>
          </w:p>
        </w:tc>
        <w:tc>
          <w:tcPr>
            <w:tcW w:w="525" w:type="dxa"/>
            <w:tcBorders>
              <w:top w:val="single" w:sz="4" w:space="0" w:color="auto"/>
            </w:tcBorders>
            <w:vAlign w:val="bottom"/>
          </w:tcPr>
          <w:p w14:paraId="4D4356FE" w14:textId="77777777" w:rsidR="00C12E57" w:rsidRPr="00D272CC" w:rsidRDefault="00C12E57" w:rsidP="007831D1">
            <w:pPr>
              <w:pStyle w:val="Tablesmall"/>
              <w:jc w:val="center"/>
            </w:pPr>
          </w:p>
        </w:tc>
        <w:tc>
          <w:tcPr>
            <w:tcW w:w="567" w:type="dxa"/>
            <w:tcBorders>
              <w:top w:val="single" w:sz="4" w:space="0" w:color="auto"/>
            </w:tcBorders>
            <w:vAlign w:val="bottom"/>
          </w:tcPr>
          <w:p w14:paraId="2B6D34A1" w14:textId="77777777" w:rsidR="00C12E57" w:rsidRPr="00D272CC" w:rsidRDefault="00C12E57" w:rsidP="007831D1">
            <w:pPr>
              <w:pStyle w:val="Tablesmall"/>
              <w:jc w:val="center"/>
            </w:pPr>
          </w:p>
        </w:tc>
      </w:tr>
      <w:tr w:rsidR="00C12E57" w:rsidRPr="00D272CC" w14:paraId="56C2C1FD" w14:textId="77777777" w:rsidTr="006411D6">
        <w:tc>
          <w:tcPr>
            <w:tcW w:w="3261" w:type="dxa"/>
          </w:tcPr>
          <w:p w14:paraId="73B88862" w14:textId="77777777" w:rsidR="00C12E57" w:rsidRPr="00D272CC" w:rsidRDefault="00C12E57" w:rsidP="007831D1">
            <w:pPr>
              <w:pStyle w:val="Tablesmall"/>
            </w:pPr>
            <w:r w:rsidRPr="00D272CC">
              <w:t>Firm-years with one or more policy change</w:t>
            </w:r>
          </w:p>
        </w:tc>
        <w:tc>
          <w:tcPr>
            <w:tcW w:w="524" w:type="dxa"/>
            <w:vAlign w:val="bottom"/>
          </w:tcPr>
          <w:p w14:paraId="0954FE08" w14:textId="77777777" w:rsidR="00C12E57" w:rsidRPr="00D272CC" w:rsidRDefault="00C12E57" w:rsidP="00846917">
            <w:pPr>
              <w:pStyle w:val="Tablesmall"/>
              <w:jc w:val="center"/>
            </w:pPr>
            <w:r w:rsidRPr="00D272CC">
              <w:t>3</w:t>
            </w:r>
            <w:r w:rsidR="00562C99" w:rsidRPr="00D272CC">
              <w:t>3</w:t>
            </w:r>
          </w:p>
        </w:tc>
        <w:tc>
          <w:tcPr>
            <w:tcW w:w="524" w:type="dxa"/>
            <w:vAlign w:val="bottom"/>
          </w:tcPr>
          <w:p w14:paraId="1CA23813" w14:textId="77777777" w:rsidR="00C12E57" w:rsidRPr="00D272CC" w:rsidRDefault="00C12E57" w:rsidP="00846917">
            <w:pPr>
              <w:pStyle w:val="Tablesmall"/>
              <w:jc w:val="center"/>
            </w:pPr>
            <w:r w:rsidRPr="00D272CC">
              <w:t>17</w:t>
            </w:r>
          </w:p>
        </w:tc>
        <w:tc>
          <w:tcPr>
            <w:tcW w:w="525" w:type="dxa"/>
            <w:vAlign w:val="bottom"/>
          </w:tcPr>
          <w:p w14:paraId="164DE91A" w14:textId="77777777" w:rsidR="00C12E57" w:rsidRPr="00D272CC" w:rsidRDefault="00C12E57" w:rsidP="00846917">
            <w:pPr>
              <w:pStyle w:val="Tablesmall"/>
              <w:jc w:val="center"/>
            </w:pPr>
            <w:r w:rsidRPr="00D272CC">
              <w:t>4</w:t>
            </w:r>
            <w:r w:rsidR="00562C99" w:rsidRPr="00D272CC">
              <w:t>3</w:t>
            </w:r>
          </w:p>
        </w:tc>
        <w:tc>
          <w:tcPr>
            <w:tcW w:w="524" w:type="dxa"/>
            <w:vAlign w:val="bottom"/>
          </w:tcPr>
          <w:p w14:paraId="45F446C3" w14:textId="77777777" w:rsidR="00C12E57" w:rsidRPr="00D272CC" w:rsidRDefault="00C12E57" w:rsidP="00846917">
            <w:pPr>
              <w:pStyle w:val="Tablesmall"/>
              <w:jc w:val="center"/>
            </w:pPr>
            <w:r w:rsidRPr="00D272CC">
              <w:t>34</w:t>
            </w:r>
          </w:p>
        </w:tc>
        <w:tc>
          <w:tcPr>
            <w:tcW w:w="525" w:type="dxa"/>
            <w:vAlign w:val="bottom"/>
          </w:tcPr>
          <w:p w14:paraId="474B8925" w14:textId="77777777" w:rsidR="00C12E57" w:rsidRPr="00D272CC" w:rsidRDefault="00C12E57" w:rsidP="00846917">
            <w:pPr>
              <w:pStyle w:val="Tablesmall"/>
              <w:jc w:val="center"/>
            </w:pPr>
            <w:r w:rsidRPr="00D272CC">
              <w:t>3</w:t>
            </w:r>
            <w:r w:rsidR="00562C99" w:rsidRPr="00D272CC">
              <w:t>7</w:t>
            </w:r>
          </w:p>
        </w:tc>
        <w:tc>
          <w:tcPr>
            <w:tcW w:w="524" w:type="dxa"/>
            <w:vAlign w:val="bottom"/>
          </w:tcPr>
          <w:p w14:paraId="37D93645" w14:textId="77777777" w:rsidR="00C12E57" w:rsidRPr="00D272CC" w:rsidRDefault="00C12E57" w:rsidP="00846917">
            <w:pPr>
              <w:pStyle w:val="Tablesmall"/>
              <w:jc w:val="center"/>
            </w:pPr>
            <w:r w:rsidRPr="00D272CC">
              <w:t>4</w:t>
            </w:r>
            <w:r w:rsidR="00562C99" w:rsidRPr="00D272CC">
              <w:t>1</w:t>
            </w:r>
          </w:p>
        </w:tc>
        <w:tc>
          <w:tcPr>
            <w:tcW w:w="524" w:type="dxa"/>
            <w:vAlign w:val="bottom"/>
          </w:tcPr>
          <w:p w14:paraId="2303C923" w14:textId="77777777" w:rsidR="00C12E57" w:rsidRPr="00D272CC" w:rsidRDefault="00C12E57" w:rsidP="00846917">
            <w:pPr>
              <w:pStyle w:val="Tablesmall"/>
              <w:jc w:val="center"/>
            </w:pPr>
            <w:r w:rsidRPr="00D272CC">
              <w:t>59</w:t>
            </w:r>
          </w:p>
        </w:tc>
        <w:tc>
          <w:tcPr>
            <w:tcW w:w="525" w:type="dxa"/>
            <w:vAlign w:val="bottom"/>
          </w:tcPr>
          <w:p w14:paraId="634815E9" w14:textId="77777777" w:rsidR="00C12E57" w:rsidRPr="00D272CC" w:rsidRDefault="00C12E57" w:rsidP="00846917">
            <w:pPr>
              <w:pStyle w:val="Tablesmall"/>
              <w:jc w:val="center"/>
            </w:pPr>
            <w:r w:rsidRPr="00D272CC">
              <w:t>2</w:t>
            </w:r>
            <w:r w:rsidR="00562C99" w:rsidRPr="00D272CC">
              <w:t>3</w:t>
            </w:r>
          </w:p>
        </w:tc>
        <w:tc>
          <w:tcPr>
            <w:tcW w:w="524" w:type="dxa"/>
            <w:vAlign w:val="bottom"/>
          </w:tcPr>
          <w:p w14:paraId="5F7D6F73" w14:textId="77777777" w:rsidR="00C12E57" w:rsidRPr="00D272CC" w:rsidRDefault="00C12E57" w:rsidP="00846917">
            <w:pPr>
              <w:pStyle w:val="Tablesmall"/>
              <w:jc w:val="center"/>
            </w:pPr>
            <w:r w:rsidRPr="00D272CC">
              <w:t>2</w:t>
            </w:r>
            <w:r w:rsidR="00562C99" w:rsidRPr="00D272CC">
              <w:t>9</w:t>
            </w:r>
          </w:p>
        </w:tc>
        <w:tc>
          <w:tcPr>
            <w:tcW w:w="525" w:type="dxa"/>
            <w:vAlign w:val="bottom"/>
          </w:tcPr>
          <w:p w14:paraId="6A296684" w14:textId="77777777" w:rsidR="00C12E57" w:rsidRPr="00D272CC" w:rsidRDefault="00C12E57" w:rsidP="00846917">
            <w:pPr>
              <w:pStyle w:val="Tablesmall"/>
              <w:jc w:val="center"/>
            </w:pPr>
            <w:r w:rsidRPr="00D272CC">
              <w:t>3</w:t>
            </w:r>
            <w:r w:rsidR="00562C99" w:rsidRPr="00D272CC">
              <w:t>8</w:t>
            </w:r>
          </w:p>
        </w:tc>
        <w:tc>
          <w:tcPr>
            <w:tcW w:w="567" w:type="dxa"/>
            <w:vAlign w:val="bottom"/>
          </w:tcPr>
          <w:p w14:paraId="514ECAB1" w14:textId="77777777" w:rsidR="00C12E57" w:rsidRPr="00D272CC" w:rsidRDefault="00C12E57" w:rsidP="00846917">
            <w:pPr>
              <w:pStyle w:val="Tablesmall"/>
              <w:jc w:val="center"/>
            </w:pPr>
            <w:r w:rsidRPr="00D272CC">
              <w:t>35</w:t>
            </w:r>
            <w:r w:rsidR="00562C99" w:rsidRPr="00D272CC">
              <w:t>4</w:t>
            </w:r>
          </w:p>
        </w:tc>
      </w:tr>
      <w:tr w:rsidR="00C12E57" w:rsidRPr="00D272CC" w14:paraId="42CBDFFE" w14:textId="77777777" w:rsidTr="006411D6">
        <w:tc>
          <w:tcPr>
            <w:tcW w:w="3261" w:type="dxa"/>
          </w:tcPr>
          <w:p w14:paraId="0898F103" w14:textId="77777777" w:rsidR="00C12E57" w:rsidRPr="00D272CC" w:rsidRDefault="00C12E57" w:rsidP="007831D1">
            <w:pPr>
              <w:pStyle w:val="Tablesmall"/>
            </w:pPr>
            <w:r w:rsidRPr="00D272CC">
              <w:t>Excluded</w:t>
            </w:r>
          </w:p>
        </w:tc>
        <w:tc>
          <w:tcPr>
            <w:tcW w:w="524" w:type="dxa"/>
            <w:vAlign w:val="bottom"/>
          </w:tcPr>
          <w:p w14:paraId="6E62BB5B" w14:textId="77777777" w:rsidR="00C12E57" w:rsidRPr="00D272CC" w:rsidRDefault="00562C99" w:rsidP="00846917">
            <w:pPr>
              <w:pStyle w:val="Tablesmall"/>
              <w:jc w:val="center"/>
            </w:pPr>
            <w:r w:rsidRPr="00D272CC">
              <w:t>1</w:t>
            </w:r>
          </w:p>
        </w:tc>
        <w:tc>
          <w:tcPr>
            <w:tcW w:w="524" w:type="dxa"/>
            <w:vAlign w:val="bottom"/>
          </w:tcPr>
          <w:p w14:paraId="5CBA85E5" w14:textId="77777777" w:rsidR="00C12E57" w:rsidRPr="00D272CC" w:rsidRDefault="00C12E57" w:rsidP="00846917">
            <w:pPr>
              <w:pStyle w:val="Tablesmall"/>
              <w:jc w:val="center"/>
            </w:pPr>
            <w:r w:rsidRPr="00D272CC">
              <w:t>1</w:t>
            </w:r>
          </w:p>
        </w:tc>
        <w:tc>
          <w:tcPr>
            <w:tcW w:w="525" w:type="dxa"/>
            <w:vAlign w:val="bottom"/>
          </w:tcPr>
          <w:p w14:paraId="7AAF9B7F" w14:textId="77777777" w:rsidR="00C12E57" w:rsidRPr="00D272CC" w:rsidRDefault="00B67048" w:rsidP="00846917">
            <w:pPr>
              <w:pStyle w:val="Tablesmall"/>
              <w:jc w:val="center"/>
            </w:pPr>
            <w:r>
              <w:t>1</w:t>
            </w:r>
          </w:p>
        </w:tc>
        <w:tc>
          <w:tcPr>
            <w:tcW w:w="524" w:type="dxa"/>
            <w:vAlign w:val="bottom"/>
          </w:tcPr>
          <w:p w14:paraId="3DED5A43" w14:textId="77777777" w:rsidR="00C12E57" w:rsidRPr="00D272CC" w:rsidRDefault="00C12E57" w:rsidP="00846917">
            <w:pPr>
              <w:pStyle w:val="Tablesmall"/>
              <w:jc w:val="center"/>
            </w:pPr>
            <w:r w:rsidRPr="00D272CC">
              <w:t>1</w:t>
            </w:r>
          </w:p>
        </w:tc>
        <w:tc>
          <w:tcPr>
            <w:tcW w:w="525" w:type="dxa"/>
            <w:vAlign w:val="bottom"/>
          </w:tcPr>
          <w:p w14:paraId="55AC9162" w14:textId="77777777" w:rsidR="00C12E57" w:rsidRPr="00D272CC" w:rsidRDefault="00B67048" w:rsidP="00846917">
            <w:pPr>
              <w:pStyle w:val="Tablesmall"/>
              <w:jc w:val="center"/>
            </w:pPr>
            <w:r>
              <w:t>1</w:t>
            </w:r>
          </w:p>
        </w:tc>
        <w:tc>
          <w:tcPr>
            <w:tcW w:w="524" w:type="dxa"/>
            <w:vAlign w:val="bottom"/>
          </w:tcPr>
          <w:p w14:paraId="58523CA9" w14:textId="77777777" w:rsidR="00C12E57" w:rsidRPr="00D272CC" w:rsidRDefault="00B67048" w:rsidP="00846917">
            <w:pPr>
              <w:pStyle w:val="Tablesmall"/>
              <w:jc w:val="center"/>
            </w:pPr>
            <w:r>
              <w:t>4</w:t>
            </w:r>
          </w:p>
        </w:tc>
        <w:tc>
          <w:tcPr>
            <w:tcW w:w="524" w:type="dxa"/>
            <w:vAlign w:val="bottom"/>
          </w:tcPr>
          <w:p w14:paraId="65EDF3FD" w14:textId="77777777" w:rsidR="00C12E57" w:rsidRPr="00D272CC" w:rsidRDefault="00C12E57" w:rsidP="00846917">
            <w:pPr>
              <w:pStyle w:val="Tablesmall"/>
              <w:jc w:val="center"/>
            </w:pPr>
            <w:r w:rsidRPr="00D272CC">
              <w:t>3</w:t>
            </w:r>
          </w:p>
        </w:tc>
        <w:tc>
          <w:tcPr>
            <w:tcW w:w="525" w:type="dxa"/>
            <w:vAlign w:val="bottom"/>
          </w:tcPr>
          <w:p w14:paraId="74B60D85" w14:textId="77777777" w:rsidR="00C12E57" w:rsidRPr="00D272CC" w:rsidRDefault="00B67048" w:rsidP="00846917">
            <w:pPr>
              <w:pStyle w:val="Tablesmall"/>
              <w:jc w:val="center"/>
            </w:pPr>
            <w:r>
              <w:t>2</w:t>
            </w:r>
          </w:p>
        </w:tc>
        <w:tc>
          <w:tcPr>
            <w:tcW w:w="524" w:type="dxa"/>
            <w:vAlign w:val="bottom"/>
          </w:tcPr>
          <w:p w14:paraId="073194A4" w14:textId="77777777" w:rsidR="00C12E57" w:rsidRPr="00D272CC" w:rsidRDefault="00562C99" w:rsidP="00846917">
            <w:pPr>
              <w:pStyle w:val="Tablesmall"/>
              <w:jc w:val="center"/>
            </w:pPr>
            <w:r w:rsidRPr="00D272CC">
              <w:t>1</w:t>
            </w:r>
          </w:p>
        </w:tc>
        <w:tc>
          <w:tcPr>
            <w:tcW w:w="525" w:type="dxa"/>
            <w:vAlign w:val="bottom"/>
          </w:tcPr>
          <w:p w14:paraId="14200BA8" w14:textId="77777777" w:rsidR="00C12E57" w:rsidRPr="00D272CC" w:rsidRDefault="00C12E57" w:rsidP="00846917">
            <w:pPr>
              <w:pStyle w:val="Tablesmall"/>
              <w:jc w:val="center"/>
            </w:pPr>
            <w:r w:rsidRPr="00D272CC">
              <w:t>4</w:t>
            </w:r>
          </w:p>
        </w:tc>
        <w:tc>
          <w:tcPr>
            <w:tcW w:w="567" w:type="dxa"/>
            <w:vAlign w:val="bottom"/>
          </w:tcPr>
          <w:p w14:paraId="2C6BE8BA" w14:textId="77777777" w:rsidR="00C12E57" w:rsidRPr="00D272CC" w:rsidRDefault="00562C99" w:rsidP="00846917">
            <w:pPr>
              <w:pStyle w:val="Tablesmall"/>
              <w:jc w:val="center"/>
            </w:pPr>
            <w:r w:rsidRPr="00D272CC">
              <w:t>1</w:t>
            </w:r>
            <w:r w:rsidR="00B67048">
              <w:t>9</w:t>
            </w:r>
          </w:p>
        </w:tc>
      </w:tr>
      <w:tr w:rsidR="00C12E57" w:rsidRPr="00D272CC" w14:paraId="60A23377" w14:textId="77777777" w:rsidTr="006411D6">
        <w:tc>
          <w:tcPr>
            <w:tcW w:w="3261" w:type="dxa"/>
            <w:tcBorders>
              <w:bottom w:val="single" w:sz="4" w:space="0" w:color="auto"/>
            </w:tcBorders>
          </w:tcPr>
          <w:p w14:paraId="225CE47F" w14:textId="77777777" w:rsidR="00C12E57" w:rsidRPr="00D272CC" w:rsidRDefault="00C12E57" w:rsidP="007831D1">
            <w:pPr>
              <w:pStyle w:val="Tablesmall"/>
            </w:pPr>
            <w:r w:rsidRPr="00D272CC">
              <w:t>No data in Worldscope</w:t>
            </w:r>
          </w:p>
        </w:tc>
        <w:tc>
          <w:tcPr>
            <w:tcW w:w="524" w:type="dxa"/>
            <w:tcBorders>
              <w:bottom w:val="single" w:sz="4" w:space="0" w:color="auto"/>
            </w:tcBorders>
            <w:vAlign w:val="bottom"/>
          </w:tcPr>
          <w:p w14:paraId="60B6B214" w14:textId="77777777" w:rsidR="00C12E57" w:rsidRPr="00D272CC" w:rsidRDefault="00C12E57" w:rsidP="007831D1">
            <w:pPr>
              <w:pStyle w:val="Tablesmall"/>
              <w:jc w:val="center"/>
            </w:pPr>
            <w:r w:rsidRPr="00D272CC">
              <w:t>-</w:t>
            </w:r>
          </w:p>
        </w:tc>
        <w:tc>
          <w:tcPr>
            <w:tcW w:w="524" w:type="dxa"/>
            <w:tcBorders>
              <w:bottom w:val="single" w:sz="4" w:space="0" w:color="auto"/>
            </w:tcBorders>
            <w:vAlign w:val="bottom"/>
          </w:tcPr>
          <w:p w14:paraId="5BDA9037" w14:textId="77777777" w:rsidR="00C12E57" w:rsidRPr="00D272CC" w:rsidRDefault="00C12E57" w:rsidP="007831D1">
            <w:pPr>
              <w:pStyle w:val="Tablesmall"/>
              <w:jc w:val="center"/>
            </w:pPr>
            <w:r w:rsidRPr="00D272CC">
              <w:t>-</w:t>
            </w:r>
          </w:p>
        </w:tc>
        <w:tc>
          <w:tcPr>
            <w:tcW w:w="525" w:type="dxa"/>
            <w:tcBorders>
              <w:bottom w:val="single" w:sz="4" w:space="0" w:color="auto"/>
            </w:tcBorders>
            <w:vAlign w:val="bottom"/>
          </w:tcPr>
          <w:p w14:paraId="6ADB7DD9" w14:textId="77777777" w:rsidR="00C12E57" w:rsidRPr="00D272CC" w:rsidRDefault="00C12E57" w:rsidP="007831D1">
            <w:pPr>
              <w:pStyle w:val="Tablesmall"/>
              <w:jc w:val="center"/>
            </w:pPr>
            <w:r w:rsidRPr="00D272CC">
              <w:t>-</w:t>
            </w:r>
          </w:p>
        </w:tc>
        <w:tc>
          <w:tcPr>
            <w:tcW w:w="524" w:type="dxa"/>
            <w:tcBorders>
              <w:bottom w:val="single" w:sz="4" w:space="0" w:color="auto"/>
            </w:tcBorders>
            <w:vAlign w:val="bottom"/>
          </w:tcPr>
          <w:p w14:paraId="0177CEF1" w14:textId="77777777" w:rsidR="00C12E57" w:rsidRPr="00D272CC" w:rsidRDefault="003062C4" w:rsidP="007831D1">
            <w:pPr>
              <w:pStyle w:val="Tablesmall"/>
              <w:jc w:val="center"/>
            </w:pPr>
            <w:r>
              <w:t>3</w:t>
            </w:r>
          </w:p>
        </w:tc>
        <w:tc>
          <w:tcPr>
            <w:tcW w:w="525" w:type="dxa"/>
            <w:tcBorders>
              <w:bottom w:val="single" w:sz="4" w:space="0" w:color="auto"/>
            </w:tcBorders>
            <w:vAlign w:val="bottom"/>
          </w:tcPr>
          <w:p w14:paraId="6C4AB69C" w14:textId="77777777" w:rsidR="00C12E57" w:rsidRPr="00D272CC" w:rsidRDefault="003062C4" w:rsidP="007831D1">
            <w:pPr>
              <w:pStyle w:val="Tablesmall"/>
              <w:jc w:val="center"/>
            </w:pPr>
            <w:r>
              <w:t>2</w:t>
            </w:r>
          </w:p>
        </w:tc>
        <w:tc>
          <w:tcPr>
            <w:tcW w:w="524" w:type="dxa"/>
            <w:tcBorders>
              <w:bottom w:val="single" w:sz="4" w:space="0" w:color="auto"/>
            </w:tcBorders>
            <w:vAlign w:val="bottom"/>
          </w:tcPr>
          <w:p w14:paraId="094C6E52" w14:textId="77777777" w:rsidR="00C12E57" w:rsidRPr="00D272CC" w:rsidRDefault="00C12E57" w:rsidP="007831D1">
            <w:pPr>
              <w:pStyle w:val="Tablesmall"/>
              <w:jc w:val="center"/>
            </w:pPr>
            <w:r w:rsidRPr="00D272CC">
              <w:t>-</w:t>
            </w:r>
          </w:p>
        </w:tc>
        <w:tc>
          <w:tcPr>
            <w:tcW w:w="524" w:type="dxa"/>
            <w:tcBorders>
              <w:bottom w:val="single" w:sz="4" w:space="0" w:color="auto"/>
            </w:tcBorders>
            <w:vAlign w:val="bottom"/>
          </w:tcPr>
          <w:p w14:paraId="5430F12A" w14:textId="77777777" w:rsidR="00C12E57" w:rsidRPr="00D272CC" w:rsidRDefault="003062C4" w:rsidP="007831D1">
            <w:pPr>
              <w:pStyle w:val="Tablesmall"/>
              <w:jc w:val="center"/>
            </w:pPr>
            <w:r>
              <w:t>4</w:t>
            </w:r>
          </w:p>
        </w:tc>
        <w:tc>
          <w:tcPr>
            <w:tcW w:w="525" w:type="dxa"/>
            <w:tcBorders>
              <w:bottom w:val="single" w:sz="4" w:space="0" w:color="auto"/>
            </w:tcBorders>
            <w:vAlign w:val="bottom"/>
          </w:tcPr>
          <w:p w14:paraId="74A0CCFE" w14:textId="77777777" w:rsidR="00C12E57" w:rsidRPr="00D272CC" w:rsidRDefault="00C12E57" w:rsidP="007831D1">
            <w:pPr>
              <w:pStyle w:val="Tablesmall"/>
              <w:jc w:val="center"/>
            </w:pPr>
            <w:r w:rsidRPr="00D272CC">
              <w:t>-</w:t>
            </w:r>
          </w:p>
        </w:tc>
        <w:tc>
          <w:tcPr>
            <w:tcW w:w="524" w:type="dxa"/>
            <w:tcBorders>
              <w:bottom w:val="single" w:sz="4" w:space="0" w:color="auto"/>
            </w:tcBorders>
            <w:vAlign w:val="bottom"/>
          </w:tcPr>
          <w:p w14:paraId="57E52C53" w14:textId="77777777" w:rsidR="00C12E57" w:rsidRPr="00D272CC" w:rsidRDefault="00C12E57" w:rsidP="007831D1">
            <w:pPr>
              <w:pStyle w:val="Tablesmall"/>
              <w:jc w:val="center"/>
            </w:pPr>
            <w:r w:rsidRPr="00D272CC">
              <w:t>1</w:t>
            </w:r>
          </w:p>
        </w:tc>
        <w:tc>
          <w:tcPr>
            <w:tcW w:w="525" w:type="dxa"/>
            <w:tcBorders>
              <w:bottom w:val="single" w:sz="4" w:space="0" w:color="auto"/>
            </w:tcBorders>
            <w:vAlign w:val="bottom"/>
          </w:tcPr>
          <w:p w14:paraId="0DE25654" w14:textId="77777777" w:rsidR="00C12E57" w:rsidRPr="00D272CC" w:rsidRDefault="003062C4" w:rsidP="007831D1">
            <w:pPr>
              <w:pStyle w:val="Tablesmall"/>
              <w:jc w:val="center"/>
            </w:pPr>
            <w:r>
              <w:t>2</w:t>
            </w:r>
          </w:p>
        </w:tc>
        <w:tc>
          <w:tcPr>
            <w:tcW w:w="567" w:type="dxa"/>
            <w:tcBorders>
              <w:bottom w:val="single" w:sz="4" w:space="0" w:color="auto"/>
            </w:tcBorders>
            <w:vAlign w:val="bottom"/>
          </w:tcPr>
          <w:p w14:paraId="3F1696C1" w14:textId="77777777" w:rsidR="00C12E57" w:rsidRPr="00D272CC" w:rsidRDefault="003062C4" w:rsidP="007831D1">
            <w:pPr>
              <w:pStyle w:val="Tablesmall"/>
              <w:jc w:val="center"/>
            </w:pPr>
            <w:r>
              <w:t>12</w:t>
            </w:r>
          </w:p>
        </w:tc>
      </w:tr>
      <w:tr w:rsidR="00C12E57" w:rsidRPr="00D272CC" w14:paraId="1626780D" w14:textId="77777777" w:rsidTr="006411D6">
        <w:tc>
          <w:tcPr>
            <w:tcW w:w="3261" w:type="dxa"/>
            <w:tcBorders>
              <w:top w:val="single" w:sz="4" w:space="0" w:color="auto"/>
            </w:tcBorders>
          </w:tcPr>
          <w:p w14:paraId="499D55C4" w14:textId="77777777" w:rsidR="00C12E57" w:rsidRPr="00D272CC" w:rsidRDefault="00C12E57" w:rsidP="007831D1">
            <w:pPr>
              <w:pStyle w:val="Tablesmall"/>
              <w:rPr>
                <w:b/>
              </w:rPr>
            </w:pPr>
            <w:r w:rsidRPr="00D272CC">
              <w:rPr>
                <w:b/>
              </w:rPr>
              <w:t>Regression sample</w:t>
            </w:r>
          </w:p>
        </w:tc>
        <w:tc>
          <w:tcPr>
            <w:tcW w:w="524" w:type="dxa"/>
            <w:tcBorders>
              <w:top w:val="single" w:sz="4" w:space="0" w:color="auto"/>
            </w:tcBorders>
            <w:vAlign w:val="bottom"/>
          </w:tcPr>
          <w:p w14:paraId="33F00B82" w14:textId="77777777" w:rsidR="00C12E57" w:rsidRPr="00D272CC" w:rsidRDefault="00562C99" w:rsidP="007831D1">
            <w:pPr>
              <w:pStyle w:val="Tablesmall"/>
              <w:jc w:val="center"/>
              <w:rPr>
                <w:b/>
              </w:rPr>
            </w:pPr>
            <w:r w:rsidRPr="00D272CC">
              <w:rPr>
                <w:b/>
              </w:rPr>
              <w:t>32</w:t>
            </w:r>
          </w:p>
        </w:tc>
        <w:tc>
          <w:tcPr>
            <w:tcW w:w="524" w:type="dxa"/>
            <w:tcBorders>
              <w:top w:val="single" w:sz="4" w:space="0" w:color="auto"/>
            </w:tcBorders>
            <w:vAlign w:val="bottom"/>
          </w:tcPr>
          <w:p w14:paraId="1AF642C2" w14:textId="77777777" w:rsidR="00C12E57" w:rsidRPr="00D272CC" w:rsidRDefault="00C12E57" w:rsidP="007831D1">
            <w:pPr>
              <w:pStyle w:val="Tablesmall"/>
              <w:jc w:val="center"/>
              <w:rPr>
                <w:b/>
              </w:rPr>
            </w:pPr>
            <w:r w:rsidRPr="00D272CC">
              <w:rPr>
                <w:b/>
              </w:rPr>
              <w:t>16</w:t>
            </w:r>
          </w:p>
        </w:tc>
        <w:tc>
          <w:tcPr>
            <w:tcW w:w="525" w:type="dxa"/>
            <w:tcBorders>
              <w:top w:val="single" w:sz="4" w:space="0" w:color="auto"/>
            </w:tcBorders>
            <w:vAlign w:val="bottom"/>
          </w:tcPr>
          <w:p w14:paraId="746BDFB8" w14:textId="77777777" w:rsidR="00C12E57" w:rsidRPr="00D272CC" w:rsidRDefault="00C12E57" w:rsidP="007831D1">
            <w:pPr>
              <w:pStyle w:val="Tablesmall"/>
              <w:jc w:val="center"/>
              <w:rPr>
                <w:b/>
              </w:rPr>
            </w:pPr>
            <w:r w:rsidRPr="00D272CC">
              <w:rPr>
                <w:b/>
              </w:rPr>
              <w:t>4</w:t>
            </w:r>
            <w:r w:rsidR="00B67048">
              <w:rPr>
                <w:b/>
              </w:rPr>
              <w:t>2</w:t>
            </w:r>
          </w:p>
        </w:tc>
        <w:tc>
          <w:tcPr>
            <w:tcW w:w="524" w:type="dxa"/>
            <w:tcBorders>
              <w:top w:val="single" w:sz="4" w:space="0" w:color="auto"/>
            </w:tcBorders>
            <w:vAlign w:val="bottom"/>
          </w:tcPr>
          <w:p w14:paraId="69728E7A" w14:textId="77777777" w:rsidR="00C12E57" w:rsidRPr="00D272CC" w:rsidRDefault="00C12E57" w:rsidP="003062C4">
            <w:pPr>
              <w:pStyle w:val="Tablesmall"/>
              <w:jc w:val="center"/>
              <w:rPr>
                <w:b/>
              </w:rPr>
            </w:pPr>
            <w:r w:rsidRPr="00D272CC">
              <w:rPr>
                <w:b/>
              </w:rPr>
              <w:t>3</w:t>
            </w:r>
            <w:r w:rsidR="003062C4">
              <w:rPr>
                <w:b/>
              </w:rPr>
              <w:t>0</w:t>
            </w:r>
          </w:p>
        </w:tc>
        <w:tc>
          <w:tcPr>
            <w:tcW w:w="525" w:type="dxa"/>
            <w:tcBorders>
              <w:top w:val="single" w:sz="4" w:space="0" w:color="auto"/>
            </w:tcBorders>
            <w:vAlign w:val="bottom"/>
          </w:tcPr>
          <w:p w14:paraId="6AD0C93E" w14:textId="77777777" w:rsidR="00C12E57" w:rsidRPr="00D272CC" w:rsidRDefault="00C12E57" w:rsidP="003062C4">
            <w:pPr>
              <w:pStyle w:val="Tablesmall"/>
              <w:jc w:val="center"/>
              <w:rPr>
                <w:b/>
              </w:rPr>
            </w:pPr>
            <w:r w:rsidRPr="00D272CC">
              <w:rPr>
                <w:b/>
              </w:rPr>
              <w:t>3</w:t>
            </w:r>
            <w:r w:rsidR="00B67048">
              <w:rPr>
                <w:b/>
              </w:rPr>
              <w:t>4</w:t>
            </w:r>
          </w:p>
        </w:tc>
        <w:tc>
          <w:tcPr>
            <w:tcW w:w="524" w:type="dxa"/>
            <w:tcBorders>
              <w:top w:val="single" w:sz="4" w:space="0" w:color="auto"/>
            </w:tcBorders>
            <w:vAlign w:val="bottom"/>
          </w:tcPr>
          <w:p w14:paraId="66C53114" w14:textId="77777777" w:rsidR="00C12E57" w:rsidRPr="00D272CC" w:rsidRDefault="00C12E57" w:rsidP="007831D1">
            <w:pPr>
              <w:pStyle w:val="Tablesmall"/>
              <w:jc w:val="center"/>
              <w:rPr>
                <w:b/>
              </w:rPr>
            </w:pPr>
            <w:r w:rsidRPr="00D272CC">
              <w:rPr>
                <w:b/>
              </w:rPr>
              <w:t>3</w:t>
            </w:r>
            <w:r w:rsidR="00B67048">
              <w:rPr>
                <w:b/>
              </w:rPr>
              <w:t>7</w:t>
            </w:r>
          </w:p>
        </w:tc>
        <w:tc>
          <w:tcPr>
            <w:tcW w:w="524" w:type="dxa"/>
            <w:tcBorders>
              <w:top w:val="single" w:sz="4" w:space="0" w:color="auto"/>
            </w:tcBorders>
            <w:vAlign w:val="bottom"/>
          </w:tcPr>
          <w:p w14:paraId="35F8B94A" w14:textId="77777777" w:rsidR="00C12E57" w:rsidRPr="00D272CC" w:rsidRDefault="00C12E57" w:rsidP="003062C4">
            <w:pPr>
              <w:pStyle w:val="Tablesmall"/>
              <w:jc w:val="center"/>
              <w:rPr>
                <w:b/>
              </w:rPr>
            </w:pPr>
            <w:r w:rsidRPr="00D272CC">
              <w:rPr>
                <w:b/>
              </w:rPr>
              <w:t>5</w:t>
            </w:r>
            <w:r w:rsidR="003062C4">
              <w:rPr>
                <w:b/>
              </w:rPr>
              <w:t>2</w:t>
            </w:r>
          </w:p>
        </w:tc>
        <w:tc>
          <w:tcPr>
            <w:tcW w:w="525" w:type="dxa"/>
            <w:tcBorders>
              <w:top w:val="single" w:sz="4" w:space="0" w:color="auto"/>
            </w:tcBorders>
            <w:vAlign w:val="bottom"/>
          </w:tcPr>
          <w:p w14:paraId="21E90A60" w14:textId="77777777" w:rsidR="00C12E57" w:rsidRPr="00D272CC" w:rsidRDefault="00562C99" w:rsidP="007831D1">
            <w:pPr>
              <w:pStyle w:val="Tablesmall"/>
              <w:jc w:val="center"/>
              <w:rPr>
                <w:b/>
              </w:rPr>
            </w:pPr>
            <w:r w:rsidRPr="00D272CC">
              <w:rPr>
                <w:b/>
              </w:rPr>
              <w:t>2</w:t>
            </w:r>
            <w:r w:rsidR="00B67048">
              <w:rPr>
                <w:b/>
              </w:rPr>
              <w:t>1</w:t>
            </w:r>
          </w:p>
        </w:tc>
        <w:tc>
          <w:tcPr>
            <w:tcW w:w="524" w:type="dxa"/>
            <w:tcBorders>
              <w:top w:val="single" w:sz="4" w:space="0" w:color="auto"/>
            </w:tcBorders>
            <w:vAlign w:val="bottom"/>
          </w:tcPr>
          <w:p w14:paraId="043FCB16" w14:textId="77777777" w:rsidR="00C12E57" w:rsidRPr="00D272CC" w:rsidRDefault="00C12E57" w:rsidP="007831D1">
            <w:pPr>
              <w:pStyle w:val="Tablesmall"/>
              <w:jc w:val="center"/>
              <w:rPr>
                <w:b/>
              </w:rPr>
            </w:pPr>
            <w:r w:rsidRPr="00D272CC">
              <w:rPr>
                <w:b/>
              </w:rPr>
              <w:t>2</w:t>
            </w:r>
            <w:r w:rsidR="00562C99" w:rsidRPr="00D272CC">
              <w:rPr>
                <w:b/>
              </w:rPr>
              <w:t>7</w:t>
            </w:r>
          </w:p>
        </w:tc>
        <w:tc>
          <w:tcPr>
            <w:tcW w:w="525" w:type="dxa"/>
            <w:tcBorders>
              <w:top w:val="single" w:sz="4" w:space="0" w:color="auto"/>
            </w:tcBorders>
            <w:vAlign w:val="bottom"/>
          </w:tcPr>
          <w:p w14:paraId="1E5EC60A" w14:textId="77777777" w:rsidR="00C12E57" w:rsidRPr="00D272CC" w:rsidRDefault="00C12E57" w:rsidP="003062C4">
            <w:pPr>
              <w:pStyle w:val="Tablesmall"/>
              <w:jc w:val="center"/>
              <w:rPr>
                <w:b/>
              </w:rPr>
            </w:pPr>
            <w:r w:rsidRPr="00D272CC">
              <w:rPr>
                <w:b/>
              </w:rPr>
              <w:t>3</w:t>
            </w:r>
            <w:r w:rsidR="003062C4">
              <w:rPr>
                <w:b/>
              </w:rPr>
              <w:t>2</w:t>
            </w:r>
          </w:p>
        </w:tc>
        <w:tc>
          <w:tcPr>
            <w:tcW w:w="567" w:type="dxa"/>
            <w:tcBorders>
              <w:top w:val="single" w:sz="4" w:space="0" w:color="auto"/>
            </w:tcBorders>
            <w:vAlign w:val="bottom"/>
          </w:tcPr>
          <w:p w14:paraId="34E02634" w14:textId="77777777" w:rsidR="00C12E57" w:rsidRPr="00D272CC" w:rsidRDefault="00C12E57" w:rsidP="007831D1">
            <w:pPr>
              <w:pStyle w:val="Tablesmall"/>
              <w:jc w:val="center"/>
              <w:rPr>
                <w:b/>
              </w:rPr>
            </w:pPr>
            <w:r w:rsidRPr="00D272CC">
              <w:rPr>
                <w:b/>
              </w:rPr>
              <w:t>3</w:t>
            </w:r>
            <w:r w:rsidR="003062C4">
              <w:rPr>
                <w:b/>
              </w:rPr>
              <w:t>2</w:t>
            </w:r>
            <w:r w:rsidR="00B67048">
              <w:rPr>
                <w:b/>
              </w:rPr>
              <w:t>3</w:t>
            </w:r>
          </w:p>
        </w:tc>
      </w:tr>
      <w:tr w:rsidR="00C12E57" w:rsidRPr="00D272CC" w14:paraId="76270457" w14:textId="77777777" w:rsidTr="006411D6">
        <w:tc>
          <w:tcPr>
            <w:tcW w:w="3261" w:type="dxa"/>
            <w:tcBorders>
              <w:bottom w:val="single" w:sz="4" w:space="0" w:color="auto"/>
            </w:tcBorders>
          </w:tcPr>
          <w:p w14:paraId="5CD8586C" w14:textId="77777777" w:rsidR="00C12E57" w:rsidRPr="00D272CC" w:rsidRDefault="00C12E57" w:rsidP="007831D1">
            <w:pPr>
              <w:pStyle w:val="Tablesmall"/>
            </w:pPr>
          </w:p>
        </w:tc>
        <w:tc>
          <w:tcPr>
            <w:tcW w:w="524" w:type="dxa"/>
            <w:tcBorders>
              <w:bottom w:val="single" w:sz="4" w:space="0" w:color="auto"/>
            </w:tcBorders>
          </w:tcPr>
          <w:p w14:paraId="72C50EEF" w14:textId="77777777" w:rsidR="00C12E57" w:rsidRPr="00D272CC" w:rsidRDefault="00C12E57" w:rsidP="007831D1">
            <w:pPr>
              <w:pStyle w:val="Tablesmall"/>
              <w:jc w:val="center"/>
            </w:pPr>
          </w:p>
        </w:tc>
        <w:tc>
          <w:tcPr>
            <w:tcW w:w="524" w:type="dxa"/>
            <w:tcBorders>
              <w:bottom w:val="single" w:sz="4" w:space="0" w:color="auto"/>
            </w:tcBorders>
          </w:tcPr>
          <w:p w14:paraId="0CDACFA7" w14:textId="77777777" w:rsidR="00C12E57" w:rsidRPr="00D272CC" w:rsidRDefault="00C12E57" w:rsidP="007831D1">
            <w:pPr>
              <w:pStyle w:val="Tablesmall"/>
              <w:jc w:val="center"/>
            </w:pPr>
          </w:p>
        </w:tc>
        <w:tc>
          <w:tcPr>
            <w:tcW w:w="525" w:type="dxa"/>
            <w:tcBorders>
              <w:bottom w:val="single" w:sz="4" w:space="0" w:color="auto"/>
            </w:tcBorders>
          </w:tcPr>
          <w:p w14:paraId="415CF1A4" w14:textId="77777777" w:rsidR="00C12E57" w:rsidRPr="00D272CC" w:rsidRDefault="00C12E57" w:rsidP="007831D1">
            <w:pPr>
              <w:pStyle w:val="Tablesmall"/>
              <w:jc w:val="center"/>
            </w:pPr>
          </w:p>
        </w:tc>
        <w:tc>
          <w:tcPr>
            <w:tcW w:w="524" w:type="dxa"/>
            <w:tcBorders>
              <w:bottom w:val="single" w:sz="4" w:space="0" w:color="auto"/>
            </w:tcBorders>
          </w:tcPr>
          <w:p w14:paraId="25AEEE5B" w14:textId="77777777" w:rsidR="00C12E57" w:rsidRPr="00D272CC" w:rsidRDefault="00C12E57" w:rsidP="007831D1">
            <w:pPr>
              <w:pStyle w:val="Tablesmall"/>
              <w:jc w:val="center"/>
            </w:pPr>
          </w:p>
        </w:tc>
        <w:tc>
          <w:tcPr>
            <w:tcW w:w="525" w:type="dxa"/>
            <w:tcBorders>
              <w:bottom w:val="single" w:sz="4" w:space="0" w:color="auto"/>
            </w:tcBorders>
          </w:tcPr>
          <w:p w14:paraId="42FAE15D" w14:textId="77777777" w:rsidR="00C12E57" w:rsidRPr="00D272CC" w:rsidRDefault="00C12E57" w:rsidP="007831D1">
            <w:pPr>
              <w:pStyle w:val="Tablesmall"/>
              <w:jc w:val="center"/>
            </w:pPr>
          </w:p>
        </w:tc>
        <w:tc>
          <w:tcPr>
            <w:tcW w:w="524" w:type="dxa"/>
            <w:tcBorders>
              <w:bottom w:val="single" w:sz="4" w:space="0" w:color="auto"/>
            </w:tcBorders>
          </w:tcPr>
          <w:p w14:paraId="2DA4917D" w14:textId="77777777" w:rsidR="00C12E57" w:rsidRPr="00D272CC" w:rsidRDefault="00C12E57" w:rsidP="007831D1">
            <w:pPr>
              <w:pStyle w:val="Tablesmall"/>
              <w:jc w:val="center"/>
            </w:pPr>
          </w:p>
        </w:tc>
        <w:tc>
          <w:tcPr>
            <w:tcW w:w="524" w:type="dxa"/>
            <w:tcBorders>
              <w:bottom w:val="single" w:sz="4" w:space="0" w:color="auto"/>
            </w:tcBorders>
          </w:tcPr>
          <w:p w14:paraId="1D6E470C" w14:textId="77777777" w:rsidR="00C12E57" w:rsidRPr="00D272CC" w:rsidRDefault="00C12E57" w:rsidP="007831D1">
            <w:pPr>
              <w:pStyle w:val="Tablesmall"/>
              <w:jc w:val="center"/>
            </w:pPr>
          </w:p>
        </w:tc>
        <w:tc>
          <w:tcPr>
            <w:tcW w:w="525" w:type="dxa"/>
            <w:tcBorders>
              <w:bottom w:val="single" w:sz="4" w:space="0" w:color="auto"/>
            </w:tcBorders>
          </w:tcPr>
          <w:p w14:paraId="2AA85AA6" w14:textId="77777777" w:rsidR="00C12E57" w:rsidRPr="00D272CC" w:rsidRDefault="00C12E57" w:rsidP="007831D1">
            <w:pPr>
              <w:pStyle w:val="Tablesmall"/>
              <w:jc w:val="center"/>
            </w:pPr>
          </w:p>
        </w:tc>
        <w:tc>
          <w:tcPr>
            <w:tcW w:w="524" w:type="dxa"/>
            <w:tcBorders>
              <w:bottom w:val="single" w:sz="4" w:space="0" w:color="auto"/>
            </w:tcBorders>
          </w:tcPr>
          <w:p w14:paraId="17AA4A21" w14:textId="77777777" w:rsidR="00C12E57" w:rsidRPr="00D272CC" w:rsidRDefault="00C12E57" w:rsidP="007831D1">
            <w:pPr>
              <w:pStyle w:val="Tablesmall"/>
              <w:jc w:val="center"/>
            </w:pPr>
          </w:p>
        </w:tc>
        <w:tc>
          <w:tcPr>
            <w:tcW w:w="525" w:type="dxa"/>
            <w:tcBorders>
              <w:bottom w:val="single" w:sz="4" w:space="0" w:color="auto"/>
            </w:tcBorders>
          </w:tcPr>
          <w:p w14:paraId="7AEA93D3" w14:textId="77777777" w:rsidR="00C12E57" w:rsidRPr="00D272CC" w:rsidRDefault="00C12E57" w:rsidP="007831D1">
            <w:pPr>
              <w:pStyle w:val="Tablesmall"/>
              <w:jc w:val="center"/>
            </w:pPr>
          </w:p>
        </w:tc>
        <w:tc>
          <w:tcPr>
            <w:tcW w:w="567" w:type="dxa"/>
            <w:tcBorders>
              <w:bottom w:val="single" w:sz="4" w:space="0" w:color="auto"/>
            </w:tcBorders>
          </w:tcPr>
          <w:p w14:paraId="1435FC91" w14:textId="77777777" w:rsidR="00C12E57" w:rsidRPr="00D272CC" w:rsidRDefault="00C12E57" w:rsidP="007831D1">
            <w:pPr>
              <w:pStyle w:val="Tablesmall"/>
              <w:jc w:val="center"/>
            </w:pPr>
          </w:p>
        </w:tc>
      </w:tr>
    </w:tbl>
    <w:p w14:paraId="51DE6A40" w14:textId="77777777" w:rsidR="0031293A" w:rsidRPr="00D272CC" w:rsidRDefault="0031293A" w:rsidP="0031293A">
      <w:pPr>
        <w:pStyle w:val="Table-FigureDescription"/>
        <w:rPr>
          <w:lang w:val="en-GB"/>
        </w:rPr>
      </w:pPr>
    </w:p>
    <w:p w14:paraId="5C9F01C6" w14:textId="77777777" w:rsidR="00843B0D" w:rsidRPr="00D272CC" w:rsidRDefault="0031293A" w:rsidP="003371A2">
      <w:pPr>
        <w:pStyle w:val="Table-FigureDescription"/>
        <w:rPr>
          <w:lang w:val="en-GB"/>
        </w:rPr>
      </w:pPr>
      <w:r w:rsidRPr="00D272CC">
        <w:rPr>
          <w:lang w:val="en-GB"/>
        </w:rPr>
        <w:t xml:space="preserve">This table shows the sample </w:t>
      </w:r>
      <w:r w:rsidR="003F4696" w:rsidRPr="00D272CC">
        <w:rPr>
          <w:lang w:val="en-GB"/>
        </w:rPr>
        <w:t xml:space="preserve">of firms and data on IFRS policy changes </w:t>
      </w:r>
      <w:r w:rsidRPr="00D272CC">
        <w:rPr>
          <w:lang w:val="en-GB"/>
        </w:rPr>
        <w:t xml:space="preserve">per country. The countries are </w:t>
      </w:r>
      <w:r w:rsidR="00533FA7" w:rsidRPr="00D272CC">
        <w:rPr>
          <w:lang w:val="en-GB"/>
        </w:rPr>
        <w:t>Australia (AU), Switzerland (CH), China (CN), Germany (DE), Spain (ES), France (FR), United Kingdom (GB), Hong Kong (HK), Italy (IT) and South Africa (ZA)</w:t>
      </w:r>
      <w:r w:rsidR="00575848" w:rsidRPr="00D272CC">
        <w:rPr>
          <w:lang w:val="en-GB"/>
        </w:rPr>
        <w:t xml:space="preserve">. </w:t>
      </w:r>
      <w:r w:rsidRPr="00D272CC">
        <w:rPr>
          <w:lang w:val="en-GB"/>
        </w:rPr>
        <w:t xml:space="preserve">The sample </w:t>
      </w:r>
      <w:r w:rsidR="00461BBA" w:rsidRPr="00D272CC">
        <w:rPr>
          <w:lang w:val="en-GB"/>
        </w:rPr>
        <w:t xml:space="preserve">firms </w:t>
      </w:r>
      <w:r w:rsidRPr="00D272CC">
        <w:rPr>
          <w:lang w:val="en-GB"/>
        </w:rPr>
        <w:t>comprise the constituents of the major stock market index of the respective country on 31 December 2005 or 31 December 2010 or both: S&amp;P/ASX-50 (AU), SMI (CH), Hang Seng China Enterprises Index (CN), DAX-30 &amp; 10 largest (by market capitalization) constituents of MDAX-50 (DE), IBEX-35 (ES), CAC-40 (FR), FTSE-100 (GB), Hang Seng (HK), (S&amp;P/MIB-40) FTSE/MIB-40 (IT) and FTSE/JSE Top 40 (ZA). Excluded are foreign firms (e.g. Telecom New Zealand in AU)</w:t>
      </w:r>
      <w:r w:rsidR="00F60D24" w:rsidRPr="00D272CC">
        <w:rPr>
          <w:lang w:val="en-GB"/>
        </w:rPr>
        <w:t xml:space="preserve">; regarding firms with a dual-listed structure which are index constituents in two countries, BHP Billiton is excluded from GB (because its group headquarters </w:t>
      </w:r>
      <w:r w:rsidR="003A003B" w:rsidRPr="00D272CC">
        <w:rPr>
          <w:lang w:val="en-GB"/>
        </w:rPr>
        <w:t>are</w:t>
      </w:r>
      <w:r w:rsidR="00F60D24" w:rsidRPr="00D272CC">
        <w:rPr>
          <w:lang w:val="en-GB"/>
        </w:rPr>
        <w:t xml:space="preserve"> in Melbourne), Brambles is excluded from GB (because it unified its dual listed</w:t>
      </w:r>
      <w:r w:rsidR="006F5BC5" w:rsidRPr="00D272CC">
        <w:rPr>
          <w:lang w:val="en-GB"/>
        </w:rPr>
        <w:t xml:space="preserve"> structure in 2006 and became an Australian company) and</w:t>
      </w:r>
      <w:r w:rsidR="00F60D24" w:rsidRPr="00D272CC">
        <w:rPr>
          <w:lang w:val="en-GB"/>
        </w:rPr>
        <w:t xml:space="preserve"> Rio Tinto is excluded from AU (because i</w:t>
      </w:r>
      <w:r w:rsidR="003A003B" w:rsidRPr="00D272CC">
        <w:rPr>
          <w:lang w:val="en-GB"/>
        </w:rPr>
        <w:t>t</w:t>
      </w:r>
      <w:r w:rsidR="00F60D24" w:rsidRPr="00D272CC">
        <w:rPr>
          <w:lang w:val="en-GB"/>
        </w:rPr>
        <w:t xml:space="preserve">s </w:t>
      </w:r>
      <w:r w:rsidR="003A003B" w:rsidRPr="00D272CC">
        <w:rPr>
          <w:lang w:val="en-GB"/>
        </w:rPr>
        <w:t>headquarters are in London</w:t>
      </w:r>
      <w:r w:rsidR="00F60D24" w:rsidRPr="00D272CC">
        <w:rPr>
          <w:lang w:val="en-GB"/>
        </w:rPr>
        <w:t>)</w:t>
      </w:r>
      <w:r w:rsidRPr="00D272CC">
        <w:rPr>
          <w:lang w:val="en-GB"/>
        </w:rPr>
        <w:t xml:space="preserve">. </w:t>
      </w:r>
      <w:r w:rsidR="00C73D8D" w:rsidRPr="00D272CC">
        <w:rPr>
          <w:lang w:val="en-GB"/>
        </w:rPr>
        <w:t>Firm</w:t>
      </w:r>
      <w:r w:rsidR="00A84E3E" w:rsidRPr="00D272CC">
        <w:rPr>
          <w:lang w:val="en-GB"/>
        </w:rPr>
        <w:t>s with less than</w:t>
      </w:r>
      <w:r w:rsidR="00C73D8D" w:rsidRPr="00D272CC">
        <w:rPr>
          <w:lang w:val="en-GB"/>
        </w:rPr>
        <w:t xml:space="preserve"> two years of data are excluded because two years of data are necessary in order to identify policy changes. </w:t>
      </w:r>
      <w:r w:rsidR="00ED687E" w:rsidRPr="00D272CC">
        <w:rPr>
          <w:lang w:val="en-GB"/>
        </w:rPr>
        <w:t xml:space="preserve">Excluded from the regression sample are </w:t>
      </w:r>
      <w:r w:rsidR="00C00CE0" w:rsidRPr="00D272CC">
        <w:rPr>
          <w:lang w:val="en-GB"/>
        </w:rPr>
        <w:t>firm-years</w:t>
      </w:r>
      <w:r w:rsidR="00B71C00" w:rsidRPr="00B71C00">
        <w:rPr>
          <w:lang w:val="en-GB"/>
        </w:rPr>
        <w:t xml:space="preserve"> </w:t>
      </w:r>
      <w:r w:rsidR="00B71C00" w:rsidRPr="00D272CC">
        <w:rPr>
          <w:lang w:val="en-GB"/>
        </w:rPr>
        <w:t>in which a firm mentions a change but provides no reason because the effect was said to be immaterial and those</w:t>
      </w:r>
      <w:r w:rsidR="00C00CE0" w:rsidRPr="00D272CC">
        <w:rPr>
          <w:lang w:val="en-GB"/>
        </w:rPr>
        <w:t xml:space="preserve"> </w:t>
      </w:r>
      <w:r w:rsidR="00D104D8" w:rsidRPr="00D272CC">
        <w:rPr>
          <w:lang w:val="en-GB"/>
        </w:rPr>
        <w:t>in which</w:t>
      </w:r>
      <w:r w:rsidR="00ED687E" w:rsidRPr="00D272CC">
        <w:rPr>
          <w:lang w:val="en-GB"/>
        </w:rPr>
        <w:t xml:space="preserve"> a firm does not provide an explanation </w:t>
      </w:r>
      <w:r w:rsidR="00D104D8" w:rsidRPr="00D272CC">
        <w:rPr>
          <w:lang w:val="en-GB"/>
        </w:rPr>
        <w:t xml:space="preserve">because the </w:t>
      </w:r>
      <w:r w:rsidR="00ED687E" w:rsidRPr="00D272CC">
        <w:rPr>
          <w:lang w:val="en-GB"/>
        </w:rPr>
        <w:t xml:space="preserve">item </w:t>
      </w:r>
      <w:r w:rsidR="00D104D8" w:rsidRPr="00D272CC">
        <w:rPr>
          <w:lang w:val="en-GB"/>
        </w:rPr>
        <w:t xml:space="preserve">is new </w:t>
      </w:r>
      <w:r w:rsidR="00ED687E" w:rsidRPr="00D272CC">
        <w:rPr>
          <w:lang w:val="en-GB"/>
        </w:rPr>
        <w:t xml:space="preserve">or </w:t>
      </w:r>
      <w:r w:rsidR="00D104D8" w:rsidRPr="00D272CC">
        <w:rPr>
          <w:lang w:val="en-GB"/>
        </w:rPr>
        <w:t>the previous</w:t>
      </w:r>
      <w:r w:rsidR="00ED687E" w:rsidRPr="00D272CC">
        <w:rPr>
          <w:lang w:val="en-GB"/>
        </w:rPr>
        <w:t xml:space="preserve"> choice is no</w:t>
      </w:r>
      <w:r w:rsidR="00D104D8" w:rsidRPr="00D272CC">
        <w:rPr>
          <w:lang w:val="en-GB"/>
        </w:rPr>
        <w:t xml:space="preserve"> longer</w:t>
      </w:r>
      <w:r w:rsidR="00ED687E" w:rsidRPr="00D272CC">
        <w:rPr>
          <w:lang w:val="en-GB"/>
        </w:rPr>
        <w:t xml:space="preserve"> applicable (which mainly applies to topic 12). </w:t>
      </w:r>
      <w:r w:rsidRPr="00D272CC">
        <w:rPr>
          <w:lang w:val="en-GB"/>
        </w:rPr>
        <w:t>Data on index constituents are from the respective stock exchanges or index providers</w:t>
      </w:r>
      <w:r w:rsidR="00D104D8" w:rsidRPr="00D272CC">
        <w:rPr>
          <w:lang w:val="en-GB"/>
        </w:rPr>
        <w:t>,</w:t>
      </w:r>
      <w:r w:rsidRPr="00D272CC">
        <w:rPr>
          <w:lang w:val="en-GB"/>
        </w:rPr>
        <w:t xml:space="preserve"> and the remaining data are hand-collected.</w:t>
      </w:r>
    </w:p>
    <w:p w14:paraId="5B13F1AE" w14:textId="77777777" w:rsidR="000E6251" w:rsidRPr="00D272CC" w:rsidRDefault="00533FA7" w:rsidP="00136B57">
      <w:pPr>
        <w:pStyle w:val="Caption"/>
        <w:jc w:val="left"/>
        <w:rPr>
          <w:lang w:val="en-GB"/>
        </w:rPr>
      </w:pPr>
      <w:r w:rsidRPr="00D272CC">
        <w:rPr>
          <w:lang w:val="en-GB"/>
        </w:rPr>
        <w:t xml:space="preserve">Table </w:t>
      </w:r>
      <w:r w:rsidR="00680D7F" w:rsidRPr="00D272CC">
        <w:rPr>
          <w:lang w:val="en-GB"/>
        </w:rPr>
        <w:fldChar w:fldCharType="begin"/>
      </w:r>
      <w:r w:rsidRPr="00D272CC">
        <w:rPr>
          <w:lang w:val="en-GB"/>
        </w:rPr>
        <w:instrText xml:space="preserve"> SEQ Table \* ARABIC </w:instrText>
      </w:r>
      <w:r w:rsidR="00680D7F" w:rsidRPr="00D272CC">
        <w:rPr>
          <w:lang w:val="en-GB"/>
        </w:rPr>
        <w:fldChar w:fldCharType="separate"/>
      </w:r>
      <w:r w:rsidR="004F4900">
        <w:rPr>
          <w:noProof/>
          <w:lang w:val="en-GB"/>
        </w:rPr>
        <w:t>3</w:t>
      </w:r>
      <w:r w:rsidR="00680D7F" w:rsidRPr="00D272CC">
        <w:rPr>
          <w:lang w:val="en-GB"/>
        </w:rPr>
        <w:fldChar w:fldCharType="end"/>
      </w:r>
      <w:r w:rsidR="00380C8B" w:rsidRPr="00D272CC">
        <w:rPr>
          <w:lang w:val="en-GB"/>
        </w:rPr>
        <w:t xml:space="preserve">. </w:t>
      </w:r>
      <w:r w:rsidR="00B940BC" w:rsidRPr="00386416">
        <w:rPr>
          <w:b w:val="0"/>
          <w:lang w:val="en-GB"/>
        </w:rPr>
        <w:t xml:space="preserve">Number of IFRS policy </w:t>
      </w:r>
      <w:r w:rsidR="002413B6">
        <w:rPr>
          <w:b w:val="0"/>
          <w:lang w:val="en-GB"/>
        </w:rPr>
        <w:t>changes per country</w:t>
      </w:r>
      <w:r w:rsidR="0000530D">
        <w:rPr>
          <w:b w:val="0"/>
          <w:lang w:val="en-GB"/>
        </w:rPr>
        <w:t>.</w:t>
      </w:r>
    </w:p>
    <w:p w14:paraId="272B7781" w14:textId="77777777" w:rsidR="00736F35" w:rsidRPr="00D272CC" w:rsidRDefault="00736F35" w:rsidP="00736F35">
      <w:pPr>
        <w:pStyle w:val="Table-FigureDescription"/>
        <w:rPr>
          <w:lang w:val="en-GB"/>
        </w:rPr>
      </w:pPr>
    </w:p>
    <w:tbl>
      <w:tblPr>
        <w:tblW w:w="9072" w:type="dxa"/>
        <w:tblLayout w:type="fixed"/>
        <w:tblCellMar>
          <w:left w:w="0" w:type="dxa"/>
          <w:right w:w="0" w:type="dxa"/>
        </w:tblCellMar>
        <w:tblLook w:val="00A0" w:firstRow="1" w:lastRow="0" w:firstColumn="1" w:lastColumn="0" w:noHBand="0" w:noVBand="0"/>
      </w:tblPr>
      <w:tblGrid>
        <w:gridCol w:w="709"/>
        <w:gridCol w:w="2977"/>
        <w:gridCol w:w="467"/>
        <w:gridCol w:w="468"/>
        <w:gridCol w:w="468"/>
        <w:gridCol w:w="468"/>
        <w:gridCol w:w="468"/>
        <w:gridCol w:w="467"/>
        <w:gridCol w:w="468"/>
        <w:gridCol w:w="468"/>
        <w:gridCol w:w="468"/>
        <w:gridCol w:w="468"/>
        <w:gridCol w:w="708"/>
      </w:tblGrid>
      <w:tr w:rsidR="00736F35" w:rsidRPr="00D272CC" w14:paraId="3BE845CD" w14:textId="77777777" w:rsidTr="001D5DDB">
        <w:tc>
          <w:tcPr>
            <w:tcW w:w="709" w:type="dxa"/>
            <w:tcBorders>
              <w:top w:val="single" w:sz="4" w:space="0" w:color="000000"/>
              <w:bottom w:val="single" w:sz="4" w:space="0" w:color="000000"/>
            </w:tcBorders>
          </w:tcPr>
          <w:p w14:paraId="49945ACB" w14:textId="77777777" w:rsidR="00736F35" w:rsidRPr="00D272CC" w:rsidRDefault="00736F35" w:rsidP="00F33403">
            <w:pPr>
              <w:pStyle w:val="Tablesmall"/>
              <w:jc w:val="center"/>
              <w:rPr>
                <w:b/>
              </w:rPr>
            </w:pPr>
            <w:r w:rsidRPr="00D272CC">
              <w:rPr>
                <w:b/>
              </w:rPr>
              <w:t>Topic</w:t>
            </w:r>
          </w:p>
        </w:tc>
        <w:tc>
          <w:tcPr>
            <w:tcW w:w="2977" w:type="dxa"/>
            <w:tcBorders>
              <w:top w:val="single" w:sz="4" w:space="0" w:color="000000"/>
              <w:bottom w:val="single" w:sz="4" w:space="0" w:color="000000"/>
            </w:tcBorders>
          </w:tcPr>
          <w:p w14:paraId="5B6BE9CC" w14:textId="77777777" w:rsidR="00736F35" w:rsidRPr="00D272CC" w:rsidRDefault="00736F35" w:rsidP="00304630">
            <w:pPr>
              <w:pStyle w:val="Tablesmall"/>
              <w:rPr>
                <w:b/>
              </w:rPr>
            </w:pPr>
            <w:r w:rsidRPr="00D272CC">
              <w:rPr>
                <w:b/>
              </w:rPr>
              <w:t xml:space="preserve">IFRS </w:t>
            </w:r>
            <w:r w:rsidR="00380C8B" w:rsidRPr="00D272CC">
              <w:rPr>
                <w:b/>
              </w:rPr>
              <w:t>p</w:t>
            </w:r>
            <w:r w:rsidRPr="00D272CC">
              <w:rPr>
                <w:b/>
              </w:rPr>
              <w:t xml:space="preserve">olicy </w:t>
            </w:r>
            <w:r w:rsidR="00380C8B" w:rsidRPr="00D272CC">
              <w:rPr>
                <w:b/>
              </w:rPr>
              <w:t>t</w:t>
            </w:r>
            <w:r w:rsidR="00304630" w:rsidRPr="00D272CC">
              <w:rPr>
                <w:b/>
              </w:rPr>
              <w:t>opic</w:t>
            </w:r>
          </w:p>
        </w:tc>
        <w:tc>
          <w:tcPr>
            <w:tcW w:w="467" w:type="dxa"/>
            <w:tcBorders>
              <w:top w:val="single" w:sz="4" w:space="0" w:color="000000"/>
              <w:bottom w:val="single" w:sz="4" w:space="0" w:color="000000"/>
            </w:tcBorders>
          </w:tcPr>
          <w:p w14:paraId="55F51EF5" w14:textId="77777777" w:rsidR="00736F35" w:rsidRPr="00D272CC" w:rsidRDefault="00736F35" w:rsidP="00F33403">
            <w:pPr>
              <w:pStyle w:val="Tablesmall"/>
              <w:jc w:val="center"/>
              <w:rPr>
                <w:b/>
              </w:rPr>
            </w:pPr>
            <w:r w:rsidRPr="00D272CC">
              <w:rPr>
                <w:b/>
              </w:rPr>
              <w:t>AU</w:t>
            </w:r>
          </w:p>
        </w:tc>
        <w:tc>
          <w:tcPr>
            <w:tcW w:w="468" w:type="dxa"/>
            <w:tcBorders>
              <w:top w:val="single" w:sz="4" w:space="0" w:color="000000"/>
              <w:bottom w:val="single" w:sz="4" w:space="0" w:color="000000"/>
            </w:tcBorders>
          </w:tcPr>
          <w:p w14:paraId="37B193C4" w14:textId="77777777" w:rsidR="00736F35" w:rsidRPr="00D272CC" w:rsidRDefault="00736F35" w:rsidP="00F33403">
            <w:pPr>
              <w:pStyle w:val="Tablesmall"/>
              <w:jc w:val="center"/>
              <w:rPr>
                <w:b/>
              </w:rPr>
            </w:pPr>
            <w:r w:rsidRPr="00D272CC">
              <w:rPr>
                <w:b/>
              </w:rPr>
              <w:t>CH</w:t>
            </w:r>
          </w:p>
        </w:tc>
        <w:tc>
          <w:tcPr>
            <w:tcW w:w="468" w:type="dxa"/>
            <w:tcBorders>
              <w:top w:val="single" w:sz="4" w:space="0" w:color="000000"/>
              <w:bottom w:val="single" w:sz="4" w:space="0" w:color="000000"/>
            </w:tcBorders>
          </w:tcPr>
          <w:p w14:paraId="327E9C39" w14:textId="77777777" w:rsidR="00736F35" w:rsidRPr="00D272CC" w:rsidRDefault="00736F35" w:rsidP="00F33403">
            <w:pPr>
              <w:pStyle w:val="Tablesmall"/>
              <w:jc w:val="center"/>
              <w:rPr>
                <w:b/>
              </w:rPr>
            </w:pPr>
            <w:r w:rsidRPr="00D272CC">
              <w:rPr>
                <w:b/>
              </w:rPr>
              <w:t>CN</w:t>
            </w:r>
          </w:p>
        </w:tc>
        <w:tc>
          <w:tcPr>
            <w:tcW w:w="468" w:type="dxa"/>
            <w:tcBorders>
              <w:top w:val="single" w:sz="4" w:space="0" w:color="000000"/>
              <w:bottom w:val="single" w:sz="4" w:space="0" w:color="000000"/>
            </w:tcBorders>
          </w:tcPr>
          <w:p w14:paraId="3E3BFE44" w14:textId="77777777" w:rsidR="00736F35" w:rsidRPr="00D272CC" w:rsidRDefault="00736F35" w:rsidP="00F33403">
            <w:pPr>
              <w:pStyle w:val="Tablesmall"/>
              <w:jc w:val="center"/>
              <w:rPr>
                <w:b/>
              </w:rPr>
            </w:pPr>
            <w:r w:rsidRPr="00D272CC">
              <w:rPr>
                <w:b/>
              </w:rPr>
              <w:t>DE</w:t>
            </w:r>
          </w:p>
        </w:tc>
        <w:tc>
          <w:tcPr>
            <w:tcW w:w="468" w:type="dxa"/>
            <w:tcBorders>
              <w:top w:val="single" w:sz="4" w:space="0" w:color="000000"/>
              <w:bottom w:val="single" w:sz="4" w:space="0" w:color="000000"/>
            </w:tcBorders>
          </w:tcPr>
          <w:p w14:paraId="1E963C17" w14:textId="77777777" w:rsidR="00736F35" w:rsidRPr="00D272CC" w:rsidRDefault="00736F35" w:rsidP="00F33403">
            <w:pPr>
              <w:pStyle w:val="Tablesmall"/>
              <w:jc w:val="center"/>
              <w:rPr>
                <w:b/>
              </w:rPr>
            </w:pPr>
            <w:r w:rsidRPr="00D272CC">
              <w:rPr>
                <w:b/>
              </w:rPr>
              <w:t>ES</w:t>
            </w:r>
          </w:p>
        </w:tc>
        <w:tc>
          <w:tcPr>
            <w:tcW w:w="467" w:type="dxa"/>
            <w:tcBorders>
              <w:top w:val="single" w:sz="4" w:space="0" w:color="000000"/>
              <w:bottom w:val="single" w:sz="4" w:space="0" w:color="000000"/>
            </w:tcBorders>
          </w:tcPr>
          <w:p w14:paraId="048BF97A" w14:textId="77777777" w:rsidR="00736F35" w:rsidRPr="00D272CC" w:rsidRDefault="00736F35" w:rsidP="00F33403">
            <w:pPr>
              <w:pStyle w:val="Tablesmall"/>
              <w:jc w:val="center"/>
              <w:rPr>
                <w:b/>
              </w:rPr>
            </w:pPr>
            <w:r w:rsidRPr="00D272CC">
              <w:rPr>
                <w:b/>
              </w:rPr>
              <w:t>FR</w:t>
            </w:r>
          </w:p>
        </w:tc>
        <w:tc>
          <w:tcPr>
            <w:tcW w:w="468" w:type="dxa"/>
            <w:tcBorders>
              <w:top w:val="single" w:sz="4" w:space="0" w:color="000000"/>
              <w:bottom w:val="single" w:sz="4" w:space="0" w:color="000000"/>
            </w:tcBorders>
          </w:tcPr>
          <w:p w14:paraId="08EE7CDD" w14:textId="77777777" w:rsidR="00736F35" w:rsidRPr="00D272CC" w:rsidRDefault="00736F35" w:rsidP="00F33403">
            <w:pPr>
              <w:pStyle w:val="Tablesmall"/>
              <w:jc w:val="center"/>
              <w:rPr>
                <w:b/>
              </w:rPr>
            </w:pPr>
            <w:r w:rsidRPr="00D272CC">
              <w:rPr>
                <w:b/>
              </w:rPr>
              <w:t>GB</w:t>
            </w:r>
          </w:p>
        </w:tc>
        <w:tc>
          <w:tcPr>
            <w:tcW w:w="468" w:type="dxa"/>
            <w:tcBorders>
              <w:top w:val="single" w:sz="4" w:space="0" w:color="000000"/>
              <w:bottom w:val="single" w:sz="4" w:space="0" w:color="000000"/>
            </w:tcBorders>
          </w:tcPr>
          <w:p w14:paraId="4038DEF6" w14:textId="77777777" w:rsidR="00736F35" w:rsidRPr="00D272CC" w:rsidRDefault="00736F35" w:rsidP="00F33403">
            <w:pPr>
              <w:pStyle w:val="Tablesmall"/>
              <w:jc w:val="center"/>
              <w:rPr>
                <w:b/>
              </w:rPr>
            </w:pPr>
            <w:r w:rsidRPr="00D272CC">
              <w:rPr>
                <w:b/>
              </w:rPr>
              <w:t>HK</w:t>
            </w:r>
          </w:p>
        </w:tc>
        <w:tc>
          <w:tcPr>
            <w:tcW w:w="468" w:type="dxa"/>
            <w:tcBorders>
              <w:top w:val="single" w:sz="4" w:space="0" w:color="000000"/>
              <w:bottom w:val="single" w:sz="4" w:space="0" w:color="000000"/>
            </w:tcBorders>
          </w:tcPr>
          <w:p w14:paraId="60CE5171" w14:textId="77777777" w:rsidR="00736F35" w:rsidRPr="00D272CC" w:rsidRDefault="00736F35" w:rsidP="00F33403">
            <w:pPr>
              <w:pStyle w:val="Tablesmall"/>
              <w:jc w:val="center"/>
              <w:rPr>
                <w:b/>
              </w:rPr>
            </w:pPr>
            <w:r w:rsidRPr="00D272CC">
              <w:rPr>
                <w:b/>
              </w:rPr>
              <w:t>IT</w:t>
            </w:r>
          </w:p>
        </w:tc>
        <w:tc>
          <w:tcPr>
            <w:tcW w:w="468" w:type="dxa"/>
            <w:tcBorders>
              <w:top w:val="single" w:sz="4" w:space="0" w:color="000000"/>
              <w:bottom w:val="single" w:sz="4" w:space="0" w:color="000000"/>
            </w:tcBorders>
          </w:tcPr>
          <w:p w14:paraId="6617403A" w14:textId="77777777" w:rsidR="00736F35" w:rsidRPr="00D272CC" w:rsidRDefault="00736F35" w:rsidP="00F33403">
            <w:pPr>
              <w:pStyle w:val="Tablesmall"/>
              <w:jc w:val="center"/>
              <w:rPr>
                <w:b/>
              </w:rPr>
            </w:pPr>
            <w:r w:rsidRPr="00D272CC">
              <w:rPr>
                <w:b/>
              </w:rPr>
              <w:t>ZA</w:t>
            </w:r>
          </w:p>
        </w:tc>
        <w:tc>
          <w:tcPr>
            <w:tcW w:w="708" w:type="dxa"/>
            <w:tcBorders>
              <w:top w:val="single" w:sz="4" w:space="0" w:color="000000"/>
              <w:bottom w:val="single" w:sz="4" w:space="0" w:color="000000"/>
            </w:tcBorders>
          </w:tcPr>
          <w:p w14:paraId="2507EBA8" w14:textId="77777777" w:rsidR="00736F35" w:rsidRPr="00D272CC" w:rsidRDefault="00736F35" w:rsidP="00F33403">
            <w:pPr>
              <w:pStyle w:val="Tablesmall"/>
              <w:jc w:val="center"/>
              <w:rPr>
                <w:b/>
              </w:rPr>
            </w:pPr>
            <w:r w:rsidRPr="00D272CC">
              <w:rPr>
                <w:b/>
              </w:rPr>
              <w:t>∑</w:t>
            </w:r>
          </w:p>
        </w:tc>
      </w:tr>
      <w:tr w:rsidR="00736F35" w:rsidRPr="00D272CC" w14:paraId="6D8DCA03" w14:textId="77777777" w:rsidTr="001D5DDB">
        <w:tc>
          <w:tcPr>
            <w:tcW w:w="709" w:type="dxa"/>
          </w:tcPr>
          <w:p w14:paraId="58CAA509" w14:textId="77777777" w:rsidR="00736F35" w:rsidRPr="00D272CC" w:rsidRDefault="00736F35" w:rsidP="00F33403">
            <w:pPr>
              <w:pStyle w:val="Tablesmall"/>
              <w:jc w:val="center"/>
            </w:pPr>
          </w:p>
        </w:tc>
        <w:tc>
          <w:tcPr>
            <w:tcW w:w="2977" w:type="dxa"/>
          </w:tcPr>
          <w:p w14:paraId="712A22C2" w14:textId="77777777" w:rsidR="00736F35" w:rsidRPr="00D272CC" w:rsidRDefault="00736F35" w:rsidP="00F33403">
            <w:pPr>
              <w:pStyle w:val="Tablesmall"/>
            </w:pPr>
          </w:p>
        </w:tc>
        <w:tc>
          <w:tcPr>
            <w:tcW w:w="467" w:type="dxa"/>
          </w:tcPr>
          <w:p w14:paraId="78845A2B" w14:textId="77777777" w:rsidR="00736F35" w:rsidRPr="00D272CC" w:rsidRDefault="00736F35" w:rsidP="00F33403">
            <w:pPr>
              <w:pStyle w:val="Tablesmall"/>
              <w:jc w:val="center"/>
            </w:pPr>
          </w:p>
        </w:tc>
        <w:tc>
          <w:tcPr>
            <w:tcW w:w="468" w:type="dxa"/>
          </w:tcPr>
          <w:p w14:paraId="088420D4" w14:textId="77777777" w:rsidR="00736F35" w:rsidRPr="00D272CC" w:rsidRDefault="00736F35" w:rsidP="00F33403">
            <w:pPr>
              <w:pStyle w:val="Tablesmall"/>
              <w:jc w:val="center"/>
            </w:pPr>
          </w:p>
        </w:tc>
        <w:tc>
          <w:tcPr>
            <w:tcW w:w="468" w:type="dxa"/>
          </w:tcPr>
          <w:p w14:paraId="4FEC2C92" w14:textId="77777777" w:rsidR="00736F35" w:rsidRPr="00D272CC" w:rsidRDefault="00736F35" w:rsidP="00F33403">
            <w:pPr>
              <w:pStyle w:val="Tablesmall"/>
              <w:jc w:val="center"/>
            </w:pPr>
          </w:p>
        </w:tc>
        <w:tc>
          <w:tcPr>
            <w:tcW w:w="468" w:type="dxa"/>
          </w:tcPr>
          <w:p w14:paraId="3276C8C9" w14:textId="77777777" w:rsidR="00736F35" w:rsidRPr="00D272CC" w:rsidRDefault="00736F35" w:rsidP="00F33403">
            <w:pPr>
              <w:pStyle w:val="Tablesmall"/>
              <w:jc w:val="center"/>
            </w:pPr>
          </w:p>
        </w:tc>
        <w:tc>
          <w:tcPr>
            <w:tcW w:w="468" w:type="dxa"/>
          </w:tcPr>
          <w:p w14:paraId="1201A881" w14:textId="77777777" w:rsidR="00736F35" w:rsidRPr="00D272CC" w:rsidRDefault="00736F35" w:rsidP="00F33403">
            <w:pPr>
              <w:pStyle w:val="Tablesmall"/>
              <w:jc w:val="center"/>
            </w:pPr>
          </w:p>
        </w:tc>
        <w:tc>
          <w:tcPr>
            <w:tcW w:w="467" w:type="dxa"/>
          </w:tcPr>
          <w:p w14:paraId="64AA1C67" w14:textId="77777777" w:rsidR="00736F35" w:rsidRPr="00D272CC" w:rsidRDefault="00736F35" w:rsidP="00F33403">
            <w:pPr>
              <w:pStyle w:val="Tablesmall"/>
              <w:jc w:val="center"/>
            </w:pPr>
          </w:p>
        </w:tc>
        <w:tc>
          <w:tcPr>
            <w:tcW w:w="468" w:type="dxa"/>
          </w:tcPr>
          <w:p w14:paraId="6D107674" w14:textId="77777777" w:rsidR="00736F35" w:rsidRPr="00D272CC" w:rsidRDefault="00736F35" w:rsidP="00F33403">
            <w:pPr>
              <w:pStyle w:val="Tablesmall"/>
              <w:jc w:val="center"/>
            </w:pPr>
          </w:p>
        </w:tc>
        <w:tc>
          <w:tcPr>
            <w:tcW w:w="468" w:type="dxa"/>
          </w:tcPr>
          <w:p w14:paraId="2B9D3495" w14:textId="77777777" w:rsidR="00736F35" w:rsidRPr="00D272CC" w:rsidRDefault="00736F35" w:rsidP="00F33403">
            <w:pPr>
              <w:pStyle w:val="Tablesmall"/>
              <w:jc w:val="center"/>
            </w:pPr>
          </w:p>
        </w:tc>
        <w:tc>
          <w:tcPr>
            <w:tcW w:w="468" w:type="dxa"/>
          </w:tcPr>
          <w:p w14:paraId="48F6F618" w14:textId="77777777" w:rsidR="00736F35" w:rsidRPr="00D272CC" w:rsidRDefault="00736F35" w:rsidP="00F33403">
            <w:pPr>
              <w:pStyle w:val="Tablesmall"/>
              <w:jc w:val="center"/>
            </w:pPr>
          </w:p>
        </w:tc>
        <w:tc>
          <w:tcPr>
            <w:tcW w:w="468" w:type="dxa"/>
          </w:tcPr>
          <w:p w14:paraId="454BD8E0" w14:textId="77777777" w:rsidR="00736F35" w:rsidRPr="00D272CC" w:rsidRDefault="00736F35" w:rsidP="00F33403">
            <w:pPr>
              <w:pStyle w:val="Tablesmall"/>
              <w:jc w:val="center"/>
            </w:pPr>
          </w:p>
        </w:tc>
        <w:tc>
          <w:tcPr>
            <w:tcW w:w="708" w:type="dxa"/>
          </w:tcPr>
          <w:p w14:paraId="09CBE145" w14:textId="77777777" w:rsidR="00736F35" w:rsidRPr="00D272CC" w:rsidRDefault="00736F35" w:rsidP="00F33403">
            <w:pPr>
              <w:pStyle w:val="Tablesmall"/>
              <w:jc w:val="center"/>
            </w:pPr>
          </w:p>
        </w:tc>
      </w:tr>
      <w:tr w:rsidR="001D5DDB" w:rsidRPr="00D272CC" w14:paraId="4619E546" w14:textId="77777777" w:rsidTr="001D5DDB">
        <w:tc>
          <w:tcPr>
            <w:tcW w:w="709" w:type="dxa"/>
          </w:tcPr>
          <w:p w14:paraId="738BCCE6" w14:textId="77777777" w:rsidR="001D5DDB" w:rsidRPr="00D272CC" w:rsidRDefault="001D5DDB" w:rsidP="00F33403">
            <w:pPr>
              <w:pStyle w:val="Tablesmall"/>
              <w:jc w:val="center"/>
            </w:pPr>
            <w:r w:rsidRPr="00D272CC">
              <w:t>1</w:t>
            </w:r>
          </w:p>
        </w:tc>
        <w:tc>
          <w:tcPr>
            <w:tcW w:w="2977" w:type="dxa"/>
          </w:tcPr>
          <w:p w14:paraId="55407E7A" w14:textId="77777777" w:rsidR="001D5DDB" w:rsidRPr="00D272CC" w:rsidRDefault="001D5DDB" w:rsidP="00F33403">
            <w:pPr>
              <w:pStyle w:val="Tablesmall"/>
            </w:pPr>
            <w:r w:rsidRPr="00D272CC">
              <w:t>Income statement format</w:t>
            </w:r>
          </w:p>
        </w:tc>
        <w:tc>
          <w:tcPr>
            <w:tcW w:w="467" w:type="dxa"/>
            <w:vAlign w:val="bottom"/>
          </w:tcPr>
          <w:p w14:paraId="2640EFF4" w14:textId="77777777" w:rsidR="001D5DDB" w:rsidRPr="00D272CC" w:rsidRDefault="001D5DDB" w:rsidP="001D5DDB">
            <w:pPr>
              <w:pStyle w:val="Tablesmall"/>
              <w:jc w:val="center"/>
            </w:pPr>
            <w:r w:rsidRPr="00D272CC">
              <w:t>3</w:t>
            </w:r>
          </w:p>
        </w:tc>
        <w:tc>
          <w:tcPr>
            <w:tcW w:w="468" w:type="dxa"/>
            <w:vAlign w:val="bottom"/>
          </w:tcPr>
          <w:p w14:paraId="2442311E" w14:textId="77777777" w:rsidR="001D5DDB" w:rsidRPr="00D272CC" w:rsidRDefault="001D5DDB" w:rsidP="001D5DDB">
            <w:pPr>
              <w:pStyle w:val="Tablesmall"/>
              <w:jc w:val="center"/>
            </w:pPr>
            <w:r w:rsidRPr="00D272CC">
              <w:t>0</w:t>
            </w:r>
          </w:p>
        </w:tc>
        <w:tc>
          <w:tcPr>
            <w:tcW w:w="468" w:type="dxa"/>
            <w:vAlign w:val="bottom"/>
          </w:tcPr>
          <w:p w14:paraId="1A631EB2" w14:textId="77777777" w:rsidR="001D5DDB" w:rsidRPr="00D272CC" w:rsidRDefault="001D5DDB" w:rsidP="001D5DDB">
            <w:pPr>
              <w:pStyle w:val="Tablesmall"/>
              <w:jc w:val="center"/>
            </w:pPr>
            <w:r w:rsidRPr="00D272CC">
              <w:t>1</w:t>
            </w:r>
          </w:p>
        </w:tc>
        <w:tc>
          <w:tcPr>
            <w:tcW w:w="468" w:type="dxa"/>
            <w:vAlign w:val="bottom"/>
          </w:tcPr>
          <w:p w14:paraId="679D617D" w14:textId="77777777" w:rsidR="001D5DDB" w:rsidRPr="00D272CC" w:rsidRDefault="001D5DDB" w:rsidP="001D5DDB">
            <w:pPr>
              <w:pStyle w:val="Tablesmall"/>
              <w:jc w:val="center"/>
            </w:pPr>
            <w:r w:rsidRPr="00D272CC">
              <w:t>1</w:t>
            </w:r>
          </w:p>
        </w:tc>
        <w:tc>
          <w:tcPr>
            <w:tcW w:w="468" w:type="dxa"/>
            <w:vAlign w:val="bottom"/>
          </w:tcPr>
          <w:p w14:paraId="1BB1D58C" w14:textId="77777777" w:rsidR="001D5DDB" w:rsidRPr="00D272CC" w:rsidRDefault="001D5DDB" w:rsidP="001D5DDB">
            <w:pPr>
              <w:pStyle w:val="Tablesmall"/>
              <w:jc w:val="center"/>
            </w:pPr>
            <w:r w:rsidRPr="00D272CC">
              <w:t>0</w:t>
            </w:r>
          </w:p>
        </w:tc>
        <w:tc>
          <w:tcPr>
            <w:tcW w:w="467" w:type="dxa"/>
            <w:vAlign w:val="bottom"/>
          </w:tcPr>
          <w:p w14:paraId="105A2D3C" w14:textId="77777777" w:rsidR="001D5DDB" w:rsidRPr="00D272CC" w:rsidRDefault="001D5DDB" w:rsidP="001D5DDB">
            <w:pPr>
              <w:pStyle w:val="Tablesmall"/>
              <w:jc w:val="center"/>
            </w:pPr>
            <w:r w:rsidRPr="00D272CC">
              <w:t>1</w:t>
            </w:r>
          </w:p>
        </w:tc>
        <w:tc>
          <w:tcPr>
            <w:tcW w:w="468" w:type="dxa"/>
            <w:vAlign w:val="bottom"/>
          </w:tcPr>
          <w:p w14:paraId="6E86144F" w14:textId="77777777" w:rsidR="001D5DDB" w:rsidRPr="00D272CC" w:rsidRDefault="001D5DDB" w:rsidP="001D5DDB">
            <w:pPr>
              <w:pStyle w:val="Tablesmall"/>
              <w:jc w:val="center"/>
            </w:pPr>
            <w:r w:rsidRPr="00D272CC">
              <w:t>9</w:t>
            </w:r>
          </w:p>
        </w:tc>
        <w:tc>
          <w:tcPr>
            <w:tcW w:w="468" w:type="dxa"/>
            <w:vAlign w:val="bottom"/>
          </w:tcPr>
          <w:p w14:paraId="28C61FC6" w14:textId="77777777" w:rsidR="001D5DDB" w:rsidRPr="00D272CC" w:rsidRDefault="001D5DDB" w:rsidP="001D5DDB">
            <w:pPr>
              <w:pStyle w:val="Tablesmall"/>
              <w:jc w:val="center"/>
            </w:pPr>
            <w:r w:rsidRPr="00D272CC">
              <w:t>1</w:t>
            </w:r>
          </w:p>
        </w:tc>
        <w:tc>
          <w:tcPr>
            <w:tcW w:w="468" w:type="dxa"/>
            <w:vAlign w:val="bottom"/>
          </w:tcPr>
          <w:p w14:paraId="53BDB92F" w14:textId="77777777" w:rsidR="001D5DDB" w:rsidRPr="00D272CC" w:rsidRDefault="001D5DDB" w:rsidP="001D5DDB">
            <w:pPr>
              <w:pStyle w:val="Tablesmall"/>
              <w:jc w:val="center"/>
            </w:pPr>
            <w:r w:rsidRPr="00D272CC">
              <w:t>1</w:t>
            </w:r>
          </w:p>
        </w:tc>
        <w:tc>
          <w:tcPr>
            <w:tcW w:w="468" w:type="dxa"/>
            <w:vAlign w:val="bottom"/>
          </w:tcPr>
          <w:p w14:paraId="30761A24" w14:textId="77777777" w:rsidR="001D5DDB" w:rsidRPr="00D272CC" w:rsidRDefault="001D5DDB" w:rsidP="001D5DDB">
            <w:pPr>
              <w:pStyle w:val="Tablesmall"/>
              <w:jc w:val="center"/>
            </w:pPr>
            <w:r w:rsidRPr="00D272CC">
              <w:t>2</w:t>
            </w:r>
          </w:p>
        </w:tc>
        <w:tc>
          <w:tcPr>
            <w:tcW w:w="708" w:type="dxa"/>
            <w:vAlign w:val="bottom"/>
          </w:tcPr>
          <w:p w14:paraId="3DD5974B" w14:textId="77777777" w:rsidR="001D5DDB" w:rsidRPr="00D272CC" w:rsidRDefault="001D5DDB" w:rsidP="001D5DDB">
            <w:pPr>
              <w:pStyle w:val="Tablesmall"/>
              <w:jc w:val="center"/>
            </w:pPr>
            <w:r w:rsidRPr="00D272CC">
              <w:t>19 (9)</w:t>
            </w:r>
          </w:p>
        </w:tc>
      </w:tr>
      <w:tr w:rsidR="001D5DDB" w:rsidRPr="00D272CC" w14:paraId="7C3270D7" w14:textId="77777777" w:rsidTr="001D5DDB">
        <w:tc>
          <w:tcPr>
            <w:tcW w:w="709" w:type="dxa"/>
          </w:tcPr>
          <w:p w14:paraId="6A7D7DC7" w14:textId="77777777" w:rsidR="001D5DDB" w:rsidRPr="00D272CC" w:rsidRDefault="001D5DDB" w:rsidP="00F33403">
            <w:pPr>
              <w:pStyle w:val="Tablesmall"/>
              <w:jc w:val="center"/>
            </w:pPr>
          </w:p>
        </w:tc>
        <w:tc>
          <w:tcPr>
            <w:tcW w:w="2977" w:type="dxa"/>
          </w:tcPr>
          <w:p w14:paraId="6B4F22D7" w14:textId="77777777" w:rsidR="001D5DDB" w:rsidRPr="00D272CC" w:rsidRDefault="001D5DDB" w:rsidP="00F33403">
            <w:pPr>
              <w:pStyle w:val="Tablesmall"/>
            </w:pPr>
            <w:r w:rsidRPr="00D272CC">
              <w:t>- from (a) to (b) / (b) to (a)</w:t>
            </w:r>
          </w:p>
        </w:tc>
        <w:tc>
          <w:tcPr>
            <w:tcW w:w="467" w:type="dxa"/>
            <w:vAlign w:val="bottom"/>
          </w:tcPr>
          <w:p w14:paraId="55F8935B" w14:textId="77777777" w:rsidR="001D5DDB" w:rsidRPr="00D272CC" w:rsidRDefault="001D5DDB" w:rsidP="001D5DDB">
            <w:pPr>
              <w:pStyle w:val="Tablesmall"/>
              <w:jc w:val="center"/>
            </w:pPr>
            <w:r w:rsidRPr="00D272CC">
              <w:t>1/0</w:t>
            </w:r>
          </w:p>
        </w:tc>
        <w:tc>
          <w:tcPr>
            <w:tcW w:w="468" w:type="dxa"/>
            <w:vAlign w:val="bottom"/>
          </w:tcPr>
          <w:p w14:paraId="3C39F0A3" w14:textId="77777777" w:rsidR="001D5DDB" w:rsidRPr="00D272CC" w:rsidRDefault="001D5DDB" w:rsidP="001D5DDB">
            <w:pPr>
              <w:pStyle w:val="Tablesmall"/>
              <w:jc w:val="center"/>
            </w:pPr>
            <w:r w:rsidRPr="00D272CC">
              <w:t>0/0</w:t>
            </w:r>
          </w:p>
        </w:tc>
        <w:tc>
          <w:tcPr>
            <w:tcW w:w="468" w:type="dxa"/>
            <w:vAlign w:val="bottom"/>
          </w:tcPr>
          <w:p w14:paraId="15D16A3E" w14:textId="77777777" w:rsidR="001D5DDB" w:rsidRPr="00D272CC" w:rsidRDefault="001D5DDB" w:rsidP="001D5DDB">
            <w:pPr>
              <w:pStyle w:val="Tablesmall"/>
              <w:jc w:val="center"/>
            </w:pPr>
            <w:r w:rsidRPr="00D272CC">
              <w:t>0/1</w:t>
            </w:r>
          </w:p>
        </w:tc>
        <w:tc>
          <w:tcPr>
            <w:tcW w:w="468" w:type="dxa"/>
            <w:vAlign w:val="bottom"/>
          </w:tcPr>
          <w:p w14:paraId="1DE59BE0" w14:textId="77777777" w:rsidR="001D5DDB" w:rsidRPr="00D272CC" w:rsidRDefault="001D5DDB" w:rsidP="001D5DDB">
            <w:pPr>
              <w:pStyle w:val="Tablesmall"/>
              <w:jc w:val="center"/>
            </w:pPr>
            <w:r w:rsidRPr="00D272CC">
              <w:t>0/1</w:t>
            </w:r>
          </w:p>
        </w:tc>
        <w:tc>
          <w:tcPr>
            <w:tcW w:w="468" w:type="dxa"/>
            <w:vAlign w:val="bottom"/>
          </w:tcPr>
          <w:p w14:paraId="0C99A191" w14:textId="77777777" w:rsidR="001D5DDB" w:rsidRPr="00D272CC" w:rsidRDefault="001D5DDB" w:rsidP="001D5DDB">
            <w:pPr>
              <w:pStyle w:val="Tablesmall"/>
              <w:jc w:val="center"/>
            </w:pPr>
            <w:r w:rsidRPr="00D272CC">
              <w:t>0/0</w:t>
            </w:r>
          </w:p>
        </w:tc>
        <w:tc>
          <w:tcPr>
            <w:tcW w:w="467" w:type="dxa"/>
            <w:vAlign w:val="bottom"/>
          </w:tcPr>
          <w:p w14:paraId="7CD7EC32" w14:textId="77777777" w:rsidR="001D5DDB" w:rsidRPr="00D272CC" w:rsidRDefault="001D5DDB" w:rsidP="001D5DDB">
            <w:pPr>
              <w:pStyle w:val="Tablesmall"/>
              <w:jc w:val="center"/>
            </w:pPr>
            <w:r w:rsidRPr="00D272CC">
              <w:t>0/0</w:t>
            </w:r>
          </w:p>
        </w:tc>
        <w:tc>
          <w:tcPr>
            <w:tcW w:w="468" w:type="dxa"/>
            <w:vAlign w:val="bottom"/>
          </w:tcPr>
          <w:p w14:paraId="028D4709" w14:textId="77777777" w:rsidR="001D5DDB" w:rsidRPr="00D272CC" w:rsidRDefault="001D5DDB" w:rsidP="001D5DDB">
            <w:pPr>
              <w:pStyle w:val="Tablesmall"/>
              <w:jc w:val="center"/>
            </w:pPr>
            <w:r w:rsidRPr="00D272CC">
              <w:t>2/2</w:t>
            </w:r>
          </w:p>
        </w:tc>
        <w:tc>
          <w:tcPr>
            <w:tcW w:w="468" w:type="dxa"/>
            <w:vAlign w:val="bottom"/>
          </w:tcPr>
          <w:p w14:paraId="00EAC3F8" w14:textId="77777777" w:rsidR="001D5DDB" w:rsidRPr="00D272CC" w:rsidRDefault="001D5DDB" w:rsidP="001D5DDB">
            <w:pPr>
              <w:pStyle w:val="Tablesmall"/>
              <w:jc w:val="center"/>
            </w:pPr>
            <w:r w:rsidRPr="00D272CC">
              <w:t>0/1</w:t>
            </w:r>
          </w:p>
        </w:tc>
        <w:tc>
          <w:tcPr>
            <w:tcW w:w="468" w:type="dxa"/>
            <w:vAlign w:val="bottom"/>
          </w:tcPr>
          <w:p w14:paraId="496CAE34" w14:textId="77777777" w:rsidR="001D5DDB" w:rsidRPr="00D272CC" w:rsidRDefault="001D5DDB" w:rsidP="001D5DDB">
            <w:pPr>
              <w:pStyle w:val="Tablesmall"/>
              <w:jc w:val="center"/>
            </w:pPr>
            <w:r w:rsidRPr="00D272CC">
              <w:t>0/1</w:t>
            </w:r>
          </w:p>
        </w:tc>
        <w:tc>
          <w:tcPr>
            <w:tcW w:w="468" w:type="dxa"/>
            <w:vAlign w:val="bottom"/>
          </w:tcPr>
          <w:p w14:paraId="6963D8B3" w14:textId="77777777" w:rsidR="001D5DDB" w:rsidRPr="00D272CC" w:rsidRDefault="001D5DDB" w:rsidP="001D5DDB">
            <w:pPr>
              <w:pStyle w:val="Tablesmall"/>
              <w:jc w:val="center"/>
            </w:pPr>
            <w:r w:rsidRPr="00D272CC">
              <w:t>0/0</w:t>
            </w:r>
          </w:p>
        </w:tc>
        <w:tc>
          <w:tcPr>
            <w:tcW w:w="708" w:type="dxa"/>
            <w:vAlign w:val="bottom"/>
          </w:tcPr>
          <w:p w14:paraId="367D33A1" w14:textId="77777777" w:rsidR="001D5DDB" w:rsidRPr="00D272CC" w:rsidRDefault="001D5DDB" w:rsidP="001D5DDB">
            <w:pPr>
              <w:pStyle w:val="Tablesmall"/>
              <w:jc w:val="center"/>
            </w:pPr>
            <w:r w:rsidRPr="00D272CC">
              <w:t>3/6</w:t>
            </w:r>
          </w:p>
        </w:tc>
      </w:tr>
      <w:tr w:rsidR="001D5DDB" w:rsidRPr="00D272CC" w14:paraId="67EA663E" w14:textId="77777777" w:rsidTr="001D5DDB">
        <w:tc>
          <w:tcPr>
            <w:tcW w:w="709" w:type="dxa"/>
          </w:tcPr>
          <w:p w14:paraId="361FE1A4" w14:textId="77777777" w:rsidR="001D5DDB" w:rsidRPr="00D272CC" w:rsidRDefault="001D5DDB" w:rsidP="00F33403">
            <w:pPr>
              <w:pStyle w:val="Tablesmall"/>
              <w:jc w:val="center"/>
            </w:pPr>
          </w:p>
        </w:tc>
        <w:tc>
          <w:tcPr>
            <w:tcW w:w="2977" w:type="dxa"/>
          </w:tcPr>
          <w:p w14:paraId="00201C09" w14:textId="77777777" w:rsidR="001D5DDB" w:rsidRPr="00D272CC" w:rsidRDefault="001D5DDB" w:rsidP="00304630">
            <w:pPr>
              <w:pStyle w:val="Tablesmall"/>
            </w:pPr>
            <w:r w:rsidRPr="00D272CC">
              <w:t>- from (a) to (c) / (c) to (a)</w:t>
            </w:r>
          </w:p>
        </w:tc>
        <w:tc>
          <w:tcPr>
            <w:tcW w:w="467" w:type="dxa"/>
            <w:vAlign w:val="bottom"/>
          </w:tcPr>
          <w:p w14:paraId="6AE0355F" w14:textId="77777777" w:rsidR="001D5DDB" w:rsidRPr="00D272CC" w:rsidRDefault="001D5DDB" w:rsidP="001D5DDB">
            <w:pPr>
              <w:pStyle w:val="Tablesmall"/>
              <w:jc w:val="center"/>
            </w:pPr>
            <w:r w:rsidRPr="00D272CC">
              <w:t>0/1</w:t>
            </w:r>
          </w:p>
        </w:tc>
        <w:tc>
          <w:tcPr>
            <w:tcW w:w="468" w:type="dxa"/>
            <w:vAlign w:val="bottom"/>
          </w:tcPr>
          <w:p w14:paraId="366C6EE1" w14:textId="77777777" w:rsidR="001D5DDB" w:rsidRPr="00D272CC" w:rsidRDefault="001D5DDB" w:rsidP="001D5DDB">
            <w:pPr>
              <w:pStyle w:val="Tablesmall"/>
              <w:jc w:val="center"/>
            </w:pPr>
            <w:r w:rsidRPr="00D272CC">
              <w:t>0/0</w:t>
            </w:r>
          </w:p>
        </w:tc>
        <w:tc>
          <w:tcPr>
            <w:tcW w:w="468" w:type="dxa"/>
            <w:vAlign w:val="bottom"/>
          </w:tcPr>
          <w:p w14:paraId="78E68F38" w14:textId="77777777" w:rsidR="001D5DDB" w:rsidRPr="00D272CC" w:rsidRDefault="001D5DDB" w:rsidP="001D5DDB">
            <w:pPr>
              <w:pStyle w:val="Tablesmall"/>
              <w:jc w:val="center"/>
            </w:pPr>
            <w:r w:rsidRPr="00D272CC">
              <w:t>0/0</w:t>
            </w:r>
          </w:p>
        </w:tc>
        <w:tc>
          <w:tcPr>
            <w:tcW w:w="468" w:type="dxa"/>
            <w:vAlign w:val="bottom"/>
          </w:tcPr>
          <w:p w14:paraId="40113D3F" w14:textId="77777777" w:rsidR="001D5DDB" w:rsidRPr="00D272CC" w:rsidRDefault="001D5DDB" w:rsidP="001D5DDB">
            <w:pPr>
              <w:pStyle w:val="Tablesmall"/>
              <w:jc w:val="center"/>
            </w:pPr>
            <w:r w:rsidRPr="00D272CC">
              <w:t>0/0</w:t>
            </w:r>
          </w:p>
        </w:tc>
        <w:tc>
          <w:tcPr>
            <w:tcW w:w="468" w:type="dxa"/>
            <w:vAlign w:val="bottom"/>
          </w:tcPr>
          <w:p w14:paraId="706774EC" w14:textId="77777777" w:rsidR="001D5DDB" w:rsidRPr="00D272CC" w:rsidRDefault="001D5DDB" w:rsidP="001D5DDB">
            <w:pPr>
              <w:pStyle w:val="Tablesmall"/>
              <w:jc w:val="center"/>
            </w:pPr>
            <w:r w:rsidRPr="00D272CC">
              <w:t>0/0</w:t>
            </w:r>
          </w:p>
        </w:tc>
        <w:tc>
          <w:tcPr>
            <w:tcW w:w="467" w:type="dxa"/>
            <w:vAlign w:val="bottom"/>
          </w:tcPr>
          <w:p w14:paraId="4BFD762C" w14:textId="77777777" w:rsidR="001D5DDB" w:rsidRPr="00D272CC" w:rsidRDefault="001D5DDB" w:rsidP="001D5DDB">
            <w:pPr>
              <w:pStyle w:val="Tablesmall"/>
              <w:jc w:val="center"/>
            </w:pPr>
            <w:r w:rsidRPr="00D272CC">
              <w:t>0/0</w:t>
            </w:r>
          </w:p>
        </w:tc>
        <w:tc>
          <w:tcPr>
            <w:tcW w:w="468" w:type="dxa"/>
            <w:vAlign w:val="bottom"/>
          </w:tcPr>
          <w:p w14:paraId="55AB5A50" w14:textId="77777777" w:rsidR="001D5DDB" w:rsidRPr="00D272CC" w:rsidRDefault="001D5DDB" w:rsidP="001D5DDB">
            <w:pPr>
              <w:pStyle w:val="Tablesmall"/>
              <w:jc w:val="center"/>
            </w:pPr>
            <w:r w:rsidRPr="00D272CC">
              <w:t>4/1</w:t>
            </w:r>
          </w:p>
        </w:tc>
        <w:tc>
          <w:tcPr>
            <w:tcW w:w="468" w:type="dxa"/>
            <w:vAlign w:val="bottom"/>
          </w:tcPr>
          <w:p w14:paraId="29B49138" w14:textId="77777777" w:rsidR="001D5DDB" w:rsidRPr="00D272CC" w:rsidRDefault="001D5DDB" w:rsidP="001D5DDB">
            <w:pPr>
              <w:pStyle w:val="Tablesmall"/>
              <w:jc w:val="center"/>
            </w:pPr>
            <w:r w:rsidRPr="00D272CC">
              <w:t>0/0</w:t>
            </w:r>
          </w:p>
        </w:tc>
        <w:tc>
          <w:tcPr>
            <w:tcW w:w="468" w:type="dxa"/>
            <w:vAlign w:val="bottom"/>
          </w:tcPr>
          <w:p w14:paraId="0F33E93D" w14:textId="77777777" w:rsidR="001D5DDB" w:rsidRPr="00D272CC" w:rsidRDefault="001D5DDB" w:rsidP="001D5DDB">
            <w:pPr>
              <w:pStyle w:val="Tablesmall"/>
              <w:jc w:val="center"/>
            </w:pPr>
            <w:r w:rsidRPr="00D272CC">
              <w:t>0/0</w:t>
            </w:r>
          </w:p>
        </w:tc>
        <w:tc>
          <w:tcPr>
            <w:tcW w:w="468" w:type="dxa"/>
            <w:vAlign w:val="bottom"/>
          </w:tcPr>
          <w:p w14:paraId="55877F1C" w14:textId="77777777" w:rsidR="001D5DDB" w:rsidRPr="00D272CC" w:rsidRDefault="001D5DDB" w:rsidP="001D5DDB">
            <w:pPr>
              <w:pStyle w:val="Tablesmall"/>
              <w:jc w:val="center"/>
            </w:pPr>
            <w:r w:rsidRPr="00D272CC">
              <w:t>0/1</w:t>
            </w:r>
          </w:p>
        </w:tc>
        <w:tc>
          <w:tcPr>
            <w:tcW w:w="708" w:type="dxa"/>
            <w:vAlign w:val="bottom"/>
          </w:tcPr>
          <w:p w14:paraId="4A24269E" w14:textId="77777777" w:rsidR="001D5DDB" w:rsidRPr="00D272CC" w:rsidRDefault="001D5DDB" w:rsidP="001D5DDB">
            <w:pPr>
              <w:pStyle w:val="Tablesmall"/>
              <w:jc w:val="center"/>
            </w:pPr>
            <w:r w:rsidRPr="00D272CC">
              <w:t>4/3</w:t>
            </w:r>
          </w:p>
        </w:tc>
      </w:tr>
      <w:tr w:rsidR="001D5DDB" w:rsidRPr="00D272CC" w14:paraId="1829A836" w14:textId="77777777" w:rsidTr="001D5DDB">
        <w:tc>
          <w:tcPr>
            <w:tcW w:w="709" w:type="dxa"/>
          </w:tcPr>
          <w:p w14:paraId="2661597A" w14:textId="77777777" w:rsidR="001D5DDB" w:rsidRPr="00D272CC" w:rsidRDefault="001D5DDB" w:rsidP="00F33403">
            <w:pPr>
              <w:pStyle w:val="Tablesmall"/>
              <w:jc w:val="center"/>
            </w:pPr>
          </w:p>
        </w:tc>
        <w:tc>
          <w:tcPr>
            <w:tcW w:w="2977" w:type="dxa"/>
          </w:tcPr>
          <w:p w14:paraId="7FB267F2" w14:textId="77777777" w:rsidR="001D5DDB" w:rsidRPr="00D272CC" w:rsidRDefault="001D5DDB" w:rsidP="00304630">
            <w:pPr>
              <w:pStyle w:val="Tablesmall"/>
            </w:pPr>
            <w:r w:rsidRPr="00D272CC">
              <w:t>- from (b) to (c) / (c) to (b)</w:t>
            </w:r>
          </w:p>
        </w:tc>
        <w:tc>
          <w:tcPr>
            <w:tcW w:w="467" w:type="dxa"/>
            <w:vAlign w:val="bottom"/>
          </w:tcPr>
          <w:p w14:paraId="7A4AABD1" w14:textId="77777777" w:rsidR="001D5DDB" w:rsidRPr="00D272CC" w:rsidRDefault="001D5DDB" w:rsidP="001D5DDB">
            <w:pPr>
              <w:pStyle w:val="Tablesmall"/>
              <w:jc w:val="center"/>
            </w:pPr>
            <w:r w:rsidRPr="00D272CC">
              <w:t>1/0</w:t>
            </w:r>
          </w:p>
        </w:tc>
        <w:tc>
          <w:tcPr>
            <w:tcW w:w="468" w:type="dxa"/>
            <w:vAlign w:val="bottom"/>
          </w:tcPr>
          <w:p w14:paraId="1DAE6957" w14:textId="77777777" w:rsidR="001D5DDB" w:rsidRPr="00D272CC" w:rsidRDefault="001D5DDB" w:rsidP="001D5DDB">
            <w:pPr>
              <w:pStyle w:val="Tablesmall"/>
              <w:jc w:val="center"/>
            </w:pPr>
            <w:r w:rsidRPr="00D272CC">
              <w:t>0/0</w:t>
            </w:r>
          </w:p>
        </w:tc>
        <w:tc>
          <w:tcPr>
            <w:tcW w:w="468" w:type="dxa"/>
            <w:vAlign w:val="bottom"/>
          </w:tcPr>
          <w:p w14:paraId="470BDE2F" w14:textId="77777777" w:rsidR="001D5DDB" w:rsidRPr="00D272CC" w:rsidRDefault="001D5DDB" w:rsidP="001D5DDB">
            <w:pPr>
              <w:pStyle w:val="Tablesmall"/>
              <w:jc w:val="center"/>
            </w:pPr>
            <w:r w:rsidRPr="00D272CC">
              <w:t>0/0</w:t>
            </w:r>
          </w:p>
        </w:tc>
        <w:tc>
          <w:tcPr>
            <w:tcW w:w="468" w:type="dxa"/>
            <w:vAlign w:val="bottom"/>
          </w:tcPr>
          <w:p w14:paraId="2D579807" w14:textId="77777777" w:rsidR="001D5DDB" w:rsidRPr="00D272CC" w:rsidRDefault="001D5DDB" w:rsidP="001D5DDB">
            <w:pPr>
              <w:pStyle w:val="Tablesmall"/>
              <w:jc w:val="center"/>
            </w:pPr>
            <w:r w:rsidRPr="00D272CC">
              <w:t>0/0</w:t>
            </w:r>
          </w:p>
        </w:tc>
        <w:tc>
          <w:tcPr>
            <w:tcW w:w="468" w:type="dxa"/>
            <w:vAlign w:val="bottom"/>
          </w:tcPr>
          <w:p w14:paraId="14700E0D" w14:textId="77777777" w:rsidR="001D5DDB" w:rsidRPr="00D272CC" w:rsidRDefault="001D5DDB" w:rsidP="001D5DDB">
            <w:pPr>
              <w:pStyle w:val="Tablesmall"/>
              <w:jc w:val="center"/>
            </w:pPr>
            <w:r w:rsidRPr="00D272CC">
              <w:t>0/0</w:t>
            </w:r>
          </w:p>
        </w:tc>
        <w:tc>
          <w:tcPr>
            <w:tcW w:w="467" w:type="dxa"/>
            <w:vAlign w:val="bottom"/>
          </w:tcPr>
          <w:p w14:paraId="29D7C378" w14:textId="77777777" w:rsidR="001D5DDB" w:rsidRPr="00D272CC" w:rsidRDefault="001D5DDB" w:rsidP="001D5DDB">
            <w:pPr>
              <w:pStyle w:val="Tablesmall"/>
              <w:jc w:val="center"/>
            </w:pPr>
            <w:r w:rsidRPr="00D272CC">
              <w:t>1/0</w:t>
            </w:r>
          </w:p>
        </w:tc>
        <w:tc>
          <w:tcPr>
            <w:tcW w:w="468" w:type="dxa"/>
            <w:vAlign w:val="bottom"/>
          </w:tcPr>
          <w:p w14:paraId="557295A7" w14:textId="77777777" w:rsidR="001D5DDB" w:rsidRPr="00D272CC" w:rsidRDefault="001D5DDB" w:rsidP="001D5DDB">
            <w:pPr>
              <w:pStyle w:val="Tablesmall"/>
              <w:jc w:val="center"/>
            </w:pPr>
            <w:r w:rsidRPr="00D272CC">
              <w:t>0/0</w:t>
            </w:r>
          </w:p>
        </w:tc>
        <w:tc>
          <w:tcPr>
            <w:tcW w:w="468" w:type="dxa"/>
            <w:vAlign w:val="bottom"/>
          </w:tcPr>
          <w:p w14:paraId="27E41750" w14:textId="77777777" w:rsidR="001D5DDB" w:rsidRPr="00D272CC" w:rsidRDefault="001D5DDB" w:rsidP="001D5DDB">
            <w:pPr>
              <w:pStyle w:val="Tablesmall"/>
              <w:jc w:val="center"/>
            </w:pPr>
            <w:r w:rsidRPr="00D272CC">
              <w:t>0/0</w:t>
            </w:r>
          </w:p>
        </w:tc>
        <w:tc>
          <w:tcPr>
            <w:tcW w:w="468" w:type="dxa"/>
            <w:vAlign w:val="bottom"/>
          </w:tcPr>
          <w:p w14:paraId="745F2443" w14:textId="77777777" w:rsidR="001D5DDB" w:rsidRPr="00D272CC" w:rsidRDefault="001D5DDB" w:rsidP="001D5DDB">
            <w:pPr>
              <w:pStyle w:val="Tablesmall"/>
              <w:jc w:val="center"/>
            </w:pPr>
            <w:r w:rsidRPr="00D272CC">
              <w:t>0/0</w:t>
            </w:r>
          </w:p>
        </w:tc>
        <w:tc>
          <w:tcPr>
            <w:tcW w:w="468" w:type="dxa"/>
            <w:vAlign w:val="bottom"/>
          </w:tcPr>
          <w:p w14:paraId="00FF1422" w14:textId="77777777" w:rsidR="001D5DDB" w:rsidRPr="00D272CC" w:rsidRDefault="001D5DDB" w:rsidP="001D5DDB">
            <w:pPr>
              <w:pStyle w:val="Tablesmall"/>
              <w:jc w:val="center"/>
            </w:pPr>
            <w:r w:rsidRPr="00D272CC">
              <w:t>0/1</w:t>
            </w:r>
          </w:p>
        </w:tc>
        <w:tc>
          <w:tcPr>
            <w:tcW w:w="708" w:type="dxa"/>
            <w:vAlign w:val="bottom"/>
          </w:tcPr>
          <w:p w14:paraId="54B3FE25" w14:textId="77777777" w:rsidR="001D5DDB" w:rsidRPr="00D272CC" w:rsidRDefault="001D5DDB" w:rsidP="001D5DDB">
            <w:pPr>
              <w:pStyle w:val="Tablesmall"/>
              <w:jc w:val="center"/>
            </w:pPr>
            <w:r w:rsidRPr="00D272CC">
              <w:t>2/1</w:t>
            </w:r>
          </w:p>
        </w:tc>
      </w:tr>
      <w:tr w:rsidR="001D5DDB" w:rsidRPr="00D272CC" w14:paraId="28814BA0" w14:textId="77777777" w:rsidTr="001D5DDB">
        <w:tc>
          <w:tcPr>
            <w:tcW w:w="709" w:type="dxa"/>
          </w:tcPr>
          <w:p w14:paraId="1126EB99" w14:textId="77777777" w:rsidR="001D5DDB" w:rsidRPr="00D272CC" w:rsidRDefault="001D5DDB" w:rsidP="00F33403">
            <w:pPr>
              <w:pStyle w:val="Tablesmall"/>
              <w:jc w:val="center"/>
            </w:pPr>
          </w:p>
        </w:tc>
        <w:tc>
          <w:tcPr>
            <w:tcW w:w="2977" w:type="dxa"/>
          </w:tcPr>
          <w:p w14:paraId="1D29071A" w14:textId="77777777" w:rsidR="001D5DDB" w:rsidRPr="00D272CC" w:rsidRDefault="001D5DDB" w:rsidP="00F33403">
            <w:pPr>
              <w:pStyle w:val="Tablesmall"/>
            </w:pPr>
          </w:p>
        </w:tc>
        <w:tc>
          <w:tcPr>
            <w:tcW w:w="467" w:type="dxa"/>
            <w:vAlign w:val="bottom"/>
          </w:tcPr>
          <w:p w14:paraId="4A0244F7" w14:textId="77777777" w:rsidR="001D5DDB" w:rsidRPr="00D272CC" w:rsidRDefault="001D5DDB" w:rsidP="001D5DDB">
            <w:pPr>
              <w:pStyle w:val="Tablesmall"/>
              <w:jc w:val="center"/>
            </w:pPr>
          </w:p>
        </w:tc>
        <w:tc>
          <w:tcPr>
            <w:tcW w:w="468" w:type="dxa"/>
            <w:vAlign w:val="bottom"/>
          </w:tcPr>
          <w:p w14:paraId="541C8D5F" w14:textId="77777777" w:rsidR="001D5DDB" w:rsidRPr="00D272CC" w:rsidRDefault="001D5DDB" w:rsidP="001D5DDB">
            <w:pPr>
              <w:pStyle w:val="Tablesmall"/>
              <w:jc w:val="center"/>
            </w:pPr>
          </w:p>
        </w:tc>
        <w:tc>
          <w:tcPr>
            <w:tcW w:w="468" w:type="dxa"/>
            <w:vAlign w:val="bottom"/>
          </w:tcPr>
          <w:p w14:paraId="666866F3" w14:textId="77777777" w:rsidR="001D5DDB" w:rsidRPr="00D272CC" w:rsidRDefault="001D5DDB" w:rsidP="001D5DDB">
            <w:pPr>
              <w:pStyle w:val="Tablesmall"/>
              <w:jc w:val="center"/>
            </w:pPr>
          </w:p>
        </w:tc>
        <w:tc>
          <w:tcPr>
            <w:tcW w:w="468" w:type="dxa"/>
            <w:vAlign w:val="bottom"/>
          </w:tcPr>
          <w:p w14:paraId="4E4278A1" w14:textId="77777777" w:rsidR="001D5DDB" w:rsidRPr="00D272CC" w:rsidRDefault="001D5DDB" w:rsidP="001D5DDB">
            <w:pPr>
              <w:pStyle w:val="Tablesmall"/>
              <w:jc w:val="center"/>
            </w:pPr>
          </w:p>
        </w:tc>
        <w:tc>
          <w:tcPr>
            <w:tcW w:w="468" w:type="dxa"/>
            <w:vAlign w:val="bottom"/>
          </w:tcPr>
          <w:p w14:paraId="671A9818" w14:textId="77777777" w:rsidR="001D5DDB" w:rsidRPr="00D272CC" w:rsidRDefault="001D5DDB" w:rsidP="001D5DDB">
            <w:pPr>
              <w:pStyle w:val="Tablesmall"/>
              <w:jc w:val="center"/>
            </w:pPr>
          </w:p>
        </w:tc>
        <w:tc>
          <w:tcPr>
            <w:tcW w:w="467" w:type="dxa"/>
            <w:vAlign w:val="bottom"/>
          </w:tcPr>
          <w:p w14:paraId="0249C83C" w14:textId="77777777" w:rsidR="001D5DDB" w:rsidRPr="00D272CC" w:rsidRDefault="001D5DDB" w:rsidP="001D5DDB">
            <w:pPr>
              <w:pStyle w:val="Tablesmall"/>
              <w:jc w:val="center"/>
            </w:pPr>
          </w:p>
        </w:tc>
        <w:tc>
          <w:tcPr>
            <w:tcW w:w="468" w:type="dxa"/>
            <w:vAlign w:val="bottom"/>
          </w:tcPr>
          <w:p w14:paraId="63934E68" w14:textId="77777777" w:rsidR="001D5DDB" w:rsidRPr="00D272CC" w:rsidRDefault="001D5DDB" w:rsidP="001D5DDB">
            <w:pPr>
              <w:pStyle w:val="Tablesmall"/>
              <w:jc w:val="center"/>
            </w:pPr>
          </w:p>
        </w:tc>
        <w:tc>
          <w:tcPr>
            <w:tcW w:w="468" w:type="dxa"/>
            <w:vAlign w:val="bottom"/>
          </w:tcPr>
          <w:p w14:paraId="2533D6DC" w14:textId="77777777" w:rsidR="001D5DDB" w:rsidRPr="00D272CC" w:rsidRDefault="001D5DDB" w:rsidP="001D5DDB">
            <w:pPr>
              <w:pStyle w:val="Tablesmall"/>
              <w:jc w:val="center"/>
            </w:pPr>
          </w:p>
        </w:tc>
        <w:tc>
          <w:tcPr>
            <w:tcW w:w="468" w:type="dxa"/>
            <w:vAlign w:val="bottom"/>
          </w:tcPr>
          <w:p w14:paraId="50C66FB1" w14:textId="77777777" w:rsidR="001D5DDB" w:rsidRPr="00D272CC" w:rsidRDefault="001D5DDB" w:rsidP="001D5DDB">
            <w:pPr>
              <w:pStyle w:val="Tablesmall"/>
              <w:jc w:val="center"/>
            </w:pPr>
          </w:p>
        </w:tc>
        <w:tc>
          <w:tcPr>
            <w:tcW w:w="468" w:type="dxa"/>
            <w:vAlign w:val="bottom"/>
          </w:tcPr>
          <w:p w14:paraId="67B7B4DC" w14:textId="77777777" w:rsidR="001D5DDB" w:rsidRPr="00D272CC" w:rsidRDefault="001D5DDB" w:rsidP="001D5DDB">
            <w:pPr>
              <w:pStyle w:val="Tablesmall"/>
              <w:jc w:val="center"/>
            </w:pPr>
          </w:p>
        </w:tc>
        <w:tc>
          <w:tcPr>
            <w:tcW w:w="708" w:type="dxa"/>
            <w:vAlign w:val="bottom"/>
          </w:tcPr>
          <w:p w14:paraId="0DA25AC7" w14:textId="77777777" w:rsidR="001D5DDB" w:rsidRPr="00D272CC" w:rsidRDefault="001D5DDB" w:rsidP="001D5DDB">
            <w:pPr>
              <w:pStyle w:val="Tablesmall"/>
              <w:jc w:val="center"/>
            </w:pPr>
          </w:p>
        </w:tc>
      </w:tr>
      <w:tr w:rsidR="001D5DDB" w:rsidRPr="00D272CC" w14:paraId="47BDDC85" w14:textId="77777777" w:rsidTr="001D5DDB">
        <w:tc>
          <w:tcPr>
            <w:tcW w:w="709" w:type="dxa"/>
          </w:tcPr>
          <w:p w14:paraId="033F0FF9" w14:textId="77777777" w:rsidR="001D5DDB" w:rsidRPr="00D272CC" w:rsidRDefault="001D5DDB" w:rsidP="00F33403">
            <w:pPr>
              <w:pStyle w:val="Tablesmall"/>
              <w:jc w:val="center"/>
            </w:pPr>
            <w:r w:rsidRPr="00D272CC">
              <w:t>2</w:t>
            </w:r>
          </w:p>
        </w:tc>
        <w:tc>
          <w:tcPr>
            <w:tcW w:w="2977" w:type="dxa"/>
          </w:tcPr>
          <w:p w14:paraId="25546494" w14:textId="77777777" w:rsidR="001D5DDB" w:rsidRPr="00D272CC" w:rsidRDefault="001D5DDB" w:rsidP="00F33403">
            <w:pPr>
              <w:pStyle w:val="Tablesmall"/>
            </w:pPr>
            <w:r w:rsidRPr="00D272CC">
              <w:t>Operating profit shown or not</w:t>
            </w:r>
          </w:p>
        </w:tc>
        <w:tc>
          <w:tcPr>
            <w:tcW w:w="467" w:type="dxa"/>
            <w:vAlign w:val="bottom"/>
          </w:tcPr>
          <w:p w14:paraId="31A3402F" w14:textId="77777777" w:rsidR="001D5DDB" w:rsidRPr="00D272CC" w:rsidRDefault="001D5DDB" w:rsidP="001D5DDB">
            <w:pPr>
              <w:pStyle w:val="Tablesmall"/>
              <w:jc w:val="center"/>
            </w:pPr>
            <w:r w:rsidRPr="00D272CC">
              <w:t>6</w:t>
            </w:r>
          </w:p>
        </w:tc>
        <w:tc>
          <w:tcPr>
            <w:tcW w:w="468" w:type="dxa"/>
            <w:vAlign w:val="bottom"/>
          </w:tcPr>
          <w:p w14:paraId="5EE22151" w14:textId="77777777" w:rsidR="001D5DDB" w:rsidRPr="00D272CC" w:rsidRDefault="001D5DDB" w:rsidP="001D5DDB">
            <w:pPr>
              <w:pStyle w:val="Tablesmall"/>
              <w:jc w:val="center"/>
            </w:pPr>
            <w:r w:rsidRPr="00D272CC">
              <w:t>1</w:t>
            </w:r>
          </w:p>
        </w:tc>
        <w:tc>
          <w:tcPr>
            <w:tcW w:w="468" w:type="dxa"/>
            <w:vAlign w:val="bottom"/>
          </w:tcPr>
          <w:p w14:paraId="2424FCE4" w14:textId="77777777" w:rsidR="001D5DDB" w:rsidRPr="00D272CC" w:rsidRDefault="001D5DDB" w:rsidP="001D5DDB">
            <w:pPr>
              <w:pStyle w:val="Tablesmall"/>
              <w:jc w:val="center"/>
            </w:pPr>
            <w:r w:rsidRPr="00D272CC">
              <w:t>2</w:t>
            </w:r>
          </w:p>
        </w:tc>
        <w:tc>
          <w:tcPr>
            <w:tcW w:w="468" w:type="dxa"/>
            <w:vAlign w:val="bottom"/>
          </w:tcPr>
          <w:p w14:paraId="3A066FD9" w14:textId="77777777" w:rsidR="001D5DDB" w:rsidRPr="00D272CC" w:rsidRDefault="001D5DDB" w:rsidP="001D5DDB">
            <w:pPr>
              <w:pStyle w:val="Tablesmall"/>
              <w:jc w:val="center"/>
            </w:pPr>
            <w:r w:rsidRPr="00D272CC">
              <w:t>3</w:t>
            </w:r>
          </w:p>
        </w:tc>
        <w:tc>
          <w:tcPr>
            <w:tcW w:w="468" w:type="dxa"/>
            <w:vAlign w:val="bottom"/>
          </w:tcPr>
          <w:p w14:paraId="23FDBA71" w14:textId="77777777" w:rsidR="001D5DDB" w:rsidRPr="00D272CC" w:rsidRDefault="001D5DDB" w:rsidP="001D5DDB">
            <w:pPr>
              <w:pStyle w:val="Tablesmall"/>
              <w:jc w:val="center"/>
            </w:pPr>
            <w:r w:rsidRPr="00D272CC">
              <w:t>1</w:t>
            </w:r>
          </w:p>
        </w:tc>
        <w:tc>
          <w:tcPr>
            <w:tcW w:w="467" w:type="dxa"/>
            <w:vAlign w:val="bottom"/>
          </w:tcPr>
          <w:p w14:paraId="57E63606" w14:textId="77777777" w:rsidR="001D5DDB" w:rsidRPr="00D272CC" w:rsidRDefault="001D5DDB" w:rsidP="001D5DDB">
            <w:pPr>
              <w:pStyle w:val="Tablesmall"/>
              <w:jc w:val="center"/>
            </w:pPr>
            <w:r w:rsidRPr="00D272CC">
              <w:t>0</w:t>
            </w:r>
          </w:p>
        </w:tc>
        <w:tc>
          <w:tcPr>
            <w:tcW w:w="468" w:type="dxa"/>
            <w:vAlign w:val="bottom"/>
          </w:tcPr>
          <w:p w14:paraId="35B36E21" w14:textId="77777777" w:rsidR="001D5DDB" w:rsidRPr="00D272CC" w:rsidRDefault="001D5DDB" w:rsidP="001D5DDB">
            <w:pPr>
              <w:pStyle w:val="Tablesmall"/>
              <w:jc w:val="center"/>
            </w:pPr>
            <w:r w:rsidRPr="00D272CC">
              <w:t>3</w:t>
            </w:r>
          </w:p>
        </w:tc>
        <w:tc>
          <w:tcPr>
            <w:tcW w:w="468" w:type="dxa"/>
            <w:vAlign w:val="bottom"/>
          </w:tcPr>
          <w:p w14:paraId="3F94BBAF" w14:textId="77777777" w:rsidR="001D5DDB" w:rsidRPr="00D272CC" w:rsidRDefault="001D5DDB" w:rsidP="001D5DDB">
            <w:pPr>
              <w:pStyle w:val="Tablesmall"/>
              <w:jc w:val="center"/>
            </w:pPr>
            <w:r w:rsidRPr="00D272CC">
              <w:t>2</w:t>
            </w:r>
          </w:p>
        </w:tc>
        <w:tc>
          <w:tcPr>
            <w:tcW w:w="468" w:type="dxa"/>
            <w:vAlign w:val="bottom"/>
          </w:tcPr>
          <w:p w14:paraId="47F0FE4B" w14:textId="77777777" w:rsidR="001D5DDB" w:rsidRPr="00D272CC" w:rsidRDefault="001D5DDB" w:rsidP="001D5DDB">
            <w:pPr>
              <w:pStyle w:val="Tablesmall"/>
              <w:jc w:val="center"/>
            </w:pPr>
            <w:r w:rsidRPr="00D272CC">
              <w:t>0</w:t>
            </w:r>
          </w:p>
        </w:tc>
        <w:tc>
          <w:tcPr>
            <w:tcW w:w="468" w:type="dxa"/>
            <w:vAlign w:val="bottom"/>
          </w:tcPr>
          <w:p w14:paraId="0358554C" w14:textId="77777777" w:rsidR="001D5DDB" w:rsidRPr="00D272CC" w:rsidRDefault="001D5DDB" w:rsidP="001D5DDB">
            <w:pPr>
              <w:pStyle w:val="Tablesmall"/>
              <w:jc w:val="center"/>
            </w:pPr>
            <w:r w:rsidRPr="00D272CC">
              <w:t>4</w:t>
            </w:r>
          </w:p>
        </w:tc>
        <w:tc>
          <w:tcPr>
            <w:tcW w:w="708" w:type="dxa"/>
            <w:vAlign w:val="bottom"/>
          </w:tcPr>
          <w:p w14:paraId="6ECCF41D" w14:textId="77777777" w:rsidR="001D5DDB" w:rsidRPr="00D272CC" w:rsidRDefault="001D5DDB" w:rsidP="001D5DDB">
            <w:pPr>
              <w:pStyle w:val="Tablesmall"/>
              <w:jc w:val="center"/>
            </w:pPr>
            <w:r w:rsidRPr="00D272CC">
              <w:t>22 (1)</w:t>
            </w:r>
          </w:p>
        </w:tc>
      </w:tr>
      <w:tr w:rsidR="001D5DDB" w:rsidRPr="00D272CC" w14:paraId="303EAFF7" w14:textId="77777777" w:rsidTr="001D5DDB">
        <w:tc>
          <w:tcPr>
            <w:tcW w:w="709" w:type="dxa"/>
          </w:tcPr>
          <w:p w14:paraId="59C1A804" w14:textId="77777777" w:rsidR="001D5DDB" w:rsidRPr="00D272CC" w:rsidRDefault="001D5DDB" w:rsidP="00F33403">
            <w:pPr>
              <w:pStyle w:val="Tablesmall"/>
              <w:jc w:val="center"/>
            </w:pPr>
          </w:p>
        </w:tc>
        <w:tc>
          <w:tcPr>
            <w:tcW w:w="2977" w:type="dxa"/>
          </w:tcPr>
          <w:p w14:paraId="75578927" w14:textId="77777777" w:rsidR="001D5DDB" w:rsidRPr="00D272CC" w:rsidRDefault="001D5DDB" w:rsidP="00F33403">
            <w:pPr>
              <w:pStyle w:val="Tablesmall"/>
            </w:pPr>
            <w:r w:rsidRPr="00D272CC">
              <w:t>- from (a) to (b) / (b) to (a)</w:t>
            </w:r>
          </w:p>
        </w:tc>
        <w:tc>
          <w:tcPr>
            <w:tcW w:w="467" w:type="dxa"/>
            <w:vAlign w:val="bottom"/>
          </w:tcPr>
          <w:p w14:paraId="3A3585FE" w14:textId="77777777" w:rsidR="001D5DDB" w:rsidRPr="00D272CC" w:rsidRDefault="001D5DDB" w:rsidP="001D5DDB">
            <w:pPr>
              <w:pStyle w:val="Tablesmall"/>
              <w:jc w:val="center"/>
            </w:pPr>
            <w:r w:rsidRPr="00D272CC">
              <w:t>1/5</w:t>
            </w:r>
          </w:p>
        </w:tc>
        <w:tc>
          <w:tcPr>
            <w:tcW w:w="468" w:type="dxa"/>
            <w:vAlign w:val="bottom"/>
          </w:tcPr>
          <w:p w14:paraId="32623F9C" w14:textId="77777777" w:rsidR="001D5DDB" w:rsidRPr="00D272CC" w:rsidRDefault="001D5DDB" w:rsidP="001D5DDB">
            <w:pPr>
              <w:pStyle w:val="Tablesmall"/>
              <w:jc w:val="center"/>
            </w:pPr>
            <w:r w:rsidRPr="00D272CC">
              <w:t>0/1</w:t>
            </w:r>
          </w:p>
        </w:tc>
        <w:tc>
          <w:tcPr>
            <w:tcW w:w="468" w:type="dxa"/>
            <w:vAlign w:val="bottom"/>
          </w:tcPr>
          <w:p w14:paraId="7E2F1172" w14:textId="77777777" w:rsidR="001D5DDB" w:rsidRPr="00D272CC" w:rsidRDefault="001D5DDB" w:rsidP="001D5DDB">
            <w:pPr>
              <w:pStyle w:val="Tablesmall"/>
              <w:jc w:val="center"/>
            </w:pPr>
            <w:r w:rsidRPr="00D272CC">
              <w:t>2/0</w:t>
            </w:r>
          </w:p>
        </w:tc>
        <w:tc>
          <w:tcPr>
            <w:tcW w:w="468" w:type="dxa"/>
            <w:vAlign w:val="bottom"/>
          </w:tcPr>
          <w:p w14:paraId="6EBD3115" w14:textId="77777777" w:rsidR="001D5DDB" w:rsidRPr="00D272CC" w:rsidRDefault="001D5DDB" w:rsidP="001D5DDB">
            <w:pPr>
              <w:pStyle w:val="Tablesmall"/>
              <w:jc w:val="center"/>
            </w:pPr>
            <w:r w:rsidRPr="00D272CC">
              <w:t>2/1</w:t>
            </w:r>
          </w:p>
        </w:tc>
        <w:tc>
          <w:tcPr>
            <w:tcW w:w="468" w:type="dxa"/>
            <w:vAlign w:val="bottom"/>
          </w:tcPr>
          <w:p w14:paraId="6B10D768" w14:textId="77777777" w:rsidR="001D5DDB" w:rsidRPr="00D272CC" w:rsidRDefault="001D5DDB" w:rsidP="001D5DDB">
            <w:pPr>
              <w:pStyle w:val="Tablesmall"/>
              <w:jc w:val="center"/>
            </w:pPr>
            <w:r w:rsidRPr="00D272CC">
              <w:t>0/1</w:t>
            </w:r>
          </w:p>
        </w:tc>
        <w:tc>
          <w:tcPr>
            <w:tcW w:w="467" w:type="dxa"/>
            <w:vAlign w:val="bottom"/>
          </w:tcPr>
          <w:p w14:paraId="00249677" w14:textId="77777777" w:rsidR="001D5DDB" w:rsidRPr="00D272CC" w:rsidRDefault="001D5DDB" w:rsidP="001D5DDB">
            <w:pPr>
              <w:pStyle w:val="Tablesmall"/>
              <w:jc w:val="center"/>
            </w:pPr>
            <w:r w:rsidRPr="00D272CC">
              <w:t>0/0</w:t>
            </w:r>
          </w:p>
        </w:tc>
        <w:tc>
          <w:tcPr>
            <w:tcW w:w="468" w:type="dxa"/>
            <w:vAlign w:val="bottom"/>
          </w:tcPr>
          <w:p w14:paraId="16ACF314" w14:textId="77777777" w:rsidR="001D5DDB" w:rsidRPr="00D272CC" w:rsidRDefault="001D5DDB" w:rsidP="001D5DDB">
            <w:pPr>
              <w:pStyle w:val="Tablesmall"/>
              <w:jc w:val="center"/>
            </w:pPr>
            <w:r w:rsidRPr="00D272CC">
              <w:t>2/1</w:t>
            </w:r>
          </w:p>
        </w:tc>
        <w:tc>
          <w:tcPr>
            <w:tcW w:w="468" w:type="dxa"/>
            <w:vAlign w:val="bottom"/>
          </w:tcPr>
          <w:p w14:paraId="03F60151" w14:textId="77777777" w:rsidR="001D5DDB" w:rsidRPr="00D272CC" w:rsidRDefault="001D5DDB" w:rsidP="001D5DDB">
            <w:pPr>
              <w:pStyle w:val="Tablesmall"/>
              <w:jc w:val="center"/>
            </w:pPr>
            <w:r w:rsidRPr="00D272CC">
              <w:t>2/0</w:t>
            </w:r>
          </w:p>
        </w:tc>
        <w:tc>
          <w:tcPr>
            <w:tcW w:w="468" w:type="dxa"/>
            <w:vAlign w:val="bottom"/>
          </w:tcPr>
          <w:p w14:paraId="0F9D2101" w14:textId="77777777" w:rsidR="001D5DDB" w:rsidRPr="00D272CC" w:rsidRDefault="001D5DDB" w:rsidP="001D5DDB">
            <w:pPr>
              <w:pStyle w:val="Tablesmall"/>
              <w:jc w:val="center"/>
            </w:pPr>
            <w:r w:rsidRPr="00D272CC">
              <w:t>0/0</w:t>
            </w:r>
          </w:p>
        </w:tc>
        <w:tc>
          <w:tcPr>
            <w:tcW w:w="468" w:type="dxa"/>
            <w:vAlign w:val="bottom"/>
          </w:tcPr>
          <w:p w14:paraId="1A07DF37" w14:textId="77777777" w:rsidR="001D5DDB" w:rsidRPr="00D272CC" w:rsidRDefault="001D5DDB" w:rsidP="001D5DDB">
            <w:pPr>
              <w:pStyle w:val="Tablesmall"/>
              <w:jc w:val="center"/>
            </w:pPr>
            <w:r w:rsidRPr="00D272CC">
              <w:t>0/4</w:t>
            </w:r>
          </w:p>
        </w:tc>
        <w:tc>
          <w:tcPr>
            <w:tcW w:w="708" w:type="dxa"/>
            <w:vAlign w:val="bottom"/>
          </w:tcPr>
          <w:p w14:paraId="3B0B0153" w14:textId="77777777" w:rsidR="001D5DDB" w:rsidRPr="00D272CC" w:rsidRDefault="001D5DDB" w:rsidP="001D5DDB">
            <w:pPr>
              <w:pStyle w:val="Tablesmall"/>
              <w:jc w:val="center"/>
            </w:pPr>
            <w:r w:rsidRPr="00D272CC">
              <w:t>9/13</w:t>
            </w:r>
          </w:p>
        </w:tc>
      </w:tr>
      <w:tr w:rsidR="001D5DDB" w:rsidRPr="00D272CC" w14:paraId="7E278520" w14:textId="77777777" w:rsidTr="001D5DDB">
        <w:tc>
          <w:tcPr>
            <w:tcW w:w="709" w:type="dxa"/>
          </w:tcPr>
          <w:p w14:paraId="6FF1687A" w14:textId="77777777" w:rsidR="001D5DDB" w:rsidRPr="00D272CC" w:rsidRDefault="001D5DDB" w:rsidP="00F33403">
            <w:pPr>
              <w:pStyle w:val="Tablesmall"/>
              <w:jc w:val="center"/>
            </w:pPr>
          </w:p>
        </w:tc>
        <w:tc>
          <w:tcPr>
            <w:tcW w:w="2977" w:type="dxa"/>
          </w:tcPr>
          <w:p w14:paraId="1B41F0AE" w14:textId="77777777" w:rsidR="001D5DDB" w:rsidRPr="00D272CC" w:rsidRDefault="001D5DDB" w:rsidP="00F33403">
            <w:pPr>
              <w:pStyle w:val="Tablesmall"/>
            </w:pPr>
          </w:p>
        </w:tc>
        <w:tc>
          <w:tcPr>
            <w:tcW w:w="467" w:type="dxa"/>
            <w:vAlign w:val="bottom"/>
          </w:tcPr>
          <w:p w14:paraId="4BBB0D77" w14:textId="77777777" w:rsidR="001D5DDB" w:rsidRPr="00D272CC" w:rsidRDefault="001D5DDB" w:rsidP="001D5DDB">
            <w:pPr>
              <w:pStyle w:val="Tablesmall"/>
              <w:jc w:val="center"/>
            </w:pPr>
          </w:p>
        </w:tc>
        <w:tc>
          <w:tcPr>
            <w:tcW w:w="468" w:type="dxa"/>
            <w:vAlign w:val="bottom"/>
          </w:tcPr>
          <w:p w14:paraId="6200684B" w14:textId="77777777" w:rsidR="001D5DDB" w:rsidRPr="00D272CC" w:rsidRDefault="001D5DDB" w:rsidP="001D5DDB">
            <w:pPr>
              <w:pStyle w:val="Tablesmall"/>
              <w:jc w:val="center"/>
            </w:pPr>
          </w:p>
        </w:tc>
        <w:tc>
          <w:tcPr>
            <w:tcW w:w="468" w:type="dxa"/>
            <w:vAlign w:val="bottom"/>
          </w:tcPr>
          <w:p w14:paraId="44ADEBD3" w14:textId="77777777" w:rsidR="001D5DDB" w:rsidRPr="00D272CC" w:rsidRDefault="001D5DDB" w:rsidP="001D5DDB">
            <w:pPr>
              <w:pStyle w:val="Tablesmall"/>
              <w:jc w:val="center"/>
            </w:pPr>
          </w:p>
        </w:tc>
        <w:tc>
          <w:tcPr>
            <w:tcW w:w="468" w:type="dxa"/>
            <w:vAlign w:val="bottom"/>
          </w:tcPr>
          <w:p w14:paraId="5F3CCAAD" w14:textId="77777777" w:rsidR="001D5DDB" w:rsidRPr="00D272CC" w:rsidRDefault="001D5DDB" w:rsidP="001D5DDB">
            <w:pPr>
              <w:pStyle w:val="Tablesmall"/>
              <w:jc w:val="center"/>
            </w:pPr>
          </w:p>
        </w:tc>
        <w:tc>
          <w:tcPr>
            <w:tcW w:w="468" w:type="dxa"/>
            <w:vAlign w:val="bottom"/>
          </w:tcPr>
          <w:p w14:paraId="3A384490" w14:textId="77777777" w:rsidR="001D5DDB" w:rsidRPr="00D272CC" w:rsidRDefault="001D5DDB" w:rsidP="001D5DDB">
            <w:pPr>
              <w:pStyle w:val="Tablesmall"/>
              <w:jc w:val="center"/>
            </w:pPr>
          </w:p>
        </w:tc>
        <w:tc>
          <w:tcPr>
            <w:tcW w:w="467" w:type="dxa"/>
            <w:vAlign w:val="bottom"/>
          </w:tcPr>
          <w:p w14:paraId="1BAB0981" w14:textId="77777777" w:rsidR="001D5DDB" w:rsidRPr="00D272CC" w:rsidRDefault="001D5DDB" w:rsidP="001D5DDB">
            <w:pPr>
              <w:pStyle w:val="Tablesmall"/>
              <w:jc w:val="center"/>
            </w:pPr>
          </w:p>
        </w:tc>
        <w:tc>
          <w:tcPr>
            <w:tcW w:w="468" w:type="dxa"/>
            <w:vAlign w:val="bottom"/>
          </w:tcPr>
          <w:p w14:paraId="0B984E64" w14:textId="77777777" w:rsidR="001D5DDB" w:rsidRPr="00D272CC" w:rsidRDefault="001D5DDB" w:rsidP="001D5DDB">
            <w:pPr>
              <w:pStyle w:val="Tablesmall"/>
              <w:jc w:val="center"/>
            </w:pPr>
          </w:p>
        </w:tc>
        <w:tc>
          <w:tcPr>
            <w:tcW w:w="468" w:type="dxa"/>
            <w:vAlign w:val="bottom"/>
          </w:tcPr>
          <w:p w14:paraId="6D041277" w14:textId="77777777" w:rsidR="001D5DDB" w:rsidRPr="00D272CC" w:rsidRDefault="001D5DDB" w:rsidP="001D5DDB">
            <w:pPr>
              <w:pStyle w:val="Tablesmall"/>
              <w:jc w:val="center"/>
            </w:pPr>
          </w:p>
        </w:tc>
        <w:tc>
          <w:tcPr>
            <w:tcW w:w="468" w:type="dxa"/>
            <w:vAlign w:val="bottom"/>
          </w:tcPr>
          <w:p w14:paraId="50454BA7" w14:textId="77777777" w:rsidR="001D5DDB" w:rsidRPr="00D272CC" w:rsidRDefault="001D5DDB" w:rsidP="001D5DDB">
            <w:pPr>
              <w:pStyle w:val="Tablesmall"/>
              <w:jc w:val="center"/>
            </w:pPr>
          </w:p>
        </w:tc>
        <w:tc>
          <w:tcPr>
            <w:tcW w:w="468" w:type="dxa"/>
            <w:vAlign w:val="bottom"/>
          </w:tcPr>
          <w:p w14:paraId="0D741937" w14:textId="77777777" w:rsidR="001D5DDB" w:rsidRPr="00D272CC" w:rsidRDefault="001D5DDB" w:rsidP="001D5DDB">
            <w:pPr>
              <w:pStyle w:val="Tablesmall"/>
              <w:jc w:val="center"/>
            </w:pPr>
          </w:p>
        </w:tc>
        <w:tc>
          <w:tcPr>
            <w:tcW w:w="708" w:type="dxa"/>
            <w:vAlign w:val="bottom"/>
          </w:tcPr>
          <w:p w14:paraId="39F81AC3" w14:textId="77777777" w:rsidR="001D5DDB" w:rsidRPr="00D272CC" w:rsidRDefault="001D5DDB" w:rsidP="001D5DDB">
            <w:pPr>
              <w:pStyle w:val="Tablesmall"/>
              <w:jc w:val="center"/>
            </w:pPr>
          </w:p>
        </w:tc>
      </w:tr>
      <w:tr w:rsidR="001D5DDB" w:rsidRPr="00D272CC" w14:paraId="6FCF9418" w14:textId="77777777" w:rsidTr="001D5DDB">
        <w:tc>
          <w:tcPr>
            <w:tcW w:w="709" w:type="dxa"/>
          </w:tcPr>
          <w:p w14:paraId="4D2B181B" w14:textId="77777777" w:rsidR="001D5DDB" w:rsidRPr="00D272CC" w:rsidRDefault="001D5DDB" w:rsidP="00F33403">
            <w:pPr>
              <w:pStyle w:val="Tablesmall"/>
              <w:jc w:val="center"/>
            </w:pPr>
            <w:r w:rsidRPr="00D272CC">
              <w:t>3</w:t>
            </w:r>
          </w:p>
        </w:tc>
        <w:tc>
          <w:tcPr>
            <w:tcW w:w="2977" w:type="dxa"/>
          </w:tcPr>
          <w:p w14:paraId="0948AAD7" w14:textId="77777777" w:rsidR="001D5DDB" w:rsidRPr="00D272CC" w:rsidRDefault="001D5DDB" w:rsidP="00304630">
            <w:pPr>
              <w:pStyle w:val="Tablesmall"/>
            </w:pPr>
            <w:r w:rsidRPr="00D272CC">
              <w:t>Position of equity profits</w:t>
            </w:r>
          </w:p>
        </w:tc>
        <w:tc>
          <w:tcPr>
            <w:tcW w:w="467" w:type="dxa"/>
            <w:vAlign w:val="bottom"/>
          </w:tcPr>
          <w:p w14:paraId="43CEA437" w14:textId="77777777" w:rsidR="001D5DDB" w:rsidRPr="00D272CC" w:rsidRDefault="001D5DDB" w:rsidP="001D5DDB">
            <w:pPr>
              <w:pStyle w:val="Tablesmall"/>
              <w:jc w:val="center"/>
            </w:pPr>
            <w:r w:rsidRPr="00D272CC">
              <w:t>4</w:t>
            </w:r>
          </w:p>
        </w:tc>
        <w:tc>
          <w:tcPr>
            <w:tcW w:w="468" w:type="dxa"/>
            <w:vAlign w:val="bottom"/>
          </w:tcPr>
          <w:p w14:paraId="697EAEF7" w14:textId="77777777" w:rsidR="001D5DDB" w:rsidRPr="00D272CC" w:rsidRDefault="001D5DDB" w:rsidP="001D5DDB">
            <w:pPr>
              <w:pStyle w:val="Tablesmall"/>
              <w:jc w:val="center"/>
            </w:pPr>
            <w:r w:rsidRPr="00D272CC">
              <w:t>0</w:t>
            </w:r>
          </w:p>
        </w:tc>
        <w:tc>
          <w:tcPr>
            <w:tcW w:w="468" w:type="dxa"/>
            <w:vAlign w:val="bottom"/>
          </w:tcPr>
          <w:p w14:paraId="3C0B2388" w14:textId="77777777" w:rsidR="001D5DDB" w:rsidRPr="00D272CC" w:rsidRDefault="001D5DDB" w:rsidP="001D5DDB">
            <w:pPr>
              <w:pStyle w:val="Tablesmall"/>
              <w:jc w:val="center"/>
            </w:pPr>
            <w:r w:rsidRPr="00D272CC">
              <w:t>4</w:t>
            </w:r>
          </w:p>
        </w:tc>
        <w:tc>
          <w:tcPr>
            <w:tcW w:w="468" w:type="dxa"/>
            <w:vAlign w:val="bottom"/>
          </w:tcPr>
          <w:p w14:paraId="125EDE2B" w14:textId="77777777" w:rsidR="001D5DDB" w:rsidRPr="00D272CC" w:rsidRDefault="001D5DDB" w:rsidP="001D5DDB">
            <w:pPr>
              <w:pStyle w:val="Tablesmall"/>
              <w:jc w:val="center"/>
            </w:pPr>
            <w:r w:rsidRPr="00D272CC">
              <w:t>2</w:t>
            </w:r>
          </w:p>
        </w:tc>
        <w:tc>
          <w:tcPr>
            <w:tcW w:w="468" w:type="dxa"/>
            <w:vAlign w:val="bottom"/>
          </w:tcPr>
          <w:p w14:paraId="5C7DCF37" w14:textId="77777777" w:rsidR="001D5DDB" w:rsidRPr="00D272CC" w:rsidRDefault="001D5DDB" w:rsidP="001D5DDB">
            <w:pPr>
              <w:pStyle w:val="Tablesmall"/>
              <w:jc w:val="center"/>
            </w:pPr>
            <w:r w:rsidRPr="00D272CC">
              <w:t>1</w:t>
            </w:r>
          </w:p>
        </w:tc>
        <w:tc>
          <w:tcPr>
            <w:tcW w:w="467" w:type="dxa"/>
            <w:vAlign w:val="bottom"/>
          </w:tcPr>
          <w:p w14:paraId="618368A4" w14:textId="77777777" w:rsidR="001D5DDB" w:rsidRPr="00D272CC" w:rsidRDefault="001D5DDB" w:rsidP="001D5DDB">
            <w:pPr>
              <w:pStyle w:val="Tablesmall"/>
              <w:jc w:val="center"/>
            </w:pPr>
            <w:r w:rsidRPr="00D272CC">
              <w:t>1</w:t>
            </w:r>
          </w:p>
        </w:tc>
        <w:tc>
          <w:tcPr>
            <w:tcW w:w="468" w:type="dxa"/>
            <w:vAlign w:val="bottom"/>
          </w:tcPr>
          <w:p w14:paraId="0952387E" w14:textId="77777777" w:rsidR="001D5DDB" w:rsidRPr="00D272CC" w:rsidRDefault="001D5DDB" w:rsidP="001D5DDB">
            <w:pPr>
              <w:pStyle w:val="Tablesmall"/>
              <w:jc w:val="center"/>
            </w:pPr>
            <w:r w:rsidRPr="00D272CC">
              <w:t>6</w:t>
            </w:r>
          </w:p>
        </w:tc>
        <w:tc>
          <w:tcPr>
            <w:tcW w:w="468" w:type="dxa"/>
            <w:vAlign w:val="bottom"/>
          </w:tcPr>
          <w:p w14:paraId="324DF63E" w14:textId="77777777" w:rsidR="001D5DDB" w:rsidRPr="00D272CC" w:rsidRDefault="001D5DDB" w:rsidP="001D5DDB">
            <w:pPr>
              <w:pStyle w:val="Tablesmall"/>
              <w:jc w:val="center"/>
            </w:pPr>
            <w:r w:rsidRPr="00D272CC">
              <w:t>0</w:t>
            </w:r>
          </w:p>
        </w:tc>
        <w:tc>
          <w:tcPr>
            <w:tcW w:w="468" w:type="dxa"/>
            <w:vAlign w:val="bottom"/>
          </w:tcPr>
          <w:p w14:paraId="73EC7266" w14:textId="77777777" w:rsidR="001D5DDB" w:rsidRPr="00D272CC" w:rsidRDefault="001D5DDB" w:rsidP="001D5DDB">
            <w:pPr>
              <w:pStyle w:val="Tablesmall"/>
              <w:jc w:val="center"/>
            </w:pPr>
            <w:r w:rsidRPr="00D272CC">
              <w:t>1</w:t>
            </w:r>
          </w:p>
        </w:tc>
        <w:tc>
          <w:tcPr>
            <w:tcW w:w="468" w:type="dxa"/>
            <w:vAlign w:val="bottom"/>
          </w:tcPr>
          <w:p w14:paraId="50EDB701" w14:textId="77777777" w:rsidR="001D5DDB" w:rsidRPr="00D272CC" w:rsidRDefault="001D5DDB" w:rsidP="001D5DDB">
            <w:pPr>
              <w:pStyle w:val="Tablesmall"/>
              <w:jc w:val="center"/>
            </w:pPr>
            <w:r w:rsidRPr="00D272CC">
              <w:t>0</w:t>
            </w:r>
          </w:p>
        </w:tc>
        <w:tc>
          <w:tcPr>
            <w:tcW w:w="708" w:type="dxa"/>
            <w:vAlign w:val="bottom"/>
          </w:tcPr>
          <w:p w14:paraId="4A927642" w14:textId="77777777" w:rsidR="001D5DDB" w:rsidRPr="00D272CC" w:rsidRDefault="001D5DDB" w:rsidP="001D5DDB">
            <w:pPr>
              <w:pStyle w:val="Tablesmall"/>
              <w:jc w:val="center"/>
            </w:pPr>
            <w:r w:rsidRPr="00D272CC">
              <w:t>19 (6)</w:t>
            </w:r>
          </w:p>
        </w:tc>
      </w:tr>
      <w:tr w:rsidR="001D5DDB" w:rsidRPr="00D272CC" w14:paraId="226FAF71" w14:textId="77777777" w:rsidTr="001D5DDB">
        <w:tc>
          <w:tcPr>
            <w:tcW w:w="709" w:type="dxa"/>
          </w:tcPr>
          <w:p w14:paraId="09715FEC" w14:textId="77777777" w:rsidR="001D5DDB" w:rsidRPr="00D272CC" w:rsidRDefault="001D5DDB" w:rsidP="00F33403">
            <w:pPr>
              <w:pStyle w:val="Tablesmall"/>
              <w:jc w:val="center"/>
            </w:pPr>
          </w:p>
        </w:tc>
        <w:tc>
          <w:tcPr>
            <w:tcW w:w="2977" w:type="dxa"/>
          </w:tcPr>
          <w:p w14:paraId="5D79964E" w14:textId="77777777" w:rsidR="001D5DDB" w:rsidRPr="00D272CC" w:rsidRDefault="001D5DDB" w:rsidP="00F33403">
            <w:pPr>
              <w:pStyle w:val="Tablesmall"/>
            </w:pPr>
            <w:r w:rsidRPr="00D272CC">
              <w:t>- from (a) to (b) / (b) to (a)</w:t>
            </w:r>
          </w:p>
        </w:tc>
        <w:tc>
          <w:tcPr>
            <w:tcW w:w="467" w:type="dxa"/>
            <w:vAlign w:val="bottom"/>
          </w:tcPr>
          <w:p w14:paraId="1C8829AC" w14:textId="77777777" w:rsidR="001D5DDB" w:rsidRPr="00D272CC" w:rsidRDefault="001D5DDB" w:rsidP="001D5DDB">
            <w:pPr>
              <w:pStyle w:val="Tablesmall"/>
              <w:jc w:val="center"/>
            </w:pPr>
            <w:r w:rsidRPr="00D272CC">
              <w:t>0/0</w:t>
            </w:r>
          </w:p>
        </w:tc>
        <w:tc>
          <w:tcPr>
            <w:tcW w:w="468" w:type="dxa"/>
            <w:vAlign w:val="bottom"/>
          </w:tcPr>
          <w:p w14:paraId="2EB35E36" w14:textId="77777777" w:rsidR="001D5DDB" w:rsidRPr="00D272CC" w:rsidRDefault="001D5DDB" w:rsidP="001D5DDB">
            <w:pPr>
              <w:pStyle w:val="Tablesmall"/>
              <w:jc w:val="center"/>
            </w:pPr>
            <w:r w:rsidRPr="00D272CC">
              <w:t>0/0</w:t>
            </w:r>
          </w:p>
        </w:tc>
        <w:tc>
          <w:tcPr>
            <w:tcW w:w="468" w:type="dxa"/>
            <w:vAlign w:val="bottom"/>
          </w:tcPr>
          <w:p w14:paraId="32321655" w14:textId="77777777" w:rsidR="001D5DDB" w:rsidRPr="00D272CC" w:rsidRDefault="001D5DDB" w:rsidP="001D5DDB">
            <w:pPr>
              <w:pStyle w:val="Tablesmall"/>
              <w:jc w:val="center"/>
            </w:pPr>
            <w:r w:rsidRPr="00D272CC">
              <w:t>0/0</w:t>
            </w:r>
          </w:p>
        </w:tc>
        <w:tc>
          <w:tcPr>
            <w:tcW w:w="468" w:type="dxa"/>
            <w:vAlign w:val="bottom"/>
          </w:tcPr>
          <w:p w14:paraId="468F971E" w14:textId="77777777" w:rsidR="001D5DDB" w:rsidRPr="00D272CC" w:rsidRDefault="001D5DDB" w:rsidP="001D5DDB">
            <w:pPr>
              <w:pStyle w:val="Tablesmall"/>
              <w:jc w:val="center"/>
            </w:pPr>
            <w:r w:rsidRPr="00D272CC">
              <w:t>0/0</w:t>
            </w:r>
          </w:p>
        </w:tc>
        <w:tc>
          <w:tcPr>
            <w:tcW w:w="468" w:type="dxa"/>
            <w:vAlign w:val="bottom"/>
          </w:tcPr>
          <w:p w14:paraId="0DA52461" w14:textId="77777777" w:rsidR="001D5DDB" w:rsidRPr="00D272CC" w:rsidRDefault="001D5DDB" w:rsidP="001D5DDB">
            <w:pPr>
              <w:pStyle w:val="Tablesmall"/>
              <w:jc w:val="center"/>
            </w:pPr>
            <w:r w:rsidRPr="00D272CC">
              <w:t>0/0</w:t>
            </w:r>
          </w:p>
        </w:tc>
        <w:tc>
          <w:tcPr>
            <w:tcW w:w="467" w:type="dxa"/>
            <w:vAlign w:val="bottom"/>
          </w:tcPr>
          <w:p w14:paraId="137165D9" w14:textId="77777777" w:rsidR="001D5DDB" w:rsidRPr="00D272CC" w:rsidRDefault="001D5DDB" w:rsidP="001D5DDB">
            <w:pPr>
              <w:pStyle w:val="Tablesmall"/>
              <w:jc w:val="center"/>
            </w:pPr>
            <w:r w:rsidRPr="00D272CC">
              <w:t>0/0</w:t>
            </w:r>
          </w:p>
        </w:tc>
        <w:tc>
          <w:tcPr>
            <w:tcW w:w="468" w:type="dxa"/>
            <w:vAlign w:val="bottom"/>
          </w:tcPr>
          <w:p w14:paraId="005CE9B0" w14:textId="77777777" w:rsidR="001D5DDB" w:rsidRPr="00D272CC" w:rsidRDefault="001D5DDB" w:rsidP="001D5DDB">
            <w:pPr>
              <w:pStyle w:val="Tablesmall"/>
              <w:jc w:val="center"/>
            </w:pPr>
            <w:r w:rsidRPr="00D272CC">
              <w:t>2/1</w:t>
            </w:r>
          </w:p>
        </w:tc>
        <w:tc>
          <w:tcPr>
            <w:tcW w:w="468" w:type="dxa"/>
            <w:vAlign w:val="bottom"/>
          </w:tcPr>
          <w:p w14:paraId="077DACBA" w14:textId="77777777" w:rsidR="001D5DDB" w:rsidRPr="00D272CC" w:rsidRDefault="001D5DDB" w:rsidP="001D5DDB">
            <w:pPr>
              <w:pStyle w:val="Tablesmall"/>
              <w:jc w:val="center"/>
            </w:pPr>
            <w:r w:rsidRPr="00D272CC">
              <w:t>0/0</w:t>
            </w:r>
          </w:p>
        </w:tc>
        <w:tc>
          <w:tcPr>
            <w:tcW w:w="468" w:type="dxa"/>
            <w:vAlign w:val="bottom"/>
          </w:tcPr>
          <w:p w14:paraId="7B58205A" w14:textId="77777777" w:rsidR="001D5DDB" w:rsidRPr="00D272CC" w:rsidRDefault="001D5DDB" w:rsidP="001D5DDB">
            <w:pPr>
              <w:pStyle w:val="Tablesmall"/>
              <w:jc w:val="center"/>
            </w:pPr>
            <w:r w:rsidRPr="00D272CC">
              <w:t>0/0</w:t>
            </w:r>
          </w:p>
        </w:tc>
        <w:tc>
          <w:tcPr>
            <w:tcW w:w="468" w:type="dxa"/>
            <w:vAlign w:val="bottom"/>
          </w:tcPr>
          <w:p w14:paraId="7EDE2188" w14:textId="77777777" w:rsidR="001D5DDB" w:rsidRPr="00D272CC" w:rsidRDefault="001D5DDB" w:rsidP="001D5DDB">
            <w:pPr>
              <w:pStyle w:val="Tablesmall"/>
              <w:jc w:val="center"/>
            </w:pPr>
            <w:r w:rsidRPr="00D272CC">
              <w:t>0/0</w:t>
            </w:r>
          </w:p>
        </w:tc>
        <w:tc>
          <w:tcPr>
            <w:tcW w:w="708" w:type="dxa"/>
            <w:vAlign w:val="bottom"/>
          </w:tcPr>
          <w:p w14:paraId="2AB95146" w14:textId="77777777" w:rsidR="001D5DDB" w:rsidRPr="00D272CC" w:rsidRDefault="001D5DDB" w:rsidP="001D5DDB">
            <w:pPr>
              <w:pStyle w:val="Tablesmall"/>
              <w:jc w:val="center"/>
            </w:pPr>
            <w:r w:rsidRPr="00D272CC">
              <w:t>2/1</w:t>
            </w:r>
          </w:p>
        </w:tc>
      </w:tr>
      <w:tr w:rsidR="001D5DDB" w:rsidRPr="00D272CC" w14:paraId="55A29C13" w14:textId="77777777" w:rsidTr="001D5DDB">
        <w:tc>
          <w:tcPr>
            <w:tcW w:w="709" w:type="dxa"/>
          </w:tcPr>
          <w:p w14:paraId="31AA40B1" w14:textId="77777777" w:rsidR="001D5DDB" w:rsidRPr="00D272CC" w:rsidRDefault="001D5DDB" w:rsidP="00F33403">
            <w:pPr>
              <w:pStyle w:val="Tablesmall"/>
              <w:jc w:val="center"/>
            </w:pPr>
          </w:p>
        </w:tc>
        <w:tc>
          <w:tcPr>
            <w:tcW w:w="2977" w:type="dxa"/>
          </w:tcPr>
          <w:p w14:paraId="6B809A71" w14:textId="77777777" w:rsidR="001D5DDB" w:rsidRPr="00D272CC" w:rsidRDefault="001D5DDB" w:rsidP="00F33403">
            <w:pPr>
              <w:pStyle w:val="Tablesmall"/>
            </w:pPr>
            <w:r w:rsidRPr="00D272CC">
              <w:t>- from (a) to (c) / (c) to (a)</w:t>
            </w:r>
          </w:p>
        </w:tc>
        <w:tc>
          <w:tcPr>
            <w:tcW w:w="467" w:type="dxa"/>
            <w:vAlign w:val="bottom"/>
          </w:tcPr>
          <w:p w14:paraId="3FB1E094" w14:textId="77777777" w:rsidR="001D5DDB" w:rsidRPr="00D272CC" w:rsidRDefault="001D5DDB" w:rsidP="001D5DDB">
            <w:pPr>
              <w:pStyle w:val="Tablesmall"/>
              <w:jc w:val="center"/>
            </w:pPr>
            <w:r w:rsidRPr="00D272CC">
              <w:t>1/0</w:t>
            </w:r>
          </w:p>
        </w:tc>
        <w:tc>
          <w:tcPr>
            <w:tcW w:w="468" w:type="dxa"/>
            <w:vAlign w:val="bottom"/>
          </w:tcPr>
          <w:p w14:paraId="26016D9A" w14:textId="77777777" w:rsidR="001D5DDB" w:rsidRPr="00D272CC" w:rsidRDefault="001D5DDB" w:rsidP="001D5DDB">
            <w:pPr>
              <w:pStyle w:val="Tablesmall"/>
              <w:jc w:val="center"/>
            </w:pPr>
            <w:r w:rsidRPr="00D272CC">
              <w:t>0/0</w:t>
            </w:r>
          </w:p>
        </w:tc>
        <w:tc>
          <w:tcPr>
            <w:tcW w:w="468" w:type="dxa"/>
            <w:vAlign w:val="bottom"/>
          </w:tcPr>
          <w:p w14:paraId="1FD66CA3" w14:textId="77777777" w:rsidR="001D5DDB" w:rsidRPr="00D272CC" w:rsidRDefault="001D5DDB" w:rsidP="001D5DDB">
            <w:pPr>
              <w:pStyle w:val="Tablesmall"/>
              <w:jc w:val="center"/>
            </w:pPr>
            <w:r w:rsidRPr="00D272CC">
              <w:t>0/0</w:t>
            </w:r>
          </w:p>
        </w:tc>
        <w:tc>
          <w:tcPr>
            <w:tcW w:w="468" w:type="dxa"/>
            <w:vAlign w:val="bottom"/>
          </w:tcPr>
          <w:p w14:paraId="00126BD5" w14:textId="77777777" w:rsidR="001D5DDB" w:rsidRPr="00D272CC" w:rsidRDefault="001D5DDB" w:rsidP="001D5DDB">
            <w:pPr>
              <w:pStyle w:val="Tablesmall"/>
              <w:jc w:val="center"/>
            </w:pPr>
            <w:r w:rsidRPr="00D272CC">
              <w:t>0/0</w:t>
            </w:r>
          </w:p>
        </w:tc>
        <w:tc>
          <w:tcPr>
            <w:tcW w:w="468" w:type="dxa"/>
            <w:vAlign w:val="bottom"/>
          </w:tcPr>
          <w:p w14:paraId="5DBF69D9" w14:textId="77777777" w:rsidR="001D5DDB" w:rsidRPr="00D272CC" w:rsidRDefault="001D5DDB" w:rsidP="001D5DDB">
            <w:pPr>
              <w:pStyle w:val="Tablesmall"/>
              <w:jc w:val="center"/>
            </w:pPr>
            <w:r w:rsidRPr="00D272CC">
              <w:t>0/0</w:t>
            </w:r>
          </w:p>
        </w:tc>
        <w:tc>
          <w:tcPr>
            <w:tcW w:w="467" w:type="dxa"/>
            <w:vAlign w:val="bottom"/>
          </w:tcPr>
          <w:p w14:paraId="134C8EC4" w14:textId="77777777" w:rsidR="001D5DDB" w:rsidRPr="00D272CC" w:rsidRDefault="001D5DDB" w:rsidP="001D5DDB">
            <w:pPr>
              <w:pStyle w:val="Tablesmall"/>
              <w:jc w:val="center"/>
            </w:pPr>
            <w:r w:rsidRPr="00D272CC">
              <w:t>0/1</w:t>
            </w:r>
          </w:p>
        </w:tc>
        <w:tc>
          <w:tcPr>
            <w:tcW w:w="468" w:type="dxa"/>
            <w:vAlign w:val="bottom"/>
          </w:tcPr>
          <w:p w14:paraId="7B0DA9A6" w14:textId="77777777" w:rsidR="001D5DDB" w:rsidRPr="00D272CC" w:rsidRDefault="001D5DDB" w:rsidP="001D5DDB">
            <w:pPr>
              <w:pStyle w:val="Tablesmall"/>
              <w:jc w:val="center"/>
            </w:pPr>
            <w:r w:rsidRPr="00D272CC">
              <w:t>1/0</w:t>
            </w:r>
          </w:p>
        </w:tc>
        <w:tc>
          <w:tcPr>
            <w:tcW w:w="468" w:type="dxa"/>
            <w:vAlign w:val="bottom"/>
          </w:tcPr>
          <w:p w14:paraId="56324B33" w14:textId="77777777" w:rsidR="001D5DDB" w:rsidRPr="00D272CC" w:rsidRDefault="001D5DDB" w:rsidP="001D5DDB">
            <w:pPr>
              <w:pStyle w:val="Tablesmall"/>
              <w:jc w:val="center"/>
            </w:pPr>
            <w:r w:rsidRPr="00D272CC">
              <w:t>0/0</w:t>
            </w:r>
          </w:p>
        </w:tc>
        <w:tc>
          <w:tcPr>
            <w:tcW w:w="468" w:type="dxa"/>
            <w:vAlign w:val="bottom"/>
          </w:tcPr>
          <w:p w14:paraId="627BD425" w14:textId="77777777" w:rsidR="001D5DDB" w:rsidRPr="00D272CC" w:rsidRDefault="001D5DDB" w:rsidP="001D5DDB">
            <w:pPr>
              <w:pStyle w:val="Tablesmall"/>
              <w:jc w:val="center"/>
            </w:pPr>
            <w:r w:rsidRPr="00D272CC">
              <w:t>0/0</w:t>
            </w:r>
          </w:p>
        </w:tc>
        <w:tc>
          <w:tcPr>
            <w:tcW w:w="468" w:type="dxa"/>
            <w:vAlign w:val="bottom"/>
          </w:tcPr>
          <w:p w14:paraId="43866981" w14:textId="77777777" w:rsidR="001D5DDB" w:rsidRPr="00D272CC" w:rsidRDefault="001D5DDB" w:rsidP="001D5DDB">
            <w:pPr>
              <w:pStyle w:val="Tablesmall"/>
              <w:jc w:val="center"/>
            </w:pPr>
            <w:r w:rsidRPr="00D272CC">
              <w:t>0/0</w:t>
            </w:r>
          </w:p>
        </w:tc>
        <w:tc>
          <w:tcPr>
            <w:tcW w:w="708" w:type="dxa"/>
            <w:vAlign w:val="bottom"/>
          </w:tcPr>
          <w:p w14:paraId="168A6071" w14:textId="77777777" w:rsidR="001D5DDB" w:rsidRPr="00D272CC" w:rsidRDefault="001D5DDB" w:rsidP="001D5DDB">
            <w:pPr>
              <w:pStyle w:val="Tablesmall"/>
              <w:jc w:val="center"/>
            </w:pPr>
            <w:r w:rsidRPr="00D272CC">
              <w:t>2/1</w:t>
            </w:r>
          </w:p>
        </w:tc>
      </w:tr>
      <w:tr w:rsidR="001D5DDB" w:rsidRPr="00D272CC" w14:paraId="599724E5" w14:textId="77777777" w:rsidTr="001D5DDB">
        <w:tc>
          <w:tcPr>
            <w:tcW w:w="709" w:type="dxa"/>
          </w:tcPr>
          <w:p w14:paraId="5A4A7A9D" w14:textId="77777777" w:rsidR="001D5DDB" w:rsidRPr="00D272CC" w:rsidRDefault="001D5DDB" w:rsidP="00F33403">
            <w:pPr>
              <w:pStyle w:val="Tablesmall"/>
              <w:jc w:val="center"/>
            </w:pPr>
          </w:p>
        </w:tc>
        <w:tc>
          <w:tcPr>
            <w:tcW w:w="2977" w:type="dxa"/>
          </w:tcPr>
          <w:p w14:paraId="764EC095" w14:textId="77777777" w:rsidR="001D5DDB" w:rsidRPr="00D272CC" w:rsidRDefault="001D5DDB" w:rsidP="00F33403">
            <w:pPr>
              <w:pStyle w:val="Tablesmall"/>
            </w:pPr>
            <w:r w:rsidRPr="00D272CC">
              <w:t>- from (b) to (c) / (c) to (b)</w:t>
            </w:r>
          </w:p>
        </w:tc>
        <w:tc>
          <w:tcPr>
            <w:tcW w:w="467" w:type="dxa"/>
            <w:vAlign w:val="bottom"/>
          </w:tcPr>
          <w:p w14:paraId="463F1561" w14:textId="77777777" w:rsidR="001D5DDB" w:rsidRPr="00D272CC" w:rsidRDefault="001D5DDB" w:rsidP="001D5DDB">
            <w:pPr>
              <w:pStyle w:val="Tablesmall"/>
              <w:jc w:val="center"/>
            </w:pPr>
            <w:r w:rsidRPr="00D272CC">
              <w:t>2/1</w:t>
            </w:r>
          </w:p>
        </w:tc>
        <w:tc>
          <w:tcPr>
            <w:tcW w:w="468" w:type="dxa"/>
            <w:vAlign w:val="bottom"/>
          </w:tcPr>
          <w:p w14:paraId="7D2410D0" w14:textId="77777777" w:rsidR="001D5DDB" w:rsidRPr="00D272CC" w:rsidRDefault="001D5DDB" w:rsidP="001D5DDB">
            <w:pPr>
              <w:pStyle w:val="Tablesmall"/>
              <w:jc w:val="center"/>
            </w:pPr>
            <w:r w:rsidRPr="00D272CC">
              <w:t>0/0</w:t>
            </w:r>
          </w:p>
        </w:tc>
        <w:tc>
          <w:tcPr>
            <w:tcW w:w="468" w:type="dxa"/>
            <w:vAlign w:val="bottom"/>
          </w:tcPr>
          <w:p w14:paraId="6BA5EEF3" w14:textId="77777777" w:rsidR="001D5DDB" w:rsidRPr="00D272CC" w:rsidRDefault="001D5DDB" w:rsidP="001D5DDB">
            <w:pPr>
              <w:pStyle w:val="Tablesmall"/>
              <w:jc w:val="center"/>
            </w:pPr>
            <w:r w:rsidRPr="00D272CC">
              <w:t>3/1</w:t>
            </w:r>
          </w:p>
        </w:tc>
        <w:tc>
          <w:tcPr>
            <w:tcW w:w="468" w:type="dxa"/>
            <w:vAlign w:val="bottom"/>
          </w:tcPr>
          <w:p w14:paraId="57CCD5FD" w14:textId="77777777" w:rsidR="001D5DDB" w:rsidRPr="00D272CC" w:rsidRDefault="001D5DDB" w:rsidP="001D5DDB">
            <w:pPr>
              <w:pStyle w:val="Tablesmall"/>
              <w:jc w:val="center"/>
            </w:pPr>
            <w:r w:rsidRPr="00D272CC">
              <w:t>1/1</w:t>
            </w:r>
          </w:p>
        </w:tc>
        <w:tc>
          <w:tcPr>
            <w:tcW w:w="468" w:type="dxa"/>
            <w:vAlign w:val="bottom"/>
          </w:tcPr>
          <w:p w14:paraId="683A3289" w14:textId="77777777" w:rsidR="001D5DDB" w:rsidRPr="00D272CC" w:rsidRDefault="001D5DDB" w:rsidP="001D5DDB">
            <w:pPr>
              <w:pStyle w:val="Tablesmall"/>
              <w:jc w:val="center"/>
            </w:pPr>
            <w:r w:rsidRPr="00D272CC">
              <w:t>0/1</w:t>
            </w:r>
          </w:p>
        </w:tc>
        <w:tc>
          <w:tcPr>
            <w:tcW w:w="467" w:type="dxa"/>
            <w:vAlign w:val="bottom"/>
          </w:tcPr>
          <w:p w14:paraId="1BB193A1" w14:textId="77777777" w:rsidR="001D5DDB" w:rsidRPr="00D272CC" w:rsidRDefault="001D5DDB" w:rsidP="001D5DDB">
            <w:pPr>
              <w:pStyle w:val="Tablesmall"/>
              <w:jc w:val="center"/>
            </w:pPr>
            <w:r w:rsidRPr="00D272CC">
              <w:t>0/0</w:t>
            </w:r>
          </w:p>
        </w:tc>
        <w:tc>
          <w:tcPr>
            <w:tcW w:w="468" w:type="dxa"/>
            <w:vAlign w:val="bottom"/>
          </w:tcPr>
          <w:p w14:paraId="06794382" w14:textId="77777777" w:rsidR="001D5DDB" w:rsidRPr="00D272CC" w:rsidRDefault="001D5DDB" w:rsidP="001D5DDB">
            <w:pPr>
              <w:pStyle w:val="Tablesmall"/>
              <w:jc w:val="center"/>
            </w:pPr>
            <w:r w:rsidRPr="00D272CC">
              <w:t>1/1</w:t>
            </w:r>
          </w:p>
        </w:tc>
        <w:tc>
          <w:tcPr>
            <w:tcW w:w="468" w:type="dxa"/>
            <w:vAlign w:val="bottom"/>
          </w:tcPr>
          <w:p w14:paraId="751F98A8" w14:textId="77777777" w:rsidR="001D5DDB" w:rsidRPr="00D272CC" w:rsidRDefault="001D5DDB" w:rsidP="001D5DDB">
            <w:pPr>
              <w:pStyle w:val="Tablesmall"/>
              <w:jc w:val="center"/>
            </w:pPr>
            <w:r w:rsidRPr="00D272CC">
              <w:t>0/0</w:t>
            </w:r>
          </w:p>
        </w:tc>
        <w:tc>
          <w:tcPr>
            <w:tcW w:w="468" w:type="dxa"/>
            <w:vAlign w:val="bottom"/>
          </w:tcPr>
          <w:p w14:paraId="58305B58" w14:textId="77777777" w:rsidR="001D5DDB" w:rsidRPr="00D272CC" w:rsidRDefault="001D5DDB" w:rsidP="001D5DDB">
            <w:pPr>
              <w:pStyle w:val="Tablesmall"/>
              <w:jc w:val="center"/>
            </w:pPr>
            <w:r w:rsidRPr="00D272CC">
              <w:t>0/1</w:t>
            </w:r>
          </w:p>
        </w:tc>
        <w:tc>
          <w:tcPr>
            <w:tcW w:w="468" w:type="dxa"/>
            <w:vAlign w:val="bottom"/>
          </w:tcPr>
          <w:p w14:paraId="522D119D" w14:textId="77777777" w:rsidR="001D5DDB" w:rsidRPr="00D272CC" w:rsidRDefault="001D5DDB" w:rsidP="001D5DDB">
            <w:pPr>
              <w:pStyle w:val="Tablesmall"/>
              <w:jc w:val="center"/>
            </w:pPr>
            <w:r w:rsidRPr="00D272CC">
              <w:t>0/0</w:t>
            </w:r>
          </w:p>
        </w:tc>
        <w:tc>
          <w:tcPr>
            <w:tcW w:w="708" w:type="dxa"/>
            <w:vAlign w:val="bottom"/>
          </w:tcPr>
          <w:p w14:paraId="26099B4A" w14:textId="77777777" w:rsidR="001D5DDB" w:rsidRPr="00D272CC" w:rsidRDefault="001D5DDB" w:rsidP="001D5DDB">
            <w:pPr>
              <w:pStyle w:val="Tablesmall"/>
              <w:jc w:val="center"/>
            </w:pPr>
            <w:r w:rsidRPr="00D272CC">
              <w:t>7/6</w:t>
            </w:r>
          </w:p>
        </w:tc>
      </w:tr>
      <w:tr w:rsidR="001D5DDB" w:rsidRPr="00D272CC" w14:paraId="3CB67086" w14:textId="77777777" w:rsidTr="001D5DDB">
        <w:tc>
          <w:tcPr>
            <w:tcW w:w="709" w:type="dxa"/>
          </w:tcPr>
          <w:p w14:paraId="166F5C2E" w14:textId="77777777" w:rsidR="001D5DDB" w:rsidRPr="00D272CC" w:rsidRDefault="001D5DDB" w:rsidP="00F33403">
            <w:pPr>
              <w:pStyle w:val="Tablesmall"/>
              <w:jc w:val="center"/>
            </w:pPr>
          </w:p>
        </w:tc>
        <w:tc>
          <w:tcPr>
            <w:tcW w:w="2977" w:type="dxa"/>
          </w:tcPr>
          <w:p w14:paraId="49301545" w14:textId="77777777" w:rsidR="001D5DDB" w:rsidRPr="00D272CC" w:rsidRDefault="001D5DDB" w:rsidP="00F33403">
            <w:pPr>
              <w:pStyle w:val="Tablesmall"/>
            </w:pPr>
          </w:p>
        </w:tc>
        <w:tc>
          <w:tcPr>
            <w:tcW w:w="467" w:type="dxa"/>
            <w:vAlign w:val="bottom"/>
          </w:tcPr>
          <w:p w14:paraId="54ACD99F" w14:textId="77777777" w:rsidR="001D5DDB" w:rsidRPr="00D272CC" w:rsidRDefault="001D5DDB" w:rsidP="001D5DDB">
            <w:pPr>
              <w:pStyle w:val="Tablesmall"/>
              <w:jc w:val="center"/>
            </w:pPr>
          </w:p>
        </w:tc>
        <w:tc>
          <w:tcPr>
            <w:tcW w:w="468" w:type="dxa"/>
            <w:vAlign w:val="bottom"/>
          </w:tcPr>
          <w:p w14:paraId="062595A3" w14:textId="77777777" w:rsidR="001D5DDB" w:rsidRPr="00D272CC" w:rsidRDefault="001D5DDB" w:rsidP="001D5DDB">
            <w:pPr>
              <w:pStyle w:val="Tablesmall"/>
              <w:jc w:val="center"/>
            </w:pPr>
          </w:p>
        </w:tc>
        <w:tc>
          <w:tcPr>
            <w:tcW w:w="468" w:type="dxa"/>
            <w:vAlign w:val="bottom"/>
          </w:tcPr>
          <w:p w14:paraId="6AEA3EC4" w14:textId="77777777" w:rsidR="001D5DDB" w:rsidRPr="00D272CC" w:rsidRDefault="001D5DDB" w:rsidP="001D5DDB">
            <w:pPr>
              <w:pStyle w:val="Tablesmall"/>
              <w:jc w:val="center"/>
            </w:pPr>
          </w:p>
        </w:tc>
        <w:tc>
          <w:tcPr>
            <w:tcW w:w="468" w:type="dxa"/>
            <w:vAlign w:val="bottom"/>
          </w:tcPr>
          <w:p w14:paraId="3776DA04" w14:textId="77777777" w:rsidR="001D5DDB" w:rsidRPr="00D272CC" w:rsidRDefault="001D5DDB" w:rsidP="001D5DDB">
            <w:pPr>
              <w:pStyle w:val="Tablesmall"/>
              <w:jc w:val="center"/>
            </w:pPr>
          </w:p>
        </w:tc>
        <w:tc>
          <w:tcPr>
            <w:tcW w:w="468" w:type="dxa"/>
            <w:vAlign w:val="bottom"/>
          </w:tcPr>
          <w:p w14:paraId="6596AC2F" w14:textId="77777777" w:rsidR="001D5DDB" w:rsidRPr="00D272CC" w:rsidRDefault="001D5DDB" w:rsidP="001D5DDB">
            <w:pPr>
              <w:pStyle w:val="Tablesmall"/>
              <w:jc w:val="center"/>
            </w:pPr>
          </w:p>
        </w:tc>
        <w:tc>
          <w:tcPr>
            <w:tcW w:w="467" w:type="dxa"/>
            <w:vAlign w:val="bottom"/>
          </w:tcPr>
          <w:p w14:paraId="60587405" w14:textId="77777777" w:rsidR="001D5DDB" w:rsidRPr="00D272CC" w:rsidRDefault="001D5DDB" w:rsidP="001D5DDB">
            <w:pPr>
              <w:pStyle w:val="Tablesmall"/>
              <w:jc w:val="center"/>
            </w:pPr>
          </w:p>
        </w:tc>
        <w:tc>
          <w:tcPr>
            <w:tcW w:w="468" w:type="dxa"/>
            <w:vAlign w:val="bottom"/>
          </w:tcPr>
          <w:p w14:paraId="3C67C1B4" w14:textId="77777777" w:rsidR="001D5DDB" w:rsidRPr="00D272CC" w:rsidRDefault="001D5DDB" w:rsidP="001D5DDB">
            <w:pPr>
              <w:pStyle w:val="Tablesmall"/>
              <w:jc w:val="center"/>
            </w:pPr>
          </w:p>
        </w:tc>
        <w:tc>
          <w:tcPr>
            <w:tcW w:w="468" w:type="dxa"/>
            <w:vAlign w:val="bottom"/>
          </w:tcPr>
          <w:p w14:paraId="737EE0B7" w14:textId="77777777" w:rsidR="001D5DDB" w:rsidRPr="00D272CC" w:rsidRDefault="001D5DDB" w:rsidP="001D5DDB">
            <w:pPr>
              <w:pStyle w:val="Tablesmall"/>
              <w:jc w:val="center"/>
            </w:pPr>
          </w:p>
        </w:tc>
        <w:tc>
          <w:tcPr>
            <w:tcW w:w="468" w:type="dxa"/>
            <w:vAlign w:val="bottom"/>
          </w:tcPr>
          <w:p w14:paraId="657FD3E0" w14:textId="77777777" w:rsidR="001D5DDB" w:rsidRPr="00D272CC" w:rsidRDefault="001D5DDB" w:rsidP="001D5DDB">
            <w:pPr>
              <w:pStyle w:val="Tablesmall"/>
              <w:jc w:val="center"/>
            </w:pPr>
          </w:p>
        </w:tc>
        <w:tc>
          <w:tcPr>
            <w:tcW w:w="468" w:type="dxa"/>
            <w:vAlign w:val="bottom"/>
          </w:tcPr>
          <w:p w14:paraId="73F01AE7" w14:textId="77777777" w:rsidR="001D5DDB" w:rsidRPr="00D272CC" w:rsidRDefault="001D5DDB" w:rsidP="001D5DDB">
            <w:pPr>
              <w:pStyle w:val="Tablesmall"/>
              <w:jc w:val="center"/>
            </w:pPr>
          </w:p>
        </w:tc>
        <w:tc>
          <w:tcPr>
            <w:tcW w:w="708" w:type="dxa"/>
            <w:vAlign w:val="bottom"/>
          </w:tcPr>
          <w:p w14:paraId="5D450AA6" w14:textId="77777777" w:rsidR="001D5DDB" w:rsidRPr="00D272CC" w:rsidRDefault="001D5DDB" w:rsidP="001D5DDB">
            <w:pPr>
              <w:pStyle w:val="Tablesmall"/>
              <w:jc w:val="center"/>
            </w:pPr>
          </w:p>
        </w:tc>
      </w:tr>
      <w:tr w:rsidR="001D5DDB" w:rsidRPr="00D272CC" w14:paraId="31165C00" w14:textId="77777777" w:rsidTr="001D5DDB">
        <w:tc>
          <w:tcPr>
            <w:tcW w:w="709" w:type="dxa"/>
          </w:tcPr>
          <w:p w14:paraId="3E07A5F0" w14:textId="77777777" w:rsidR="001D5DDB" w:rsidRPr="00D272CC" w:rsidRDefault="001D5DDB" w:rsidP="00F33403">
            <w:pPr>
              <w:pStyle w:val="Tablesmall"/>
              <w:jc w:val="center"/>
            </w:pPr>
            <w:r w:rsidRPr="00D272CC">
              <w:t>4</w:t>
            </w:r>
          </w:p>
        </w:tc>
        <w:tc>
          <w:tcPr>
            <w:tcW w:w="2977" w:type="dxa"/>
          </w:tcPr>
          <w:p w14:paraId="4675B92F" w14:textId="77777777" w:rsidR="001D5DDB" w:rsidRPr="00D272CC" w:rsidRDefault="001D5DDB" w:rsidP="00F33403">
            <w:pPr>
              <w:pStyle w:val="Tablesmall"/>
            </w:pPr>
            <w:r w:rsidRPr="00D272CC">
              <w:t>Showing net assets or not</w:t>
            </w:r>
          </w:p>
        </w:tc>
        <w:tc>
          <w:tcPr>
            <w:tcW w:w="467" w:type="dxa"/>
            <w:vAlign w:val="bottom"/>
          </w:tcPr>
          <w:p w14:paraId="2D4E277A" w14:textId="77777777" w:rsidR="001D5DDB" w:rsidRPr="00D272CC" w:rsidRDefault="001D5DDB" w:rsidP="001D5DDB">
            <w:pPr>
              <w:pStyle w:val="Tablesmall"/>
              <w:jc w:val="center"/>
            </w:pPr>
            <w:r w:rsidRPr="00D272CC">
              <w:t>0</w:t>
            </w:r>
          </w:p>
        </w:tc>
        <w:tc>
          <w:tcPr>
            <w:tcW w:w="468" w:type="dxa"/>
            <w:vAlign w:val="bottom"/>
          </w:tcPr>
          <w:p w14:paraId="2A4D4046" w14:textId="77777777" w:rsidR="001D5DDB" w:rsidRPr="00D272CC" w:rsidRDefault="001D5DDB" w:rsidP="001D5DDB">
            <w:pPr>
              <w:pStyle w:val="Tablesmall"/>
              <w:jc w:val="center"/>
            </w:pPr>
            <w:r w:rsidRPr="00D272CC">
              <w:t>0</w:t>
            </w:r>
          </w:p>
        </w:tc>
        <w:tc>
          <w:tcPr>
            <w:tcW w:w="468" w:type="dxa"/>
            <w:vAlign w:val="bottom"/>
          </w:tcPr>
          <w:p w14:paraId="70A785CF" w14:textId="77777777" w:rsidR="001D5DDB" w:rsidRPr="00D272CC" w:rsidRDefault="001D5DDB" w:rsidP="001D5DDB">
            <w:pPr>
              <w:pStyle w:val="Tablesmall"/>
              <w:jc w:val="center"/>
            </w:pPr>
            <w:r w:rsidRPr="00D272CC">
              <w:t>2</w:t>
            </w:r>
          </w:p>
        </w:tc>
        <w:tc>
          <w:tcPr>
            <w:tcW w:w="468" w:type="dxa"/>
            <w:vAlign w:val="bottom"/>
          </w:tcPr>
          <w:p w14:paraId="65C541DF" w14:textId="77777777" w:rsidR="001D5DDB" w:rsidRPr="00D272CC" w:rsidRDefault="001D5DDB" w:rsidP="001D5DDB">
            <w:pPr>
              <w:pStyle w:val="Tablesmall"/>
              <w:jc w:val="center"/>
            </w:pPr>
            <w:r w:rsidRPr="00D272CC">
              <w:t>0</w:t>
            </w:r>
          </w:p>
        </w:tc>
        <w:tc>
          <w:tcPr>
            <w:tcW w:w="468" w:type="dxa"/>
            <w:vAlign w:val="bottom"/>
          </w:tcPr>
          <w:p w14:paraId="5B7CE299" w14:textId="77777777" w:rsidR="001D5DDB" w:rsidRPr="00D272CC" w:rsidRDefault="001D5DDB" w:rsidP="001D5DDB">
            <w:pPr>
              <w:pStyle w:val="Tablesmall"/>
              <w:jc w:val="center"/>
            </w:pPr>
            <w:r w:rsidRPr="00D272CC">
              <w:t>0</w:t>
            </w:r>
          </w:p>
        </w:tc>
        <w:tc>
          <w:tcPr>
            <w:tcW w:w="467" w:type="dxa"/>
            <w:vAlign w:val="bottom"/>
          </w:tcPr>
          <w:p w14:paraId="610DF892" w14:textId="77777777" w:rsidR="001D5DDB" w:rsidRPr="00D272CC" w:rsidRDefault="001D5DDB" w:rsidP="001D5DDB">
            <w:pPr>
              <w:pStyle w:val="Tablesmall"/>
              <w:jc w:val="center"/>
            </w:pPr>
            <w:r w:rsidRPr="00D272CC">
              <w:t>0</w:t>
            </w:r>
          </w:p>
        </w:tc>
        <w:tc>
          <w:tcPr>
            <w:tcW w:w="468" w:type="dxa"/>
            <w:vAlign w:val="bottom"/>
          </w:tcPr>
          <w:p w14:paraId="7005F5F1" w14:textId="77777777" w:rsidR="001D5DDB" w:rsidRPr="00D272CC" w:rsidRDefault="001D5DDB" w:rsidP="001D5DDB">
            <w:pPr>
              <w:pStyle w:val="Tablesmall"/>
              <w:jc w:val="center"/>
            </w:pPr>
            <w:r w:rsidRPr="00D272CC">
              <w:t>3</w:t>
            </w:r>
          </w:p>
        </w:tc>
        <w:tc>
          <w:tcPr>
            <w:tcW w:w="468" w:type="dxa"/>
            <w:vAlign w:val="bottom"/>
          </w:tcPr>
          <w:p w14:paraId="2FB916E3" w14:textId="77777777" w:rsidR="001D5DDB" w:rsidRPr="00D272CC" w:rsidRDefault="001D5DDB" w:rsidP="001D5DDB">
            <w:pPr>
              <w:pStyle w:val="Tablesmall"/>
              <w:jc w:val="center"/>
            </w:pPr>
            <w:r w:rsidRPr="00D272CC">
              <w:t>3</w:t>
            </w:r>
          </w:p>
        </w:tc>
        <w:tc>
          <w:tcPr>
            <w:tcW w:w="468" w:type="dxa"/>
            <w:vAlign w:val="bottom"/>
          </w:tcPr>
          <w:p w14:paraId="6AAFD183" w14:textId="77777777" w:rsidR="001D5DDB" w:rsidRPr="00D272CC" w:rsidRDefault="001D5DDB" w:rsidP="001D5DDB">
            <w:pPr>
              <w:pStyle w:val="Tablesmall"/>
              <w:jc w:val="center"/>
            </w:pPr>
            <w:r w:rsidRPr="00D272CC">
              <w:t>0</w:t>
            </w:r>
          </w:p>
        </w:tc>
        <w:tc>
          <w:tcPr>
            <w:tcW w:w="468" w:type="dxa"/>
            <w:vAlign w:val="bottom"/>
          </w:tcPr>
          <w:p w14:paraId="760580A1" w14:textId="77777777" w:rsidR="001D5DDB" w:rsidRPr="00D272CC" w:rsidRDefault="001D5DDB" w:rsidP="001D5DDB">
            <w:pPr>
              <w:pStyle w:val="Tablesmall"/>
              <w:jc w:val="center"/>
            </w:pPr>
            <w:r w:rsidRPr="00D272CC">
              <w:t>0</w:t>
            </w:r>
          </w:p>
        </w:tc>
        <w:tc>
          <w:tcPr>
            <w:tcW w:w="708" w:type="dxa"/>
            <w:vAlign w:val="bottom"/>
          </w:tcPr>
          <w:p w14:paraId="4C248BDC" w14:textId="77777777" w:rsidR="001D5DDB" w:rsidRPr="00D272CC" w:rsidRDefault="001D5DDB" w:rsidP="001D5DDB">
            <w:pPr>
              <w:pStyle w:val="Tablesmall"/>
              <w:jc w:val="center"/>
            </w:pPr>
            <w:r w:rsidRPr="00D272CC">
              <w:t>8 (3)</w:t>
            </w:r>
          </w:p>
        </w:tc>
      </w:tr>
      <w:tr w:rsidR="001D5DDB" w:rsidRPr="00D272CC" w14:paraId="3E6026DE" w14:textId="77777777" w:rsidTr="001D5DDB">
        <w:tc>
          <w:tcPr>
            <w:tcW w:w="709" w:type="dxa"/>
          </w:tcPr>
          <w:p w14:paraId="41D4471D" w14:textId="77777777" w:rsidR="001D5DDB" w:rsidRPr="00D272CC" w:rsidRDefault="001D5DDB" w:rsidP="00F33403">
            <w:pPr>
              <w:pStyle w:val="Tablesmall"/>
              <w:jc w:val="center"/>
            </w:pPr>
          </w:p>
        </w:tc>
        <w:tc>
          <w:tcPr>
            <w:tcW w:w="2977" w:type="dxa"/>
          </w:tcPr>
          <w:p w14:paraId="07B8F895" w14:textId="77777777" w:rsidR="001D5DDB" w:rsidRPr="00D272CC" w:rsidRDefault="001D5DDB" w:rsidP="00F33403">
            <w:pPr>
              <w:pStyle w:val="Tablesmall"/>
            </w:pPr>
            <w:r w:rsidRPr="00D272CC">
              <w:t>- from (a) to (b) / (b) to (a)</w:t>
            </w:r>
          </w:p>
        </w:tc>
        <w:tc>
          <w:tcPr>
            <w:tcW w:w="467" w:type="dxa"/>
            <w:vAlign w:val="bottom"/>
          </w:tcPr>
          <w:p w14:paraId="5E2525D2" w14:textId="77777777" w:rsidR="001D5DDB" w:rsidRPr="00D272CC" w:rsidRDefault="001D5DDB" w:rsidP="001D5DDB">
            <w:pPr>
              <w:pStyle w:val="Tablesmall"/>
              <w:jc w:val="center"/>
            </w:pPr>
            <w:r w:rsidRPr="00D272CC">
              <w:t>0/0</w:t>
            </w:r>
          </w:p>
        </w:tc>
        <w:tc>
          <w:tcPr>
            <w:tcW w:w="468" w:type="dxa"/>
            <w:vAlign w:val="bottom"/>
          </w:tcPr>
          <w:p w14:paraId="5228E43F" w14:textId="77777777" w:rsidR="001D5DDB" w:rsidRPr="00D272CC" w:rsidRDefault="001D5DDB" w:rsidP="001D5DDB">
            <w:pPr>
              <w:pStyle w:val="Tablesmall"/>
              <w:jc w:val="center"/>
            </w:pPr>
            <w:r w:rsidRPr="00D272CC">
              <w:t>0/0</w:t>
            </w:r>
          </w:p>
        </w:tc>
        <w:tc>
          <w:tcPr>
            <w:tcW w:w="468" w:type="dxa"/>
            <w:vAlign w:val="bottom"/>
          </w:tcPr>
          <w:p w14:paraId="05C92181" w14:textId="77777777" w:rsidR="001D5DDB" w:rsidRPr="00D272CC" w:rsidRDefault="001D5DDB" w:rsidP="001D5DDB">
            <w:pPr>
              <w:pStyle w:val="Tablesmall"/>
              <w:jc w:val="center"/>
            </w:pPr>
            <w:r w:rsidRPr="00D272CC">
              <w:t>0/2</w:t>
            </w:r>
          </w:p>
        </w:tc>
        <w:tc>
          <w:tcPr>
            <w:tcW w:w="468" w:type="dxa"/>
            <w:vAlign w:val="bottom"/>
          </w:tcPr>
          <w:p w14:paraId="1016F276" w14:textId="77777777" w:rsidR="001D5DDB" w:rsidRPr="00D272CC" w:rsidRDefault="001D5DDB" w:rsidP="001D5DDB">
            <w:pPr>
              <w:pStyle w:val="Tablesmall"/>
              <w:jc w:val="center"/>
            </w:pPr>
            <w:r w:rsidRPr="00D272CC">
              <w:t>0/0</w:t>
            </w:r>
          </w:p>
        </w:tc>
        <w:tc>
          <w:tcPr>
            <w:tcW w:w="468" w:type="dxa"/>
            <w:vAlign w:val="bottom"/>
          </w:tcPr>
          <w:p w14:paraId="5B604CDE" w14:textId="77777777" w:rsidR="001D5DDB" w:rsidRPr="00D272CC" w:rsidRDefault="001D5DDB" w:rsidP="001D5DDB">
            <w:pPr>
              <w:pStyle w:val="Tablesmall"/>
              <w:jc w:val="center"/>
            </w:pPr>
            <w:r w:rsidRPr="00D272CC">
              <w:t>0/0</w:t>
            </w:r>
          </w:p>
        </w:tc>
        <w:tc>
          <w:tcPr>
            <w:tcW w:w="467" w:type="dxa"/>
            <w:vAlign w:val="bottom"/>
          </w:tcPr>
          <w:p w14:paraId="1871BCBD" w14:textId="77777777" w:rsidR="001D5DDB" w:rsidRPr="00D272CC" w:rsidRDefault="001D5DDB" w:rsidP="001D5DDB">
            <w:pPr>
              <w:pStyle w:val="Tablesmall"/>
              <w:jc w:val="center"/>
            </w:pPr>
            <w:r w:rsidRPr="00D272CC">
              <w:t>0/0</w:t>
            </w:r>
          </w:p>
        </w:tc>
        <w:tc>
          <w:tcPr>
            <w:tcW w:w="468" w:type="dxa"/>
            <w:vAlign w:val="bottom"/>
          </w:tcPr>
          <w:p w14:paraId="5E625B33" w14:textId="77777777" w:rsidR="001D5DDB" w:rsidRPr="00D272CC" w:rsidRDefault="001D5DDB" w:rsidP="001D5DDB">
            <w:pPr>
              <w:pStyle w:val="Tablesmall"/>
              <w:jc w:val="center"/>
            </w:pPr>
            <w:r w:rsidRPr="00D272CC">
              <w:t>2/1</w:t>
            </w:r>
          </w:p>
        </w:tc>
        <w:tc>
          <w:tcPr>
            <w:tcW w:w="468" w:type="dxa"/>
            <w:vAlign w:val="bottom"/>
          </w:tcPr>
          <w:p w14:paraId="7E51AABC" w14:textId="77777777" w:rsidR="001D5DDB" w:rsidRPr="00D272CC" w:rsidRDefault="001D5DDB" w:rsidP="001D5DDB">
            <w:pPr>
              <w:pStyle w:val="Tablesmall"/>
              <w:jc w:val="center"/>
            </w:pPr>
            <w:r w:rsidRPr="00D272CC">
              <w:t>3/0</w:t>
            </w:r>
          </w:p>
        </w:tc>
        <w:tc>
          <w:tcPr>
            <w:tcW w:w="468" w:type="dxa"/>
            <w:vAlign w:val="bottom"/>
          </w:tcPr>
          <w:p w14:paraId="1E0FEE20" w14:textId="77777777" w:rsidR="001D5DDB" w:rsidRPr="00D272CC" w:rsidRDefault="001D5DDB" w:rsidP="001D5DDB">
            <w:pPr>
              <w:pStyle w:val="Tablesmall"/>
              <w:jc w:val="center"/>
            </w:pPr>
            <w:r w:rsidRPr="00D272CC">
              <w:t>0/0</w:t>
            </w:r>
          </w:p>
        </w:tc>
        <w:tc>
          <w:tcPr>
            <w:tcW w:w="468" w:type="dxa"/>
            <w:vAlign w:val="bottom"/>
          </w:tcPr>
          <w:p w14:paraId="642F16F7" w14:textId="77777777" w:rsidR="001D5DDB" w:rsidRPr="00D272CC" w:rsidRDefault="001D5DDB" w:rsidP="001D5DDB">
            <w:pPr>
              <w:pStyle w:val="Tablesmall"/>
              <w:jc w:val="center"/>
            </w:pPr>
            <w:r w:rsidRPr="00D272CC">
              <w:t>0/0</w:t>
            </w:r>
          </w:p>
        </w:tc>
        <w:tc>
          <w:tcPr>
            <w:tcW w:w="708" w:type="dxa"/>
            <w:vAlign w:val="bottom"/>
          </w:tcPr>
          <w:p w14:paraId="7D90FDA9" w14:textId="77777777" w:rsidR="001D5DDB" w:rsidRPr="00D272CC" w:rsidRDefault="001D5DDB" w:rsidP="001D5DDB">
            <w:pPr>
              <w:pStyle w:val="Tablesmall"/>
              <w:jc w:val="center"/>
            </w:pPr>
            <w:r w:rsidRPr="00D272CC">
              <w:t>5/3</w:t>
            </w:r>
          </w:p>
        </w:tc>
      </w:tr>
      <w:tr w:rsidR="001D5DDB" w:rsidRPr="00D272CC" w14:paraId="403496A2" w14:textId="77777777" w:rsidTr="001D5DDB">
        <w:tc>
          <w:tcPr>
            <w:tcW w:w="709" w:type="dxa"/>
          </w:tcPr>
          <w:p w14:paraId="09BFF0D6" w14:textId="77777777" w:rsidR="001D5DDB" w:rsidRPr="00D272CC" w:rsidRDefault="001D5DDB" w:rsidP="00F33403">
            <w:pPr>
              <w:pStyle w:val="Tablesmall"/>
              <w:jc w:val="center"/>
            </w:pPr>
          </w:p>
        </w:tc>
        <w:tc>
          <w:tcPr>
            <w:tcW w:w="2977" w:type="dxa"/>
          </w:tcPr>
          <w:p w14:paraId="23870195" w14:textId="77777777" w:rsidR="001D5DDB" w:rsidRPr="00D272CC" w:rsidRDefault="001D5DDB" w:rsidP="00F33403">
            <w:pPr>
              <w:pStyle w:val="Tablesmall"/>
            </w:pPr>
          </w:p>
        </w:tc>
        <w:tc>
          <w:tcPr>
            <w:tcW w:w="467" w:type="dxa"/>
            <w:vAlign w:val="bottom"/>
          </w:tcPr>
          <w:p w14:paraId="0D5481AE" w14:textId="77777777" w:rsidR="001D5DDB" w:rsidRPr="00D272CC" w:rsidRDefault="001D5DDB" w:rsidP="001D5DDB">
            <w:pPr>
              <w:pStyle w:val="Tablesmall"/>
              <w:jc w:val="center"/>
            </w:pPr>
          </w:p>
        </w:tc>
        <w:tc>
          <w:tcPr>
            <w:tcW w:w="468" w:type="dxa"/>
            <w:vAlign w:val="bottom"/>
          </w:tcPr>
          <w:p w14:paraId="7DFFADCC" w14:textId="77777777" w:rsidR="001D5DDB" w:rsidRPr="00D272CC" w:rsidRDefault="001D5DDB" w:rsidP="001D5DDB">
            <w:pPr>
              <w:pStyle w:val="Tablesmall"/>
              <w:jc w:val="center"/>
            </w:pPr>
          </w:p>
        </w:tc>
        <w:tc>
          <w:tcPr>
            <w:tcW w:w="468" w:type="dxa"/>
            <w:vAlign w:val="bottom"/>
          </w:tcPr>
          <w:p w14:paraId="54BB7726" w14:textId="77777777" w:rsidR="001D5DDB" w:rsidRPr="00D272CC" w:rsidRDefault="001D5DDB" w:rsidP="001D5DDB">
            <w:pPr>
              <w:pStyle w:val="Tablesmall"/>
              <w:jc w:val="center"/>
            </w:pPr>
          </w:p>
        </w:tc>
        <w:tc>
          <w:tcPr>
            <w:tcW w:w="468" w:type="dxa"/>
            <w:vAlign w:val="bottom"/>
          </w:tcPr>
          <w:p w14:paraId="36D6D960" w14:textId="77777777" w:rsidR="001D5DDB" w:rsidRPr="00D272CC" w:rsidRDefault="001D5DDB" w:rsidP="001D5DDB">
            <w:pPr>
              <w:pStyle w:val="Tablesmall"/>
              <w:jc w:val="center"/>
            </w:pPr>
          </w:p>
        </w:tc>
        <w:tc>
          <w:tcPr>
            <w:tcW w:w="468" w:type="dxa"/>
            <w:vAlign w:val="bottom"/>
          </w:tcPr>
          <w:p w14:paraId="6B5E1948" w14:textId="77777777" w:rsidR="001D5DDB" w:rsidRPr="00D272CC" w:rsidRDefault="001D5DDB" w:rsidP="001D5DDB">
            <w:pPr>
              <w:pStyle w:val="Tablesmall"/>
              <w:jc w:val="center"/>
            </w:pPr>
          </w:p>
        </w:tc>
        <w:tc>
          <w:tcPr>
            <w:tcW w:w="467" w:type="dxa"/>
            <w:vAlign w:val="bottom"/>
          </w:tcPr>
          <w:p w14:paraId="13FCBE18" w14:textId="77777777" w:rsidR="001D5DDB" w:rsidRPr="00D272CC" w:rsidRDefault="001D5DDB" w:rsidP="001D5DDB">
            <w:pPr>
              <w:pStyle w:val="Tablesmall"/>
              <w:jc w:val="center"/>
            </w:pPr>
          </w:p>
        </w:tc>
        <w:tc>
          <w:tcPr>
            <w:tcW w:w="468" w:type="dxa"/>
            <w:vAlign w:val="bottom"/>
          </w:tcPr>
          <w:p w14:paraId="62155796" w14:textId="77777777" w:rsidR="001D5DDB" w:rsidRPr="00D272CC" w:rsidRDefault="001D5DDB" w:rsidP="001D5DDB">
            <w:pPr>
              <w:pStyle w:val="Tablesmall"/>
              <w:jc w:val="center"/>
            </w:pPr>
          </w:p>
        </w:tc>
        <w:tc>
          <w:tcPr>
            <w:tcW w:w="468" w:type="dxa"/>
            <w:vAlign w:val="bottom"/>
          </w:tcPr>
          <w:p w14:paraId="67CE1086" w14:textId="77777777" w:rsidR="001D5DDB" w:rsidRPr="00D272CC" w:rsidRDefault="001D5DDB" w:rsidP="001D5DDB">
            <w:pPr>
              <w:pStyle w:val="Tablesmall"/>
              <w:jc w:val="center"/>
            </w:pPr>
          </w:p>
        </w:tc>
        <w:tc>
          <w:tcPr>
            <w:tcW w:w="468" w:type="dxa"/>
            <w:vAlign w:val="bottom"/>
          </w:tcPr>
          <w:p w14:paraId="675CC842" w14:textId="77777777" w:rsidR="001D5DDB" w:rsidRPr="00D272CC" w:rsidRDefault="001D5DDB" w:rsidP="001D5DDB">
            <w:pPr>
              <w:pStyle w:val="Tablesmall"/>
              <w:jc w:val="center"/>
            </w:pPr>
          </w:p>
        </w:tc>
        <w:tc>
          <w:tcPr>
            <w:tcW w:w="468" w:type="dxa"/>
            <w:vAlign w:val="bottom"/>
          </w:tcPr>
          <w:p w14:paraId="6D7B752C" w14:textId="77777777" w:rsidR="001D5DDB" w:rsidRPr="00D272CC" w:rsidRDefault="001D5DDB" w:rsidP="001D5DDB">
            <w:pPr>
              <w:pStyle w:val="Tablesmall"/>
              <w:jc w:val="center"/>
            </w:pPr>
          </w:p>
        </w:tc>
        <w:tc>
          <w:tcPr>
            <w:tcW w:w="708" w:type="dxa"/>
            <w:vAlign w:val="bottom"/>
          </w:tcPr>
          <w:p w14:paraId="344B1A16" w14:textId="77777777" w:rsidR="001D5DDB" w:rsidRPr="00D272CC" w:rsidRDefault="001D5DDB" w:rsidP="001D5DDB">
            <w:pPr>
              <w:pStyle w:val="Tablesmall"/>
              <w:jc w:val="center"/>
            </w:pPr>
          </w:p>
        </w:tc>
      </w:tr>
      <w:tr w:rsidR="001D5DDB" w:rsidRPr="00D272CC" w14:paraId="21F63F6B" w14:textId="77777777" w:rsidTr="001D5DDB">
        <w:tc>
          <w:tcPr>
            <w:tcW w:w="709" w:type="dxa"/>
          </w:tcPr>
          <w:p w14:paraId="3C839A1F" w14:textId="77777777" w:rsidR="001D5DDB" w:rsidRPr="00D272CC" w:rsidRDefault="001D5DDB" w:rsidP="00F33403">
            <w:pPr>
              <w:pStyle w:val="Tablesmall"/>
              <w:jc w:val="center"/>
            </w:pPr>
            <w:r w:rsidRPr="00D272CC">
              <w:t>5</w:t>
            </w:r>
          </w:p>
        </w:tc>
        <w:tc>
          <w:tcPr>
            <w:tcW w:w="2977" w:type="dxa"/>
          </w:tcPr>
          <w:p w14:paraId="1FBC65DD" w14:textId="77777777" w:rsidR="001D5DDB" w:rsidRPr="00D272CC" w:rsidRDefault="001D5DDB" w:rsidP="00304630">
            <w:pPr>
              <w:pStyle w:val="Tablesmall"/>
            </w:pPr>
            <w:r w:rsidRPr="00D272CC">
              <w:t>Liquidity order</w:t>
            </w:r>
          </w:p>
        </w:tc>
        <w:tc>
          <w:tcPr>
            <w:tcW w:w="467" w:type="dxa"/>
            <w:vAlign w:val="bottom"/>
          </w:tcPr>
          <w:p w14:paraId="199C9785" w14:textId="77777777" w:rsidR="001D5DDB" w:rsidRPr="00D272CC" w:rsidRDefault="001D5DDB" w:rsidP="001D5DDB">
            <w:pPr>
              <w:pStyle w:val="Tablesmall"/>
              <w:jc w:val="center"/>
            </w:pPr>
            <w:r w:rsidRPr="00D272CC">
              <w:t>0</w:t>
            </w:r>
          </w:p>
        </w:tc>
        <w:tc>
          <w:tcPr>
            <w:tcW w:w="468" w:type="dxa"/>
            <w:vAlign w:val="bottom"/>
          </w:tcPr>
          <w:p w14:paraId="276D80B1" w14:textId="77777777" w:rsidR="001D5DDB" w:rsidRPr="00D272CC" w:rsidRDefault="001D5DDB" w:rsidP="001D5DDB">
            <w:pPr>
              <w:pStyle w:val="Tablesmall"/>
              <w:jc w:val="center"/>
            </w:pPr>
            <w:r w:rsidRPr="00D272CC">
              <w:t>0</w:t>
            </w:r>
          </w:p>
        </w:tc>
        <w:tc>
          <w:tcPr>
            <w:tcW w:w="468" w:type="dxa"/>
            <w:vAlign w:val="bottom"/>
          </w:tcPr>
          <w:p w14:paraId="2EEEC2B2" w14:textId="77777777" w:rsidR="001D5DDB" w:rsidRPr="00D272CC" w:rsidRDefault="001D5DDB" w:rsidP="001D5DDB">
            <w:pPr>
              <w:pStyle w:val="Tablesmall"/>
              <w:jc w:val="center"/>
            </w:pPr>
            <w:r w:rsidRPr="00D272CC">
              <w:t>0</w:t>
            </w:r>
          </w:p>
        </w:tc>
        <w:tc>
          <w:tcPr>
            <w:tcW w:w="468" w:type="dxa"/>
            <w:vAlign w:val="bottom"/>
          </w:tcPr>
          <w:p w14:paraId="18AFE994" w14:textId="77777777" w:rsidR="001D5DDB" w:rsidRPr="00D272CC" w:rsidRDefault="001D5DDB" w:rsidP="001D5DDB">
            <w:pPr>
              <w:pStyle w:val="Tablesmall"/>
              <w:jc w:val="center"/>
            </w:pPr>
            <w:r w:rsidRPr="00D272CC">
              <w:t>1</w:t>
            </w:r>
          </w:p>
        </w:tc>
        <w:tc>
          <w:tcPr>
            <w:tcW w:w="468" w:type="dxa"/>
            <w:vAlign w:val="bottom"/>
          </w:tcPr>
          <w:p w14:paraId="2FA08E1C" w14:textId="77777777" w:rsidR="001D5DDB" w:rsidRPr="00D272CC" w:rsidRDefault="001D5DDB" w:rsidP="001D5DDB">
            <w:pPr>
              <w:pStyle w:val="Tablesmall"/>
              <w:jc w:val="center"/>
            </w:pPr>
            <w:r w:rsidRPr="00D272CC">
              <w:t>1</w:t>
            </w:r>
          </w:p>
        </w:tc>
        <w:tc>
          <w:tcPr>
            <w:tcW w:w="467" w:type="dxa"/>
            <w:vAlign w:val="bottom"/>
          </w:tcPr>
          <w:p w14:paraId="3D789C9E" w14:textId="77777777" w:rsidR="001D5DDB" w:rsidRPr="00D272CC" w:rsidRDefault="001D5DDB" w:rsidP="001D5DDB">
            <w:pPr>
              <w:pStyle w:val="Tablesmall"/>
              <w:jc w:val="center"/>
            </w:pPr>
            <w:r w:rsidRPr="00D272CC">
              <w:t>0</w:t>
            </w:r>
          </w:p>
        </w:tc>
        <w:tc>
          <w:tcPr>
            <w:tcW w:w="468" w:type="dxa"/>
            <w:vAlign w:val="bottom"/>
          </w:tcPr>
          <w:p w14:paraId="571D2812" w14:textId="77777777" w:rsidR="001D5DDB" w:rsidRPr="00D272CC" w:rsidRDefault="001D5DDB" w:rsidP="001D5DDB">
            <w:pPr>
              <w:pStyle w:val="Tablesmall"/>
              <w:jc w:val="center"/>
            </w:pPr>
            <w:r w:rsidRPr="00D272CC">
              <w:t>2</w:t>
            </w:r>
          </w:p>
        </w:tc>
        <w:tc>
          <w:tcPr>
            <w:tcW w:w="468" w:type="dxa"/>
            <w:vAlign w:val="bottom"/>
          </w:tcPr>
          <w:p w14:paraId="1497301B" w14:textId="77777777" w:rsidR="001D5DDB" w:rsidRPr="00D272CC" w:rsidRDefault="001D5DDB" w:rsidP="001D5DDB">
            <w:pPr>
              <w:pStyle w:val="Tablesmall"/>
              <w:jc w:val="center"/>
            </w:pPr>
            <w:r w:rsidRPr="00D272CC">
              <w:t>1</w:t>
            </w:r>
          </w:p>
        </w:tc>
        <w:tc>
          <w:tcPr>
            <w:tcW w:w="468" w:type="dxa"/>
            <w:vAlign w:val="bottom"/>
          </w:tcPr>
          <w:p w14:paraId="071D2F10" w14:textId="77777777" w:rsidR="001D5DDB" w:rsidRPr="00D272CC" w:rsidRDefault="001D5DDB" w:rsidP="001D5DDB">
            <w:pPr>
              <w:pStyle w:val="Tablesmall"/>
              <w:jc w:val="center"/>
            </w:pPr>
            <w:r w:rsidRPr="00D272CC">
              <w:t>0</w:t>
            </w:r>
          </w:p>
        </w:tc>
        <w:tc>
          <w:tcPr>
            <w:tcW w:w="468" w:type="dxa"/>
            <w:vAlign w:val="bottom"/>
          </w:tcPr>
          <w:p w14:paraId="05A33595" w14:textId="77777777" w:rsidR="001D5DDB" w:rsidRPr="00D272CC" w:rsidRDefault="001D5DDB" w:rsidP="001D5DDB">
            <w:pPr>
              <w:pStyle w:val="Tablesmall"/>
              <w:jc w:val="center"/>
            </w:pPr>
            <w:r w:rsidRPr="00D272CC">
              <w:t>1</w:t>
            </w:r>
          </w:p>
        </w:tc>
        <w:tc>
          <w:tcPr>
            <w:tcW w:w="708" w:type="dxa"/>
            <w:vAlign w:val="bottom"/>
          </w:tcPr>
          <w:p w14:paraId="614B5484" w14:textId="77777777" w:rsidR="001D5DDB" w:rsidRPr="00D272CC" w:rsidRDefault="001D5DDB" w:rsidP="001D5DDB">
            <w:pPr>
              <w:pStyle w:val="Tablesmall"/>
              <w:jc w:val="center"/>
            </w:pPr>
            <w:r w:rsidRPr="00D272CC">
              <w:t>6 (5)</w:t>
            </w:r>
          </w:p>
        </w:tc>
      </w:tr>
      <w:tr w:rsidR="001D5DDB" w:rsidRPr="00D272CC" w14:paraId="3989BAC3" w14:textId="77777777" w:rsidTr="001D5DDB">
        <w:tc>
          <w:tcPr>
            <w:tcW w:w="709" w:type="dxa"/>
          </w:tcPr>
          <w:p w14:paraId="7EEBC22F" w14:textId="77777777" w:rsidR="001D5DDB" w:rsidRPr="00D272CC" w:rsidRDefault="001D5DDB" w:rsidP="00F33403">
            <w:pPr>
              <w:pStyle w:val="Tablesmall"/>
              <w:jc w:val="center"/>
            </w:pPr>
          </w:p>
        </w:tc>
        <w:tc>
          <w:tcPr>
            <w:tcW w:w="2977" w:type="dxa"/>
          </w:tcPr>
          <w:p w14:paraId="35858EDE" w14:textId="77777777" w:rsidR="001D5DDB" w:rsidRPr="00D272CC" w:rsidRDefault="001D5DDB" w:rsidP="00F33403">
            <w:pPr>
              <w:pStyle w:val="Tablesmall"/>
            </w:pPr>
            <w:r w:rsidRPr="00D272CC">
              <w:t>- from (a) to (b) / (b) to (a)</w:t>
            </w:r>
          </w:p>
        </w:tc>
        <w:tc>
          <w:tcPr>
            <w:tcW w:w="467" w:type="dxa"/>
            <w:vAlign w:val="bottom"/>
          </w:tcPr>
          <w:p w14:paraId="5FC6B5FC" w14:textId="77777777" w:rsidR="001D5DDB" w:rsidRPr="00D272CC" w:rsidRDefault="001D5DDB" w:rsidP="001D5DDB">
            <w:pPr>
              <w:pStyle w:val="Tablesmall"/>
              <w:jc w:val="center"/>
            </w:pPr>
            <w:r w:rsidRPr="00D272CC">
              <w:t>0/0</w:t>
            </w:r>
          </w:p>
        </w:tc>
        <w:tc>
          <w:tcPr>
            <w:tcW w:w="468" w:type="dxa"/>
            <w:vAlign w:val="bottom"/>
          </w:tcPr>
          <w:p w14:paraId="65406E7E" w14:textId="77777777" w:rsidR="001D5DDB" w:rsidRPr="00D272CC" w:rsidRDefault="001D5DDB" w:rsidP="001D5DDB">
            <w:pPr>
              <w:pStyle w:val="Tablesmall"/>
              <w:jc w:val="center"/>
            </w:pPr>
            <w:r w:rsidRPr="00D272CC">
              <w:t>0/0</w:t>
            </w:r>
          </w:p>
        </w:tc>
        <w:tc>
          <w:tcPr>
            <w:tcW w:w="468" w:type="dxa"/>
            <w:vAlign w:val="bottom"/>
          </w:tcPr>
          <w:p w14:paraId="73DBD1D4" w14:textId="77777777" w:rsidR="001D5DDB" w:rsidRPr="00D272CC" w:rsidRDefault="001D5DDB" w:rsidP="001D5DDB">
            <w:pPr>
              <w:pStyle w:val="Tablesmall"/>
              <w:jc w:val="center"/>
            </w:pPr>
            <w:r w:rsidRPr="00D272CC">
              <w:t>0/0</w:t>
            </w:r>
          </w:p>
        </w:tc>
        <w:tc>
          <w:tcPr>
            <w:tcW w:w="468" w:type="dxa"/>
            <w:vAlign w:val="bottom"/>
          </w:tcPr>
          <w:p w14:paraId="530DAE19" w14:textId="77777777" w:rsidR="001D5DDB" w:rsidRPr="00D272CC" w:rsidRDefault="001D5DDB" w:rsidP="001D5DDB">
            <w:pPr>
              <w:pStyle w:val="Tablesmall"/>
              <w:jc w:val="center"/>
            </w:pPr>
            <w:r w:rsidRPr="00D272CC">
              <w:t>0/1</w:t>
            </w:r>
          </w:p>
        </w:tc>
        <w:tc>
          <w:tcPr>
            <w:tcW w:w="468" w:type="dxa"/>
            <w:vAlign w:val="bottom"/>
          </w:tcPr>
          <w:p w14:paraId="4EDCC721" w14:textId="77777777" w:rsidR="001D5DDB" w:rsidRPr="00D272CC" w:rsidRDefault="001D5DDB" w:rsidP="001D5DDB">
            <w:pPr>
              <w:pStyle w:val="Tablesmall"/>
              <w:jc w:val="center"/>
            </w:pPr>
            <w:r w:rsidRPr="00D272CC">
              <w:t>0/1</w:t>
            </w:r>
          </w:p>
        </w:tc>
        <w:tc>
          <w:tcPr>
            <w:tcW w:w="467" w:type="dxa"/>
            <w:vAlign w:val="bottom"/>
          </w:tcPr>
          <w:p w14:paraId="06D012DC" w14:textId="77777777" w:rsidR="001D5DDB" w:rsidRPr="00D272CC" w:rsidRDefault="001D5DDB" w:rsidP="001D5DDB">
            <w:pPr>
              <w:pStyle w:val="Tablesmall"/>
              <w:jc w:val="center"/>
            </w:pPr>
            <w:r w:rsidRPr="00D272CC">
              <w:t>0/0</w:t>
            </w:r>
          </w:p>
        </w:tc>
        <w:tc>
          <w:tcPr>
            <w:tcW w:w="468" w:type="dxa"/>
            <w:vAlign w:val="bottom"/>
          </w:tcPr>
          <w:p w14:paraId="77703B8A" w14:textId="77777777" w:rsidR="001D5DDB" w:rsidRPr="00D272CC" w:rsidRDefault="001D5DDB" w:rsidP="001D5DDB">
            <w:pPr>
              <w:pStyle w:val="Tablesmall"/>
              <w:jc w:val="center"/>
            </w:pPr>
            <w:r w:rsidRPr="00D272CC">
              <w:t>0/2</w:t>
            </w:r>
          </w:p>
        </w:tc>
        <w:tc>
          <w:tcPr>
            <w:tcW w:w="468" w:type="dxa"/>
            <w:vAlign w:val="bottom"/>
          </w:tcPr>
          <w:p w14:paraId="27A91120" w14:textId="77777777" w:rsidR="001D5DDB" w:rsidRPr="00D272CC" w:rsidRDefault="001D5DDB" w:rsidP="001D5DDB">
            <w:pPr>
              <w:pStyle w:val="Tablesmall"/>
              <w:jc w:val="center"/>
            </w:pPr>
            <w:r w:rsidRPr="00D272CC">
              <w:t>0/1</w:t>
            </w:r>
          </w:p>
        </w:tc>
        <w:tc>
          <w:tcPr>
            <w:tcW w:w="468" w:type="dxa"/>
            <w:vAlign w:val="bottom"/>
          </w:tcPr>
          <w:p w14:paraId="1C02B2FF" w14:textId="77777777" w:rsidR="001D5DDB" w:rsidRPr="00D272CC" w:rsidRDefault="001D5DDB" w:rsidP="001D5DDB">
            <w:pPr>
              <w:pStyle w:val="Tablesmall"/>
              <w:jc w:val="center"/>
            </w:pPr>
            <w:r w:rsidRPr="00D272CC">
              <w:t>0/0</w:t>
            </w:r>
          </w:p>
        </w:tc>
        <w:tc>
          <w:tcPr>
            <w:tcW w:w="468" w:type="dxa"/>
            <w:vAlign w:val="bottom"/>
          </w:tcPr>
          <w:p w14:paraId="2E99A738" w14:textId="77777777" w:rsidR="001D5DDB" w:rsidRPr="00D272CC" w:rsidRDefault="001D5DDB" w:rsidP="001D5DDB">
            <w:pPr>
              <w:pStyle w:val="Tablesmall"/>
              <w:jc w:val="center"/>
            </w:pPr>
            <w:r w:rsidRPr="00D272CC">
              <w:t>0/1</w:t>
            </w:r>
          </w:p>
        </w:tc>
        <w:tc>
          <w:tcPr>
            <w:tcW w:w="708" w:type="dxa"/>
            <w:vAlign w:val="bottom"/>
          </w:tcPr>
          <w:p w14:paraId="57B0ED3A" w14:textId="77777777" w:rsidR="001D5DDB" w:rsidRPr="00D272CC" w:rsidRDefault="001D5DDB" w:rsidP="001D5DDB">
            <w:pPr>
              <w:pStyle w:val="Tablesmall"/>
              <w:jc w:val="center"/>
            </w:pPr>
            <w:r w:rsidRPr="00D272CC">
              <w:t>0/6</w:t>
            </w:r>
          </w:p>
        </w:tc>
      </w:tr>
      <w:tr w:rsidR="001D5DDB" w:rsidRPr="00D272CC" w14:paraId="19502651" w14:textId="77777777" w:rsidTr="001D5DDB">
        <w:tc>
          <w:tcPr>
            <w:tcW w:w="709" w:type="dxa"/>
          </w:tcPr>
          <w:p w14:paraId="73CEABDF" w14:textId="77777777" w:rsidR="001D5DDB" w:rsidRPr="00D272CC" w:rsidRDefault="001D5DDB" w:rsidP="00F33403">
            <w:pPr>
              <w:pStyle w:val="Tablesmall"/>
              <w:jc w:val="center"/>
            </w:pPr>
          </w:p>
        </w:tc>
        <w:tc>
          <w:tcPr>
            <w:tcW w:w="2977" w:type="dxa"/>
          </w:tcPr>
          <w:p w14:paraId="5AA46C77" w14:textId="77777777" w:rsidR="001D5DDB" w:rsidRPr="00D272CC" w:rsidRDefault="001D5DDB" w:rsidP="00F33403">
            <w:pPr>
              <w:pStyle w:val="Tablesmall"/>
            </w:pPr>
          </w:p>
        </w:tc>
        <w:tc>
          <w:tcPr>
            <w:tcW w:w="467" w:type="dxa"/>
            <w:vAlign w:val="bottom"/>
          </w:tcPr>
          <w:p w14:paraId="70E20524" w14:textId="77777777" w:rsidR="001D5DDB" w:rsidRPr="00D272CC" w:rsidRDefault="001D5DDB" w:rsidP="001D5DDB">
            <w:pPr>
              <w:pStyle w:val="Tablesmall"/>
              <w:jc w:val="center"/>
            </w:pPr>
          </w:p>
        </w:tc>
        <w:tc>
          <w:tcPr>
            <w:tcW w:w="468" w:type="dxa"/>
            <w:vAlign w:val="bottom"/>
          </w:tcPr>
          <w:p w14:paraId="29EC3635" w14:textId="77777777" w:rsidR="001D5DDB" w:rsidRPr="00D272CC" w:rsidRDefault="001D5DDB" w:rsidP="001D5DDB">
            <w:pPr>
              <w:pStyle w:val="Tablesmall"/>
              <w:jc w:val="center"/>
            </w:pPr>
          </w:p>
        </w:tc>
        <w:tc>
          <w:tcPr>
            <w:tcW w:w="468" w:type="dxa"/>
            <w:vAlign w:val="bottom"/>
          </w:tcPr>
          <w:p w14:paraId="65E85A1B" w14:textId="77777777" w:rsidR="001D5DDB" w:rsidRPr="00D272CC" w:rsidRDefault="001D5DDB" w:rsidP="001D5DDB">
            <w:pPr>
              <w:pStyle w:val="Tablesmall"/>
              <w:jc w:val="center"/>
            </w:pPr>
          </w:p>
        </w:tc>
        <w:tc>
          <w:tcPr>
            <w:tcW w:w="468" w:type="dxa"/>
            <w:vAlign w:val="bottom"/>
          </w:tcPr>
          <w:p w14:paraId="1DD5A942" w14:textId="77777777" w:rsidR="001D5DDB" w:rsidRPr="00D272CC" w:rsidRDefault="001D5DDB" w:rsidP="001D5DDB">
            <w:pPr>
              <w:pStyle w:val="Tablesmall"/>
              <w:jc w:val="center"/>
            </w:pPr>
          </w:p>
        </w:tc>
        <w:tc>
          <w:tcPr>
            <w:tcW w:w="468" w:type="dxa"/>
            <w:vAlign w:val="bottom"/>
          </w:tcPr>
          <w:p w14:paraId="28CB0E96" w14:textId="77777777" w:rsidR="001D5DDB" w:rsidRPr="00D272CC" w:rsidRDefault="001D5DDB" w:rsidP="001D5DDB">
            <w:pPr>
              <w:pStyle w:val="Tablesmall"/>
              <w:jc w:val="center"/>
            </w:pPr>
          </w:p>
        </w:tc>
        <w:tc>
          <w:tcPr>
            <w:tcW w:w="467" w:type="dxa"/>
            <w:vAlign w:val="bottom"/>
          </w:tcPr>
          <w:p w14:paraId="10FB6085" w14:textId="77777777" w:rsidR="001D5DDB" w:rsidRPr="00D272CC" w:rsidRDefault="001D5DDB" w:rsidP="001D5DDB">
            <w:pPr>
              <w:pStyle w:val="Tablesmall"/>
              <w:jc w:val="center"/>
            </w:pPr>
          </w:p>
        </w:tc>
        <w:tc>
          <w:tcPr>
            <w:tcW w:w="468" w:type="dxa"/>
            <w:vAlign w:val="bottom"/>
          </w:tcPr>
          <w:p w14:paraId="16B2817F" w14:textId="77777777" w:rsidR="001D5DDB" w:rsidRPr="00D272CC" w:rsidRDefault="001D5DDB" w:rsidP="001D5DDB">
            <w:pPr>
              <w:pStyle w:val="Tablesmall"/>
              <w:jc w:val="center"/>
            </w:pPr>
          </w:p>
        </w:tc>
        <w:tc>
          <w:tcPr>
            <w:tcW w:w="468" w:type="dxa"/>
            <w:vAlign w:val="bottom"/>
          </w:tcPr>
          <w:p w14:paraId="591E9AEF" w14:textId="77777777" w:rsidR="001D5DDB" w:rsidRPr="00D272CC" w:rsidRDefault="001D5DDB" w:rsidP="001D5DDB">
            <w:pPr>
              <w:pStyle w:val="Tablesmall"/>
              <w:jc w:val="center"/>
            </w:pPr>
          </w:p>
        </w:tc>
        <w:tc>
          <w:tcPr>
            <w:tcW w:w="468" w:type="dxa"/>
            <w:vAlign w:val="bottom"/>
          </w:tcPr>
          <w:p w14:paraId="062AACB4" w14:textId="77777777" w:rsidR="001D5DDB" w:rsidRPr="00D272CC" w:rsidRDefault="001D5DDB" w:rsidP="001D5DDB">
            <w:pPr>
              <w:pStyle w:val="Tablesmall"/>
              <w:jc w:val="center"/>
            </w:pPr>
          </w:p>
        </w:tc>
        <w:tc>
          <w:tcPr>
            <w:tcW w:w="468" w:type="dxa"/>
            <w:vAlign w:val="bottom"/>
          </w:tcPr>
          <w:p w14:paraId="2E301BC1" w14:textId="77777777" w:rsidR="001D5DDB" w:rsidRPr="00D272CC" w:rsidRDefault="001D5DDB" w:rsidP="001D5DDB">
            <w:pPr>
              <w:pStyle w:val="Tablesmall"/>
              <w:jc w:val="center"/>
            </w:pPr>
          </w:p>
        </w:tc>
        <w:tc>
          <w:tcPr>
            <w:tcW w:w="708" w:type="dxa"/>
            <w:vAlign w:val="bottom"/>
          </w:tcPr>
          <w:p w14:paraId="06A594F5" w14:textId="77777777" w:rsidR="001D5DDB" w:rsidRPr="00D272CC" w:rsidRDefault="001D5DDB" w:rsidP="001D5DDB">
            <w:pPr>
              <w:pStyle w:val="Tablesmall"/>
              <w:jc w:val="center"/>
            </w:pPr>
          </w:p>
        </w:tc>
      </w:tr>
      <w:tr w:rsidR="001D5DDB" w:rsidRPr="00D272CC" w14:paraId="4AF44658" w14:textId="77777777" w:rsidTr="001D5DDB">
        <w:tc>
          <w:tcPr>
            <w:tcW w:w="709" w:type="dxa"/>
          </w:tcPr>
          <w:p w14:paraId="32DAA474" w14:textId="77777777" w:rsidR="001D5DDB" w:rsidRPr="00D272CC" w:rsidRDefault="001D5DDB" w:rsidP="00F33403">
            <w:pPr>
              <w:pStyle w:val="Tablesmall"/>
              <w:jc w:val="center"/>
            </w:pPr>
            <w:r w:rsidRPr="00D272CC">
              <w:t>6</w:t>
            </w:r>
          </w:p>
        </w:tc>
        <w:tc>
          <w:tcPr>
            <w:tcW w:w="2977" w:type="dxa"/>
          </w:tcPr>
          <w:p w14:paraId="08E3C45F" w14:textId="77777777" w:rsidR="001D5DDB" w:rsidRPr="00D272CC" w:rsidRDefault="001D5DDB" w:rsidP="00304630">
            <w:pPr>
              <w:pStyle w:val="Tablesmall"/>
            </w:pPr>
            <w:r w:rsidRPr="00D272CC">
              <w:t>OCI or statement of changes in equity</w:t>
            </w:r>
          </w:p>
        </w:tc>
        <w:tc>
          <w:tcPr>
            <w:tcW w:w="467" w:type="dxa"/>
            <w:vAlign w:val="bottom"/>
          </w:tcPr>
          <w:p w14:paraId="24F115E7" w14:textId="77777777" w:rsidR="001D5DDB" w:rsidRPr="00D272CC" w:rsidRDefault="001D5DDB" w:rsidP="001D5DDB">
            <w:pPr>
              <w:pStyle w:val="Tablesmall"/>
              <w:jc w:val="center"/>
            </w:pPr>
            <w:r w:rsidRPr="00D272CC">
              <w:t>3</w:t>
            </w:r>
          </w:p>
        </w:tc>
        <w:tc>
          <w:tcPr>
            <w:tcW w:w="468" w:type="dxa"/>
            <w:vAlign w:val="bottom"/>
          </w:tcPr>
          <w:p w14:paraId="4FE20AE5" w14:textId="77777777" w:rsidR="001D5DDB" w:rsidRPr="00D272CC" w:rsidRDefault="001D5DDB" w:rsidP="001D5DDB">
            <w:pPr>
              <w:pStyle w:val="Tablesmall"/>
              <w:jc w:val="center"/>
            </w:pPr>
            <w:r w:rsidRPr="00D272CC">
              <w:t>6</w:t>
            </w:r>
          </w:p>
        </w:tc>
        <w:tc>
          <w:tcPr>
            <w:tcW w:w="468" w:type="dxa"/>
            <w:vAlign w:val="bottom"/>
          </w:tcPr>
          <w:p w14:paraId="2DC8D413" w14:textId="77777777" w:rsidR="001D5DDB" w:rsidRPr="00D272CC" w:rsidRDefault="001D5DDB" w:rsidP="001D5DDB">
            <w:pPr>
              <w:pStyle w:val="Tablesmall"/>
              <w:jc w:val="center"/>
            </w:pPr>
            <w:r w:rsidRPr="00D272CC">
              <w:t>1</w:t>
            </w:r>
          </w:p>
        </w:tc>
        <w:tc>
          <w:tcPr>
            <w:tcW w:w="468" w:type="dxa"/>
            <w:vAlign w:val="bottom"/>
          </w:tcPr>
          <w:p w14:paraId="0C7CB16D" w14:textId="77777777" w:rsidR="001D5DDB" w:rsidRPr="00D272CC" w:rsidRDefault="001D5DDB" w:rsidP="001D5DDB">
            <w:pPr>
              <w:pStyle w:val="Tablesmall"/>
              <w:jc w:val="center"/>
            </w:pPr>
            <w:r w:rsidRPr="00D272CC">
              <w:t>13</w:t>
            </w:r>
          </w:p>
        </w:tc>
        <w:tc>
          <w:tcPr>
            <w:tcW w:w="468" w:type="dxa"/>
            <w:vAlign w:val="bottom"/>
          </w:tcPr>
          <w:p w14:paraId="26AF51E1" w14:textId="77777777" w:rsidR="001D5DDB" w:rsidRPr="00D272CC" w:rsidRDefault="001D5DDB" w:rsidP="001D5DDB">
            <w:pPr>
              <w:pStyle w:val="Tablesmall"/>
              <w:jc w:val="center"/>
            </w:pPr>
            <w:r w:rsidRPr="00D272CC">
              <w:t>20</w:t>
            </w:r>
          </w:p>
        </w:tc>
        <w:tc>
          <w:tcPr>
            <w:tcW w:w="467" w:type="dxa"/>
            <w:vAlign w:val="bottom"/>
          </w:tcPr>
          <w:p w14:paraId="2EE4EFD1" w14:textId="77777777" w:rsidR="001D5DDB" w:rsidRPr="00D272CC" w:rsidRDefault="001D5DDB" w:rsidP="001D5DDB">
            <w:pPr>
              <w:pStyle w:val="Tablesmall"/>
              <w:jc w:val="center"/>
            </w:pPr>
            <w:r w:rsidRPr="00D272CC">
              <w:t>19</w:t>
            </w:r>
          </w:p>
        </w:tc>
        <w:tc>
          <w:tcPr>
            <w:tcW w:w="468" w:type="dxa"/>
            <w:vAlign w:val="bottom"/>
          </w:tcPr>
          <w:p w14:paraId="1FD0FEEB" w14:textId="77777777" w:rsidR="001D5DDB" w:rsidRPr="00D272CC" w:rsidRDefault="001D5DDB" w:rsidP="001D5DDB">
            <w:pPr>
              <w:pStyle w:val="Tablesmall"/>
              <w:jc w:val="center"/>
            </w:pPr>
            <w:r w:rsidRPr="00D272CC">
              <w:t>9</w:t>
            </w:r>
          </w:p>
        </w:tc>
        <w:tc>
          <w:tcPr>
            <w:tcW w:w="468" w:type="dxa"/>
            <w:vAlign w:val="bottom"/>
          </w:tcPr>
          <w:p w14:paraId="2FD0369E" w14:textId="77777777" w:rsidR="001D5DDB" w:rsidRPr="00D272CC" w:rsidRDefault="001D5DDB" w:rsidP="001D5DDB">
            <w:pPr>
              <w:pStyle w:val="Tablesmall"/>
              <w:jc w:val="center"/>
            </w:pPr>
            <w:r w:rsidRPr="00D272CC">
              <w:t>6</w:t>
            </w:r>
          </w:p>
        </w:tc>
        <w:tc>
          <w:tcPr>
            <w:tcW w:w="468" w:type="dxa"/>
            <w:vAlign w:val="bottom"/>
          </w:tcPr>
          <w:p w14:paraId="61CC1C8B" w14:textId="77777777" w:rsidR="001D5DDB" w:rsidRPr="00D272CC" w:rsidRDefault="001D5DDB" w:rsidP="001D5DDB">
            <w:pPr>
              <w:pStyle w:val="Tablesmall"/>
              <w:jc w:val="center"/>
            </w:pPr>
            <w:r w:rsidRPr="00D272CC">
              <w:t>6</w:t>
            </w:r>
          </w:p>
        </w:tc>
        <w:tc>
          <w:tcPr>
            <w:tcW w:w="468" w:type="dxa"/>
            <w:vAlign w:val="bottom"/>
          </w:tcPr>
          <w:p w14:paraId="6E6FF5D5" w14:textId="77777777" w:rsidR="001D5DDB" w:rsidRPr="00D272CC" w:rsidRDefault="001D5DDB" w:rsidP="001D5DDB">
            <w:pPr>
              <w:pStyle w:val="Tablesmall"/>
              <w:jc w:val="center"/>
            </w:pPr>
            <w:r w:rsidRPr="00D272CC">
              <w:t>12</w:t>
            </w:r>
          </w:p>
        </w:tc>
        <w:tc>
          <w:tcPr>
            <w:tcW w:w="708" w:type="dxa"/>
            <w:vAlign w:val="bottom"/>
          </w:tcPr>
          <w:p w14:paraId="5836D773" w14:textId="77777777" w:rsidR="001D5DDB" w:rsidRPr="00D272CC" w:rsidRDefault="001D5DDB" w:rsidP="001D5DDB">
            <w:pPr>
              <w:pStyle w:val="Tablesmall"/>
              <w:jc w:val="center"/>
            </w:pPr>
            <w:r w:rsidRPr="00D272CC">
              <w:t>95 (3</w:t>
            </w:r>
            <w:r w:rsidR="00901431" w:rsidRPr="00D272CC">
              <w:t>1</w:t>
            </w:r>
            <w:r w:rsidRPr="00D272CC">
              <w:t>)</w:t>
            </w:r>
          </w:p>
        </w:tc>
      </w:tr>
      <w:tr w:rsidR="001D5DDB" w:rsidRPr="00D272CC" w14:paraId="020C023C" w14:textId="77777777" w:rsidTr="001D5DDB">
        <w:tc>
          <w:tcPr>
            <w:tcW w:w="709" w:type="dxa"/>
          </w:tcPr>
          <w:p w14:paraId="183B8992" w14:textId="77777777" w:rsidR="001D5DDB" w:rsidRPr="00D272CC" w:rsidRDefault="001D5DDB" w:rsidP="00F33403">
            <w:pPr>
              <w:pStyle w:val="Tablesmall"/>
              <w:jc w:val="center"/>
            </w:pPr>
          </w:p>
        </w:tc>
        <w:tc>
          <w:tcPr>
            <w:tcW w:w="2977" w:type="dxa"/>
          </w:tcPr>
          <w:p w14:paraId="3F195339" w14:textId="77777777" w:rsidR="001D5DDB" w:rsidRPr="00D272CC" w:rsidRDefault="001D5DDB" w:rsidP="00F33403">
            <w:pPr>
              <w:pStyle w:val="Tablesmall"/>
            </w:pPr>
            <w:r w:rsidRPr="00D272CC">
              <w:t>- from (a) to (b) / (b) to (a)</w:t>
            </w:r>
          </w:p>
        </w:tc>
        <w:tc>
          <w:tcPr>
            <w:tcW w:w="467" w:type="dxa"/>
            <w:vAlign w:val="bottom"/>
          </w:tcPr>
          <w:p w14:paraId="499A797D" w14:textId="77777777" w:rsidR="001D5DDB" w:rsidRPr="00D272CC" w:rsidRDefault="001D5DDB" w:rsidP="001D5DDB">
            <w:pPr>
              <w:pStyle w:val="Tablesmall"/>
              <w:jc w:val="center"/>
            </w:pPr>
            <w:r w:rsidRPr="00D272CC">
              <w:t>0/2</w:t>
            </w:r>
          </w:p>
        </w:tc>
        <w:tc>
          <w:tcPr>
            <w:tcW w:w="468" w:type="dxa"/>
            <w:vAlign w:val="bottom"/>
          </w:tcPr>
          <w:p w14:paraId="46338AB3" w14:textId="77777777" w:rsidR="001D5DDB" w:rsidRPr="00D272CC" w:rsidRDefault="001D5DDB" w:rsidP="001D5DDB">
            <w:pPr>
              <w:pStyle w:val="Tablesmall"/>
              <w:jc w:val="center"/>
            </w:pPr>
            <w:r w:rsidRPr="00D272CC">
              <w:t>0/1</w:t>
            </w:r>
          </w:p>
        </w:tc>
        <w:tc>
          <w:tcPr>
            <w:tcW w:w="468" w:type="dxa"/>
            <w:vAlign w:val="bottom"/>
          </w:tcPr>
          <w:p w14:paraId="425CCA25" w14:textId="77777777" w:rsidR="001D5DDB" w:rsidRPr="00D272CC" w:rsidRDefault="001D5DDB" w:rsidP="001D5DDB">
            <w:pPr>
              <w:pStyle w:val="Tablesmall"/>
              <w:jc w:val="center"/>
            </w:pPr>
            <w:r w:rsidRPr="00D272CC">
              <w:t>0/1</w:t>
            </w:r>
          </w:p>
        </w:tc>
        <w:tc>
          <w:tcPr>
            <w:tcW w:w="468" w:type="dxa"/>
            <w:vAlign w:val="bottom"/>
          </w:tcPr>
          <w:p w14:paraId="7CC3D477" w14:textId="77777777" w:rsidR="001D5DDB" w:rsidRPr="00D272CC" w:rsidRDefault="001D5DDB" w:rsidP="001D5DDB">
            <w:pPr>
              <w:pStyle w:val="Tablesmall"/>
              <w:jc w:val="center"/>
            </w:pPr>
            <w:r w:rsidRPr="00D272CC">
              <w:t>0/3</w:t>
            </w:r>
          </w:p>
        </w:tc>
        <w:tc>
          <w:tcPr>
            <w:tcW w:w="468" w:type="dxa"/>
            <w:vAlign w:val="bottom"/>
          </w:tcPr>
          <w:p w14:paraId="7FBAD010" w14:textId="77777777" w:rsidR="001D5DDB" w:rsidRPr="00D272CC" w:rsidRDefault="001D5DDB" w:rsidP="001D5DDB">
            <w:pPr>
              <w:pStyle w:val="Tablesmall"/>
              <w:jc w:val="center"/>
            </w:pPr>
            <w:r w:rsidRPr="00D272CC">
              <w:t>0/8</w:t>
            </w:r>
          </w:p>
        </w:tc>
        <w:tc>
          <w:tcPr>
            <w:tcW w:w="467" w:type="dxa"/>
            <w:vAlign w:val="bottom"/>
          </w:tcPr>
          <w:p w14:paraId="3CCCF950" w14:textId="77777777" w:rsidR="001D5DDB" w:rsidRPr="00D272CC" w:rsidRDefault="001D5DDB" w:rsidP="001D5DDB">
            <w:pPr>
              <w:pStyle w:val="Tablesmall"/>
              <w:jc w:val="center"/>
            </w:pPr>
            <w:r w:rsidRPr="00D272CC">
              <w:t>0/2</w:t>
            </w:r>
          </w:p>
        </w:tc>
        <w:tc>
          <w:tcPr>
            <w:tcW w:w="468" w:type="dxa"/>
            <w:vAlign w:val="bottom"/>
          </w:tcPr>
          <w:p w14:paraId="1E854383" w14:textId="77777777" w:rsidR="001D5DDB" w:rsidRPr="00D272CC" w:rsidRDefault="001D5DDB" w:rsidP="001D5DDB">
            <w:pPr>
              <w:pStyle w:val="Tablesmall"/>
              <w:jc w:val="center"/>
            </w:pPr>
            <w:r w:rsidRPr="00D272CC">
              <w:t>0/6</w:t>
            </w:r>
          </w:p>
        </w:tc>
        <w:tc>
          <w:tcPr>
            <w:tcW w:w="468" w:type="dxa"/>
            <w:vAlign w:val="bottom"/>
          </w:tcPr>
          <w:p w14:paraId="797BBD12" w14:textId="77777777" w:rsidR="001D5DDB" w:rsidRPr="00D272CC" w:rsidRDefault="001D5DDB" w:rsidP="001D5DDB">
            <w:pPr>
              <w:pStyle w:val="Tablesmall"/>
              <w:jc w:val="center"/>
            </w:pPr>
            <w:r w:rsidRPr="00D272CC">
              <w:t>0/4</w:t>
            </w:r>
          </w:p>
        </w:tc>
        <w:tc>
          <w:tcPr>
            <w:tcW w:w="468" w:type="dxa"/>
            <w:vAlign w:val="bottom"/>
          </w:tcPr>
          <w:p w14:paraId="1B115C7E" w14:textId="77777777" w:rsidR="001D5DDB" w:rsidRPr="00D272CC" w:rsidRDefault="001D5DDB" w:rsidP="001D5DDB">
            <w:pPr>
              <w:pStyle w:val="Tablesmall"/>
              <w:jc w:val="center"/>
            </w:pPr>
            <w:r w:rsidRPr="00D272CC">
              <w:t>0/3</w:t>
            </w:r>
          </w:p>
        </w:tc>
        <w:tc>
          <w:tcPr>
            <w:tcW w:w="468" w:type="dxa"/>
            <w:vAlign w:val="bottom"/>
          </w:tcPr>
          <w:p w14:paraId="0416187B" w14:textId="77777777" w:rsidR="001D5DDB" w:rsidRPr="00D272CC" w:rsidRDefault="001D5DDB" w:rsidP="001D5DDB">
            <w:pPr>
              <w:pStyle w:val="Tablesmall"/>
              <w:jc w:val="center"/>
            </w:pPr>
            <w:r w:rsidRPr="00D272CC">
              <w:t>0/2</w:t>
            </w:r>
          </w:p>
        </w:tc>
        <w:tc>
          <w:tcPr>
            <w:tcW w:w="708" w:type="dxa"/>
            <w:vAlign w:val="bottom"/>
          </w:tcPr>
          <w:p w14:paraId="5EB5DDD4" w14:textId="77777777" w:rsidR="001D5DDB" w:rsidRPr="00D272CC" w:rsidRDefault="001D5DDB" w:rsidP="001D5DDB">
            <w:pPr>
              <w:pStyle w:val="Tablesmall"/>
              <w:jc w:val="center"/>
            </w:pPr>
            <w:r w:rsidRPr="00D272CC">
              <w:t>0/32</w:t>
            </w:r>
          </w:p>
        </w:tc>
      </w:tr>
      <w:tr w:rsidR="001D5DDB" w:rsidRPr="00D272CC" w14:paraId="5024B5C1" w14:textId="77777777" w:rsidTr="001D5DDB">
        <w:tc>
          <w:tcPr>
            <w:tcW w:w="709" w:type="dxa"/>
          </w:tcPr>
          <w:p w14:paraId="21BE60B6" w14:textId="77777777" w:rsidR="001D5DDB" w:rsidRPr="00D272CC" w:rsidRDefault="001D5DDB" w:rsidP="00F33403">
            <w:pPr>
              <w:pStyle w:val="Tablesmall"/>
              <w:jc w:val="center"/>
            </w:pPr>
          </w:p>
        </w:tc>
        <w:tc>
          <w:tcPr>
            <w:tcW w:w="2977" w:type="dxa"/>
          </w:tcPr>
          <w:p w14:paraId="1F90E057" w14:textId="77777777" w:rsidR="001D5DDB" w:rsidRPr="00D272CC" w:rsidRDefault="001D5DDB" w:rsidP="00F33403">
            <w:pPr>
              <w:pStyle w:val="Tablesmall"/>
            </w:pPr>
            <w:r w:rsidRPr="00D272CC">
              <w:t>- from (a) to (a+b) / (a+b) to (a)</w:t>
            </w:r>
          </w:p>
        </w:tc>
        <w:tc>
          <w:tcPr>
            <w:tcW w:w="467" w:type="dxa"/>
            <w:vAlign w:val="bottom"/>
          </w:tcPr>
          <w:p w14:paraId="13FB3942" w14:textId="77777777" w:rsidR="001D5DDB" w:rsidRPr="00D272CC" w:rsidRDefault="001D5DDB" w:rsidP="001D5DDB">
            <w:pPr>
              <w:pStyle w:val="Tablesmall"/>
              <w:jc w:val="center"/>
            </w:pPr>
            <w:r w:rsidRPr="00D272CC">
              <w:t>1/0</w:t>
            </w:r>
          </w:p>
        </w:tc>
        <w:tc>
          <w:tcPr>
            <w:tcW w:w="468" w:type="dxa"/>
            <w:vAlign w:val="bottom"/>
          </w:tcPr>
          <w:p w14:paraId="27D04FAD" w14:textId="77777777" w:rsidR="001D5DDB" w:rsidRPr="00D272CC" w:rsidRDefault="001D5DDB" w:rsidP="001D5DDB">
            <w:pPr>
              <w:pStyle w:val="Tablesmall"/>
              <w:jc w:val="center"/>
            </w:pPr>
            <w:r w:rsidRPr="00D272CC">
              <w:t>0/1</w:t>
            </w:r>
          </w:p>
        </w:tc>
        <w:tc>
          <w:tcPr>
            <w:tcW w:w="468" w:type="dxa"/>
            <w:vAlign w:val="bottom"/>
          </w:tcPr>
          <w:p w14:paraId="7D8D6A3F" w14:textId="77777777" w:rsidR="001D5DDB" w:rsidRPr="00D272CC" w:rsidRDefault="001D5DDB" w:rsidP="001D5DDB">
            <w:pPr>
              <w:pStyle w:val="Tablesmall"/>
              <w:jc w:val="center"/>
            </w:pPr>
            <w:r w:rsidRPr="00D272CC">
              <w:t>0/0</w:t>
            </w:r>
          </w:p>
        </w:tc>
        <w:tc>
          <w:tcPr>
            <w:tcW w:w="468" w:type="dxa"/>
            <w:vAlign w:val="bottom"/>
          </w:tcPr>
          <w:p w14:paraId="35320140" w14:textId="77777777" w:rsidR="001D5DDB" w:rsidRPr="00D272CC" w:rsidRDefault="001D5DDB" w:rsidP="001D5DDB">
            <w:pPr>
              <w:pStyle w:val="Tablesmall"/>
              <w:jc w:val="center"/>
            </w:pPr>
            <w:r w:rsidRPr="00D272CC">
              <w:t>1/4</w:t>
            </w:r>
          </w:p>
        </w:tc>
        <w:tc>
          <w:tcPr>
            <w:tcW w:w="468" w:type="dxa"/>
            <w:vAlign w:val="bottom"/>
          </w:tcPr>
          <w:p w14:paraId="5A66D295" w14:textId="77777777" w:rsidR="001D5DDB" w:rsidRPr="00D272CC" w:rsidRDefault="001D5DDB" w:rsidP="001D5DDB">
            <w:pPr>
              <w:pStyle w:val="Tablesmall"/>
              <w:jc w:val="center"/>
            </w:pPr>
            <w:r w:rsidRPr="00D272CC">
              <w:t>7/0</w:t>
            </w:r>
          </w:p>
        </w:tc>
        <w:tc>
          <w:tcPr>
            <w:tcW w:w="467" w:type="dxa"/>
            <w:vAlign w:val="bottom"/>
          </w:tcPr>
          <w:p w14:paraId="35A99245" w14:textId="77777777" w:rsidR="001D5DDB" w:rsidRPr="00D272CC" w:rsidRDefault="001D5DDB" w:rsidP="001D5DDB">
            <w:pPr>
              <w:pStyle w:val="Tablesmall"/>
              <w:jc w:val="center"/>
            </w:pPr>
            <w:r w:rsidRPr="00D272CC">
              <w:t>0/3</w:t>
            </w:r>
          </w:p>
        </w:tc>
        <w:tc>
          <w:tcPr>
            <w:tcW w:w="468" w:type="dxa"/>
            <w:vAlign w:val="bottom"/>
          </w:tcPr>
          <w:p w14:paraId="455D295F" w14:textId="77777777" w:rsidR="001D5DDB" w:rsidRPr="00D272CC" w:rsidRDefault="001D5DDB" w:rsidP="001D5DDB">
            <w:pPr>
              <w:pStyle w:val="Tablesmall"/>
              <w:jc w:val="center"/>
            </w:pPr>
            <w:r w:rsidRPr="00D272CC">
              <w:t>0/3</w:t>
            </w:r>
          </w:p>
        </w:tc>
        <w:tc>
          <w:tcPr>
            <w:tcW w:w="468" w:type="dxa"/>
            <w:vAlign w:val="bottom"/>
          </w:tcPr>
          <w:p w14:paraId="22090638" w14:textId="77777777" w:rsidR="001D5DDB" w:rsidRPr="00D272CC" w:rsidRDefault="001D5DDB" w:rsidP="001D5DDB">
            <w:pPr>
              <w:pStyle w:val="Tablesmall"/>
              <w:jc w:val="center"/>
            </w:pPr>
            <w:r w:rsidRPr="00D272CC">
              <w:t>0/1</w:t>
            </w:r>
          </w:p>
        </w:tc>
        <w:tc>
          <w:tcPr>
            <w:tcW w:w="468" w:type="dxa"/>
            <w:vAlign w:val="bottom"/>
          </w:tcPr>
          <w:p w14:paraId="4F404A9D" w14:textId="77777777" w:rsidR="001D5DDB" w:rsidRPr="00D272CC" w:rsidRDefault="001D5DDB" w:rsidP="001D5DDB">
            <w:pPr>
              <w:pStyle w:val="Tablesmall"/>
              <w:jc w:val="center"/>
            </w:pPr>
            <w:r w:rsidRPr="00D272CC">
              <w:t>0/1</w:t>
            </w:r>
          </w:p>
        </w:tc>
        <w:tc>
          <w:tcPr>
            <w:tcW w:w="468" w:type="dxa"/>
            <w:vAlign w:val="bottom"/>
          </w:tcPr>
          <w:p w14:paraId="707B52AE" w14:textId="77777777" w:rsidR="001D5DDB" w:rsidRPr="00D272CC" w:rsidRDefault="001D5DDB" w:rsidP="001D5DDB">
            <w:pPr>
              <w:pStyle w:val="Tablesmall"/>
              <w:jc w:val="center"/>
            </w:pPr>
            <w:r w:rsidRPr="00D272CC">
              <w:t>4/0</w:t>
            </w:r>
          </w:p>
        </w:tc>
        <w:tc>
          <w:tcPr>
            <w:tcW w:w="708" w:type="dxa"/>
            <w:vAlign w:val="bottom"/>
          </w:tcPr>
          <w:p w14:paraId="461FE1C2" w14:textId="77777777" w:rsidR="001D5DDB" w:rsidRPr="00D272CC" w:rsidRDefault="001D5DDB" w:rsidP="001D5DDB">
            <w:pPr>
              <w:pStyle w:val="Tablesmall"/>
              <w:jc w:val="center"/>
            </w:pPr>
            <w:r w:rsidRPr="00D272CC">
              <w:t>13/13</w:t>
            </w:r>
          </w:p>
        </w:tc>
      </w:tr>
      <w:tr w:rsidR="001D5DDB" w:rsidRPr="00D272CC" w14:paraId="0C461757" w14:textId="77777777" w:rsidTr="001D5DDB">
        <w:tc>
          <w:tcPr>
            <w:tcW w:w="709" w:type="dxa"/>
          </w:tcPr>
          <w:p w14:paraId="2B5D84A2" w14:textId="77777777" w:rsidR="001D5DDB" w:rsidRPr="00D272CC" w:rsidRDefault="001D5DDB" w:rsidP="00F33403">
            <w:pPr>
              <w:pStyle w:val="Tablesmall"/>
              <w:jc w:val="center"/>
            </w:pPr>
          </w:p>
        </w:tc>
        <w:tc>
          <w:tcPr>
            <w:tcW w:w="2977" w:type="dxa"/>
          </w:tcPr>
          <w:p w14:paraId="3DB5F452" w14:textId="77777777" w:rsidR="001D5DDB" w:rsidRPr="00D272CC" w:rsidRDefault="001D5DDB" w:rsidP="00F33403">
            <w:pPr>
              <w:pStyle w:val="Tablesmall"/>
            </w:pPr>
            <w:r w:rsidRPr="00D272CC">
              <w:t>- from (b) to (a+b) / (a+b) to (b)</w:t>
            </w:r>
          </w:p>
        </w:tc>
        <w:tc>
          <w:tcPr>
            <w:tcW w:w="467" w:type="dxa"/>
            <w:vAlign w:val="bottom"/>
          </w:tcPr>
          <w:p w14:paraId="086AD3D8" w14:textId="77777777" w:rsidR="001D5DDB" w:rsidRPr="00D272CC" w:rsidRDefault="001D5DDB" w:rsidP="001D5DDB">
            <w:pPr>
              <w:pStyle w:val="Tablesmall"/>
              <w:jc w:val="center"/>
            </w:pPr>
            <w:r w:rsidRPr="00D272CC">
              <w:t>0/0</w:t>
            </w:r>
          </w:p>
        </w:tc>
        <w:tc>
          <w:tcPr>
            <w:tcW w:w="468" w:type="dxa"/>
            <w:vAlign w:val="bottom"/>
          </w:tcPr>
          <w:p w14:paraId="054DC815" w14:textId="77777777" w:rsidR="001D5DDB" w:rsidRPr="00D272CC" w:rsidRDefault="001D5DDB" w:rsidP="001D5DDB">
            <w:pPr>
              <w:pStyle w:val="Tablesmall"/>
              <w:jc w:val="center"/>
            </w:pPr>
            <w:r w:rsidRPr="00D272CC">
              <w:t>4/0</w:t>
            </w:r>
          </w:p>
        </w:tc>
        <w:tc>
          <w:tcPr>
            <w:tcW w:w="468" w:type="dxa"/>
            <w:vAlign w:val="bottom"/>
          </w:tcPr>
          <w:p w14:paraId="14019377" w14:textId="77777777" w:rsidR="001D5DDB" w:rsidRPr="00D272CC" w:rsidRDefault="001D5DDB" w:rsidP="001D5DDB">
            <w:pPr>
              <w:pStyle w:val="Tablesmall"/>
              <w:jc w:val="center"/>
            </w:pPr>
            <w:r w:rsidRPr="00D272CC">
              <w:t>0/0</w:t>
            </w:r>
          </w:p>
        </w:tc>
        <w:tc>
          <w:tcPr>
            <w:tcW w:w="468" w:type="dxa"/>
            <w:vAlign w:val="bottom"/>
          </w:tcPr>
          <w:p w14:paraId="1B82FACC" w14:textId="77777777" w:rsidR="001D5DDB" w:rsidRPr="00D272CC" w:rsidRDefault="001D5DDB" w:rsidP="001D5DDB">
            <w:pPr>
              <w:pStyle w:val="Tablesmall"/>
              <w:jc w:val="center"/>
            </w:pPr>
            <w:r w:rsidRPr="00D272CC">
              <w:t>5/0</w:t>
            </w:r>
          </w:p>
        </w:tc>
        <w:tc>
          <w:tcPr>
            <w:tcW w:w="468" w:type="dxa"/>
            <w:vAlign w:val="bottom"/>
          </w:tcPr>
          <w:p w14:paraId="0ADC314A" w14:textId="77777777" w:rsidR="001D5DDB" w:rsidRPr="00D272CC" w:rsidRDefault="001D5DDB" w:rsidP="001D5DDB">
            <w:pPr>
              <w:pStyle w:val="Tablesmall"/>
              <w:jc w:val="center"/>
            </w:pPr>
            <w:r w:rsidRPr="00D272CC">
              <w:t>5/0</w:t>
            </w:r>
          </w:p>
        </w:tc>
        <w:tc>
          <w:tcPr>
            <w:tcW w:w="467" w:type="dxa"/>
            <w:vAlign w:val="bottom"/>
          </w:tcPr>
          <w:p w14:paraId="3C5B9ACE" w14:textId="77777777" w:rsidR="001D5DDB" w:rsidRPr="00D272CC" w:rsidRDefault="001D5DDB" w:rsidP="001D5DDB">
            <w:pPr>
              <w:pStyle w:val="Tablesmall"/>
              <w:jc w:val="center"/>
            </w:pPr>
            <w:r w:rsidRPr="00D272CC">
              <w:t>14/0</w:t>
            </w:r>
          </w:p>
        </w:tc>
        <w:tc>
          <w:tcPr>
            <w:tcW w:w="468" w:type="dxa"/>
            <w:vAlign w:val="bottom"/>
          </w:tcPr>
          <w:p w14:paraId="214EB026" w14:textId="77777777" w:rsidR="001D5DDB" w:rsidRPr="00D272CC" w:rsidRDefault="001D5DDB" w:rsidP="001D5DDB">
            <w:pPr>
              <w:pStyle w:val="Tablesmall"/>
              <w:jc w:val="center"/>
            </w:pPr>
            <w:r w:rsidRPr="00D272CC">
              <w:t>0/0</w:t>
            </w:r>
          </w:p>
        </w:tc>
        <w:tc>
          <w:tcPr>
            <w:tcW w:w="468" w:type="dxa"/>
            <w:vAlign w:val="bottom"/>
          </w:tcPr>
          <w:p w14:paraId="62C85714" w14:textId="77777777" w:rsidR="001D5DDB" w:rsidRPr="00D272CC" w:rsidRDefault="001D5DDB" w:rsidP="001D5DDB">
            <w:pPr>
              <w:pStyle w:val="Tablesmall"/>
              <w:jc w:val="center"/>
            </w:pPr>
            <w:r w:rsidRPr="00D272CC">
              <w:t>1/0</w:t>
            </w:r>
          </w:p>
        </w:tc>
        <w:tc>
          <w:tcPr>
            <w:tcW w:w="468" w:type="dxa"/>
            <w:vAlign w:val="bottom"/>
          </w:tcPr>
          <w:p w14:paraId="3AC179BA" w14:textId="77777777" w:rsidR="001D5DDB" w:rsidRPr="00D272CC" w:rsidRDefault="001D5DDB" w:rsidP="001D5DDB">
            <w:pPr>
              <w:pStyle w:val="Tablesmall"/>
              <w:jc w:val="center"/>
            </w:pPr>
            <w:r w:rsidRPr="00D272CC">
              <w:t>2/0</w:t>
            </w:r>
          </w:p>
        </w:tc>
        <w:tc>
          <w:tcPr>
            <w:tcW w:w="468" w:type="dxa"/>
            <w:vAlign w:val="bottom"/>
          </w:tcPr>
          <w:p w14:paraId="2B6797C8" w14:textId="77777777" w:rsidR="001D5DDB" w:rsidRPr="00D272CC" w:rsidRDefault="001D5DDB" w:rsidP="001D5DDB">
            <w:pPr>
              <w:pStyle w:val="Tablesmall"/>
              <w:jc w:val="center"/>
            </w:pPr>
            <w:r w:rsidRPr="00D272CC">
              <w:t>6/0</w:t>
            </w:r>
          </w:p>
        </w:tc>
        <w:tc>
          <w:tcPr>
            <w:tcW w:w="708" w:type="dxa"/>
            <w:vAlign w:val="bottom"/>
          </w:tcPr>
          <w:p w14:paraId="4036AAE0" w14:textId="77777777" w:rsidR="001D5DDB" w:rsidRPr="00D272CC" w:rsidRDefault="001D5DDB" w:rsidP="001D5DDB">
            <w:pPr>
              <w:pStyle w:val="Tablesmall"/>
              <w:jc w:val="center"/>
            </w:pPr>
            <w:r w:rsidRPr="00D272CC">
              <w:t>37/0</w:t>
            </w:r>
          </w:p>
        </w:tc>
      </w:tr>
      <w:tr w:rsidR="001D5DDB" w:rsidRPr="00D272CC" w14:paraId="168EE3EA" w14:textId="77777777" w:rsidTr="001D5DDB">
        <w:tc>
          <w:tcPr>
            <w:tcW w:w="709" w:type="dxa"/>
          </w:tcPr>
          <w:p w14:paraId="77FA0E6A" w14:textId="77777777" w:rsidR="001D5DDB" w:rsidRPr="00D272CC" w:rsidRDefault="001D5DDB" w:rsidP="00F33403">
            <w:pPr>
              <w:pStyle w:val="Tablesmall"/>
              <w:jc w:val="center"/>
            </w:pPr>
          </w:p>
        </w:tc>
        <w:tc>
          <w:tcPr>
            <w:tcW w:w="2977" w:type="dxa"/>
          </w:tcPr>
          <w:p w14:paraId="4F07DFFC" w14:textId="77777777" w:rsidR="001D5DDB" w:rsidRPr="00D272CC" w:rsidRDefault="001D5DDB" w:rsidP="00F33403">
            <w:pPr>
              <w:pStyle w:val="Tablesmall"/>
            </w:pPr>
          </w:p>
        </w:tc>
        <w:tc>
          <w:tcPr>
            <w:tcW w:w="467" w:type="dxa"/>
            <w:vAlign w:val="bottom"/>
          </w:tcPr>
          <w:p w14:paraId="7C289A8A" w14:textId="77777777" w:rsidR="001D5DDB" w:rsidRPr="00D272CC" w:rsidRDefault="001D5DDB" w:rsidP="001D5DDB">
            <w:pPr>
              <w:pStyle w:val="Tablesmall"/>
              <w:jc w:val="center"/>
            </w:pPr>
          </w:p>
        </w:tc>
        <w:tc>
          <w:tcPr>
            <w:tcW w:w="468" w:type="dxa"/>
            <w:vAlign w:val="bottom"/>
          </w:tcPr>
          <w:p w14:paraId="3CBD91BA" w14:textId="77777777" w:rsidR="001D5DDB" w:rsidRPr="00D272CC" w:rsidRDefault="001D5DDB" w:rsidP="001D5DDB">
            <w:pPr>
              <w:pStyle w:val="Tablesmall"/>
              <w:jc w:val="center"/>
            </w:pPr>
          </w:p>
        </w:tc>
        <w:tc>
          <w:tcPr>
            <w:tcW w:w="468" w:type="dxa"/>
            <w:vAlign w:val="bottom"/>
          </w:tcPr>
          <w:p w14:paraId="4F8C4E22" w14:textId="77777777" w:rsidR="001D5DDB" w:rsidRPr="00D272CC" w:rsidRDefault="001D5DDB" w:rsidP="001D5DDB">
            <w:pPr>
              <w:pStyle w:val="Tablesmall"/>
              <w:jc w:val="center"/>
            </w:pPr>
          </w:p>
        </w:tc>
        <w:tc>
          <w:tcPr>
            <w:tcW w:w="468" w:type="dxa"/>
            <w:vAlign w:val="bottom"/>
          </w:tcPr>
          <w:p w14:paraId="549E45B8" w14:textId="77777777" w:rsidR="001D5DDB" w:rsidRPr="00D272CC" w:rsidRDefault="001D5DDB" w:rsidP="001D5DDB">
            <w:pPr>
              <w:pStyle w:val="Tablesmall"/>
              <w:jc w:val="center"/>
            </w:pPr>
          </w:p>
        </w:tc>
        <w:tc>
          <w:tcPr>
            <w:tcW w:w="468" w:type="dxa"/>
            <w:vAlign w:val="bottom"/>
          </w:tcPr>
          <w:p w14:paraId="56E575BD" w14:textId="77777777" w:rsidR="001D5DDB" w:rsidRPr="00D272CC" w:rsidRDefault="001D5DDB" w:rsidP="001D5DDB">
            <w:pPr>
              <w:pStyle w:val="Tablesmall"/>
              <w:jc w:val="center"/>
            </w:pPr>
          </w:p>
        </w:tc>
        <w:tc>
          <w:tcPr>
            <w:tcW w:w="467" w:type="dxa"/>
            <w:vAlign w:val="bottom"/>
          </w:tcPr>
          <w:p w14:paraId="3BE2C1F5" w14:textId="77777777" w:rsidR="001D5DDB" w:rsidRPr="00D272CC" w:rsidRDefault="001D5DDB" w:rsidP="001D5DDB">
            <w:pPr>
              <w:pStyle w:val="Tablesmall"/>
              <w:jc w:val="center"/>
            </w:pPr>
          </w:p>
        </w:tc>
        <w:tc>
          <w:tcPr>
            <w:tcW w:w="468" w:type="dxa"/>
            <w:vAlign w:val="bottom"/>
          </w:tcPr>
          <w:p w14:paraId="053795DF" w14:textId="77777777" w:rsidR="001D5DDB" w:rsidRPr="00D272CC" w:rsidRDefault="001D5DDB" w:rsidP="001D5DDB">
            <w:pPr>
              <w:pStyle w:val="Tablesmall"/>
              <w:jc w:val="center"/>
            </w:pPr>
          </w:p>
        </w:tc>
        <w:tc>
          <w:tcPr>
            <w:tcW w:w="468" w:type="dxa"/>
            <w:vAlign w:val="bottom"/>
          </w:tcPr>
          <w:p w14:paraId="407D3286" w14:textId="77777777" w:rsidR="001D5DDB" w:rsidRPr="00D272CC" w:rsidRDefault="001D5DDB" w:rsidP="001D5DDB">
            <w:pPr>
              <w:pStyle w:val="Tablesmall"/>
              <w:jc w:val="center"/>
            </w:pPr>
          </w:p>
        </w:tc>
        <w:tc>
          <w:tcPr>
            <w:tcW w:w="468" w:type="dxa"/>
            <w:vAlign w:val="bottom"/>
          </w:tcPr>
          <w:p w14:paraId="1E082675" w14:textId="77777777" w:rsidR="001D5DDB" w:rsidRPr="00D272CC" w:rsidRDefault="001D5DDB" w:rsidP="001D5DDB">
            <w:pPr>
              <w:pStyle w:val="Tablesmall"/>
              <w:jc w:val="center"/>
            </w:pPr>
          </w:p>
        </w:tc>
        <w:tc>
          <w:tcPr>
            <w:tcW w:w="468" w:type="dxa"/>
            <w:vAlign w:val="bottom"/>
          </w:tcPr>
          <w:p w14:paraId="39B81FEF" w14:textId="77777777" w:rsidR="001D5DDB" w:rsidRPr="00D272CC" w:rsidRDefault="001D5DDB" w:rsidP="001D5DDB">
            <w:pPr>
              <w:pStyle w:val="Tablesmall"/>
              <w:jc w:val="center"/>
            </w:pPr>
          </w:p>
        </w:tc>
        <w:tc>
          <w:tcPr>
            <w:tcW w:w="708" w:type="dxa"/>
            <w:vAlign w:val="bottom"/>
          </w:tcPr>
          <w:p w14:paraId="67ADEDF6" w14:textId="77777777" w:rsidR="001D5DDB" w:rsidRPr="00D272CC" w:rsidRDefault="001D5DDB" w:rsidP="001D5DDB">
            <w:pPr>
              <w:pStyle w:val="Tablesmall"/>
              <w:jc w:val="center"/>
            </w:pPr>
          </w:p>
        </w:tc>
      </w:tr>
      <w:tr w:rsidR="001D5DDB" w:rsidRPr="00D272CC" w14:paraId="731BE9EB" w14:textId="77777777" w:rsidTr="001D5DDB">
        <w:tc>
          <w:tcPr>
            <w:tcW w:w="709" w:type="dxa"/>
          </w:tcPr>
          <w:p w14:paraId="02CA50EB" w14:textId="77777777" w:rsidR="001D5DDB" w:rsidRPr="00D272CC" w:rsidRDefault="001D5DDB" w:rsidP="00F33403">
            <w:pPr>
              <w:pStyle w:val="Tablesmall"/>
              <w:jc w:val="center"/>
            </w:pPr>
            <w:r w:rsidRPr="00D272CC">
              <w:t>7</w:t>
            </w:r>
          </w:p>
        </w:tc>
        <w:tc>
          <w:tcPr>
            <w:tcW w:w="2977" w:type="dxa"/>
          </w:tcPr>
          <w:p w14:paraId="268EF0BC" w14:textId="77777777" w:rsidR="001D5DDB" w:rsidRPr="00D272CC" w:rsidRDefault="001D5DDB" w:rsidP="00304630">
            <w:pPr>
              <w:pStyle w:val="Tablesmall"/>
            </w:pPr>
            <w:r w:rsidRPr="00D272CC">
              <w:t>Direct or indirect cash flow</w:t>
            </w:r>
          </w:p>
        </w:tc>
        <w:tc>
          <w:tcPr>
            <w:tcW w:w="467" w:type="dxa"/>
            <w:vAlign w:val="bottom"/>
          </w:tcPr>
          <w:p w14:paraId="54B619F7" w14:textId="77777777" w:rsidR="001D5DDB" w:rsidRPr="00D272CC" w:rsidRDefault="001D5DDB" w:rsidP="001D5DDB">
            <w:pPr>
              <w:pStyle w:val="Tablesmall"/>
              <w:jc w:val="center"/>
            </w:pPr>
            <w:r w:rsidRPr="00D272CC">
              <w:t>3</w:t>
            </w:r>
          </w:p>
        </w:tc>
        <w:tc>
          <w:tcPr>
            <w:tcW w:w="468" w:type="dxa"/>
            <w:vAlign w:val="bottom"/>
          </w:tcPr>
          <w:p w14:paraId="690EF604" w14:textId="77777777" w:rsidR="001D5DDB" w:rsidRPr="00D272CC" w:rsidRDefault="001D5DDB" w:rsidP="001D5DDB">
            <w:pPr>
              <w:pStyle w:val="Tablesmall"/>
              <w:jc w:val="center"/>
            </w:pPr>
            <w:r w:rsidRPr="00D272CC">
              <w:t>2</w:t>
            </w:r>
          </w:p>
        </w:tc>
        <w:tc>
          <w:tcPr>
            <w:tcW w:w="468" w:type="dxa"/>
            <w:vAlign w:val="bottom"/>
          </w:tcPr>
          <w:p w14:paraId="7E00D6C2" w14:textId="77777777" w:rsidR="001D5DDB" w:rsidRPr="00D272CC" w:rsidRDefault="001D5DDB" w:rsidP="001D5DDB">
            <w:pPr>
              <w:pStyle w:val="Tablesmall"/>
              <w:jc w:val="center"/>
            </w:pPr>
            <w:r w:rsidRPr="00D272CC">
              <w:t>0</w:t>
            </w:r>
          </w:p>
        </w:tc>
        <w:tc>
          <w:tcPr>
            <w:tcW w:w="468" w:type="dxa"/>
            <w:vAlign w:val="bottom"/>
          </w:tcPr>
          <w:p w14:paraId="013BD27B" w14:textId="77777777" w:rsidR="001D5DDB" w:rsidRPr="00D272CC" w:rsidRDefault="001D5DDB" w:rsidP="001D5DDB">
            <w:pPr>
              <w:pStyle w:val="Tablesmall"/>
              <w:jc w:val="center"/>
            </w:pPr>
            <w:r w:rsidRPr="00D272CC">
              <w:t>0</w:t>
            </w:r>
          </w:p>
        </w:tc>
        <w:tc>
          <w:tcPr>
            <w:tcW w:w="468" w:type="dxa"/>
            <w:vAlign w:val="bottom"/>
          </w:tcPr>
          <w:p w14:paraId="6F0671DA" w14:textId="77777777" w:rsidR="001D5DDB" w:rsidRPr="00D272CC" w:rsidRDefault="001D5DDB" w:rsidP="001D5DDB">
            <w:pPr>
              <w:pStyle w:val="Tablesmall"/>
              <w:jc w:val="center"/>
            </w:pPr>
            <w:r w:rsidRPr="00D272CC">
              <w:t>1</w:t>
            </w:r>
          </w:p>
        </w:tc>
        <w:tc>
          <w:tcPr>
            <w:tcW w:w="467" w:type="dxa"/>
            <w:vAlign w:val="bottom"/>
          </w:tcPr>
          <w:p w14:paraId="654AA8BD" w14:textId="77777777" w:rsidR="001D5DDB" w:rsidRPr="00D272CC" w:rsidRDefault="001D5DDB" w:rsidP="001D5DDB">
            <w:pPr>
              <w:pStyle w:val="Tablesmall"/>
              <w:jc w:val="center"/>
            </w:pPr>
            <w:r w:rsidRPr="00D272CC">
              <w:t>0</w:t>
            </w:r>
          </w:p>
        </w:tc>
        <w:tc>
          <w:tcPr>
            <w:tcW w:w="468" w:type="dxa"/>
            <w:vAlign w:val="bottom"/>
          </w:tcPr>
          <w:p w14:paraId="7C38394B" w14:textId="77777777" w:rsidR="001D5DDB" w:rsidRPr="00D272CC" w:rsidRDefault="001D5DDB" w:rsidP="001D5DDB">
            <w:pPr>
              <w:pStyle w:val="Tablesmall"/>
              <w:jc w:val="center"/>
            </w:pPr>
            <w:r w:rsidRPr="00D272CC">
              <w:t>1</w:t>
            </w:r>
          </w:p>
        </w:tc>
        <w:tc>
          <w:tcPr>
            <w:tcW w:w="468" w:type="dxa"/>
            <w:vAlign w:val="bottom"/>
          </w:tcPr>
          <w:p w14:paraId="13FADBE6" w14:textId="77777777" w:rsidR="001D5DDB" w:rsidRPr="00D272CC" w:rsidRDefault="001D5DDB" w:rsidP="001D5DDB">
            <w:pPr>
              <w:pStyle w:val="Tablesmall"/>
              <w:jc w:val="center"/>
            </w:pPr>
            <w:r w:rsidRPr="00D272CC">
              <w:t>0</w:t>
            </w:r>
          </w:p>
        </w:tc>
        <w:tc>
          <w:tcPr>
            <w:tcW w:w="468" w:type="dxa"/>
            <w:vAlign w:val="bottom"/>
          </w:tcPr>
          <w:p w14:paraId="19D2BE87" w14:textId="77777777" w:rsidR="001D5DDB" w:rsidRPr="00D272CC" w:rsidRDefault="001D5DDB" w:rsidP="001D5DDB">
            <w:pPr>
              <w:pStyle w:val="Tablesmall"/>
              <w:jc w:val="center"/>
            </w:pPr>
            <w:r w:rsidRPr="00D272CC">
              <w:t>0</w:t>
            </w:r>
          </w:p>
        </w:tc>
        <w:tc>
          <w:tcPr>
            <w:tcW w:w="468" w:type="dxa"/>
            <w:vAlign w:val="bottom"/>
          </w:tcPr>
          <w:p w14:paraId="44E40ED2" w14:textId="77777777" w:rsidR="001D5DDB" w:rsidRPr="00D272CC" w:rsidRDefault="001D5DDB" w:rsidP="001D5DDB">
            <w:pPr>
              <w:pStyle w:val="Tablesmall"/>
              <w:jc w:val="center"/>
            </w:pPr>
            <w:r w:rsidRPr="00D272CC">
              <w:t>3</w:t>
            </w:r>
          </w:p>
        </w:tc>
        <w:tc>
          <w:tcPr>
            <w:tcW w:w="708" w:type="dxa"/>
            <w:vAlign w:val="bottom"/>
          </w:tcPr>
          <w:p w14:paraId="7C195697" w14:textId="77777777" w:rsidR="001D5DDB" w:rsidRPr="00D272CC" w:rsidRDefault="001D5DDB" w:rsidP="001D5DDB">
            <w:pPr>
              <w:pStyle w:val="Tablesmall"/>
              <w:jc w:val="center"/>
            </w:pPr>
            <w:r w:rsidRPr="00D272CC">
              <w:t>10 (4)</w:t>
            </w:r>
          </w:p>
        </w:tc>
      </w:tr>
      <w:tr w:rsidR="001D5DDB" w:rsidRPr="00D272CC" w14:paraId="4176B9C7" w14:textId="77777777" w:rsidTr="001D5DDB">
        <w:tc>
          <w:tcPr>
            <w:tcW w:w="709" w:type="dxa"/>
          </w:tcPr>
          <w:p w14:paraId="10E9E15F" w14:textId="77777777" w:rsidR="001D5DDB" w:rsidRPr="00D272CC" w:rsidRDefault="001D5DDB" w:rsidP="00F33403">
            <w:pPr>
              <w:pStyle w:val="Tablesmall"/>
              <w:jc w:val="center"/>
            </w:pPr>
          </w:p>
        </w:tc>
        <w:tc>
          <w:tcPr>
            <w:tcW w:w="2977" w:type="dxa"/>
          </w:tcPr>
          <w:p w14:paraId="7777BCDF" w14:textId="77777777" w:rsidR="001D5DDB" w:rsidRPr="00D272CC" w:rsidRDefault="001D5DDB" w:rsidP="00F33403">
            <w:pPr>
              <w:pStyle w:val="Tablesmall"/>
            </w:pPr>
            <w:r w:rsidRPr="00D272CC">
              <w:t>- from (a) to (b) / (b) to (a)</w:t>
            </w:r>
          </w:p>
        </w:tc>
        <w:tc>
          <w:tcPr>
            <w:tcW w:w="467" w:type="dxa"/>
            <w:vAlign w:val="bottom"/>
          </w:tcPr>
          <w:p w14:paraId="47959C2A" w14:textId="77777777" w:rsidR="001D5DDB" w:rsidRPr="00D272CC" w:rsidRDefault="001D5DDB" w:rsidP="001D5DDB">
            <w:pPr>
              <w:pStyle w:val="Tablesmall"/>
              <w:jc w:val="center"/>
            </w:pPr>
            <w:r w:rsidRPr="00D272CC">
              <w:t>0/3</w:t>
            </w:r>
          </w:p>
        </w:tc>
        <w:tc>
          <w:tcPr>
            <w:tcW w:w="468" w:type="dxa"/>
            <w:vAlign w:val="bottom"/>
          </w:tcPr>
          <w:p w14:paraId="5194D97D" w14:textId="77777777" w:rsidR="001D5DDB" w:rsidRPr="00D272CC" w:rsidRDefault="001D5DDB" w:rsidP="001D5DDB">
            <w:pPr>
              <w:pStyle w:val="Tablesmall"/>
              <w:jc w:val="center"/>
            </w:pPr>
            <w:r w:rsidRPr="00D272CC">
              <w:t>1/1</w:t>
            </w:r>
          </w:p>
        </w:tc>
        <w:tc>
          <w:tcPr>
            <w:tcW w:w="468" w:type="dxa"/>
            <w:vAlign w:val="bottom"/>
          </w:tcPr>
          <w:p w14:paraId="56686F45" w14:textId="77777777" w:rsidR="001D5DDB" w:rsidRPr="00D272CC" w:rsidRDefault="001D5DDB" w:rsidP="001D5DDB">
            <w:pPr>
              <w:pStyle w:val="Tablesmall"/>
              <w:jc w:val="center"/>
            </w:pPr>
            <w:r w:rsidRPr="00D272CC">
              <w:t>0/0</w:t>
            </w:r>
          </w:p>
        </w:tc>
        <w:tc>
          <w:tcPr>
            <w:tcW w:w="468" w:type="dxa"/>
            <w:vAlign w:val="bottom"/>
          </w:tcPr>
          <w:p w14:paraId="7F818241" w14:textId="77777777" w:rsidR="001D5DDB" w:rsidRPr="00D272CC" w:rsidRDefault="001D5DDB" w:rsidP="001D5DDB">
            <w:pPr>
              <w:pStyle w:val="Tablesmall"/>
              <w:jc w:val="center"/>
            </w:pPr>
            <w:r w:rsidRPr="00D272CC">
              <w:t>0/0</w:t>
            </w:r>
          </w:p>
        </w:tc>
        <w:tc>
          <w:tcPr>
            <w:tcW w:w="468" w:type="dxa"/>
            <w:vAlign w:val="bottom"/>
          </w:tcPr>
          <w:p w14:paraId="266EEFCD" w14:textId="77777777" w:rsidR="001D5DDB" w:rsidRPr="00D272CC" w:rsidRDefault="001D5DDB" w:rsidP="001D5DDB">
            <w:pPr>
              <w:pStyle w:val="Tablesmall"/>
              <w:jc w:val="center"/>
            </w:pPr>
            <w:r w:rsidRPr="00D272CC">
              <w:t>0/1</w:t>
            </w:r>
          </w:p>
        </w:tc>
        <w:tc>
          <w:tcPr>
            <w:tcW w:w="467" w:type="dxa"/>
            <w:vAlign w:val="bottom"/>
          </w:tcPr>
          <w:p w14:paraId="08F24C70" w14:textId="77777777" w:rsidR="001D5DDB" w:rsidRPr="00D272CC" w:rsidRDefault="001D5DDB" w:rsidP="001D5DDB">
            <w:pPr>
              <w:pStyle w:val="Tablesmall"/>
              <w:jc w:val="center"/>
            </w:pPr>
            <w:r w:rsidRPr="00D272CC">
              <w:t>0/0</w:t>
            </w:r>
          </w:p>
        </w:tc>
        <w:tc>
          <w:tcPr>
            <w:tcW w:w="468" w:type="dxa"/>
            <w:vAlign w:val="bottom"/>
          </w:tcPr>
          <w:p w14:paraId="526B2AAB" w14:textId="77777777" w:rsidR="001D5DDB" w:rsidRPr="00D272CC" w:rsidRDefault="001D5DDB" w:rsidP="001D5DDB">
            <w:pPr>
              <w:pStyle w:val="Tablesmall"/>
              <w:jc w:val="center"/>
            </w:pPr>
            <w:r w:rsidRPr="00D272CC">
              <w:t>1/0</w:t>
            </w:r>
          </w:p>
        </w:tc>
        <w:tc>
          <w:tcPr>
            <w:tcW w:w="468" w:type="dxa"/>
            <w:vAlign w:val="bottom"/>
          </w:tcPr>
          <w:p w14:paraId="7450D4FC" w14:textId="77777777" w:rsidR="001D5DDB" w:rsidRPr="00D272CC" w:rsidRDefault="001D5DDB" w:rsidP="001D5DDB">
            <w:pPr>
              <w:pStyle w:val="Tablesmall"/>
              <w:jc w:val="center"/>
            </w:pPr>
            <w:r w:rsidRPr="00D272CC">
              <w:t>0/0</w:t>
            </w:r>
          </w:p>
        </w:tc>
        <w:tc>
          <w:tcPr>
            <w:tcW w:w="468" w:type="dxa"/>
            <w:vAlign w:val="bottom"/>
          </w:tcPr>
          <w:p w14:paraId="5C07B2D8" w14:textId="77777777" w:rsidR="001D5DDB" w:rsidRPr="00D272CC" w:rsidRDefault="001D5DDB" w:rsidP="001D5DDB">
            <w:pPr>
              <w:pStyle w:val="Tablesmall"/>
              <w:jc w:val="center"/>
            </w:pPr>
            <w:r w:rsidRPr="00D272CC">
              <w:t>0/0</w:t>
            </w:r>
          </w:p>
        </w:tc>
        <w:tc>
          <w:tcPr>
            <w:tcW w:w="468" w:type="dxa"/>
            <w:vAlign w:val="bottom"/>
          </w:tcPr>
          <w:p w14:paraId="2E64E681" w14:textId="77777777" w:rsidR="001D5DDB" w:rsidRPr="00D272CC" w:rsidRDefault="001D5DDB" w:rsidP="001D5DDB">
            <w:pPr>
              <w:pStyle w:val="Tablesmall"/>
              <w:jc w:val="center"/>
            </w:pPr>
            <w:r w:rsidRPr="00D272CC">
              <w:t>2/1</w:t>
            </w:r>
          </w:p>
        </w:tc>
        <w:tc>
          <w:tcPr>
            <w:tcW w:w="708" w:type="dxa"/>
            <w:vAlign w:val="bottom"/>
          </w:tcPr>
          <w:p w14:paraId="6FEBBB20" w14:textId="77777777" w:rsidR="001D5DDB" w:rsidRPr="00D272CC" w:rsidRDefault="001D5DDB" w:rsidP="001D5DDB">
            <w:pPr>
              <w:pStyle w:val="Tablesmall"/>
              <w:jc w:val="center"/>
            </w:pPr>
            <w:r w:rsidRPr="00D272CC">
              <w:t>4/6</w:t>
            </w:r>
          </w:p>
        </w:tc>
      </w:tr>
      <w:tr w:rsidR="001D5DDB" w:rsidRPr="00D272CC" w14:paraId="1F98791D" w14:textId="77777777" w:rsidTr="001D5DDB">
        <w:tc>
          <w:tcPr>
            <w:tcW w:w="709" w:type="dxa"/>
          </w:tcPr>
          <w:p w14:paraId="02C1EA94" w14:textId="77777777" w:rsidR="001D5DDB" w:rsidRPr="00D272CC" w:rsidRDefault="001D5DDB" w:rsidP="00F33403">
            <w:pPr>
              <w:pStyle w:val="Tablesmall"/>
              <w:jc w:val="center"/>
            </w:pPr>
          </w:p>
        </w:tc>
        <w:tc>
          <w:tcPr>
            <w:tcW w:w="2977" w:type="dxa"/>
          </w:tcPr>
          <w:p w14:paraId="6450D6BA" w14:textId="77777777" w:rsidR="001D5DDB" w:rsidRPr="00D272CC" w:rsidRDefault="001D5DDB" w:rsidP="00F33403">
            <w:pPr>
              <w:pStyle w:val="Tablesmall"/>
            </w:pPr>
          </w:p>
        </w:tc>
        <w:tc>
          <w:tcPr>
            <w:tcW w:w="467" w:type="dxa"/>
            <w:vAlign w:val="bottom"/>
          </w:tcPr>
          <w:p w14:paraId="0C4A88CC" w14:textId="77777777" w:rsidR="001D5DDB" w:rsidRPr="00D272CC" w:rsidRDefault="001D5DDB" w:rsidP="001D5DDB">
            <w:pPr>
              <w:pStyle w:val="Tablesmall"/>
              <w:jc w:val="center"/>
            </w:pPr>
          </w:p>
        </w:tc>
        <w:tc>
          <w:tcPr>
            <w:tcW w:w="468" w:type="dxa"/>
            <w:vAlign w:val="bottom"/>
          </w:tcPr>
          <w:p w14:paraId="226EC1D1" w14:textId="77777777" w:rsidR="001D5DDB" w:rsidRPr="00D272CC" w:rsidRDefault="001D5DDB" w:rsidP="001D5DDB">
            <w:pPr>
              <w:pStyle w:val="Tablesmall"/>
              <w:jc w:val="center"/>
            </w:pPr>
          </w:p>
        </w:tc>
        <w:tc>
          <w:tcPr>
            <w:tcW w:w="468" w:type="dxa"/>
            <w:vAlign w:val="bottom"/>
          </w:tcPr>
          <w:p w14:paraId="0E0E4240" w14:textId="77777777" w:rsidR="001D5DDB" w:rsidRPr="00D272CC" w:rsidRDefault="001D5DDB" w:rsidP="001D5DDB">
            <w:pPr>
              <w:pStyle w:val="Tablesmall"/>
              <w:jc w:val="center"/>
            </w:pPr>
          </w:p>
        </w:tc>
        <w:tc>
          <w:tcPr>
            <w:tcW w:w="468" w:type="dxa"/>
            <w:vAlign w:val="bottom"/>
          </w:tcPr>
          <w:p w14:paraId="54104420" w14:textId="77777777" w:rsidR="001D5DDB" w:rsidRPr="00D272CC" w:rsidRDefault="001D5DDB" w:rsidP="001D5DDB">
            <w:pPr>
              <w:pStyle w:val="Tablesmall"/>
              <w:jc w:val="center"/>
            </w:pPr>
          </w:p>
        </w:tc>
        <w:tc>
          <w:tcPr>
            <w:tcW w:w="468" w:type="dxa"/>
            <w:vAlign w:val="bottom"/>
          </w:tcPr>
          <w:p w14:paraId="0F126648" w14:textId="77777777" w:rsidR="001D5DDB" w:rsidRPr="00D272CC" w:rsidRDefault="001D5DDB" w:rsidP="001D5DDB">
            <w:pPr>
              <w:pStyle w:val="Tablesmall"/>
              <w:jc w:val="center"/>
            </w:pPr>
          </w:p>
        </w:tc>
        <w:tc>
          <w:tcPr>
            <w:tcW w:w="467" w:type="dxa"/>
            <w:vAlign w:val="bottom"/>
          </w:tcPr>
          <w:p w14:paraId="4FEA85C9" w14:textId="77777777" w:rsidR="001D5DDB" w:rsidRPr="00D272CC" w:rsidRDefault="001D5DDB" w:rsidP="001D5DDB">
            <w:pPr>
              <w:pStyle w:val="Tablesmall"/>
              <w:jc w:val="center"/>
            </w:pPr>
          </w:p>
        </w:tc>
        <w:tc>
          <w:tcPr>
            <w:tcW w:w="468" w:type="dxa"/>
            <w:vAlign w:val="bottom"/>
          </w:tcPr>
          <w:p w14:paraId="731B619C" w14:textId="77777777" w:rsidR="001D5DDB" w:rsidRPr="00D272CC" w:rsidRDefault="001D5DDB" w:rsidP="001D5DDB">
            <w:pPr>
              <w:pStyle w:val="Tablesmall"/>
              <w:jc w:val="center"/>
            </w:pPr>
          </w:p>
        </w:tc>
        <w:tc>
          <w:tcPr>
            <w:tcW w:w="468" w:type="dxa"/>
            <w:vAlign w:val="bottom"/>
          </w:tcPr>
          <w:p w14:paraId="7C7C8598" w14:textId="77777777" w:rsidR="001D5DDB" w:rsidRPr="00D272CC" w:rsidRDefault="001D5DDB" w:rsidP="001D5DDB">
            <w:pPr>
              <w:pStyle w:val="Tablesmall"/>
              <w:jc w:val="center"/>
            </w:pPr>
          </w:p>
        </w:tc>
        <w:tc>
          <w:tcPr>
            <w:tcW w:w="468" w:type="dxa"/>
            <w:vAlign w:val="bottom"/>
          </w:tcPr>
          <w:p w14:paraId="501E1606" w14:textId="77777777" w:rsidR="001D5DDB" w:rsidRPr="00D272CC" w:rsidRDefault="001D5DDB" w:rsidP="001D5DDB">
            <w:pPr>
              <w:pStyle w:val="Tablesmall"/>
              <w:jc w:val="center"/>
            </w:pPr>
          </w:p>
        </w:tc>
        <w:tc>
          <w:tcPr>
            <w:tcW w:w="468" w:type="dxa"/>
            <w:vAlign w:val="bottom"/>
          </w:tcPr>
          <w:p w14:paraId="2D3FBD1F" w14:textId="77777777" w:rsidR="001D5DDB" w:rsidRPr="00D272CC" w:rsidRDefault="001D5DDB" w:rsidP="001D5DDB">
            <w:pPr>
              <w:pStyle w:val="Tablesmall"/>
              <w:jc w:val="center"/>
            </w:pPr>
          </w:p>
        </w:tc>
        <w:tc>
          <w:tcPr>
            <w:tcW w:w="708" w:type="dxa"/>
            <w:vAlign w:val="bottom"/>
          </w:tcPr>
          <w:p w14:paraId="0147190B" w14:textId="77777777" w:rsidR="001D5DDB" w:rsidRPr="00D272CC" w:rsidRDefault="001D5DDB" w:rsidP="001D5DDB">
            <w:pPr>
              <w:pStyle w:val="Tablesmall"/>
              <w:jc w:val="center"/>
            </w:pPr>
          </w:p>
        </w:tc>
      </w:tr>
      <w:tr w:rsidR="001D5DDB" w:rsidRPr="00D272CC" w14:paraId="620E457F" w14:textId="77777777" w:rsidTr="001D5DDB">
        <w:tc>
          <w:tcPr>
            <w:tcW w:w="709" w:type="dxa"/>
          </w:tcPr>
          <w:p w14:paraId="376B1744" w14:textId="77777777" w:rsidR="001D5DDB" w:rsidRPr="00D272CC" w:rsidRDefault="001D5DDB" w:rsidP="00F33403">
            <w:pPr>
              <w:pStyle w:val="Tablesmall"/>
              <w:jc w:val="center"/>
            </w:pPr>
            <w:r w:rsidRPr="00D272CC">
              <w:t>8</w:t>
            </w:r>
          </w:p>
        </w:tc>
        <w:tc>
          <w:tcPr>
            <w:tcW w:w="2977" w:type="dxa"/>
          </w:tcPr>
          <w:p w14:paraId="226866DB" w14:textId="77777777" w:rsidR="001D5DDB" w:rsidRPr="00D272CC" w:rsidRDefault="001D5DDB" w:rsidP="00F33403">
            <w:pPr>
              <w:pStyle w:val="Tablesmall"/>
            </w:pPr>
            <w:r w:rsidRPr="00D272CC">
              <w:t>Position of dividends received</w:t>
            </w:r>
          </w:p>
        </w:tc>
        <w:tc>
          <w:tcPr>
            <w:tcW w:w="467" w:type="dxa"/>
            <w:vAlign w:val="bottom"/>
          </w:tcPr>
          <w:p w14:paraId="1A3EA4F2" w14:textId="77777777" w:rsidR="001D5DDB" w:rsidRPr="00D272CC" w:rsidRDefault="001D5DDB" w:rsidP="001D5DDB">
            <w:pPr>
              <w:pStyle w:val="Tablesmall"/>
              <w:jc w:val="center"/>
            </w:pPr>
            <w:r w:rsidRPr="00D272CC">
              <w:t>0</w:t>
            </w:r>
          </w:p>
        </w:tc>
        <w:tc>
          <w:tcPr>
            <w:tcW w:w="468" w:type="dxa"/>
            <w:vAlign w:val="bottom"/>
          </w:tcPr>
          <w:p w14:paraId="704A9308" w14:textId="77777777" w:rsidR="001D5DDB" w:rsidRPr="00D272CC" w:rsidRDefault="001D5DDB" w:rsidP="001D5DDB">
            <w:pPr>
              <w:pStyle w:val="Tablesmall"/>
              <w:jc w:val="center"/>
            </w:pPr>
            <w:r w:rsidRPr="00D272CC">
              <w:t>2</w:t>
            </w:r>
          </w:p>
        </w:tc>
        <w:tc>
          <w:tcPr>
            <w:tcW w:w="468" w:type="dxa"/>
            <w:vAlign w:val="bottom"/>
          </w:tcPr>
          <w:p w14:paraId="77F77FCE" w14:textId="77777777" w:rsidR="001D5DDB" w:rsidRPr="00D272CC" w:rsidRDefault="001D5DDB" w:rsidP="001D5DDB">
            <w:pPr>
              <w:pStyle w:val="Tablesmall"/>
              <w:jc w:val="center"/>
            </w:pPr>
            <w:r w:rsidRPr="00D272CC">
              <w:t>2</w:t>
            </w:r>
          </w:p>
        </w:tc>
        <w:tc>
          <w:tcPr>
            <w:tcW w:w="468" w:type="dxa"/>
            <w:vAlign w:val="bottom"/>
          </w:tcPr>
          <w:p w14:paraId="6CEF033C" w14:textId="77777777" w:rsidR="001D5DDB" w:rsidRPr="00D272CC" w:rsidRDefault="001D5DDB" w:rsidP="001D5DDB">
            <w:pPr>
              <w:pStyle w:val="Tablesmall"/>
              <w:jc w:val="center"/>
            </w:pPr>
            <w:r w:rsidRPr="00D272CC">
              <w:t>1</w:t>
            </w:r>
          </w:p>
        </w:tc>
        <w:tc>
          <w:tcPr>
            <w:tcW w:w="468" w:type="dxa"/>
            <w:vAlign w:val="bottom"/>
          </w:tcPr>
          <w:p w14:paraId="285C0950" w14:textId="77777777" w:rsidR="001D5DDB" w:rsidRPr="00D272CC" w:rsidRDefault="001D5DDB" w:rsidP="001D5DDB">
            <w:pPr>
              <w:pStyle w:val="Tablesmall"/>
              <w:jc w:val="center"/>
            </w:pPr>
            <w:r w:rsidRPr="00D272CC">
              <w:t>2</w:t>
            </w:r>
          </w:p>
        </w:tc>
        <w:tc>
          <w:tcPr>
            <w:tcW w:w="467" w:type="dxa"/>
            <w:vAlign w:val="bottom"/>
          </w:tcPr>
          <w:p w14:paraId="6DDE06EB" w14:textId="77777777" w:rsidR="001D5DDB" w:rsidRPr="00D272CC" w:rsidRDefault="001D5DDB" w:rsidP="001D5DDB">
            <w:pPr>
              <w:pStyle w:val="Tablesmall"/>
              <w:jc w:val="center"/>
            </w:pPr>
            <w:r w:rsidRPr="00D272CC">
              <w:t>2</w:t>
            </w:r>
          </w:p>
        </w:tc>
        <w:tc>
          <w:tcPr>
            <w:tcW w:w="468" w:type="dxa"/>
            <w:vAlign w:val="bottom"/>
          </w:tcPr>
          <w:p w14:paraId="79BC62CC" w14:textId="77777777" w:rsidR="001D5DDB" w:rsidRPr="00D272CC" w:rsidRDefault="001D5DDB" w:rsidP="001D5DDB">
            <w:pPr>
              <w:pStyle w:val="Tablesmall"/>
              <w:jc w:val="center"/>
            </w:pPr>
            <w:r w:rsidRPr="00D272CC">
              <w:t>0</w:t>
            </w:r>
          </w:p>
        </w:tc>
        <w:tc>
          <w:tcPr>
            <w:tcW w:w="468" w:type="dxa"/>
            <w:vAlign w:val="bottom"/>
          </w:tcPr>
          <w:p w14:paraId="4B272F02" w14:textId="77777777" w:rsidR="001D5DDB" w:rsidRPr="00D272CC" w:rsidRDefault="001D5DDB" w:rsidP="001D5DDB">
            <w:pPr>
              <w:pStyle w:val="Tablesmall"/>
              <w:jc w:val="center"/>
            </w:pPr>
            <w:r w:rsidRPr="00D272CC">
              <w:t>2</w:t>
            </w:r>
          </w:p>
        </w:tc>
        <w:tc>
          <w:tcPr>
            <w:tcW w:w="468" w:type="dxa"/>
            <w:vAlign w:val="bottom"/>
          </w:tcPr>
          <w:p w14:paraId="39434627" w14:textId="77777777" w:rsidR="001D5DDB" w:rsidRPr="00D272CC" w:rsidRDefault="001D5DDB" w:rsidP="001D5DDB">
            <w:pPr>
              <w:pStyle w:val="Tablesmall"/>
              <w:jc w:val="center"/>
            </w:pPr>
            <w:r w:rsidRPr="00D272CC">
              <w:t>0</w:t>
            </w:r>
          </w:p>
        </w:tc>
        <w:tc>
          <w:tcPr>
            <w:tcW w:w="468" w:type="dxa"/>
            <w:vAlign w:val="bottom"/>
          </w:tcPr>
          <w:p w14:paraId="64E72B9E" w14:textId="77777777" w:rsidR="001D5DDB" w:rsidRPr="00D272CC" w:rsidRDefault="001D5DDB" w:rsidP="001D5DDB">
            <w:pPr>
              <w:pStyle w:val="Tablesmall"/>
              <w:jc w:val="center"/>
            </w:pPr>
            <w:r w:rsidRPr="00D272CC">
              <w:t>0</w:t>
            </w:r>
          </w:p>
        </w:tc>
        <w:tc>
          <w:tcPr>
            <w:tcW w:w="708" w:type="dxa"/>
            <w:vAlign w:val="bottom"/>
          </w:tcPr>
          <w:p w14:paraId="13814A5B" w14:textId="77777777" w:rsidR="001D5DDB" w:rsidRPr="00D272CC" w:rsidRDefault="001D5DDB" w:rsidP="001D5DDB">
            <w:pPr>
              <w:pStyle w:val="Tablesmall"/>
              <w:jc w:val="center"/>
            </w:pPr>
            <w:r w:rsidRPr="00D272CC">
              <w:t>11 (3)</w:t>
            </w:r>
          </w:p>
        </w:tc>
      </w:tr>
      <w:tr w:rsidR="001D5DDB" w:rsidRPr="00D272CC" w14:paraId="76F9A464" w14:textId="77777777" w:rsidTr="001D5DDB">
        <w:tc>
          <w:tcPr>
            <w:tcW w:w="709" w:type="dxa"/>
          </w:tcPr>
          <w:p w14:paraId="588CFB11" w14:textId="77777777" w:rsidR="001D5DDB" w:rsidRPr="00D272CC" w:rsidRDefault="001D5DDB" w:rsidP="00F33403">
            <w:pPr>
              <w:pStyle w:val="Tablesmall"/>
              <w:jc w:val="center"/>
            </w:pPr>
          </w:p>
        </w:tc>
        <w:tc>
          <w:tcPr>
            <w:tcW w:w="2977" w:type="dxa"/>
          </w:tcPr>
          <w:p w14:paraId="3388A487" w14:textId="77777777" w:rsidR="001D5DDB" w:rsidRPr="00D272CC" w:rsidRDefault="001D5DDB" w:rsidP="00F33403">
            <w:pPr>
              <w:pStyle w:val="Tablesmall"/>
            </w:pPr>
            <w:r w:rsidRPr="00D272CC">
              <w:t>- from (a) to (b) / (b) to (a)</w:t>
            </w:r>
          </w:p>
        </w:tc>
        <w:tc>
          <w:tcPr>
            <w:tcW w:w="467" w:type="dxa"/>
            <w:vAlign w:val="bottom"/>
          </w:tcPr>
          <w:p w14:paraId="1C1C915B" w14:textId="77777777" w:rsidR="001D5DDB" w:rsidRPr="00D272CC" w:rsidRDefault="001D5DDB" w:rsidP="001D5DDB">
            <w:pPr>
              <w:pStyle w:val="Tablesmall"/>
              <w:jc w:val="center"/>
            </w:pPr>
            <w:r w:rsidRPr="00D272CC">
              <w:t>0/0</w:t>
            </w:r>
          </w:p>
        </w:tc>
        <w:tc>
          <w:tcPr>
            <w:tcW w:w="468" w:type="dxa"/>
            <w:vAlign w:val="bottom"/>
          </w:tcPr>
          <w:p w14:paraId="0F012063" w14:textId="77777777" w:rsidR="001D5DDB" w:rsidRPr="00D272CC" w:rsidRDefault="001D5DDB" w:rsidP="001D5DDB">
            <w:pPr>
              <w:pStyle w:val="Tablesmall"/>
              <w:jc w:val="center"/>
            </w:pPr>
            <w:r w:rsidRPr="00D272CC">
              <w:t>1/1</w:t>
            </w:r>
          </w:p>
        </w:tc>
        <w:tc>
          <w:tcPr>
            <w:tcW w:w="468" w:type="dxa"/>
            <w:vAlign w:val="bottom"/>
          </w:tcPr>
          <w:p w14:paraId="39441EA7" w14:textId="77777777" w:rsidR="001D5DDB" w:rsidRPr="00D272CC" w:rsidRDefault="001D5DDB" w:rsidP="001D5DDB">
            <w:pPr>
              <w:pStyle w:val="Tablesmall"/>
              <w:jc w:val="center"/>
            </w:pPr>
            <w:r w:rsidRPr="00D272CC">
              <w:t>2/0</w:t>
            </w:r>
          </w:p>
        </w:tc>
        <w:tc>
          <w:tcPr>
            <w:tcW w:w="468" w:type="dxa"/>
            <w:vAlign w:val="bottom"/>
          </w:tcPr>
          <w:p w14:paraId="0558B859" w14:textId="77777777" w:rsidR="001D5DDB" w:rsidRPr="00D272CC" w:rsidRDefault="001D5DDB" w:rsidP="001D5DDB">
            <w:pPr>
              <w:pStyle w:val="Tablesmall"/>
              <w:jc w:val="center"/>
            </w:pPr>
            <w:r w:rsidRPr="00D272CC">
              <w:t>1/0</w:t>
            </w:r>
          </w:p>
        </w:tc>
        <w:tc>
          <w:tcPr>
            <w:tcW w:w="468" w:type="dxa"/>
            <w:vAlign w:val="bottom"/>
          </w:tcPr>
          <w:p w14:paraId="37A4F358" w14:textId="77777777" w:rsidR="001D5DDB" w:rsidRPr="00D272CC" w:rsidRDefault="001D5DDB" w:rsidP="001D5DDB">
            <w:pPr>
              <w:pStyle w:val="Tablesmall"/>
              <w:jc w:val="center"/>
            </w:pPr>
            <w:r w:rsidRPr="00D272CC">
              <w:t>0/2</w:t>
            </w:r>
          </w:p>
        </w:tc>
        <w:tc>
          <w:tcPr>
            <w:tcW w:w="467" w:type="dxa"/>
            <w:vAlign w:val="bottom"/>
          </w:tcPr>
          <w:p w14:paraId="4E18359C" w14:textId="77777777" w:rsidR="001D5DDB" w:rsidRPr="00D272CC" w:rsidRDefault="001D5DDB" w:rsidP="001D5DDB">
            <w:pPr>
              <w:pStyle w:val="Tablesmall"/>
              <w:jc w:val="center"/>
            </w:pPr>
            <w:r w:rsidRPr="00D272CC">
              <w:t>1/1</w:t>
            </w:r>
          </w:p>
        </w:tc>
        <w:tc>
          <w:tcPr>
            <w:tcW w:w="468" w:type="dxa"/>
            <w:vAlign w:val="bottom"/>
          </w:tcPr>
          <w:p w14:paraId="11CD75D2" w14:textId="77777777" w:rsidR="001D5DDB" w:rsidRPr="00D272CC" w:rsidRDefault="001D5DDB" w:rsidP="001D5DDB">
            <w:pPr>
              <w:pStyle w:val="Tablesmall"/>
              <w:jc w:val="center"/>
            </w:pPr>
            <w:r w:rsidRPr="00D272CC">
              <w:t>0/0</w:t>
            </w:r>
          </w:p>
        </w:tc>
        <w:tc>
          <w:tcPr>
            <w:tcW w:w="468" w:type="dxa"/>
            <w:vAlign w:val="bottom"/>
          </w:tcPr>
          <w:p w14:paraId="122DAC18" w14:textId="77777777" w:rsidR="001D5DDB" w:rsidRPr="00D272CC" w:rsidRDefault="001D5DDB" w:rsidP="001D5DDB">
            <w:pPr>
              <w:pStyle w:val="Tablesmall"/>
              <w:jc w:val="center"/>
            </w:pPr>
            <w:r w:rsidRPr="00D272CC">
              <w:t>1/1</w:t>
            </w:r>
          </w:p>
        </w:tc>
        <w:tc>
          <w:tcPr>
            <w:tcW w:w="468" w:type="dxa"/>
            <w:vAlign w:val="bottom"/>
          </w:tcPr>
          <w:p w14:paraId="7D2FCE09" w14:textId="77777777" w:rsidR="001D5DDB" w:rsidRPr="00D272CC" w:rsidRDefault="001D5DDB" w:rsidP="001D5DDB">
            <w:pPr>
              <w:pStyle w:val="Tablesmall"/>
              <w:jc w:val="center"/>
            </w:pPr>
            <w:r w:rsidRPr="00D272CC">
              <w:t>0/0</w:t>
            </w:r>
          </w:p>
        </w:tc>
        <w:tc>
          <w:tcPr>
            <w:tcW w:w="468" w:type="dxa"/>
            <w:vAlign w:val="bottom"/>
          </w:tcPr>
          <w:p w14:paraId="2E002DC0" w14:textId="77777777" w:rsidR="001D5DDB" w:rsidRPr="00D272CC" w:rsidRDefault="001D5DDB" w:rsidP="001D5DDB">
            <w:pPr>
              <w:pStyle w:val="Tablesmall"/>
              <w:jc w:val="center"/>
            </w:pPr>
            <w:r w:rsidRPr="00D272CC">
              <w:t>0/0</w:t>
            </w:r>
          </w:p>
        </w:tc>
        <w:tc>
          <w:tcPr>
            <w:tcW w:w="708" w:type="dxa"/>
            <w:vAlign w:val="bottom"/>
          </w:tcPr>
          <w:p w14:paraId="57E7E99A" w14:textId="77777777" w:rsidR="001D5DDB" w:rsidRPr="00D272CC" w:rsidRDefault="001D5DDB" w:rsidP="001D5DDB">
            <w:pPr>
              <w:pStyle w:val="Tablesmall"/>
              <w:jc w:val="center"/>
            </w:pPr>
            <w:r w:rsidRPr="00D272CC">
              <w:t>6/5</w:t>
            </w:r>
          </w:p>
        </w:tc>
      </w:tr>
      <w:tr w:rsidR="001D5DDB" w:rsidRPr="00D272CC" w14:paraId="12AB71EE" w14:textId="77777777" w:rsidTr="001D5DDB">
        <w:tc>
          <w:tcPr>
            <w:tcW w:w="709" w:type="dxa"/>
          </w:tcPr>
          <w:p w14:paraId="62247C4C" w14:textId="77777777" w:rsidR="001D5DDB" w:rsidRPr="00D272CC" w:rsidRDefault="001D5DDB" w:rsidP="00F33403">
            <w:pPr>
              <w:pStyle w:val="Tablesmall"/>
              <w:jc w:val="center"/>
            </w:pPr>
          </w:p>
        </w:tc>
        <w:tc>
          <w:tcPr>
            <w:tcW w:w="2977" w:type="dxa"/>
          </w:tcPr>
          <w:p w14:paraId="2CC16613" w14:textId="77777777" w:rsidR="001D5DDB" w:rsidRPr="00D272CC" w:rsidRDefault="001D5DDB" w:rsidP="00F33403">
            <w:pPr>
              <w:pStyle w:val="Tablesmall"/>
            </w:pPr>
          </w:p>
        </w:tc>
        <w:tc>
          <w:tcPr>
            <w:tcW w:w="467" w:type="dxa"/>
            <w:vAlign w:val="bottom"/>
          </w:tcPr>
          <w:p w14:paraId="1275A10D" w14:textId="77777777" w:rsidR="001D5DDB" w:rsidRPr="00D272CC" w:rsidRDefault="001D5DDB" w:rsidP="001D5DDB">
            <w:pPr>
              <w:pStyle w:val="Tablesmall"/>
              <w:jc w:val="center"/>
            </w:pPr>
          </w:p>
        </w:tc>
        <w:tc>
          <w:tcPr>
            <w:tcW w:w="468" w:type="dxa"/>
            <w:vAlign w:val="bottom"/>
          </w:tcPr>
          <w:p w14:paraId="45B02166" w14:textId="77777777" w:rsidR="001D5DDB" w:rsidRPr="00D272CC" w:rsidRDefault="001D5DDB" w:rsidP="001D5DDB">
            <w:pPr>
              <w:pStyle w:val="Tablesmall"/>
              <w:jc w:val="center"/>
            </w:pPr>
          </w:p>
        </w:tc>
        <w:tc>
          <w:tcPr>
            <w:tcW w:w="468" w:type="dxa"/>
            <w:vAlign w:val="bottom"/>
          </w:tcPr>
          <w:p w14:paraId="10FE304E" w14:textId="77777777" w:rsidR="001D5DDB" w:rsidRPr="00D272CC" w:rsidRDefault="001D5DDB" w:rsidP="001D5DDB">
            <w:pPr>
              <w:pStyle w:val="Tablesmall"/>
              <w:jc w:val="center"/>
            </w:pPr>
          </w:p>
        </w:tc>
        <w:tc>
          <w:tcPr>
            <w:tcW w:w="468" w:type="dxa"/>
            <w:vAlign w:val="bottom"/>
          </w:tcPr>
          <w:p w14:paraId="028FE98C" w14:textId="77777777" w:rsidR="001D5DDB" w:rsidRPr="00D272CC" w:rsidRDefault="001D5DDB" w:rsidP="001D5DDB">
            <w:pPr>
              <w:pStyle w:val="Tablesmall"/>
              <w:jc w:val="center"/>
            </w:pPr>
          </w:p>
        </w:tc>
        <w:tc>
          <w:tcPr>
            <w:tcW w:w="468" w:type="dxa"/>
            <w:vAlign w:val="bottom"/>
          </w:tcPr>
          <w:p w14:paraId="65FF3EBA" w14:textId="77777777" w:rsidR="001D5DDB" w:rsidRPr="00D272CC" w:rsidRDefault="001D5DDB" w:rsidP="001D5DDB">
            <w:pPr>
              <w:pStyle w:val="Tablesmall"/>
              <w:jc w:val="center"/>
            </w:pPr>
          </w:p>
        </w:tc>
        <w:tc>
          <w:tcPr>
            <w:tcW w:w="467" w:type="dxa"/>
            <w:vAlign w:val="bottom"/>
          </w:tcPr>
          <w:p w14:paraId="0C165F7C" w14:textId="77777777" w:rsidR="001D5DDB" w:rsidRPr="00D272CC" w:rsidRDefault="001D5DDB" w:rsidP="001D5DDB">
            <w:pPr>
              <w:pStyle w:val="Tablesmall"/>
              <w:jc w:val="center"/>
            </w:pPr>
          </w:p>
        </w:tc>
        <w:tc>
          <w:tcPr>
            <w:tcW w:w="468" w:type="dxa"/>
            <w:vAlign w:val="bottom"/>
          </w:tcPr>
          <w:p w14:paraId="5159D078" w14:textId="77777777" w:rsidR="001D5DDB" w:rsidRPr="00D272CC" w:rsidRDefault="001D5DDB" w:rsidP="001D5DDB">
            <w:pPr>
              <w:pStyle w:val="Tablesmall"/>
              <w:jc w:val="center"/>
            </w:pPr>
          </w:p>
        </w:tc>
        <w:tc>
          <w:tcPr>
            <w:tcW w:w="468" w:type="dxa"/>
            <w:vAlign w:val="bottom"/>
          </w:tcPr>
          <w:p w14:paraId="7D9F5CD0" w14:textId="77777777" w:rsidR="001D5DDB" w:rsidRPr="00D272CC" w:rsidRDefault="001D5DDB" w:rsidP="001D5DDB">
            <w:pPr>
              <w:pStyle w:val="Tablesmall"/>
              <w:jc w:val="center"/>
            </w:pPr>
          </w:p>
        </w:tc>
        <w:tc>
          <w:tcPr>
            <w:tcW w:w="468" w:type="dxa"/>
            <w:vAlign w:val="bottom"/>
          </w:tcPr>
          <w:p w14:paraId="65B893DE" w14:textId="77777777" w:rsidR="001D5DDB" w:rsidRPr="00D272CC" w:rsidRDefault="001D5DDB" w:rsidP="001D5DDB">
            <w:pPr>
              <w:pStyle w:val="Tablesmall"/>
              <w:jc w:val="center"/>
            </w:pPr>
          </w:p>
        </w:tc>
        <w:tc>
          <w:tcPr>
            <w:tcW w:w="468" w:type="dxa"/>
            <w:vAlign w:val="bottom"/>
          </w:tcPr>
          <w:p w14:paraId="750D92AC" w14:textId="77777777" w:rsidR="001D5DDB" w:rsidRPr="00D272CC" w:rsidRDefault="001D5DDB" w:rsidP="001D5DDB">
            <w:pPr>
              <w:pStyle w:val="Tablesmall"/>
              <w:jc w:val="center"/>
            </w:pPr>
          </w:p>
        </w:tc>
        <w:tc>
          <w:tcPr>
            <w:tcW w:w="708" w:type="dxa"/>
            <w:vAlign w:val="bottom"/>
          </w:tcPr>
          <w:p w14:paraId="24C0C753" w14:textId="77777777" w:rsidR="001D5DDB" w:rsidRPr="00D272CC" w:rsidRDefault="001D5DDB" w:rsidP="001D5DDB">
            <w:pPr>
              <w:pStyle w:val="Tablesmall"/>
              <w:jc w:val="center"/>
            </w:pPr>
          </w:p>
        </w:tc>
      </w:tr>
      <w:tr w:rsidR="001D5DDB" w:rsidRPr="00D272CC" w14:paraId="205A8E4E" w14:textId="77777777" w:rsidTr="001D5DDB">
        <w:tc>
          <w:tcPr>
            <w:tcW w:w="709" w:type="dxa"/>
          </w:tcPr>
          <w:p w14:paraId="563E6278" w14:textId="77777777" w:rsidR="001D5DDB" w:rsidRPr="00D272CC" w:rsidRDefault="001D5DDB" w:rsidP="00F33403">
            <w:pPr>
              <w:pStyle w:val="Tablesmall"/>
              <w:jc w:val="center"/>
            </w:pPr>
            <w:r w:rsidRPr="00D272CC">
              <w:t>9</w:t>
            </w:r>
          </w:p>
        </w:tc>
        <w:tc>
          <w:tcPr>
            <w:tcW w:w="2977" w:type="dxa"/>
          </w:tcPr>
          <w:p w14:paraId="32547979" w14:textId="77777777" w:rsidR="001D5DDB" w:rsidRPr="00D272CC" w:rsidRDefault="001D5DDB" w:rsidP="00F33403">
            <w:pPr>
              <w:pStyle w:val="Tablesmall"/>
            </w:pPr>
            <w:r w:rsidRPr="00D272CC">
              <w:t>Position of interest paid</w:t>
            </w:r>
          </w:p>
        </w:tc>
        <w:tc>
          <w:tcPr>
            <w:tcW w:w="467" w:type="dxa"/>
            <w:vAlign w:val="bottom"/>
          </w:tcPr>
          <w:p w14:paraId="6DC4F5AA" w14:textId="77777777" w:rsidR="001D5DDB" w:rsidRPr="00D272CC" w:rsidRDefault="001D5DDB" w:rsidP="001D5DDB">
            <w:pPr>
              <w:pStyle w:val="Tablesmall"/>
              <w:jc w:val="center"/>
            </w:pPr>
            <w:r w:rsidRPr="00D272CC">
              <w:t>1</w:t>
            </w:r>
          </w:p>
        </w:tc>
        <w:tc>
          <w:tcPr>
            <w:tcW w:w="468" w:type="dxa"/>
            <w:vAlign w:val="bottom"/>
          </w:tcPr>
          <w:p w14:paraId="38116B60" w14:textId="77777777" w:rsidR="001D5DDB" w:rsidRPr="00D272CC" w:rsidRDefault="001D5DDB" w:rsidP="001D5DDB">
            <w:pPr>
              <w:pStyle w:val="Tablesmall"/>
              <w:jc w:val="center"/>
            </w:pPr>
            <w:r w:rsidRPr="00D272CC">
              <w:t>1</w:t>
            </w:r>
          </w:p>
        </w:tc>
        <w:tc>
          <w:tcPr>
            <w:tcW w:w="468" w:type="dxa"/>
            <w:vAlign w:val="bottom"/>
          </w:tcPr>
          <w:p w14:paraId="0F511C04" w14:textId="77777777" w:rsidR="001D5DDB" w:rsidRPr="00D272CC" w:rsidRDefault="001D5DDB" w:rsidP="001D5DDB">
            <w:pPr>
              <w:pStyle w:val="Tablesmall"/>
              <w:jc w:val="center"/>
            </w:pPr>
            <w:r w:rsidRPr="00D272CC">
              <w:t>12</w:t>
            </w:r>
          </w:p>
        </w:tc>
        <w:tc>
          <w:tcPr>
            <w:tcW w:w="468" w:type="dxa"/>
            <w:vAlign w:val="bottom"/>
          </w:tcPr>
          <w:p w14:paraId="35AC8CA3" w14:textId="77777777" w:rsidR="001D5DDB" w:rsidRPr="00D272CC" w:rsidRDefault="001D5DDB" w:rsidP="001D5DDB">
            <w:pPr>
              <w:pStyle w:val="Tablesmall"/>
              <w:jc w:val="center"/>
            </w:pPr>
            <w:r w:rsidRPr="00D272CC">
              <w:t>3</w:t>
            </w:r>
          </w:p>
        </w:tc>
        <w:tc>
          <w:tcPr>
            <w:tcW w:w="468" w:type="dxa"/>
            <w:vAlign w:val="bottom"/>
          </w:tcPr>
          <w:p w14:paraId="379C121F" w14:textId="77777777" w:rsidR="001D5DDB" w:rsidRPr="00D272CC" w:rsidRDefault="001D5DDB" w:rsidP="001D5DDB">
            <w:pPr>
              <w:pStyle w:val="Tablesmall"/>
              <w:jc w:val="center"/>
            </w:pPr>
            <w:r w:rsidRPr="00D272CC">
              <w:t>2</w:t>
            </w:r>
          </w:p>
        </w:tc>
        <w:tc>
          <w:tcPr>
            <w:tcW w:w="467" w:type="dxa"/>
            <w:vAlign w:val="bottom"/>
          </w:tcPr>
          <w:p w14:paraId="796FFEFB" w14:textId="77777777" w:rsidR="001D5DDB" w:rsidRPr="00D272CC" w:rsidRDefault="001D5DDB" w:rsidP="001D5DDB">
            <w:pPr>
              <w:pStyle w:val="Tablesmall"/>
              <w:jc w:val="center"/>
            </w:pPr>
            <w:r w:rsidRPr="00D272CC">
              <w:t>1</w:t>
            </w:r>
          </w:p>
        </w:tc>
        <w:tc>
          <w:tcPr>
            <w:tcW w:w="468" w:type="dxa"/>
            <w:vAlign w:val="bottom"/>
          </w:tcPr>
          <w:p w14:paraId="5895ED93" w14:textId="77777777" w:rsidR="001D5DDB" w:rsidRPr="00D272CC" w:rsidRDefault="001D5DDB" w:rsidP="001D5DDB">
            <w:pPr>
              <w:pStyle w:val="Tablesmall"/>
              <w:jc w:val="center"/>
            </w:pPr>
            <w:r w:rsidRPr="00D272CC">
              <w:t>8</w:t>
            </w:r>
          </w:p>
        </w:tc>
        <w:tc>
          <w:tcPr>
            <w:tcW w:w="468" w:type="dxa"/>
            <w:vAlign w:val="bottom"/>
          </w:tcPr>
          <w:p w14:paraId="0AC80D20" w14:textId="77777777" w:rsidR="001D5DDB" w:rsidRPr="00D272CC" w:rsidRDefault="001D5DDB" w:rsidP="001D5DDB">
            <w:pPr>
              <w:pStyle w:val="Tablesmall"/>
              <w:jc w:val="center"/>
            </w:pPr>
            <w:r w:rsidRPr="00D272CC">
              <w:t>3</w:t>
            </w:r>
          </w:p>
        </w:tc>
        <w:tc>
          <w:tcPr>
            <w:tcW w:w="468" w:type="dxa"/>
            <w:vAlign w:val="bottom"/>
          </w:tcPr>
          <w:p w14:paraId="37AC4D9B" w14:textId="77777777" w:rsidR="001D5DDB" w:rsidRPr="00D272CC" w:rsidRDefault="001D5DDB" w:rsidP="001D5DDB">
            <w:pPr>
              <w:pStyle w:val="Tablesmall"/>
              <w:jc w:val="center"/>
            </w:pPr>
            <w:r w:rsidRPr="00D272CC">
              <w:t>5</w:t>
            </w:r>
          </w:p>
        </w:tc>
        <w:tc>
          <w:tcPr>
            <w:tcW w:w="468" w:type="dxa"/>
            <w:vAlign w:val="bottom"/>
          </w:tcPr>
          <w:p w14:paraId="682A0A00" w14:textId="77777777" w:rsidR="001D5DDB" w:rsidRPr="00D272CC" w:rsidRDefault="001D5DDB" w:rsidP="001D5DDB">
            <w:pPr>
              <w:pStyle w:val="Tablesmall"/>
              <w:jc w:val="center"/>
            </w:pPr>
            <w:r w:rsidRPr="00D272CC">
              <w:t>1</w:t>
            </w:r>
          </w:p>
        </w:tc>
        <w:tc>
          <w:tcPr>
            <w:tcW w:w="708" w:type="dxa"/>
            <w:vAlign w:val="bottom"/>
          </w:tcPr>
          <w:p w14:paraId="2FCE81E9" w14:textId="77777777" w:rsidR="001D5DDB" w:rsidRPr="00D272CC" w:rsidRDefault="001D5DDB" w:rsidP="001D5DDB">
            <w:pPr>
              <w:pStyle w:val="Tablesmall"/>
              <w:jc w:val="center"/>
            </w:pPr>
            <w:r w:rsidRPr="00D272CC">
              <w:t>37 (11)</w:t>
            </w:r>
          </w:p>
        </w:tc>
      </w:tr>
      <w:tr w:rsidR="001D5DDB" w:rsidRPr="00D272CC" w14:paraId="26E9AF3A" w14:textId="77777777" w:rsidTr="001D5DDB">
        <w:tc>
          <w:tcPr>
            <w:tcW w:w="709" w:type="dxa"/>
          </w:tcPr>
          <w:p w14:paraId="4D1204D3" w14:textId="77777777" w:rsidR="001D5DDB" w:rsidRPr="00D272CC" w:rsidRDefault="001D5DDB" w:rsidP="00F33403">
            <w:pPr>
              <w:pStyle w:val="Tablesmall"/>
              <w:jc w:val="center"/>
            </w:pPr>
          </w:p>
        </w:tc>
        <w:tc>
          <w:tcPr>
            <w:tcW w:w="2977" w:type="dxa"/>
          </w:tcPr>
          <w:p w14:paraId="474FFF39" w14:textId="77777777" w:rsidR="001D5DDB" w:rsidRPr="00D272CC" w:rsidRDefault="001D5DDB" w:rsidP="00F33403">
            <w:pPr>
              <w:pStyle w:val="Tablesmall"/>
            </w:pPr>
            <w:r w:rsidRPr="00D272CC">
              <w:t>- from (a) to (b) / (b) to (a)</w:t>
            </w:r>
          </w:p>
        </w:tc>
        <w:tc>
          <w:tcPr>
            <w:tcW w:w="467" w:type="dxa"/>
            <w:vAlign w:val="bottom"/>
          </w:tcPr>
          <w:p w14:paraId="62FF0F1D" w14:textId="77777777" w:rsidR="001D5DDB" w:rsidRPr="00D272CC" w:rsidRDefault="001D5DDB" w:rsidP="001D5DDB">
            <w:pPr>
              <w:pStyle w:val="Tablesmall"/>
              <w:jc w:val="center"/>
            </w:pPr>
            <w:r w:rsidRPr="00D272CC">
              <w:t>1/0</w:t>
            </w:r>
          </w:p>
        </w:tc>
        <w:tc>
          <w:tcPr>
            <w:tcW w:w="468" w:type="dxa"/>
            <w:vAlign w:val="bottom"/>
          </w:tcPr>
          <w:p w14:paraId="6DF3AA78" w14:textId="77777777" w:rsidR="001D5DDB" w:rsidRPr="00D272CC" w:rsidRDefault="001D5DDB" w:rsidP="001D5DDB">
            <w:pPr>
              <w:pStyle w:val="Tablesmall"/>
              <w:jc w:val="center"/>
            </w:pPr>
            <w:r w:rsidRPr="00D272CC">
              <w:t>1/0</w:t>
            </w:r>
          </w:p>
        </w:tc>
        <w:tc>
          <w:tcPr>
            <w:tcW w:w="468" w:type="dxa"/>
            <w:vAlign w:val="bottom"/>
          </w:tcPr>
          <w:p w14:paraId="37DF9CC1" w14:textId="77777777" w:rsidR="001D5DDB" w:rsidRPr="00D272CC" w:rsidRDefault="001D5DDB" w:rsidP="001D5DDB">
            <w:pPr>
              <w:pStyle w:val="Tablesmall"/>
              <w:jc w:val="center"/>
            </w:pPr>
            <w:r w:rsidRPr="00D272CC">
              <w:t>12/0</w:t>
            </w:r>
          </w:p>
        </w:tc>
        <w:tc>
          <w:tcPr>
            <w:tcW w:w="468" w:type="dxa"/>
            <w:vAlign w:val="bottom"/>
          </w:tcPr>
          <w:p w14:paraId="188D65F7" w14:textId="77777777" w:rsidR="001D5DDB" w:rsidRPr="00D272CC" w:rsidRDefault="001D5DDB" w:rsidP="001D5DDB">
            <w:pPr>
              <w:pStyle w:val="Tablesmall"/>
              <w:jc w:val="center"/>
            </w:pPr>
            <w:r w:rsidRPr="00D272CC">
              <w:t>3/0</w:t>
            </w:r>
          </w:p>
        </w:tc>
        <w:tc>
          <w:tcPr>
            <w:tcW w:w="468" w:type="dxa"/>
            <w:vAlign w:val="bottom"/>
          </w:tcPr>
          <w:p w14:paraId="038D8402" w14:textId="77777777" w:rsidR="001D5DDB" w:rsidRPr="00D272CC" w:rsidRDefault="001D5DDB" w:rsidP="001D5DDB">
            <w:pPr>
              <w:pStyle w:val="Tablesmall"/>
              <w:jc w:val="center"/>
            </w:pPr>
            <w:r w:rsidRPr="00D272CC">
              <w:t>1/1</w:t>
            </w:r>
          </w:p>
        </w:tc>
        <w:tc>
          <w:tcPr>
            <w:tcW w:w="467" w:type="dxa"/>
            <w:vAlign w:val="bottom"/>
          </w:tcPr>
          <w:p w14:paraId="670DFAF2" w14:textId="77777777" w:rsidR="001D5DDB" w:rsidRPr="00D272CC" w:rsidRDefault="001D5DDB" w:rsidP="001D5DDB">
            <w:pPr>
              <w:pStyle w:val="Tablesmall"/>
              <w:jc w:val="center"/>
            </w:pPr>
            <w:r w:rsidRPr="00D272CC">
              <w:t>1/0</w:t>
            </w:r>
          </w:p>
        </w:tc>
        <w:tc>
          <w:tcPr>
            <w:tcW w:w="468" w:type="dxa"/>
            <w:vAlign w:val="bottom"/>
          </w:tcPr>
          <w:p w14:paraId="1E60F4ED" w14:textId="77777777" w:rsidR="001D5DDB" w:rsidRPr="00D272CC" w:rsidRDefault="001D5DDB" w:rsidP="001D5DDB">
            <w:pPr>
              <w:pStyle w:val="Tablesmall"/>
              <w:jc w:val="center"/>
            </w:pPr>
            <w:r w:rsidRPr="00D272CC">
              <w:t>3/5</w:t>
            </w:r>
          </w:p>
        </w:tc>
        <w:tc>
          <w:tcPr>
            <w:tcW w:w="468" w:type="dxa"/>
            <w:vAlign w:val="bottom"/>
          </w:tcPr>
          <w:p w14:paraId="08A0E7DE" w14:textId="77777777" w:rsidR="001D5DDB" w:rsidRPr="00D272CC" w:rsidRDefault="001D5DDB" w:rsidP="001D5DDB">
            <w:pPr>
              <w:pStyle w:val="Tablesmall"/>
              <w:jc w:val="center"/>
            </w:pPr>
            <w:r w:rsidRPr="00D272CC">
              <w:t>2/1</w:t>
            </w:r>
          </w:p>
        </w:tc>
        <w:tc>
          <w:tcPr>
            <w:tcW w:w="468" w:type="dxa"/>
            <w:vAlign w:val="bottom"/>
          </w:tcPr>
          <w:p w14:paraId="1FEBD2DE" w14:textId="77777777" w:rsidR="001D5DDB" w:rsidRPr="00D272CC" w:rsidRDefault="001D5DDB" w:rsidP="001D5DDB">
            <w:pPr>
              <w:pStyle w:val="Tablesmall"/>
              <w:jc w:val="center"/>
            </w:pPr>
            <w:r w:rsidRPr="00D272CC">
              <w:t>5/0</w:t>
            </w:r>
          </w:p>
        </w:tc>
        <w:tc>
          <w:tcPr>
            <w:tcW w:w="468" w:type="dxa"/>
            <w:vAlign w:val="bottom"/>
          </w:tcPr>
          <w:p w14:paraId="3505505D" w14:textId="77777777" w:rsidR="001D5DDB" w:rsidRPr="00D272CC" w:rsidRDefault="001D5DDB" w:rsidP="001D5DDB">
            <w:pPr>
              <w:pStyle w:val="Tablesmall"/>
              <w:jc w:val="center"/>
            </w:pPr>
            <w:r w:rsidRPr="00D272CC">
              <w:t>1/0</w:t>
            </w:r>
          </w:p>
        </w:tc>
        <w:tc>
          <w:tcPr>
            <w:tcW w:w="708" w:type="dxa"/>
            <w:vAlign w:val="bottom"/>
          </w:tcPr>
          <w:p w14:paraId="27E8BEBA" w14:textId="77777777" w:rsidR="001D5DDB" w:rsidRPr="00D272CC" w:rsidRDefault="001D5DDB" w:rsidP="001D5DDB">
            <w:pPr>
              <w:pStyle w:val="Tablesmall"/>
              <w:jc w:val="center"/>
            </w:pPr>
            <w:r w:rsidRPr="00D272CC">
              <w:t>30/7</w:t>
            </w:r>
          </w:p>
        </w:tc>
      </w:tr>
      <w:tr w:rsidR="001D5DDB" w:rsidRPr="00D272CC" w14:paraId="1B35295F" w14:textId="77777777" w:rsidTr="001D5DDB">
        <w:tc>
          <w:tcPr>
            <w:tcW w:w="709" w:type="dxa"/>
          </w:tcPr>
          <w:p w14:paraId="6DF40CC0" w14:textId="77777777" w:rsidR="001D5DDB" w:rsidRPr="00D272CC" w:rsidRDefault="001D5DDB" w:rsidP="00F33403">
            <w:pPr>
              <w:pStyle w:val="Tablesmall"/>
              <w:jc w:val="center"/>
            </w:pPr>
          </w:p>
        </w:tc>
        <w:tc>
          <w:tcPr>
            <w:tcW w:w="2977" w:type="dxa"/>
          </w:tcPr>
          <w:p w14:paraId="469A02EF" w14:textId="77777777" w:rsidR="001D5DDB" w:rsidRPr="00D272CC" w:rsidRDefault="001D5DDB" w:rsidP="00F33403">
            <w:pPr>
              <w:pStyle w:val="Tablesmall"/>
            </w:pPr>
          </w:p>
        </w:tc>
        <w:tc>
          <w:tcPr>
            <w:tcW w:w="467" w:type="dxa"/>
            <w:vAlign w:val="bottom"/>
          </w:tcPr>
          <w:p w14:paraId="1D6F54EE" w14:textId="77777777" w:rsidR="001D5DDB" w:rsidRPr="00D272CC" w:rsidRDefault="001D5DDB" w:rsidP="001D5DDB">
            <w:pPr>
              <w:pStyle w:val="Tablesmall"/>
              <w:jc w:val="center"/>
            </w:pPr>
          </w:p>
        </w:tc>
        <w:tc>
          <w:tcPr>
            <w:tcW w:w="468" w:type="dxa"/>
            <w:vAlign w:val="bottom"/>
          </w:tcPr>
          <w:p w14:paraId="5319FA96" w14:textId="77777777" w:rsidR="001D5DDB" w:rsidRPr="00D272CC" w:rsidRDefault="001D5DDB" w:rsidP="001D5DDB">
            <w:pPr>
              <w:pStyle w:val="Tablesmall"/>
              <w:jc w:val="center"/>
            </w:pPr>
          </w:p>
        </w:tc>
        <w:tc>
          <w:tcPr>
            <w:tcW w:w="468" w:type="dxa"/>
            <w:vAlign w:val="bottom"/>
          </w:tcPr>
          <w:p w14:paraId="26AF3B50" w14:textId="77777777" w:rsidR="001D5DDB" w:rsidRPr="00D272CC" w:rsidRDefault="001D5DDB" w:rsidP="001D5DDB">
            <w:pPr>
              <w:pStyle w:val="Tablesmall"/>
              <w:jc w:val="center"/>
            </w:pPr>
          </w:p>
        </w:tc>
        <w:tc>
          <w:tcPr>
            <w:tcW w:w="468" w:type="dxa"/>
            <w:vAlign w:val="bottom"/>
          </w:tcPr>
          <w:p w14:paraId="2B833857" w14:textId="77777777" w:rsidR="001D5DDB" w:rsidRPr="00D272CC" w:rsidRDefault="001D5DDB" w:rsidP="001D5DDB">
            <w:pPr>
              <w:pStyle w:val="Tablesmall"/>
              <w:jc w:val="center"/>
            </w:pPr>
          </w:p>
        </w:tc>
        <w:tc>
          <w:tcPr>
            <w:tcW w:w="468" w:type="dxa"/>
            <w:vAlign w:val="bottom"/>
          </w:tcPr>
          <w:p w14:paraId="641537FF" w14:textId="77777777" w:rsidR="001D5DDB" w:rsidRPr="00D272CC" w:rsidRDefault="001D5DDB" w:rsidP="001D5DDB">
            <w:pPr>
              <w:pStyle w:val="Tablesmall"/>
              <w:jc w:val="center"/>
            </w:pPr>
          </w:p>
        </w:tc>
        <w:tc>
          <w:tcPr>
            <w:tcW w:w="467" w:type="dxa"/>
            <w:vAlign w:val="bottom"/>
          </w:tcPr>
          <w:p w14:paraId="1D121C0A" w14:textId="77777777" w:rsidR="001D5DDB" w:rsidRPr="00D272CC" w:rsidRDefault="001D5DDB" w:rsidP="001D5DDB">
            <w:pPr>
              <w:pStyle w:val="Tablesmall"/>
              <w:jc w:val="center"/>
            </w:pPr>
          </w:p>
        </w:tc>
        <w:tc>
          <w:tcPr>
            <w:tcW w:w="468" w:type="dxa"/>
            <w:vAlign w:val="bottom"/>
          </w:tcPr>
          <w:p w14:paraId="5ACA5C69" w14:textId="77777777" w:rsidR="001D5DDB" w:rsidRPr="00D272CC" w:rsidRDefault="001D5DDB" w:rsidP="001D5DDB">
            <w:pPr>
              <w:pStyle w:val="Tablesmall"/>
              <w:jc w:val="center"/>
            </w:pPr>
          </w:p>
        </w:tc>
        <w:tc>
          <w:tcPr>
            <w:tcW w:w="468" w:type="dxa"/>
            <w:vAlign w:val="bottom"/>
          </w:tcPr>
          <w:p w14:paraId="20480B80" w14:textId="77777777" w:rsidR="001D5DDB" w:rsidRPr="00D272CC" w:rsidRDefault="001D5DDB" w:rsidP="001D5DDB">
            <w:pPr>
              <w:pStyle w:val="Tablesmall"/>
              <w:jc w:val="center"/>
            </w:pPr>
          </w:p>
        </w:tc>
        <w:tc>
          <w:tcPr>
            <w:tcW w:w="468" w:type="dxa"/>
            <w:vAlign w:val="bottom"/>
          </w:tcPr>
          <w:p w14:paraId="06EE01CC" w14:textId="77777777" w:rsidR="001D5DDB" w:rsidRPr="00D272CC" w:rsidRDefault="001D5DDB" w:rsidP="001D5DDB">
            <w:pPr>
              <w:pStyle w:val="Tablesmall"/>
              <w:jc w:val="center"/>
            </w:pPr>
          </w:p>
        </w:tc>
        <w:tc>
          <w:tcPr>
            <w:tcW w:w="468" w:type="dxa"/>
            <w:vAlign w:val="bottom"/>
          </w:tcPr>
          <w:p w14:paraId="73C7AFD8" w14:textId="77777777" w:rsidR="001D5DDB" w:rsidRPr="00D272CC" w:rsidRDefault="001D5DDB" w:rsidP="001D5DDB">
            <w:pPr>
              <w:pStyle w:val="Tablesmall"/>
              <w:jc w:val="center"/>
            </w:pPr>
          </w:p>
        </w:tc>
        <w:tc>
          <w:tcPr>
            <w:tcW w:w="708" w:type="dxa"/>
            <w:vAlign w:val="bottom"/>
          </w:tcPr>
          <w:p w14:paraId="4EB1EF46" w14:textId="77777777" w:rsidR="001D5DDB" w:rsidRPr="00D272CC" w:rsidRDefault="001D5DDB" w:rsidP="001D5DDB">
            <w:pPr>
              <w:pStyle w:val="Tablesmall"/>
              <w:jc w:val="center"/>
            </w:pPr>
          </w:p>
        </w:tc>
      </w:tr>
      <w:tr w:rsidR="001D5DDB" w:rsidRPr="00D272CC" w14:paraId="4A354030" w14:textId="77777777" w:rsidTr="001D5DDB">
        <w:tc>
          <w:tcPr>
            <w:tcW w:w="709" w:type="dxa"/>
          </w:tcPr>
          <w:p w14:paraId="6180EC4A" w14:textId="77777777" w:rsidR="001D5DDB" w:rsidRPr="00D272CC" w:rsidRDefault="001D5DDB" w:rsidP="00F33403">
            <w:pPr>
              <w:pStyle w:val="Tablesmall"/>
              <w:jc w:val="center"/>
            </w:pPr>
            <w:r w:rsidRPr="00D272CC">
              <w:t>10</w:t>
            </w:r>
          </w:p>
        </w:tc>
        <w:tc>
          <w:tcPr>
            <w:tcW w:w="2977" w:type="dxa"/>
          </w:tcPr>
          <w:p w14:paraId="29F5B75D" w14:textId="77777777" w:rsidR="001D5DDB" w:rsidRPr="00D272CC" w:rsidRDefault="001D5DDB" w:rsidP="00F33403">
            <w:pPr>
              <w:pStyle w:val="Tablesmall"/>
            </w:pPr>
            <w:r w:rsidRPr="00D272CC">
              <w:t>Some property at fair value or not</w:t>
            </w:r>
          </w:p>
        </w:tc>
        <w:tc>
          <w:tcPr>
            <w:tcW w:w="467" w:type="dxa"/>
            <w:vAlign w:val="bottom"/>
          </w:tcPr>
          <w:p w14:paraId="52883484" w14:textId="77777777" w:rsidR="001D5DDB" w:rsidRPr="00D272CC" w:rsidRDefault="001D5DDB" w:rsidP="001D5DDB">
            <w:pPr>
              <w:pStyle w:val="Tablesmall"/>
              <w:jc w:val="center"/>
            </w:pPr>
            <w:r w:rsidRPr="00D272CC">
              <w:t>1</w:t>
            </w:r>
          </w:p>
        </w:tc>
        <w:tc>
          <w:tcPr>
            <w:tcW w:w="468" w:type="dxa"/>
            <w:vAlign w:val="bottom"/>
          </w:tcPr>
          <w:p w14:paraId="4E537B9A" w14:textId="77777777" w:rsidR="001D5DDB" w:rsidRPr="00D272CC" w:rsidRDefault="001D5DDB" w:rsidP="001D5DDB">
            <w:pPr>
              <w:pStyle w:val="Tablesmall"/>
              <w:jc w:val="center"/>
            </w:pPr>
            <w:r w:rsidRPr="00D272CC">
              <w:t>0</w:t>
            </w:r>
          </w:p>
        </w:tc>
        <w:tc>
          <w:tcPr>
            <w:tcW w:w="468" w:type="dxa"/>
            <w:vAlign w:val="bottom"/>
          </w:tcPr>
          <w:p w14:paraId="73B9A001" w14:textId="77777777" w:rsidR="001D5DDB" w:rsidRPr="00D272CC" w:rsidRDefault="001D5DDB" w:rsidP="001D5DDB">
            <w:pPr>
              <w:pStyle w:val="Tablesmall"/>
              <w:jc w:val="center"/>
            </w:pPr>
            <w:r w:rsidRPr="00D272CC">
              <w:t>1</w:t>
            </w:r>
          </w:p>
        </w:tc>
        <w:tc>
          <w:tcPr>
            <w:tcW w:w="468" w:type="dxa"/>
            <w:vAlign w:val="bottom"/>
          </w:tcPr>
          <w:p w14:paraId="333C3722" w14:textId="77777777" w:rsidR="001D5DDB" w:rsidRPr="00D272CC" w:rsidRDefault="001D5DDB" w:rsidP="001D5DDB">
            <w:pPr>
              <w:pStyle w:val="Tablesmall"/>
              <w:jc w:val="center"/>
            </w:pPr>
            <w:r w:rsidRPr="00D272CC">
              <w:t>0</w:t>
            </w:r>
          </w:p>
        </w:tc>
        <w:tc>
          <w:tcPr>
            <w:tcW w:w="468" w:type="dxa"/>
            <w:vAlign w:val="bottom"/>
          </w:tcPr>
          <w:p w14:paraId="281BD511" w14:textId="77777777" w:rsidR="001D5DDB" w:rsidRPr="00D272CC" w:rsidRDefault="001D5DDB" w:rsidP="001D5DDB">
            <w:pPr>
              <w:pStyle w:val="Tablesmall"/>
              <w:jc w:val="center"/>
            </w:pPr>
            <w:r w:rsidRPr="00D272CC">
              <w:t>0</w:t>
            </w:r>
          </w:p>
        </w:tc>
        <w:tc>
          <w:tcPr>
            <w:tcW w:w="467" w:type="dxa"/>
            <w:vAlign w:val="bottom"/>
          </w:tcPr>
          <w:p w14:paraId="4EC9AC1D" w14:textId="77777777" w:rsidR="001D5DDB" w:rsidRPr="00D272CC" w:rsidRDefault="001D5DDB" w:rsidP="001D5DDB">
            <w:pPr>
              <w:pStyle w:val="Tablesmall"/>
              <w:jc w:val="center"/>
            </w:pPr>
            <w:r w:rsidRPr="00D272CC">
              <w:t>0</w:t>
            </w:r>
          </w:p>
        </w:tc>
        <w:tc>
          <w:tcPr>
            <w:tcW w:w="468" w:type="dxa"/>
            <w:vAlign w:val="bottom"/>
          </w:tcPr>
          <w:p w14:paraId="29DCC48E" w14:textId="77777777" w:rsidR="001D5DDB" w:rsidRPr="00D272CC" w:rsidRDefault="001D5DDB" w:rsidP="001D5DDB">
            <w:pPr>
              <w:pStyle w:val="Tablesmall"/>
              <w:jc w:val="center"/>
            </w:pPr>
            <w:r w:rsidRPr="00D272CC">
              <w:t>0</w:t>
            </w:r>
          </w:p>
        </w:tc>
        <w:tc>
          <w:tcPr>
            <w:tcW w:w="468" w:type="dxa"/>
            <w:vAlign w:val="bottom"/>
          </w:tcPr>
          <w:p w14:paraId="156D4445" w14:textId="77777777" w:rsidR="001D5DDB" w:rsidRPr="00D272CC" w:rsidRDefault="001D5DDB" w:rsidP="001D5DDB">
            <w:pPr>
              <w:pStyle w:val="Tablesmall"/>
              <w:jc w:val="center"/>
            </w:pPr>
            <w:r w:rsidRPr="00D272CC">
              <w:t>0</w:t>
            </w:r>
          </w:p>
        </w:tc>
        <w:tc>
          <w:tcPr>
            <w:tcW w:w="468" w:type="dxa"/>
            <w:vAlign w:val="bottom"/>
          </w:tcPr>
          <w:p w14:paraId="1BE0C5E3" w14:textId="77777777" w:rsidR="001D5DDB" w:rsidRPr="00D272CC" w:rsidRDefault="001D5DDB" w:rsidP="001D5DDB">
            <w:pPr>
              <w:pStyle w:val="Tablesmall"/>
              <w:jc w:val="center"/>
            </w:pPr>
            <w:r w:rsidRPr="00D272CC">
              <w:t>0</w:t>
            </w:r>
          </w:p>
        </w:tc>
        <w:tc>
          <w:tcPr>
            <w:tcW w:w="468" w:type="dxa"/>
            <w:vAlign w:val="bottom"/>
          </w:tcPr>
          <w:p w14:paraId="19145F7F" w14:textId="77777777" w:rsidR="001D5DDB" w:rsidRPr="00D272CC" w:rsidRDefault="001D5DDB" w:rsidP="001D5DDB">
            <w:pPr>
              <w:pStyle w:val="Tablesmall"/>
              <w:jc w:val="center"/>
            </w:pPr>
            <w:r w:rsidRPr="00D272CC">
              <w:t>0</w:t>
            </w:r>
          </w:p>
        </w:tc>
        <w:tc>
          <w:tcPr>
            <w:tcW w:w="708" w:type="dxa"/>
            <w:vAlign w:val="bottom"/>
          </w:tcPr>
          <w:p w14:paraId="3DA0504C" w14:textId="77777777" w:rsidR="001D5DDB" w:rsidRPr="00D272CC" w:rsidRDefault="001D5DDB" w:rsidP="001D5DDB">
            <w:pPr>
              <w:pStyle w:val="Tablesmall"/>
              <w:jc w:val="center"/>
            </w:pPr>
            <w:r w:rsidRPr="00D272CC">
              <w:t>2 (1)</w:t>
            </w:r>
          </w:p>
        </w:tc>
      </w:tr>
      <w:tr w:rsidR="001D5DDB" w:rsidRPr="00D272CC" w14:paraId="012C460B" w14:textId="77777777" w:rsidTr="001D5DDB">
        <w:tc>
          <w:tcPr>
            <w:tcW w:w="709" w:type="dxa"/>
          </w:tcPr>
          <w:p w14:paraId="77EC3D56" w14:textId="77777777" w:rsidR="001D5DDB" w:rsidRPr="00D272CC" w:rsidRDefault="001D5DDB" w:rsidP="00F33403">
            <w:pPr>
              <w:pStyle w:val="Tablesmall"/>
              <w:jc w:val="center"/>
            </w:pPr>
          </w:p>
        </w:tc>
        <w:tc>
          <w:tcPr>
            <w:tcW w:w="2977" w:type="dxa"/>
          </w:tcPr>
          <w:p w14:paraId="3CFA0C85" w14:textId="77777777" w:rsidR="001D5DDB" w:rsidRPr="00D272CC" w:rsidRDefault="001D5DDB" w:rsidP="00F33403">
            <w:pPr>
              <w:pStyle w:val="Tablesmall"/>
            </w:pPr>
            <w:r w:rsidRPr="00D272CC">
              <w:t>- from (a) to (b) / (b) to (a)</w:t>
            </w:r>
          </w:p>
        </w:tc>
        <w:tc>
          <w:tcPr>
            <w:tcW w:w="467" w:type="dxa"/>
            <w:vAlign w:val="bottom"/>
          </w:tcPr>
          <w:p w14:paraId="5FBF22F4" w14:textId="77777777" w:rsidR="001D5DDB" w:rsidRPr="00D272CC" w:rsidRDefault="001D5DDB" w:rsidP="001D5DDB">
            <w:pPr>
              <w:pStyle w:val="Tablesmall"/>
              <w:jc w:val="center"/>
            </w:pPr>
            <w:r w:rsidRPr="00D272CC">
              <w:t>1/0</w:t>
            </w:r>
          </w:p>
        </w:tc>
        <w:tc>
          <w:tcPr>
            <w:tcW w:w="468" w:type="dxa"/>
            <w:vAlign w:val="bottom"/>
          </w:tcPr>
          <w:p w14:paraId="42ACE646" w14:textId="77777777" w:rsidR="001D5DDB" w:rsidRPr="00D272CC" w:rsidRDefault="001D5DDB" w:rsidP="001D5DDB">
            <w:pPr>
              <w:pStyle w:val="Tablesmall"/>
              <w:jc w:val="center"/>
            </w:pPr>
            <w:r w:rsidRPr="00D272CC">
              <w:t>0/0</w:t>
            </w:r>
          </w:p>
        </w:tc>
        <w:tc>
          <w:tcPr>
            <w:tcW w:w="468" w:type="dxa"/>
            <w:vAlign w:val="bottom"/>
          </w:tcPr>
          <w:p w14:paraId="7E0ADA07" w14:textId="77777777" w:rsidR="001D5DDB" w:rsidRPr="00D272CC" w:rsidRDefault="001D5DDB" w:rsidP="001D5DDB">
            <w:pPr>
              <w:pStyle w:val="Tablesmall"/>
              <w:jc w:val="center"/>
            </w:pPr>
            <w:r w:rsidRPr="00D272CC">
              <w:t>1/0</w:t>
            </w:r>
          </w:p>
        </w:tc>
        <w:tc>
          <w:tcPr>
            <w:tcW w:w="468" w:type="dxa"/>
            <w:vAlign w:val="bottom"/>
          </w:tcPr>
          <w:p w14:paraId="015B2D24" w14:textId="77777777" w:rsidR="001D5DDB" w:rsidRPr="00D272CC" w:rsidRDefault="001D5DDB" w:rsidP="001D5DDB">
            <w:pPr>
              <w:pStyle w:val="Tablesmall"/>
              <w:jc w:val="center"/>
            </w:pPr>
            <w:r w:rsidRPr="00D272CC">
              <w:t>0/0</w:t>
            </w:r>
          </w:p>
        </w:tc>
        <w:tc>
          <w:tcPr>
            <w:tcW w:w="468" w:type="dxa"/>
            <w:vAlign w:val="bottom"/>
          </w:tcPr>
          <w:p w14:paraId="21DF7574" w14:textId="77777777" w:rsidR="001D5DDB" w:rsidRPr="00D272CC" w:rsidRDefault="001D5DDB" w:rsidP="001D5DDB">
            <w:pPr>
              <w:pStyle w:val="Tablesmall"/>
              <w:jc w:val="center"/>
            </w:pPr>
            <w:r w:rsidRPr="00D272CC">
              <w:t>0/0</w:t>
            </w:r>
          </w:p>
        </w:tc>
        <w:tc>
          <w:tcPr>
            <w:tcW w:w="467" w:type="dxa"/>
            <w:vAlign w:val="bottom"/>
          </w:tcPr>
          <w:p w14:paraId="14A99F89" w14:textId="77777777" w:rsidR="001D5DDB" w:rsidRPr="00D272CC" w:rsidRDefault="001D5DDB" w:rsidP="001D5DDB">
            <w:pPr>
              <w:pStyle w:val="Tablesmall"/>
              <w:jc w:val="center"/>
            </w:pPr>
            <w:r w:rsidRPr="00D272CC">
              <w:t>0/0</w:t>
            </w:r>
          </w:p>
        </w:tc>
        <w:tc>
          <w:tcPr>
            <w:tcW w:w="468" w:type="dxa"/>
            <w:vAlign w:val="bottom"/>
          </w:tcPr>
          <w:p w14:paraId="4A5A192F" w14:textId="77777777" w:rsidR="001D5DDB" w:rsidRPr="00D272CC" w:rsidRDefault="001D5DDB" w:rsidP="001D5DDB">
            <w:pPr>
              <w:pStyle w:val="Tablesmall"/>
              <w:jc w:val="center"/>
            </w:pPr>
            <w:r w:rsidRPr="00D272CC">
              <w:t>0/0</w:t>
            </w:r>
          </w:p>
        </w:tc>
        <w:tc>
          <w:tcPr>
            <w:tcW w:w="468" w:type="dxa"/>
            <w:vAlign w:val="bottom"/>
          </w:tcPr>
          <w:p w14:paraId="7D84EA10" w14:textId="77777777" w:rsidR="001D5DDB" w:rsidRPr="00D272CC" w:rsidRDefault="001D5DDB" w:rsidP="001D5DDB">
            <w:pPr>
              <w:pStyle w:val="Tablesmall"/>
              <w:jc w:val="center"/>
            </w:pPr>
            <w:r w:rsidRPr="00D272CC">
              <w:t>0/0</w:t>
            </w:r>
          </w:p>
        </w:tc>
        <w:tc>
          <w:tcPr>
            <w:tcW w:w="468" w:type="dxa"/>
            <w:vAlign w:val="bottom"/>
          </w:tcPr>
          <w:p w14:paraId="6F1462FE" w14:textId="77777777" w:rsidR="001D5DDB" w:rsidRPr="00D272CC" w:rsidRDefault="001D5DDB" w:rsidP="001D5DDB">
            <w:pPr>
              <w:pStyle w:val="Tablesmall"/>
              <w:jc w:val="center"/>
            </w:pPr>
            <w:r w:rsidRPr="00D272CC">
              <w:t>0/0</w:t>
            </w:r>
          </w:p>
        </w:tc>
        <w:tc>
          <w:tcPr>
            <w:tcW w:w="468" w:type="dxa"/>
            <w:vAlign w:val="bottom"/>
          </w:tcPr>
          <w:p w14:paraId="7C269BC9" w14:textId="77777777" w:rsidR="001D5DDB" w:rsidRPr="00D272CC" w:rsidRDefault="001D5DDB" w:rsidP="001D5DDB">
            <w:pPr>
              <w:pStyle w:val="Tablesmall"/>
              <w:jc w:val="center"/>
            </w:pPr>
            <w:r w:rsidRPr="00D272CC">
              <w:t>0/0</w:t>
            </w:r>
          </w:p>
        </w:tc>
        <w:tc>
          <w:tcPr>
            <w:tcW w:w="708" w:type="dxa"/>
            <w:vAlign w:val="bottom"/>
          </w:tcPr>
          <w:p w14:paraId="7033756A" w14:textId="77777777" w:rsidR="001D5DDB" w:rsidRPr="00D272CC" w:rsidRDefault="001D5DDB" w:rsidP="001D5DDB">
            <w:pPr>
              <w:pStyle w:val="Tablesmall"/>
              <w:jc w:val="center"/>
            </w:pPr>
            <w:r w:rsidRPr="00D272CC">
              <w:t>2/0</w:t>
            </w:r>
          </w:p>
        </w:tc>
      </w:tr>
      <w:tr w:rsidR="001D5DDB" w:rsidRPr="00D272CC" w14:paraId="1974CB76" w14:textId="77777777" w:rsidTr="001D5DDB">
        <w:tc>
          <w:tcPr>
            <w:tcW w:w="709" w:type="dxa"/>
          </w:tcPr>
          <w:p w14:paraId="1A87C214" w14:textId="77777777" w:rsidR="001D5DDB" w:rsidRPr="00D272CC" w:rsidRDefault="001D5DDB" w:rsidP="00F33403">
            <w:pPr>
              <w:pStyle w:val="Tablesmall"/>
              <w:jc w:val="center"/>
            </w:pPr>
          </w:p>
        </w:tc>
        <w:tc>
          <w:tcPr>
            <w:tcW w:w="2977" w:type="dxa"/>
          </w:tcPr>
          <w:p w14:paraId="652D47F1" w14:textId="77777777" w:rsidR="001D5DDB" w:rsidRPr="00D272CC" w:rsidRDefault="001D5DDB" w:rsidP="00F33403">
            <w:pPr>
              <w:pStyle w:val="Tablesmall"/>
            </w:pPr>
          </w:p>
        </w:tc>
        <w:tc>
          <w:tcPr>
            <w:tcW w:w="467" w:type="dxa"/>
            <w:vAlign w:val="bottom"/>
          </w:tcPr>
          <w:p w14:paraId="152DC341" w14:textId="77777777" w:rsidR="001D5DDB" w:rsidRPr="00D272CC" w:rsidRDefault="001D5DDB" w:rsidP="001D5DDB">
            <w:pPr>
              <w:pStyle w:val="Tablesmall"/>
              <w:jc w:val="center"/>
            </w:pPr>
          </w:p>
        </w:tc>
        <w:tc>
          <w:tcPr>
            <w:tcW w:w="468" w:type="dxa"/>
            <w:vAlign w:val="bottom"/>
          </w:tcPr>
          <w:p w14:paraId="17A8568E" w14:textId="77777777" w:rsidR="001D5DDB" w:rsidRPr="00D272CC" w:rsidRDefault="001D5DDB" w:rsidP="001D5DDB">
            <w:pPr>
              <w:pStyle w:val="Tablesmall"/>
              <w:jc w:val="center"/>
            </w:pPr>
          </w:p>
        </w:tc>
        <w:tc>
          <w:tcPr>
            <w:tcW w:w="468" w:type="dxa"/>
            <w:vAlign w:val="bottom"/>
          </w:tcPr>
          <w:p w14:paraId="300D3312" w14:textId="77777777" w:rsidR="001D5DDB" w:rsidRPr="00D272CC" w:rsidRDefault="001D5DDB" w:rsidP="001D5DDB">
            <w:pPr>
              <w:pStyle w:val="Tablesmall"/>
              <w:jc w:val="center"/>
            </w:pPr>
          </w:p>
        </w:tc>
        <w:tc>
          <w:tcPr>
            <w:tcW w:w="468" w:type="dxa"/>
            <w:vAlign w:val="bottom"/>
          </w:tcPr>
          <w:p w14:paraId="056CF6D6" w14:textId="77777777" w:rsidR="001D5DDB" w:rsidRPr="00D272CC" w:rsidRDefault="001D5DDB" w:rsidP="001D5DDB">
            <w:pPr>
              <w:pStyle w:val="Tablesmall"/>
              <w:jc w:val="center"/>
            </w:pPr>
          </w:p>
        </w:tc>
        <w:tc>
          <w:tcPr>
            <w:tcW w:w="468" w:type="dxa"/>
            <w:vAlign w:val="bottom"/>
          </w:tcPr>
          <w:p w14:paraId="4046132F" w14:textId="77777777" w:rsidR="001D5DDB" w:rsidRPr="00D272CC" w:rsidRDefault="001D5DDB" w:rsidP="001D5DDB">
            <w:pPr>
              <w:pStyle w:val="Tablesmall"/>
              <w:jc w:val="center"/>
            </w:pPr>
          </w:p>
        </w:tc>
        <w:tc>
          <w:tcPr>
            <w:tcW w:w="467" w:type="dxa"/>
            <w:vAlign w:val="bottom"/>
          </w:tcPr>
          <w:p w14:paraId="5B5AC8B1" w14:textId="77777777" w:rsidR="001D5DDB" w:rsidRPr="00D272CC" w:rsidRDefault="001D5DDB" w:rsidP="001D5DDB">
            <w:pPr>
              <w:pStyle w:val="Tablesmall"/>
              <w:jc w:val="center"/>
            </w:pPr>
          </w:p>
        </w:tc>
        <w:tc>
          <w:tcPr>
            <w:tcW w:w="468" w:type="dxa"/>
            <w:vAlign w:val="bottom"/>
          </w:tcPr>
          <w:p w14:paraId="44D2073E" w14:textId="77777777" w:rsidR="001D5DDB" w:rsidRPr="00D272CC" w:rsidRDefault="001D5DDB" w:rsidP="001D5DDB">
            <w:pPr>
              <w:pStyle w:val="Tablesmall"/>
              <w:jc w:val="center"/>
            </w:pPr>
          </w:p>
        </w:tc>
        <w:tc>
          <w:tcPr>
            <w:tcW w:w="468" w:type="dxa"/>
            <w:vAlign w:val="bottom"/>
          </w:tcPr>
          <w:p w14:paraId="486CA04D" w14:textId="77777777" w:rsidR="001D5DDB" w:rsidRPr="00D272CC" w:rsidRDefault="001D5DDB" w:rsidP="001D5DDB">
            <w:pPr>
              <w:pStyle w:val="Tablesmall"/>
              <w:jc w:val="center"/>
            </w:pPr>
          </w:p>
        </w:tc>
        <w:tc>
          <w:tcPr>
            <w:tcW w:w="468" w:type="dxa"/>
            <w:vAlign w:val="bottom"/>
          </w:tcPr>
          <w:p w14:paraId="0A4E8E75" w14:textId="77777777" w:rsidR="001D5DDB" w:rsidRPr="00D272CC" w:rsidRDefault="001D5DDB" w:rsidP="001D5DDB">
            <w:pPr>
              <w:pStyle w:val="Tablesmall"/>
              <w:jc w:val="center"/>
            </w:pPr>
          </w:p>
        </w:tc>
        <w:tc>
          <w:tcPr>
            <w:tcW w:w="468" w:type="dxa"/>
            <w:vAlign w:val="bottom"/>
          </w:tcPr>
          <w:p w14:paraId="02BBC1E0" w14:textId="77777777" w:rsidR="001D5DDB" w:rsidRPr="00D272CC" w:rsidRDefault="001D5DDB" w:rsidP="001D5DDB">
            <w:pPr>
              <w:pStyle w:val="Tablesmall"/>
              <w:jc w:val="center"/>
            </w:pPr>
          </w:p>
        </w:tc>
        <w:tc>
          <w:tcPr>
            <w:tcW w:w="708" w:type="dxa"/>
            <w:vAlign w:val="bottom"/>
          </w:tcPr>
          <w:p w14:paraId="780957A8" w14:textId="77777777" w:rsidR="001D5DDB" w:rsidRPr="00D272CC" w:rsidRDefault="001D5DDB" w:rsidP="001D5DDB">
            <w:pPr>
              <w:pStyle w:val="Tablesmall"/>
              <w:jc w:val="center"/>
            </w:pPr>
          </w:p>
        </w:tc>
      </w:tr>
      <w:tr w:rsidR="001D5DDB" w:rsidRPr="00D272CC" w14:paraId="6F5E4300" w14:textId="77777777" w:rsidTr="001D5DDB">
        <w:tc>
          <w:tcPr>
            <w:tcW w:w="709" w:type="dxa"/>
          </w:tcPr>
          <w:p w14:paraId="30AE28FD" w14:textId="77777777" w:rsidR="001D5DDB" w:rsidRPr="00D272CC" w:rsidRDefault="001D5DDB" w:rsidP="00F33403">
            <w:pPr>
              <w:pStyle w:val="Tablesmall"/>
              <w:jc w:val="center"/>
            </w:pPr>
            <w:r w:rsidRPr="00D272CC">
              <w:t>11</w:t>
            </w:r>
          </w:p>
        </w:tc>
        <w:tc>
          <w:tcPr>
            <w:tcW w:w="2977" w:type="dxa"/>
          </w:tcPr>
          <w:p w14:paraId="24673174" w14:textId="77777777" w:rsidR="001D5DDB" w:rsidRPr="00D272CC" w:rsidRDefault="001D5DDB" w:rsidP="00F33403">
            <w:pPr>
              <w:pStyle w:val="Tablesmall"/>
            </w:pPr>
            <w:r w:rsidRPr="00D272CC">
              <w:t>Investment property at fair value or not</w:t>
            </w:r>
          </w:p>
        </w:tc>
        <w:tc>
          <w:tcPr>
            <w:tcW w:w="467" w:type="dxa"/>
            <w:vAlign w:val="bottom"/>
          </w:tcPr>
          <w:p w14:paraId="25E0E3D1" w14:textId="77777777" w:rsidR="001D5DDB" w:rsidRPr="00D272CC" w:rsidRDefault="001D5DDB" w:rsidP="001D5DDB">
            <w:pPr>
              <w:pStyle w:val="Tablesmall"/>
              <w:jc w:val="center"/>
            </w:pPr>
            <w:r w:rsidRPr="00D272CC">
              <w:t>0</w:t>
            </w:r>
          </w:p>
        </w:tc>
        <w:tc>
          <w:tcPr>
            <w:tcW w:w="468" w:type="dxa"/>
            <w:vAlign w:val="bottom"/>
          </w:tcPr>
          <w:p w14:paraId="3F909700" w14:textId="77777777" w:rsidR="001D5DDB" w:rsidRPr="00D272CC" w:rsidRDefault="001D5DDB" w:rsidP="001D5DDB">
            <w:pPr>
              <w:pStyle w:val="Tablesmall"/>
              <w:jc w:val="center"/>
            </w:pPr>
            <w:r w:rsidRPr="00D272CC">
              <w:t>0</w:t>
            </w:r>
          </w:p>
        </w:tc>
        <w:tc>
          <w:tcPr>
            <w:tcW w:w="468" w:type="dxa"/>
            <w:vAlign w:val="bottom"/>
          </w:tcPr>
          <w:p w14:paraId="28FDBF2E" w14:textId="77777777" w:rsidR="001D5DDB" w:rsidRPr="00D272CC" w:rsidRDefault="001D5DDB" w:rsidP="001D5DDB">
            <w:pPr>
              <w:pStyle w:val="Tablesmall"/>
              <w:jc w:val="center"/>
            </w:pPr>
            <w:r w:rsidRPr="00D272CC">
              <w:t>1</w:t>
            </w:r>
          </w:p>
        </w:tc>
        <w:tc>
          <w:tcPr>
            <w:tcW w:w="468" w:type="dxa"/>
            <w:vAlign w:val="bottom"/>
          </w:tcPr>
          <w:p w14:paraId="299C1BEF" w14:textId="77777777" w:rsidR="001D5DDB" w:rsidRPr="00D272CC" w:rsidRDefault="001D5DDB" w:rsidP="001D5DDB">
            <w:pPr>
              <w:pStyle w:val="Tablesmall"/>
              <w:jc w:val="center"/>
            </w:pPr>
            <w:r w:rsidRPr="00D272CC">
              <w:t>0</w:t>
            </w:r>
          </w:p>
        </w:tc>
        <w:tc>
          <w:tcPr>
            <w:tcW w:w="468" w:type="dxa"/>
            <w:vAlign w:val="bottom"/>
          </w:tcPr>
          <w:p w14:paraId="64E85998" w14:textId="77777777" w:rsidR="001D5DDB" w:rsidRPr="00D272CC" w:rsidRDefault="001D5DDB" w:rsidP="001D5DDB">
            <w:pPr>
              <w:pStyle w:val="Tablesmall"/>
              <w:jc w:val="center"/>
            </w:pPr>
            <w:r w:rsidRPr="00D272CC">
              <w:t>1</w:t>
            </w:r>
          </w:p>
        </w:tc>
        <w:tc>
          <w:tcPr>
            <w:tcW w:w="467" w:type="dxa"/>
            <w:vAlign w:val="bottom"/>
          </w:tcPr>
          <w:p w14:paraId="40C1F7C8" w14:textId="77777777" w:rsidR="001D5DDB" w:rsidRPr="00D272CC" w:rsidRDefault="001D5DDB" w:rsidP="001D5DDB">
            <w:pPr>
              <w:pStyle w:val="Tablesmall"/>
              <w:jc w:val="center"/>
            </w:pPr>
            <w:r w:rsidRPr="00D272CC">
              <w:t>0</w:t>
            </w:r>
          </w:p>
        </w:tc>
        <w:tc>
          <w:tcPr>
            <w:tcW w:w="468" w:type="dxa"/>
            <w:vAlign w:val="bottom"/>
          </w:tcPr>
          <w:p w14:paraId="6C4B8C25" w14:textId="77777777" w:rsidR="001D5DDB" w:rsidRPr="00D272CC" w:rsidRDefault="001D5DDB" w:rsidP="001D5DDB">
            <w:pPr>
              <w:pStyle w:val="Tablesmall"/>
              <w:jc w:val="center"/>
            </w:pPr>
            <w:r w:rsidRPr="00D272CC">
              <w:t>1</w:t>
            </w:r>
          </w:p>
        </w:tc>
        <w:tc>
          <w:tcPr>
            <w:tcW w:w="468" w:type="dxa"/>
            <w:vAlign w:val="bottom"/>
          </w:tcPr>
          <w:p w14:paraId="294C5523" w14:textId="77777777" w:rsidR="001D5DDB" w:rsidRPr="00D272CC" w:rsidRDefault="001D5DDB" w:rsidP="001D5DDB">
            <w:pPr>
              <w:pStyle w:val="Tablesmall"/>
              <w:jc w:val="center"/>
            </w:pPr>
            <w:r w:rsidRPr="00D272CC">
              <w:t>0</w:t>
            </w:r>
          </w:p>
        </w:tc>
        <w:tc>
          <w:tcPr>
            <w:tcW w:w="468" w:type="dxa"/>
            <w:vAlign w:val="bottom"/>
          </w:tcPr>
          <w:p w14:paraId="706AF68E" w14:textId="77777777" w:rsidR="001D5DDB" w:rsidRPr="00D272CC" w:rsidRDefault="001D5DDB" w:rsidP="001D5DDB">
            <w:pPr>
              <w:pStyle w:val="Tablesmall"/>
              <w:jc w:val="center"/>
            </w:pPr>
            <w:r w:rsidRPr="00D272CC">
              <w:t>0</w:t>
            </w:r>
          </w:p>
        </w:tc>
        <w:tc>
          <w:tcPr>
            <w:tcW w:w="468" w:type="dxa"/>
            <w:vAlign w:val="bottom"/>
          </w:tcPr>
          <w:p w14:paraId="5281936E" w14:textId="77777777" w:rsidR="001D5DDB" w:rsidRPr="00D272CC" w:rsidRDefault="001D5DDB" w:rsidP="001D5DDB">
            <w:pPr>
              <w:pStyle w:val="Tablesmall"/>
              <w:jc w:val="center"/>
            </w:pPr>
            <w:r w:rsidRPr="00D272CC">
              <w:t>0</w:t>
            </w:r>
          </w:p>
        </w:tc>
        <w:tc>
          <w:tcPr>
            <w:tcW w:w="708" w:type="dxa"/>
            <w:vAlign w:val="bottom"/>
          </w:tcPr>
          <w:p w14:paraId="5001C7E4" w14:textId="77777777" w:rsidR="001D5DDB" w:rsidRPr="00D272CC" w:rsidRDefault="001D5DDB" w:rsidP="001D5DDB">
            <w:pPr>
              <w:pStyle w:val="Tablesmall"/>
              <w:jc w:val="center"/>
            </w:pPr>
            <w:r w:rsidRPr="00D272CC">
              <w:t>3 (3)</w:t>
            </w:r>
          </w:p>
        </w:tc>
      </w:tr>
      <w:tr w:rsidR="001D5DDB" w:rsidRPr="00D272CC" w14:paraId="3EA63CA7" w14:textId="77777777" w:rsidTr="001D5DDB">
        <w:tc>
          <w:tcPr>
            <w:tcW w:w="709" w:type="dxa"/>
          </w:tcPr>
          <w:p w14:paraId="0E3D5AA7" w14:textId="77777777" w:rsidR="001D5DDB" w:rsidRPr="00D272CC" w:rsidRDefault="001D5DDB" w:rsidP="00F33403">
            <w:pPr>
              <w:pStyle w:val="Tablesmall"/>
              <w:jc w:val="center"/>
            </w:pPr>
          </w:p>
        </w:tc>
        <w:tc>
          <w:tcPr>
            <w:tcW w:w="2977" w:type="dxa"/>
          </w:tcPr>
          <w:p w14:paraId="62CB71B0" w14:textId="77777777" w:rsidR="001D5DDB" w:rsidRPr="00D272CC" w:rsidRDefault="001D5DDB" w:rsidP="00F33403">
            <w:pPr>
              <w:pStyle w:val="Tablesmall"/>
            </w:pPr>
            <w:r w:rsidRPr="00D272CC">
              <w:t>- from (a) to (b) / (b) to (a)</w:t>
            </w:r>
          </w:p>
        </w:tc>
        <w:tc>
          <w:tcPr>
            <w:tcW w:w="467" w:type="dxa"/>
            <w:vAlign w:val="bottom"/>
          </w:tcPr>
          <w:p w14:paraId="31D54F8B" w14:textId="77777777" w:rsidR="001D5DDB" w:rsidRPr="00D272CC" w:rsidRDefault="001D5DDB" w:rsidP="001D5DDB">
            <w:pPr>
              <w:pStyle w:val="Tablesmall"/>
              <w:jc w:val="center"/>
            </w:pPr>
            <w:r w:rsidRPr="00D272CC">
              <w:t>0/0</w:t>
            </w:r>
          </w:p>
        </w:tc>
        <w:tc>
          <w:tcPr>
            <w:tcW w:w="468" w:type="dxa"/>
            <w:vAlign w:val="bottom"/>
          </w:tcPr>
          <w:p w14:paraId="5F5962D5" w14:textId="77777777" w:rsidR="001D5DDB" w:rsidRPr="00D272CC" w:rsidRDefault="001D5DDB" w:rsidP="001D5DDB">
            <w:pPr>
              <w:pStyle w:val="Tablesmall"/>
              <w:jc w:val="center"/>
            </w:pPr>
            <w:r w:rsidRPr="00D272CC">
              <w:t>0/0</w:t>
            </w:r>
          </w:p>
        </w:tc>
        <w:tc>
          <w:tcPr>
            <w:tcW w:w="468" w:type="dxa"/>
            <w:vAlign w:val="bottom"/>
          </w:tcPr>
          <w:p w14:paraId="03316F55" w14:textId="77777777" w:rsidR="001D5DDB" w:rsidRPr="00D272CC" w:rsidRDefault="001D5DDB" w:rsidP="001D5DDB">
            <w:pPr>
              <w:pStyle w:val="Tablesmall"/>
              <w:jc w:val="center"/>
            </w:pPr>
            <w:r w:rsidRPr="00D272CC">
              <w:t>0/1</w:t>
            </w:r>
          </w:p>
        </w:tc>
        <w:tc>
          <w:tcPr>
            <w:tcW w:w="468" w:type="dxa"/>
            <w:vAlign w:val="bottom"/>
          </w:tcPr>
          <w:p w14:paraId="1A88BD37" w14:textId="77777777" w:rsidR="001D5DDB" w:rsidRPr="00D272CC" w:rsidRDefault="001D5DDB" w:rsidP="001D5DDB">
            <w:pPr>
              <w:pStyle w:val="Tablesmall"/>
              <w:jc w:val="center"/>
            </w:pPr>
            <w:r w:rsidRPr="00D272CC">
              <w:t>0/0</w:t>
            </w:r>
          </w:p>
        </w:tc>
        <w:tc>
          <w:tcPr>
            <w:tcW w:w="468" w:type="dxa"/>
            <w:vAlign w:val="bottom"/>
          </w:tcPr>
          <w:p w14:paraId="0ACF9657" w14:textId="77777777" w:rsidR="001D5DDB" w:rsidRPr="00D272CC" w:rsidRDefault="001D5DDB" w:rsidP="001D5DDB">
            <w:pPr>
              <w:pStyle w:val="Tablesmall"/>
              <w:jc w:val="center"/>
            </w:pPr>
            <w:r w:rsidRPr="00D272CC">
              <w:t>0/1</w:t>
            </w:r>
          </w:p>
        </w:tc>
        <w:tc>
          <w:tcPr>
            <w:tcW w:w="467" w:type="dxa"/>
            <w:vAlign w:val="bottom"/>
          </w:tcPr>
          <w:p w14:paraId="58C74A4A" w14:textId="77777777" w:rsidR="001D5DDB" w:rsidRPr="00D272CC" w:rsidRDefault="001D5DDB" w:rsidP="001D5DDB">
            <w:pPr>
              <w:pStyle w:val="Tablesmall"/>
              <w:jc w:val="center"/>
            </w:pPr>
            <w:r w:rsidRPr="00D272CC">
              <w:t>0/0</w:t>
            </w:r>
          </w:p>
        </w:tc>
        <w:tc>
          <w:tcPr>
            <w:tcW w:w="468" w:type="dxa"/>
            <w:vAlign w:val="bottom"/>
          </w:tcPr>
          <w:p w14:paraId="7079EC0C" w14:textId="77777777" w:rsidR="001D5DDB" w:rsidRPr="00D272CC" w:rsidRDefault="001D5DDB" w:rsidP="001D5DDB">
            <w:pPr>
              <w:pStyle w:val="Tablesmall"/>
              <w:jc w:val="center"/>
            </w:pPr>
            <w:r w:rsidRPr="00D272CC">
              <w:t>0/1</w:t>
            </w:r>
          </w:p>
        </w:tc>
        <w:tc>
          <w:tcPr>
            <w:tcW w:w="468" w:type="dxa"/>
            <w:vAlign w:val="bottom"/>
          </w:tcPr>
          <w:p w14:paraId="1061692C" w14:textId="77777777" w:rsidR="001D5DDB" w:rsidRPr="00D272CC" w:rsidRDefault="001D5DDB" w:rsidP="001D5DDB">
            <w:pPr>
              <w:pStyle w:val="Tablesmall"/>
              <w:jc w:val="center"/>
            </w:pPr>
            <w:r w:rsidRPr="00D272CC">
              <w:t>0/0</w:t>
            </w:r>
          </w:p>
        </w:tc>
        <w:tc>
          <w:tcPr>
            <w:tcW w:w="468" w:type="dxa"/>
            <w:vAlign w:val="bottom"/>
          </w:tcPr>
          <w:p w14:paraId="040C642D" w14:textId="77777777" w:rsidR="001D5DDB" w:rsidRPr="00D272CC" w:rsidRDefault="001D5DDB" w:rsidP="001D5DDB">
            <w:pPr>
              <w:pStyle w:val="Tablesmall"/>
              <w:jc w:val="center"/>
            </w:pPr>
            <w:r w:rsidRPr="00D272CC">
              <w:t>0/0</w:t>
            </w:r>
          </w:p>
        </w:tc>
        <w:tc>
          <w:tcPr>
            <w:tcW w:w="468" w:type="dxa"/>
            <w:vAlign w:val="bottom"/>
          </w:tcPr>
          <w:p w14:paraId="6A6BC5BF" w14:textId="77777777" w:rsidR="001D5DDB" w:rsidRPr="00D272CC" w:rsidRDefault="001D5DDB" w:rsidP="001D5DDB">
            <w:pPr>
              <w:pStyle w:val="Tablesmall"/>
              <w:jc w:val="center"/>
            </w:pPr>
            <w:r w:rsidRPr="00D272CC">
              <w:t>0/0</w:t>
            </w:r>
          </w:p>
        </w:tc>
        <w:tc>
          <w:tcPr>
            <w:tcW w:w="708" w:type="dxa"/>
            <w:vAlign w:val="bottom"/>
          </w:tcPr>
          <w:p w14:paraId="438E2174" w14:textId="77777777" w:rsidR="001D5DDB" w:rsidRPr="00D272CC" w:rsidRDefault="001D5DDB" w:rsidP="001D5DDB">
            <w:pPr>
              <w:pStyle w:val="Tablesmall"/>
              <w:jc w:val="center"/>
            </w:pPr>
            <w:r w:rsidRPr="00D272CC">
              <w:t>0/3</w:t>
            </w:r>
          </w:p>
        </w:tc>
      </w:tr>
      <w:tr w:rsidR="001D5DDB" w:rsidRPr="00D272CC" w14:paraId="67C82000" w14:textId="77777777" w:rsidTr="001D5DDB">
        <w:tc>
          <w:tcPr>
            <w:tcW w:w="709" w:type="dxa"/>
          </w:tcPr>
          <w:p w14:paraId="0A71A086" w14:textId="77777777" w:rsidR="001D5DDB" w:rsidRPr="00D272CC" w:rsidRDefault="001D5DDB" w:rsidP="00F33403">
            <w:pPr>
              <w:pStyle w:val="Tablesmall"/>
              <w:jc w:val="center"/>
            </w:pPr>
          </w:p>
        </w:tc>
        <w:tc>
          <w:tcPr>
            <w:tcW w:w="2977" w:type="dxa"/>
          </w:tcPr>
          <w:p w14:paraId="4427DD97" w14:textId="77777777" w:rsidR="001D5DDB" w:rsidRPr="00D272CC" w:rsidRDefault="001D5DDB" w:rsidP="00F33403">
            <w:pPr>
              <w:pStyle w:val="Tablesmall"/>
            </w:pPr>
          </w:p>
        </w:tc>
        <w:tc>
          <w:tcPr>
            <w:tcW w:w="467" w:type="dxa"/>
            <w:vAlign w:val="bottom"/>
          </w:tcPr>
          <w:p w14:paraId="486CCA70" w14:textId="77777777" w:rsidR="001D5DDB" w:rsidRPr="00D272CC" w:rsidRDefault="001D5DDB" w:rsidP="001D5DDB">
            <w:pPr>
              <w:pStyle w:val="Tablesmall"/>
              <w:jc w:val="center"/>
            </w:pPr>
          </w:p>
        </w:tc>
        <w:tc>
          <w:tcPr>
            <w:tcW w:w="468" w:type="dxa"/>
            <w:vAlign w:val="bottom"/>
          </w:tcPr>
          <w:p w14:paraId="109F09B3" w14:textId="77777777" w:rsidR="001D5DDB" w:rsidRPr="00D272CC" w:rsidRDefault="001D5DDB" w:rsidP="001D5DDB">
            <w:pPr>
              <w:pStyle w:val="Tablesmall"/>
              <w:jc w:val="center"/>
            </w:pPr>
          </w:p>
        </w:tc>
        <w:tc>
          <w:tcPr>
            <w:tcW w:w="468" w:type="dxa"/>
            <w:vAlign w:val="bottom"/>
          </w:tcPr>
          <w:p w14:paraId="4043D7CB" w14:textId="77777777" w:rsidR="001D5DDB" w:rsidRPr="00D272CC" w:rsidRDefault="001D5DDB" w:rsidP="001D5DDB">
            <w:pPr>
              <w:pStyle w:val="Tablesmall"/>
              <w:jc w:val="center"/>
            </w:pPr>
          </w:p>
        </w:tc>
        <w:tc>
          <w:tcPr>
            <w:tcW w:w="468" w:type="dxa"/>
            <w:vAlign w:val="bottom"/>
          </w:tcPr>
          <w:p w14:paraId="05BA5054" w14:textId="77777777" w:rsidR="001D5DDB" w:rsidRPr="00D272CC" w:rsidRDefault="001D5DDB" w:rsidP="001D5DDB">
            <w:pPr>
              <w:pStyle w:val="Tablesmall"/>
              <w:jc w:val="center"/>
            </w:pPr>
          </w:p>
        </w:tc>
        <w:tc>
          <w:tcPr>
            <w:tcW w:w="468" w:type="dxa"/>
            <w:vAlign w:val="bottom"/>
          </w:tcPr>
          <w:p w14:paraId="57A8683A" w14:textId="77777777" w:rsidR="001D5DDB" w:rsidRPr="00D272CC" w:rsidRDefault="001D5DDB" w:rsidP="001D5DDB">
            <w:pPr>
              <w:pStyle w:val="Tablesmall"/>
              <w:jc w:val="center"/>
            </w:pPr>
          </w:p>
        </w:tc>
        <w:tc>
          <w:tcPr>
            <w:tcW w:w="467" w:type="dxa"/>
            <w:vAlign w:val="bottom"/>
          </w:tcPr>
          <w:p w14:paraId="72B35E5F" w14:textId="77777777" w:rsidR="001D5DDB" w:rsidRPr="00D272CC" w:rsidRDefault="001D5DDB" w:rsidP="001D5DDB">
            <w:pPr>
              <w:pStyle w:val="Tablesmall"/>
              <w:jc w:val="center"/>
            </w:pPr>
          </w:p>
        </w:tc>
        <w:tc>
          <w:tcPr>
            <w:tcW w:w="468" w:type="dxa"/>
            <w:vAlign w:val="bottom"/>
          </w:tcPr>
          <w:p w14:paraId="66385287" w14:textId="77777777" w:rsidR="001D5DDB" w:rsidRPr="00D272CC" w:rsidRDefault="001D5DDB" w:rsidP="001D5DDB">
            <w:pPr>
              <w:pStyle w:val="Tablesmall"/>
              <w:jc w:val="center"/>
            </w:pPr>
          </w:p>
        </w:tc>
        <w:tc>
          <w:tcPr>
            <w:tcW w:w="468" w:type="dxa"/>
            <w:vAlign w:val="bottom"/>
          </w:tcPr>
          <w:p w14:paraId="19C2F42A" w14:textId="77777777" w:rsidR="001D5DDB" w:rsidRPr="00D272CC" w:rsidRDefault="001D5DDB" w:rsidP="001D5DDB">
            <w:pPr>
              <w:pStyle w:val="Tablesmall"/>
              <w:jc w:val="center"/>
            </w:pPr>
          </w:p>
        </w:tc>
        <w:tc>
          <w:tcPr>
            <w:tcW w:w="468" w:type="dxa"/>
            <w:vAlign w:val="bottom"/>
          </w:tcPr>
          <w:p w14:paraId="671DB10B" w14:textId="77777777" w:rsidR="001D5DDB" w:rsidRPr="00D272CC" w:rsidRDefault="001D5DDB" w:rsidP="001D5DDB">
            <w:pPr>
              <w:pStyle w:val="Tablesmall"/>
              <w:jc w:val="center"/>
            </w:pPr>
          </w:p>
        </w:tc>
        <w:tc>
          <w:tcPr>
            <w:tcW w:w="468" w:type="dxa"/>
            <w:vAlign w:val="bottom"/>
          </w:tcPr>
          <w:p w14:paraId="791DDF44" w14:textId="77777777" w:rsidR="001D5DDB" w:rsidRPr="00D272CC" w:rsidRDefault="001D5DDB" w:rsidP="001D5DDB">
            <w:pPr>
              <w:pStyle w:val="Tablesmall"/>
              <w:jc w:val="center"/>
            </w:pPr>
          </w:p>
        </w:tc>
        <w:tc>
          <w:tcPr>
            <w:tcW w:w="708" w:type="dxa"/>
            <w:vAlign w:val="bottom"/>
          </w:tcPr>
          <w:p w14:paraId="0A0B1F9A" w14:textId="77777777" w:rsidR="001D5DDB" w:rsidRPr="00D272CC" w:rsidRDefault="001D5DDB" w:rsidP="001D5DDB">
            <w:pPr>
              <w:pStyle w:val="Tablesmall"/>
              <w:jc w:val="center"/>
            </w:pPr>
          </w:p>
        </w:tc>
      </w:tr>
      <w:tr w:rsidR="001D5DDB" w:rsidRPr="00D272CC" w14:paraId="2E88BE6B" w14:textId="77777777" w:rsidTr="001D5DDB">
        <w:tc>
          <w:tcPr>
            <w:tcW w:w="709" w:type="dxa"/>
          </w:tcPr>
          <w:p w14:paraId="03807DAA" w14:textId="77777777" w:rsidR="001D5DDB" w:rsidRPr="00D272CC" w:rsidRDefault="001D5DDB" w:rsidP="00F33403">
            <w:pPr>
              <w:pStyle w:val="Tablesmall"/>
              <w:jc w:val="center"/>
            </w:pPr>
            <w:r w:rsidRPr="00D272CC">
              <w:t>12</w:t>
            </w:r>
          </w:p>
        </w:tc>
        <w:tc>
          <w:tcPr>
            <w:tcW w:w="2977" w:type="dxa"/>
          </w:tcPr>
          <w:p w14:paraId="7361982E" w14:textId="77777777" w:rsidR="001D5DDB" w:rsidRPr="00D272CC" w:rsidRDefault="001D5DDB" w:rsidP="00F33403">
            <w:pPr>
              <w:pStyle w:val="Tablesmall"/>
            </w:pPr>
            <w:r w:rsidRPr="00D272CC">
              <w:t>Some fair value designation or not</w:t>
            </w:r>
          </w:p>
        </w:tc>
        <w:tc>
          <w:tcPr>
            <w:tcW w:w="467" w:type="dxa"/>
            <w:vAlign w:val="bottom"/>
          </w:tcPr>
          <w:p w14:paraId="02180A1C" w14:textId="77777777" w:rsidR="001D5DDB" w:rsidRPr="00D272CC" w:rsidRDefault="001D5DDB" w:rsidP="001D5DDB">
            <w:pPr>
              <w:pStyle w:val="Tablesmall"/>
              <w:jc w:val="center"/>
            </w:pPr>
            <w:r w:rsidRPr="00D272CC">
              <w:t>7</w:t>
            </w:r>
          </w:p>
        </w:tc>
        <w:tc>
          <w:tcPr>
            <w:tcW w:w="468" w:type="dxa"/>
            <w:vAlign w:val="bottom"/>
          </w:tcPr>
          <w:p w14:paraId="6F488F23" w14:textId="77777777" w:rsidR="001D5DDB" w:rsidRPr="00D272CC" w:rsidRDefault="001D5DDB" w:rsidP="001D5DDB">
            <w:pPr>
              <w:pStyle w:val="Tablesmall"/>
              <w:jc w:val="center"/>
            </w:pPr>
            <w:r w:rsidRPr="00D272CC">
              <w:t>2</w:t>
            </w:r>
          </w:p>
        </w:tc>
        <w:tc>
          <w:tcPr>
            <w:tcW w:w="468" w:type="dxa"/>
            <w:vAlign w:val="bottom"/>
          </w:tcPr>
          <w:p w14:paraId="4DA8300C" w14:textId="77777777" w:rsidR="001D5DDB" w:rsidRPr="00D272CC" w:rsidRDefault="001D5DDB" w:rsidP="001D5DDB">
            <w:pPr>
              <w:pStyle w:val="Tablesmall"/>
              <w:jc w:val="center"/>
            </w:pPr>
            <w:r w:rsidRPr="00D272CC">
              <w:t>3</w:t>
            </w:r>
          </w:p>
        </w:tc>
        <w:tc>
          <w:tcPr>
            <w:tcW w:w="468" w:type="dxa"/>
            <w:vAlign w:val="bottom"/>
          </w:tcPr>
          <w:p w14:paraId="4848105B" w14:textId="77777777" w:rsidR="001D5DDB" w:rsidRPr="00D272CC" w:rsidRDefault="001D5DDB" w:rsidP="001D5DDB">
            <w:pPr>
              <w:pStyle w:val="Tablesmall"/>
              <w:jc w:val="center"/>
            </w:pPr>
            <w:r w:rsidRPr="00D272CC">
              <w:t>5</w:t>
            </w:r>
          </w:p>
        </w:tc>
        <w:tc>
          <w:tcPr>
            <w:tcW w:w="468" w:type="dxa"/>
            <w:vAlign w:val="bottom"/>
          </w:tcPr>
          <w:p w14:paraId="0FA83E4A" w14:textId="77777777" w:rsidR="001D5DDB" w:rsidRPr="00D272CC" w:rsidRDefault="001D5DDB" w:rsidP="001D5DDB">
            <w:pPr>
              <w:pStyle w:val="Tablesmall"/>
              <w:jc w:val="center"/>
            </w:pPr>
            <w:r w:rsidRPr="00D272CC">
              <w:t>0</w:t>
            </w:r>
          </w:p>
        </w:tc>
        <w:tc>
          <w:tcPr>
            <w:tcW w:w="467" w:type="dxa"/>
            <w:vAlign w:val="bottom"/>
          </w:tcPr>
          <w:p w14:paraId="446A5E72" w14:textId="77777777" w:rsidR="001D5DDB" w:rsidRPr="00D272CC" w:rsidRDefault="001D5DDB" w:rsidP="001D5DDB">
            <w:pPr>
              <w:pStyle w:val="Tablesmall"/>
              <w:jc w:val="center"/>
            </w:pPr>
            <w:r w:rsidRPr="00D272CC">
              <w:t>6</w:t>
            </w:r>
          </w:p>
        </w:tc>
        <w:tc>
          <w:tcPr>
            <w:tcW w:w="468" w:type="dxa"/>
            <w:vAlign w:val="bottom"/>
          </w:tcPr>
          <w:p w14:paraId="3FB612C8" w14:textId="77777777" w:rsidR="001D5DDB" w:rsidRPr="00D272CC" w:rsidRDefault="001D5DDB" w:rsidP="001D5DDB">
            <w:pPr>
              <w:pStyle w:val="Tablesmall"/>
              <w:jc w:val="center"/>
            </w:pPr>
            <w:r w:rsidRPr="00D272CC">
              <w:t>12</w:t>
            </w:r>
          </w:p>
        </w:tc>
        <w:tc>
          <w:tcPr>
            <w:tcW w:w="468" w:type="dxa"/>
            <w:vAlign w:val="bottom"/>
          </w:tcPr>
          <w:p w14:paraId="46FB548E" w14:textId="77777777" w:rsidR="001D5DDB" w:rsidRPr="00D272CC" w:rsidRDefault="001D5DDB" w:rsidP="001D5DDB">
            <w:pPr>
              <w:pStyle w:val="Tablesmall"/>
              <w:jc w:val="center"/>
            </w:pPr>
            <w:r w:rsidRPr="00D272CC">
              <w:t>3</w:t>
            </w:r>
          </w:p>
        </w:tc>
        <w:tc>
          <w:tcPr>
            <w:tcW w:w="468" w:type="dxa"/>
            <w:vAlign w:val="bottom"/>
          </w:tcPr>
          <w:p w14:paraId="32E79385" w14:textId="77777777" w:rsidR="001D5DDB" w:rsidRPr="00D272CC" w:rsidRDefault="001D5DDB" w:rsidP="001D5DDB">
            <w:pPr>
              <w:pStyle w:val="Tablesmall"/>
              <w:jc w:val="center"/>
            </w:pPr>
            <w:r w:rsidRPr="00D272CC">
              <w:t>7</w:t>
            </w:r>
          </w:p>
        </w:tc>
        <w:tc>
          <w:tcPr>
            <w:tcW w:w="468" w:type="dxa"/>
            <w:vAlign w:val="bottom"/>
          </w:tcPr>
          <w:p w14:paraId="7913172D" w14:textId="77777777" w:rsidR="001D5DDB" w:rsidRPr="00D272CC" w:rsidRDefault="001D5DDB" w:rsidP="001D5DDB">
            <w:pPr>
              <w:pStyle w:val="Tablesmall"/>
              <w:jc w:val="center"/>
            </w:pPr>
            <w:r w:rsidRPr="00D272CC">
              <w:t>9</w:t>
            </w:r>
          </w:p>
        </w:tc>
        <w:tc>
          <w:tcPr>
            <w:tcW w:w="708" w:type="dxa"/>
            <w:vAlign w:val="bottom"/>
          </w:tcPr>
          <w:p w14:paraId="6C6D0C96" w14:textId="77777777" w:rsidR="001D5DDB" w:rsidRPr="00D272CC" w:rsidRDefault="001D5DDB" w:rsidP="001D5DDB">
            <w:pPr>
              <w:pStyle w:val="Tablesmall"/>
              <w:jc w:val="center"/>
            </w:pPr>
            <w:r w:rsidRPr="00D272CC">
              <w:t>54 (3)</w:t>
            </w:r>
          </w:p>
        </w:tc>
      </w:tr>
      <w:tr w:rsidR="001D5DDB" w:rsidRPr="00D272CC" w14:paraId="4FA36EF3" w14:textId="77777777" w:rsidTr="001D5DDB">
        <w:tc>
          <w:tcPr>
            <w:tcW w:w="709" w:type="dxa"/>
          </w:tcPr>
          <w:p w14:paraId="4EFDE650" w14:textId="77777777" w:rsidR="001D5DDB" w:rsidRPr="00D272CC" w:rsidRDefault="001D5DDB" w:rsidP="00F33403">
            <w:pPr>
              <w:pStyle w:val="Tablesmall"/>
              <w:jc w:val="center"/>
            </w:pPr>
          </w:p>
        </w:tc>
        <w:tc>
          <w:tcPr>
            <w:tcW w:w="2977" w:type="dxa"/>
          </w:tcPr>
          <w:p w14:paraId="7D7963ED" w14:textId="77777777" w:rsidR="001D5DDB" w:rsidRPr="00D272CC" w:rsidRDefault="001D5DDB" w:rsidP="00F33403">
            <w:pPr>
              <w:pStyle w:val="Tablesmall"/>
            </w:pPr>
            <w:r w:rsidRPr="00D272CC">
              <w:t>- from (a) to (b) / (b) to (a)</w:t>
            </w:r>
          </w:p>
        </w:tc>
        <w:tc>
          <w:tcPr>
            <w:tcW w:w="467" w:type="dxa"/>
            <w:vAlign w:val="bottom"/>
          </w:tcPr>
          <w:p w14:paraId="34FB6546" w14:textId="77777777" w:rsidR="001D5DDB" w:rsidRPr="00D272CC" w:rsidRDefault="001D5DDB" w:rsidP="001D5DDB">
            <w:pPr>
              <w:pStyle w:val="Tablesmall"/>
              <w:jc w:val="center"/>
            </w:pPr>
            <w:r w:rsidRPr="00D272CC">
              <w:t>2/5</w:t>
            </w:r>
          </w:p>
        </w:tc>
        <w:tc>
          <w:tcPr>
            <w:tcW w:w="468" w:type="dxa"/>
            <w:vAlign w:val="bottom"/>
          </w:tcPr>
          <w:p w14:paraId="2B68F0BE" w14:textId="77777777" w:rsidR="001D5DDB" w:rsidRPr="00D272CC" w:rsidRDefault="001D5DDB" w:rsidP="001D5DDB">
            <w:pPr>
              <w:pStyle w:val="Tablesmall"/>
              <w:jc w:val="center"/>
            </w:pPr>
            <w:r w:rsidRPr="00D272CC">
              <w:t>2/0</w:t>
            </w:r>
          </w:p>
        </w:tc>
        <w:tc>
          <w:tcPr>
            <w:tcW w:w="468" w:type="dxa"/>
            <w:vAlign w:val="bottom"/>
          </w:tcPr>
          <w:p w14:paraId="73E87958" w14:textId="77777777" w:rsidR="001D5DDB" w:rsidRPr="00D272CC" w:rsidRDefault="001D5DDB" w:rsidP="001D5DDB">
            <w:pPr>
              <w:pStyle w:val="Tablesmall"/>
              <w:jc w:val="center"/>
            </w:pPr>
            <w:r w:rsidRPr="00D272CC">
              <w:t>0/3</w:t>
            </w:r>
          </w:p>
        </w:tc>
        <w:tc>
          <w:tcPr>
            <w:tcW w:w="468" w:type="dxa"/>
            <w:vAlign w:val="bottom"/>
          </w:tcPr>
          <w:p w14:paraId="38841A62" w14:textId="77777777" w:rsidR="001D5DDB" w:rsidRPr="00D272CC" w:rsidRDefault="001D5DDB" w:rsidP="001D5DDB">
            <w:pPr>
              <w:pStyle w:val="Tablesmall"/>
              <w:jc w:val="center"/>
            </w:pPr>
            <w:r w:rsidRPr="00D272CC">
              <w:t>1/4</w:t>
            </w:r>
          </w:p>
        </w:tc>
        <w:tc>
          <w:tcPr>
            <w:tcW w:w="468" w:type="dxa"/>
            <w:vAlign w:val="bottom"/>
          </w:tcPr>
          <w:p w14:paraId="3EF4ED5B" w14:textId="77777777" w:rsidR="001D5DDB" w:rsidRPr="00D272CC" w:rsidRDefault="001D5DDB" w:rsidP="001D5DDB">
            <w:pPr>
              <w:pStyle w:val="Tablesmall"/>
              <w:jc w:val="center"/>
            </w:pPr>
            <w:r w:rsidRPr="00D272CC">
              <w:t>0/0</w:t>
            </w:r>
          </w:p>
        </w:tc>
        <w:tc>
          <w:tcPr>
            <w:tcW w:w="467" w:type="dxa"/>
            <w:vAlign w:val="bottom"/>
          </w:tcPr>
          <w:p w14:paraId="55428809" w14:textId="77777777" w:rsidR="001D5DDB" w:rsidRPr="00D272CC" w:rsidRDefault="001D5DDB" w:rsidP="001D5DDB">
            <w:pPr>
              <w:pStyle w:val="Tablesmall"/>
              <w:jc w:val="center"/>
            </w:pPr>
            <w:r w:rsidRPr="00D272CC">
              <w:t>1/5</w:t>
            </w:r>
          </w:p>
        </w:tc>
        <w:tc>
          <w:tcPr>
            <w:tcW w:w="468" w:type="dxa"/>
            <w:vAlign w:val="bottom"/>
          </w:tcPr>
          <w:p w14:paraId="7469A226" w14:textId="77777777" w:rsidR="001D5DDB" w:rsidRPr="00D272CC" w:rsidRDefault="001D5DDB" w:rsidP="001D5DDB">
            <w:pPr>
              <w:pStyle w:val="Tablesmall"/>
              <w:jc w:val="center"/>
            </w:pPr>
            <w:r w:rsidRPr="00D272CC">
              <w:t>7/5</w:t>
            </w:r>
          </w:p>
        </w:tc>
        <w:tc>
          <w:tcPr>
            <w:tcW w:w="468" w:type="dxa"/>
            <w:vAlign w:val="bottom"/>
          </w:tcPr>
          <w:p w14:paraId="137E86B1" w14:textId="77777777" w:rsidR="001D5DDB" w:rsidRPr="00D272CC" w:rsidRDefault="001D5DDB" w:rsidP="001D5DDB">
            <w:pPr>
              <w:pStyle w:val="Tablesmall"/>
              <w:jc w:val="center"/>
            </w:pPr>
            <w:r w:rsidRPr="00D272CC">
              <w:t>1/2</w:t>
            </w:r>
          </w:p>
        </w:tc>
        <w:tc>
          <w:tcPr>
            <w:tcW w:w="468" w:type="dxa"/>
            <w:vAlign w:val="bottom"/>
          </w:tcPr>
          <w:p w14:paraId="7801E394" w14:textId="77777777" w:rsidR="001D5DDB" w:rsidRPr="00D272CC" w:rsidRDefault="001D5DDB" w:rsidP="001D5DDB">
            <w:pPr>
              <w:pStyle w:val="Tablesmall"/>
              <w:jc w:val="center"/>
            </w:pPr>
            <w:r w:rsidRPr="00D272CC">
              <w:t>3/4</w:t>
            </w:r>
          </w:p>
        </w:tc>
        <w:tc>
          <w:tcPr>
            <w:tcW w:w="468" w:type="dxa"/>
            <w:vAlign w:val="bottom"/>
          </w:tcPr>
          <w:p w14:paraId="7B849634" w14:textId="77777777" w:rsidR="001D5DDB" w:rsidRPr="00D272CC" w:rsidRDefault="001D5DDB" w:rsidP="001D5DDB">
            <w:pPr>
              <w:pStyle w:val="Tablesmall"/>
              <w:jc w:val="center"/>
            </w:pPr>
            <w:r w:rsidRPr="00D272CC">
              <w:t>1/8</w:t>
            </w:r>
          </w:p>
        </w:tc>
        <w:tc>
          <w:tcPr>
            <w:tcW w:w="708" w:type="dxa"/>
            <w:vAlign w:val="bottom"/>
          </w:tcPr>
          <w:p w14:paraId="28834965" w14:textId="77777777" w:rsidR="001D5DDB" w:rsidRPr="00D272CC" w:rsidRDefault="001D5DDB" w:rsidP="001D5DDB">
            <w:pPr>
              <w:pStyle w:val="Tablesmall"/>
              <w:jc w:val="center"/>
            </w:pPr>
            <w:r w:rsidRPr="00D272CC">
              <w:t>18/36</w:t>
            </w:r>
          </w:p>
        </w:tc>
      </w:tr>
      <w:tr w:rsidR="001D5DDB" w:rsidRPr="00D272CC" w14:paraId="70B8421D" w14:textId="77777777" w:rsidTr="001D5DDB">
        <w:tc>
          <w:tcPr>
            <w:tcW w:w="709" w:type="dxa"/>
          </w:tcPr>
          <w:p w14:paraId="4BE43027" w14:textId="77777777" w:rsidR="001D5DDB" w:rsidRPr="00D272CC" w:rsidRDefault="001D5DDB" w:rsidP="00F33403">
            <w:pPr>
              <w:pStyle w:val="Tablesmall"/>
              <w:jc w:val="center"/>
            </w:pPr>
          </w:p>
        </w:tc>
        <w:tc>
          <w:tcPr>
            <w:tcW w:w="2977" w:type="dxa"/>
          </w:tcPr>
          <w:p w14:paraId="0C1813C6" w14:textId="77777777" w:rsidR="001D5DDB" w:rsidRPr="00D272CC" w:rsidRDefault="001D5DDB" w:rsidP="00F33403">
            <w:pPr>
              <w:pStyle w:val="Tablesmall"/>
            </w:pPr>
          </w:p>
        </w:tc>
        <w:tc>
          <w:tcPr>
            <w:tcW w:w="467" w:type="dxa"/>
            <w:vAlign w:val="bottom"/>
          </w:tcPr>
          <w:p w14:paraId="12BB50F9" w14:textId="77777777" w:rsidR="001D5DDB" w:rsidRPr="00D272CC" w:rsidRDefault="001D5DDB" w:rsidP="001D5DDB">
            <w:pPr>
              <w:pStyle w:val="Tablesmall"/>
              <w:jc w:val="center"/>
            </w:pPr>
          </w:p>
        </w:tc>
        <w:tc>
          <w:tcPr>
            <w:tcW w:w="468" w:type="dxa"/>
            <w:vAlign w:val="bottom"/>
          </w:tcPr>
          <w:p w14:paraId="371E2338" w14:textId="77777777" w:rsidR="001D5DDB" w:rsidRPr="00D272CC" w:rsidRDefault="001D5DDB" w:rsidP="001D5DDB">
            <w:pPr>
              <w:pStyle w:val="Tablesmall"/>
              <w:jc w:val="center"/>
            </w:pPr>
          </w:p>
        </w:tc>
        <w:tc>
          <w:tcPr>
            <w:tcW w:w="468" w:type="dxa"/>
            <w:vAlign w:val="bottom"/>
          </w:tcPr>
          <w:p w14:paraId="1A39EF1E" w14:textId="77777777" w:rsidR="001D5DDB" w:rsidRPr="00D272CC" w:rsidRDefault="001D5DDB" w:rsidP="001D5DDB">
            <w:pPr>
              <w:pStyle w:val="Tablesmall"/>
              <w:jc w:val="center"/>
            </w:pPr>
          </w:p>
        </w:tc>
        <w:tc>
          <w:tcPr>
            <w:tcW w:w="468" w:type="dxa"/>
            <w:vAlign w:val="bottom"/>
          </w:tcPr>
          <w:p w14:paraId="3B970839" w14:textId="77777777" w:rsidR="001D5DDB" w:rsidRPr="00D272CC" w:rsidRDefault="001D5DDB" w:rsidP="001D5DDB">
            <w:pPr>
              <w:pStyle w:val="Tablesmall"/>
              <w:jc w:val="center"/>
            </w:pPr>
          </w:p>
        </w:tc>
        <w:tc>
          <w:tcPr>
            <w:tcW w:w="468" w:type="dxa"/>
            <w:vAlign w:val="bottom"/>
          </w:tcPr>
          <w:p w14:paraId="2C2340A2" w14:textId="77777777" w:rsidR="001D5DDB" w:rsidRPr="00D272CC" w:rsidRDefault="001D5DDB" w:rsidP="001D5DDB">
            <w:pPr>
              <w:pStyle w:val="Tablesmall"/>
              <w:jc w:val="center"/>
            </w:pPr>
          </w:p>
        </w:tc>
        <w:tc>
          <w:tcPr>
            <w:tcW w:w="467" w:type="dxa"/>
            <w:vAlign w:val="bottom"/>
          </w:tcPr>
          <w:p w14:paraId="5F735D18" w14:textId="77777777" w:rsidR="001D5DDB" w:rsidRPr="00D272CC" w:rsidRDefault="001D5DDB" w:rsidP="001D5DDB">
            <w:pPr>
              <w:pStyle w:val="Tablesmall"/>
              <w:jc w:val="center"/>
            </w:pPr>
          </w:p>
        </w:tc>
        <w:tc>
          <w:tcPr>
            <w:tcW w:w="468" w:type="dxa"/>
            <w:vAlign w:val="bottom"/>
          </w:tcPr>
          <w:p w14:paraId="67C73E2E" w14:textId="77777777" w:rsidR="001D5DDB" w:rsidRPr="00D272CC" w:rsidRDefault="001D5DDB" w:rsidP="001D5DDB">
            <w:pPr>
              <w:pStyle w:val="Tablesmall"/>
              <w:jc w:val="center"/>
            </w:pPr>
          </w:p>
        </w:tc>
        <w:tc>
          <w:tcPr>
            <w:tcW w:w="468" w:type="dxa"/>
            <w:vAlign w:val="bottom"/>
          </w:tcPr>
          <w:p w14:paraId="61A94A18" w14:textId="77777777" w:rsidR="001D5DDB" w:rsidRPr="00D272CC" w:rsidRDefault="001D5DDB" w:rsidP="001D5DDB">
            <w:pPr>
              <w:pStyle w:val="Tablesmall"/>
              <w:jc w:val="center"/>
            </w:pPr>
          </w:p>
        </w:tc>
        <w:tc>
          <w:tcPr>
            <w:tcW w:w="468" w:type="dxa"/>
            <w:vAlign w:val="bottom"/>
          </w:tcPr>
          <w:p w14:paraId="368C5D53" w14:textId="77777777" w:rsidR="001D5DDB" w:rsidRPr="00D272CC" w:rsidRDefault="001D5DDB" w:rsidP="001D5DDB">
            <w:pPr>
              <w:pStyle w:val="Tablesmall"/>
              <w:jc w:val="center"/>
            </w:pPr>
          </w:p>
        </w:tc>
        <w:tc>
          <w:tcPr>
            <w:tcW w:w="468" w:type="dxa"/>
            <w:vAlign w:val="bottom"/>
          </w:tcPr>
          <w:p w14:paraId="41E5147D" w14:textId="77777777" w:rsidR="001D5DDB" w:rsidRPr="00D272CC" w:rsidRDefault="001D5DDB" w:rsidP="001D5DDB">
            <w:pPr>
              <w:pStyle w:val="Tablesmall"/>
              <w:jc w:val="center"/>
            </w:pPr>
          </w:p>
        </w:tc>
        <w:tc>
          <w:tcPr>
            <w:tcW w:w="708" w:type="dxa"/>
            <w:vAlign w:val="bottom"/>
          </w:tcPr>
          <w:p w14:paraId="0C4FE95D" w14:textId="77777777" w:rsidR="001D5DDB" w:rsidRPr="00D272CC" w:rsidRDefault="001D5DDB" w:rsidP="001D5DDB">
            <w:pPr>
              <w:pStyle w:val="Tablesmall"/>
              <w:jc w:val="center"/>
            </w:pPr>
          </w:p>
        </w:tc>
      </w:tr>
      <w:tr w:rsidR="001D5DDB" w:rsidRPr="00D272CC" w14:paraId="6E23C6DA" w14:textId="77777777" w:rsidTr="001D5DDB">
        <w:tc>
          <w:tcPr>
            <w:tcW w:w="709" w:type="dxa"/>
          </w:tcPr>
          <w:p w14:paraId="67CD4E9D" w14:textId="77777777" w:rsidR="001D5DDB" w:rsidRPr="00D272CC" w:rsidRDefault="001D5DDB" w:rsidP="00F33403">
            <w:pPr>
              <w:pStyle w:val="Tablesmall"/>
              <w:jc w:val="center"/>
            </w:pPr>
            <w:r w:rsidRPr="00D272CC">
              <w:t>13</w:t>
            </w:r>
          </w:p>
        </w:tc>
        <w:tc>
          <w:tcPr>
            <w:tcW w:w="2977" w:type="dxa"/>
          </w:tcPr>
          <w:p w14:paraId="4A4DD572" w14:textId="77777777" w:rsidR="001D5DDB" w:rsidRPr="00D272CC" w:rsidRDefault="001D5DDB" w:rsidP="00F33403">
            <w:pPr>
              <w:pStyle w:val="Tablesmall"/>
            </w:pPr>
            <w:r w:rsidRPr="00D272CC">
              <w:t>Interest on construction</w:t>
            </w:r>
          </w:p>
        </w:tc>
        <w:tc>
          <w:tcPr>
            <w:tcW w:w="467" w:type="dxa"/>
            <w:vAlign w:val="bottom"/>
          </w:tcPr>
          <w:p w14:paraId="27024C49" w14:textId="77777777" w:rsidR="001D5DDB" w:rsidRPr="00D272CC" w:rsidRDefault="001D5DDB" w:rsidP="001D5DDB">
            <w:pPr>
              <w:pStyle w:val="Tablesmall"/>
              <w:jc w:val="center"/>
            </w:pPr>
            <w:r w:rsidRPr="00D272CC">
              <w:t>1</w:t>
            </w:r>
          </w:p>
        </w:tc>
        <w:tc>
          <w:tcPr>
            <w:tcW w:w="468" w:type="dxa"/>
            <w:vAlign w:val="bottom"/>
          </w:tcPr>
          <w:p w14:paraId="1E354624" w14:textId="77777777" w:rsidR="001D5DDB" w:rsidRPr="00D272CC" w:rsidRDefault="001D5DDB" w:rsidP="001D5DDB">
            <w:pPr>
              <w:pStyle w:val="Tablesmall"/>
              <w:jc w:val="center"/>
            </w:pPr>
            <w:r w:rsidRPr="00D272CC">
              <w:t>1</w:t>
            </w:r>
          </w:p>
        </w:tc>
        <w:tc>
          <w:tcPr>
            <w:tcW w:w="468" w:type="dxa"/>
            <w:vAlign w:val="bottom"/>
          </w:tcPr>
          <w:p w14:paraId="7CD0A0B3" w14:textId="77777777" w:rsidR="001D5DDB" w:rsidRPr="00D272CC" w:rsidRDefault="001D5DDB" w:rsidP="001D5DDB">
            <w:pPr>
              <w:pStyle w:val="Tablesmall"/>
              <w:jc w:val="center"/>
            </w:pPr>
            <w:r w:rsidRPr="00D272CC">
              <w:t>2</w:t>
            </w:r>
          </w:p>
        </w:tc>
        <w:tc>
          <w:tcPr>
            <w:tcW w:w="468" w:type="dxa"/>
            <w:vAlign w:val="bottom"/>
          </w:tcPr>
          <w:p w14:paraId="6AB1FA1F" w14:textId="77777777" w:rsidR="001D5DDB" w:rsidRPr="00D272CC" w:rsidRDefault="001D5DDB" w:rsidP="001D5DDB">
            <w:pPr>
              <w:pStyle w:val="Tablesmall"/>
              <w:jc w:val="center"/>
            </w:pPr>
            <w:r w:rsidRPr="00D272CC">
              <w:t>2</w:t>
            </w:r>
          </w:p>
        </w:tc>
        <w:tc>
          <w:tcPr>
            <w:tcW w:w="468" w:type="dxa"/>
            <w:vAlign w:val="bottom"/>
          </w:tcPr>
          <w:p w14:paraId="48D56448" w14:textId="77777777" w:rsidR="001D5DDB" w:rsidRPr="00D272CC" w:rsidRDefault="001D5DDB" w:rsidP="001D5DDB">
            <w:pPr>
              <w:pStyle w:val="Tablesmall"/>
              <w:jc w:val="center"/>
            </w:pPr>
            <w:r w:rsidRPr="00D272CC">
              <w:t>1</w:t>
            </w:r>
          </w:p>
        </w:tc>
        <w:tc>
          <w:tcPr>
            <w:tcW w:w="467" w:type="dxa"/>
            <w:vAlign w:val="bottom"/>
          </w:tcPr>
          <w:p w14:paraId="3D750303" w14:textId="77777777" w:rsidR="001D5DDB" w:rsidRPr="00D272CC" w:rsidRDefault="001D5DDB" w:rsidP="001D5DDB">
            <w:pPr>
              <w:pStyle w:val="Tablesmall"/>
              <w:jc w:val="center"/>
            </w:pPr>
            <w:r w:rsidRPr="00D272CC">
              <w:t>1</w:t>
            </w:r>
          </w:p>
        </w:tc>
        <w:tc>
          <w:tcPr>
            <w:tcW w:w="468" w:type="dxa"/>
            <w:vAlign w:val="bottom"/>
          </w:tcPr>
          <w:p w14:paraId="4D01504C" w14:textId="77777777" w:rsidR="001D5DDB" w:rsidRPr="00D272CC" w:rsidRDefault="001D5DDB" w:rsidP="001D5DDB">
            <w:pPr>
              <w:pStyle w:val="Tablesmall"/>
              <w:jc w:val="center"/>
            </w:pPr>
            <w:r w:rsidRPr="00D272CC">
              <w:t>5</w:t>
            </w:r>
          </w:p>
        </w:tc>
        <w:tc>
          <w:tcPr>
            <w:tcW w:w="468" w:type="dxa"/>
            <w:vAlign w:val="bottom"/>
          </w:tcPr>
          <w:p w14:paraId="46725504" w14:textId="77777777" w:rsidR="001D5DDB" w:rsidRPr="00D272CC" w:rsidRDefault="001D5DDB" w:rsidP="001D5DDB">
            <w:pPr>
              <w:pStyle w:val="Tablesmall"/>
              <w:jc w:val="center"/>
            </w:pPr>
            <w:r w:rsidRPr="00D272CC">
              <w:t>1</w:t>
            </w:r>
          </w:p>
        </w:tc>
        <w:tc>
          <w:tcPr>
            <w:tcW w:w="468" w:type="dxa"/>
            <w:vAlign w:val="bottom"/>
          </w:tcPr>
          <w:p w14:paraId="2B345964" w14:textId="77777777" w:rsidR="001D5DDB" w:rsidRPr="00D272CC" w:rsidRDefault="001D5DDB" w:rsidP="001D5DDB">
            <w:pPr>
              <w:pStyle w:val="Tablesmall"/>
              <w:jc w:val="center"/>
            </w:pPr>
            <w:r w:rsidRPr="00D272CC">
              <w:t>0</w:t>
            </w:r>
          </w:p>
        </w:tc>
        <w:tc>
          <w:tcPr>
            <w:tcW w:w="468" w:type="dxa"/>
            <w:vAlign w:val="bottom"/>
          </w:tcPr>
          <w:p w14:paraId="12560A20" w14:textId="77777777" w:rsidR="001D5DDB" w:rsidRPr="00D272CC" w:rsidRDefault="001D5DDB" w:rsidP="001D5DDB">
            <w:pPr>
              <w:pStyle w:val="Tablesmall"/>
              <w:jc w:val="center"/>
            </w:pPr>
            <w:r w:rsidRPr="00D272CC">
              <w:t>1</w:t>
            </w:r>
          </w:p>
        </w:tc>
        <w:tc>
          <w:tcPr>
            <w:tcW w:w="708" w:type="dxa"/>
            <w:vAlign w:val="bottom"/>
          </w:tcPr>
          <w:p w14:paraId="09CF3B54" w14:textId="77777777" w:rsidR="001D5DDB" w:rsidRPr="00D272CC" w:rsidRDefault="001D5DDB" w:rsidP="001D5DDB">
            <w:pPr>
              <w:pStyle w:val="Tablesmall"/>
              <w:jc w:val="center"/>
            </w:pPr>
            <w:r w:rsidRPr="00D272CC">
              <w:t>15 (8)</w:t>
            </w:r>
          </w:p>
        </w:tc>
      </w:tr>
      <w:tr w:rsidR="001D5DDB" w:rsidRPr="00D272CC" w14:paraId="1862E737" w14:textId="77777777" w:rsidTr="001D5DDB">
        <w:tc>
          <w:tcPr>
            <w:tcW w:w="709" w:type="dxa"/>
          </w:tcPr>
          <w:p w14:paraId="6D908204" w14:textId="77777777" w:rsidR="001D5DDB" w:rsidRPr="00D272CC" w:rsidRDefault="001D5DDB" w:rsidP="00F33403">
            <w:pPr>
              <w:pStyle w:val="Tablesmall"/>
              <w:jc w:val="center"/>
            </w:pPr>
          </w:p>
        </w:tc>
        <w:tc>
          <w:tcPr>
            <w:tcW w:w="2977" w:type="dxa"/>
          </w:tcPr>
          <w:p w14:paraId="5BD8D826" w14:textId="77777777" w:rsidR="001D5DDB" w:rsidRPr="00D272CC" w:rsidRDefault="001D5DDB" w:rsidP="00F33403">
            <w:pPr>
              <w:pStyle w:val="Tablesmall"/>
            </w:pPr>
            <w:r w:rsidRPr="00D272CC">
              <w:t>- from (a) to (b) / (b) to (a)</w:t>
            </w:r>
          </w:p>
        </w:tc>
        <w:tc>
          <w:tcPr>
            <w:tcW w:w="467" w:type="dxa"/>
            <w:vAlign w:val="bottom"/>
          </w:tcPr>
          <w:p w14:paraId="28E91E05" w14:textId="77777777" w:rsidR="001D5DDB" w:rsidRPr="00D272CC" w:rsidRDefault="001D5DDB" w:rsidP="001D5DDB">
            <w:pPr>
              <w:pStyle w:val="Tablesmall"/>
              <w:jc w:val="center"/>
            </w:pPr>
            <w:r w:rsidRPr="00D272CC">
              <w:t>1/0</w:t>
            </w:r>
          </w:p>
        </w:tc>
        <w:tc>
          <w:tcPr>
            <w:tcW w:w="468" w:type="dxa"/>
            <w:vAlign w:val="bottom"/>
          </w:tcPr>
          <w:p w14:paraId="12317518" w14:textId="77777777" w:rsidR="001D5DDB" w:rsidRPr="00D272CC" w:rsidRDefault="001D5DDB" w:rsidP="001D5DDB">
            <w:pPr>
              <w:pStyle w:val="Tablesmall"/>
              <w:jc w:val="center"/>
            </w:pPr>
            <w:r w:rsidRPr="00D272CC">
              <w:t>0/1</w:t>
            </w:r>
          </w:p>
        </w:tc>
        <w:tc>
          <w:tcPr>
            <w:tcW w:w="468" w:type="dxa"/>
            <w:vAlign w:val="bottom"/>
          </w:tcPr>
          <w:p w14:paraId="0E65D3F1" w14:textId="77777777" w:rsidR="001D5DDB" w:rsidRPr="00D272CC" w:rsidRDefault="001D5DDB" w:rsidP="001D5DDB">
            <w:pPr>
              <w:pStyle w:val="Tablesmall"/>
              <w:jc w:val="center"/>
            </w:pPr>
            <w:r w:rsidRPr="00D272CC">
              <w:t>0/2</w:t>
            </w:r>
          </w:p>
        </w:tc>
        <w:tc>
          <w:tcPr>
            <w:tcW w:w="468" w:type="dxa"/>
            <w:vAlign w:val="bottom"/>
          </w:tcPr>
          <w:p w14:paraId="73807D32" w14:textId="77777777" w:rsidR="001D5DDB" w:rsidRPr="00D272CC" w:rsidRDefault="001D5DDB" w:rsidP="001D5DDB">
            <w:pPr>
              <w:pStyle w:val="Tablesmall"/>
              <w:jc w:val="center"/>
            </w:pPr>
            <w:r w:rsidRPr="00D272CC">
              <w:t>0/2</w:t>
            </w:r>
          </w:p>
        </w:tc>
        <w:tc>
          <w:tcPr>
            <w:tcW w:w="468" w:type="dxa"/>
            <w:vAlign w:val="bottom"/>
          </w:tcPr>
          <w:p w14:paraId="234FCD4B" w14:textId="77777777" w:rsidR="001D5DDB" w:rsidRPr="00D272CC" w:rsidRDefault="001D5DDB" w:rsidP="001D5DDB">
            <w:pPr>
              <w:pStyle w:val="Tablesmall"/>
              <w:jc w:val="center"/>
            </w:pPr>
            <w:r w:rsidRPr="00D272CC">
              <w:t>0/1</w:t>
            </w:r>
          </w:p>
        </w:tc>
        <w:tc>
          <w:tcPr>
            <w:tcW w:w="467" w:type="dxa"/>
            <w:vAlign w:val="bottom"/>
          </w:tcPr>
          <w:p w14:paraId="47837FE7" w14:textId="77777777" w:rsidR="001D5DDB" w:rsidRPr="00D272CC" w:rsidRDefault="001D5DDB" w:rsidP="001D5DDB">
            <w:pPr>
              <w:pStyle w:val="Tablesmall"/>
              <w:jc w:val="center"/>
            </w:pPr>
            <w:r w:rsidRPr="00D272CC">
              <w:t>0/1</w:t>
            </w:r>
          </w:p>
        </w:tc>
        <w:tc>
          <w:tcPr>
            <w:tcW w:w="468" w:type="dxa"/>
            <w:vAlign w:val="bottom"/>
          </w:tcPr>
          <w:p w14:paraId="1ACE899A" w14:textId="77777777" w:rsidR="001D5DDB" w:rsidRPr="00D272CC" w:rsidRDefault="001D5DDB" w:rsidP="001D5DDB">
            <w:pPr>
              <w:pStyle w:val="Tablesmall"/>
              <w:jc w:val="center"/>
            </w:pPr>
            <w:r w:rsidRPr="00D272CC">
              <w:t>0/5</w:t>
            </w:r>
          </w:p>
        </w:tc>
        <w:tc>
          <w:tcPr>
            <w:tcW w:w="468" w:type="dxa"/>
            <w:vAlign w:val="bottom"/>
          </w:tcPr>
          <w:p w14:paraId="008193C5" w14:textId="77777777" w:rsidR="001D5DDB" w:rsidRPr="00D272CC" w:rsidRDefault="001D5DDB" w:rsidP="001D5DDB">
            <w:pPr>
              <w:pStyle w:val="Tablesmall"/>
              <w:jc w:val="center"/>
            </w:pPr>
            <w:r w:rsidRPr="00D272CC">
              <w:t>0/1</w:t>
            </w:r>
          </w:p>
        </w:tc>
        <w:tc>
          <w:tcPr>
            <w:tcW w:w="468" w:type="dxa"/>
            <w:vAlign w:val="bottom"/>
          </w:tcPr>
          <w:p w14:paraId="060E903C" w14:textId="77777777" w:rsidR="001D5DDB" w:rsidRPr="00D272CC" w:rsidRDefault="001D5DDB" w:rsidP="001D5DDB">
            <w:pPr>
              <w:pStyle w:val="Tablesmall"/>
              <w:jc w:val="center"/>
            </w:pPr>
            <w:r w:rsidRPr="00D272CC">
              <w:t>0/0</w:t>
            </w:r>
          </w:p>
        </w:tc>
        <w:tc>
          <w:tcPr>
            <w:tcW w:w="468" w:type="dxa"/>
            <w:vAlign w:val="bottom"/>
          </w:tcPr>
          <w:p w14:paraId="77C012F4" w14:textId="77777777" w:rsidR="001D5DDB" w:rsidRPr="00D272CC" w:rsidRDefault="001D5DDB" w:rsidP="001D5DDB">
            <w:pPr>
              <w:pStyle w:val="Tablesmall"/>
              <w:jc w:val="center"/>
            </w:pPr>
            <w:r w:rsidRPr="00D272CC">
              <w:t>1/0</w:t>
            </w:r>
          </w:p>
        </w:tc>
        <w:tc>
          <w:tcPr>
            <w:tcW w:w="708" w:type="dxa"/>
            <w:vAlign w:val="bottom"/>
          </w:tcPr>
          <w:p w14:paraId="1EA41914" w14:textId="77777777" w:rsidR="001D5DDB" w:rsidRPr="00D272CC" w:rsidRDefault="001D5DDB" w:rsidP="001D5DDB">
            <w:pPr>
              <w:pStyle w:val="Tablesmall"/>
              <w:jc w:val="center"/>
            </w:pPr>
            <w:r w:rsidRPr="00D272CC">
              <w:t>2/13</w:t>
            </w:r>
          </w:p>
        </w:tc>
      </w:tr>
      <w:tr w:rsidR="001D5DDB" w:rsidRPr="00D272CC" w14:paraId="00554D63" w14:textId="77777777" w:rsidTr="001D5DDB">
        <w:tc>
          <w:tcPr>
            <w:tcW w:w="709" w:type="dxa"/>
          </w:tcPr>
          <w:p w14:paraId="254CDF61" w14:textId="77777777" w:rsidR="001D5DDB" w:rsidRPr="00D272CC" w:rsidRDefault="001D5DDB" w:rsidP="00F33403">
            <w:pPr>
              <w:pStyle w:val="Tablesmall"/>
              <w:jc w:val="center"/>
            </w:pPr>
          </w:p>
        </w:tc>
        <w:tc>
          <w:tcPr>
            <w:tcW w:w="2977" w:type="dxa"/>
          </w:tcPr>
          <w:p w14:paraId="11226123" w14:textId="77777777" w:rsidR="001D5DDB" w:rsidRPr="00D272CC" w:rsidRDefault="001D5DDB" w:rsidP="00F33403">
            <w:pPr>
              <w:pStyle w:val="Tablesmall"/>
            </w:pPr>
          </w:p>
        </w:tc>
        <w:tc>
          <w:tcPr>
            <w:tcW w:w="467" w:type="dxa"/>
            <w:vAlign w:val="bottom"/>
          </w:tcPr>
          <w:p w14:paraId="6EF52778" w14:textId="77777777" w:rsidR="001D5DDB" w:rsidRPr="00D272CC" w:rsidRDefault="001D5DDB" w:rsidP="001D5DDB">
            <w:pPr>
              <w:pStyle w:val="Tablesmall"/>
              <w:jc w:val="center"/>
            </w:pPr>
          </w:p>
        </w:tc>
        <w:tc>
          <w:tcPr>
            <w:tcW w:w="468" w:type="dxa"/>
            <w:vAlign w:val="bottom"/>
          </w:tcPr>
          <w:p w14:paraId="4DF829CB" w14:textId="77777777" w:rsidR="001D5DDB" w:rsidRPr="00D272CC" w:rsidRDefault="001D5DDB" w:rsidP="001D5DDB">
            <w:pPr>
              <w:pStyle w:val="Tablesmall"/>
              <w:jc w:val="center"/>
            </w:pPr>
          </w:p>
        </w:tc>
        <w:tc>
          <w:tcPr>
            <w:tcW w:w="468" w:type="dxa"/>
            <w:vAlign w:val="bottom"/>
          </w:tcPr>
          <w:p w14:paraId="44682CAF" w14:textId="77777777" w:rsidR="001D5DDB" w:rsidRPr="00D272CC" w:rsidRDefault="001D5DDB" w:rsidP="001D5DDB">
            <w:pPr>
              <w:pStyle w:val="Tablesmall"/>
              <w:jc w:val="center"/>
            </w:pPr>
          </w:p>
        </w:tc>
        <w:tc>
          <w:tcPr>
            <w:tcW w:w="468" w:type="dxa"/>
            <w:vAlign w:val="bottom"/>
          </w:tcPr>
          <w:p w14:paraId="6B870A8A" w14:textId="77777777" w:rsidR="001D5DDB" w:rsidRPr="00D272CC" w:rsidRDefault="001D5DDB" w:rsidP="001D5DDB">
            <w:pPr>
              <w:pStyle w:val="Tablesmall"/>
              <w:jc w:val="center"/>
            </w:pPr>
          </w:p>
        </w:tc>
        <w:tc>
          <w:tcPr>
            <w:tcW w:w="468" w:type="dxa"/>
            <w:vAlign w:val="bottom"/>
          </w:tcPr>
          <w:p w14:paraId="36AC4F96" w14:textId="77777777" w:rsidR="001D5DDB" w:rsidRPr="00D272CC" w:rsidRDefault="001D5DDB" w:rsidP="001D5DDB">
            <w:pPr>
              <w:pStyle w:val="Tablesmall"/>
              <w:jc w:val="center"/>
            </w:pPr>
          </w:p>
        </w:tc>
        <w:tc>
          <w:tcPr>
            <w:tcW w:w="467" w:type="dxa"/>
            <w:vAlign w:val="bottom"/>
          </w:tcPr>
          <w:p w14:paraId="0B760649" w14:textId="77777777" w:rsidR="001D5DDB" w:rsidRPr="00D272CC" w:rsidRDefault="001D5DDB" w:rsidP="001D5DDB">
            <w:pPr>
              <w:pStyle w:val="Tablesmall"/>
              <w:jc w:val="center"/>
            </w:pPr>
          </w:p>
        </w:tc>
        <w:tc>
          <w:tcPr>
            <w:tcW w:w="468" w:type="dxa"/>
            <w:vAlign w:val="bottom"/>
          </w:tcPr>
          <w:p w14:paraId="49DBDB5C" w14:textId="77777777" w:rsidR="001D5DDB" w:rsidRPr="00D272CC" w:rsidRDefault="001D5DDB" w:rsidP="001D5DDB">
            <w:pPr>
              <w:pStyle w:val="Tablesmall"/>
              <w:jc w:val="center"/>
            </w:pPr>
          </w:p>
        </w:tc>
        <w:tc>
          <w:tcPr>
            <w:tcW w:w="468" w:type="dxa"/>
            <w:vAlign w:val="bottom"/>
          </w:tcPr>
          <w:p w14:paraId="127B4525" w14:textId="77777777" w:rsidR="001D5DDB" w:rsidRPr="00D272CC" w:rsidRDefault="001D5DDB" w:rsidP="001D5DDB">
            <w:pPr>
              <w:pStyle w:val="Tablesmall"/>
              <w:jc w:val="center"/>
            </w:pPr>
          </w:p>
        </w:tc>
        <w:tc>
          <w:tcPr>
            <w:tcW w:w="468" w:type="dxa"/>
            <w:vAlign w:val="bottom"/>
          </w:tcPr>
          <w:p w14:paraId="1E18656D" w14:textId="77777777" w:rsidR="001D5DDB" w:rsidRPr="00D272CC" w:rsidRDefault="001D5DDB" w:rsidP="001D5DDB">
            <w:pPr>
              <w:pStyle w:val="Tablesmall"/>
              <w:jc w:val="center"/>
            </w:pPr>
          </w:p>
        </w:tc>
        <w:tc>
          <w:tcPr>
            <w:tcW w:w="468" w:type="dxa"/>
            <w:vAlign w:val="bottom"/>
          </w:tcPr>
          <w:p w14:paraId="28F7B6EE" w14:textId="77777777" w:rsidR="001D5DDB" w:rsidRPr="00D272CC" w:rsidRDefault="001D5DDB" w:rsidP="001D5DDB">
            <w:pPr>
              <w:pStyle w:val="Tablesmall"/>
              <w:jc w:val="center"/>
            </w:pPr>
          </w:p>
        </w:tc>
        <w:tc>
          <w:tcPr>
            <w:tcW w:w="708" w:type="dxa"/>
            <w:vAlign w:val="bottom"/>
          </w:tcPr>
          <w:p w14:paraId="42318202" w14:textId="77777777" w:rsidR="001D5DDB" w:rsidRPr="00D272CC" w:rsidRDefault="001D5DDB" w:rsidP="001D5DDB">
            <w:pPr>
              <w:pStyle w:val="Tablesmall"/>
              <w:jc w:val="center"/>
            </w:pPr>
          </w:p>
        </w:tc>
      </w:tr>
      <w:tr w:rsidR="001D5DDB" w:rsidRPr="00D272CC" w14:paraId="35DF39B9" w14:textId="77777777" w:rsidTr="001D5DDB">
        <w:tc>
          <w:tcPr>
            <w:tcW w:w="709" w:type="dxa"/>
          </w:tcPr>
          <w:p w14:paraId="63868D74" w14:textId="77777777" w:rsidR="001D5DDB" w:rsidRPr="00D272CC" w:rsidRDefault="001D5DDB" w:rsidP="00F33403">
            <w:pPr>
              <w:pStyle w:val="Tablesmall"/>
              <w:jc w:val="center"/>
            </w:pPr>
            <w:r w:rsidRPr="00D272CC">
              <w:t>14</w:t>
            </w:r>
          </w:p>
        </w:tc>
        <w:tc>
          <w:tcPr>
            <w:tcW w:w="2977" w:type="dxa"/>
          </w:tcPr>
          <w:p w14:paraId="3BED87B7" w14:textId="5CC92636" w:rsidR="001D5DDB" w:rsidRPr="00D272CC" w:rsidRDefault="001D5DDB" w:rsidP="00F33403">
            <w:pPr>
              <w:pStyle w:val="Tablesmall"/>
            </w:pPr>
            <w:r w:rsidRPr="00D272CC">
              <w:t xml:space="preserve">Inventory </w:t>
            </w:r>
            <w:r w:rsidR="00E6569A" w:rsidRPr="00D272CC">
              <w:t>cost</w:t>
            </w:r>
            <w:r w:rsidR="006914D8">
              <w:t>ing</w:t>
            </w:r>
          </w:p>
        </w:tc>
        <w:tc>
          <w:tcPr>
            <w:tcW w:w="467" w:type="dxa"/>
            <w:vAlign w:val="bottom"/>
          </w:tcPr>
          <w:p w14:paraId="227C40EA" w14:textId="77777777" w:rsidR="001D5DDB" w:rsidRPr="00D272CC" w:rsidRDefault="001D5DDB" w:rsidP="001D5DDB">
            <w:pPr>
              <w:pStyle w:val="Tablesmall"/>
              <w:jc w:val="center"/>
            </w:pPr>
            <w:r w:rsidRPr="00D272CC">
              <w:t>3</w:t>
            </w:r>
          </w:p>
        </w:tc>
        <w:tc>
          <w:tcPr>
            <w:tcW w:w="468" w:type="dxa"/>
            <w:vAlign w:val="bottom"/>
          </w:tcPr>
          <w:p w14:paraId="13D304C9" w14:textId="77777777" w:rsidR="001D5DDB" w:rsidRPr="00D272CC" w:rsidRDefault="001D5DDB" w:rsidP="001D5DDB">
            <w:pPr>
              <w:pStyle w:val="Tablesmall"/>
              <w:jc w:val="center"/>
            </w:pPr>
            <w:r w:rsidRPr="00D272CC">
              <w:t>0</w:t>
            </w:r>
          </w:p>
        </w:tc>
        <w:tc>
          <w:tcPr>
            <w:tcW w:w="468" w:type="dxa"/>
            <w:vAlign w:val="bottom"/>
          </w:tcPr>
          <w:p w14:paraId="216B5A34" w14:textId="77777777" w:rsidR="001D5DDB" w:rsidRPr="00D272CC" w:rsidRDefault="001D5DDB" w:rsidP="001D5DDB">
            <w:pPr>
              <w:pStyle w:val="Tablesmall"/>
              <w:jc w:val="center"/>
            </w:pPr>
            <w:r w:rsidRPr="00D272CC">
              <w:t>4</w:t>
            </w:r>
          </w:p>
        </w:tc>
        <w:tc>
          <w:tcPr>
            <w:tcW w:w="468" w:type="dxa"/>
            <w:vAlign w:val="bottom"/>
          </w:tcPr>
          <w:p w14:paraId="2E7045CC" w14:textId="77777777" w:rsidR="001D5DDB" w:rsidRPr="00D272CC" w:rsidRDefault="001D5DDB" w:rsidP="001D5DDB">
            <w:pPr>
              <w:pStyle w:val="Tablesmall"/>
              <w:jc w:val="center"/>
            </w:pPr>
            <w:r w:rsidRPr="00D272CC">
              <w:t>2</w:t>
            </w:r>
          </w:p>
        </w:tc>
        <w:tc>
          <w:tcPr>
            <w:tcW w:w="468" w:type="dxa"/>
            <w:vAlign w:val="bottom"/>
          </w:tcPr>
          <w:p w14:paraId="243272D6" w14:textId="77777777" w:rsidR="001D5DDB" w:rsidRPr="00D272CC" w:rsidRDefault="001D5DDB" w:rsidP="001D5DDB">
            <w:pPr>
              <w:pStyle w:val="Tablesmall"/>
              <w:jc w:val="center"/>
            </w:pPr>
            <w:r w:rsidRPr="00D272CC">
              <w:t>2</w:t>
            </w:r>
          </w:p>
        </w:tc>
        <w:tc>
          <w:tcPr>
            <w:tcW w:w="467" w:type="dxa"/>
            <w:vAlign w:val="bottom"/>
          </w:tcPr>
          <w:p w14:paraId="3E6C3969" w14:textId="77777777" w:rsidR="001D5DDB" w:rsidRPr="00D272CC" w:rsidRDefault="001D5DDB" w:rsidP="001D5DDB">
            <w:pPr>
              <w:pStyle w:val="Tablesmall"/>
              <w:jc w:val="center"/>
            </w:pPr>
            <w:r w:rsidRPr="00D272CC">
              <w:t>2</w:t>
            </w:r>
          </w:p>
        </w:tc>
        <w:tc>
          <w:tcPr>
            <w:tcW w:w="468" w:type="dxa"/>
            <w:vAlign w:val="bottom"/>
          </w:tcPr>
          <w:p w14:paraId="58E3376D" w14:textId="77777777" w:rsidR="001D5DDB" w:rsidRPr="00D272CC" w:rsidRDefault="001D5DDB" w:rsidP="001D5DDB">
            <w:pPr>
              <w:pStyle w:val="Tablesmall"/>
              <w:jc w:val="center"/>
            </w:pPr>
            <w:r w:rsidRPr="00D272CC">
              <w:t>8</w:t>
            </w:r>
          </w:p>
        </w:tc>
        <w:tc>
          <w:tcPr>
            <w:tcW w:w="468" w:type="dxa"/>
            <w:vAlign w:val="bottom"/>
          </w:tcPr>
          <w:p w14:paraId="1FD238FA" w14:textId="77777777" w:rsidR="001D5DDB" w:rsidRPr="00D272CC" w:rsidRDefault="001D5DDB" w:rsidP="001D5DDB">
            <w:pPr>
              <w:pStyle w:val="Tablesmall"/>
              <w:jc w:val="center"/>
            </w:pPr>
            <w:r w:rsidRPr="00D272CC">
              <w:t>4</w:t>
            </w:r>
          </w:p>
        </w:tc>
        <w:tc>
          <w:tcPr>
            <w:tcW w:w="468" w:type="dxa"/>
            <w:vAlign w:val="bottom"/>
          </w:tcPr>
          <w:p w14:paraId="5EE08345" w14:textId="77777777" w:rsidR="001D5DDB" w:rsidRPr="00D272CC" w:rsidRDefault="001D5DDB" w:rsidP="001D5DDB">
            <w:pPr>
              <w:pStyle w:val="Tablesmall"/>
              <w:jc w:val="center"/>
            </w:pPr>
            <w:r w:rsidRPr="00D272CC">
              <w:t>3</w:t>
            </w:r>
          </w:p>
        </w:tc>
        <w:tc>
          <w:tcPr>
            <w:tcW w:w="468" w:type="dxa"/>
            <w:vAlign w:val="bottom"/>
          </w:tcPr>
          <w:p w14:paraId="6618CD99" w14:textId="77777777" w:rsidR="001D5DDB" w:rsidRPr="00D272CC" w:rsidRDefault="001D5DDB" w:rsidP="001D5DDB">
            <w:pPr>
              <w:pStyle w:val="Tablesmall"/>
              <w:jc w:val="center"/>
            </w:pPr>
            <w:r w:rsidRPr="00D272CC">
              <w:t>4</w:t>
            </w:r>
          </w:p>
        </w:tc>
        <w:tc>
          <w:tcPr>
            <w:tcW w:w="708" w:type="dxa"/>
            <w:vAlign w:val="bottom"/>
          </w:tcPr>
          <w:p w14:paraId="6094571F" w14:textId="77777777" w:rsidR="001D5DDB" w:rsidRPr="00D272CC" w:rsidRDefault="001D5DDB" w:rsidP="001D5DDB">
            <w:pPr>
              <w:pStyle w:val="Tablesmall"/>
              <w:jc w:val="center"/>
            </w:pPr>
            <w:r w:rsidRPr="00D272CC">
              <w:t>32 (3)</w:t>
            </w:r>
          </w:p>
        </w:tc>
      </w:tr>
      <w:tr w:rsidR="001D5DDB" w:rsidRPr="00D272CC" w14:paraId="66D4756B" w14:textId="77777777" w:rsidTr="001D5DDB">
        <w:tc>
          <w:tcPr>
            <w:tcW w:w="709" w:type="dxa"/>
          </w:tcPr>
          <w:p w14:paraId="4FB6328A" w14:textId="77777777" w:rsidR="001D5DDB" w:rsidRPr="00D272CC" w:rsidRDefault="001D5DDB" w:rsidP="00F33403">
            <w:pPr>
              <w:pStyle w:val="Tablesmall"/>
              <w:jc w:val="center"/>
            </w:pPr>
          </w:p>
        </w:tc>
        <w:tc>
          <w:tcPr>
            <w:tcW w:w="2977" w:type="dxa"/>
          </w:tcPr>
          <w:p w14:paraId="1BBDCB26" w14:textId="77777777" w:rsidR="001D5DDB" w:rsidRPr="00D272CC" w:rsidRDefault="001D5DDB" w:rsidP="00F33403">
            <w:pPr>
              <w:pStyle w:val="Tablesmall"/>
            </w:pPr>
            <w:r w:rsidRPr="00D272CC">
              <w:t>- from (a) to (b) / (b) to (a)</w:t>
            </w:r>
          </w:p>
        </w:tc>
        <w:tc>
          <w:tcPr>
            <w:tcW w:w="467" w:type="dxa"/>
            <w:vAlign w:val="bottom"/>
          </w:tcPr>
          <w:p w14:paraId="5B2743AD" w14:textId="77777777" w:rsidR="001D5DDB" w:rsidRPr="00D272CC" w:rsidRDefault="001D5DDB" w:rsidP="001D5DDB">
            <w:pPr>
              <w:pStyle w:val="Tablesmall"/>
              <w:jc w:val="center"/>
            </w:pPr>
            <w:r w:rsidRPr="00D272CC">
              <w:t>1/0</w:t>
            </w:r>
          </w:p>
        </w:tc>
        <w:tc>
          <w:tcPr>
            <w:tcW w:w="468" w:type="dxa"/>
            <w:vAlign w:val="bottom"/>
          </w:tcPr>
          <w:p w14:paraId="0C5C19A5" w14:textId="77777777" w:rsidR="001D5DDB" w:rsidRPr="00D272CC" w:rsidRDefault="001D5DDB" w:rsidP="001D5DDB">
            <w:pPr>
              <w:pStyle w:val="Tablesmall"/>
              <w:jc w:val="center"/>
            </w:pPr>
            <w:r w:rsidRPr="00D272CC">
              <w:t>0/0</w:t>
            </w:r>
          </w:p>
        </w:tc>
        <w:tc>
          <w:tcPr>
            <w:tcW w:w="468" w:type="dxa"/>
            <w:vAlign w:val="bottom"/>
          </w:tcPr>
          <w:p w14:paraId="44508198" w14:textId="77777777" w:rsidR="001D5DDB" w:rsidRPr="00D272CC" w:rsidRDefault="001D5DDB" w:rsidP="001D5DDB">
            <w:pPr>
              <w:pStyle w:val="Tablesmall"/>
              <w:jc w:val="center"/>
            </w:pPr>
            <w:r w:rsidRPr="00D272CC">
              <w:t>2/0</w:t>
            </w:r>
          </w:p>
        </w:tc>
        <w:tc>
          <w:tcPr>
            <w:tcW w:w="468" w:type="dxa"/>
            <w:vAlign w:val="bottom"/>
          </w:tcPr>
          <w:p w14:paraId="5F8875F7" w14:textId="77777777" w:rsidR="001D5DDB" w:rsidRPr="00D272CC" w:rsidRDefault="001D5DDB" w:rsidP="001D5DDB">
            <w:pPr>
              <w:pStyle w:val="Tablesmall"/>
              <w:jc w:val="center"/>
            </w:pPr>
            <w:r w:rsidRPr="00D272CC">
              <w:t>0/0</w:t>
            </w:r>
          </w:p>
        </w:tc>
        <w:tc>
          <w:tcPr>
            <w:tcW w:w="468" w:type="dxa"/>
            <w:vAlign w:val="bottom"/>
          </w:tcPr>
          <w:p w14:paraId="11226517" w14:textId="77777777" w:rsidR="001D5DDB" w:rsidRPr="00D272CC" w:rsidRDefault="001D5DDB" w:rsidP="001D5DDB">
            <w:pPr>
              <w:pStyle w:val="Tablesmall"/>
              <w:jc w:val="center"/>
            </w:pPr>
            <w:r w:rsidRPr="00D272CC">
              <w:t>0/0</w:t>
            </w:r>
          </w:p>
        </w:tc>
        <w:tc>
          <w:tcPr>
            <w:tcW w:w="467" w:type="dxa"/>
            <w:vAlign w:val="bottom"/>
          </w:tcPr>
          <w:p w14:paraId="6F8CED75" w14:textId="77777777" w:rsidR="001D5DDB" w:rsidRPr="00D272CC" w:rsidRDefault="001D5DDB" w:rsidP="001D5DDB">
            <w:pPr>
              <w:pStyle w:val="Tablesmall"/>
              <w:jc w:val="center"/>
            </w:pPr>
            <w:r w:rsidRPr="00D272CC">
              <w:t>0/0</w:t>
            </w:r>
          </w:p>
        </w:tc>
        <w:tc>
          <w:tcPr>
            <w:tcW w:w="468" w:type="dxa"/>
            <w:vAlign w:val="bottom"/>
          </w:tcPr>
          <w:p w14:paraId="0C7E93FF" w14:textId="77777777" w:rsidR="001D5DDB" w:rsidRPr="00D272CC" w:rsidRDefault="001D5DDB" w:rsidP="001D5DDB">
            <w:pPr>
              <w:pStyle w:val="Tablesmall"/>
              <w:jc w:val="center"/>
            </w:pPr>
            <w:r w:rsidRPr="00D272CC">
              <w:t>1/0</w:t>
            </w:r>
          </w:p>
        </w:tc>
        <w:tc>
          <w:tcPr>
            <w:tcW w:w="468" w:type="dxa"/>
            <w:vAlign w:val="bottom"/>
          </w:tcPr>
          <w:p w14:paraId="6F006617" w14:textId="77777777" w:rsidR="001D5DDB" w:rsidRPr="00D272CC" w:rsidRDefault="001D5DDB" w:rsidP="001D5DDB">
            <w:pPr>
              <w:pStyle w:val="Tablesmall"/>
              <w:jc w:val="center"/>
            </w:pPr>
            <w:r w:rsidRPr="00D272CC">
              <w:t>2/2</w:t>
            </w:r>
          </w:p>
        </w:tc>
        <w:tc>
          <w:tcPr>
            <w:tcW w:w="468" w:type="dxa"/>
            <w:vAlign w:val="bottom"/>
          </w:tcPr>
          <w:p w14:paraId="7D5972FE" w14:textId="77777777" w:rsidR="001D5DDB" w:rsidRPr="00D272CC" w:rsidRDefault="001D5DDB" w:rsidP="001D5DDB">
            <w:pPr>
              <w:pStyle w:val="Tablesmall"/>
              <w:jc w:val="center"/>
            </w:pPr>
            <w:r w:rsidRPr="00D272CC">
              <w:t>1/0</w:t>
            </w:r>
          </w:p>
        </w:tc>
        <w:tc>
          <w:tcPr>
            <w:tcW w:w="468" w:type="dxa"/>
            <w:vAlign w:val="bottom"/>
          </w:tcPr>
          <w:p w14:paraId="6B9D772D" w14:textId="77777777" w:rsidR="001D5DDB" w:rsidRPr="00D272CC" w:rsidRDefault="001D5DDB" w:rsidP="001D5DDB">
            <w:pPr>
              <w:pStyle w:val="Tablesmall"/>
              <w:jc w:val="center"/>
            </w:pPr>
            <w:r w:rsidRPr="00D272CC">
              <w:t>1/0</w:t>
            </w:r>
          </w:p>
        </w:tc>
        <w:tc>
          <w:tcPr>
            <w:tcW w:w="708" w:type="dxa"/>
            <w:vAlign w:val="bottom"/>
          </w:tcPr>
          <w:p w14:paraId="12F1F1C3" w14:textId="77777777" w:rsidR="001D5DDB" w:rsidRPr="00D272CC" w:rsidRDefault="001D5DDB" w:rsidP="001D5DDB">
            <w:pPr>
              <w:pStyle w:val="Tablesmall"/>
              <w:jc w:val="center"/>
            </w:pPr>
            <w:r w:rsidRPr="00D272CC">
              <w:t>8/2</w:t>
            </w:r>
          </w:p>
        </w:tc>
      </w:tr>
      <w:tr w:rsidR="001D5DDB" w:rsidRPr="00D272CC" w14:paraId="4438E992" w14:textId="77777777" w:rsidTr="001D5DDB">
        <w:tc>
          <w:tcPr>
            <w:tcW w:w="709" w:type="dxa"/>
          </w:tcPr>
          <w:p w14:paraId="7FA970D2" w14:textId="77777777" w:rsidR="001D5DDB" w:rsidRPr="00D272CC" w:rsidRDefault="001D5DDB" w:rsidP="00F33403">
            <w:pPr>
              <w:pStyle w:val="Tablesmall"/>
              <w:jc w:val="center"/>
            </w:pPr>
          </w:p>
        </w:tc>
        <w:tc>
          <w:tcPr>
            <w:tcW w:w="2977" w:type="dxa"/>
          </w:tcPr>
          <w:p w14:paraId="225A1829" w14:textId="77777777" w:rsidR="001D5DDB" w:rsidRPr="00D272CC" w:rsidRDefault="001D5DDB" w:rsidP="00F33403">
            <w:pPr>
              <w:pStyle w:val="Tablesmall"/>
            </w:pPr>
            <w:r w:rsidRPr="00D272CC">
              <w:t>- from (a) to (a+b) / (a+b) to (a)</w:t>
            </w:r>
          </w:p>
        </w:tc>
        <w:tc>
          <w:tcPr>
            <w:tcW w:w="467" w:type="dxa"/>
            <w:vAlign w:val="bottom"/>
          </w:tcPr>
          <w:p w14:paraId="755D97B6" w14:textId="77777777" w:rsidR="001D5DDB" w:rsidRPr="00D272CC" w:rsidRDefault="001D5DDB" w:rsidP="001D5DDB">
            <w:pPr>
              <w:pStyle w:val="Tablesmall"/>
              <w:jc w:val="center"/>
            </w:pPr>
            <w:r w:rsidRPr="00D272CC">
              <w:t>2/0</w:t>
            </w:r>
          </w:p>
        </w:tc>
        <w:tc>
          <w:tcPr>
            <w:tcW w:w="468" w:type="dxa"/>
            <w:vAlign w:val="bottom"/>
          </w:tcPr>
          <w:p w14:paraId="22921183" w14:textId="77777777" w:rsidR="001D5DDB" w:rsidRPr="00D272CC" w:rsidRDefault="001D5DDB" w:rsidP="001D5DDB">
            <w:pPr>
              <w:pStyle w:val="Tablesmall"/>
              <w:jc w:val="center"/>
            </w:pPr>
            <w:r w:rsidRPr="00D272CC">
              <w:t>0/0</w:t>
            </w:r>
          </w:p>
        </w:tc>
        <w:tc>
          <w:tcPr>
            <w:tcW w:w="468" w:type="dxa"/>
            <w:vAlign w:val="bottom"/>
          </w:tcPr>
          <w:p w14:paraId="58B693BF" w14:textId="77777777" w:rsidR="001D5DDB" w:rsidRPr="00D272CC" w:rsidRDefault="001D5DDB" w:rsidP="001D5DDB">
            <w:pPr>
              <w:pStyle w:val="Tablesmall"/>
              <w:jc w:val="center"/>
            </w:pPr>
            <w:r w:rsidRPr="00D272CC">
              <w:t>1/0</w:t>
            </w:r>
          </w:p>
        </w:tc>
        <w:tc>
          <w:tcPr>
            <w:tcW w:w="468" w:type="dxa"/>
            <w:vAlign w:val="bottom"/>
          </w:tcPr>
          <w:p w14:paraId="6F4EF953" w14:textId="77777777" w:rsidR="001D5DDB" w:rsidRPr="00D272CC" w:rsidRDefault="001D5DDB" w:rsidP="001D5DDB">
            <w:pPr>
              <w:pStyle w:val="Tablesmall"/>
              <w:jc w:val="center"/>
            </w:pPr>
            <w:r w:rsidRPr="00D272CC">
              <w:t>0/0</w:t>
            </w:r>
          </w:p>
        </w:tc>
        <w:tc>
          <w:tcPr>
            <w:tcW w:w="468" w:type="dxa"/>
            <w:vAlign w:val="bottom"/>
          </w:tcPr>
          <w:p w14:paraId="43BFD76B" w14:textId="77777777" w:rsidR="001D5DDB" w:rsidRPr="00D272CC" w:rsidRDefault="001D5DDB" w:rsidP="001D5DDB">
            <w:pPr>
              <w:pStyle w:val="Tablesmall"/>
              <w:jc w:val="center"/>
            </w:pPr>
            <w:r w:rsidRPr="00D272CC">
              <w:t>0/0</w:t>
            </w:r>
          </w:p>
        </w:tc>
        <w:tc>
          <w:tcPr>
            <w:tcW w:w="467" w:type="dxa"/>
            <w:vAlign w:val="bottom"/>
          </w:tcPr>
          <w:p w14:paraId="31B7FDDC" w14:textId="77777777" w:rsidR="001D5DDB" w:rsidRPr="00D272CC" w:rsidRDefault="001D5DDB" w:rsidP="001D5DDB">
            <w:pPr>
              <w:pStyle w:val="Tablesmall"/>
              <w:jc w:val="center"/>
            </w:pPr>
            <w:r w:rsidRPr="00D272CC">
              <w:t>0/0</w:t>
            </w:r>
          </w:p>
        </w:tc>
        <w:tc>
          <w:tcPr>
            <w:tcW w:w="468" w:type="dxa"/>
            <w:vAlign w:val="bottom"/>
          </w:tcPr>
          <w:p w14:paraId="7A92C087" w14:textId="77777777" w:rsidR="001D5DDB" w:rsidRPr="00D272CC" w:rsidRDefault="001D5DDB" w:rsidP="001D5DDB">
            <w:pPr>
              <w:pStyle w:val="Tablesmall"/>
              <w:jc w:val="center"/>
            </w:pPr>
            <w:r w:rsidRPr="00D272CC">
              <w:t>2/1</w:t>
            </w:r>
          </w:p>
        </w:tc>
        <w:tc>
          <w:tcPr>
            <w:tcW w:w="468" w:type="dxa"/>
            <w:vAlign w:val="bottom"/>
          </w:tcPr>
          <w:p w14:paraId="6AF0F28D" w14:textId="77777777" w:rsidR="001D5DDB" w:rsidRPr="00D272CC" w:rsidRDefault="001D5DDB" w:rsidP="001D5DDB">
            <w:pPr>
              <w:pStyle w:val="Tablesmall"/>
              <w:jc w:val="center"/>
            </w:pPr>
            <w:r w:rsidRPr="00D272CC">
              <w:t>0/0</w:t>
            </w:r>
          </w:p>
        </w:tc>
        <w:tc>
          <w:tcPr>
            <w:tcW w:w="468" w:type="dxa"/>
            <w:vAlign w:val="bottom"/>
          </w:tcPr>
          <w:p w14:paraId="389600A3" w14:textId="77777777" w:rsidR="001D5DDB" w:rsidRPr="00D272CC" w:rsidRDefault="001D5DDB" w:rsidP="001D5DDB">
            <w:pPr>
              <w:pStyle w:val="Tablesmall"/>
              <w:jc w:val="center"/>
            </w:pPr>
            <w:r w:rsidRPr="00D272CC">
              <w:t>1/1</w:t>
            </w:r>
          </w:p>
        </w:tc>
        <w:tc>
          <w:tcPr>
            <w:tcW w:w="468" w:type="dxa"/>
            <w:vAlign w:val="bottom"/>
          </w:tcPr>
          <w:p w14:paraId="6DA338F7" w14:textId="77777777" w:rsidR="001D5DDB" w:rsidRPr="00D272CC" w:rsidRDefault="001D5DDB" w:rsidP="001D5DDB">
            <w:pPr>
              <w:pStyle w:val="Tablesmall"/>
              <w:jc w:val="center"/>
            </w:pPr>
            <w:r w:rsidRPr="00D272CC">
              <w:t>1/0</w:t>
            </w:r>
          </w:p>
        </w:tc>
        <w:tc>
          <w:tcPr>
            <w:tcW w:w="708" w:type="dxa"/>
            <w:vAlign w:val="bottom"/>
          </w:tcPr>
          <w:p w14:paraId="29CD4E13" w14:textId="77777777" w:rsidR="001D5DDB" w:rsidRPr="00D272CC" w:rsidRDefault="001D5DDB" w:rsidP="001D5DDB">
            <w:pPr>
              <w:pStyle w:val="Tablesmall"/>
              <w:jc w:val="center"/>
            </w:pPr>
            <w:r w:rsidRPr="00D272CC">
              <w:t>7/2</w:t>
            </w:r>
          </w:p>
        </w:tc>
      </w:tr>
      <w:tr w:rsidR="001D5DDB" w:rsidRPr="00D272CC" w14:paraId="4D7869A5" w14:textId="77777777" w:rsidTr="001D5DDB">
        <w:tc>
          <w:tcPr>
            <w:tcW w:w="709" w:type="dxa"/>
          </w:tcPr>
          <w:p w14:paraId="5665687E" w14:textId="77777777" w:rsidR="001D5DDB" w:rsidRPr="00D272CC" w:rsidRDefault="001D5DDB" w:rsidP="00F33403">
            <w:pPr>
              <w:pStyle w:val="Tablesmall"/>
              <w:jc w:val="center"/>
            </w:pPr>
          </w:p>
        </w:tc>
        <w:tc>
          <w:tcPr>
            <w:tcW w:w="2977" w:type="dxa"/>
          </w:tcPr>
          <w:p w14:paraId="0B669D8B" w14:textId="77777777" w:rsidR="001D5DDB" w:rsidRPr="00D272CC" w:rsidRDefault="001D5DDB" w:rsidP="00F33403">
            <w:pPr>
              <w:pStyle w:val="Tablesmall"/>
            </w:pPr>
            <w:r w:rsidRPr="00D272CC">
              <w:t>- from (b) to (a+b) / (a+b) to (b)</w:t>
            </w:r>
          </w:p>
        </w:tc>
        <w:tc>
          <w:tcPr>
            <w:tcW w:w="467" w:type="dxa"/>
            <w:vAlign w:val="bottom"/>
          </w:tcPr>
          <w:p w14:paraId="7AB682F5" w14:textId="77777777" w:rsidR="001D5DDB" w:rsidRPr="00D272CC" w:rsidRDefault="001D5DDB" w:rsidP="001D5DDB">
            <w:pPr>
              <w:pStyle w:val="Tablesmall"/>
              <w:jc w:val="center"/>
            </w:pPr>
            <w:r w:rsidRPr="00D272CC">
              <w:t>0/0</w:t>
            </w:r>
          </w:p>
        </w:tc>
        <w:tc>
          <w:tcPr>
            <w:tcW w:w="468" w:type="dxa"/>
            <w:vAlign w:val="bottom"/>
          </w:tcPr>
          <w:p w14:paraId="46CAEA50" w14:textId="77777777" w:rsidR="001D5DDB" w:rsidRPr="00D272CC" w:rsidRDefault="001D5DDB" w:rsidP="001D5DDB">
            <w:pPr>
              <w:pStyle w:val="Tablesmall"/>
              <w:jc w:val="center"/>
            </w:pPr>
            <w:r w:rsidRPr="00D272CC">
              <w:t>0/0</w:t>
            </w:r>
          </w:p>
        </w:tc>
        <w:tc>
          <w:tcPr>
            <w:tcW w:w="468" w:type="dxa"/>
            <w:vAlign w:val="bottom"/>
          </w:tcPr>
          <w:p w14:paraId="718BDBE5" w14:textId="77777777" w:rsidR="001D5DDB" w:rsidRPr="00D272CC" w:rsidRDefault="001D5DDB" w:rsidP="001D5DDB">
            <w:pPr>
              <w:pStyle w:val="Tablesmall"/>
              <w:jc w:val="center"/>
            </w:pPr>
            <w:r w:rsidRPr="00D272CC">
              <w:t>0/1</w:t>
            </w:r>
          </w:p>
        </w:tc>
        <w:tc>
          <w:tcPr>
            <w:tcW w:w="468" w:type="dxa"/>
            <w:vAlign w:val="bottom"/>
          </w:tcPr>
          <w:p w14:paraId="1D7FE26B" w14:textId="77777777" w:rsidR="001D5DDB" w:rsidRPr="00D272CC" w:rsidRDefault="001D5DDB" w:rsidP="001D5DDB">
            <w:pPr>
              <w:pStyle w:val="Tablesmall"/>
              <w:jc w:val="center"/>
            </w:pPr>
            <w:r w:rsidRPr="00D272CC">
              <w:t>1/1</w:t>
            </w:r>
          </w:p>
        </w:tc>
        <w:tc>
          <w:tcPr>
            <w:tcW w:w="468" w:type="dxa"/>
            <w:vAlign w:val="bottom"/>
          </w:tcPr>
          <w:p w14:paraId="4E1DF105" w14:textId="77777777" w:rsidR="001D5DDB" w:rsidRPr="00D272CC" w:rsidRDefault="001D5DDB" w:rsidP="001D5DDB">
            <w:pPr>
              <w:pStyle w:val="Tablesmall"/>
              <w:jc w:val="center"/>
            </w:pPr>
            <w:r w:rsidRPr="00D272CC">
              <w:t>0/2</w:t>
            </w:r>
          </w:p>
        </w:tc>
        <w:tc>
          <w:tcPr>
            <w:tcW w:w="467" w:type="dxa"/>
            <w:vAlign w:val="bottom"/>
          </w:tcPr>
          <w:p w14:paraId="6DB437F6" w14:textId="77777777" w:rsidR="001D5DDB" w:rsidRPr="00D272CC" w:rsidRDefault="001D5DDB" w:rsidP="001D5DDB">
            <w:pPr>
              <w:pStyle w:val="Tablesmall"/>
              <w:jc w:val="center"/>
            </w:pPr>
            <w:r w:rsidRPr="00D272CC">
              <w:t>1/1</w:t>
            </w:r>
          </w:p>
        </w:tc>
        <w:tc>
          <w:tcPr>
            <w:tcW w:w="468" w:type="dxa"/>
            <w:vAlign w:val="bottom"/>
          </w:tcPr>
          <w:p w14:paraId="35D3CED4" w14:textId="77777777" w:rsidR="001D5DDB" w:rsidRPr="00D272CC" w:rsidRDefault="001D5DDB" w:rsidP="001D5DDB">
            <w:pPr>
              <w:pStyle w:val="Tablesmall"/>
              <w:jc w:val="center"/>
            </w:pPr>
            <w:r w:rsidRPr="00D272CC">
              <w:t>3/1</w:t>
            </w:r>
          </w:p>
        </w:tc>
        <w:tc>
          <w:tcPr>
            <w:tcW w:w="468" w:type="dxa"/>
            <w:vAlign w:val="bottom"/>
          </w:tcPr>
          <w:p w14:paraId="19B27B9A" w14:textId="77777777" w:rsidR="001D5DDB" w:rsidRPr="00D272CC" w:rsidRDefault="001D5DDB" w:rsidP="001D5DDB">
            <w:pPr>
              <w:pStyle w:val="Tablesmall"/>
              <w:jc w:val="center"/>
            </w:pPr>
            <w:r w:rsidRPr="00D272CC">
              <w:t>0/0</w:t>
            </w:r>
          </w:p>
        </w:tc>
        <w:tc>
          <w:tcPr>
            <w:tcW w:w="468" w:type="dxa"/>
            <w:vAlign w:val="bottom"/>
          </w:tcPr>
          <w:p w14:paraId="6F3C7B97" w14:textId="77777777" w:rsidR="001D5DDB" w:rsidRPr="00D272CC" w:rsidRDefault="001D5DDB" w:rsidP="001D5DDB">
            <w:pPr>
              <w:pStyle w:val="Tablesmall"/>
              <w:jc w:val="center"/>
            </w:pPr>
            <w:r w:rsidRPr="00D272CC">
              <w:t>0/0</w:t>
            </w:r>
          </w:p>
        </w:tc>
        <w:tc>
          <w:tcPr>
            <w:tcW w:w="468" w:type="dxa"/>
            <w:vAlign w:val="bottom"/>
          </w:tcPr>
          <w:p w14:paraId="7E5E35FB" w14:textId="77777777" w:rsidR="001D5DDB" w:rsidRPr="00D272CC" w:rsidRDefault="001D5DDB" w:rsidP="001D5DDB">
            <w:pPr>
              <w:pStyle w:val="Tablesmall"/>
              <w:jc w:val="center"/>
            </w:pPr>
            <w:r w:rsidRPr="00D272CC">
              <w:t>1/1</w:t>
            </w:r>
          </w:p>
        </w:tc>
        <w:tc>
          <w:tcPr>
            <w:tcW w:w="708" w:type="dxa"/>
            <w:vAlign w:val="bottom"/>
          </w:tcPr>
          <w:p w14:paraId="7F49CE33" w14:textId="77777777" w:rsidR="001D5DDB" w:rsidRPr="00D272CC" w:rsidRDefault="001D5DDB" w:rsidP="001D5DDB">
            <w:pPr>
              <w:pStyle w:val="Tablesmall"/>
              <w:jc w:val="center"/>
            </w:pPr>
            <w:r w:rsidRPr="00D272CC">
              <w:t>6/7</w:t>
            </w:r>
          </w:p>
        </w:tc>
      </w:tr>
      <w:tr w:rsidR="001D5DDB" w:rsidRPr="00D272CC" w14:paraId="4396E7EA" w14:textId="77777777" w:rsidTr="001D5DDB">
        <w:tc>
          <w:tcPr>
            <w:tcW w:w="709" w:type="dxa"/>
          </w:tcPr>
          <w:p w14:paraId="1F79C72B" w14:textId="77777777" w:rsidR="001D5DDB" w:rsidRPr="00D272CC" w:rsidRDefault="001D5DDB" w:rsidP="00F33403">
            <w:pPr>
              <w:pStyle w:val="Tablesmall"/>
              <w:jc w:val="center"/>
            </w:pPr>
          </w:p>
        </w:tc>
        <w:tc>
          <w:tcPr>
            <w:tcW w:w="2977" w:type="dxa"/>
          </w:tcPr>
          <w:p w14:paraId="1DDA8980" w14:textId="77777777" w:rsidR="001D5DDB" w:rsidRPr="00D272CC" w:rsidRDefault="001D5DDB" w:rsidP="00F33403">
            <w:pPr>
              <w:pStyle w:val="Tablesmall"/>
            </w:pPr>
          </w:p>
        </w:tc>
        <w:tc>
          <w:tcPr>
            <w:tcW w:w="467" w:type="dxa"/>
            <w:vAlign w:val="bottom"/>
          </w:tcPr>
          <w:p w14:paraId="63D9B4E9" w14:textId="77777777" w:rsidR="001D5DDB" w:rsidRPr="00D272CC" w:rsidRDefault="001D5DDB" w:rsidP="001D5DDB">
            <w:pPr>
              <w:pStyle w:val="Tablesmall"/>
              <w:jc w:val="center"/>
            </w:pPr>
          </w:p>
        </w:tc>
        <w:tc>
          <w:tcPr>
            <w:tcW w:w="468" w:type="dxa"/>
            <w:vAlign w:val="bottom"/>
          </w:tcPr>
          <w:p w14:paraId="31FE3E70" w14:textId="77777777" w:rsidR="001D5DDB" w:rsidRPr="00D272CC" w:rsidRDefault="001D5DDB" w:rsidP="001D5DDB">
            <w:pPr>
              <w:pStyle w:val="Tablesmall"/>
              <w:jc w:val="center"/>
            </w:pPr>
          </w:p>
        </w:tc>
        <w:tc>
          <w:tcPr>
            <w:tcW w:w="468" w:type="dxa"/>
            <w:vAlign w:val="bottom"/>
          </w:tcPr>
          <w:p w14:paraId="01AE28D5" w14:textId="77777777" w:rsidR="001D5DDB" w:rsidRPr="00D272CC" w:rsidRDefault="001D5DDB" w:rsidP="001D5DDB">
            <w:pPr>
              <w:pStyle w:val="Tablesmall"/>
              <w:jc w:val="center"/>
            </w:pPr>
          </w:p>
        </w:tc>
        <w:tc>
          <w:tcPr>
            <w:tcW w:w="468" w:type="dxa"/>
            <w:vAlign w:val="bottom"/>
          </w:tcPr>
          <w:p w14:paraId="11611433" w14:textId="77777777" w:rsidR="001D5DDB" w:rsidRPr="00D272CC" w:rsidRDefault="001D5DDB" w:rsidP="001D5DDB">
            <w:pPr>
              <w:pStyle w:val="Tablesmall"/>
              <w:jc w:val="center"/>
            </w:pPr>
          </w:p>
        </w:tc>
        <w:tc>
          <w:tcPr>
            <w:tcW w:w="468" w:type="dxa"/>
            <w:vAlign w:val="bottom"/>
          </w:tcPr>
          <w:p w14:paraId="5450B16F" w14:textId="77777777" w:rsidR="001D5DDB" w:rsidRPr="00D272CC" w:rsidRDefault="001D5DDB" w:rsidP="001D5DDB">
            <w:pPr>
              <w:pStyle w:val="Tablesmall"/>
              <w:jc w:val="center"/>
            </w:pPr>
          </w:p>
        </w:tc>
        <w:tc>
          <w:tcPr>
            <w:tcW w:w="467" w:type="dxa"/>
            <w:vAlign w:val="bottom"/>
          </w:tcPr>
          <w:p w14:paraId="36B3D60D" w14:textId="77777777" w:rsidR="001D5DDB" w:rsidRPr="00D272CC" w:rsidRDefault="001D5DDB" w:rsidP="001D5DDB">
            <w:pPr>
              <w:pStyle w:val="Tablesmall"/>
              <w:jc w:val="center"/>
            </w:pPr>
          </w:p>
        </w:tc>
        <w:tc>
          <w:tcPr>
            <w:tcW w:w="468" w:type="dxa"/>
            <w:vAlign w:val="bottom"/>
          </w:tcPr>
          <w:p w14:paraId="2C278BB0" w14:textId="77777777" w:rsidR="001D5DDB" w:rsidRPr="00D272CC" w:rsidRDefault="001D5DDB" w:rsidP="001D5DDB">
            <w:pPr>
              <w:pStyle w:val="Tablesmall"/>
              <w:jc w:val="center"/>
            </w:pPr>
          </w:p>
        </w:tc>
        <w:tc>
          <w:tcPr>
            <w:tcW w:w="468" w:type="dxa"/>
            <w:vAlign w:val="bottom"/>
          </w:tcPr>
          <w:p w14:paraId="0426A60C" w14:textId="77777777" w:rsidR="001D5DDB" w:rsidRPr="00D272CC" w:rsidRDefault="001D5DDB" w:rsidP="001D5DDB">
            <w:pPr>
              <w:pStyle w:val="Tablesmall"/>
              <w:jc w:val="center"/>
            </w:pPr>
          </w:p>
        </w:tc>
        <w:tc>
          <w:tcPr>
            <w:tcW w:w="468" w:type="dxa"/>
            <w:vAlign w:val="bottom"/>
          </w:tcPr>
          <w:p w14:paraId="59BCDC4C" w14:textId="77777777" w:rsidR="001D5DDB" w:rsidRPr="00D272CC" w:rsidRDefault="001D5DDB" w:rsidP="001D5DDB">
            <w:pPr>
              <w:pStyle w:val="Tablesmall"/>
              <w:jc w:val="center"/>
            </w:pPr>
          </w:p>
        </w:tc>
        <w:tc>
          <w:tcPr>
            <w:tcW w:w="468" w:type="dxa"/>
            <w:vAlign w:val="bottom"/>
          </w:tcPr>
          <w:p w14:paraId="3D5C2374" w14:textId="77777777" w:rsidR="001D5DDB" w:rsidRPr="00D272CC" w:rsidRDefault="001D5DDB" w:rsidP="001D5DDB">
            <w:pPr>
              <w:pStyle w:val="Tablesmall"/>
              <w:jc w:val="center"/>
            </w:pPr>
          </w:p>
        </w:tc>
        <w:tc>
          <w:tcPr>
            <w:tcW w:w="708" w:type="dxa"/>
            <w:vAlign w:val="bottom"/>
          </w:tcPr>
          <w:p w14:paraId="12C8FCCC" w14:textId="77777777" w:rsidR="001D5DDB" w:rsidRPr="00D272CC" w:rsidRDefault="001D5DDB" w:rsidP="001D5DDB">
            <w:pPr>
              <w:pStyle w:val="Tablesmall"/>
              <w:jc w:val="center"/>
            </w:pPr>
          </w:p>
        </w:tc>
      </w:tr>
      <w:tr w:rsidR="001D5DDB" w:rsidRPr="00D272CC" w14:paraId="6B837396" w14:textId="77777777" w:rsidTr="001D5DDB">
        <w:tc>
          <w:tcPr>
            <w:tcW w:w="709" w:type="dxa"/>
          </w:tcPr>
          <w:p w14:paraId="0F4BD2A1" w14:textId="77777777" w:rsidR="001D5DDB" w:rsidRPr="00D272CC" w:rsidRDefault="001D5DDB" w:rsidP="00F33403">
            <w:pPr>
              <w:pStyle w:val="Tablesmall"/>
              <w:jc w:val="center"/>
            </w:pPr>
            <w:r w:rsidRPr="00D272CC">
              <w:t>15</w:t>
            </w:r>
          </w:p>
        </w:tc>
        <w:tc>
          <w:tcPr>
            <w:tcW w:w="2977" w:type="dxa"/>
          </w:tcPr>
          <w:p w14:paraId="6ADC1D10" w14:textId="77777777" w:rsidR="001D5DDB" w:rsidRPr="00D272CC" w:rsidRDefault="001D5DDB" w:rsidP="00F33403">
            <w:pPr>
              <w:pStyle w:val="Tablesmall"/>
            </w:pPr>
            <w:r w:rsidRPr="00D272CC">
              <w:t>Treatment of actuarial gains/losses</w:t>
            </w:r>
          </w:p>
        </w:tc>
        <w:tc>
          <w:tcPr>
            <w:tcW w:w="467" w:type="dxa"/>
            <w:vAlign w:val="bottom"/>
          </w:tcPr>
          <w:p w14:paraId="1953DFF5" w14:textId="77777777" w:rsidR="001D5DDB" w:rsidRPr="00D272CC" w:rsidRDefault="001D5DDB" w:rsidP="001D5DDB">
            <w:pPr>
              <w:pStyle w:val="Tablesmall"/>
              <w:jc w:val="center"/>
            </w:pPr>
            <w:r w:rsidRPr="00D272CC">
              <w:t>4</w:t>
            </w:r>
          </w:p>
        </w:tc>
        <w:tc>
          <w:tcPr>
            <w:tcW w:w="468" w:type="dxa"/>
            <w:vAlign w:val="bottom"/>
          </w:tcPr>
          <w:p w14:paraId="41C37845" w14:textId="77777777" w:rsidR="001D5DDB" w:rsidRPr="00D272CC" w:rsidRDefault="001D5DDB" w:rsidP="001D5DDB">
            <w:pPr>
              <w:pStyle w:val="Tablesmall"/>
              <w:jc w:val="center"/>
            </w:pPr>
            <w:r w:rsidRPr="00D272CC">
              <w:t>5</w:t>
            </w:r>
          </w:p>
        </w:tc>
        <w:tc>
          <w:tcPr>
            <w:tcW w:w="468" w:type="dxa"/>
            <w:vAlign w:val="bottom"/>
          </w:tcPr>
          <w:p w14:paraId="02E9C6BD" w14:textId="77777777" w:rsidR="001D5DDB" w:rsidRPr="00D272CC" w:rsidRDefault="001D5DDB" w:rsidP="001D5DDB">
            <w:pPr>
              <w:pStyle w:val="Tablesmall"/>
              <w:jc w:val="center"/>
            </w:pPr>
            <w:r w:rsidRPr="00D272CC">
              <w:t>3</w:t>
            </w:r>
          </w:p>
        </w:tc>
        <w:tc>
          <w:tcPr>
            <w:tcW w:w="468" w:type="dxa"/>
            <w:vAlign w:val="bottom"/>
          </w:tcPr>
          <w:p w14:paraId="5D79E1B4" w14:textId="77777777" w:rsidR="001D5DDB" w:rsidRPr="00D272CC" w:rsidRDefault="001D5DDB" w:rsidP="001D5DDB">
            <w:pPr>
              <w:pStyle w:val="Tablesmall"/>
              <w:jc w:val="center"/>
            </w:pPr>
            <w:r w:rsidRPr="00D272CC">
              <w:t>9</w:t>
            </w:r>
          </w:p>
        </w:tc>
        <w:tc>
          <w:tcPr>
            <w:tcW w:w="468" w:type="dxa"/>
            <w:vAlign w:val="bottom"/>
          </w:tcPr>
          <w:p w14:paraId="27D49434" w14:textId="77777777" w:rsidR="001D5DDB" w:rsidRPr="00D272CC" w:rsidRDefault="001D5DDB" w:rsidP="001D5DDB">
            <w:pPr>
              <w:pStyle w:val="Tablesmall"/>
              <w:jc w:val="center"/>
            </w:pPr>
            <w:r w:rsidRPr="00D272CC">
              <w:t>9</w:t>
            </w:r>
          </w:p>
        </w:tc>
        <w:tc>
          <w:tcPr>
            <w:tcW w:w="467" w:type="dxa"/>
            <w:vAlign w:val="bottom"/>
          </w:tcPr>
          <w:p w14:paraId="21466942" w14:textId="77777777" w:rsidR="001D5DDB" w:rsidRPr="00D272CC" w:rsidRDefault="001D5DDB" w:rsidP="001D5DDB">
            <w:pPr>
              <w:pStyle w:val="Tablesmall"/>
              <w:jc w:val="center"/>
            </w:pPr>
            <w:r w:rsidRPr="00D272CC">
              <w:t>17</w:t>
            </w:r>
          </w:p>
        </w:tc>
        <w:tc>
          <w:tcPr>
            <w:tcW w:w="468" w:type="dxa"/>
            <w:vAlign w:val="bottom"/>
          </w:tcPr>
          <w:p w14:paraId="2540BEB4" w14:textId="77777777" w:rsidR="001D5DDB" w:rsidRPr="00D272CC" w:rsidRDefault="001D5DDB" w:rsidP="001D5DDB">
            <w:pPr>
              <w:pStyle w:val="Tablesmall"/>
              <w:jc w:val="center"/>
            </w:pPr>
            <w:r w:rsidRPr="00D272CC">
              <w:t>3</w:t>
            </w:r>
          </w:p>
        </w:tc>
        <w:tc>
          <w:tcPr>
            <w:tcW w:w="468" w:type="dxa"/>
            <w:vAlign w:val="bottom"/>
          </w:tcPr>
          <w:p w14:paraId="3FE0BBEF" w14:textId="77777777" w:rsidR="001D5DDB" w:rsidRPr="00D272CC" w:rsidRDefault="001D5DDB" w:rsidP="001D5DDB">
            <w:pPr>
              <w:pStyle w:val="Tablesmall"/>
              <w:jc w:val="center"/>
            </w:pPr>
            <w:r w:rsidRPr="00D272CC">
              <w:t>3</w:t>
            </w:r>
          </w:p>
        </w:tc>
        <w:tc>
          <w:tcPr>
            <w:tcW w:w="468" w:type="dxa"/>
            <w:vAlign w:val="bottom"/>
          </w:tcPr>
          <w:p w14:paraId="2B9690AC" w14:textId="77777777" w:rsidR="001D5DDB" w:rsidRPr="00D272CC" w:rsidRDefault="001D5DDB" w:rsidP="001D5DDB">
            <w:pPr>
              <w:pStyle w:val="Tablesmall"/>
              <w:jc w:val="center"/>
            </w:pPr>
            <w:r w:rsidRPr="00D272CC">
              <w:t>8</w:t>
            </w:r>
          </w:p>
        </w:tc>
        <w:tc>
          <w:tcPr>
            <w:tcW w:w="468" w:type="dxa"/>
            <w:vAlign w:val="bottom"/>
          </w:tcPr>
          <w:p w14:paraId="4A38EFF3" w14:textId="77777777" w:rsidR="001D5DDB" w:rsidRPr="00D272CC" w:rsidRDefault="001D5DDB" w:rsidP="001D5DDB">
            <w:pPr>
              <w:pStyle w:val="Tablesmall"/>
              <w:jc w:val="center"/>
            </w:pPr>
            <w:r w:rsidRPr="00D272CC">
              <w:t>3</w:t>
            </w:r>
          </w:p>
        </w:tc>
        <w:tc>
          <w:tcPr>
            <w:tcW w:w="708" w:type="dxa"/>
            <w:vAlign w:val="bottom"/>
          </w:tcPr>
          <w:p w14:paraId="055A127A" w14:textId="77777777" w:rsidR="001D5DDB" w:rsidRPr="00D272CC" w:rsidRDefault="001D5DDB" w:rsidP="001D5DDB">
            <w:pPr>
              <w:pStyle w:val="Tablesmall"/>
              <w:jc w:val="center"/>
            </w:pPr>
            <w:r w:rsidRPr="00D272CC">
              <w:t>64 (33)</w:t>
            </w:r>
          </w:p>
        </w:tc>
      </w:tr>
      <w:tr w:rsidR="001D5DDB" w:rsidRPr="00D272CC" w14:paraId="3A89FA88" w14:textId="77777777" w:rsidTr="001D5DDB">
        <w:tc>
          <w:tcPr>
            <w:tcW w:w="709" w:type="dxa"/>
          </w:tcPr>
          <w:p w14:paraId="2CF63435" w14:textId="77777777" w:rsidR="001D5DDB" w:rsidRPr="00D272CC" w:rsidRDefault="001D5DDB" w:rsidP="00F33403">
            <w:pPr>
              <w:pStyle w:val="Tablesmall"/>
              <w:jc w:val="center"/>
            </w:pPr>
          </w:p>
        </w:tc>
        <w:tc>
          <w:tcPr>
            <w:tcW w:w="2977" w:type="dxa"/>
          </w:tcPr>
          <w:p w14:paraId="7C3DB2B0" w14:textId="77777777" w:rsidR="001D5DDB" w:rsidRPr="00D272CC" w:rsidRDefault="001D5DDB" w:rsidP="00F33403">
            <w:pPr>
              <w:pStyle w:val="Tablesmall"/>
            </w:pPr>
            <w:r w:rsidRPr="00D272CC">
              <w:t>- from (a) to (b) / (b) to (a)</w:t>
            </w:r>
          </w:p>
        </w:tc>
        <w:tc>
          <w:tcPr>
            <w:tcW w:w="467" w:type="dxa"/>
            <w:vAlign w:val="bottom"/>
          </w:tcPr>
          <w:p w14:paraId="65FCF72E" w14:textId="77777777" w:rsidR="001D5DDB" w:rsidRPr="00D272CC" w:rsidRDefault="001D5DDB" w:rsidP="001D5DDB">
            <w:pPr>
              <w:pStyle w:val="Tablesmall"/>
              <w:jc w:val="center"/>
            </w:pPr>
            <w:r w:rsidRPr="00D272CC">
              <w:t>0/1</w:t>
            </w:r>
          </w:p>
        </w:tc>
        <w:tc>
          <w:tcPr>
            <w:tcW w:w="468" w:type="dxa"/>
            <w:vAlign w:val="bottom"/>
          </w:tcPr>
          <w:p w14:paraId="34A3999F" w14:textId="77777777" w:rsidR="001D5DDB" w:rsidRPr="00D272CC" w:rsidRDefault="001D5DDB" w:rsidP="001D5DDB">
            <w:pPr>
              <w:pStyle w:val="Tablesmall"/>
              <w:jc w:val="center"/>
            </w:pPr>
            <w:r w:rsidRPr="00D272CC">
              <w:t>0/5</w:t>
            </w:r>
          </w:p>
        </w:tc>
        <w:tc>
          <w:tcPr>
            <w:tcW w:w="468" w:type="dxa"/>
            <w:vAlign w:val="bottom"/>
          </w:tcPr>
          <w:p w14:paraId="0349308C" w14:textId="77777777" w:rsidR="001D5DDB" w:rsidRPr="00D272CC" w:rsidRDefault="001D5DDB" w:rsidP="001D5DDB">
            <w:pPr>
              <w:pStyle w:val="Tablesmall"/>
              <w:jc w:val="center"/>
            </w:pPr>
            <w:r w:rsidRPr="00D272CC">
              <w:t>0/1</w:t>
            </w:r>
          </w:p>
        </w:tc>
        <w:tc>
          <w:tcPr>
            <w:tcW w:w="468" w:type="dxa"/>
            <w:vAlign w:val="bottom"/>
          </w:tcPr>
          <w:p w14:paraId="29D81EC9" w14:textId="77777777" w:rsidR="001D5DDB" w:rsidRPr="00D272CC" w:rsidRDefault="001D5DDB" w:rsidP="001D5DDB">
            <w:pPr>
              <w:pStyle w:val="Tablesmall"/>
              <w:jc w:val="center"/>
            </w:pPr>
            <w:r w:rsidRPr="00D272CC">
              <w:t>0/9</w:t>
            </w:r>
          </w:p>
        </w:tc>
        <w:tc>
          <w:tcPr>
            <w:tcW w:w="468" w:type="dxa"/>
            <w:vAlign w:val="bottom"/>
          </w:tcPr>
          <w:p w14:paraId="6321DA23" w14:textId="77777777" w:rsidR="001D5DDB" w:rsidRPr="00D272CC" w:rsidRDefault="001D5DDB" w:rsidP="001D5DDB">
            <w:pPr>
              <w:pStyle w:val="Tablesmall"/>
              <w:jc w:val="center"/>
            </w:pPr>
            <w:r w:rsidRPr="00D272CC">
              <w:t>0/4</w:t>
            </w:r>
          </w:p>
        </w:tc>
        <w:tc>
          <w:tcPr>
            <w:tcW w:w="467" w:type="dxa"/>
            <w:vAlign w:val="bottom"/>
          </w:tcPr>
          <w:p w14:paraId="24BA6EBF" w14:textId="77777777" w:rsidR="001D5DDB" w:rsidRPr="00D272CC" w:rsidRDefault="001D5DDB" w:rsidP="001D5DDB">
            <w:pPr>
              <w:pStyle w:val="Tablesmall"/>
              <w:jc w:val="center"/>
            </w:pPr>
            <w:r w:rsidRPr="00D272CC">
              <w:t>0/16</w:t>
            </w:r>
          </w:p>
        </w:tc>
        <w:tc>
          <w:tcPr>
            <w:tcW w:w="468" w:type="dxa"/>
            <w:vAlign w:val="bottom"/>
          </w:tcPr>
          <w:p w14:paraId="1F375CCC" w14:textId="77777777" w:rsidR="001D5DDB" w:rsidRPr="00D272CC" w:rsidRDefault="001D5DDB" w:rsidP="001D5DDB">
            <w:pPr>
              <w:pStyle w:val="Tablesmall"/>
              <w:jc w:val="center"/>
            </w:pPr>
            <w:r w:rsidRPr="00D272CC">
              <w:t>1/2</w:t>
            </w:r>
          </w:p>
        </w:tc>
        <w:tc>
          <w:tcPr>
            <w:tcW w:w="468" w:type="dxa"/>
            <w:vAlign w:val="bottom"/>
          </w:tcPr>
          <w:p w14:paraId="29EFB58F" w14:textId="77777777" w:rsidR="001D5DDB" w:rsidRPr="00D272CC" w:rsidRDefault="001D5DDB" w:rsidP="001D5DDB">
            <w:pPr>
              <w:pStyle w:val="Tablesmall"/>
              <w:jc w:val="center"/>
            </w:pPr>
            <w:r w:rsidRPr="00D272CC">
              <w:t>0/2</w:t>
            </w:r>
          </w:p>
        </w:tc>
        <w:tc>
          <w:tcPr>
            <w:tcW w:w="468" w:type="dxa"/>
            <w:vAlign w:val="bottom"/>
          </w:tcPr>
          <w:p w14:paraId="6C14F24F" w14:textId="77777777" w:rsidR="001D5DDB" w:rsidRPr="00D272CC" w:rsidRDefault="001D5DDB" w:rsidP="001D5DDB">
            <w:pPr>
              <w:pStyle w:val="Tablesmall"/>
              <w:jc w:val="center"/>
            </w:pPr>
            <w:r w:rsidRPr="00D272CC">
              <w:t>1/4</w:t>
            </w:r>
          </w:p>
        </w:tc>
        <w:tc>
          <w:tcPr>
            <w:tcW w:w="468" w:type="dxa"/>
            <w:vAlign w:val="bottom"/>
          </w:tcPr>
          <w:p w14:paraId="7AA0A5D9" w14:textId="77777777" w:rsidR="001D5DDB" w:rsidRPr="00D272CC" w:rsidRDefault="001D5DDB" w:rsidP="001D5DDB">
            <w:pPr>
              <w:pStyle w:val="Tablesmall"/>
              <w:jc w:val="center"/>
            </w:pPr>
            <w:r w:rsidRPr="00D272CC">
              <w:t>0/2</w:t>
            </w:r>
          </w:p>
        </w:tc>
        <w:tc>
          <w:tcPr>
            <w:tcW w:w="708" w:type="dxa"/>
            <w:vAlign w:val="bottom"/>
          </w:tcPr>
          <w:p w14:paraId="00077E6E" w14:textId="77777777" w:rsidR="001D5DDB" w:rsidRPr="00D272CC" w:rsidRDefault="001D5DDB" w:rsidP="001D5DDB">
            <w:pPr>
              <w:pStyle w:val="Tablesmall"/>
              <w:jc w:val="center"/>
            </w:pPr>
            <w:r w:rsidRPr="00D272CC">
              <w:t>2/46</w:t>
            </w:r>
          </w:p>
        </w:tc>
      </w:tr>
      <w:tr w:rsidR="001D5DDB" w:rsidRPr="00D272CC" w14:paraId="396F1536" w14:textId="77777777" w:rsidTr="001D5DDB">
        <w:tc>
          <w:tcPr>
            <w:tcW w:w="709" w:type="dxa"/>
          </w:tcPr>
          <w:p w14:paraId="5A5D1291" w14:textId="77777777" w:rsidR="001D5DDB" w:rsidRPr="00D272CC" w:rsidRDefault="001D5DDB" w:rsidP="00F33403">
            <w:pPr>
              <w:pStyle w:val="Tablesmall"/>
              <w:jc w:val="center"/>
            </w:pPr>
          </w:p>
        </w:tc>
        <w:tc>
          <w:tcPr>
            <w:tcW w:w="2977" w:type="dxa"/>
          </w:tcPr>
          <w:p w14:paraId="3F9E2004" w14:textId="77777777" w:rsidR="001D5DDB" w:rsidRPr="00D272CC" w:rsidRDefault="001D5DDB" w:rsidP="00F33403">
            <w:pPr>
              <w:pStyle w:val="Tablesmall"/>
            </w:pPr>
            <w:r w:rsidRPr="00D272CC">
              <w:t>- from (a) to (c) / (c) to (a)</w:t>
            </w:r>
          </w:p>
        </w:tc>
        <w:tc>
          <w:tcPr>
            <w:tcW w:w="467" w:type="dxa"/>
            <w:vAlign w:val="bottom"/>
          </w:tcPr>
          <w:p w14:paraId="303EFD0A" w14:textId="77777777" w:rsidR="001D5DDB" w:rsidRPr="00D272CC" w:rsidRDefault="001D5DDB" w:rsidP="001D5DDB">
            <w:pPr>
              <w:pStyle w:val="Tablesmall"/>
              <w:jc w:val="center"/>
            </w:pPr>
            <w:r w:rsidRPr="00D272CC">
              <w:t>0/3</w:t>
            </w:r>
          </w:p>
        </w:tc>
        <w:tc>
          <w:tcPr>
            <w:tcW w:w="468" w:type="dxa"/>
            <w:vAlign w:val="bottom"/>
          </w:tcPr>
          <w:p w14:paraId="7B7E3C53" w14:textId="77777777" w:rsidR="001D5DDB" w:rsidRPr="00D272CC" w:rsidRDefault="001D5DDB" w:rsidP="001D5DDB">
            <w:pPr>
              <w:pStyle w:val="Tablesmall"/>
              <w:jc w:val="center"/>
            </w:pPr>
            <w:r w:rsidRPr="00D272CC">
              <w:t>0/0</w:t>
            </w:r>
          </w:p>
        </w:tc>
        <w:tc>
          <w:tcPr>
            <w:tcW w:w="468" w:type="dxa"/>
            <w:vAlign w:val="bottom"/>
          </w:tcPr>
          <w:p w14:paraId="34DD383C" w14:textId="77777777" w:rsidR="001D5DDB" w:rsidRPr="00D272CC" w:rsidRDefault="001D5DDB" w:rsidP="001D5DDB">
            <w:pPr>
              <w:pStyle w:val="Tablesmall"/>
              <w:jc w:val="center"/>
            </w:pPr>
            <w:r w:rsidRPr="00D272CC">
              <w:t>1/1</w:t>
            </w:r>
          </w:p>
        </w:tc>
        <w:tc>
          <w:tcPr>
            <w:tcW w:w="468" w:type="dxa"/>
            <w:vAlign w:val="bottom"/>
          </w:tcPr>
          <w:p w14:paraId="25C327D8" w14:textId="77777777" w:rsidR="001D5DDB" w:rsidRPr="00D272CC" w:rsidRDefault="001D5DDB" w:rsidP="001D5DDB">
            <w:pPr>
              <w:pStyle w:val="Tablesmall"/>
              <w:jc w:val="center"/>
            </w:pPr>
            <w:r w:rsidRPr="00D272CC">
              <w:t>0/0</w:t>
            </w:r>
          </w:p>
        </w:tc>
        <w:tc>
          <w:tcPr>
            <w:tcW w:w="468" w:type="dxa"/>
            <w:vAlign w:val="bottom"/>
          </w:tcPr>
          <w:p w14:paraId="4ADC5F56" w14:textId="77777777" w:rsidR="001D5DDB" w:rsidRPr="00D272CC" w:rsidRDefault="001D5DDB" w:rsidP="001D5DDB">
            <w:pPr>
              <w:pStyle w:val="Tablesmall"/>
              <w:jc w:val="center"/>
            </w:pPr>
            <w:r w:rsidRPr="00D272CC">
              <w:t>0/5</w:t>
            </w:r>
          </w:p>
        </w:tc>
        <w:tc>
          <w:tcPr>
            <w:tcW w:w="467" w:type="dxa"/>
            <w:vAlign w:val="bottom"/>
          </w:tcPr>
          <w:p w14:paraId="0342463B" w14:textId="77777777" w:rsidR="001D5DDB" w:rsidRPr="00D272CC" w:rsidRDefault="001D5DDB" w:rsidP="001D5DDB">
            <w:pPr>
              <w:pStyle w:val="Tablesmall"/>
              <w:jc w:val="center"/>
            </w:pPr>
            <w:r w:rsidRPr="00D272CC">
              <w:t>0/1</w:t>
            </w:r>
          </w:p>
        </w:tc>
        <w:tc>
          <w:tcPr>
            <w:tcW w:w="468" w:type="dxa"/>
            <w:vAlign w:val="bottom"/>
          </w:tcPr>
          <w:p w14:paraId="208CECB3" w14:textId="77777777" w:rsidR="001D5DDB" w:rsidRPr="00D272CC" w:rsidRDefault="001D5DDB" w:rsidP="001D5DDB">
            <w:pPr>
              <w:pStyle w:val="Tablesmall"/>
              <w:jc w:val="center"/>
            </w:pPr>
            <w:r w:rsidRPr="00D272CC">
              <w:t>0/0</w:t>
            </w:r>
          </w:p>
        </w:tc>
        <w:tc>
          <w:tcPr>
            <w:tcW w:w="468" w:type="dxa"/>
            <w:vAlign w:val="bottom"/>
          </w:tcPr>
          <w:p w14:paraId="59614966" w14:textId="77777777" w:rsidR="001D5DDB" w:rsidRPr="00D272CC" w:rsidRDefault="001D5DDB" w:rsidP="001D5DDB">
            <w:pPr>
              <w:pStyle w:val="Tablesmall"/>
              <w:jc w:val="center"/>
            </w:pPr>
            <w:r w:rsidRPr="00D272CC">
              <w:t>0/1</w:t>
            </w:r>
          </w:p>
        </w:tc>
        <w:tc>
          <w:tcPr>
            <w:tcW w:w="468" w:type="dxa"/>
            <w:vAlign w:val="bottom"/>
          </w:tcPr>
          <w:p w14:paraId="0449ABA5" w14:textId="77777777" w:rsidR="001D5DDB" w:rsidRPr="00D272CC" w:rsidRDefault="001D5DDB" w:rsidP="001D5DDB">
            <w:pPr>
              <w:pStyle w:val="Tablesmall"/>
              <w:jc w:val="center"/>
            </w:pPr>
            <w:r w:rsidRPr="00D272CC">
              <w:t>0/1</w:t>
            </w:r>
          </w:p>
        </w:tc>
        <w:tc>
          <w:tcPr>
            <w:tcW w:w="468" w:type="dxa"/>
            <w:vAlign w:val="bottom"/>
          </w:tcPr>
          <w:p w14:paraId="194A8766" w14:textId="77777777" w:rsidR="001D5DDB" w:rsidRPr="00D272CC" w:rsidRDefault="001D5DDB" w:rsidP="001D5DDB">
            <w:pPr>
              <w:pStyle w:val="Tablesmall"/>
              <w:jc w:val="center"/>
            </w:pPr>
            <w:r w:rsidRPr="00D272CC">
              <w:t>0/1</w:t>
            </w:r>
          </w:p>
        </w:tc>
        <w:tc>
          <w:tcPr>
            <w:tcW w:w="708" w:type="dxa"/>
            <w:vAlign w:val="bottom"/>
          </w:tcPr>
          <w:p w14:paraId="5B391F35" w14:textId="77777777" w:rsidR="001D5DDB" w:rsidRPr="00D272CC" w:rsidRDefault="001D5DDB" w:rsidP="001D5DDB">
            <w:pPr>
              <w:pStyle w:val="Tablesmall"/>
              <w:jc w:val="center"/>
            </w:pPr>
            <w:r w:rsidRPr="00D272CC">
              <w:t>1/13</w:t>
            </w:r>
          </w:p>
        </w:tc>
      </w:tr>
      <w:tr w:rsidR="001D5DDB" w:rsidRPr="00D272CC" w14:paraId="1A6A97C6" w14:textId="77777777" w:rsidTr="001D5DDB">
        <w:tc>
          <w:tcPr>
            <w:tcW w:w="709" w:type="dxa"/>
          </w:tcPr>
          <w:p w14:paraId="758D941A" w14:textId="77777777" w:rsidR="001D5DDB" w:rsidRPr="00D272CC" w:rsidRDefault="001D5DDB" w:rsidP="00F33403">
            <w:pPr>
              <w:pStyle w:val="Tablesmall"/>
              <w:jc w:val="center"/>
            </w:pPr>
          </w:p>
        </w:tc>
        <w:tc>
          <w:tcPr>
            <w:tcW w:w="2977" w:type="dxa"/>
          </w:tcPr>
          <w:p w14:paraId="5377A154" w14:textId="77777777" w:rsidR="001D5DDB" w:rsidRPr="00D272CC" w:rsidRDefault="001D5DDB" w:rsidP="00F33403">
            <w:pPr>
              <w:pStyle w:val="Tablesmall"/>
            </w:pPr>
            <w:r w:rsidRPr="00D272CC">
              <w:t>- from (b) to (c) / (c) to (b)</w:t>
            </w:r>
          </w:p>
        </w:tc>
        <w:tc>
          <w:tcPr>
            <w:tcW w:w="467" w:type="dxa"/>
            <w:vAlign w:val="bottom"/>
          </w:tcPr>
          <w:p w14:paraId="2F750555" w14:textId="77777777" w:rsidR="001D5DDB" w:rsidRPr="00D272CC" w:rsidRDefault="001D5DDB" w:rsidP="001D5DDB">
            <w:pPr>
              <w:pStyle w:val="Tablesmall"/>
              <w:jc w:val="center"/>
            </w:pPr>
            <w:r w:rsidRPr="00D272CC">
              <w:t>0/0</w:t>
            </w:r>
          </w:p>
        </w:tc>
        <w:tc>
          <w:tcPr>
            <w:tcW w:w="468" w:type="dxa"/>
            <w:vAlign w:val="bottom"/>
          </w:tcPr>
          <w:p w14:paraId="375A6459" w14:textId="77777777" w:rsidR="001D5DDB" w:rsidRPr="00D272CC" w:rsidRDefault="001D5DDB" w:rsidP="001D5DDB">
            <w:pPr>
              <w:pStyle w:val="Tablesmall"/>
              <w:jc w:val="center"/>
            </w:pPr>
            <w:r w:rsidRPr="00D272CC">
              <w:t>0/0</w:t>
            </w:r>
          </w:p>
        </w:tc>
        <w:tc>
          <w:tcPr>
            <w:tcW w:w="468" w:type="dxa"/>
            <w:vAlign w:val="bottom"/>
          </w:tcPr>
          <w:p w14:paraId="21C87556" w14:textId="77777777" w:rsidR="001D5DDB" w:rsidRPr="00D272CC" w:rsidRDefault="001D5DDB" w:rsidP="001D5DDB">
            <w:pPr>
              <w:pStyle w:val="Tablesmall"/>
              <w:jc w:val="center"/>
            </w:pPr>
            <w:r w:rsidRPr="00D272CC">
              <w:t>0/0</w:t>
            </w:r>
          </w:p>
        </w:tc>
        <w:tc>
          <w:tcPr>
            <w:tcW w:w="468" w:type="dxa"/>
            <w:vAlign w:val="bottom"/>
          </w:tcPr>
          <w:p w14:paraId="224A3744" w14:textId="77777777" w:rsidR="001D5DDB" w:rsidRPr="00D272CC" w:rsidRDefault="001D5DDB" w:rsidP="001D5DDB">
            <w:pPr>
              <w:pStyle w:val="Tablesmall"/>
              <w:jc w:val="center"/>
            </w:pPr>
            <w:r w:rsidRPr="00D272CC">
              <w:t>0/0</w:t>
            </w:r>
          </w:p>
        </w:tc>
        <w:tc>
          <w:tcPr>
            <w:tcW w:w="468" w:type="dxa"/>
            <w:vAlign w:val="bottom"/>
          </w:tcPr>
          <w:p w14:paraId="1436E913" w14:textId="77777777" w:rsidR="001D5DDB" w:rsidRPr="00D272CC" w:rsidRDefault="001D5DDB" w:rsidP="001D5DDB">
            <w:pPr>
              <w:pStyle w:val="Tablesmall"/>
              <w:jc w:val="center"/>
            </w:pPr>
            <w:r w:rsidRPr="00D272CC">
              <w:t>0/0</w:t>
            </w:r>
          </w:p>
        </w:tc>
        <w:tc>
          <w:tcPr>
            <w:tcW w:w="467" w:type="dxa"/>
            <w:vAlign w:val="bottom"/>
          </w:tcPr>
          <w:p w14:paraId="19982850" w14:textId="77777777" w:rsidR="001D5DDB" w:rsidRPr="00D272CC" w:rsidRDefault="001D5DDB" w:rsidP="001D5DDB">
            <w:pPr>
              <w:pStyle w:val="Tablesmall"/>
              <w:jc w:val="center"/>
            </w:pPr>
            <w:r w:rsidRPr="00D272CC">
              <w:t>0/0</w:t>
            </w:r>
          </w:p>
        </w:tc>
        <w:tc>
          <w:tcPr>
            <w:tcW w:w="468" w:type="dxa"/>
            <w:vAlign w:val="bottom"/>
          </w:tcPr>
          <w:p w14:paraId="7D4F578E" w14:textId="77777777" w:rsidR="001D5DDB" w:rsidRPr="00D272CC" w:rsidRDefault="001D5DDB" w:rsidP="001D5DDB">
            <w:pPr>
              <w:pStyle w:val="Tablesmall"/>
              <w:jc w:val="center"/>
            </w:pPr>
            <w:r w:rsidRPr="00D272CC">
              <w:t>0/0</w:t>
            </w:r>
          </w:p>
        </w:tc>
        <w:tc>
          <w:tcPr>
            <w:tcW w:w="468" w:type="dxa"/>
            <w:vAlign w:val="bottom"/>
          </w:tcPr>
          <w:p w14:paraId="67DEE243" w14:textId="77777777" w:rsidR="001D5DDB" w:rsidRPr="00D272CC" w:rsidRDefault="001D5DDB" w:rsidP="001D5DDB">
            <w:pPr>
              <w:pStyle w:val="Tablesmall"/>
              <w:jc w:val="center"/>
            </w:pPr>
            <w:r w:rsidRPr="00D272CC">
              <w:t>0/0</w:t>
            </w:r>
          </w:p>
        </w:tc>
        <w:tc>
          <w:tcPr>
            <w:tcW w:w="468" w:type="dxa"/>
            <w:vAlign w:val="bottom"/>
          </w:tcPr>
          <w:p w14:paraId="6C9B11F5" w14:textId="77777777" w:rsidR="001D5DDB" w:rsidRPr="00D272CC" w:rsidRDefault="001D5DDB" w:rsidP="001D5DDB">
            <w:pPr>
              <w:pStyle w:val="Tablesmall"/>
              <w:jc w:val="center"/>
            </w:pPr>
            <w:r w:rsidRPr="00D272CC">
              <w:t>1/1</w:t>
            </w:r>
          </w:p>
        </w:tc>
        <w:tc>
          <w:tcPr>
            <w:tcW w:w="468" w:type="dxa"/>
            <w:vAlign w:val="bottom"/>
          </w:tcPr>
          <w:p w14:paraId="140CDA3E" w14:textId="77777777" w:rsidR="001D5DDB" w:rsidRPr="00D272CC" w:rsidRDefault="001D5DDB" w:rsidP="001D5DDB">
            <w:pPr>
              <w:pStyle w:val="Tablesmall"/>
              <w:jc w:val="center"/>
            </w:pPr>
            <w:r w:rsidRPr="00D272CC">
              <w:t>0/0</w:t>
            </w:r>
          </w:p>
        </w:tc>
        <w:tc>
          <w:tcPr>
            <w:tcW w:w="708" w:type="dxa"/>
            <w:vAlign w:val="bottom"/>
          </w:tcPr>
          <w:p w14:paraId="4C1D4847" w14:textId="77777777" w:rsidR="001D5DDB" w:rsidRPr="00D272CC" w:rsidRDefault="001D5DDB" w:rsidP="001D5DDB">
            <w:pPr>
              <w:pStyle w:val="Tablesmall"/>
              <w:jc w:val="center"/>
            </w:pPr>
            <w:r w:rsidRPr="00D272CC">
              <w:t>1/1</w:t>
            </w:r>
          </w:p>
        </w:tc>
      </w:tr>
      <w:tr w:rsidR="001D5DDB" w:rsidRPr="00D272CC" w14:paraId="08592719" w14:textId="77777777" w:rsidTr="001D5DDB">
        <w:tc>
          <w:tcPr>
            <w:tcW w:w="709" w:type="dxa"/>
          </w:tcPr>
          <w:p w14:paraId="064D4174" w14:textId="77777777" w:rsidR="001D5DDB" w:rsidRPr="00D272CC" w:rsidRDefault="001D5DDB" w:rsidP="00F33403">
            <w:pPr>
              <w:pStyle w:val="Tablesmall"/>
              <w:jc w:val="center"/>
            </w:pPr>
          </w:p>
        </w:tc>
        <w:tc>
          <w:tcPr>
            <w:tcW w:w="2977" w:type="dxa"/>
          </w:tcPr>
          <w:p w14:paraId="5CD4AD4C" w14:textId="77777777" w:rsidR="001D5DDB" w:rsidRPr="00D272CC" w:rsidRDefault="001D5DDB" w:rsidP="00F33403">
            <w:pPr>
              <w:pStyle w:val="Tablesmall"/>
            </w:pPr>
          </w:p>
        </w:tc>
        <w:tc>
          <w:tcPr>
            <w:tcW w:w="467" w:type="dxa"/>
            <w:vAlign w:val="bottom"/>
          </w:tcPr>
          <w:p w14:paraId="66091240" w14:textId="77777777" w:rsidR="001D5DDB" w:rsidRPr="00D272CC" w:rsidRDefault="001D5DDB" w:rsidP="001D5DDB">
            <w:pPr>
              <w:pStyle w:val="Tablesmall"/>
              <w:jc w:val="center"/>
            </w:pPr>
          </w:p>
        </w:tc>
        <w:tc>
          <w:tcPr>
            <w:tcW w:w="468" w:type="dxa"/>
            <w:vAlign w:val="bottom"/>
          </w:tcPr>
          <w:p w14:paraId="050E12B2" w14:textId="77777777" w:rsidR="001D5DDB" w:rsidRPr="00D272CC" w:rsidRDefault="001D5DDB" w:rsidP="001D5DDB">
            <w:pPr>
              <w:pStyle w:val="Tablesmall"/>
              <w:jc w:val="center"/>
            </w:pPr>
          </w:p>
        </w:tc>
        <w:tc>
          <w:tcPr>
            <w:tcW w:w="468" w:type="dxa"/>
            <w:vAlign w:val="bottom"/>
          </w:tcPr>
          <w:p w14:paraId="07EFEA4B" w14:textId="77777777" w:rsidR="001D5DDB" w:rsidRPr="00D272CC" w:rsidRDefault="001D5DDB" w:rsidP="001D5DDB">
            <w:pPr>
              <w:pStyle w:val="Tablesmall"/>
              <w:jc w:val="center"/>
            </w:pPr>
          </w:p>
        </w:tc>
        <w:tc>
          <w:tcPr>
            <w:tcW w:w="468" w:type="dxa"/>
            <w:vAlign w:val="bottom"/>
          </w:tcPr>
          <w:p w14:paraId="19FBF87E" w14:textId="77777777" w:rsidR="001D5DDB" w:rsidRPr="00D272CC" w:rsidRDefault="001D5DDB" w:rsidP="001D5DDB">
            <w:pPr>
              <w:pStyle w:val="Tablesmall"/>
              <w:jc w:val="center"/>
            </w:pPr>
          </w:p>
        </w:tc>
        <w:tc>
          <w:tcPr>
            <w:tcW w:w="468" w:type="dxa"/>
            <w:vAlign w:val="bottom"/>
          </w:tcPr>
          <w:p w14:paraId="7278CAEB" w14:textId="77777777" w:rsidR="001D5DDB" w:rsidRPr="00D272CC" w:rsidRDefault="001D5DDB" w:rsidP="001D5DDB">
            <w:pPr>
              <w:pStyle w:val="Tablesmall"/>
              <w:jc w:val="center"/>
            </w:pPr>
          </w:p>
        </w:tc>
        <w:tc>
          <w:tcPr>
            <w:tcW w:w="467" w:type="dxa"/>
            <w:vAlign w:val="bottom"/>
          </w:tcPr>
          <w:p w14:paraId="1F0D8EB6" w14:textId="77777777" w:rsidR="001D5DDB" w:rsidRPr="00D272CC" w:rsidRDefault="001D5DDB" w:rsidP="001D5DDB">
            <w:pPr>
              <w:pStyle w:val="Tablesmall"/>
              <w:jc w:val="center"/>
            </w:pPr>
          </w:p>
        </w:tc>
        <w:tc>
          <w:tcPr>
            <w:tcW w:w="468" w:type="dxa"/>
            <w:vAlign w:val="bottom"/>
          </w:tcPr>
          <w:p w14:paraId="6628A0F9" w14:textId="77777777" w:rsidR="001D5DDB" w:rsidRPr="00D272CC" w:rsidRDefault="001D5DDB" w:rsidP="001D5DDB">
            <w:pPr>
              <w:pStyle w:val="Tablesmall"/>
              <w:jc w:val="center"/>
            </w:pPr>
          </w:p>
        </w:tc>
        <w:tc>
          <w:tcPr>
            <w:tcW w:w="468" w:type="dxa"/>
            <w:vAlign w:val="bottom"/>
          </w:tcPr>
          <w:p w14:paraId="3FB46DE3" w14:textId="77777777" w:rsidR="001D5DDB" w:rsidRPr="00D272CC" w:rsidRDefault="001D5DDB" w:rsidP="001D5DDB">
            <w:pPr>
              <w:pStyle w:val="Tablesmall"/>
              <w:jc w:val="center"/>
            </w:pPr>
          </w:p>
        </w:tc>
        <w:tc>
          <w:tcPr>
            <w:tcW w:w="468" w:type="dxa"/>
            <w:vAlign w:val="bottom"/>
          </w:tcPr>
          <w:p w14:paraId="07E879DB" w14:textId="77777777" w:rsidR="001D5DDB" w:rsidRPr="00D272CC" w:rsidRDefault="001D5DDB" w:rsidP="001D5DDB">
            <w:pPr>
              <w:pStyle w:val="Tablesmall"/>
              <w:jc w:val="center"/>
            </w:pPr>
          </w:p>
        </w:tc>
        <w:tc>
          <w:tcPr>
            <w:tcW w:w="468" w:type="dxa"/>
            <w:vAlign w:val="bottom"/>
          </w:tcPr>
          <w:p w14:paraId="7C97789B" w14:textId="77777777" w:rsidR="001D5DDB" w:rsidRPr="00D272CC" w:rsidRDefault="001D5DDB" w:rsidP="001D5DDB">
            <w:pPr>
              <w:pStyle w:val="Tablesmall"/>
              <w:jc w:val="center"/>
            </w:pPr>
          </w:p>
        </w:tc>
        <w:tc>
          <w:tcPr>
            <w:tcW w:w="708" w:type="dxa"/>
            <w:vAlign w:val="bottom"/>
          </w:tcPr>
          <w:p w14:paraId="59FADF66" w14:textId="77777777" w:rsidR="001D5DDB" w:rsidRPr="00D272CC" w:rsidRDefault="001D5DDB" w:rsidP="001D5DDB">
            <w:pPr>
              <w:pStyle w:val="Tablesmall"/>
              <w:jc w:val="center"/>
            </w:pPr>
          </w:p>
        </w:tc>
      </w:tr>
      <w:tr w:rsidR="001D5DDB" w:rsidRPr="00D272CC" w14:paraId="57AD8D2A" w14:textId="77777777" w:rsidTr="001D5DDB">
        <w:tc>
          <w:tcPr>
            <w:tcW w:w="709" w:type="dxa"/>
          </w:tcPr>
          <w:p w14:paraId="5F3D91CB" w14:textId="77777777" w:rsidR="001D5DDB" w:rsidRPr="00D272CC" w:rsidRDefault="001D5DDB" w:rsidP="00F33403">
            <w:pPr>
              <w:pStyle w:val="Tablesmall"/>
              <w:jc w:val="center"/>
            </w:pPr>
            <w:r w:rsidRPr="00D272CC">
              <w:t>16</w:t>
            </w:r>
          </w:p>
        </w:tc>
        <w:tc>
          <w:tcPr>
            <w:tcW w:w="2977" w:type="dxa"/>
          </w:tcPr>
          <w:p w14:paraId="580EFCED" w14:textId="77777777" w:rsidR="001D5DDB" w:rsidRPr="00D272CC" w:rsidRDefault="001D5DDB" w:rsidP="00F33403">
            <w:pPr>
              <w:pStyle w:val="Tablesmall"/>
            </w:pPr>
            <w:r w:rsidRPr="00D272CC">
              <w:t>Treatment of joint ventures</w:t>
            </w:r>
          </w:p>
        </w:tc>
        <w:tc>
          <w:tcPr>
            <w:tcW w:w="467" w:type="dxa"/>
            <w:vAlign w:val="bottom"/>
          </w:tcPr>
          <w:p w14:paraId="5209E451" w14:textId="77777777" w:rsidR="001D5DDB" w:rsidRPr="00D272CC" w:rsidRDefault="001D5DDB" w:rsidP="001D5DDB">
            <w:pPr>
              <w:pStyle w:val="Tablesmall"/>
              <w:jc w:val="center"/>
            </w:pPr>
            <w:r w:rsidRPr="00D272CC">
              <w:t>1</w:t>
            </w:r>
          </w:p>
        </w:tc>
        <w:tc>
          <w:tcPr>
            <w:tcW w:w="468" w:type="dxa"/>
            <w:vAlign w:val="bottom"/>
          </w:tcPr>
          <w:p w14:paraId="6088D78F" w14:textId="77777777" w:rsidR="001D5DDB" w:rsidRPr="00D272CC" w:rsidRDefault="001D5DDB" w:rsidP="001D5DDB">
            <w:pPr>
              <w:pStyle w:val="Tablesmall"/>
              <w:jc w:val="center"/>
            </w:pPr>
            <w:r w:rsidRPr="00D272CC">
              <w:t>1</w:t>
            </w:r>
          </w:p>
        </w:tc>
        <w:tc>
          <w:tcPr>
            <w:tcW w:w="468" w:type="dxa"/>
            <w:vAlign w:val="bottom"/>
          </w:tcPr>
          <w:p w14:paraId="7CC26482" w14:textId="77777777" w:rsidR="001D5DDB" w:rsidRPr="00D272CC" w:rsidRDefault="001D5DDB" w:rsidP="001D5DDB">
            <w:pPr>
              <w:pStyle w:val="Tablesmall"/>
              <w:jc w:val="center"/>
            </w:pPr>
            <w:r w:rsidRPr="00D272CC">
              <w:t>12</w:t>
            </w:r>
          </w:p>
        </w:tc>
        <w:tc>
          <w:tcPr>
            <w:tcW w:w="468" w:type="dxa"/>
            <w:vAlign w:val="bottom"/>
          </w:tcPr>
          <w:p w14:paraId="4896CE14" w14:textId="77777777" w:rsidR="001D5DDB" w:rsidRPr="00D272CC" w:rsidRDefault="001D5DDB" w:rsidP="001D5DDB">
            <w:pPr>
              <w:pStyle w:val="Tablesmall"/>
              <w:jc w:val="center"/>
            </w:pPr>
            <w:r w:rsidRPr="00D272CC">
              <w:t>2</w:t>
            </w:r>
          </w:p>
        </w:tc>
        <w:tc>
          <w:tcPr>
            <w:tcW w:w="468" w:type="dxa"/>
            <w:vAlign w:val="bottom"/>
          </w:tcPr>
          <w:p w14:paraId="5C6CC309" w14:textId="77777777" w:rsidR="001D5DDB" w:rsidRPr="00D272CC" w:rsidRDefault="001D5DDB" w:rsidP="001D5DDB">
            <w:pPr>
              <w:pStyle w:val="Tablesmall"/>
              <w:jc w:val="center"/>
            </w:pPr>
            <w:r w:rsidRPr="00D272CC">
              <w:t>6</w:t>
            </w:r>
          </w:p>
        </w:tc>
        <w:tc>
          <w:tcPr>
            <w:tcW w:w="467" w:type="dxa"/>
            <w:vAlign w:val="bottom"/>
          </w:tcPr>
          <w:p w14:paraId="53830E14" w14:textId="77777777" w:rsidR="001D5DDB" w:rsidRPr="00D272CC" w:rsidRDefault="001D5DDB" w:rsidP="001D5DDB">
            <w:pPr>
              <w:pStyle w:val="Tablesmall"/>
              <w:jc w:val="center"/>
            </w:pPr>
            <w:r w:rsidRPr="00D272CC">
              <w:t>6</w:t>
            </w:r>
          </w:p>
        </w:tc>
        <w:tc>
          <w:tcPr>
            <w:tcW w:w="468" w:type="dxa"/>
            <w:vAlign w:val="bottom"/>
          </w:tcPr>
          <w:p w14:paraId="65BFFEFD" w14:textId="77777777" w:rsidR="001D5DDB" w:rsidRPr="00D272CC" w:rsidRDefault="001D5DDB" w:rsidP="001D5DDB">
            <w:pPr>
              <w:pStyle w:val="Tablesmall"/>
              <w:jc w:val="center"/>
            </w:pPr>
            <w:r w:rsidRPr="00D272CC">
              <w:t>3</w:t>
            </w:r>
          </w:p>
        </w:tc>
        <w:tc>
          <w:tcPr>
            <w:tcW w:w="468" w:type="dxa"/>
            <w:vAlign w:val="bottom"/>
          </w:tcPr>
          <w:p w14:paraId="11A61511" w14:textId="77777777" w:rsidR="001D5DDB" w:rsidRPr="00D272CC" w:rsidRDefault="001D5DDB" w:rsidP="001D5DDB">
            <w:pPr>
              <w:pStyle w:val="Tablesmall"/>
              <w:jc w:val="center"/>
            </w:pPr>
            <w:r w:rsidRPr="00D272CC">
              <w:t>1</w:t>
            </w:r>
          </w:p>
        </w:tc>
        <w:tc>
          <w:tcPr>
            <w:tcW w:w="468" w:type="dxa"/>
            <w:vAlign w:val="bottom"/>
          </w:tcPr>
          <w:p w14:paraId="2B82E8E5" w14:textId="77777777" w:rsidR="001D5DDB" w:rsidRPr="00D272CC" w:rsidRDefault="001D5DDB" w:rsidP="001D5DDB">
            <w:pPr>
              <w:pStyle w:val="Tablesmall"/>
              <w:jc w:val="center"/>
            </w:pPr>
            <w:r w:rsidRPr="00D272CC">
              <w:t>2</w:t>
            </w:r>
          </w:p>
        </w:tc>
        <w:tc>
          <w:tcPr>
            <w:tcW w:w="468" w:type="dxa"/>
            <w:vAlign w:val="bottom"/>
          </w:tcPr>
          <w:p w14:paraId="582D6A1D" w14:textId="77777777" w:rsidR="001D5DDB" w:rsidRPr="00D272CC" w:rsidRDefault="001D5DDB" w:rsidP="001D5DDB">
            <w:pPr>
              <w:pStyle w:val="Tablesmall"/>
              <w:jc w:val="center"/>
            </w:pPr>
            <w:r w:rsidRPr="00D272CC">
              <w:t>3</w:t>
            </w:r>
          </w:p>
        </w:tc>
        <w:tc>
          <w:tcPr>
            <w:tcW w:w="708" w:type="dxa"/>
            <w:vAlign w:val="bottom"/>
          </w:tcPr>
          <w:p w14:paraId="614CBAF7" w14:textId="77777777" w:rsidR="001D5DDB" w:rsidRPr="00D272CC" w:rsidRDefault="001D5DDB" w:rsidP="001D5DDB">
            <w:pPr>
              <w:pStyle w:val="Tablesmall"/>
              <w:jc w:val="center"/>
            </w:pPr>
            <w:r w:rsidRPr="00D272CC">
              <w:t>37 (23)</w:t>
            </w:r>
          </w:p>
        </w:tc>
      </w:tr>
      <w:tr w:rsidR="001D5DDB" w:rsidRPr="00D272CC" w14:paraId="2A8684E9" w14:textId="77777777" w:rsidTr="001D5DDB">
        <w:tc>
          <w:tcPr>
            <w:tcW w:w="709" w:type="dxa"/>
          </w:tcPr>
          <w:p w14:paraId="380D72A1" w14:textId="77777777" w:rsidR="001D5DDB" w:rsidRPr="00D272CC" w:rsidRDefault="001D5DDB" w:rsidP="00F33403">
            <w:pPr>
              <w:pStyle w:val="Tablesmall"/>
              <w:jc w:val="center"/>
            </w:pPr>
          </w:p>
        </w:tc>
        <w:tc>
          <w:tcPr>
            <w:tcW w:w="2977" w:type="dxa"/>
          </w:tcPr>
          <w:p w14:paraId="76F35351" w14:textId="77777777" w:rsidR="001D5DDB" w:rsidRPr="00D272CC" w:rsidRDefault="001D5DDB" w:rsidP="00F33403">
            <w:pPr>
              <w:pStyle w:val="Tablesmall"/>
            </w:pPr>
            <w:r w:rsidRPr="00D272CC">
              <w:t>- from (a) to (b) / (b) to (a)</w:t>
            </w:r>
          </w:p>
        </w:tc>
        <w:tc>
          <w:tcPr>
            <w:tcW w:w="467" w:type="dxa"/>
            <w:vAlign w:val="bottom"/>
          </w:tcPr>
          <w:p w14:paraId="6FD0398B" w14:textId="77777777" w:rsidR="001D5DDB" w:rsidRPr="00D272CC" w:rsidRDefault="001D5DDB" w:rsidP="001D5DDB">
            <w:pPr>
              <w:pStyle w:val="Tablesmall"/>
              <w:jc w:val="center"/>
            </w:pPr>
            <w:r w:rsidRPr="00D272CC">
              <w:t>0/1</w:t>
            </w:r>
          </w:p>
        </w:tc>
        <w:tc>
          <w:tcPr>
            <w:tcW w:w="468" w:type="dxa"/>
            <w:vAlign w:val="bottom"/>
          </w:tcPr>
          <w:p w14:paraId="223C71B9" w14:textId="77777777" w:rsidR="001D5DDB" w:rsidRPr="00D272CC" w:rsidRDefault="001D5DDB" w:rsidP="001D5DDB">
            <w:pPr>
              <w:pStyle w:val="Tablesmall"/>
              <w:jc w:val="center"/>
            </w:pPr>
            <w:r w:rsidRPr="00D272CC">
              <w:t>1/0</w:t>
            </w:r>
          </w:p>
        </w:tc>
        <w:tc>
          <w:tcPr>
            <w:tcW w:w="468" w:type="dxa"/>
            <w:vAlign w:val="bottom"/>
          </w:tcPr>
          <w:p w14:paraId="03E3932A" w14:textId="77777777" w:rsidR="001D5DDB" w:rsidRPr="00D272CC" w:rsidRDefault="001D5DDB" w:rsidP="001D5DDB">
            <w:pPr>
              <w:pStyle w:val="Tablesmall"/>
              <w:jc w:val="center"/>
            </w:pPr>
            <w:r w:rsidRPr="00D272CC">
              <w:t>12/0</w:t>
            </w:r>
          </w:p>
        </w:tc>
        <w:tc>
          <w:tcPr>
            <w:tcW w:w="468" w:type="dxa"/>
            <w:vAlign w:val="bottom"/>
          </w:tcPr>
          <w:p w14:paraId="4C915446" w14:textId="77777777" w:rsidR="001D5DDB" w:rsidRPr="00D272CC" w:rsidRDefault="001D5DDB" w:rsidP="001D5DDB">
            <w:pPr>
              <w:pStyle w:val="Tablesmall"/>
              <w:jc w:val="center"/>
            </w:pPr>
            <w:r w:rsidRPr="00D272CC">
              <w:t>2/0</w:t>
            </w:r>
          </w:p>
        </w:tc>
        <w:tc>
          <w:tcPr>
            <w:tcW w:w="468" w:type="dxa"/>
            <w:vAlign w:val="bottom"/>
          </w:tcPr>
          <w:p w14:paraId="7E5AED19" w14:textId="77777777" w:rsidR="001D5DDB" w:rsidRPr="00D272CC" w:rsidRDefault="001D5DDB" w:rsidP="001D5DDB">
            <w:pPr>
              <w:pStyle w:val="Tablesmall"/>
              <w:jc w:val="center"/>
            </w:pPr>
            <w:r w:rsidRPr="00D272CC">
              <w:t>4/2</w:t>
            </w:r>
          </w:p>
        </w:tc>
        <w:tc>
          <w:tcPr>
            <w:tcW w:w="467" w:type="dxa"/>
            <w:vAlign w:val="bottom"/>
          </w:tcPr>
          <w:p w14:paraId="0146D8F6" w14:textId="77777777" w:rsidR="001D5DDB" w:rsidRPr="00D272CC" w:rsidRDefault="001D5DDB" w:rsidP="001D5DDB">
            <w:pPr>
              <w:pStyle w:val="Tablesmall"/>
              <w:jc w:val="center"/>
            </w:pPr>
            <w:r w:rsidRPr="00D272CC">
              <w:t>5/1</w:t>
            </w:r>
          </w:p>
        </w:tc>
        <w:tc>
          <w:tcPr>
            <w:tcW w:w="468" w:type="dxa"/>
            <w:vAlign w:val="bottom"/>
          </w:tcPr>
          <w:p w14:paraId="15FE1908" w14:textId="77777777" w:rsidR="001D5DDB" w:rsidRPr="00D272CC" w:rsidRDefault="001D5DDB" w:rsidP="001D5DDB">
            <w:pPr>
              <w:pStyle w:val="Tablesmall"/>
              <w:jc w:val="center"/>
            </w:pPr>
            <w:r w:rsidRPr="00D272CC">
              <w:t>0/3</w:t>
            </w:r>
          </w:p>
        </w:tc>
        <w:tc>
          <w:tcPr>
            <w:tcW w:w="468" w:type="dxa"/>
            <w:vAlign w:val="bottom"/>
          </w:tcPr>
          <w:p w14:paraId="5012FC35" w14:textId="77777777" w:rsidR="001D5DDB" w:rsidRPr="00D272CC" w:rsidRDefault="001D5DDB" w:rsidP="001D5DDB">
            <w:pPr>
              <w:pStyle w:val="Tablesmall"/>
              <w:jc w:val="center"/>
            </w:pPr>
            <w:r w:rsidRPr="00D272CC">
              <w:t>0/1</w:t>
            </w:r>
          </w:p>
        </w:tc>
        <w:tc>
          <w:tcPr>
            <w:tcW w:w="468" w:type="dxa"/>
            <w:vAlign w:val="bottom"/>
          </w:tcPr>
          <w:p w14:paraId="03625A5B" w14:textId="77777777" w:rsidR="001D5DDB" w:rsidRPr="00D272CC" w:rsidRDefault="001D5DDB" w:rsidP="001D5DDB">
            <w:pPr>
              <w:pStyle w:val="Tablesmall"/>
              <w:jc w:val="center"/>
            </w:pPr>
            <w:r w:rsidRPr="00D272CC">
              <w:t>2/0</w:t>
            </w:r>
          </w:p>
        </w:tc>
        <w:tc>
          <w:tcPr>
            <w:tcW w:w="468" w:type="dxa"/>
            <w:vAlign w:val="bottom"/>
          </w:tcPr>
          <w:p w14:paraId="6F310FCD" w14:textId="77777777" w:rsidR="001D5DDB" w:rsidRPr="00D272CC" w:rsidRDefault="001D5DDB" w:rsidP="001D5DDB">
            <w:pPr>
              <w:pStyle w:val="Tablesmall"/>
              <w:jc w:val="center"/>
            </w:pPr>
            <w:r w:rsidRPr="00D272CC">
              <w:t>3/0</w:t>
            </w:r>
          </w:p>
        </w:tc>
        <w:tc>
          <w:tcPr>
            <w:tcW w:w="708" w:type="dxa"/>
            <w:vAlign w:val="bottom"/>
          </w:tcPr>
          <w:p w14:paraId="483814E6" w14:textId="77777777" w:rsidR="001D5DDB" w:rsidRPr="00D272CC" w:rsidRDefault="001D5DDB" w:rsidP="001D5DDB">
            <w:pPr>
              <w:pStyle w:val="Tablesmall"/>
              <w:jc w:val="center"/>
            </w:pPr>
            <w:r w:rsidRPr="00D272CC">
              <w:t>29/8</w:t>
            </w:r>
          </w:p>
        </w:tc>
      </w:tr>
      <w:tr w:rsidR="00890ABF" w:rsidRPr="00D272CC" w14:paraId="1B32ED1F" w14:textId="77777777" w:rsidTr="001D5DDB">
        <w:tc>
          <w:tcPr>
            <w:tcW w:w="709" w:type="dxa"/>
            <w:tcBorders>
              <w:bottom w:val="single" w:sz="4" w:space="0" w:color="auto"/>
            </w:tcBorders>
          </w:tcPr>
          <w:p w14:paraId="05A5B1D2" w14:textId="77777777" w:rsidR="00890ABF" w:rsidRPr="00D272CC" w:rsidRDefault="00890ABF" w:rsidP="00F33403">
            <w:pPr>
              <w:pStyle w:val="Tablesmall"/>
              <w:jc w:val="center"/>
            </w:pPr>
          </w:p>
        </w:tc>
        <w:tc>
          <w:tcPr>
            <w:tcW w:w="2977" w:type="dxa"/>
            <w:tcBorders>
              <w:bottom w:val="single" w:sz="4" w:space="0" w:color="auto"/>
            </w:tcBorders>
          </w:tcPr>
          <w:p w14:paraId="40A36A3B" w14:textId="77777777" w:rsidR="00890ABF" w:rsidRPr="00D272CC" w:rsidRDefault="00890ABF" w:rsidP="00F33403">
            <w:pPr>
              <w:pStyle w:val="Tablesmall"/>
            </w:pPr>
          </w:p>
        </w:tc>
        <w:tc>
          <w:tcPr>
            <w:tcW w:w="467" w:type="dxa"/>
            <w:tcBorders>
              <w:bottom w:val="single" w:sz="4" w:space="0" w:color="auto"/>
            </w:tcBorders>
          </w:tcPr>
          <w:p w14:paraId="582F21F7" w14:textId="77777777" w:rsidR="00890ABF" w:rsidRPr="00D272CC" w:rsidRDefault="00890ABF" w:rsidP="00F33403">
            <w:pPr>
              <w:pStyle w:val="Tablesmall"/>
              <w:jc w:val="center"/>
            </w:pPr>
          </w:p>
        </w:tc>
        <w:tc>
          <w:tcPr>
            <w:tcW w:w="468" w:type="dxa"/>
            <w:tcBorders>
              <w:bottom w:val="single" w:sz="4" w:space="0" w:color="auto"/>
            </w:tcBorders>
          </w:tcPr>
          <w:p w14:paraId="2336D3FA" w14:textId="77777777" w:rsidR="00890ABF" w:rsidRPr="00D272CC" w:rsidRDefault="00890ABF" w:rsidP="00F33403">
            <w:pPr>
              <w:pStyle w:val="Tablesmall"/>
              <w:jc w:val="center"/>
            </w:pPr>
          </w:p>
        </w:tc>
        <w:tc>
          <w:tcPr>
            <w:tcW w:w="468" w:type="dxa"/>
            <w:tcBorders>
              <w:bottom w:val="single" w:sz="4" w:space="0" w:color="auto"/>
            </w:tcBorders>
          </w:tcPr>
          <w:p w14:paraId="096EF018" w14:textId="77777777" w:rsidR="00890ABF" w:rsidRPr="00D272CC" w:rsidRDefault="00890ABF" w:rsidP="00F33403">
            <w:pPr>
              <w:pStyle w:val="Tablesmall"/>
              <w:jc w:val="center"/>
            </w:pPr>
          </w:p>
        </w:tc>
        <w:tc>
          <w:tcPr>
            <w:tcW w:w="468" w:type="dxa"/>
            <w:tcBorders>
              <w:bottom w:val="single" w:sz="4" w:space="0" w:color="auto"/>
            </w:tcBorders>
          </w:tcPr>
          <w:p w14:paraId="7FFD8D20" w14:textId="77777777" w:rsidR="00890ABF" w:rsidRPr="00D272CC" w:rsidRDefault="00890ABF" w:rsidP="00F33403">
            <w:pPr>
              <w:pStyle w:val="Tablesmall"/>
              <w:jc w:val="center"/>
            </w:pPr>
          </w:p>
        </w:tc>
        <w:tc>
          <w:tcPr>
            <w:tcW w:w="468" w:type="dxa"/>
            <w:tcBorders>
              <w:bottom w:val="single" w:sz="4" w:space="0" w:color="auto"/>
            </w:tcBorders>
          </w:tcPr>
          <w:p w14:paraId="3D1BFE9C" w14:textId="77777777" w:rsidR="00890ABF" w:rsidRPr="00D272CC" w:rsidRDefault="00890ABF" w:rsidP="00F33403">
            <w:pPr>
              <w:pStyle w:val="Tablesmall"/>
              <w:jc w:val="center"/>
            </w:pPr>
          </w:p>
        </w:tc>
        <w:tc>
          <w:tcPr>
            <w:tcW w:w="467" w:type="dxa"/>
            <w:tcBorders>
              <w:bottom w:val="single" w:sz="4" w:space="0" w:color="auto"/>
            </w:tcBorders>
          </w:tcPr>
          <w:p w14:paraId="7603756B" w14:textId="77777777" w:rsidR="00890ABF" w:rsidRPr="00D272CC" w:rsidRDefault="00890ABF" w:rsidP="00F33403">
            <w:pPr>
              <w:pStyle w:val="Tablesmall"/>
              <w:jc w:val="center"/>
            </w:pPr>
          </w:p>
        </w:tc>
        <w:tc>
          <w:tcPr>
            <w:tcW w:w="468" w:type="dxa"/>
            <w:tcBorders>
              <w:bottom w:val="single" w:sz="4" w:space="0" w:color="auto"/>
            </w:tcBorders>
          </w:tcPr>
          <w:p w14:paraId="7DBC8666" w14:textId="77777777" w:rsidR="00890ABF" w:rsidRPr="00D272CC" w:rsidRDefault="00890ABF" w:rsidP="00F33403">
            <w:pPr>
              <w:pStyle w:val="Tablesmall"/>
              <w:jc w:val="center"/>
            </w:pPr>
          </w:p>
        </w:tc>
        <w:tc>
          <w:tcPr>
            <w:tcW w:w="468" w:type="dxa"/>
            <w:tcBorders>
              <w:bottom w:val="single" w:sz="4" w:space="0" w:color="auto"/>
            </w:tcBorders>
          </w:tcPr>
          <w:p w14:paraId="447CF310" w14:textId="77777777" w:rsidR="00890ABF" w:rsidRPr="00D272CC" w:rsidRDefault="00890ABF" w:rsidP="00F33403">
            <w:pPr>
              <w:pStyle w:val="Tablesmall"/>
              <w:jc w:val="center"/>
            </w:pPr>
          </w:p>
        </w:tc>
        <w:tc>
          <w:tcPr>
            <w:tcW w:w="468" w:type="dxa"/>
            <w:tcBorders>
              <w:bottom w:val="single" w:sz="4" w:space="0" w:color="auto"/>
            </w:tcBorders>
          </w:tcPr>
          <w:p w14:paraId="088577F8" w14:textId="77777777" w:rsidR="00890ABF" w:rsidRPr="00D272CC" w:rsidRDefault="00890ABF" w:rsidP="00F33403">
            <w:pPr>
              <w:pStyle w:val="Tablesmall"/>
              <w:jc w:val="center"/>
            </w:pPr>
          </w:p>
        </w:tc>
        <w:tc>
          <w:tcPr>
            <w:tcW w:w="468" w:type="dxa"/>
            <w:tcBorders>
              <w:bottom w:val="single" w:sz="4" w:space="0" w:color="auto"/>
            </w:tcBorders>
          </w:tcPr>
          <w:p w14:paraId="03581FB1" w14:textId="77777777" w:rsidR="00890ABF" w:rsidRPr="00D272CC" w:rsidRDefault="00890ABF" w:rsidP="00F33403">
            <w:pPr>
              <w:pStyle w:val="Tablesmall"/>
              <w:jc w:val="center"/>
            </w:pPr>
          </w:p>
        </w:tc>
        <w:tc>
          <w:tcPr>
            <w:tcW w:w="708" w:type="dxa"/>
            <w:tcBorders>
              <w:bottom w:val="single" w:sz="4" w:space="0" w:color="auto"/>
            </w:tcBorders>
          </w:tcPr>
          <w:p w14:paraId="66C47E6C" w14:textId="77777777" w:rsidR="00890ABF" w:rsidRPr="00D272CC" w:rsidRDefault="00890ABF" w:rsidP="00F33403">
            <w:pPr>
              <w:pStyle w:val="Tablesmall"/>
              <w:jc w:val="center"/>
            </w:pPr>
          </w:p>
        </w:tc>
      </w:tr>
    </w:tbl>
    <w:p w14:paraId="0BBF89B8" w14:textId="77777777" w:rsidR="00736F35" w:rsidRPr="00D272CC" w:rsidRDefault="00736F35" w:rsidP="00736F35">
      <w:pPr>
        <w:pStyle w:val="Table-FigureDescription"/>
        <w:rPr>
          <w:lang w:val="en-GB"/>
        </w:rPr>
      </w:pPr>
    </w:p>
    <w:p w14:paraId="4E1307F2" w14:textId="77777777" w:rsidR="00736F35" w:rsidRPr="00D272CC" w:rsidRDefault="00736F35" w:rsidP="002118DA">
      <w:pPr>
        <w:pStyle w:val="Table-FigureDescription"/>
        <w:rPr>
          <w:lang w:val="en-GB"/>
        </w:rPr>
      </w:pPr>
      <w:r w:rsidRPr="00D272CC">
        <w:rPr>
          <w:lang w:val="en-GB"/>
        </w:rPr>
        <w:t xml:space="preserve">This table </w:t>
      </w:r>
      <w:r w:rsidR="006D0DF2" w:rsidRPr="00D272CC">
        <w:rPr>
          <w:lang w:val="en-GB"/>
        </w:rPr>
        <w:t xml:space="preserve">shows the </w:t>
      </w:r>
      <w:r w:rsidR="005A3072">
        <w:rPr>
          <w:lang w:val="en-GB"/>
        </w:rPr>
        <w:t xml:space="preserve">number of </w:t>
      </w:r>
      <w:r w:rsidR="00B62AAF">
        <w:rPr>
          <w:lang w:val="en-GB"/>
        </w:rPr>
        <w:t xml:space="preserve">IFRS </w:t>
      </w:r>
      <w:r w:rsidR="006D0DF2" w:rsidRPr="00D272CC">
        <w:rPr>
          <w:lang w:val="en-GB"/>
        </w:rPr>
        <w:t>policy changes</w:t>
      </w:r>
      <w:r w:rsidR="00B77833" w:rsidRPr="00D272CC">
        <w:rPr>
          <w:lang w:val="en-GB"/>
        </w:rPr>
        <w:t xml:space="preserve"> in </w:t>
      </w:r>
      <w:r w:rsidR="00E56E7F" w:rsidRPr="00D272CC">
        <w:rPr>
          <w:lang w:val="en-GB"/>
        </w:rPr>
        <w:t xml:space="preserve">the period </w:t>
      </w:r>
      <w:r w:rsidR="00B77833" w:rsidRPr="00D272CC">
        <w:rPr>
          <w:lang w:val="en-GB"/>
        </w:rPr>
        <w:t>200</w:t>
      </w:r>
      <w:r w:rsidR="003F4696" w:rsidRPr="00D272CC">
        <w:rPr>
          <w:lang w:val="en-GB"/>
        </w:rPr>
        <w:t>6</w:t>
      </w:r>
      <w:r w:rsidR="00E56E7F" w:rsidRPr="00D272CC">
        <w:rPr>
          <w:lang w:val="en-GB"/>
        </w:rPr>
        <w:t xml:space="preserve"> to </w:t>
      </w:r>
      <w:r w:rsidR="00B77833" w:rsidRPr="00D272CC">
        <w:rPr>
          <w:lang w:val="en-GB"/>
        </w:rPr>
        <w:t>2011</w:t>
      </w:r>
      <w:r w:rsidR="006D0DF2" w:rsidRPr="00D272CC">
        <w:rPr>
          <w:lang w:val="en-GB"/>
        </w:rPr>
        <w:t xml:space="preserve"> per country for each topic.</w:t>
      </w:r>
      <w:r w:rsidR="00AD2751" w:rsidRPr="00D272CC">
        <w:rPr>
          <w:lang w:val="en-GB"/>
        </w:rPr>
        <w:t xml:space="preserve"> </w:t>
      </w:r>
      <w:r w:rsidR="000E6251" w:rsidRPr="00D272CC">
        <w:rPr>
          <w:lang w:val="en-GB"/>
        </w:rPr>
        <w:t>The topics are as in Table 1</w:t>
      </w:r>
      <w:r w:rsidR="0038105A" w:rsidRPr="00D272CC">
        <w:rPr>
          <w:lang w:val="en-GB"/>
        </w:rPr>
        <w:t xml:space="preserve"> and the countries are as in Table 2</w:t>
      </w:r>
      <w:r w:rsidR="000E6251" w:rsidRPr="00D272CC">
        <w:rPr>
          <w:lang w:val="en-GB"/>
        </w:rPr>
        <w:t>.</w:t>
      </w:r>
      <w:r w:rsidR="000529F4" w:rsidRPr="00D272CC">
        <w:rPr>
          <w:lang w:val="en-GB"/>
        </w:rPr>
        <w:t xml:space="preserve"> See Appendix </w:t>
      </w:r>
      <w:r w:rsidR="006A70B1" w:rsidRPr="00D272CC">
        <w:rPr>
          <w:lang w:val="en-GB"/>
        </w:rPr>
        <w:t>2</w:t>
      </w:r>
      <w:r w:rsidR="000529F4" w:rsidRPr="00D272CC">
        <w:rPr>
          <w:lang w:val="en-GB"/>
        </w:rPr>
        <w:t xml:space="preserve"> for details on the topics. </w:t>
      </w:r>
      <w:r w:rsidR="00AD2751" w:rsidRPr="00D272CC">
        <w:rPr>
          <w:lang w:val="en-GB"/>
        </w:rPr>
        <w:t>The number in brackets in the column ‘∑’ shows the number of changes with an explanation.</w:t>
      </w:r>
      <w:r w:rsidR="00982791">
        <w:rPr>
          <w:lang w:val="en-GB"/>
        </w:rPr>
        <w:t xml:space="preserve"> </w:t>
      </w:r>
      <w:r w:rsidR="00982791" w:rsidRPr="00D272CC">
        <w:rPr>
          <w:lang w:val="en-GB"/>
        </w:rPr>
        <w:t xml:space="preserve">Data on IFRS policy </w:t>
      </w:r>
      <w:r w:rsidR="00982791">
        <w:rPr>
          <w:lang w:val="en-GB"/>
        </w:rPr>
        <w:t>changes</w:t>
      </w:r>
      <w:r w:rsidR="00982791" w:rsidRPr="00D272CC">
        <w:rPr>
          <w:lang w:val="en-GB"/>
        </w:rPr>
        <w:t xml:space="preserve"> are hand-collected.</w:t>
      </w:r>
    </w:p>
    <w:p w14:paraId="4B24C048" w14:textId="77777777" w:rsidR="001940A9" w:rsidRPr="00D272CC" w:rsidRDefault="001940A9" w:rsidP="00C32BD8">
      <w:pPr>
        <w:pStyle w:val="Caption"/>
        <w:jc w:val="left"/>
        <w:rPr>
          <w:lang w:val="en-GB"/>
        </w:rPr>
      </w:pPr>
      <w:r w:rsidRPr="00D272CC">
        <w:rPr>
          <w:lang w:val="en-GB"/>
        </w:rPr>
        <w:t xml:space="preserve">Table </w:t>
      </w:r>
      <w:r w:rsidR="00680D7F" w:rsidRPr="00D272CC">
        <w:rPr>
          <w:lang w:val="en-GB"/>
        </w:rPr>
        <w:fldChar w:fldCharType="begin"/>
      </w:r>
      <w:r w:rsidRPr="00D272CC">
        <w:rPr>
          <w:lang w:val="en-GB"/>
        </w:rPr>
        <w:instrText xml:space="preserve"> SEQ Table \* ARABIC </w:instrText>
      </w:r>
      <w:r w:rsidR="00680D7F" w:rsidRPr="00D272CC">
        <w:rPr>
          <w:lang w:val="en-GB"/>
        </w:rPr>
        <w:fldChar w:fldCharType="separate"/>
      </w:r>
      <w:r w:rsidR="004F4900">
        <w:rPr>
          <w:noProof/>
          <w:lang w:val="en-GB"/>
        </w:rPr>
        <w:t>4</w:t>
      </w:r>
      <w:r w:rsidR="00680D7F" w:rsidRPr="00D272CC">
        <w:rPr>
          <w:lang w:val="en-GB"/>
        </w:rPr>
        <w:fldChar w:fldCharType="end"/>
      </w:r>
      <w:r w:rsidR="00380C8B" w:rsidRPr="00D272CC">
        <w:rPr>
          <w:lang w:val="en-GB"/>
        </w:rPr>
        <w:t xml:space="preserve">. </w:t>
      </w:r>
      <w:r w:rsidR="00F33960" w:rsidRPr="00D272CC">
        <w:rPr>
          <w:b w:val="0"/>
          <w:lang w:val="en-GB"/>
        </w:rPr>
        <w:t xml:space="preserve">Frequencies of </w:t>
      </w:r>
      <w:r w:rsidR="00380C8B" w:rsidRPr="00D272CC">
        <w:rPr>
          <w:b w:val="0"/>
          <w:lang w:val="en-GB"/>
        </w:rPr>
        <w:t>r</w:t>
      </w:r>
      <w:r w:rsidR="00707C3E" w:rsidRPr="00D272CC">
        <w:rPr>
          <w:b w:val="0"/>
          <w:lang w:val="en-GB"/>
        </w:rPr>
        <w:t>easons for</w:t>
      </w:r>
      <w:r w:rsidRPr="00D272CC">
        <w:rPr>
          <w:b w:val="0"/>
          <w:lang w:val="en-GB"/>
        </w:rPr>
        <w:t xml:space="preserve"> IFRS </w:t>
      </w:r>
      <w:r w:rsidR="00380C8B" w:rsidRPr="00D272CC">
        <w:rPr>
          <w:b w:val="0"/>
          <w:lang w:val="en-GB"/>
        </w:rPr>
        <w:t>p</w:t>
      </w:r>
      <w:r w:rsidRPr="00D272CC">
        <w:rPr>
          <w:b w:val="0"/>
          <w:lang w:val="en-GB"/>
        </w:rPr>
        <w:t xml:space="preserve">olicy </w:t>
      </w:r>
      <w:r w:rsidR="00380C8B" w:rsidRPr="00D272CC">
        <w:rPr>
          <w:b w:val="0"/>
          <w:lang w:val="en-GB"/>
        </w:rPr>
        <w:t>c</w:t>
      </w:r>
      <w:r w:rsidRPr="00D272CC">
        <w:rPr>
          <w:b w:val="0"/>
          <w:lang w:val="en-GB"/>
        </w:rPr>
        <w:t>hanges</w:t>
      </w:r>
      <w:r w:rsidR="00380C8B" w:rsidRPr="00D272CC">
        <w:rPr>
          <w:b w:val="0"/>
          <w:lang w:val="en-GB"/>
        </w:rPr>
        <w:t>.</w:t>
      </w:r>
    </w:p>
    <w:p w14:paraId="5BF15D2D" w14:textId="77777777" w:rsidR="001940A9" w:rsidRPr="00D272CC" w:rsidRDefault="001940A9" w:rsidP="001940A9">
      <w:pPr>
        <w:pStyle w:val="Table-FigureDescription"/>
        <w:rPr>
          <w:lang w:val="en-GB"/>
        </w:rPr>
      </w:pPr>
    </w:p>
    <w:tbl>
      <w:tblPr>
        <w:tblW w:w="9073" w:type="dxa"/>
        <w:tblLayout w:type="fixed"/>
        <w:tblCellMar>
          <w:left w:w="0" w:type="dxa"/>
          <w:right w:w="0" w:type="dxa"/>
        </w:tblCellMar>
        <w:tblLook w:val="00A0" w:firstRow="1" w:lastRow="0" w:firstColumn="1" w:lastColumn="0" w:noHBand="0" w:noVBand="0"/>
      </w:tblPr>
      <w:tblGrid>
        <w:gridCol w:w="3686"/>
        <w:gridCol w:w="1346"/>
        <w:gridCol w:w="1347"/>
        <w:gridCol w:w="1347"/>
        <w:gridCol w:w="1347"/>
      </w:tblGrid>
      <w:tr w:rsidR="006952A0" w:rsidRPr="00D272CC" w14:paraId="2EBFAE18" w14:textId="77777777" w:rsidTr="006952A0">
        <w:tc>
          <w:tcPr>
            <w:tcW w:w="3686" w:type="dxa"/>
            <w:tcBorders>
              <w:top w:val="single" w:sz="4" w:space="0" w:color="000000"/>
              <w:bottom w:val="single" w:sz="4" w:space="0" w:color="000000"/>
            </w:tcBorders>
          </w:tcPr>
          <w:p w14:paraId="55906B14" w14:textId="77777777" w:rsidR="006952A0" w:rsidRPr="00D272CC" w:rsidRDefault="006952A0" w:rsidP="00736F35">
            <w:pPr>
              <w:pStyle w:val="Table"/>
              <w:rPr>
                <w:b/>
                <w:szCs w:val="20"/>
                <w:lang w:val="en-GB"/>
              </w:rPr>
            </w:pPr>
          </w:p>
        </w:tc>
        <w:tc>
          <w:tcPr>
            <w:tcW w:w="1346" w:type="dxa"/>
            <w:tcBorders>
              <w:top w:val="single" w:sz="4" w:space="0" w:color="000000"/>
              <w:bottom w:val="single" w:sz="4" w:space="0" w:color="000000"/>
            </w:tcBorders>
          </w:tcPr>
          <w:p w14:paraId="2068AF0A" w14:textId="77777777" w:rsidR="006952A0" w:rsidRPr="00D272CC" w:rsidRDefault="006952A0" w:rsidP="00736F35">
            <w:pPr>
              <w:pStyle w:val="Table"/>
              <w:jc w:val="center"/>
              <w:rPr>
                <w:b/>
                <w:szCs w:val="20"/>
                <w:lang w:val="en-GB"/>
              </w:rPr>
            </w:pPr>
            <w:r w:rsidRPr="00D272CC">
              <w:rPr>
                <w:b/>
                <w:szCs w:val="20"/>
                <w:lang w:val="en-GB"/>
              </w:rPr>
              <w:t>Total</w:t>
            </w:r>
          </w:p>
        </w:tc>
        <w:tc>
          <w:tcPr>
            <w:tcW w:w="1347" w:type="dxa"/>
            <w:tcBorders>
              <w:top w:val="single" w:sz="4" w:space="0" w:color="000000"/>
              <w:bottom w:val="single" w:sz="4" w:space="0" w:color="000000"/>
            </w:tcBorders>
          </w:tcPr>
          <w:p w14:paraId="6B0FE520" w14:textId="2BF80827" w:rsidR="006952A0" w:rsidRPr="00D272CC" w:rsidRDefault="00FA3570" w:rsidP="006952A0">
            <w:pPr>
              <w:pStyle w:val="Table"/>
              <w:jc w:val="center"/>
              <w:rPr>
                <w:b/>
                <w:szCs w:val="20"/>
                <w:lang w:val="en-GB"/>
              </w:rPr>
            </w:pPr>
            <w:r>
              <w:rPr>
                <w:b/>
                <w:szCs w:val="20"/>
                <w:lang w:val="en-GB"/>
              </w:rPr>
              <w:t>One</w:t>
            </w:r>
            <w:r w:rsidR="006952A0" w:rsidRPr="00D272CC">
              <w:rPr>
                <w:b/>
                <w:szCs w:val="20"/>
                <w:lang w:val="en-GB"/>
              </w:rPr>
              <w:t xml:space="preserve"> reason only</w:t>
            </w:r>
          </w:p>
        </w:tc>
        <w:tc>
          <w:tcPr>
            <w:tcW w:w="1347" w:type="dxa"/>
            <w:tcBorders>
              <w:top w:val="single" w:sz="4" w:space="0" w:color="000000"/>
              <w:bottom w:val="single" w:sz="4" w:space="0" w:color="000000"/>
            </w:tcBorders>
          </w:tcPr>
          <w:p w14:paraId="5BD5FC4D" w14:textId="655D8254" w:rsidR="006952A0" w:rsidRPr="00D272CC" w:rsidRDefault="00FA3570" w:rsidP="005A1D60">
            <w:pPr>
              <w:pStyle w:val="Table"/>
              <w:jc w:val="center"/>
              <w:rPr>
                <w:b/>
                <w:szCs w:val="20"/>
                <w:lang w:val="en-GB"/>
              </w:rPr>
            </w:pPr>
            <w:r>
              <w:rPr>
                <w:b/>
                <w:szCs w:val="20"/>
                <w:lang w:val="en-GB"/>
              </w:rPr>
              <w:t>More than one</w:t>
            </w:r>
            <w:r w:rsidR="006952A0" w:rsidRPr="00D272CC">
              <w:rPr>
                <w:b/>
                <w:szCs w:val="20"/>
                <w:lang w:val="en-GB"/>
              </w:rPr>
              <w:t xml:space="preserve"> reason</w:t>
            </w:r>
          </w:p>
        </w:tc>
        <w:tc>
          <w:tcPr>
            <w:tcW w:w="1347" w:type="dxa"/>
            <w:tcBorders>
              <w:top w:val="single" w:sz="4" w:space="0" w:color="000000"/>
              <w:bottom w:val="single" w:sz="4" w:space="0" w:color="000000"/>
            </w:tcBorders>
          </w:tcPr>
          <w:p w14:paraId="3B3D0398" w14:textId="77777777" w:rsidR="006952A0" w:rsidRPr="00D272CC" w:rsidRDefault="00077D80" w:rsidP="004C0BF3">
            <w:pPr>
              <w:pStyle w:val="Table"/>
              <w:jc w:val="center"/>
              <w:rPr>
                <w:b/>
                <w:szCs w:val="20"/>
                <w:lang w:val="en-GB"/>
              </w:rPr>
            </w:pPr>
            <w:r w:rsidRPr="00D272CC">
              <w:rPr>
                <w:b/>
                <w:szCs w:val="20"/>
                <w:lang w:val="en-GB"/>
              </w:rPr>
              <w:t>Measurement</w:t>
            </w:r>
            <w:r w:rsidR="006952A0" w:rsidRPr="00D272CC">
              <w:rPr>
                <w:b/>
                <w:szCs w:val="20"/>
                <w:lang w:val="en-GB"/>
              </w:rPr>
              <w:t xml:space="preserve"> </w:t>
            </w:r>
            <w:r w:rsidR="00E6569A" w:rsidRPr="00D272CC">
              <w:rPr>
                <w:b/>
                <w:szCs w:val="20"/>
                <w:lang w:val="en-GB"/>
              </w:rPr>
              <w:t>topic</w:t>
            </w:r>
            <w:r w:rsidR="00BB3D7C" w:rsidRPr="00D272CC">
              <w:rPr>
                <w:b/>
                <w:szCs w:val="20"/>
                <w:lang w:val="en-GB"/>
              </w:rPr>
              <w:t>s</w:t>
            </w:r>
            <w:r w:rsidR="006952A0" w:rsidRPr="00D272CC">
              <w:rPr>
                <w:b/>
                <w:szCs w:val="20"/>
                <w:lang w:val="en-GB"/>
              </w:rPr>
              <w:t xml:space="preserve"> only</w:t>
            </w:r>
          </w:p>
        </w:tc>
      </w:tr>
      <w:tr w:rsidR="006952A0" w:rsidRPr="00D272CC" w14:paraId="241B5D3F" w14:textId="77777777" w:rsidTr="006952A0">
        <w:tc>
          <w:tcPr>
            <w:tcW w:w="3686" w:type="dxa"/>
            <w:tcBorders>
              <w:top w:val="single" w:sz="4" w:space="0" w:color="auto"/>
            </w:tcBorders>
          </w:tcPr>
          <w:p w14:paraId="0A869A53" w14:textId="77777777" w:rsidR="006952A0" w:rsidRPr="00D272CC" w:rsidRDefault="006952A0" w:rsidP="00736F35">
            <w:pPr>
              <w:pStyle w:val="Table"/>
              <w:rPr>
                <w:szCs w:val="20"/>
                <w:lang w:val="en-GB"/>
              </w:rPr>
            </w:pPr>
          </w:p>
        </w:tc>
        <w:tc>
          <w:tcPr>
            <w:tcW w:w="1346" w:type="dxa"/>
            <w:tcBorders>
              <w:top w:val="single" w:sz="4" w:space="0" w:color="auto"/>
            </w:tcBorders>
          </w:tcPr>
          <w:p w14:paraId="68DB2031" w14:textId="77777777" w:rsidR="006952A0" w:rsidRPr="00D272CC" w:rsidRDefault="006952A0" w:rsidP="00736F35">
            <w:pPr>
              <w:pStyle w:val="Table"/>
              <w:jc w:val="center"/>
              <w:rPr>
                <w:szCs w:val="20"/>
                <w:lang w:val="en-GB"/>
              </w:rPr>
            </w:pPr>
          </w:p>
        </w:tc>
        <w:tc>
          <w:tcPr>
            <w:tcW w:w="1347" w:type="dxa"/>
            <w:tcBorders>
              <w:top w:val="single" w:sz="4" w:space="0" w:color="auto"/>
            </w:tcBorders>
          </w:tcPr>
          <w:p w14:paraId="396EE0ED" w14:textId="77777777" w:rsidR="006952A0" w:rsidRPr="00D272CC" w:rsidRDefault="006952A0" w:rsidP="00736F35">
            <w:pPr>
              <w:pStyle w:val="Table"/>
              <w:jc w:val="center"/>
              <w:rPr>
                <w:szCs w:val="20"/>
                <w:lang w:val="en-GB"/>
              </w:rPr>
            </w:pPr>
          </w:p>
        </w:tc>
        <w:tc>
          <w:tcPr>
            <w:tcW w:w="1347" w:type="dxa"/>
            <w:tcBorders>
              <w:top w:val="single" w:sz="4" w:space="0" w:color="auto"/>
            </w:tcBorders>
          </w:tcPr>
          <w:p w14:paraId="6DB7B7DD" w14:textId="77777777" w:rsidR="006952A0" w:rsidRPr="00D272CC" w:rsidRDefault="006952A0" w:rsidP="00736F35">
            <w:pPr>
              <w:pStyle w:val="Table"/>
              <w:jc w:val="center"/>
              <w:rPr>
                <w:szCs w:val="20"/>
                <w:lang w:val="en-GB"/>
              </w:rPr>
            </w:pPr>
          </w:p>
        </w:tc>
        <w:tc>
          <w:tcPr>
            <w:tcW w:w="1347" w:type="dxa"/>
            <w:tcBorders>
              <w:top w:val="single" w:sz="4" w:space="0" w:color="auto"/>
            </w:tcBorders>
          </w:tcPr>
          <w:p w14:paraId="3C159C56" w14:textId="77777777" w:rsidR="006952A0" w:rsidRPr="00D272CC" w:rsidRDefault="006952A0" w:rsidP="00736F35">
            <w:pPr>
              <w:pStyle w:val="Table"/>
              <w:jc w:val="center"/>
              <w:rPr>
                <w:szCs w:val="20"/>
                <w:lang w:val="en-GB"/>
              </w:rPr>
            </w:pPr>
          </w:p>
        </w:tc>
      </w:tr>
      <w:tr w:rsidR="006952A0" w:rsidRPr="00D272CC" w14:paraId="54FBC2E4" w14:textId="77777777" w:rsidTr="006952A0">
        <w:tc>
          <w:tcPr>
            <w:tcW w:w="3686" w:type="dxa"/>
          </w:tcPr>
          <w:p w14:paraId="48D4F0BC" w14:textId="77777777" w:rsidR="006952A0" w:rsidRPr="00D272CC" w:rsidRDefault="006952A0" w:rsidP="001E66A8">
            <w:pPr>
              <w:pStyle w:val="Table"/>
              <w:rPr>
                <w:b/>
                <w:szCs w:val="20"/>
                <w:lang w:val="en-GB"/>
              </w:rPr>
            </w:pPr>
            <w:r w:rsidRPr="00D272CC">
              <w:rPr>
                <w:b/>
                <w:szCs w:val="20"/>
                <w:lang w:val="en-GB"/>
              </w:rPr>
              <w:t xml:space="preserve">Qualitative characteristics – </w:t>
            </w:r>
            <w:r w:rsidRPr="00D272CC">
              <w:rPr>
                <w:b/>
                <w:i/>
                <w:szCs w:val="20"/>
                <w:lang w:val="en-GB"/>
              </w:rPr>
              <w:t>Framework</w:t>
            </w:r>
          </w:p>
        </w:tc>
        <w:tc>
          <w:tcPr>
            <w:tcW w:w="1346" w:type="dxa"/>
          </w:tcPr>
          <w:p w14:paraId="2C2434A4" w14:textId="77777777" w:rsidR="006952A0" w:rsidRPr="00D272CC" w:rsidRDefault="006952A0" w:rsidP="00736F35">
            <w:pPr>
              <w:pStyle w:val="Table"/>
              <w:jc w:val="center"/>
              <w:rPr>
                <w:szCs w:val="20"/>
                <w:lang w:val="en-GB"/>
              </w:rPr>
            </w:pPr>
          </w:p>
        </w:tc>
        <w:tc>
          <w:tcPr>
            <w:tcW w:w="1347" w:type="dxa"/>
          </w:tcPr>
          <w:p w14:paraId="040430FA" w14:textId="77777777" w:rsidR="006952A0" w:rsidRPr="00D272CC" w:rsidRDefault="006952A0" w:rsidP="00736F35">
            <w:pPr>
              <w:pStyle w:val="Table"/>
              <w:jc w:val="center"/>
              <w:rPr>
                <w:lang w:val="en-GB"/>
              </w:rPr>
            </w:pPr>
          </w:p>
        </w:tc>
        <w:tc>
          <w:tcPr>
            <w:tcW w:w="1347" w:type="dxa"/>
          </w:tcPr>
          <w:p w14:paraId="2FD79F8B" w14:textId="77777777" w:rsidR="006952A0" w:rsidRPr="00D272CC" w:rsidRDefault="006952A0" w:rsidP="00736F35">
            <w:pPr>
              <w:pStyle w:val="Table"/>
              <w:jc w:val="center"/>
              <w:rPr>
                <w:lang w:val="en-GB"/>
              </w:rPr>
            </w:pPr>
          </w:p>
        </w:tc>
        <w:tc>
          <w:tcPr>
            <w:tcW w:w="1347" w:type="dxa"/>
          </w:tcPr>
          <w:p w14:paraId="7E105E3A" w14:textId="77777777" w:rsidR="006952A0" w:rsidRPr="00D272CC" w:rsidRDefault="006952A0" w:rsidP="00736F35">
            <w:pPr>
              <w:pStyle w:val="Table"/>
              <w:jc w:val="center"/>
              <w:rPr>
                <w:lang w:val="en-GB"/>
              </w:rPr>
            </w:pPr>
          </w:p>
        </w:tc>
      </w:tr>
      <w:tr w:rsidR="00077D80" w:rsidRPr="00D272CC" w14:paraId="390C06FA" w14:textId="77777777" w:rsidTr="0067327A">
        <w:tc>
          <w:tcPr>
            <w:tcW w:w="3686" w:type="dxa"/>
          </w:tcPr>
          <w:p w14:paraId="59708D5A" w14:textId="77777777" w:rsidR="00077D80" w:rsidRPr="00D272CC" w:rsidRDefault="00077D80" w:rsidP="001E66A8">
            <w:pPr>
              <w:pStyle w:val="Table"/>
              <w:rPr>
                <w:b/>
                <w:szCs w:val="20"/>
                <w:lang w:val="en-GB"/>
              </w:rPr>
            </w:pPr>
            <w:r w:rsidRPr="00D272CC">
              <w:rPr>
                <w:szCs w:val="20"/>
                <w:lang w:val="en-GB"/>
              </w:rPr>
              <w:t>- Reliability</w:t>
            </w:r>
          </w:p>
        </w:tc>
        <w:tc>
          <w:tcPr>
            <w:tcW w:w="1346" w:type="dxa"/>
            <w:vAlign w:val="bottom"/>
          </w:tcPr>
          <w:p w14:paraId="4DEB9E72" w14:textId="77777777" w:rsidR="00077D80" w:rsidRPr="00D272CC" w:rsidRDefault="00077D80" w:rsidP="00736F35">
            <w:pPr>
              <w:pStyle w:val="Table"/>
              <w:jc w:val="center"/>
              <w:rPr>
                <w:szCs w:val="20"/>
                <w:lang w:val="en-GB"/>
              </w:rPr>
            </w:pPr>
            <w:r w:rsidRPr="00D272CC">
              <w:rPr>
                <w:lang w:val="en-GB"/>
              </w:rPr>
              <w:t>3</w:t>
            </w:r>
          </w:p>
        </w:tc>
        <w:tc>
          <w:tcPr>
            <w:tcW w:w="1347" w:type="dxa"/>
            <w:vAlign w:val="bottom"/>
          </w:tcPr>
          <w:p w14:paraId="632A52B4" w14:textId="77777777" w:rsidR="00077D80" w:rsidRPr="00D272CC" w:rsidRDefault="00077D80" w:rsidP="00736F35">
            <w:pPr>
              <w:pStyle w:val="Table"/>
              <w:jc w:val="center"/>
              <w:rPr>
                <w:lang w:val="en-GB"/>
              </w:rPr>
            </w:pPr>
            <w:r w:rsidRPr="00D272CC">
              <w:rPr>
                <w:lang w:val="en-GB"/>
              </w:rPr>
              <w:t>0</w:t>
            </w:r>
          </w:p>
        </w:tc>
        <w:tc>
          <w:tcPr>
            <w:tcW w:w="1347" w:type="dxa"/>
            <w:vAlign w:val="bottom"/>
          </w:tcPr>
          <w:p w14:paraId="69B3B4AE" w14:textId="77777777" w:rsidR="00077D80" w:rsidRPr="00D272CC" w:rsidRDefault="00077D80" w:rsidP="00736F35">
            <w:pPr>
              <w:pStyle w:val="Table"/>
              <w:jc w:val="center"/>
              <w:rPr>
                <w:lang w:val="en-GB"/>
              </w:rPr>
            </w:pPr>
            <w:r w:rsidRPr="00D272CC">
              <w:rPr>
                <w:lang w:val="en-GB"/>
              </w:rPr>
              <w:t>3</w:t>
            </w:r>
          </w:p>
        </w:tc>
        <w:tc>
          <w:tcPr>
            <w:tcW w:w="1347" w:type="dxa"/>
            <w:vAlign w:val="bottom"/>
          </w:tcPr>
          <w:p w14:paraId="2E2769A1" w14:textId="77777777" w:rsidR="00077D80" w:rsidRPr="00D272CC" w:rsidRDefault="00077D80" w:rsidP="00077D80">
            <w:pPr>
              <w:pStyle w:val="Table"/>
              <w:jc w:val="center"/>
              <w:rPr>
                <w:lang w:val="en-GB"/>
              </w:rPr>
            </w:pPr>
            <w:r w:rsidRPr="00D272CC">
              <w:rPr>
                <w:lang w:val="en-GB"/>
              </w:rPr>
              <w:t>2 (67%)</w:t>
            </w:r>
          </w:p>
        </w:tc>
      </w:tr>
      <w:tr w:rsidR="00077D80" w:rsidRPr="00D272CC" w14:paraId="0CC824FF" w14:textId="77777777" w:rsidTr="006952A0">
        <w:tc>
          <w:tcPr>
            <w:tcW w:w="3686" w:type="dxa"/>
          </w:tcPr>
          <w:p w14:paraId="1D747539" w14:textId="77777777" w:rsidR="00077D80" w:rsidRPr="00D272CC" w:rsidRDefault="00077D80" w:rsidP="00736F35">
            <w:pPr>
              <w:pStyle w:val="Table"/>
              <w:rPr>
                <w:szCs w:val="20"/>
                <w:lang w:val="en-GB"/>
              </w:rPr>
            </w:pPr>
            <w:r w:rsidRPr="00D272CC">
              <w:rPr>
                <w:szCs w:val="20"/>
                <w:lang w:val="en-GB"/>
              </w:rPr>
              <w:t>- Relevance</w:t>
            </w:r>
          </w:p>
        </w:tc>
        <w:tc>
          <w:tcPr>
            <w:tcW w:w="1346" w:type="dxa"/>
            <w:vAlign w:val="bottom"/>
          </w:tcPr>
          <w:p w14:paraId="17C1BB5D" w14:textId="77777777" w:rsidR="00077D80" w:rsidRPr="00D272CC" w:rsidRDefault="00077D80" w:rsidP="00EA1456">
            <w:pPr>
              <w:pStyle w:val="Table"/>
              <w:jc w:val="center"/>
              <w:rPr>
                <w:lang w:val="en-GB"/>
              </w:rPr>
            </w:pPr>
            <w:r w:rsidRPr="00D272CC">
              <w:rPr>
                <w:lang w:val="en-GB"/>
              </w:rPr>
              <w:t>2</w:t>
            </w:r>
            <w:r w:rsidR="001F04F0" w:rsidRPr="00D272CC">
              <w:rPr>
                <w:lang w:val="en-GB"/>
              </w:rPr>
              <w:t>5</w:t>
            </w:r>
          </w:p>
        </w:tc>
        <w:tc>
          <w:tcPr>
            <w:tcW w:w="1347" w:type="dxa"/>
            <w:vAlign w:val="bottom"/>
          </w:tcPr>
          <w:p w14:paraId="7E3DA657" w14:textId="77777777" w:rsidR="00077D80" w:rsidRPr="00D272CC" w:rsidRDefault="00077D80" w:rsidP="006952A0">
            <w:pPr>
              <w:pStyle w:val="Table"/>
              <w:jc w:val="center"/>
              <w:rPr>
                <w:lang w:val="en-GB"/>
              </w:rPr>
            </w:pPr>
            <w:r w:rsidRPr="00D272CC">
              <w:rPr>
                <w:lang w:val="en-GB"/>
              </w:rPr>
              <w:t>7</w:t>
            </w:r>
          </w:p>
        </w:tc>
        <w:tc>
          <w:tcPr>
            <w:tcW w:w="1347" w:type="dxa"/>
            <w:vAlign w:val="bottom"/>
          </w:tcPr>
          <w:p w14:paraId="1E23435B" w14:textId="77777777" w:rsidR="00077D80" w:rsidRPr="00D272CC" w:rsidRDefault="00077D80" w:rsidP="006952A0">
            <w:pPr>
              <w:pStyle w:val="Table"/>
              <w:jc w:val="center"/>
              <w:rPr>
                <w:lang w:val="en-GB"/>
              </w:rPr>
            </w:pPr>
            <w:r w:rsidRPr="00D272CC">
              <w:rPr>
                <w:lang w:val="en-GB"/>
              </w:rPr>
              <w:t>1</w:t>
            </w:r>
            <w:r w:rsidR="001F04F0" w:rsidRPr="00D272CC">
              <w:rPr>
                <w:lang w:val="en-GB"/>
              </w:rPr>
              <w:t>8</w:t>
            </w:r>
          </w:p>
        </w:tc>
        <w:tc>
          <w:tcPr>
            <w:tcW w:w="1347" w:type="dxa"/>
            <w:vAlign w:val="bottom"/>
          </w:tcPr>
          <w:p w14:paraId="49DBB554" w14:textId="77777777" w:rsidR="00077D80" w:rsidRPr="00D272CC" w:rsidRDefault="00077D80" w:rsidP="00077D80">
            <w:pPr>
              <w:pStyle w:val="Table"/>
              <w:jc w:val="center"/>
              <w:rPr>
                <w:lang w:val="en-GB"/>
              </w:rPr>
            </w:pPr>
            <w:r w:rsidRPr="00D272CC">
              <w:rPr>
                <w:lang w:val="en-GB"/>
              </w:rPr>
              <w:t>14 (5</w:t>
            </w:r>
            <w:r w:rsidR="001F04F0" w:rsidRPr="00D272CC">
              <w:rPr>
                <w:lang w:val="en-GB"/>
              </w:rPr>
              <w:t>6</w:t>
            </w:r>
            <w:r w:rsidRPr="00D272CC">
              <w:rPr>
                <w:lang w:val="en-GB"/>
              </w:rPr>
              <w:t>%)</w:t>
            </w:r>
          </w:p>
        </w:tc>
      </w:tr>
      <w:tr w:rsidR="00077D80" w:rsidRPr="00D272CC" w14:paraId="6760F0A5" w14:textId="77777777" w:rsidTr="006952A0">
        <w:tc>
          <w:tcPr>
            <w:tcW w:w="3686" w:type="dxa"/>
          </w:tcPr>
          <w:p w14:paraId="753FF711" w14:textId="77777777" w:rsidR="00077D80" w:rsidRPr="00D272CC" w:rsidRDefault="00077D80" w:rsidP="002A0874">
            <w:pPr>
              <w:pStyle w:val="Table"/>
              <w:rPr>
                <w:szCs w:val="20"/>
                <w:lang w:val="en-GB"/>
              </w:rPr>
            </w:pPr>
            <w:r w:rsidRPr="00D272CC">
              <w:rPr>
                <w:szCs w:val="20"/>
                <w:lang w:val="en-GB"/>
              </w:rPr>
              <w:t>- Faithful representation</w:t>
            </w:r>
          </w:p>
        </w:tc>
        <w:tc>
          <w:tcPr>
            <w:tcW w:w="1346" w:type="dxa"/>
            <w:vAlign w:val="bottom"/>
          </w:tcPr>
          <w:p w14:paraId="31F63C5D" w14:textId="77777777" w:rsidR="00077D80" w:rsidRPr="00D272CC" w:rsidRDefault="00077D80" w:rsidP="00EA1456">
            <w:pPr>
              <w:pStyle w:val="Table"/>
              <w:jc w:val="center"/>
              <w:rPr>
                <w:lang w:val="en-GB"/>
              </w:rPr>
            </w:pPr>
            <w:r w:rsidRPr="00D272CC">
              <w:rPr>
                <w:lang w:val="en-GB"/>
              </w:rPr>
              <w:t>24</w:t>
            </w:r>
          </w:p>
        </w:tc>
        <w:tc>
          <w:tcPr>
            <w:tcW w:w="1347" w:type="dxa"/>
            <w:vAlign w:val="bottom"/>
          </w:tcPr>
          <w:p w14:paraId="4E7698EC" w14:textId="77777777" w:rsidR="00077D80" w:rsidRPr="00D272CC" w:rsidRDefault="00077D80" w:rsidP="006952A0">
            <w:pPr>
              <w:pStyle w:val="Table"/>
              <w:jc w:val="center"/>
              <w:rPr>
                <w:lang w:val="en-GB"/>
              </w:rPr>
            </w:pPr>
            <w:r w:rsidRPr="00D272CC">
              <w:rPr>
                <w:lang w:val="en-GB"/>
              </w:rPr>
              <w:t>1</w:t>
            </w:r>
            <w:r w:rsidR="001F04F0" w:rsidRPr="00D272CC">
              <w:rPr>
                <w:lang w:val="en-GB"/>
              </w:rPr>
              <w:t>2</w:t>
            </w:r>
          </w:p>
        </w:tc>
        <w:tc>
          <w:tcPr>
            <w:tcW w:w="1347" w:type="dxa"/>
            <w:vAlign w:val="bottom"/>
          </w:tcPr>
          <w:p w14:paraId="36D5671B" w14:textId="77777777" w:rsidR="00077D80" w:rsidRPr="00D272CC" w:rsidRDefault="00077D80" w:rsidP="006952A0">
            <w:pPr>
              <w:pStyle w:val="Table"/>
              <w:jc w:val="center"/>
              <w:rPr>
                <w:lang w:val="en-GB"/>
              </w:rPr>
            </w:pPr>
            <w:r w:rsidRPr="00D272CC">
              <w:rPr>
                <w:lang w:val="en-GB"/>
              </w:rPr>
              <w:t>1</w:t>
            </w:r>
            <w:r w:rsidR="001F04F0" w:rsidRPr="00D272CC">
              <w:rPr>
                <w:lang w:val="en-GB"/>
              </w:rPr>
              <w:t>2</w:t>
            </w:r>
          </w:p>
        </w:tc>
        <w:tc>
          <w:tcPr>
            <w:tcW w:w="1347" w:type="dxa"/>
            <w:vAlign w:val="bottom"/>
          </w:tcPr>
          <w:p w14:paraId="33E15AB0" w14:textId="77777777" w:rsidR="00077D80" w:rsidRPr="00D272CC" w:rsidRDefault="00077D80" w:rsidP="00077D80">
            <w:pPr>
              <w:pStyle w:val="Table"/>
              <w:jc w:val="center"/>
              <w:rPr>
                <w:lang w:val="en-GB"/>
              </w:rPr>
            </w:pPr>
            <w:r w:rsidRPr="00D272CC">
              <w:rPr>
                <w:lang w:val="en-GB"/>
              </w:rPr>
              <w:t>20 (83%*)</w:t>
            </w:r>
          </w:p>
        </w:tc>
      </w:tr>
      <w:tr w:rsidR="00077D80" w:rsidRPr="00D272CC" w14:paraId="568388B8" w14:textId="77777777" w:rsidTr="006952A0">
        <w:tc>
          <w:tcPr>
            <w:tcW w:w="3686" w:type="dxa"/>
          </w:tcPr>
          <w:p w14:paraId="0CFCDA90" w14:textId="77777777" w:rsidR="00077D80" w:rsidRPr="00D272CC" w:rsidRDefault="00077D80" w:rsidP="00F41AA5">
            <w:pPr>
              <w:pStyle w:val="Table"/>
              <w:rPr>
                <w:i/>
                <w:szCs w:val="20"/>
                <w:lang w:val="en-GB"/>
              </w:rPr>
            </w:pPr>
            <w:r w:rsidRPr="00D272CC">
              <w:rPr>
                <w:i/>
                <w:szCs w:val="20"/>
                <w:lang w:val="en-GB"/>
              </w:rPr>
              <w:t xml:space="preserve">   thereof: inferred</w:t>
            </w:r>
          </w:p>
        </w:tc>
        <w:tc>
          <w:tcPr>
            <w:tcW w:w="1346" w:type="dxa"/>
            <w:vAlign w:val="bottom"/>
          </w:tcPr>
          <w:p w14:paraId="5B597A03" w14:textId="77777777" w:rsidR="00077D80" w:rsidRPr="00D272CC" w:rsidRDefault="00077D80" w:rsidP="00EA1456">
            <w:pPr>
              <w:pStyle w:val="Table"/>
              <w:jc w:val="center"/>
              <w:rPr>
                <w:i/>
                <w:lang w:val="en-GB"/>
              </w:rPr>
            </w:pPr>
            <w:r w:rsidRPr="00D272CC">
              <w:rPr>
                <w:i/>
                <w:lang w:val="en-GB"/>
              </w:rPr>
              <w:t>24</w:t>
            </w:r>
          </w:p>
        </w:tc>
        <w:tc>
          <w:tcPr>
            <w:tcW w:w="1347" w:type="dxa"/>
            <w:vAlign w:val="bottom"/>
          </w:tcPr>
          <w:p w14:paraId="12AAABAB" w14:textId="77777777" w:rsidR="00077D80" w:rsidRPr="00D272CC" w:rsidRDefault="00077D80" w:rsidP="006952A0">
            <w:pPr>
              <w:pStyle w:val="Table"/>
              <w:jc w:val="center"/>
              <w:rPr>
                <w:i/>
                <w:lang w:val="en-GB"/>
              </w:rPr>
            </w:pPr>
            <w:r w:rsidRPr="00D272CC">
              <w:rPr>
                <w:i/>
                <w:lang w:val="en-GB"/>
              </w:rPr>
              <w:t>1</w:t>
            </w:r>
            <w:r w:rsidR="001F04F0" w:rsidRPr="00D272CC">
              <w:rPr>
                <w:i/>
                <w:lang w:val="en-GB"/>
              </w:rPr>
              <w:t>2</w:t>
            </w:r>
          </w:p>
        </w:tc>
        <w:tc>
          <w:tcPr>
            <w:tcW w:w="1347" w:type="dxa"/>
            <w:vAlign w:val="bottom"/>
          </w:tcPr>
          <w:p w14:paraId="38888C26" w14:textId="77777777" w:rsidR="00077D80" w:rsidRPr="00D272CC" w:rsidRDefault="00077D80" w:rsidP="006952A0">
            <w:pPr>
              <w:pStyle w:val="Table"/>
              <w:jc w:val="center"/>
              <w:rPr>
                <w:i/>
                <w:lang w:val="en-GB"/>
              </w:rPr>
            </w:pPr>
            <w:r w:rsidRPr="00D272CC">
              <w:rPr>
                <w:i/>
                <w:lang w:val="en-GB"/>
              </w:rPr>
              <w:t>1</w:t>
            </w:r>
            <w:r w:rsidR="001F04F0" w:rsidRPr="00D272CC">
              <w:rPr>
                <w:i/>
                <w:lang w:val="en-GB"/>
              </w:rPr>
              <w:t>2</w:t>
            </w:r>
          </w:p>
        </w:tc>
        <w:tc>
          <w:tcPr>
            <w:tcW w:w="1347" w:type="dxa"/>
            <w:vAlign w:val="bottom"/>
          </w:tcPr>
          <w:p w14:paraId="69755D27" w14:textId="77777777" w:rsidR="00077D80" w:rsidRPr="00D272CC" w:rsidRDefault="00077D80" w:rsidP="00077D80">
            <w:pPr>
              <w:pStyle w:val="Table"/>
              <w:jc w:val="center"/>
              <w:rPr>
                <w:i/>
                <w:lang w:val="en-GB"/>
              </w:rPr>
            </w:pPr>
            <w:r w:rsidRPr="00D272CC">
              <w:rPr>
                <w:i/>
                <w:lang w:val="en-GB"/>
              </w:rPr>
              <w:t>20 (83%*)</w:t>
            </w:r>
          </w:p>
        </w:tc>
      </w:tr>
      <w:tr w:rsidR="00077D80" w:rsidRPr="00D272CC" w14:paraId="5CC171BF" w14:textId="77777777" w:rsidTr="006952A0">
        <w:tc>
          <w:tcPr>
            <w:tcW w:w="3686" w:type="dxa"/>
          </w:tcPr>
          <w:p w14:paraId="0F20D5BC" w14:textId="77777777" w:rsidR="00077D80" w:rsidRPr="00D272CC" w:rsidRDefault="00077D80" w:rsidP="00736F35">
            <w:pPr>
              <w:pStyle w:val="Table"/>
              <w:rPr>
                <w:szCs w:val="20"/>
                <w:lang w:val="en-GB"/>
              </w:rPr>
            </w:pPr>
            <w:r w:rsidRPr="00D272CC">
              <w:rPr>
                <w:szCs w:val="20"/>
                <w:lang w:val="en-GB"/>
              </w:rPr>
              <w:t>- Comparability</w:t>
            </w:r>
          </w:p>
        </w:tc>
        <w:tc>
          <w:tcPr>
            <w:tcW w:w="1346" w:type="dxa"/>
            <w:vAlign w:val="bottom"/>
          </w:tcPr>
          <w:p w14:paraId="79B44D6F" w14:textId="77777777" w:rsidR="00077D80" w:rsidRPr="00D272CC" w:rsidRDefault="00077D80" w:rsidP="00EA1456">
            <w:pPr>
              <w:pStyle w:val="Table"/>
              <w:jc w:val="center"/>
              <w:rPr>
                <w:lang w:val="en-GB"/>
              </w:rPr>
            </w:pPr>
            <w:r w:rsidRPr="00D272CC">
              <w:rPr>
                <w:lang w:val="en-GB"/>
              </w:rPr>
              <w:t>45</w:t>
            </w:r>
          </w:p>
        </w:tc>
        <w:tc>
          <w:tcPr>
            <w:tcW w:w="1347" w:type="dxa"/>
            <w:vAlign w:val="bottom"/>
          </w:tcPr>
          <w:p w14:paraId="150B87C0" w14:textId="77777777" w:rsidR="00077D80" w:rsidRPr="00D272CC" w:rsidRDefault="00077D80" w:rsidP="006952A0">
            <w:pPr>
              <w:pStyle w:val="Table"/>
              <w:jc w:val="center"/>
              <w:rPr>
                <w:lang w:val="en-GB"/>
              </w:rPr>
            </w:pPr>
            <w:r w:rsidRPr="00D272CC">
              <w:rPr>
                <w:lang w:val="en-GB"/>
              </w:rPr>
              <w:t>21</w:t>
            </w:r>
          </w:p>
        </w:tc>
        <w:tc>
          <w:tcPr>
            <w:tcW w:w="1347" w:type="dxa"/>
            <w:vAlign w:val="bottom"/>
          </w:tcPr>
          <w:p w14:paraId="76637DEE" w14:textId="77777777" w:rsidR="00077D80" w:rsidRPr="00D272CC" w:rsidRDefault="00077D80" w:rsidP="006952A0">
            <w:pPr>
              <w:pStyle w:val="Table"/>
              <w:jc w:val="center"/>
              <w:rPr>
                <w:lang w:val="en-GB"/>
              </w:rPr>
            </w:pPr>
            <w:r w:rsidRPr="00D272CC">
              <w:rPr>
                <w:lang w:val="en-GB"/>
              </w:rPr>
              <w:t>24</w:t>
            </w:r>
          </w:p>
        </w:tc>
        <w:tc>
          <w:tcPr>
            <w:tcW w:w="1347" w:type="dxa"/>
            <w:vAlign w:val="bottom"/>
          </w:tcPr>
          <w:p w14:paraId="61E3019B" w14:textId="77777777" w:rsidR="00077D80" w:rsidRPr="00D272CC" w:rsidRDefault="00077D80" w:rsidP="00077D80">
            <w:pPr>
              <w:pStyle w:val="Table"/>
              <w:jc w:val="center"/>
              <w:rPr>
                <w:lang w:val="en-GB"/>
              </w:rPr>
            </w:pPr>
            <w:r w:rsidRPr="00D272CC">
              <w:rPr>
                <w:lang w:val="en-GB"/>
              </w:rPr>
              <w:t>29 (64%)</w:t>
            </w:r>
          </w:p>
        </w:tc>
      </w:tr>
      <w:tr w:rsidR="00077D80" w:rsidRPr="00D272CC" w14:paraId="500CD610" w14:textId="77777777" w:rsidTr="006952A0">
        <w:tc>
          <w:tcPr>
            <w:tcW w:w="3686" w:type="dxa"/>
          </w:tcPr>
          <w:p w14:paraId="04358F72" w14:textId="77777777" w:rsidR="00077D80" w:rsidRPr="00D272CC" w:rsidRDefault="00077D80" w:rsidP="00736F35">
            <w:pPr>
              <w:pStyle w:val="Table"/>
              <w:rPr>
                <w:szCs w:val="20"/>
                <w:lang w:val="en-GB"/>
              </w:rPr>
            </w:pPr>
            <w:r w:rsidRPr="00D272CC">
              <w:rPr>
                <w:szCs w:val="20"/>
                <w:lang w:val="en-GB"/>
              </w:rPr>
              <w:t>- Verifiability</w:t>
            </w:r>
          </w:p>
        </w:tc>
        <w:tc>
          <w:tcPr>
            <w:tcW w:w="1346" w:type="dxa"/>
            <w:vAlign w:val="bottom"/>
          </w:tcPr>
          <w:p w14:paraId="15CCC0D7" w14:textId="77777777" w:rsidR="00077D80" w:rsidRPr="00D272CC" w:rsidRDefault="00077D80" w:rsidP="00EA1456">
            <w:pPr>
              <w:pStyle w:val="Table"/>
              <w:jc w:val="center"/>
              <w:rPr>
                <w:lang w:val="en-GB"/>
              </w:rPr>
            </w:pPr>
            <w:r w:rsidRPr="00D272CC">
              <w:rPr>
                <w:lang w:val="en-GB"/>
              </w:rPr>
              <w:t>1</w:t>
            </w:r>
          </w:p>
        </w:tc>
        <w:tc>
          <w:tcPr>
            <w:tcW w:w="1347" w:type="dxa"/>
            <w:vAlign w:val="bottom"/>
          </w:tcPr>
          <w:p w14:paraId="6B0EA2F6" w14:textId="77777777" w:rsidR="00077D80" w:rsidRPr="00D272CC" w:rsidRDefault="00077D80" w:rsidP="006952A0">
            <w:pPr>
              <w:pStyle w:val="Table"/>
              <w:jc w:val="center"/>
              <w:rPr>
                <w:lang w:val="en-GB"/>
              </w:rPr>
            </w:pPr>
            <w:r w:rsidRPr="00D272CC">
              <w:rPr>
                <w:lang w:val="en-GB"/>
              </w:rPr>
              <w:t>0</w:t>
            </w:r>
          </w:p>
        </w:tc>
        <w:tc>
          <w:tcPr>
            <w:tcW w:w="1347" w:type="dxa"/>
            <w:vAlign w:val="bottom"/>
          </w:tcPr>
          <w:p w14:paraId="2B8EB3AD"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1C8FB483" w14:textId="77777777" w:rsidR="00077D80" w:rsidRPr="00D272CC" w:rsidRDefault="00077D80" w:rsidP="00077D80">
            <w:pPr>
              <w:pStyle w:val="Table"/>
              <w:jc w:val="center"/>
              <w:rPr>
                <w:lang w:val="en-GB"/>
              </w:rPr>
            </w:pPr>
            <w:r w:rsidRPr="00D272CC">
              <w:rPr>
                <w:lang w:val="en-GB"/>
              </w:rPr>
              <w:t>0 (0%)</w:t>
            </w:r>
          </w:p>
        </w:tc>
      </w:tr>
      <w:tr w:rsidR="00077D80" w:rsidRPr="00D272CC" w14:paraId="15A266AF" w14:textId="77777777" w:rsidTr="006952A0">
        <w:tc>
          <w:tcPr>
            <w:tcW w:w="3686" w:type="dxa"/>
          </w:tcPr>
          <w:p w14:paraId="177D00CD" w14:textId="77777777" w:rsidR="00077D80" w:rsidRPr="00D272CC" w:rsidRDefault="00077D80" w:rsidP="009951F1">
            <w:pPr>
              <w:pStyle w:val="Table"/>
              <w:rPr>
                <w:szCs w:val="20"/>
                <w:lang w:val="en-GB"/>
              </w:rPr>
            </w:pPr>
            <w:r w:rsidRPr="00D272CC">
              <w:rPr>
                <w:szCs w:val="20"/>
                <w:lang w:val="en-GB"/>
              </w:rPr>
              <w:t>- Timeliness</w:t>
            </w:r>
          </w:p>
        </w:tc>
        <w:tc>
          <w:tcPr>
            <w:tcW w:w="1346" w:type="dxa"/>
            <w:vAlign w:val="bottom"/>
          </w:tcPr>
          <w:p w14:paraId="31947BE9" w14:textId="77777777" w:rsidR="00077D80" w:rsidRPr="00D272CC" w:rsidRDefault="00077D80" w:rsidP="00EA1456">
            <w:pPr>
              <w:pStyle w:val="Table"/>
              <w:jc w:val="center"/>
              <w:rPr>
                <w:lang w:val="en-GB"/>
              </w:rPr>
            </w:pPr>
            <w:r w:rsidRPr="00D272CC">
              <w:rPr>
                <w:lang w:val="en-GB"/>
              </w:rPr>
              <w:t>-</w:t>
            </w:r>
          </w:p>
        </w:tc>
        <w:tc>
          <w:tcPr>
            <w:tcW w:w="1347" w:type="dxa"/>
            <w:vAlign w:val="bottom"/>
          </w:tcPr>
          <w:p w14:paraId="28625F68" w14:textId="77777777" w:rsidR="00077D80" w:rsidRPr="00D272CC" w:rsidRDefault="00077D80" w:rsidP="006952A0">
            <w:pPr>
              <w:pStyle w:val="Table"/>
              <w:jc w:val="center"/>
              <w:rPr>
                <w:lang w:val="en-GB"/>
              </w:rPr>
            </w:pPr>
            <w:r w:rsidRPr="00D272CC">
              <w:rPr>
                <w:lang w:val="en-GB"/>
              </w:rPr>
              <w:t>-</w:t>
            </w:r>
          </w:p>
        </w:tc>
        <w:tc>
          <w:tcPr>
            <w:tcW w:w="1347" w:type="dxa"/>
            <w:vAlign w:val="bottom"/>
          </w:tcPr>
          <w:p w14:paraId="60F2D060" w14:textId="77777777" w:rsidR="00077D80" w:rsidRPr="00D272CC" w:rsidRDefault="00077D80" w:rsidP="006952A0">
            <w:pPr>
              <w:pStyle w:val="Table"/>
              <w:jc w:val="center"/>
              <w:rPr>
                <w:lang w:val="en-GB"/>
              </w:rPr>
            </w:pPr>
            <w:r w:rsidRPr="00D272CC">
              <w:rPr>
                <w:lang w:val="en-GB"/>
              </w:rPr>
              <w:t>-</w:t>
            </w:r>
          </w:p>
        </w:tc>
        <w:tc>
          <w:tcPr>
            <w:tcW w:w="1347" w:type="dxa"/>
            <w:vAlign w:val="bottom"/>
          </w:tcPr>
          <w:p w14:paraId="5E30EA89" w14:textId="77777777" w:rsidR="00077D80" w:rsidRPr="00D272CC" w:rsidRDefault="00077D80" w:rsidP="00077D80">
            <w:pPr>
              <w:pStyle w:val="Table"/>
              <w:jc w:val="center"/>
              <w:rPr>
                <w:lang w:val="en-GB"/>
              </w:rPr>
            </w:pPr>
            <w:r w:rsidRPr="00D272CC">
              <w:rPr>
                <w:lang w:val="en-GB"/>
              </w:rPr>
              <w:t>- (-)</w:t>
            </w:r>
          </w:p>
        </w:tc>
      </w:tr>
      <w:tr w:rsidR="00077D80" w:rsidRPr="00D272CC" w14:paraId="7FFC48CF" w14:textId="77777777" w:rsidTr="006952A0">
        <w:tc>
          <w:tcPr>
            <w:tcW w:w="3686" w:type="dxa"/>
          </w:tcPr>
          <w:p w14:paraId="124A040B" w14:textId="77777777" w:rsidR="00077D80" w:rsidRPr="00D272CC" w:rsidRDefault="00077D80" w:rsidP="004C0BF3">
            <w:pPr>
              <w:pStyle w:val="Table"/>
              <w:rPr>
                <w:szCs w:val="20"/>
                <w:lang w:val="en-GB"/>
              </w:rPr>
            </w:pPr>
            <w:r w:rsidRPr="00D272CC">
              <w:rPr>
                <w:szCs w:val="20"/>
                <w:lang w:val="en-GB"/>
              </w:rPr>
              <w:t>- Understandability</w:t>
            </w:r>
          </w:p>
        </w:tc>
        <w:tc>
          <w:tcPr>
            <w:tcW w:w="1346" w:type="dxa"/>
            <w:vAlign w:val="bottom"/>
          </w:tcPr>
          <w:p w14:paraId="3C89E3E0" w14:textId="77777777" w:rsidR="00077D80" w:rsidRPr="00D272CC" w:rsidRDefault="00077D80" w:rsidP="00EA1456">
            <w:pPr>
              <w:pStyle w:val="Table"/>
              <w:jc w:val="center"/>
              <w:rPr>
                <w:lang w:val="en-GB"/>
              </w:rPr>
            </w:pPr>
            <w:r w:rsidRPr="00D272CC">
              <w:rPr>
                <w:lang w:val="en-GB"/>
              </w:rPr>
              <w:t>1</w:t>
            </w:r>
            <w:r w:rsidR="001F04F0" w:rsidRPr="00D272CC">
              <w:rPr>
                <w:lang w:val="en-GB"/>
              </w:rPr>
              <w:t>1</w:t>
            </w:r>
          </w:p>
        </w:tc>
        <w:tc>
          <w:tcPr>
            <w:tcW w:w="1347" w:type="dxa"/>
            <w:vAlign w:val="bottom"/>
          </w:tcPr>
          <w:p w14:paraId="10F7E5F7" w14:textId="77777777" w:rsidR="00077D80" w:rsidRPr="00D272CC" w:rsidRDefault="001F04F0" w:rsidP="006952A0">
            <w:pPr>
              <w:pStyle w:val="Table"/>
              <w:jc w:val="center"/>
              <w:rPr>
                <w:lang w:val="en-GB"/>
              </w:rPr>
            </w:pPr>
            <w:r w:rsidRPr="00D272CC">
              <w:rPr>
                <w:lang w:val="en-GB"/>
              </w:rPr>
              <w:t>5</w:t>
            </w:r>
          </w:p>
        </w:tc>
        <w:tc>
          <w:tcPr>
            <w:tcW w:w="1347" w:type="dxa"/>
            <w:vAlign w:val="bottom"/>
          </w:tcPr>
          <w:p w14:paraId="113DE330" w14:textId="77777777" w:rsidR="00077D80" w:rsidRPr="00D272CC" w:rsidRDefault="00077D80" w:rsidP="006952A0">
            <w:pPr>
              <w:pStyle w:val="Table"/>
              <w:jc w:val="center"/>
              <w:rPr>
                <w:lang w:val="en-GB"/>
              </w:rPr>
            </w:pPr>
            <w:r w:rsidRPr="00D272CC">
              <w:rPr>
                <w:lang w:val="en-GB"/>
              </w:rPr>
              <w:t>6</w:t>
            </w:r>
          </w:p>
        </w:tc>
        <w:tc>
          <w:tcPr>
            <w:tcW w:w="1347" w:type="dxa"/>
            <w:vAlign w:val="bottom"/>
          </w:tcPr>
          <w:p w14:paraId="0E417398" w14:textId="77777777" w:rsidR="00077D80" w:rsidRPr="00D272CC" w:rsidRDefault="00077D80" w:rsidP="00077D80">
            <w:pPr>
              <w:pStyle w:val="Table"/>
              <w:jc w:val="center"/>
              <w:rPr>
                <w:lang w:val="en-GB"/>
              </w:rPr>
            </w:pPr>
            <w:r w:rsidRPr="00D272CC">
              <w:rPr>
                <w:lang w:val="en-GB"/>
              </w:rPr>
              <w:t>5 (</w:t>
            </w:r>
            <w:r w:rsidR="001F04F0" w:rsidRPr="00D272CC">
              <w:rPr>
                <w:lang w:val="en-GB"/>
              </w:rPr>
              <w:t>45</w:t>
            </w:r>
            <w:r w:rsidRPr="00D272CC">
              <w:rPr>
                <w:lang w:val="en-GB"/>
              </w:rPr>
              <w:t>%)</w:t>
            </w:r>
          </w:p>
        </w:tc>
      </w:tr>
      <w:tr w:rsidR="00077D80" w:rsidRPr="00D272CC" w14:paraId="4DA438AC" w14:textId="77777777" w:rsidTr="006952A0">
        <w:tc>
          <w:tcPr>
            <w:tcW w:w="3686" w:type="dxa"/>
          </w:tcPr>
          <w:p w14:paraId="0C822F0E" w14:textId="77777777" w:rsidR="00077D80" w:rsidRPr="00D272CC" w:rsidRDefault="00077D80" w:rsidP="004C0BF3">
            <w:pPr>
              <w:pStyle w:val="Table"/>
              <w:rPr>
                <w:i/>
                <w:szCs w:val="20"/>
                <w:lang w:val="en-GB"/>
              </w:rPr>
            </w:pPr>
            <w:r w:rsidRPr="00D272CC">
              <w:rPr>
                <w:i/>
                <w:szCs w:val="20"/>
                <w:lang w:val="en-GB"/>
              </w:rPr>
              <w:t xml:space="preserve">   thereof: inferred</w:t>
            </w:r>
          </w:p>
        </w:tc>
        <w:tc>
          <w:tcPr>
            <w:tcW w:w="1346" w:type="dxa"/>
            <w:vAlign w:val="bottom"/>
          </w:tcPr>
          <w:p w14:paraId="7953D751" w14:textId="77777777" w:rsidR="00077D80" w:rsidRPr="00D272CC" w:rsidRDefault="001F04F0" w:rsidP="00EA1456">
            <w:pPr>
              <w:pStyle w:val="Table"/>
              <w:jc w:val="center"/>
              <w:rPr>
                <w:i/>
                <w:lang w:val="en-GB"/>
              </w:rPr>
            </w:pPr>
            <w:r w:rsidRPr="00D272CC">
              <w:rPr>
                <w:i/>
                <w:lang w:val="en-GB"/>
              </w:rPr>
              <w:t>7</w:t>
            </w:r>
          </w:p>
        </w:tc>
        <w:tc>
          <w:tcPr>
            <w:tcW w:w="1347" w:type="dxa"/>
            <w:vAlign w:val="bottom"/>
          </w:tcPr>
          <w:p w14:paraId="20783736" w14:textId="77777777" w:rsidR="00077D80" w:rsidRPr="00D272CC" w:rsidRDefault="001F04F0" w:rsidP="006952A0">
            <w:pPr>
              <w:pStyle w:val="Table"/>
              <w:jc w:val="center"/>
              <w:rPr>
                <w:i/>
                <w:lang w:val="en-GB"/>
              </w:rPr>
            </w:pPr>
            <w:r w:rsidRPr="00D272CC">
              <w:rPr>
                <w:i/>
                <w:lang w:val="en-GB"/>
              </w:rPr>
              <w:t>2</w:t>
            </w:r>
          </w:p>
        </w:tc>
        <w:tc>
          <w:tcPr>
            <w:tcW w:w="1347" w:type="dxa"/>
            <w:vAlign w:val="bottom"/>
          </w:tcPr>
          <w:p w14:paraId="3EEAE4F7" w14:textId="77777777" w:rsidR="00077D80" w:rsidRPr="00D272CC" w:rsidRDefault="00077D80" w:rsidP="006952A0">
            <w:pPr>
              <w:pStyle w:val="Table"/>
              <w:jc w:val="center"/>
              <w:rPr>
                <w:i/>
                <w:lang w:val="en-GB"/>
              </w:rPr>
            </w:pPr>
            <w:r w:rsidRPr="00D272CC">
              <w:rPr>
                <w:i/>
                <w:lang w:val="en-GB"/>
              </w:rPr>
              <w:t>5</w:t>
            </w:r>
          </w:p>
        </w:tc>
        <w:tc>
          <w:tcPr>
            <w:tcW w:w="1347" w:type="dxa"/>
            <w:vAlign w:val="bottom"/>
          </w:tcPr>
          <w:p w14:paraId="545EA31B" w14:textId="77777777" w:rsidR="00077D80" w:rsidRPr="00D272CC" w:rsidRDefault="00077D80" w:rsidP="00077D80">
            <w:pPr>
              <w:pStyle w:val="Table"/>
              <w:jc w:val="center"/>
              <w:rPr>
                <w:i/>
                <w:lang w:val="en-GB"/>
              </w:rPr>
            </w:pPr>
            <w:r w:rsidRPr="00D272CC">
              <w:rPr>
                <w:i/>
                <w:lang w:val="en-GB"/>
              </w:rPr>
              <w:t>4 (</w:t>
            </w:r>
            <w:r w:rsidR="001F04F0" w:rsidRPr="00D272CC">
              <w:rPr>
                <w:i/>
                <w:lang w:val="en-GB"/>
              </w:rPr>
              <w:t>57</w:t>
            </w:r>
            <w:r w:rsidRPr="00D272CC">
              <w:rPr>
                <w:i/>
                <w:lang w:val="en-GB"/>
              </w:rPr>
              <w:t>%)</w:t>
            </w:r>
          </w:p>
        </w:tc>
      </w:tr>
      <w:tr w:rsidR="00077D80" w:rsidRPr="00D272CC" w14:paraId="12AF6E3A" w14:textId="77777777" w:rsidTr="006952A0">
        <w:tc>
          <w:tcPr>
            <w:tcW w:w="3686" w:type="dxa"/>
          </w:tcPr>
          <w:p w14:paraId="301EED9C" w14:textId="77777777" w:rsidR="00077D80" w:rsidRPr="00D272CC" w:rsidRDefault="00077D80" w:rsidP="004C0BF3">
            <w:pPr>
              <w:pStyle w:val="Table"/>
              <w:rPr>
                <w:szCs w:val="20"/>
                <w:lang w:val="en-GB"/>
              </w:rPr>
            </w:pPr>
            <w:r w:rsidRPr="00D272CC">
              <w:rPr>
                <w:szCs w:val="20"/>
                <w:lang w:val="en-GB"/>
              </w:rPr>
              <w:t>- Prudence/conservatism</w:t>
            </w:r>
          </w:p>
        </w:tc>
        <w:tc>
          <w:tcPr>
            <w:tcW w:w="1346" w:type="dxa"/>
            <w:vAlign w:val="bottom"/>
          </w:tcPr>
          <w:p w14:paraId="2D8E4C52" w14:textId="77777777" w:rsidR="00077D80" w:rsidRPr="00D272CC" w:rsidRDefault="00077D80" w:rsidP="00EA1456">
            <w:pPr>
              <w:pStyle w:val="Table"/>
              <w:jc w:val="center"/>
              <w:rPr>
                <w:lang w:val="en-GB"/>
              </w:rPr>
            </w:pPr>
            <w:r w:rsidRPr="00D272CC">
              <w:rPr>
                <w:lang w:val="en-GB"/>
              </w:rPr>
              <w:t>1</w:t>
            </w:r>
          </w:p>
        </w:tc>
        <w:tc>
          <w:tcPr>
            <w:tcW w:w="1347" w:type="dxa"/>
            <w:vAlign w:val="bottom"/>
          </w:tcPr>
          <w:p w14:paraId="4712A6AD" w14:textId="77777777" w:rsidR="00077D80" w:rsidRPr="00D272CC" w:rsidRDefault="00077D80" w:rsidP="006952A0">
            <w:pPr>
              <w:pStyle w:val="Table"/>
              <w:jc w:val="center"/>
              <w:rPr>
                <w:lang w:val="en-GB"/>
              </w:rPr>
            </w:pPr>
            <w:r w:rsidRPr="00D272CC">
              <w:rPr>
                <w:lang w:val="en-GB"/>
              </w:rPr>
              <w:t>0</w:t>
            </w:r>
          </w:p>
        </w:tc>
        <w:tc>
          <w:tcPr>
            <w:tcW w:w="1347" w:type="dxa"/>
            <w:vAlign w:val="bottom"/>
          </w:tcPr>
          <w:p w14:paraId="3191203A"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278E21B2" w14:textId="77777777" w:rsidR="00077D80" w:rsidRPr="00D272CC" w:rsidRDefault="00077D80" w:rsidP="00077D80">
            <w:pPr>
              <w:pStyle w:val="Table"/>
              <w:jc w:val="center"/>
              <w:rPr>
                <w:lang w:val="en-GB"/>
              </w:rPr>
            </w:pPr>
            <w:r w:rsidRPr="00D272CC">
              <w:rPr>
                <w:lang w:val="en-GB"/>
              </w:rPr>
              <w:t>1 (100%)</w:t>
            </w:r>
          </w:p>
        </w:tc>
      </w:tr>
      <w:tr w:rsidR="00077D80" w:rsidRPr="00D272CC" w14:paraId="301BD442" w14:textId="77777777" w:rsidTr="006952A0">
        <w:tc>
          <w:tcPr>
            <w:tcW w:w="3686" w:type="dxa"/>
          </w:tcPr>
          <w:p w14:paraId="6F246243" w14:textId="77777777" w:rsidR="00077D80" w:rsidRPr="00D272CC" w:rsidRDefault="00077D80" w:rsidP="004C0BF3">
            <w:pPr>
              <w:pStyle w:val="Table"/>
              <w:rPr>
                <w:szCs w:val="20"/>
                <w:lang w:val="en-GB"/>
              </w:rPr>
            </w:pPr>
            <w:r w:rsidRPr="00D272CC">
              <w:rPr>
                <w:szCs w:val="20"/>
                <w:lang w:val="en-GB"/>
              </w:rPr>
              <w:t>- Accruals/matching</w:t>
            </w:r>
          </w:p>
        </w:tc>
        <w:tc>
          <w:tcPr>
            <w:tcW w:w="1346" w:type="dxa"/>
            <w:vAlign w:val="bottom"/>
          </w:tcPr>
          <w:p w14:paraId="61DA9135" w14:textId="77777777" w:rsidR="00077D80" w:rsidRPr="00D272CC" w:rsidRDefault="00077D80" w:rsidP="00EA1456">
            <w:pPr>
              <w:pStyle w:val="Table"/>
              <w:jc w:val="center"/>
              <w:rPr>
                <w:lang w:val="en-GB"/>
              </w:rPr>
            </w:pPr>
            <w:r w:rsidRPr="00D272CC">
              <w:rPr>
                <w:lang w:val="en-GB"/>
              </w:rPr>
              <w:t>1</w:t>
            </w:r>
          </w:p>
        </w:tc>
        <w:tc>
          <w:tcPr>
            <w:tcW w:w="1347" w:type="dxa"/>
            <w:vAlign w:val="bottom"/>
          </w:tcPr>
          <w:p w14:paraId="19019B9D" w14:textId="77777777" w:rsidR="00077D80" w:rsidRPr="00D272CC" w:rsidRDefault="00077D80" w:rsidP="006952A0">
            <w:pPr>
              <w:pStyle w:val="Table"/>
              <w:jc w:val="center"/>
              <w:rPr>
                <w:lang w:val="en-GB"/>
              </w:rPr>
            </w:pPr>
            <w:r w:rsidRPr="00D272CC">
              <w:rPr>
                <w:lang w:val="en-GB"/>
              </w:rPr>
              <w:t>0</w:t>
            </w:r>
          </w:p>
        </w:tc>
        <w:tc>
          <w:tcPr>
            <w:tcW w:w="1347" w:type="dxa"/>
            <w:vAlign w:val="bottom"/>
          </w:tcPr>
          <w:p w14:paraId="6DBB8516"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4DED9FE4" w14:textId="77777777" w:rsidR="00077D80" w:rsidRPr="00D272CC" w:rsidRDefault="00077D80" w:rsidP="00077D80">
            <w:pPr>
              <w:pStyle w:val="Table"/>
              <w:jc w:val="center"/>
              <w:rPr>
                <w:lang w:val="en-GB"/>
              </w:rPr>
            </w:pPr>
            <w:r w:rsidRPr="00D272CC">
              <w:rPr>
                <w:lang w:val="en-GB"/>
              </w:rPr>
              <w:t>1 (100%)</w:t>
            </w:r>
          </w:p>
        </w:tc>
      </w:tr>
      <w:tr w:rsidR="00DB4C62" w:rsidRPr="00D272CC" w14:paraId="363991E5" w14:textId="77777777" w:rsidTr="006952A0">
        <w:tc>
          <w:tcPr>
            <w:tcW w:w="3686" w:type="dxa"/>
          </w:tcPr>
          <w:p w14:paraId="36AAA711" w14:textId="77777777" w:rsidR="00DB4C62" w:rsidRPr="00D272CC" w:rsidRDefault="00DB4C62" w:rsidP="00736F35">
            <w:pPr>
              <w:pStyle w:val="Table"/>
              <w:rPr>
                <w:szCs w:val="20"/>
                <w:lang w:val="en-GB"/>
              </w:rPr>
            </w:pPr>
          </w:p>
        </w:tc>
        <w:tc>
          <w:tcPr>
            <w:tcW w:w="1346" w:type="dxa"/>
            <w:vAlign w:val="bottom"/>
          </w:tcPr>
          <w:p w14:paraId="4BD80EC4" w14:textId="77777777" w:rsidR="00DB4C62" w:rsidRPr="00D272CC" w:rsidRDefault="00DB4C62" w:rsidP="00EA1456">
            <w:pPr>
              <w:pStyle w:val="Table"/>
              <w:jc w:val="center"/>
              <w:rPr>
                <w:lang w:val="en-GB"/>
              </w:rPr>
            </w:pPr>
          </w:p>
        </w:tc>
        <w:tc>
          <w:tcPr>
            <w:tcW w:w="1347" w:type="dxa"/>
          </w:tcPr>
          <w:p w14:paraId="3ABB5C01" w14:textId="77777777" w:rsidR="00DB4C62" w:rsidRPr="00D272CC" w:rsidRDefault="00DB4C62" w:rsidP="006952A0">
            <w:pPr>
              <w:pStyle w:val="Table"/>
              <w:jc w:val="center"/>
              <w:rPr>
                <w:lang w:val="en-GB"/>
              </w:rPr>
            </w:pPr>
          </w:p>
        </w:tc>
        <w:tc>
          <w:tcPr>
            <w:tcW w:w="1347" w:type="dxa"/>
          </w:tcPr>
          <w:p w14:paraId="40C5744B" w14:textId="77777777" w:rsidR="00DB4C62" w:rsidRPr="00D272CC" w:rsidRDefault="00DB4C62" w:rsidP="006952A0">
            <w:pPr>
              <w:pStyle w:val="Table"/>
              <w:jc w:val="center"/>
              <w:rPr>
                <w:lang w:val="en-GB"/>
              </w:rPr>
            </w:pPr>
          </w:p>
        </w:tc>
        <w:tc>
          <w:tcPr>
            <w:tcW w:w="1347" w:type="dxa"/>
            <w:vAlign w:val="bottom"/>
          </w:tcPr>
          <w:p w14:paraId="720B4A98" w14:textId="77777777" w:rsidR="00DB4C62" w:rsidRPr="00D272CC" w:rsidRDefault="00DB4C62" w:rsidP="00077D80">
            <w:pPr>
              <w:pStyle w:val="Table"/>
              <w:jc w:val="center"/>
              <w:rPr>
                <w:lang w:val="en-GB"/>
              </w:rPr>
            </w:pPr>
          </w:p>
        </w:tc>
      </w:tr>
      <w:tr w:rsidR="00DB4C62" w:rsidRPr="00D272CC" w14:paraId="372AE646" w14:textId="77777777" w:rsidTr="006952A0">
        <w:tc>
          <w:tcPr>
            <w:tcW w:w="3686" w:type="dxa"/>
          </w:tcPr>
          <w:p w14:paraId="599ECE97" w14:textId="77777777" w:rsidR="00DB4C62" w:rsidRPr="00D272CC" w:rsidRDefault="00DB4C62" w:rsidP="00B00991">
            <w:pPr>
              <w:pStyle w:val="Table"/>
              <w:rPr>
                <w:b/>
                <w:szCs w:val="20"/>
                <w:lang w:val="en-GB"/>
              </w:rPr>
            </w:pPr>
            <w:r w:rsidRPr="00D272CC">
              <w:rPr>
                <w:b/>
                <w:szCs w:val="20"/>
                <w:lang w:val="en-GB"/>
              </w:rPr>
              <w:t>Qualitative characteristic – other</w:t>
            </w:r>
          </w:p>
        </w:tc>
        <w:tc>
          <w:tcPr>
            <w:tcW w:w="1346" w:type="dxa"/>
            <w:vAlign w:val="bottom"/>
          </w:tcPr>
          <w:p w14:paraId="3C684CE0" w14:textId="77777777" w:rsidR="00DB4C62" w:rsidRPr="00D272CC" w:rsidRDefault="00DB4C62" w:rsidP="00EA1456">
            <w:pPr>
              <w:pStyle w:val="Table"/>
              <w:jc w:val="center"/>
              <w:rPr>
                <w:lang w:val="en-GB"/>
              </w:rPr>
            </w:pPr>
          </w:p>
        </w:tc>
        <w:tc>
          <w:tcPr>
            <w:tcW w:w="1347" w:type="dxa"/>
          </w:tcPr>
          <w:p w14:paraId="0859F4EF" w14:textId="77777777" w:rsidR="00DB4C62" w:rsidRPr="00D272CC" w:rsidRDefault="00DB4C62" w:rsidP="006952A0">
            <w:pPr>
              <w:pStyle w:val="Table"/>
              <w:jc w:val="center"/>
              <w:rPr>
                <w:lang w:val="en-GB"/>
              </w:rPr>
            </w:pPr>
          </w:p>
        </w:tc>
        <w:tc>
          <w:tcPr>
            <w:tcW w:w="1347" w:type="dxa"/>
          </w:tcPr>
          <w:p w14:paraId="7E163A34" w14:textId="77777777" w:rsidR="00DB4C62" w:rsidRPr="00D272CC" w:rsidRDefault="00DB4C62" w:rsidP="006952A0">
            <w:pPr>
              <w:pStyle w:val="Table"/>
              <w:jc w:val="center"/>
              <w:rPr>
                <w:lang w:val="en-GB"/>
              </w:rPr>
            </w:pPr>
          </w:p>
        </w:tc>
        <w:tc>
          <w:tcPr>
            <w:tcW w:w="1347" w:type="dxa"/>
            <w:vAlign w:val="bottom"/>
          </w:tcPr>
          <w:p w14:paraId="35C3E4BD" w14:textId="77777777" w:rsidR="00DB4C62" w:rsidRPr="00D272CC" w:rsidRDefault="00DB4C62" w:rsidP="00077D80">
            <w:pPr>
              <w:pStyle w:val="Table"/>
              <w:jc w:val="center"/>
              <w:rPr>
                <w:lang w:val="en-GB"/>
              </w:rPr>
            </w:pPr>
          </w:p>
        </w:tc>
      </w:tr>
      <w:tr w:rsidR="00077D80" w:rsidRPr="00D272CC" w14:paraId="7D472AE5" w14:textId="77777777" w:rsidTr="006952A0">
        <w:tc>
          <w:tcPr>
            <w:tcW w:w="3686" w:type="dxa"/>
          </w:tcPr>
          <w:p w14:paraId="03D0ED71" w14:textId="77777777" w:rsidR="00077D80" w:rsidRPr="00D272CC" w:rsidRDefault="00077D80" w:rsidP="001E66A8">
            <w:pPr>
              <w:pStyle w:val="Table"/>
              <w:rPr>
                <w:szCs w:val="20"/>
                <w:lang w:val="en-GB"/>
              </w:rPr>
            </w:pPr>
            <w:r w:rsidRPr="00D272CC">
              <w:rPr>
                <w:szCs w:val="20"/>
                <w:lang w:val="en-GB"/>
              </w:rPr>
              <w:t>- Transparency</w:t>
            </w:r>
          </w:p>
        </w:tc>
        <w:tc>
          <w:tcPr>
            <w:tcW w:w="1346" w:type="dxa"/>
            <w:vAlign w:val="bottom"/>
          </w:tcPr>
          <w:p w14:paraId="0131ABA5" w14:textId="77777777" w:rsidR="00077D80" w:rsidRPr="00D272CC" w:rsidRDefault="00077D80" w:rsidP="00EA1456">
            <w:pPr>
              <w:pStyle w:val="Table"/>
              <w:jc w:val="center"/>
              <w:rPr>
                <w:lang w:val="en-GB"/>
              </w:rPr>
            </w:pPr>
            <w:r w:rsidRPr="00D272CC">
              <w:rPr>
                <w:lang w:val="en-GB"/>
              </w:rPr>
              <w:t>1</w:t>
            </w:r>
            <w:r w:rsidR="001F04F0" w:rsidRPr="00D272CC">
              <w:rPr>
                <w:lang w:val="en-GB"/>
              </w:rPr>
              <w:t>8</w:t>
            </w:r>
          </w:p>
        </w:tc>
        <w:tc>
          <w:tcPr>
            <w:tcW w:w="1347" w:type="dxa"/>
            <w:vAlign w:val="bottom"/>
          </w:tcPr>
          <w:p w14:paraId="69929721" w14:textId="77777777" w:rsidR="00077D80" w:rsidRPr="00D272CC" w:rsidRDefault="00077D80" w:rsidP="006952A0">
            <w:pPr>
              <w:pStyle w:val="Table"/>
              <w:jc w:val="center"/>
              <w:rPr>
                <w:lang w:val="en-GB"/>
              </w:rPr>
            </w:pPr>
            <w:r w:rsidRPr="00D272CC">
              <w:rPr>
                <w:lang w:val="en-GB"/>
              </w:rPr>
              <w:t>9</w:t>
            </w:r>
          </w:p>
        </w:tc>
        <w:tc>
          <w:tcPr>
            <w:tcW w:w="1347" w:type="dxa"/>
            <w:vAlign w:val="bottom"/>
          </w:tcPr>
          <w:p w14:paraId="37BCC40D" w14:textId="77777777" w:rsidR="00077D80" w:rsidRPr="00D272CC" w:rsidRDefault="001F04F0" w:rsidP="006952A0">
            <w:pPr>
              <w:pStyle w:val="Table"/>
              <w:jc w:val="center"/>
              <w:rPr>
                <w:lang w:val="en-GB"/>
              </w:rPr>
            </w:pPr>
            <w:r w:rsidRPr="00D272CC">
              <w:rPr>
                <w:lang w:val="en-GB"/>
              </w:rPr>
              <w:t>9</w:t>
            </w:r>
          </w:p>
        </w:tc>
        <w:tc>
          <w:tcPr>
            <w:tcW w:w="1347" w:type="dxa"/>
            <w:vAlign w:val="bottom"/>
          </w:tcPr>
          <w:p w14:paraId="5FB9FDB6" w14:textId="77777777" w:rsidR="00077D80" w:rsidRPr="00D272CC" w:rsidRDefault="00077D80" w:rsidP="00077D80">
            <w:pPr>
              <w:pStyle w:val="Table"/>
              <w:jc w:val="center"/>
              <w:rPr>
                <w:lang w:val="en-GB"/>
              </w:rPr>
            </w:pPr>
            <w:r w:rsidRPr="00D272CC">
              <w:rPr>
                <w:lang w:val="en-GB"/>
              </w:rPr>
              <w:t>12 (6</w:t>
            </w:r>
            <w:r w:rsidR="001F04F0" w:rsidRPr="00D272CC">
              <w:rPr>
                <w:lang w:val="en-GB"/>
              </w:rPr>
              <w:t>7</w:t>
            </w:r>
            <w:r w:rsidRPr="00D272CC">
              <w:rPr>
                <w:lang w:val="en-GB"/>
              </w:rPr>
              <w:t>%)</w:t>
            </w:r>
          </w:p>
        </w:tc>
      </w:tr>
      <w:tr w:rsidR="00077D80" w:rsidRPr="00D272CC" w14:paraId="54AEB561" w14:textId="77777777" w:rsidTr="006952A0">
        <w:tc>
          <w:tcPr>
            <w:tcW w:w="3686" w:type="dxa"/>
          </w:tcPr>
          <w:p w14:paraId="2E459618" w14:textId="77777777" w:rsidR="00077D80" w:rsidRPr="00D272CC" w:rsidRDefault="00077D80" w:rsidP="001E66A8">
            <w:pPr>
              <w:pStyle w:val="Table"/>
              <w:rPr>
                <w:i/>
                <w:szCs w:val="20"/>
                <w:lang w:val="en-GB"/>
              </w:rPr>
            </w:pPr>
            <w:r w:rsidRPr="00D272CC">
              <w:rPr>
                <w:i/>
                <w:szCs w:val="20"/>
                <w:lang w:val="en-GB"/>
              </w:rPr>
              <w:t xml:space="preserve">   thereof: inferred</w:t>
            </w:r>
          </w:p>
        </w:tc>
        <w:tc>
          <w:tcPr>
            <w:tcW w:w="1346" w:type="dxa"/>
            <w:vAlign w:val="bottom"/>
          </w:tcPr>
          <w:p w14:paraId="3E9BD6C8" w14:textId="77777777" w:rsidR="00077D80" w:rsidRPr="00D272CC" w:rsidRDefault="001F04F0" w:rsidP="00EA1456">
            <w:pPr>
              <w:pStyle w:val="Table"/>
              <w:jc w:val="center"/>
              <w:rPr>
                <w:i/>
                <w:lang w:val="en-GB"/>
              </w:rPr>
            </w:pPr>
            <w:r w:rsidRPr="00D272CC">
              <w:rPr>
                <w:i/>
                <w:lang w:val="en-GB"/>
              </w:rPr>
              <w:t>8</w:t>
            </w:r>
          </w:p>
        </w:tc>
        <w:tc>
          <w:tcPr>
            <w:tcW w:w="1347" w:type="dxa"/>
            <w:vAlign w:val="bottom"/>
          </w:tcPr>
          <w:p w14:paraId="7B8B9C1B" w14:textId="77777777" w:rsidR="00077D80" w:rsidRPr="00D272CC" w:rsidRDefault="00077D80" w:rsidP="006952A0">
            <w:pPr>
              <w:pStyle w:val="Table"/>
              <w:jc w:val="center"/>
              <w:rPr>
                <w:i/>
                <w:lang w:val="en-GB"/>
              </w:rPr>
            </w:pPr>
            <w:r w:rsidRPr="00D272CC">
              <w:rPr>
                <w:i/>
                <w:lang w:val="en-GB"/>
              </w:rPr>
              <w:t>3</w:t>
            </w:r>
          </w:p>
        </w:tc>
        <w:tc>
          <w:tcPr>
            <w:tcW w:w="1347" w:type="dxa"/>
            <w:vAlign w:val="bottom"/>
          </w:tcPr>
          <w:p w14:paraId="35F0B5C4" w14:textId="77777777" w:rsidR="00077D80" w:rsidRPr="00D272CC" w:rsidRDefault="001F04F0" w:rsidP="006952A0">
            <w:pPr>
              <w:pStyle w:val="Table"/>
              <w:jc w:val="center"/>
              <w:rPr>
                <w:i/>
                <w:lang w:val="en-GB"/>
              </w:rPr>
            </w:pPr>
            <w:r w:rsidRPr="00D272CC">
              <w:rPr>
                <w:i/>
                <w:lang w:val="en-GB"/>
              </w:rPr>
              <w:t>5</w:t>
            </w:r>
          </w:p>
        </w:tc>
        <w:tc>
          <w:tcPr>
            <w:tcW w:w="1347" w:type="dxa"/>
            <w:vAlign w:val="bottom"/>
          </w:tcPr>
          <w:p w14:paraId="6E79E0B7" w14:textId="77777777" w:rsidR="00077D80" w:rsidRPr="00D272CC" w:rsidRDefault="00077D80" w:rsidP="00077D80">
            <w:pPr>
              <w:pStyle w:val="Table"/>
              <w:jc w:val="center"/>
              <w:rPr>
                <w:i/>
                <w:lang w:val="en-GB"/>
              </w:rPr>
            </w:pPr>
            <w:r w:rsidRPr="00D272CC">
              <w:rPr>
                <w:i/>
                <w:lang w:val="en-GB"/>
              </w:rPr>
              <w:t>4 (</w:t>
            </w:r>
            <w:r w:rsidR="001F04F0" w:rsidRPr="00D272CC">
              <w:rPr>
                <w:i/>
                <w:lang w:val="en-GB"/>
              </w:rPr>
              <w:t>50</w:t>
            </w:r>
            <w:r w:rsidRPr="00D272CC">
              <w:rPr>
                <w:i/>
                <w:lang w:val="en-GB"/>
              </w:rPr>
              <w:t>%)</w:t>
            </w:r>
          </w:p>
        </w:tc>
      </w:tr>
      <w:tr w:rsidR="00DB4C62" w:rsidRPr="00D272CC" w14:paraId="3BE8C54D" w14:textId="77777777" w:rsidTr="006952A0">
        <w:tc>
          <w:tcPr>
            <w:tcW w:w="3686" w:type="dxa"/>
          </w:tcPr>
          <w:p w14:paraId="4D712F77" w14:textId="77777777" w:rsidR="00DB4C62" w:rsidRPr="00D272CC" w:rsidRDefault="00DB4C62" w:rsidP="00736F35">
            <w:pPr>
              <w:pStyle w:val="Table"/>
              <w:rPr>
                <w:szCs w:val="20"/>
                <w:lang w:val="en-GB"/>
              </w:rPr>
            </w:pPr>
          </w:p>
        </w:tc>
        <w:tc>
          <w:tcPr>
            <w:tcW w:w="1346" w:type="dxa"/>
            <w:vAlign w:val="bottom"/>
          </w:tcPr>
          <w:p w14:paraId="0A36D149" w14:textId="77777777" w:rsidR="00DB4C62" w:rsidRPr="00D272CC" w:rsidRDefault="00DB4C62" w:rsidP="00EA1456">
            <w:pPr>
              <w:pStyle w:val="Table"/>
              <w:jc w:val="center"/>
              <w:rPr>
                <w:lang w:val="en-GB"/>
              </w:rPr>
            </w:pPr>
          </w:p>
        </w:tc>
        <w:tc>
          <w:tcPr>
            <w:tcW w:w="1347" w:type="dxa"/>
          </w:tcPr>
          <w:p w14:paraId="740783F4" w14:textId="77777777" w:rsidR="00DB4C62" w:rsidRPr="00D272CC" w:rsidRDefault="00DB4C62" w:rsidP="006952A0">
            <w:pPr>
              <w:pStyle w:val="Table"/>
              <w:jc w:val="center"/>
              <w:rPr>
                <w:lang w:val="en-GB"/>
              </w:rPr>
            </w:pPr>
          </w:p>
        </w:tc>
        <w:tc>
          <w:tcPr>
            <w:tcW w:w="1347" w:type="dxa"/>
          </w:tcPr>
          <w:p w14:paraId="5F5E2ECF" w14:textId="77777777" w:rsidR="00DB4C62" w:rsidRPr="00D272CC" w:rsidRDefault="00DB4C62" w:rsidP="006952A0">
            <w:pPr>
              <w:pStyle w:val="Table"/>
              <w:jc w:val="center"/>
              <w:rPr>
                <w:lang w:val="en-GB"/>
              </w:rPr>
            </w:pPr>
          </w:p>
        </w:tc>
        <w:tc>
          <w:tcPr>
            <w:tcW w:w="1347" w:type="dxa"/>
            <w:vAlign w:val="bottom"/>
          </w:tcPr>
          <w:p w14:paraId="3B36AF1D" w14:textId="77777777" w:rsidR="00DB4C62" w:rsidRPr="00D272CC" w:rsidRDefault="00DB4C62" w:rsidP="00077D80">
            <w:pPr>
              <w:pStyle w:val="Table"/>
              <w:jc w:val="center"/>
              <w:rPr>
                <w:lang w:val="en-GB"/>
              </w:rPr>
            </w:pPr>
          </w:p>
        </w:tc>
      </w:tr>
      <w:tr w:rsidR="00DB4C62" w:rsidRPr="00D272CC" w14:paraId="23FDF85C" w14:textId="77777777" w:rsidTr="006952A0">
        <w:tc>
          <w:tcPr>
            <w:tcW w:w="3686" w:type="dxa"/>
          </w:tcPr>
          <w:p w14:paraId="6BE5E5AC" w14:textId="77777777" w:rsidR="00DB4C62" w:rsidRPr="00D272CC" w:rsidRDefault="00DB4C62" w:rsidP="00736F35">
            <w:pPr>
              <w:pStyle w:val="Table"/>
              <w:rPr>
                <w:b/>
                <w:szCs w:val="20"/>
                <w:lang w:val="en-GB"/>
              </w:rPr>
            </w:pPr>
            <w:r w:rsidRPr="00D272CC">
              <w:rPr>
                <w:b/>
                <w:szCs w:val="20"/>
                <w:lang w:val="en-GB"/>
              </w:rPr>
              <w:t>Economic</w:t>
            </w:r>
          </w:p>
        </w:tc>
        <w:tc>
          <w:tcPr>
            <w:tcW w:w="1346" w:type="dxa"/>
            <w:vAlign w:val="bottom"/>
          </w:tcPr>
          <w:p w14:paraId="6DA8FB5B" w14:textId="77777777" w:rsidR="00DB4C62" w:rsidRPr="00D272CC" w:rsidRDefault="00DB4C62" w:rsidP="00EA1456">
            <w:pPr>
              <w:pStyle w:val="Table"/>
              <w:jc w:val="center"/>
              <w:rPr>
                <w:lang w:val="en-GB"/>
              </w:rPr>
            </w:pPr>
          </w:p>
        </w:tc>
        <w:tc>
          <w:tcPr>
            <w:tcW w:w="1347" w:type="dxa"/>
          </w:tcPr>
          <w:p w14:paraId="06BFC647" w14:textId="77777777" w:rsidR="00DB4C62" w:rsidRPr="00D272CC" w:rsidRDefault="00DB4C62" w:rsidP="006952A0">
            <w:pPr>
              <w:pStyle w:val="Table"/>
              <w:jc w:val="center"/>
              <w:rPr>
                <w:lang w:val="en-GB"/>
              </w:rPr>
            </w:pPr>
          </w:p>
        </w:tc>
        <w:tc>
          <w:tcPr>
            <w:tcW w:w="1347" w:type="dxa"/>
          </w:tcPr>
          <w:p w14:paraId="06263AC8" w14:textId="77777777" w:rsidR="00DB4C62" w:rsidRPr="00D272CC" w:rsidRDefault="00DB4C62" w:rsidP="006952A0">
            <w:pPr>
              <w:pStyle w:val="Table"/>
              <w:jc w:val="center"/>
              <w:rPr>
                <w:lang w:val="en-GB"/>
              </w:rPr>
            </w:pPr>
          </w:p>
        </w:tc>
        <w:tc>
          <w:tcPr>
            <w:tcW w:w="1347" w:type="dxa"/>
            <w:vAlign w:val="bottom"/>
          </w:tcPr>
          <w:p w14:paraId="03A9CBD9" w14:textId="77777777" w:rsidR="00DB4C62" w:rsidRPr="00D272CC" w:rsidRDefault="00DB4C62" w:rsidP="00077D80">
            <w:pPr>
              <w:pStyle w:val="Table"/>
              <w:jc w:val="center"/>
              <w:rPr>
                <w:lang w:val="en-GB"/>
              </w:rPr>
            </w:pPr>
          </w:p>
        </w:tc>
      </w:tr>
      <w:tr w:rsidR="00077D80" w:rsidRPr="00D272CC" w14:paraId="33BDE120" w14:textId="77777777" w:rsidTr="006952A0">
        <w:tc>
          <w:tcPr>
            <w:tcW w:w="3686" w:type="dxa"/>
          </w:tcPr>
          <w:p w14:paraId="612DA18F" w14:textId="77777777" w:rsidR="00077D80" w:rsidRPr="00D272CC" w:rsidRDefault="00077D80" w:rsidP="00BE1032">
            <w:pPr>
              <w:pStyle w:val="Table"/>
              <w:rPr>
                <w:szCs w:val="20"/>
                <w:lang w:val="en-GB"/>
              </w:rPr>
            </w:pPr>
            <w:r w:rsidRPr="00D272CC">
              <w:rPr>
                <w:szCs w:val="20"/>
                <w:lang w:val="en-GB"/>
              </w:rPr>
              <w:t>- Firm event</w:t>
            </w:r>
          </w:p>
        </w:tc>
        <w:tc>
          <w:tcPr>
            <w:tcW w:w="1346" w:type="dxa"/>
            <w:vAlign w:val="bottom"/>
          </w:tcPr>
          <w:p w14:paraId="2E9BD75F" w14:textId="77777777" w:rsidR="00077D80" w:rsidRPr="00D272CC" w:rsidRDefault="00077D80" w:rsidP="00EA1456">
            <w:pPr>
              <w:pStyle w:val="Table"/>
              <w:jc w:val="center"/>
              <w:rPr>
                <w:lang w:val="en-GB"/>
              </w:rPr>
            </w:pPr>
            <w:r w:rsidRPr="00D272CC">
              <w:rPr>
                <w:lang w:val="en-GB"/>
              </w:rPr>
              <w:t>14</w:t>
            </w:r>
          </w:p>
        </w:tc>
        <w:tc>
          <w:tcPr>
            <w:tcW w:w="1347" w:type="dxa"/>
            <w:vAlign w:val="bottom"/>
          </w:tcPr>
          <w:p w14:paraId="2BA22AFC" w14:textId="77777777" w:rsidR="00077D80" w:rsidRPr="00D272CC" w:rsidRDefault="00077D80" w:rsidP="006952A0">
            <w:pPr>
              <w:pStyle w:val="Table"/>
              <w:jc w:val="center"/>
              <w:rPr>
                <w:lang w:val="en-GB"/>
              </w:rPr>
            </w:pPr>
            <w:r w:rsidRPr="00D272CC">
              <w:rPr>
                <w:lang w:val="en-GB"/>
              </w:rPr>
              <w:t>8</w:t>
            </w:r>
          </w:p>
        </w:tc>
        <w:tc>
          <w:tcPr>
            <w:tcW w:w="1347" w:type="dxa"/>
            <w:vAlign w:val="bottom"/>
          </w:tcPr>
          <w:p w14:paraId="0757C65D" w14:textId="77777777" w:rsidR="00077D80" w:rsidRPr="00D272CC" w:rsidRDefault="00077D80" w:rsidP="006952A0">
            <w:pPr>
              <w:pStyle w:val="Table"/>
              <w:jc w:val="center"/>
              <w:rPr>
                <w:lang w:val="en-GB"/>
              </w:rPr>
            </w:pPr>
            <w:r w:rsidRPr="00D272CC">
              <w:rPr>
                <w:lang w:val="en-GB"/>
              </w:rPr>
              <w:t>6</w:t>
            </w:r>
          </w:p>
        </w:tc>
        <w:tc>
          <w:tcPr>
            <w:tcW w:w="1347" w:type="dxa"/>
            <w:vAlign w:val="bottom"/>
          </w:tcPr>
          <w:p w14:paraId="4D6195D5" w14:textId="77777777" w:rsidR="00077D80" w:rsidRPr="00D272CC" w:rsidRDefault="00077D80" w:rsidP="00077D80">
            <w:pPr>
              <w:pStyle w:val="Table"/>
              <w:jc w:val="center"/>
              <w:rPr>
                <w:lang w:val="en-GB"/>
              </w:rPr>
            </w:pPr>
            <w:r w:rsidRPr="00D272CC">
              <w:rPr>
                <w:lang w:val="en-GB"/>
              </w:rPr>
              <w:t>10 (71%)</w:t>
            </w:r>
          </w:p>
        </w:tc>
      </w:tr>
      <w:tr w:rsidR="00077D80" w:rsidRPr="00D272CC" w14:paraId="0E00F937" w14:textId="77777777" w:rsidTr="006952A0">
        <w:tc>
          <w:tcPr>
            <w:tcW w:w="3686" w:type="dxa"/>
          </w:tcPr>
          <w:p w14:paraId="16724CD0" w14:textId="77777777" w:rsidR="00077D80" w:rsidRPr="00D272CC" w:rsidRDefault="00077D80" w:rsidP="00BE1032">
            <w:pPr>
              <w:pStyle w:val="Table"/>
              <w:rPr>
                <w:szCs w:val="20"/>
                <w:lang w:val="en-GB"/>
              </w:rPr>
            </w:pPr>
            <w:r w:rsidRPr="00D272CC">
              <w:rPr>
                <w:szCs w:val="20"/>
                <w:lang w:val="en-GB"/>
              </w:rPr>
              <w:t>- Effect on financial statements</w:t>
            </w:r>
          </w:p>
        </w:tc>
        <w:tc>
          <w:tcPr>
            <w:tcW w:w="1346" w:type="dxa"/>
            <w:vAlign w:val="bottom"/>
          </w:tcPr>
          <w:p w14:paraId="39F98647" w14:textId="77777777" w:rsidR="00077D80" w:rsidRPr="00D272CC" w:rsidRDefault="00077D80" w:rsidP="00EA1456">
            <w:pPr>
              <w:pStyle w:val="Table"/>
              <w:jc w:val="center"/>
              <w:rPr>
                <w:lang w:val="en-GB"/>
              </w:rPr>
            </w:pPr>
            <w:r w:rsidRPr="00D272CC">
              <w:rPr>
                <w:lang w:val="en-GB"/>
              </w:rPr>
              <w:t>6</w:t>
            </w:r>
          </w:p>
        </w:tc>
        <w:tc>
          <w:tcPr>
            <w:tcW w:w="1347" w:type="dxa"/>
            <w:vAlign w:val="bottom"/>
          </w:tcPr>
          <w:p w14:paraId="34A12CE8" w14:textId="77777777" w:rsidR="00077D80" w:rsidRPr="00D272CC" w:rsidRDefault="00077D80" w:rsidP="006952A0">
            <w:pPr>
              <w:pStyle w:val="Table"/>
              <w:jc w:val="center"/>
              <w:rPr>
                <w:lang w:val="en-GB"/>
              </w:rPr>
            </w:pPr>
            <w:r w:rsidRPr="00D272CC">
              <w:rPr>
                <w:lang w:val="en-GB"/>
              </w:rPr>
              <w:t>2</w:t>
            </w:r>
          </w:p>
        </w:tc>
        <w:tc>
          <w:tcPr>
            <w:tcW w:w="1347" w:type="dxa"/>
            <w:vAlign w:val="bottom"/>
          </w:tcPr>
          <w:p w14:paraId="26449554" w14:textId="77777777" w:rsidR="00077D80" w:rsidRPr="00D272CC" w:rsidRDefault="00077D80" w:rsidP="006952A0">
            <w:pPr>
              <w:pStyle w:val="Table"/>
              <w:jc w:val="center"/>
              <w:rPr>
                <w:lang w:val="en-GB"/>
              </w:rPr>
            </w:pPr>
            <w:r w:rsidRPr="00D272CC">
              <w:rPr>
                <w:lang w:val="en-GB"/>
              </w:rPr>
              <w:t>4</w:t>
            </w:r>
          </w:p>
        </w:tc>
        <w:tc>
          <w:tcPr>
            <w:tcW w:w="1347" w:type="dxa"/>
            <w:vAlign w:val="bottom"/>
          </w:tcPr>
          <w:p w14:paraId="30217136" w14:textId="77777777" w:rsidR="00077D80" w:rsidRPr="00D272CC" w:rsidRDefault="00077D80" w:rsidP="00077D80">
            <w:pPr>
              <w:pStyle w:val="Table"/>
              <w:jc w:val="center"/>
              <w:rPr>
                <w:lang w:val="en-GB"/>
              </w:rPr>
            </w:pPr>
            <w:r w:rsidRPr="00D272CC">
              <w:rPr>
                <w:lang w:val="en-GB"/>
              </w:rPr>
              <w:t>6 (100%*)</w:t>
            </w:r>
          </w:p>
        </w:tc>
      </w:tr>
      <w:tr w:rsidR="00077D80" w:rsidRPr="00D272CC" w14:paraId="1FC766DD" w14:textId="77777777" w:rsidTr="006952A0">
        <w:tc>
          <w:tcPr>
            <w:tcW w:w="3686" w:type="dxa"/>
          </w:tcPr>
          <w:p w14:paraId="5665693A" w14:textId="77777777" w:rsidR="00077D80" w:rsidRPr="00D272CC" w:rsidRDefault="00077D80" w:rsidP="001B5BEF">
            <w:pPr>
              <w:pStyle w:val="Table"/>
              <w:rPr>
                <w:szCs w:val="20"/>
                <w:lang w:val="en-GB"/>
              </w:rPr>
            </w:pPr>
            <w:r w:rsidRPr="00D272CC">
              <w:rPr>
                <w:szCs w:val="20"/>
                <w:lang w:val="en-GB"/>
              </w:rPr>
              <w:t>- Economic/managerial environment</w:t>
            </w:r>
          </w:p>
        </w:tc>
        <w:tc>
          <w:tcPr>
            <w:tcW w:w="1346" w:type="dxa"/>
            <w:vAlign w:val="bottom"/>
          </w:tcPr>
          <w:p w14:paraId="0B82C365" w14:textId="77777777" w:rsidR="00077D80" w:rsidRPr="00D272CC" w:rsidRDefault="00077D80" w:rsidP="00EA1456">
            <w:pPr>
              <w:pStyle w:val="Table"/>
              <w:jc w:val="center"/>
              <w:rPr>
                <w:lang w:val="en-GB"/>
              </w:rPr>
            </w:pPr>
            <w:r w:rsidRPr="00D272CC">
              <w:rPr>
                <w:lang w:val="en-GB"/>
              </w:rPr>
              <w:t>1</w:t>
            </w:r>
            <w:r w:rsidR="001F04F0" w:rsidRPr="00D272CC">
              <w:rPr>
                <w:lang w:val="en-GB"/>
              </w:rPr>
              <w:t>1</w:t>
            </w:r>
          </w:p>
        </w:tc>
        <w:tc>
          <w:tcPr>
            <w:tcW w:w="1347" w:type="dxa"/>
            <w:vAlign w:val="bottom"/>
          </w:tcPr>
          <w:p w14:paraId="328EADB1" w14:textId="77777777" w:rsidR="00077D80" w:rsidRPr="00D272CC" w:rsidRDefault="00077D80" w:rsidP="006952A0">
            <w:pPr>
              <w:pStyle w:val="Table"/>
              <w:jc w:val="center"/>
              <w:rPr>
                <w:lang w:val="en-GB"/>
              </w:rPr>
            </w:pPr>
            <w:r w:rsidRPr="00D272CC">
              <w:rPr>
                <w:lang w:val="en-GB"/>
              </w:rPr>
              <w:t>3</w:t>
            </w:r>
          </w:p>
        </w:tc>
        <w:tc>
          <w:tcPr>
            <w:tcW w:w="1347" w:type="dxa"/>
            <w:vAlign w:val="bottom"/>
          </w:tcPr>
          <w:p w14:paraId="26AA3B64" w14:textId="77777777" w:rsidR="00077D80" w:rsidRPr="00D272CC" w:rsidRDefault="001F04F0" w:rsidP="006952A0">
            <w:pPr>
              <w:pStyle w:val="Table"/>
              <w:jc w:val="center"/>
              <w:rPr>
                <w:lang w:val="en-GB"/>
              </w:rPr>
            </w:pPr>
            <w:r w:rsidRPr="00D272CC">
              <w:rPr>
                <w:lang w:val="en-GB"/>
              </w:rPr>
              <w:t>8</w:t>
            </w:r>
          </w:p>
        </w:tc>
        <w:tc>
          <w:tcPr>
            <w:tcW w:w="1347" w:type="dxa"/>
            <w:vAlign w:val="bottom"/>
          </w:tcPr>
          <w:p w14:paraId="6BB527DE" w14:textId="77777777" w:rsidR="00077D80" w:rsidRPr="00D272CC" w:rsidRDefault="00077D80" w:rsidP="00077D80">
            <w:pPr>
              <w:pStyle w:val="Table"/>
              <w:jc w:val="center"/>
              <w:rPr>
                <w:lang w:val="en-GB"/>
              </w:rPr>
            </w:pPr>
            <w:r w:rsidRPr="00D272CC">
              <w:rPr>
                <w:lang w:val="en-GB"/>
              </w:rPr>
              <w:t>2 (</w:t>
            </w:r>
            <w:r w:rsidR="001F04F0" w:rsidRPr="00D272CC">
              <w:rPr>
                <w:lang w:val="en-GB"/>
              </w:rPr>
              <w:t>18</w:t>
            </w:r>
            <w:r w:rsidRPr="00D272CC">
              <w:rPr>
                <w:lang w:val="en-GB"/>
              </w:rPr>
              <w:t>%*)</w:t>
            </w:r>
          </w:p>
        </w:tc>
      </w:tr>
      <w:tr w:rsidR="00DB4C62" w:rsidRPr="00D272CC" w14:paraId="3C1C44E8" w14:textId="77777777" w:rsidTr="006952A0">
        <w:tc>
          <w:tcPr>
            <w:tcW w:w="3686" w:type="dxa"/>
          </w:tcPr>
          <w:p w14:paraId="3FC1DF76" w14:textId="77777777" w:rsidR="00DB4C62" w:rsidRPr="00D272CC" w:rsidRDefault="00DB4C62" w:rsidP="001B5BEF">
            <w:pPr>
              <w:pStyle w:val="Table"/>
              <w:rPr>
                <w:szCs w:val="20"/>
                <w:lang w:val="en-GB"/>
              </w:rPr>
            </w:pPr>
          </w:p>
        </w:tc>
        <w:tc>
          <w:tcPr>
            <w:tcW w:w="1346" w:type="dxa"/>
            <w:vAlign w:val="bottom"/>
          </w:tcPr>
          <w:p w14:paraId="0BA68E08" w14:textId="77777777" w:rsidR="00DB4C62" w:rsidRPr="00D272CC" w:rsidRDefault="00DB4C62" w:rsidP="00EA1456">
            <w:pPr>
              <w:pStyle w:val="Table"/>
              <w:jc w:val="center"/>
              <w:rPr>
                <w:lang w:val="en-GB"/>
              </w:rPr>
            </w:pPr>
          </w:p>
        </w:tc>
        <w:tc>
          <w:tcPr>
            <w:tcW w:w="1347" w:type="dxa"/>
          </w:tcPr>
          <w:p w14:paraId="0FA38C6B" w14:textId="77777777" w:rsidR="00DB4C62" w:rsidRPr="00D272CC" w:rsidRDefault="00DB4C62" w:rsidP="006952A0">
            <w:pPr>
              <w:pStyle w:val="Table"/>
              <w:jc w:val="center"/>
              <w:rPr>
                <w:lang w:val="en-GB"/>
              </w:rPr>
            </w:pPr>
          </w:p>
        </w:tc>
        <w:tc>
          <w:tcPr>
            <w:tcW w:w="1347" w:type="dxa"/>
          </w:tcPr>
          <w:p w14:paraId="104EB19A" w14:textId="77777777" w:rsidR="00DB4C62" w:rsidRPr="00D272CC" w:rsidRDefault="00DB4C62" w:rsidP="006952A0">
            <w:pPr>
              <w:pStyle w:val="Table"/>
              <w:jc w:val="center"/>
              <w:rPr>
                <w:lang w:val="en-GB"/>
              </w:rPr>
            </w:pPr>
          </w:p>
        </w:tc>
        <w:tc>
          <w:tcPr>
            <w:tcW w:w="1347" w:type="dxa"/>
            <w:vAlign w:val="bottom"/>
          </w:tcPr>
          <w:p w14:paraId="3600146C" w14:textId="77777777" w:rsidR="00DB4C62" w:rsidRPr="00D272CC" w:rsidRDefault="00DB4C62" w:rsidP="00077D80">
            <w:pPr>
              <w:pStyle w:val="Table"/>
              <w:jc w:val="center"/>
              <w:rPr>
                <w:lang w:val="en-GB"/>
              </w:rPr>
            </w:pPr>
          </w:p>
        </w:tc>
      </w:tr>
      <w:tr w:rsidR="00DB4C62" w:rsidRPr="00D272CC" w14:paraId="503F2E44" w14:textId="77777777" w:rsidTr="006952A0">
        <w:tc>
          <w:tcPr>
            <w:tcW w:w="3686" w:type="dxa"/>
          </w:tcPr>
          <w:p w14:paraId="238C51AC" w14:textId="4F5DB944" w:rsidR="00DB4C62" w:rsidRPr="00D272CC" w:rsidRDefault="00BC28F3" w:rsidP="002E1B5E">
            <w:pPr>
              <w:pStyle w:val="Table"/>
              <w:rPr>
                <w:b/>
                <w:szCs w:val="20"/>
                <w:lang w:val="en-GB"/>
              </w:rPr>
            </w:pPr>
            <w:r>
              <w:rPr>
                <w:b/>
                <w:szCs w:val="20"/>
                <w:lang w:val="en-GB"/>
              </w:rPr>
              <w:t>Other</w:t>
            </w:r>
          </w:p>
        </w:tc>
        <w:tc>
          <w:tcPr>
            <w:tcW w:w="1346" w:type="dxa"/>
            <w:vAlign w:val="bottom"/>
          </w:tcPr>
          <w:p w14:paraId="592601B5" w14:textId="77777777" w:rsidR="00DB4C62" w:rsidRPr="00D272CC" w:rsidRDefault="00DB4C62" w:rsidP="00EA1456">
            <w:pPr>
              <w:pStyle w:val="Table"/>
              <w:jc w:val="center"/>
              <w:rPr>
                <w:lang w:val="en-GB"/>
              </w:rPr>
            </w:pPr>
          </w:p>
        </w:tc>
        <w:tc>
          <w:tcPr>
            <w:tcW w:w="1347" w:type="dxa"/>
          </w:tcPr>
          <w:p w14:paraId="221C6EDF" w14:textId="77777777" w:rsidR="00DB4C62" w:rsidRPr="00D272CC" w:rsidRDefault="00DB4C62" w:rsidP="006952A0">
            <w:pPr>
              <w:pStyle w:val="Table"/>
              <w:jc w:val="center"/>
              <w:rPr>
                <w:lang w:val="en-GB"/>
              </w:rPr>
            </w:pPr>
          </w:p>
        </w:tc>
        <w:tc>
          <w:tcPr>
            <w:tcW w:w="1347" w:type="dxa"/>
          </w:tcPr>
          <w:p w14:paraId="37D62CFD" w14:textId="77777777" w:rsidR="00DB4C62" w:rsidRPr="00D272CC" w:rsidRDefault="00DB4C62" w:rsidP="006952A0">
            <w:pPr>
              <w:pStyle w:val="Table"/>
              <w:jc w:val="center"/>
              <w:rPr>
                <w:lang w:val="en-GB"/>
              </w:rPr>
            </w:pPr>
          </w:p>
        </w:tc>
        <w:tc>
          <w:tcPr>
            <w:tcW w:w="1347" w:type="dxa"/>
            <w:vAlign w:val="bottom"/>
          </w:tcPr>
          <w:p w14:paraId="2E88C6CB" w14:textId="77777777" w:rsidR="00DB4C62" w:rsidRPr="00D272CC" w:rsidRDefault="00DB4C62" w:rsidP="00077D80">
            <w:pPr>
              <w:pStyle w:val="Table"/>
              <w:jc w:val="center"/>
              <w:rPr>
                <w:lang w:val="en-GB"/>
              </w:rPr>
            </w:pPr>
          </w:p>
        </w:tc>
      </w:tr>
      <w:tr w:rsidR="00077D80" w:rsidRPr="00D272CC" w14:paraId="0E15A6EE" w14:textId="77777777" w:rsidTr="006952A0">
        <w:tc>
          <w:tcPr>
            <w:tcW w:w="3686" w:type="dxa"/>
          </w:tcPr>
          <w:p w14:paraId="22DEBC59" w14:textId="77777777" w:rsidR="00077D80" w:rsidRPr="00D272CC" w:rsidRDefault="00077D80" w:rsidP="002E1B5E">
            <w:pPr>
              <w:pStyle w:val="Table"/>
              <w:rPr>
                <w:szCs w:val="20"/>
                <w:lang w:val="en-GB"/>
              </w:rPr>
            </w:pPr>
            <w:r w:rsidRPr="00D272CC">
              <w:rPr>
                <w:szCs w:val="20"/>
                <w:lang w:val="en-GB"/>
              </w:rPr>
              <w:t>- Due to another policy change</w:t>
            </w:r>
          </w:p>
        </w:tc>
        <w:tc>
          <w:tcPr>
            <w:tcW w:w="1346" w:type="dxa"/>
            <w:vAlign w:val="bottom"/>
          </w:tcPr>
          <w:p w14:paraId="55EC6D69" w14:textId="77777777" w:rsidR="00077D80" w:rsidRPr="00D272CC" w:rsidRDefault="001F04F0" w:rsidP="00EA1456">
            <w:pPr>
              <w:pStyle w:val="Table"/>
              <w:jc w:val="center"/>
              <w:rPr>
                <w:lang w:val="en-GB"/>
              </w:rPr>
            </w:pPr>
            <w:r w:rsidRPr="00D272CC">
              <w:rPr>
                <w:lang w:val="en-GB"/>
              </w:rPr>
              <w:t>8</w:t>
            </w:r>
          </w:p>
        </w:tc>
        <w:tc>
          <w:tcPr>
            <w:tcW w:w="1347" w:type="dxa"/>
            <w:vAlign w:val="bottom"/>
          </w:tcPr>
          <w:p w14:paraId="6A2E2F22" w14:textId="77777777" w:rsidR="00077D80" w:rsidRPr="00D272CC" w:rsidRDefault="001F04F0" w:rsidP="006952A0">
            <w:pPr>
              <w:pStyle w:val="Table"/>
              <w:jc w:val="center"/>
              <w:rPr>
                <w:lang w:val="en-GB"/>
              </w:rPr>
            </w:pPr>
            <w:r w:rsidRPr="00D272CC">
              <w:rPr>
                <w:lang w:val="en-GB"/>
              </w:rPr>
              <w:t>8</w:t>
            </w:r>
          </w:p>
        </w:tc>
        <w:tc>
          <w:tcPr>
            <w:tcW w:w="1347" w:type="dxa"/>
            <w:vAlign w:val="bottom"/>
          </w:tcPr>
          <w:p w14:paraId="08D30AF7" w14:textId="77777777" w:rsidR="00077D80" w:rsidRPr="00D272CC" w:rsidRDefault="00077D80" w:rsidP="006952A0">
            <w:pPr>
              <w:pStyle w:val="Table"/>
              <w:jc w:val="center"/>
              <w:rPr>
                <w:lang w:val="en-GB"/>
              </w:rPr>
            </w:pPr>
            <w:r w:rsidRPr="00D272CC">
              <w:rPr>
                <w:lang w:val="en-GB"/>
              </w:rPr>
              <w:t>0</w:t>
            </w:r>
          </w:p>
        </w:tc>
        <w:tc>
          <w:tcPr>
            <w:tcW w:w="1347" w:type="dxa"/>
            <w:vAlign w:val="bottom"/>
          </w:tcPr>
          <w:p w14:paraId="23585084" w14:textId="77777777" w:rsidR="00077D80" w:rsidRPr="00D272CC" w:rsidRDefault="00077D80" w:rsidP="00077D80">
            <w:pPr>
              <w:pStyle w:val="Table"/>
              <w:jc w:val="center"/>
              <w:rPr>
                <w:lang w:val="en-GB"/>
              </w:rPr>
            </w:pPr>
            <w:r w:rsidRPr="00D272CC">
              <w:rPr>
                <w:lang w:val="en-GB"/>
              </w:rPr>
              <w:t>0 (0%*)</w:t>
            </w:r>
          </w:p>
        </w:tc>
      </w:tr>
      <w:tr w:rsidR="00077D80" w:rsidRPr="00D272CC" w14:paraId="181C7EAD" w14:textId="77777777" w:rsidTr="006952A0">
        <w:tc>
          <w:tcPr>
            <w:tcW w:w="3686" w:type="dxa"/>
          </w:tcPr>
          <w:p w14:paraId="6FB1BD2B" w14:textId="77777777" w:rsidR="00077D80" w:rsidRPr="00D272CC" w:rsidRDefault="00077D80" w:rsidP="002E1B5E">
            <w:pPr>
              <w:pStyle w:val="Table"/>
              <w:rPr>
                <w:szCs w:val="20"/>
                <w:lang w:val="en-GB"/>
              </w:rPr>
            </w:pPr>
            <w:r w:rsidRPr="00D272CC">
              <w:rPr>
                <w:szCs w:val="20"/>
                <w:lang w:val="en-GB"/>
              </w:rPr>
              <w:t>- Early adoption of standard</w:t>
            </w:r>
          </w:p>
        </w:tc>
        <w:tc>
          <w:tcPr>
            <w:tcW w:w="1346" w:type="dxa"/>
            <w:vAlign w:val="bottom"/>
          </w:tcPr>
          <w:p w14:paraId="10B30A1E" w14:textId="77777777" w:rsidR="00077D80" w:rsidRPr="00D272CC" w:rsidRDefault="00077D80" w:rsidP="00EA1456">
            <w:pPr>
              <w:pStyle w:val="Table"/>
              <w:jc w:val="center"/>
              <w:rPr>
                <w:lang w:val="en-GB"/>
              </w:rPr>
            </w:pPr>
            <w:r w:rsidRPr="00D272CC">
              <w:rPr>
                <w:lang w:val="en-GB"/>
              </w:rPr>
              <w:t>24</w:t>
            </w:r>
          </w:p>
        </w:tc>
        <w:tc>
          <w:tcPr>
            <w:tcW w:w="1347" w:type="dxa"/>
            <w:vAlign w:val="bottom"/>
          </w:tcPr>
          <w:p w14:paraId="3F97DF2A" w14:textId="77777777" w:rsidR="00077D80" w:rsidRPr="00D272CC" w:rsidRDefault="00077D80" w:rsidP="006952A0">
            <w:pPr>
              <w:pStyle w:val="Table"/>
              <w:jc w:val="center"/>
              <w:rPr>
                <w:lang w:val="en-GB"/>
              </w:rPr>
            </w:pPr>
            <w:r w:rsidRPr="00D272CC">
              <w:rPr>
                <w:lang w:val="en-GB"/>
              </w:rPr>
              <w:t>23</w:t>
            </w:r>
          </w:p>
        </w:tc>
        <w:tc>
          <w:tcPr>
            <w:tcW w:w="1347" w:type="dxa"/>
            <w:vAlign w:val="bottom"/>
          </w:tcPr>
          <w:p w14:paraId="405925ED"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3710BC81" w14:textId="77777777" w:rsidR="00077D80" w:rsidRPr="00D272CC" w:rsidRDefault="00077D80" w:rsidP="00077D80">
            <w:pPr>
              <w:pStyle w:val="Table"/>
              <w:jc w:val="center"/>
              <w:rPr>
                <w:lang w:val="en-GB"/>
              </w:rPr>
            </w:pPr>
            <w:r w:rsidRPr="00D272CC">
              <w:rPr>
                <w:lang w:val="en-GB"/>
              </w:rPr>
              <w:t>8 (33%*)</w:t>
            </w:r>
          </w:p>
        </w:tc>
      </w:tr>
      <w:tr w:rsidR="00077D80" w:rsidRPr="00D272CC" w14:paraId="551D0C02" w14:textId="77777777" w:rsidTr="006952A0">
        <w:tc>
          <w:tcPr>
            <w:tcW w:w="3686" w:type="dxa"/>
          </w:tcPr>
          <w:p w14:paraId="18347636" w14:textId="77777777" w:rsidR="00077D80" w:rsidRPr="00D272CC" w:rsidRDefault="00077D80" w:rsidP="002E1B5E">
            <w:pPr>
              <w:pStyle w:val="Table"/>
              <w:rPr>
                <w:szCs w:val="20"/>
                <w:lang w:val="en-GB"/>
              </w:rPr>
            </w:pPr>
            <w:r w:rsidRPr="00D272CC">
              <w:rPr>
                <w:szCs w:val="20"/>
                <w:lang w:val="en-GB"/>
              </w:rPr>
              <w:t>- Anticipated change to standard</w:t>
            </w:r>
          </w:p>
        </w:tc>
        <w:tc>
          <w:tcPr>
            <w:tcW w:w="1346" w:type="dxa"/>
            <w:vAlign w:val="bottom"/>
          </w:tcPr>
          <w:p w14:paraId="2FA7B469" w14:textId="77777777" w:rsidR="00077D80" w:rsidRPr="00D272CC" w:rsidRDefault="00077D80" w:rsidP="00EA1456">
            <w:pPr>
              <w:pStyle w:val="Table"/>
              <w:jc w:val="center"/>
              <w:rPr>
                <w:lang w:val="en-GB"/>
              </w:rPr>
            </w:pPr>
            <w:r w:rsidRPr="00D272CC">
              <w:rPr>
                <w:lang w:val="en-GB"/>
              </w:rPr>
              <w:t>4</w:t>
            </w:r>
          </w:p>
        </w:tc>
        <w:tc>
          <w:tcPr>
            <w:tcW w:w="1347" w:type="dxa"/>
            <w:vAlign w:val="bottom"/>
          </w:tcPr>
          <w:p w14:paraId="4FC0DBDD"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34BF7E35" w14:textId="77777777" w:rsidR="00077D80" w:rsidRPr="00D272CC" w:rsidRDefault="00077D80" w:rsidP="006952A0">
            <w:pPr>
              <w:pStyle w:val="Table"/>
              <w:jc w:val="center"/>
              <w:rPr>
                <w:lang w:val="en-GB"/>
              </w:rPr>
            </w:pPr>
            <w:r w:rsidRPr="00D272CC">
              <w:rPr>
                <w:lang w:val="en-GB"/>
              </w:rPr>
              <w:t>3</w:t>
            </w:r>
          </w:p>
        </w:tc>
        <w:tc>
          <w:tcPr>
            <w:tcW w:w="1347" w:type="dxa"/>
            <w:vAlign w:val="bottom"/>
          </w:tcPr>
          <w:p w14:paraId="315997B0" w14:textId="77777777" w:rsidR="00077D80" w:rsidRPr="00D272CC" w:rsidRDefault="00077D80" w:rsidP="00077D80">
            <w:pPr>
              <w:pStyle w:val="Table"/>
              <w:jc w:val="center"/>
              <w:rPr>
                <w:lang w:val="en-GB"/>
              </w:rPr>
            </w:pPr>
            <w:r w:rsidRPr="00D272CC">
              <w:rPr>
                <w:lang w:val="en-GB"/>
              </w:rPr>
              <w:t>4 (100%)</w:t>
            </w:r>
          </w:p>
        </w:tc>
      </w:tr>
      <w:tr w:rsidR="00077D80" w:rsidRPr="00D272CC" w14:paraId="3B72EDAF" w14:textId="77777777" w:rsidTr="006952A0">
        <w:tc>
          <w:tcPr>
            <w:tcW w:w="3686" w:type="dxa"/>
          </w:tcPr>
          <w:p w14:paraId="56629718" w14:textId="77777777" w:rsidR="00077D80" w:rsidRPr="00D272CC" w:rsidRDefault="00077D80" w:rsidP="002E1B5E">
            <w:pPr>
              <w:pStyle w:val="Table"/>
              <w:rPr>
                <w:szCs w:val="20"/>
                <w:lang w:val="en-GB"/>
              </w:rPr>
            </w:pPr>
            <w:r w:rsidRPr="00D272CC">
              <w:rPr>
                <w:szCs w:val="20"/>
                <w:lang w:val="en-GB"/>
              </w:rPr>
              <w:t>- Requirements of local regulator</w:t>
            </w:r>
          </w:p>
        </w:tc>
        <w:tc>
          <w:tcPr>
            <w:tcW w:w="1346" w:type="dxa"/>
            <w:vAlign w:val="bottom"/>
          </w:tcPr>
          <w:p w14:paraId="1F4B62EA" w14:textId="77777777" w:rsidR="00077D80" w:rsidRPr="00D272CC" w:rsidRDefault="001F04F0" w:rsidP="00EA1456">
            <w:pPr>
              <w:pStyle w:val="Table"/>
              <w:jc w:val="center"/>
              <w:rPr>
                <w:lang w:val="en-GB"/>
              </w:rPr>
            </w:pPr>
            <w:r w:rsidRPr="00D272CC">
              <w:rPr>
                <w:lang w:val="en-GB"/>
              </w:rPr>
              <w:t>8</w:t>
            </w:r>
          </w:p>
        </w:tc>
        <w:tc>
          <w:tcPr>
            <w:tcW w:w="1347" w:type="dxa"/>
            <w:vAlign w:val="bottom"/>
          </w:tcPr>
          <w:p w14:paraId="2A1E73C4" w14:textId="77777777" w:rsidR="00077D80" w:rsidRPr="00D272CC" w:rsidRDefault="00077D80" w:rsidP="006952A0">
            <w:pPr>
              <w:pStyle w:val="Table"/>
              <w:jc w:val="center"/>
              <w:rPr>
                <w:lang w:val="en-GB"/>
              </w:rPr>
            </w:pPr>
            <w:r w:rsidRPr="00D272CC">
              <w:rPr>
                <w:lang w:val="en-GB"/>
              </w:rPr>
              <w:t>7</w:t>
            </w:r>
          </w:p>
        </w:tc>
        <w:tc>
          <w:tcPr>
            <w:tcW w:w="1347" w:type="dxa"/>
            <w:vAlign w:val="bottom"/>
          </w:tcPr>
          <w:p w14:paraId="6D4BE7FD" w14:textId="77777777" w:rsidR="00077D80" w:rsidRPr="00D272CC" w:rsidRDefault="001F04F0" w:rsidP="006952A0">
            <w:pPr>
              <w:pStyle w:val="Table"/>
              <w:jc w:val="center"/>
              <w:rPr>
                <w:lang w:val="en-GB"/>
              </w:rPr>
            </w:pPr>
            <w:r w:rsidRPr="00D272CC">
              <w:rPr>
                <w:lang w:val="en-GB"/>
              </w:rPr>
              <w:t>1</w:t>
            </w:r>
          </w:p>
        </w:tc>
        <w:tc>
          <w:tcPr>
            <w:tcW w:w="1347" w:type="dxa"/>
            <w:vAlign w:val="bottom"/>
          </w:tcPr>
          <w:p w14:paraId="140FC12F" w14:textId="77777777" w:rsidR="00077D80" w:rsidRPr="00D272CC" w:rsidRDefault="001F04F0" w:rsidP="00077D80">
            <w:pPr>
              <w:pStyle w:val="Table"/>
              <w:jc w:val="center"/>
              <w:rPr>
                <w:lang w:val="en-GB"/>
              </w:rPr>
            </w:pPr>
            <w:r w:rsidRPr="00D272CC">
              <w:rPr>
                <w:lang w:val="en-GB"/>
              </w:rPr>
              <w:t>1</w:t>
            </w:r>
            <w:r w:rsidR="00077D80" w:rsidRPr="00D272CC">
              <w:rPr>
                <w:lang w:val="en-GB"/>
              </w:rPr>
              <w:t xml:space="preserve"> (</w:t>
            </w:r>
            <w:r w:rsidRPr="00D272CC">
              <w:rPr>
                <w:lang w:val="en-GB"/>
              </w:rPr>
              <w:t>13</w:t>
            </w:r>
            <w:r w:rsidR="00077D80" w:rsidRPr="00D272CC">
              <w:rPr>
                <w:lang w:val="en-GB"/>
              </w:rPr>
              <w:t>%*)</w:t>
            </w:r>
          </w:p>
        </w:tc>
      </w:tr>
      <w:tr w:rsidR="00DB4C62" w:rsidRPr="00D272CC" w14:paraId="124BAE66" w14:textId="77777777" w:rsidTr="006952A0">
        <w:tc>
          <w:tcPr>
            <w:tcW w:w="3686" w:type="dxa"/>
          </w:tcPr>
          <w:p w14:paraId="43152299" w14:textId="77777777" w:rsidR="00DB4C62" w:rsidRPr="00D272CC" w:rsidRDefault="00DB4C62" w:rsidP="001B5BEF">
            <w:pPr>
              <w:pStyle w:val="Table"/>
              <w:rPr>
                <w:szCs w:val="20"/>
                <w:lang w:val="en-GB"/>
              </w:rPr>
            </w:pPr>
          </w:p>
        </w:tc>
        <w:tc>
          <w:tcPr>
            <w:tcW w:w="1346" w:type="dxa"/>
            <w:vAlign w:val="bottom"/>
          </w:tcPr>
          <w:p w14:paraId="1CDD2120" w14:textId="77777777" w:rsidR="00DB4C62" w:rsidRPr="00D272CC" w:rsidRDefault="00DB4C62" w:rsidP="00EA1456">
            <w:pPr>
              <w:pStyle w:val="Table"/>
              <w:jc w:val="center"/>
              <w:rPr>
                <w:lang w:val="en-GB"/>
              </w:rPr>
            </w:pPr>
          </w:p>
        </w:tc>
        <w:tc>
          <w:tcPr>
            <w:tcW w:w="1347" w:type="dxa"/>
          </w:tcPr>
          <w:p w14:paraId="6A4C7E6C" w14:textId="77777777" w:rsidR="00DB4C62" w:rsidRPr="00D272CC" w:rsidRDefault="00DB4C62" w:rsidP="006952A0">
            <w:pPr>
              <w:pStyle w:val="Table"/>
              <w:jc w:val="center"/>
              <w:rPr>
                <w:lang w:val="en-GB"/>
              </w:rPr>
            </w:pPr>
          </w:p>
        </w:tc>
        <w:tc>
          <w:tcPr>
            <w:tcW w:w="1347" w:type="dxa"/>
          </w:tcPr>
          <w:p w14:paraId="139ADF1C" w14:textId="77777777" w:rsidR="00DB4C62" w:rsidRPr="00D272CC" w:rsidRDefault="00DB4C62" w:rsidP="006952A0">
            <w:pPr>
              <w:pStyle w:val="Table"/>
              <w:jc w:val="center"/>
              <w:rPr>
                <w:lang w:val="en-GB"/>
              </w:rPr>
            </w:pPr>
          </w:p>
        </w:tc>
        <w:tc>
          <w:tcPr>
            <w:tcW w:w="1347" w:type="dxa"/>
            <w:vAlign w:val="bottom"/>
          </w:tcPr>
          <w:p w14:paraId="376E01E6" w14:textId="77777777" w:rsidR="00DB4C62" w:rsidRPr="00D272CC" w:rsidRDefault="00DB4C62" w:rsidP="00077D80">
            <w:pPr>
              <w:pStyle w:val="Table"/>
              <w:jc w:val="center"/>
              <w:rPr>
                <w:lang w:val="en-GB"/>
              </w:rPr>
            </w:pPr>
          </w:p>
        </w:tc>
      </w:tr>
      <w:tr w:rsidR="00DB4C62" w:rsidRPr="00D272CC" w14:paraId="0CAE7064" w14:textId="77777777" w:rsidTr="006952A0">
        <w:tc>
          <w:tcPr>
            <w:tcW w:w="3686" w:type="dxa"/>
          </w:tcPr>
          <w:p w14:paraId="7C6E2A5C" w14:textId="77777777" w:rsidR="00DB4C62" w:rsidRPr="00D272CC" w:rsidRDefault="00DB4C62" w:rsidP="002A4E89">
            <w:pPr>
              <w:pStyle w:val="Table"/>
              <w:rPr>
                <w:b/>
                <w:szCs w:val="20"/>
                <w:lang w:val="en-GB"/>
              </w:rPr>
            </w:pPr>
            <w:r w:rsidRPr="00D272CC">
              <w:rPr>
                <w:b/>
                <w:szCs w:val="20"/>
                <w:lang w:val="en-GB"/>
              </w:rPr>
              <w:t>Total reasons</w:t>
            </w:r>
          </w:p>
        </w:tc>
        <w:tc>
          <w:tcPr>
            <w:tcW w:w="1346" w:type="dxa"/>
            <w:vAlign w:val="bottom"/>
          </w:tcPr>
          <w:p w14:paraId="295C0B2D" w14:textId="77777777" w:rsidR="00DB4C62" w:rsidRPr="00D272CC" w:rsidRDefault="00DB4C62" w:rsidP="00EA1456">
            <w:pPr>
              <w:pStyle w:val="Table"/>
              <w:jc w:val="center"/>
              <w:rPr>
                <w:b/>
                <w:lang w:val="en-GB"/>
              </w:rPr>
            </w:pPr>
            <w:r w:rsidRPr="00D272CC">
              <w:rPr>
                <w:b/>
                <w:lang w:val="en-GB"/>
              </w:rPr>
              <w:t>204</w:t>
            </w:r>
          </w:p>
        </w:tc>
        <w:tc>
          <w:tcPr>
            <w:tcW w:w="1347" w:type="dxa"/>
            <w:vAlign w:val="bottom"/>
          </w:tcPr>
          <w:p w14:paraId="4B258BA6" w14:textId="77777777" w:rsidR="00DB4C62" w:rsidRPr="00D272CC" w:rsidRDefault="00DB4C62" w:rsidP="006952A0">
            <w:pPr>
              <w:pStyle w:val="Table"/>
              <w:jc w:val="center"/>
              <w:rPr>
                <w:b/>
                <w:lang w:val="en-GB"/>
              </w:rPr>
            </w:pPr>
            <w:r w:rsidRPr="00D272CC">
              <w:rPr>
                <w:b/>
                <w:lang w:val="en-GB"/>
              </w:rPr>
              <w:t>10</w:t>
            </w:r>
            <w:r w:rsidR="001F04F0" w:rsidRPr="00D272CC">
              <w:rPr>
                <w:b/>
                <w:lang w:val="en-GB"/>
              </w:rPr>
              <w:t>6</w:t>
            </w:r>
          </w:p>
        </w:tc>
        <w:tc>
          <w:tcPr>
            <w:tcW w:w="1347" w:type="dxa"/>
            <w:vAlign w:val="bottom"/>
          </w:tcPr>
          <w:p w14:paraId="7A6B3206" w14:textId="77777777" w:rsidR="00DB4C62" w:rsidRPr="00D272CC" w:rsidRDefault="00DB4C62" w:rsidP="006952A0">
            <w:pPr>
              <w:pStyle w:val="Table"/>
              <w:jc w:val="center"/>
              <w:rPr>
                <w:b/>
                <w:lang w:val="en-GB"/>
              </w:rPr>
            </w:pPr>
            <w:r w:rsidRPr="00D272CC">
              <w:rPr>
                <w:b/>
                <w:lang w:val="en-GB"/>
              </w:rPr>
              <w:t>9</w:t>
            </w:r>
            <w:r w:rsidR="001F04F0" w:rsidRPr="00D272CC">
              <w:rPr>
                <w:b/>
                <w:lang w:val="en-GB"/>
              </w:rPr>
              <w:t>8</w:t>
            </w:r>
          </w:p>
        </w:tc>
        <w:tc>
          <w:tcPr>
            <w:tcW w:w="1347" w:type="dxa"/>
            <w:vAlign w:val="bottom"/>
          </w:tcPr>
          <w:p w14:paraId="7D6AFE65" w14:textId="77777777" w:rsidR="00DB4C62" w:rsidRPr="00D272CC" w:rsidRDefault="00077D80" w:rsidP="00077D80">
            <w:pPr>
              <w:pStyle w:val="Table"/>
              <w:jc w:val="center"/>
              <w:rPr>
                <w:b/>
                <w:lang w:val="en-GB"/>
              </w:rPr>
            </w:pPr>
            <w:r w:rsidRPr="00D272CC">
              <w:rPr>
                <w:b/>
                <w:lang w:val="en-GB"/>
              </w:rPr>
              <w:t>11</w:t>
            </w:r>
            <w:r w:rsidR="001F04F0" w:rsidRPr="00D272CC">
              <w:rPr>
                <w:b/>
                <w:lang w:val="en-GB"/>
              </w:rPr>
              <w:t>5</w:t>
            </w:r>
            <w:r w:rsidRPr="00D272CC">
              <w:rPr>
                <w:b/>
                <w:lang w:val="en-GB"/>
              </w:rPr>
              <w:t xml:space="preserve"> (56%)</w:t>
            </w:r>
          </w:p>
        </w:tc>
      </w:tr>
      <w:tr w:rsidR="00DB4C62" w:rsidRPr="00D272CC" w14:paraId="758FA8F5" w14:textId="77777777" w:rsidTr="006952A0">
        <w:tc>
          <w:tcPr>
            <w:tcW w:w="3686" w:type="dxa"/>
            <w:tcBorders>
              <w:bottom w:val="single" w:sz="4" w:space="0" w:color="auto"/>
            </w:tcBorders>
          </w:tcPr>
          <w:p w14:paraId="1B1A5E02" w14:textId="77777777" w:rsidR="00DB4C62" w:rsidRPr="00D272CC" w:rsidRDefault="00DB4C62" w:rsidP="0049783A">
            <w:pPr>
              <w:pStyle w:val="Table"/>
              <w:rPr>
                <w:szCs w:val="20"/>
                <w:lang w:val="en-GB"/>
              </w:rPr>
            </w:pPr>
          </w:p>
        </w:tc>
        <w:tc>
          <w:tcPr>
            <w:tcW w:w="1346" w:type="dxa"/>
            <w:tcBorders>
              <w:bottom w:val="single" w:sz="4" w:space="0" w:color="auto"/>
            </w:tcBorders>
            <w:vAlign w:val="bottom"/>
          </w:tcPr>
          <w:p w14:paraId="5D95369C" w14:textId="77777777" w:rsidR="00DB4C62" w:rsidRPr="00D272CC" w:rsidRDefault="00DB4C62" w:rsidP="00EA1456">
            <w:pPr>
              <w:pStyle w:val="Table"/>
              <w:jc w:val="center"/>
              <w:rPr>
                <w:lang w:val="en-GB"/>
              </w:rPr>
            </w:pPr>
          </w:p>
        </w:tc>
        <w:tc>
          <w:tcPr>
            <w:tcW w:w="1347" w:type="dxa"/>
            <w:tcBorders>
              <w:bottom w:val="single" w:sz="4" w:space="0" w:color="auto"/>
            </w:tcBorders>
          </w:tcPr>
          <w:p w14:paraId="405CEE3E" w14:textId="77777777" w:rsidR="00DB4C62" w:rsidRPr="00D272CC" w:rsidRDefault="00DB4C62" w:rsidP="006952A0">
            <w:pPr>
              <w:pStyle w:val="Table"/>
              <w:jc w:val="center"/>
              <w:rPr>
                <w:lang w:val="en-GB"/>
              </w:rPr>
            </w:pPr>
          </w:p>
        </w:tc>
        <w:tc>
          <w:tcPr>
            <w:tcW w:w="1347" w:type="dxa"/>
            <w:tcBorders>
              <w:bottom w:val="single" w:sz="4" w:space="0" w:color="auto"/>
            </w:tcBorders>
          </w:tcPr>
          <w:p w14:paraId="482C85C2" w14:textId="77777777" w:rsidR="00DB4C62" w:rsidRPr="00D272CC" w:rsidRDefault="00DB4C62" w:rsidP="006952A0">
            <w:pPr>
              <w:pStyle w:val="Table"/>
              <w:jc w:val="center"/>
              <w:rPr>
                <w:lang w:val="en-GB"/>
              </w:rPr>
            </w:pPr>
          </w:p>
        </w:tc>
        <w:tc>
          <w:tcPr>
            <w:tcW w:w="1347" w:type="dxa"/>
            <w:tcBorders>
              <w:bottom w:val="single" w:sz="4" w:space="0" w:color="auto"/>
            </w:tcBorders>
            <w:vAlign w:val="bottom"/>
          </w:tcPr>
          <w:p w14:paraId="6F143705" w14:textId="77777777" w:rsidR="00DB4C62" w:rsidRPr="00D272CC" w:rsidRDefault="00DB4C62" w:rsidP="00077D80">
            <w:pPr>
              <w:pStyle w:val="Table"/>
              <w:jc w:val="center"/>
              <w:rPr>
                <w:lang w:val="en-GB"/>
              </w:rPr>
            </w:pPr>
          </w:p>
        </w:tc>
      </w:tr>
      <w:tr w:rsidR="00DB4C62" w:rsidRPr="00D272CC" w14:paraId="4D4DD3B1" w14:textId="77777777" w:rsidTr="006952A0">
        <w:tc>
          <w:tcPr>
            <w:tcW w:w="3686" w:type="dxa"/>
            <w:tcBorders>
              <w:top w:val="single" w:sz="4" w:space="0" w:color="auto"/>
            </w:tcBorders>
          </w:tcPr>
          <w:p w14:paraId="2351BFCF" w14:textId="77777777" w:rsidR="00DB4C62" w:rsidRPr="00D272CC" w:rsidRDefault="00DB4C62" w:rsidP="0049783A">
            <w:pPr>
              <w:pStyle w:val="Table"/>
              <w:rPr>
                <w:szCs w:val="20"/>
                <w:lang w:val="en-GB"/>
              </w:rPr>
            </w:pPr>
          </w:p>
        </w:tc>
        <w:tc>
          <w:tcPr>
            <w:tcW w:w="1346" w:type="dxa"/>
            <w:tcBorders>
              <w:top w:val="single" w:sz="4" w:space="0" w:color="auto"/>
            </w:tcBorders>
            <w:vAlign w:val="bottom"/>
          </w:tcPr>
          <w:p w14:paraId="123824F8" w14:textId="77777777" w:rsidR="00DB4C62" w:rsidRPr="00D272CC" w:rsidRDefault="00DB4C62" w:rsidP="00EA1456">
            <w:pPr>
              <w:pStyle w:val="Table"/>
              <w:jc w:val="center"/>
              <w:rPr>
                <w:lang w:val="en-GB"/>
              </w:rPr>
            </w:pPr>
          </w:p>
        </w:tc>
        <w:tc>
          <w:tcPr>
            <w:tcW w:w="1347" w:type="dxa"/>
            <w:tcBorders>
              <w:top w:val="single" w:sz="4" w:space="0" w:color="auto"/>
            </w:tcBorders>
          </w:tcPr>
          <w:p w14:paraId="0EEEFD7D" w14:textId="77777777" w:rsidR="00DB4C62" w:rsidRPr="00D272CC" w:rsidRDefault="00DB4C62" w:rsidP="006952A0">
            <w:pPr>
              <w:pStyle w:val="Table"/>
              <w:jc w:val="center"/>
              <w:rPr>
                <w:lang w:val="en-GB"/>
              </w:rPr>
            </w:pPr>
          </w:p>
        </w:tc>
        <w:tc>
          <w:tcPr>
            <w:tcW w:w="1347" w:type="dxa"/>
            <w:tcBorders>
              <w:top w:val="single" w:sz="4" w:space="0" w:color="auto"/>
            </w:tcBorders>
          </w:tcPr>
          <w:p w14:paraId="017F4B27" w14:textId="77777777" w:rsidR="00DB4C62" w:rsidRPr="00D272CC" w:rsidRDefault="00DB4C62" w:rsidP="006952A0">
            <w:pPr>
              <w:pStyle w:val="Table"/>
              <w:jc w:val="center"/>
              <w:rPr>
                <w:lang w:val="en-GB"/>
              </w:rPr>
            </w:pPr>
          </w:p>
        </w:tc>
        <w:tc>
          <w:tcPr>
            <w:tcW w:w="1347" w:type="dxa"/>
            <w:tcBorders>
              <w:top w:val="single" w:sz="4" w:space="0" w:color="auto"/>
            </w:tcBorders>
            <w:vAlign w:val="bottom"/>
          </w:tcPr>
          <w:p w14:paraId="0B72C720" w14:textId="77777777" w:rsidR="00DB4C62" w:rsidRPr="00D272CC" w:rsidRDefault="00DB4C62" w:rsidP="00077D80">
            <w:pPr>
              <w:pStyle w:val="Table"/>
              <w:jc w:val="center"/>
              <w:rPr>
                <w:lang w:val="en-GB"/>
              </w:rPr>
            </w:pPr>
          </w:p>
        </w:tc>
      </w:tr>
      <w:tr w:rsidR="00DB4C62" w:rsidRPr="00D272CC" w14:paraId="1483AB03" w14:textId="77777777" w:rsidTr="006952A0">
        <w:tc>
          <w:tcPr>
            <w:tcW w:w="3686" w:type="dxa"/>
          </w:tcPr>
          <w:p w14:paraId="3DBF1411" w14:textId="77777777" w:rsidR="00DB4C62" w:rsidRPr="00D272CC" w:rsidRDefault="00DB4C62" w:rsidP="002E1B5E">
            <w:pPr>
              <w:pStyle w:val="Table"/>
              <w:rPr>
                <w:b/>
                <w:szCs w:val="20"/>
                <w:lang w:val="en-GB"/>
              </w:rPr>
            </w:pPr>
            <w:r w:rsidRPr="00D272CC">
              <w:rPr>
                <w:b/>
                <w:szCs w:val="20"/>
                <w:lang w:val="en-GB"/>
              </w:rPr>
              <w:t>Comparability breakdown</w:t>
            </w:r>
          </w:p>
        </w:tc>
        <w:tc>
          <w:tcPr>
            <w:tcW w:w="1346" w:type="dxa"/>
            <w:vAlign w:val="bottom"/>
          </w:tcPr>
          <w:p w14:paraId="66719B67" w14:textId="77777777" w:rsidR="00DB4C62" w:rsidRPr="00D272CC" w:rsidRDefault="00DB4C62" w:rsidP="00EA1456">
            <w:pPr>
              <w:pStyle w:val="Table"/>
              <w:jc w:val="center"/>
              <w:rPr>
                <w:lang w:val="en-GB"/>
              </w:rPr>
            </w:pPr>
          </w:p>
        </w:tc>
        <w:tc>
          <w:tcPr>
            <w:tcW w:w="1347" w:type="dxa"/>
          </w:tcPr>
          <w:p w14:paraId="2F63A658" w14:textId="77777777" w:rsidR="00DB4C62" w:rsidRPr="00D272CC" w:rsidRDefault="00DB4C62" w:rsidP="006952A0">
            <w:pPr>
              <w:pStyle w:val="Table"/>
              <w:jc w:val="center"/>
              <w:rPr>
                <w:lang w:val="en-GB"/>
              </w:rPr>
            </w:pPr>
          </w:p>
        </w:tc>
        <w:tc>
          <w:tcPr>
            <w:tcW w:w="1347" w:type="dxa"/>
          </w:tcPr>
          <w:p w14:paraId="1CF15556" w14:textId="77777777" w:rsidR="00DB4C62" w:rsidRPr="00D272CC" w:rsidRDefault="00DB4C62" w:rsidP="006952A0">
            <w:pPr>
              <w:pStyle w:val="Table"/>
              <w:jc w:val="center"/>
              <w:rPr>
                <w:lang w:val="en-GB"/>
              </w:rPr>
            </w:pPr>
          </w:p>
        </w:tc>
        <w:tc>
          <w:tcPr>
            <w:tcW w:w="1347" w:type="dxa"/>
            <w:vAlign w:val="bottom"/>
          </w:tcPr>
          <w:p w14:paraId="71639623" w14:textId="77777777" w:rsidR="00DB4C62" w:rsidRPr="00D272CC" w:rsidRDefault="00DB4C62" w:rsidP="00077D80">
            <w:pPr>
              <w:pStyle w:val="Table"/>
              <w:jc w:val="center"/>
              <w:rPr>
                <w:lang w:val="en-GB"/>
              </w:rPr>
            </w:pPr>
          </w:p>
        </w:tc>
      </w:tr>
      <w:tr w:rsidR="00077D80" w:rsidRPr="00D272CC" w14:paraId="37E70648" w14:textId="77777777" w:rsidTr="006952A0">
        <w:tc>
          <w:tcPr>
            <w:tcW w:w="3686" w:type="dxa"/>
          </w:tcPr>
          <w:p w14:paraId="1A4453F4" w14:textId="77777777" w:rsidR="00077D80" w:rsidRPr="00D272CC" w:rsidRDefault="00077D80" w:rsidP="007E5A60">
            <w:pPr>
              <w:pStyle w:val="Table"/>
              <w:rPr>
                <w:szCs w:val="20"/>
                <w:lang w:val="en-GB"/>
              </w:rPr>
            </w:pPr>
            <w:r w:rsidRPr="00D272CC">
              <w:rPr>
                <w:szCs w:val="20"/>
                <w:lang w:val="en-GB"/>
              </w:rPr>
              <w:t>- Comparability industry</w:t>
            </w:r>
          </w:p>
        </w:tc>
        <w:tc>
          <w:tcPr>
            <w:tcW w:w="1346" w:type="dxa"/>
            <w:vAlign w:val="bottom"/>
          </w:tcPr>
          <w:p w14:paraId="4A558484" w14:textId="77777777" w:rsidR="00077D80" w:rsidRPr="00D272CC" w:rsidRDefault="00077D80" w:rsidP="00EA1456">
            <w:pPr>
              <w:pStyle w:val="Table"/>
              <w:jc w:val="center"/>
              <w:rPr>
                <w:lang w:val="en-GB"/>
              </w:rPr>
            </w:pPr>
            <w:r w:rsidRPr="00D272CC">
              <w:rPr>
                <w:lang w:val="en-GB"/>
              </w:rPr>
              <w:t>1</w:t>
            </w:r>
            <w:r w:rsidR="00EC6B9A" w:rsidRPr="00D272CC">
              <w:rPr>
                <w:lang w:val="en-GB"/>
              </w:rPr>
              <w:t>6</w:t>
            </w:r>
          </w:p>
        </w:tc>
        <w:tc>
          <w:tcPr>
            <w:tcW w:w="1347" w:type="dxa"/>
            <w:vAlign w:val="bottom"/>
          </w:tcPr>
          <w:p w14:paraId="4DC9A3BA" w14:textId="77777777" w:rsidR="00077D80" w:rsidRPr="00D272CC" w:rsidRDefault="00077D80" w:rsidP="006952A0">
            <w:pPr>
              <w:pStyle w:val="Table"/>
              <w:jc w:val="center"/>
              <w:rPr>
                <w:lang w:val="en-GB"/>
              </w:rPr>
            </w:pPr>
            <w:r w:rsidRPr="00D272CC">
              <w:rPr>
                <w:lang w:val="en-GB"/>
              </w:rPr>
              <w:t>5</w:t>
            </w:r>
          </w:p>
        </w:tc>
        <w:tc>
          <w:tcPr>
            <w:tcW w:w="1347" w:type="dxa"/>
            <w:vAlign w:val="bottom"/>
          </w:tcPr>
          <w:p w14:paraId="4B9B065D" w14:textId="77777777" w:rsidR="00077D80" w:rsidRPr="00D272CC" w:rsidRDefault="00077D80" w:rsidP="006952A0">
            <w:pPr>
              <w:pStyle w:val="Table"/>
              <w:jc w:val="center"/>
              <w:rPr>
                <w:lang w:val="en-GB"/>
              </w:rPr>
            </w:pPr>
            <w:r w:rsidRPr="00D272CC">
              <w:rPr>
                <w:lang w:val="en-GB"/>
              </w:rPr>
              <w:t>1</w:t>
            </w:r>
            <w:r w:rsidR="00EC6B9A" w:rsidRPr="00D272CC">
              <w:rPr>
                <w:lang w:val="en-GB"/>
              </w:rPr>
              <w:t>1</w:t>
            </w:r>
          </w:p>
        </w:tc>
        <w:tc>
          <w:tcPr>
            <w:tcW w:w="1347" w:type="dxa"/>
            <w:vAlign w:val="bottom"/>
          </w:tcPr>
          <w:p w14:paraId="154FF7ED" w14:textId="77777777" w:rsidR="00077D80" w:rsidRPr="00D272CC" w:rsidRDefault="00077D80" w:rsidP="00077D80">
            <w:pPr>
              <w:pStyle w:val="Table"/>
              <w:jc w:val="center"/>
              <w:rPr>
                <w:lang w:val="en-GB"/>
              </w:rPr>
            </w:pPr>
            <w:r w:rsidRPr="00D272CC">
              <w:rPr>
                <w:lang w:val="en-GB"/>
              </w:rPr>
              <w:t>7 (4</w:t>
            </w:r>
            <w:r w:rsidR="00EC6B9A" w:rsidRPr="00D272CC">
              <w:rPr>
                <w:lang w:val="en-GB"/>
              </w:rPr>
              <w:t>4</w:t>
            </w:r>
            <w:r w:rsidRPr="00D272CC">
              <w:rPr>
                <w:lang w:val="en-GB"/>
              </w:rPr>
              <w:t>%)</w:t>
            </w:r>
          </w:p>
        </w:tc>
      </w:tr>
      <w:tr w:rsidR="00077D80" w:rsidRPr="00D272CC" w14:paraId="63289139" w14:textId="77777777" w:rsidTr="006952A0">
        <w:tc>
          <w:tcPr>
            <w:tcW w:w="3686" w:type="dxa"/>
          </w:tcPr>
          <w:p w14:paraId="34E8C110" w14:textId="77777777" w:rsidR="00077D80" w:rsidRPr="00D272CC" w:rsidRDefault="00077D80" w:rsidP="002E1B5E">
            <w:pPr>
              <w:pStyle w:val="Table"/>
              <w:rPr>
                <w:szCs w:val="20"/>
                <w:lang w:val="en-GB"/>
              </w:rPr>
            </w:pPr>
            <w:r w:rsidRPr="00D272CC">
              <w:rPr>
                <w:szCs w:val="20"/>
                <w:lang w:val="en-GB"/>
              </w:rPr>
              <w:t>- Comparability international</w:t>
            </w:r>
          </w:p>
        </w:tc>
        <w:tc>
          <w:tcPr>
            <w:tcW w:w="1346" w:type="dxa"/>
            <w:vAlign w:val="bottom"/>
          </w:tcPr>
          <w:p w14:paraId="60435289" w14:textId="77777777" w:rsidR="00077D80" w:rsidRPr="00D272CC" w:rsidRDefault="00EC6B9A" w:rsidP="00EA1456">
            <w:pPr>
              <w:pStyle w:val="Table"/>
              <w:jc w:val="center"/>
              <w:rPr>
                <w:lang w:val="en-GB"/>
              </w:rPr>
            </w:pPr>
            <w:r w:rsidRPr="00D272CC">
              <w:rPr>
                <w:lang w:val="en-GB"/>
              </w:rPr>
              <w:t>3</w:t>
            </w:r>
          </w:p>
        </w:tc>
        <w:tc>
          <w:tcPr>
            <w:tcW w:w="1347" w:type="dxa"/>
            <w:vAlign w:val="bottom"/>
          </w:tcPr>
          <w:p w14:paraId="11C235CD"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6296BFC1" w14:textId="77777777" w:rsidR="00077D80" w:rsidRPr="00D272CC" w:rsidRDefault="00EC6B9A" w:rsidP="006952A0">
            <w:pPr>
              <w:pStyle w:val="Table"/>
              <w:jc w:val="center"/>
              <w:rPr>
                <w:lang w:val="en-GB"/>
              </w:rPr>
            </w:pPr>
            <w:r w:rsidRPr="00D272CC">
              <w:rPr>
                <w:lang w:val="en-GB"/>
              </w:rPr>
              <w:t>2</w:t>
            </w:r>
          </w:p>
        </w:tc>
        <w:tc>
          <w:tcPr>
            <w:tcW w:w="1347" w:type="dxa"/>
            <w:vAlign w:val="bottom"/>
          </w:tcPr>
          <w:p w14:paraId="4C47377D" w14:textId="77777777" w:rsidR="00077D80" w:rsidRPr="00D272CC" w:rsidRDefault="00077D80" w:rsidP="00077D80">
            <w:pPr>
              <w:pStyle w:val="Table"/>
              <w:jc w:val="center"/>
              <w:rPr>
                <w:lang w:val="en-GB"/>
              </w:rPr>
            </w:pPr>
            <w:r w:rsidRPr="00D272CC">
              <w:rPr>
                <w:lang w:val="en-GB"/>
              </w:rPr>
              <w:t>2 (</w:t>
            </w:r>
            <w:r w:rsidR="00EC6B9A" w:rsidRPr="00D272CC">
              <w:rPr>
                <w:lang w:val="en-GB"/>
              </w:rPr>
              <w:t>67</w:t>
            </w:r>
            <w:r w:rsidRPr="00D272CC">
              <w:rPr>
                <w:lang w:val="en-GB"/>
              </w:rPr>
              <w:t>%)</w:t>
            </w:r>
          </w:p>
        </w:tc>
      </w:tr>
      <w:tr w:rsidR="00077D80" w:rsidRPr="00D272CC" w14:paraId="014AE082" w14:textId="77777777" w:rsidTr="006952A0">
        <w:tc>
          <w:tcPr>
            <w:tcW w:w="3686" w:type="dxa"/>
          </w:tcPr>
          <w:p w14:paraId="2658173E" w14:textId="77777777" w:rsidR="00077D80" w:rsidRPr="00D272CC" w:rsidRDefault="00077D80" w:rsidP="00ED0705">
            <w:pPr>
              <w:pStyle w:val="Table"/>
              <w:rPr>
                <w:szCs w:val="20"/>
                <w:lang w:val="en-GB"/>
              </w:rPr>
            </w:pPr>
            <w:r w:rsidRPr="00D272CC">
              <w:rPr>
                <w:szCs w:val="20"/>
                <w:lang w:val="en-GB"/>
              </w:rPr>
              <w:t>- Comparability over time</w:t>
            </w:r>
          </w:p>
        </w:tc>
        <w:tc>
          <w:tcPr>
            <w:tcW w:w="1346" w:type="dxa"/>
            <w:vAlign w:val="bottom"/>
          </w:tcPr>
          <w:p w14:paraId="1C806FB4" w14:textId="77777777" w:rsidR="00077D80" w:rsidRPr="00D272CC" w:rsidRDefault="00077D80" w:rsidP="00EA1456">
            <w:pPr>
              <w:pStyle w:val="Table"/>
              <w:jc w:val="center"/>
              <w:rPr>
                <w:lang w:val="en-GB"/>
              </w:rPr>
            </w:pPr>
            <w:r w:rsidRPr="00D272CC">
              <w:rPr>
                <w:lang w:val="en-GB"/>
              </w:rPr>
              <w:t>1</w:t>
            </w:r>
          </w:p>
        </w:tc>
        <w:tc>
          <w:tcPr>
            <w:tcW w:w="1347" w:type="dxa"/>
            <w:vAlign w:val="bottom"/>
          </w:tcPr>
          <w:p w14:paraId="064A1F7D" w14:textId="77777777" w:rsidR="00077D80" w:rsidRPr="00D272CC" w:rsidRDefault="00077D80" w:rsidP="006952A0">
            <w:pPr>
              <w:pStyle w:val="Table"/>
              <w:jc w:val="center"/>
              <w:rPr>
                <w:lang w:val="en-GB"/>
              </w:rPr>
            </w:pPr>
            <w:r w:rsidRPr="00D272CC">
              <w:rPr>
                <w:lang w:val="en-GB"/>
              </w:rPr>
              <w:t>0</w:t>
            </w:r>
          </w:p>
        </w:tc>
        <w:tc>
          <w:tcPr>
            <w:tcW w:w="1347" w:type="dxa"/>
            <w:vAlign w:val="bottom"/>
          </w:tcPr>
          <w:p w14:paraId="64A6C2BE"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6C89E609" w14:textId="77777777" w:rsidR="00077D80" w:rsidRPr="00D272CC" w:rsidRDefault="00077D80" w:rsidP="00077D80">
            <w:pPr>
              <w:pStyle w:val="Table"/>
              <w:jc w:val="center"/>
              <w:rPr>
                <w:lang w:val="en-GB"/>
              </w:rPr>
            </w:pPr>
            <w:r w:rsidRPr="00D272CC">
              <w:rPr>
                <w:lang w:val="en-GB"/>
              </w:rPr>
              <w:t>1 (100%)</w:t>
            </w:r>
          </w:p>
        </w:tc>
      </w:tr>
      <w:tr w:rsidR="00077D80" w:rsidRPr="00D272CC" w14:paraId="6A97CF62" w14:textId="77777777" w:rsidTr="006952A0">
        <w:tc>
          <w:tcPr>
            <w:tcW w:w="3686" w:type="dxa"/>
          </w:tcPr>
          <w:p w14:paraId="30938ACF" w14:textId="77777777" w:rsidR="00077D80" w:rsidRPr="00D272CC" w:rsidRDefault="00077D80" w:rsidP="00ED0705">
            <w:pPr>
              <w:pStyle w:val="Table"/>
              <w:rPr>
                <w:szCs w:val="20"/>
                <w:lang w:val="en-GB"/>
              </w:rPr>
            </w:pPr>
            <w:r w:rsidRPr="00D272CC">
              <w:rPr>
                <w:szCs w:val="20"/>
                <w:lang w:val="en-GB"/>
              </w:rPr>
              <w:t>- Comparability parent</w:t>
            </w:r>
          </w:p>
        </w:tc>
        <w:tc>
          <w:tcPr>
            <w:tcW w:w="1346" w:type="dxa"/>
            <w:vAlign w:val="bottom"/>
          </w:tcPr>
          <w:p w14:paraId="2740E7CA" w14:textId="77777777" w:rsidR="00077D80" w:rsidRPr="00D272CC" w:rsidRDefault="00077D80" w:rsidP="00EA1456">
            <w:pPr>
              <w:pStyle w:val="Table"/>
              <w:jc w:val="center"/>
              <w:rPr>
                <w:lang w:val="en-GB"/>
              </w:rPr>
            </w:pPr>
            <w:r w:rsidRPr="00D272CC">
              <w:rPr>
                <w:lang w:val="en-GB"/>
              </w:rPr>
              <w:t>3</w:t>
            </w:r>
          </w:p>
        </w:tc>
        <w:tc>
          <w:tcPr>
            <w:tcW w:w="1347" w:type="dxa"/>
            <w:vAlign w:val="bottom"/>
          </w:tcPr>
          <w:p w14:paraId="00090565"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752096B8" w14:textId="77777777" w:rsidR="00077D80" w:rsidRPr="00D272CC" w:rsidRDefault="00077D80" w:rsidP="006952A0">
            <w:pPr>
              <w:pStyle w:val="Table"/>
              <w:jc w:val="center"/>
              <w:rPr>
                <w:lang w:val="en-GB"/>
              </w:rPr>
            </w:pPr>
            <w:r w:rsidRPr="00D272CC">
              <w:rPr>
                <w:lang w:val="en-GB"/>
              </w:rPr>
              <w:t>2</w:t>
            </w:r>
          </w:p>
        </w:tc>
        <w:tc>
          <w:tcPr>
            <w:tcW w:w="1347" w:type="dxa"/>
            <w:vAlign w:val="bottom"/>
          </w:tcPr>
          <w:p w14:paraId="7E42FAAE" w14:textId="77777777" w:rsidR="00077D80" w:rsidRPr="00D272CC" w:rsidRDefault="00077D80" w:rsidP="00077D80">
            <w:pPr>
              <w:pStyle w:val="Table"/>
              <w:jc w:val="center"/>
              <w:rPr>
                <w:lang w:val="en-GB"/>
              </w:rPr>
            </w:pPr>
            <w:r w:rsidRPr="00D272CC">
              <w:rPr>
                <w:lang w:val="en-GB"/>
              </w:rPr>
              <w:t>3 (100%)</w:t>
            </w:r>
          </w:p>
        </w:tc>
      </w:tr>
      <w:tr w:rsidR="00077D80" w:rsidRPr="00D272CC" w14:paraId="15B2252C" w14:textId="77777777" w:rsidTr="006952A0">
        <w:tc>
          <w:tcPr>
            <w:tcW w:w="3686" w:type="dxa"/>
          </w:tcPr>
          <w:p w14:paraId="5CFBCB46" w14:textId="77777777" w:rsidR="00077D80" w:rsidRPr="00D272CC" w:rsidRDefault="00077D80" w:rsidP="00ED0705">
            <w:pPr>
              <w:pStyle w:val="Table"/>
              <w:rPr>
                <w:szCs w:val="20"/>
                <w:lang w:val="en-GB"/>
              </w:rPr>
            </w:pPr>
            <w:r w:rsidRPr="00D272CC">
              <w:rPr>
                <w:szCs w:val="20"/>
                <w:lang w:val="en-GB"/>
              </w:rPr>
              <w:t>- Comparability subsidiary</w:t>
            </w:r>
          </w:p>
        </w:tc>
        <w:tc>
          <w:tcPr>
            <w:tcW w:w="1346" w:type="dxa"/>
            <w:vAlign w:val="bottom"/>
          </w:tcPr>
          <w:p w14:paraId="42B2331E" w14:textId="77777777" w:rsidR="00077D80" w:rsidRPr="00D272CC" w:rsidRDefault="00077D80" w:rsidP="00EA1456">
            <w:pPr>
              <w:pStyle w:val="Table"/>
              <w:jc w:val="center"/>
              <w:rPr>
                <w:lang w:val="en-GB"/>
              </w:rPr>
            </w:pPr>
            <w:r w:rsidRPr="00D272CC">
              <w:rPr>
                <w:lang w:val="en-GB"/>
              </w:rPr>
              <w:t>1</w:t>
            </w:r>
          </w:p>
        </w:tc>
        <w:tc>
          <w:tcPr>
            <w:tcW w:w="1347" w:type="dxa"/>
            <w:vAlign w:val="bottom"/>
          </w:tcPr>
          <w:p w14:paraId="495FD4F3" w14:textId="77777777" w:rsidR="00077D80" w:rsidRPr="00D272CC" w:rsidRDefault="00077D80" w:rsidP="006952A0">
            <w:pPr>
              <w:pStyle w:val="Table"/>
              <w:jc w:val="center"/>
              <w:rPr>
                <w:lang w:val="en-GB"/>
              </w:rPr>
            </w:pPr>
            <w:r w:rsidRPr="00D272CC">
              <w:rPr>
                <w:lang w:val="en-GB"/>
              </w:rPr>
              <w:t>1</w:t>
            </w:r>
          </w:p>
        </w:tc>
        <w:tc>
          <w:tcPr>
            <w:tcW w:w="1347" w:type="dxa"/>
            <w:vAlign w:val="bottom"/>
          </w:tcPr>
          <w:p w14:paraId="7C7939F4" w14:textId="77777777" w:rsidR="00077D80" w:rsidRPr="00D272CC" w:rsidRDefault="00077D80" w:rsidP="006952A0">
            <w:pPr>
              <w:pStyle w:val="Table"/>
              <w:jc w:val="center"/>
              <w:rPr>
                <w:lang w:val="en-GB"/>
              </w:rPr>
            </w:pPr>
            <w:r w:rsidRPr="00D272CC">
              <w:rPr>
                <w:lang w:val="en-GB"/>
              </w:rPr>
              <w:t>0</w:t>
            </w:r>
          </w:p>
        </w:tc>
        <w:tc>
          <w:tcPr>
            <w:tcW w:w="1347" w:type="dxa"/>
            <w:vAlign w:val="bottom"/>
          </w:tcPr>
          <w:p w14:paraId="51B13103" w14:textId="77777777" w:rsidR="00077D80" w:rsidRPr="00D272CC" w:rsidRDefault="00077D80" w:rsidP="00077D80">
            <w:pPr>
              <w:pStyle w:val="Table"/>
              <w:jc w:val="center"/>
              <w:rPr>
                <w:lang w:val="en-GB"/>
              </w:rPr>
            </w:pPr>
            <w:r w:rsidRPr="00D272CC">
              <w:rPr>
                <w:lang w:val="en-GB"/>
              </w:rPr>
              <w:t>1 (100%)</w:t>
            </w:r>
          </w:p>
        </w:tc>
      </w:tr>
      <w:tr w:rsidR="00077D80" w:rsidRPr="00D272CC" w14:paraId="2FAA41C0" w14:textId="77777777" w:rsidTr="006952A0">
        <w:tc>
          <w:tcPr>
            <w:tcW w:w="3686" w:type="dxa"/>
          </w:tcPr>
          <w:p w14:paraId="6E48BDBB" w14:textId="77777777" w:rsidR="00077D80" w:rsidRPr="00D272CC" w:rsidRDefault="00077D80" w:rsidP="002E1B5E">
            <w:pPr>
              <w:pStyle w:val="Table"/>
              <w:rPr>
                <w:szCs w:val="20"/>
                <w:lang w:val="en-GB"/>
              </w:rPr>
            </w:pPr>
            <w:r w:rsidRPr="00D272CC">
              <w:rPr>
                <w:szCs w:val="20"/>
                <w:lang w:val="en-GB"/>
              </w:rPr>
              <w:t>- Comparability local GAAP</w:t>
            </w:r>
          </w:p>
        </w:tc>
        <w:tc>
          <w:tcPr>
            <w:tcW w:w="1346" w:type="dxa"/>
            <w:vAlign w:val="bottom"/>
          </w:tcPr>
          <w:p w14:paraId="77A3AA56" w14:textId="77777777" w:rsidR="00077D80" w:rsidRPr="00D272CC" w:rsidRDefault="00077D80" w:rsidP="00EA1456">
            <w:pPr>
              <w:pStyle w:val="Table"/>
              <w:jc w:val="center"/>
              <w:rPr>
                <w:lang w:val="en-GB"/>
              </w:rPr>
            </w:pPr>
            <w:r w:rsidRPr="00D272CC">
              <w:rPr>
                <w:lang w:val="en-GB"/>
              </w:rPr>
              <w:t>14</w:t>
            </w:r>
          </w:p>
        </w:tc>
        <w:tc>
          <w:tcPr>
            <w:tcW w:w="1347" w:type="dxa"/>
            <w:vAlign w:val="bottom"/>
          </w:tcPr>
          <w:p w14:paraId="5CCAABBD" w14:textId="77777777" w:rsidR="00077D80" w:rsidRPr="00D272CC" w:rsidRDefault="00077D80" w:rsidP="006952A0">
            <w:pPr>
              <w:pStyle w:val="Table"/>
              <w:jc w:val="center"/>
              <w:rPr>
                <w:lang w:val="en-GB"/>
              </w:rPr>
            </w:pPr>
            <w:r w:rsidRPr="00D272CC">
              <w:rPr>
                <w:lang w:val="en-GB"/>
              </w:rPr>
              <w:t>10</w:t>
            </w:r>
          </w:p>
        </w:tc>
        <w:tc>
          <w:tcPr>
            <w:tcW w:w="1347" w:type="dxa"/>
            <w:vAlign w:val="bottom"/>
          </w:tcPr>
          <w:p w14:paraId="662B4D4C" w14:textId="77777777" w:rsidR="00077D80" w:rsidRPr="00D272CC" w:rsidRDefault="00077D80" w:rsidP="006952A0">
            <w:pPr>
              <w:pStyle w:val="Table"/>
              <w:jc w:val="center"/>
              <w:rPr>
                <w:lang w:val="en-GB"/>
              </w:rPr>
            </w:pPr>
            <w:r w:rsidRPr="00D272CC">
              <w:rPr>
                <w:lang w:val="en-GB"/>
              </w:rPr>
              <w:t>4</w:t>
            </w:r>
          </w:p>
        </w:tc>
        <w:tc>
          <w:tcPr>
            <w:tcW w:w="1347" w:type="dxa"/>
            <w:vAlign w:val="bottom"/>
          </w:tcPr>
          <w:p w14:paraId="26413C12" w14:textId="77777777" w:rsidR="00077D80" w:rsidRPr="00D272CC" w:rsidRDefault="00077D80" w:rsidP="00077D80">
            <w:pPr>
              <w:pStyle w:val="Table"/>
              <w:jc w:val="center"/>
              <w:rPr>
                <w:lang w:val="en-GB"/>
              </w:rPr>
            </w:pPr>
            <w:r w:rsidRPr="00D272CC">
              <w:rPr>
                <w:lang w:val="en-GB"/>
              </w:rPr>
              <w:t>11 (79%)</w:t>
            </w:r>
          </w:p>
        </w:tc>
      </w:tr>
      <w:tr w:rsidR="00077D80" w:rsidRPr="00D272CC" w14:paraId="3F2ECB13" w14:textId="77777777" w:rsidTr="006952A0">
        <w:tc>
          <w:tcPr>
            <w:tcW w:w="3686" w:type="dxa"/>
          </w:tcPr>
          <w:p w14:paraId="31A939F8" w14:textId="77777777" w:rsidR="00077D80" w:rsidRPr="00D272CC" w:rsidRDefault="00077D80" w:rsidP="002E1B5E">
            <w:pPr>
              <w:pStyle w:val="Table"/>
              <w:rPr>
                <w:szCs w:val="20"/>
                <w:lang w:val="en-GB"/>
              </w:rPr>
            </w:pPr>
            <w:r w:rsidRPr="00D272CC">
              <w:rPr>
                <w:szCs w:val="20"/>
                <w:lang w:val="en-GB"/>
              </w:rPr>
              <w:t>- Comparability other</w:t>
            </w:r>
          </w:p>
        </w:tc>
        <w:tc>
          <w:tcPr>
            <w:tcW w:w="1346" w:type="dxa"/>
            <w:vAlign w:val="bottom"/>
          </w:tcPr>
          <w:p w14:paraId="4421A30E" w14:textId="77777777" w:rsidR="00077D80" w:rsidRPr="00D272CC" w:rsidRDefault="00077D80" w:rsidP="00EA1456">
            <w:pPr>
              <w:pStyle w:val="Table"/>
              <w:jc w:val="center"/>
              <w:rPr>
                <w:lang w:val="en-GB"/>
              </w:rPr>
            </w:pPr>
            <w:r w:rsidRPr="00D272CC">
              <w:rPr>
                <w:lang w:val="en-GB"/>
              </w:rPr>
              <w:t>7</w:t>
            </w:r>
          </w:p>
        </w:tc>
        <w:tc>
          <w:tcPr>
            <w:tcW w:w="1347" w:type="dxa"/>
            <w:vAlign w:val="bottom"/>
          </w:tcPr>
          <w:p w14:paraId="59792042" w14:textId="77777777" w:rsidR="00077D80" w:rsidRPr="00D272CC" w:rsidRDefault="00077D80" w:rsidP="006952A0">
            <w:pPr>
              <w:pStyle w:val="Table"/>
              <w:jc w:val="center"/>
              <w:rPr>
                <w:lang w:val="en-GB"/>
              </w:rPr>
            </w:pPr>
            <w:r w:rsidRPr="00D272CC">
              <w:rPr>
                <w:lang w:val="en-GB"/>
              </w:rPr>
              <w:t>3</w:t>
            </w:r>
          </w:p>
        </w:tc>
        <w:tc>
          <w:tcPr>
            <w:tcW w:w="1347" w:type="dxa"/>
            <w:vAlign w:val="bottom"/>
          </w:tcPr>
          <w:p w14:paraId="16D76B75" w14:textId="77777777" w:rsidR="00077D80" w:rsidRPr="00D272CC" w:rsidRDefault="00077D80" w:rsidP="006952A0">
            <w:pPr>
              <w:pStyle w:val="Table"/>
              <w:jc w:val="center"/>
              <w:rPr>
                <w:lang w:val="en-GB"/>
              </w:rPr>
            </w:pPr>
            <w:r w:rsidRPr="00D272CC">
              <w:rPr>
                <w:lang w:val="en-GB"/>
              </w:rPr>
              <w:t>4</w:t>
            </w:r>
          </w:p>
        </w:tc>
        <w:tc>
          <w:tcPr>
            <w:tcW w:w="1347" w:type="dxa"/>
            <w:vAlign w:val="bottom"/>
          </w:tcPr>
          <w:p w14:paraId="6142150F" w14:textId="77777777" w:rsidR="00077D80" w:rsidRPr="00D272CC" w:rsidRDefault="00077D80" w:rsidP="00077D80">
            <w:pPr>
              <w:pStyle w:val="Table"/>
              <w:jc w:val="center"/>
              <w:rPr>
                <w:lang w:val="en-GB"/>
              </w:rPr>
            </w:pPr>
            <w:r w:rsidRPr="00D272CC">
              <w:rPr>
                <w:lang w:val="en-GB"/>
              </w:rPr>
              <w:t>4 (57%)</w:t>
            </w:r>
          </w:p>
        </w:tc>
      </w:tr>
      <w:tr w:rsidR="00DB4C62" w:rsidRPr="00D272CC" w14:paraId="296EC558" w14:textId="77777777" w:rsidTr="006952A0">
        <w:tc>
          <w:tcPr>
            <w:tcW w:w="3686" w:type="dxa"/>
            <w:tcBorders>
              <w:bottom w:val="single" w:sz="4" w:space="0" w:color="auto"/>
            </w:tcBorders>
          </w:tcPr>
          <w:p w14:paraId="01315D97" w14:textId="77777777" w:rsidR="00DB4C62" w:rsidRPr="00D272CC" w:rsidRDefault="00DB4C62" w:rsidP="00736F35">
            <w:pPr>
              <w:pStyle w:val="Table"/>
              <w:rPr>
                <w:szCs w:val="20"/>
                <w:lang w:val="en-GB"/>
              </w:rPr>
            </w:pPr>
          </w:p>
        </w:tc>
        <w:tc>
          <w:tcPr>
            <w:tcW w:w="1346" w:type="dxa"/>
            <w:tcBorders>
              <w:bottom w:val="single" w:sz="4" w:space="0" w:color="auto"/>
            </w:tcBorders>
          </w:tcPr>
          <w:p w14:paraId="5DE01A7C" w14:textId="77777777" w:rsidR="00DB4C62" w:rsidRPr="00D272CC" w:rsidRDefault="00DB4C62" w:rsidP="00736F35">
            <w:pPr>
              <w:pStyle w:val="Table"/>
              <w:jc w:val="center"/>
              <w:rPr>
                <w:szCs w:val="20"/>
                <w:lang w:val="en-GB"/>
              </w:rPr>
            </w:pPr>
          </w:p>
        </w:tc>
        <w:tc>
          <w:tcPr>
            <w:tcW w:w="1347" w:type="dxa"/>
            <w:tcBorders>
              <w:bottom w:val="single" w:sz="4" w:space="0" w:color="auto"/>
            </w:tcBorders>
          </w:tcPr>
          <w:p w14:paraId="7964DC77" w14:textId="77777777" w:rsidR="00DB4C62" w:rsidRPr="00D272CC" w:rsidRDefault="00DB4C62" w:rsidP="00736F35">
            <w:pPr>
              <w:pStyle w:val="Table"/>
              <w:jc w:val="center"/>
              <w:rPr>
                <w:szCs w:val="20"/>
                <w:lang w:val="en-GB"/>
              </w:rPr>
            </w:pPr>
          </w:p>
        </w:tc>
        <w:tc>
          <w:tcPr>
            <w:tcW w:w="1347" w:type="dxa"/>
            <w:tcBorders>
              <w:bottom w:val="single" w:sz="4" w:space="0" w:color="auto"/>
            </w:tcBorders>
          </w:tcPr>
          <w:p w14:paraId="2D6AA93B" w14:textId="77777777" w:rsidR="00DB4C62" w:rsidRPr="00D272CC" w:rsidRDefault="00DB4C62" w:rsidP="00736F35">
            <w:pPr>
              <w:pStyle w:val="Table"/>
              <w:jc w:val="center"/>
              <w:rPr>
                <w:szCs w:val="20"/>
                <w:lang w:val="en-GB"/>
              </w:rPr>
            </w:pPr>
          </w:p>
        </w:tc>
        <w:tc>
          <w:tcPr>
            <w:tcW w:w="1347" w:type="dxa"/>
            <w:tcBorders>
              <w:bottom w:val="single" w:sz="4" w:space="0" w:color="auto"/>
            </w:tcBorders>
          </w:tcPr>
          <w:p w14:paraId="6FEB1AC4" w14:textId="77777777" w:rsidR="00DB4C62" w:rsidRPr="00D272CC" w:rsidRDefault="00DB4C62" w:rsidP="00736F35">
            <w:pPr>
              <w:pStyle w:val="Table"/>
              <w:jc w:val="center"/>
              <w:rPr>
                <w:szCs w:val="20"/>
                <w:lang w:val="en-GB"/>
              </w:rPr>
            </w:pPr>
          </w:p>
        </w:tc>
      </w:tr>
    </w:tbl>
    <w:p w14:paraId="1995896D" w14:textId="77777777" w:rsidR="001940A9" w:rsidRPr="00D272CC" w:rsidRDefault="001940A9" w:rsidP="001940A9">
      <w:pPr>
        <w:pStyle w:val="Table-FigureDescription"/>
        <w:rPr>
          <w:lang w:val="en-GB"/>
        </w:rPr>
      </w:pPr>
    </w:p>
    <w:p w14:paraId="18C5E6E1" w14:textId="51F2E44A" w:rsidR="001940A9" w:rsidRPr="00D272CC" w:rsidRDefault="00F33960" w:rsidP="00F33960">
      <w:pPr>
        <w:pStyle w:val="Table-FigureDescription"/>
        <w:rPr>
          <w:szCs w:val="20"/>
          <w:lang w:val="en-GB"/>
        </w:rPr>
      </w:pPr>
      <w:r w:rsidRPr="00D272CC">
        <w:rPr>
          <w:szCs w:val="20"/>
          <w:lang w:val="en-GB"/>
        </w:rPr>
        <w:t xml:space="preserve">This table </w:t>
      </w:r>
      <w:r w:rsidR="00614EEA" w:rsidRPr="00D272CC">
        <w:rPr>
          <w:szCs w:val="20"/>
          <w:lang w:val="en-GB"/>
        </w:rPr>
        <w:t>reports</w:t>
      </w:r>
      <w:r w:rsidRPr="00D272CC">
        <w:rPr>
          <w:szCs w:val="20"/>
          <w:lang w:val="en-GB"/>
        </w:rPr>
        <w:t xml:space="preserve"> </w:t>
      </w:r>
      <w:r w:rsidR="00E6569A" w:rsidRPr="00D272CC">
        <w:rPr>
          <w:szCs w:val="20"/>
          <w:lang w:val="en-GB"/>
        </w:rPr>
        <w:t xml:space="preserve">the </w:t>
      </w:r>
      <w:r w:rsidRPr="00D272CC">
        <w:rPr>
          <w:szCs w:val="20"/>
          <w:lang w:val="en-GB"/>
        </w:rPr>
        <w:t>frequencies of reasons provided for IFRS policy change</w:t>
      </w:r>
      <w:r w:rsidR="00614EEA" w:rsidRPr="00D272CC">
        <w:rPr>
          <w:szCs w:val="20"/>
          <w:lang w:val="en-GB"/>
        </w:rPr>
        <w:t xml:space="preserve">s </w:t>
      </w:r>
      <w:r w:rsidR="00614EEA" w:rsidRPr="00D272CC">
        <w:rPr>
          <w:lang w:val="en-GB"/>
        </w:rPr>
        <w:t>in the period 2006 to 2011</w:t>
      </w:r>
      <w:r w:rsidRPr="00D272CC">
        <w:rPr>
          <w:szCs w:val="20"/>
          <w:lang w:val="en-GB"/>
        </w:rPr>
        <w:t xml:space="preserve">. </w:t>
      </w:r>
      <w:r w:rsidR="00526596" w:rsidRPr="00D272CC">
        <w:rPr>
          <w:szCs w:val="20"/>
          <w:lang w:val="en-GB"/>
        </w:rPr>
        <w:t>Each reason receives a score of 1.</w:t>
      </w:r>
      <w:r w:rsidR="000B5B2E" w:rsidRPr="00D272CC">
        <w:rPr>
          <w:szCs w:val="20"/>
          <w:lang w:val="en-GB"/>
        </w:rPr>
        <w:t xml:space="preserve"> </w:t>
      </w:r>
      <w:r w:rsidR="00614EEA" w:rsidRPr="00D272CC">
        <w:rPr>
          <w:szCs w:val="20"/>
          <w:lang w:val="en-GB"/>
        </w:rPr>
        <w:t xml:space="preserve">See Appendix </w:t>
      </w:r>
      <w:r w:rsidR="006A70B1" w:rsidRPr="00D272CC">
        <w:rPr>
          <w:szCs w:val="20"/>
          <w:lang w:val="en-GB"/>
        </w:rPr>
        <w:t>2</w:t>
      </w:r>
      <w:r w:rsidR="00614EEA" w:rsidRPr="00D272CC">
        <w:rPr>
          <w:szCs w:val="20"/>
          <w:lang w:val="en-GB"/>
        </w:rPr>
        <w:t xml:space="preserve"> for </w:t>
      </w:r>
      <w:r w:rsidR="00425783" w:rsidRPr="00D272CC">
        <w:rPr>
          <w:szCs w:val="20"/>
          <w:lang w:val="en-GB"/>
        </w:rPr>
        <w:t>the coding procedure</w:t>
      </w:r>
      <w:r w:rsidR="00614EEA" w:rsidRPr="00D272CC">
        <w:rPr>
          <w:szCs w:val="20"/>
          <w:lang w:val="en-GB"/>
        </w:rPr>
        <w:t xml:space="preserve">. </w:t>
      </w:r>
      <w:r w:rsidR="00DD31ED">
        <w:rPr>
          <w:szCs w:val="20"/>
          <w:lang w:val="en-GB"/>
        </w:rPr>
        <w:t xml:space="preserve">The columns ‘One reason only’ and ‘More than one reason’ distinguish whether one reason or more than one reason is provided in an explanation of policy change. </w:t>
      </w:r>
      <w:r w:rsidR="000B5B2E" w:rsidRPr="00D272CC">
        <w:rPr>
          <w:szCs w:val="20"/>
          <w:lang w:val="en-GB"/>
        </w:rPr>
        <w:t>In the column ‘</w:t>
      </w:r>
      <w:r w:rsidR="00077D80" w:rsidRPr="00D272CC">
        <w:rPr>
          <w:szCs w:val="20"/>
          <w:lang w:val="en-GB"/>
        </w:rPr>
        <w:t>Measurement</w:t>
      </w:r>
      <w:r w:rsidRPr="00D272CC">
        <w:rPr>
          <w:szCs w:val="20"/>
          <w:lang w:val="en-GB"/>
        </w:rPr>
        <w:t xml:space="preserve"> </w:t>
      </w:r>
      <w:r w:rsidR="00E6569A" w:rsidRPr="00D272CC">
        <w:rPr>
          <w:szCs w:val="20"/>
          <w:lang w:val="en-GB"/>
        </w:rPr>
        <w:t>topic</w:t>
      </w:r>
      <w:r w:rsidR="00BB3D7C" w:rsidRPr="00D272CC">
        <w:rPr>
          <w:szCs w:val="20"/>
          <w:lang w:val="en-GB"/>
        </w:rPr>
        <w:t>s</w:t>
      </w:r>
      <w:r w:rsidRPr="00D272CC">
        <w:rPr>
          <w:szCs w:val="20"/>
          <w:lang w:val="en-GB"/>
        </w:rPr>
        <w:t xml:space="preserve"> only</w:t>
      </w:r>
      <w:r w:rsidR="000B5B2E" w:rsidRPr="00D272CC">
        <w:rPr>
          <w:szCs w:val="20"/>
          <w:lang w:val="en-GB"/>
        </w:rPr>
        <w:t>’</w:t>
      </w:r>
      <w:r w:rsidR="006C26B8" w:rsidRPr="00D272CC">
        <w:rPr>
          <w:szCs w:val="20"/>
          <w:lang w:val="en-GB"/>
        </w:rPr>
        <w:t xml:space="preserve"> (topics 1</w:t>
      </w:r>
      <w:r w:rsidR="00DD6C1E" w:rsidRPr="00D272CC">
        <w:rPr>
          <w:szCs w:val="20"/>
          <w:lang w:val="en-GB"/>
        </w:rPr>
        <w:t>0</w:t>
      </w:r>
      <w:r w:rsidR="006C26B8" w:rsidRPr="00D272CC">
        <w:rPr>
          <w:szCs w:val="20"/>
          <w:lang w:val="en-GB"/>
        </w:rPr>
        <w:t xml:space="preserve"> to </w:t>
      </w:r>
      <w:r w:rsidR="00DD6C1E" w:rsidRPr="00D272CC">
        <w:rPr>
          <w:szCs w:val="20"/>
          <w:lang w:val="en-GB"/>
        </w:rPr>
        <w:t>16</w:t>
      </w:r>
      <w:r w:rsidR="006C26B8" w:rsidRPr="00D272CC">
        <w:rPr>
          <w:szCs w:val="20"/>
          <w:lang w:val="en-GB"/>
        </w:rPr>
        <w:t>)</w:t>
      </w:r>
      <w:r w:rsidR="000B5B2E" w:rsidRPr="00D272CC">
        <w:rPr>
          <w:szCs w:val="20"/>
          <w:lang w:val="en-GB"/>
        </w:rPr>
        <w:t xml:space="preserve">, * denotes that the </w:t>
      </w:r>
      <w:r w:rsidR="00425783" w:rsidRPr="00D272CC">
        <w:rPr>
          <w:szCs w:val="20"/>
          <w:lang w:val="en-GB"/>
        </w:rPr>
        <w:t>proportion</w:t>
      </w:r>
      <w:r w:rsidR="000B5B2E" w:rsidRPr="00D272CC">
        <w:rPr>
          <w:szCs w:val="20"/>
          <w:lang w:val="en-GB"/>
        </w:rPr>
        <w:t xml:space="preserve"> is</w:t>
      </w:r>
      <w:r w:rsidR="0093298A" w:rsidRPr="00D272CC">
        <w:rPr>
          <w:szCs w:val="20"/>
          <w:lang w:val="en-GB"/>
        </w:rPr>
        <w:t xml:space="preserve"> significantly different </w:t>
      </w:r>
      <w:r w:rsidR="00425783" w:rsidRPr="00D272CC">
        <w:rPr>
          <w:szCs w:val="20"/>
          <w:lang w:val="en-GB"/>
        </w:rPr>
        <w:t>from</w:t>
      </w:r>
      <w:r w:rsidR="0093298A" w:rsidRPr="00D272CC">
        <w:rPr>
          <w:szCs w:val="20"/>
          <w:lang w:val="en-GB"/>
        </w:rPr>
        <w:t xml:space="preserve"> </w:t>
      </w:r>
      <w:r w:rsidR="00DD6C1E" w:rsidRPr="00D272CC">
        <w:rPr>
          <w:szCs w:val="20"/>
          <w:lang w:val="en-GB"/>
        </w:rPr>
        <w:t>56</w:t>
      </w:r>
      <w:r w:rsidR="000B5B2E" w:rsidRPr="00D272CC">
        <w:rPr>
          <w:szCs w:val="20"/>
          <w:lang w:val="en-GB"/>
        </w:rPr>
        <w:t xml:space="preserve">% (the </w:t>
      </w:r>
      <w:r w:rsidR="00425783" w:rsidRPr="00D272CC">
        <w:rPr>
          <w:szCs w:val="20"/>
          <w:lang w:val="en-GB"/>
        </w:rPr>
        <w:t>proportion</w:t>
      </w:r>
      <w:r w:rsidR="000B5B2E" w:rsidRPr="00D272CC">
        <w:rPr>
          <w:szCs w:val="20"/>
          <w:lang w:val="en-GB"/>
        </w:rPr>
        <w:t xml:space="preserve"> of </w:t>
      </w:r>
      <w:r w:rsidR="00425783" w:rsidRPr="00D272CC">
        <w:rPr>
          <w:szCs w:val="20"/>
          <w:lang w:val="en-GB"/>
        </w:rPr>
        <w:t>reasons</w:t>
      </w:r>
      <w:r w:rsidR="000B5B2E" w:rsidRPr="00D272CC">
        <w:rPr>
          <w:szCs w:val="20"/>
          <w:lang w:val="en-GB"/>
        </w:rPr>
        <w:t xml:space="preserve"> on </w:t>
      </w:r>
      <w:r w:rsidR="00DD6C1E" w:rsidRPr="00D272CC">
        <w:rPr>
          <w:szCs w:val="20"/>
          <w:lang w:val="en-GB"/>
        </w:rPr>
        <w:t>measurement</w:t>
      </w:r>
      <w:r w:rsidR="000B5B2E" w:rsidRPr="00D272CC">
        <w:rPr>
          <w:szCs w:val="20"/>
          <w:lang w:val="en-GB"/>
        </w:rPr>
        <w:t xml:space="preserve"> </w:t>
      </w:r>
      <w:r w:rsidR="00DD6C1E" w:rsidRPr="00D272CC">
        <w:rPr>
          <w:szCs w:val="20"/>
          <w:lang w:val="en-GB"/>
        </w:rPr>
        <w:t>topics</w:t>
      </w:r>
      <w:r w:rsidR="000B5B2E" w:rsidRPr="00D272CC">
        <w:rPr>
          <w:szCs w:val="20"/>
          <w:lang w:val="en-GB"/>
        </w:rPr>
        <w:t>) at the 5% level based on a test of proportions</w:t>
      </w:r>
      <w:r w:rsidR="00764B55" w:rsidRPr="00D272CC">
        <w:rPr>
          <w:szCs w:val="20"/>
          <w:lang w:val="en-GB"/>
        </w:rPr>
        <w:t xml:space="preserve"> (two-sided)</w:t>
      </w:r>
      <w:r w:rsidR="000B5B2E" w:rsidRPr="00D272CC">
        <w:rPr>
          <w:szCs w:val="20"/>
          <w:lang w:val="en-GB"/>
        </w:rPr>
        <w:t xml:space="preserve">; significant results show </w:t>
      </w:r>
      <w:r w:rsidR="0093298A" w:rsidRPr="00D272CC">
        <w:rPr>
          <w:szCs w:val="20"/>
          <w:lang w:val="en-GB"/>
        </w:rPr>
        <w:t>the</w:t>
      </w:r>
      <w:r w:rsidR="000B5B2E" w:rsidRPr="00D272CC">
        <w:rPr>
          <w:szCs w:val="20"/>
          <w:lang w:val="en-GB"/>
        </w:rPr>
        <w:t xml:space="preserve"> reason</w:t>
      </w:r>
      <w:r w:rsidR="0093298A" w:rsidRPr="00D272CC">
        <w:rPr>
          <w:szCs w:val="20"/>
          <w:lang w:val="en-GB"/>
        </w:rPr>
        <w:t xml:space="preserve">s </w:t>
      </w:r>
      <w:r w:rsidR="00B77833" w:rsidRPr="00D272CC">
        <w:rPr>
          <w:szCs w:val="20"/>
          <w:lang w:val="en-GB"/>
        </w:rPr>
        <w:t>for</w:t>
      </w:r>
      <w:r w:rsidR="0093298A" w:rsidRPr="00D272CC">
        <w:rPr>
          <w:szCs w:val="20"/>
          <w:lang w:val="en-GB"/>
        </w:rPr>
        <w:t xml:space="preserve"> which</w:t>
      </w:r>
      <w:r w:rsidR="000B5B2E" w:rsidRPr="00D272CC">
        <w:rPr>
          <w:szCs w:val="20"/>
          <w:lang w:val="en-GB"/>
        </w:rPr>
        <w:t xml:space="preserve"> </w:t>
      </w:r>
      <w:r w:rsidR="00310916" w:rsidRPr="00D272CC">
        <w:rPr>
          <w:szCs w:val="20"/>
          <w:lang w:val="en-GB"/>
        </w:rPr>
        <w:t>measurement</w:t>
      </w:r>
      <w:r w:rsidR="000B5B2E" w:rsidRPr="00D272CC">
        <w:rPr>
          <w:szCs w:val="20"/>
          <w:lang w:val="en-GB"/>
        </w:rPr>
        <w:t xml:space="preserve"> topics are over- </w:t>
      </w:r>
      <w:r w:rsidR="00872AA3" w:rsidRPr="00D272CC">
        <w:rPr>
          <w:szCs w:val="20"/>
          <w:lang w:val="en-GB"/>
        </w:rPr>
        <w:t>or</w:t>
      </w:r>
      <w:r w:rsidR="000B5B2E" w:rsidRPr="00D272CC">
        <w:rPr>
          <w:szCs w:val="20"/>
          <w:lang w:val="en-GB"/>
        </w:rPr>
        <w:t xml:space="preserve"> under</w:t>
      </w:r>
      <w:r w:rsidR="00E6569A" w:rsidRPr="00D272CC">
        <w:rPr>
          <w:szCs w:val="20"/>
          <w:lang w:val="en-GB"/>
        </w:rPr>
        <w:t>-</w:t>
      </w:r>
      <w:r w:rsidR="000B5B2E" w:rsidRPr="00D272CC">
        <w:rPr>
          <w:szCs w:val="20"/>
          <w:lang w:val="en-GB"/>
        </w:rPr>
        <w:t>represented.</w:t>
      </w:r>
      <w:r w:rsidR="009B29EF" w:rsidRPr="00D272CC">
        <w:rPr>
          <w:lang w:val="en-GB"/>
        </w:rPr>
        <w:t xml:space="preserve"> Data on IFRS policy </w:t>
      </w:r>
      <w:r w:rsidR="000674FD">
        <w:rPr>
          <w:lang w:val="en-GB"/>
        </w:rPr>
        <w:t>changes</w:t>
      </w:r>
      <w:r w:rsidR="009B29EF" w:rsidRPr="00D272CC">
        <w:rPr>
          <w:lang w:val="en-GB"/>
        </w:rPr>
        <w:t xml:space="preserve"> are hand-collected.</w:t>
      </w:r>
    </w:p>
    <w:p w14:paraId="7B36F5C4" w14:textId="77777777" w:rsidR="002118DA" w:rsidRPr="00D272CC" w:rsidRDefault="002118DA" w:rsidP="00C32BD8">
      <w:pPr>
        <w:pStyle w:val="Caption"/>
        <w:jc w:val="left"/>
        <w:rPr>
          <w:lang w:val="en-GB"/>
        </w:rPr>
      </w:pPr>
      <w:r w:rsidRPr="00D272CC">
        <w:rPr>
          <w:lang w:val="en-GB"/>
        </w:rPr>
        <w:t xml:space="preserve">Table </w:t>
      </w:r>
      <w:r w:rsidR="00680D7F" w:rsidRPr="00D272CC">
        <w:rPr>
          <w:lang w:val="en-GB"/>
        </w:rPr>
        <w:fldChar w:fldCharType="begin"/>
      </w:r>
      <w:r w:rsidRPr="00D272CC">
        <w:rPr>
          <w:lang w:val="en-GB"/>
        </w:rPr>
        <w:instrText xml:space="preserve"> SEQ Table \* ARABIC </w:instrText>
      </w:r>
      <w:r w:rsidR="00680D7F" w:rsidRPr="00D272CC">
        <w:rPr>
          <w:lang w:val="en-GB"/>
        </w:rPr>
        <w:fldChar w:fldCharType="separate"/>
      </w:r>
      <w:r w:rsidR="004F4900">
        <w:rPr>
          <w:noProof/>
          <w:lang w:val="en-GB"/>
        </w:rPr>
        <w:t>5</w:t>
      </w:r>
      <w:r w:rsidR="00680D7F" w:rsidRPr="00D272CC">
        <w:rPr>
          <w:lang w:val="en-GB"/>
        </w:rPr>
        <w:fldChar w:fldCharType="end"/>
      </w:r>
      <w:r w:rsidR="00380C8B" w:rsidRPr="00D272CC">
        <w:rPr>
          <w:lang w:val="en-GB"/>
        </w:rPr>
        <w:t xml:space="preserve">. </w:t>
      </w:r>
      <w:r w:rsidR="00BA3118" w:rsidRPr="00D272CC">
        <w:rPr>
          <w:b w:val="0"/>
          <w:lang w:val="en-GB"/>
        </w:rPr>
        <w:t xml:space="preserve">Univariate </w:t>
      </w:r>
      <w:r w:rsidR="00380C8B" w:rsidRPr="00D272CC">
        <w:rPr>
          <w:b w:val="0"/>
          <w:lang w:val="en-GB"/>
        </w:rPr>
        <w:t>a</w:t>
      </w:r>
      <w:r w:rsidRPr="00D272CC">
        <w:rPr>
          <w:b w:val="0"/>
          <w:lang w:val="en-GB"/>
        </w:rPr>
        <w:t xml:space="preserve">nalysis of </w:t>
      </w:r>
      <w:r w:rsidR="00380C8B" w:rsidRPr="00D272CC">
        <w:rPr>
          <w:b w:val="0"/>
          <w:lang w:val="en-GB"/>
        </w:rPr>
        <w:t>r</w:t>
      </w:r>
      <w:r w:rsidRPr="00D272CC">
        <w:rPr>
          <w:b w:val="0"/>
          <w:lang w:val="en-GB"/>
        </w:rPr>
        <w:t xml:space="preserve">easons for IFRS </w:t>
      </w:r>
      <w:r w:rsidR="00380C8B" w:rsidRPr="00D272CC">
        <w:rPr>
          <w:b w:val="0"/>
          <w:lang w:val="en-GB"/>
        </w:rPr>
        <w:t>p</w:t>
      </w:r>
      <w:r w:rsidRPr="00D272CC">
        <w:rPr>
          <w:b w:val="0"/>
          <w:lang w:val="en-GB"/>
        </w:rPr>
        <w:t xml:space="preserve">olicy </w:t>
      </w:r>
      <w:r w:rsidR="00380C8B" w:rsidRPr="00D272CC">
        <w:rPr>
          <w:b w:val="0"/>
          <w:lang w:val="en-GB"/>
        </w:rPr>
        <w:t>c</w:t>
      </w:r>
      <w:r w:rsidRPr="00D272CC">
        <w:rPr>
          <w:b w:val="0"/>
          <w:lang w:val="en-GB"/>
        </w:rPr>
        <w:t>hanges</w:t>
      </w:r>
      <w:r w:rsidR="00380C8B" w:rsidRPr="00D272CC">
        <w:rPr>
          <w:b w:val="0"/>
          <w:lang w:val="en-GB"/>
        </w:rPr>
        <w:t>.</w:t>
      </w:r>
    </w:p>
    <w:p w14:paraId="067F4A9B" w14:textId="77777777" w:rsidR="002118DA" w:rsidRPr="00D272CC" w:rsidRDefault="002118DA" w:rsidP="002118DA">
      <w:pPr>
        <w:pStyle w:val="Table-FigureDescription"/>
        <w:rPr>
          <w:lang w:val="en-GB"/>
        </w:rPr>
      </w:pPr>
    </w:p>
    <w:tbl>
      <w:tblPr>
        <w:tblW w:w="9072" w:type="dxa"/>
        <w:tblLayout w:type="fixed"/>
        <w:tblCellMar>
          <w:left w:w="0" w:type="dxa"/>
          <w:right w:w="0" w:type="dxa"/>
        </w:tblCellMar>
        <w:tblLook w:val="00A0" w:firstRow="1" w:lastRow="0" w:firstColumn="1" w:lastColumn="0" w:noHBand="0" w:noVBand="0"/>
      </w:tblPr>
      <w:tblGrid>
        <w:gridCol w:w="6237"/>
        <w:gridCol w:w="708"/>
        <w:gridCol w:w="709"/>
        <w:gridCol w:w="709"/>
        <w:gridCol w:w="709"/>
      </w:tblGrid>
      <w:tr w:rsidR="002E1B5E" w:rsidRPr="00D272CC" w14:paraId="5A098574" w14:textId="77777777" w:rsidTr="005F65F9">
        <w:tc>
          <w:tcPr>
            <w:tcW w:w="6237" w:type="dxa"/>
            <w:tcBorders>
              <w:top w:val="single" w:sz="4" w:space="0" w:color="000000"/>
              <w:bottom w:val="single" w:sz="4" w:space="0" w:color="000000"/>
            </w:tcBorders>
          </w:tcPr>
          <w:p w14:paraId="5C5DCD16" w14:textId="77777777" w:rsidR="002E1B5E" w:rsidRPr="00D272CC" w:rsidRDefault="002E1B5E" w:rsidP="00736F35">
            <w:pPr>
              <w:pStyle w:val="Table"/>
              <w:rPr>
                <w:b/>
                <w:szCs w:val="20"/>
                <w:lang w:val="en-GB"/>
              </w:rPr>
            </w:pPr>
          </w:p>
        </w:tc>
        <w:tc>
          <w:tcPr>
            <w:tcW w:w="708" w:type="dxa"/>
            <w:tcBorders>
              <w:top w:val="single" w:sz="4" w:space="0" w:color="000000"/>
              <w:bottom w:val="single" w:sz="4" w:space="0" w:color="000000"/>
            </w:tcBorders>
          </w:tcPr>
          <w:p w14:paraId="1591A85A" w14:textId="77777777" w:rsidR="002E1B5E" w:rsidRPr="00D272CC" w:rsidRDefault="002E1B5E" w:rsidP="002E1B5E">
            <w:pPr>
              <w:pStyle w:val="Table"/>
              <w:jc w:val="center"/>
              <w:rPr>
                <w:b/>
                <w:szCs w:val="20"/>
                <w:lang w:val="en-GB"/>
              </w:rPr>
            </w:pPr>
            <w:r w:rsidRPr="00D272CC">
              <w:rPr>
                <w:b/>
                <w:szCs w:val="20"/>
                <w:lang w:val="en-GB"/>
              </w:rPr>
              <w:t>N</w:t>
            </w:r>
          </w:p>
        </w:tc>
        <w:tc>
          <w:tcPr>
            <w:tcW w:w="709" w:type="dxa"/>
            <w:tcBorders>
              <w:top w:val="single" w:sz="4" w:space="0" w:color="000000"/>
              <w:bottom w:val="single" w:sz="4" w:space="0" w:color="000000"/>
            </w:tcBorders>
          </w:tcPr>
          <w:p w14:paraId="0FF432A1" w14:textId="77777777" w:rsidR="002E1B5E" w:rsidRPr="00D272CC" w:rsidRDefault="002E1B5E" w:rsidP="002E1B5E">
            <w:pPr>
              <w:pStyle w:val="Table"/>
              <w:jc w:val="center"/>
              <w:rPr>
                <w:b/>
                <w:szCs w:val="20"/>
                <w:lang w:val="en-GB"/>
              </w:rPr>
            </w:pPr>
            <w:r w:rsidRPr="00D272CC">
              <w:rPr>
                <w:b/>
                <w:szCs w:val="20"/>
                <w:lang w:val="en-GB"/>
              </w:rPr>
              <w:t>% A</w:t>
            </w:r>
          </w:p>
        </w:tc>
        <w:tc>
          <w:tcPr>
            <w:tcW w:w="709" w:type="dxa"/>
            <w:tcBorders>
              <w:top w:val="single" w:sz="4" w:space="0" w:color="000000"/>
              <w:bottom w:val="single" w:sz="4" w:space="0" w:color="000000"/>
            </w:tcBorders>
          </w:tcPr>
          <w:p w14:paraId="26470B3A" w14:textId="77777777" w:rsidR="002E1B5E" w:rsidRPr="00D272CC" w:rsidRDefault="002E1B5E" w:rsidP="002E1B5E">
            <w:pPr>
              <w:pStyle w:val="Table"/>
              <w:jc w:val="center"/>
              <w:rPr>
                <w:b/>
                <w:szCs w:val="20"/>
                <w:lang w:val="en-GB"/>
              </w:rPr>
            </w:pPr>
            <w:r w:rsidRPr="00D272CC">
              <w:rPr>
                <w:b/>
                <w:szCs w:val="20"/>
                <w:lang w:val="en-GB"/>
              </w:rPr>
              <w:t>% B</w:t>
            </w:r>
          </w:p>
        </w:tc>
        <w:tc>
          <w:tcPr>
            <w:tcW w:w="709" w:type="dxa"/>
            <w:tcBorders>
              <w:top w:val="single" w:sz="4" w:space="0" w:color="000000"/>
              <w:bottom w:val="single" w:sz="4" w:space="0" w:color="000000"/>
            </w:tcBorders>
          </w:tcPr>
          <w:p w14:paraId="0E868784" w14:textId="77777777" w:rsidR="002E1B5E" w:rsidRPr="00D272CC" w:rsidRDefault="002E1B5E" w:rsidP="00736F35">
            <w:pPr>
              <w:pStyle w:val="Table"/>
              <w:jc w:val="center"/>
              <w:rPr>
                <w:b/>
                <w:szCs w:val="20"/>
                <w:lang w:val="en-GB"/>
              </w:rPr>
            </w:pPr>
            <w:r w:rsidRPr="00D272CC">
              <w:rPr>
                <w:b/>
                <w:szCs w:val="20"/>
                <w:lang w:val="en-GB"/>
              </w:rPr>
              <w:t>p-value</w:t>
            </w:r>
          </w:p>
        </w:tc>
      </w:tr>
      <w:tr w:rsidR="002E1B5E" w:rsidRPr="00D272CC" w14:paraId="7312C70D" w14:textId="77777777" w:rsidTr="005F65F9">
        <w:tc>
          <w:tcPr>
            <w:tcW w:w="6237" w:type="dxa"/>
            <w:tcBorders>
              <w:top w:val="single" w:sz="4" w:space="0" w:color="auto"/>
            </w:tcBorders>
          </w:tcPr>
          <w:p w14:paraId="3A519D51" w14:textId="77777777" w:rsidR="002E1B5E" w:rsidRPr="00D272CC" w:rsidRDefault="002E1B5E" w:rsidP="00736F35">
            <w:pPr>
              <w:pStyle w:val="Table"/>
              <w:rPr>
                <w:szCs w:val="20"/>
                <w:lang w:val="en-GB"/>
              </w:rPr>
            </w:pPr>
          </w:p>
        </w:tc>
        <w:tc>
          <w:tcPr>
            <w:tcW w:w="708" w:type="dxa"/>
            <w:tcBorders>
              <w:top w:val="single" w:sz="4" w:space="0" w:color="auto"/>
            </w:tcBorders>
          </w:tcPr>
          <w:p w14:paraId="680CEEA9" w14:textId="77777777" w:rsidR="002E1B5E" w:rsidRPr="00D272CC" w:rsidRDefault="002E1B5E" w:rsidP="00736F35">
            <w:pPr>
              <w:pStyle w:val="Table"/>
              <w:jc w:val="center"/>
              <w:rPr>
                <w:szCs w:val="20"/>
                <w:lang w:val="en-GB"/>
              </w:rPr>
            </w:pPr>
          </w:p>
        </w:tc>
        <w:tc>
          <w:tcPr>
            <w:tcW w:w="709" w:type="dxa"/>
            <w:tcBorders>
              <w:top w:val="single" w:sz="4" w:space="0" w:color="auto"/>
            </w:tcBorders>
          </w:tcPr>
          <w:p w14:paraId="532CB91D" w14:textId="77777777" w:rsidR="002E1B5E" w:rsidRPr="00D272CC" w:rsidRDefault="002E1B5E" w:rsidP="00736F35">
            <w:pPr>
              <w:pStyle w:val="Table"/>
              <w:jc w:val="center"/>
              <w:rPr>
                <w:szCs w:val="20"/>
                <w:lang w:val="en-GB"/>
              </w:rPr>
            </w:pPr>
          </w:p>
        </w:tc>
        <w:tc>
          <w:tcPr>
            <w:tcW w:w="709" w:type="dxa"/>
            <w:tcBorders>
              <w:top w:val="single" w:sz="4" w:space="0" w:color="auto"/>
            </w:tcBorders>
          </w:tcPr>
          <w:p w14:paraId="75C660B4" w14:textId="77777777" w:rsidR="002E1B5E" w:rsidRPr="00D272CC" w:rsidRDefault="002E1B5E" w:rsidP="00736F35">
            <w:pPr>
              <w:pStyle w:val="Table"/>
              <w:jc w:val="center"/>
              <w:rPr>
                <w:szCs w:val="20"/>
                <w:lang w:val="en-GB"/>
              </w:rPr>
            </w:pPr>
          </w:p>
        </w:tc>
        <w:tc>
          <w:tcPr>
            <w:tcW w:w="709" w:type="dxa"/>
            <w:tcBorders>
              <w:top w:val="single" w:sz="4" w:space="0" w:color="auto"/>
            </w:tcBorders>
          </w:tcPr>
          <w:p w14:paraId="5678CB0E" w14:textId="77777777" w:rsidR="002E1B5E" w:rsidRPr="00D272CC" w:rsidRDefault="002E1B5E" w:rsidP="00736F35">
            <w:pPr>
              <w:pStyle w:val="Table"/>
              <w:jc w:val="center"/>
              <w:rPr>
                <w:szCs w:val="20"/>
                <w:lang w:val="en-GB"/>
              </w:rPr>
            </w:pPr>
          </w:p>
        </w:tc>
      </w:tr>
      <w:tr w:rsidR="002E1B5E" w:rsidRPr="00D272CC" w14:paraId="7A33A3F2" w14:textId="77777777" w:rsidTr="005F65F9">
        <w:tc>
          <w:tcPr>
            <w:tcW w:w="6237" w:type="dxa"/>
          </w:tcPr>
          <w:p w14:paraId="326B3E4D" w14:textId="77777777" w:rsidR="002E1B5E" w:rsidRPr="00D272CC" w:rsidRDefault="00A6798B" w:rsidP="00736F35">
            <w:pPr>
              <w:pStyle w:val="Table"/>
              <w:rPr>
                <w:szCs w:val="20"/>
                <w:lang w:val="en-GB"/>
              </w:rPr>
            </w:pPr>
            <w:r w:rsidRPr="00D272CC">
              <w:rPr>
                <w:b/>
                <w:szCs w:val="20"/>
                <w:lang w:val="en-GB"/>
              </w:rPr>
              <w:t>Considering all r</w:t>
            </w:r>
            <w:r w:rsidR="002E1B5E" w:rsidRPr="00D272CC">
              <w:rPr>
                <w:b/>
                <w:szCs w:val="20"/>
                <w:lang w:val="en-GB"/>
              </w:rPr>
              <w:t>easons</w:t>
            </w:r>
            <w:r w:rsidRPr="00D272CC">
              <w:rPr>
                <w:b/>
                <w:szCs w:val="20"/>
                <w:lang w:val="en-GB"/>
              </w:rPr>
              <w:t>:</w:t>
            </w:r>
          </w:p>
        </w:tc>
        <w:tc>
          <w:tcPr>
            <w:tcW w:w="708" w:type="dxa"/>
          </w:tcPr>
          <w:p w14:paraId="5741DE1F" w14:textId="77777777" w:rsidR="002E1B5E" w:rsidRPr="00D272CC" w:rsidRDefault="002E1B5E" w:rsidP="00736F35">
            <w:pPr>
              <w:pStyle w:val="Table"/>
              <w:jc w:val="center"/>
              <w:rPr>
                <w:lang w:val="en-GB"/>
              </w:rPr>
            </w:pPr>
          </w:p>
        </w:tc>
        <w:tc>
          <w:tcPr>
            <w:tcW w:w="709" w:type="dxa"/>
          </w:tcPr>
          <w:p w14:paraId="14F3366A" w14:textId="77777777" w:rsidR="002E1B5E" w:rsidRPr="00D272CC" w:rsidRDefault="002E1B5E" w:rsidP="00736F35">
            <w:pPr>
              <w:pStyle w:val="Table"/>
              <w:jc w:val="center"/>
              <w:rPr>
                <w:lang w:val="en-GB"/>
              </w:rPr>
            </w:pPr>
          </w:p>
        </w:tc>
        <w:tc>
          <w:tcPr>
            <w:tcW w:w="709" w:type="dxa"/>
          </w:tcPr>
          <w:p w14:paraId="517B2A3E" w14:textId="77777777" w:rsidR="002E1B5E" w:rsidRPr="00D272CC" w:rsidRDefault="002E1B5E" w:rsidP="00736F35">
            <w:pPr>
              <w:pStyle w:val="Table"/>
              <w:jc w:val="center"/>
              <w:rPr>
                <w:lang w:val="en-GB"/>
              </w:rPr>
            </w:pPr>
          </w:p>
        </w:tc>
        <w:tc>
          <w:tcPr>
            <w:tcW w:w="709" w:type="dxa"/>
          </w:tcPr>
          <w:p w14:paraId="7D106D07" w14:textId="77777777" w:rsidR="002E1B5E" w:rsidRPr="00D272CC" w:rsidRDefault="002E1B5E" w:rsidP="00736F35">
            <w:pPr>
              <w:pStyle w:val="Table"/>
              <w:jc w:val="center"/>
              <w:rPr>
                <w:lang w:val="en-GB"/>
              </w:rPr>
            </w:pPr>
          </w:p>
        </w:tc>
      </w:tr>
      <w:tr w:rsidR="00E9429C" w:rsidRPr="00D272CC" w14:paraId="03665267" w14:textId="77777777" w:rsidTr="005F65F9">
        <w:tc>
          <w:tcPr>
            <w:tcW w:w="6237" w:type="dxa"/>
          </w:tcPr>
          <w:p w14:paraId="2A25653D" w14:textId="59993CFE" w:rsidR="00E9429C" w:rsidRPr="00D272CC" w:rsidRDefault="00E9429C" w:rsidP="00A6798B">
            <w:pPr>
              <w:pStyle w:val="Table"/>
              <w:rPr>
                <w:szCs w:val="20"/>
                <w:lang w:val="en-GB"/>
              </w:rPr>
            </w:pPr>
            <w:r w:rsidRPr="00D272CC">
              <w:rPr>
                <w:szCs w:val="20"/>
                <w:lang w:val="en-GB"/>
              </w:rPr>
              <w:t>- QC</w:t>
            </w:r>
            <w:r w:rsidR="009B29EF" w:rsidRPr="00D272CC">
              <w:rPr>
                <w:szCs w:val="20"/>
                <w:lang w:val="en-GB"/>
              </w:rPr>
              <w:t>s</w:t>
            </w:r>
            <w:r w:rsidRPr="00D272CC">
              <w:rPr>
                <w:szCs w:val="20"/>
                <w:lang w:val="en-GB"/>
              </w:rPr>
              <w:t xml:space="preserve"> (A) vs economic</w:t>
            </w:r>
            <w:r w:rsidR="00DA1310" w:rsidRPr="00D272CC">
              <w:rPr>
                <w:szCs w:val="20"/>
                <w:lang w:val="en-GB"/>
              </w:rPr>
              <w:t xml:space="preserve"> and </w:t>
            </w:r>
            <w:r w:rsidR="00702D84">
              <w:rPr>
                <w:szCs w:val="20"/>
                <w:lang w:val="en-GB"/>
              </w:rPr>
              <w:t>other</w:t>
            </w:r>
            <w:r w:rsidRPr="00D272CC">
              <w:rPr>
                <w:szCs w:val="20"/>
                <w:lang w:val="en-GB"/>
              </w:rPr>
              <w:t xml:space="preserve"> (B)</w:t>
            </w:r>
          </w:p>
        </w:tc>
        <w:tc>
          <w:tcPr>
            <w:tcW w:w="708" w:type="dxa"/>
            <w:vAlign w:val="bottom"/>
          </w:tcPr>
          <w:p w14:paraId="77A9A568" w14:textId="77777777" w:rsidR="00E9429C" w:rsidRPr="00D272CC" w:rsidRDefault="00E9429C" w:rsidP="00E9429C">
            <w:pPr>
              <w:pStyle w:val="Table"/>
              <w:jc w:val="center"/>
              <w:rPr>
                <w:lang w:val="en-GB"/>
              </w:rPr>
            </w:pPr>
            <w:r w:rsidRPr="00D272CC">
              <w:rPr>
                <w:lang w:val="en-GB"/>
              </w:rPr>
              <w:t>204</w:t>
            </w:r>
          </w:p>
        </w:tc>
        <w:tc>
          <w:tcPr>
            <w:tcW w:w="709" w:type="dxa"/>
            <w:vAlign w:val="bottom"/>
          </w:tcPr>
          <w:p w14:paraId="423B753A" w14:textId="77777777" w:rsidR="00E9429C" w:rsidRPr="00D272CC" w:rsidRDefault="00E9429C" w:rsidP="00E9429C">
            <w:pPr>
              <w:pStyle w:val="Table"/>
              <w:jc w:val="center"/>
              <w:rPr>
                <w:lang w:val="en-GB"/>
              </w:rPr>
            </w:pPr>
            <w:r w:rsidRPr="00D272CC">
              <w:rPr>
                <w:lang w:val="en-GB"/>
              </w:rPr>
              <w:t>6</w:t>
            </w:r>
            <w:r w:rsidR="001F04F0" w:rsidRPr="00D272CC">
              <w:rPr>
                <w:lang w:val="en-GB"/>
              </w:rPr>
              <w:t>3</w:t>
            </w:r>
            <w:r w:rsidRPr="00D272CC">
              <w:rPr>
                <w:lang w:val="en-GB"/>
              </w:rPr>
              <w:t>%</w:t>
            </w:r>
          </w:p>
        </w:tc>
        <w:tc>
          <w:tcPr>
            <w:tcW w:w="709" w:type="dxa"/>
            <w:vAlign w:val="bottom"/>
          </w:tcPr>
          <w:p w14:paraId="7E0D0204" w14:textId="77777777" w:rsidR="00E9429C" w:rsidRPr="00D272CC" w:rsidRDefault="00DA1310" w:rsidP="00E9429C">
            <w:pPr>
              <w:pStyle w:val="Table"/>
              <w:jc w:val="center"/>
              <w:rPr>
                <w:lang w:val="en-GB"/>
              </w:rPr>
            </w:pPr>
            <w:r w:rsidRPr="00D272CC">
              <w:rPr>
                <w:lang w:val="en-GB"/>
              </w:rPr>
              <w:t>3</w:t>
            </w:r>
            <w:r w:rsidR="001F04F0" w:rsidRPr="00D272CC">
              <w:rPr>
                <w:lang w:val="en-GB"/>
              </w:rPr>
              <w:t>7</w:t>
            </w:r>
            <w:r w:rsidR="00E9429C" w:rsidRPr="00D272CC">
              <w:rPr>
                <w:lang w:val="en-GB"/>
              </w:rPr>
              <w:t>%</w:t>
            </w:r>
          </w:p>
        </w:tc>
        <w:tc>
          <w:tcPr>
            <w:tcW w:w="709" w:type="dxa"/>
            <w:vAlign w:val="bottom"/>
          </w:tcPr>
          <w:p w14:paraId="54134C63" w14:textId="77777777" w:rsidR="00E9429C" w:rsidRPr="00D272CC" w:rsidRDefault="00E9429C" w:rsidP="00E9429C">
            <w:pPr>
              <w:pStyle w:val="Table"/>
              <w:jc w:val="center"/>
              <w:rPr>
                <w:lang w:val="en-GB"/>
              </w:rPr>
            </w:pPr>
            <w:r w:rsidRPr="00D272CC">
              <w:rPr>
                <w:lang w:val="en-GB"/>
              </w:rPr>
              <w:t>0.00*</w:t>
            </w:r>
          </w:p>
        </w:tc>
      </w:tr>
      <w:tr w:rsidR="00A01494" w:rsidRPr="00D272CC" w14:paraId="03FCB58A" w14:textId="77777777" w:rsidTr="005F65F9">
        <w:tc>
          <w:tcPr>
            <w:tcW w:w="6237" w:type="dxa"/>
          </w:tcPr>
          <w:p w14:paraId="7E691AE6" w14:textId="0E57443E" w:rsidR="00A01494" w:rsidRPr="00D272CC" w:rsidRDefault="00A01494" w:rsidP="00A6798B">
            <w:pPr>
              <w:pStyle w:val="Table"/>
              <w:rPr>
                <w:szCs w:val="20"/>
                <w:lang w:val="en-GB"/>
              </w:rPr>
            </w:pPr>
            <w:r w:rsidRPr="00D272CC">
              <w:rPr>
                <w:szCs w:val="20"/>
                <w:lang w:val="en-GB"/>
              </w:rPr>
              <w:t>- QCs</w:t>
            </w:r>
            <w:r>
              <w:rPr>
                <w:szCs w:val="20"/>
                <w:lang w:val="en-GB"/>
              </w:rPr>
              <w:t xml:space="preserve"> excluding transparency</w:t>
            </w:r>
            <w:r w:rsidRPr="00D272CC">
              <w:rPr>
                <w:szCs w:val="20"/>
                <w:lang w:val="en-GB"/>
              </w:rPr>
              <w:t xml:space="preserve"> (A) vs economic and </w:t>
            </w:r>
            <w:r>
              <w:rPr>
                <w:szCs w:val="20"/>
                <w:lang w:val="en-GB"/>
              </w:rPr>
              <w:t>other</w:t>
            </w:r>
            <w:r w:rsidRPr="00D272CC">
              <w:rPr>
                <w:szCs w:val="20"/>
                <w:lang w:val="en-GB"/>
              </w:rPr>
              <w:t xml:space="preserve"> (B)</w:t>
            </w:r>
          </w:p>
        </w:tc>
        <w:tc>
          <w:tcPr>
            <w:tcW w:w="708" w:type="dxa"/>
            <w:vAlign w:val="bottom"/>
          </w:tcPr>
          <w:p w14:paraId="2139DD3F" w14:textId="3D0A87FE" w:rsidR="00A01494" w:rsidRPr="00D272CC" w:rsidRDefault="00A01494" w:rsidP="00E9429C">
            <w:pPr>
              <w:pStyle w:val="Table"/>
              <w:jc w:val="center"/>
              <w:rPr>
                <w:lang w:val="en-GB"/>
              </w:rPr>
            </w:pPr>
            <w:r>
              <w:rPr>
                <w:lang w:val="en-GB"/>
              </w:rPr>
              <w:t>186</w:t>
            </w:r>
          </w:p>
        </w:tc>
        <w:tc>
          <w:tcPr>
            <w:tcW w:w="709" w:type="dxa"/>
            <w:vAlign w:val="bottom"/>
          </w:tcPr>
          <w:p w14:paraId="43E97EBF" w14:textId="580FE168" w:rsidR="00A01494" w:rsidRPr="00D272CC" w:rsidRDefault="00A01494" w:rsidP="00E9429C">
            <w:pPr>
              <w:pStyle w:val="Table"/>
              <w:jc w:val="center"/>
              <w:rPr>
                <w:lang w:val="en-GB"/>
              </w:rPr>
            </w:pPr>
            <w:r>
              <w:rPr>
                <w:lang w:val="en-GB"/>
              </w:rPr>
              <w:t>60%</w:t>
            </w:r>
          </w:p>
        </w:tc>
        <w:tc>
          <w:tcPr>
            <w:tcW w:w="709" w:type="dxa"/>
            <w:vAlign w:val="bottom"/>
          </w:tcPr>
          <w:p w14:paraId="6FB03C73" w14:textId="74472D38" w:rsidR="00A01494" w:rsidRPr="00D272CC" w:rsidRDefault="00A01494" w:rsidP="00E9429C">
            <w:pPr>
              <w:pStyle w:val="Table"/>
              <w:jc w:val="center"/>
              <w:rPr>
                <w:lang w:val="en-GB"/>
              </w:rPr>
            </w:pPr>
            <w:r>
              <w:rPr>
                <w:lang w:val="en-GB"/>
              </w:rPr>
              <w:t>40%</w:t>
            </w:r>
          </w:p>
        </w:tc>
        <w:tc>
          <w:tcPr>
            <w:tcW w:w="709" w:type="dxa"/>
            <w:vAlign w:val="bottom"/>
          </w:tcPr>
          <w:p w14:paraId="570C0A87" w14:textId="0BE29413" w:rsidR="00A01494" w:rsidRPr="00D272CC" w:rsidRDefault="00A01494" w:rsidP="00E9429C">
            <w:pPr>
              <w:pStyle w:val="Table"/>
              <w:jc w:val="center"/>
              <w:rPr>
                <w:lang w:val="en-GB"/>
              </w:rPr>
            </w:pPr>
            <w:r w:rsidRPr="00D272CC">
              <w:rPr>
                <w:lang w:val="en-GB"/>
              </w:rPr>
              <w:t>0.00*</w:t>
            </w:r>
          </w:p>
        </w:tc>
      </w:tr>
      <w:tr w:rsidR="00307AB6" w:rsidRPr="00D272CC" w14:paraId="778FDCF4" w14:textId="77777777" w:rsidTr="005F65F9">
        <w:tc>
          <w:tcPr>
            <w:tcW w:w="6237" w:type="dxa"/>
          </w:tcPr>
          <w:p w14:paraId="0773E422" w14:textId="66C5CD90" w:rsidR="00307AB6" w:rsidRPr="00D272CC" w:rsidRDefault="00307AB6" w:rsidP="00A6798B">
            <w:pPr>
              <w:pStyle w:val="Table"/>
              <w:rPr>
                <w:szCs w:val="20"/>
                <w:lang w:val="en-GB"/>
              </w:rPr>
            </w:pPr>
            <w:r w:rsidRPr="00D272CC">
              <w:rPr>
                <w:szCs w:val="20"/>
                <w:lang w:val="en-GB"/>
              </w:rPr>
              <w:t>- QC</w:t>
            </w:r>
            <w:r w:rsidR="009B29EF" w:rsidRPr="00D272CC">
              <w:rPr>
                <w:szCs w:val="20"/>
                <w:lang w:val="en-GB"/>
              </w:rPr>
              <w:t>s</w:t>
            </w:r>
            <w:r w:rsidR="00DA1310" w:rsidRPr="00D272CC">
              <w:rPr>
                <w:szCs w:val="20"/>
                <w:lang w:val="en-GB"/>
              </w:rPr>
              <w:t xml:space="preserve"> excluding reliability and relevance</w:t>
            </w:r>
            <w:r w:rsidRPr="00D272CC">
              <w:rPr>
                <w:szCs w:val="20"/>
                <w:lang w:val="en-GB"/>
              </w:rPr>
              <w:t xml:space="preserve"> (A) vs economic</w:t>
            </w:r>
            <w:r w:rsidR="00DA1310" w:rsidRPr="00D272CC">
              <w:rPr>
                <w:szCs w:val="20"/>
                <w:lang w:val="en-GB"/>
              </w:rPr>
              <w:t xml:space="preserve"> and </w:t>
            </w:r>
            <w:r w:rsidR="00702D84">
              <w:rPr>
                <w:szCs w:val="20"/>
                <w:lang w:val="en-GB"/>
              </w:rPr>
              <w:t>other</w:t>
            </w:r>
            <w:r w:rsidRPr="00D272CC">
              <w:rPr>
                <w:szCs w:val="20"/>
                <w:lang w:val="en-GB"/>
              </w:rPr>
              <w:t xml:space="preserve"> (B)</w:t>
            </w:r>
          </w:p>
        </w:tc>
        <w:tc>
          <w:tcPr>
            <w:tcW w:w="708" w:type="dxa"/>
            <w:vAlign w:val="bottom"/>
          </w:tcPr>
          <w:p w14:paraId="04038E00" w14:textId="77777777" w:rsidR="00307AB6" w:rsidRPr="00D272CC" w:rsidRDefault="008166C7" w:rsidP="00E9429C">
            <w:pPr>
              <w:pStyle w:val="Table"/>
              <w:jc w:val="center"/>
              <w:rPr>
                <w:lang w:val="en-GB"/>
              </w:rPr>
            </w:pPr>
            <w:r w:rsidRPr="00D272CC">
              <w:rPr>
                <w:lang w:val="en-GB"/>
              </w:rPr>
              <w:t>17</w:t>
            </w:r>
            <w:r w:rsidR="001F04F0" w:rsidRPr="00D272CC">
              <w:rPr>
                <w:lang w:val="en-GB"/>
              </w:rPr>
              <w:t>6</w:t>
            </w:r>
          </w:p>
        </w:tc>
        <w:tc>
          <w:tcPr>
            <w:tcW w:w="709" w:type="dxa"/>
            <w:vAlign w:val="bottom"/>
          </w:tcPr>
          <w:p w14:paraId="176B3878" w14:textId="77777777" w:rsidR="00307AB6" w:rsidRPr="00D272CC" w:rsidRDefault="00DA1310" w:rsidP="00E9429C">
            <w:pPr>
              <w:pStyle w:val="Table"/>
              <w:jc w:val="center"/>
              <w:rPr>
                <w:lang w:val="en-GB"/>
              </w:rPr>
            </w:pPr>
            <w:r w:rsidRPr="00D272CC">
              <w:rPr>
                <w:lang w:val="en-GB"/>
              </w:rPr>
              <w:t>5</w:t>
            </w:r>
            <w:r w:rsidR="001F04F0" w:rsidRPr="00D272CC">
              <w:rPr>
                <w:lang w:val="en-GB"/>
              </w:rPr>
              <w:t>7</w:t>
            </w:r>
            <w:r w:rsidRPr="00D272CC">
              <w:rPr>
                <w:lang w:val="en-GB"/>
              </w:rPr>
              <w:t>%</w:t>
            </w:r>
          </w:p>
        </w:tc>
        <w:tc>
          <w:tcPr>
            <w:tcW w:w="709" w:type="dxa"/>
            <w:vAlign w:val="bottom"/>
          </w:tcPr>
          <w:p w14:paraId="07621C5A" w14:textId="77777777" w:rsidR="00307AB6" w:rsidRPr="00D272CC" w:rsidRDefault="008166C7" w:rsidP="00E9429C">
            <w:pPr>
              <w:pStyle w:val="Table"/>
              <w:jc w:val="center"/>
              <w:rPr>
                <w:lang w:val="en-GB"/>
              </w:rPr>
            </w:pPr>
            <w:r w:rsidRPr="00D272CC">
              <w:rPr>
                <w:lang w:val="en-GB"/>
              </w:rPr>
              <w:t>4</w:t>
            </w:r>
            <w:r w:rsidR="001F04F0" w:rsidRPr="00D272CC">
              <w:rPr>
                <w:lang w:val="en-GB"/>
              </w:rPr>
              <w:t>3</w:t>
            </w:r>
            <w:r w:rsidR="00DA1310" w:rsidRPr="00D272CC">
              <w:rPr>
                <w:lang w:val="en-GB"/>
              </w:rPr>
              <w:t>%</w:t>
            </w:r>
          </w:p>
        </w:tc>
        <w:tc>
          <w:tcPr>
            <w:tcW w:w="709" w:type="dxa"/>
            <w:vAlign w:val="bottom"/>
          </w:tcPr>
          <w:p w14:paraId="59E66A7B" w14:textId="77777777" w:rsidR="00307AB6" w:rsidRPr="00D272CC" w:rsidRDefault="00DA1310" w:rsidP="00E9429C">
            <w:pPr>
              <w:pStyle w:val="Table"/>
              <w:jc w:val="center"/>
              <w:rPr>
                <w:lang w:val="en-GB"/>
              </w:rPr>
            </w:pPr>
            <w:r w:rsidRPr="00D272CC">
              <w:rPr>
                <w:lang w:val="en-GB"/>
              </w:rPr>
              <w:t>0.0</w:t>
            </w:r>
            <w:r w:rsidR="001F04F0" w:rsidRPr="00D272CC">
              <w:rPr>
                <w:lang w:val="en-GB"/>
              </w:rPr>
              <w:t>1</w:t>
            </w:r>
            <w:r w:rsidRPr="00D272CC">
              <w:rPr>
                <w:lang w:val="en-GB"/>
              </w:rPr>
              <w:t>*</w:t>
            </w:r>
          </w:p>
        </w:tc>
      </w:tr>
      <w:tr w:rsidR="002E1B5E" w:rsidRPr="00D272CC" w14:paraId="72F95553" w14:textId="77777777" w:rsidTr="005F65F9">
        <w:tc>
          <w:tcPr>
            <w:tcW w:w="6237" w:type="dxa"/>
          </w:tcPr>
          <w:p w14:paraId="651C6889" w14:textId="77777777" w:rsidR="002E1B5E" w:rsidRPr="00D272CC" w:rsidRDefault="002E1B5E" w:rsidP="00736F35">
            <w:pPr>
              <w:pStyle w:val="Table"/>
              <w:rPr>
                <w:szCs w:val="20"/>
                <w:lang w:val="en-GB"/>
              </w:rPr>
            </w:pPr>
          </w:p>
        </w:tc>
        <w:tc>
          <w:tcPr>
            <w:tcW w:w="708" w:type="dxa"/>
          </w:tcPr>
          <w:p w14:paraId="0DE33F31" w14:textId="77777777" w:rsidR="002E1B5E" w:rsidRPr="00D272CC" w:rsidRDefault="002E1B5E" w:rsidP="00E9429C">
            <w:pPr>
              <w:pStyle w:val="Table"/>
              <w:jc w:val="center"/>
              <w:rPr>
                <w:lang w:val="en-GB"/>
              </w:rPr>
            </w:pPr>
          </w:p>
        </w:tc>
        <w:tc>
          <w:tcPr>
            <w:tcW w:w="709" w:type="dxa"/>
          </w:tcPr>
          <w:p w14:paraId="61FBF219" w14:textId="77777777" w:rsidR="002E1B5E" w:rsidRPr="00D272CC" w:rsidRDefault="002E1B5E" w:rsidP="00E9429C">
            <w:pPr>
              <w:pStyle w:val="Table"/>
              <w:jc w:val="center"/>
              <w:rPr>
                <w:lang w:val="en-GB"/>
              </w:rPr>
            </w:pPr>
          </w:p>
        </w:tc>
        <w:tc>
          <w:tcPr>
            <w:tcW w:w="709" w:type="dxa"/>
          </w:tcPr>
          <w:p w14:paraId="198384DF" w14:textId="77777777" w:rsidR="002E1B5E" w:rsidRPr="00D272CC" w:rsidRDefault="002E1B5E" w:rsidP="00E9429C">
            <w:pPr>
              <w:pStyle w:val="Table"/>
              <w:jc w:val="center"/>
              <w:rPr>
                <w:lang w:val="en-GB"/>
              </w:rPr>
            </w:pPr>
          </w:p>
        </w:tc>
        <w:tc>
          <w:tcPr>
            <w:tcW w:w="709" w:type="dxa"/>
          </w:tcPr>
          <w:p w14:paraId="658D260B" w14:textId="77777777" w:rsidR="002E1B5E" w:rsidRPr="00D272CC" w:rsidRDefault="002E1B5E" w:rsidP="00E9429C">
            <w:pPr>
              <w:pStyle w:val="Table"/>
              <w:jc w:val="center"/>
              <w:rPr>
                <w:lang w:val="en-GB"/>
              </w:rPr>
            </w:pPr>
          </w:p>
        </w:tc>
      </w:tr>
      <w:tr w:rsidR="008C33F7" w:rsidRPr="00D272CC" w14:paraId="6B811442" w14:textId="77777777" w:rsidTr="005F65F9">
        <w:tc>
          <w:tcPr>
            <w:tcW w:w="6237" w:type="dxa"/>
          </w:tcPr>
          <w:p w14:paraId="624B4F7B" w14:textId="77777777" w:rsidR="008C33F7" w:rsidRPr="00D272CC" w:rsidRDefault="00A6798B" w:rsidP="005F65F9">
            <w:pPr>
              <w:pStyle w:val="Table"/>
              <w:rPr>
                <w:szCs w:val="20"/>
                <w:lang w:val="en-GB"/>
              </w:rPr>
            </w:pPr>
            <w:r w:rsidRPr="00D272CC">
              <w:rPr>
                <w:b/>
                <w:szCs w:val="20"/>
                <w:lang w:val="en-GB"/>
              </w:rPr>
              <w:t>Considering only r</w:t>
            </w:r>
            <w:r w:rsidR="008C33F7" w:rsidRPr="00D272CC">
              <w:rPr>
                <w:b/>
                <w:szCs w:val="20"/>
                <w:lang w:val="en-GB"/>
              </w:rPr>
              <w:t>easons</w:t>
            </w:r>
            <w:r w:rsidRPr="00D272CC">
              <w:rPr>
                <w:b/>
                <w:szCs w:val="20"/>
                <w:lang w:val="en-GB"/>
              </w:rPr>
              <w:t xml:space="preserve"> referring to </w:t>
            </w:r>
            <w:r w:rsidR="005F65F9" w:rsidRPr="00D272CC">
              <w:rPr>
                <w:b/>
                <w:szCs w:val="20"/>
                <w:lang w:val="en-GB"/>
              </w:rPr>
              <w:t>QC</w:t>
            </w:r>
            <w:r w:rsidR="009B29EF" w:rsidRPr="00D272CC">
              <w:rPr>
                <w:b/>
                <w:szCs w:val="20"/>
                <w:lang w:val="en-GB"/>
              </w:rPr>
              <w:t>s</w:t>
            </w:r>
            <w:r w:rsidR="008C33F7" w:rsidRPr="00D272CC">
              <w:rPr>
                <w:b/>
                <w:szCs w:val="20"/>
                <w:lang w:val="en-GB"/>
              </w:rPr>
              <w:t>:</w:t>
            </w:r>
          </w:p>
        </w:tc>
        <w:tc>
          <w:tcPr>
            <w:tcW w:w="708" w:type="dxa"/>
          </w:tcPr>
          <w:p w14:paraId="7E35051C" w14:textId="77777777" w:rsidR="008C33F7" w:rsidRPr="00D272CC" w:rsidRDefault="008C33F7" w:rsidP="00E9429C">
            <w:pPr>
              <w:pStyle w:val="Table"/>
              <w:jc w:val="center"/>
              <w:rPr>
                <w:lang w:val="en-GB"/>
              </w:rPr>
            </w:pPr>
          </w:p>
        </w:tc>
        <w:tc>
          <w:tcPr>
            <w:tcW w:w="709" w:type="dxa"/>
          </w:tcPr>
          <w:p w14:paraId="531204CC" w14:textId="77777777" w:rsidR="008C33F7" w:rsidRPr="00D272CC" w:rsidRDefault="008C33F7" w:rsidP="00E9429C">
            <w:pPr>
              <w:pStyle w:val="Table"/>
              <w:jc w:val="center"/>
              <w:rPr>
                <w:lang w:val="en-GB"/>
              </w:rPr>
            </w:pPr>
          </w:p>
        </w:tc>
        <w:tc>
          <w:tcPr>
            <w:tcW w:w="709" w:type="dxa"/>
          </w:tcPr>
          <w:p w14:paraId="754EE93D" w14:textId="77777777" w:rsidR="008C33F7" w:rsidRPr="00D272CC" w:rsidRDefault="008C33F7" w:rsidP="00E9429C">
            <w:pPr>
              <w:pStyle w:val="Table"/>
              <w:jc w:val="center"/>
              <w:rPr>
                <w:lang w:val="en-GB"/>
              </w:rPr>
            </w:pPr>
          </w:p>
        </w:tc>
        <w:tc>
          <w:tcPr>
            <w:tcW w:w="709" w:type="dxa"/>
          </w:tcPr>
          <w:p w14:paraId="6F56AEE9" w14:textId="77777777" w:rsidR="008C33F7" w:rsidRPr="00D272CC" w:rsidRDefault="008C33F7" w:rsidP="00E9429C">
            <w:pPr>
              <w:pStyle w:val="Table"/>
              <w:jc w:val="center"/>
              <w:rPr>
                <w:lang w:val="en-GB"/>
              </w:rPr>
            </w:pPr>
          </w:p>
        </w:tc>
      </w:tr>
      <w:tr w:rsidR="00E9429C" w:rsidRPr="00D272CC" w14:paraId="78D2618B" w14:textId="77777777" w:rsidTr="005F65F9">
        <w:tc>
          <w:tcPr>
            <w:tcW w:w="6237" w:type="dxa"/>
          </w:tcPr>
          <w:p w14:paraId="51F30C4E" w14:textId="77777777" w:rsidR="00E9429C" w:rsidRPr="00D272CC" w:rsidRDefault="00E9429C" w:rsidP="00A6798B">
            <w:pPr>
              <w:pStyle w:val="Table"/>
              <w:rPr>
                <w:szCs w:val="20"/>
                <w:lang w:val="en-GB"/>
              </w:rPr>
            </w:pPr>
            <w:r w:rsidRPr="00D272CC">
              <w:rPr>
                <w:szCs w:val="20"/>
                <w:lang w:val="en-GB"/>
              </w:rPr>
              <w:t xml:space="preserve">- </w:t>
            </w:r>
            <w:r w:rsidR="00FB7BAC" w:rsidRPr="00D272CC">
              <w:rPr>
                <w:szCs w:val="20"/>
                <w:lang w:val="en-GB"/>
              </w:rPr>
              <w:t>Comparability</w:t>
            </w:r>
            <w:r w:rsidRPr="00D272CC">
              <w:rPr>
                <w:szCs w:val="20"/>
                <w:lang w:val="en-GB"/>
              </w:rPr>
              <w:t xml:space="preserve"> (A) vs </w:t>
            </w:r>
            <w:r w:rsidR="00FB7BAC" w:rsidRPr="00D272CC">
              <w:rPr>
                <w:szCs w:val="20"/>
                <w:lang w:val="en-GB"/>
              </w:rPr>
              <w:t>relevance</w:t>
            </w:r>
            <w:r w:rsidRPr="00D272CC">
              <w:rPr>
                <w:szCs w:val="20"/>
                <w:lang w:val="en-GB"/>
              </w:rPr>
              <w:t xml:space="preserve"> (B)</w:t>
            </w:r>
          </w:p>
        </w:tc>
        <w:tc>
          <w:tcPr>
            <w:tcW w:w="708" w:type="dxa"/>
            <w:vAlign w:val="bottom"/>
          </w:tcPr>
          <w:p w14:paraId="742BEE90" w14:textId="77777777" w:rsidR="00E9429C" w:rsidRPr="00D272CC" w:rsidRDefault="00E9429C" w:rsidP="00E9429C">
            <w:pPr>
              <w:pStyle w:val="Table"/>
              <w:jc w:val="center"/>
              <w:rPr>
                <w:lang w:val="en-GB"/>
              </w:rPr>
            </w:pPr>
            <w:r w:rsidRPr="00D272CC">
              <w:rPr>
                <w:lang w:val="en-GB"/>
              </w:rPr>
              <w:t>1</w:t>
            </w:r>
            <w:r w:rsidR="001F04F0" w:rsidRPr="00D272CC">
              <w:rPr>
                <w:lang w:val="en-GB"/>
              </w:rPr>
              <w:t>29</w:t>
            </w:r>
          </w:p>
        </w:tc>
        <w:tc>
          <w:tcPr>
            <w:tcW w:w="709" w:type="dxa"/>
            <w:vAlign w:val="bottom"/>
          </w:tcPr>
          <w:p w14:paraId="546C0F89" w14:textId="77777777" w:rsidR="00E9429C" w:rsidRPr="00D272CC" w:rsidRDefault="00FB7BAC" w:rsidP="00E9429C">
            <w:pPr>
              <w:pStyle w:val="Table"/>
              <w:jc w:val="center"/>
              <w:rPr>
                <w:lang w:val="en-GB"/>
              </w:rPr>
            </w:pPr>
            <w:r w:rsidRPr="00D272CC">
              <w:rPr>
                <w:lang w:val="en-GB"/>
              </w:rPr>
              <w:t>35</w:t>
            </w:r>
            <w:r w:rsidR="00E9429C" w:rsidRPr="00D272CC">
              <w:rPr>
                <w:lang w:val="en-GB"/>
              </w:rPr>
              <w:t>%</w:t>
            </w:r>
          </w:p>
        </w:tc>
        <w:tc>
          <w:tcPr>
            <w:tcW w:w="709" w:type="dxa"/>
            <w:vAlign w:val="bottom"/>
          </w:tcPr>
          <w:p w14:paraId="509CD31C" w14:textId="77777777" w:rsidR="00E9429C" w:rsidRPr="00D272CC" w:rsidRDefault="00FB7BAC" w:rsidP="00E9429C">
            <w:pPr>
              <w:pStyle w:val="Table"/>
              <w:jc w:val="center"/>
              <w:rPr>
                <w:lang w:val="en-GB"/>
              </w:rPr>
            </w:pPr>
            <w:r w:rsidRPr="00D272CC">
              <w:rPr>
                <w:lang w:val="en-GB"/>
              </w:rPr>
              <w:t>19</w:t>
            </w:r>
            <w:r w:rsidR="00E9429C" w:rsidRPr="00D272CC">
              <w:rPr>
                <w:lang w:val="en-GB"/>
              </w:rPr>
              <w:t>%</w:t>
            </w:r>
          </w:p>
        </w:tc>
        <w:tc>
          <w:tcPr>
            <w:tcW w:w="709" w:type="dxa"/>
            <w:vAlign w:val="bottom"/>
          </w:tcPr>
          <w:p w14:paraId="2B5BB8EF" w14:textId="77777777" w:rsidR="00E9429C" w:rsidRPr="00D272CC" w:rsidRDefault="00E9429C" w:rsidP="00E9429C">
            <w:pPr>
              <w:pStyle w:val="Table"/>
              <w:jc w:val="center"/>
              <w:rPr>
                <w:lang w:val="en-GB"/>
              </w:rPr>
            </w:pPr>
            <w:r w:rsidRPr="00D272CC">
              <w:rPr>
                <w:lang w:val="en-GB"/>
              </w:rPr>
              <w:t>0.0</w:t>
            </w:r>
            <w:r w:rsidR="001F04F0" w:rsidRPr="00D272CC">
              <w:rPr>
                <w:lang w:val="en-GB"/>
              </w:rPr>
              <w:t>0</w:t>
            </w:r>
            <w:r w:rsidRPr="00D272CC">
              <w:rPr>
                <w:lang w:val="en-GB"/>
              </w:rPr>
              <w:t>*</w:t>
            </w:r>
          </w:p>
        </w:tc>
      </w:tr>
      <w:tr w:rsidR="00307AB6" w:rsidRPr="00D272CC" w14:paraId="5B0A2693" w14:textId="77777777" w:rsidTr="005F65F9">
        <w:tc>
          <w:tcPr>
            <w:tcW w:w="6237" w:type="dxa"/>
          </w:tcPr>
          <w:p w14:paraId="39F4FE98" w14:textId="77777777" w:rsidR="00307AB6" w:rsidRPr="00D272CC" w:rsidRDefault="00307AB6" w:rsidP="00E9429C">
            <w:pPr>
              <w:pStyle w:val="Table"/>
              <w:rPr>
                <w:szCs w:val="20"/>
                <w:lang w:val="en-GB"/>
              </w:rPr>
            </w:pPr>
            <w:r w:rsidRPr="00D272CC">
              <w:rPr>
                <w:szCs w:val="20"/>
                <w:lang w:val="en-GB"/>
              </w:rPr>
              <w:t xml:space="preserve">- </w:t>
            </w:r>
            <w:r w:rsidR="00FB7BAC" w:rsidRPr="00D272CC">
              <w:rPr>
                <w:szCs w:val="20"/>
                <w:lang w:val="en-GB"/>
              </w:rPr>
              <w:t>Measurement</w:t>
            </w:r>
            <w:r w:rsidRPr="00D272CC">
              <w:rPr>
                <w:szCs w:val="20"/>
                <w:lang w:val="en-GB"/>
              </w:rPr>
              <w:t xml:space="preserve"> (A) vs </w:t>
            </w:r>
            <w:r w:rsidR="00FB7BAC" w:rsidRPr="00D272CC">
              <w:rPr>
                <w:szCs w:val="20"/>
                <w:lang w:val="en-GB"/>
              </w:rPr>
              <w:t>presentation</w:t>
            </w:r>
            <w:r w:rsidRPr="00D272CC">
              <w:rPr>
                <w:szCs w:val="20"/>
                <w:lang w:val="en-GB"/>
              </w:rPr>
              <w:t xml:space="preserve"> (B) change</w:t>
            </w:r>
          </w:p>
        </w:tc>
        <w:tc>
          <w:tcPr>
            <w:tcW w:w="708" w:type="dxa"/>
            <w:vAlign w:val="bottom"/>
          </w:tcPr>
          <w:p w14:paraId="06D7D2AE" w14:textId="77777777" w:rsidR="00307AB6" w:rsidRPr="00D272CC" w:rsidRDefault="00A6798B" w:rsidP="00E9429C">
            <w:pPr>
              <w:pStyle w:val="Table"/>
              <w:jc w:val="center"/>
              <w:rPr>
                <w:lang w:val="en-GB"/>
              </w:rPr>
            </w:pPr>
            <w:r w:rsidRPr="00D272CC">
              <w:rPr>
                <w:lang w:val="en-GB"/>
              </w:rPr>
              <w:t>1</w:t>
            </w:r>
            <w:r w:rsidR="001F04F0" w:rsidRPr="00D272CC">
              <w:rPr>
                <w:lang w:val="en-GB"/>
              </w:rPr>
              <w:t>29</w:t>
            </w:r>
          </w:p>
        </w:tc>
        <w:tc>
          <w:tcPr>
            <w:tcW w:w="709" w:type="dxa"/>
            <w:vAlign w:val="bottom"/>
          </w:tcPr>
          <w:p w14:paraId="20BA1F4D" w14:textId="77777777" w:rsidR="00307AB6" w:rsidRPr="00D272CC" w:rsidRDefault="00FB7BAC" w:rsidP="00E9429C">
            <w:pPr>
              <w:pStyle w:val="Table"/>
              <w:jc w:val="center"/>
              <w:rPr>
                <w:lang w:val="en-GB"/>
              </w:rPr>
            </w:pPr>
            <w:r w:rsidRPr="00D272CC">
              <w:rPr>
                <w:lang w:val="en-GB"/>
              </w:rPr>
              <w:t>65</w:t>
            </w:r>
            <w:r w:rsidR="00307AB6" w:rsidRPr="00D272CC">
              <w:rPr>
                <w:lang w:val="en-GB"/>
              </w:rPr>
              <w:t>%</w:t>
            </w:r>
          </w:p>
        </w:tc>
        <w:tc>
          <w:tcPr>
            <w:tcW w:w="709" w:type="dxa"/>
            <w:vAlign w:val="bottom"/>
          </w:tcPr>
          <w:p w14:paraId="1F4F8865" w14:textId="77777777" w:rsidR="00307AB6" w:rsidRPr="00D272CC" w:rsidRDefault="00FB7BAC" w:rsidP="00E9429C">
            <w:pPr>
              <w:pStyle w:val="Table"/>
              <w:jc w:val="center"/>
              <w:rPr>
                <w:lang w:val="en-GB"/>
              </w:rPr>
            </w:pPr>
            <w:r w:rsidRPr="00D272CC">
              <w:rPr>
                <w:lang w:val="en-GB"/>
              </w:rPr>
              <w:t>35</w:t>
            </w:r>
            <w:r w:rsidR="00307AB6" w:rsidRPr="00D272CC">
              <w:rPr>
                <w:lang w:val="en-GB"/>
              </w:rPr>
              <w:t>%</w:t>
            </w:r>
          </w:p>
        </w:tc>
        <w:tc>
          <w:tcPr>
            <w:tcW w:w="709" w:type="dxa"/>
            <w:vAlign w:val="bottom"/>
          </w:tcPr>
          <w:p w14:paraId="49303FBE" w14:textId="77777777" w:rsidR="00307AB6" w:rsidRPr="00D272CC" w:rsidRDefault="00A6798B" w:rsidP="00E9429C">
            <w:pPr>
              <w:pStyle w:val="Table"/>
              <w:jc w:val="center"/>
              <w:rPr>
                <w:lang w:val="en-GB"/>
              </w:rPr>
            </w:pPr>
            <w:r w:rsidRPr="00D272CC">
              <w:rPr>
                <w:lang w:val="en-GB"/>
              </w:rPr>
              <w:t>0.00</w:t>
            </w:r>
            <w:r w:rsidR="00307AB6" w:rsidRPr="00D272CC">
              <w:rPr>
                <w:lang w:val="en-GB"/>
              </w:rPr>
              <w:t>*</w:t>
            </w:r>
          </w:p>
        </w:tc>
      </w:tr>
      <w:tr w:rsidR="00307AB6" w:rsidRPr="00D272CC" w14:paraId="5EDDBB51" w14:textId="77777777" w:rsidTr="005F65F9">
        <w:tc>
          <w:tcPr>
            <w:tcW w:w="6237" w:type="dxa"/>
            <w:tcBorders>
              <w:bottom w:val="single" w:sz="4" w:space="0" w:color="auto"/>
            </w:tcBorders>
          </w:tcPr>
          <w:p w14:paraId="2F76CB57" w14:textId="77777777" w:rsidR="00307AB6" w:rsidRPr="00D272CC" w:rsidRDefault="00307AB6" w:rsidP="00736F35">
            <w:pPr>
              <w:pStyle w:val="Table"/>
              <w:rPr>
                <w:szCs w:val="20"/>
                <w:lang w:val="en-GB"/>
              </w:rPr>
            </w:pPr>
          </w:p>
        </w:tc>
        <w:tc>
          <w:tcPr>
            <w:tcW w:w="708" w:type="dxa"/>
            <w:tcBorders>
              <w:bottom w:val="single" w:sz="4" w:space="0" w:color="auto"/>
            </w:tcBorders>
          </w:tcPr>
          <w:p w14:paraId="7B639EB2" w14:textId="77777777" w:rsidR="00307AB6" w:rsidRPr="00D272CC" w:rsidRDefault="00307AB6" w:rsidP="00736F35">
            <w:pPr>
              <w:pStyle w:val="Table"/>
              <w:jc w:val="center"/>
              <w:rPr>
                <w:szCs w:val="20"/>
                <w:lang w:val="en-GB"/>
              </w:rPr>
            </w:pPr>
          </w:p>
        </w:tc>
        <w:tc>
          <w:tcPr>
            <w:tcW w:w="709" w:type="dxa"/>
            <w:tcBorders>
              <w:bottom w:val="single" w:sz="4" w:space="0" w:color="auto"/>
            </w:tcBorders>
          </w:tcPr>
          <w:p w14:paraId="37CC078E" w14:textId="77777777" w:rsidR="00307AB6" w:rsidRPr="00D272CC" w:rsidRDefault="00307AB6" w:rsidP="00736F35">
            <w:pPr>
              <w:pStyle w:val="Table"/>
              <w:jc w:val="center"/>
              <w:rPr>
                <w:szCs w:val="20"/>
                <w:lang w:val="en-GB"/>
              </w:rPr>
            </w:pPr>
          </w:p>
        </w:tc>
        <w:tc>
          <w:tcPr>
            <w:tcW w:w="709" w:type="dxa"/>
            <w:tcBorders>
              <w:bottom w:val="single" w:sz="4" w:space="0" w:color="auto"/>
            </w:tcBorders>
          </w:tcPr>
          <w:p w14:paraId="294A93DA" w14:textId="77777777" w:rsidR="00307AB6" w:rsidRPr="00D272CC" w:rsidRDefault="00307AB6" w:rsidP="00736F35">
            <w:pPr>
              <w:pStyle w:val="Table"/>
              <w:jc w:val="center"/>
              <w:rPr>
                <w:szCs w:val="20"/>
                <w:lang w:val="en-GB"/>
              </w:rPr>
            </w:pPr>
          </w:p>
        </w:tc>
        <w:tc>
          <w:tcPr>
            <w:tcW w:w="709" w:type="dxa"/>
            <w:tcBorders>
              <w:bottom w:val="single" w:sz="4" w:space="0" w:color="auto"/>
            </w:tcBorders>
          </w:tcPr>
          <w:p w14:paraId="2D16CDB1" w14:textId="77777777" w:rsidR="00307AB6" w:rsidRPr="00D272CC" w:rsidRDefault="00307AB6" w:rsidP="00736F35">
            <w:pPr>
              <w:pStyle w:val="Table"/>
              <w:jc w:val="center"/>
              <w:rPr>
                <w:szCs w:val="20"/>
                <w:lang w:val="en-GB"/>
              </w:rPr>
            </w:pPr>
          </w:p>
        </w:tc>
      </w:tr>
    </w:tbl>
    <w:p w14:paraId="7B67FF38" w14:textId="77777777" w:rsidR="002118DA" w:rsidRPr="00D272CC" w:rsidRDefault="002118DA" w:rsidP="002118DA">
      <w:pPr>
        <w:pStyle w:val="Table-FigureDescription"/>
        <w:rPr>
          <w:lang w:val="en-GB"/>
        </w:rPr>
      </w:pPr>
    </w:p>
    <w:p w14:paraId="5FB6FDA7" w14:textId="77777777" w:rsidR="00025521" w:rsidRPr="00D272CC" w:rsidRDefault="00530AE4" w:rsidP="002118DA">
      <w:pPr>
        <w:pStyle w:val="Table-FigureDescription"/>
        <w:rPr>
          <w:lang w:val="en-GB"/>
        </w:rPr>
      </w:pPr>
      <w:r w:rsidRPr="00D272CC">
        <w:rPr>
          <w:lang w:val="en-GB"/>
        </w:rPr>
        <w:t xml:space="preserve">This table reports results of </w:t>
      </w:r>
      <w:r w:rsidR="00891354" w:rsidRPr="00D272CC">
        <w:rPr>
          <w:lang w:val="en-GB"/>
        </w:rPr>
        <w:t>univariate</w:t>
      </w:r>
      <w:r w:rsidRPr="00D272CC">
        <w:rPr>
          <w:lang w:val="en-GB"/>
        </w:rPr>
        <w:t xml:space="preserve"> analyse</w:t>
      </w:r>
      <w:r w:rsidR="00745B00" w:rsidRPr="00D272CC">
        <w:rPr>
          <w:lang w:val="en-GB"/>
        </w:rPr>
        <w:t xml:space="preserve">s </w:t>
      </w:r>
      <w:r w:rsidR="00307AB6" w:rsidRPr="00D272CC">
        <w:rPr>
          <w:lang w:val="en-GB"/>
        </w:rPr>
        <w:t xml:space="preserve">of </w:t>
      </w:r>
      <w:r w:rsidR="00745B00" w:rsidRPr="00D272CC">
        <w:rPr>
          <w:lang w:val="en-GB"/>
        </w:rPr>
        <w:t>the reasons for IFRS policy changes in the period 2006 to 2011</w:t>
      </w:r>
      <w:r w:rsidR="00614EEA" w:rsidRPr="00D272CC">
        <w:rPr>
          <w:lang w:val="en-GB"/>
        </w:rPr>
        <w:t xml:space="preserve"> from Table 4</w:t>
      </w:r>
      <w:r w:rsidR="00745B00" w:rsidRPr="00D272CC">
        <w:rPr>
          <w:lang w:val="en-GB"/>
        </w:rPr>
        <w:t xml:space="preserve">. </w:t>
      </w:r>
      <w:r w:rsidR="005F65F9" w:rsidRPr="00D272CC">
        <w:rPr>
          <w:lang w:val="en-GB"/>
        </w:rPr>
        <w:t>‘QC</w:t>
      </w:r>
      <w:r w:rsidR="009B29EF" w:rsidRPr="00D272CC">
        <w:rPr>
          <w:lang w:val="en-GB"/>
        </w:rPr>
        <w:t>s</w:t>
      </w:r>
      <w:r w:rsidR="005F65F9" w:rsidRPr="00D272CC">
        <w:rPr>
          <w:lang w:val="en-GB"/>
        </w:rPr>
        <w:t xml:space="preserve">’ denotes qualitative characteristics. </w:t>
      </w:r>
      <w:r w:rsidR="00891354" w:rsidRPr="00D272CC">
        <w:rPr>
          <w:lang w:val="en-GB"/>
        </w:rPr>
        <w:t xml:space="preserve">‘A’ and ‘B’ denote different groups that are compared. </w:t>
      </w:r>
      <w:r w:rsidR="00745B00" w:rsidRPr="00D272CC">
        <w:rPr>
          <w:lang w:val="en-GB"/>
        </w:rPr>
        <w:t xml:space="preserve">‘N’ is the number of reasons considered for each line of analysis. ‘% A’ and ‘% B’ </w:t>
      </w:r>
      <w:r w:rsidR="00307AB6" w:rsidRPr="00D272CC">
        <w:rPr>
          <w:lang w:val="en-GB"/>
        </w:rPr>
        <w:t>are</w:t>
      </w:r>
      <w:r w:rsidR="00745B00" w:rsidRPr="00D272CC">
        <w:rPr>
          <w:lang w:val="en-GB"/>
        </w:rPr>
        <w:t xml:space="preserve"> the </w:t>
      </w:r>
      <w:r w:rsidR="00307AB6" w:rsidRPr="00D272CC">
        <w:rPr>
          <w:lang w:val="en-GB"/>
        </w:rPr>
        <w:t>p</w:t>
      </w:r>
      <w:r w:rsidR="00891354" w:rsidRPr="00D272CC">
        <w:rPr>
          <w:lang w:val="en-GB"/>
        </w:rPr>
        <w:t>roportions</w:t>
      </w:r>
      <w:r w:rsidR="00745B00" w:rsidRPr="00D272CC">
        <w:rPr>
          <w:lang w:val="en-GB"/>
        </w:rPr>
        <w:t xml:space="preserve"> of reasons that correspond to these groups. ‘p</w:t>
      </w:r>
      <w:r w:rsidR="00745B00" w:rsidRPr="00D272CC">
        <w:rPr>
          <w:lang w:val="en-GB"/>
        </w:rPr>
        <w:noBreakHyphen/>
        <w:t xml:space="preserve">value’ </w:t>
      </w:r>
      <w:r w:rsidR="00745B00" w:rsidRPr="00D272CC">
        <w:rPr>
          <w:szCs w:val="20"/>
          <w:lang w:val="en-GB"/>
        </w:rPr>
        <w:t>reports the p</w:t>
      </w:r>
      <w:r w:rsidR="00745B00" w:rsidRPr="00D272CC">
        <w:rPr>
          <w:szCs w:val="20"/>
          <w:lang w:val="en-GB"/>
        </w:rPr>
        <w:noBreakHyphen/>
      </w:r>
      <w:r w:rsidR="00307AB6" w:rsidRPr="00D272CC">
        <w:rPr>
          <w:szCs w:val="20"/>
          <w:lang w:val="en-GB"/>
        </w:rPr>
        <w:t>value</w:t>
      </w:r>
      <w:r w:rsidR="00745B00" w:rsidRPr="00D272CC">
        <w:rPr>
          <w:szCs w:val="20"/>
          <w:lang w:val="en-GB"/>
        </w:rPr>
        <w:t xml:space="preserve"> for </w:t>
      </w:r>
      <w:r w:rsidR="00307AB6" w:rsidRPr="00D272CC">
        <w:rPr>
          <w:szCs w:val="20"/>
          <w:lang w:val="en-GB"/>
        </w:rPr>
        <w:t xml:space="preserve">a </w:t>
      </w:r>
      <w:r w:rsidR="00891354" w:rsidRPr="00D272CC">
        <w:rPr>
          <w:szCs w:val="20"/>
          <w:lang w:val="en-GB"/>
        </w:rPr>
        <w:t xml:space="preserve">two-sample </w:t>
      </w:r>
      <w:r w:rsidR="00307AB6" w:rsidRPr="00D272CC">
        <w:rPr>
          <w:szCs w:val="20"/>
          <w:lang w:val="en-GB"/>
        </w:rPr>
        <w:t>test of proportion</w:t>
      </w:r>
      <w:r w:rsidR="00614EEA" w:rsidRPr="00D272CC">
        <w:rPr>
          <w:szCs w:val="20"/>
          <w:lang w:val="en-GB"/>
        </w:rPr>
        <w:t>s</w:t>
      </w:r>
      <w:r w:rsidR="00307AB6" w:rsidRPr="00D272CC">
        <w:rPr>
          <w:szCs w:val="20"/>
          <w:lang w:val="en-GB"/>
        </w:rPr>
        <w:t>; * indicates that the p</w:t>
      </w:r>
      <w:r w:rsidR="00891354" w:rsidRPr="00D272CC">
        <w:rPr>
          <w:szCs w:val="20"/>
          <w:lang w:val="en-GB"/>
        </w:rPr>
        <w:t>roportion</w:t>
      </w:r>
      <w:r w:rsidR="00307AB6" w:rsidRPr="00D272CC">
        <w:rPr>
          <w:szCs w:val="20"/>
          <w:lang w:val="en-GB"/>
        </w:rPr>
        <w:t xml:space="preserve"> </w:t>
      </w:r>
      <w:r w:rsidR="00891354" w:rsidRPr="00D272CC">
        <w:rPr>
          <w:szCs w:val="20"/>
          <w:lang w:val="en-GB"/>
        </w:rPr>
        <w:t>of</w:t>
      </w:r>
      <w:r w:rsidR="00307AB6" w:rsidRPr="00D272CC">
        <w:rPr>
          <w:szCs w:val="20"/>
          <w:lang w:val="en-GB"/>
        </w:rPr>
        <w:t xml:space="preserve"> the two groups is significantly different at the 5% level (two-sided).</w:t>
      </w:r>
      <w:r w:rsidR="009B29EF" w:rsidRPr="00D272CC">
        <w:rPr>
          <w:szCs w:val="20"/>
          <w:lang w:val="en-GB"/>
        </w:rPr>
        <w:t xml:space="preserve"> </w:t>
      </w:r>
      <w:r w:rsidR="009B29EF" w:rsidRPr="00D272CC">
        <w:rPr>
          <w:lang w:val="en-GB"/>
        </w:rPr>
        <w:t xml:space="preserve">Data on IFRS policy </w:t>
      </w:r>
      <w:r w:rsidR="000674FD">
        <w:rPr>
          <w:lang w:val="en-GB"/>
        </w:rPr>
        <w:t>changes</w:t>
      </w:r>
      <w:r w:rsidR="009B29EF" w:rsidRPr="00D272CC">
        <w:rPr>
          <w:lang w:val="en-GB"/>
        </w:rPr>
        <w:t xml:space="preserve"> are hand-collected.</w:t>
      </w:r>
    </w:p>
    <w:p w14:paraId="0A2DE8AE" w14:textId="77777777" w:rsidR="00E97118" w:rsidRDefault="002118DA" w:rsidP="00E97118">
      <w:pPr>
        <w:pStyle w:val="Caption"/>
        <w:jc w:val="left"/>
        <w:rPr>
          <w:b w:val="0"/>
          <w:lang w:val="en-GB"/>
        </w:rPr>
      </w:pPr>
      <w:r w:rsidRPr="00D272CC">
        <w:rPr>
          <w:lang w:val="en-GB"/>
        </w:rPr>
        <w:t xml:space="preserve">Table </w:t>
      </w:r>
      <w:r w:rsidR="00680D7F" w:rsidRPr="00D272CC">
        <w:rPr>
          <w:lang w:val="en-GB"/>
        </w:rPr>
        <w:fldChar w:fldCharType="begin"/>
      </w:r>
      <w:r w:rsidRPr="00D272CC">
        <w:rPr>
          <w:lang w:val="en-GB"/>
        </w:rPr>
        <w:instrText xml:space="preserve"> SEQ Table \* ARABIC </w:instrText>
      </w:r>
      <w:r w:rsidR="00680D7F" w:rsidRPr="00D272CC">
        <w:rPr>
          <w:lang w:val="en-GB"/>
        </w:rPr>
        <w:fldChar w:fldCharType="separate"/>
      </w:r>
      <w:r w:rsidR="004F4900">
        <w:rPr>
          <w:noProof/>
          <w:lang w:val="en-GB"/>
        </w:rPr>
        <w:t>6</w:t>
      </w:r>
      <w:r w:rsidR="00680D7F" w:rsidRPr="00D272CC">
        <w:rPr>
          <w:lang w:val="en-GB"/>
        </w:rPr>
        <w:fldChar w:fldCharType="end"/>
      </w:r>
      <w:r w:rsidR="00380C8B" w:rsidRPr="00D272CC">
        <w:rPr>
          <w:lang w:val="en-GB"/>
        </w:rPr>
        <w:t xml:space="preserve">. </w:t>
      </w:r>
      <w:r w:rsidR="00E97118">
        <w:rPr>
          <w:b w:val="0"/>
          <w:lang w:val="en-GB"/>
        </w:rPr>
        <w:t>C</w:t>
      </w:r>
      <w:r w:rsidR="00F000BD" w:rsidRPr="00D272CC">
        <w:rPr>
          <w:b w:val="0"/>
          <w:lang w:val="en-GB"/>
        </w:rPr>
        <w:t xml:space="preserve">ircumstances </w:t>
      </w:r>
      <w:r w:rsidR="0090555E" w:rsidRPr="00D272CC">
        <w:rPr>
          <w:b w:val="0"/>
          <w:lang w:val="en-GB"/>
        </w:rPr>
        <w:t>under which</w:t>
      </w:r>
      <w:r w:rsidR="00F000BD" w:rsidRPr="00D272CC">
        <w:rPr>
          <w:b w:val="0"/>
          <w:lang w:val="en-GB"/>
        </w:rPr>
        <w:t xml:space="preserve"> </w:t>
      </w:r>
      <w:r w:rsidR="00380C8B" w:rsidRPr="00D272CC">
        <w:rPr>
          <w:b w:val="0"/>
          <w:lang w:val="en-GB"/>
        </w:rPr>
        <w:t>m</w:t>
      </w:r>
      <w:r w:rsidR="00F000BD" w:rsidRPr="00D272CC">
        <w:rPr>
          <w:b w:val="0"/>
          <w:lang w:val="en-GB"/>
        </w:rPr>
        <w:t xml:space="preserve">anagers </w:t>
      </w:r>
      <w:r w:rsidR="0000530D">
        <w:rPr>
          <w:b w:val="0"/>
          <w:lang w:val="en-GB"/>
        </w:rPr>
        <w:t xml:space="preserve">explain IFRS policy changes by </w:t>
      </w:r>
      <w:r w:rsidR="00380C8B" w:rsidRPr="00D272CC">
        <w:rPr>
          <w:b w:val="0"/>
          <w:lang w:val="en-GB"/>
        </w:rPr>
        <w:t>r</w:t>
      </w:r>
      <w:r w:rsidR="0090555E" w:rsidRPr="00D272CC">
        <w:rPr>
          <w:b w:val="0"/>
          <w:lang w:val="en-GB"/>
        </w:rPr>
        <w:t>efer</w:t>
      </w:r>
      <w:r w:rsidR="0000530D">
        <w:rPr>
          <w:b w:val="0"/>
          <w:lang w:val="en-GB"/>
        </w:rPr>
        <w:t>ring</w:t>
      </w:r>
      <w:r w:rsidR="0090555E" w:rsidRPr="00D272CC">
        <w:rPr>
          <w:b w:val="0"/>
          <w:lang w:val="en-GB"/>
        </w:rPr>
        <w:t xml:space="preserve"> to</w:t>
      </w:r>
      <w:r w:rsidR="00F000BD" w:rsidRPr="00D272CC">
        <w:rPr>
          <w:b w:val="0"/>
          <w:lang w:val="en-GB"/>
        </w:rPr>
        <w:t xml:space="preserve"> </w:t>
      </w:r>
      <w:r w:rsidR="00380C8B" w:rsidRPr="00D272CC">
        <w:rPr>
          <w:b w:val="0"/>
          <w:lang w:val="en-GB"/>
        </w:rPr>
        <w:t>q</w:t>
      </w:r>
      <w:r w:rsidR="009A4782" w:rsidRPr="00D272CC">
        <w:rPr>
          <w:b w:val="0"/>
          <w:lang w:val="en-GB"/>
        </w:rPr>
        <w:t xml:space="preserve">ualitative </w:t>
      </w:r>
      <w:r w:rsidR="00380C8B" w:rsidRPr="00D272CC">
        <w:rPr>
          <w:b w:val="0"/>
          <w:lang w:val="en-GB"/>
        </w:rPr>
        <w:t>c</w:t>
      </w:r>
      <w:r w:rsidR="009A4782" w:rsidRPr="00D272CC">
        <w:rPr>
          <w:b w:val="0"/>
          <w:lang w:val="en-GB"/>
        </w:rPr>
        <w:t>haracteristics</w:t>
      </w:r>
      <w:r w:rsidR="00380C8B" w:rsidRPr="00D272CC">
        <w:rPr>
          <w:b w:val="0"/>
          <w:lang w:val="en-GB"/>
        </w:rPr>
        <w:t>.</w:t>
      </w:r>
    </w:p>
    <w:p w14:paraId="1E441C1A" w14:textId="77777777" w:rsidR="003C3F6E" w:rsidRPr="00386416" w:rsidRDefault="003C3F6E" w:rsidP="00386416">
      <w:pPr>
        <w:pStyle w:val="Table-FigureDescription"/>
        <w:rPr>
          <w:b/>
          <w:lang w:val="en-GB"/>
        </w:rPr>
      </w:pPr>
    </w:p>
    <w:p w14:paraId="35F6D076" w14:textId="77777777" w:rsidR="00E97118" w:rsidRPr="00D272CC" w:rsidRDefault="00E97118" w:rsidP="00E97118">
      <w:pPr>
        <w:pStyle w:val="Table-FigurePanelHeading"/>
        <w:rPr>
          <w:lang w:val="en-GB"/>
        </w:rPr>
      </w:pPr>
      <w:r w:rsidRPr="00D272CC">
        <w:rPr>
          <w:lang w:val="en-GB"/>
        </w:rPr>
        <w:t xml:space="preserve">Panel </w:t>
      </w:r>
      <w:r>
        <w:rPr>
          <w:lang w:val="en-GB"/>
        </w:rPr>
        <w:t>A</w:t>
      </w:r>
      <w:r w:rsidRPr="00D272CC">
        <w:rPr>
          <w:lang w:val="en-GB"/>
        </w:rPr>
        <w:t>: Summary statistics of regression variables.</w:t>
      </w:r>
    </w:p>
    <w:p w14:paraId="58A80F7D" w14:textId="77777777" w:rsidR="00E97118" w:rsidRPr="00D272CC" w:rsidRDefault="00E97118" w:rsidP="00E97118">
      <w:pPr>
        <w:pStyle w:val="Table-FigureDescription"/>
        <w:rPr>
          <w:lang w:val="en-GB"/>
        </w:rPr>
      </w:pPr>
    </w:p>
    <w:tbl>
      <w:tblPr>
        <w:tblW w:w="9072" w:type="dxa"/>
        <w:tblLayout w:type="fixed"/>
        <w:tblCellMar>
          <w:left w:w="0" w:type="dxa"/>
          <w:right w:w="0" w:type="dxa"/>
        </w:tblCellMar>
        <w:tblLook w:val="00A0" w:firstRow="1" w:lastRow="0" w:firstColumn="1" w:lastColumn="0" w:noHBand="0" w:noVBand="0"/>
      </w:tblPr>
      <w:tblGrid>
        <w:gridCol w:w="2268"/>
        <w:gridCol w:w="850"/>
        <w:gridCol w:w="851"/>
        <w:gridCol w:w="850"/>
        <w:gridCol w:w="851"/>
        <w:gridCol w:w="850"/>
        <w:gridCol w:w="851"/>
        <w:gridCol w:w="850"/>
        <w:gridCol w:w="851"/>
      </w:tblGrid>
      <w:tr w:rsidR="00E97118" w:rsidRPr="00D272CC" w14:paraId="01D57853" w14:textId="77777777" w:rsidTr="00E97118">
        <w:tc>
          <w:tcPr>
            <w:tcW w:w="2268" w:type="dxa"/>
            <w:tcBorders>
              <w:top w:val="single" w:sz="4" w:space="0" w:color="auto"/>
              <w:bottom w:val="single" w:sz="4" w:space="0" w:color="auto"/>
            </w:tcBorders>
          </w:tcPr>
          <w:p w14:paraId="42671955" w14:textId="77777777" w:rsidR="00E97118" w:rsidRPr="00D272CC" w:rsidRDefault="00E97118" w:rsidP="00E97118">
            <w:pPr>
              <w:pStyle w:val="Table"/>
              <w:rPr>
                <w:b/>
                <w:lang w:val="en-GB"/>
              </w:rPr>
            </w:pPr>
            <w:r w:rsidRPr="00D272CC">
              <w:rPr>
                <w:b/>
                <w:lang w:val="en-GB"/>
              </w:rPr>
              <w:t>Variable</w:t>
            </w:r>
          </w:p>
        </w:tc>
        <w:tc>
          <w:tcPr>
            <w:tcW w:w="850" w:type="dxa"/>
            <w:tcBorders>
              <w:top w:val="single" w:sz="4" w:space="0" w:color="auto"/>
              <w:bottom w:val="single" w:sz="4" w:space="0" w:color="auto"/>
            </w:tcBorders>
          </w:tcPr>
          <w:p w14:paraId="0843B370" w14:textId="77777777" w:rsidR="00E97118" w:rsidRPr="00D272CC" w:rsidRDefault="00E97118" w:rsidP="00E97118">
            <w:pPr>
              <w:pStyle w:val="Table"/>
              <w:jc w:val="right"/>
              <w:rPr>
                <w:b/>
                <w:lang w:val="en-GB"/>
              </w:rPr>
            </w:pPr>
            <w:r w:rsidRPr="00D272CC">
              <w:rPr>
                <w:b/>
                <w:lang w:val="en-GB"/>
              </w:rPr>
              <w:t>N</w:t>
            </w:r>
          </w:p>
        </w:tc>
        <w:tc>
          <w:tcPr>
            <w:tcW w:w="851" w:type="dxa"/>
            <w:tcBorders>
              <w:top w:val="single" w:sz="4" w:space="0" w:color="auto"/>
              <w:bottom w:val="single" w:sz="4" w:space="0" w:color="auto"/>
            </w:tcBorders>
          </w:tcPr>
          <w:p w14:paraId="28479632" w14:textId="77777777" w:rsidR="00E97118" w:rsidRPr="00D272CC" w:rsidRDefault="00E97118" w:rsidP="00E97118">
            <w:pPr>
              <w:pStyle w:val="Table"/>
              <w:jc w:val="right"/>
              <w:rPr>
                <w:b/>
                <w:lang w:val="en-GB"/>
              </w:rPr>
            </w:pPr>
            <w:r w:rsidRPr="00D272CC">
              <w:rPr>
                <w:b/>
                <w:lang w:val="en-GB"/>
              </w:rPr>
              <w:t>Mean</w:t>
            </w:r>
          </w:p>
        </w:tc>
        <w:tc>
          <w:tcPr>
            <w:tcW w:w="850" w:type="dxa"/>
            <w:tcBorders>
              <w:top w:val="single" w:sz="4" w:space="0" w:color="auto"/>
              <w:bottom w:val="single" w:sz="4" w:space="0" w:color="auto"/>
            </w:tcBorders>
          </w:tcPr>
          <w:p w14:paraId="5D59D314" w14:textId="77777777" w:rsidR="00E97118" w:rsidRPr="00D272CC" w:rsidRDefault="00E97118" w:rsidP="00E97118">
            <w:pPr>
              <w:pStyle w:val="Table"/>
              <w:jc w:val="right"/>
              <w:rPr>
                <w:b/>
                <w:lang w:val="en-GB"/>
              </w:rPr>
            </w:pPr>
            <w:r w:rsidRPr="00D272CC">
              <w:rPr>
                <w:b/>
                <w:lang w:val="en-GB"/>
              </w:rPr>
              <w:t>StdDev</w:t>
            </w:r>
          </w:p>
        </w:tc>
        <w:tc>
          <w:tcPr>
            <w:tcW w:w="851" w:type="dxa"/>
            <w:tcBorders>
              <w:top w:val="single" w:sz="4" w:space="0" w:color="auto"/>
              <w:bottom w:val="single" w:sz="4" w:space="0" w:color="auto"/>
            </w:tcBorders>
          </w:tcPr>
          <w:p w14:paraId="5A039B14" w14:textId="77777777" w:rsidR="00E97118" w:rsidRPr="00D272CC" w:rsidRDefault="00E97118" w:rsidP="00E97118">
            <w:pPr>
              <w:pStyle w:val="Table"/>
              <w:jc w:val="right"/>
              <w:rPr>
                <w:b/>
                <w:lang w:val="en-GB"/>
              </w:rPr>
            </w:pPr>
            <w:r w:rsidRPr="00D272CC">
              <w:rPr>
                <w:b/>
                <w:lang w:val="en-GB"/>
              </w:rPr>
              <w:t>Min</w:t>
            </w:r>
          </w:p>
        </w:tc>
        <w:tc>
          <w:tcPr>
            <w:tcW w:w="850" w:type="dxa"/>
            <w:tcBorders>
              <w:top w:val="single" w:sz="4" w:space="0" w:color="auto"/>
              <w:bottom w:val="single" w:sz="4" w:space="0" w:color="auto"/>
            </w:tcBorders>
          </w:tcPr>
          <w:p w14:paraId="57612EEC" w14:textId="77777777" w:rsidR="00E97118" w:rsidRPr="00D272CC" w:rsidRDefault="00E97118" w:rsidP="00E97118">
            <w:pPr>
              <w:pStyle w:val="Table"/>
              <w:jc w:val="right"/>
              <w:rPr>
                <w:b/>
                <w:lang w:val="en-GB"/>
              </w:rPr>
            </w:pPr>
            <w:r w:rsidRPr="00D272CC">
              <w:rPr>
                <w:b/>
                <w:lang w:val="en-GB"/>
              </w:rPr>
              <w:t>Q1</w:t>
            </w:r>
          </w:p>
        </w:tc>
        <w:tc>
          <w:tcPr>
            <w:tcW w:w="851" w:type="dxa"/>
            <w:tcBorders>
              <w:top w:val="single" w:sz="4" w:space="0" w:color="auto"/>
              <w:bottom w:val="single" w:sz="4" w:space="0" w:color="auto"/>
            </w:tcBorders>
          </w:tcPr>
          <w:p w14:paraId="4651F9B6" w14:textId="77777777" w:rsidR="00E97118" w:rsidRPr="00D272CC" w:rsidRDefault="00E97118" w:rsidP="00E97118">
            <w:pPr>
              <w:pStyle w:val="Table"/>
              <w:jc w:val="right"/>
              <w:rPr>
                <w:b/>
                <w:lang w:val="en-GB"/>
              </w:rPr>
            </w:pPr>
            <w:r w:rsidRPr="00D272CC">
              <w:rPr>
                <w:b/>
                <w:lang w:val="en-GB"/>
              </w:rPr>
              <w:t>Median</w:t>
            </w:r>
          </w:p>
        </w:tc>
        <w:tc>
          <w:tcPr>
            <w:tcW w:w="850" w:type="dxa"/>
            <w:tcBorders>
              <w:top w:val="single" w:sz="4" w:space="0" w:color="auto"/>
              <w:bottom w:val="single" w:sz="4" w:space="0" w:color="auto"/>
            </w:tcBorders>
          </w:tcPr>
          <w:p w14:paraId="51E59D1F" w14:textId="77777777" w:rsidR="00E97118" w:rsidRPr="00D272CC" w:rsidRDefault="00E97118" w:rsidP="00E97118">
            <w:pPr>
              <w:pStyle w:val="Table"/>
              <w:jc w:val="right"/>
              <w:rPr>
                <w:b/>
                <w:lang w:val="en-GB"/>
              </w:rPr>
            </w:pPr>
            <w:r w:rsidRPr="00D272CC">
              <w:rPr>
                <w:b/>
                <w:lang w:val="en-GB"/>
              </w:rPr>
              <w:t>Q3</w:t>
            </w:r>
          </w:p>
        </w:tc>
        <w:tc>
          <w:tcPr>
            <w:tcW w:w="851" w:type="dxa"/>
            <w:tcBorders>
              <w:top w:val="single" w:sz="4" w:space="0" w:color="auto"/>
              <w:bottom w:val="single" w:sz="4" w:space="0" w:color="auto"/>
            </w:tcBorders>
          </w:tcPr>
          <w:p w14:paraId="70C99E94" w14:textId="77777777" w:rsidR="00E97118" w:rsidRPr="00D272CC" w:rsidRDefault="00E97118" w:rsidP="00E97118">
            <w:pPr>
              <w:pStyle w:val="Table"/>
              <w:jc w:val="right"/>
              <w:rPr>
                <w:b/>
                <w:lang w:val="en-GB"/>
              </w:rPr>
            </w:pPr>
            <w:r w:rsidRPr="00D272CC">
              <w:rPr>
                <w:b/>
                <w:lang w:val="en-GB"/>
              </w:rPr>
              <w:t>Max</w:t>
            </w:r>
          </w:p>
        </w:tc>
      </w:tr>
      <w:tr w:rsidR="00E97118" w:rsidRPr="00D272CC" w14:paraId="133989C6" w14:textId="77777777" w:rsidTr="00E97118">
        <w:tc>
          <w:tcPr>
            <w:tcW w:w="2268" w:type="dxa"/>
            <w:tcBorders>
              <w:top w:val="single" w:sz="4" w:space="0" w:color="auto"/>
            </w:tcBorders>
          </w:tcPr>
          <w:p w14:paraId="7575B2A2" w14:textId="77777777" w:rsidR="00E97118" w:rsidRPr="00D272CC" w:rsidRDefault="00E97118" w:rsidP="00E97118">
            <w:pPr>
              <w:pStyle w:val="Table"/>
              <w:rPr>
                <w:lang w:val="en-GB"/>
              </w:rPr>
            </w:pPr>
          </w:p>
        </w:tc>
        <w:tc>
          <w:tcPr>
            <w:tcW w:w="850" w:type="dxa"/>
            <w:tcBorders>
              <w:top w:val="single" w:sz="4" w:space="0" w:color="auto"/>
            </w:tcBorders>
          </w:tcPr>
          <w:p w14:paraId="3F52F0AF" w14:textId="77777777" w:rsidR="00E97118" w:rsidRPr="00D272CC" w:rsidRDefault="00E97118" w:rsidP="00E97118">
            <w:pPr>
              <w:pStyle w:val="Table"/>
              <w:jc w:val="right"/>
              <w:rPr>
                <w:lang w:val="en-GB"/>
              </w:rPr>
            </w:pPr>
          </w:p>
        </w:tc>
        <w:tc>
          <w:tcPr>
            <w:tcW w:w="851" w:type="dxa"/>
            <w:tcBorders>
              <w:top w:val="single" w:sz="4" w:space="0" w:color="auto"/>
            </w:tcBorders>
          </w:tcPr>
          <w:p w14:paraId="6BE82F7B" w14:textId="77777777" w:rsidR="00E97118" w:rsidRPr="00D272CC" w:rsidRDefault="00E97118" w:rsidP="00E97118">
            <w:pPr>
              <w:pStyle w:val="Table"/>
              <w:jc w:val="right"/>
              <w:rPr>
                <w:lang w:val="en-GB"/>
              </w:rPr>
            </w:pPr>
          </w:p>
        </w:tc>
        <w:tc>
          <w:tcPr>
            <w:tcW w:w="850" w:type="dxa"/>
            <w:tcBorders>
              <w:top w:val="single" w:sz="4" w:space="0" w:color="auto"/>
            </w:tcBorders>
          </w:tcPr>
          <w:p w14:paraId="45726D95" w14:textId="77777777" w:rsidR="00E97118" w:rsidRPr="00D272CC" w:rsidRDefault="00E97118" w:rsidP="00E97118">
            <w:pPr>
              <w:pStyle w:val="Table"/>
              <w:jc w:val="right"/>
              <w:rPr>
                <w:lang w:val="en-GB"/>
              </w:rPr>
            </w:pPr>
          </w:p>
        </w:tc>
        <w:tc>
          <w:tcPr>
            <w:tcW w:w="851" w:type="dxa"/>
            <w:tcBorders>
              <w:top w:val="single" w:sz="4" w:space="0" w:color="auto"/>
            </w:tcBorders>
          </w:tcPr>
          <w:p w14:paraId="51E2B62F" w14:textId="77777777" w:rsidR="00E97118" w:rsidRPr="00D272CC" w:rsidRDefault="00E97118" w:rsidP="00E97118">
            <w:pPr>
              <w:pStyle w:val="Table"/>
              <w:jc w:val="right"/>
              <w:rPr>
                <w:lang w:val="en-GB"/>
              </w:rPr>
            </w:pPr>
          </w:p>
        </w:tc>
        <w:tc>
          <w:tcPr>
            <w:tcW w:w="850" w:type="dxa"/>
            <w:tcBorders>
              <w:top w:val="single" w:sz="4" w:space="0" w:color="auto"/>
            </w:tcBorders>
          </w:tcPr>
          <w:p w14:paraId="017406BD" w14:textId="77777777" w:rsidR="00E97118" w:rsidRPr="00D272CC" w:rsidRDefault="00E97118" w:rsidP="00E97118">
            <w:pPr>
              <w:pStyle w:val="Table"/>
              <w:jc w:val="right"/>
              <w:rPr>
                <w:lang w:val="en-GB"/>
              </w:rPr>
            </w:pPr>
          </w:p>
        </w:tc>
        <w:tc>
          <w:tcPr>
            <w:tcW w:w="851" w:type="dxa"/>
            <w:tcBorders>
              <w:top w:val="single" w:sz="4" w:space="0" w:color="auto"/>
            </w:tcBorders>
          </w:tcPr>
          <w:p w14:paraId="5B333615" w14:textId="77777777" w:rsidR="00E97118" w:rsidRPr="00D272CC" w:rsidRDefault="00E97118" w:rsidP="00E97118">
            <w:pPr>
              <w:pStyle w:val="Table"/>
              <w:jc w:val="right"/>
              <w:rPr>
                <w:lang w:val="en-GB"/>
              </w:rPr>
            </w:pPr>
          </w:p>
        </w:tc>
        <w:tc>
          <w:tcPr>
            <w:tcW w:w="850" w:type="dxa"/>
            <w:tcBorders>
              <w:top w:val="single" w:sz="4" w:space="0" w:color="auto"/>
            </w:tcBorders>
          </w:tcPr>
          <w:p w14:paraId="56AEB106" w14:textId="77777777" w:rsidR="00E97118" w:rsidRPr="00D272CC" w:rsidRDefault="00E97118" w:rsidP="00E97118">
            <w:pPr>
              <w:pStyle w:val="Table"/>
              <w:jc w:val="right"/>
              <w:rPr>
                <w:lang w:val="en-GB"/>
              </w:rPr>
            </w:pPr>
          </w:p>
        </w:tc>
        <w:tc>
          <w:tcPr>
            <w:tcW w:w="851" w:type="dxa"/>
            <w:tcBorders>
              <w:top w:val="single" w:sz="4" w:space="0" w:color="auto"/>
            </w:tcBorders>
          </w:tcPr>
          <w:p w14:paraId="06CA1FFB" w14:textId="77777777" w:rsidR="00E97118" w:rsidRPr="00D272CC" w:rsidRDefault="00E97118" w:rsidP="00E97118">
            <w:pPr>
              <w:pStyle w:val="Table"/>
              <w:jc w:val="right"/>
              <w:rPr>
                <w:lang w:val="en-GB"/>
              </w:rPr>
            </w:pPr>
          </w:p>
        </w:tc>
      </w:tr>
      <w:tr w:rsidR="008B6A84" w:rsidRPr="00D272CC" w14:paraId="2B486158" w14:textId="77777777" w:rsidTr="00E97118">
        <w:tc>
          <w:tcPr>
            <w:tcW w:w="2268" w:type="dxa"/>
          </w:tcPr>
          <w:p w14:paraId="21671D24" w14:textId="4D6BFFBA" w:rsidR="008B6A84" w:rsidRPr="00D272CC" w:rsidRDefault="008B6A84" w:rsidP="00E97118">
            <w:pPr>
              <w:pStyle w:val="Table"/>
              <w:rPr>
                <w:lang w:val="en-GB"/>
              </w:rPr>
            </w:pPr>
            <w:r w:rsidRPr="00D272CC">
              <w:rPr>
                <w:lang w:val="en-GB"/>
              </w:rPr>
              <w:t>QC</w:t>
            </w:r>
          </w:p>
        </w:tc>
        <w:tc>
          <w:tcPr>
            <w:tcW w:w="850" w:type="dxa"/>
            <w:vAlign w:val="bottom"/>
          </w:tcPr>
          <w:p w14:paraId="0BD5A800" w14:textId="77777777" w:rsidR="008B6A84" w:rsidRPr="00D272CC" w:rsidRDefault="008B6A84" w:rsidP="008B6A84">
            <w:pPr>
              <w:pStyle w:val="Table"/>
              <w:jc w:val="right"/>
              <w:rPr>
                <w:lang w:val="en-GB"/>
              </w:rPr>
            </w:pPr>
            <w:r>
              <w:t>323</w:t>
            </w:r>
          </w:p>
        </w:tc>
        <w:tc>
          <w:tcPr>
            <w:tcW w:w="851" w:type="dxa"/>
            <w:vAlign w:val="bottom"/>
          </w:tcPr>
          <w:p w14:paraId="1E9ACB23" w14:textId="77777777" w:rsidR="008B6A84" w:rsidRPr="00D272CC" w:rsidRDefault="008B6A84" w:rsidP="008B6A84">
            <w:pPr>
              <w:pStyle w:val="Table"/>
              <w:jc w:val="right"/>
              <w:rPr>
                <w:lang w:val="en-GB"/>
              </w:rPr>
            </w:pPr>
            <w:r>
              <w:t>0.257</w:t>
            </w:r>
          </w:p>
        </w:tc>
        <w:tc>
          <w:tcPr>
            <w:tcW w:w="850" w:type="dxa"/>
            <w:vAlign w:val="bottom"/>
          </w:tcPr>
          <w:p w14:paraId="336FCDF7" w14:textId="77777777" w:rsidR="008B6A84" w:rsidRPr="00D272CC" w:rsidRDefault="008B6A84" w:rsidP="008B6A84">
            <w:pPr>
              <w:pStyle w:val="Table"/>
              <w:jc w:val="right"/>
              <w:rPr>
                <w:lang w:val="en-GB"/>
              </w:rPr>
            </w:pPr>
            <w:r>
              <w:t>0.438</w:t>
            </w:r>
          </w:p>
        </w:tc>
        <w:tc>
          <w:tcPr>
            <w:tcW w:w="851" w:type="dxa"/>
            <w:vAlign w:val="bottom"/>
          </w:tcPr>
          <w:p w14:paraId="633D44CF" w14:textId="77777777" w:rsidR="008B6A84" w:rsidRPr="00D272CC" w:rsidRDefault="008B6A84" w:rsidP="008B6A84">
            <w:pPr>
              <w:pStyle w:val="Table"/>
              <w:jc w:val="right"/>
              <w:rPr>
                <w:lang w:val="en-GB"/>
              </w:rPr>
            </w:pPr>
          </w:p>
        </w:tc>
        <w:tc>
          <w:tcPr>
            <w:tcW w:w="850" w:type="dxa"/>
            <w:vAlign w:val="bottom"/>
          </w:tcPr>
          <w:p w14:paraId="4085AF5D" w14:textId="77777777" w:rsidR="008B6A84" w:rsidRPr="00D272CC" w:rsidRDefault="008B6A84" w:rsidP="008B6A84">
            <w:pPr>
              <w:pStyle w:val="Table"/>
              <w:jc w:val="right"/>
              <w:rPr>
                <w:lang w:val="en-GB"/>
              </w:rPr>
            </w:pPr>
          </w:p>
        </w:tc>
        <w:tc>
          <w:tcPr>
            <w:tcW w:w="851" w:type="dxa"/>
            <w:vAlign w:val="bottom"/>
          </w:tcPr>
          <w:p w14:paraId="63A5476B" w14:textId="77777777" w:rsidR="008B6A84" w:rsidRPr="00D272CC" w:rsidRDefault="008B6A84" w:rsidP="008B6A84">
            <w:pPr>
              <w:pStyle w:val="Table"/>
              <w:jc w:val="right"/>
              <w:rPr>
                <w:lang w:val="en-GB"/>
              </w:rPr>
            </w:pPr>
          </w:p>
        </w:tc>
        <w:tc>
          <w:tcPr>
            <w:tcW w:w="850" w:type="dxa"/>
            <w:vAlign w:val="bottom"/>
          </w:tcPr>
          <w:p w14:paraId="56B1BC65" w14:textId="77777777" w:rsidR="008B6A84" w:rsidRPr="00D272CC" w:rsidRDefault="008B6A84" w:rsidP="008B6A84">
            <w:pPr>
              <w:pStyle w:val="Table"/>
              <w:jc w:val="right"/>
              <w:rPr>
                <w:lang w:val="en-GB"/>
              </w:rPr>
            </w:pPr>
          </w:p>
        </w:tc>
        <w:tc>
          <w:tcPr>
            <w:tcW w:w="851" w:type="dxa"/>
            <w:vAlign w:val="bottom"/>
          </w:tcPr>
          <w:p w14:paraId="7B955770" w14:textId="77777777" w:rsidR="008B6A84" w:rsidRPr="00D272CC" w:rsidRDefault="008B6A84" w:rsidP="008B6A84">
            <w:pPr>
              <w:pStyle w:val="Table"/>
              <w:jc w:val="right"/>
              <w:rPr>
                <w:lang w:val="en-GB"/>
              </w:rPr>
            </w:pPr>
          </w:p>
        </w:tc>
      </w:tr>
      <w:tr w:rsidR="008B6A84" w:rsidRPr="00D272CC" w14:paraId="0E8FA99F" w14:textId="77777777" w:rsidTr="00E97118">
        <w:tc>
          <w:tcPr>
            <w:tcW w:w="2268" w:type="dxa"/>
          </w:tcPr>
          <w:p w14:paraId="12CB37FA" w14:textId="77777777" w:rsidR="008B6A84" w:rsidRPr="00D272CC" w:rsidRDefault="008B6A84" w:rsidP="00E97118">
            <w:pPr>
              <w:pStyle w:val="Table"/>
              <w:rPr>
                <w:lang w:val="en-GB"/>
              </w:rPr>
            </w:pPr>
          </w:p>
        </w:tc>
        <w:tc>
          <w:tcPr>
            <w:tcW w:w="850" w:type="dxa"/>
            <w:vAlign w:val="bottom"/>
          </w:tcPr>
          <w:p w14:paraId="192F1E7B" w14:textId="77777777" w:rsidR="008B6A84" w:rsidRPr="00D272CC" w:rsidRDefault="008B6A84" w:rsidP="008B6A84">
            <w:pPr>
              <w:pStyle w:val="Table"/>
              <w:jc w:val="right"/>
              <w:rPr>
                <w:lang w:val="en-GB"/>
              </w:rPr>
            </w:pPr>
          </w:p>
        </w:tc>
        <w:tc>
          <w:tcPr>
            <w:tcW w:w="851" w:type="dxa"/>
            <w:vAlign w:val="bottom"/>
          </w:tcPr>
          <w:p w14:paraId="3FB1120D" w14:textId="77777777" w:rsidR="008B6A84" w:rsidRPr="00D272CC" w:rsidRDefault="008B6A84" w:rsidP="008B6A84">
            <w:pPr>
              <w:pStyle w:val="Table"/>
              <w:jc w:val="right"/>
              <w:rPr>
                <w:lang w:val="en-GB"/>
              </w:rPr>
            </w:pPr>
          </w:p>
        </w:tc>
        <w:tc>
          <w:tcPr>
            <w:tcW w:w="850" w:type="dxa"/>
            <w:vAlign w:val="bottom"/>
          </w:tcPr>
          <w:p w14:paraId="070E4D80" w14:textId="77777777" w:rsidR="008B6A84" w:rsidRPr="00D272CC" w:rsidRDefault="008B6A84" w:rsidP="008B6A84">
            <w:pPr>
              <w:pStyle w:val="Table"/>
              <w:jc w:val="right"/>
              <w:rPr>
                <w:lang w:val="en-GB"/>
              </w:rPr>
            </w:pPr>
          </w:p>
        </w:tc>
        <w:tc>
          <w:tcPr>
            <w:tcW w:w="851" w:type="dxa"/>
            <w:vAlign w:val="bottom"/>
          </w:tcPr>
          <w:p w14:paraId="4ABFD3A2" w14:textId="77777777" w:rsidR="008B6A84" w:rsidRPr="00D272CC" w:rsidRDefault="008B6A84" w:rsidP="008B6A84">
            <w:pPr>
              <w:pStyle w:val="Table"/>
              <w:jc w:val="right"/>
              <w:rPr>
                <w:lang w:val="en-GB"/>
              </w:rPr>
            </w:pPr>
          </w:p>
        </w:tc>
        <w:tc>
          <w:tcPr>
            <w:tcW w:w="850" w:type="dxa"/>
            <w:vAlign w:val="bottom"/>
          </w:tcPr>
          <w:p w14:paraId="3C26C72B" w14:textId="77777777" w:rsidR="008B6A84" w:rsidRPr="00D272CC" w:rsidRDefault="008B6A84" w:rsidP="008B6A84">
            <w:pPr>
              <w:pStyle w:val="Table"/>
              <w:jc w:val="right"/>
              <w:rPr>
                <w:lang w:val="en-GB"/>
              </w:rPr>
            </w:pPr>
          </w:p>
        </w:tc>
        <w:tc>
          <w:tcPr>
            <w:tcW w:w="851" w:type="dxa"/>
            <w:vAlign w:val="bottom"/>
          </w:tcPr>
          <w:p w14:paraId="36B383E1" w14:textId="77777777" w:rsidR="008B6A84" w:rsidRPr="00D272CC" w:rsidRDefault="008B6A84" w:rsidP="008B6A84">
            <w:pPr>
              <w:pStyle w:val="Table"/>
              <w:jc w:val="right"/>
              <w:rPr>
                <w:lang w:val="en-GB"/>
              </w:rPr>
            </w:pPr>
          </w:p>
        </w:tc>
        <w:tc>
          <w:tcPr>
            <w:tcW w:w="850" w:type="dxa"/>
            <w:vAlign w:val="bottom"/>
          </w:tcPr>
          <w:p w14:paraId="1FD71E9D" w14:textId="77777777" w:rsidR="008B6A84" w:rsidRPr="00D272CC" w:rsidRDefault="008B6A84" w:rsidP="008B6A84">
            <w:pPr>
              <w:pStyle w:val="Table"/>
              <w:jc w:val="right"/>
              <w:rPr>
                <w:lang w:val="en-GB"/>
              </w:rPr>
            </w:pPr>
          </w:p>
        </w:tc>
        <w:tc>
          <w:tcPr>
            <w:tcW w:w="851" w:type="dxa"/>
            <w:vAlign w:val="bottom"/>
          </w:tcPr>
          <w:p w14:paraId="1ABE38A4" w14:textId="77777777" w:rsidR="008B6A84" w:rsidRPr="00D272CC" w:rsidRDefault="008B6A84" w:rsidP="008B6A84">
            <w:pPr>
              <w:pStyle w:val="Table"/>
              <w:jc w:val="right"/>
              <w:rPr>
                <w:lang w:val="en-GB"/>
              </w:rPr>
            </w:pPr>
          </w:p>
        </w:tc>
      </w:tr>
      <w:tr w:rsidR="008B6A84" w:rsidRPr="00D272CC" w14:paraId="2E357779" w14:textId="77777777" w:rsidTr="00E97118">
        <w:tc>
          <w:tcPr>
            <w:tcW w:w="2268" w:type="dxa"/>
          </w:tcPr>
          <w:p w14:paraId="386AFB86" w14:textId="77777777" w:rsidR="008B6A84" w:rsidRPr="00D272CC" w:rsidRDefault="008B6A84" w:rsidP="00E97118">
            <w:pPr>
              <w:pStyle w:val="Table"/>
              <w:rPr>
                <w:lang w:val="en-GB"/>
              </w:rPr>
            </w:pPr>
            <w:r w:rsidRPr="00D272CC">
              <w:rPr>
                <w:szCs w:val="20"/>
                <w:lang w:val="en-GB"/>
              </w:rPr>
              <w:t>MEASUREMENT</w:t>
            </w:r>
          </w:p>
        </w:tc>
        <w:tc>
          <w:tcPr>
            <w:tcW w:w="850" w:type="dxa"/>
            <w:vAlign w:val="bottom"/>
          </w:tcPr>
          <w:p w14:paraId="7B401772" w14:textId="77777777" w:rsidR="008B6A84" w:rsidRPr="00D272CC" w:rsidRDefault="008B6A84" w:rsidP="008B6A84">
            <w:pPr>
              <w:pStyle w:val="Table"/>
              <w:jc w:val="right"/>
              <w:rPr>
                <w:lang w:val="en-GB"/>
              </w:rPr>
            </w:pPr>
            <w:r>
              <w:t>323</w:t>
            </w:r>
          </w:p>
        </w:tc>
        <w:tc>
          <w:tcPr>
            <w:tcW w:w="851" w:type="dxa"/>
            <w:vAlign w:val="bottom"/>
          </w:tcPr>
          <w:p w14:paraId="64D07376" w14:textId="77777777" w:rsidR="008B6A84" w:rsidRPr="00D272CC" w:rsidRDefault="008B6A84" w:rsidP="008B6A84">
            <w:pPr>
              <w:pStyle w:val="Table"/>
              <w:jc w:val="right"/>
              <w:rPr>
                <w:lang w:val="en-GB"/>
              </w:rPr>
            </w:pPr>
            <w:r>
              <w:t>0.539</w:t>
            </w:r>
          </w:p>
        </w:tc>
        <w:tc>
          <w:tcPr>
            <w:tcW w:w="850" w:type="dxa"/>
            <w:vAlign w:val="bottom"/>
          </w:tcPr>
          <w:p w14:paraId="2BEA6A3B" w14:textId="77777777" w:rsidR="008B6A84" w:rsidRPr="00D272CC" w:rsidRDefault="008B6A84" w:rsidP="008B6A84">
            <w:pPr>
              <w:pStyle w:val="Table"/>
              <w:jc w:val="right"/>
              <w:rPr>
                <w:lang w:val="en-GB"/>
              </w:rPr>
            </w:pPr>
            <w:r>
              <w:t>0.499</w:t>
            </w:r>
          </w:p>
        </w:tc>
        <w:tc>
          <w:tcPr>
            <w:tcW w:w="851" w:type="dxa"/>
            <w:vAlign w:val="bottom"/>
          </w:tcPr>
          <w:p w14:paraId="5AFA36A5" w14:textId="77777777" w:rsidR="008B6A84" w:rsidRPr="00D272CC" w:rsidRDefault="008B6A84" w:rsidP="008B6A84">
            <w:pPr>
              <w:pStyle w:val="Table"/>
              <w:jc w:val="right"/>
              <w:rPr>
                <w:lang w:val="en-GB"/>
              </w:rPr>
            </w:pPr>
          </w:p>
        </w:tc>
        <w:tc>
          <w:tcPr>
            <w:tcW w:w="850" w:type="dxa"/>
            <w:vAlign w:val="bottom"/>
          </w:tcPr>
          <w:p w14:paraId="4C0F3048" w14:textId="77777777" w:rsidR="008B6A84" w:rsidRPr="00D272CC" w:rsidRDefault="008B6A84" w:rsidP="008B6A84">
            <w:pPr>
              <w:pStyle w:val="Table"/>
              <w:jc w:val="right"/>
              <w:rPr>
                <w:lang w:val="en-GB"/>
              </w:rPr>
            </w:pPr>
          </w:p>
        </w:tc>
        <w:tc>
          <w:tcPr>
            <w:tcW w:w="851" w:type="dxa"/>
            <w:vAlign w:val="bottom"/>
          </w:tcPr>
          <w:p w14:paraId="7DBC19E9" w14:textId="77777777" w:rsidR="008B6A84" w:rsidRPr="00D272CC" w:rsidRDefault="008B6A84" w:rsidP="008B6A84">
            <w:pPr>
              <w:pStyle w:val="Table"/>
              <w:jc w:val="right"/>
              <w:rPr>
                <w:lang w:val="en-GB"/>
              </w:rPr>
            </w:pPr>
          </w:p>
        </w:tc>
        <w:tc>
          <w:tcPr>
            <w:tcW w:w="850" w:type="dxa"/>
            <w:vAlign w:val="bottom"/>
          </w:tcPr>
          <w:p w14:paraId="343B0518" w14:textId="77777777" w:rsidR="008B6A84" w:rsidRPr="00D272CC" w:rsidRDefault="008B6A84" w:rsidP="008B6A84">
            <w:pPr>
              <w:pStyle w:val="Table"/>
              <w:jc w:val="right"/>
              <w:rPr>
                <w:lang w:val="en-GB"/>
              </w:rPr>
            </w:pPr>
          </w:p>
        </w:tc>
        <w:tc>
          <w:tcPr>
            <w:tcW w:w="851" w:type="dxa"/>
            <w:vAlign w:val="bottom"/>
          </w:tcPr>
          <w:p w14:paraId="573F3086" w14:textId="77777777" w:rsidR="008B6A84" w:rsidRPr="00D272CC" w:rsidRDefault="008B6A84" w:rsidP="008B6A84">
            <w:pPr>
              <w:pStyle w:val="Table"/>
              <w:jc w:val="right"/>
              <w:rPr>
                <w:lang w:val="en-GB"/>
              </w:rPr>
            </w:pPr>
          </w:p>
        </w:tc>
      </w:tr>
      <w:tr w:rsidR="008B6A84" w:rsidRPr="00D272CC" w14:paraId="2FA2ECCE" w14:textId="77777777" w:rsidTr="00E97118">
        <w:tc>
          <w:tcPr>
            <w:tcW w:w="2268" w:type="dxa"/>
          </w:tcPr>
          <w:p w14:paraId="54351AEC" w14:textId="7C0CDBCF" w:rsidR="008B6A84" w:rsidRPr="00D272CC" w:rsidRDefault="008B6A84" w:rsidP="00E97118">
            <w:pPr>
              <w:pStyle w:val="Table"/>
              <w:rPr>
                <w:lang w:val="en-GB"/>
              </w:rPr>
            </w:pPr>
            <w:r w:rsidRPr="00D272CC">
              <w:rPr>
                <w:szCs w:val="20"/>
                <w:lang w:val="en-GB"/>
              </w:rPr>
              <w:t>NOT</w:t>
            </w:r>
            <w:r w:rsidR="00C71A30">
              <w:rPr>
                <w:lang w:val="en-GB"/>
              </w:rPr>
              <w:t>2OPTIONS</w:t>
            </w:r>
          </w:p>
        </w:tc>
        <w:tc>
          <w:tcPr>
            <w:tcW w:w="850" w:type="dxa"/>
            <w:vAlign w:val="bottom"/>
          </w:tcPr>
          <w:p w14:paraId="1456B1E5" w14:textId="77777777" w:rsidR="008B6A84" w:rsidRPr="00D272CC" w:rsidRDefault="008B6A84" w:rsidP="008B6A84">
            <w:pPr>
              <w:pStyle w:val="Table"/>
              <w:jc w:val="right"/>
              <w:rPr>
                <w:lang w:val="en-GB"/>
              </w:rPr>
            </w:pPr>
            <w:r>
              <w:t>323</w:t>
            </w:r>
          </w:p>
        </w:tc>
        <w:tc>
          <w:tcPr>
            <w:tcW w:w="851" w:type="dxa"/>
            <w:vAlign w:val="bottom"/>
          </w:tcPr>
          <w:p w14:paraId="5CF34FB8" w14:textId="77777777" w:rsidR="008B6A84" w:rsidRPr="00D272CC" w:rsidRDefault="008B6A84" w:rsidP="008B6A84">
            <w:pPr>
              <w:pStyle w:val="Table"/>
              <w:jc w:val="right"/>
              <w:rPr>
                <w:lang w:val="en-GB"/>
              </w:rPr>
            </w:pPr>
            <w:r>
              <w:t>0.833</w:t>
            </w:r>
          </w:p>
        </w:tc>
        <w:tc>
          <w:tcPr>
            <w:tcW w:w="850" w:type="dxa"/>
            <w:vAlign w:val="bottom"/>
          </w:tcPr>
          <w:p w14:paraId="7D462227" w14:textId="77777777" w:rsidR="008B6A84" w:rsidRPr="00D272CC" w:rsidRDefault="008B6A84" w:rsidP="008B6A84">
            <w:pPr>
              <w:pStyle w:val="Table"/>
              <w:jc w:val="right"/>
              <w:rPr>
                <w:lang w:val="en-GB"/>
              </w:rPr>
            </w:pPr>
            <w:r>
              <w:t>0.374</w:t>
            </w:r>
          </w:p>
        </w:tc>
        <w:tc>
          <w:tcPr>
            <w:tcW w:w="851" w:type="dxa"/>
            <w:vAlign w:val="bottom"/>
          </w:tcPr>
          <w:p w14:paraId="069929FB" w14:textId="77777777" w:rsidR="008B6A84" w:rsidRPr="00D272CC" w:rsidRDefault="008B6A84" w:rsidP="008B6A84">
            <w:pPr>
              <w:pStyle w:val="Table"/>
              <w:jc w:val="right"/>
              <w:rPr>
                <w:lang w:val="en-GB"/>
              </w:rPr>
            </w:pPr>
          </w:p>
        </w:tc>
        <w:tc>
          <w:tcPr>
            <w:tcW w:w="850" w:type="dxa"/>
            <w:vAlign w:val="bottom"/>
          </w:tcPr>
          <w:p w14:paraId="3CEC46BE" w14:textId="77777777" w:rsidR="008B6A84" w:rsidRPr="00D272CC" w:rsidRDefault="008B6A84" w:rsidP="008B6A84">
            <w:pPr>
              <w:pStyle w:val="Table"/>
              <w:jc w:val="right"/>
              <w:rPr>
                <w:lang w:val="en-GB"/>
              </w:rPr>
            </w:pPr>
          </w:p>
        </w:tc>
        <w:tc>
          <w:tcPr>
            <w:tcW w:w="851" w:type="dxa"/>
            <w:vAlign w:val="bottom"/>
          </w:tcPr>
          <w:p w14:paraId="4F62C894" w14:textId="77777777" w:rsidR="008B6A84" w:rsidRPr="00D272CC" w:rsidRDefault="008B6A84" w:rsidP="008B6A84">
            <w:pPr>
              <w:pStyle w:val="Table"/>
              <w:jc w:val="right"/>
              <w:rPr>
                <w:lang w:val="en-GB"/>
              </w:rPr>
            </w:pPr>
          </w:p>
        </w:tc>
        <w:tc>
          <w:tcPr>
            <w:tcW w:w="850" w:type="dxa"/>
            <w:vAlign w:val="bottom"/>
          </w:tcPr>
          <w:p w14:paraId="1BB5C2A4" w14:textId="77777777" w:rsidR="008B6A84" w:rsidRPr="00D272CC" w:rsidRDefault="008B6A84" w:rsidP="008B6A84">
            <w:pPr>
              <w:pStyle w:val="Table"/>
              <w:jc w:val="right"/>
              <w:rPr>
                <w:lang w:val="en-GB"/>
              </w:rPr>
            </w:pPr>
          </w:p>
        </w:tc>
        <w:tc>
          <w:tcPr>
            <w:tcW w:w="851" w:type="dxa"/>
            <w:vAlign w:val="bottom"/>
          </w:tcPr>
          <w:p w14:paraId="26F8BE22" w14:textId="77777777" w:rsidR="008B6A84" w:rsidRPr="00D272CC" w:rsidRDefault="008B6A84" w:rsidP="008B6A84">
            <w:pPr>
              <w:pStyle w:val="Table"/>
              <w:jc w:val="right"/>
              <w:rPr>
                <w:lang w:val="en-GB"/>
              </w:rPr>
            </w:pPr>
          </w:p>
        </w:tc>
      </w:tr>
      <w:tr w:rsidR="00AE4C8D" w:rsidRPr="00D272CC" w14:paraId="7E1303E7" w14:textId="77777777" w:rsidTr="00E97118">
        <w:tc>
          <w:tcPr>
            <w:tcW w:w="2268" w:type="dxa"/>
          </w:tcPr>
          <w:p w14:paraId="18635522" w14:textId="77777777" w:rsidR="00AE4C8D" w:rsidRPr="00D272CC" w:rsidRDefault="00AE4C8D" w:rsidP="00E97118">
            <w:pPr>
              <w:pStyle w:val="Table"/>
              <w:rPr>
                <w:szCs w:val="20"/>
                <w:lang w:val="en-GB"/>
              </w:rPr>
            </w:pPr>
            <w:r w:rsidRPr="00D272CC">
              <w:rPr>
                <w:szCs w:val="20"/>
                <w:lang w:val="en-GB"/>
              </w:rPr>
              <w:t>COMMONLAW</w:t>
            </w:r>
          </w:p>
        </w:tc>
        <w:tc>
          <w:tcPr>
            <w:tcW w:w="850" w:type="dxa"/>
            <w:vAlign w:val="bottom"/>
          </w:tcPr>
          <w:p w14:paraId="35C5B8F7" w14:textId="77777777" w:rsidR="00AE4C8D" w:rsidRDefault="00AE4C8D" w:rsidP="008B6A84">
            <w:pPr>
              <w:pStyle w:val="Table"/>
              <w:jc w:val="right"/>
            </w:pPr>
            <w:r>
              <w:t>323</w:t>
            </w:r>
          </w:p>
        </w:tc>
        <w:tc>
          <w:tcPr>
            <w:tcW w:w="851" w:type="dxa"/>
            <w:vAlign w:val="bottom"/>
          </w:tcPr>
          <w:p w14:paraId="7D55BDBC" w14:textId="77777777" w:rsidR="00AE4C8D" w:rsidRDefault="00AE4C8D" w:rsidP="008B6A84">
            <w:pPr>
              <w:pStyle w:val="Table"/>
              <w:jc w:val="right"/>
            </w:pPr>
            <w:r>
              <w:t>0.424</w:t>
            </w:r>
          </w:p>
        </w:tc>
        <w:tc>
          <w:tcPr>
            <w:tcW w:w="850" w:type="dxa"/>
            <w:vAlign w:val="bottom"/>
          </w:tcPr>
          <w:p w14:paraId="5D5CC59D" w14:textId="77777777" w:rsidR="00AE4C8D" w:rsidRDefault="00AE4C8D" w:rsidP="008B6A84">
            <w:pPr>
              <w:pStyle w:val="Table"/>
              <w:jc w:val="right"/>
            </w:pPr>
            <w:r>
              <w:t>0.495</w:t>
            </w:r>
          </w:p>
        </w:tc>
        <w:tc>
          <w:tcPr>
            <w:tcW w:w="851" w:type="dxa"/>
            <w:vAlign w:val="bottom"/>
          </w:tcPr>
          <w:p w14:paraId="4B15FCAA" w14:textId="77777777" w:rsidR="00AE4C8D" w:rsidRPr="00D272CC" w:rsidRDefault="00AE4C8D" w:rsidP="008B6A84">
            <w:pPr>
              <w:pStyle w:val="Table"/>
              <w:jc w:val="right"/>
              <w:rPr>
                <w:lang w:val="en-GB"/>
              </w:rPr>
            </w:pPr>
          </w:p>
        </w:tc>
        <w:tc>
          <w:tcPr>
            <w:tcW w:w="850" w:type="dxa"/>
            <w:vAlign w:val="bottom"/>
          </w:tcPr>
          <w:p w14:paraId="258ADD6D" w14:textId="77777777" w:rsidR="00AE4C8D" w:rsidRPr="00D272CC" w:rsidRDefault="00AE4C8D" w:rsidP="008B6A84">
            <w:pPr>
              <w:pStyle w:val="Table"/>
              <w:jc w:val="right"/>
              <w:rPr>
                <w:lang w:val="en-GB"/>
              </w:rPr>
            </w:pPr>
          </w:p>
        </w:tc>
        <w:tc>
          <w:tcPr>
            <w:tcW w:w="851" w:type="dxa"/>
            <w:vAlign w:val="bottom"/>
          </w:tcPr>
          <w:p w14:paraId="5B5D6601" w14:textId="77777777" w:rsidR="00AE4C8D" w:rsidRPr="00D272CC" w:rsidRDefault="00AE4C8D" w:rsidP="008B6A84">
            <w:pPr>
              <w:pStyle w:val="Table"/>
              <w:jc w:val="right"/>
              <w:rPr>
                <w:lang w:val="en-GB"/>
              </w:rPr>
            </w:pPr>
          </w:p>
        </w:tc>
        <w:tc>
          <w:tcPr>
            <w:tcW w:w="850" w:type="dxa"/>
            <w:vAlign w:val="bottom"/>
          </w:tcPr>
          <w:p w14:paraId="291F122D" w14:textId="77777777" w:rsidR="00AE4C8D" w:rsidRPr="00D272CC" w:rsidRDefault="00AE4C8D" w:rsidP="008B6A84">
            <w:pPr>
              <w:pStyle w:val="Table"/>
              <w:jc w:val="right"/>
              <w:rPr>
                <w:lang w:val="en-GB"/>
              </w:rPr>
            </w:pPr>
          </w:p>
        </w:tc>
        <w:tc>
          <w:tcPr>
            <w:tcW w:w="851" w:type="dxa"/>
            <w:vAlign w:val="bottom"/>
          </w:tcPr>
          <w:p w14:paraId="28090BB6" w14:textId="77777777" w:rsidR="00AE4C8D" w:rsidRPr="00D272CC" w:rsidRDefault="00AE4C8D" w:rsidP="008B6A84">
            <w:pPr>
              <w:pStyle w:val="Table"/>
              <w:jc w:val="right"/>
              <w:rPr>
                <w:lang w:val="en-GB"/>
              </w:rPr>
            </w:pPr>
          </w:p>
        </w:tc>
      </w:tr>
      <w:tr w:rsidR="00AE4C8D" w:rsidRPr="00D272CC" w14:paraId="0E49EEE9" w14:textId="77777777" w:rsidTr="00E97118">
        <w:tc>
          <w:tcPr>
            <w:tcW w:w="2268" w:type="dxa"/>
          </w:tcPr>
          <w:p w14:paraId="3A89BD5D" w14:textId="77777777" w:rsidR="00AE4C8D" w:rsidRPr="00D272CC" w:rsidRDefault="00AE4C8D" w:rsidP="00E97118">
            <w:pPr>
              <w:pStyle w:val="Table"/>
              <w:rPr>
                <w:szCs w:val="20"/>
                <w:lang w:val="en-GB"/>
              </w:rPr>
            </w:pPr>
            <w:r>
              <w:rPr>
                <w:szCs w:val="20"/>
                <w:lang w:val="en-GB"/>
              </w:rPr>
              <w:t>TRANSPARENCY</w:t>
            </w:r>
          </w:p>
        </w:tc>
        <w:tc>
          <w:tcPr>
            <w:tcW w:w="850" w:type="dxa"/>
            <w:vAlign w:val="bottom"/>
          </w:tcPr>
          <w:p w14:paraId="513269C8" w14:textId="77777777" w:rsidR="00AE4C8D" w:rsidRPr="00D272CC" w:rsidRDefault="00AE4C8D" w:rsidP="008B6A84">
            <w:pPr>
              <w:pStyle w:val="Table"/>
              <w:jc w:val="right"/>
              <w:rPr>
                <w:lang w:val="en-GB"/>
              </w:rPr>
            </w:pPr>
            <w:r>
              <w:t>323</w:t>
            </w:r>
          </w:p>
        </w:tc>
        <w:tc>
          <w:tcPr>
            <w:tcW w:w="851" w:type="dxa"/>
            <w:vAlign w:val="bottom"/>
          </w:tcPr>
          <w:p w14:paraId="1611050F" w14:textId="77777777" w:rsidR="00AE4C8D" w:rsidRPr="00D272CC" w:rsidRDefault="00AE4C8D" w:rsidP="008B6A84">
            <w:pPr>
              <w:pStyle w:val="Table"/>
              <w:jc w:val="right"/>
              <w:rPr>
                <w:lang w:val="en-GB"/>
              </w:rPr>
            </w:pPr>
            <w:r>
              <w:t>-43.189</w:t>
            </w:r>
          </w:p>
        </w:tc>
        <w:tc>
          <w:tcPr>
            <w:tcW w:w="850" w:type="dxa"/>
            <w:vAlign w:val="bottom"/>
          </w:tcPr>
          <w:p w14:paraId="25FBDD67" w14:textId="77777777" w:rsidR="00AE4C8D" w:rsidRPr="00D272CC" w:rsidRDefault="00AE4C8D" w:rsidP="008B6A84">
            <w:pPr>
              <w:pStyle w:val="Table"/>
              <w:jc w:val="right"/>
              <w:rPr>
                <w:lang w:val="en-GB"/>
              </w:rPr>
            </w:pPr>
            <w:r>
              <w:t>11.666</w:t>
            </w:r>
          </w:p>
        </w:tc>
        <w:tc>
          <w:tcPr>
            <w:tcW w:w="851" w:type="dxa"/>
            <w:vAlign w:val="bottom"/>
          </w:tcPr>
          <w:p w14:paraId="4A6980CC" w14:textId="77777777" w:rsidR="00AE4C8D" w:rsidRPr="00D272CC" w:rsidRDefault="00AE4C8D" w:rsidP="008B6A84">
            <w:pPr>
              <w:pStyle w:val="Table"/>
              <w:jc w:val="right"/>
              <w:rPr>
                <w:lang w:val="en-GB"/>
              </w:rPr>
            </w:pPr>
            <w:r>
              <w:t>-60</w:t>
            </w:r>
          </w:p>
        </w:tc>
        <w:tc>
          <w:tcPr>
            <w:tcW w:w="850" w:type="dxa"/>
            <w:vAlign w:val="bottom"/>
          </w:tcPr>
          <w:p w14:paraId="4C7EFDC8" w14:textId="77777777" w:rsidR="00AE4C8D" w:rsidRPr="00D272CC" w:rsidRDefault="00AE4C8D" w:rsidP="008B6A84">
            <w:pPr>
              <w:pStyle w:val="Table"/>
              <w:jc w:val="right"/>
              <w:rPr>
                <w:lang w:val="en-GB"/>
              </w:rPr>
            </w:pPr>
            <w:r>
              <w:t>-53</w:t>
            </w:r>
          </w:p>
        </w:tc>
        <w:tc>
          <w:tcPr>
            <w:tcW w:w="851" w:type="dxa"/>
            <w:vAlign w:val="bottom"/>
          </w:tcPr>
          <w:p w14:paraId="3EDABC2C" w14:textId="77777777" w:rsidR="00AE4C8D" w:rsidRPr="00D272CC" w:rsidRDefault="00AE4C8D" w:rsidP="008B6A84">
            <w:pPr>
              <w:pStyle w:val="Table"/>
              <w:jc w:val="right"/>
              <w:rPr>
                <w:lang w:val="en-GB"/>
              </w:rPr>
            </w:pPr>
            <w:r>
              <w:t>-40</w:t>
            </w:r>
          </w:p>
        </w:tc>
        <w:tc>
          <w:tcPr>
            <w:tcW w:w="850" w:type="dxa"/>
            <w:vAlign w:val="bottom"/>
          </w:tcPr>
          <w:p w14:paraId="6871A7A4" w14:textId="77777777" w:rsidR="00AE4C8D" w:rsidRPr="00D272CC" w:rsidRDefault="00AE4C8D" w:rsidP="008B6A84">
            <w:pPr>
              <w:pStyle w:val="Table"/>
              <w:jc w:val="right"/>
              <w:rPr>
                <w:lang w:val="en-GB"/>
              </w:rPr>
            </w:pPr>
            <w:r>
              <w:t>-31</w:t>
            </w:r>
          </w:p>
        </w:tc>
        <w:tc>
          <w:tcPr>
            <w:tcW w:w="851" w:type="dxa"/>
            <w:vAlign w:val="bottom"/>
          </w:tcPr>
          <w:p w14:paraId="6B393F9A" w14:textId="77777777" w:rsidR="00AE4C8D" w:rsidRPr="00D272CC" w:rsidRDefault="00AE4C8D" w:rsidP="008B6A84">
            <w:pPr>
              <w:pStyle w:val="Table"/>
              <w:jc w:val="right"/>
              <w:rPr>
                <w:lang w:val="en-GB"/>
              </w:rPr>
            </w:pPr>
            <w:r>
              <w:t>-26</w:t>
            </w:r>
          </w:p>
        </w:tc>
      </w:tr>
      <w:tr w:rsidR="00AE4C8D" w:rsidRPr="00D272CC" w14:paraId="22EE4939" w14:textId="77777777" w:rsidTr="00E97118">
        <w:tc>
          <w:tcPr>
            <w:tcW w:w="2268" w:type="dxa"/>
          </w:tcPr>
          <w:p w14:paraId="455F0CC7" w14:textId="77777777" w:rsidR="00AE4C8D" w:rsidRPr="00D272CC" w:rsidRDefault="00AE4C8D" w:rsidP="00E97118">
            <w:pPr>
              <w:pStyle w:val="Table"/>
              <w:rPr>
                <w:lang w:val="en-GB"/>
              </w:rPr>
            </w:pPr>
            <w:r w:rsidRPr="00D272CC">
              <w:rPr>
                <w:lang w:val="en-GB"/>
              </w:rPr>
              <w:t>SIZE</w:t>
            </w:r>
          </w:p>
        </w:tc>
        <w:tc>
          <w:tcPr>
            <w:tcW w:w="850" w:type="dxa"/>
            <w:vAlign w:val="bottom"/>
          </w:tcPr>
          <w:p w14:paraId="6A7A079B" w14:textId="77777777" w:rsidR="00AE4C8D" w:rsidRPr="00D272CC" w:rsidRDefault="00AE4C8D" w:rsidP="008B6A84">
            <w:pPr>
              <w:pStyle w:val="Table"/>
              <w:jc w:val="right"/>
              <w:rPr>
                <w:lang w:val="en-GB"/>
              </w:rPr>
            </w:pPr>
            <w:r>
              <w:t>323</w:t>
            </w:r>
          </w:p>
        </w:tc>
        <w:tc>
          <w:tcPr>
            <w:tcW w:w="851" w:type="dxa"/>
            <w:vAlign w:val="bottom"/>
          </w:tcPr>
          <w:p w14:paraId="6682B2ED" w14:textId="77777777" w:rsidR="00AE4C8D" w:rsidRPr="00D272CC" w:rsidRDefault="00AE4C8D" w:rsidP="008B6A84">
            <w:pPr>
              <w:pStyle w:val="Table"/>
              <w:jc w:val="right"/>
              <w:rPr>
                <w:lang w:val="en-GB"/>
              </w:rPr>
            </w:pPr>
            <w:r>
              <w:t>16.132</w:t>
            </w:r>
          </w:p>
        </w:tc>
        <w:tc>
          <w:tcPr>
            <w:tcW w:w="850" w:type="dxa"/>
            <w:vAlign w:val="bottom"/>
          </w:tcPr>
          <w:p w14:paraId="3F172456" w14:textId="77777777" w:rsidR="00AE4C8D" w:rsidRPr="00D272CC" w:rsidRDefault="00AE4C8D" w:rsidP="008B6A84">
            <w:pPr>
              <w:pStyle w:val="Table"/>
              <w:jc w:val="right"/>
              <w:rPr>
                <w:lang w:val="en-GB"/>
              </w:rPr>
            </w:pPr>
            <w:r>
              <w:t>1.206</w:t>
            </w:r>
          </w:p>
        </w:tc>
        <w:tc>
          <w:tcPr>
            <w:tcW w:w="851" w:type="dxa"/>
            <w:vAlign w:val="bottom"/>
          </w:tcPr>
          <w:p w14:paraId="75D9C2D8" w14:textId="77777777" w:rsidR="00AE4C8D" w:rsidRPr="00D272CC" w:rsidRDefault="00AE4C8D" w:rsidP="008B6A84">
            <w:pPr>
              <w:pStyle w:val="Table"/>
              <w:jc w:val="right"/>
              <w:rPr>
                <w:lang w:val="en-GB"/>
              </w:rPr>
            </w:pPr>
            <w:r>
              <w:t>13.507</w:t>
            </w:r>
          </w:p>
        </w:tc>
        <w:tc>
          <w:tcPr>
            <w:tcW w:w="850" w:type="dxa"/>
            <w:vAlign w:val="bottom"/>
          </w:tcPr>
          <w:p w14:paraId="3E14BCE0" w14:textId="77777777" w:rsidR="00AE4C8D" w:rsidRPr="00D272CC" w:rsidRDefault="00AE4C8D" w:rsidP="008B6A84">
            <w:pPr>
              <w:pStyle w:val="Table"/>
              <w:jc w:val="right"/>
              <w:rPr>
                <w:lang w:val="en-GB"/>
              </w:rPr>
            </w:pPr>
            <w:r>
              <w:t>15.214</w:t>
            </w:r>
          </w:p>
        </w:tc>
        <w:tc>
          <w:tcPr>
            <w:tcW w:w="851" w:type="dxa"/>
            <w:vAlign w:val="bottom"/>
          </w:tcPr>
          <w:p w14:paraId="3C9EA023" w14:textId="77777777" w:rsidR="00AE4C8D" w:rsidRPr="00D272CC" w:rsidRDefault="00AE4C8D" w:rsidP="008B6A84">
            <w:pPr>
              <w:pStyle w:val="Table"/>
              <w:jc w:val="right"/>
              <w:rPr>
                <w:lang w:val="en-GB"/>
              </w:rPr>
            </w:pPr>
            <w:r>
              <w:t>15.989</w:t>
            </w:r>
          </w:p>
        </w:tc>
        <w:tc>
          <w:tcPr>
            <w:tcW w:w="850" w:type="dxa"/>
            <w:vAlign w:val="bottom"/>
          </w:tcPr>
          <w:p w14:paraId="2C72327C" w14:textId="77777777" w:rsidR="00AE4C8D" w:rsidRPr="00D272CC" w:rsidRDefault="00AE4C8D" w:rsidP="008B6A84">
            <w:pPr>
              <w:pStyle w:val="Table"/>
              <w:jc w:val="right"/>
              <w:rPr>
                <w:lang w:val="en-GB"/>
              </w:rPr>
            </w:pPr>
            <w:r>
              <w:t>16.930</w:t>
            </w:r>
          </w:p>
        </w:tc>
        <w:tc>
          <w:tcPr>
            <w:tcW w:w="851" w:type="dxa"/>
            <w:vAlign w:val="bottom"/>
          </w:tcPr>
          <w:p w14:paraId="34079BBC" w14:textId="77777777" w:rsidR="00AE4C8D" w:rsidRPr="00D272CC" w:rsidRDefault="00AE4C8D" w:rsidP="008B6A84">
            <w:pPr>
              <w:pStyle w:val="Table"/>
              <w:jc w:val="right"/>
              <w:rPr>
                <w:lang w:val="en-GB"/>
              </w:rPr>
            </w:pPr>
            <w:r>
              <w:t>19.209</w:t>
            </w:r>
          </w:p>
        </w:tc>
      </w:tr>
      <w:tr w:rsidR="00AE4C8D" w:rsidRPr="00D272CC" w14:paraId="67932A46" w14:textId="77777777" w:rsidTr="00E97118">
        <w:tc>
          <w:tcPr>
            <w:tcW w:w="2268" w:type="dxa"/>
          </w:tcPr>
          <w:p w14:paraId="2A7BE5F3" w14:textId="77777777" w:rsidR="00AE4C8D" w:rsidRPr="00D272CC" w:rsidRDefault="00AE4C8D" w:rsidP="00E97118">
            <w:pPr>
              <w:pStyle w:val="Table"/>
              <w:rPr>
                <w:lang w:val="en-GB"/>
              </w:rPr>
            </w:pPr>
            <w:r>
              <w:rPr>
                <w:lang w:val="en-GB"/>
              </w:rPr>
              <w:t>LEVERAGE</w:t>
            </w:r>
            <w:r w:rsidRPr="00D272CC">
              <w:rPr>
                <w:vertAlign w:val="subscript"/>
                <w:lang w:val="en-GB"/>
              </w:rPr>
              <w:t>t</w:t>
            </w:r>
            <w:r>
              <w:rPr>
                <w:vertAlign w:val="subscript"/>
                <w:lang w:val="en-GB"/>
              </w:rPr>
              <w:t>−1</w:t>
            </w:r>
          </w:p>
        </w:tc>
        <w:tc>
          <w:tcPr>
            <w:tcW w:w="850" w:type="dxa"/>
            <w:vAlign w:val="bottom"/>
          </w:tcPr>
          <w:p w14:paraId="6E3177BD" w14:textId="77777777" w:rsidR="00AE4C8D" w:rsidRPr="00D272CC" w:rsidRDefault="00AE4C8D" w:rsidP="008B6A84">
            <w:pPr>
              <w:pStyle w:val="Table"/>
              <w:jc w:val="right"/>
              <w:rPr>
                <w:lang w:val="en-GB"/>
              </w:rPr>
            </w:pPr>
            <w:r>
              <w:t>323</w:t>
            </w:r>
          </w:p>
        </w:tc>
        <w:tc>
          <w:tcPr>
            <w:tcW w:w="851" w:type="dxa"/>
            <w:vAlign w:val="bottom"/>
          </w:tcPr>
          <w:p w14:paraId="7ACB6D0A" w14:textId="77777777" w:rsidR="00AE4C8D" w:rsidRPr="00D272CC" w:rsidRDefault="00AE4C8D" w:rsidP="008B6A84">
            <w:pPr>
              <w:pStyle w:val="Table"/>
              <w:jc w:val="right"/>
              <w:rPr>
                <w:lang w:val="en-GB"/>
              </w:rPr>
            </w:pPr>
            <w:r>
              <w:t>0.012</w:t>
            </w:r>
          </w:p>
        </w:tc>
        <w:tc>
          <w:tcPr>
            <w:tcW w:w="850" w:type="dxa"/>
            <w:vAlign w:val="bottom"/>
          </w:tcPr>
          <w:p w14:paraId="692321AD" w14:textId="77777777" w:rsidR="00AE4C8D" w:rsidRPr="00D272CC" w:rsidRDefault="00AE4C8D" w:rsidP="008B6A84">
            <w:pPr>
              <w:pStyle w:val="Table"/>
              <w:jc w:val="right"/>
              <w:rPr>
                <w:lang w:val="en-GB"/>
              </w:rPr>
            </w:pPr>
            <w:r>
              <w:t>0.171</w:t>
            </w:r>
          </w:p>
        </w:tc>
        <w:tc>
          <w:tcPr>
            <w:tcW w:w="851" w:type="dxa"/>
            <w:vAlign w:val="bottom"/>
          </w:tcPr>
          <w:p w14:paraId="03CFCC3C" w14:textId="77777777" w:rsidR="00AE4C8D" w:rsidRPr="00D272CC" w:rsidRDefault="00AE4C8D" w:rsidP="008B6A84">
            <w:pPr>
              <w:pStyle w:val="Table"/>
              <w:jc w:val="right"/>
              <w:rPr>
                <w:lang w:val="en-GB"/>
              </w:rPr>
            </w:pPr>
            <w:r>
              <w:t>-0.574</w:t>
            </w:r>
          </w:p>
        </w:tc>
        <w:tc>
          <w:tcPr>
            <w:tcW w:w="850" w:type="dxa"/>
            <w:vAlign w:val="bottom"/>
          </w:tcPr>
          <w:p w14:paraId="55DAB9DD" w14:textId="77777777" w:rsidR="00AE4C8D" w:rsidRPr="00D272CC" w:rsidRDefault="00AE4C8D" w:rsidP="008B6A84">
            <w:pPr>
              <w:pStyle w:val="Table"/>
              <w:jc w:val="right"/>
              <w:rPr>
                <w:lang w:val="en-GB"/>
              </w:rPr>
            </w:pPr>
            <w:r>
              <w:t>-0.088</w:t>
            </w:r>
          </w:p>
        </w:tc>
        <w:tc>
          <w:tcPr>
            <w:tcW w:w="851" w:type="dxa"/>
            <w:vAlign w:val="bottom"/>
          </w:tcPr>
          <w:p w14:paraId="43194999" w14:textId="77777777" w:rsidR="00AE4C8D" w:rsidRPr="00D272CC" w:rsidRDefault="00AE4C8D" w:rsidP="008B6A84">
            <w:pPr>
              <w:pStyle w:val="Table"/>
              <w:jc w:val="right"/>
              <w:rPr>
                <w:lang w:val="en-GB"/>
              </w:rPr>
            </w:pPr>
            <w:r>
              <w:t>0.020</w:t>
            </w:r>
          </w:p>
        </w:tc>
        <w:tc>
          <w:tcPr>
            <w:tcW w:w="850" w:type="dxa"/>
            <w:vAlign w:val="bottom"/>
          </w:tcPr>
          <w:p w14:paraId="3C294527" w14:textId="77777777" w:rsidR="00AE4C8D" w:rsidRPr="00D272CC" w:rsidRDefault="00AE4C8D" w:rsidP="008B6A84">
            <w:pPr>
              <w:pStyle w:val="Table"/>
              <w:jc w:val="right"/>
              <w:rPr>
                <w:lang w:val="en-GB"/>
              </w:rPr>
            </w:pPr>
            <w:r>
              <w:t>0.112</w:t>
            </w:r>
          </w:p>
        </w:tc>
        <w:tc>
          <w:tcPr>
            <w:tcW w:w="851" w:type="dxa"/>
            <w:vAlign w:val="bottom"/>
          </w:tcPr>
          <w:p w14:paraId="164EC974" w14:textId="77777777" w:rsidR="00AE4C8D" w:rsidRPr="00D272CC" w:rsidRDefault="00AE4C8D" w:rsidP="008B6A84">
            <w:pPr>
              <w:pStyle w:val="Table"/>
              <w:jc w:val="right"/>
              <w:rPr>
                <w:lang w:val="en-GB"/>
              </w:rPr>
            </w:pPr>
            <w:r>
              <w:t>0.545</w:t>
            </w:r>
          </w:p>
        </w:tc>
      </w:tr>
      <w:tr w:rsidR="00AE4C8D" w:rsidRPr="00D272CC" w14:paraId="3AF8DA00" w14:textId="77777777" w:rsidTr="00E97118">
        <w:tc>
          <w:tcPr>
            <w:tcW w:w="2268" w:type="dxa"/>
          </w:tcPr>
          <w:p w14:paraId="13C9B60B" w14:textId="77777777" w:rsidR="00AE4C8D" w:rsidRPr="00D272CC" w:rsidRDefault="00AE4C8D" w:rsidP="00E97118">
            <w:pPr>
              <w:pStyle w:val="Table"/>
              <w:rPr>
                <w:lang w:val="en-GB"/>
              </w:rPr>
            </w:pPr>
            <w:r>
              <w:rPr>
                <w:lang w:val="en-GB"/>
              </w:rPr>
              <w:t>PROFITABILITY</w:t>
            </w:r>
            <w:r w:rsidRPr="00D272CC">
              <w:rPr>
                <w:vertAlign w:val="subscript"/>
                <w:lang w:val="en-GB"/>
              </w:rPr>
              <w:t>t</w:t>
            </w:r>
            <w:r>
              <w:rPr>
                <w:vertAlign w:val="subscript"/>
                <w:lang w:val="en-GB"/>
              </w:rPr>
              <w:t>−1</w:t>
            </w:r>
          </w:p>
        </w:tc>
        <w:tc>
          <w:tcPr>
            <w:tcW w:w="850" w:type="dxa"/>
            <w:vAlign w:val="bottom"/>
          </w:tcPr>
          <w:p w14:paraId="3C598C14" w14:textId="77777777" w:rsidR="00AE4C8D" w:rsidRPr="00D272CC" w:rsidRDefault="00AE4C8D" w:rsidP="008B6A84">
            <w:pPr>
              <w:pStyle w:val="Table"/>
              <w:jc w:val="right"/>
              <w:rPr>
                <w:lang w:val="en-GB"/>
              </w:rPr>
            </w:pPr>
            <w:r>
              <w:t>323</w:t>
            </w:r>
          </w:p>
        </w:tc>
        <w:tc>
          <w:tcPr>
            <w:tcW w:w="851" w:type="dxa"/>
            <w:vAlign w:val="bottom"/>
          </w:tcPr>
          <w:p w14:paraId="525FAB10" w14:textId="77777777" w:rsidR="00AE4C8D" w:rsidRPr="00D272CC" w:rsidRDefault="00AE4C8D" w:rsidP="008B6A84">
            <w:pPr>
              <w:pStyle w:val="Table"/>
              <w:jc w:val="right"/>
              <w:rPr>
                <w:lang w:val="en-GB"/>
              </w:rPr>
            </w:pPr>
            <w:r>
              <w:t>-0.007</w:t>
            </w:r>
          </w:p>
        </w:tc>
        <w:tc>
          <w:tcPr>
            <w:tcW w:w="850" w:type="dxa"/>
            <w:vAlign w:val="bottom"/>
          </w:tcPr>
          <w:p w14:paraId="3B326FD0" w14:textId="77777777" w:rsidR="00AE4C8D" w:rsidRPr="00D272CC" w:rsidRDefault="00AE4C8D" w:rsidP="008B6A84">
            <w:pPr>
              <w:pStyle w:val="Table"/>
              <w:jc w:val="right"/>
              <w:rPr>
                <w:lang w:val="en-GB"/>
              </w:rPr>
            </w:pPr>
            <w:r>
              <w:t>0.070</w:t>
            </w:r>
          </w:p>
        </w:tc>
        <w:tc>
          <w:tcPr>
            <w:tcW w:w="851" w:type="dxa"/>
            <w:vAlign w:val="bottom"/>
          </w:tcPr>
          <w:p w14:paraId="18F840BA" w14:textId="77777777" w:rsidR="00AE4C8D" w:rsidRPr="00D272CC" w:rsidRDefault="00AE4C8D" w:rsidP="008B6A84">
            <w:pPr>
              <w:pStyle w:val="Table"/>
              <w:jc w:val="right"/>
              <w:rPr>
                <w:lang w:val="en-GB"/>
              </w:rPr>
            </w:pPr>
            <w:r>
              <w:t>-0.178</w:t>
            </w:r>
          </w:p>
        </w:tc>
        <w:tc>
          <w:tcPr>
            <w:tcW w:w="850" w:type="dxa"/>
            <w:vAlign w:val="bottom"/>
          </w:tcPr>
          <w:p w14:paraId="06D7E1F6" w14:textId="77777777" w:rsidR="00AE4C8D" w:rsidRPr="00D272CC" w:rsidRDefault="00AE4C8D" w:rsidP="008B6A84">
            <w:pPr>
              <w:pStyle w:val="Table"/>
              <w:jc w:val="right"/>
              <w:rPr>
                <w:lang w:val="en-GB"/>
              </w:rPr>
            </w:pPr>
            <w:r>
              <w:t>-0.048</w:t>
            </w:r>
          </w:p>
        </w:tc>
        <w:tc>
          <w:tcPr>
            <w:tcW w:w="851" w:type="dxa"/>
            <w:vAlign w:val="bottom"/>
          </w:tcPr>
          <w:p w14:paraId="23044B4C" w14:textId="77777777" w:rsidR="00AE4C8D" w:rsidRPr="00D272CC" w:rsidRDefault="00AE4C8D" w:rsidP="008B6A84">
            <w:pPr>
              <w:pStyle w:val="Table"/>
              <w:jc w:val="right"/>
              <w:rPr>
                <w:lang w:val="en-GB"/>
              </w:rPr>
            </w:pPr>
            <w:r>
              <w:t>-0.013</w:t>
            </w:r>
          </w:p>
        </w:tc>
        <w:tc>
          <w:tcPr>
            <w:tcW w:w="850" w:type="dxa"/>
            <w:vAlign w:val="bottom"/>
          </w:tcPr>
          <w:p w14:paraId="76C96D89" w14:textId="77777777" w:rsidR="00AE4C8D" w:rsidRPr="00D272CC" w:rsidRDefault="00AE4C8D" w:rsidP="008B6A84">
            <w:pPr>
              <w:pStyle w:val="Table"/>
              <w:jc w:val="right"/>
              <w:rPr>
                <w:lang w:val="en-GB"/>
              </w:rPr>
            </w:pPr>
            <w:r>
              <w:t>0.013</w:t>
            </w:r>
          </w:p>
        </w:tc>
        <w:tc>
          <w:tcPr>
            <w:tcW w:w="851" w:type="dxa"/>
            <w:vAlign w:val="bottom"/>
          </w:tcPr>
          <w:p w14:paraId="287C1330" w14:textId="77777777" w:rsidR="00AE4C8D" w:rsidRPr="00D272CC" w:rsidRDefault="00AE4C8D" w:rsidP="008B6A84">
            <w:pPr>
              <w:pStyle w:val="Table"/>
              <w:jc w:val="right"/>
              <w:rPr>
                <w:lang w:val="en-GB"/>
              </w:rPr>
            </w:pPr>
            <w:r>
              <w:t>0.301</w:t>
            </w:r>
          </w:p>
        </w:tc>
      </w:tr>
      <w:tr w:rsidR="00AE4C8D" w:rsidRPr="00D272CC" w14:paraId="7695522A" w14:textId="77777777" w:rsidTr="00E97118">
        <w:tc>
          <w:tcPr>
            <w:tcW w:w="2268" w:type="dxa"/>
          </w:tcPr>
          <w:p w14:paraId="77D0095D" w14:textId="77777777" w:rsidR="00AE4C8D" w:rsidRPr="00D272CC" w:rsidRDefault="00AE4C8D" w:rsidP="00E97118">
            <w:pPr>
              <w:pStyle w:val="Table"/>
              <w:rPr>
                <w:lang w:val="en-GB"/>
              </w:rPr>
            </w:pPr>
            <w:r w:rsidRPr="00D272CC">
              <w:rPr>
                <w:lang w:val="en-GB"/>
              </w:rPr>
              <w:t>USLIST</w:t>
            </w:r>
          </w:p>
        </w:tc>
        <w:tc>
          <w:tcPr>
            <w:tcW w:w="850" w:type="dxa"/>
            <w:vAlign w:val="bottom"/>
          </w:tcPr>
          <w:p w14:paraId="03042D0D" w14:textId="77777777" w:rsidR="00AE4C8D" w:rsidRPr="00D272CC" w:rsidRDefault="00AE4C8D" w:rsidP="008B6A84">
            <w:pPr>
              <w:pStyle w:val="Table"/>
              <w:jc w:val="right"/>
              <w:rPr>
                <w:lang w:val="en-GB"/>
              </w:rPr>
            </w:pPr>
            <w:r>
              <w:t>323</w:t>
            </w:r>
          </w:p>
        </w:tc>
        <w:tc>
          <w:tcPr>
            <w:tcW w:w="851" w:type="dxa"/>
            <w:vAlign w:val="bottom"/>
          </w:tcPr>
          <w:p w14:paraId="5240ED5D" w14:textId="77777777" w:rsidR="00AE4C8D" w:rsidRPr="00D272CC" w:rsidRDefault="00AE4C8D" w:rsidP="008B6A84">
            <w:pPr>
              <w:pStyle w:val="Table"/>
              <w:jc w:val="right"/>
              <w:rPr>
                <w:lang w:val="en-GB"/>
              </w:rPr>
            </w:pPr>
            <w:r>
              <w:t>0.146</w:t>
            </w:r>
          </w:p>
        </w:tc>
        <w:tc>
          <w:tcPr>
            <w:tcW w:w="850" w:type="dxa"/>
            <w:vAlign w:val="bottom"/>
          </w:tcPr>
          <w:p w14:paraId="1FDEF7FC" w14:textId="77777777" w:rsidR="00AE4C8D" w:rsidRPr="00D272CC" w:rsidRDefault="00AE4C8D" w:rsidP="008B6A84">
            <w:pPr>
              <w:pStyle w:val="Table"/>
              <w:jc w:val="right"/>
              <w:rPr>
                <w:lang w:val="en-GB"/>
              </w:rPr>
            </w:pPr>
            <w:r>
              <w:t>0.353</w:t>
            </w:r>
          </w:p>
        </w:tc>
        <w:tc>
          <w:tcPr>
            <w:tcW w:w="851" w:type="dxa"/>
            <w:vAlign w:val="bottom"/>
          </w:tcPr>
          <w:p w14:paraId="47DC37F1" w14:textId="77777777" w:rsidR="00AE4C8D" w:rsidRPr="00D272CC" w:rsidRDefault="00AE4C8D" w:rsidP="008B6A84">
            <w:pPr>
              <w:pStyle w:val="Table"/>
              <w:jc w:val="right"/>
              <w:rPr>
                <w:lang w:val="en-GB"/>
              </w:rPr>
            </w:pPr>
          </w:p>
        </w:tc>
        <w:tc>
          <w:tcPr>
            <w:tcW w:w="850" w:type="dxa"/>
            <w:vAlign w:val="bottom"/>
          </w:tcPr>
          <w:p w14:paraId="665AF7A2" w14:textId="77777777" w:rsidR="00AE4C8D" w:rsidRPr="00D272CC" w:rsidRDefault="00AE4C8D" w:rsidP="008B6A84">
            <w:pPr>
              <w:pStyle w:val="Table"/>
              <w:jc w:val="right"/>
              <w:rPr>
                <w:lang w:val="en-GB"/>
              </w:rPr>
            </w:pPr>
          </w:p>
        </w:tc>
        <w:tc>
          <w:tcPr>
            <w:tcW w:w="851" w:type="dxa"/>
            <w:vAlign w:val="bottom"/>
          </w:tcPr>
          <w:p w14:paraId="4ADAEEF2" w14:textId="77777777" w:rsidR="00AE4C8D" w:rsidRPr="00D272CC" w:rsidRDefault="00AE4C8D" w:rsidP="008B6A84">
            <w:pPr>
              <w:pStyle w:val="Table"/>
              <w:jc w:val="right"/>
              <w:rPr>
                <w:lang w:val="en-GB"/>
              </w:rPr>
            </w:pPr>
          </w:p>
        </w:tc>
        <w:tc>
          <w:tcPr>
            <w:tcW w:w="850" w:type="dxa"/>
            <w:vAlign w:val="bottom"/>
          </w:tcPr>
          <w:p w14:paraId="4C0DA5BC" w14:textId="77777777" w:rsidR="00AE4C8D" w:rsidRPr="00D272CC" w:rsidRDefault="00AE4C8D" w:rsidP="008B6A84">
            <w:pPr>
              <w:pStyle w:val="Table"/>
              <w:jc w:val="right"/>
              <w:rPr>
                <w:lang w:val="en-GB"/>
              </w:rPr>
            </w:pPr>
          </w:p>
        </w:tc>
        <w:tc>
          <w:tcPr>
            <w:tcW w:w="851" w:type="dxa"/>
            <w:vAlign w:val="bottom"/>
          </w:tcPr>
          <w:p w14:paraId="429C05BF" w14:textId="77777777" w:rsidR="00AE4C8D" w:rsidRPr="00D272CC" w:rsidRDefault="00AE4C8D" w:rsidP="008B6A84">
            <w:pPr>
              <w:pStyle w:val="Table"/>
              <w:jc w:val="right"/>
              <w:rPr>
                <w:lang w:val="en-GB"/>
              </w:rPr>
            </w:pPr>
          </w:p>
        </w:tc>
      </w:tr>
      <w:tr w:rsidR="00AE4C8D" w:rsidRPr="00D272CC" w14:paraId="7C52F57A" w14:textId="77777777" w:rsidTr="00E97118">
        <w:tc>
          <w:tcPr>
            <w:tcW w:w="2268" w:type="dxa"/>
            <w:tcBorders>
              <w:bottom w:val="single" w:sz="4" w:space="0" w:color="auto"/>
            </w:tcBorders>
          </w:tcPr>
          <w:p w14:paraId="597E1708" w14:textId="77777777" w:rsidR="00AE4C8D" w:rsidRPr="00D272CC" w:rsidRDefault="00AE4C8D" w:rsidP="00E97118">
            <w:pPr>
              <w:pStyle w:val="Table"/>
              <w:rPr>
                <w:lang w:val="en-GB"/>
              </w:rPr>
            </w:pPr>
          </w:p>
        </w:tc>
        <w:tc>
          <w:tcPr>
            <w:tcW w:w="850" w:type="dxa"/>
            <w:tcBorders>
              <w:bottom w:val="single" w:sz="4" w:space="0" w:color="auto"/>
            </w:tcBorders>
          </w:tcPr>
          <w:p w14:paraId="55467ED2" w14:textId="77777777" w:rsidR="00AE4C8D" w:rsidRPr="00D272CC" w:rsidRDefault="00AE4C8D" w:rsidP="00E97118">
            <w:pPr>
              <w:pStyle w:val="Table"/>
              <w:jc w:val="right"/>
              <w:rPr>
                <w:lang w:val="en-GB"/>
              </w:rPr>
            </w:pPr>
          </w:p>
        </w:tc>
        <w:tc>
          <w:tcPr>
            <w:tcW w:w="851" w:type="dxa"/>
            <w:tcBorders>
              <w:bottom w:val="single" w:sz="4" w:space="0" w:color="auto"/>
            </w:tcBorders>
          </w:tcPr>
          <w:p w14:paraId="0C7C343B" w14:textId="77777777" w:rsidR="00AE4C8D" w:rsidRPr="00D272CC" w:rsidRDefault="00AE4C8D" w:rsidP="00E97118">
            <w:pPr>
              <w:pStyle w:val="Table"/>
              <w:jc w:val="right"/>
              <w:rPr>
                <w:lang w:val="en-GB"/>
              </w:rPr>
            </w:pPr>
          </w:p>
        </w:tc>
        <w:tc>
          <w:tcPr>
            <w:tcW w:w="850" w:type="dxa"/>
            <w:tcBorders>
              <w:bottom w:val="single" w:sz="4" w:space="0" w:color="auto"/>
            </w:tcBorders>
          </w:tcPr>
          <w:p w14:paraId="13EC6B2A" w14:textId="77777777" w:rsidR="00AE4C8D" w:rsidRPr="00D272CC" w:rsidRDefault="00AE4C8D" w:rsidP="00E97118">
            <w:pPr>
              <w:pStyle w:val="Table"/>
              <w:jc w:val="right"/>
              <w:rPr>
                <w:lang w:val="en-GB"/>
              </w:rPr>
            </w:pPr>
          </w:p>
        </w:tc>
        <w:tc>
          <w:tcPr>
            <w:tcW w:w="851" w:type="dxa"/>
            <w:tcBorders>
              <w:bottom w:val="single" w:sz="4" w:space="0" w:color="auto"/>
            </w:tcBorders>
          </w:tcPr>
          <w:p w14:paraId="6FD7F8C8" w14:textId="77777777" w:rsidR="00AE4C8D" w:rsidRPr="00D272CC" w:rsidRDefault="00AE4C8D" w:rsidP="00E97118">
            <w:pPr>
              <w:pStyle w:val="Table"/>
              <w:jc w:val="right"/>
              <w:rPr>
                <w:lang w:val="en-GB"/>
              </w:rPr>
            </w:pPr>
          </w:p>
        </w:tc>
        <w:tc>
          <w:tcPr>
            <w:tcW w:w="850" w:type="dxa"/>
            <w:tcBorders>
              <w:bottom w:val="single" w:sz="4" w:space="0" w:color="auto"/>
            </w:tcBorders>
          </w:tcPr>
          <w:p w14:paraId="4B6FF848" w14:textId="77777777" w:rsidR="00AE4C8D" w:rsidRPr="00D272CC" w:rsidRDefault="00AE4C8D" w:rsidP="00E97118">
            <w:pPr>
              <w:pStyle w:val="Table"/>
              <w:jc w:val="right"/>
              <w:rPr>
                <w:lang w:val="en-GB"/>
              </w:rPr>
            </w:pPr>
          </w:p>
        </w:tc>
        <w:tc>
          <w:tcPr>
            <w:tcW w:w="851" w:type="dxa"/>
            <w:tcBorders>
              <w:bottom w:val="single" w:sz="4" w:space="0" w:color="auto"/>
            </w:tcBorders>
          </w:tcPr>
          <w:p w14:paraId="2194C417" w14:textId="77777777" w:rsidR="00AE4C8D" w:rsidRPr="00D272CC" w:rsidRDefault="00AE4C8D" w:rsidP="00E97118">
            <w:pPr>
              <w:pStyle w:val="Table"/>
              <w:jc w:val="right"/>
              <w:rPr>
                <w:lang w:val="en-GB"/>
              </w:rPr>
            </w:pPr>
          </w:p>
        </w:tc>
        <w:tc>
          <w:tcPr>
            <w:tcW w:w="850" w:type="dxa"/>
            <w:tcBorders>
              <w:bottom w:val="single" w:sz="4" w:space="0" w:color="auto"/>
            </w:tcBorders>
          </w:tcPr>
          <w:p w14:paraId="63336957" w14:textId="77777777" w:rsidR="00AE4C8D" w:rsidRPr="00D272CC" w:rsidRDefault="00AE4C8D" w:rsidP="00E97118">
            <w:pPr>
              <w:pStyle w:val="Table"/>
              <w:jc w:val="right"/>
              <w:rPr>
                <w:lang w:val="en-GB"/>
              </w:rPr>
            </w:pPr>
          </w:p>
        </w:tc>
        <w:tc>
          <w:tcPr>
            <w:tcW w:w="851" w:type="dxa"/>
            <w:tcBorders>
              <w:bottom w:val="single" w:sz="4" w:space="0" w:color="auto"/>
            </w:tcBorders>
          </w:tcPr>
          <w:p w14:paraId="465D1748" w14:textId="77777777" w:rsidR="00AE4C8D" w:rsidRPr="00D272CC" w:rsidRDefault="00AE4C8D" w:rsidP="00E97118">
            <w:pPr>
              <w:pStyle w:val="Table"/>
              <w:jc w:val="right"/>
              <w:rPr>
                <w:lang w:val="en-GB"/>
              </w:rPr>
            </w:pPr>
          </w:p>
        </w:tc>
      </w:tr>
    </w:tbl>
    <w:p w14:paraId="15A03EBC" w14:textId="77777777" w:rsidR="00E97118" w:rsidRDefault="00E97118" w:rsidP="00E97118">
      <w:pPr>
        <w:pStyle w:val="Table-FigureDescription"/>
        <w:rPr>
          <w:lang w:val="en-GB"/>
        </w:rPr>
      </w:pPr>
    </w:p>
    <w:p w14:paraId="3F937E0D" w14:textId="77777777" w:rsidR="003C3F6E" w:rsidRDefault="003C3F6E" w:rsidP="00E97118">
      <w:pPr>
        <w:pStyle w:val="Table-FigureDescription"/>
        <w:rPr>
          <w:lang w:val="en-GB"/>
        </w:rPr>
      </w:pPr>
    </w:p>
    <w:p w14:paraId="185784B4" w14:textId="77777777" w:rsidR="00E97118" w:rsidRPr="007A50EF" w:rsidRDefault="005A7B11" w:rsidP="00386416">
      <w:pPr>
        <w:pStyle w:val="Table-FigurePanelHeading"/>
        <w:rPr>
          <w:lang w:val="en-GB"/>
        </w:rPr>
      </w:pPr>
      <w:r w:rsidRPr="007A50EF">
        <w:rPr>
          <w:lang w:val="en-GB"/>
        </w:rPr>
        <w:t>Panel B: Regression analysis</w:t>
      </w:r>
      <w:r w:rsidR="0000530D">
        <w:rPr>
          <w:lang w:val="en-GB"/>
        </w:rPr>
        <w:t>.</w:t>
      </w:r>
    </w:p>
    <w:p w14:paraId="708AA7E8" w14:textId="77777777" w:rsidR="002118DA" w:rsidRPr="00D272CC" w:rsidRDefault="002118DA" w:rsidP="002118DA">
      <w:pPr>
        <w:pStyle w:val="Table-FigureDescription"/>
        <w:rPr>
          <w:lang w:val="en-GB"/>
        </w:rPr>
      </w:pPr>
    </w:p>
    <w:tbl>
      <w:tblPr>
        <w:tblW w:w="9071" w:type="dxa"/>
        <w:tblLayout w:type="fixed"/>
        <w:tblCellMar>
          <w:left w:w="0" w:type="dxa"/>
          <w:right w:w="0" w:type="dxa"/>
        </w:tblCellMar>
        <w:tblLook w:val="00A0" w:firstRow="1" w:lastRow="0" w:firstColumn="1" w:lastColumn="0" w:noHBand="0" w:noVBand="0"/>
      </w:tblPr>
      <w:tblGrid>
        <w:gridCol w:w="1985"/>
        <w:gridCol w:w="1181"/>
        <w:gridCol w:w="1181"/>
        <w:gridCol w:w="1181"/>
        <w:gridCol w:w="1181"/>
        <w:gridCol w:w="1181"/>
        <w:gridCol w:w="1181"/>
      </w:tblGrid>
      <w:tr w:rsidR="00A86883" w:rsidRPr="00D272CC" w14:paraId="6E3FA12F" w14:textId="77777777" w:rsidTr="00A86883">
        <w:tc>
          <w:tcPr>
            <w:tcW w:w="1985" w:type="dxa"/>
            <w:tcBorders>
              <w:top w:val="single" w:sz="4" w:space="0" w:color="auto"/>
              <w:bottom w:val="single" w:sz="4" w:space="0" w:color="auto"/>
            </w:tcBorders>
          </w:tcPr>
          <w:p w14:paraId="12586A2B" w14:textId="77777777" w:rsidR="00A86883" w:rsidRPr="00D272CC" w:rsidRDefault="00A86883" w:rsidP="002C4969">
            <w:pPr>
              <w:pStyle w:val="Table"/>
              <w:rPr>
                <w:szCs w:val="20"/>
                <w:lang w:val="en-GB"/>
              </w:rPr>
            </w:pPr>
          </w:p>
        </w:tc>
        <w:tc>
          <w:tcPr>
            <w:tcW w:w="1181" w:type="dxa"/>
            <w:tcBorders>
              <w:top w:val="single" w:sz="4" w:space="0" w:color="auto"/>
              <w:bottom w:val="single" w:sz="4" w:space="0" w:color="auto"/>
            </w:tcBorders>
          </w:tcPr>
          <w:p w14:paraId="64EDA2E6" w14:textId="77777777" w:rsidR="00A86883" w:rsidRPr="00D272CC" w:rsidRDefault="00F119D5" w:rsidP="00F119D5">
            <w:pPr>
              <w:pStyle w:val="Table"/>
              <w:jc w:val="center"/>
              <w:rPr>
                <w:b/>
                <w:szCs w:val="20"/>
                <w:lang w:val="en-GB"/>
              </w:rPr>
            </w:pPr>
            <w:r>
              <w:rPr>
                <w:b/>
                <w:szCs w:val="20"/>
                <w:lang w:val="en-GB"/>
              </w:rPr>
              <w:t>Marginal effect</w:t>
            </w:r>
          </w:p>
        </w:tc>
        <w:tc>
          <w:tcPr>
            <w:tcW w:w="1181" w:type="dxa"/>
            <w:tcBorders>
              <w:top w:val="single" w:sz="4" w:space="0" w:color="auto"/>
              <w:bottom w:val="single" w:sz="4" w:space="0" w:color="auto"/>
            </w:tcBorders>
          </w:tcPr>
          <w:p w14:paraId="0B8F4300" w14:textId="77777777" w:rsidR="00A86883" w:rsidRPr="00D272CC" w:rsidRDefault="00A86883" w:rsidP="002C4969">
            <w:pPr>
              <w:pStyle w:val="Table"/>
              <w:jc w:val="center"/>
              <w:rPr>
                <w:b/>
                <w:szCs w:val="20"/>
                <w:lang w:val="en-GB"/>
              </w:rPr>
            </w:pPr>
            <w:r w:rsidRPr="00D272CC">
              <w:rPr>
                <w:b/>
                <w:i/>
                <w:szCs w:val="20"/>
                <w:lang w:val="en-GB"/>
              </w:rPr>
              <w:t>z</w:t>
            </w:r>
            <w:r w:rsidRPr="00D272CC">
              <w:rPr>
                <w:b/>
                <w:szCs w:val="20"/>
                <w:lang w:val="en-GB"/>
              </w:rPr>
              <w:noBreakHyphen/>
              <w:t>stat</w:t>
            </w:r>
          </w:p>
        </w:tc>
        <w:tc>
          <w:tcPr>
            <w:tcW w:w="1181" w:type="dxa"/>
            <w:tcBorders>
              <w:top w:val="single" w:sz="4" w:space="0" w:color="auto"/>
              <w:bottom w:val="single" w:sz="4" w:space="0" w:color="auto"/>
            </w:tcBorders>
          </w:tcPr>
          <w:p w14:paraId="120A0AA1" w14:textId="77777777" w:rsidR="00A86883" w:rsidRPr="00D272CC" w:rsidRDefault="00F119D5" w:rsidP="00DA0E5B">
            <w:pPr>
              <w:pStyle w:val="Table"/>
              <w:jc w:val="center"/>
              <w:rPr>
                <w:b/>
                <w:szCs w:val="20"/>
                <w:lang w:val="en-GB"/>
              </w:rPr>
            </w:pPr>
            <w:r>
              <w:rPr>
                <w:b/>
                <w:szCs w:val="20"/>
                <w:lang w:val="en-GB"/>
              </w:rPr>
              <w:t>Marginal effect</w:t>
            </w:r>
          </w:p>
        </w:tc>
        <w:tc>
          <w:tcPr>
            <w:tcW w:w="1181" w:type="dxa"/>
            <w:tcBorders>
              <w:top w:val="single" w:sz="4" w:space="0" w:color="auto"/>
              <w:bottom w:val="single" w:sz="4" w:space="0" w:color="auto"/>
            </w:tcBorders>
          </w:tcPr>
          <w:p w14:paraId="26467BBC" w14:textId="77777777" w:rsidR="00A86883" w:rsidRPr="00D272CC" w:rsidRDefault="00A86883" w:rsidP="00DA0E5B">
            <w:pPr>
              <w:pStyle w:val="Table"/>
              <w:jc w:val="center"/>
              <w:rPr>
                <w:b/>
                <w:szCs w:val="20"/>
                <w:lang w:val="en-GB"/>
              </w:rPr>
            </w:pPr>
            <w:r w:rsidRPr="00D272CC">
              <w:rPr>
                <w:b/>
                <w:i/>
                <w:szCs w:val="20"/>
                <w:lang w:val="en-GB"/>
              </w:rPr>
              <w:t>z</w:t>
            </w:r>
            <w:r w:rsidRPr="00D272CC">
              <w:rPr>
                <w:b/>
                <w:szCs w:val="20"/>
                <w:lang w:val="en-GB"/>
              </w:rPr>
              <w:noBreakHyphen/>
              <w:t>stat</w:t>
            </w:r>
          </w:p>
        </w:tc>
        <w:tc>
          <w:tcPr>
            <w:tcW w:w="1181" w:type="dxa"/>
            <w:tcBorders>
              <w:top w:val="single" w:sz="4" w:space="0" w:color="auto"/>
              <w:bottom w:val="single" w:sz="4" w:space="0" w:color="auto"/>
            </w:tcBorders>
          </w:tcPr>
          <w:p w14:paraId="7905AC71" w14:textId="77777777" w:rsidR="00A86883" w:rsidRPr="00D272CC" w:rsidRDefault="00F119D5" w:rsidP="00B1341A">
            <w:pPr>
              <w:pStyle w:val="Table"/>
              <w:jc w:val="center"/>
              <w:rPr>
                <w:b/>
                <w:szCs w:val="20"/>
                <w:lang w:val="en-GB"/>
              </w:rPr>
            </w:pPr>
            <w:r>
              <w:rPr>
                <w:b/>
                <w:szCs w:val="20"/>
                <w:lang w:val="en-GB"/>
              </w:rPr>
              <w:t>Marginal effect</w:t>
            </w:r>
          </w:p>
        </w:tc>
        <w:tc>
          <w:tcPr>
            <w:tcW w:w="1181" w:type="dxa"/>
            <w:tcBorders>
              <w:top w:val="single" w:sz="4" w:space="0" w:color="auto"/>
              <w:bottom w:val="single" w:sz="4" w:space="0" w:color="auto"/>
            </w:tcBorders>
          </w:tcPr>
          <w:p w14:paraId="69B56063" w14:textId="77777777" w:rsidR="00A86883" w:rsidRPr="00D272CC" w:rsidRDefault="00A86883" w:rsidP="00B1341A">
            <w:pPr>
              <w:pStyle w:val="Table"/>
              <w:jc w:val="center"/>
              <w:rPr>
                <w:b/>
                <w:szCs w:val="20"/>
                <w:lang w:val="en-GB"/>
              </w:rPr>
            </w:pPr>
            <w:r w:rsidRPr="00D272CC">
              <w:rPr>
                <w:b/>
                <w:i/>
                <w:szCs w:val="20"/>
                <w:lang w:val="en-GB"/>
              </w:rPr>
              <w:t>z</w:t>
            </w:r>
            <w:r w:rsidRPr="00D272CC">
              <w:rPr>
                <w:b/>
                <w:szCs w:val="20"/>
                <w:lang w:val="en-GB"/>
              </w:rPr>
              <w:noBreakHyphen/>
              <w:t>stat</w:t>
            </w:r>
          </w:p>
        </w:tc>
      </w:tr>
      <w:tr w:rsidR="00A86883" w:rsidRPr="00D272CC" w14:paraId="6051C662" w14:textId="77777777" w:rsidTr="00A86883">
        <w:tc>
          <w:tcPr>
            <w:tcW w:w="1985" w:type="dxa"/>
            <w:tcBorders>
              <w:top w:val="single" w:sz="4" w:space="0" w:color="auto"/>
            </w:tcBorders>
          </w:tcPr>
          <w:p w14:paraId="1A178582" w14:textId="77777777" w:rsidR="00A86883" w:rsidRPr="00D272CC" w:rsidRDefault="00A86883" w:rsidP="002C4969">
            <w:pPr>
              <w:pStyle w:val="Table"/>
              <w:rPr>
                <w:szCs w:val="20"/>
                <w:lang w:val="en-GB"/>
              </w:rPr>
            </w:pPr>
          </w:p>
        </w:tc>
        <w:tc>
          <w:tcPr>
            <w:tcW w:w="1181" w:type="dxa"/>
            <w:tcBorders>
              <w:top w:val="single" w:sz="4" w:space="0" w:color="auto"/>
            </w:tcBorders>
          </w:tcPr>
          <w:p w14:paraId="13698267" w14:textId="77777777" w:rsidR="00A86883" w:rsidRPr="00D272CC" w:rsidRDefault="00A86883" w:rsidP="002C4969">
            <w:pPr>
              <w:pStyle w:val="Table"/>
              <w:jc w:val="center"/>
              <w:rPr>
                <w:szCs w:val="20"/>
                <w:lang w:val="en-GB"/>
              </w:rPr>
            </w:pPr>
          </w:p>
        </w:tc>
        <w:tc>
          <w:tcPr>
            <w:tcW w:w="1181" w:type="dxa"/>
            <w:tcBorders>
              <w:top w:val="single" w:sz="4" w:space="0" w:color="auto"/>
            </w:tcBorders>
          </w:tcPr>
          <w:p w14:paraId="51BC6968" w14:textId="77777777" w:rsidR="00A86883" w:rsidRPr="00D272CC" w:rsidRDefault="00A86883" w:rsidP="002C4969">
            <w:pPr>
              <w:pStyle w:val="Table"/>
              <w:jc w:val="center"/>
              <w:rPr>
                <w:szCs w:val="20"/>
                <w:lang w:val="en-GB"/>
              </w:rPr>
            </w:pPr>
          </w:p>
        </w:tc>
        <w:tc>
          <w:tcPr>
            <w:tcW w:w="1181" w:type="dxa"/>
            <w:tcBorders>
              <w:top w:val="single" w:sz="4" w:space="0" w:color="auto"/>
            </w:tcBorders>
          </w:tcPr>
          <w:p w14:paraId="44249944" w14:textId="77777777" w:rsidR="00A86883" w:rsidRPr="00D272CC" w:rsidRDefault="00A86883" w:rsidP="00DA0E5B">
            <w:pPr>
              <w:pStyle w:val="Table"/>
              <w:jc w:val="center"/>
              <w:rPr>
                <w:szCs w:val="20"/>
                <w:lang w:val="en-GB"/>
              </w:rPr>
            </w:pPr>
          </w:p>
        </w:tc>
        <w:tc>
          <w:tcPr>
            <w:tcW w:w="1181" w:type="dxa"/>
            <w:tcBorders>
              <w:top w:val="single" w:sz="4" w:space="0" w:color="auto"/>
            </w:tcBorders>
          </w:tcPr>
          <w:p w14:paraId="4B18A16A" w14:textId="77777777" w:rsidR="00A86883" w:rsidRPr="00D272CC" w:rsidRDefault="00A86883" w:rsidP="00DA0E5B">
            <w:pPr>
              <w:pStyle w:val="Table"/>
              <w:jc w:val="center"/>
              <w:rPr>
                <w:szCs w:val="20"/>
                <w:lang w:val="en-GB"/>
              </w:rPr>
            </w:pPr>
          </w:p>
        </w:tc>
        <w:tc>
          <w:tcPr>
            <w:tcW w:w="1181" w:type="dxa"/>
            <w:tcBorders>
              <w:top w:val="single" w:sz="4" w:space="0" w:color="auto"/>
            </w:tcBorders>
          </w:tcPr>
          <w:p w14:paraId="0AF545F0" w14:textId="77777777" w:rsidR="00A86883" w:rsidRPr="008560A0" w:rsidRDefault="00A86883" w:rsidP="00B1341A">
            <w:pPr>
              <w:pStyle w:val="Table"/>
              <w:jc w:val="center"/>
              <w:rPr>
                <w:szCs w:val="20"/>
                <w:lang w:val="en-GB"/>
              </w:rPr>
            </w:pPr>
          </w:p>
        </w:tc>
        <w:tc>
          <w:tcPr>
            <w:tcW w:w="1181" w:type="dxa"/>
            <w:tcBorders>
              <w:top w:val="single" w:sz="4" w:space="0" w:color="auto"/>
            </w:tcBorders>
          </w:tcPr>
          <w:p w14:paraId="7E88C746" w14:textId="77777777" w:rsidR="00A86883" w:rsidRPr="008560A0" w:rsidRDefault="00A86883" w:rsidP="00B1341A">
            <w:pPr>
              <w:pStyle w:val="Table"/>
              <w:jc w:val="center"/>
              <w:rPr>
                <w:szCs w:val="20"/>
                <w:lang w:val="en-GB"/>
              </w:rPr>
            </w:pPr>
          </w:p>
        </w:tc>
      </w:tr>
      <w:tr w:rsidR="00A86883" w:rsidRPr="00D272CC" w14:paraId="3F87CB30" w14:textId="77777777" w:rsidTr="00A86883">
        <w:tc>
          <w:tcPr>
            <w:tcW w:w="1985" w:type="dxa"/>
          </w:tcPr>
          <w:p w14:paraId="3C34847B" w14:textId="77777777" w:rsidR="00A86883" w:rsidRPr="00D272CC" w:rsidRDefault="00A86883" w:rsidP="002C4969">
            <w:pPr>
              <w:pStyle w:val="Table"/>
              <w:rPr>
                <w:szCs w:val="20"/>
                <w:lang w:val="en-GB"/>
              </w:rPr>
            </w:pPr>
            <w:r w:rsidRPr="00D272CC">
              <w:rPr>
                <w:szCs w:val="20"/>
                <w:lang w:val="en-GB"/>
              </w:rPr>
              <w:t>Dependent variable</w:t>
            </w:r>
          </w:p>
        </w:tc>
        <w:tc>
          <w:tcPr>
            <w:tcW w:w="1181" w:type="dxa"/>
          </w:tcPr>
          <w:p w14:paraId="45CB2538" w14:textId="433E6A6C" w:rsidR="00A86883" w:rsidRPr="00D272CC" w:rsidRDefault="00A86883" w:rsidP="009A2F60">
            <w:pPr>
              <w:pStyle w:val="Table"/>
              <w:jc w:val="center"/>
              <w:rPr>
                <w:szCs w:val="20"/>
                <w:lang w:val="en-GB"/>
              </w:rPr>
            </w:pPr>
            <w:r w:rsidRPr="00D272CC">
              <w:rPr>
                <w:lang w:val="en-GB"/>
              </w:rPr>
              <w:t>QC</w:t>
            </w:r>
          </w:p>
        </w:tc>
        <w:tc>
          <w:tcPr>
            <w:tcW w:w="1181" w:type="dxa"/>
          </w:tcPr>
          <w:p w14:paraId="1D5FBA93" w14:textId="77777777" w:rsidR="00A86883" w:rsidRPr="00D272CC" w:rsidRDefault="00A86883" w:rsidP="002C4969">
            <w:pPr>
              <w:pStyle w:val="Table"/>
              <w:jc w:val="center"/>
              <w:rPr>
                <w:szCs w:val="20"/>
                <w:lang w:val="en-GB"/>
              </w:rPr>
            </w:pPr>
          </w:p>
        </w:tc>
        <w:tc>
          <w:tcPr>
            <w:tcW w:w="1181" w:type="dxa"/>
          </w:tcPr>
          <w:p w14:paraId="7C855C16" w14:textId="4C8581A2" w:rsidR="00A86883" w:rsidRPr="00D272CC" w:rsidRDefault="00A86883" w:rsidP="00DA0E5B">
            <w:pPr>
              <w:pStyle w:val="Table"/>
              <w:jc w:val="center"/>
              <w:rPr>
                <w:szCs w:val="20"/>
                <w:lang w:val="en-GB"/>
              </w:rPr>
            </w:pPr>
            <w:r w:rsidRPr="00D272CC">
              <w:rPr>
                <w:lang w:val="en-GB"/>
              </w:rPr>
              <w:t>QC</w:t>
            </w:r>
          </w:p>
        </w:tc>
        <w:tc>
          <w:tcPr>
            <w:tcW w:w="1181" w:type="dxa"/>
          </w:tcPr>
          <w:p w14:paraId="232AAB29" w14:textId="77777777" w:rsidR="00A86883" w:rsidRPr="00D272CC" w:rsidRDefault="00A86883" w:rsidP="00DA0E5B">
            <w:pPr>
              <w:pStyle w:val="Table"/>
              <w:jc w:val="center"/>
              <w:rPr>
                <w:szCs w:val="20"/>
                <w:lang w:val="en-GB"/>
              </w:rPr>
            </w:pPr>
          </w:p>
        </w:tc>
        <w:tc>
          <w:tcPr>
            <w:tcW w:w="1181" w:type="dxa"/>
          </w:tcPr>
          <w:p w14:paraId="36F4FE6A" w14:textId="38CAF9DF" w:rsidR="00A86883" w:rsidRPr="00D272CC" w:rsidRDefault="00A86883" w:rsidP="009A2F60">
            <w:pPr>
              <w:pStyle w:val="Table"/>
              <w:jc w:val="center"/>
              <w:rPr>
                <w:lang w:val="en-GB"/>
              </w:rPr>
            </w:pPr>
            <w:r w:rsidRPr="00D272CC">
              <w:rPr>
                <w:lang w:val="en-GB"/>
              </w:rPr>
              <w:t>QC</w:t>
            </w:r>
          </w:p>
        </w:tc>
        <w:tc>
          <w:tcPr>
            <w:tcW w:w="1181" w:type="dxa"/>
          </w:tcPr>
          <w:p w14:paraId="6FD0FD06" w14:textId="77777777" w:rsidR="00A86883" w:rsidRPr="00D272CC" w:rsidRDefault="00A86883" w:rsidP="009A2F60">
            <w:pPr>
              <w:pStyle w:val="Table"/>
              <w:jc w:val="center"/>
              <w:rPr>
                <w:lang w:val="en-GB"/>
              </w:rPr>
            </w:pPr>
          </w:p>
        </w:tc>
      </w:tr>
      <w:tr w:rsidR="00A86883" w:rsidRPr="00D272CC" w14:paraId="62911840" w14:textId="77777777" w:rsidTr="00DA0E5B">
        <w:tc>
          <w:tcPr>
            <w:tcW w:w="1985" w:type="dxa"/>
          </w:tcPr>
          <w:p w14:paraId="578ABB97" w14:textId="77777777" w:rsidR="00A86883" w:rsidRPr="00D272CC" w:rsidRDefault="00A86883" w:rsidP="002C4969">
            <w:pPr>
              <w:pStyle w:val="Table"/>
              <w:rPr>
                <w:szCs w:val="20"/>
                <w:lang w:val="en-GB"/>
              </w:rPr>
            </w:pPr>
          </w:p>
        </w:tc>
        <w:tc>
          <w:tcPr>
            <w:tcW w:w="1181" w:type="dxa"/>
            <w:vAlign w:val="bottom"/>
          </w:tcPr>
          <w:p w14:paraId="004B70D1" w14:textId="77777777" w:rsidR="00A86883" w:rsidRPr="00D272CC" w:rsidRDefault="00A86883" w:rsidP="002C4969">
            <w:pPr>
              <w:pStyle w:val="Table"/>
              <w:jc w:val="center"/>
              <w:rPr>
                <w:lang w:val="en-GB"/>
              </w:rPr>
            </w:pPr>
          </w:p>
        </w:tc>
        <w:tc>
          <w:tcPr>
            <w:tcW w:w="1181" w:type="dxa"/>
            <w:vAlign w:val="bottom"/>
          </w:tcPr>
          <w:p w14:paraId="6933B70C" w14:textId="77777777" w:rsidR="00A86883" w:rsidRPr="00D272CC" w:rsidRDefault="00A86883" w:rsidP="002C4969">
            <w:pPr>
              <w:pStyle w:val="Table"/>
              <w:jc w:val="center"/>
              <w:rPr>
                <w:lang w:val="en-GB"/>
              </w:rPr>
            </w:pPr>
          </w:p>
        </w:tc>
        <w:tc>
          <w:tcPr>
            <w:tcW w:w="1181" w:type="dxa"/>
            <w:vAlign w:val="bottom"/>
          </w:tcPr>
          <w:p w14:paraId="00023F40" w14:textId="77777777" w:rsidR="00A86883" w:rsidRPr="00D272CC" w:rsidRDefault="00A86883" w:rsidP="00DA0E5B">
            <w:pPr>
              <w:pStyle w:val="Table"/>
              <w:jc w:val="center"/>
              <w:rPr>
                <w:lang w:val="en-GB"/>
              </w:rPr>
            </w:pPr>
          </w:p>
        </w:tc>
        <w:tc>
          <w:tcPr>
            <w:tcW w:w="1181" w:type="dxa"/>
            <w:vAlign w:val="bottom"/>
          </w:tcPr>
          <w:p w14:paraId="71412DB9" w14:textId="77777777" w:rsidR="00A86883" w:rsidRPr="00D272CC" w:rsidRDefault="00A86883" w:rsidP="00DA0E5B">
            <w:pPr>
              <w:pStyle w:val="Table"/>
              <w:jc w:val="center"/>
              <w:rPr>
                <w:lang w:val="en-GB"/>
              </w:rPr>
            </w:pPr>
          </w:p>
        </w:tc>
        <w:tc>
          <w:tcPr>
            <w:tcW w:w="1181" w:type="dxa"/>
          </w:tcPr>
          <w:p w14:paraId="6C840A3E" w14:textId="77777777" w:rsidR="00A86883" w:rsidRPr="00D272CC" w:rsidRDefault="00A86883" w:rsidP="002C4969">
            <w:pPr>
              <w:pStyle w:val="Table"/>
              <w:jc w:val="center"/>
              <w:rPr>
                <w:lang w:val="en-GB"/>
              </w:rPr>
            </w:pPr>
          </w:p>
        </w:tc>
        <w:tc>
          <w:tcPr>
            <w:tcW w:w="1181" w:type="dxa"/>
          </w:tcPr>
          <w:p w14:paraId="2089D3DA" w14:textId="77777777" w:rsidR="00A86883" w:rsidRPr="00D272CC" w:rsidRDefault="00A86883" w:rsidP="002C4969">
            <w:pPr>
              <w:pStyle w:val="Table"/>
              <w:jc w:val="center"/>
              <w:rPr>
                <w:lang w:val="en-GB"/>
              </w:rPr>
            </w:pPr>
          </w:p>
        </w:tc>
      </w:tr>
      <w:tr w:rsidR="00A86883" w:rsidRPr="00D272CC" w14:paraId="7739565C" w14:textId="77777777" w:rsidTr="00DA0E5B">
        <w:tc>
          <w:tcPr>
            <w:tcW w:w="1985" w:type="dxa"/>
          </w:tcPr>
          <w:p w14:paraId="735C4915" w14:textId="77777777" w:rsidR="00A86883" w:rsidRPr="00D272CC" w:rsidRDefault="00A86883" w:rsidP="002C4969">
            <w:pPr>
              <w:pStyle w:val="Table"/>
              <w:rPr>
                <w:szCs w:val="20"/>
                <w:lang w:val="en-GB"/>
              </w:rPr>
            </w:pPr>
            <w:r w:rsidRPr="00D272CC">
              <w:rPr>
                <w:szCs w:val="20"/>
                <w:lang w:val="en-GB"/>
              </w:rPr>
              <w:t>TOPIC1</w:t>
            </w:r>
          </w:p>
        </w:tc>
        <w:tc>
          <w:tcPr>
            <w:tcW w:w="1181" w:type="dxa"/>
            <w:vAlign w:val="bottom"/>
          </w:tcPr>
          <w:p w14:paraId="366C91CE" w14:textId="77777777" w:rsidR="00A86883" w:rsidRPr="00D272CC" w:rsidRDefault="00A86883" w:rsidP="008B6A84">
            <w:pPr>
              <w:pStyle w:val="Table"/>
              <w:jc w:val="center"/>
              <w:rPr>
                <w:lang w:val="en-GB"/>
              </w:rPr>
            </w:pPr>
            <w:r>
              <w:t>0.524</w:t>
            </w:r>
          </w:p>
        </w:tc>
        <w:tc>
          <w:tcPr>
            <w:tcW w:w="1181" w:type="dxa"/>
            <w:vAlign w:val="bottom"/>
          </w:tcPr>
          <w:p w14:paraId="7E226A51" w14:textId="77777777" w:rsidR="00A86883" w:rsidRPr="00D272CC" w:rsidRDefault="00A86883" w:rsidP="008B6A84">
            <w:pPr>
              <w:pStyle w:val="Table"/>
              <w:jc w:val="center"/>
              <w:rPr>
                <w:lang w:val="en-GB"/>
              </w:rPr>
            </w:pPr>
            <w:r>
              <w:t>(2.96)***</w:t>
            </w:r>
          </w:p>
        </w:tc>
        <w:tc>
          <w:tcPr>
            <w:tcW w:w="1181" w:type="dxa"/>
            <w:vAlign w:val="bottom"/>
          </w:tcPr>
          <w:p w14:paraId="0955A781" w14:textId="77777777" w:rsidR="00A86883" w:rsidRPr="00D272CC" w:rsidRDefault="00A86883" w:rsidP="00DA0E5B">
            <w:pPr>
              <w:pStyle w:val="Table"/>
              <w:jc w:val="center"/>
              <w:rPr>
                <w:lang w:val="en-GB"/>
              </w:rPr>
            </w:pPr>
          </w:p>
        </w:tc>
        <w:tc>
          <w:tcPr>
            <w:tcW w:w="1181" w:type="dxa"/>
            <w:vAlign w:val="bottom"/>
          </w:tcPr>
          <w:p w14:paraId="3607BFEE" w14:textId="77777777" w:rsidR="00A86883" w:rsidRPr="00D272CC" w:rsidRDefault="00A86883" w:rsidP="00DA0E5B">
            <w:pPr>
              <w:pStyle w:val="Table"/>
              <w:jc w:val="center"/>
              <w:rPr>
                <w:lang w:val="en-GB"/>
              </w:rPr>
            </w:pPr>
          </w:p>
        </w:tc>
        <w:tc>
          <w:tcPr>
            <w:tcW w:w="1181" w:type="dxa"/>
            <w:vAlign w:val="bottom"/>
          </w:tcPr>
          <w:p w14:paraId="625ACC8C" w14:textId="77777777" w:rsidR="00A86883" w:rsidRDefault="00A86883" w:rsidP="008B6A84">
            <w:pPr>
              <w:pStyle w:val="Table"/>
              <w:jc w:val="center"/>
            </w:pPr>
            <w:r>
              <w:t>0.499</w:t>
            </w:r>
          </w:p>
        </w:tc>
        <w:tc>
          <w:tcPr>
            <w:tcW w:w="1181" w:type="dxa"/>
            <w:vAlign w:val="bottom"/>
          </w:tcPr>
          <w:p w14:paraId="506614D0" w14:textId="77777777" w:rsidR="00A86883" w:rsidRDefault="00A86883" w:rsidP="008B6A84">
            <w:pPr>
              <w:pStyle w:val="Table"/>
              <w:jc w:val="center"/>
            </w:pPr>
            <w:r>
              <w:t>(2.86)***</w:t>
            </w:r>
          </w:p>
        </w:tc>
      </w:tr>
      <w:tr w:rsidR="00A86883" w:rsidRPr="00D272CC" w14:paraId="6BF12E95" w14:textId="77777777" w:rsidTr="00DA0E5B">
        <w:tc>
          <w:tcPr>
            <w:tcW w:w="1985" w:type="dxa"/>
          </w:tcPr>
          <w:p w14:paraId="6DB30FB7" w14:textId="77777777" w:rsidR="00A86883" w:rsidRPr="00D272CC" w:rsidRDefault="00A86883" w:rsidP="002C4969">
            <w:pPr>
              <w:pStyle w:val="Table"/>
              <w:rPr>
                <w:szCs w:val="20"/>
                <w:lang w:val="en-GB"/>
              </w:rPr>
            </w:pPr>
            <w:r w:rsidRPr="00D272CC">
              <w:rPr>
                <w:szCs w:val="20"/>
                <w:lang w:val="en-GB"/>
              </w:rPr>
              <w:t>TOPIC2</w:t>
            </w:r>
          </w:p>
        </w:tc>
        <w:tc>
          <w:tcPr>
            <w:tcW w:w="1181" w:type="dxa"/>
            <w:vAlign w:val="bottom"/>
          </w:tcPr>
          <w:p w14:paraId="096EC8E9" w14:textId="77777777" w:rsidR="00A86883" w:rsidRPr="00D272CC" w:rsidRDefault="00A86883" w:rsidP="008B6A84">
            <w:pPr>
              <w:pStyle w:val="Table"/>
              <w:jc w:val="center"/>
              <w:rPr>
                <w:lang w:val="en-GB"/>
              </w:rPr>
            </w:pPr>
            <w:r>
              <w:t>-0.029</w:t>
            </w:r>
          </w:p>
        </w:tc>
        <w:tc>
          <w:tcPr>
            <w:tcW w:w="1181" w:type="dxa"/>
            <w:vAlign w:val="bottom"/>
          </w:tcPr>
          <w:p w14:paraId="7A1E35A2" w14:textId="77777777" w:rsidR="00A86883" w:rsidRPr="00D272CC" w:rsidRDefault="00A86883" w:rsidP="008B6A84">
            <w:pPr>
              <w:pStyle w:val="Table"/>
              <w:jc w:val="center"/>
              <w:rPr>
                <w:lang w:val="en-GB"/>
              </w:rPr>
            </w:pPr>
            <w:r>
              <w:t>(-0.31)</w:t>
            </w:r>
          </w:p>
        </w:tc>
        <w:tc>
          <w:tcPr>
            <w:tcW w:w="1181" w:type="dxa"/>
            <w:vAlign w:val="bottom"/>
          </w:tcPr>
          <w:p w14:paraId="73FC8162" w14:textId="77777777" w:rsidR="00A86883" w:rsidRPr="00D272CC" w:rsidRDefault="00A86883" w:rsidP="00DA0E5B">
            <w:pPr>
              <w:pStyle w:val="Table"/>
              <w:jc w:val="center"/>
              <w:rPr>
                <w:lang w:val="en-GB"/>
              </w:rPr>
            </w:pPr>
          </w:p>
        </w:tc>
        <w:tc>
          <w:tcPr>
            <w:tcW w:w="1181" w:type="dxa"/>
            <w:vAlign w:val="bottom"/>
          </w:tcPr>
          <w:p w14:paraId="38FC7E6B" w14:textId="77777777" w:rsidR="00A86883" w:rsidRPr="00D272CC" w:rsidRDefault="00A86883" w:rsidP="00DA0E5B">
            <w:pPr>
              <w:pStyle w:val="Table"/>
              <w:jc w:val="center"/>
              <w:rPr>
                <w:lang w:val="en-GB"/>
              </w:rPr>
            </w:pPr>
          </w:p>
        </w:tc>
        <w:tc>
          <w:tcPr>
            <w:tcW w:w="1181" w:type="dxa"/>
            <w:vAlign w:val="bottom"/>
          </w:tcPr>
          <w:p w14:paraId="498AA56A" w14:textId="77777777" w:rsidR="00A86883" w:rsidRDefault="00A86883" w:rsidP="008B6A84">
            <w:pPr>
              <w:pStyle w:val="Table"/>
              <w:jc w:val="center"/>
            </w:pPr>
            <w:r>
              <w:t>-0.065</w:t>
            </w:r>
          </w:p>
        </w:tc>
        <w:tc>
          <w:tcPr>
            <w:tcW w:w="1181" w:type="dxa"/>
            <w:vAlign w:val="bottom"/>
          </w:tcPr>
          <w:p w14:paraId="66F8A57A" w14:textId="77777777" w:rsidR="00A86883" w:rsidRDefault="00A86883" w:rsidP="008B6A84">
            <w:pPr>
              <w:pStyle w:val="Table"/>
              <w:jc w:val="center"/>
            </w:pPr>
            <w:r>
              <w:t>(-0.92)</w:t>
            </w:r>
          </w:p>
        </w:tc>
      </w:tr>
      <w:tr w:rsidR="00A86883" w:rsidRPr="00D272CC" w14:paraId="2DE3F337" w14:textId="77777777" w:rsidTr="00DA0E5B">
        <w:tc>
          <w:tcPr>
            <w:tcW w:w="1985" w:type="dxa"/>
          </w:tcPr>
          <w:p w14:paraId="1E94EE3C" w14:textId="77777777" w:rsidR="00A86883" w:rsidRPr="00D272CC" w:rsidRDefault="00A86883" w:rsidP="002C4969">
            <w:pPr>
              <w:pStyle w:val="Table"/>
              <w:rPr>
                <w:szCs w:val="20"/>
                <w:lang w:val="en-GB"/>
              </w:rPr>
            </w:pPr>
            <w:r w:rsidRPr="00D272CC">
              <w:rPr>
                <w:szCs w:val="20"/>
                <w:lang w:val="en-GB"/>
              </w:rPr>
              <w:t>TOPIC3</w:t>
            </w:r>
          </w:p>
        </w:tc>
        <w:tc>
          <w:tcPr>
            <w:tcW w:w="1181" w:type="dxa"/>
            <w:vAlign w:val="bottom"/>
          </w:tcPr>
          <w:p w14:paraId="5284410C" w14:textId="77777777" w:rsidR="00A86883" w:rsidRPr="00D272CC" w:rsidRDefault="00A86883" w:rsidP="008B6A84">
            <w:pPr>
              <w:pStyle w:val="Table"/>
              <w:jc w:val="center"/>
              <w:rPr>
                <w:lang w:val="en-GB"/>
              </w:rPr>
            </w:pPr>
            <w:r>
              <w:t>0.259</w:t>
            </w:r>
          </w:p>
        </w:tc>
        <w:tc>
          <w:tcPr>
            <w:tcW w:w="1181" w:type="dxa"/>
            <w:vAlign w:val="bottom"/>
          </w:tcPr>
          <w:p w14:paraId="36C04D9D" w14:textId="77777777" w:rsidR="00A86883" w:rsidRPr="00D272CC" w:rsidRDefault="00A86883" w:rsidP="008B6A84">
            <w:pPr>
              <w:pStyle w:val="Table"/>
              <w:jc w:val="center"/>
              <w:rPr>
                <w:lang w:val="en-GB"/>
              </w:rPr>
            </w:pPr>
            <w:r>
              <w:t>(1.39)</w:t>
            </w:r>
          </w:p>
        </w:tc>
        <w:tc>
          <w:tcPr>
            <w:tcW w:w="1181" w:type="dxa"/>
            <w:vAlign w:val="bottom"/>
          </w:tcPr>
          <w:p w14:paraId="0A6E5B3A" w14:textId="77777777" w:rsidR="00A86883" w:rsidRPr="00D272CC" w:rsidRDefault="00A86883" w:rsidP="00DA0E5B">
            <w:pPr>
              <w:pStyle w:val="Table"/>
              <w:jc w:val="center"/>
              <w:rPr>
                <w:lang w:val="en-GB"/>
              </w:rPr>
            </w:pPr>
          </w:p>
        </w:tc>
        <w:tc>
          <w:tcPr>
            <w:tcW w:w="1181" w:type="dxa"/>
            <w:vAlign w:val="bottom"/>
          </w:tcPr>
          <w:p w14:paraId="46AE75B8" w14:textId="77777777" w:rsidR="00A86883" w:rsidRPr="00D272CC" w:rsidRDefault="00A86883" w:rsidP="00DA0E5B">
            <w:pPr>
              <w:pStyle w:val="Table"/>
              <w:jc w:val="center"/>
              <w:rPr>
                <w:lang w:val="en-GB"/>
              </w:rPr>
            </w:pPr>
          </w:p>
        </w:tc>
        <w:tc>
          <w:tcPr>
            <w:tcW w:w="1181" w:type="dxa"/>
            <w:vAlign w:val="bottom"/>
          </w:tcPr>
          <w:p w14:paraId="2DE6EFC8" w14:textId="77777777" w:rsidR="00A86883" w:rsidRDefault="00A86883" w:rsidP="008B6A84">
            <w:pPr>
              <w:pStyle w:val="Table"/>
              <w:jc w:val="center"/>
            </w:pPr>
            <w:r>
              <w:t>0.262</w:t>
            </w:r>
          </w:p>
        </w:tc>
        <w:tc>
          <w:tcPr>
            <w:tcW w:w="1181" w:type="dxa"/>
            <w:vAlign w:val="bottom"/>
          </w:tcPr>
          <w:p w14:paraId="0F89A0A1" w14:textId="77777777" w:rsidR="00A86883" w:rsidRDefault="00A86883" w:rsidP="008B6A84">
            <w:pPr>
              <w:pStyle w:val="Table"/>
              <w:jc w:val="center"/>
            </w:pPr>
            <w:r>
              <w:t>(1.47)</w:t>
            </w:r>
          </w:p>
        </w:tc>
      </w:tr>
      <w:tr w:rsidR="00A86883" w:rsidRPr="00D272CC" w14:paraId="668080A8" w14:textId="77777777" w:rsidTr="00DA0E5B">
        <w:tc>
          <w:tcPr>
            <w:tcW w:w="1985" w:type="dxa"/>
          </w:tcPr>
          <w:p w14:paraId="1CF65DB3" w14:textId="77777777" w:rsidR="00A86883" w:rsidRPr="00D272CC" w:rsidRDefault="00A86883" w:rsidP="002C4969">
            <w:pPr>
              <w:pStyle w:val="Table"/>
              <w:rPr>
                <w:szCs w:val="20"/>
                <w:lang w:val="en-GB"/>
              </w:rPr>
            </w:pPr>
            <w:r w:rsidRPr="00D272CC">
              <w:rPr>
                <w:szCs w:val="20"/>
                <w:lang w:val="en-GB"/>
              </w:rPr>
              <w:t>TOPIC4</w:t>
            </w:r>
          </w:p>
        </w:tc>
        <w:tc>
          <w:tcPr>
            <w:tcW w:w="1181" w:type="dxa"/>
            <w:vAlign w:val="bottom"/>
          </w:tcPr>
          <w:p w14:paraId="327551E7" w14:textId="77777777" w:rsidR="00A86883" w:rsidRPr="00D272CC" w:rsidRDefault="00A86883" w:rsidP="008B6A84">
            <w:pPr>
              <w:pStyle w:val="Table"/>
              <w:jc w:val="center"/>
              <w:rPr>
                <w:lang w:val="en-GB"/>
              </w:rPr>
            </w:pPr>
            <w:r>
              <w:t>0.312</w:t>
            </w:r>
          </w:p>
        </w:tc>
        <w:tc>
          <w:tcPr>
            <w:tcW w:w="1181" w:type="dxa"/>
            <w:vAlign w:val="bottom"/>
          </w:tcPr>
          <w:p w14:paraId="59D3D565" w14:textId="77777777" w:rsidR="00A86883" w:rsidRPr="00D272CC" w:rsidRDefault="00A86883" w:rsidP="008B6A84">
            <w:pPr>
              <w:pStyle w:val="Table"/>
              <w:jc w:val="center"/>
              <w:rPr>
                <w:lang w:val="en-GB"/>
              </w:rPr>
            </w:pPr>
            <w:r>
              <w:t>(1.16)</w:t>
            </w:r>
          </w:p>
        </w:tc>
        <w:tc>
          <w:tcPr>
            <w:tcW w:w="1181" w:type="dxa"/>
            <w:vAlign w:val="bottom"/>
          </w:tcPr>
          <w:p w14:paraId="2EAE72A9" w14:textId="77777777" w:rsidR="00A86883" w:rsidRPr="00D272CC" w:rsidRDefault="00A86883" w:rsidP="00DA0E5B">
            <w:pPr>
              <w:pStyle w:val="Table"/>
              <w:jc w:val="center"/>
              <w:rPr>
                <w:lang w:val="en-GB"/>
              </w:rPr>
            </w:pPr>
          </w:p>
        </w:tc>
        <w:tc>
          <w:tcPr>
            <w:tcW w:w="1181" w:type="dxa"/>
            <w:vAlign w:val="bottom"/>
          </w:tcPr>
          <w:p w14:paraId="7571979B" w14:textId="77777777" w:rsidR="00A86883" w:rsidRPr="00D272CC" w:rsidRDefault="00A86883" w:rsidP="00DA0E5B">
            <w:pPr>
              <w:pStyle w:val="Table"/>
              <w:jc w:val="center"/>
              <w:rPr>
                <w:lang w:val="en-GB"/>
              </w:rPr>
            </w:pPr>
          </w:p>
        </w:tc>
        <w:tc>
          <w:tcPr>
            <w:tcW w:w="1181" w:type="dxa"/>
            <w:vAlign w:val="bottom"/>
          </w:tcPr>
          <w:p w14:paraId="21D209D3" w14:textId="77777777" w:rsidR="00A86883" w:rsidRDefault="00A86883" w:rsidP="008B6A84">
            <w:pPr>
              <w:pStyle w:val="Table"/>
              <w:jc w:val="center"/>
            </w:pPr>
            <w:r>
              <w:t>0.330</w:t>
            </w:r>
          </w:p>
        </w:tc>
        <w:tc>
          <w:tcPr>
            <w:tcW w:w="1181" w:type="dxa"/>
            <w:vAlign w:val="bottom"/>
          </w:tcPr>
          <w:p w14:paraId="11CFA884" w14:textId="77777777" w:rsidR="00A86883" w:rsidRDefault="00A86883" w:rsidP="008B6A84">
            <w:pPr>
              <w:pStyle w:val="Table"/>
              <w:jc w:val="center"/>
            </w:pPr>
            <w:r>
              <w:t>(1.38)</w:t>
            </w:r>
          </w:p>
        </w:tc>
      </w:tr>
      <w:tr w:rsidR="00A86883" w:rsidRPr="00D272CC" w14:paraId="5836BD53" w14:textId="77777777" w:rsidTr="00DA0E5B">
        <w:tc>
          <w:tcPr>
            <w:tcW w:w="1985" w:type="dxa"/>
          </w:tcPr>
          <w:p w14:paraId="6AD4896A" w14:textId="77777777" w:rsidR="00A86883" w:rsidRPr="00D272CC" w:rsidRDefault="00A86883" w:rsidP="002C4969">
            <w:pPr>
              <w:pStyle w:val="Table"/>
              <w:rPr>
                <w:szCs w:val="20"/>
                <w:lang w:val="en-GB"/>
              </w:rPr>
            </w:pPr>
            <w:r w:rsidRPr="00D272CC">
              <w:rPr>
                <w:szCs w:val="20"/>
                <w:lang w:val="en-GB"/>
              </w:rPr>
              <w:t>TOPIC5</w:t>
            </w:r>
          </w:p>
        </w:tc>
        <w:tc>
          <w:tcPr>
            <w:tcW w:w="1181" w:type="dxa"/>
            <w:vAlign w:val="bottom"/>
          </w:tcPr>
          <w:p w14:paraId="76A8A649" w14:textId="77777777" w:rsidR="00A86883" w:rsidRPr="00D272CC" w:rsidRDefault="00A86883" w:rsidP="008B6A84">
            <w:pPr>
              <w:pStyle w:val="Table"/>
              <w:jc w:val="center"/>
              <w:rPr>
                <w:lang w:val="en-GB"/>
              </w:rPr>
            </w:pPr>
            <w:r>
              <w:t>0.853</w:t>
            </w:r>
          </w:p>
        </w:tc>
        <w:tc>
          <w:tcPr>
            <w:tcW w:w="1181" w:type="dxa"/>
            <w:vAlign w:val="bottom"/>
          </w:tcPr>
          <w:p w14:paraId="3F00253F" w14:textId="77777777" w:rsidR="00A86883" w:rsidRPr="00D272CC" w:rsidRDefault="00A86883" w:rsidP="008B6A84">
            <w:pPr>
              <w:pStyle w:val="Table"/>
              <w:jc w:val="center"/>
              <w:rPr>
                <w:lang w:val="en-GB"/>
              </w:rPr>
            </w:pPr>
            <w:r>
              <w:t>(17.56)***</w:t>
            </w:r>
          </w:p>
        </w:tc>
        <w:tc>
          <w:tcPr>
            <w:tcW w:w="1181" w:type="dxa"/>
            <w:vAlign w:val="bottom"/>
          </w:tcPr>
          <w:p w14:paraId="03A1BCEE" w14:textId="77777777" w:rsidR="00A86883" w:rsidRPr="00D272CC" w:rsidRDefault="00A86883" w:rsidP="00DA0E5B">
            <w:pPr>
              <w:pStyle w:val="Table"/>
              <w:jc w:val="center"/>
              <w:rPr>
                <w:lang w:val="en-GB"/>
              </w:rPr>
            </w:pPr>
          </w:p>
        </w:tc>
        <w:tc>
          <w:tcPr>
            <w:tcW w:w="1181" w:type="dxa"/>
            <w:vAlign w:val="bottom"/>
          </w:tcPr>
          <w:p w14:paraId="6ED99E2C" w14:textId="77777777" w:rsidR="00A86883" w:rsidRPr="00D272CC" w:rsidRDefault="00A86883" w:rsidP="00DA0E5B">
            <w:pPr>
              <w:pStyle w:val="Table"/>
              <w:jc w:val="center"/>
              <w:rPr>
                <w:lang w:val="en-GB"/>
              </w:rPr>
            </w:pPr>
          </w:p>
        </w:tc>
        <w:tc>
          <w:tcPr>
            <w:tcW w:w="1181" w:type="dxa"/>
            <w:vAlign w:val="bottom"/>
          </w:tcPr>
          <w:p w14:paraId="2D95E22A" w14:textId="77777777" w:rsidR="00A86883" w:rsidRDefault="00A86883" w:rsidP="008B6A84">
            <w:pPr>
              <w:pStyle w:val="Table"/>
              <w:jc w:val="center"/>
            </w:pPr>
            <w:r>
              <w:t>0.841</w:t>
            </w:r>
          </w:p>
        </w:tc>
        <w:tc>
          <w:tcPr>
            <w:tcW w:w="1181" w:type="dxa"/>
            <w:vAlign w:val="bottom"/>
          </w:tcPr>
          <w:p w14:paraId="6A12398D" w14:textId="77777777" w:rsidR="00A86883" w:rsidRDefault="00A86883" w:rsidP="008B6A84">
            <w:pPr>
              <w:pStyle w:val="Table"/>
              <w:jc w:val="center"/>
            </w:pPr>
            <w:r>
              <w:t>(16.68)***</w:t>
            </w:r>
          </w:p>
        </w:tc>
      </w:tr>
      <w:tr w:rsidR="00A86883" w:rsidRPr="00D272CC" w14:paraId="0ACDA073" w14:textId="77777777" w:rsidTr="00DA0E5B">
        <w:tc>
          <w:tcPr>
            <w:tcW w:w="1985" w:type="dxa"/>
          </w:tcPr>
          <w:p w14:paraId="4709F098" w14:textId="77777777" w:rsidR="00A86883" w:rsidRPr="00D272CC" w:rsidRDefault="00A86883" w:rsidP="002C4969">
            <w:pPr>
              <w:pStyle w:val="Table"/>
              <w:rPr>
                <w:szCs w:val="20"/>
                <w:lang w:val="en-GB"/>
              </w:rPr>
            </w:pPr>
            <w:r w:rsidRPr="00D272CC">
              <w:rPr>
                <w:szCs w:val="20"/>
                <w:lang w:val="en-GB"/>
              </w:rPr>
              <w:t>TOPIC6</w:t>
            </w:r>
          </w:p>
        </w:tc>
        <w:tc>
          <w:tcPr>
            <w:tcW w:w="1181" w:type="dxa"/>
            <w:vAlign w:val="bottom"/>
          </w:tcPr>
          <w:p w14:paraId="635FD015" w14:textId="77777777" w:rsidR="00A86883" w:rsidRPr="00D272CC" w:rsidRDefault="00A86883" w:rsidP="008B6A84">
            <w:pPr>
              <w:pStyle w:val="Table"/>
              <w:jc w:val="center"/>
              <w:rPr>
                <w:lang w:val="en-GB"/>
              </w:rPr>
            </w:pPr>
            <w:r>
              <w:t>-0.154</w:t>
            </w:r>
          </w:p>
        </w:tc>
        <w:tc>
          <w:tcPr>
            <w:tcW w:w="1181" w:type="dxa"/>
            <w:vAlign w:val="bottom"/>
          </w:tcPr>
          <w:p w14:paraId="6DBE9FCD" w14:textId="77777777" w:rsidR="00A86883" w:rsidRPr="00D272CC" w:rsidRDefault="00A86883" w:rsidP="008B6A84">
            <w:pPr>
              <w:pStyle w:val="Table"/>
              <w:jc w:val="center"/>
              <w:rPr>
                <w:lang w:val="en-GB"/>
              </w:rPr>
            </w:pPr>
            <w:r>
              <w:t>(-4.26)***</w:t>
            </w:r>
          </w:p>
        </w:tc>
        <w:tc>
          <w:tcPr>
            <w:tcW w:w="1181" w:type="dxa"/>
            <w:vAlign w:val="bottom"/>
          </w:tcPr>
          <w:p w14:paraId="45056413" w14:textId="77777777" w:rsidR="00A86883" w:rsidRPr="00D272CC" w:rsidRDefault="00A86883" w:rsidP="00DA0E5B">
            <w:pPr>
              <w:pStyle w:val="Table"/>
              <w:jc w:val="center"/>
              <w:rPr>
                <w:lang w:val="en-GB"/>
              </w:rPr>
            </w:pPr>
          </w:p>
        </w:tc>
        <w:tc>
          <w:tcPr>
            <w:tcW w:w="1181" w:type="dxa"/>
            <w:vAlign w:val="bottom"/>
          </w:tcPr>
          <w:p w14:paraId="7ADCF641" w14:textId="77777777" w:rsidR="00A86883" w:rsidRPr="00D272CC" w:rsidRDefault="00A86883" w:rsidP="00DA0E5B">
            <w:pPr>
              <w:pStyle w:val="Table"/>
              <w:jc w:val="center"/>
              <w:rPr>
                <w:lang w:val="en-GB"/>
              </w:rPr>
            </w:pPr>
          </w:p>
        </w:tc>
        <w:tc>
          <w:tcPr>
            <w:tcW w:w="1181" w:type="dxa"/>
            <w:vAlign w:val="bottom"/>
          </w:tcPr>
          <w:p w14:paraId="09E01527" w14:textId="77777777" w:rsidR="00A86883" w:rsidRDefault="00A86883" w:rsidP="008B6A84">
            <w:pPr>
              <w:pStyle w:val="Table"/>
              <w:jc w:val="center"/>
            </w:pPr>
            <w:r>
              <w:t>-0.167</w:t>
            </w:r>
          </w:p>
        </w:tc>
        <w:tc>
          <w:tcPr>
            <w:tcW w:w="1181" w:type="dxa"/>
            <w:vAlign w:val="bottom"/>
          </w:tcPr>
          <w:p w14:paraId="74981E41" w14:textId="77777777" w:rsidR="00A86883" w:rsidRDefault="00A86883" w:rsidP="008B6A84">
            <w:pPr>
              <w:pStyle w:val="Table"/>
              <w:jc w:val="center"/>
            </w:pPr>
            <w:r>
              <w:t>(-4.61)***</w:t>
            </w:r>
          </w:p>
        </w:tc>
      </w:tr>
      <w:tr w:rsidR="00A86883" w:rsidRPr="00D272CC" w14:paraId="4C0B17CF" w14:textId="77777777" w:rsidTr="00DA0E5B">
        <w:tc>
          <w:tcPr>
            <w:tcW w:w="1985" w:type="dxa"/>
          </w:tcPr>
          <w:p w14:paraId="0D910092" w14:textId="77777777" w:rsidR="00A86883" w:rsidRPr="00D272CC" w:rsidRDefault="00A86883" w:rsidP="002C4969">
            <w:pPr>
              <w:pStyle w:val="Table"/>
              <w:rPr>
                <w:szCs w:val="20"/>
                <w:lang w:val="en-GB"/>
              </w:rPr>
            </w:pPr>
            <w:r w:rsidRPr="00D272CC">
              <w:rPr>
                <w:szCs w:val="20"/>
                <w:lang w:val="en-GB"/>
              </w:rPr>
              <w:t>TOPIC7</w:t>
            </w:r>
          </w:p>
        </w:tc>
        <w:tc>
          <w:tcPr>
            <w:tcW w:w="1181" w:type="dxa"/>
            <w:vAlign w:val="bottom"/>
          </w:tcPr>
          <w:p w14:paraId="0ECF9BA3" w14:textId="77777777" w:rsidR="00A86883" w:rsidRPr="00D272CC" w:rsidRDefault="00A86883" w:rsidP="008B6A84">
            <w:pPr>
              <w:pStyle w:val="Table"/>
              <w:jc w:val="center"/>
              <w:rPr>
                <w:lang w:val="en-GB"/>
              </w:rPr>
            </w:pPr>
            <w:r>
              <w:t>0.552</w:t>
            </w:r>
          </w:p>
        </w:tc>
        <w:tc>
          <w:tcPr>
            <w:tcW w:w="1181" w:type="dxa"/>
            <w:vAlign w:val="bottom"/>
          </w:tcPr>
          <w:p w14:paraId="4D927157" w14:textId="77777777" w:rsidR="00A86883" w:rsidRPr="00D272CC" w:rsidRDefault="00A86883" w:rsidP="008B6A84">
            <w:pPr>
              <w:pStyle w:val="Table"/>
              <w:jc w:val="center"/>
              <w:rPr>
                <w:lang w:val="en-GB"/>
              </w:rPr>
            </w:pPr>
            <w:r>
              <w:t>(2.19)**</w:t>
            </w:r>
          </w:p>
        </w:tc>
        <w:tc>
          <w:tcPr>
            <w:tcW w:w="1181" w:type="dxa"/>
            <w:vAlign w:val="bottom"/>
          </w:tcPr>
          <w:p w14:paraId="0612E822" w14:textId="77777777" w:rsidR="00A86883" w:rsidRPr="00D272CC" w:rsidRDefault="00A86883" w:rsidP="00DA0E5B">
            <w:pPr>
              <w:pStyle w:val="Table"/>
              <w:jc w:val="center"/>
              <w:rPr>
                <w:lang w:val="en-GB"/>
              </w:rPr>
            </w:pPr>
          </w:p>
        </w:tc>
        <w:tc>
          <w:tcPr>
            <w:tcW w:w="1181" w:type="dxa"/>
            <w:vAlign w:val="bottom"/>
          </w:tcPr>
          <w:p w14:paraId="1E600572" w14:textId="77777777" w:rsidR="00A86883" w:rsidRPr="00D272CC" w:rsidRDefault="00A86883" w:rsidP="00DA0E5B">
            <w:pPr>
              <w:pStyle w:val="Table"/>
              <w:jc w:val="center"/>
              <w:rPr>
                <w:lang w:val="en-GB"/>
              </w:rPr>
            </w:pPr>
          </w:p>
        </w:tc>
        <w:tc>
          <w:tcPr>
            <w:tcW w:w="1181" w:type="dxa"/>
            <w:vAlign w:val="bottom"/>
          </w:tcPr>
          <w:p w14:paraId="64BD9684" w14:textId="77777777" w:rsidR="00A86883" w:rsidRDefault="00A86883" w:rsidP="008B6A84">
            <w:pPr>
              <w:pStyle w:val="Table"/>
              <w:jc w:val="center"/>
            </w:pPr>
            <w:r>
              <w:t>0.557</w:t>
            </w:r>
          </w:p>
        </w:tc>
        <w:tc>
          <w:tcPr>
            <w:tcW w:w="1181" w:type="dxa"/>
            <w:vAlign w:val="bottom"/>
          </w:tcPr>
          <w:p w14:paraId="58443752" w14:textId="77777777" w:rsidR="00A86883" w:rsidRDefault="00A86883" w:rsidP="008B6A84">
            <w:pPr>
              <w:pStyle w:val="Table"/>
              <w:jc w:val="center"/>
            </w:pPr>
            <w:r>
              <w:t>(2.45)**</w:t>
            </w:r>
          </w:p>
        </w:tc>
      </w:tr>
      <w:tr w:rsidR="00A86883" w:rsidRPr="00D272CC" w14:paraId="1ED43014" w14:textId="77777777" w:rsidTr="00DA0E5B">
        <w:tc>
          <w:tcPr>
            <w:tcW w:w="1985" w:type="dxa"/>
          </w:tcPr>
          <w:p w14:paraId="609D43ED" w14:textId="77777777" w:rsidR="00A86883" w:rsidRPr="00D272CC" w:rsidRDefault="00A86883" w:rsidP="002C4969">
            <w:pPr>
              <w:pStyle w:val="Table"/>
              <w:rPr>
                <w:szCs w:val="20"/>
                <w:lang w:val="en-GB"/>
              </w:rPr>
            </w:pPr>
            <w:r w:rsidRPr="00D272CC">
              <w:rPr>
                <w:szCs w:val="20"/>
                <w:lang w:val="en-GB"/>
              </w:rPr>
              <w:t>TOPIC8</w:t>
            </w:r>
          </w:p>
        </w:tc>
        <w:tc>
          <w:tcPr>
            <w:tcW w:w="1181" w:type="dxa"/>
            <w:vAlign w:val="bottom"/>
          </w:tcPr>
          <w:p w14:paraId="0C43D23D" w14:textId="77777777" w:rsidR="00A86883" w:rsidRPr="00D272CC" w:rsidRDefault="00A86883" w:rsidP="008B6A84">
            <w:pPr>
              <w:pStyle w:val="Table"/>
              <w:jc w:val="center"/>
              <w:rPr>
                <w:lang w:val="en-GB"/>
              </w:rPr>
            </w:pPr>
            <w:r>
              <w:t>0.282</w:t>
            </w:r>
          </w:p>
        </w:tc>
        <w:tc>
          <w:tcPr>
            <w:tcW w:w="1181" w:type="dxa"/>
            <w:vAlign w:val="bottom"/>
          </w:tcPr>
          <w:p w14:paraId="20E51A4C" w14:textId="77777777" w:rsidR="00A86883" w:rsidRPr="00D272CC" w:rsidRDefault="00A86883" w:rsidP="008B6A84">
            <w:pPr>
              <w:pStyle w:val="Table"/>
              <w:jc w:val="center"/>
              <w:rPr>
                <w:lang w:val="en-GB"/>
              </w:rPr>
            </w:pPr>
            <w:r>
              <w:t>(1.36)</w:t>
            </w:r>
          </w:p>
        </w:tc>
        <w:tc>
          <w:tcPr>
            <w:tcW w:w="1181" w:type="dxa"/>
            <w:vAlign w:val="bottom"/>
          </w:tcPr>
          <w:p w14:paraId="102E8890" w14:textId="77777777" w:rsidR="00A86883" w:rsidRPr="00D272CC" w:rsidRDefault="00A86883" w:rsidP="00DA0E5B">
            <w:pPr>
              <w:pStyle w:val="Table"/>
              <w:jc w:val="center"/>
              <w:rPr>
                <w:lang w:val="en-GB"/>
              </w:rPr>
            </w:pPr>
          </w:p>
        </w:tc>
        <w:tc>
          <w:tcPr>
            <w:tcW w:w="1181" w:type="dxa"/>
            <w:vAlign w:val="bottom"/>
          </w:tcPr>
          <w:p w14:paraId="6439C391" w14:textId="77777777" w:rsidR="00A86883" w:rsidRPr="00D272CC" w:rsidRDefault="00A86883" w:rsidP="00DA0E5B">
            <w:pPr>
              <w:pStyle w:val="Table"/>
              <w:jc w:val="center"/>
              <w:rPr>
                <w:lang w:val="en-GB"/>
              </w:rPr>
            </w:pPr>
          </w:p>
        </w:tc>
        <w:tc>
          <w:tcPr>
            <w:tcW w:w="1181" w:type="dxa"/>
            <w:vAlign w:val="bottom"/>
          </w:tcPr>
          <w:p w14:paraId="171087EA" w14:textId="77777777" w:rsidR="00A86883" w:rsidRDefault="00A86883" w:rsidP="008B6A84">
            <w:pPr>
              <w:pStyle w:val="Table"/>
              <w:jc w:val="center"/>
            </w:pPr>
            <w:r>
              <w:t>0.307</w:t>
            </w:r>
          </w:p>
        </w:tc>
        <w:tc>
          <w:tcPr>
            <w:tcW w:w="1181" w:type="dxa"/>
            <w:vAlign w:val="bottom"/>
          </w:tcPr>
          <w:p w14:paraId="703AE79C" w14:textId="77777777" w:rsidR="00A86883" w:rsidRDefault="00A86883" w:rsidP="008B6A84">
            <w:pPr>
              <w:pStyle w:val="Table"/>
              <w:jc w:val="center"/>
            </w:pPr>
            <w:r>
              <w:t>(1.59)</w:t>
            </w:r>
          </w:p>
        </w:tc>
      </w:tr>
      <w:tr w:rsidR="00A86883" w:rsidRPr="00D272CC" w14:paraId="2A734CAD" w14:textId="77777777" w:rsidTr="00DA0E5B">
        <w:tc>
          <w:tcPr>
            <w:tcW w:w="1985" w:type="dxa"/>
          </w:tcPr>
          <w:p w14:paraId="4D453207" w14:textId="77777777" w:rsidR="00A86883" w:rsidRPr="00D272CC" w:rsidRDefault="00A86883" w:rsidP="002C4969">
            <w:pPr>
              <w:pStyle w:val="Table"/>
              <w:rPr>
                <w:szCs w:val="20"/>
                <w:lang w:val="en-GB"/>
              </w:rPr>
            </w:pPr>
            <w:r w:rsidRPr="00D272CC">
              <w:rPr>
                <w:szCs w:val="20"/>
                <w:lang w:val="en-GB"/>
              </w:rPr>
              <w:t>TOPIC9</w:t>
            </w:r>
          </w:p>
        </w:tc>
        <w:tc>
          <w:tcPr>
            <w:tcW w:w="1181" w:type="dxa"/>
            <w:vAlign w:val="bottom"/>
          </w:tcPr>
          <w:p w14:paraId="729D0A4F" w14:textId="77777777" w:rsidR="00A86883" w:rsidRPr="00D272CC" w:rsidRDefault="00A86883" w:rsidP="008B6A84">
            <w:pPr>
              <w:pStyle w:val="Table"/>
              <w:jc w:val="center"/>
              <w:rPr>
                <w:lang w:val="en-GB"/>
              </w:rPr>
            </w:pPr>
            <w:r>
              <w:t>0.212</w:t>
            </w:r>
          </w:p>
        </w:tc>
        <w:tc>
          <w:tcPr>
            <w:tcW w:w="1181" w:type="dxa"/>
            <w:vAlign w:val="bottom"/>
          </w:tcPr>
          <w:p w14:paraId="0DA17BC1" w14:textId="77777777" w:rsidR="00A86883" w:rsidRPr="00D272CC" w:rsidRDefault="00A86883" w:rsidP="008B6A84">
            <w:pPr>
              <w:pStyle w:val="Table"/>
              <w:jc w:val="center"/>
              <w:rPr>
                <w:lang w:val="en-GB"/>
              </w:rPr>
            </w:pPr>
            <w:r>
              <w:t>(1.35)</w:t>
            </w:r>
          </w:p>
        </w:tc>
        <w:tc>
          <w:tcPr>
            <w:tcW w:w="1181" w:type="dxa"/>
            <w:vAlign w:val="bottom"/>
          </w:tcPr>
          <w:p w14:paraId="071542C1" w14:textId="77777777" w:rsidR="00A86883" w:rsidRPr="00D272CC" w:rsidRDefault="00A86883" w:rsidP="00DA0E5B">
            <w:pPr>
              <w:pStyle w:val="Table"/>
              <w:jc w:val="center"/>
              <w:rPr>
                <w:lang w:val="en-GB"/>
              </w:rPr>
            </w:pPr>
          </w:p>
        </w:tc>
        <w:tc>
          <w:tcPr>
            <w:tcW w:w="1181" w:type="dxa"/>
            <w:vAlign w:val="bottom"/>
          </w:tcPr>
          <w:p w14:paraId="55AE9CF6" w14:textId="77777777" w:rsidR="00A86883" w:rsidRPr="00D272CC" w:rsidRDefault="00A86883" w:rsidP="00DA0E5B">
            <w:pPr>
              <w:pStyle w:val="Table"/>
              <w:jc w:val="center"/>
              <w:rPr>
                <w:lang w:val="en-GB"/>
              </w:rPr>
            </w:pPr>
          </w:p>
        </w:tc>
        <w:tc>
          <w:tcPr>
            <w:tcW w:w="1181" w:type="dxa"/>
            <w:vAlign w:val="bottom"/>
          </w:tcPr>
          <w:p w14:paraId="26C861B6" w14:textId="77777777" w:rsidR="00A86883" w:rsidRDefault="00A86883" w:rsidP="008B6A84">
            <w:pPr>
              <w:pStyle w:val="Table"/>
              <w:jc w:val="center"/>
            </w:pPr>
            <w:r>
              <w:t>0.275</w:t>
            </w:r>
          </w:p>
        </w:tc>
        <w:tc>
          <w:tcPr>
            <w:tcW w:w="1181" w:type="dxa"/>
            <w:vAlign w:val="bottom"/>
          </w:tcPr>
          <w:p w14:paraId="70593C82" w14:textId="77777777" w:rsidR="00A86883" w:rsidRDefault="00A86883" w:rsidP="008B6A84">
            <w:pPr>
              <w:pStyle w:val="Table"/>
              <w:jc w:val="center"/>
            </w:pPr>
            <w:r>
              <w:t>(1.62)</w:t>
            </w:r>
          </w:p>
        </w:tc>
      </w:tr>
      <w:tr w:rsidR="00A86883" w:rsidRPr="00D272CC" w14:paraId="6ECA6D43" w14:textId="77777777" w:rsidTr="00DA0E5B">
        <w:tc>
          <w:tcPr>
            <w:tcW w:w="1985" w:type="dxa"/>
          </w:tcPr>
          <w:p w14:paraId="24514FA8" w14:textId="77777777" w:rsidR="00A86883" w:rsidRPr="00D272CC" w:rsidRDefault="00A86883" w:rsidP="002C4969">
            <w:pPr>
              <w:pStyle w:val="Table"/>
              <w:rPr>
                <w:szCs w:val="20"/>
                <w:lang w:val="en-GB"/>
              </w:rPr>
            </w:pPr>
            <w:r w:rsidRPr="00D272CC">
              <w:rPr>
                <w:szCs w:val="20"/>
                <w:lang w:val="en-GB"/>
              </w:rPr>
              <w:t>TOPIC10</w:t>
            </w:r>
          </w:p>
        </w:tc>
        <w:tc>
          <w:tcPr>
            <w:tcW w:w="1181" w:type="dxa"/>
            <w:vAlign w:val="bottom"/>
          </w:tcPr>
          <w:p w14:paraId="5E69AC75" w14:textId="77777777" w:rsidR="00A86883" w:rsidRPr="00D272CC" w:rsidRDefault="00A86883" w:rsidP="008B6A84">
            <w:pPr>
              <w:pStyle w:val="Table"/>
              <w:jc w:val="center"/>
              <w:rPr>
                <w:lang w:val="en-GB"/>
              </w:rPr>
            </w:pPr>
            <w:r>
              <w:t>0.698</w:t>
            </w:r>
          </w:p>
        </w:tc>
        <w:tc>
          <w:tcPr>
            <w:tcW w:w="1181" w:type="dxa"/>
            <w:vAlign w:val="bottom"/>
          </w:tcPr>
          <w:p w14:paraId="1709E8D6" w14:textId="77777777" w:rsidR="00A86883" w:rsidRPr="00D272CC" w:rsidRDefault="00A86883" w:rsidP="008B6A84">
            <w:pPr>
              <w:pStyle w:val="Table"/>
              <w:jc w:val="center"/>
              <w:rPr>
                <w:lang w:val="en-GB"/>
              </w:rPr>
            </w:pPr>
            <w:r>
              <w:t>(3.35)***</w:t>
            </w:r>
          </w:p>
        </w:tc>
        <w:tc>
          <w:tcPr>
            <w:tcW w:w="1181" w:type="dxa"/>
            <w:vAlign w:val="bottom"/>
          </w:tcPr>
          <w:p w14:paraId="72361588" w14:textId="77777777" w:rsidR="00A86883" w:rsidRPr="00D272CC" w:rsidRDefault="00A86883" w:rsidP="00DA0E5B">
            <w:pPr>
              <w:pStyle w:val="Table"/>
              <w:jc w:val="center"/>
              <w:rPr>
                <w:lang w:val="en-GB"/>
              </w:rPr>
            </w:pPr>
          </w:p>
        </w:tc>
        <w:tc>
          <w:tcPr>
            <w:tcW w:w="1181" w:type="dxa"/>
            <w:vAlign w:val="bottom"/>
          </w:tcPr>
          <w:p w14:paraId="1FE500AA" w14:textId="77777777" w:rsidR="00A86883" w:rsidRPr="00D272CC" w:rsidRDefault="00A86883" w:rsidP="00DA0E5B">
            <w:pPr>
              <w:pStyle w:val="Table"/>
              <w:jc w:val="center"/>
              <w:rPr>
                <w:lang w:val="en-GB"/>
              </w:rPr>
            </w:pPr>
          </w:p>
        </w:tc>
        <w:tc>
          <w:tcPr>
            <w:tcW w:w="1181" w:type="dxa"/>
            <w:vAlign w:val="bottom"/>
          </w:tcPr>
          <w:p w14:paraId="2F572FC8" w14:textId="77777777" w:rsidR="00A86883" w:rsidRDefault="00A86883" w:rsidP="008B6A84">
            <w:pPr>
              <w:pStyle w:val="Table"/>
              <w:jc w:val="center"/>
            </w:pPr>
            <w:r>
              <w:t>0.702</w:t>
            </w:r>
          </w:p>
        </w:tc>
        <w:tc>
          <w:tcPr>
            <w:tcW w:w="1181" w:type="dxa"/>
            <w:vAlign w:val="bottom"/>
          </w:tcPr>
          <w:p w14:paraId="3ED0E412" w14:textId="77777777" w:rsidR="00A86883" w:rsidRDefault="00A86883" w:rsidP="008B6A84">
            <w:pPr>
              <w:pStyle w:val="Table"/>
              <w:jc w:val="center"/>
            </w:pPr>
            <w:r>
              <w:t>(3.23)***</w:t>
            </w:r>
          </w:p>
        </w:tc>
      </w:tr>
      <w:tr w:rsidR="00A86883" w:rsidRPr="00D272CC" w14:paraId="71F01EF6" w14:textId="77777777" w:rsidTr="00DA0E5B">
        <w:tc>
          <w:tcPr>
            <w:tcW w:w="1985" w:type="dxa"/>
          </w:tcPr>
          <w:p w14:paraId="66CEA4AA" w14:textId="77777777" w:rsidR="00A86883" w:rsidRPr="00D272CC" w:rsidRDefault="00A86883" w:rsidP="002C4969">
            <w:pPr>
              <w:pStyle w:val="Table"/>
              <w:rPr>
                <w:szCs w:val="20"/>
                <w:lang w:val="en-GB"/>
              </w:rPr>
            </w:pPr>
            <w:r w:rsidRPr="00D272CC">
              <w:rPr>
                <w:szCs w:val="20"/>
                <w:lang w:val="en-GB"/>
              </w:rPr>
              <w:t>TOPIC11</w:t>
            </w:r>
          </w:p>
        </w:tc>
        <w:tc>
          <w:tcPr>
            <w:tcW w:w="1181" w:type="dxa"/>
            <w:vAlign w:val="bottom"/>
          </w:tcPr>
          <w:p w14:paraId="208FFB61" w14:textId="77777777" w:rsidR="00A86883" w:rsidRPr="00D272CC" w:rsidRDefault="00A86883" w:rsidP="008B6A84">
            <w:pPr>
              <w:pStyle w:val="Table"/>
              <w:jc w:val="center"/>
              <w:rPr>
                <w:lang w:val="en-GB"/>
              </w:rPr>
            </w:pPr>
            <w:r>
              <w:t>0.686</w:t>
            </w:r>
          </w:p>
        </w:tc>
        <w:tc>
          <w:tcPr>
            <w:tcW w:w="1181" w:type="dxa"/>
            <w:vAlign w:val="bottom"/>
          </w:tcPr>
          <w:p w14:paraId="4EAB881C" w14:textId="77777777" w:rsidR="00A86883" w:rsidRPr="00D272CC" w:rsidRDefault="00A86883" w:rsidP="008B6A84">
            <w:pPr>
              <w:pStyle w:val="Table"/>
              <w:jc w:val="center"/>
              <w:rPr>
                <w:lang w:val="en-GB"/>
              </w:rPr>
            </w:pPr>
            <w:r>
              <w:t>(2.76)***</w:t>
            </w:r>
          </w:p>
        </w:tc>
        <w:tc>
          <w:tcPr>
            <w:tcW w:w="1181" w:type="dxa"/>
            <w:vAlign w:val="bottom"/>
          </w:tcPr>
          <w:p w14:paraId="25918C24" w14:textId="77777777" w:rsidR="00A86883" w:rsidRPr="00D272CC" w:rsidRDefault="00A86883" w:rsidP="00DA0E5B">
            <w:pPr>
              <w:pStyle w:val="Table"/>
              <w:jc w:val="center"/>
              <w:rPr>
                <w:lang w:val="en-GB"/>
              </w:rPr>
            </w:pPr>
          </w:p>
        </w:tc>
        <w:tc>
          <w:tcPr>
            <w:tcW w:w="1181" w:type="dxa"/>
            <w:vAlign w:val="bottom"/>
          </w:tcPr>
          <w:p w14:paraId="5BB9FF1E" w14:textId="77777777" w:rsidR="00A86883" w:rsidRPr="00D272CC" w:rsidRDefault="00A86883" w:rsidP="00DA0E5B">
            <w:pPr>
              <w:pStyle w:val="Table"/>
              <w:jc w:val="center"/>
              <w:rPr>
                <w:lang w:val="en-GB"/>
              </w:rPr>
            </w:pPr>
          </w:p>
        </w:tc>
        <w:tc>
          <w:tcPr>
            <w:tcW w:w="1181" w:type="dxa"/>
            <w:vAlign w:val="bottom"/>
          </w:tcPr>
          <w:p w14:paraId="097D0B07" w14:textId="77777777" w:rsidR="00A86883" w:rsidRDefault="00A86883" w:rsidP="008B6A84">
            <w:pPr>
              <w:pStyle w:val="Table"/>
              <w:jc w:val="center"/>
            </w:pPr>
            <w:r>
              <w:t>0.726</w:t>
            </w:r>
          </w:p>
        </w:tc>
        <w:tc>
          <w:tcPr>
            <w:tcW w:w="1181" w:type="dxa"/>
            <w:vAlign w:val="bottom"/>
          </w:tcPr>
          <w:p w14:paraId="1D1CB8F4" w14:textId="77777777" w:rsidR="00A86883" w:rsidRDefault="00A86883" w:rsidP="008B6A84">
            <w:pPr>
              <w:pStyle w:val="Table"/>
              <w:jc w:val="center"/>
            </w:pPr>
            <w:r>
              <w:t>(3.05)***</w:t>
            </w:r>
          </w:p>
        </w:tc>
      </w:tr>
      <w:tr w:rsidR="00A86883" w:rsidRPr="00D272CC" w14:paraId="413F8E59" w14:textId="77777777" w:rsidTr="00DA0E5B">
        <w:tc>
          <w:tcPr>
            <w:tcW w:w="1985" w:type="dxa"/>
          </w:tcPr>
          <w:p w14:paraId="23E0B7A8" w14:textId="77777777" w:rsidR="00A86883" w:rsidRPr="00D272CC" w:rsidRDefault="00A86883" w:rsidP="002C4969">
            <w:pPr>
              <w:pStyle w:val="Table"/>
              <w:rPr>
                <w:szCs w:val="20"/>
                <w:lang w:val="en-GB"/>
              </w:rPr>
            </w:pPr>
            <w:r w:rsidRPr="00D272CC">
              <w:rPr>
                <w:szCs w:val="20"/>
                <w:lang w:val="en-GB"/>
              </w:rPr>
              <w:t>TOPIC12</w:t>
            </w:r>
          </w:p>
        </w:tc>
        <w:tc>
          <w:tcPr>
            <w:tcW w:w="1181" w:type="dxa"/>
            <w:vAlign w:val="bottom"/>
          </w:tcPr>
          <w:p w14:paraId="7EF27E45" w14:textId="77777777" w:rsidR="00A86883" w:rsidRPr="00D272CC" w:rsidRDefault="00A86883" w:rsidP="008B6A84">
            <w:pPr>
              <w:pStyle w:val="Table"/>
              <w:jc w:val="center"/>
              <w:rPr>
                <w:lang w:val="en-GB"/>
              </w:rPr>
            </w:pPr>
            <w:r>
              <w:t>-0.042</w:t>
            </w:r>
          </w:p>
        </w:tc>
        <w:tc>
          <w:tcPr>
            <w:tcW w:w="1181" w:type="dxa"/>
            <w:vAlign w:val="bottom"/>
          </w:tcPr>
          <w:p w14:paraId="37E31FE4" w14:textId="77777777" w:rsidR="00A86883" w:rsidRPr="00D272CC" w:rsidRDefault="00A86883" w:rsidP="008B6A84">
            <w:pPr>
              <w:pStyle w:val="Table"/>
              <w:jc w:val="center"/>
              <w:rPr>
                <w:lang w:val="en-GB"/>
              </w:rPr>
            </w:pPr>
            <w:r>
              <w:t>(-0.55)</w:t>
            </w:r>
          </w:p>
        </w:tc>
        <w:tc>
          <w:tcPr>
            <w:tcW w:w="1181" w:type="dxa"/>
            <w:vAlign w:val="bottom"/>
          </w:tcPr>
          <w:p w14:paraId="1F4B4D5D" w14:textId="77777777" w:rsidR="00A86883" w:rsidRPr="00D272CC" w:rsidRDefault="00A86883" w:rsidP="00DA0E5B">
            <w:pPr>
              <w:pStyle w:val="Table"/>
              <w:jc w:val="center"/>
              <w:rPr>
                <w:lang w:val="en-GB"/>
              </w:rPr>
            </w:pPr>
          </w:p>
        </w:tc>
        <w:tc>
          <w:tcPr>
            <w:tcW w:w="1181" w:type="dxa"/>
            <w:vAlign w:val="bottom"/>
          </w:tcPr>
          <w:p w14:paraId="26E3B2F7" w14:textId="77777777" w:rsidR="00A86883" w:rsidRPr="00D272CC" w:rsidRDefault="00A86883" w:rsidP="00DA0E5B">
            <w:pPr>
              <w:pStyle w:val="Table"/>
              <w:jc w:val="center"/>
              <w:rPr>
                <w:lang w:val="en-GB"/>
              </w:rPr>
            </w:pPr>
          </w:p>
        </w:tc>
        <w:tc>
          <w:tcPr>
            <w:tcW w:w="1181" w:type="dxa"/>
            <w:vAlign w:val="bottom"/>
          </w:tcPr>
          <w:p w14:paraId="085580D4" w14:textId="77777777" w:rsidR="00A86883" w:rsidRDefault="00A86883" w:rsidP="008B6A84">
            <w:pPr>
              <w:pStyle w:val="Table"/>
              <w:jc w:val="center"/>
            </w:pPr>
            <w:r>
              <w:t>-0.047</w:t>
            </w:r>
          </w:p>
        </w:tc>
        <w:tc>
          <w:tcPr>
            <w:tcW w:w="1181" w:type="dxa"/>
            <w:vAlign w:val="bottom"/>
          </w:tcPr>
          <w:p w14:paraId="533C0959" w14:textId="77777777" w:rsidR="00A86883" w:rsidRDefault="00A86883" w:rsidP="008B6A84">
            <w:pPr>
              <w:pStyle w:val="Table"/>
              <w:jc w:val="center"/>
            </w:pPr>
            <w:r>
              <w:t>(-0.60)</w:t>
            </w:r>
          </w:p>
        </w:tc>
      </w:tr>
      <w:tr w:rsidR="00A86883" w:rsidRPr="00D272CC" w14:paraId="689704F2" w14:textId="77777777" w:rsidTr="00DA0E5B">
        <w:tc>
          <w:tcPr>
            <w:tcW w:w="1985" w:type="dxa"/>
          </w:tcPr>
          <w:p w14:paraId="3E44BF34" w14:textId="77777777" w:rsidR="00A86883" w:rsidRPr="00D272CC" w:rsidRDefault="00A86883" w:rsidP="002C4969">
            <w:pPr>
              <w:pStyle w:val="Table"/>
              <w:rPr>
                <w:szCs w:val="20"/>
                <w:lang w:val="en-GB"/>
              </w:rPr>
            </w:pPr>
            <w:r w:rsidRPr="00D272CC">
              <w:rPr>
                <w:szCs w:val="20"/>
                <w:lang w:val="en-GB"/>
              </w:rPr>
              <w:t>TOPIC13</w:t>
            </w:r>
          </w:p>
        </w:tc>
        <w:tc>
          <w:tcPr>
            <w:tcW w:w="1181" w:type="dxa"/>
            <w:vAlign w:val="bottom"/>
          </w:tcPr>
          <w:p w14:paraId="6E6803AE" w14:textId="77777777" w:rsidR="00A86883" w:rsidRPr="00D272CC" w:rsidRDefault="00A86883" w:rsidP="008B6A84">
            <w:pPr>
              <w:pStyle w:val="Table"/>
              <w:jc w:val="center"/>
              <w:rPr>
                <w:lang w:val="en-GB"/>
              </w:rPr>
            </w:pPr>
            <w:r>
              <w:t>0.083</w:t>
            </w:r>
          </w:p>
        </w:tc>
        <w:tc>
          <w:tcPr>
            <w:tcW w:w="1181" w:type="dxa"/>
            <w:vAlign w:val="bottom"/>
          </w:tcPr>
          <w:p w14:paraId="27622997" w14:textId="77777777" w:rsidR="00A86883" w:rsidRPr="00D272CC" w:rsidRDefault="00A86883" w:rsidP="008B6A84">
            <w:pPr>
              <w:pStyle w:val="Table"/>
              <w:jc w:val="center"/>
              <w:rPr>
                <w:lang w:val="en-GB"/>
              </w:rPr>
            </w:pPr>
            <w:r>
              <w:t>(0.60)</w:t>
            </w:r>
          </w:p>
        </w:tc>
        <w:tc>
          <w:tcPr>
            <w:tcW w:w="1181" w:type="dxa"/>
            <w:vAlign w:val="bottom"/>
          </w:tcPr>
          <w:p w14:paraId="7BE25799" w14:textId="77777777" w:rsidR="00A86883" w:rsidRPr="00D272CC" w:rsidRDefault="00A86883" w:rsidP="00DA0E5B">
            <w:pPr>
              <w:pStyle w:val="Table"/>
              <w:jc w:val="center"/>
              <w:rPr>
                <w:lang w:val="en-GB"/>
              </w:rPr>
            </w:pPr>
          </w:p>
        </w:tc>
        <w:tc>
          <w:tcPr>
            <w:tcW w:w="1181" w:type="dxa"/>
            <w:vAlign w:val="bottom"/>
          </w:tcPr>
          <w:p w14:paraId="35478F4E" w14:textId="77777777" w:rsidR="00A86883" w:rsidRPr="00D272CC" w:rsidRDefault="00A86883" w:rsidP="00DA0E5B">
            <w:pPr>
              <w:pStyle w:val="Table"/>
              <w:jc w:val="center"/>
              <w:rPr>
                <w:lang w:val="en-GB"/>
              </w:rPr>
            </w:pPr>
          </w:p>
        </w:tc>
        <w:tc>
          <w:tcPr>
            <w:tcW w:w="1181" w:type="dxa"/>
            <w:vAlign w:val="bottom"/>
          </w:tcPr>
          <w:p w14:paraId="15516D98" w14:textId="77777777" w:rsidR="00A86883" w:rsidRDefault="00A86883" w:rsidP="008B6A84">
            <w:pPr>
              <w:pStyle w:val="Table"/>
              <w:jc w:val="center"/>
            </w:pPr>
            <w:r>
              <w:t>0.084</w:t>
            </w:r>
          </w:p>
        </w:tc>
        <w:tc>
          <w:tcPr>
            <w:tcW w:w="1181" w:type="dxa"/>
            <w:vAlign w:val="bottom"/>
          </w:tcPr>
          <w:p w14:paraId="6FE613EB" w14:textId="77777777" w:rsidR="00A86883" w:rsidRDefault="00A86883" w:rsidP="008B6A84">
            <w:pPr>
              <w:pStyle w:val="Table"/>
              <w:jc w:val="center"/>
            </w:pPr>
            <w:r>
              <w:t>(0.63)</w:t>
            </w:r>
          </w:p>
        </w:tc>
      </w:tr>
      <w:tr w:rsidR="00A86883" w:rsidRPr="00D272CC" w14:paraId="63F0B4F0" w14:textId="77777777" w:rsidTr="00DA0E5B">
        <w:tc>
          <w:tcPr>
            <w:tcW w:w="1985" w:type="dxa"/>
          </w:tcPr>
          <w:p w14:paraId="04A5AB62" w14:textId="77777777" w:rsidR="00A86883" w:rsidRPr="00D272CC" w:rsidRDefault="00A86883" w:rsidP="002C4969">
            <w:pPr>
              <w:pStyle w:val="Table"/>
              <w:rPr>
                <w:szCs w:val="20"/>
                <w:lang w:val="en-GB"/>
              </w:rPr>
            </w:pPr>
            <w:r w:rsidRPr="00D272CC">
              <w:rPr>
                <w:szCs w:val="20"/>
                <w:lang w:val="en-GB"/>
              </w:rPr>
              <w:t>TOPIC14</w:t>
            </w:r>
          </w:p>
        </w:tc>
        <w:tc>
          <w:tcPr>
            <w:tcW w:w="1181" w:type="dxa"/>
            <w:vAlign w:val="bottom"/>
          </w:tcPr>
          <w:p w14:paraId="62AC7E8E" w14:textId="77777777" w:rsidR="00A86883" w:rsidRPr="00D272CC" w:rsidRDefault="00A86883" w:rsidP="008B6A84">
            <w:pPr>
              <w:pStyle w:val="Table"/>
              <w:jc w:val="center"/>
              <w:rPr>
                <w:lang w:val="en-GB"/>
              </w:rPr>
            </w:pPr>
            <w:r>
              <w:t>0.095</w:t>
            </w:r>
          </w:p>
        </w:tc>
        <w:tc>
          <w:tcPr>
            <w:tcW w:w="1181" w:type="dxa"/>
            <w:vAlign w:val="bottom"/>
          </w:tcPr>
          <w:p w14:paraId="0E7FF105" w14:textId="77777777" w:rsidR="00A86883" w:rsidRPr="00D272CC" w:rsidRDefault="00A86883" w:rsidP="008B6A84">
            <w:pPr>
              <w:pStyle w:val="Table"/>
              <w:jc w:val="center"/>
              <w:rPr>
                <w:lang w:val="en-GB"/>
              </w:rPr>
            </w:pPr>
            <w:r>
              <w:t>(0.81)</w:t>
            </w:r>
          </w:p>
        </w:tc>
        <w:tc>
          <w:tcPr>
            <w:tcW w:w="1181" w:type="dxa"/>
            <w:vAlign w:val="bottom"/>
          </w:tcPr>
          <w:p w14:paraId="5D4E01B7" w14:textId="77777777" w:rsidR="00A86883" w:rsidRPr="00D272CC" w:rsidRDefault="00A86883" w:rsidP="00DA0E5B">
            <w:pPr>
              <w:pStyle w:val="Table"/>
              <w:jc w:val="center"/>
              <w:rPr>
                <w:lang w:val="en-GB"/>
              </w:rPr>
            </w:pPr>
          </w:p>
        </w:tc>
        <w:tc>
          <w:tcPr>
            <w:tcW w:w="1181" w:type="dxa"/>
            <w:vAlign w:val="bottom"/>
          </w:tcPr>
          <w:p w14:paraId="14A4AC77" w14:textId="77777777" w:rsidR="00A86883" w:rsidRPr="00D272CC" w:rsidRDefault="00A86883" w:rsidP="00DA0E5B">
            <w:pPr>
              <w:pStyle w:val="Table"/>
              <w:jc w:val="center"/>
              <w:rPr>
                <w:lang w:val="en-GB"/>
              </w:rPr>
            </w:pPr>
          </w:p>
        </w:tc>
        <w:tc>
          <w:tcPr>
            <w:tcW w:w="1181" w:type="dxa"/>
            <w:vAlign w:val="bottom"/>
          </w:tcPr>
          <w:p w14:paraId="0C7902B0" w14:textId="77777777" w:rsidR="00A86883" w:rsidRDefault="00A86883" w:rsidP="008B6A84">
            <w:pPr>
              <w:pStyle w:val="Table"/>
              <w:jc w:val="center"/>
            </w:pPr>
            <w:r>
              <w:t>0.092</w:t>
            </w:r>
          </w:p>
        </w:tc>
        <w:tc>
          <w:tcPr>
            <w:tcW w:w="1181" w:type="dxa"/>
            <w:vAlign w:val="bottom"/>
          </w:tcPr>
          <w:p w14:paraId="1968C8EC" w14:textId="77777777" w:rsidR="00A86883" w:rsidRDefault="00A86883" w:rsidP="008B6A84">
            <w:pPr>
              <w:pStyle w:val="Table"/>
              <w:jc w:val="center"/>
            </w:pPr>
            <w:r>
              <w:t>(0.78)</w:t>
            </w:r>
          </w:p>
        </w:tc>
      </w:tr>
      <w:tr w:rsidR="00A86883" w:rsidRPr="00D272CC" w14:paraId="65CBA4E8" w14:textId="77777777" w:rsidTr="00DA0E5B">
        <w:tc>
          <w:tcPr>
            <w:tcW w:w="1985" w:type="dxa"/>
          </w:tcPr>
          <w:p w14:paraId="245A45AA" w14:textId="77777777" w:rsidR="00A86883" w:rsidRPr="00D272CC" w:rsidRDefault="00A86883" w:rsidP="002C4969">
            <w:pPr>
              <w:pStyle w:val="Table"/>
              <w:rPr>
                <w:szCs w:val="20"/>
                <w:lang w:val="en-GB"/>
              </w:rPr>
            </w:pPr>
            <w:r w:rsidRPr="00D272CC">
              <w:rPr>
                <w:szCs w:val="20"/>
                <w:lang w:val="en-GB"/>
              </w:rPr>
              <w:t>TOPIC15</w:t>
            </w:r>
          </w:p>
        </w:tc>
        <w:tc>
          <w:tcPr>
            <w:tcW w:w="1181" w:type="dxa"/>
            <w:vAlign w:val="bottom"/>
          </w:tcPr>
          <w:p w14:paraId="362F4281" w14:textId="77777777" w:rsidR="00A86883" w:rsidRPr="00D272CC" w:rsidRDefault="00A86883" w:rsidP="008B6A84">
            <w:pPr>
              <w:pStyle w:val="Table"/>
              <w:jc w:val="center"/>
              <w:rPr>
                <w:lang w:val="en-GB"/>
              </w:rPr>
            </w:pPr>
            <w:r>
              <w:t>0.686</w:t>
            </w:r>
          </w:p>
        </w:tc>
        <w:tc>
          <w:tcPr>
            <w:tcW w:w="1181" w:type="dxa"/>
            <w:vAlign w:val="bottom"/>
          </w:tcPr>
          <w:p w14:paraId="4E172E19" w14:textId="77777777" w:rsidR="00A86883" w:rsidRPr="00D272CC" w:rsidRDefault="00A86883" w:rsidP="008B6A84">
            <w:pPr>
              <w:pStyle w:val="Table"/>
              <w:jc w:val="center"/>
              <w:rPr>
                <w:lang w:val="en-GB"/>
              </w:rPr>
            </w:pPr>
            <w:r>
              <w:t>(5.74)***</w:t>
            </w:r>
          </w:p>
        </w:tc>
        <w:tc>
          <w:tcPr>
            <w:tcW w:w="1181" w:type="dxa"/>
            <w:vAlign w:val="bottom"/>
          </w:tcPr>
          <w:p w14:paraId="6A5049C0" w14:textId="77777777" w:rsidR="00A86883" w:rsidRPr="00D272CC" w:rsidRDefault="00A86883" w:rsidP="00DA0E5B">
            <w:pPr>
              <w:pStyle w:val="Table"/>
              <w:jc w:val="center"/>
              <w:rPr>
                <w:lang w:val="en-GB"/>
              </w:rPr>
            </w:pPr>
          </w:p>
        </w:tc>
        <w:tc>
          <w:tcPr>
            <w:tcW w:w="1181" w:type="dxa"/>
            <w:vAlign w:val="bottom"/>
          </w:tcPr>
          <w:p w14:paraId="252A2E55" w14:textId="77777777" w:rsidR="00A86883" w:rsidRPr="00D272CC" w:rsidRDefault="00A86883" w:rsidP="00DA0E5B">
            <w:pPr>
              <w:pStyle w:val="Table"/>
              <w:jc w:val="center"/>
              <w:rPr>
                <w:lang w:val="en-GB"/>
              </w:rPr>
            </w:pPr>
          </w:p>
        </w:tc>
        <w:tc>
          <w:tcPr>
            <w:tcW w:w="1181" w:type="dxa"/>
            <w:vAlign w:val="bottom"/>
          </w:tcPr>
          <w:p w14:paraId="5E4035B7" w14:textId="77777777" w:rsidR="00A86883" w:rsidRDefault="00A86883" w:rsidP="008B6A84">
            <w:pPr>
              <w:pStyle w:val="Table"/>
              <w:jc w:val="center"/>
            </w:pPr>
            <w:r>
              <w:t>0.681</w:t>
            </w:r>
          </w:p>
        </w:tc>
        <w:tc>
          <w:tcPr>
            <w:tcW w:w="1181" w:type="dxa"/>
            <w:vAlign w:val="bottom"/>
          </w:tcPr>
          <w:p w14:paraId="60598838" w14:textId="77777777" w:rsidR="00A86883" w:rsidRDefault="00A86883" w:rsidP="008B6A84">
            <w:pPr>
              <w:pStyle w:val="Table"/>
              <w:jc w:val="center"/>
            </w:pPr>
            <w:r>
              <w:t>(6.06)***</w:t>
            </w:r>
          </w:p>
        </w:tc>
      </w:tr>
      <w:tr w:rsidR="00A86883" w:rsidRPr="00D272CC" w14:paraId="22A99497" w14:textId="77777777" w:rsidTr="00DA0E5B">
        <w:tc>
          <w:tcPr>
            <w:tcW w:w="1985" w:type="dxa"/>
          </w:tcPr>
          <w:p w14:paraId="50824CF2" w14:textId="77777777" w:rsidR="00A86883" w:rsidRPr="00D272CC" w:rsidRDefault="00A86883" w:rsidP="002C4969">
            <w:pPr>
              <w:pStyle w:val="Table"/>
              <w:rPr>
                <w:szCs w:val="20"/>
                <w:lang w:val="en-GB"/>
              </w:rPr>
            </w:pPr>
            <w:r w:rsidRPr="00D272CC">
              <w:rPr>
                <w:szCs w:val="20"/>
                <w:lang w:val="en-GB"/>
              </w:rPr>
              <w:t>TOPIC16</w:t>
            </w:r>
          </w:p>
        </w:tc>
        <w:tc>
          <w:tcPr>
            <w:tcW w:w="1181" w:type="dxa"/>
            <w:vAlign w:val="bottom"/>
          </w:tcPr>
          <w:p w14:paraId="31CEB2A3" w14:textId="77777777" w:rsidR="00A86883" w:rsidRPr="00D272CC" w:rsidRDefault="00A86883" w:rsidP="008B6A84">
            <w:pPr>
              <w:pStyle w:val="Table"/>
              <w:jc w:val="center"/>
              <w:rPr>
                <w:lang w:val="en-GB"/>
              </w:rPr>
            </w:pPr>
            <w:r>
              <w:t>0.762</w:t>
            </w:r>
          </w:p>
        </w:tc>
        <w:tc>
          <w:tcPr>
            <w:tcW w:w="1181" w:type="dxa"/>
            <w:vAlign w:val="bottom"/>
          </w:tcPr>
          <w:p w14:paraId="61A7DF12" w14:textId="77777777" w:rsidR="00A86883" w:rsidRPr="00D272CC" w:rsidRDefault="00A86883" w:rsidP="008B6A84">
            <w:pPr>
              <w:pStyle w:val="Table"/>
              <w:jc w:val="center"/>
              <w:rPr>
                <w:lang w:val="en-GB"/>
              </w:rPr>
            </w:pPr>
            <w:r>
              <w:t>(7.60)***</w:t>
            </w:r>
          </w:p>
        </w:tc>
        <w:tc>
          <w:tcPr>
            <w:tcW w:w="1181" w:type="dxa"/>
            <w:vAlign w:val="bottom"/>
          </w:tcPr>
          <w:p w14:paraId="002596CD" w14:textId="77777777" w:rsidR="00A86883" w:rsidRPr="00D272CC" w:rsidRDefault="00A86883" w:rsidP="00DA0E5B">
            <w:pPr>
              <w:pStyle w:val="Table"/>
              <w:jc w:val="center"/>
              <w:rPr>
                <w:lang w:val="en-GB"/>
              </w:rPr>
            </w:pPr>
          </w:p>
        </w:tc>
        <w:tc>
          <w:tcPr>
            <w:tcW w:w="1181" w:type="dxa"/>
            <w:vAlign w:val="bottom"/>
          </w:tcPr>
          <w:p w14:paraId="3D16E11B" w14:textId="77777777" w:rsidR="00A86883" w:rsidRPr="00D272CC" w:rsidRDefault="00A86883" w:rsidP="00DA0E5B">
            <w:pPr>
              <w:pStyle w:val="Table"/>
              <w:jc w:val="center"/>
              <w:rPr>
                <w:lang w:val="en-GB"/>
              </w:rPr>
            </w:pPr>
          </w:p>
        </w:tc>
        <w:tc>
          <w:tcPr>
            <w:tcW w:w="1181" w:type="dxa"/>
            <w:vAlign w:val="bottom"/>
          </w:tcPr>
          <w:p w14:paraId="31C6B036" w14:textId="77777777" w:rsidR="00A86883" w:rsidRDefault="00A86883" w:rsidP="008B6A84">
            <w:pPr>
              <w:pStyle w:val="Table"/>
              <w:jc w:val="center"/>
            </w:pPr>
            <w:r>
              <w:t>0.779</w:t>
            </w:r>
          </w:p>
        </w:tc>
        <w:tc>
          <w:tcPr>
            <w:tcW w:w="1181" w:type="dxa"/>
            <w:vAlign w:val="bottom"/>
          </w:tcPr>
          <w:p w14:paraId="2E62E2F5" w14:textId="77777777" w:rsidR="00A86883" w:rsidRDefault="00A86883" w:rsidP="008B6A84">
            <w:pPr>
              <w:pStyle w:val="Table"/>
              <w:jc w:val="center"/>
            </w:pPr>
            <w:r>
              <w:t>(8.41)***</w:t>
            </w:r>
          </w:p>
        </w:tc>
      </w:tr>
      <w:tr w:rsidR="00A86883" w:rsidRPr="00D272CC" w14:paraId="2C36DC51" w14:textId="77777777" w:rsidTr="00DA0E5B">
        <w:tc>
          <w:tcPr>
            <w:tcW w:w="1985" w:type="dxa"/>
          </w:tcPr>
          <w:p w14:paraId="5EB6388C" w14:textId="77777777" w:rsidR="00A86883" w:rsidRPr="00D272CC" w:rsidRDefault="00A86883" w:rsidP="002C4969">
            <w:pPr>
              <w:pStyle w:val="Table"/>
              <w:rPr>
                <w:szCs w:val="20"/>
                <w:lang w:val="en-GB"/>
              </w:rPr>
            </w:pPr>
            <w:r w:rsidRPr="00D272CC">
              <w:rPr>
                <w:szCs w:val="20"/>
                <w:lang w:val="en-GB"/>
              </w:rPr>
              <w:t>MEASUREMENT</w:t>
            </w:r>
          </w:p>
        </w:tc>
        <w:tc>
          <w:tcPr>
            <w:tcW w:w="1181" w:type="dxa"/>
            <w:vAlign w:val="bottom"/>
          </w:tcPr>
          <w:p w14:paraId="0FA44EF2" w14:textId="77777777" w:rsidR="00A86883" w:rsidRPr="00D272CC" w:rsidRDefault="00A86883" w:rsidP="008B6A84">
            <w:pPr>
              <w:pStyle w:val="Table"/>
              <w:jc w:val="center"/>
              <w:rPr>
                <w:lang w:val="en-GB"/>
              </w:rPr>
            </w:pPr>
          </w:p>
        </w:tc>
        <w:tc>
          <w:tcPr>
            <w:tcW w:w="1181" w:type="dxa"/>
            <w:vAlign w:val="bottom"/>
          </w:tcPr>
          <w:p w14:paraId="2D754599" w14:textId="77777777" w:rsidR="00A86883" w:rsidRPr="00D272CC" w:rsidRDefault="00A86883" w:rsidP="008B6A84">
            <w:pPr>
              <w:pStyle w:val="Table"/>
              <w:jc w:val="center"/>
              <w:rPr>
                <w:lang w:val="en-GB"/>
              </w:rPr>
            </w:pPr>
          </w:p>
        </w:tc>
        <w:tc>
          <w:tcPr>
            <w:tcW w:w="1181" w:type="dxa"/>
            <w:vAlign w:val="bottom"/>
          </w:tcPr>
          <w:p w14:paraId="06FBD474" w14:textId="77777777" w:rsidR="00A86883" w:rsidRPr="00D272CC" w:rsidRDefault="00A86883" w:rsidP="00DA0E5B">
            <w:pPr>
              <w:pStyle w:val="Table"/>
              <w:jc w:val="center"/>
              <w:rPr>
                <w:lang w:val="en-GB"/>
              </w:rPr>
            </w:pPr>
            <w:r>
              <w:t>0.098</w:t>
            </w:r>
          </w:p>
        </w:tc>
        <w:tc>
          <w:tcPr>
            <w:tcW w:w="1181" w:type="dxa"/>
            <w:vAlign w:val="bottom"/>
          </w:tcPr>
          <w:p w14:paraId="06121FC4" w14:textId="77777777" w:rsidR="00A86883" w:rsidRPr="00D272CC" w:rsidRDefault="00A86883" w:rsidP="00DA0E5B">
            <w:pPr>
              <w:pStyle w:val="Table"/>
              <w:jc w:val="center"/>
              <w:rPr>
                <w:lang w:val="en-GB"/>
              </w:rPr>
            </w:pPr>
            <w:r>
              <w:t>(2.09)**</w:t>
            </w:r>
          </w:p>
        </w:tc>
        <w:tc>
          <w:tcPr>
            <w:tcW w:w="1181" w:type="dxa"/>
            <w:vAlign w:val="bottom"/>
          </w:tcPr>
          <w:p w14:paraId="00594978" w14:textId="77777777" w:rsidR="00A86883" w:rsidRPr="00D272CC" w:rsidRDefault="00A86883" w:rsidP="008B6A84">
            <w:pPr>
              <w:pStyle w:val="Table"/>
              <w:jc w:val="center"/>
              <w:rPr>
                <w:lang w:val="en-GB"/>
              </w:rPr>
            </w:pPr>
          </w:p>
        </w:tc>
        <w:tc>
          <w:tcPr>
            <w:tcW w:w="1181" w:type="dxa"/>
            <w:vAlign w:val="bottom"/>
          </w:tcPr>
          <w:p w14:paraId="7C643AF6" w14:textId="77777777" w:rsidR="00A86883" w:rsidRPr="00D272CC" w:rsidRDefault="00A86883" w:rsidP="008B6A84">
            <w:pPr>
              <w:pStyle w:val="Table"/>
              <w:jc w:val="center"/>
              <w:rPr>
                <w:lang w:val="en-GB"/>
              </w:rPr>
            </w:pPr>
          </w:p>
        </w:tc>
      </w:tr>
      <w:tr w:rsidR="00A86883" w:rsidRPr="00D272CC" w14:paraId="5D978D76" w14:textId="77777777" w:rsidTr="00DA0E5B">
        <w:tc>
          <w:tcPr>
            <w:tcW w:w="1985" w:type="dxa"/>
          </w:tcPr>
          <w:p w14:paraId="4FAED555" w14:textId="1459984D" w:rsidR="00A86883" w:rsidRPr="00D272CC" w:rsidRDefault="00A86883" w:rsidP="002C4969">
            <w:pPr>
              <w:pStyle w:val="Table"/>
              <w:rPr>
                <w:szCs w:val="20"/>
                <w:lang w:val="en-GB"/>
              </w:rPr>
            </w:pPr>
            <w:r w:rsidRPr="00D272CC">
              <w:rPr>
                <w:szCs w:val="20"/>
                <w:lang w:val="en-GB"/>
              </w:rPr>
              <w:t>NOT</w:t>
            </w:r>
            <w:r w:rsidR="00C71A30">
              <w:rPr>
                <w:lang w:val="en-GB"/>
              </w:rPr>
              <w:t>2OPTIONS</w:t>
            </w:r>
          </w:p>
        </w:tc>
        <w:tc>
          <w:tcPr>
            <w:tcW w:w="1181" w:type="dxa"/>
            <w:vAlign w:val="bottom"/>
          </w:tcPr>
          <w:p w14:paraId="013B09C8" w14:textId="77777777" w:rsidR="00A86883" w:rsidRPr="00D272CC" w:rsidRDefault="00A86883" w:rsidP="008B6A84">
            <w:pPr>
              <w:pStyle w:val="Table"/>
              <w:jc w:val="center"/>
              <w:rPr>
                <w:lang w:val="en-GB"/>
              </w:rPr>
            </w:pPr>
          </w:p>
        </w:tc>
        <w:tc>
          <w:tcPr>
            <w:tcW w:w="1181" w:type="dxa"/>
            <w:vAlign w:val="bottom"/>
          </w:tcPr>
          <w:p w14:paraId="50F2E059" w14:textId="77777777" w:rsidR="00A86883" w:rsidRPr="00D272CC" w:rsidRDefault="00A86883" w:rsidP="008B6A84">
            <w:pPr>
              <w:pStyle w:val="Table"/>
              <w:jc w:val="center"/>
              <w:rPr>
                <w:lang w:val="en-GB"/>
              </w:rPr>
            </w:pPr>
          </w:p>
        </w:tc>
        <w:tc>
          <w:tcPr>
            <w:tcW w:w="1181" w:type="dxa"/>
            <w:vAlign w:val="bottom"/>
          </w:tcPr>
          <w:p w14:paraId="109593FF" w14:textId="77777777" w:rsidR="00A86883" w:rsidRPr="00D272CC" w:rsidRDefault="00A86883" w:rsidP="00DA0E5B">
            <w:pPr>
              <w:pStyle w:val="Table"/>
              <w:jc w:val="center"/>
              <w:rPr>
                <w:lang w:val="en-GB"/>
              </w:rPr>
            </w:pPr>
            <w:r>
              <w:t>0.248</w:t>
            </w:r>
          </w:p>
        </w:tc>
        <w:tc>
          <w:tcPr>
            <w:tcW w:w="1181" w:type="dxa"/>
            <w:vAlign w:val="bottom"/>
          </w:tcPr>
          <w:p w14:paraId="555B5E86" w14:textId="77777777" w:rsidR="00A86883" w:rsidRPr="00D272CC" w:rsidRDefault="00A86883" w:rsidP="00DA0E5B">
            <w:pPr>
              <w:pStyle w:val="Table"/>
              <w:jc w:val="center"/>
              <w:rPr>
                <w:lang w:val="en-GB"/>
              </w:rPr>
            </w:pPr>
            <w:r>
              <w:t>(7.22)***</w:t>
            </w:r>
          </w:p>
        </w:tc>
        <w:tc>
          <w:tcPr>
            <w:tcW w:w="1181" w:type="dxa"/>
            <w:vAlign w:val="bottom"/>
          </w:tcPr>
          <w:p w14:paraId="2D46200F" w14:textId="77777777" w:rsidR="00A86883" w:rsidRPr="00D272CC" w:rsidRDefault="00A86883" w:rsidP="008B6A84">
            <w:pPr>
              <w:pStyle w:val="Table"/>
              <w:jc w:val="center"/>
              <w:rPr>
                <w:lang w:val="en-GB"/>
              </w:rPr>
            </w:pPr>
          </w:p>
        </w:tc>
        <w:tc>
          <w:tcPr>
            <w:tcW w:w="1181" w:type="dxa"/>
            <w:vAlign w:val="bottom"/>
          </w:tcPr>
          <w:p w14:paraId="7648B012" w14:textId="77777777" w:rsidR="00A86883" w:rsidRPr="00D272CC" w:rsidRDefault="00A86883" w:rsidP="008B6A84">
            <w:pPr>
              <w:pStyle w:val="Table"/>
              <w:jc w:val="center"/>
              <w:rPr>
                <w:lang w:val="en-GB"/>
              </w:rPr>
            </w:pPr>
          </w:p>
        </w:tc>
      </w:tr>
      <w:tr w:rsidR="00A86883" w:rsidRPr="00D272CC" w14:paraId="15CCEC00" w14:textId="77777777" w:rsidTr="00DA0E5B">
        <w:tc>
          <w:tcPr>
            <w:tcW w:w="1985" w:type="dxa"/>
          </w:tcPr>
          <w:p w14:paraId="1A1AC980" w14:textId="77777777" w:rsidR="00A86883" w:rsidRPr="00D272CC" w:rsidRDefault="00A86883" w:rsidP="002C4969">
            <w:pPr>
              <w:pStyle w:val="Table"/>
              <w:rPr>
                <w:szCs w:val="20"/>
                <w:lang w:val="en-GB"/>
              </w:rPr>
            </w:pPr>
            <w:r w:rsidRPr="00D272CC">
              <w:rPr>
                <w:szCs w:val="20"/>
                <w:lang w:val="en-GB"/>
              </w:rPr>
              <w:t>AU</w:t>
            </w:r>
          </w:p>
        </w:tc>
        <w:tc>
          <w:tcPr>
            <w:tcW w:w="1181" w:type="dxa"/>
            <w:vAlign w:val="bottom"/>
          </w:tcPr>
          <w:p w14:paraId="10B100FB" w14:textId="77777777" w:rsidR="00A86883" w:rsidRPr="00D272CC" w:rsidRDefault="00A86883" w:rsidP="008B6A84">
            <w:pPr>
              <w:pStyle w:val="Table"/>
              <w:jc w:val="center"/>
              <w:rPr>
                <w:lang w:val="en-GB"/>
              </w:rPr>
            </w:pPr>
            <w:r>
              <w:t>-0.055</w:t>
            </w:r>
          </w:p>
        </w:tc>
        <w:tc>
          <w:tcPr>
            <w:tcW w:w="1181" w:type="dxa"/>
            <w:vAlign w:val="bottom"/>
          </w:tcPr>
          <w:p w14:paraId="717F499D" w14:textId="77777777" w:rsidR="00A86883" w:rsidRPr="00D272CC" w:rsidRDefault="00A86883" w:rsidP="008B6A84">
            <w:pPr>
              <w:pStyle w:val="Table"/>
              <w:jc w:val="center"/>
              <w:rPr>
                <w:lang w:val="en-GB"/>
              </w:rPr>
            </w:pPr>
            <w:r>
              <w:t>(-0.99)</w:t>
            </w:r>
          </w:p>
        </w:tc>
        <w:tc>
          <w:tcPr>
            <w:tcW w:w="1181" w:type="dxa"/>
            <w:vAlign w:val="bottom"/>
          </w:tcPr>
          <w:p w14:paraId="3B380139" w14:textId="77777777" w:rsidR="00A86883" w:rsidRPr="00D272CC" w:rsidRDefault="00A86883" w:rsidP="00DA0E5B">
            <w:pPr>
              <w:pStyle w:val="Table"/>
              <w:jc w:val="center"/>
              <w:rPr>
                <w:lang w:val="en-GB"/>
              </w:rPr>
            </w:pPr>
            <w:r>
              <w:t>-0.087</w:t>
            </w:r>
          </w:p>
        </w:tc>
        <w:tc>
          <w:tcPr>
            <w:tcW w:w="1181" w:type="dxa"/>
            <w:vAlign w:val="bottom"/>
          </w:tcPr>
          <w:p w14:paraId="6E93C4D7" w14:textId="77777777" w:rsidR="00A86883" w:rsidRPr="00D272CC" w:rsidRDefault="00A86883" w:rsidP="00DA0E5B">
            <w:pPr>
              <w:pStyle w:val="Table"/>
              <w:jc w:val="center"/>
              <w:rPr>
                <w:lang w:val="en-GB"/>
              </w:rPr>
            </w:pPr>
            <w:r>
              <w:t>(-1.46)</w:t>
            </w:r>
          </w:p>
        </w:tc>
        <w:tc>
          <w:tcPr>
            <w:tcW w:w="1181" w:type="dxa"/>
            <w:vAlign w:val="bottom"/>
          </w:tcPr>
          <w:p w14:paraId="35F363D8" w14:textId="77777777" w:rsidR="00A86883" w:rsidRPr="00D272CC" w:rsidRDefault="00A86883" w:rsidP="008B6A84">
            <w:pPr>
              <w:pStyle w:val="Table"/>
              <w:jc w:val="center"/>
              <w:rPr>
                <w:lang w:val="en-GB"/>
              </w:rPr>
            </w:pPr>
          </w:p>
        </w:tc>
        <w:tc>
          <w:tcPr>
            <w:tcW w:w="1181" w:type="dxa"/>
            <w:vAlign w:val="bottom"/>
          </w:tcPr>
          <w:p w14:paraId="554A1322" w14:textId="77777777" w:rsidR="00A86883" w:rsidRPr="00D272CC" w:rsidRDefault="00A86883" w:rsidP="008B6A84">
            <w:pPr>
              <w:pStyle w:val="Table"/>
              <w:jc w:val="center"/>
              <w:rPr>
                <w:lang w:val="en-GB"/>
              </w:rPr>
            </w:pPr>
          </w:p>
        </w:tc>
      </w:tr>
      <w:tr w:rsidR="00A86883" w:rsidRPr="00D272CC" w14:paraId="4F3F037F" w14:textId="77777777" w:rsidTr="00DA0E5B">
        <w:tc>
          <w:tcPr>
            <w:tcW w:w="1985" w:type="dxa"/>
          </w:tcPr>
          <w:p w14:paraId="71867E02" w14:textId="77777777" w:rsidR="00A86883" w:rsidRPr="00D272CC" w:rsidRDefault="00A86883" w:rsidP="002C4969">
            <w:pPr>
              <w:pStyle w:val="Table"/>
              <w:rPr>
                <w:szCs w:val="20"/>
                <w:lang w:val="en-GB"/>
              </w:rPr>
            </w:pPr>
            <w:r w:rsidRPr="00D272CC">
              <w:rPr>
                <w:szCs w:val="20"/>
                <w:lang w:val="en-GB"/>
              </w:rPr>
              <w:t>CH</w:t>
            </w:r>
          </w:p>
        </w:tc>
        <w:tc>
          <w:tcPr>
            <w:tcW w:w="1181" w:type="dxa"/>
            <w:vAlign w:val="bottom"/>
          </w:tcPr>
          <w:p w14:paraId="4F9D13E7" w14:textId="77777777" w:rsidR="00A86883" w:rsidRPr="00D272CC" w:rsidRDefault="00A86883" w:rsidP="008B6A84">
            <w:pPr>
              <w:pStyle w:val="Table"/>
              <w:jc w:val="center"/>
              <w:rPr>
                <w:lang w:val="en-GB"/>
              </w:rPr>
            </w:pPr>
            <w:r>
              <w:t>0.044</w:t>
            </w:r>
          </w:p>
        </w:tc>
        <w:tc>
          <w:tcPr>
            <w:tcW w:w="1181" w:type="dxa"/>
            <w:vAlign w:val="bottom"/>
          </w:tcPr>
          <w:p w14:paraId="58116473" w14:textId="77777777" w:rsidR="00A86883" w:rsidRPr="00D272CC" w:rsidRDefault="00A86883" w:rsidP="008B6A84">
            <w:pPr>
              <w:pStyle w:val="Table"/>
              <w:jc w:val="center"/>
              <w:rPr>
                <w:lang w:val="en-GB"/>
              </w:rPr>
            </w:pPr>
            <w:r>
              <w:t>(0.36)</w:t>
            </w:r>
          </w:p>
        </w:tc>
        <w:tc>
          <w:tcPr>
            <w:tcW w:w="1181" w:type="dxa"/>
            <w:vAlign w:val="bottom"/>
          </w:tcPr>
          <w:p w14:paraId="2E478052" w14:textId="77777777" w:rsidR="00A86883" w:rsidRPr="00D272CC" w:rsidRDefault="00A86883" w:rsidP="00DA0E5B">
            <w:pPr>
              <w:pStyle w:val="Table"/>
              <w:jc w:val="center"/>
              <w:rPr>
                <w:lang w:val="en-GB"/>
              </w:rPr>
            </w:pPr>
            <w:r>
              <w:t>0.102</w:t>
            </w:r>
          </w:p>
        </w:tc>
        <w:tc>
          <w:tcPr>
            <w:tcW w:w="1181" w:type="dxa"/>
            <w:vAlign w:val="bottom"/>
          </w:tcPr>
          <w:p w14:paraId="08129CE3" w14:textId="77777777" w:rsidR="00A86883" w:rsidRPr="00D272CC" w:rsidRDefault="00A86883" w:rsidP="00DA0E5B">
            <w:pPr>
              <w:pStyle w:val="Table"/>
              <w:jc w:val="center"/>
              <w:rPr>
                <w:lang w:val="en-GB"/>
              </w:rPr>
            </w:pPr>
            <w:r>
              <w:t>(0.85)</w:t>
            </w:r>
          </w:p>
        </w:tc>
        <w:tc>
          <w:tcPr>
            <w:tcW w:w="1181" w:type="dxa"/>
            <w:vAlign w:val="bottom"/>
          </w:tcPr>
          <w:p w14:paraId="4D1974CD" w14:textId="77777777" w:rsidR="00A86883" w:rsidRPr="00D272CC" w:rsidRDefault="00A86883" w:rsidP="008B6A84">
            <w:pPr>
              <w:pStyle w:val="Table"/>
              <w:jc w:val="center"/>
              <w:rPr>
                <w:lang w:val="en-GB"/>
              </w:rPr>
            </w:pPr>
          </w:p>
        </w:tc>
        <w:tc>
          <w:tcPr>
            <w:tcW w:w="1181" w:type="dxa"/>
            <w:vAlign w:val="bottom"/>
          </w:tcPr>
          <w:p w14:paraId="64A2A91F" w14:textId="77777777" w:rsidR="00A86883" w:rsidRPr="00D272CC" w:rsidRDefault="00A86883" w:rsidP="008B6A84">
            <w:pPr>
              <w:pStyle w:val="Table"/>
              <w:jc w:val="center"/>
              <w:rPr>
                <w:lang w:val="en-GB"/>
              </w:rPr>
            </w:pPr>
          </w:p>
        </w:tc>
      </w:tr>
      <w:tr w:rsidR="00A86883" w:rsidRPr="00D272CC" w14:paraId="166AAFF6" w14:textId="77777777" w:rsidTr="00DA0E5B">
        <w:tc>
          <w:tcPr>
            <w:tcW w:w="1985" w:type="dxa"/>
          </w:tcPr>
          <w:p w14:paraId="3F75F4EE" w14:textId="77777777" w:rsidR="00A86883" w:rsidRPr="00D272CC" w:rsidRDefault="00A86883" w:rsidP="002C4969">
            <w:pPr>
              <w:pStyle w:val="Table"/>
              <w:rPr>
                <w:szCs w:val="20"/>
                <w:lang w:val="en-GB"/>
              </w:rPr>
            </w:pPr>
            <w:r w:rsidRPr="00D272CC">
              <w:rPr>
                <w:szCs w:val="20"/>
                <w:lang w:val="en-GB"/>
              </w:rPr>
              <w:t>CN</w:t>
            </w:r>
          </w:p>
        </w:tc>
        <w:tc>
          <w:tcPr>
            <w:tcW w:w="1181" w:type="dxa"/>
            <w:vAlign w:val="bottom"/>
          </w:tcPr>
          <w:p w14:paraId="2B42277A" w14:textId="77777777" w:rsidR="00A86883" w:rsidRPr="00D272CC" w:rsidRDefault="00A86883" w:rsidP="008B6A84">
            <w:pPr>
              <w:pStyle w:val="Table"/>
              <w:jc w:val="center"/>
              <w:rPr>
                <w:lang w:val="en-GB"/>
              </w:rPr>
            </w:pPr>
            <w:r>
              <w:t>-0.036</w:t>
            </w:r>
          </w:p>
        </w:tc>
        <w:tc>
          <w:tcPr>
            <w:tcW w:w="1181" w:type="dxa"/>
            <w:vAlign w:val="bottom"/>
          </w:tcPr>
          <w:p w14:paraId="23F14512" w14:textId="77777777" w:rsidR="00A86883" w:rsidRPr="00D272CC" w:rsidRDefault="00A86883" w:rsidP="008B6A84">
            <w:pPr>
              <w:pStyle w:val="Table"/>
              <w:jc w:val="center"/>
              <w:rPr>
                <w:lang w:val="en-GB"/>
              </w:rPr>
            </w:pPr>
            <w:r>
              <w:t>(-0.61)</w:t>
            </w:r>
          </w:p>
        </w:tc>
        <w:tc>
          <w:tcPr>
            <w:tcW w:w="1181" w:type="dxa"/>
            <w:vAlign w:val="bottom"/>
          </w:tcPr>
          <w:p w14:paraId="79F37D88" w14:textId="77777777" w:rsidR="00A86883" w:rsidRPr="00D272CC" w:rsidRDefault="00A86883" w:rsidP="00DA0E5B">
            <w:pPr>
              <w:pStyle w:val="Table"/>
              <w:jc w:val="center"/>
              <w:rPr>
                <w:lang w:val="en-GB"/>
              </w:rPr>
            </w:pPr>
            <w:r>
              <w:t>0.024</w:t>
            </w:r>
          </w:p>
        </w:tc>
        <w:tc>
          <w:tcPr>
            <w:tcW w:w="1181" w:type="dxa"/>
            <w:vAlign w:val="bottom"/>
          </w:tcPr>
          <w:p w14:paraId="0D23BAE1" w14:textId="77777777" w:rsidR="00A86883" w:rsidRPr="00D272CC" w:rsidRDefault="00A86883" w:rsidP="00DA0E5B">
            <w:pPr>
              <w:pStyle w:val="Table"/>
              <w:jc w:val="center"/>
              <w:rPr>
                <w:lang w:val="en-GB"/>
              </w:rPr>
            </w:pPr>
            <w:r>
              <w:t>(0.31)</w:t>
            </w:r>
          </w:p>
        </w:tc>
        <w:tc>
          <w:tcPr>
            <w:tcW w:w="1181" w:type="dxa"/>
            <w:vAlign w:val="bottom"/>
          </w:tcPr>
          <w:p w14:paraId="2EC4EF94" w14:textId="77777777" w:rsidR="00A86883" w:rsidRPr="00D272CC" w:rsidRDefault="00A86883" w:rsidP="008B6A84">
            <w:pPr>
              <w:pStyle w:val="Table"/>
              <w:jc w:val="center"/>
              <w:rPr>
                <w:lang w:val="en-GB"/>
              </w:rPr>
            </w:pPr>
          </w:p>
        </w:tc>
        <w:tc>
          <w:tcPr>
            <w:tcW w:w="1181" w:type="dxa"/>
            <w:vAlign w:val="bottom"/>
          </w:tcPr>
          <w:p w14:paraId="5427D030" w14:textId="77777777" w:rsidR="00A86883" w:rsidRPr="00D272CC" w:rsidRDefault="00A86883" w:rsidP="008B6A84">
            <w:pPr>
              <w:pStyle w:val="Table"/>
              <w:jc w:val="center"/>
              <w:rPr>
                <w:lang w:val="en-GB"/>
              </w:rPr>
            </w:pPr>
          </w:p>
        </w:tc>
      </w:tr>
      <w:tr w:rsidR="00A86883" w:rsidRPr="00D272CC" w14:paraId="563D648E" w14:textId="77777777" w:rsidTr="00DA0E5B">
        <w:tc>
          <w:tcPr>
            <w:tcW w:w="1985" w:type="dxa"/>
          </w:tcPr>
          <w:p w14:paraId="15ED20C6" w14:textId="77777777" w:rsidR="00A86883" w:rsidRPr="00D272CC" w:rsidRDefault="00A86883" w:rsidP="002C4969">
            <w:pPr>
              <w:pStyle w:val="Table"/>
              <w:rPr>
                <w:szCs w:val="20"/>
                <w:lang w:val="en-GB"/>
              </w:rPr>
            </w:pPr>
            <w:r w:rsidRPr="00D272CC">
              <w:rPr>
                <w:szCs w:val="20"/>
                <w:lang w:val="en-GB"/>
              </w:rPr>
              <w:t>DE</w:t>
            </w:r>
          </w:p>
        </w:tc>
        <w:tc>
          <w:tcPr>
            <w:tcW w:w="1181" w:type="dxa"/>
            <w:vAlign w:val="bottom"/>
          </w:tcPr>
          <w:p w14:paraId="450F0C71" w14:textId="77777777" w:rsidR="00A86883" w:rsidRPr="00D272CC" w:rsidRDefault="00A86883" w:rsidP="008B6A84">
            <w:pPr>
              <w:pStyle w:val="Table"/>
              <w:jc w:val="center"/>
              <w:rPr>
                <w:lang w:val="en-GB"/>
              </w:rPr>
            </w:pPr>
            <w:r>
              <w:t>-0.044</w:t>
            </w:r>
          </w:p>
        </w:tc>
        <w:tc>
          <w:tcPr>
            <w:tcW w:w="1181" w:type="dxa"/>
            <w:vAlign w:val="bottom"/>
          </w:tcPr>
          <w:p w14:paraId="6D5D33F3" w14:textId="77777777" w:rsidR="00A86883" w:rsidRPr="00D272CC" w:rsidRDefault="00A86883" w:rsidP="008B6A84">
            <w:pPr>
              <w:pStyle w:val="Table"/>
              <w:jc w:val="center"/>
              <w:rPr>
                <w:lang w:val="en-GB"/>
              </w:rPr>
            </w:pPr>
            <w:r>
              <w:t>(-0.71)</w:t>
            </w:r>
          </w:p>
        </w:tc>
        <w:tc>
          <w:tcPr>
            <w:tcW w:w="1181" w:type="dxa"/>
            <w:vAlign w:val="bottom"/>
          </w:tcPr>
          <w:p w14:paraId="2B9ED682" w14:textId="77777777" w:rsidR="00A86883" w:rsidRPr="00D272CC" w:rsidRDefault="00A86883" w:rsidP="00DA0E5B">
            <w:pPr>
              <w:pStyle w:val="Table"/>
              <w:jc w:val="center"/>
              <w:rPr>
                <w:lang w:val="en-GB"/>
              </w:rPr>
            </w:pPr>
            <w:r>
              <w:t>-0.029</w:t>
            </w:r>
          </w:p>
        </w:tc>
        <w:tc>
          <w:tcPr>
            <w:tcW w:w="1181" w:type="dxa"/>
            <w:vAlign w:val="bottom"/>
          </w:tcPr>
          <w:p w14:paraId="0797FBFE" w14:textId="77777777" w:rsidR="00A86883" w:rsidRPr="00D272CC" w:rsidRDefault="00A86883" w:rsidP="00DA0E5B">
            <w:pPr>
              <w:pStyle w:val="Table"/>
              <w:jc w:val="center"/>
              <w:rPr>
                <w:lang w:val="en-GB"/>
              </w:rPr>
            </w:pPr>
            <w:r>
              <w:t>(-0.37)</w:t>
            </w:r>
          </w:p>
        </w:tc>
        <w:tc>
          <w:tcPr>
            <w:tcW w:w="1181" w:type="dxa"/>
            <w:vAlign w:val="bottom"/>
          </w:tcPr>
          <w:p w14:paraId="6CAAECAD" w14:textId="77777777" w:rsidR="00A86883" w:rsidRPr="00D272CC" w:rsidRDefault="00A86883" w:rsidP="008B6A84">
            <w:pPr>
              <w:pStyle w:val="Table"/>
              <w:jc w:val="center"/>
              <w:rPr>
                <w:lang w:val="en-GB"/>
              </w:rPr>
            </w:pPr>
          </w:p>
        </w:tc>
        <w:tc>
          <w:tcPr>
            <w:tcW w:w="1181" w:type="dxa"/>
            <w:vAlign w:val="bottom"/>
          </w:tcPr>
          <w:p w14:paraId="7446ABE5" w14:textId="77777777" w:rsidR="00A86883" w:rsidRPr="00D272CC" w:rsidRDefault="00A86883" w:rsidP="008B6A84">
            <w:pPr>
              <w:pStyle w:val="Table"/>
              <w:jc w:val="center"/>
              <w:rPr>
                <w:lang w:val="en-GB"/>
              </w:rPr>
            </w:pPr>
          </w:p>
        </w:tc>
      </w:tr>
      <w:tr w:rsidR="00A86883" w:rsidRPr="00D272CC" w14:paraId="115A84D0" w14:textId="77777777" w:rsidTr="00DA0E5B">
        <w:tc>
          <w:tcPr>
            <w:tcW w:w="1985" w:type="dxa"/>
          </w:tcPr>
          <w:p w14:paraId="0C4778E0" w14:textId="77777777" w:rsidR="00A86883" w:rsidRPr="00D272CC" w:rsidRDefault="00A86883" w:rsidP="002C4969">
            <w:pPr>
              <w:pStyle w:val="Table"/>
              <w:rPr>
                <w:szCs w:val="20"/>
                <w:lang w:val="en-GB"/>
              </w:rPr>
            </w:pPr>
            <w:r w:rsidRPr="00D272CC">
              <w:rPr>
                <w:szCs w:val="20"/>
                <w:lang w:val="en-GB"/>
              </w:rPr>
              <w:t>ES</w:t>
            </w:r>
          </w:p>
        </w:tc>
        <w:tc>
          <w:tcPr>
            <w:tcW w:w="1181" w:type="dxa"/>
            <w:vAlign w:val="bottom"/>
          </w:tcPr>
          <w:p w14:paraId="2CF4E252" w14:textId="77777777" w:rsidR="00A86883" w:rsidRPr="00D272CC" w:rsidRDefault="00A86883" w:rsidP="008B6A84">
            <w:pPr>
              <w:pStyle w:val="Table"/>
              <w:jc w:val="center"/>
              <w:rPr>
                <w:lang w:val="en-GB"/>
              </w:rPr>
            </w:pPr>
            <w:r>
              <w:t>-0.107</w:t>
            </w:r>
          </w:p>
        </w:tc>
        <w:tc>
          <w:tcPr>
            <w:tcW w:w="1181" w:type="dxa"/>
            <w:vAlign w:val="bottom"/>
          </w:tcPr>
          <w:p w14:paraId="499B3F6D" w14:textId="77777777" w:rsidR="00A86883" w:rsidRPr="00D272CC" w:rsidRDefault="00A86883" w:rsidP="008B6A84">
            <w:pPr>
              <w:pStyle w:val="Table"/>
              <w:jc w:val="center"/>
              <w:rPr>
                <w:lang w:val="en-GB"/>
              </w:rPr>
            </w:pPr>
            <w:r>
              <w:t>(-3.1</w:t>
            </w:r>
            <w:r w:rsidR="007B5925">
              <w:t>0</w:t>
            </w:r>
            <w:r>
              <w:t>)***</w:t>
            </w:r>
          </w:p>
        </w:tc>
        <w:tc>
          <w:tcPr>
            <w:tcW w:w="1181" w:type="dxa"/>
            <w:vAlign w:val="bottom"/>
          </w:tcPr>
          <w:p w14:paraId="63DD180E" w14:textId="77777777" w:rsidR="00A86883" w:rsidRPr="00D272CC" w:rsidRDefault="00A86883" w:rsidP="00DA0E5B">
            <w:pPr>
              <w:pStyle w:val="Table"/>
              <w:jc w:val="center"/>
              <w:rPr>
                <w:lang w:val="en-GB"/>
              </w:rPr>
            </w:pPr>
            <w:r>
              <w:t>-0.119</w:t>
            </w:r>
          </w:p>
        </w:tc>
        <w:tc>
          <w:tcPr>
            <w:tcW w:w="1181" w:type="dxa"/>
            <w:vAlign w:val="bottom"/>
          </w:tcPr>
          <w:p w14:paraId="33F0BAA9" w14:textId="77777777" w:rsidR="00A86883" w:rsidRPr="00D272CC" w:rsidRDefault="00A86883" w:rsidP="00DA0E5B">
            <w:pPr>
              <w:pStyle w:val="Table"/>
              <w:jc w:val="center"/>
              <w:rPr>
                <w:lang w:val="en-GB"/>
              </w:rPr>
            </w:pPr>
            <w:r>
              <w:t>(-2.41)**</w:t>
            </w:r>
          </w:p>
        </w:tc>
        <w:tc>
          <w:tcPr>
            <w:tcW w:w="1181" w:type="dxa"/>
            <w:vAlign w:val="bottom"/>
          </w:tcPr>
          <w:p w14:paraId="3535BC9D" w14:textId="77777777" w:rsidR="00A86883" w:rsidRPr="00D272CC" w:rsidRDefault="00A86883" w:rsidP="008B6A84">
            <w:pPr>
              <w:pStyle w:val="Table"/>
              <w:jc w:val="center"/>
              <w:rPr>
                <w:lang w:val="en-GB"/>
              </w:rPr>
            </w:pPr>
          </w:p>
        </w:tc>
        <w:tc>
          <w:tcPr>
            <w:tcW w:w="1181" w:type="dxa"/>
            <w:vAlign w:val="bottom"/>
          </w:tcPr>
          <w:p w14:paraId="699196FE" w14:textId="77777777" w:rsidR="00A86883" w:rsidRPr="00D272CC" w:rsidRDefault="00A86883" w:rsidP="008B6A84">
            <w:pPr>
              <w:pStyle w:val="Table"/>
              <w:jc w:val="center"/>
              <w:rPr>
                <w:lang w:val="en-GB"/>
              </w:rPr>
            </w:pPr>
          </w:p>
        </w:tc>
      </w:tr>
      <w:tr w:rsidR="00A86883" w:rsidRPr="00D272CC" w14:paraId="4E705A99" w14:textId="77777777" w:rsidTr="00DA0E5B">
        <w:tc>
          <w:tcPr>
            <w:tcW w:w="1985" w:type="dxa"/>
          </w:tcPr>
          <w:p w14:paraId="58A5E0AD" w14:textId="77777777" w:rsidR="00A86883" w:rsidRPr="00D272CC" w:rsidRDefault="00A86883" w:rsidP="002C4969">
            <w:pPr>
              <w:pStyle w:val="Table"/>
              <w:rPr>
                <w:szCs w:val="20"/>
                <w:lang w:val="en-GB"/>
              </w:rPr>
            </w:pPr>
            <w:r w:rsidRPr="00D272CC">
              <w:rPr>
                <w:szCs w:val="20"/>
                <w:lang w:val="en-GB"/>
              </w:rPr>
              <w:t>FR</w:t>
            </w:r>
          </w:p>
        </w:tc>
        <w:tc>
          <w:tcPr>
            <w:tcW w:w="1181" w:type="dxa"/>
            <w:vAlign w:val="bottom"/>
          </w:tcPr>
          <w:p w14:paraId="6EA920C4" w14:textId="77777777" w:rsidR="00A86883" w:rsidRPr="00D272CC" w:rsidRDefault="00A86883" w:rsidP="008B6A84">
            <w:pPr>
              <w:pStyle w:val="Table"/>
              <w:jc w:val="center"/>
              <w:rPr>
                <w:lang w:val="en-GB"/>
              </w:rPr>
            </w:pPr>
            <w:r>
              <w:t>-0.109</w:t>
            </w:r>
          </w:p>
        </w:tc>
        <w:tc>
          <w:tcPr>
            <w:tcW w:w="1181" w:type="dxa"/>
            <w:vAlign w:val="bottom"/>
          </w:tcPr>
          <w:p w14:paraId="695AE9D3" w14:textId="77777777" w:rsidR="00A86883" w:rsidRPr="00D272CC" w:rsidRDefault="00A86883" w:rsidP="008B6A84">
            <w:pPr>
              <w:pStyle w:val="Table"/>
              <w:jc w:val="center"/>
              <w:rPr>
                <w:lang w:val="en-GB"/>
              </w:rPr>
            </w:pPr>
            <w:r>
              <w:t>(-3.17)***</w:t>
            </w:r>
          </w:p>
        </w:tc>
        <w:tc>
          <w:tcPr>
            <w:tcW w:w="1181" w:type="dxa"/>
            <w:vAlign w:val="bottom"/>
          </w:tcPr>
          <w:p w14:paraId="5FC92FC6" w14:textId="77777777" w:rsidR="00A86883" w:rsidRPr="00D272CC" w:rsidRDefault="00A86883" w:rsidP="00DA0E5B">
            <w:pPr>
              <w:pStyle w:val="Table"/>
              <w:jc w:val="center"/>
              <w:rPr>
                <w:lang w:val="en-GB"/>
              </w:rPr>
            </w:pPr>
            <w:r>
              <w:t>-0.086</w:t>
            </w:r>
          </w:p>
        </w:tc>
        <w:tc>
          <w:tcPr>
            <w:tcW w:w="1181" w:type="dxa"/>
            <w:vAlign w:val="bottom"/>
          </w:tcPr>
          <w:p w14:paraId="443A9CE4" w14:textId="77777777" w:rsidR="00A86883" w:rsidRPr="00D272CC" w:rsidRDefault="00A86883" w:rsidP="00DA0E5B">
            <w:pPr>
              <w:pStyle w:val="Table"/>
              <w:jc w:val="center"/>
              <w:rPr>
                <w:lang w:val="en-GB"/>
              </w:rPr>
            </w:pPr>
            <w:r>
              <w:t>(-1.40)</w:t>
            </w:r>
          </w:p>
        </w:tc>
        <w:tc>
          <w:tcPr>
            <w:tcW w:w="1181" w:type="dxa"/>
            <w:vAlign w:val="bottom"/>
          </w:tcPr>
          <w:p w14:paraId="17A1A821" w14:textId="77777777" w:rsidR="00A86883" w:rsidRPr="00D272CC" w:rsidRDefault="00A86883" w:rsidP="008B6A84">
            <w:pPr>
              <w:pStyle w:val="Table"/>
              <w:jc w:val="center"/>
              <w:rPr>
                <w:lang w:val="en-GB"/>
              </w:rPr>
            </w:pPr>
          </w:p>
        </w:tc>
        <w:tc>
          <w:tcPr>
            <w:tcW w:w="1181" w:type="dxa"/>
            <w:vAlign w:val="bottom"/>
          </w:tcPr>
          <w:p w14:paraId="2FBBB08A" w14:textId="77777777" w:rsidR="00A86883" w:rsidRPr="00D272CC" w:rsidRDefault="00A86883" w:rsidP="008B6A84">
            <w:pPr>
              <w:pStyle w:val="Table"/>
              <w:jc w:val="center"/>
              <w:rPr>
                <w:lang w:val="en-GB"/>
              </w:rPr>
            </w:pPr>
          </w:p>
        </w:tc>
      </w:tr>
      <w:tr w:rsidR="00A86883" w:rsidRPr="00D272CC" w14:paraId="36544F38" w14:textId="77777777" w:rsidTr="00DA0E5B">
        <w:tc>
          <w:tcPr>
            <w:tcW w:w="1985" w:type="dxa"/>
          </w:tcPr>
          <w:p w14:paraId="47508FD3" w14:textId="77777777" w:rsidR="00A86883" w:rsidRPr="00D272CC" w:rsidRDefault="00A86883" w:rsidP="002C4969">
            <w:pPr>
              <w:pStyle w:val="Table"/>
              <w:rPr>
                <w:szCs w:val="20"/>
                <w:lang w:val="en-GB"/>
              </w:rPr>
            </w:pPr>
            <w:r w:rsidRPr="00D272CC">
              <w:rPr>
                <w:szCs w:val="20"/>
                <w:lang w:val="en-GB"/>
              </w:rPr>
              <w:t>HK</w:t>
            </w:r>
          </w:p>
        </w:tc>
        <w:tc>
          <w:tcPr>
            <w:tcW w:w="1181" w:type="dxa"/>
            <w:vAlign w:val="bottom"/>
          </w:tcPr>
          <w:p w14:paraId="78AA6F3C" w14:textId="77777777" w:rsidR="00A86883" w:rsidRPr="00D272CC" w:rsidRDefault="00A86883" w:rsidP="008B6A84">
            <w:pPr>
              <w:pStyle w:val="Table"/>
              <w:jc w:val="center"/>
              <w:rPr>
                <w:lang w:val="en-GB"/>
              </w:rPr>
            </w:pPr>
            <w:r>
              <w:t>-0.113</w:t>
            </w:r>
          </w:p>
        </w:tc>
        <w:tc>
          <w:tcPr>
            <w:tcW w:w="1181" w:type="dxa"/>
            <w:vAlign w:val="bottom"/>
          </w:tcPr>
          <w:p w14:paraId="3D7A4BFB" w14:textId="77777777" w:rsidR="00A86883" w:rsidRPr="00D272CC" w:rsidRDefault="00A86883" w:rsidP="008B6A84">
            <w:pPr>
              <w:pStyle w:val="Table"/>
              <w:jc w:val="center"/>
              <w:rPr>
                <w:lang w:val="en-GB"/>
              </w:rPr>
            </w:pPr>
            <w:r>
              <w:t>(-3.75)***</w:t>
            </w:r>
          </w:p>
        </w:tc>
        <w:tc>
          <w:tcPr>
            <w:tcW w:w="1181" w:type="dxa"/>
            <w:vAlign w:val="bottom"/>
          </w:tcPr>
          <w:p w14:paraId="17C1A757" w14:textId="77777777" w:rsidR="00A86883" w:rsidRPr="00D272CC" w:rsidRDefault="00A86883" w:rsidP="00DA0E5B">
            <w:pPr>
              <w:pStyle w:val="Table"/>
              <w:jc w:val="center"/>
              <w:rPr>
                <w:lang w:val="en-GB"/>
              </w:rPr>
            </w:pPr>
            <w:r>
              <w:t>-0.139</w:t>
            </w:r>
          </w:p>
        </w:tc>
        <w:tc>
          <w:tcPr>
            <w:tcW w:w="1181" w:type="dxa"/>
            <w:vAlign w:val="bottom"/>
          </w:tcPr>
          <w:p w14:paraId="7B3D6F32" w14:textId="77777777" w:rsidR="00A86883" w:rsidRPr="00D272CC" w:rsidRDefault="00A86883" w:rsidP="00DA0E5B">
            <w:pPr>
              <w:pStyle w:val="Table"/>
              <w:jc w:val="center"/>
              <w:rPr>
                <w:lang w:val="en-GB"/>
              </w:rPr>
            </w:pPr>
            <w:r>
              <w:t>(-2.58)***</w:t>
            </w:r>
          </w:p>
        </w:tc>
        <w:tc>
          <w:tcPr>
            <w:tcW w:w="1181" w:type="dxa"/>
            <w:vAlign w:val="bottom"/>
          </w:tcPr>
          <w:p w14:paraId="7EDFD303" w14:textId="77777777" w:rsidR="00A86883" w:rsidRPr="00D272CC" w:rsidRDefault="00A86883" w:rsidP="008B6A84">
            <w:pPr>
              <w:pStyle w:val="Table"/>
              <w:jc w:val="center"/>
              <w:rPr>
                <w:lang w:val="en-GB"/>
              </w:rPr>
            </w:pPr>
          </w:p>
        </w:tc>
        <w:tc>
          <w:tcPr>
            <w:tcW w:w="1181" w:type="dxa"/>
            <w:vAlign w:val="bottom"/>
          </w:tcPr>
          <w:p w14:paraId="6BAF120C" w14:textId="77777777" w:rsidR="00A86883" w:rsidRPr="00D272CC" w:rsidRDefault="00A86883" w:rsidP="008B6A84">
            <w:pPr>
              <w:pStyle w:val="Table"/>
              <w:jc w:val="center"/>
              <w:rPr>
                <w:lang w:val="en-GB"/>
              </w:rPr>
            </w:pPr>
          </w:p>
        </w:tc>
      </w:tr>
      <w:tr w:rsidR="00A86883" w:rsidRPr="00D272CC" w14:paraId="24DC14E0" w14:textId="77777777" w:rsidTr="00DA0E5B">
        <w:tc>
          <w:tcPr>
            <w:tcW w:w="1985" w:type="dxa"/>
          </w:tcPr>
          <w:p w14:paraId="5B6FF0BB" w14:textId="77777777" w:rsidR="00A86883" w:rsidRPr="00D272CC" w:rsidRDefault="00A86883" w:rsidP="002C4969">
            <w:pPr>
              <w:pStyle w:val="Table"/>
              <w:rPr>
                <w:szCs w:val="20"/>
                <w:lang w:val="en-GB"/>
              </w:rPr>
            </w:pPr>
            <w:r w:rsidRPr="00D272CC">
              <w:rPr>
                <w:szCs w:val="20"/>
                <w:lang w:val="en-GB"/>
              </w:rPr>
              <w:t>IT</w:t>
            </w:r>
          </w:p>
        </w:tc>
        <w:tc>
          <w:tcPr>
            <w:tcW w:w="1181" w:type="dxa"/>
            <w:vAlign w:val="bottom"/>
          </w:tcPr>
          <w:p w14:paraId="70732A85" w14:textId="77777777" w:rsidR="00A86883" w:rsidRPr="00D272CC" w:rsidRDefault="00A86883" w:rsidP="008B6A84">
            <w:pPr>
              <w:pStyle w:val="Table"/>
              <w:jc w:val="center"/>
              <w:rPr>
                <w:lang w:val="en-GB"/>
              </w:rPr>
            </w:pPr>
            <w:r>
              <w:t>-0.026</w:t>
            </w:r>
          </w:p>
        </w:tc>
        <w:tc>
          <w:tcPr>
            <w:tcW w:w="1181" w:type="dxa"/>
            <w:vAlign w:val="bottom"/>
          </w:tcPr>
          <w:p w14:paraId="0D332270" w14:textId="77777777" w:rsidR="00A86883" w:rsidRPr="00D272CC" w:rsidRDefault="00A86883" w:rsidP="008B6A84">
            <w:pPr>
              <w:pStyle w:val="Table"/>
              <w:jc w:val="center"/>
              <w:rPr>
                <w:lang w:val="en-GB"/>
              </w:rPr>
            </w:pPr>
            <w:r>
              <w:t>(-0.39)</w:t>
            </w:r>
          </w:p>
        </w:tc>
        <w:tc>
          <w:tcPr>
            <w:tcW w:w="1181" w:type="dxa"/>
            <w:vAlign w:val="bottom"/>
          </w:tcPr>
          <w:p w14:paraId="7DBCC85F" w14:textId="77777777" w:rsidR="00A86883" w:rsidRPr="00D272CC" w:rsidRDefault="00A86883" w:rsidP="00DA0E5B">
            <w:pPr>
              <w:pStyle w:val="Table"/>
              <w:jc w:val="center"/>
              <w:rPr>
                <w:lang w:val="en-GB"/>
              </w:rPr>
            </w:pPr>
            <w:r>
              <w:t>-0.044</w:t>
            </w:r>
          </w:p>
        </w:tc>
        <w:tc>
          <w:tcPr>
            <w:tcW w:w="1181" w:type="dxa"/>
            <w:vAlign w:val="bottom"/>
          </w:tcPr>
          <w:p w14:paraId="4E5FF2BA" w14:textId="77777777" w:rsidR="00A86883" w:rsidRPr="00D272CC" w:rsidRDefault="00A86883" w:rsidP="00DA0E5B">
            <w:pPr>
              <w:pStyle w:val="Table"/>
              <w:jc w:val="center"/>
              <w:rPr>
                <w:lang w:val="en-GB"/>
              </w:rPr>
            </w:pPr>
            <w:r>
              <w:t>(-0.60)</w:t>
            </w:r>
          </w:p>
        </w:tc>
        <w:tc>
          <w:tcPr>
            <w:tcW w:w="1181" w:type="dxa"/>
            <w:vAlign w:val="bottom"/>
          </w:tcPr>
          <w:p w14:paraId="51EF9A1E" w14:textId="77777777" w:rsidR="00A86883" w:rsidRPr="00D272CC" w:rsidRDefault="00A86883" w:rsidP="008B6A84">
            <w:pPr>
              <w:pStyle w:val="Table"/>
              <w:jc w:val="center"/>
              <w:rPr>
                <w:lang w:val="en-GB"/>
              </w:rPr>
            </w:pPr>
          </w:p>
        </w:tc>
        <w:tc>
          <w:tcPr>
            <w:tcW w:w="1181" w:type="dxa"/>
            <w:vAlign w:val="bottom"/>
          </w:tcPr>
          <w:p w14:paraId="6FF854DA" w14:textId="77777777" w:rsidR="00A86883" w:rsidRPr="00D272CC" w:rsidRDefault="00A86883" w:rsidP="008B6A84">
            <w:pPr>
              <w:pStyle w:val="Table"/>
              <w:jc w:val="center"/>
              <w:rPr>
                <w:lang w:val="en-GB"/>
              </w:rPr>
            </w:pPr>
          </w:p>
        </w:tc>
      </w:tr>
      <w:tr w:rsidR="00A86883" w:rsidRPr="00D272CC" w14:paraId="53928C10" w14:textId="77777777" w:rsidTr="00DA0E5B">
        <w:tc>
          <w:tcPr>
            <w:tcW w:w="1985" w:type="dxa"/>
          </w:tcPr>
          <w:p w14:paraId="2A199B96" w14:textId="77777777" w:rsidR="00A86883" w:rsidRPr="00D272CC" w:rsidRDefault="00A86883" w:rsidP="002C4969">
            <w:pPr>
              <w:pStyle w:val="Table"/>
              <w:rPr>
                <w:szCs w:val="20"/>
                <w:lang w:val="en-GB"/>
              </w:rPr>
            </w:pPr>
            <w:r w:rsidRPr="00D272CC">
              <w:rPr>
                <w:szCs w:val="20"/>
                <w:lang w:val="en-GB"/>
              </w:rPr>
              <w:t>ZA</w:t>
            </w:r>
          </w:p>
        </w:tc>
        <w:tc>
          <w:tcPr>
            <w:tcW w:w="1181" w:type="dxa"/>
            <w:vAlign w:val="bottom"/>
          </w:tcPr>
          <w:p w14:paraId="33728489" w14:textId="77777777" w:rsidR="00A86883" w:rsidRPr="00D272CC" w:rsidRDefault="00A86883" w:rsidP="008B6A84">
            <w:pPr>
              <w:pStyle w:val="Table"/>
              <w:jc w:val="center"/>
              <w:rPr>
                <w:lang w:val="en-GB"/>
              </w:rPr>
            </w:pPr>
            <w:r>
              <w:t>-0.031</w:t>
            </w:r>
          </w:p>
        </w:tc>
        <w:tc>
          <w:tcPr>
            <w:tcW w:w="1181" w:type="dxa"/>
            <w:vAlign w:val="bottom"/>
          </w:tcPr>
          <w:p w14:paraId="4B535AB4" w14:textId="77777777" w:rsidR="00A86883" w:rsidRPr="00D272CC" w:rsidRDefault="00A86883" w:rsidP="008B6A84">
            <w:pPr>
              <w:pStyle w:val="Table"/>
              <w:jc w:val="center"/>
              <w:rPr>
                <w:lang w:val="en-GB"/>
              </w:rPr>
            </w:pPr>
            <w:r>
              <w:t>(-0.42)</w:t>
            </w:r>
          </w:p>
        </w:tc>
        <w:tc>
          <w:tcPr>
            <w:tcW w:w="1181" w:type="dxa"/>
            <w:vAlign w:val="bottom"/>
          </w:tcPr>
          <w:p w14:paraId="57CB8A8C" w14:textId="77777777" w:rsidR="00A86883" w:rsidRPr="00D272CC" w:rsidRDefault="00A86883" w:rsidP="00DA0E5B">
            <w:pPr>
              <w:pStyle w:val="Table"/>
              <w:jc w:val="center"/>
              <w:rPr>
                <w:lang w:val="en-GB"/>
              </w:rPr>
            </w:pPr>
            <w:r>
              <w:t>-0.064</w:t>
            </w:r>
          </w:p>
        </w:tc>
        <w:tc>
          <w:tcPr>
            <w:tcW w:w="1181" w:type="dxa"/>
            <w:vAlign w:val="bottom"/>
          </w:tcPr>
          <w:p w14:paraId="368F10ED" w14:textId="77777777" w:rsidR="00A86883" w:rsidRPr="00D272CC" w:rsidRDefault="00A86883" w:rsidP="00DA0E5B">
            <w:pPr>
              <w:pStyle w:val="Table"/>
              <w:jc w:val="center"/>
              <w:rPr>
                <w:lang w:val="en-GB"/>
              </w:rPr>
            </w:pPr>
            <w:r>
              <w:t>(-0.91)</w:t>
            </w:r>
          </w:p>
        </w:tc>
        <w:tc>
          <w:tcPr>
            <w:tcW w:w="1181" w:type="dxa"/>
            <w:vAlign w:val="bottom"/>
          </w:tcPr>
          <w:p w14:paraId="29891570" w14:textId="77777777" w:rsidR="00A86883" w:rsidRPr="00D272CC" w:rsidRDefault="00A86883" w:rsidP="008B6A84">
            <w:pPr>
              <w:pStyle w:val="Table"/>
              <w:jc w:val="center"/>
              <w:rPr>
                <w:lang w:val="en-GB"/>
              </w:rPr>
            </w:pPr>
          </w:p>
        </w:tc>
        <w:tc>
          <w:tcPr>
            <w:tcW w:w="1181" w:type="dxa"/>
            <w:vAlign w:val="bottom"/>
          </w:tcPr>
          <w:p w14:paraId="0B082C27" w14:textId="77777777" w:rsidR="00A86883" w:rsidRPr="00D272CC" w:rsidRDefault="00A86883" w:rsidP="008B6A84">
            <w:pPr>
              <w:pStyle w:val="Table"/>
              <w:jc w:val="center"/>
              <w:rPr>
                <w:lang w:val="en-GB"/>
              </w:rPr>
            </w:pPr>
          </w:p>
        </w:tc>
      </w:tr>
      <w:tr w:rsidR="00A86883" w:rsidRPr="00D272CC" w14:paraId="670C18A2" w14:textId="77777777" w:rsidTr="00DA0E5B">
        <w:tc>
          <w:tcPr>
            <w:tcW w:w="1985" w:type="dxa"/>
          </w:tcPr>
          <w:p w14:paraId="38142EFC" w14:textId="77777777" w:rsidR="00A86883" w:rsidRPr="00D272CC" w:rsidRDefault="00A86883" w:rsidP="002C4969">
            <w:pPr>
              <w:pStyle w:val="Table"/>
              <w:rPr>
                <w:szCs w:val="20"/>
                <w:lang w:val="en-GB"/>
              </w:rPr>
            </w:pPr>
            <w:r>
              <w:rPr>
                <w:szCs w:val="20"/>
                <w:lang w:val="en-GB"/>
              </w:rPr>
              <w:t>TRANSPARENCY</w:t>
            </w:r>
          </w:p>
        </w:tc>
        <w:tc>
          <w:tcPr>
            <w:tcW w:w="1181" w:type="dxa"/>
            <w:vAlign w:val="bottom"/>
          </w:tcPr>
          <w:p w14:paraId="795B45F8" w14:textId="77777777" w:rsidR="00A86883" w:rsidRPr="00D272CC" w:rsidRDefault="00A86883" w:rsidP="008B6A84">
            <w:pPr>
              <w:pStyle w:val="Table"/>
              <w:jc w:val="center"/>
              <w:rPr>
                <w:lang w:val="en-GB"/>
              </w:rPr>
            </w:pPr>
          </w:p>
        </w:tc>
        <w:tc>
          <w:tcPr>
            <w:tcW w:w="1181" w:type="dxa"/>
            <w:vAlign w:val="bottom"/>
          </w:tcPr>
          <w:p w14:paraId="3D9845C9" w14:textId="77777777" w:rsidR="00A86883" w:rsidRPr="00D272CC" w:rsidRDefault="00A86883" w:rsidP="008B6A84">
            <w:pPr>
              <w:pStyle w:val="Table"/>
              <w:jc w:val="center"/>
              <w:rPr>
                <w:lang w:val="en-GB"/>
              </w:rPr>
            </w:pPr>
          </w:p>
        </w:tc>
        <w:tc>
          <w:tcPr>
            <w:tcW w:w="1181" w:type="dxa"/>
            <w:vAlign w:val="bottom"/>
          </w:tcPr>
          <w:p w14:paraId="15BA1241" w14:textId="77777777" w:rsidR="00A86883" w:rsidRPr="00D272CC" w:rsidRDefault="00A86883" w:rsidP="00DA0E5B">
            <w:pPr>
              <w:pStyle w:val="Table"/>
              <w:jc w:val="center"/>
              <w:rPr>
                <w:lang w:val="en-GB"/>
              </w:rPr>
            </w:pPr>
          </w:p>
        </w:tc>
        <w:tc>
          <w:tcPr>
            <w:tcW w:w="1181" w:type="dxa"/>
            <w:vAlign w:val="bottom"/>
          </w:tcPr>
          <w:p w14:paraId="1E5B001D" w14:textId="77777777" w:rsidR="00A86883" w:rsidRPr="00D272CC" w:rsidRDefault="00A86883" w:rsidP="00DA0E5B">
            <w:pPr>
              <w:pStyle w:val="Table"/>
              <w:jc w:val="center"/>
              <w:rPr>
                <w:lang w:val="en-GB"/>
              </w:rPr>
            </w:pPr>
          </w:p>
        </w:tc>
        <w:tc>
          <w:tcPr>
            <w:tcW w:w="1181" w:type="dxa"/>
            <w:vAlign w:val="bottom"/>
          </w:tcPr>
          <w:p w14:paraId="24200A5D" w14:textId="77777777" w:rsidR="00A86883" w:rsidRDefault="00A86883" w:rsidP="008B6A84">
            <w:pPr>
              <w:pStyle w:val="Table"/>
              <w:jc w:val="center"/>
            </w:pPr>
            <w:r>
              <w:t>0.005</w:t>
            </w:r>
          </w:p>
        </w:tc>
        <w:tc>
          <w:tcPr>
            <w:tcW w:w="1181" w:type="dxa"/>
            <w:vAlign w:val="bottom"/>
          </w:tcPr>
          <w:p w14:paraId="7C3A639A" w14:textId="77777777" w:rsidR="00A86883" w:rsidRDefault="00A86883" w:rsidP="008B6A84">
            <w:pPr>
              <w:pStyle w:val="Table"/>
              <w:jc w:val="center"/>
            </w:pPr>
            <w:r>
              <w:t>(2.21)**</w:t>
            </w:r>
          </w:p>
        </w:tc>
      </w:tr>
      <w:tr w:rsidR="00A86883" w:rsidRPr="00D272CC" w14:paraId="4C9D17EE" w14:textId="77777777" w:rsidTr="00DA0E5B">
        <w:tc>
          <w:tcPr>
            <w:tcW w:w="1985" w:type="dxa"/>
          </w:tcPr>
          <w:p w14:paraId="5619EB46" w14:textId="77777777" w:rsidR="00A86883" w:rsidRPr="00D272CC" w:rsidRDefault="00A86883" w:rsidP="002C4969">
            <w:pPr>
              <w:pStyle w:val="Table"/>
              <w:rPr>
                <w:szCs w:val="20"/>
                <w:lang w:val="en-GB"/>
              </w:rPr>
            </w:pPr>
            <w:r w:rsidRPr="00D272CC">
              <w:rPr>
                <w:szCs w:val="20"/>
                <w:lang w:val="en-GB"/>
              </w:rPr>
              <w:t>INDUSTRY0</w:t>
            </w:r>
          </w:p>
        </w:tc>
        <w:tc>
          <w:tcPr>
            <w:tcW w:w="1181" w:type="dxa"/>
            <w:vAlign w:val="bottom"/>
          </w:tcPr>
          <w:p w14:paraId="3B63AFE7" w14:textId="77777777" w:rsidR="00A86883" w:rsidRPr="00D272CC" w:rsidRDefault="00A86883" w:rsidP="008B6A84">
            <w:pPr>
              <w:pStyle w:val="Table"/>
              <w:jc w:val="center"/>
              <w:rPr>
                <w:lang w:val="en-GB"/>
              </w:rPr>
            </w:pPr>
            <w:r>
              <w:t>-0.100</w:t>
            </w:r>
          </w:p>
        </w:tc>
        <w:tc>
          <w:tcPr>
            <w:tcW w:w="1181" w:type="dxa"/>
            <w:vAlign w:val="bottom"/>
          </w:tcPr>
          <w:p w14:paraId="7A5FF1BA" w14:textId="77777777" w:rsidR="00A86883" w:rsidRPr="00D272CC" w:rsidRDefault="00A86883" w:rsidP="008B6A84">
            <w:pPr>
              <w:pStyle w:val="Table"/>
              <w:jc w:val="center"/>
              <w:rPr>
                <w:lang w:val="en-GB"/>
              </w:rPr>
            </w:pPr>
            <w:r>
              <w:t>(-3.44)***</w:t>
            </w:r>
          </w:p>
        </w:tc>
        <w:tc>
          <w:tcPr>
            <w:tcW w:w="1181" w:type="dxa"/>
            <w:vAlign w:val="bottom"/>
          </w:tcPr>
          <w:p w14:paraId="4DC97158" w14:textId="77777777" w:rsidR="00A86883" w:rsidRPr="00D272CC" w:rsidRDefault="00A86883" w:rsidP="00DA0E5B">
            <w:pPr>
              <w:pStyle w:val="Table"/>
              <w:jc w:val="center"/>
              <w:rPr>
                <w:lang w:val="en-GB"/>
              </w:rPr>
            </w:pPr>
            <w:r>
              <w:t>-0.104</w:t>
            </w:r>
          </w:p>
        </w:tc>
        <w:tc>
          <w:tcPr>
            <w:tcW w:w="1181" w:type="dxa"/>
            <w:vAlign w:val="bottom"/>
          </w:tcPr>
          <w:p w14:paraId="440E11B6" w14:textId="77777777" w:rsidR="00A86883" w:rsidRPr="00D272CC" w:rsidRDefault="00A86883" w:rsidP="00DA0E5B">
            <w:pPr>
              <w:pStyle w:val="Table"/>
              <w:jc w:val="center"/>
              <w:rPr>
                <w:lang w:val="en-GB"/>
              </w:rPr>
            </w:pPr>
            <w:r>
              <w:t>(-1.70)*</w:t>
            </w:r>
          </w:p>
        </w:tc>
        <w:tc>
          <w:tcPr>
            <w:tcW w:w="1181" w:type="dxa"/>
            <w:vAlign w:val="bottom"/>
          </w:tcPr>
          <w:p w14:paraId="6ACA5DAA" w14:textId="77777777" w:rsidR="00A86883" w:rsidRDefault="00A86883" w:rsidP="008B6A84">
            <w:pPr>
              <w:pStyle w:val="Table"/>
              <w:jc w:val="center"/>
            </w:pPr>
            <w:r>
              <w:t>-0.111</w:t>
            </w:r>
          </w:p>
        </w:tc>
        <w:tc>
          <w:tcPr>
            <w:tcW w:w="1181" w:type="dxa"/>
            <w:vAlign w:val="bottom"/>
          </w:tcPr>
          <w:p w14:paraId="707827D5" w14:textId="77777777" w:rsidR="00A86883" w:rsidRDefault="00A86883" w:rsidP="008B6A84">
            <w:pPr>
              <w:pStyle w:val="Table"/>
              <w:jc w:val="center"/>
            </w:pPr>
            <w:r>
              <w:t>(-3.79)***</w:t>
            </w:r>
          </w:p>
        </w:tc>
      </w:tr>
      <w:tr w:rsidR="00A86883" w:rsidRPr="00D272CC" w14:paraId="7179106F" w14:textId="77777777" w:rsidTr="00DA0E5B">
        <w:tc>
          <w:tcPr>
            <w:tcW w:w="1985" w:type="dxa"/>
          </w:tcPr>
          <w:p w14:paraId="41ABE18C" w14:textId="77777777" w:rsidR="00A86883" w:rsidRPr="00D272CC" w:rsidRDefault="00A86883" w:rsidP="002C4969">
            <w:pPr>
              <w:pStyle w:val="Table"/>
              <w:rPr>
                <w:szCs w:val="20"/>
                <w:lang w:val="en-GB"/>
              </w:rPr>
            </w:pPr>
            <w:r w:rsidRPr="00D272CC">
              <w:rPr>
                <w:szCs w:val="20"/>
                <w:lang w:val="en-GB"/>
              </w:rPr>
              <w:t>INDUSTRY1</w:t>
            </w:r>
          </w:p>
        </w:tc>
        <w:tc>
          <w:tcPr>
            <w:tcW w:w="1181" w:type="dxa"/>
            <w:vAlign w:val="bottom"/>
          </w:tcPr>
          <w:p w14:paraId="79F89AC3" w14:textId="77777777" w:rsidR="00A86883" w:rsidRPr="00D272CC" w:rsidRDefault="00A86883" w:rsidP="008B6A84">
            <w:pPr>
              <w:pStyle w:val="Table"/>
              <w:jc w:val="center"/>
              <w:rPr>
                <w:lang w:val="en-GB"/>
              </w:rPr>
            </w:pPr>
            <w:r>
              <w:t>-0.060</w:t>
            </w:r>
          </w:p>
        </w:tc>
        <w:tc>
          <w:tcPr>
            <w:tcW w:w="1181" w:type="dxa"/>
            <w:vAlign w:val="bottom"/>
          </w:tcPr>
          <w:p w14:paraId="5156220D" w14:textId="77777777" w:rsidR="00A86883" w:rsidRPr="00D272CC" w:rsidRDefault="00A86883" w:rsidP="008B6A84">
            <w:pPr>
              <w:pStyle w:val="Table"/>
              <w:jc w:val="center"/>
              <w:rPr>
                <w:lang w:val="en-GB"/>
              </w:rPr>
            </w:pPr>
            <w:r>
              <w:t>(-1.24)</w:t>
            </w:r>
          </w:p>
        </w:tc>
        <w:tc>
          <w:tcPr>
            <w:tcW w:w="1181" w:type="dxa"/>
            <w:vAlign w:val="bottom"/>
          </w:tcPr>
          <w:p w14:paraId="70652642" w14:textId="77777777" w:rsidR="00A86883" w:rsidRPr="00D272CC" w:rsidRDefault="00A86883" w:rsidP="00DA0E5B">
            <w:pPr>
              <w:pStyle w:val="Table"/>
              <w:jc w:val="center"/>
              <w:rPr>
                <w:lang w:val="en-GB"/>
              </w:rPr>
            </w:pPr>
            <w:r>
              <w:t>-0.040</w:t>
            </w:r>
          </w:p>
        </w:tc>
        <w:tc>
          <w:tcPr>
            <w:tcW w:w="1181" w:type="dxa"/>
            <w:vAlign w:val="bottom"/>
          </w:tcPr>
          <w:p w14:paraId="7379B480" w14:textId="77777777" w:rsidR="00A86883" w:rsidRPr="00D272CC" w:rsidRDefault="00A86883" w:rsidP="00DA0E5B">
            <w:pPr>
              <w:pStyle w:val="Table"/>
              <w:jc w:val="center"/>
              <w:rPr>
                <w:lang w:val="en-GB"/>
              </w:rPr>
            </w:pPr>
            <w:r>
              <w:t>(-0.64)</w:t>
            </w:r>
          </w:p>
        </w:tc>
        <w:tc>
          <w:tcPr>
            <w:tcW w:w="1181" w:type="dxa"/>
            <w:vAlign w:val="bottom"/>
          </w:tcPr>
          <w:p w14:paraId="1F0E7C87" w14:textId="77777777" w:rsidR="00A86883" w:rsidRDefault="00A86883" w:rsidP="008B6A84">
            <w:pPr>
              <w:pStyle w:val="Table"/>
              <w:jc w:val="center"/>
            </w:pPr>
            <w:r>
              <w:t>-0.045</w:t>
            </w:r>
          </w:p>
        </w:tc>
        <w:tc>
          <w:tcPr>
            <w:tcW w:w="1181" w:type="dxa"/>
            <w:vAlign w:val="bottom"/>
          </w:tcPr>
          <w:p w14:paraId="09CBFB6C" w14:textId="77777777" w:rsidR="00A86883" w:rsidRDefault="00A86883" w:rsidP="008B6A84">
            <w:pPr>
              <w:pStyle w:val="Table"/>
              <w:jc w:val="center"/>
            </w:pPr>
            <w:r>
              <w:t>(-0.75)</w:t>
            </w:r>
          </w:p>
        </w:tc>
      </w:tr>
      <w:tr w:rsidR="00A86883" w:rsidRPr="00D272CC" w14:paraId="014FF57B" w14:textId="77777777" w:rsidTr="00DA0E5B">
        <w:tc>
          <w:tcPr>
            <w:tcW w:w="1985" w:type="dxa"/>
          </w:tcPr>
          <w:p w14:paraId="4C7866FD" w14:textId="77777777" w:rsidR="00A86883" w:rsidRPr="00D272CC" w:rsidRDefault="00A86883" w:rsidP="002C4969">
            <w:pPr>
              <w:pStyle w:val="Table"/>
              <w:rPr>
                <w:szCs w:val="20"/>
                <w:lang w:val="en-GB"/>
              </w:rPr>
            </w:pPr>
            <w:r w:rsidRPr="00D272CC">
              <w:rPr>
                <w:szCs w:val="20"/>
                <w:lang w:val="en-GB"/>
              </w:rPr>
              <w:t>INDUSTRY3</w:t>
            </w:r>
          </w:p>
        </w:tc>
        <w:tc>
          <w:tcPr>
            <w:tcW w:w="1181" w:type="dxa"/>
            <w:vAlign w:val="bottom"/>
          </w:tcPr>
          <w:p w14:paraId="4213CAB5" w14:textId="77777777" w:rsidR="00A86883" w:rsidRPr="00D272CC" w:rsidRDefault="00A86883" w:rsidP="008B6A84">
            <w:pPr>
              <w:pStyle w:val="Table"/>
              <w:jc w:val="center"/>
              <w:rPr>
                <w:lang w:val="en-GB"/>
              </w:rPr>
            </w:pPr>
            <w:r>
              <w:t>-0.050</w:t>
            </w:r>
          </w:p>
        </w:tc>
        <w:tc>
          <w:tcPr>
            <w:tcW w:w="1181" w:type="dxa"/>
            <w:vAlign w:val="bottom"/>
          </w:tcPr>
          <w:p w14:paraId="0C545095" w14:textId="77777777" w:rsidR="00A86883" w:rsidRPr="00D272CC" w:rsidRDefault="00A86883" w:rsidP="008B6A84">
            <w:pPr>
              <w:pStyle w:val="Table"/>
              <w:jc w:val="center"/>
              <w:rPr>
                <w:lang w:val="en-GB"/>
              </w:rPr>
            </w:pPr>
            <w:r>
              <w:t>(-1.16)</w:t>
            </w:r>
          </w:p>
        </w:tc>
        <w:tc>
          <w:tcPr>
            <w:tcW w:w="1181" w:type="dxa"/>
            <w:vAlign w:val="bottom"/>
          </w:tcPr>
          <w:p w14:paraId="19A41AE7" w14:textId="77777777" w:rsidR="00A86883" w:rsidRPr="00D272CC" w:rsidRDefault="00A86883" w:rsidP="00DA0E5B">
            <w:pPr>
              <w:pStyle w:val="Table"/>
              <w:jc w:val="center"/>
              <w:rPr>
                <w:lang w:val="en-GB"/>
              </w:rPr>
            </w:pPr>
            <w:r>
              <w:t>-0.038</w:t>
            </w:r>
          </w:p>
        </w:tc>
        <w:tc>
          <w:tcPr>
            <w:tcW w:w="1181" w:type="dxa"/>
            <w:vAlign w:val="bottom"/>
          </w:tcPr>
          <w:p w14:paraId="47A8E14A" w14:textId="77777777" w:rsidR="00A86883" w:rsidRPr="00D272CC" w:rsidRDefault="00A86883" w:rsidP="00DA0E5B">
            <w:pPr>
              <w:pStyle w:val="Table"/>
              <w:jc w:val="center"/>
              <w:rPr>
                <w:lang w:val="en-GB"/>
              </w:rPr>
            </w:pPr>
            <w:r>
              <w:t>(-0.58)</w:t>
            </w:r>
          </w:p>
        </w:tc>
        <w:tc>
          <w:tcPr>
            <w:tcW w:w="1181" w:type="dxa"/>
            <w:vAlign w:val="bottom"/>
          </w:tcPr>
          <w:p w14:paraId="34D7B7C3" w14:textId="77777777" w:rsidR="00A86883" w:rsidRDefault="00A86883" w:rsidP="008B6A84">
            <w:pPr>
              <w:pStyle w:val="Table"/>
              <w:jc w:val="center"/>
            </w:pPr>
            <w:r>
              <w:t>-0.051</w:t>
            </w:r>
          </w:p>
        </w:tc>
        <w:tc>
          <w:tcPr>
            <w:tcW w:w="1181" w:type="dxa"/>
            <w:vAlign w:val="bottom"/>
          </w:tcPr>
          <w:p w14:paraId="52B1928C" w14:textId="77777777" w:rsidR="00A86883" w:rsidRDefault="00A86883" w:rsidP="008B6A84">
            <w:pPr>
              <w:pStyle w:val="Table"/>
              <w:jc w:val="center"/>
            </w:pPr>
            <w:r>
              <w:t>(-1.10)</w:t>
            </w:r>
          </w:p>
        </w:tc>
      </w:tr>
      <w:tr w:rsidR="00A86883" w:rsidRPr="00D272CC" w14:paraId="09441769" w14:textId="77777777" w:rsidTr="00DA0E5B">
        <w:tc>
          <w:tcPr>
            <w:tcW w:w="1985" w:type="dxa"/>
          </w:tcPr>
          <w:p w14:paraId="73892362" w14:textId="77777777" w:rsidR="00A86883" w:rsidRPr="00D272CC" w:rsidRDefault="00A86883" w:rsidP="002C4969">
            <w:pPr>
              <w:pStyle w:val="Table"/>
              <w:rPr>
                <w:szCs w:val="20"/>
                <w:lang w:val="en-GB"/>
              </w:rPr>
            </w:pPr>
            <w:r w:rsidRPr="00D272CC">
              <w:rPr>
                <w:szCs w:val="20"/>
                <w:lang w:val="en-GB"/>
              </w:rPr>
              <w:t>INDUSTRY4</w:t>
            </w:r>
          </w:p>
        </w:tc>
        <w:tc>
          <w:tcPr>
            <w:tcW w:w="1181" w:type="dxa"/>
            <w:vAlign w:val="bottom"/>
          </w:tcPr>
          <w:p w14:paraId="6F1F4D2D" w14:textId="77777777" w:rsidR="00A86883" w:rsidRPr="00D272CC" w:rsidRDefault="00A86883" w:rsidP="008B6A84">
            <w:pPr>
              <w:pStyle w:val="Table"/>
              <w:jc w:val="center"/>
              <w:rPr>
                <w:lang w:val="en-GB"/>
              </w:rPr>
            </w:pPr>
            <w:r>
              <w:t>-0.123</w:t>
            </w:r>
          </w:p>
        </w:tc>
        <w:tc>
          <w:tcPr>
            <w:tcW w:w="1181" w:type="dxa"/>
            <w:vAlign w:val="bottom"/>
          </w:tcPr>
          <w:p w14:paraId="1EE0B65A" w14:textId="77777777" w:rsidR="00A86883" w:rsidRPr="00D272CC" w:rsidRDefault="00A86883" w:rsidP="008B6A84">
            <w:pPr>
              <w:pStyle w:val="Table"/>
              <w:jc w:val="center"/>
              <w:rPr>
                <w:lang w:val="en-GB"/>
              </w:rPr>
            </w:pPr>
            <w:r>
              <w:t>(-5.24)***</w:t>
            </w:r>
          </w:p>
        </w:tc>
        <w:tc>
          <w:tcPr>
            <w:tcW w:w="1181" w:type="dxa"/>
            <w:vAlign w:val="bottom"/>
          </w:tcPr>
          <w:p w14:paraId="2DC0700A" w14:textId="77777777" w:rsidR="00A86883" w:rsidRPr="00D272CC" w:rsidRDefault="00A86883" w:rsidP="00DA0E5B">
            <w:pPr>
              <w:pStyle w:val="Table"/>
              <w:jc w:val="center"/>
              <w:rPr>
                <w:lang w:val="en-GB"/>
              </w:rPr>
            </w:pPr>
            <w:r>
              <w:t>-0.173</w:t>
            </w:r>
          </w:p>
        </w:tc>
        <w:tc>
          <w:tcPr>
            <w:tcW w:w="1181" w:type="dxa"/>
            <w:vAlign w:val="bottom"/>
          </w:tcPr>
          <w:p w14:paraId="4A970533" w14:textId="77777777" w:rsidR="00A86883" w:rsidRPr="00D272CC" w:rsidRDefault="00A86883" w:rsidP="00DA0E5B">
            <w:pPr>
              <w:pStyle w:val="Table"/>
              <w:jc w:val="center"/>
              <w:rPr>
                <w:lang w:val="en-GB"/>
              </w:rPr>
            </w:pPr>
            <w:r>
              <w:t>(-5.35)***</w:t>
            </w:r>
          </w:p>
        </w:tc>
        <w:tc>
          <w:tcPr>
            <w:tcW w:w="1181" w:type="dxa"/>
            <w:vAlign w:val="bottom"/>
          </w:tcPr>
          <w:p w14:paraId="1EAF6001" w14:textId="77777777" w:rsidR="00A86883" w:rsidRDefault="00A86883" w:rsidP="008B6A84">
            <w:pPr>
              <w:pStyle w:val="Table"/>
              <w:jc w:val="center"/>
            </w:pPr>
            <w:r>
              <w:t>-0.126</w:t>
            </w:r>
          </w:p>
        </w:tc>
        <w:tc>
          <w:tcPr>
            <w:tcW w:w="1181" w:type="dxa"/>
            <w:vAlign w:val="bottom"/>
          </w:tcPr>
          <w:p w14:paraId="4902BE1C" w14:textId="77777777" w:rsidR="00A86883" w:rsidRDefault="00A86883" w:rsidP="008B6A84">
            <w:pPr>
              <w:pStyle w:val="Table"/>
              <w:jc w:val="center"/>
            </w:pPr>
            <w:r>
              <w:t>(-5.24)***</w:t>
            </w:r>
          </w:p>
        </w:tc>
      </w:tr>
      <w:tr w:rsidR="00A86883" w:rsidRPr="00D272CC" w14:paraId="07C5158A" w14:textId="77777777" w:rsidTr="00DA0E5B">
        <w:tc>
          <w:tcPr>
            <w:tcW w:w="1985" w:type="dxa"/>
          </w:tcPr>
          <w:p w14:paraId="1442C574" w14:textId="77777777" w:rsidR="00A86883" w:rsidRPr="00D272CC" w:rsidRDefault="00A86883" w:rsidP="002C4969">
            <w:pPr>
              <w:pStyle w:val="Table"/>
              <w:rPr>
                <w:szCs w:val="20"/>
                <w:lang w:val="en-GB"/>
              </w:rPr>
            </w:pPr>
            <w:r w:rsidRPr="00D272CC">
              <w:rPr>
                <w:szCs w:val="20"/>
                <w:lang w:val="en-GB"/>
              </w:rPr>
              <w:t>INDUSTRY5</w:t>
            </w:r>
          </w:p>
        </w:tc>
        <w:tc>
          <w:tcPr>
            <w:tcW w:w="1181" w:type="dxa"/>
            <w:vAlign w:val="bottom"/>
          </w:tcPr>
          <w:p w14:paraId="609DB05B" w14:textId="77777777" w:rsidR="00A86883" w:rsidRPr="00D272CC" w:rsidRDefault="00A86883" w:rsidP="008B6A84">
            <w:pPr>
              <w:pStyle w:val="Table"/>
              <w:jc w:val="center"/>
              <w:rPr>
                <w:lang w:val="en-GB"/>
              </w:rPr>
            </w:pPr>
            <w:r>
              <w:t>-0.106</w:t>
            </w:r>
          </w:p>
        </w:tc>
        <w:tc>
          <w:tcPr>
            <w:tcW w:w="1181" w:type="dxa"/>
            <w:vAlign w:val="bottom"/>
          </w:tcPr>
          <w:p w14:paraId="1C837C43" w14:textId="77777777" w:rsidR="00A86883" w:rsidRPr="00D272CC" w:rsidRDefault="00A86883" w:rsidP="008B6A84">
            <w:pPr>
              <w:pStyle w:val="Table"/>
              <w:jc w:val="center"/>
              <w:rPr>
                <w:lang w:val="en-GB"/>
              </w:rPr>
            </w:pPr>
            <w:r>
              <w:t>(-3.60)***</w:t>
            </w:r>
          </w:p>
        </w:tc>
        <w:tc>
          <w:tcPr>
            <w:tcW w:w="1181" w:type="dxa"/>
            <w:vAlign w:val="bottom"/>
          </w:tcPr>
          <w:p w14:paraId="7B42CAB6" w14:textId="77777777" w:rsidR="00A86883" w:rsidRPr="00D272CC" w:rsidRDefault="00A86883" w:rsidP="00DA0E5B">
            <w:pPr>
              <w:pStyle w:val="Table"/>
              <w:jc w:val="center"/>
              <w:rPr>
                <w:lang w:val="en-GB"/>
              </w:rPr>
            </w:pPr>
            <w:r>
              <w:t>-0.085</w:t>
            </w:r>
          </w:p>
        </w:tc>
        <w:tc>
          <w:tcPr>
            <w:tcW w:w="1181" w:type="dxa"/>
            <w:vAlign w:val="bottom"/>
          </w:tcPr>
          <w:p w14:paraId="4C67A70C" w14:textId="77777777" w:rsidR="00A86883" w:rsidRPr="00D272CC" w:rsidRDefault="00A86883" w:rsidP="00DA0E5B">
            <w:pPr>
              <w:pStyle w:val="Table"/>
              <w:jc w:val="center"/>
              <w:rPr>
                <w:lang w:val="en-GB"/>
              </w:rPr>
            </w:pPr>
            <w:r>
              <w:t>(-1.40)</w:t>
            </w:r>
          </w:p>
        </w:tc>
        <w:tc>
          <w:tcPr>
            <w:tcW w:w="1181" w:type="dxa"/>
            <w:vAlign w:val="bottom"/>
          </w:tcPr>
          <w:p w14:paraId="3F8045CF" w14:textId="77777777" w:rsidR="00A86883" w:rsidRDefault="00A86883" w:rsidP="008B6A84">
            <w:pPr>
              <w:pStyle w:val="Table"/>
              <w:jc w:val="center"/>
            </w:pPr>
            <w:r>
              <w:t>-0.115</w:t>
            </w:r>
          </w:p>
        </w:tc>
        <w:tc>
          <w:tcPr>
            <w:tcW w:w="1181" w:type="dxa"/>
            <w:vAlign w:val="bottom"/>
          </w:tcPr>
          <w:p w14:paraId="3702F6DC" w14:textId="77777777" w:rsidR="00A86883" w:rsidRDefault="00A86883" w:rsidP="008B6A84">
            <w:pPr>
              <w:pStyle w:val="Table"/>
              <w:jc w:val="center"/>
            </w:pPr>
            <w:r>
              <w:t>(-3.66)***</w:t>
            </w:r>
          </w:p>
        </w:tc>
      </w:tr>
      <w:tr w:rsidR="00A86883" w:rsidRPr="00D272CC" w14:paraId="1A2328D3" w14:textId="77777777" w:rsidTr="00DA0E5B">
        <w:tc>
          <w:tcPr>
            <w:tcW w:w="1985" w:type="dxa"/>
          </w:tcPr>
          <w:p w14:paraId="2ED80AC7" w14:textId="77777777" w:rsidR="00A86883" w:rsidRPr="00D272CC" w:rsidRDefault="00A86883" w:rsidP="002C4969">
            <w:pPr>
              <w:pStyle w:val="Table"/>
              <w:rPr>
                <w:szCs w:val="20"/>
                <w:lang w:val="en-GB"/>
              </w:rPr>
            </w:pPr>
            <w:r w:rsidRPr="00D272CC">
              <w:rPr>
                <w:szCs w:val="20"/>
                <w:lang w:val="en-GB"/>
              </w:rPr>
              <w:t>INDUSTRY6</w:t>
            </w:r>
          </w:p>
        </w:tc>
        <w:tc>
          <w:tcPr>
            <w:tcW w:w="1181" w:type="dxa"/>
            <w:vAlign w:val="bottom"/>
          </w:tcPr>
          <w:p w14:paraId="31223E40" w14:textId="77777777" w:rsidR="00A86883" w:rsidRPr="00D272CC" w:rsidRDefault="00A86883" w:rsidP="008B6A84">
            <w:pPr>
              <w:pStyle w:val="Table"/>
              <w:jc w:val="center"/>
              <w:rPr>
                <w:lang w:val="en-GB"/>
              </w:rPr>
            </w:pPr>
            <w:r>
              <w:t>-0.060</w:t>
            </w:r>
          </w:p>
        </w:tc>
        <w:tc>
          <w:tcPr>
            <w:tcW w:w="1181" w:type="dxa"/>
            <w:vAlign w:val="bottom"/>
          </w:tcPr>
          <w:p w14:paraId="09BADB72" w14:textId="77777777" w:rsidR="00A86883" w:rsidRPr="00D272CC" w:rsidRDefault="00A86883" w:rsidP="008B6A84">
            <w:pPr>
              <w:pStyle w:val="Table"/>
              <w:jc w:val="center"/>
              <w:rPr>
                <w:lang w:val="en-GB"/>
              </w:rPr>
            </w:pPr>
            <w:r>
              <w:t>(-1.54)</w:t>
            </w:r>
          </w:p>
        </w:tc>
        <w:tc>
          <w:tcPr>
            <w:tcW w:w="1181" w:type="dxa"/>
            <w:vAlign w:val="bottom"/>
          </w:tcPr>
          <w:p w14:paraId="60814EBF" w14:textId="77777777" w:rsidR="00A86883" w:rsidRPr="00D272CC" w:rsidRDefault="00A86883" w:rsidP="00DA0E5B">
            <w:pPr>
              <w:pStyle w:val="Table"/>
              <w:jc w:val="center"/>
              <w:rPr>
                <w:lang w:val="en-GB"/>
              </w:rPr>
            </w:pPr>
            <w:r>
              <w:t>-0.034</w:t>
            </w:r>
          </w:p>
        </w:tc>
        <w:tc>
          <w:tcPr>
            <w:tcW w:w="1181" w:type="dxa"/>
            <w:vAlign w:val="bottom"/>
          </w:tcPr>
          <w:p w14:paraId="5BB6E747" w14:textId="77777777" w:rsidR="00A86883" w:rsidRPr="00D272CC" w:rsidRDefault="00A86883" w:rsidP="00DA0E5B">
            <w:pPr>
              <w:pStyle w:val="Table"/>
              <w:jc w:val="center"/>
              <w:rPr>
                <w:lang w:val="en-GB"/>
              </w:rPr>
            </w:pPr>
            <w:r>
              <w:t>(-0.39)</w:t>
            </w:r>
          </w:p>
        </w:tc>
        <w:tc>
          <w:tcPr>
            <w:tcW w:w="1181" w:type="dxa"/>
            <w:vAlign w:val="bottom"/>
          </w:tcPr>
          <w:p w14:paraId="12D36C3B" w14:textId="77777777" w:rsidR="00A86883" w:rsidRDefault="00A86883" w:rsidP="008B6A84">
            <w:pPr>
              <w:pStyle w:val="Table"/>
              <w:jc w:val="center"/>
            </w:pPr>
            <w:r>
              <w:t>-0.052</w:t>
            </w:r>
          </w:p>
        </w:tc>
        <w:tc>
          <w:tcPr>
            <w:tcW w:w="1181" w:type="dxa"/>
            <w:vAlign w:val="bottom"/>
          </w:tcPr>
          <w:p w14:paraId="53EBDA51" w14:textId="77777777" w:rsidR="00A86883" w:rsidRDefault="00A86883" w:rsidP="008B6A84">
            <w:pPr>
              <w:pStyle w:val="Table"/>
              <w:jc w:val="center"/>
            </w:pPr>
            <w:r>
              <w:t>(-1.14)</w:t>
            </w:r>
          </w:p>
        </w:tc>
      </w:tr>
      <w:tr w:rsidR="00A86883" w:rsidRPr="00D272CC" w14:paraId="097E8B73" w14:textId="77777777" w:rsidTr="00DA0E5B">
        <w:tc>
          <w:tcPr>
            <w:tcW w:w="1985" w:type="dxa"/>
          </w:tcPr>
          <w:p w14:paraId="51E1E07F" w14:textId="77777777" w:rsidR="00A86883" w:rsidRPr="00D272CC" w:rsidRDefault="00A86883" w:rsidP="002C4969">
            <w:pPr>
              <w:pStyle w:val="Table"/>
              <w:rPr>
                <w:szCs w:val="20"/>
                <w:lang w:val="en-GB"/>
              </w:rPr>
            </w:pPr>
            <w:r w:rsidRPr="00D272CC">
              <w:rPr>
                <w:szCs w:val="20"/>
                <w:lang w:val="en-GB"/>
              </w:rPr>
              <w:t>INDUSTRY7</w:t>
            </w:r>
          </w:p>
        </w:tc>
        <w:tc>
          <w:tcPr>
            <w:tcW w:w="1181" w:type="dxa"/>
            <w:vAlign w:val="bottom"/>
          </w:tcPr>
          <w:p w14:paraId="616E4AAA" w14:textId="77777777" w:rsidR="00A86883" w:rsidRPr="00D272CC" w:rsidRDefault="00A86883" w:rsidP="008B6A84">
            <w:pPr>
              <w:pStyle w:val="Table"/>
              <w:jc w:val="center"/>
              <w:rPr>
                <w:lang w:val="en-GB"/>
              </w:rPr>
            </w:pPr>
            <w:r>
              <w:t>-0.051</w:t>
            </w:r>
          </w:p>
        </w:tc>
        <w:tc>
          <w:tcPr>
            <w:tcW w:w="1181" w:type="dxa"/>
            <w:vAlign w:val="bottom"/>
          </w:tcPr>
          <w:p w14:paraId="5F33567D" w14:textId="77777777" w:rsidR="00A86883" w:rsidRPr="00D272CC" w:rsidRDefault="00A86883" w:rsidP="008B6A84">
            <w:pPr>
              <w:pStyle w:val="Table"/>
              <w:jc w:val="center"/>
              <w:rPr>
                <w:lang w:val="en-GB"/>
              </w:rPr>
            </w:pPr>
            <w:r>
              <w:t>(-1.02)</w:t>
            </w:r>
          </w:p>
        </w:tc>
        <w:tc>
          <w:tcPr>
            <w:tcW w:w="1181" w:type="dxa"/>
            <w:vAlign w:val="bottom"/>
          </w:tcPr>
          <w:p w14:paraId="4F89E77B" w14:textId="77777777" w:rsidR="00A86883" w:rsidRPr="00D272CC" w:rsidRDefault="00A86883" w:rsidP="00DA0E5B">
            <w:pPr>
              <w:pStyle w:val="Table"/>
              <w:jc w:val="center"/>
              <w:rPr>
                <w:lang w:val="en-GB"/>
              </w:rPr>
            </w:pPr>
            <w:r>
              <w:t>-0.071</w:t>
            </w:r>
          </w:p>
        </w:tc>
        <w:tc>
          <w:tcPr>
            <w:tcW w:w="1181" w:type="dxa"/>
            <w:vAlign w:val="bottom"/>
          </w:tcPr>
          <w:p w14:paraId="78822D00" w14:textId="77777777" w:rsidR="00A86883" w:rsidRPr="00D272CC" w:rsidRDefault="00A86883" w:rsidP="00DA0E5B">
            <w:pPr>
              <w:pStyle w:val="Table"/>
              <w:jc w:val="center"/>
              <w:rPr>
                <w:lang w:val="en-GB"/>
              </w:rPr>
            </w:pPr>
            <w:r>
              <w:t>(-1.02)</w:t>
            </w:r>
          </w:p>
        </w:tc>
        <w:tc>
          <w:tcPr>
            <w:tcW w:w="1181" w:type="dxa"/>
            <w:vAlign w:val="bottom"/>
          </w:tcPr>
          <w:p w14:paraId="3505589B" w14:textId="77777777" w:rsidR="00A86883" w:rsidRDefault="00A86883" w:rsidP="008B6A84">
            <w:pPr>
              <w:pStyle w:val="Table"/>
              <w:jc w:val="center"/>
            </w:pPr>
            <w:r>
              <w:t>-0.048</w:t>
            </w:r>
          </w:p>
        </w:tc>
        <w:tc>
          <w:tcPr>
            <w:tcW w:w="1181" w:type="dxa"/>
            <w:vAlign w:val="bottom"/>
          </w:tcPr>
          <w:p w14:paraId="2924F2AC" w14:textId="77777777" w:rsidR="00A86883" w:rsidRDefault="00A86883" w:rsidP="008B6A84">
            <w:pPr>
              <w:pStyle w:val="Table"/>
              <w:jc w:val="center"/>
            </w:pPr>
            <w:r>
              <w:t>(-0.85)</w:t>
            </w:r>
          </w:p>
        </w:tc>
      </w:tr>
      <w:tr w:rsidR="00A86883" w:rsidRPr="00D272CC" w14:paraId="468F692A" w14:textId="77777777" w:rsidTr="00DA0E5B">
        <w:tc>
          <w:tcPr>
            <w:tcW w:w="1985" w:type="dxa"/>
          </w:tcPr>
          <w:p w14:paraId="56B881E2" w14:textId="77777777" w:rsidR="00A86883" w:rsidRPr="00D272CC" w:rsidRDefault="00A86883" w:rsidP="002C4969">
            <w:pPr>
              <w:pStyle w:val="Table"/>
              <w:rPr>
                <w:szCs w:val="20"/>
                <w:lang w:val="en-GB"/>
              </w:rPr>
            </w:pPr>
            <w:r w:rsidRPr="00D272CC">
              <w:rPr>
                <w:szCs w:val="20"/>
                <w:lang w:val="en-GB"/>
              </w:rPr>
              <w:t>INDUSTRY8</w:t>
            </w:r>
          </w:p>
        </w:tc>
        <w:tc>
          <w:tcPr>
            <w:tcW w:w="1181" w:type="dxa"/>
            <w:vAlign w:val="bottom"/>
          </w:tcPr>
          <w:p w14:paraId="7F5BA366" w14:textId="77777777" w:rsidR="00A86883" w:rsidRPr="00D272CC" w:rsidRDefault="00A86883" w:rsidP="008B6A84">
            <w:pPr>
              <w:pStyle w:val="Table"/>
              <w:jc w:val="center"/>
              <w:rPr>
                <w:lang w:val="en-GB"/>
              </w:rPr>
            </w:pPr>
            <w:r>
              <w:t>-0.113</w:t>
            </w:r>
          </w:p>
        </w:tc>
        <w:tc>
          <w:tcPr>
            <w:tcW w:w="1181" w:type="dxa"/>
            <w:vAlign w:val="bottom"/>
          </w:tcPr>
          <w:p w14:paraId="79987A42" w14:textId="77777777" w:rsidR="00A86883" w:rsidRPr="00D272CC" w:rsidRDefault="00A86883" w:rsidP="008B6A84">
            <w:pPr>
              <w:pStyle w:val="Table"/>
              <w:jc w:val="center"/>
              <w:rPr>
                <w:lang w:val="en-GB"/>
              </w:rPr>
            </w:pPr>
            <w:r>
              <w:t>(-2.92)***</w:t>
            </w:r>
          </w:p>
        </w:tc>
        <w:tc>
          <w:tcPr>
            <w:tcW w:w="1181" w:type="dxa"/>
            <w:vAlign w:val="bottom"/>
          </w:tcPr>
          <w:p w14:paraId="69974011" w14:textId="77777777" w:rsidR="00A86883" w:rsidRPr="00D272CC" w:rsidRDefault="00A86883" w:rsidP="00DA0E5B">
            <w:pPr>
              <w:pStyle w:val="Table"/>
              <w:jc w:val="center"/>
              <w:rPr>
                <w:lang w:val="en-GB"/>
              </w:rPr>
            </w:pPr>
            <w:r>
              <w:t>-0.101</w:t>
            </w:r>
          </w:p>
        </w:tc>
        <w:tc>
          <w:tcPr>
            <w:tcW w:w="1181" w:type="dxa"/>
            <w:vAlign w:val="bottom"/>
          </w:tcPr>
          <w:p w14:paraId="6A81C362" w14:textId="77777777" w:rsidR="00A86883" w:rsidRPr="00D272CC" w:rsidRDefault="00A86883" w:rsidP="00DA0E5B">
            <w:pPr>
              <w:pStyle w:val="Table"/>
              <w:jc w:val="center"/>
              <w:rPr>
                <w:lang w:val="en-GB"/>
              </w:rPr>
            </w:pPr>
            <w:r>
              <w:t>(-1.92)*</w:t>
            </w:r>
          </w:p>
        </w:tc>
        <w:tc>
          <w:tcPr>
            <w:tcW w:w="1181" w:type="dxa"/>
            <w:vAlign w:val="bottom"/>
          </w:tcPr>
          <w:p w14:paraId="0F31866F" w14:textId="77777777" w:rsidR="00A86883" w:rsidRDefault="00A86883" w:rsidP="008B6A84">
            <w:pPr>
              <w:pStyle w:val="Table"/>
              <w:jc w:val="center"/>
            </w:pPr>
            <w:r>
              <w:t>-0.114</w:t>
            </w:r>
          </w:p>
        </w:tc>
        <w:tc>
          <w:tcPr>
            <w:tcW w:w="1181" w:type="dxa"/>
            <w:vAlign w:val="bottom"/>
          </w:tcPr>
          <w:p w14:paraId="79FEFF27" w14:textId="77777777" w:rsidR="00A86883" w:rsidRDefault="00A86883" w:rsidP="008B6A84">
            <w:pPr>
              <w:pStyle w:val="Table"/>
              <w:jc w:val="center"/>
            </w:pPr>
            <w:r>
              <w:t>(-2.82)***</w:t>
            </w:r>
          </w:p>
        </w:tc>
      </w:tr>
      <w:tr w:rsidR="00A86883" w:rsidRPr="00D272CC" w14:paraId="2338624D" w14:textId="77777777" w:rsidTr="00DA0E5B">
        <w:tc>
          <w:tcPr>
            <w:tcW w:w="1985" w:type="dxa"/>
          </w:tcPr>
          <w:p w14:paraId="06C23C9D" w14:textId="77777777" w:rsidR="00A86883" w:rsidRPr="00D272CC" w:rsidRDefault="00A86883" w:rsidP="002C4969">
            <w:pPr>
              <w:pStyle w:val="Table"/>
              <w:rPr>
                <w:szCs w:val="20"/>
                <w:lang w:val="en-GB"/>
              </w:rPr>
            </w:pPr>
            <w:r w:rsidRPr="00D272CC">
              <w:rPr>
                <w:szCs w:val="20"/>
                <w:lang w:val="en-GB"/>
              </w:rPr>
              <w:t>INDUSTRY9</w:t>
            </w:r>
          </w:p>
        </w:tc>
        <w:tc>
          <w:tcPr>
            <w:tcW w:w="1181" w:type="dxa"/>
            <w:vAlign w:val="bottom"/>
          </w:tcPr>
          <w:p w14:paraId="649C0A08" w14:textId="77777777" w:rsidR="00A86883" w:rsidRPr="00D272CC" w:rsidRDefault="00A86883" w:rsidP="008B6A84">
            <w:pPr>
              <w:pStyle w:val="Table"/>
              <w:jc w:val="center"/>
              <w:rPr>
                <w:lang w:val="en-GB"/>
              </w:rPr>
            </w:pPr>
            <w:r>
              <w:t>-0.079</w:t>
            </w:r>
          </w:p>
        </w:tc>
        <w:tc>
          <w:tcPr>
            <w:tcW w:w="1181" w:type="dxa"/>
            <w:vAlign w:val="bottom"/>
          </w:tcPr>
          <w:p w14:paraId="5139BB2F" w14:textId="77777777" w:rsidR="00A86883" w:rsidRPr="00D272CC" w:rsidRDefault="00A86883" w:rsidP="008B6A84">
            <w:pPr>
              <w:pStyle w:val="Table"/>
              <w:jc w:val="center"/>
              <w:rPr>
                <w:lang w:val="en-GB"/>
              </w:rPr>
            </w:pPr>
            <w:r>
              <w:t>(-1.69)*</w:t>
            </w:r>
          </w:p>
        </w:tc>
        <w:tc>
          <w:tcPr>
            <w:tcW w:w="1181" w:type="dxa"/>
            <w:vAlign w:val="bottom"/>
          </w:tcPr>
          <w:p w14:paraId="2ECED198" w14:textId="77777777" w:rsidR="00A86883" w:rsidRPr="00D272CC" w:rsidRDefault="00A86883" w:rsidP="00DA0E5B">
            <w:pPr>
              <w:pStyle w:val="Table"/>
              <w:jc w:val="center"/>
              <w:rPr>
                <w:lang w:val="en-GB"/>
              </w:rPr>
            </w:pPr>
            <w:r>
              <w:t>-0.123</w:t>
            </w:r>
          </w:p>
        </w:tc>
        <w:tc>
          <w:tcPr>
            <w:tcW w:w="1181" w:type="dxa"/>
            <w:vAlign w:val="bottom"/>
          </w:tcPr>
          <w:p w14:paraId="4F4B6DB0" w14:textId="77777777" w:rsidR="00A86883" w:rsidRPr="00D272CC" w:rsidRDefault="00A86883" w:rsidP="00DA0E5B">
            <w:pPr>
              <w:pStyle w:val="Table"/>
              <w:jc w:val="center"/>
              <w:rPr>
                <w:lang w:val="en-GB"/>
              </w:rPr>
            </w:pPr>
            <w:r>
              <w:t>(-1.83)*</w:t>
            </w:r>
          </w:p>
        </w:tc>
        <w:tc>
          <w:tcPr>
            <w:tcW w:w="1181" w:type="dxa"/>
            <w:vAlign w:val="bottom"/>
          </w:tcPr>
          <w:p w14:paraId="1BBBDEFE" w14:textId="77777777" w:rsidR="00A86883" w:rsidRDefault="00A86883" w:rsidP="008B6A84">
            <w:pPr>
              <w:pStyle w:val="Table"/>
              <w:jc w:val="center"/>
            </w:pPr>
            <w:r>
              <w:t>-0.106</w:t>
            </w:r>
          </w:p>
        </w:tc>
        <w:tc>
          <w:tcPr>
            <w:tcW w:w="1181" w:type="dxa"/>
            <w:vAlign w:val="bottom"/>
          </w:tcPr>
          <w:p w14:paraId="116678E3" w14:textId="77777777" w:rsidR="00A86883" w:rsidRDefault="00A86883" w:rsidP="008B6A84">
            <w:pPr>
              <w:pStyle w:val="Table"/>
              <w:jc w:val="center"/>
            </w:pPr>
            <w:r>
              <w:t>(-3.04)***</w:t>
            </w:r>
          </w:p>
        </w:tc>
      </w:tr>
      <w:tr w:rsidR="00A86883" w:rsidRPr="00D272CC" w14:paraId="693A26D3" w14:textId="77777777" w:rsidTr="00DA0E5B">
        <w:tc>
          <w:tcPr>
            <w:tcW w:w="1985" w:type="dxa"/>
          </w:tcPr>
          <w:p w14:paraId="451FE28A" w14:textId="77777777" w:rsidR="00A86883" w:rsidRPr="00D272CC" w:rsidRDefault="00A86883" w:rsidP="002C4969">
            <w:pPr>
              <w:pStyle w:val="Table"/>
              <w:rPr>
                <w:szCs w:val="20"/>
                <w:lang w:val="en-GB"/>
              </w:rPr>
            </w:pPr>
            <w:r w:rsidRPr="00D272CC">
              <w:rPr>
                <w:lang w:val="en-GB"/>
              </w:rPr>
              <w:t>SIZE</w:t>
            </w:r>
          </w:p>
        </w:tc>
        <w:tc>
          <w:tcPr>
            <w:tcW w:w="1181" w:type="dxa"/>
            <w:vAlign w:val="bottom"/>
          </w:tcPr>
          <w:p w14:paraId="7342954E" w14:textId="77777777" w:rsidR="00A86883" w:rsidRPr="00D272CC" w:rsidRDefault="00A86883" w:rsidP="008B6A84">
            <w:pPr>
              <w:pStyle w:val="Table"/>
              <w:jc w:val="center"/>
              <w:rPr>
                <w:lang w:val="en-GB"/>
              </w:rPr>
            </w:pPr>
            <w:r>
              <w:t>0.059</w:t>
            </w:r>
          </w:p>
        </w:tc>
        <w:tc>
          <w:tcPr>
            <w:tcW w:w="1181" w:type="dxa"/>
            <w:vAlign w:val="bottom"/>
          </w:tcPr>
          <w:p w14:paraId="5C66D4FC" w14:textId="77777777" w:rsidR="00A86883" w:rsidRPr="00D272CC" w:rsidRDefault="00A86883" w:rsidP="008B6A84">
            <w:pPr>
              <w:pStyle w:val="Table"/>
              <w:jc w:val="center"/>
              <w:rPr>
                <w:lang w:val="en-GB"/>
              </w:rPr>
            </w:pPr>
            <w:r>
              <w:t>(2.97)***</w:t>
            </w:r>
          </w:p>
        </w:tc>
        <w:tc>
          <w:tcPr>
            <w:tcW w:w="1181" w:type="dxa"/>
            <w:vAlign w:val="bottom"/>
          </w:tcPr>
          <w:p w14:paraId="7005A6EE" w14:textId="77777777" w:rsidR="00A86883" w:rsidRPr="00D272CC" w:rsidRDefault="00A86883" w:rsidP="00DA0E5B">
            <w:pPr>
              <w:pStyle w:val="Table"/>
              <w:jc w:val="center"/>
              <w:rPr>
                <w:lang w:val="en-GB"/>
              </w:rPr>
            </w:pPr>
            <w:r>
              <w:t>0.052</w:t>
            </w:r>
          </w:p>
        </w:tc>
        <w:tc>
          <w:tcPr>
            <w:tcW w:w="1181" w:type="dxa"/>
            <w:vAlign w:val="bottom"/>
          </w:tcPr>
          <w:p w14:paraId="23E1DB12" w14:textId="77777777" w:rsidR="00A86883" w:rsidRPr="00D272CC" w:rsidRDefault="00A86883" w:rsidP="00DA0E5B">
            <w:pPr>
              <w:pStyle w:val="Table"/>
              <w:jc w:val="center"/>
              <w:rPr>
                <w:lang w:val="en-GB"/>
              </w:rPr>
            </w:pPr>
            <w:r>
              <w:t>(2.49)**</w:t>
            </w:r>
          </w:p>
        </w:tc>
        <w:tc>
          <w:tcPr>
            <w:tcW w:w="1181" w:type="dxa"/>
            <w:vAlign w:val="bottom"/>
          </w:tcPr>
          <w:p w14:paraId="2A9DF684" w14:textId="77777777" w:rsidR="00A86883" w:rsidRDefault="00A86883" w:rsidP="008B6A84">
            <w:pPr>
              <w:pStyle w:val="Table"/>
              <w:jc w:val="center"/>
            </w:pPr>
            <w:r>
              <w:t>0.058</w:t>
            </w:r>
          </w:p>
        </w:tc>
        <w:tc>
          <w:tcPr>
            <w:tcW w:w="1181" w:type="dxa"/>
            <w:vAlign w:val="bottom"/>
          </w:tcPr>
          <w:p w14:paraId="0906E98B" w14:textId="77777777" w:rsidR="00A86883" w:rsidRDefault="00A86883" w:rsidP="008B6A84">
            <w:pPr>
              <w:pStyle w:val="Table"/>
              <w:jc w:val="center"/>
            </w:pPr>
            <w:r>
              <w:t>(2.98)***</w:t>
            </w:r>
          </w:p>
        </w:tc>
      </w:tr>
      <w:tr w:rsidR="00A86883" w:rsidRPr="00D272CC" w14:paraId="7C69A3DF" w14:textId="77777777" w:rsidTr="00DA0E5B">
        <w:tc>
          <w:tcPr>
            <w:tcW w:w="1985" w:type="dxa"/>
          </w:tcPr>
          <w:p w14:paraId="76F068BB" w14:textId="77777777" w:rsidR="00A86883" w:rsidRPr="00D272CC" w:rsidRDefault="00A86883" w:rsidP="002C4969">
            <w:pPr>
              <w:pStyle w:val="Table"/>
              <w:rPr>
                <w:szCs w:val="20"/>
                <w:lang w:val="en-GB"/>
              </w:rPr>
            </w:pPr>
            <w:r>
              <w:rPr>
                <w:lang w:val="en-GB"/>
              </w:rPr>
              <w:t>LEVERAGE</w:t>
            </w:r>
            <w:r w:rsidRPr="00D272CC">
              <w:rPr>
                <w:vertAlign w:val="subscript"/>
                <w:lang w:val="en-GB"/>
              </w:rPr>
              <w:t>t</w:t>
            </w:r>
            <w:r>
              <w:rPr>
                <w:vertAlign w:val="subscript"/>
                <w:lang w:val="en-GB"/>
              </w:rPr>
              <w:t>−1</w:t>
            </w:r>
          </w:p>
        </w:tc>
        <w:tc>
          <w:tcPr>
            <w:tcW w:w="1181" w:type="dxa"/>
            <w:vAlign w:val="bottom"/>
          </w:tcPr>
          <w:p w14:paraId="7FEEC657" w14:textId="77777777" w:rsidR="00A86883" w:rsidRPr="00D272CC" w:rsidRDefault="00A86883" w:rsidP="008B6A84">
            <w:pPr>
              <w:pStyle w:val="Table"/>
              <w:jc w:val="center"/>
              <w:rPr>
                <w:lang w:val="en-GB"/>
              </w:rPr>
            </w:pPr>
            <w:r>
              <w:t>0.113</w:t>
            </w:r>
          </w:p>
        </w:tc>
        <w:tc>
          <w:tcPr>
            <w:tcW w:w="1181" w:type="dxa"/>
            <w:vAlign w:val="bottom"/>
          </w:tcPr>
          <w:p w14:paraId="063BF3EA" w14:textId="77777777" w:rsidR="00A86883" w:rsidRPr="00D272CC" w:rsidRDefault="00A86883" w:rsidP="008B6A84">
            <w:pPr>
              <w:pStyle w:val="Table"/>
              <w:jc w:val="center"/>
              <w:rPr>
                <w:lang w:val="en-GB"/>
              </w:rPr>
            </w:pPr>
            <w:r>
              <w:t>(1.00)</w:t>
            </w:r>
          </w:p>
        </w:tc>
        <w:tc>
          <w:tcPr>
            <w:tcW w:w="1181" w:type="dxa"/>
            <w:vAlign w:val="bottom"/>
          </w:tcPr>
          <w:p w14:paraId="450918AC" w14:textId="77777777" w:rsidR="00A86883" w:rsidRPr="00D272CC" w:rsidRDefault="00A86883" w:rsidP="00DA0E5B">
            <w:pPr>
              <w:pStyle w:val="Table"/>
              <w:jc w:val="center"/>
              <w:rPr>
                <w:lang w:val="en-GB"/>
              </w:rPr>
            </w:pPr>
            <w:r>
              <w:t>0.143</w:t>
            </w:r>
          </w:p>
        </w:tc>
        <w:tc>
          <w:tcPr>
            <w:tcW w:w="1181" w:type="dxa"/>
            <w:vAlign w:val="bottom"/>
          </w:tcPr>
          <w:p w14:paraId="09044EF6" w14:textId="77777777" w:rsidR="00A86883" w:rsidRPr="00D272CC" w:rsidRDefault="00A86883" w:rsidP="00DA0E5B">
            <w:pPr>
              <w:pStyle w:val="Table"/>
              <w:jc w:val="center"/>
              <w:rPr>
                <w:lang w:val="en-GB"/>
              </w:rPr>
            </w:pPr>
            <w:r>
              <w:t>(0.98)</w:t>
            </w:r>
          </w:p>
        </w:tc>
        <w:tc>
          <w:tcPr>
            <w:tcW w:w="1181" w:type="dxa"/>
            <w:vAlign w:val="bottom"/>
          </w:tcPr>
          <w:p w14:paraId="0555E9FE" w14:textId="77777777" w:rsidR="00A86883" w:rsidRDefault="00A86883" w:rsidP="008B6A84">
            <w:pPr>
              <w:pStyle w:val="Table"/>
              <w:jc w:val="center"/>
            </w:pPr>
            <w:r>
              <w:t>0.109</w:t>
            </w:r>
          </w:p>
        </w:tc>
        <w:tc>
          <w:tcPr>
            <w:tcW w:w="1181" w:type="dxa"/>
            <w:vAlign w:val="bottom"/>
          </w:tcPr>
          <w:p w14:paraId="4BFE78B5" w14:textId="77777777" w:rsidR="00A86883" w:rsidRDefault="00A86883" w:rsidP="008B6A84">
            <w:pPr>
              <w:pStyle w:val="Table"/>
              <w:jc w:val="center"/>
            </w:pPr>
            <w:r>
              <w:t>(0.97)</w:t>
            </w:r>
          </w:p>
        </w:tc>
      </w:tr>
      <w:tr w:rsidR="00A86883" w:rsidRPr="00D272CC" w14:paraId="7AAB5B55" w14:textId="77777777" w:rsidTr="00DA0E5B">
        <w:tc>
          <w:tcPr>
            <w:tcW w:w="1985" w:type="dxa"/>
          </w:tcPr>
          <w:p w14:paraId="7BC0A655" w14:textId="77777777" w:rsidR="00A86883" w:rsidRPr="00D272CC" w:rsidRDefault="00A86883" w:rsidP="002C4969">
            <w:pPr>
              <w:pStyle w:val="Table"/>
              <w:rPr>
                <w:szCs w:val="20"/>
                <w:lang w:val="en-GB"/>
              </w:rPr>
            </w:pPr>
            <w:r>
              <w:rPr>
                <w:lang w:val="en-GB"/>
              </w:rPr>
              <w:t>PROFITABILITY</w:t>
            </w:r>
            <w:r w:rsidRPr="00D272CC">
              <w:rPr>
                <w:vertAlign w:val="subscript"/>
                <w:lang w:val="en-GB"/>
              </w:rPr>
              <w:t>t</w:t>
            </w:r>
            <w:r>
              <w:rPr>
                <w:vertAlign w:val="subscript"/>
                <w:lang w:val="en-GB"/>
              </w:rPr>
              <w:t>−1</w:t>
            </w:r>
          </w:p>
        </w:tc>
        <w:tc>
          <w:tcPr>
            <w:tcW w:w="1181" w:type="dxa"/>
            <w:vAlign w:val="bottom"/>
          </w:tcPr>
          <w:p w14:paraId="28BA02B1" w14:textId="77777777" w:rsidR="00A86883" w:rsidRPr="00D272CC" w:rsidRDefault="00A86883" w:rsidP="008B6A84">
            <w:pPr>
              <w:pStyle w:val="Table"/>
              <w:jc w:val="center"/>
              <w:rPr>
                <w:lang w:val="en-GB"/>
              </w:rPr>
            </w:pPr>
            <w:r>
              <w:t>-0.412</w:t>
            </w:r>
          </w:p>
        </w:tc>
        <w:tc>
          <w:tcPr>
            <w:tcW w:w="1181" w:type="dxa"/>
            <w:vAlign w:val="bottom"/>
          </w:tcPr>
          <w:p w14:paraId="030604DD" w14:textId="77777777" w:rsidR="00A86883" w:rsidRPr="00D272CC" w:rsidRDefault="00A86883" w:rsidP="008B6A84">
            <w:pPr>
              <w:pStyle w:val="Table"/>
              <w:jc w:val="center"/>
              <w:rPr>
                <w:lang w:val="en-GB"/>
              </w:rPr>
            </w:pPr>
            <w:r>
              <w:t>(-1.31)</w:t>
            </w:r>
          </w:p>
        </w:tc>
        <w:tc>
          <w:tcPr>
            <w:tcW w:w="1181" w:type="dxa"/>
            <w:vAlign w:val="bottom"/>
          </w:tcPr>
          <w:p w14:paraId="18F54D7B" w14:textId="77777777" w:rsidR="00A86883" w:rsidRPr="00D272CC" w:rsidRDefault="00A86883" w:rsidP="00DA0E5B">
            <w:pPr>
              <w:pStyle w:val="Table"/>
              <w:jc w:val="center"/>
              <w:rPr>
                <w:lang w:val="en-GB"/>
              </w:rPr>
            </w:pPr>
            <w:r>
              <w:t>-0.163</w:t>
            </w:r>
          </w:p>
        </w:tc>
        <w:tc>
          <w:tcPr>
            <w:tcW w:w="1181" w:type="dxa"/>
            <w:vAlign w:val="bottom"/>
          </w:tcPr>
          <w:p w14:paraId="15AA2E32" w14:textId="77777777" w:rsidR="00A86883" w:rsidRPr="00D272CC" w:rsidRDefault="00A86883" w:rsidP="00DA0E5B">
            <w:pPr>
              <w:pStyle w:val="Table"/>
              <w:jc w:val="center"/>
              <w:rPr>
                <w:lang w:val="en-GB"/>
              </w:rPr>
            </w:pPr>
            <w:r>
              <w:t>(-0.48)</w:t>
            </w:r>
          </w:p>
        </w:tc>
        <w:tc>
          <w:tcPr>
            <w:tcW w:w="1181" w:type="dxa"/>
            <w:vAlign w:val="bottom"/>
          </w:tcPr>
          <w:p w14:paraId="3CBAFBB9" w14:textId="77777777" w:rsidR="00A86883" w:rsidRDefault="00A86883" w:rsidP="008B6A84">
            <w:pPr>
              <w:pStyle w:val="Table"/>
              <w:jc w:val="center"/>
            </w:pPr>
            <w:r>
              <w:t>-0.455</w:t>
            </w:r>
          </w:p>
        </w:tc>
        <w:tc>
          <w:tcPr>
            <w:tcW w:w="1181" w:type="dxa"/>
            <w:vAlign w:val="bottom"/>
          </w:tcPr>
          <w:p w14:paraId="6C57AD97" w14:textId="77777777" w:rsidR="00A86883" w:rsidRDefault="00A86883" w:rsidP="008B6A84">
            <w:pPr>
              <w:pStyle w:val="Table"/>
              <w:jc w:val="center"/>
            </w:pPr>
            <w:r>
              <w:t>(-1.54)</w:t>
            </w:r>
          </w:p>
        </w:tc>
      </w:tr>
      <w:tr w:rsidR="00A86883" w:rsidRPr="00D272CC" w14:paraId="447293D3" w14:textId="77777777" w:rsidTr="00DA0E5B">
        <w:tc>
          <w:tcPr>
            <w:tcW w:w="1985" w:type="dxa"/>
          </w:tcPr>
          <w:p w14:paraId="1ADBD839" w14:textId="77777777" w:rsidR="00A86883" w:rsidRPr="00D272CC" w:rsidRDefault="00A86883" w:rsidP="002C4969">
            <w:pPr>
              <w:pStyle w:val="Table"/>
              <w:rPr>
                <w:szCs w:val="20"/>
                <w:lang w:val="en-GB"/>
              </w:rPr>
            </w:pPr>
            <w:r w:rsidRPr="00D272CC">
              <w:rPr>
                <w:lang w:val="en-GB"/>
              </w:rPr>
              <w:t>USLIST</w:t>
            </w:r>
          </w:p>
        </w:tc>
        <w:tc>
          <w:tcPr>
            <w:tcW w:w="1181" w:type="dxa"/>
            <w:vAlign w:val="bottom"/>
          </w:tcPr>
          <w:p w14:paraId="7F02BE6C" w14:textId="77777777" w:rsidR="00A86883" w:rsidRPr="00D272CC" w:rsidRDefault="00A86883" w:rsidP="008B6A84">
            <w:pPr>
              <w:pStyle w:val="Table"/>
              <w:jc w:val="center"/>
              <w:rPr>
                <w:lang w:val="en-GB"/>
              </w:rPr>
            </w:pPr>
            <w:r>
              <w:t>0.003</w:t>
            </w:r>
          </w:p>
        </w:tc>
        <w:tc>
          <w:tcPr>
            <w:tcW w:w="1181" w:type="dxa"/>
            <w:vAlign w:val="bottom"/>
          </w:tcPr>
          <w:p w14:paraId="27502C86" w14:textId="77777777" w:rsidR="00A86883" w:rsidRPr="00D272CC" w:rsidRDefault="00A86883" w:rsidP="008B6A84">
            <w:pPr>
              <w:pStyle w:val="Table"/>
              <w:jc w:val="center"/>
              <w:rPr>
                <w:lang w:val="en-GB"/>
              </w:rPr>
            </w:pPr>
            <w:r>
              <w:t>(0.05)</w:t>
            </w:r>
          </w:p>
        </w:tc>
        <w:tc>
          <w:tcPr>
            <w:tcW w:w="1181" w:type="dxa"/>
            <w:vAlign w:val="bottom"/>
          </w:tcPr>
          <w:p w14:paraId="49C8CAC0" w14:textId="77777777" w:rsidR="00A86883" w:rsidRPr="00D272CC" w:rsidRDefault="00A86883" w:rsidP="00DA0E5B">
            <w:pPr>
              <w:pStyle w:val="Table"/>
              <w:jc w:val="center"/>
              <w:rPr>
                <w:lang w:val="en-GB"/>
              </w:rPr>
            </w:pPr>
            <w:r>
              <w:t>0.027</w:t>
            </w:r>
          </w:p>
        </w:tc>
        <w:tc>
          <w:tcPr>
            <w:tcW w:w="1181" w:type="dxa"/>
            <w:vAlign w:val="bottom"/>
          </w:tcPr>
          <w:p w14:paraId="3716F8D3" w14:textId="77777777" w:rsidR="00A86883" w:rsidRPr="00D272CC" w:rsidRDefault="00A86883" w:rsidP="00DA0E5B">
            <w:pPr>
              <w:pStyle w:val="Table"/>
              <w:jc w:val="center"/>
              <w:rPr>
                <w:lang w:val="en-GB"/>
              </w:rPr>
            </w:pPr>
            <w:r>
              <w:t>(0.38)</w:t>
            </w:r>
          </w:p>
        </w:tc>
        <w:tc>
          <w:tcPr>
            <w:tcW w:w="1181" w:type="dxa"/>
            <w:vAlign w:val="bottom"/>
          </w:tcPr>
          <w:p w14:paraId="07547EAA" w14:textId="77777777" w:rsidR="00A86883" w:rsidRDefault="00A86883" w:rsidP="008B6A84">
            <w:pPr>
              <w:pStyle w:val="Table"/>
              <w:jc w:val="center"/>
            </w:pPr>
            <w:r>
              <w:t>0.008</w:t>
            </w:r>
          </w:p>
        </w:tc>
        <w:tc>
          <w:tcPr>
            <w:tcW w:w="1181" w:type="dxa"/>
            <w:vAlign w:val="bottom"/>
          </w:tcPr>
          <w:p w14:paraId="4F8BE239" w14:textId="77777777" w:rsidR="00A86883" w:rsidRDefault="00A86883" w:rsidP="008B6A84">
            <w:pPr>
              <w:pStyle w:val="Table"/>
              <w:jc w:val="center"/>
            </w:pPr>
            <w:r>
              <w:t>(0.12)</w:t>
            </w:r>
          </w:p>
        </w:tc>
      </w:tr>
      <w:tr w:rsidR="00A86883" w:rsidRPr="00D272CC" w14:paraId="56F3ABF6" w14:textId="77777777" w:rsidTr="00DA0E5B">
        <w:tc>
          <w:tcPr>
            <w:tcW w:w="1985" w:type="dxa"/>
          </w:tcPr>
          <w:p w14:paraId="7A9DEDCD" w14:textId="77777777" w:rsidR="00A86883" w:rsidRPr="00D272CC" w:rsidRDefault="00A86883" w:rsidP="002C4969">
            <w:pPr>
              <w:pStyle w:val="Table"/>
              <w:rPr>
                <w:szCs w:val="20"/>
                <w:lang w:val="en-GB"/>
              </w:rPr>
            </w:pPr>
          </w:p>
        </w:tc>
        <w:tc>
          <w:tcPr>
            <w:tcW w:w="1181" w:type="dxa"/>
            <w:vAlign w:val="bottom"/>
          </w:tcPr>
          <w:p w14:paraId="17B8BDBF" w14:textId="77777777" w:rsidR="00A86883" w:rsidRPr="00D272CC" w:rsidRDefault="00A86883" w:rsidP="008B6A84">
            <w:pPr>
              <w:pStyle w:val="Table"/>
              <w:jc w:val="center"/>
              <w:rPr>
                <w:lang w:val="en-GB"/>
              </w:rPr>
            </w:pPr>
          </w:p>
        </w:tc>
        <w:tc>
          <w:tcPr>
            <w:tcW w:w="1181" w:type="dxa"/>
            <w:vAlign w:val="bottom"/>
          </w:tcPr>
          <w:p w14:paraId="25540DFF" w14:textId="77777777" w:rsidR="00A86883" w:rsidRPr="00D272CC" w:rsidRDefault="00A86883" w:rsidP="008B6A84">
            <w:pPr>
              <w:pStyle w:val="Table"/>
              <w:jc w:val="center"/>
              <w:rPr>
                <w:lang w:val="en-GB"/>
              </w:rPr>
            </w:pPr>
          </w:p>
        </w:tc>
        <w:tc>
          <w:tcPr>
            <w:tcW w:w="1181" w:type="dxa"/>
            <w:vAlign w:val="bottom"/>
          </w:tcPr>
          <w:p w14:paraId="24A9BFAA" w14:textId="77777777" w:rsidR="00A86883" w:rsidRPr="00D272CC" w:rsidRDefault="00A86883" w:rsidP="00DA0E5B">
            <w:pPr>
              <w:pStyle w:val="Table"/>
              <w:jc w:val="center"/>
              <w:rPr>
                <w:lang w:val="en-GB"/>
              </w:rPr>
            </w:pPr>
          </w:p>
        </w:tc>
        <w:tc>
          <w:tcPr>
            <w:tcW w:w="1181" w:type="dxa"/>
            <w:vAlign w:val="bottom"/>
          </w:tcPr>
          <w:p w14:paraId="1F2A8FF0" w14:textId="77777777" w:rsidR="00A86883" w:rsidRPr="00D272CC" w:rsidRDefault="00A86883" w:rsidP="00DA0E5B">
            <w:pPr>
              <w:pStyle w:val="Table"/>
              <w:jc w:val="center"/>
              <w:rPr>
                <w:lang w:val="en-GB"/>
              </w:rPr>
            </w:pPr>
          </w:p>
        </w:tc>
        <w:tc>
          <w:tcPr>
            <w:tcW w:w="1181" w:type="dxa"/>
          </w:tcPr>
          <w:p w14:paraId="3EE09FFD" w14:textId="77777777" w:rsidR="00A86883" w:rsidRPr="00D272CC" w:rsidRDefault="00A86883" w:rsidP="008B6A84">
            <w:pPr>
              <w:pStyle w:val="Table"/>
              <w:jc w:val="center"/>
              <w:rPr>
                <w:lang w:val="en-GB"/>
              </w:rPr>
            </w:pPr>
          </w:p>
        </w:tc>
        <w:tc>
          <w:tcPr>
            <w:tcW w:w="1181" w:type="dxa"/>
          </w:tcPr>
          <w:p w14:paraId="4A66706C" w14:textId="77777777" w:rsidR="00A86883" w:rsidRPr="00D272CC" w:rsidRDefault="00A86883" w:rsidP="008B6A84">
            <w:pPr>
              <w:pStyle w:val="Table"/>
              <w:jc w:val="center"/>
              <w:rPr>
                <w:lang w:val="en-GB"/>
              </w:rPr>
            </w:pPr>
          </w:p>
        </w:tc>
      </w:tr>
      <w:tr w:rsidR="00A86883" w:rsidRPr="00D272CC" w14:paraId="3E99DA7F" w14:textId="77777777" w:rsidTr="00DA0E5B">
        <w:tc>
          <w:tcPr>
            <w:tcW w:w="1985" w:type="dxa"/>
          </w:tcPr>
          <w:p w14:paraId="5D18D634" w14:textId="77777777" w:rsidR="00A86883" w:rsidRPr="00D272CC" w:rsidRDefault="00A86883" w:rsidP="002C4969">
            <w:pPr>
              <w:pStyle w:val="Table"/>
              <w:rPr>
                <w:szCs w:val="20"/>
                <w:lang w:val="en-GB"/>
              </w:rPr>
            </w:pPr>
            <w:r w:rsidRPr="00D272CC">
              <w:rPr>
                <w:szCs w:val="20"/>
                <w:lang w:val="en-GB"/>
              </w:rPr>
              <w:t>p</w:t>
            </w:r>
            <w:r w:rsidRPr="00D272CC">
              <w:rPr>
                <w:szCs w:val="20"/>
                <w:lang w:val="en-GB"/>
              </w:rPr>
              <w:noBreakHyphen/>
              <w:t>value</w:t>
            </w:r>
          </w:p>
        </w:tc>
        <w:tc>
          <w:tcPr>
            <w:tcW w:w="1181" w:type="dxa"/>
            <w:vAlign w:val="bottom"/>
          </w:tcPr>
          <w:p w14:paraId="1CDE80EE" w14:textId="77777777" w:rsidR="00A86883" w:rsidRPr="00D272CC" w:rsidRDefault="00A86883" w:rsidP="008B6A84">
            <w:pPr>
              <w:pStyle w:val="Table"/>
              <w:jc w:val="center"/>
              <w:rPr>
                <w:lang w:val="en-GB"/>
              </w:rPr>
            </w:pPr>
            <w:r>
              <w:t>0.000</w:t>
            </w:r>
          </w:p>
        </w:tc>
        <w:tc>
          <w:tcPr>
            <w:tcW w:w="1181" w:type="dxa"/>
            <w:vAlign w:val="bottom"/>
          </w:tcPr>
          <w:p w14:paraId="1F04DD7D" w14:textId="77777777" w:rsidR="00A86883" w:rsidRPr="00D272CC" w:rsidRDefault="00A86883" w:rsidP="008B6A84">
            <w:pPr>
              <w:pStyle w:val="Table"/>
              <w:jc w:val="center"/>
              <w:rPr>
                <w:lang w:val="en-GB"/>
              </w:rPr>
            </w:pPr>
          </w:p>
        </w:tc>
        <w:tc>
          <w:tcPr>
            <w:tcW w:w="1181" w:type="dxa"/>
            <w:vAlign w:val="bottom"/>
          </w:tcPr>
          <w:p w14:paraId="18B1D2A3" w14:textId="77777777" w:rsidR="00A86883" w:rsidRPr="00D272CC" w:rsidRDefault="00A86883" w:rsidP="00DA0E5B">
            <w:pPr>
              <w:pStyle w:val="Table"/>
              <w:jc w:val="center"/>
              <w:rPr>
                <w:lang w:val="en-GB"/>
              </w:rPr>
            </w:pPr>
            <w:r>
              <w:t>0.005</w:t>
            </w:r>
          </w:p>
        </w:tc>
        <w:tc>
          <w:tcPr>
            <w:tcW w:w="1181" w:type="dxa"/>
            <w:vAlign w:val="bottom"/>
          </w:tcPr>
          <w:p w14:paraId="78EA82F7" w14:textId="77777777" w:rsidR="00A86883" w:rsidRPr="00D272CC" w:rsidRDefault="00A86883" w:rsidP="00DA0E5B">
            <w:pPr>
              <w:pStyle w:val="Table"/>
              <w:jc w:val="center"/>
              <w:rPr>
                <w:lang w:val="en-GB"/>
              </w:rPr>
            </w:pPr>
          </w:p>
        </w:tc>
        <w:tc>
          <w:tcPr>
            <w:tcW w:w="1181" w:type="dxa"/>
            <w:vAlign w:val="bottom"/>
          </w:tcPr>
          <w:p w14:paraId="57AF3012" w14:textId="77777777" w:rsidR="00A86883" w:rsidRDefault="00A86883" w:rsidP="008B6A84">
            <w:pPr>
              <w:pStyle w:val="Table"/>
              <w:jc w:val="center"/>
            </w:pPr>
            <w:r>
              <w:t>0.000</w:t>
            </w:r>
          </w:p>
        </w:tc>
        <w:tc>
          <w:tcPr>
            <w:tcW w:w="1181" w:type="dxa"/>
            <w:vAlign w:val="bottom"/>
          </w:tcPr>
          <w:p w14:paraId="76D40391" w14:textId="77777777" w:rsidR="00A86883" w:rsidRDefault="00A86883" w:rsidP="008B6A84">
            <w:pPr>
              <w:pStyle w:val="Table"/>
              <w:jc w:val="center"/>
            </w:pPr>
          </w:p>
        </w:tc>
      </w:tr>
      <w:tr w:rsidR="00A86883" w:rsidRPr="00D272CC" w14:paraId="53F12F99" w14:textId="77777777" w:rsidTr="00DA0E5B">
        <w:tc>
          <w:tcPr>
            <w:tcW w:w="1985" w:type="dxa"/>
          </w:tcPr>
          <w:p w14:paraId="2F6007B0" w14:textId="77777777" w:rsidR="00A86883" w:rsidRPr="00D272CC" w:rsidRDefault="00A86883" w:rsidP="002C4969">
            <w:pPr>
              <w:pStyle w:val="Table"/>
              <w:rPr>
                <w:szCs w:val="20"/>
                <w:lang w:val="en-GB"/>
              </w:rPr>
            </w:pPr>
            <w:r w:rsidRPr="00D272CC">
              <w:rPr>
                <w:szCs w:val="20"/>
                <w:lang w:val="en-GB"/>
              </w:rPr>
              <w:t>Pseudo R²</w:t>
            </w:r>
          </w:p>
        </w:tc>
        <w:tc>
          <w:tcPr>
            <w:tcW w:w="1181" w:type="dxa"/>
            <w:vAlign w:val="bottom"/>
          </w:tcPr>
          <w:p w14:paraId="1213C4B4" w14:textId="77777777" w:rsidR="00A86883" w:rsidRPr="00D272CC" w:rsidRDefault="00A86883" w:rsidP="008B6A84">
            <w:pPr>
              <w:pStyle w:val="Table"/>
              <w:jc w:val="center"/>
              <w:rPr>
                <w:lang w:val="en-GB"/>
              </w:rPr>
            </w:pPr>
            <w:r>
              <w:t>0.420</w:t>
            </w:r>
          </w:p>
        </w:tc>
        <w:tc>
          <w:tcPr>
            <w:tcW w:w="1181" w:type="dxa"/>
            <w:vAlign w:val="bottom"/>
          </w:tcPr>
          <w:p w14:paraId="1B6DF819" w14:textId="77777777" w:rsidR="00A86883" w:rsidRPr="00D272CC" w:rsidRDefault="00A86883" w:rsidP="008B6A84">
            <w:pPr>
              <w:pStyle w:val="Table"/>
              <w:jc w:val="center"/>
              <w:rPr>
                <w:lang w:val="en-GB"/>
              </w:rPr>
            </w:pPr>
          </w:p>
        </w:tc>
        <w:tc>
          <w:tcPr>
            <w:tcW w:w="1181" w:type="dxa"/>
            <w:vAlign w:val="bottom"/>
          </w:tcPr>
          <w:p w14:paraId="64D38E3A" w14:textId="77777777" w:rsidR="00A86883" w:rsidRPr="00D272CC" w:rsidRDefault="00A86883" w:rsidP="00DA0E5B">
            <w:pPr>
              <w:pStyle w:val="Table"/>
              <w:jc w:val="center"/>
              <w:rPr>
                <w:lang w:val="en-GB"/>
              </w:rPr>
            </w:pPr>
            <w:r>
              <w:t>0.173</w:t>
            </w:r>
          </w:p>
        </w:tc>
        <w:tc>
          <w:tcPr>
            <w:tcW w:w="1181" w:type="dxa"/>
            <w:vAlign w:val="bottom"/>
          </w:tcPr>
          <w:p w14:paraId="23043B49" w14:textId="77777777" w:rsidR="00A86883" w:rsidRPr="00D272CC" w:rsidRDefault="00A86883" w:rsidP="00DA0E5B">
            <w:pPr>
              <w:pStyle w:val="Table"/>
              <w:jc w:val="center"/>
              <w:rPr>
                <w:lang w:val="en-GB"/>
              </w:rPr>
            </w:pPr>
          </w:p>
        </w:tc>
        <w:tc>
          <w:tcPr>
            <w:tcW w:w="1181" w:type="dxa"/>
            <w:vAlign w:val="bottom"/>
          </w:tcPr>
          <w:p w14:paraId="74632ECA" w14:textId="77777777" w:rsidR="00A86883" w:rsidRDefault="00A86883" w:rsidP="008B6A84">
            <w:pPr>
              <w:pStyle w:val="Table"/>
              <w:jc w:val="center"/>
            </w:pPr>
            <w:r>
              <w:t>0.401</w:t>
            </w:r>
          </w:p>
        </w:tc>
        <w:tc>
          <w:tcPr>
            <w:tcW w:w="1181" w:type="dxa"/>
            <w:vAlign w:val="bottom"/>
          </w:tcPr>
          <w:p w14:paraId="1C070255" w14:textId="77777777" w:rsidR="00A86883" w:rsidRDefault="00A86883" w:rsidP="008B6A84">
            <w:pPr>
              <w:pStyle w:val="Table"/>
              <w:jc w:val="center"/>
            </w:pPr>
          </w:p>
        </w:tc>
      </w:tr>
      <w:tr w:rsidR="00A86883" w:rsidRPr="00D272CC" w14:paraId="218121EC" w14:textId="77777777" w:rsidTr="00DA0E5B">
        <w:tc>
          <w:tcPr>
            <w:tcW w:w="1985" w:type="dxa"/>
          </w:tcPr>
          <w:p w14:paraId="66BBEDAD" w14:textId="77777777" w:rsidR="00A86883" w:rsidRPr="00D272CC" w:rsidDel="0027552E" w:rsidRDefault="00A86883" w:rsidP="002C4969">
            <w:pPr>
              <w:pStyle w:val="Table"/>
              <w:rPr>
                <w:szCs w:val="20"/>
                <w:lang w:val="en-GB"/>
              </w:rPr>
            </w:pPr>
            <w:r w:rsidRPr="00D272CC">
              <w:rPr>
                <w:szCs w:val="20"/>
                <w:lang w:val="en-GB"/>
              </w:rPr>
              <w:t>% classified correctly</w:t>
            </w:r>
          </w:p>
        </w:tc>
        <w:tc>
          <w:tcPr>
            <w:tcW w:w="1181" w:type="dxa"/>
            <w:vAlign w:val="bottom"/>
          </w:tcPr>
          <w:p w14:paraId="5299F1AB" w14:textId="77777777" w:rsidR="00A86883" w:rsidRPr="00D272CC" w:rsidRDefault="00A86883" w:rsidP="008B6A84">
            <w:pPr>
              <w:pStyle w:val="Table"/>
              <w:jc w:val="center"/>
              <w:rPr>
                <w:lang w:val="en-GB"/>
              </w:rPr>
            </w:pPr>
            <w:r>
              <w:t>84.83</w:t>
            </w:r>
          </w:p>
        </w:tc>
        <w:tc>
          <w:tcPr>
            <w:tcW w:w="1181" w:type="dxa"/>
            <w:vAlign w:val="bottom"/>
          </w:tcPr>
          <w:p w14:paraId="76D91591" w14:textId="77777777" w:rsidR="00A86883" w:rsidRPr="00D272CC" w:rsidRDefault="00A86883" w:rsidP="008B6A84">
            <w:pPr>
              <w:pStyle w:val="Table"/>
              <w:jc w:val="center"/>
              <w:rPr>
                <w:lang w:val="en-GB"/>
              </w:rPr>
            </w:pPr>
          </w:p>
        </w:tc>
        <w:tc>
          <w:tcPr>
            <w:tcW w:w="1181" w:type="dxa"/>
            <w:vAlign w:val="bottom"/>
          </w:tcPr>
          <w:p w14:paraId="011D63D3" w14:textId="77777777" w:rsidR="00A86883" w:rsidRPr="00D272CC" w:rsidRDefault="00A86883" w:rsidP="00DA0E5B">
            <w:pPr>
              <w:pStyle w:val="Table"/>
              <w:jc w:val="center"/>
              <w:rPr>
                <w:lang w:val="en-GB"/>
              </w:rPr>
            </w:pPr>
            <w:r>
              <w:t>75.23</w:t>
            </w:r>
          </w:p>
        </w:tc>
        <w:tc>
          <w:tcPr>
            <w:tcW w:w="1181" w:type="dxa"/>
            <w:vAlign w:val="bottom"/>
          </w:tcPr>
          <w:p w14:paraId="5F8B4AC6" w14:textId="77777777" w:rsidR="00A86883" w:rsidRPr="00D272CC" w:rsidRDefault="00A86883" w:rsidP="00DA0E5B">
            <w:pPr>
              <w:pStyle w:val="Table"/>
              <w:jc w:val="center"/>
              <w:rPr>
                <w:lang w:val="en-GB"/>
              </w:rPr>
            </w:pPr>
          </w:p>
        </w:tc>
        <w:tc>
          <w:tcPr>
            <w:tcW w:w="1181" w:type="dxa"/>
            <w:vAlign w:val="bottom"/>
          </w:tcPr>
          <w:p w14:paraId="7DC085D0" w14:textId="77777777" w:rsidR="00A86883" w:rsidRDefault="00A86883" w:rsidP="008B6A84">
            <w:pPr>
              <w:pStyle w:val="Table"/>
              <w:jc w:val="center"/>
            </w:pPr>
            <w:r>
              <w:t>84.21</w:t>
            </w:r>
          </w:p>
        </w:tc>
        <w:tc>
          <w:tcPr>
            <w:tcW w:w="1181" w:type="dxa"/>
            <w:vAlign w:val="bottom"/>
          </w:tcPr>
          <w:p w14:paraId="5DDA79D7" w14:textId="77777777" w:rsidR="00A86883" w:rsidRDefault="00A86883" w:rsidP="008B6A84">
            <w:pPr>
              <w:pStyle w:val="Table"/>
              <w:jc w:val="center"/>
            </w:pPr>
          </w:p>
        </w:tc>
      </w:tr>
      <w:tr w:rsidR="00A86883" w:rsidRPr="00D272CC" w14:paraId="2137BCBF" w14:textId="77777777" w:rsidTr="00DA0E5B">
        <w:tc>
          <w:tcPr>
            <w:tcW w:w="1985" w:type="dxa"/>
          </w:tcPr>
          <w:p w14:paraId="71FF1507" w14:textId="77777777" w:rsidR="00A86883" w:rsidRPr="00D272CC" w:rsidRDefault="00A86883" w:rsidP="002C4969">
            <w:pPr>
              <w:pStyle w:val="Table"/>
              <w:rPr>
                <w:szCs w:val="20"/>
                <w:lang w:val="en-GB"/>
              </w:rPr>
            </w:pPr>
            <w:r w:rsidRPr="00D272CC">
              <w:rPr>
                <w:szCs w:val="20"/>
                <w:lang w:val="en-GB"/>
              </w:rPr>
              <w:t>Observations (firms)</w:t>
            </w:r>
          </w:p>
        </w:tc>
        <w:tc>
          <w:tcPr>
            <w:tcW w:w="1181" w:type="dxa"/>
            <w:vAlign w:val="bottom"/>
          </w:tcPr>
          <w:p w14:paraId="61D69385" w14:textId="77777777" w:rsidR="00A86883" w:rsidRPr="00D272CC" w:rsidRDefault="00A86883" w:rsidP="008B6A84">
            <w:pPr>
              <w:pStyle w:val="Table"/>
              <w:jc w:val="center"/>
              <w:rPr>
                <w:lang w:val="en-GB"/>
              </w:rPr>
            </w:pPr>
            <w:r>
              <w:t>323 (248)</w:t>
            </w:r>
          </w:p>
        </w:tc>
        <w:tc>
          <w:tcPr>
            <w:tcW w:w="1181" w:type="dxa"/>
            <w:vAlign w:val="bottom"/>
          </w:tcPr>
          <w:p w14:paraId="7FE63765" w14:textId="77777777" w:rsidR="00A86883" w:rsidRPr="00D272CC" w:rsidRDefault="00A86883" w:rsidP="008B6A84">
            <w:pPr>
              <w:pStyle w:val="Table"/>
              <w:jc w:val="center"/>
              <w:rPr>
                <w:lang w:val="en-GB"/>
              </w:rPr>
            </w:pPr>
          </w:p>
        </w:tc>
        <w:tc>
          <w:tcPr>
            <w:tcW w:w="1181" w:type="dxa"/>
            <w:vAlign w:val="bottom"/>
          </w:tcPr>
          <w:p w14:paraId="3DE814FA" w14:textId="77777777" w:rsidR="00A86883" w:rsidRPr="00D272CC" w:rsidRDefault="00A86883" w:rsidP="00DA0E5B">
            <w:pPr>
              <w:pStyle w:val="Table"/>
              <w:jc w:val="center"/>
              <w:rPr>
                <w:lang w:val="en-GB"/>
              </w:rPr>
            </w:pPr>
            <w:r>
              <w:t>323 (248)</w:t>
            </w:r>
          </w:p>
        </w:tc>
        <w:tc>
          <w:tcPr>
            <w:tcW w:w="1181" w:type="dxa"/>
            <w:vAlign w:val="bottom"/>
          </w:tcPr>
          <w:p w14:paraId="0B799B42" w14:textId="77777777" w:rsidR="00A86883" w:rsidRPr="00D272CC" w:rsidRDefault="00A86883" w:rsidP="00DA0E5B">
            <w:pPr>
              <w:pStyle w:val="Table"/>
              <w:jc w:val="center"/>
              <w:rPr>
                <w:lang w:val="en-GB"/>
              </w:rPr>
            </w:pPr>
          </w:p>
        </w:tc>
        <w:tc>
          <w:tcPr>
            <w:tcW w:w="1181" w:type="dxa"/>
            <w:vAlign w:val="bottom"/>
          </w:tcPr>
          <w:p w14:paraId="5345DDAF" w14:textId="77777777" w:rsidR="00A86883" w:rsidRDefault="00A86883" w:rsidP="008B6A84">
            <w:pPr>
              <w:pStyle w:val="Table"/>
              <w:jc w:val="center"/>
            </w:pPr>
            <w:r>
              <w:t>323 (248)</w:t>
            </w:r>
          </w:p>
        </w:tc>
        <w:tc>
          <w:tcPr>
            <w:tcW w:w="1181" w:type="dxa"/>
            <w:vAlign w:val="bottom"/>
          </w:tcPr>
          <w:p w14:paraId="3A5670F2" w14:textId="77777777" w:rsidR="00A86883" w:rsidRDefault="00A86883" w:rsidP="008B6A84">
            <w:pPr>
              <w:pStyle w:val="Table"/>
              <w:jc w:val="center"/>
            </w:pPr>
          </w:p>
        </w:tc>
      </w:tr>
      <w:tr w:rsidR="00A86883" w:rsidRPr="00D272CC" w14:paraId="48B63CCE" w14:textId="77777777" w:rsidTr="00A86883">
        <w:tc>
          <w:tcPr>
            <w:tcW w:w="1985" w:type="dxa"/>
            <w:tcBorders>
              <w:bottom w:val="single" w:sz="4" w:space="0" w:color="000000"/>
            </w:tcBorders>
          </w:tcPr>
          <w:p w14:paraId="7250B424" w14:textId="77777777" w:rsidR="00A86883" w:rsidRPr="00D272CC" w:rsidRDefault="00A86883" w:rsidP="002C4969">
            <w:pPr>
              <w:pStyle w:val="Table"/>
              <w:rPr>
                <w:szCs w:val="20"/>
                <w:lang w:val="en-GB"/>
              </w:rPr>
            </w:pPr>
          </w:p>
        </w:tc>
        <w:tc>
          <w:tcPr>
            <w:tcW w:w="1181" w:type="dxa"/>
            <w:tcBorders>
              <w:bottom w:val="single" w:sz="4" w:space="0" w:color="000000"/>
            </w:tcBorders>
          </w:tcPr>
          <w:p w14:paraId="1D1BB13B" w14:textId="77777777" w:rsidR="00A86883" w:rsidRPr="00D272CC" w:rsidRDefault="00A86883" w:rsidP="002C4969">
            <w:pPr>
              <w:pStyle w:val="Table"/>
              <w:jc w:val="center"/>
              <w:rPr>
                <w:szCs w:val="20"/>
                <w:lang w:val="en-GB"/>
              </w:rPr>
            </w:pPr>
          </w:p>
        </w:tc>
        <w:tc>
          <w:tcPr>
            <w:tcW w:w="1181" w:type="dxa"/>
            <w:tcBorders>
              <w:bottom w:val="single" w:sz="4" w:space="0" w:color="000000"/>
            </w:tcBorders>
          </w:tcPr>
          <w:p w14:paraId="4A6AEA7E" w14:textId="77777777" w:rsidR="00A86883" w:rsidRPr="00D272CC" w:rsidRDefault="00A86883" w:rsidP="002C4969">
            <w:pPr>
              <w:pStyle w:val="Table"/>
              <w:jc w:val="center"/>
              <w:rPr>
                <w:szCs w:val="20"/>
                <w:lang w:val="en-GB"/>
              </w:rPr>
            </w:pPr>
          </w:p>
        </w:tc>
        <w:tc>
          <w:tcPr>
            <w:tcW w:w="1181" w:type="dxa"/>
            <w:tcBorders>
              <w:bottom w:val="single" w:sz="4" w:space="0" w:color="000000"/>
            </w:tcBorders>
          </w:tcPr>
          <w:p w14:paraId="02B2B73F" w14:textId="77777777" w:rsidR="00A86883" w:rsidRPr="00D272CC" w:rsidRDefault="00A86883" w:rsidP="00DA0E5B">
            <w:pPr>
              <w:pStyle w:val="Table"/>
              <w:jc w:val="center"/>
              <w:rPr>
                <w:szCs w:val="20"/>
                <w:lang w:val="en-GB"/>
              </w:rPr>
            </w:pPr>
          </w:p>
        </w:tc>
        <w:tc>
          <w:tcPr>
            <w:tcW w:w="1181" w:type="dxa"/>
            <w:tcBorders>
              <w:bottom w:val="single" w:sz="4" w:space="0" w:color="000000"/>
            </w:tcBorders>
          </w:tcPr>
          <w:p w14:paraId="1D2CACB4" w14:textId="77777777" w:rsidR="00A86883" w:rsidRPr="00D272CC" w:rsidRDefault="00A86883" w:rsidP="00DA0E5B">
            <w:pPr>
              <w:pStyle w:val="Table"/>
              <w:jc w:val="center"/>
              <w:rPr>
                <w:szCs w:val="20"/>
                <w:lang w:val="en-GB"/>
              </w:rPr>
            </w:pPr>
          </w:p>
        </w:tc>
        <w:tc>
          <w:tcPr>
            <w:tcW w:w="1181" w:type="dxa"/>
            <w:tcBorders>
              <w:bottom w:val="single" w:sz="4" w:space="0" w:color="000000"/>
            </w:tcBorders>
          </w:tcPr>
          <w:p w14:paraId="55EA2D70" w14:textId="77777777" w:rsidR="00A86883" w:rsidRPr="00D272CC" w:rsidRDefault="00A86883" w:rsidP="002C4969">
            <w:pPr>
              <w:pStyle w:val="Table"/>
              <w:jc w:val="center"/>
              <w:rPr>
                <w:szCs w:val="20"/>
                <w:lang w:val="en-GB"/>
              </w:rPr>
            </w:pPr>
          </w:p>
        </w:tc>
        <w:tc>
          <w:tcPr>
            <w:tcW w:w="1181" w:type="dxa"/>
            <w:tcBorders>
              <w:bottom w:val="single" w:sz="4" w:space="0" w:color="000000"/>
            </w:tcBorders>
          </w:tcPr>
          <w:p w14:paraId="13DE0D70" w14:textId="77777777" w:rsidR="00A86883" w:rsidRPr="00D272CC" w:rsidRDefault="00A86883" w:rsidP="002C4969">
            <w:pPr>
              <w:pStyle w:val="Table"/>
              <w:jc w:val="center"/>
              <w:rPr>
                <w:szCs w:val="20"/>
                <w:lang w:val="en-GB"/>
              </w:rPr>
            </w:pPr>
          </w:p>
        </w:tc>
      </w:tr>
    </w:tbl>
    <w:p w14:paraId="124790BE" w14:textId="77777777" w:rsidR="002118DA" w:rsidRDefault="002118DA" w:rsidP="002118DA">
      <w:pPr>
        <w:pStyle w:val="Table-FigureDescription"/>
        <w:rPr>
          <w:lang w:val="en-GB"/>
        </w:rPr>
      </w:pPr>
    </w:p>
    <w:p w14:paraId="5E887DB2" w14:textId="77777777" w:rsidR="003C3F6E" w:rsidRPr="00D272CC" w:rsidRDefault="003C3F6E" w:rsidP="002118DA">
      <w:pPr>
        <w:pStyle w:val="Table-FigureDescription"/>
        <w:rPr>
          <w:lang w:val="en-GB"/>
        </w:rPr>
      </w:pPr>
    </w:p>
    <w:p w14:paraId="354B0A1B" w14:textId="6746813E" w:rsidR="00314876" w:rsidRPr="00D272CC" w:rsidRDefault="00E664EC" w:rsidP="00A54F6C">
      <w:pPr>
        <w:pStyle w:val="Table-FigureDescription"/>
        <w:rPr>
          <w:lang w:val="en-GB"/>
        </w:rPr>
      </w:pPr>
      <w:r>
        <w:rPr>
          <w:lang w:val="en-GB"/>
        </w:rPr>
        <w:t>This table</w:t>
      </w:r>
      <w:r w:rsidRPr="00D272CC">
        <w:rPr>
          <w:lang w:val="en-GB"/>
        </w:rPr>
        <w:t xml:space="preserve"> reports regression results of an analysis of the circumstances under which managers </w:t>
      </w:r>
      <w:r>
        <w:rPr>
          <w:lang w:val="en-GB"/>
        </w:rPr>
        <w:t xml:space="preserve">explain IFRS policy </w:t>
      </w:r>
      <w:r w:rsidR="002323BF">
        <w:rPr>
          <w:lang w:val="en-GB"/>
        </w:rPr>
        <w:t>changes</w:t>
      </w:r>
      <w:r>
        <w:rPr>
          <w:lang w:val="en-GB"/>
        </w:rPr>
        <w:t xml:space="preserve"> by </w:t>
      </w:r>
      <w:r w:rsidRPr="00D272CC">
        <w:rPr>
          <w:lang w:val="en-GB"/>
        </w:rPr>
        <w:t>refer</w:t>
      </w:r>
      <w:r>
        <w:rPr>
          <w:lang w:val="en-GB"/>
        </w:rPr>
        <w:t>ring</w:t>
      </w:r>
      <w:r w:rsidRPr="00D272CC">
        <w:rPr>
          <w:lang w:val="en-GB"/>
        </w:rPr>
        <w:t xml:space="preserve"> to QCs in the period 2006 to 2011. </w:t>
      </w:r>
      <w:r w:rsidR="00E97118" w:rsidRPr="00D272CC">
        <w:rPr>
          <w:lang w:val="en-GB"/>
        </w:rPr>
        <w:t xml:space="preserve">Panel </w:t>
      </w:r>
      <w:r w:rsidR="00E97118">
        <w:rPr>
          <w:lang w:val="en-GB"/>
        </w:rPr>
        <w:t>A</w:t>
      </w:r>
      <w:r w:rsidR="00E97118" w:rsidRPr="00D272CC">
        <w:rPr>
          <w:lang w:val="en-GB"/>
        </w:rPr>
        <w:t xml:space="preserve"> shows summary statistics</w:t>
      </w:r>
      <w:r>
        <w:rPr>
          <w:lang w:val="en-GB"/>
        </w:rPr>
        <w:t xml:space="preserve"> of the regression variables</w:t>
      </w:r>
      <w:r w:rsidR="00E97118" w:rsidRPr="00D272CC">
        <w:rPr>
          <w:lang w:val="en-GB"/>
        </w:rPr>
        <w:t xml:space="preserve">: mean (percentage for dummy variables), standard deviation (StdDev), minimum (Min), first quartile (Q1), median, third quartile (Q3) and maximum (Max). N is the number of firm-year observations. The variables are QC (dummy for a QC as a reason for a change), </w:t>
      </w:r>
      <w:r w:rsidR="00E97118" w:rsidRPr="00D272CC">
        <w:rPr>
          <w:szCs w:val="20"/>
          <w:lang w:val="en-GB"/>
        </w:rPr>
        <w:t>MEASUREMENT</w:t>
      </w:r>
      <w:r w:rsidR="00E97118" w:rsidRPr="00D272CC">
        <w:rPr>
          <w:lang w:val="en-GB"/>
        </w:rPr>
        <w:t xml:space="preserve"> (dummy for a change of a measurement choice), </w:t>
      </w:r>
      <w:r w:rsidR="00E97118" w:rsidRPr="00D272CC">
        <w:rPr>
          <w:szCs w:val="20"/>
          <w:lang w:val="en-GB"/>
        </w:rPr>
        <w:t>NOT</w:t>
      </w:r>
      <w:r w:rsidR="00C71A30">
        <w:rPr>
          <w:lang w:val="en-GB"/>
        </w:rPr>
        <w:t>2OPTIONS</w:t>
      </w:r>
      <w:r w:rsidR="00E97118" w:rsidRPr="00D272CC">
        <w:rPr>
          <w:lang w:val="en-GB"/>
        </w:rPr>
        <w:t xml:space="preserve"> (dummy </w:t>
      </w:r>
      <w:r w:rsidR="0061636E">
        <w:rPr>
          <w:lang w:val="en-GB"/>
        </w:rPr>
        <w:t>for</w:t>
      </w:r>
      <w:r w:rsidR="00E97118" w:rsidRPr="00D272CC">
        <w:rPr>
          <w:lang w:val="en-GB"/>
        </w:rPr>
        <w:t xml:space="preserve"> </w:t>
      </w:r>
      <w:r w:rsidR="001B0FF2">
        <w:rPr>
          <w:lang w:val="en-GB"/>
        </w:rPr>
        <w:t>a</w:t>
      </w:r>
      <w:r w:rsidR="00E97118" w:rsidRPr="00D272CC">
        <w:rPr>
          <w:lang w:val="en-GB"/>
        </w:rPr>
        <w:t xml:space="preserve"> change </w:t>
      </w:r>
      <w:r w:rsidR="00714B86">
        <w:rPr>
          <w:lang w:val="en-GB"/>
        </w:rPr>
        <w:t xml:space="preserve">which is not </w:t>
      </w:r>
      <w:r w:rsidR="00F813C8">
        <w:rPr>
          <w:lang w:val="en-GB"/>
        </w:rPr>
        <w:t>to or from</w:t>
      </w:r>
      <w:r w:rsidR="00E97118">
        <w:rPr>
          <w:lang w:val="en-GB"/>
        </w:rPr>
        <w:t xml:space="preserve"> </w:t>
      </w:r>
      <w:r w:rsidR="00C71A30">
        <w:rPr>
          <w:lang w:val="en-GB"/>
        </w:rPr>
        <w:t>using two</w:t>
      </w:r>
      <w:r w:rsidR="00714B86">
        <w:rPr>
          <w:lang w:val="en-GB"/>
        </w:rPr>
        <w:t xml:space="preserve"> options</w:t>
      </w:r>
      <w:r w:rsidR="00E97118">
        <w:rPr>
          <w:lang w:val="en-GB"/>
        </w:rPr>
        <w:t>),</w:t>
      </w:r>
      <w:r w:rsidR="00E97118" w:rsidRPr="00D272CC">
        <w:rPr>
          <w:lang w:val="en-GB"/>
        </w:rPr>
        <w:t xml:space="preserve"> </w:t>
      </w:r>
      <w:r w:rsidR="0062552D" w:rsidRPr="00D272CC">
        <w:rPr>
          <w:szCs w:val="20"/>
          <w:lang w:val="en-GB"/>
        </w:rPr>
        <w:t>COMMONLAW</w:t>
      </w:r>
      <w:r w:rsidR="0062552D" w:rsidRPr="00D272CC">
        <w:rPr>
          <w:lang w:val="en-GB"/>
        </w:rPr>
        <w:t xml:space="preserve"> (dummy for common law)</w:t>
      </w:r>
      <w:r w:rsidR="0062552D">
        <w:rPr>
          <w:lang w:val="en-GB"/>
        </w:rPr>
        <w:t xml:space="preserve">, </w:t>
      </w:r>
      <w:r w:rsidR="00E602BF">
        <w:rPr>
          <w:lang w:val="en-GB"/>
        </w:rPr>
        <w:t>TRANSPARENCY</w:t>
      </w:r>
      <w:r w:rsidR="00E324AE">
        <w:rPr>
          <w:lang w:val="en-GB"/>
        </w:rPr>
        <w:t xml:space="preserve"> (</w:t>
      </w:r>
      <w:r w:rsidR="008749D7">
        <w:rPr>
          <w:lang w:val="en-GB"/>
        </w:rPr>
        <w:t>transparency measure of a firm’s country</w:t>
      </w:r>
      <w:r w:rsidR="00E324AE">
        <w:rPr>
          <w:lang w:val="en-GB"/>
        </w:rPr>
        <w:t xml:space="preserve">), </w:t>
      </w:r>
      <w:r w:rsidR="00E97118" w:rsidRPr="00D272CC">
        <w:rPr>
          <w:lang w:val="en-GB"/>
        </w:rPr>
        <w:t>SIZE (natural logarithm of market capitalization in US dollars),</w:t>
      </w:r>
      <w:r w:rsidR="00245348">
        <w:rPr>
          <w:lang w:val="en-GB"/>
        </w:rPr>
        <w:t xml:space="preserve"> LEVERAGE (industry-</w:t>
      </w:r>
      <w:r w:rsidR="00E324AE">
        <w:rPr>
          <w:lang w:val="en-GB"/>
        </w:rPr>
        <w:t xml:space="preserve">adjusted </w:t>
      </w:r>
      <w:r w:rsidR="001C794A">
        <w:rPr>
          <w:lang w:val="en-GB"/>
        </w:rPr>
        <w:t>leverage</w:t>
      </w:r>
      <w:r w:rsidR="00E324AE">
        <w:rPr>
          <w:lang w:val="en-GB"/>
        </w:rPr>
        <w:t>), PROFITABILITY (industry-adjusted return on assets)</w:t>
      </w:r>
      <w:r w:rsidR="00E97118" w:rsidRPr="00D272CC">
        <w:rPr>
          <w:lang w:val="en-GB"/>
        </w:rPr>
        <w:t xml:space="preserve"> </w:t>
      </w:r>
      <w:r w:rsidR="00E97118">
        <w:rPr>
          <w:lang w:val="en-GB"/>
        </w:rPr>
        <w:t>and</w:t>
      </w:r>
      <w:r w:rsidR="00E97118" w:rsidRPr="00D272CC">
        <w:rPr>
          <w:lang w:val="en-GB"/>
        </w:rPr>
        <w:t xml:space="preserve"> USLIST (dummy for US listing). See Appendix 3 for more details on the definitions of the variables. </w:t>
      </w:r>
      <w:r w:rsidR="008F092E">
        <w:rPr>
          <w:lang w:val="en-GB"/>
        </w:rPr>
        <w:t>Panel B</w:t>
      </w:r>
      <w:r w:rsidR="00B833A2" w:rsidRPr="00D272CC">
        <w:rPr>
          <w:lang w:val="en-GB"/>
        </w:rPr>
        <w:t xml:space="preserve"> reports </w:t>
      </w:r>
      <w:r>
        <w:rPr>
          <w:lang w:val="en-GB"/>
        </w:rPr>
        <w:t xml:space="preserve">the </w:t>
      </w:r>
      <w:r w:rsidR="00B833A2" w:rsidRPr="00D272CC">
        <w:rPr>
          <w:lang w:val="en-GB"/>
        </w:rPr>
        <w:t xml:space="preserve">regression results. The logistic regressions are of the general form </w:t>
      </w:r>
      <w:r w:rsidR="00375ACC" w:rsidRPr="00D272CC">
        <w:rPr>
          <w:lang w:val="en-GB"/>
        </w:rPr>
        <w:t>Q</w:t>
      </w:r>
      <w:r w:rsidR="009A2F60" w:rsidRPr="00D272CC">
        <w:rPr>
          <w:lang w:val="en-GB"/>
        </w:rPr>
        <w:t>C</w:t>
      </w:r>
      <w:r w:rsidR="00375ACC" w:rsidRPr="00D272CC">
        <w:rPr>
          <w:vertAlign w:val="subscript"/>
          <w:lang w:val="en-GB"/>
        </w:rPr>
        <w:t>it</w:t>
      </w:r>
      <w:r w:rsidR="00375ACC" w:rsidRPr="00D272CC">
        <w:rPr>
          <w:lang w:val="en-GB"/>
        </w:rPr>
        <w:t xml:space="preserve"> = α + </w:t>
      </w:r>
      <w:r w:rsidR="00787687" w:rsidRPr="00D272CC">
        <w:rPr>
          <w:b/>
          <w:lang w:val="en-GB"/>
        </w:rPr>
        <w:t>topic</w:t>
      </w:r>
      <w:r w:rsidR="00787687" w:rsidRPr="00D272CC">
        <w:rPr>
          <w:vertAlign w:val="subscript"/>
          <w:lang w:val="en-GB"/>
        </w:rPr>
        <w:t>it</w:t>
      </w:r>
      <w:r w:rsidR="00787687" w:rsidRPr="00D272CC">
        <w:rPr>
          <w:lang w:val="en-GB"/>
        </w:rPr>
        <w:t xml:space="preserve"> β + </w:t>
      </w:r>
      <w:r w:rsidR="00787687" w:rsidRPr="00D272CC">
        <w:rPr>
          <w:b/>
          <w:lang w:val="en-GB"/>
        </w:rPr>
        <w:t>country</w:t>
      </w:r>
      <w:r w:rsidR="00787687" w:rsidRPr="00D272CC">
        <w:rPr>
          <w:vertAlign w:val="subscript"/>
          <w:lang w:val="en-GB"/>
        </w:rPr>
        <w:t>it</w:t>
      </w:r>
      <w:r w:rsidR="00787687" w:rsidRPr="00D272CC">
        <w:rPr>
          <w:lang w:val="en-GB"/>
        </w:rPr>
        <w:t xml:space="preserve"> γ + </w:t>
      </w:r>
      <w:r w:rsidR="00A54F6C" w:rsidRPr="00A54F6C">
        <w:rPr>
          <w:b/>
          <w:lang w:val="en-GB"/>
        </w:rPr>
        <w:t>industry</w:t>
      </w:r>
      <w:r w:rsidR="00A54F6C" w:rsidRPr="00A54F6C">
        <w:rPr>
          <w:vertAlign w:val="subscript"/>
          <w:lang w:val="en-GB"/>
        </w:rPr>
        <w:t>it</w:t>
      </w:r>
      <w:r w:rsidR="00A54F6C">
        <w:rPr>
          <w:lang w:val="en-GB"/>
        </w:rPr>
        <w:t xml:space="preserve"> δ + θ SIZE</w:t>
      </w:r>
      <w:r w:rsidR="00A54F6C" w:rsidRPr="00A54F6C">
        <w:rPr>
          <w:vertAlign w:val="subscript"/>
          <w:lang w:val="en-GB"/>
        </w:rPr>
        <w:t>it</w:t>
      </w:r>
      <w:r w:rsidR="00A54F6C">
        <w:rPr>
          <w:lang w:val="en-GB"/>
        </w:rPr>
        <w:t xml:space="preserve"> + λ LEVERAGE</w:t>
      </w:r>
      <w:r w:rsidR="00A54F6C" w:rsidRPr="00A54F6C">
        <w:rPr>
          <w:vertAlign w:val="subscript"/>
          <w:lang w:val="en-GB"/>
        </w:rPr>
        <w:t>i,t−1</w:t>
      </w:r>
      <w:r w:rsidR="00A54F6C">
        <w:rPr>
          <w:lang w:val="en-GB"/>
        </w:rPr>
        <w:t xml:space="preserve"> </w:t>
      </w:r>
      <w:r w:rsidR="00A54F6C" w:rsidRPr="00A54F6C">
        <w:rPr>
          <w:lang w:val="en-GB"/>
        </w:rPr>
        <w:t>+ μ PROFITABILITY</w:t>
      </w:r>
      <w:r w:rsidR="00A54F6C" w:rsidRPr="00A54F6C">
        <w:rPr>
          <w:vertAlign w:val="subscript"/>
          <w:lang w:val="en-GB"/>
        </w:rPr>
        <w:t>i,t−1</w:t>
      </w:r>
      <w:r w:rsidR="00A54F6C" w:rsidRPr="00A54F6C">
        <w:rPr>
          <w:lang w:val="en-GB"/>
        </w:rPr>
        <w:t xml:space="preserve"> + σ USLIST</w:t>
      </w:r>
      <w:r w:rsidR="00A54F6C" w:rsidRPr="00A54F6C">
        <w:rPr>
          <w:vertAlign w:val="subscript"/>
          <w:lang w:val="en-GB"/>
        </w:rPr>
        <w:t>it</w:t>
      </w:r>
      <w:r w:rsidR="00A54F6C">
        <w:rPr>
          <w:lang w:val="en-GB"/>
        </w:rPr>
        <w:t xml:space="preserve"> </w:t>
      </w:r>
      <w:r w:rsidR="00375ACC" w:rsidRPr="00D272CC">
        <w:rPr>
          <w:lang w:val="en-GB"/>
        </w:rPr>
        <w:t>+ ε</w:t>
      </w:r>
      <w:r w:rsidR="00375ACC" w:rsidRPr="00D272CC">
        <w:rPr>
          <w:vertAlign w:val="subscript"/>
          <w:lang w:val="en-GB"/>
        </w:rPr>
        <w:t>it</w:t>
      </w:r>
      <w:r w:rsidR="00F043B5" w:rsidRPr="00D272CC">
        <w:rPr>
          <w:lang w:val="en-GB"/>
        </w:rPr>
        <w:t>;</w:t>
      </w:r>
      <w:r w:rsidR="005A3072">
        <w:rPr>
          <w:lang w:val="en-GB"/>
        </w:rPr>
        <w:t xml:space="preserve"> </w:t>
      </w:r>
      <w:r w:rsidR="00F043B5" w:rsidRPr="00D272CC">
        <w:rPr>
          <w:b/>
          <w:lang w:val="en-GB"/>
        </w:rPr>
        <w:t>topic</w:t>
      </w:r>
      <w:r w:rsidR="00F043B5" w:rsidRPr="00D272CC">
        <w:rPr>
          <w:lang w:val="en-GB"/>
        </w:rPr>
        <w:t xml:space="preserve">, </w:t>
      </w:r>
      <w:r w:rsidR="00F043B5" w:rsidRPr="00D272CC">
        <w:rPr>
          <w:b/>
          <w:lang w:val="en-GB"/>
        </w:rPr>
        <w:t>country</w:t>
      </w:r>
      <w:r w:rsidR="00F043B5" w:rsidRPr="00D272CC">
        <w:rPr>
          <w:lang w:val="en-GB"/>
        </w:rPr>
        <w:t xml:space="preserve"> and </w:t>
      </w:r>
      <w:r w:rsidR="00F043B5" w:rsidRPr="00D272CC">
        <w:rPr>
          <w:b/>
          <w:lang w:val="en-GB"/>
        </w:rPr>
        <w:t>industry</w:t>
      </w:r>
      <w:r w:rsidR="00F043B5" w:rsidRPr="00D272CC">
        <w:rPr>
          <w:lang w:val="en-GB"/>
        </w:rPr>
        <w:t xml:space="preserve"> denote vectors of variables. </w:t>
      </w:r>
      <w:r w:rsidR="005D0F88" w:rsidRPr="00D272CC">
        <w:rPr>
          <w:lang w:val="en-GB"/>
        </w:rPr>
        <w:t xml:space="preserve">The results are marginal effects at means and the corresponding </w:t>
      </w:r>
      <w:r w:rsidR="0005164A" w:rsidRPr="0005164A">
        <w:rPr>
          <w:i/>
          <w:szCs w:val="20"/>
          <w:lang w:val="en-GB"/>
        </w:rPr>
        <w:t>z</w:t>
      </w:r>
      <w:r w:rsidR="005D0F88" w:rsidRPr="00D272CC">
        <w:rPr>
          <w:szCs w:val="20"/>
          <w:lang w:val="en-GB"/>
        </w:rPr>
        <w:noBreakHyphen/>
        <w:t>statistics</w:t>
      </w:r>
      <w:r w:rsidR="005D0F88" w:rsidRPr="00D272CC">
        <w:rPr>
          <w:lang w:val="en-GB"/>
        </w:rPr>
        <w:t xml:space="preserve"> (for dummy variables, the </w:t>
      </w:r>
      <w:r w:rsidR="00AE1B4C">
        <w:rPr>
          <w:lang w:val="en-GB"/>
        </w:rPr>
        <w:t>marginal effect</w:t>
      </w:r>
      <w:r w:rsidR="005D0F88" w:rsidRPr="00D272CC">
        <w:rPr>
          <w:lang w:val="en-GB"/>
        </w:rPr>
        <w:t xml:space="preserve"> is for a discrete change of the dummy variable from 0 to 1). </w:t>
      </w:r>
      <w:r w:rsidR="00375ACC" w:rsidRPr="00D272CC">
        <w:rPr>
          <w:lang w:val="en-GB"/>
        </w:rPr>
        <w:t xml:space="preserve">The reference groups of the country and industry fixed effects are GB (United Kingdom) and INDUSTRY2 (industrials), respectively. </w:t>
      </w:r>
      <w:r w:rsidR="008C0E2D" w:rsidRPr="00D272CC">
        <w:rPr>
          <w:lang w:val="en-GB"/>
        </w:rPr>
        <w:t xml:space="preserve">There is no reference group for the topic </w:t>
      </w:r>
      <w:r w:rsidR="00E41744" w:rsidRPr="00D272CC">
        <w:rPr>
          <w:lang w:val="en-GB"/>
        </w:rPr>
        <w:t>fixed effects</w:t>
      </w:r>
      <w:r w:rsidR="005A3072">
        <w:rPr>
          <w:lang w:val="en-GB"/>
        </w:rPr>
        <w:t xml:space="preserve"> </w:t>
      </w:r>
      <w:r w:rsidR="00E41744" w:rsidRPr="00D272CC">
        <w:rPr>
          <w:lang w:val="en-GB"/>
        </w:rPr>
        <w:t>due to</w:t>
      </w:r>
      <w:r w:rsidR="008C0E2D" w:rsidRPr="00D272CC">
        <w:rPr>
          <w:lang w:val="en-GB"/>
        </w:rPr>
        <w:t xml:space="preserve"> firm-year observations </w:t>
      </w:r>
      <w:r w:rsidR="00E41744" w:rsidRPr="00D272CC">
        <w:rPr>
          <w:lang w:val="en-GB"/>
        </w:rPr>
        <w:t xml:space="preserve">with more than one </w:t>
      </w:r>
      <w:r w:rsidR="008C0E2D" w:rsidRPr="00D272CC">
        <w:rPr>
          <w:lang w:val="en-GB"/>
        </w:rPr>
        <w:t xml:space="preserve">policy change </w:t>
      </w:r>
      <w:r w:rsidR="00E41744" w:rsidRPr="00D272CC">
        <w:rPr>
          <w:lang w:val="en-GB"/>
        </w:rPr>
        <w:t>and therefore more than one topic dummy with a value of ‘1’</w:t>
      </w:r>
      <w:r w:rsidR="008C0E2D" w:rsidRPr="00D272CC">
        <w:rPr>
          <w:lang w:val="en-GB"/>
        </w:rPr>
        <w:t xml:space="preserve">. </w:t>
      </w:r>
      <w:r w:rsidR="005230A9" w:rsidRPr="00D272CC">
        <w:rPr>
          <w:lang w:val="en-GB"/>
        </w:rPr>
        <w:t xml:space="preserve">See Table 4 and Appendix </w:t>
      </w:r>
      <w:r w:rsidR="006A70B1" w:rsidRPr="00D272CC">
        <w:rPr>
          <w:lang w:val="en-GB"/>
        </w:rPr>
        <w:t>1</w:t>
      </w:r>
      <w:r w:rsidR="005230A9" w:rsidRPr="00D272CC">
        <w:rPr>
          <w:lang w:val="en-GB"/>
        </w:rPr>
        <w:t xml:space="preserve"> for details</w:t>
      </w:r>
      <w:r w:rsidR="007A434B" w:rsidRPr="00D272CC">
        <w:rPr>
          <w:lang w:val="en-GB"/>
        </w:rPr>
        <w:t xml:space="preserve"> of the</w:t>
      </w:r>
      <w:r w:rsidR="00053EBC" w:rsidRPr="00D272CC">
        <w:rPr>
          <w:lang w:val="en-GB"/>
        </w:rPr>
        <w:t xml:space="preserve"> QCs</w:t>
      </w:r>
      <w:r w:rsidR="007A434B" w:rsidRPr="00D272CC">
        <w:rPr>
          <w:lang w:val="en-GB"/>
        </w:rPr>
        <w:t xml:space="preserve">. </w:t>
      </w:r>
      <w:r w:rsidR="005230A9" w:rsidRPr="00D272CC">
        <w:rPr>
          <w:lang w:val="en-GB"/>
        </w:rPr>
        <w:t xml:space="preserve">See Table 2 for details of the regression sample. </w:t>
      </w:r>
      <w:r w:rsidR="00B833A2" w:rsidRPr="00D272CC">
        <w:rPr>
          <w:lang w:val="en-GB"/>
        </w:rPr>
        <w:t xml:space="preserve">The results are based on </w:t>
      </w:r>
      <w:r w:rsidR="001518BB" w:rsidRPr="00D272CC">
        <w:rPr>
          <w:szCs w:val="20"/>
          <w:lang w:val="en-GB"/>
        </w:rPr>
        <w:t>standard errors clustered by firm</w:t>
      </w:r>
      <w:r w:rsidR="00B833A2" w:rsidRPr="00D272CC">
        <w:rPr>
          <w:lang w:val="en-GB"/>
        </w:rPr>
        <w:t xml:space="preserve">. *, ** and *** indicates significance at the 10%, 5% and 1% level, respectively (two-sided). Data on IFRS policy </w:t>
      </w:r>
      <w:r w:rsidR="000674FD">
        <w:rPr>
          <w:lang w:val="en-GB"/>
        </w:rPr>
        <w:t>changes</w:t>
      </w:r>
      <w:r w:rsidR="00B833A2" w:rsidRPr="00D272CC">
        <w:rPr>
          <w:lang w:val="en-GB"/>
        </w:rPr>
        <w:t xml:space="preserve"> are hand-collected, data on US listing are from the EDGAR database and the remaining data are from Worldscope.</w:t>
      </w:r>
    </w:p>
    <w:sectPr w:rsidR="00314876" w:rsidRPr="00D272CC" w:rsidSect="00CC6B09">
      <w:footerReference w:type="default" r:id="rId9"/>
      <w:pgSz w:w="11906" w:h="16838"/>
      <w:pgMar w:top="1411"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66369" w14:textId="77777777" w:rsidR="00752E06" w:rsidRDefault="00752E06" w:rsidP="00FF4D96">
      <w:r>
        <w:separator/>
      </w:r>
    </w:p>
  </w:endnote>
  <w:endnote w:type="continuationSeparator" w:id="0">
    <w:p w14:paraId="1144959F" w14:textId="77777777" w:rsidR="00752E06" w:rsidRDefault="00752E06" w:rsidP="00F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46E9" w14:textId="77777777" w:rsidR="00E45453" w:rsidRDefault="00E45453">
    <w:pPr>
      <w:pStyle w:val="Footer"/>
      <w:jc w:val="center"/>
    </w:pPr>
    <w:r>
      <w:fldChar w:fldCharType="begin"/>
    </w:r>
    <w:r>
      <w:instrText xml:space="preserve"> PAGE   \* MERGEFORMAT </w:instrText>
    </w:r>
    <w:r>
      <w:fldChar w:fldCharType="separate"/>
    </w:r>
    <w:r w:rsidR="00E85184">
      <w:rPr>
        <w:noProof/>
      </w:rPr>
      <w:t>1</w:t>
    </w:r>
    <w:r>
      <w:rPr>
        <w:noProof/>
      </w:rPr>
      <w:fldChar w:fldCharType="end"/>
    </w:r>
  </w:p>
  <w:p w14:paraId="49FD370E" w14:textId="77777777" w:rsidR="00E45453" w:rsidRDefault="00E45453" w:rsidP="00010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F20F3" w14:textId="77777777" w:rsidR="00752E06" w:rsidRDefault="00752E06" w:rsidP="008D630D">
      <w:pPr>
        <w:spacing w:line="240" w:lineRule="auto"/>
      </w:pPr>
      <w:r>
        <w:separator/>
      </w:r>
    </w:p>
  </w:footnote>
  <w:footnote w:type="continuationSeparator" w:id="0">
    <w:p w14:paraId="216A0CB8" w14:textId="77777777" w:rsidR="00752E06" w:rsidRDefault="00752E06" w:rsidP="008D630D">
      <w:pPr>
        <w:spacing w:line="240" w:lineRule="auto"/>
      </w:pPr>
      <w:r>
        <w:continuationSeparator/>
      </w:r>
    </w:p>
  </w:footnote>
  <w:footnote w:id="1">
    <w:p w14:paraId="4CF33464" w14:textId="77777777" w:rsidR="00E45453" w:rsidRPr="004A6A3D" w:rsidRDefault="00E45453" w:rsidP="008A5434">
      <w:pPr>
        <w:pStyle w:val="FootnoteText"/>
        <w:rPr>
          <w:lang w:val="en-GB"/>
        </w:rPr>
      </w:pPr>
      <w:r>
        <w:rPr>
          <w:rStyle w:val="FootnoteReference"/>
        </w:rPr>
        <w:footnoteRef/>
      </w:r>
      <w:r>
        <w:t xml:space="preserve"> </w:t>
      </w:r>
      <w:r>
        <w:tab/>
      </w:r>
      <w:r>
        <w:rPr>
          <w:lang w:val="en-GB"/>
        </w:rPr>
        <w:t>Of the 16 topics in Table 1, on which there was overt choice in IFRS in 2011, there was no overt choice in US GAAP for topics 5, 8, 9, 10, 11, 13 and 16. We are not aware of other major topics on which there was choice in US GAAP but not in IFRS.</w:t>
      </w:r>
    </w:p>
  </w:footnote>
  <w:footnote w:id="2">
    <w:p w14:paraId="292DBB71" w14:textId="77777777" w:rsidR="00E45453" w:rsidRPr="00C8059C" w:rsidRDefault="00E45453">
      <w:pPr>
        <w:pStyle w:val="FootnoteText"/>
        <w:rPr>
          <w:lang w:val="en-GB"/>
        </w:rPr>
      </w:pPr>
      <w:r>
        <w:rPr>
          <w:rStyle w:val="FootnoteReference"/>
        </w:rPr>
        <w:footnoteRef/>
      </w:r>
      <w:r>
        <w:t xml:space="preserve"> </w:t>
      </w:r>
      <w:r>
        <w:tab/>
      </w:r>
      <w:r>
        <w:rPr>
          <w:lang w:val="en-GB"/>
        </w:rPr>
        <w:t>One of these jurisdictions is Hong Kong. Despite this, for simplicity, we refer to ‘countries’ hereafter.</w:t>
      </w:r>
    </w:p>
  </w:footnote>
  <w:footnote w:id="3">
    <w:p w14:paraId="799856BA" w14:textId="60E7D031" w:rsidR="00E45453" w:rsidRPr="00315E90" w:rsidRDefault="00E45453">
      <w:pPr>
        <w:pStyle w:val="FootnoteText"/>
        <w:rPr>
          <w:lang w:val="en-GB"/>
        </w:rPr>
      </w:pPr>
      <w:r>
        <w:rPr>
          <w:rStyle w:val="FootnoteReference"/>
        </w:rPr>
        <w:footnoteRef/>
      </w:r>
      <w:r>
        <w:t xml:space="preserve"> </w:t>
      </w:r>
      <w:r>
        <w:tab/>
      </w:r>
      <w:r w:rsidRPr="002C6A39">
        <w:rPr>
          <w:lang w:val="en-GB"/>
        </w:rPr>
        <w:t>Macve (2014a) is an example of papers which discuss accounting over that span.</w:t>
      </w:r>
    </w:p>
  </w:footnote>
  <w:footnote w:id="4">
    <w:p w14:paraId="5A7CB318" w14:textId="77777777" w:rsidR="00E45453" w:rsidRPr="007A50EF" w:rsidRDefault="00E45453">
      <w:pPr>
        <w:pStyle w:val="FootnoteText"/>
        <w:rPr>
          <w:lang w:val="en-GB"/>
        </w:rPr>
      </w:pPr>
      <w:r>
        <w:rPr>
          <w:rStyle w:val="FootnoteReference"/>
        </w:rPr>
        <w:footnoteRef/>
      </w:r>
      <w:r>
        <w:t xml:space="preserve"> </w:t>
      </w:r>
      <w:r>
        <w:tab/>
      </w:r>
      <w:r>
        <w:rPr>
          <w:lang w:val="en-GB"/>
        </w:rPr>
        <w:t>In the case of the 1844 Act, the compulsion was limited to sending an annual balance sheet to the shareholders, and this requirement was repealed in 1856, not to return until the twentieth century.</w:t>
      </w:r>
    </w:p>
  </w:footnote>
  <w:footnote w:id="5">
    <w:p w14:paraId="7CEF7FC6"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In 2013, the Directive was revised. The six principles were retained, but more were added.</w:t>
      </w:r>
    </w:p>
  </w:footnote>
  <w:footnote w:id="6">
    <w:p w14:paraId="0B05C9E4" w14:textId="77777777" w:rsidR="00E45453" w:rsidRPr="009D312A" w:rsidRDefault="00E45453">
      <w:pPr>
        <w:pStyle w:val="FootnoteText"/>
        <w:rPr>
          <w:lang w:val="en-GB"/>
        </w:rPr>
      </w:pPr>
      <w:r>
        <w:rPr>
          <w:rStyle w:val="FootnoteReference"/>
        </w:rPr>
        <w:footnoteRef/>
      </w:r>
      <w:r>
        <w:t xml:space="preserve"> </w:t>
      </w:r>
      <w:r>
        <w:rPr>
          <w:lang w:val="en-GB"/>
        </w:rPr>
        <w:tab/>
        <w:t>Nobes (1983) records that</w:t>
      </w:r>
      <w:r w:rsidRPr="00E878E0">
        <w:rPr>
          <w:lang w:val="en-GB"/>
        </w:rPr>
        <w:t xml:space="preserve"> </w:t>
      </w:r>
      <w:r>
        <w:rPr>
          <w:lang w:val="en-GB"/>
        </w:rPr>
        <w:t>the first four were to be found in the UK’s Statement of Standard Accounting Practice No. 2 (</w:t>
      </w:r>
      <w:r w:rsidRPr="00386416">
        <w:rPr>
          <w:i/>
          <w:lang w:val="en-GB"/>
        </w:rPr>
        <w:t>Disclosure of Accounting Policies</w:t>
      </w:r>
      <w:r>
        <w:rPr>
          <w:lang w:val="en-GB"/>
        </w:rPr>
        <w:t>) of 1971; and that going concern and accruals had not been in the 1971 draft, before the UK joined the ‘Common Market’ in 1973.</w:t>
      </w:r>
    </w:p>
  </w:footnote>
  <w:footnote w:id="7">
    <w:p w14:paraId="781EE626" w14:textId="77777777" w:rsidR="00E45453" w:rsidRPr="009D312A" w:rsidRDefault="00E45453">
      <w:pPr>
        <w:pStyle w:val="FootnoteText"/>
        <w:rPr>
          <w:lang w:val="en-GB"/>
        </w:rPr>
      </w:pPr>
      <w:r>
        <w:rPr>
          <w:rStyle w:val="FootnoteReference"/>
        </w:rPr>
        <w:footnoteRef/>
      </w:r>
      <w:r>
        <w:t xml:space="preserve"> </w:t>
      </w:r>
      <w:r>
        <w:rPr>
          <w:lang w:val="en-GB"/>
        </w:rPr>
        <w:tab/>
        <w:t>The documents were published by the AICPA, but the Director of Accounting Research (Maurice Moonitz, an academic) notes that publication was ‘under his authority’. The first was written by Moonitz; the second by Robert Sprouse (another academic) and re-drafted by Moonitz.</w:t>
      </w:r>
    </w:p>
  </w:footnote>
  <w:footnote w:id="8">
    <w:p w14:paraId="54703418"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The word ‘standards’ in its current meaning appears to have originated in the UK with the foundation of the Accounting Standards Steering Committee in 19</w:t>
      </w:r>
      <w:r>
        <w:rPr>
          <w:lang w:val="en-GB"/>
        </w:rPr>
        <w:t>69</w:t>
      </w:r>
      <w:r w:rsidRPr="004E17E2">
        <w:rPr>
          <w:lang w:val="en-GB"/>
        </w:rPr>
        <w:t xml:space="preserve"> (Rutherford 2007</w:t>
      </w:r>
      <w:r>
        <w:rPr>
          <w:lang w:val="en-GB"/>
        </w:rPr>
        <w:t>, p. 37</w:t>
      </w:r>
      <w:r w:rsidRPr="004E17E2">
        <w:rPr>
          <w:lang w:val="en-GB"/>
        </w:rPr>
        <w:t>).</w:t>
      </w:r>
    </w:p>
  </w:footnote>
  <w:footnote w:id="9">
    <w:p w14:paraId="6F8B52F5" w14:textId="77777777" w:rsidR="00E45453" w:rsidRPr="00B67622" w:rsidRDefault="00E45453" w:rsidP="00E7061F">
      <w:pPr>
        <w:pStyle w:val="FootnoteText"/>
        <w:rPr>
          <w:lang w:val="en-GB"/>
        </w:rPr>
      </w:pPr>
      <w:r>
        <w:rPr>
          <w:rStyle w:val="FootnoteReference"/>
        </w:rPr>
        <w:footnoteRef/>
      </w:r>
      <w:r>
        <w:t xml:space="preserve"> </w:t>
      </w:r>
      <w:r>
        <w:rPr>
          <w:lang w:val="en-GB"/>
        </w:rPr>
        <w:tab/>
        <w:t xml:space="preserve">Stephen Zeff (in a letter of 7 August 2014) notes that there is no evidence of this in the minutes of the Board’s meetings, but the </w:t>
      </w:r>
      <w:r w:rsidRPr="001E3FF7">
        <w:rPr>
          <w:i/>
          <w:lang w:val="en-GB"/>
        </w:rPr>
        <w:t>Framework</w:t>
      </w:r>
      <w:r>
        <w:rPr>
          <w:lang w:val="en-GB"/>
        </w:rPr>
        <w:t xml:space="preserve"> was always included in the IASB’s annual books of documents.</w:t>
      </w:r>
    </w:p>
  </w:footnote>
  <w:footnote w:id="10">
    <w:p w14:paraId="4EFA83D4" w14:textId="77777777" w:rsidR="00E45453" w:rsidRPr="004E17E2" w:rsidRDefault="00E45453" w:rsidP="00E7061F">
      <w:pPr>
        <w:pStyle w:val="FootnoteText"/>
        <w:rPr>
          <w:lang w:val="en-GB"/>
        </w:rPr>
      </w:pPr>
      <w:r w:rsidRPr="004E17E2">
        <w:rPr>
          <w:rStyle w:val="FootnoteReference"/>
          <w:lang w:val="en-GB"/>
        </w:rPr>
        <w:footnoteRef/>
      </w:r>
      <w:r w:rsidRPr="004E17E2">
        <w:rPr>
          <w:lang w:val="en-GB"/>
        </w:rPr>
        <w:t xml:space="preserve"> </w:t>
      </w:r>
      <w:r w:rsidRPr="004E17E2">
        <w:rPr>
          <w:lang w:val="en-GB"/>
        </w:rPr>
        <w:tab/>
      </w:r>
      <w:r w:rsidRPr="004E17E2">
        <w:rPr>
          <w:i/>
          <w:lang w:val="en-GB"/>
        </w:rPr>
        <w:t>Concepts Statement</w:t>
      </w:r>
      <w:r w:rsidRPr="004E17E2">
        <w:rPr>
          <w:lang w:val="en-GB"/>
        </w:rPr>
        <w:t xml:space="preserve"> No. 8 of 2010 replaced </w:t>
      </w:r>
      <w:r w:rsidRPr="004E17E2">
        <w:rPr>
          <w:i/>
          <w:lang w:val="en-GB"/>
        </w:rPr>
        <w:t>Concepts Statement</w:t>
      </w:r>
      <w:r>
        <w:rPr>
          <w:i/>
          <w:lang w:val="en-GB"/>
        </w:rPr>
        <w:t>s</w:t>
      </w:r>
      <w:r w:rsidRPr="004E17E2">
        <w:rPr>
          <w:lang w:val="en-GB"/>
        </w:rPr>
        <w:t xml:space="preserve"> No.</w:t>
      </w:r>
      <w:r>
        <w:rPr>
          <w:lang w:val="en-GB"/>
        </w:rPr>
        <w:t>s</w:t>
      </w:r>
      <w:r w:rsidRPr="004E17E2">
        <w:rPr>
          <w:lang w:val="en-GB"/>
        </w:rPr>
        <w:t xml:space="preserve"> </w:t>
      </w:r>
      <w:r>
        <w:rPr>
          <w:lang w:val="en-GB"/>
        </w:rPr>
        <w:t>1 and 2</w:t>
      </w:r>
      <w:r w:rsidRPr="004E17E2">
        <w:rPr>
          <w:lang w:val="en-GB"/>
        </w:rPr>
        <w:t>.</w:t>
      </w:r>
    </w:p>
  </w:footnote>
  <w:footnote w:id="11">
    <w:p w14:paraId="7BA03B8C" w14:textId="77777777" w:rsidR="00E45453" w:rsidRPr="004E17E2" w:rsidRDefault="00E45453" w:rsidP="00C41094">
      <w:pPr>
        <w:pStyle w:val="FootnoteText"/>
        <w:rPr>
          <w:lang w:val="en-GB"/>
        </w:rPr>
      </w:pPr>
      <w:r w:rsidRPr="004E17E2">
        <w:rPr>
          <w:rStyle w:val="FootnoteReference"/>
          <w:lang w:val="en-GB"/>
        </w:rPr>
        <w:footnoteRef/>
      </w:r>
      <w:r w:rsidRPr="004E17E2">
        <w:rPr>
          <w:lang w:val="en-GB"/>
        </w:rPr>
        <w:t xml:space="preserve"> </w:t>
      </w:r>
      <w:r w:rsidRPr="004E17E2">
        <w:rPr>
          <w:lang w:val="en-GB"/>
        </w:rPr>
        <w:tab/>
        <w:t>That is, it is not part of IFRS. It can be inconsistent with parts of IFRS. In the EU, it is not part of the endorsed content of IFRS.</w:t>
      </w:r>
    </w:p>
  </w:footnote>
  <w:footnote w:id="12">
    <w:p w14:paraId="4D195A67" w14:textId="77777777" w:rsidR="00E45453" w:rsidRPr="007A50EF" w:rsidRDefault="00E45453">
      <w:pPr>
        <w:pStyle w:val="FootnoteText"/>
        <w:rPr>
          <w:lang w:val="en-GB"/>
        </w:rPr>
      </w:pPr>
      <w:r>
        <w:rPr>
          <w:rStyle w:val="FootnoteReference"/>
        </w:rPr>
        <w:footnoteRef/>
      </w:r>
      <w:r>
        <w:t xml:space="preserve"> </w:t>
      </w:r>
      <w:r>
        <w:rPr>
          <w:lang w:val="en-GB"/>
        </w:rPr>
        <w:tab/>
        <w:t>By definition, the first type is extremely rare. For the second type, IAS 8 does not require any disclosures.</w:t>
      </w:r>
    </w:p>
  </w:footnote>
  <w:footnote w:id="13">
    <w:p w14:paraId="60ADF4A9"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IAS 8.23 allows an exception when that is ‘impracticable’.</w:t>
      </w:r>
    </w:p>
  </w:footnote>
  <w:footnote w:id="14">
    <w:p w14:paraId="0C8FF008" w14:textId="77777777" w:rsidR="00E45453" w:rsidRPr="007A50EF" w:rsidRDefault="00E45453">
      <w:pPr>
        <w:pStyle w:val="FootnoteText"/>
        <w:rPr>
          <w:lang w:val="en-GB"/>
        </w:rPr>
      </w:pPr>
      <w:r>
        <w:rPr>
          <w:rStyle w:val="FootnoteReference"/>
        </w:rPr>
        <w:footnoteRef/>
      </w:r>
      <w:r>
        <w:t xml:space="preserve"> </w:t>
      </w:r>
      <w:r>
        <w:rPr>
          <w:lang w:val="en-GB"/>
        </w:rPr>
        <w:tab/>
        <w:t>Materiality is an aspect of relevance (IASB 2010, QC11), so there should not be disclosures of the existence of immaterial changes. Therefore, the disclosure of a change implies that it is material and should therefore be explained. Despite this, in our data, there are nine cases of disclosed but unexplained changes which were said to have no material effect.</w:t>
      </w:r>
    </w:p>
  </w:footnote>
  <w:footnote w:id="15">
    <w:p w14:paraId="08F82752"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In the IASB’s ‘bound volume’ of standards for 2011 onwards, footnotes have been added to IAS 1 and IAS 8 which mention that a revised ‘</w:t>
      </w:r>
      <w:r w:rsidRPr="004E17E2">
        <w:rPr>
          <w:i/>
          <w:lang w:val="en-GB"/>
        </w:rPr>
        <w:t>Conceptual Framework</w:t>
      </w:r>
      <w:r w:rsidRPr="004E17E2">
        <w:rPr>
          <w:lang w:val="en-GB"/>
        </w:rPr>
        <w:t>’ has been issued, but these footnotes have not been through ‘due process’ and are not in the EU-endorsed or the Australian versions of the standards (EU countries and Australia comprise six of the ten countries in our empirical analysis).</w:t>
      </w:r>
    </w:p>
  </w:footnote>
  <w:footnote w:id="16">
    <w:p w14:paraId="3309220C" w14:textId="77777777" w:rsidR="00E45453" w:rsidRPr="009D312A" w:rsidRDefault="00E45453">
      <w:pPr>
        <w:pStyle w:val="FootnoteText"/>
        <w:rPr>
          <w:lang w:val="en-GB"/>
        </w:rPr>
      </w:pPr>
      <w:r>
        <w:rPr>
          <w:rStyle w:val="FootnoteReference"/>
        </w:rPr>
        <w:footnoteRef/>
      </w:r>
      <w:r>
        <w:t xml:space="preserve"> </w:t>
      </w:r>
      <w:r>
        <w:tab/>
        <w:t>For example, the UK’s Local Authority Pension Fund Forum and other investors commissioned a legal opinion (from G. Bompas QC, dated 8 April 2013) which cast doubt on the legality of IFRS for various reasons, including the removal of prudence.</w:t>
      </w:r>
    </w:p>
  </w:footnote>
  <w:footnote w:id="17">
    <w:p w14:paraId="006BF51D"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These are the topics included by Kvaal and Nobes (2010). It would be possible to identify a few more. For example, André et al. (2012) appear to have 25. However, several of these are not really policy choices, e.g. depreciation method (which an entity is supposed to identify rather than choose) and whether or not segment information is disclosed. As a footnote to Table 1 explains, two options were removed for 2009 onwards. Additionally, there was no choice in Australia for topics 7 and 16 for accounting periods beginning before 1 July 2007.</w:t>
      </w:r>
      <w:r>
        <w:rPr>
          <w:lang w:val="en-GB"/>
        </w:rPr>
        <w:t xml:space="preserve"> It would be possible to argue that some of these topics are really matters of estimate rather than policy, e.g. topic 14 on inventory costing. However, the strong association of policy with country (Kvaal and Nobes 2010) suggests that choice is involved.</w:t>
      </w:r>
    </w:p>
  </w:footnote>
  <w:footnote w:id="18">
    <w:p w14:paraId="48A70957"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 xml:space="preserve">We will </w:t>
      </w:r>
      <w:r>
        <w:rPr>
          <w:lang w:val="en-GB"/>
        </w:rPr>
        <w:t>find</w:t>
      </w:r>
      <w:r w:rsidRPr="004E17E2">
        <w:rPr>
          <w:lang w:val="en-GB"/>
        </w:rPr>
        <w:t xml:space="preserve"> references to QCs unless one of the following three conditions applies to </w:t>
      </w:r>
      <w:r w:rsidRPr="004E17E2">
        <w:rPr>
          <w:i/>
          <w:lang w:val="en-GB"/>
        </w:rPr>
        <w:t>all</w:t>
      </w:r>
      <w:r w:rsidRPr="004E17E2">
        <w:rPr>
          <w:lang w:val="en-GB"/>
        </w:rPr>
        <w:t xml:space="preserve"> of the policy changes that we analyse: first, the policy change falls outside the scope of the requirement to provide an explanation for improved relevance; for example, early adoption of a new or amended standard (see IAS 8.20); or, second, the firm does not comply with the requirement to explain (IAS 8.29); or, third, the firm provides a reason but it is not a QC.</w:t>
      </w:r>
    </w:p>
  </w:footnote>
  <w:footnote w:id="19">
    <w:p w14:paraId="4B1E2419" w14:textId="77777777" w:rsidR="00E45453" w:rsidRPr="004E17E2" w:rsidRDefault="00E45453" w:rsidP="00BA17E4">
      <w:pPr>
        <w:pStyle w:val="FootnoteText"/>
        <w:rPr>
          <w:lang w:val="en-GB"/>
        </w:rPr>
      </w:pPr>
      <w:r w:rsidRPr="004E17E2">
        <w:rPr>
          <w:rStyle w:val="FootnoteReference"/>
          <w:lang w:val="en-GB"/>
        </w:rPr>
        <w:footnoteRef/>
      </w:r>
      <w:r w:rsidRPr="004E17E2">
        <w:rPr>
          <w:lang w:val="en-GB"/>
        </w:rPr>
        <w:t xml:space="preserve"> </w:t>
      </w:r>
      <w:r w:rsidRPr="004E17E2">
        <w:rPr>
          <w:lang w:val="en-GB"/>
        </w:rPr>
        <w:tab/>
        <w:t>That is, we use the constituents of the main stock market indices</w:t>
      </w:r>
      <w:r w:rsidRPr="007A5162">
        <w:rPr>
          <w:lang w:val="en-GB"/>
        </w:rPr>
        <w:t xml:space="preserve"> </w:t>
      </w:r>
      <w:r w:rsidRPr="00D272CC">
        <w:rPr>
          <w:lang w:val="en-GB"/>
        </w:rPr>
        <w:t>on 31 December 2005 or 31 December 2010 or both</w:t>
      </w:r>
      <w:r w:rsidRPr="004E17E2">
        <w:rPr>
          <w:lang w:val="en-GB"/>
        </w:rPr>
        <w:t>: S&amp;P/ASX-50 (Australia), SMI (Switzerland), Hang Seng China Enterprises Index (China), DAX-30 &amp; 10 largest (by market capitalization) constituents of MDAX-50 (Germany), IBEX-35 (Spain), CAC-40 (France), FTSE-100 (United Kingdom), Hang Seng (Hong Kong), (S&amp;P/MIB-40) FTSE/MIB-40 (Italy) and FTSE/JSE Top 40 (South Africa).</w:t>
      </w:r>
    </w:p>
  </w:footnote>
  <w:footnote w:id="20">
    <w:p w14:paraId="5E5BC20D" w14:textId="77777777" w:rsidR="00E45453" w:rsidRPr="004E17E2" w:rsidRDefault="00E45453" w:rsidP="00BA17E4">
      <w:pPr>
        <w:pStyle w:val="FootnoteText"/>
        <w:rPr>
          <w:lang w:val="en-GB"/>
        </w:rPr>
      </w:pPr>
      <w:r w:rsidRPr="004E17E2">
        <w:rPr>
          <w:rStyle w:val="FootnoteReference"/>
          <w:lang w:val="en-GB"/>
        </w:rPr>
        <w:footnoteRef/>
      </w:r>
      <w:r w:rsidRPr="004E17E2">
        <w:rPr>
          <w:lang w:val="en-GB"/>
        </w:rPr>
        <w:t xml:space="preserve"> </w:t>
      </w:r>
      <w:r w:rsidRPr="004E17E2">
        <w:rPr>
          <w:lang w:val="en-GB"/>
        </w:rPr>
        <w:tab/>
        <w:t xml:space="preserve">Although China has not fully adopted IFRS, the majority of the largest listed Chinese </w:t>
      </w:r>
      <w:r>
        <w:rPr>
          <w:lang w:val="en-GB"/>
        </w:rPr>
        <w:t>firms</w:t>
      </w:r>
      <w:r w:rsidRPr="004E17E2">
        <w:rPr>
          <w:lang w:val="en-GB"/>
        </w:rPr>
        <w:t xml:space="preserve"> prepares IFRS financial statements, because they are listed on the Hong Kong Stock Exchange (HKEx), which required IFRS from 2005 to 2009. Consequently, Chinese </w:t>
      </w:r>
      <w:r>
        <w:rPr>
          <w:lang w:val="en-GB"/>
        </w:rPr>
        <w:t>firms</w:t>
      </w:r>
      <w:r w:rsidRPr="004E17E2">
        <w:rPr>
          <w:lang w:val="en-GB"/>
        </w:rPr>
        <w:t xml:space="preserve"> with a listing in Hong Kong and Mainland China prepared two sets of financial statements (IFRS and Chinese GAAP). However, from 2010, HKEx accepts Chinese GAAP financial statements, and six </w:t>
      </w:r>
      <w:r>
        <w:rPr>
          <w:lang w:val="en-GB"/>
        </w:rPr>
        <w:t>firms</w:t>
      </w:r>
      <w:r w:rsidRPr="004E17E2">
        <w:rPr>
          <w:lang w:val="en-GB"/>
        </w:rPr>
        <w:t xml:space="preserve"> in our sample have stopped preparing IFRS financial statements.</w:t>
      </w:r>
    </w:p>
  </w:footnote>
  <w:footnote w:id="21">
    <w:p w14:paraId="3E6F9931" w14:textId="3E4338C6" w:rsidR="00E45453" w:rsidRPr="002C29D9" w:rsidRDefault="00E45453">
      <w:pPr>
        <w:pStyle w:val="FootnoteText"/>
        <w:rPr>
          <w:lang w:val="en-GB"/>
        </w:rPr>
      </w:pPr>
      <w:r>
        <w:rPr>
          <w:rStyle w:val="FootnoteReference"/>
        </w:rPr>
        <w:footnoteRef/>
      </w:r>
      <w:r>
        <w:t xml:space="preserve"> </w:t>
      </w:r>
      <w:r>
        <w:rPr>
          <w:lang w:val="en-GB"/>
        </w:rPr>
        <w:tab/>
        <w:t xml:space="preserve">The proportion of IFRS policy changes to total choices differs significantly across the 10 countries (based on a </w:t>
      </w:r>
      <w:r w:rsidRPr="00A462A1">
        <w:t>χ²</w:t>
      </w:r>
      <w:r w:rsidRPr="00A462A1">
        <w:rPr>
          <w:b/>
        </w:rPr>
        <w:t xml:space="preserve"> </w:t>
      </w:r>
      <w:r>
        <w:t>test</w:t>
      </w:r>
      <w:r w:rsidRPr="00A462A1">
        <w:t xml:space="preserve"> of independence</w:t>
      </w:r>
      <w:r>
        <w:t>:</w:t>
      </w:r>
      <w:r w:rsidRPr="00553887">
        <w:t xml:space="preserve"> χ²</w:t>
      </w:r>
      <w:r>
        <w:t xml:space="preserve"> test statistic = </w:t>
      </w:r>
      <w:r w:rsidRPr="003768BF">
        <w:t>19.5</w:t>
      </w:r>
      <w:r>
        <w:t xml:space="preserve">7, </w:t>
      </w:r>
      <w:r w:rsidRPr="00A462A1">
        <w:t>p</w:t>
      </w:r>
      <w:r>
        <w:noBreakHyphen/>
        <w:t>value =</w:t>
      </w:r>
      <w:r w:rsidRPr="00A462A1">
        <w:t xml:space="preserve"> </w:t>
      </w:r>
      <w:r>
        <w:t>0.02).</w:t>
      </w:r>
    </w:p>
  </w:footnote>
  <w:footnote w:id="22">
    <w:p w14:paraId="013046F1" w14:textId="7D9DD0B6" w:rsidR="00E45453" w:rsidRPr="007A50EF" w:rsidRDefault="00E45453">
      <w:pPr>
        <w:pStyle w:val="FootnoteText"/>
        <w:rPr>
          <w:lang w:val="en-GB"/>
        </w:rPr>
      </w:pPr>
      <w:r>
        <w:rPr>
          <w:rStyle w:val="FootnoteReference"/>
        </w:rPr>
        <w:footnoteRef/>
      </w:r>
      <w:r>
        <w:t xml:space="preserve"> </w:t>
      </w:r>
      <w:r>
        <w:rPr>
          <w:lang w:val="en-GB"/>
        </w:rPr>
        <w:tab/>
      </w:r>
      <w:r>
        <w:t>Our sample comprises</w:t>
      </w:r>
      <w:r>
        <w:rPr>
          <w:lang w:val="en-GB"/>
        </w:rPr>
        <w:t xml:space="preserve"> </w:t>
      </w:r>
      <w:r w:rsidRPr="00374D52">
        <w:rPr>
          <w:lang w:val="en-GB"/>
        </w:rPr>
        <w:t xml:space="preserve">261 firms </w:t>
      </w:r>
      <w:r>
        <w:rPr>
          <w:lang w:val="en-GB"/>
        </w:rPr>
        <w:t>which made</w:t>
      </w:r>
      <w:r w:rsidRPr="00374D52">
        <w:rPr>
          <w:lang w:val="en-GB"/>
        </w:rPr>
        <w:t xml:space="preserve"> one or more policy change, and 253 firms </w:t>
      </w:r>
      <w:r>
        <w:rPr>
          <w:lang w:val="en-GB"/>
        </w:rPr>
        <w:t xml:space="preserve">which made </w:t>
      </w:r>
      <w:r w:rsidRPr="00374D52">
        <w:rPr>
          <w:lang w:val="en-GB"/>
        </w:rPr>
        <w:t>no change</w:t>
      </w:r>
      <w:r>
        <w:rPr>
          <w:lang w:val="en-GB"/>
        </w:rPr>
        <w:t>. We do not find statistically significant differences in firm size, leverage and profitability between the two types of firms (policy changers and not), using two</w:t>
      </w:r>
      <w:r>
        <w:rPr>
          <w:lang w:val="en-GB"/>
        </w:rPr>
        <w:noBreakHyphen/>
        <w:t xml:space="preserve">sided </w:t>
      </w:r>
      <w:r w:rsidRPr="008A0DA4">
        <w:rPr>
          <w:i/>
          <w:lang w:val="en-GB"/>
        </w:rPr>
        <w:t>t</w:t>
      </w:r>
      <w:r>
        <w:rPr>
          <w:lang w:val="en-GB"/>
        </w:rPr>
        <w:noBreakHyphen/>
        <w:t>tests and data from 2005 (or the first available year if a firm has not yet been listed in 2005); the means (p</w:t>
      </w:r>
      <w:r>
        <w:rPr>
          <w:lang w:val="en-GB"/>
        </w:rPr>
        <w:noBreakHyphen/>
        <w:t>values) for the variables SIZE, LEVERAGE and PROFITABILITY are 15.917 vs 16.015 (</w:t>
      </w:r>
      <w:r w:rsidRPr="00374D52">
        <w:rPr>
          <w:lang w:val="en-GB"/>
        </w:rPr>
        <w:t>0.3</w:t>
      </w:r>
      <w:r>
        <w:rPr>
          <w:lang w:val="en-GB"/>
        </w:rPr>
        <w:t>4), 0.001 vs −0.008 (</w:t>
      </w:r>
      <w:r w:rsidRPr="00374D52">
        <w:rPr>
          <w:lang w:val="en-GB"/>
        </w:rPr>
        <w:t>0.</w:t>
      </w:r>
      <w:r>
        <w:rPr>
          <w:lang w:val="en-GB"/>
        </w:rPr>
        <w:t>60) and −0.004 vs −0.001 (</w:t>
      </w:r>
      <w:r w:rsidRPr="00374D52">
        <w:rPr>
          <w:lang w:val="en-GB"/>
        </w:rPr>
        <w:t>0.</w:t>
      </w:r>
      <w:r>
        <w:rPr>
          <w:lang w:val="en-GB"/>
        </w:rPr>
        <w:t xml:space="preserve">60), respectively. </w:t>
      </w:r>
      <w:r w:rsidRPr="00374D52">
        <w:rPr>
          <w:lang w:val="en-GB"/>
        </w:rPr>
        <w:t>See Appendix 3 for the definitions of the variables</w:t>
      </w:r>
      <w:r>
        <w:rPr>
          <w:lang w:val="en-GB"/>
        </w:rPr>
        <w:t>.</w:t>
      </w:r>
    </w:p>
  </w:footnote>
  <w:footnote w:id="23">
    <w:p w14:paraId="341E3357" w14:textId="3BAB8D67" w:rsidR="00E45453" w:rsidRPr="00476F0E" w:rsidRDefault="00E45453">
      <w:pPr>
        <w:pStyle w:val="FootnoteText"/>
        <w:rPr>
          <w:lang w:val="en-GB"/>
        </w:rPr>
      </w:pPr>
      <w:r>
        <w:rPr>
          <w:rStyle w:val="FootnoteReference"/>
        </w:rPr>
        <w:footnoteRef/>
      </w:r>
      <w:r>
        <w:t xml:space="preserve"> </w:t>
      </w:r>
      <w:r>
        <w:rPr>
          <w:lang w:val="en-GB"/>
        </w:rPr>
        <w:tab/>
        <w:t>When we repeat the analysis described in the previous footnote for the two types of firms (explanation providers and not), we do not find statistically significant differences in firm size, leverage and profitability. The means (p</w:t>
      </w:r>
      <w:r>
        <w:rPr>
          <w:lang w:val="en-GB"/>
        </w:rPr>
        <w:noBreakHyphen/>
        <w:t>values) are 15.985 vs 15.960 (0.84), 0.002 vs −0.005 (0.71) and −0.006 vs −0.001 (0.50), respectively.</w:t>
      </w:r>
    </w:p>
  </w:footnote>
  <w:footnote w:id="24">
    <w:p w14:paraId="548CF896" w14:textId="161D4D5C" w:rsidR="00E45453" w:rsidRPr="002C29D9" w:rsidRDefault="00E45453">
      <w:pPr>
        <w:pStyle w:val="FootnoteText"/>
        <w:rPr>
          <w:lang w:val="en-GB"/>
        </w:rPr>
      </w:pPr>
      <w:r>
        <w:rPr>
          <w:rStyle w:val="FootnoteReference"/>
        </w:rPr>
        <w:footnoteRef/>
      </w:r>
      <w:r>
        <w:t xml:space="preserve"> </w:t>
      </w:r>
      <w:r>
        <w:rPr>
          <w:lang w:val="en-GB"/>
        </w:rPr>
        <w:tab/>
        <w:t xml:space="preserve">The proportion of IFRS policy changes which are explained does not differ significantly across the 10 countries (based on a </w:t>
      </w:r>
      <w:r w:rsidRPr="00A462A1">
        <w:t>χ²</w:t>
      </w:r>
      <w:r w:rsidRPr="00A462A1">
        <w:rPr>
          <w:b/>
        </w:rPr>
        <w:t xml:space="preserve"> </w:t>
      </w:r>
      <w:r>
        <w:t>test</w:t>
      </w:r>
      <w:r w:rsidRPr="00A462A1">
        <w:t xml:space="preserve"> of independence</w:t>
      </w:r>
      <w:r>
        <w:t>:</w:t>
      </w:r>
      <w:r w:rsidRPr="00553887">
        <w:t xml:space="preserve"> χ²</w:t>
      </w:r>
      <w:r>
        <w:t xml:space="preserve"> test statistic = </w:t>
      </w:r>
      <w:r w:rsidRPr="009124AE">
        <w:t>10.0</w:t>
      </w:r>
      <w:r>
        <w:t xml:space="preserve">2, </w:t>
      </w:r>
      <w:r w:rsidRPr="00A462A1">
        <w:t>p</w:t>
      </w:r>
      <w:r>
        <w:noBreakHyphen/>
        <w:t>value =</w:t>
      </w:r>
      <w:r w:rsidRPr="00A462A1">
        <w:t xml:space="preserve"> </w:t>
      </w:r>
      <w:r w:rsidRPr="009124AE">
        <w:t>0.3</w:t>
      </w:r>
      <w:r>
        <w:t>5).</w:t>
      </w:r>
    </w:p>
  </w:footnote>
  <w:footnote w:id="25">
    <w:p w14:paraId="05A45565"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Both authors each did the entire scoring.</w:t>
      </w:r>
    </w:p>
  </w:footnote>
  <w:footnote w:id="26">
    <w:p w14:paraId="0C6CB8EE" w14:textId="77777777" w:rsidR="00E45453" w:rsidRPr="007A50EF" w:rsidRDefault="00E45453">
      <w:pPr>
        <w:pStyle w:val="FootnoteText"/>
        <w:rPr>
          <w:lang w:val="en-GB"/>
        </w:rPr>
      </w:pPr>
      <w:r>
        <w:rPr>
          <w:rStyle w:val="FootnoteReference"/>
        </w:rPr>
        <w:footnoteRef/>
      </w:r>
      <w:r>
        <w:t xml:space="preserve"> </w:t>
      </w:r>
      <w:r>
        <w:tab/>
      </w:r>
      <w:r>
        <w:rPr>
          <w:lang w:val="en-GB"/>
        </w:rPr>
        <w:t xml:space="preserve">It could be argued that ‘better understanding of our business’ refers to faithful representation. However, neither ‘faithful representation’ nor </w:t>
      </w:r>
      <w:r w:rsidRPr="00D272CC">
        <w:rPr>
          <w:lang w:val="en-GB"/>
        </w:rPr>
        <w:t>any reference to better presentation of information</w:t>
      </w:r>
      <w:r>
        <w:rPr>
          <w:lang w:val="en-GB"/>
        </w:rPr>
        <w:t xml:space="preserve"> is explicit in this explanation. Our coding is based on an objective approach as described in Appendix 2.</w:t>
      </w:r>
    </w:p>
  </w:footnote>
  <w:footnote w:id="27">
    <w:p w14:paraId="41FF4B41" w14:textId="77777777" w:rsidR="00E45453" w:rsidRPr="007A50EF" w:rsidRDefault="00E45453">
      <w:pPr>
        <w:pStyle w:val="FootnoteText"/>
        <w:rPr>
          <w:lang w:val="en-GB"/>
        </w:rPr>
      </w:pPr>
      <w:r>
        <w:rPr>
          <w:rStyle w:val="FootnoteReference"/>
        </w:rPr>
        <w:footnoteRef/>
      </w:r>
      <w:r>
        <w:t xml:space="preserve"> </w:t>
      </w:r>
      <w:r>
        <w:rPr>
          <w:lang w:val="en-GB"/>
        </w:rPr>
        <w:tab/>
        <w:t>IAS 8.29 does not specifically include the word ‘material’ but IFRS requirements do not apply unless amounts are material (IAS 1.29 and IAS 8.8).</w:t>
      </w:r>
    </w:p>
  </w:footnote>
  <w:footnote w:id="28">
    <w:p w14:paraId="79F6D510" w14:textId="77777777" w:rsidR="00E45453" w:rsidRPr="0056084C" w:rsidRDefault="00E45453" w:rsidP="00F7667A">
      <w:pPr>
        <w:pStyle w:val="FootnoteText"/>
        <w:rPr>
          <w:lang w:val="en-GB"/>
        </w:rPr>
      </w:pPr>
      <w:r>
        <w:rPr>
          <w:rStyle w:val="FootnoteReference"/>
        </w:rPr>
        <w:footnoteRef/>
      </w:r>
      <w:r>
        <w:t xml:space="preserve"> </w:t>
      </w:r>
      <w:r>
        <w:rPr>
          <w:lang w:val="en-GB"/>
        </w:rPr>
        <w:tab/>
        <w:t>This matter was considered by the IFRS Interpretations Committee in September 2014 (Staff paper, Agenda ref 12D).</w:t>
      </w:r>
    </w:p>
  </w:footnote>
  <w:footnote w:id="29">
    <w:p w14:paraId="0D58C43F" w14:textId="77777777" w:rsidR="00E45453" w:rsidRPr="007A50EF" w:rsidRDefault="00E45453">
      <w:pPr>
        <w:pStyle w:val="FootnoteText"/>
        <w:rPr>
          <w:lang w:val="en-GB"/>
        </w:rPr>
      </w:pPr>
      <w:r>
        <w:rPr>
          <w:rStyle w:val="FootnoteReference"/>
        </w:rPr>
        <w:footnoteRef/>
      </w:r>
      <w:r>
        <w:t xml:space="preserve"> </w:t>
      </w:r>
      <w:r>
        <w:tab/>
      </w:r>
      <w:r>
        <w:rPr>
          <w:lang w:val="en-GB"/>
        </w:rPr>
        <w:t>Of these 111, all but one reference is to QCs found in the 1989 version; the one exception is a reference to verifiability.</w:t>
      </w:r>
    </w:p>
  </w:footnote>
  <w:footnote w:id="30">
    <w:p w14:paraId="216D5B10" w14:textId="77777777" w:rsidR="00E45453" w:rsidRPr="001269B2" w:rsidRDefault="00E45453">
      <w:pPr>
        <w:pStyle w:val="FootnoteText"/>
        <w:rPr>
          <w:lang w:val="en-GB"/>
        </w:rPr>
      </w:pPr>
      <w:r>
        <w:rPr>
          <w:rStyle w:val="FootnoteReference"/>
        </w:rPr>
        <w:footnoteRef/>
      </w:r>
      <w:r>
        <w:t xml:space="preserve"> </w:t>
      </w:r>
      <w:r>
        <w:rPr>
          <w:lang w:val="en-GB"/>
        </w:rPr>
        <w:tab/>
        <w:t>We do not attempt to distinguish between comparability and uniformity (see e.g. Macve 2014b).</w:t>
      </w:r>
    </w:p>
  </w:footnote>
  <w:footnote w:id="31">
    <w:p w14:paraId="39D0CE00" w14:textId="4AA47742" w:rsidR="00E45453" w:rsidRPr="002C29D9" w:rsidRDefault="00E45453" w:rsidP="00ED2F0D">
      <w:pPr>
        <w:pStyle w:val="FootnoteText"/>
        <w:rPr>
          <w:lang w:val="en-GB"/>
        </w:rPr>
      </w:pPr>
      <w:r>
        <w:rPr>
          <w:rStyle w:val="FootnoteReference"/>
        </w:rPr>
        <w:footnoteRef/>
      </w:r>
      <w:r>
        <w:t xml:space="preserve"> </w:t>
      </w:r>
      <w:r>
        <w:rPr>
          <w:lang w:val="en-GB"/>
        </w:rPr>
        <w:tab/>
        <w:t>We consider the ‘comparability local GAAP’ reason to be different from standards driven reasons. Of the 14 cases, 10 are about topic 16, and all changes were from proportionate consolidation of joint ventures to the equity method. However, in 2011 three Chinese firms still used proportionate consolidation, including Air China, which is a state-owned enterprise. We would not observe such varied practice if there were a local requirement.</w:t>
      </w:r>
    </w:p>
  </w:footnote>
  <w:footnote w:id="32">
    <w:p w14:paraId="7B4B34CC" w14:textId="77777777" w:rsidR="00E45453" w:rsidRPr="00142A6D" w:rsidRDefault="00E45453" w:rsidP="005A699B">
      <w:pPr>
        <w:pStyle w:val="FootnoteText"/>
        <w:rPr>
          <w:lang w:val="en-GB"/>
        </w:rPr>
      </w:pPr>
      <w:r>
        <w:rPr>
          <w:rStyle w:val="FootnoteReference"/>
        </w:rPr>
        <w:footnoteRef/>
      </w:r>
      <w:r>
        <w:t xml:space="preserve"> </w:t>
      </w:r>
      <w:r>
        <w:rPr>
          <w:lang w:val="en-GB"/>
        </w:rPr>
        <w:tab/>
        <w:t>The sum of 56% and 24% is less than 100% because some of our topics allow more than two options (see Table 1).</w:t>
      </w:r>
    </w:p>
  </w:footnote>
  <w:footnote w:id="33">
    <w:p w14:paraId="0F357AF6" w14:textId="77777777" w:rsidR="00E45453" w:rsidRPr="00B1648A" w:rsidRDefault="00E45453">
      <w:pPr>
        <w:pStyle w:val="FootnoteText"/>
        <w:rPr>
          <w:lang w:val="en-GB"/>
        </w:rPr>
      </w:pPr>
      <w:r>
        <w:rPr>
          <w:rStyle w:val="FootnoteReference"/>
        </w:rPr>
        <w:footnoteRef/>
      </w:r>
      <w:r>
        <w:t xml:space="preserve"> </w:t>
      </w:r>
      <w:r>
        <w:rPr>
          <w:lang w:val="en-GB"/>
        </w:rPr>
        <w:tab/>
        <w:t xml:space="preserve">The results are similar when we use a narrower definition of industry peers: i.e. when we use other </w:t>
      </w:r>
      <w:r w:rsidRPr="00294D8B">
        <w:rPr>
          <w:lang w:val="en-GB"/>
        </w:rPr>
        <w:t>firms</w:t>
      </w:r>
      <w:r>
        <w:rPr>
          <w:lang w:val="en-GB"/>
        </w:rPr>
        <w:t xml:space="preserve"> in our sample</w:t>
      </w:r>
      <w:r w:rsidRPr="00294D8B">
        <w:rPr>
          <w:lang w:val="en-GB"/>
        </w:rPr>
        <w:t xml:space="preserve"> </w:t>
      </w:r>
      <w:r>
        <w:rPr>
          <w:lang w:val="en-GB"/>
        </w:rPr>
        <w:t>which have the same first two/three/four digits of the ICB code, the numbers are 58% vs 22% (12 out of 16), 57% vs 25% (12 out of 16) and 56% vs 23% (12 out of 16), respectively.</w:t>
      </w:r>
    </w:p>
  </w:footnote>
  <w:footnote w:id="34">
    <w:p w14:paraId="49E806C7"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 xml:space="preserve">The firm-year observation with the most changes is International Power in 2011 with </w:t>
      </w:r>
      <w:r>
        <w:rPr>
          <w:lang w:val="en-GB"/>
        </w:rPr>
        <w:t>six</w:t>
      </w:r>
      <w:r w:rsidRPr="004E17E2">
        <w:rPr>
          <w:lang w:val="en-GB"/>
        </w:rPr>
        <w:t xml:space="preserve"> changes.</w:t>
      </w:r>
    </w:p>
  </w:footnote>
  <w:footnote w:id="35">
    <w:p w14:paraId="6558E19F" w14:textId="77777777" w:rsidR="00E45453" w:rsidRPr="00662B4D" w:rsidRDefault="00E45453">
      <w:pPr>
        <w:pStyle w:val="FootnoteText"/>
        <w:rPr>
          <w:lang w:val="en-GB"/>
        </w:rPr>
      </w:pPr>
      <w:r w:rsidRPr="00662B4D">
        <w:rPr>
          <w:rStyle w:val="FootnoteReference"/>
          <w:lang w:val="en-GB"/>
        </w:rPr>
        <w:footnoteRef/>
      </w:r>
      <w:r w:rsidRPr="00662B4D">
        <w:rPr>
          <w:lang w:val="en-GB"/>
        </w:rPr>
        <w:t xml:space="preserve"> </w:t>
      </w:r>
      <w:r w:rsidRPr="00662B4D">
        <w:rPr>
          <w:lang w:val="en-GB"/>
        </w:rPr>
        <w:tab/>
      </w:r>
      <w:r>
        <w:rPr>
          <w:lang w:val="en-GB"/>
        </w:rPr>
        <w:t>There are 257 firm-year observations with one policy change, 56 observations with two changes, eight observations with three changes, one observation with four changes and one observation with six changes.</w:t>
      </w:r>
    </w:p>
  </w:footnote>
  <w:footnote w:id="36">
    <w:p w14:paraId="1DD48F18" w14:textId="77777777" w:rsidR="00E45453" w:rsidRPr="00665601" w:rsidRDefault="00E45453">
      <w:pPr>
        <w:pStyle w:val="FootnoteText"/>
        <w:rPr>
          <w:lang w:val="en-GB"/>
        </w:rPr>
      </w:pPr>
      <w:r>
        <w:rPr>
          <w:rStyle w:val="FootnoteReference"/>
        </w:rPr>
        <w:footnoteRef/>
      </w:r>
      <w:r>
        <w:t xml:space="preserve"> </w:t>
      </w:r>
      <w:r>
        <w:rPr>
          <w:lang w:val="en-GB"/>
        </w:rPr>
        <w:tab/>
        <w:t>The variable PROFITABILITY</w:t>
      </w:r>
      <w:r w:rsidRPr="00D272CC">
        <w:rPr>
          <w:vertAlign w:val="subscript"/>
          <w:lang w:val="en-GB"/>
        </w:rPr>
        <w:t>t</w:t>
      </w:r>
      <w:r>
        <w:rPr>
          <w:vertAlign w:val="subscript"/>
          <w:lang w:val="en-GB"/>
        </w:rPr>
        <w:t>−1</w:t>
      </w:r>
      <w:r>
        <w:rPr>
          <w:lang w:val="en-GB"/>
        </w:rPr>
        <w:t xml:space="preserve"> has an extreme observation and is therefore </w:t>
      </w:r>
      <w:r w:rsidRPr="00027C06">
        <w:t>winsorized at the 1</w:t>
      </w:r>
      <w:r w:rsidRPr="00027C06">
        <w:rPr>
          <w:vertAlign w:val="superscript"/>
        </w:rPr>
        <w:t>st</w:t>
      </w:r>
      <w:r w:rsidRPr="00027C06">
        <w:t xml:space="preserve"> and 99</w:t>
      </w:r>
      <w:r w:rsidRPr="00027C06">
        <w:rPr>
          <w:vertAlign w:val="superscript"/>
        </w:rPr>
        <w:t>th</w:t>
      </w:r>
      <w:r w:rsidRPr="00027C06">
        <w:t xml:space="preserve"> percentile</w:t>
      </w:r>
      <w:r>
        <w:t>s.</w:t>
      </w:r>
    </w:p>
  </w:footnote>
  <w:footnote w:id="37">
    <w:p w14:paraId="7E8248A2" w14:textId="77777777" w:rsidR="00E45453" w:rsidRPr="004D0B18" w:rsidRDefault="00E45453">
      <w:pPr>
        <w:pStyle w:val="FootnoteText"/>
        <w:rPr>
          <w:lang w:val="en-GB"/>
        </w:rPr>
      </w:pPr>
      <w:r>
        <w:rPr>
          <w:rStyle w:val="FootnoteReference"/>
        </w:rPr>
        <w:footnoteRef/>
      </w:r>
      <w:r>
        <w:t xml:space="preserve"> </w:t>
      </w:r>
      <w:r>
        <w:rPr>
          <w:lang w:val="en-GB"/>
        </w:rPr>
        <w:tab/>
        <w:t>Our results are robust to using industry medians instead of means for the adjustment.</w:t>
      </w:r>
    </w:p>
  </w:footnote>
  <w:footnote w:id="38">
    <w:p w14:paraId="6729628A" w14:textId="77777777" w:rsidR="00E45453" w:rsidRPr="00DD6B1A" w:rsidRDefault="00E45453">
      <w:pPr>
        <w:pStyle w:val="FootnoteText"/>
        <w:rPr>
          <w:lang w:val="en-GB"/>
        </w:rPr>
      </w:pPr>
      <w:r w:rsidRPr="00662B4D">
        <w:rPr>
          <w:rStyle w:val="FootnoteReference"/>
          <w:lang w:val="en-GB"/>
        </w:rPr>
        <w:footnoteRef/>
      </w:r>
      <w:r w:rsidRPr="00662B4D">
        <w:rPr>
          <w:lang w:val="en-GB"/>
        </w:rPr>
        <w:t xml:space="preserve"> </w:t>
      </w:r>
      <w:r w:rsidRPr="00662B4D">
        <w:rPr>
          <w:lang w:val="en-GB"/>
        </w:rPr>
        <w:tab/>
      </w:r>
      <w:r>
        <w:rPr>
          <w:lang w:val="en-GB"/>
        </w:rPr>
        <w:t>The sample includes 248 firms: 179 firms with one firm-year observation (i.e. year with at least one policy change), 63 firms with two observations and six firms with three observations.</w:t>
      </w:r>
    </w:p>
  </w:footnote>
  <w:footnote w:id="39">
    <w:p w14:paraId="39B6335B" w14:textId="77777777" w:rsidR="00E45453" w:rsidRPr="004E17E2" w:rsidRDefault="00E45453">
      <w:pPr>
        <w:pStyle w:val="FootnoteText"/>
        <w:rPr>
          <w:lang w:val="en-GB"/>
        </w:rPr>
      </w:pPr>
      <w:r w:rsidRPr="004E17E2">
        <w:rPr>
          <w:rStyle w:val="FootnoteReference"/>
          <w:lang w:val="en-GB"/>
        </w:rPr>
        <w:footnoteRef/>
      </w:r>
      <w:r w:rsidRPr="004E17E2">
        <w:rPr>
          <w:lang w:val="en-GB"/>
        </w:rPr>
        <w:t xml:space="preserve"> </w:t>
      </w:r>
      <w:r w:rsidRPr="004E17E2">
        <w:rPr>
          <w:lang w:val="en-GB"/>
        </w:rPr>
        <w:tab/>
        <w:t xml:space="preserve">It tests the null hypothesis that the coefficients of all variables </w:t>
      </w:r>
      <w:r>
        <w:rPr>
          <w:lang w:val="en-GB"/>
        </w:rPr>
        <w:t>of</w:t>
      </w:r>
      <w:r w:rsidRPr="004E17E2">
        <w:rPr>
          <w:lang w:val="en-GB"/>
        </w:rPr>
        <w:t xml:space="preserve"> the respective </w:t>
      </w:r>
      <w:r>
        <w:rPr>
          <w:lang w:val="en-GB"/>
        </w:rPr>
        <w:t>set</w:t>
      </w:r>
      <w:r w:rsidRPr="004E17E2">
        <w:rPr>
          <w:lang w:val="en-GB"/>
        </w:rPr>
        <w:t xml:space="preserve"> are equal to zero. Our Wald tests are based on the coefficient estimates and standard errors of the logistic regressions, not the marginal effects and corresponding standard errors.</w:t>
      </w:r>
    </w:p>
  </w:footnote>
  <w:footnote w:id="40">
    <w:p w14:paraId="1DDD0121" w14:textId="77777777" w:rsidR="00E45453" w:rsidRPr="00700C2C" w:rsidRDefault="00E45453">
      <w:pPr>
        <w:pStyle w:val="FootnoteText"/>
        <w:rPr>
          <w:lang w:val="en-GB"/>
        </w:rPr>
      </w:pPr>
      <w:r>
        <w:rPr>
          <w:rStyle w:val="FootnoteReference"/>
        </w:rPr>
        <w:footnoteRef/>
      </w:r>
      <w:r>
        <w:t xml:space="preserve"> </w:t>
      </w:r>
      <w:r>
        <w:rPr>
          <w:lang w:val="en-GB"/>
        </w:rPr>
        <w:tab/>
        <w:t>All of our topic variables are either about measurement or presentation.</w:t>
      </w:r>
    </w:p>
  </w:footnote>
  <w:footnote w:id="41">
    <w:p w14:paraId="42810503" w14:textId="77777777" w:rsidR="00E45453" w:rsidRPr="00C12B8B" w:rsidRDefault="00E45453">
      <w:pPr>
        <w:pStyle w:val="FootnoteText"/>
        <w:rPr>
          <w:lang w:val="en-GB"/>
        </w:rPr>
      </w:pPr>
      <w:r>
        <w:rPr>
          <w:rStyle w:val="FootnoteReference"/>
        </w:rPr>
        <w:footnoteRef/>
      </w:r>
      <w:r>
        <w:t xml:space="preserve"> </w:t>
      </w:r>
      <w:r>
        <w:rPr>
          <w:lang w:val="en-GB"/>
        </w:rPr>
        <w:tab/>
        <w:t>The following proxies for a country’s legal enforcement are also not statistically significantly related to references to QCs: ‘rule of law’ from Kaufmann et al. (2009) and both the audit and enforcement proxies from Brown et al. (2014); we use the 2008 scores and the marginal effects (</w:t>
      </w:r>
      <w:r w:rsidRPr="00D272CC">
        <w:rPr>
          <w:i/>
          <w:lang w:val="en-GB"/>
        </w:rPr>
        <w:t>z</w:t>
      </w:r>
      <w:r w:rsidRPr="00D272CC">
        <w:rPr>
          <w:lang w:val="en-GB"/>
        </w:rPr>
        <w:noBreakHyphen/>
        <w:t>statistic</w:t>
      </w:r>
      <w:r>
        <w:rPr>
          <w:lang w:val="en-GB"/>
        </w:rPr>
        <w:t>s) are −0.013 (−0.46), −0.002 (−0.38) and 0.006 (1.06), respectively.</w:t>
      </w:r>
    </w:p>
  </w:footnote>
  <w:footnote w:id="42">
    <w:p w14:paraId="6AAA1C81" w14:textId="77777777" w:rsidR="00E45453" w:rsidRPr="007508C2" w:rsidRDefault="00E45453">
      <w:pPr>
        <w:pStyle w:val="FootnoteText"/>
        <w:rPr>
          <w:lang w:val="en-GB"/>
        </w:rPr>
      </w:pPr>
      <w:r>
        <w:rPr>
          <w:rStyle w:val="FootnoteReference"/>
        </w:rPr>
        <w:footnoteRef/>
      </w:r>
      <w:r>
        <w:t xml:space="preserve"> </w:t>
      </w:r>
      <w:r>
        <w:rPr>
          <w:lang w:val="en-GB"/>
        </w:rPr>
        <w:tab/>
        <w:t>Our sample comprises the largest firms in our ten countries, but there is substantial variation in firm size in our regression sample: the smallest and largest firms have a market capitalization of $0.7bn and $220bn, respectively. Additionally, every country has at least one firm with a market capitalization below $4bn and at least one firm with a market capitalization above $37bn.</w:t>
      </w:r>
    </w:p>
  </w:footnote>
  <w:footnote w:id="43">
    <w:p w14:paraId="1B146798" w14:textId="77777777" w:rsidR="00E45453" w:rsidRPr="00EF62DC" w:rsidRDefault="00E45453">
      <w:pPr>
        <w:pStyle w:val="FootnoteText"/>
        <w:rPr>
          <w:lang w:val="en-GB"/>
        </w:rPr>
      </w:pPr>
      <w:r>
        <w:rPr>
          <w:rStyle w:val="FootnoteReference"/>
        </w:rPr>
        <w:footnoteRef/>
      </w:r>
      <w:r>
        <w:t xml:space="preserve"> </w:t>
      </w:r>
      <w:r>
        <w:rPr>
          <w:lang w:val="en-GB"/>
        </w:rPr>
        <w:tab/>
      </w:r>
      <w:r w:rsidRPr="004E17E2">
        <w:rPr>
          <w:lang w:val="en-GB"/>
        </w:rPr>
        <w:t>For a set of dummy variables where one dummy is selected as the reference group, the significance of any individual dummy depends on which dummy serves as the reference. Whether or not the entire set of dummy variables has an effect on the dependent variable has to be evaluated via a Wald test, which yields the same result regardless of which dummy serves as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00F"/>
    <w:multiLevelType w:val="hybridMultilevel"/>
    <w:tmpl w:val="825A248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C095836"/>
    <w:multiLevelType w:val="hybridMultilevel"/>
    <w:tmpl w:val="D1683728"/>
    <w:lvl w:ilvl="0" w:tplc="98D6DF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E760645"/>
    <w:multiLevelType w:val="hybridMultilevel"/>
    <w:tmpl w:val="837A3DF0"/>
    <w:lvl w:ilvl="0" w:tplc="04070005">
      <w:start w:val="1"/>
      <w:numFmt w:val="bullet"/>
      <w:lvlText w:val=""/>
      <w:lvlJc w:val="left"/>
      <w:pPr>
        <w:ind w:left="720" w:hanging="360"/>
      </w:pPr>
      <w:rPr>
        <w:rFonts w:ascii="Wingdings" w:hAnsi="Wingdings" w:hint="default"/>
      </w:rPr>
    </w:lvl>
    <w:lvl w:ilvl="1" w:tplc="5B10E43A">
      <w:numFmt w:val="bullet"/>
      <w:lvlText w:val="-"/>
      <w:lvlJc w:val="left"/>
      <w:pPr>
        <w:ind w:left="1440" w:hanging="36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255839"/>
    <w:multiLevelType w:val="hybridMultilevel"/>
    <w:tmpl w:val="2EA6FFAA"/>
    <w:lvl w:ilvl="0" w:tplc="79E6F4AC">
      <w:start w:val="3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29D2548"/>
    <w:multiLevelType w:val="hybridMultilevel"/>
    <w:tmpl w:val="79F072AE"/>
    <w:lvl w:ilvl="0" w:tplc="D88E6134">
      <w:numFmt w:val="bullet"/>
      <w:lvlText w:val="-"/>
      <w:lvlJc w:val="left"/>
      <w:pPr>
        <w:ind w:left="700" w:hanging="360"/>
      </w:pPr>
      <w:rPr>
        <w:rFonts w:ascii="Times New Roman" w:eastAsia="SimSun" w:hAnsi="Times New Roman"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nsid w:val="23E36BD8"/>
    <w:multiLevelType w:val="hybridMultilevel"/>
    <w:tmpl w:val="330829D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4D41336"/>
    <w:multiLevelType w:val="hybridMultilevel"/>
    <w:tmpl w:val="D1683728"/>
    <w:lvl w:ilvl="0" w:tplc="98D6DF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281927"/>
    <w:multiLevelType w:val="hybridMultilevel"/>
    <w:tmpl w:val="5A248C6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6E22CE"/>
    <w:multiLevelType w:val="hybridMultilevel"/>
    <w:tmpl w:val="77A0D158"/>
    <w:lvl w:ilvl="0" w:tplc="14E26B3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23CEE"/>
    <w:multiLevelType w:val="hybridMultilevel"/>
    <w:tmpl w:val="7FDCC40E"/>
    <w:lvl w:ilvl="0" w:tplc="EFD2F24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FF4229"/>
    <w:multiLevelType w:val="multilevel"/>
    <w:tmpl w:val="B0FE8C4C"/>
    <w:lvl w:ilvl="0">
      <w:numFmt w:val="decimal"/>
      <w:lvlText w:val="%1.0"/>
      <w:lvlJc w:val="left"/>
      <w:pPr>
        <w:ind w:left="1180" w:hanging="840"/>
      </w:pPr>
      <w:rPr>
        <w:rFonts w:cs="Times New Roman" w:hint="default"/>
      </w:rPr>
    </w:lvl>
    <w:lvl w:ilvl="1">
      <w:start w:val="1"/>
      <w:numFmt w:val="decimalZero"/>
      <w:lvlText w:val="%1.%2"/>
      <w:lvlJc w:val="left"/>
      <w:pPr>
        <w:ind w:left="1888" w:hanging="840"/>
      </w:pPr>
      <w:rPr>
        <w:rFonts w:cs="Times New Roman" w:hint="default"/>
      </w:rPr>
    </w:lvl>
    <w:lvl w:ilvl="2">
      <w:start w:val="1"/>
      <w:numFmt w:val="decimal"/>
      <w:lvlText w:val="%1.%2.%3"/>
      <w:lvlJc w:val="left"/>
      <w:pPr>
        <w:ind w:left="2596" w:hanging="840"/>
      </w:pPr>
      <w:rPr>
        <w:rFonts w:cs="Times New Roman" w:hint="default"/>
      </w:rPr>
    </w:lvl>
    <w:lvl w:ilvl="3">
      <w:start w:val="1"/>
      <w:numFmt w:val="decimal"/>
      <w:lvlText w:val="%1.%2.%3.%4"/>
      <w:lvlJc w:val="left"/>
      <w:pPr>
        <w:ind w:left="3304" w:hanging="840"/>
      </w:pPr>
      <w:rPr>
        <w:rFonts w:cs="Times New Roman" w:hint="default"/>
      </w:rPr>
    </w:lvl>
    <w:lvl w:ilvl="4">
      <w:start w:val="1"/>
      <w:numFmt w:val="decimal"/>
      <w:lvlText w:val="%1.%2.%3.%4.%5"/>
      <w:lvlJc w:val="left"/>
      <w:pPr>
        <w:ind w:left="4012" w:hanging="840"/>
      </w:pPr>
      <w:rPr>
        <w:rFonts w:cs="Times New Roman" w:hint="default"/>
      </w:rPr>
    </w:lvl>
    <w:lvl w:ilvl="5">
      <w:start w:val="1"/>
      <w:numFmt w:val="decimal"/>
      <w:lvlText w:val="%1.%2.%3.%4.%5.%6"/>
      <w:lvlJc w:val="left"/>
      <w:pPr>
        <w:ind w:left="4960" w:hanging="1080"/>
      </w:pPr>
      <w:rPr>
        <w:rFonts w:cs="Times New Roman" w:hint="default"/>
      </w:rPr>
    </w:lvl>
    <w:lvl w:ilvl="6">
      <w:start w:val="1"/>
      <w:numFmt w:val="decimal"/>
      <w:lvlText w:val="%1.%2.%3.%4.%5.%6.%7"/>
      <w:lvlJc w:val="left"/>
      <w:pPr>
        <w:ind w:left="5668" w:hanging="1080"/>
      </w:pPr>
      <w:rPr>
        <w:rFonts w:cs="Times New Roman" w:hint="default"/>
      </w:rPr>
    </w:lvl>
    <w:lvl w:ilvl="7">
      <w:start w:val="1"/>
      <w:numFmt w:val="decimal"/>
      <w:lvlText w:val="%1.%2.%3.%4.%5.%6.%7.%8"/>
      <w:lvlJc w:val="left"/>
      <w:pPr>
        <w:ind w:left="6736" w:hanging="1440"/>
      </w:pPr>
      <w:rPr>
        <w:rFonts w:cs="Times New Roman" w:hint="default"/>
      </w:rPr>
    </w:lvl>
    <w:lvl w:ilvl="8">
      <w:start w:val="1"/>
      <w:numFmt w:val="decimal"/>
      <w:lvlText w:val="%1.%2.%3.%4.%5.%6.%7.%8.%9"/>
      <w:lvlJc w:val="left"/>
      <w:pPr>
        <w:ind w:left="7444" w:hanging="1440"/>
      </w:pPr>
      <w:rPr>
        <w:rFonts w:cs="Times New Roman" w:hint="default"/>
      </w:rPr>
    </w:lvl>
  </w:abstractNum>
  <w:abstractNum w:abstractNumId="11">
    <w:nsid w:val="4276789E"/>
    <w:multiLevelType w:val="hybridMultilevel"/>
    <w:tmpl w:val="4BB0FBCA"/>
    <w:lvl w:ilvl="0" w:tplc="F73415A8">
      <w:start w:val="6"/>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6F85B58"/>
    <w:multiLevelType w:val="multilevel"/>
    <w:tmpl w:val="D168372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2E5C80"/>
    <w:multiLevelType w:val="hybridMultilevel"/>
    <w:tmpl w:val="4E4E78DC"/>
    <w:lvl w:ilvl="0" w:tplc="4154A27E">
      <w:start w:val="200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56FE202A"/>
    <w:multiLevelType w:val="hybridMultilevel"/>
    <w:tmpl w:val="880CC582"/>
    <w:lvl w:ilvl="0" w:tplc="04070005">
      <w:start w:val="1"/>
      <w:numFmt w:val="bullet"/>
      <w:lvlText w:val=""/>
      <w:lvlJc w:val="left"/>
      <w:pPr>
        <w:tabs>
          <w:tab w:val="num" w:pos="720"/>
        </w:tabs>
        <w:ind w:left="720" w:hanging="360"/>
      </w:pPr>
      <w:rPr>
        <w:rFonts w:ascii="Wingdings" w:hAnsi="Wingdings" w:hint="default"/>
      </w:rPr>
    </w:lvl>
    <w:lvl w:ilvl="1" w:tplc="872E644C">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CAB62B6"/>
    <w:multiLevelType w:val="hybridMultilevel"/>
    <w:tmpl w:val="3BDA81B2"/>
    <w:lvl w:ilvl="0" w:tplc="3230BA8C">
      <w:start w:val="3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A300198"/>
    <w:multiLevelType w:val="hybridMultilevel"/>
    <w:tmpl w:val="CFEC0FDA"/>
    <w:lvl w:ilvl="0" w:tplc="FC260428">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5976BA4"/>
    <w:multiLevelType w:val="hybridMultilevel"/>
    <w:tmpl w:val="49F6BEC0"/>
    <w:lvl w:ilvl="0" w:tplc="5B10E43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A056E46"/>
    <w:multiLevelType w:val="hybridMultilevel"/>
    <w:tmpl w:val="9EB88586"/>
    <w:lvl w:ilvl="0" w:tplc="98D6DF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7"/>
  </w:num>
  <w:num w:numId="4">
    <w:abstractNumId w:val="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0"/>
  </w:num>
  <w:num w:numId="9">
    <w:abstractNumId w:val="6"/>
  </w:num>
  <w:num w:numId="10">
    <w:abstractNumId w:val="16"/>
  </w:num>
  <w:num w:numId="11">
    <w:abstractNumId w:val="12"/>
  </w:num>
  <w:num w:numId="12">
    <w:abstractNumId w:val="18"/>
  </w:num>
  <w:num w:numId="13">
    <w:abstractNumId w:val="3"/>
  </w:num>
  <w:num w:numId="14">
    <w:abstractNumId w:val="15"/>
  </w:num>
  <w:num w:numId="15">
    <w:abstractNumId w:val="11"/>
  </w:num>
  <w:num w:numId="16">
    <w:abstractNumId w:val="5"/>
  </w:num>
  <w:num w:numId="17">
    <w:abstractNumId w:val="1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7D"/>
    <w:rsid w:val="0000090B"/>
    <w:rsid w:val="00001D0B"/>
    <w:rsid w:val="00002041"/>
    <w:rsid w:val="00002CB8"/>
    <w:rsid w:val="0000396F"/>
    <w:rsid w:val="00004650"/>
    <w:rsid w:val="000047F3"/>
    <w:rsid w:val="00004912"/>
    <w:rsid w:val="0000530D"/>
    <w:rsid w:val="00007F03"/>
    <w:rsid w:val="000108E5"/>
    <w:rsid w:val="00010EAB"/>
    <w:rsid w:val="00010F33"/>
    <w:rsid w:val="00011F94"/>
    <w:rsid w:val="0001203F"/>
    <w:rsid w:val="00012DDA"/>
    <w:rsid w:val="000133C1"/>
    <w:rsid w:val="000134B8"/>
    <w:rsid w:val="00013953"/>
    <w:rsid w:val="00014F59"/>
    <w:rsid w:val="0001559C"/>
    <w:rsid w:val="0001571D"/>
    <w:rsid w:val="00016631"/>
    <w:rsid w:val="00016FEC"/>
    <w:rsid w:val="00016FF9"/>
    <w:rsid w:val="00017026"/>
    <w:rsid w:val="000172E6"/>
    <w:rsid w:val="00017A96"/>
    <w:rsid w:val="00017D3E"/>
    <w:rsid w:val="000200A7"/>
    <w:rsid w:val="00021228"/>
    <w:rsid w:val="00021BB1"/>
    <w:rsid w:val="00022ABB"/>
    <w:rsid w:val="00022DB5"/>
    <w:rsid w:val="000231CD"/>
    <w:rsid w:val="0002341F"/>
    <w:rsid w:val="00023FF5"/>
    <w:rsid w:val="00025521"/>
    <w:rsid w:val="00025AE1"/>
    <w:rsid w:val="0002791D"/>
    <w:rsid w:val="000305F8"/>
    <w:rsid w:val="00030B01"/>
    <w:rsid w:val="000314D3"/>
    <w:rsid w:val="000316B2"/>
    <w:rsid w:val="00031E92"/>
    <w:rsid w:val="00032085"/>
    <w:rsid w:val="00032D4E"/>
    <w:rsid w:val="00032E90"/>
    <w:rsid w:val="00033991"/>
    <w:rsid w:val="000339C7"/>
    <w:rsid w:val="00034A41"/>
    <w:rsid w:val="00034BFC"/>
    <w:rsid w:val="00036D10"/>
    <w:rsid w:val="00036F57"/>
    <w:rsid w:val="00037379"/>
    <w:rsid w:val="00037A47"/>
    <w:rsid w:val="00037C67"/>
    <w:rsid w:val="00040213"/>
    <w:rsid w:val="00040375"/>
    <w:rsid w:val="000408F4"/>
    <w:rsid w:val="00040DA3"/>
    <w:rsid w:val="00043727"/>
    <w:rsid w:val="000439B3"/>
    <w:rsid w:val="000446F2"/>
    <w:rsid w:val="0004475F"/>
    <w:rsid w:val="00045815"/>
    <w:rsid w:val="000462D8"/>
    <w:rsid w:val="00046326"/>
    <w:rsid w:val="0004728F"/>
    <w:rsid w:val="00047926"/>
    <w:rsid w:val="00050B4C"/>
    <w:rsid w:val="0005164A"/>
    <w:rsid w:val="00051F5E"/>
    <w:rsid w:val="000529F4"/>
    <w:rsid w:val="0005361A"/>
    <w:rsid w:val="00053EBC"/>
    <w:rsid w:val="000542AB"/>
    <w:rsid w:val="0005650F"/>
    <w:rsid w:val="00057998"/>
    <w:rsid w:val="00060ACC"/>
    <w:rsid w:val="0006147F"/>
    <w:rsid w:val="000617EC"/>
    <w:rsid w:val="0006184F"/>
    <w:rsid w:val="00062AF8"/>
    <w:rsid w:val="00063FB2"/>
    <w:rsid w:val="000641A8"/>
    <w:rsid w:val="0006445A"/>
    <w:rsid w:val="00065AFF"/>
    <w:rsid w:val="000665DD"/>
    <w:rsid w:val="0006662A"/>
    <w:rsid w:val="000674FD"/>
    <w:rsid w:val="00067657"/>
    <w:rsid w:val="00067A34"/>
    <w:rsid w:val="00067C8D"/>
    <w:rsid w:val="00071A64"/>
    <w:rsid w:val="00073378"/>
    <w:rsid w:val="000739B8"/>
    <w:rsid w:val="00074776"/>
    <w:rsid w:val="00074B16"/>
    <w:rsid w:val="00075ADC"/>
    <w:rsid w:val="00075C7B"/>
    <w:rsid w:val="00076553"/>
    <w:rsid w:val="0007678E"/>
    <w:rsid w:val="00076999"/>
    <w:rsid w:val="00076DC2"/>
    <w:rsid w:val="0007783E"/>
    <w:rsid w:val="00077D80"/>
    <w:rsid w:val="00080308"/>
    <w:rsid w:val="00080D25"/>
    <w:rsid w:val="000813BB"/>
    <w:rsid w:val="00081416"/>
    <w:rsid w:val="000829B9"/>
    <w:rsid w:val="00083E6E"/>
    <w:rsid w:val="00083E94"/>
    <w:rsid w:val="00084391"/>
    <w:rsid w:val="000848B9"/>
    <w:rsid w:val="00084C6D"/>
    <w:rsid w:val="00086F6B"/>
    <w:rsid w:val="00087091"/>
    <w:rsid w:val="000878E9"/>
    <w:rsid w:val="00087DAD"/>
    <w:rsid w:val="00087F2E"/>
    <w:rsid w:val="000903AD"/>
    <w:rsid w:val="000905EA"/>
    <w:rsid w:val="000916E8"/>
    <w:rsid w:val="00091C1E"/>
    <w:rsid w:val="00093242"/>
    <w:rsid w:val="00093B5F"/>
    <w:rsid w:val="00094BC1"/>
    <w:rsid w:val="0009592C"/>
    <w:rsid w:val="00095944"/>
    <w:rsid w:val="00095A96"/>
    <w:rsid w:val="00095BE5"/>
    <w:rsid w:val="000967B3"/>
    <w:rsid w:val="00096882"/>
    <w:rsid w:val="00096B91"/>
    <w:rsid w:val="00096FE0"/>
    <w:rsid w:val="00097226"/>
    <w:rsid w:val="00097907"/>
    <w:rsid w:val="000A027D"/>
    <w:rsid w:val="000A0FF6"/>
    <w:rsid w:val="000A11EB"/>
    <w:rsid w:val="000A4D35"/>
    <w:rsid w:val="000A4EB3"/>
    <w:rsid w:val="000A52A5"/>
    <w:rsid w:val="000A53E3"/>
    <w:rsid w:val="000A55F4"/>
    <w:rsid w:val="000A5CBC"/>
    <w:rsid w:val="000A662D"/>
    <w:rsid w:val="000A664F"/>
    <w:rsid w:val="000A6B51"/>
    <w:rsid w:val="000A73A8"/>
    <w:rsid w:val="000A7BE7"/>
    <w:rsid w:val="000B0254"/>
    <w:rsid w:val="000B11A2"/>
    <w:rsid w:val="000B21C4"/>
    <w:rsid w:val="000B2371"/>
    <w:rsid w:val="000B27D0"/>
    <w:rsid w:val="000B31A3"/>
    <w:rsid w:val="000B4205"/>
    <w:rsid w:val="000B48DD"/>
    <w:rsid w:val="000B4984"/>
    <w:rsid w:val="000B5181"/>
    <w:rsid w:val="000B5545"/>
    <w:rsid w:val="000B5B2E"/>
    <w:rsid w:val="000B68BB"/>
    <w:rsid w:val="000B71B2"/>
    <w:rsid w:val="000B76C3"/>
    <w:rsid w:val="000B7940"/>
    <w:rsid w:val="000C007A"/>
    <w:rsid w:val="000C04DB"/>
    <w:rsid w:val="000C0FC9"/>
    <w:rsid w:val="000C158D"/>
    <w:rsid w:val="000C19C4"/>
    <w:rsid w:val="000C1EF0"/>
    <w:rsid w:val="000C2EDF"/>
    <w:rsid w:val="000C337D"/>
    <w:rsid w:val="000C43F3"/>
    <w:rsid w:val="000C45B8"/>
    <w:rsid w:val="000C4DC8"/>
    <w:rsid w:val="000C6355"/>
    <w:rsid w:val="000C694B"/>
    <w:rsid w:val="000C78A5"/>
    <w:rsid w:val="000C794F"/>
    <w:rsid w:val="000C7D9E"/>
    <w:rsid w:val="000D048F"/>
    <w:rsid w:val="000D1452"/>
    <w:rsid w:val="000D1B75"/>
    <w:rsid w:val="000D34ED"/>
    <w:rsid w:val="000D3B0C"/>
    <w:rsid w:val="000D4CCB"/>
    <w:rsid w:val="000D64D9"/>
    <w:rsid w:val="000D66E4"/>
    <w:rsid w:val="000D7B11"/>
    <w:rsid w:val="000D7D46"/>
    <w:rsid w:val="000E0ECC"/>
    <w:rsid w:val="000E1424"/>
    <w:rsid w:val="000E1590"/>
    <w:rsid w:val="000E2222"/>
    <w:rsid w:val="000E5435"/>
    <w:rsid w:val="000E6251"/>
    <w:rsid w:val="000E62D7"/>
    <w:rsid w:val="000E68DA"/>
    <w:rsid w:val="000E6903"/>
    <w:rsid w:val="000F0FE7"/>
    <w:rsid w:val="000F215D"/>
    <w:rsid w:val="000F2E87"/>
    <w:rsid w:val="000F4907"/>
    <w:rsid w:val="000F4E85"/>
    <w:rsid w:val="000F5237"/>
    <w:rsid w:val="000F52CB"/>
    <w:rsid w:val="000F53DD"/>
    <w:rsid w:val="000F5CB1"/>
    <w:rsid w:val="000F73C1"/>
    <w:rsid w:val="000F79E9"/>
    <w:rsid w:val="00100763"/>
    <w:rsid w:val="001007EF"/>
    <w:rsid w:val="00100A3A"/>
    <w:rsid w:val="00100DBC"/>
    <w:rsid w:val="00100F32"/>
    <w:rsid w:val="001015D4"/>
    <w:rsid w:val="001018A8"/>
    <w:rsid w:val="00101A90"/>
    <w:rsid w:val="00101EF0"/>
    <w:rsid w:val="0010279E"/>
    <w:rsid w:val="00102EB4"/>
    <w:rsid w:val="001035B8"/>
    <w:rsid w:val="00103A92"/>
    <w:rsid w:val="00103B13"/>
    <w:rsid w:val="00105823"/>
    <w:rsid w:val="00106036"/>
    <w:rsid w:val="00107E24"/>
    <w:rsid w:val="00110837"/>
    <w:rsid w:val="0011083E"/>
    <w:rsid w:val="0011096E"/>
    <w:rsid w:val="00111580"/>
    <w:rsid w:val="00111FB9"/>
    <w:rsid w:val="001122BC"/>
    <w:rsid w:val="00112A7C"/>
    <w:rsid w:val="00113012"/>
    <w:rsid w:val="001156EA"/>
    <w:rsid w:val="00116A85"/>
    <w:rsid w:val="00116D7D"/>
    <w:rsid w:val="001210A8"/>
    <w:rsid w:val="0012147E"/>
    <w:rsid w:val="0012215D"/>
    <w:rsid w:val="00122A6A"/>
    <w:rsid w:val="001248D8"/>
    <w:rsid w:val="00124A07"/>
    <w:rsid w:val="00124CFB"/>
    <w:rsid w:val="00125ACF"/>
    <w:rsid w:val="001269B2"/>
    <w:rsid w:val="00126FEC"/>
    <w:rsid w:val="00127157"/>
    <w:rsid w:val="00127878"/>
    <w:rsid w:val="00130F9E"/>
    <w:rsid w:val="0013281C"/>
    <w:rsid w:val="00134787"/>
    <w:rsid w:val="001357A4"/>
    <w:rsid w:val="00135EBD"/>
    <w:rsid w:val="00135FA5"/>
    <w:rsid w:val="00136174"/>
    <w:rsid w:val="00136B57"/>
    <w:rsid w:val="00141774"/>
    <w:rsid w:val="00141B11"/>
    <w:rsid w:val="00142A6D"/>
    <w:rsid w:val="0014305D"/>
    <w:rsid w:val="00144656"/>
    <w:rsid w:val="001447E1"/>
    <w:rsid w:val="001464B3"/>
    <w:rsid w:val="00147C8D"/>
    <w:rsid w:val="00150305"/>
    <w:rsid w:val="001511D5"/>
    <w:rsid w:val="001518BB"/>
    <w:rsid w:val="001525AF"/>
    <w:rsid w:val="0015354B"/>
    <w:rsid w:val="00154BB8"/>
    <w:rsid w:val="00155E5D"/>
    <w:rsid w:val="00155F77"/>
    <w:rsid w:val="0015608C"/>
    <w:rsid w:val="00156767"/>
    <w:rsid w:val="00157215"/>
    <w:rsid w:val="001601C1"/>
    <w:rsid w:val="00160843"/>
    <w:rsid w:val="001608EB"/>
    <w:rsid w:val="00160956"/>
    <w:rsid w:val="00160F92"/>
    <w:rsid w:val="001627BF"/>
    <w:rsid w:val="00163D9D"/>
    <w:rsid w:val="001645DB"/>
    <w:rsid w:val="00164E98"/>
    <w:rsid w:val="001665AC"/>
    <w:rsid w:val="001674D3"/>
    <w:rsid w:val="00167A2F"/>
    <w:rsid w:val="00167F67"/>
    <w:rsid w:val="00171C19"/>
    <w:rsid w:val="00172ACB"/>
    <w:rsid w:val="0017335D"/>
    <w:rsid w:val="0017390A"/>
    <w:rsid w:val="00175C99"/>
    <w:rsid w:val="00176147"/>
    <w:rsid w:val="001805C6"/>
    <w:rsid w:val="001809F6"/>
    <w:rsid w:val="0018272C"/>
    <w:rsid w:val="00183862"/>
    <w:rsid w:val="00183CBA"/>
    <w:rsid w:val="001843AB"/>
    <w:rsid w:val="00184469"/>
    <w:rsid w:val="00184533"/>
    <w:rsid w:val="00184904"/>
    <w:rsid w:val="0018565A"/>
    <w:rsid w:val="001856C6"/>
    <w:rsid w:val="00185999"/>
    <w:rsid w:val="00186691"/>
    <w:rsid w:val="00187BD3"/>
    <w:rsid w:val="001902E5"/>
    <w:rsid w:val="00191441"/>
    <w:rsid w:val="001914E5"/>
    <w:rsid w:val="00191800"/>
    <w:rsid w:val="0019183B"/>
    <w:rsid w:val="00192586"/>
    <w:rsid w:val="0019379A"/>
    <w:rsid w:val="00193C05"/>
    <w:rsid w:val="00193FF2"/>
    <w:rsid w:val="001940A9"/>
    <w:rsid w:val="001941F9"/>
    <w:rsid w:val="00195B11"/>
    <w:rsid w:val="0019712E"/>
    <w:rsid w:val="00197206"/>
    <w:rsid w:val="0019794C"/>
    <w:rsid w:val="001A08B2"/>
    <w:rsid w:val="001A104D"/>
    <w:rsid w:val="001A2D05"/>
    <w:rsid w:val="001A4156"/>
    <w:rsid w:val="001A497C"/>
    <w:rsid w:val="001A4F4C"/>
    <w:rsid w:val="001A6B07"/>
    <w:rsid w:val="001A7051"/>
    <w:rsid w:val="001A7C01"/>
    <w:rsid w:val="001A7D21"/>
    <w:rsid w:val="001B0CEB"/>
    <w:rsid w:val="001B0FF2"/>
    <w:rsid w:val="001B110D"/>
    <w:rsid w:val="001B20B0"/>
    <w:rsid w:val="001B2819"/>
    <w:rsid w:val="001B2B90"/>
    <w:rsid w:val="001B2C9C"/>
    <w:rsid w:val="001B2E3C"/>
    <w:rsid w:val="001B2E94"/>
    <w:rsid w:val="001B4940"/>
    <w:rsid w:val="001B5157"/>
    <w:rsid w:val="001B57C1"/>
    <w:rsid w:val="001B5B1D"/>
    <w:rsid w:val="001B5BEF"/>
    <w:rsid w:val="001B6195"/>
    <w:rsid w:val="001B64FA"/>
    <w:rsid w:val="001B763E"/>
    <w:rsid w:val="001C1849"/>
    <w:rsid w:val="001C430F"/>
    <w:rsid w:val="001C4863"/>
    <w:rsid w:val="001C4AF9"/>
    <w:rsid w:val="001C4B7F"/>
    <w:rsid w:val="001C5680"/>
    <w:rsid w:val="001C5A13"/>
    <w:rsid w:val="001C5E06"/>
    <w:rsid w:val="001C69C5"/>
    <w:rsid w:val="001C7573"/>
    <w:rsid w:val="001C794A"/>
    <w:rsid w:val="001C7A77"/>
    <w:rsid w:val="001D02FD"/>
    <w:rsid w:val="001D09E6"/>
    <w:rsid w:val="001D24E9"/>
    <w:rsid w:val="001D304C"/>
    <w:rsid w:val="001D3124"/>
    <w:rsid w:val="001D32C3"/>
    <w:rsid w:val="001D385B"/>
    <w:rsid w:val="001D5A20"/>
    <w:rsid w:val="001D5DDB"/>
    <w:rsid w:val="001D5F30"/>
    <w:rsid w:val="001D7E9D"/>
    <w:rsid w:val="001E2F03"/>
    <w:rsid w:val="001E3493"/>
    <w:rsid w:val="001E372C"/>
    <w:rsid w:val="001E3FF7"/>
    <w:rsid w:val="001E57BA"/>
    <w:rsid w:val="001E5D76"/>
    <w:rsid w:val="001E6482"/>
    <w:rsid w:val="001E66A8"/>
    <w:rsid w:val="001E698C"/>
    <w:rsid w:val="001E7027"/>
    <w:rsid w:val="001F0498"/>
    <w:rsid w:val="001F04F0"/>
    <w:rsid w:val="001F1410"/>
    <w:rsid w:val="001F1A76"/>
    <w:rsid w:val="001F214E"/>
    <w:rsid w:val="001F3A34"/>
    <w:rsid w:val="001F3D7F"/>
    <w:rsid w:val="001F41A0"/>
    <w:rsid w:val="001F47BE"/>
    <w:rsid w:val="001F49C4"/>
    <w:rsid w:val="001F6064"/>
    <w:rsid w:val="001F64E6"/>
    <w:rsid w:val="001F7B18"/>
    <w:rsid w:val="001F7C20"/>
    <w:rsid w:val="002005EE"/>
    <w:rsid w:val="002007C2"/>
    <w:rsid w:val="00200E48"/>
    <w:rsid w:val="00201BD7"/>
    <w:rsid w:val="002023E6"/>
    <w:rsid w:val="00202E8A"/>
    <w:rsid w:val="00204A98"/>
    <w:rsid w:val="002052F2"/>
    <w:rsid w:val="0020540F"/>
    <w:rsid w:val="002116D1"/>
    <w:rsid w:val="002118DA"/>
    <w:rsid w:val="0021247C"/>
    <w:rsid w:val="002143BE"/>
    <w:rsid w:val="00214A3C"/>
    <w:rsid w:val="00214F2F"/>
    <w:rsid w:val="002155BC"/>
    <w:rsid w:val="00216665"/>
    <w:rsid w:val="00217453"/>
    <w:rsid w:val="00217ADC"/>
    <w:rsid w:val="00217CF9"/>
    <w:rsid w:val="002200FF"/>
    <w:rsid w:val="00220371"/>
    <w:rsid w:val="002224A4"/>
    <w:rsid w:val="00222DA1"/>
    <w:rsid w:val="002230F8"/>
    <w:rsid w:val="002240D9"/>
    <w:rsid w:val="00224B18"/>
    <w:rsid w:val="00224E17"/>
    <w:rsid w:val="002250CD"/>
    <w:rsid w:val="0022563B"/>
    <w:rsid w:val="00225A36"/>
    <w:rsid w:val="00225AD5"/>
    <w:rsid w:val="00226492"/>
    <w:rsid w:val="00227594"/>
    <w:rsid w:val="00227FF7"/>
    <w:rsid w:val="00232322"/>
    <w:rsid w:val="002323BF"/>
    <w:rsid w:val="00232698"/>
    <w:rsid w:val="002334C5"/>
    <w:rsid w:val="00234289"/>
    <w:rsid w:val="00234F42"/>
    <w:rsid w:val="0023778B"/>
    <w:rsid w:val="0023792F"/>
    <w:rsid w:val="00237B5F"/>
    <w:rsid w:val="00240A56"/>
    <w:rsid w:val="002410F0"/>
    <w:rsid w:val="002413B6"/>
    <w:rsid w:val="00241E3B"/>
    <w:rsid w:val="002429CA"/>
    <w:rsid w:val="002432C6"/>
    <w:rsid w:val="00243E34"/>
    <w:rsid w:val="00244ADA"/>
    <w:rsid w:val="00245060"/>
    <w:rsid w:val="00245348"/>
    <w:rsid w:val="002459AE"/>
    <w:rsid w:val="00246445"/>
    <w:rsid w:val="002503DB"/>
    <w:rsid w:val="00250864"/>
    <w:rsid w:val="00250A6C"/>
    <w:rsid w:val="00250BD9"/>
    <w:rsid w:val="00250E79"/>
    <w:rsid w:val="00251EC4"/>
    <w:rsid w:val="00253DB8"/>
    <w:rsid w:val="002552B2"/>
    <w:rsid w:val="002555A1"/>
    <w:rsid w:val="00255CCC"/>
    <w:rsid w:val="002620A5"/>
    <w:rsid w:val="00262376"/>
    <w:rsid w:val="0026318B"/>
    <w:rsid w:val="0026358C"/>
    <w:rsid w:val="00265237"/>
    <w:rsid w:val="00265364"/>
    <w:rsid w:val="002654AB"/>
    <w:rsid w:val="0026584D"/>
    <w:rsid w:val="00267135"/>
    <w:rsid w:val="0026715E"/>
    <w:rsid w:val="00267C54"/>
    <w:rsid w:val="00267D72"/>
    <w:rsid w:val="00267E8A"/>
    <w:rsid w:val="00270507"/>
    <w:rsid w:val="00270FE9"/>
    <w:rsid w:val="00271122"/>
    <w:rsid w:val="00271EB0"/>
    <w:rsid w:val="00272836"/>
    <w:rsid w:val="00275357"/>
    <w:rsid w:val="0027552E"/>
    <w:rsid w:val="00275B05"/>
    <w:rsid w:val="00277643"/>
    <w:rsid w:val="00280761"/>
    <w:rsid w:val="00280E25"/>
    <w:rsid w:val="00280FF9"/>
    <w:rsid w:val="002829B5"/>
    <w:rsid w:val="002829EC"/>
    <w:rsid w:val="00282D10"/>
    <w:rsid w:val="00282F41"/>
    <w:rsid w:val="00283039"/>
    <w:rsid w:val="00283A2D"/>
    <w:rsid w:val="0028401B"/>
    <w:rsid w:val="002843E7"/>
    <w:rsid w:val="002864CE"/>
    <w:rsid w:val="002871C5"/>
    <w:rsid w:val="0028750A"/>
    <w:rsid w:val="002905E0"/>
    <w:rsid w:val="002910D1"/>
    <w:rsid w:val="00291216"/>
    <w:rsid w:val="00292CD4"/>
    <w:rsid w:val="00293009"/>
    <w:rsid w:val="002944AD"/>
    <w:rsid w:val="00294D8B"/>
    <w:rsid w:val="00295436"/>
    <w:rsid w:val="002957D7"/>
    <w:rsid w:val="00296A1C"/>
    <w:rsid w:val="002973B3"/>
    <w:rsid w:val="00297622"/>
    <w:rsid w:val="0029777D"/>
    <w:rsid w:val="002A0039"/>
    <w:rsid w:val="002A0874"/>
    <w:rsid w:val="002A0933"/>
    <w:rsid w:val="002A0A6F"/>
    <w:rsid w:val="002A0D0A"/>
    <w:rsid w:val="002A2BF1"/>
    <w:rsid w:val="002A3470"/>
    <w:rsid w:val="002A4E89"/>
    <w:rsid w:val="002A6391"/>
    <w:rsid w:val="002A663E"/>
    <w:rsid w:val="002A7F06"/>
    <w:rsid w:val="002B0A0D"/>
    <w:rsid w:val="002B0C2C"/>
    <w:rsid w:val="002B105C"/>
    <w:rsid w:val="002B1C52"/>
    <w:rsid w:val="002B2345"/>
    <w:rsid w:val="002B2A8F"/>
    <w:rsid w:val="002B2A9F"/>
    <w:rsid w:val="002B2FA4"/>
    <w:rsid w:val="002B30E6"/>
    <w:rsid w:val="002B37E5"/>
    <w:rsid w:val="002B4484"/>
    <w:rsid w:val="002B48AF"/>
    <w:rsid w:val="002B50E2"/>
    <w:rsid w:val="002B597B"/>
    <w:rsid w:val="002B6505"/>
    <w:rsid w:val="002B7C60"/>
    <w:rsid w:val="002B7E96"/>
    <w:rsid w:val="002C07CC"/>
    <w:rsid w:val="002C1702"/>
    <w:rsid w:val="002C1721"/>
    <w:rsid w:val="002C1955"/>
    <w:rsid w:val="002C23A2"/>
    <w:rsid w:val="002C26CE"/>
    <w:rsid w:val="002C29D9"/>
    <w:rsid w:val="002C319F"/>
    <w:rsid w:val="002C495A"/>
    <w:rsid w:val="002C4969"/>
    <w:rsid w:val="002C5DE3"/>
    <w:rsid w:val="002C6581"/>
    <w:rsid w:val="002C6986"/>
    <w:rsid w:val="002C6A39"/>
    <w:rsid w:val="002C6FB9"/>
    <w:rsid w:val="002C7279"/>
    <w:rsid w:val="002D08A7"/>
    <w:rsid w:val="002D0A9A"/>
    <w:rsid w:val="002D3949"/>
    <w:rsid w:val="002D3BCD"/>
    <w:rsid w:val="002D5E6C"/>
    <w:rsid w:val="002D6896"/>
    <w:rsid w:val="002D7398"/>
    <w:rsid w:val="002D7A1E"/>
    <w:rsid w:val="002D7AB9"/>
    <w:rsid w:val="002E0D98"/>
    <w:rsid w:val="002E0FAE"/>
    <w:rsid w:val="002E1662"/>
    <w:rsid w:val="002E19B1"/>
    <w:rsid w:val="002E1B5E"/>
    <w:rsid w:val="002E2138"/>
    <w:rsid w:val="002E2A37"/>
    <w:rsid w:val="002E328F"/>
    <w:rsid w:val="002E3D7A"/>
    <w:rsid w:val="002E497D"/>
    <w:rsid w:val="002E57D4"/>
    <w:rsid w:val="002E6211"/>
    <w:rsid w:val="002E6363"/>
    <w:rsid w:val="002E6BB7"/>
    <w:rsid w:val="002E7B5D"/>
    <w:rsid w:val="002F03C4"/>
    <w:rsid w:val="002F10B1"/>
    <w:rsid w:val="002F2E04"/>
    <w:rsid w:val="002F42F2"/>
    <w:rsid w:val="002F5F81"/>
    <w:rsid w:val="002F71A3"/>
    <w:rsid w:val="00300756"/>
    <w:rsid w:val="00300C37"/>
    <w:rsid w:val="00302638"/>
    <w:rsid w:val="003026D7"/>
    <w:rsid w:val="00302C71"/>
    <w:rsid w:val="00302D45"/>
    <w:rsid w:val="00303A99"/>
    <w:rsid w:val="00303E46"/>
    <w:rsid w:val="00304525"/>
    <w:rsid w:val="00304630"/>
    <w:rsid w:val="00305EFE"/>
    <w:rsid w:val="003062C4"/>
    <w:rsid w:val="003066FD"/>
    <w:rsid w:val="00307170"/>
    <w:rsid w:val="003079C3"/>
    <w:rsid w:val="00307AB6"/>
    <w:rsid w:val="00307E4D"/>
    <w:rsid w:val="00310916"/>
    <w:rsid w:val="00310D6B"/>
    <w:rsid w:val="003111C8"/>
    <w:rsid w:val="00311AC9"/>
    <w:rsid w:val="0031293A"/>
    <w:rsid w:val="00312DE1"/>
    <w:rsid w:val="0031378E"/>
    <w:rsid w:val="00313FCF"/>
    <w:rsid w:val="00314637"/>
    <w:rsid w:val="0031471B"/>
    <w:rsid w:val="00314876"/>
    <w:rsid w:val="0031497F"/>
    <w:rsid w:val="00314D91"/>
    <w:rsid w:val="00315E90"/>
    <w:rsid w:val="00317681"/>
    <w:rsid w:val="003179F1"/>
    <w:rsid w:val="003205B9"/>
    <w:rsid w:val="0032239F"/>
    <w:rsid w:val="003233C4"/>
    <w:rsid w:val="003235E9"/>
    <w:rsid w:val="003246F1"/>
    <w:rsid w:val="0032565F"/>
    <w:rsid w:val="00325AED"/>
    <w:rsid w:val="00325FCC"/>
    <w:rsid w:val="0032669D"/>
    <w:rsid w:val="00326D03"/>
    <w:rsid w:val="00327D0C"/>
    <w:rsid w:val="003312E4"/>
    <w:rsid w:val="00331516"/>
    <w:rsid w:val="00331B3D"/>
    <w:rsid w:val="00333A24"/>
    <w:rsid w:val="0033486C"/>
    <w:rsid w:val="00334AB0"/>
    <w:rsid w:val="00335B98"/>
    <w:rsid w:val="00335C15"/>
    <w:rsid w:val="00336F9A"/>
    <w:rsid w:val="003371A2"/>
    <w:rsid w:val="003371A9"/>
    <w:rsid w:val="00337570"/>
    <w:rsid w:val="003378C0"/>
    <w:rsid w:val="00337F2E"/>
    <w:rsid w:val="00341224"/>
    <w:rsid w:val="0034297D"/>
    <w:rsid w:val="00343DC6"/>
    <w:rsid w:val="00344D84"/>
    <w:rsid w:val="00345195"/>
    <w:rsid w:val="003467C2"/>
    <w:rsid w:val="00346C0F"/>
    <w:rsid w:val="00347640"/>
    <w:rsid w:val="00347D63"/>
    <w:rsid w:val="00347E63"/>
    <w:rsid w:val="003527A2"/>
    <w:rsid w:val="00352887"/>
    <w:rsid w:val="00352FE7"/>
    <w:rsid w:val="00353AA0"/>
    <w:rsid w:val="00353D17"/>
    <w:rsid w:val="00353F6B"/>
    <w:rsid w:val="003550CB"/>
    <w:rsid w:val="00355343"/>
    <w:rsid w:val="003561E9"/>
    <w:rsid w:val="00356233"/>
    <w:rsid w:val="00356DAF"/>
    <w:rsid w:val="0035782B"/>
    <w:rsid w:val="00357B68"/>
    <w:rsid w:val="00357BFA"/>
    <w:rsid w:val="00360878"/>
    <w:rsid w:val="003619D7"/>
    <w:rsid w:val="00361B9E"/>
    <w:rsid w:val="00363879"/>
    <w:rsid w:val="00364E03"/>
    <w:rsid w:val="00365005"/>
    <w:rsid w:val="0036530D"/>
    <w:rsid w:val="00366673"/>
    <w:rsid w:val="003703BF"/>
    <w:rsid w:val="003704F5"/>
    <w:rsid w:val="003718ED"/>
    <w:rsid w:val="00371B21"/>
    <w:rsid w:val="003727BA"/>
    <w:rsid w:val="0037284B"/>
    <w:rsid w:val="003729E5"/>
    <w:rsid w:val="003745F5"/>
    <w:rsid w:val="00374A06"/>
    <w:rsid w:val="00374D52"/>
    <w:rsid w:val="00374F37"/>
    <w:rsid w:val="00375ACC"/>
    <w:rsid w:val="00375B5B"/>
    <w:rsid w:val="0037631E"/>
    <w:rsid w:val="003768BF"/>
    <w:rsid w:val="00376B7F"/>
    <w:rsid w:val="0037715B"/>
    <w:rsid w:val="003777A0"/>
    <w:rsid w:val="00377EE8"/>
    <w:rsid w:val="00380C8B"/>
    <w:rsid w:val="00380FCC"/>
    <w:rsid w:val="0038105A"/>
    <w:rsid w:val="003820DA"/>
    <w:rsid w:val="00382EC0"/>
    <w:rsid w:val="003830DB"/>
    <w:rsid w:val="00383BB4"/>
    <w:rsid w:val="00384CC3"/>
    <w:rsid w:val="00385BA6"/>
    <w:rsid w:val="00386416"/>
    <w:rsid w:val="00386DD1"/>
    <w:rsid w:val="00386E01"/>
    <w:rsid w:val="00386F7F"/>
    <w:rsid w:val="00387164"/>
    <w:rsid w:val="0038735B"/>
    <w:rsid w:val="00387D2D"/>
    <w:rsid w:val="00390170"/>
    <w:rsid w:val="00390BDD"/>
    <w:rsid w:val="00390CB0"/>
    <w:rsid w:val="00390CF9"/>
    <w:rsid w:val="00390CFF"/>
    <w:rsid w:val="003911DA"/>
    <w:rsid w:val="00391AFF"/>
    <w:rsid w:val="00391E39"/>
    <w:rsid w:val="00391E4A"/>
    <w:rsid w:val="00392682"/>
    <w:rsid w:val="00392CF0"/>
    <w:rsid w:val="003930BE"/>
    <w:rsid w:val="003935C2"/>
    <w:rsid w:val="00394E3F"/>
    <w:rsid w:val="0039501B"/>
    <w:rsid w:val="00396026"/>
    <w:rsid w:val="003A003B"/>
    <w:rsid w:val="003A0D36"/>
    <w:rsid w:val="003A117D"/>
    <w:rsid w:val="003A42BD"/>
    <w:rsid w:val="003A55D4"/>
    <w:rsid w:val="003A5771"/>
    <w:rsid w:val="003A5911"/>
    <w:rsid w:val="003A5945"/>
    <w:rsid w:val="003A5963"/>
    <w:rsid w:val="003A5FA5"/>
    <w:rsid w:val="003A61B8"/>
    <w:rsid w:val="003A6389"/>
    <w:rsid w:val="003A654C"/>
    <w:rsid w:val="003A67FF"/>
    <w:rsid w:val="003A68A4"/>
    <w:rsid w:val="003B013F"/>
    <w:rsid w:val="003B07F1"/>
    <w:rsid w:val="003B19B1"/>
    <w:rsid w:val="003B19C9"/>
    <w:rsid w:val="003B20A1"/>
    <w:rsid w:val="003B2C82"/>
    <w:rsid w:val="003B2F7B"/>
    <w:rsid w:val="003B3A9D"/>
    <w:rsid w:val="003B451C"/>
    <w:rsid w:val="003B4715"/>
    <w:rsid w:val="003B4EEB"/>
    <w:rsid w:val="003B511A"/>
    <w:rsid w:val="003B5282"/>
    <w:rsid w:val="003B52BD"/>
    <w:rsid w:val="003B7D6B"/>
    <w:rsid w:val="003C0438"/>
    <w:rsid w:val="003C06D7"/>
    <w:rsid w:val="003C0916"/>
    <w:rsid w:val="003C146C"/>
    <w:rsid w:val="003C1AAE"/>
    <w:rsid w:val="003C2E17"/>
    <w:rsid w:val="003C2FB9"/>
    <w:rsid w:val="003C3F6E"/>
    <w:rsid w:val="003C486B"/>
    <w:rsid w:val="003C4950"/>
    <w:rsid w:val="003C5BFB"/>
    <w:rsid w:val="003C6535"/>
    <w:rsid w:val="003C65D2"/>
    <w:rsid w:val="003C6724"/>
    <w:rsid w:val="003C6DD6"/>
    <w:rsid w:val="003C7605"/>
    <w:rsid w:val="003C76EF"/>
    <w:rsid w:val="003C7979"/>
    <w:rsid w:val="003C7AF0"/>
    <w:rsid w:val="003D135B"/>
    <w:rsid w:val="003D1C5F"/>
    <w:rsid w:val="003D22C4"/>
    <w:rsid w:val="003D2BD2"/>
    <w:rsid w:val="003D3AA0"/>
    <w:rsid w:val="003D43B0"/>
    <w:rsid w:val="003D4A79"/>
    <w:rsid w:val="003D5593"/>
    <w:rsid w:val="003D5826"/>
    <w:rsid w:val="003D5862"/>
    <w:rsid w:val="003D604C"/>
    <w:rsid w:val="003D6127"/>
    <w:rsid w:val="003D66F5"/>
    <w:rsid w:val="003D7588"/>
    <w:rsid w:val="003E1495"/>
    <w:rsid w:val="003E1629"/>
    <w:rsid w:val="003E2153"/>
    <w:rsid w:val="003E3970"/>
    <w:rsid w:val="003E3CF3"/>
    <w:rsid w:val="003E4C25"/>
    <w:rsid w:val="003E4F2C"/>
    <w:rsid w:val="003E6173"/>
    <w:rsid w:val="003E69A4"/>
    <w:rsid w:val="003E6BA5"/>
    <w:rsid w:val="003E7001"/>
    <w:rsid w:val="003E7CD5"/>
    <w:rsid w:val="003F00D2"/>
    <w:rsid w:val="003F06D0"/>
    <w:rsid w:val="003F2570"/>
    <w:rsid w:val="003F273E"/>
    <w:rsid w:val="003F36A0"/>
    <w:rsid w:val="003F4696"/>
    <w:rsid w:val="003F5166"/>
    <w:rsid w:val="003F5BF7"/>
    <w:rsid w:val="003F61A8"/>
    <w:rsid w:val="003F695A"/>
    <w:rsid w:val="003F6A12"/>
    <w:rsid w:val="003F7136"/>
    <w:rsid w:val="003F7341"/>
    <w:rsid w:val="003F7C43"/>
    <w:rsid w:val="003F7CEF"/>
    <w:rsid w:val="00400FB4"/>
    <w:rsid w:val="004015CA"/>
    <w:rsid w:val="0040491A"/>
    <w:rsid w:val="00405AA2"/>
    <w:rsid w:val="00406232"/>
    <w:rsid w:val="004065E2"/>
    <w:rsid w:val="00410290"/>
    <w:rsid w:val="00410C7D"/>
    <w:rsid w:val="00410EF6"/>
    <w:rsid w:val="004114AA"/>
    <w:rsid w:val="004116B7"/>
    <w:rsid w:val="00411F54"/>
    <w:rsid w:val="00411F83"/>
    <w:rsid w:val="00412D35"/>
    <w:rsid w:val="00412F55"/>
    <w:rsid w:val="00413634"/>
    <w:rsid w:val="004157D8"/>
    <w:rsid w:val="00416E09"/>
    <w:rsid w:val="00416FEA"/>
    <w:rsid w:val="00417414"/>
    <w:rsid w:val="004202B1"/>
    <w:rsid w:val="00420A53"/>
    <w:rsid w:val="004210D6"/>
    <w:rsid w:val="0042177F"/>
    <w:rsid w:val="00421BBF"/>
    <w:rsid w:val="0042208B"/>
    <w:rsid w:val="00422154"/>
    <w:rsid w:val="00422ECE"/>
    <w:rsid w:val="00423252"/>
    <w:rsid w:val="004235C6"/>
    <w:rsid w:val="00425277"/>
    <w:rsid w:val="00425783"/>
    <w:rsid w:val="00426620"/>
    <w:rsid w:val="004266D2"/>
    <w:rsid w:val="004267C2"/>
    <w:rsid w:val="004268CA"/>
    <w:rsid w:val="00426912"/>
    <w:rsid w:val="00426A22"/>
    <w:rsid w:val="00426CD9"/>
    <w:rsid w:val="00427031"/>
    <w:rsid w:val="00430F32"/>
    <w:rsid w:val="00432D34"/>
    <w:rsid w:val="0043308D"/>
    <w:rsid w:val="00433F0D"/>
    <w:rsid w:val="00435342"/>
    <w:rsid w:val="00435B93"/>
    <w:rsid w:val="00440CDE"/>
    <w:rsid w:val="00441675"/>
    <w:rsid w:val="004418C6"/>
    <w:rsid w:val="004424DB"/>
    <w:rsid w:val="00442A54"/>
    <w:rsid w:val="00443B63"/>
    <w:rsid w:val="00443B6D"/>
    <w:rsid w:val="0044440F"/>
    <w:rsid w:val="00444D44"/>
    <w:rsid w:val="00445B48"/>
    <w:rsid w:val="00446BE7"/>
    <w:rsid w:val="0044767C"/>
    <w:rsid w:val="00450720"/>
    <w:rsid w:val="0045123B"/>
    <w:rsid w:val="004515FA"/>
    <w:rsid w:val="00452DAF"/>
    <w:rsid w:val="00453003"/>
    <w:rsid w:val="00454B13"/>
    <w:rsid w:val="00454E70"/>
    <w:rsid w:val="00456152"/>
    <w:rsid w:val="00456533"/>
    <w:rsid w:val="00457F81"/>
    <w:rsid w:val="00460130"/>
    <w:rsid w:val="00460CEE"/>
    <w:rsid w:val="00460E26"/>
    <w:rsid w:val="00461BBA"/>
    <w:rsid w:val="00462A25"/>
    <w:rsid w:val="00462CEC"/>
    <w:rsid w:val="00463F85"/>
    <w:rsid w:val="00464509"/>
    <w:rsid w:val="00464C5B"/>
    <w:rsid w:val="004657A8"/>
    <w:rsid w:val="0046606A"/>
    <w:rsid w:val="0046675A"/>
    <w:rsid w:val="004669A9"/>
    <w:rsid w:val="00466DED"/>
    <w:rsid w:val="00467F92"/>
    <w:rsid w:val="0047043B"/>
    <w:rsid w:val="004705BD"/>
    <w:rsid w:val="00472C56"/>
    <w:rsid w:val="004733D3"/>
    <w:rsid w:val="0047381E"/>
    <w:rsid w:val="0047451D"/>
    <w:rsid w:val="00474A81"/>
    <w:rsid w:val="00475E6D"/>
    <w:rsid w:val="00476F0E"/>
    <w:rsid w:val="0047753E"/>
    <w:rsid w:val="0048020A"/>
    <w:rsid w:val="004818CE"/>
    <w:rsid w:val="00481907"/>
    <w:rsid w:val="0048226A"/>
    <w:rsid w:val="004824D8"/>
    <w:rsid w:val="004829F9"/>
    <w:rsid w:val="0048484C"/>
    <w:rsid w:val="00485738"/>
    <w:rsid w:val="00485D41"/>
    <w:rsid w:val="0048694C"/>
    <w:rsid w:val="00487021"/>
    <w:rsid w:val="004870E5"/>
    <w:rsid w:val="004871C0"/>
    <w:rsid w:val="00487552"/>
    <w:rsid w:val="004907E2"/>
    <w:rsid w:val="00491A79"/>
    <w:rsid w:val="004926F0"/>
    <w:rsid w:val="00492C72"/>
    <w:rsid w:val="004935D0"/>
    <w:rsid w:val="004937A5"/>
    <w:rsid w:val="004944E4"/>
    <w:rsid w:val="00494649"/>
    <w:rsid w:val="00494B1F"/>
    <w:rsid w:val="0049692C"/>
    <w:rsid w:val="004972EF"/>
    <w:rsid w:val="0049783A"/>
    <w:rsid w:val="00497E9A"/>
    <w:rsid w:val="004A1C06"/>
    <w:rsid w:val="004A221C"/>
    <w:rsid w:val="004A282E"/>
    <w:rsid w:val="004A2D1D"/>
    <w:rsid w:val="004A3B0A"/>
    <w:rsid w:val="004A4319"/>
    <w:rsid w:val="004A4DAE"/>
    <w:rsid w:val="004A4FD6"/>
    <w:rsid w:val="004A5C9F"/>
    <w:rsid w:val="004A66A7"/>
    <w:rsid w:val="004A6A3D"/>
    <w:rsid w:val="004A6B12"/>
    <w:rsid w:val="004B0122"/>
    <w:rsid w:val="004B0C2B"/>
    <w:rsid w:val="004B41A4"/>
    <w:rsid w:val="004B47F3"/>
    <w:rsid w:val="004B4FFF"/>
    <w:rsid w:val="004B5034"/>
    <w:rsid w:val="004B67F8"/>
    <w:rsid w:val="004B7C2A"/>
    <w:rsid w:val="004C0976"/>
    <w:rsid w:val="004C0BF3"/>
    <w:rsid w:val="004C14A2"/>
    <w:rsid w:val="004C186E"/>
    <w:rsid w:val="004C18AF"/>
    <w:rsid w:val="004C19C8"/>
    <w:rsid w:val="004C1C7D"/>
    <w:rsid w:val="004C27B5"/>
    <w:rsid w:val="004C2904"/>
    <w:rsid w:val="004C31CA"/>
    <w:rsid w:val="004C396F"/>
    <w:rsid w:val="004C4F81"/>
    <w:rsid w:val="004C50C2"/>
    <w:rsid w:val="004C5375"/>
    <w:rsid w:val="004C5F52"/>
    <w:rsid w:val="004C7934"/>
    <w:rsid w:val="004D0B18"/>
    <w:rsid w:val="004D18D1"/>
    <w:rsid w:val="004D2148"/>
    <w:rsid w:val="004D2264"/>
    <w:rsid w:val="004D26C1"/>
    <w:rsid w:val="004D27C8"/>
    <w:rsid w:val="004D2ACC"/>
    <w:rsid w:val="004D3CC6"/>
    <w:rsid w:val="004D46DC"/>
    <w:rsid w:val="004D473B"/>
    <w:rsid w:val="004D5595"/>
    <w:rsid w:val="004D564C"/>
    <w:rsid w:val="004D6203"/>
    <w:rsid w:val="004D7778"/>
    <w:rsid w:val="004E0AF6"/>
    <w:rsid w:val="004E14AA"/>
    <w:rsid w:val="004E1572"/>
    <w:rsid w:val="004E164E"/>
    <w:rsid w:val="004E17E2"/>
    <w:rsid w:val="004E3A80"/>
    <w:rsid w:val="004E48E0"/>
    <w:rsid w:val="004E535F"/>
    <w:rsid w:val="004E6224"/>
    <w:rsid w:val="004E63ED"/>
    <w:rsid w:val="004E7819"/>
    <w:rsid w:val="004F1868"/>
    <w:rsid w:val="004F1A7A"/>
    <w:rsid w:val="004F2104"/>
    <w:rsid w:val="004F2C45"/>
    <w:rsid w:val="004F2E0D"/>
    <w:rsid w:val="004F3CAE"/>
    <w:rsid w:val="004F45AA"/>
    <w:rsid w:val="004F4900"/>
    <w:rsid w:val="004F4DAC"/>
    <w:rsid w:val="004F6744"/>
    <w:rsid w:val="004F7AF6"/>
    <w:rsid w:val="005007D3"/>
    <w:rsid w:val="00500F3A"/>
    <w:rsid w:val="0050141B"/>
    <w:rsid w:val="005017DB"/>
    <w:rsid w:val="005020BE"/>
    <w:rsid w:val="005022B3"/>
    <w:rsid w:val="00503AAC"/>
    <w:rsid w:val="005040E2"/>
    <w:rsid w:val="0050459A"/>
    <w:rsid w:val="005048A0"/>
    <w:rsid w:val="00504F09"/>
    <w:rsid w:val="00505A98"/>
    <w:rsid w:val="00505ECC"/>
    <w:rsid w:val="00506174"/>
    <w:rsid w:val="0050701E"/>
    <w:rsid w:val="00507351"/>
    <w:rsid w:val="00507818"/>
    <w:rsid w:val="005106C8"/>
    <w:rsid w:val="00510993"/>
    <w:rsid w:val="00510DDD"/>
    <w:rsid w:val="005119ED"/>
    <w:rsid w:val="00512191"/>
    <w:rsid w:val="0051234E"/>
    <w:rsid w:val="00513AB5"/>
    <w:rsid w:val="00513BCF"/>
    <w:rsid w:val="00513D7C"/>
    <w:rsid w:val="005153D2"/>
    <w:rsid w:val="0051689F"/>
    <w:rsid w:val="00516DC3"/>
    <w:rsid w:val="00520366"/>
    <w:rsid w:val="00520F77"/>
    <w:rsid w:val="00521C2D"/>
    <w:rsid w:val="00521F4C"/>
    <w:rsid w:val="00522E30"/>
    <w:rsid w:val="005230A9"/>
    <w:rsid w:val="0052422F"/>
    <w:rsid w:val="00524AF1"/>
    <w:rsid w:val="00524E53"/>
    <w:rsid w:val="0052552D"/>
    <w:rsid w:val="005259FA"/>
    <w:rsid w:val="00526172"/>
    <w:rsid w:val="0052645B"/>
    <w:rsid w:val="00526596"/>
    <w:rsid w:val="00526936"/>
    <w:rsid w:val="00527DEF"/>
    <w:rsid w:val="00530AE4"/>
    <w:rsid w:val="00532BFA"/>
    <w:rsid w:val="00532CC8"/>
    <w:rsid w:val="00532EAA"/>
    <w:rsid w:val="00532F49"/>
    <w:rsid w:val="00533111"/>
    <w:rsid w:val="00533595"/>
    <w:rsid w:val="00533A31"/>
    <w:rsid w:val="00533FA7"/>
    <w:rsid w:val="00535407"/>
    <w:rsid w:val="0053686D"/>
    <w:rsid w:val="005370A9"/>
    <w:rsid w:val="00537884"/>
    <w:rsid w:val="00537D4D"/>
    <w:rsid w:val="005414F4"/>
    <w:rsid w:val="00541988"/>
    <w:rsid w:val="00541DE6"/>
    <w:rsid w:val="00542552"/>
    <w:rsid w:val="00544D74"/>
    <w:rsid w:val="00546590"/>
    <w:rsid w:val="00546AF4"/>
    <w:rsid w:val="00546AFF"/>
    <w:rsid w:val="0054727F"/>
    <w:rsid w:val="00547BE9"/>
    <w:rsid w:val="00547F5F"/>
    <w:rsid w:val="0055023C"/>
    <w:rsid w:val="00550644"/>
    <w:rsid w:val="00552D44"/>
    <w:rsid w:val="0055306F"/>
    <w:rsid w:val="00554735"/>
    <w:rsid w:val="00554B29"/>
    <w:rsid w:val="00555FBE"/>
    <w:rsid w:val="00556AFE"/>
    <w:rsid w:val="005574F2"/>
    <w:rsid w:val="00557E0F"/>
    <w:rsid w:val="00560186"/>
    <w:rsid w:val="0056028A"/>
    <w:rsid w:val="00560317"/>
    <w:rsid w:val="0056084C"/>
    <w:rsid w:val="00561CE8"/>
    <w:rsid w:val="00562C99"/>
    <w:rsid w:val="00563F30"/>
    <w:rsid w:val="005646C8"/>
    <w:rsid w:val="00566AD1"/>
    <w:rsid w:val="00567604"/>
    <w:rsid w:val="00567EA1"/>
    <w:rsid w:val="0057037F"/>
    <w:rsid w:val="005705BA"/>
    <w:rsid w:val="00570849"/>
    <w:rsid w:val="0057171E"/>
    <w:rsid w:val="00571C8F"/>
    <w:rsid w:val="005725D0"/>
    <w:rsid w:val="00573307"/>
    <w:rsid w:val="00574C7A"/>
    <w:rsid w:val="00575013"/>
    <w:rsid w:val="00575848"/>
    <w:rsid w:val="00575AD9"/>
    <w:rsid w:val="00576613"/>
    <w:rsid w:val="0057683C"/>
    <w:rsid w:val="005773D2"/>
    <w:rsid w:val="00580379"/>
    <w:rsid w:val="005803B8"/>
    <w:rsid w:val="005814F8"/>
    <w:rsid w:val="00582C77"/>
    <w:rsid w:val="005832EB"/>
    <w:rsid w:val="00583365"/>
    <w:rsid w:val="00584C7D"/>
    <w:rsid w:val="00584F20"/>
    <w:rsid w:val="00585D21"/>
    <w:rsid w:val="00587B2A"/>
    <w:rsid w:val="0059147E"/>
    <w:rsid w:val="00592324"/>
    <w:rsid w:val="0059296F"/>
    <w:rsid w:val="00594236"/>
    <w:rsid w:val="00595953"/>
    <w:rsid w:val="00595F4D"/>
    <w:rsid w:val="00595FC3"/>
    <w:rsid w:val="005970E4"/>
    <w:rsid w:val="005975D8"/>
    <w:rsid w:val="005A0CE3"/>
    <w:rsid w:val="005A103A"/>
    <w:rsid w:val="005A1897"/>
    <w:rsid w:val="005A1CE8"/>
    <w:rsid w:val="005A1D60"/>
    <w:rsid w:val="005A29E0"/>
    <w:rsid w:val="005A3072"/>
    <w:rsid w:val="005A31BB"/>
    <w:rsid w:val="005A3333"/>
    <w:rsid w:val="005A452E"/>
    <w:rsid w:val="005A48B5"/>
    <w:rsid w:val="005A53BA"/>
    <w:rsid w:val="005A5DF2"/>
    <w:rsid w:val="005A6108"/>
    <w:rsid w:val="005A699B"/>
    <w:rsid w:val="005A6F49"/>
    <w:rsid w:val="005A73B5"/>
    <w:rsid w:val="005A7B11"/>
    <w:rsid w:val="005A7CE7"/>
    <w:rsid w:val="005B26B3"/>
    <w:rsid w:val="005B370D"/>
    <w:rsid w:val="005B3DE4"/>
    <w:rsid w:val="005B42EA"/>
    <w:rsid w:val="005B4709"/>
    <w:rsid w:val="005B51DC"/>
    <w:rsid w:val="005B6279"/>
    <w:rsid w:val="005B68E2"/>
    <w:rsid w:val="005B716A"/>
    <w:rsid w:val="005C0C42"/>
    <w:rsid w:val="005C1A72"/>
    <w:rsid w:val="005C3AFB"/>
    <w:rsid w:val="005C4BE6"/>
    <w:rsid w:val="005C51AA"/>
    <w:rsid w:val="005C5233"/>
    <w:rsid w:val="005C5CE1"/>
    <w:rsid w:val="005C62D7"/>
    <w:rsid w:val="005C77F0"/>
    <w:rsid w:val="005D0272"/>
    <w:rsid w:val="005D0593"/>
    <w:rsid w:val="005D0B58"/>
    <w:rsid w:val="005D0F88"/>
    <w:rsid w:val="005D1A50"/>
    <w:rsid w:val="005D2964"/>
    <w:rsid w:val="005D2A5A"/>
    <w:rsid w:val="005D2D70"/>
    <w:rsid w:val="005D2F82"/>
    <w:rsid w:val="005D3929"/>
    <w:rsid w:val="005D3CC2"/>
    <w:rsid w:val="005D6176"/>
    <w:rsid w:val="005D6480"/>
    <w:rsid w:val="005E0433"/>
    <w:rsid w:val="005E174C"/>
    <w:rsid w:val="005E1ABD"/>
    <w:rsid w:val="005E1C66"/>
    <w:rsid w:val="005E31EB"/>
    <w:rsid w:val="005E3704"/>
    <w:rsid w:val="005E5A94"/>
    <w:rsid w:val="005E60F6"/>
    <w:rsid w:val="005E6EE3"/>
    <w:rsid w:val="005E6F11"/>
    <w:rsid w:val="005F02B4"/>
    <w:rsid w:val="005F1EC8"/>
    <w:rsid w:val="005F1FC4"/>
    <w:rsid w:val="005F4610"/>
    <w:rsid w:val="005F4FAB"/>
    <w:rsid w:val="005F5179"/>
    <w:rsid w:val="005F65F9"/>
    <w:rsid w:val="005F701B"/>
    <w:rsid w:val="006017A5"/>
    <w:rsid w:val="0060353E"/>
    <w:rsid w:val="00603759"/>
    <w:rsid w:val="006037C3"/>
    <w:rsid w:val="00603D4B"/>
    <w:rsid w:val="006044DC"/>
    <w:rsid w:val="006045A6"/>
    <w:rsid w:val="006107DA"/>
    <w:rsid w:val="00611BB0"/>
    <w:rsid w:val="00611EF9"/>
    <w:rsid w:val="0061233C"/>
    <w:rsid w:val="00612D20"/>
    <w:rsid w:val="006143CB"/>
    <w:rsid w:val="00614EA0"/>
    <w:rsid w:val="00614EEA"/>
    <w:rsid w:val="00615271"/>
    <w:rsid w:val="0061636E"/>
    <w:rsid w:val="006165F8"/>
    <w:rsid w:val="00616AD7"/>
    <w:rsid w:val="006172AD"/>
    <w:rsid w:val="006174EA"/>
    <w:rsid w:val="00620B85"/>
    <w:rsid w:val="006240DC"/>
    <w:rsid w:val="0062476F"/>
    <w:rsid w:val="00624B54"/>
    <w:rsid w:val="0062552D"/>
    <w:rsid w:val="0062665B"/>
    <w:rsid w:val="00626CC9"/>
    <w:rsid w:val="00626E4F"/>
    <w:rsid w:val="00627026"/>
    <w:rsid w:val="00627894"/>
    <w:rsid w:val="00627F39"/>
    <w:rsid w:val="00631C24"/>
    <w:rsid w:val="00631D13"/>
    <w:rsid w:val="00631EA6"/>
    <w:rsid w:val="00632679"/>
    <w:rsid w:val="00632D73"/>
    <w:rsid w:val="00633A83"/>
    <w:rsid w:val="006340E4"/>
    <w:rsid w:val="0063484F"/>
    <w:rsid w:val="00640816"/>
    <w:rsid w:val="00640E2A"/>
    <w:rsid w:val="006411D6"/>
    <w:rsid w:val="006411DF"/>
    <w:rsid w:val="006412B9"/>
    <w:rsid w:val="0064134F"/>
    <w:rsid w:val="0064216D"/>
    <w:rsid w:val="00643DA2"/>
    <w:rsid w:val="00643F5F"/>
    <w:rsid w:val="00643F89"/>
    <w:rsid w:val="00650AEF"/>
    <w:rsid w:val="00650D91"/>
    <w:rsid w:val="00650F22"/>
    <w:rsid w:val="00651A76"/>
    <w:rsid w:val="00653821"/>
    <w:rsid w:val="00654C6A"/>
    <w:rsid w:val="0065557B"/>
    <w:rsid w:val="00655768"/>
    <w:rsid w:val="00656AB8"/>
    <w:rsid w:val="00660A01"/>
    <w:rsid w:val="00660FA1"/>
    <w:rsid w:val="00661561"/>
    <w:rsid w:val="00661D59"/>
    <w:rsid w:val="006620DC"/>
    <w:rsid w:val="00662231"/>
    <w:rsid w:val="0066236B"/>
    <w:rsid w:val="00662ADC"/>
    <w:rsid w:val="00662B4D"/>
    <w:rsid w:val="00662F5E"/>
    <w:rsid w:val="0066313C"/>
    <w:rsid w:val="006639F5"/>
    <w:rsid w:val="00664A54"/>
    <w:rsid w:val="00664BBD"/>
    <w:rsid w:val="00665329"/>
    <w:rsid w:val="00665601"/>
    <w:rsid w:val="00665FDC"/>
    <w:rsid w:val="00666402"/>
    <w:rsid w:val="00666532"/>
    <w:rsid w:val="0067039C"/>
    <w:rsid w:val="00671CF4"/>
    <w:rsid w:val="006721BE"/>
    <w:rsid w:val="00672AA4"/>
    <w:rsid w:val="0067327A"/>
    <w:rsid w:val="00673366"/>
    <w:rsid w:val="00674F39"/>
    <w:rsid w:val="00675D93"/>
    <w:rsid w:val="00675E6B"/>
    <w:rsid w:val="00677343"/>
    <w:rsid w:val="0067769C"/>
    <w:rsid w:val="00677C6B"/>
    <w:rsid w:val="00680D7F"/>
    <w:rsid w:val="006813EE"/>
    <w:rsid w:val="006817B9"/>
    <w:rsid w:val="0068202C"/>
    <w:rsid w:val="00682173"/>
    <w:rsid w:val="006821C4"/>
    <w:rsid w:val="00682782"/>
    <w:rsid w:val="00683125"/>
    <w:rsid w:val="006845C3"/>
    <w:rsid w:val="00684766"/>
    <w:rsid w:val="00685CBC"/>
    <w:rsid w:val="00685D7B"/>
    <w:rsid w:val="006874F4"/>
    <w:rsid w:val="00691206"/>
    <w:rsid w:val="006914D8"/>
    <w:rsid w:val="00691EBF"/>
    <w:rsid w:val="00692F75"/>
    <w:rsid w:val="006939E3"/>
    <w:rsid w:val="00693D35"/>
    <w:rsid w:val="00695197"/>
    <w:rsid w:val="006952A0"/>
    <w:rsid w:val="00696216"/>
    <w:rsid w:val="0069632D"/>
    <w:rsid w:val="0069662A"/>
    <w:rsid w:val="0069664F"/>
    <w:rsid w:val="006976D8"/>
    <w:rsid w:val="00697C9B"/>
    <w:rsid w:val="006A164B"/>
    <w:rsid w:val="006A4353"/>
    <w:rsid w:val="006A4992"/>
    <w:rsid w:val="006A4F52"/>
    <w:rsid w:val="006A5008"/>
    <w:rsid w:val="006A522A"/>
    <w:rsid w:val="006A70B1"/>
    <w:rsid w:val="006A7900"/>
    <w:rsid w:val="006A7C72"/>
    <w:rsid w:val="006B2D36"/>
    <w:rsid w:val="006B442A"/>
    <w:rsid w:val="006B4DE4"/>
    <w:rsid w:val="006B55F4"/>
    <w:rsid w:val="006B5980"/>
    <w:rsid w:val="006B5F19"/>
    <w:rsid w:val="006B6EC2"/>
    <w:rsid w:val="006B76EE"/>
    <w:rsid w:val="006C057F"/>
    <w:rsid w:val="006C0D37"/>
    <w:rsid w:val="006C0EF2"/>
    <w:rsid w:val="006C1A1F"/>
    <w:rsid w:val="006C1D46"/>
    <w:rsid w:val="006C1FF3"/>
    <w:rsid w:val="006C26B8"/>
    <w:rsid w:val="006C30D0"/>
    <w:rsid w:val="006C3BFB"/>
    <w:rsid w:val="006C4298"/>
    <w:rsid w:val="006C42A0"/>
    <w:rsid w:val="006C4315"/>
    <w:rsid w:val="006C504C"/>
    <w:rsid w:val="006C579C"/>
    <w:rsid w:val="006C6C9C"/>
    <w:rsid w:val="006C72C4"/>
    <w:rsid w:val="006D0B6B"/>
    <w:rsid w:val="006D0DF2"/>
    <w:rsid w:val="006D1EDD"/>
    <w:rsid w:val="006D26E2"/>
    <w:rsid w:val="006D2EF4"/>
    <w:rsid w:val="006D44BA"/>
    <w:rsid w:val="006D4622"/>
    <w:rsid w:val="006D4DCC"/>
    <w:rsid w:val="006D4DE7"/>
    <w:rsid w:val="006D5138"/>
    <w:rsid w:val="006D6EE1"/>
    <w:rsid w:val="006D7075"/>
    <w:rsid w:val="006D71AA"/>
    <w:rsid w:val="006D7277"/>
    <w:rsid w:val="006E0B58"/>
    <w:rsid w:val="006E1725"/>
    <w:rsid w:val="006E1B8F"/>
    <w:rsid w:val="006E1CBA"/>
    <w:rsid w:val="006E3D58"/>
    <w:rsid w:val="006E4522"/>
    <w:rsid w:val="006E5C0E"/>
    <w:rsid w:val="006E66D7"/>
    <w:rsid w:val="006E6776"/>
    <w:rsid w:val="006E6891"/>
    <w:rsid w:val="006E74D7"/>
    <w:rsid w:val="006E790D"/>
    <w:rsid w:val="006E7AF0"/>
    <w:rsid w:val="006F0102"/>
    <w:rsid w:val="006F069C"/>
    <w:rsid w:val="006F08E1"/>
    <w:rsid w:val="006F1CF6"/>
    <w:rsid w:val="006F24EF"/>
    <w:rsid w:val="006F2EEB"/>
    <w:rsid w:val="006F32C3"/>
    <w:rsid w:val="006F33CD"/>
    <w:rsid w:val="006F3597"/>
    <w:rsid w:val="006F4197"/>
    <w:rsid w:val="006F5BC5"/>
    <w:rsid w:val="006F5F68"/>
    <w:rsid w:val="006F7F5D"/>
    <w:rsid w:val="00700C2C"/>
    <w:rsid w:val="00701204"/>
    <w:rsid w:val="00702194"/>
    <w:rsid w:val="007021AB"/>
    <w:rsid w:val="0070246B"/>
    <w:rsid w:val="00702472"/>
    <w:rsid w:val="00702740"/>
    <w:rsid w:val="00702B41"/>
    <w:rsid w:val="00702D84"/>
    <w:rsid w:val="00704585"/>
    <w:rsid w:val="00707109"/>
    <w:rsid w:val="00707339"/>
    <w:rsid w:val="00707674"/>
    <w:rsid w:val="007076E3"/>
    <w:rsid w:val="00707ADC"/>
    <w:rsid w:val="00707C3E"/>
    <w:rsid w:val="00707C68"/>
    <w:rsid w:val="007143C7"/>
    <w:rsid w:val="007146CA"/>
    <w:rsid w:val="00714B86"/>
    <w:rsid w:val="00715249"/>
    <w:rsid w:val="00715485"/>
    <w:rsid w:val="0071654C"/>
    <w:rsid w:val="00717E94"/>
    <w:rsid w:val="00720C99"/>
    <w:rsid w:val="00720DB6"/>
    <w:rsid w:val="007221D7"/>
    <w:rsid w:val="0072230A"/>
    <w:rsid w:val="00722B84"/>
    <w:rsid w:val="0072354B"/>
    <w:rsid w:val="00724A20"/>
    <w:rsid w:val="00724AD4"/>
    <w:rsid w:val="00726092"/>
    <w:rsid w:val="007276E5"/>
    <w:rsid w:val="00727CF2"/>
    <w:rsid w:val="007300C3"/>
    <w:rsid w:val="007319F9"/>
    <w:rsid w:val="00731C2A"/>
    <w:rsid w:val="00731F5A"/>
    <w:rsid w:val="007340E3"/>
    <w:rsid w:val="00734DC3"/>
    <w:rsid w:val="00736ED1"/>
    <w:rsid w:val="00736F35"/>
    <w:rsid w:val="00736F5F"/>
    <w:rsid w:val="007374B2"/>
    <w:rsid w:val="00737D6F"/>
    <w:rsid w:val="00742344"/>
    <w:rsid w:val="00742832"/>
    <w:rsid w:val="00742D73"/>
    <w:rsid w:val="0074353D"/>
    <w:rsid w:val="00743600"/>
    <w:rsid w:val="00743766"/>
    <w:rsid w:val="007447F2"/>
    <w:rsid w:val="00744A3D"/>
    <w:rsid w:val="007451D7"/>
    <w:rsid w:val="00745B00"/>
    <w:rsid w:val="00746B80"/>
    <w:rsid w:val="00746FA0"/>
    <w:rsid w:val="007475EC"/>
    <w:rsid w:val="0075058A"/>
    <w:rsid w:val="007508C2"/>
    <w:rsid w:val="00751254"/>
    <w:rsid w:val="00751F81"/>
    <w:rsid w:val="0075224D"/>
    <w:rsid w:val="00752E06"/>
    <w:rsid w:val="007549C5"/>
    <w:rsid w:val="00755C4E"/>
    <w:rsid w:val="00756D55"/>
    <w:rsid w:val="00756E58"/>
    <w:rsid w:val="00757BAE"/>
    <w:rsid w:val="00762BD6"/>
    <w:rsid w:val="00763614"/>
    <w:rsid w:val="00763EC7"/>
    <w:rsid w:val="00764B55"/>
    <w:rsid w:val="0076584E"/>
    <w:rsid w:val="0076641F"/>
    <w:rsid w:val="007665FD"/>
    <w:rsid w:val="00767136"/>
    <w:rsid w:val="00767440"/>
    <w:rsid w:val="00767C4C"/>
    <w:rsid w:val="007716C5"/>
    <w:rsid w:val="0077190E"/>
    <w:rsid w:val="00771FF7"/>
    <w:rsid w:val="00773591"/>
    <w:rsid w:val="007740A8"/>
    <w:rsid w:val="00774958"/>
    <w:rsid w:val="007765F5"/>
    <w:rsid w:val="0077677B"/>
    <w:rsid w:val="007769B8"/>
    <w:rsid w:val="00777745"/>
    <w:rsid w:val="007800C2"/>
    <w:rsid w:val="00780F28"/>
    <w:rsid w:val="0078212D"/>
    <w:rsid w:val="007821C3"/>
    <w:rsid w:val="0078257D"/>
    <w:rsid w:val="007829C8"/>
    <w:rsid w:val="007831D1"/>
    <w:rsid w:val="007839EE"/>
    <w:rsid w:val="00783E4D"/>
    <w:rsid w:val="00784D98"/>
    <w:rsid w:val="00785C06"/>
    <w:rsid w:val="00786357"/>
    <w:rsid w:val="0078642E"/>
    <w:rsid w:val="007869E9"/>
    <w:rsid w:val="0078726D"/>
    <w:rsid w:val="00787687"/>
    <w:rsid w:val="00790E59"/>
    <w:rsid w:val="007916FF"/>
    <w:rsid w:val="00791A7F"/>
    <w:rsid w:val="00792065"/>
    <w:rsid w:val="00792096"/>
    <w:rsid w:val="00795559"/>
    <w:rsid w:val="007961D4"/>
    <w:rsid w:val="00796344"/>
    <w:rsid w:val="00796718"/>
    <w:rsid w:val="00797C26"/>
    <w:rsid w:val="007A0A35"/>
    <w:rsid w:val="007A0D60"/>
    <w:rsid w:val="007A17FB"/>
    <w:rsid w:val="007A18A3"/>
    <w:rsid w:val="007A1C92"/>
    <w:rsid w:val="007A2DD2"/>
    <w:rsid w:val="007A34FF"/>
    <w:rsid w:val="007A434B"/>
    <w:rsid w:val="007A50EF"/>
    <w:rsid w:val="007A5162"/>
    <w:rsid w:val="007A5A90"/>
    <w:rsid w:val="007A60F8"/>
    <w:rsid w:val="007A6165"/>
    <w:rsid w:val="007A7035"/>
    <w:rsid w:val="007A7253"/>
    <w:rsid w:val="007A771A"/>
    <w:rsid w:val="007A7E3A"/>
    <w:rsid w:val="007B16E2"/>
    <w:rsid w:val="007B199E"/>
    <w:rsid w:val="007B285F"/>
    <w:rsid w:val="007B30CC"/>
    <w:rsid w:val="007B3F8A"/>
    <w:rsid w:val="007B402F"/>
    <w:rsid w:val="007B43F4"/>
    <w:rsid w:val="007B47E4"/>
    <w:rsid w:val="007B5925"/>
    <w:rsid w:val="007B5DEA"/>
    <w:rsid w:val="007B65A9"/>
    <w:rsid w:val="007B65E5"/>
    <w:rsid w:val="007B7623"/>
    <w:rsid w:val="007B7911"/>
    <w:rsid w:val="007B7A95"/>
    <w:rsid w:val="007B7BAF"/>
    <w:rsid w:val="007C0FA2"/>
    <w:rsid w:val="007C1433"/>
    <w:rsid w:val="007C2F5A"/>
    <w:rsid w:val="007C303D"/>
    <w:rsid w:val="007C3672"/>
    <w:rsid w:val="007C3A47"/>
    <w:rsid w:val="007C3CFF"/>
    <w:rsid w:val="007C40ED"/>
    <w:rsid w:val="007C470E"/>
    <w:rsid w:val="007C4FBD"/>
    <w:rsid w:val="007C53A1"/>
    <w:rsid w:val="007C576C"/>
    <w:rsid w:val="007C5B0E"/>
    <w:rsid w:val="007C5D51"/>
    <w:rsid w:val="007C6A8D"/>
    <w:rsid w:val="007C6E66"/>
    <w:rsid w:val="007D05AA"/>
    <w:rsid w:val="007D217C"/>
    <w:rsid w:val="007D3B68"/>
    <w:rsid w:val="007D6F7A"/>
    <w:rsid w:val="007D79A3"/>
    <w:rsid w:val="007E011C"/>
    <w:rsid w:val="007E11F2"/>
    <w:rsid w:val="007E1F70"/>
    <w:rsid w:val="007E2256"/>
    <w:rsid w:val="007E3E26"/>
    <w:rsid w:val="007E422A"/>
    <w:rsid w:val="007E5A60"/>
    <w:rsid w:val="007E5DAE"/>
    <w:rsid w:val="007E745D"/>
    <w:rsid w:val="007E75F4"/>
    <w:rsid w:val="007F0071"/>
    <w:rsid w:val="007F06FE"/>
    <w:rsid w:val="007F0CCB"/>
    <w:rsid w:val="007F0D7D"/>
    <w:rsid w:val="007F1328"/>
    <w:rsid w:val="007F1445"/>
    <w:rsid w:val="007F2CA6"/>
    <w:rsid w:val="007F61E6"/>
    <w:rsid w:val="007F63BC"/>
    <w:rsid w:val="007F7610"/>
    <w:rsid w:val="00800244"/>
    <w:rsid w:val="008019BE"/>
    <w:rsid w:val="008019F9"/>
    <w:rsid w:val="008021FE"/>
    <w:rsid w:val="00807945"/>
    <w:rsid w:val="00807AA5"/>
    <w:rsid w:val="008115A4"/>
    <w:rsid w:val="0081206C"/>
    <w:rsid w:val="00812C6C"/>
    <w:rsid w:val="008153DA"/>
    <w:rsid w:val="00816080"/>
    <w:rsid w:val="008160C2"/>
    <w:rsid w:val="008166C7"/>
    <w:rsid w:val="008168FC"/>
    <w:rsid w:val="008177B1"/>
    <w:rsid w:val="008205DA"/>
    <w:rsid w:val="0082077C"/>
    <w:rsid w:val="008209BD"/>
    <w:rsid w:val="008212C2"/>
    <w:rsid w:val="008214C5"/>
    <w:rsid w:val="00821951"/>
    <w:rsid w:val="00821986"/>
    <w:rsid w:val="00821CCE"/>
    <w:rsid w:val="00822159"/>
    <w:rsid w:val="00822868"/>
    <w:rsid w:val="0082360B"/>
    <w:rsid w:val="0082672C"/>
    <w:rsid w:val="00826999"/>
    <w:rsid w:val="00826FA9"/>
    <w:rsid w:val="00830214"/>
    <w:rsid w:val="00830711"/>
    <w:rsid w:val="00831749"/>
    <w:rsid w:val="0083197F"/>
    <w:rsid w:val="00831AD7"/>
    <w:rsid w:val="00832173"/>
    <w:rsid w:val="00834377"/>
    <w:rsid w:val="0083463E"/>
    <w:rsid w:val="008347EA"/>
    <w:rsid w:val="00834FCE"/>
    <w:rsid w:val="00835F5B"/>
    <w:rsid w:val="008361DD"/>
    <w:rsid w:val="00837B06"/>
    <w:rsid w:val="00837CD4"/>
    <w:rsid w:val="008411CE"/>
    <w:rsid w:val="00841485"/>
    <w:rsid w:val="00841618"/>
    <w:rsid w:val="00841F0B"/>
    <w:rsid w:val="008423C1"/>
    <w:rsid w:val="00843B0D"/>
    <w:rsid w:val="00843EB0"/>
    <w:rsid w:val="00844BBD"/>
    <w:rsid w:val="00844E9B"/>
    <w:rsid w:val="00845AF3"/>
    <w:rsid w:val="008465D3"/>
    <w:rsid w:val="00846917"/>
    <w:rsid w:val="00846A0A"/>
    <w:rsid w:val="00847765"/>
    <w:rsid w:val="00847FDA"/>
    <w:rsid w:val="0085121B"/>
    <w:rsid w:val="008513B8"/>
    <w:rsid w:val="00852A14"/>
    <w:rsid w:val="00852BB7"/>
    <w:rsid w:val="008535B3"/>
    <w:rsid w:val="00853ED7"/>
    <w:rsid w:val="00854F61"/>
    <w:rsid w:val="00855836"/>
    <w:rsid w:val="00855BA7"/>
    <w:rsid w:val="008560A0"/>
    <w:rsid w:val="00856F55"/>
    <w:rsid w:val="0085719E"/>
    <w:rsid w:val="00857EE6"/>
    <w:rsid w:val="0086277E"/>
    <w:rsid w:val="00863B79"/>
    <w:rsid w:val="00863F43"/>
    <w:rsid w:val="008644C5"/>
    <w:rsid w:val="00864781"/>
    <w:rsid w:val="00865F4B"/>
    <w:rsid w:val="00866614"/>
    <w:rsid w:val="00866E59"/>
    <w:rsid w:val="00867EF2"/>
    <w:rsid w:val="00871F41"/>
    <w:rsid w:val="0087227D"/>
    <w:rsid w:val="00872AA3"/>
    <w:rsid w:val="00874289"/>
    <w:rsid w:val="008749D7"/>
    <w:rsid w:val="00874FC1"/>
    <w:rsid w:val="0087512E"/>
    <w:rsid w:val="008761A3"/>
    <w:rsid w:val="00876672"/>
    <w:rsid w:val="00876810"/>
    <w:rsid w:val="00876D57"/>
    <w:rsid w:val="0087722C"/>
    <w:rsid w:val="008813FE"/>
    <w:rsid w:val="0088280D"/>
    <w:rsid w:val="00882C25"/>
    <w:rsid w:val="00884744"/>
    <w:rsid w:val="00885FEE"/>
    <w:rsid w:val="00886B5E"/>
    <w:rsid w:val="00887175"/>
    <w:rsid w:val="00887C45"/>
    <w:rsid w:val="00890292"/>
    <w:rsid w:val="00890657"/>
    <w:rsid w:val="00890ABF"/>
    <w:rsid w:val="00891354"/>
    <w:rsid w:val="00892152"/>
    <w:rsid w:val="008926DE"/>
    <w:rsid w:val="00892C3F"/>
    <w:rsid w:val="008932DE"/>
    <w:rsid w:val="00893E68"/>
    <w:rsid w:val="00893F29"/>
    <w:rsid w:val="008949EE"/>
    <w:rsid w:val="00894A13"/>
    <w:rsid w:val="00894FF0"/>
    <w:rsid w:val="00895A28"/>
    <w:rsid w:val="008A0DA4"/>
    <w:rsid w:val="008A10EC"/>
    <w:rsid w:val="008A1E98"/>
    <w:rsid w:val="008A2EA3"/>
    <w:rsid w:val="008A2FB4"/>
    <w:rsid w:val="008A373A"/>
    <w:rsid w:val="008A3AEF"/>
    <w:rsid w:val="008A3CC8"/>
    <w:rsid w:val="008A52A7"/>
    <w:rsid w:val="008A5434"/>
    <w:rsid w:val="008A5B96"/>
    <w:rsid w:val="008A6D74"/>
    <w:rsid w:val="008A786D"/>
    <w:rsid w:val="008B09E8"/>
    <w:rsid w:val="008B14E0"/>
    <w:rsid w:val="008B19BE"/>
    <w:rsid w:val="008B1BC6"/>
    <w:rsid w:val="008B294C"/>
    <w:rsid w:val="008B3474"/>
    <w:rsid w:val="008B3882"/>
    <w:rsid w:val="008B3E4D"/>
    <w:rsid w:val="008B441C"/>
    <w:rsid w:val="008B48A3"/>
    <w:rsid w:val="008B546D"/>
    <w:rsid w:val="008B54D9"/>
    <w:rsid w:val="008B6767"/>
    <w:rsid w:val="008B6893"/>
    <w:rsid w:val="008B6A84"/>
    <w:rsid w:val="008B748C"/>
    <w:rsid w:val="008B7AD5"/>
    <w:rsid w:val="008C0D84"/>
    <w:rsid w:val="008C0E2D"/>
    <w:rsid w:val="008C0E98"/>
    <w:rsid w:val="008C1179"/>
    <w:rsid w:val="008C12F7"/>
    <w:rsid w:val="008C143D"/>
    <w:rsid w:val="008C26AA"/>
    <w:rsid w:val="008C2C92"/>
    <w:rsid w:val="008C3364"/>
    <w:rsid w:val="008C33F7"/>
    <w:rsid w:val="008C4C80"/>
    <w:rsid w:val="008C51B2"/>
    <w:rsid w:val="008C590E"/>
    <w:rsid w:val="008C69E3"/>
    <w:rsid w:val="008C6A6E"/>
    <w:rsid w:val="008C6D99"/>
    <w:rsid w:val="008D049D"/>
    <w:rsid w:val="008D0ED4"/>
    <w:rsid w:val="008D30D6"/>
    <w:rsid w:val="008D4291"/>
    <w:rsid w:val="008D4880"/>
    <w:rsid w:val="008D4B98"/>
    <w:rsid w:val="008D4C91"/>
    <w:rsid w:val="008D630D"/>
    <w:rsid w:val="008D649F"/>
    <w:rsid w:val="008D75AB"/>
    <w:rsid w:val="008D77B9"/>
    <w:rsid w:val="008D792F"/>
    <w:rsid w:val="008D7E86"/>
    <w:rsid w:val="008E04AD"/>
    <w:rsid w:val="008E0EEB"/>
    <w:rsid w:val="008E139E"/>
    <w:rsid w:val="008E1BED"/>
    <w:rsid w:val="008E220D"/>
    <w:rsid w:val="008E3932"/>
    <w:rsid w:val="008E3A18"/>
    <w:rsid w:val="008E4071"/>
    <w:rsid w:val="008E416E"/>
    <w:rsid w:val="008E4A3B"/>
    <w:rsid w:val="008E56E9"/>
    <w:rsid w:val="008E5BB0"/>
    <w:rsid w:val="008E6207"/>
    <w:rsid w:val="008E6EB9"/>
    <w:rsid w:val="008F092E"/>
    <w:rsid w:val="008F198F"/>
    <w:rsid w:val="008F351F"/>
    <w:rsid w:val="008F3C53"/>
    <w:rsid w:val="008F4C7B"/>
    <w:rsid w:val="008F5EB2"/>
    <w:rsid w:val="008F66D4"/>
    <w:rsid w:val="008F7EE5"/>
    <w:rsid w:val="00900C37"/>
    <w:rsid w:val="00900DB7"/>
    <w:rsid w:val="00901431"/>
    <w:rsid w:val="009030E9"/>
    <w:rsid w:val="00903BD2"/>
    <w:rsid w:val="009041F2"/>
    <w:rsid w:val="009049FA"/>
    <w:rsid w:val="00904CD4"/>
    <w:rsid w:val="0090555E"/>
    <w:rsid w:val="00905756"/>
    <w:rsid w:val="00905E2B"/>
    <w:rsid w:val="0090602A"/>
    <w:rsid w:val="009061CC"/>
    <w:rsid w:val="00906DA5"/>
    <w:rsid w:val="009124AE"/>
    <w:rsid w:val="00913896"/>
    <w:rsid w:val="00914A98"/>
    <w:rsid w:val="009160F5"/>
    <w:rsid w:val="009165A4"/>
    <w:rsid w:val="0091688D"/>
    <w:rsid w:val="00916D8D"/>
    <w:rsid w:val="00921766"/>
    <w:rsid w:val="00922913"/>
    <w:rsid w:val="00922F60"/>
    <w:rsid w:val="009239E9"/>
    <w:rsid w:val="0092750E"/>
    <w:rsid w:val="0092789D"/>
    <w:rsid w:val="009304D5"/>
    <w:rsid w:val="00931BB0"/>
    <w:rsid w:val="00931ECA"/>
    <w:rsid w:val="00932798"/>
    <w:rsid w:val="0093298A"/>
    <w:rsid w:val="00934964"/>
    <w:rsid w:val="00934A4F"/>
    <w:rsid w:val="00935F81"/>
    <w:rsid w:val="00936BB3"/>
    <w:rsid w:val="00936CF2"/>
    <w:rsid w:val="0093726C"/>
    <w:rsid w:val="009379A3"/>
    <w:rsid w:val="00940059"/>
    <w:rsid w:val="0094152B"/>
    <w:rsid w:val="00942B46"/>
    <w:rsid w:val="00942C57"/>
    <w:rsid w:val="0094463F"/>
    <w:rsid w:val="00944B6E"/>
    <w:rsid w:val="00945144"/>
    <w:rsid w:val="00945288"/>
    <w:rsid w:val="00945A7D"/>
    <w:rsid w:val="00946A3A"/>
    <w:rsid w:val="009506ED"/>
    <w:rsid w:val="009507F9"/>
    <w:rsid w:val="009509CD"/>
    <w:rsid w:val="00950C1F"/>
    <w:rsid w:val="009519A6"/>
    <w:rsid w:val="00952CE4"/>
    <w:rsid w:val="0095361D"/>
    <w:rsid w:val="009537F1"/>
    <w:rsid w:val="00953E8E"/>
    <w:rsid w:val="00953EE5"/>
    <w:rsid w:val="0095500B"/>
    <w:rsid w:val="0095524B"/>
    <w:rsid w:val="00956E44"/>
    <w:rsid w:val="00956E7B"/>
    <w:rsid w:val="00960495"/>
    <w:rsid w:val="009625CB"/>
    <w:rsid w:val="009627E5"/>
    <w:rsid w:val="00962E5A"/>
    <w:rsid w:val="009641A5"/>
    <w:rsid w:val="009641E3"/>
    <w:rsid w:val="009650FC"/>
    <w:rsid w:val="00966344"/>
    <w:rsid w:val="00971476"/>
    <w:rsid w:val="00971C68"/>
    <w:rsid w:val="0097270D"/>
    <w:rsid w:val="00973B5F"/>
    <w:rsid w:val="00973F1A"/>
    <w:rsid w:val="00976E42"/>
    <w:rsid w:val="0097773F"/>
    <w:rsid w:val="0098175D"/>
    <w:rsid w:val="009821CA"/>
    <w:rsid w:val="00982791"/>
    <w:rsid w:val="009837ED"/>
    <w:rsid w:val="00984F81"/>
    <w:rsid w:val="00985CD5"/>
    <w:rsid w:val="009862D1"/>
    <w:rsid w:val="009866A3"/>
    <w:rsid w:val="009877A8"/>
    <w:rsid w:val="00992205"/>
    <w:rsid w:val="00992BE0"/>
    <w:rsid w:val="00993C5B"/>
    <w:rsid w:val="00993D57"/>
    <w:rsid w:val="009948CA"/>
    <w:rsid w:val="00994D02"/>
    <w:rsid w:val="009951F1"/>
    <w:rsid w:val="00995639"/>
    <w:rsid w:val="00995A41"/>
    <w:rsid w:val="00995B45"/>
    <w:rsid w:val="00996C7D"/>
    <w:rsid w:val="009A008B"/>
    <w:rsid w:val="009A0EB4"/>
    <w:rsid w:val="009A13C3"/>
    <w:rsid w:val="009A14D2"/>
    <w:rsid w:val="009A219E"/>
    <w:rsid w:val="009A22B0"/>
    <w:rsid w:val="009A2F60"/>
    <w:rsid w:val="009A30BD"/>
    <w:rsid w:val="009A337D"/>
    <w:rsid w:val="009A3CA6"/>
    <w:rsid w:val="009A4782"/>
    <w:rsid w:val="009A4FFA"/>
    <w:rsid w:val="009A55E1"/>
    <w:rsid w:val="009A60B8"/>
    <w:rsid w:val="009A7C2C"/>
    <w:rsid w:val="009B0725"/>
    <w:rsid w:val="009B206E"/>
    <w:rsid w:val="009B29EF"/>
    <w:rsid w:val="009B32BA"/>
    <w:rsid w:val="009B51A1"/>
    <w:rsid w:val="009B61B9"/>
    <w:rsid w:val="009B6790"/>
    <w:rsid w:val="009B6E3E"/>
    <w:rsid w:val="009B713E"/>
    <w:rsid w:val="009B7B18"/>
    <w:rsid w:val="009B7B56"/>
    <w:rsid w:val="009C0A2E"/>
    <w:rsid w:val="009C0C02"/>
    <w:rsid w:val="009C1E31"/>
    <w:rsid w:val="009C39EA"/>
    <w:rsid w:val="009C3D12"/>
    <w:rsid w:val="009C56F3"/>
    <w:rsid w:val="009C6000"/>
    <w:rsid w:val="009C6519"/>
    <w:rsid w:val="009C6A95"/>
    <w:rsid w:val="009C6FAA"/>
    <w:rsid w:val="009C72CF"/>
    <w:rsid w:val="009D0624"/>
    <w:rsid w:val="009D169D"/>
    <w:rsid w:val="009D248E"/>
    <w:rsid w:val="009D312A"/>
    <w:rsid w:val="009D31F1"/>
    <w:rsid w:val="009D38BB"/>
    <w:rsid w:val="009D4BDF"/>
    <w:rsid w:val="009D4D42"/>
    <w:rsid w:val="009D6FD9"/>
    <w:rsid w:val="009D7D63"/>
    <w:rsid w:val="009E3D31"/>
    <w:rsid w:val="009E4C43"/>
    <w:rsid w:val="009E4CD7"/>
    <w:rsid w:val="009E4DBD"/>
    <w:rsid w:val="009E533B"/>
    <w:rsid w:val="009E53A5"/>
    <w:rsid w:val="009E59C6"/>
    <w:rsid w:val="009E59F4"/>
    <w:rsid w:val="009E5DBC"/>
    <w:rsid w:val="009E6DDB"/>
    <w:rsid w:val="009E6EA9"/>
    <w:rsid w:val="009E717A"/>
    <w:rsid w:val="009E7E5D"/>
    <w:rsid w:val="009F017C"/>
    <w:rsid w:val="009F106B"/>
    <w:rsid w:val="009F1BC1"/>
    <w:rsid w:val="009F20D6"/>
    <w:rsid w:val="009F23E7"/>
    <w:rsid w:val="009F277A"/>
    <w:rsid w:val="009F279A"/>
    <w:rsid w:val="009F3B64"/>
    <w:rsid w:val="009F43C0"/>
    <w:rsid w:val="009F7538"/>
    <w:rsid w:val="009F7C97"/>
    <w:rsid w:val="00A00F1C"/>
    <w:rsid w:val="00A01494"/>
    <w:rsid w:val="00A02011"/>
    <w:rsid w:val="00A03D60"/>
    <w:rsid w:val="00A06F5A"/>
    <w:rsid w:val="00A07248"/>
    <w:rsid w:val="00A079BC"/>
    <w:rsid w:val="00A07F93"/>
    <w:rsid w:val="00A104C5"/>
    <w:rsid w:val="00A10B71"/>
    <w:rsid w:val="00A10C34"/>
    <w:rsid w:val="00A12519"/>
    <w:rsid w:val="00A126E4"/>
    <w:rsid w:val="00A12EF4"/>
    <w:rsid w:val="00A1307E"/>
    <w:rsid w:val="00A131E3"/>
    <w:rsid w:val="00A1366E"/>
    <w:rsid w:val="00A15023"/>
    <w:rsid w:val="00A150A2"/>
    <w:rsid w:val="00A15176"/>
    <w:rsid w:val="00A15CD2"/>
    <w:rsid w:val="00A15DA2"/>
    <w:rsid w:val="00A16500"/>
    <w:rsid w:val="00A1694E"/>
    <w:rsid w:val="00A2028B"/>
    <w:rsid w:val="00A20B5A"/>
    <w:rsid w:val="00A230CB"/>
    <w:rsid w:val="00A23A08"/>
    <w:rsid w:val="00A240F7"/>
    <w:rsid w:val="00A27BB0"/>
    <w:rsid w:val="00A27D9F"/>
    <w:rsid w:val="00A31957"/>
    <w:rsid w:val="00A31B91"/>
    <w:rsid w:val="00A33E20"/>
    <w:rsid w:val="00A34A94"/>
    <w:rsid w:val="00A34C7F"/>
    <w:rsid w:val="00A34F16"/>
    <w:rsid w:val="00A3601C"/>
    <w:rsid w:val="00A361BC"/>
    <w:rsid w:val="00A363F2"/>
    <w:rsid w:val="00A3680C"/>
    <w:rsid w:val="00A36A31"/>
    <w:rsid w:val="00A37B0B"/>
    <w:rsid w:val="00A404DD"/>
    <w:rsid w:val="00A40504"/>
    <w:rsid w:val="00A40D3E"/>
    <w:rsid w:val="00A41F93"/>
    <w:rsid w:val="00A44E1E"/>
    <w:rsid w:val="00A45015"/>
    <w:rsid w:val="00A46A8C"/>
    <w:rsid w:val="00A46EE1"/>
    <w:rsid w:val="00A50F9C"/>
    <w:rsid w:val="00A51E4B"/>
    <w:rsid w:val="00A52A94"/>
    <w:rsid w:val="00A53A59"/>
    <w:rsid w:val="00A53E93"/>
    <w:rsid w:val="00A54376"/>
    <w:rsid w:val="00A543CA"/>
    <w:rsid w:val="00A54F6C"/>
    <w:rsid w:val="00A55716"/>
    <w:rsid w:val="00A576D4"/>
    <w:rsid w:val="00A617B3"/>
    <w:rsid w:val="00A63AF6"/>
    <w:rsid w:val="00A6431D"/>
    <w:rsid w:val="00A643D0"/>
    <w:rsid w:val="00A64911"/>
    <w:rsid w:val="00A64E86"/>
    <w:rsid w:val="00A65D7A"/>
    <w:rsid w:val="00A65FCF"/>
    <w:rsid w:val="00A66D90"/>
    <w:rsid w:val="00A671CD"/>
    <w:rsid w:val="00A6789F"/>
    <w:rsid w:val="00A6798B"/>
    <w:rsid w:val="00A70CD4"/>
    <w:rsid w:val="00A71D67"/>
    <w:rsid w:val="00A7211D"/>
    <w:rsid w:val="00A72858"/>
    <w:rsid w:val="00A728A9"/>
    <w:rsid w:val="00A72BE8"/>
    <w:rsid w:val="00A7419C"/>
    <w:rsid w:val="00A76C42"/>
    <w:rsid w:val="00A80F1A"/>
    <w:rsid w:val="00A817BC"/>
    <w:rsid w:val="00A82826"/>
    <w:rsid w:val="00A83FB0"/>
    <w:rsid w:val="00A83FD6"/>
    <w:rsid w:val="00A8400F"/>
    <w:rsid w:val="00A84E3E"/>
    <w:rsid w:val="00A85EA5"/>
    <w:rsid w:val="00A8608A"/>
    <w:rsid w:val="00A863C5"/>
    <w:rsid w:val="00A86883"/>
    <w:rsid w:val="00A8728D"/>
    <w:rsid w:val="00A918FC"/>
    <w:rsid w:val="00A92485"/>
    <w:rsid w:val="00A93962"/>
    <w:rsid w:val="00A93CAD"/>
    <w:rsid w:val="00A94629"/>
    <w:rsid w:val="00A94EFB"/>
    <w:rsid w:val="00A95F1E"/>
    <w:rsid w:val="00A964E2"/>
    <w:rsid w:val="00A9762C"/>
    <w:rsid w:val="00AA0E16"/>
    <w:rsid w:val="00AA1230"/>
    <w:rsid w:val="00AA2DE9"/>
    <w:rsid w:val="00AA3B15"/>
    <w:rsid w:val="00AA3DDA"/>
    <w:rsid w:val="00AA4884"/>
    <w:rsid w:val="00AA5A54"/>
    <w:rsid w:val="00AA68BC"/>
    <w:rsid w:val="00AA75CD"/>
    <w:rsid w:val="00AA7BE8"/>
    <w:rsid w:val="00AA7C5A"/>
    <w:rsid w:val="00AB08B3"/>
    <w:rsid w:val="00AB0C59"/>
    <w:rsid w:val="00AB137D"/>
    <w:rsid w:val="00AB1E0B"/>
    <w:rsid w:val="00AB26C1"/>
    <w:rsid w:val="00AB2E82"/>
    <w:rsid w:val="00AB34D4"/>
    <w:rsid w:val="00AB4352"/>
    <w:rsid w:val="00AB4CBE"/>
    <w:rsid w:val="00AB5D34"/>
    <w:rsid w:val="00AB7DDC"/>
    <w:rsid w:val="00AC054C"/>
    <w:rsid w:val="00AC0FC9"/>
    <w:rsid w:val="00AC10F9"/>
    <w:rsid w:val="00AC271A"/>
    <w:rsid w:val="00AC39FE"/>
    <w:rsid w:val="00AC572E"/>
    <w:rsid w:val="00AC58A7"/>
    <w:rsid w:val="00AC6ACC"/>
    <w:rsid w:val="00AC79B6"/>
    <w:rsid w:val="00AD002E"/>
    <w:rsid w:val="00AD1773"/>
    <w:rsid w:val="00AD23FC"/>
    <w:rsid w:val="00AD2751"/>
    <w:rsid w:val="00AD41D0"/>
    <w:rsid w:val="00AD6058"/>
    <w:rsid w:val="00AD6C0A"/>
    <w:rsid w:val="00AD6D36"/>
    <w:rsid w:val="00AD7719"/>
    <w:rsid w:val="00AD79F3"/>
    <w:rsid w:val="00AE0142"/>
    <w:rsid w:val="00AE1B4C"/>
    <w:rsid w:val="00AE1B52"/>
    <w:rsid w:val="00AE24FE"/>
    <w:rsid w:val="00AE3044"/>
    <w:rsid w:val="00AE37DF"/>
    <w:rsid w:val="00AE4273"/>
    <w:rsid w:val="00AE4C8D"/>
    <w:rsid w:val="00AE4EBA"/>
    <w:rsid w:val="00AE503F"/>
    <w:rsid w:val="00AE5B74"/>
    <w:rsid w:val="00AE719D"/>
    <w:rsid w:val="00AE7982"/>
    <w:rsid w:val="00AF036D"/>
    <w:rsid w:val="00AF059D"/>
    <w:rsid w:val="00AF0C27"/>
    <w:rsid w:val="00AF188A"/>
    <w:rsid w:val="00AF1932"/>
    <w:rsid w:val="00AF2D24"/>
    <w:rsid w:val="00AF5536"/>
    <w:rsid w:val="00AF6419"/>
    <w:rsid w:val="00AF64C1"/>
    <w:rsid w:val="00B00991"/>
    <w:rsid w:val="00B02AD6"/>
    <w:rsid w:val="00B03625"/>
    <w:rsid w:val="00B05B0E"/>
    <w:rsid w:val="00B05C10"/>
    <w:rsid w:val="00B06116"/>
    <w:rsid w:val="00B06811"/>
    <w:rsid w:val="00B06D26"/>
    <w:rsid w:val="00B06DEF"/>
    <w:rsid w:val="00B07602"/>
    <w:rsid w:val="00B07779"/>
    <w:rsid w:val="00B1017B"/>
    <w:rsid w:val="00B10D38"/>
    <w:rsid w:val="00B10E7A"/>
    <w:rsid w:val="00B11183"/>
    <w:rsid w:val="00B1167C"/>
    <w:rsid w:val="00B11A6F"/>
    <w:rsid w:val="00B1341A"/>
    <w:rsid w:val="00B13A75"/>
    <w:rsid w:val="00B13DB2"/>
    <w:rsid w:val="00B1546B"/>
    <w:rsid w:val="00B1648A"/>
    <w:rsid w:val="00B20C4F"/>
    <w:rsid w:val="00B21930"/>
    <w:rsid w:val="00B21DDF"/>
    <w:rsid w:val="00B239F5"/>
    <w:rsid w:val="00B23E0F"/>
    <w:rsid w:val="00B2483B"/>
    <w:rsid w:val="00B24CA2"/>
    <w:rsid w:val="00B24E03"/>
    <w:rsid w:val="00B24ED2"/>
    <w:rsid w:val="00B268EE"/>
    <w:rsid w:val="00B27B6E"/>
    <w:rsid w:val="00B30C8D"/>
    <w:rsid w:val="00B3127F"/>
    <w:rsid w:val="00B31FB2"/>
    <w:rsid w:val="00B3236E"/>
    <w:rsid w:val="00B32953"/>
    <w:rsid w:val="00B34E1D"/>
    <w:rsid w:val="00B36768"/>
    <w:rsid w:val="00B36B02"/>
    <w:rsid w:val="00B37988"/>
    <w:rsid w:val="00B4003C"/>
    <w:rsid w:val="00B41672"/>
    <w:rsid w:val="00B43142"/>
    <w:rsid w:val="00B44037"/>
    <w:rsid w:val="00B444D9"/>
    <w:rsid w:val="00B44F09"/>
    <w:rsid w:val="00B44F8A"/>
    <w:rsid w:val="00B525B5"/>
    <w:rsid w:val="00B52AC2"/>
    <w:rsid w:val="00B52D21"/>
    <w:rsid w:val="00B53828"/>
    <w:rsid w:val="00B54272"/>
    <w:rsid w:val="00B546F8"/>
    <w:rsid w:val="00B54B46"/>
    <w:rsid w:val="00B54BF7"/>
    <w:rsid w:val="00B552DD"/>
    <w:rsid w:val="00B555AF"/>
    <w:rsid w:val="00B55C2C"/>
    <w:rsid w:val="00B574FE"/>
    <w:rsid w:val="00B603FA"/>
    <w:rsid w:val="00B606D0"/>
    <w:rsid w:val="00B619D3"/>
    <w:rsid w:val="00B621FB"/>
    <w:rsid w:val="00B62AAF"/>
    <w:rsid w:val="00B64093"/>
    <w:rsid w:val="00B64C67"/>
    <w:rsid w:val="00B6623E"/>
    <w:rsid w:val="00B66A5F"/>
    <w:rsid w:val="00B67048"/>
    <w:rsid w:val="00B67622"/>
    <w:rsid w:val="00B677B0"/>
    <w:rsid w:val="00B67F4B"/>
    <w:rsid w:val="00B7089F"/>
    <w:rsid w:val="00B71BE5"/>
    <w:rsid w:val="00B71C00"/>
    <w:rsid w:val="00B71F3F"/>
    <w:rsid w:val="00B7224A"/>
    <w:rsid w:val="00B722A2"/>
    <w:rsid w:val="00B72465"/>
    <w:rsid w:val="00B750ED"/>
    <w:rsid w:val="00B75B58"/>
    <w:rsid w:val="00B776FC"/>
    <w:rsid w:val="00B77833"/>
    <w:rsid w:val="00B80487"/>
    <w:rsid w:val="00B816C9"/>
    <w:rsid w:val="00B8186C"/>
    <w:rsid w:val="00B81FAE"/>
    <w:rsid w:val="00B821D7"/>
    <w:rsid w:val="00B833A2"/>
    <w:rsid w:val="00B83CD7"/>
    <w:rsid w:val="00B83DB3"/>
    <w:rsid w:val="00B84022"/>
    <w:rsid w:val="00B84798"/>
    <w:rsid w:val="00B85E67"/>
    <w:rsid w:val="00B9024A"/>
    <w:rsid w:val="00B90B42"/>
    <w:rsid w:val="00B9262E"/>
    <w:rsid w:val="00B92946"/>
    <w:rsid w:val="00B92C8D"/>
    <w:rsid w:val="00B93171"/>
    <w:rsid w:val="00B93AC5"/>
    <w:rsid w:val="00B93DA9"/>
    <w:rsid w:val="00B940BC"/>
    <w:rsid w:val="00B94733"/>
    <w:rsid w:val="00B95445"/>
    <w:rsid w:val="00B95D87"/>
    <w:rsid w:val="00B9647A"/>
    <w:rsid w:val="00B96566"/>
    <w:rsid w:val="00B965BE"/>
    <w:rsid w:val="00B96650"/>
    <w:rsid w:val="00B96F82"/>
    <w:rsid w:val="00B976D7"/>
    <w:rsid w:val="00B97AE9"/>
    <w:rsid w:val="00B97FD5"/>
    <w:rsid w:val="00BA17E4"/>
    <w:rsid w:val="00BA1DB1"/>
    <w:rsid w:val="00BA2919"/>
    <w:rsid w:val="00BA2B85"/>
    <w:rsid w:val="00BA2F6E"/>
    <w:rsid w:val="00BA3118"/>
    <w:rsid w:val="00BA3A3C"/>
    <w:rsid w:val="00BA4566"/>
    <w:rsid w:val="00BA500B"/>
    <w:rsid w:val="00BA5DA3"/>
    <w:rsid w:val="00BA78E6"/>
    <w:rsid w:val="00BA7C92"/>
    <w:rsid w:val="00BA7EC4"/>
    <w:rsid w:val="00BB0FE0"/>
    <w:rsid w:val="00BB198B"/>
    <w:rsid w:val="00BB1D3A"/>
    <w:rsid w:val="00BB20AF"/>
    <w:rsid w:val="00BB3142"/>
    <w:rsid w:val="00BB3306"/>
    <w:rsid w:val="00BB3D7C"/>
    <w:rsid w:val="00BB4E54"/>
    <w:rsid w:val="00BB5807"/>
    <w:rsid w:val="00BB5C5C"/>
    <w:rsid w:val="00BB5DF0"/>
    <w:rsid w:val="00BB5EB1"/>
    <w:rsid w:val="00BB64F3"/>
    <w:rsid w:val="00BB6938"/>
    <w:rsid w:val="00BB794B"/>
    <w:rsid w:val="00BB7A8D"/>
    <w:rsid w:val="00BB7D8F"/>
    <w:rsid w:val="00BB7E8B"/>
    <w:rsid w:val="00BC1779"/>
    <w:rsid w:val="00BC28F3"/>
    <w:rsid w:val="00BC29F0"/>
    <w:rsid w:val="00BC2A4A"/>
    <w:rsid w:val="00BC3ED6"/>
    <w:rsid w:val="00BC4878"/>
    <w:rsid w:val="00BC5847"/>
    <w:rsid w:val="00BC5E8A"/>
    <w:rsid w:val="00BC76AF"/>
    <w:rsid w:val="00BC7781"/>
    <w:rsid w:val="00BC7F86"/>
    <w:rsid w:val="00BC7FDC"/>
    <w:rsid w:val="00BD07B9"/>
    <w:rsid w:val="00BD12F1"/>
    <w:rsid w:val="00BD1C2A"/>
    <w:rsid w:val="00BD2217"/>
    <w:rsid w:val="00BD4A33"/>
    <w:rsid w:val="00BD599B"/>
    <w:rsid w:val="00BD61E6"/>
    <w:rsid w:val="00BD720D"/>
    <w:rsid w:val="00BD725F"/>
    <w:rsid w:val="00BD72A7"/>
    <w:rsid w:val="00BE1032"/>
    <w:rsid w:val="00BE183B"/>
    <w:rsid w:val="00BE37DA"/>
    <w:rsid w:val="00BE4097"/>
    <w:rsid w:val="00BE45B1"/>
    <w:rsid w:val="00BE4C48"/>
    <w:rsid w:val="00BE4C84"/>
    <w:rsid w:val="00BE5EA2"/>
    <w:rsid w:val="00BE6312"/>
    <w:rsid w:val="00BE6AA3"/>
    <w:rsid w:val="00BE73D6"/>
    <w:rsid w:val="00BF1489"/>
    <w:rsid w:val="00BF1725"/>
    <w:rsid w:val="00BF1736"/>
    <w:rsid w:val="00BF1838"/>
    <w:rsid w:val="00BF1B79"/>
    <w:rsid w:val="00BF27A5"/>
    <w:rsid w:val="00BF339E"/>
    <w:rsid w:val="00BF3809"/>
    <w:rsid w:val="00BF4839"/>
    <w:rsid w:val="00BF613A"/>
    <w:rsid w:val="00BF62CB"/>
    <w:rsid w:val="00BF6428"/>
    <w:rsid w:val="00BF664D"/>
    <w:rsid w:val="00BF68DB"/>
    <w:rsid w:val="00BF73C9"/>
    <w:rsid w:val="00C000AC"/>
    <w:rsid w:val="00C00CE0"/>
    <w:rsid w:val="00C00FBB"/>
    <w:rsid w:val="00C01B1A"/>
    <w:rsid w:val="00C01F35"/>
    <w:rsid w:val="00C02149"/>
    <w:rsid w:val="00C03279"/>
    <w:rsid w:val="00C03A32"/>
    <w:rsid w:val="00C04364"/>
    <w:rsid w:val="00C04CD4"/>
    <w:rsid w:val="00C05087"/>
    <w:rsid w:val="00C050B5"/>
    <w:rsid w:val="00C05D0E"/>
    <w:rsid w:val="00C065F2"/>
    <w:rsid w:val="00C06F6C"/>
    <w:rsid w:val="00C0732E"/>
    <w:rsid w:val="00C0776F"/>
    <w:rsid w:val="00C078B2"/>
    <w:rsid w:val="00C1037D"/>
    <w:rsid w:val="00C1043A"/>
    <w:rsid w:val="00C126D2"/>
    <w:rsid w:val="00C12B8B"/>
    <w:rsid w:val="00C12E57"/>
    <w:rsid w:val="00C13397"/>
    <w:rsid w:val="00C1359C"/>
    <w:rsid w:val="00C14470"/>
    <w:rsid w:val="00C144F9"/>
    <w:rsid w:val="00C14586"/>
    <w:rsid w:val="00C14B9A"/>
    <w:rsid w:val="00C156CC"/>
    <w:rsid w:val="00C15968"/>
    <w:rsid w:val="00C15C12"/>
    <w:rsid w:val="00C16784"/>
    <w:rsid w:val="00C16826"/>
    <w:rsid w:val="00C169E7"/>
    <w:rsid w:val="00C17C7E"/>
    <w:rsid w:val="00C206B9"/>
    <w:rsid w:val="00C20B76"/>
    <w:rsid w:val="00C22434"/>
    <w:rsid w:val="00C224DC"/>
    <w:rsid w:val="00C22DF8"/>
    <w:rsid w:val="00C232FC"/>
    <w:rsid w:val="00C2365B"/>
    <w:rsid w:val="00C250F6"/>
    <w:rsid w:val="00C25A2B"/>
    <w:rsid w:val="00C25D10"/>
    <w:rsid w:val="00C264CB"/>
    <w:rsid w:val="00C275BE"/>
    <w:rsid w:val="00C2795C"/>
    <w:rsid w:val="00C30427"/>
    <w:rsid w:val="00C30909"/>
    <w:rsid w:val="00C30C40"/>
    <w:rsid w:val="00C3148A"/>
    <w:rsid w:val="00C32BD8"/>
    <w:rsid w:val="00C33FD9"/>
    <w:rsid w:val="00C34707"/>
    <w:rsid w:val="00C352F4"/>
    <w:rsid w:val="00C378A2"/>
    <w:rsid w:val="00C37E21"/>
    <w:rsid w:val="00C41094"/>
    <w:rsid w:val="00C41347"/>
    <w:rsid w:val="00C41700"/>
    <w:rsid w:val="00C42E63"/>
    <w:rsid w:val="00C430D5"/>
    <w:rsid w:val="00C436B4"/>
    <w:rsid w:val="00C447AC"/>
    <w:rsid w:val="00C447EE"/>
    <w:rsid w:val="00C45186"/>
    <w:rsid w:val="00C45CB5"/>
    <w:rsid w:val="00C45DEF"/>
    <w:rsid w:val="00C47D95"/>
    <w:rsid w:val="00C50683"/>
    <w:rsid w:val="00C50E52"/>
    <w:rsid w:val="00C52BD6"/>
    <w:rsid w:val="00C52ED0"/>
    <w:rsid w:val="00C5387B"/>
    <w:rsid w:val="00C53B26"/>
    <w:rsid w:val="00C53D58"/>
    <w:rsid w:val="00C564DF"/>
    <w:rsid w:val="00C56657"/>
    <w:rsid w:val="00C56C29"/>
    <w:rsid w:val="00C5730A"/>
    <w:rsid w:val="00C5774C"/>
    <w:rsid w:val="00C57A29"/>
    <w:rsid w:val="00C6045B"/>
    <w:rsid w:val="00C6158B"/>
    <w:rsid w:val="00C615D3"/>
    <w:rsid w:val="00C61937"/>
    <w:rsid w:val="00C6209A"/>
    <w:rsid w:val="00C637A8"/>
    <w:rsid w:val="00C656CB"/>
    <w:rsid w:val="00C6665F"/>
    <w:rsid w:val="00C668A7"/>
    <w:rsid w:val="00C6790F"/>
    <w:rsid w:val="00C67C80"/>
    <w:rsid w:val="00C71437"/>
    <w:rsid w:val="00C71A30"/>
    <w:rsid w:val="00C7272F"/>
    <w:rsid w:val="00C73D8D"/>
    <w:rsid w:val="00C741D9"/>
    <w:rsid w:val="00C74867"/>
    <w:rsid w:val="00C7540B"/>
    <w:rsid w:val="00C75A14"/>
    <w:rsid w:val="00C762AD"/>
    <w:rsid w:val="00C77FB8"/>
    <w:rsid w:val="00C80017"/>
    <w:rsid w:val="00C802C3"/>
    <w:rsid w:val="00C80511"/>
    <w:rsid w:val="00C8059C"/>
    <w:rsid w:val="00C81B4F"/>
    <w:rsid w:val="00C82365"/>
    <w:rsid w:val="00C82DEC"/>
    <w:rsid w:val="00C838FA"/>
    <w:rsid w:val="00C83A6B"/>
    <w:rsid w:val="00C843AD"/>
    <w:rsid w:val="00C84BBB"/>
    <w:rsid w:val="00C85A8E"/>
    <w:rsid w:val="00C86C65"/>
    <w:rsid w:val="00C86E75"/>
    <w:rsid w:val="00C87C5D"/>
    <w:rsid w:val="00C9114E"/>
    <w:rsid w:val="00C91A36"/>
    <w:rsid w:val="00C9443F"/>
    <w:rsid w:val="00C9456F"/>
    <w:rsid w:val="00C94CC7"/>
    <w:rsid w:val="00C9567D"/>
    <w:rsid w:val="00C961A4"/>
    <w:rsid w:val="00C96905"/>
    <w:rsid w:val="00C96BC7"/>
    <w:rsid w:val="00C9706E"/>
    <w:rsid w:val="00C97151"/>
    <w:rsid w:val="00C97368"/>
    <w:rsid w:val="00C977F1"/>
    <w:rsid w:val="00C97849"/>
    <w:rsid w:val="00CA06FB"/>
    <w:rsid w:val="00CA206C"/>
    <w:rsid w:val="00CA3036"/>
    <w:rsid w:val="00CA4278"/>
    <w:rsid w:val="00CA4FE8"/>
    <w:rsid w:val="00CA5CDB"/>
    <w:rsid w:val="00CA7037"/>
    <w:rsid w:val="00CB049B"/>
    <w:rsid w:val="00CB056F"/>
    <w:rsid w:val="00CB1284"/>
    <w:rsid w:val="00CB355F"/>
    <w:rsid w:val="00CB49BE"/>
    <w:rsid w:val="00CB4FD4"/>
    <w:rsid w:val="00CB5CD8"/>
    <w:rsid w:val="00CB601C"/>
    <w:rsid w:val="00CB6A02"/>
    <w:rsid w:val="00CB6EAB"/>
    <w:rsid w:val="00CB7DB8"/>
    <w:rsid w:val="00CC054F"/>
    <w:rsid w:val="00CC25B7"/>
    <w:rsid w:val="00CC37D5"/>
    <w:rsid w:val="00CC4420"/>
    <w:rsid w:val="00CC4844"/>
    <w:rsid w:val="00CC5449"/>
    <w:rsid w:val="00CC5DD7"/>
    <w:rsid w:val="00CC6B09"/>
    <w:rsid w:val="00CC75DA"/>
    <w:rsid w:val="00CC78DC"/>
    <w:rsid w:val="00CC7B55"/>
    <w:rsid w:val="00CC7FA5"/>
    <w:rsid w:val="00CD015C"/>
    <w:rsid w:val="00CD2B19"/>
    <w:rsid w:val="00CD301E"/>
    <w:rsid w:val="00CD32F0"/>
    <w:rsid w:val="00CD3466"/>
    <w:rsid w:val="00CD60DF"/>
    <w:rsid w:val="00CD79E3"/>
    <w:rsid w:val="00CE0722"/>
    <w:rsid w:val="00CE1786"/>
    <w:rsid w:val="00CE1943"/>
    <w:rsid w:val="00CE4FBF"/>
    <w:rsid w:val="00CE5453"/>
    <w:rsid w:val="00CE5FEE"/>
    <w:rsid w:val="00CE65EA"/>
    <w:rsid w:val="00CE6953"/>
    <w:rsid w:val="00CE78B3"/>
    <w:rsid w:val="00CE7989"/>
    <w:rsid w:val="00CF0C15"/>
    <w:rsid w:val="00CF1AF2"/>
    <w:rsid w:val="00CF2650"/>
    <w:rsid w:val="00CF4A3B"/>
    <w:rsid w:val="00CF4D2D"/>
    <w:rsid w:val="00CF5FEA"/>
    <w:rsid w:val="00CF668C"/>
    <w:rsid w:val="00CF7A29"/>
    <w:rsid w:val="00CF7C85"/>
    <w:rsid w:val="00D013BA"/>
    <w:rsid w:val="00D0406D"/>
    <w:rsid w:val="00D04FC1"/>
    <w:rsid w:val="00D05F41"/>
    <w:rsid w:val="00D072F9"/>
    <w:rsid w:val="00D0780F"/>
    <w:rsid w:val="00D07AB7"/>
    <w:rsid w:val="00D07F21"/>
    <w:rsid w:val="00D104D8"/>
    <w:rsid w:val="00D10DFE"/>
    <w:rsid w:val="00D111D5"/>
    <w:rsid w:val="00D11319"/>
    <w:rsid w:val="00D11F7F"/>
    <w:rsid w:val="00D12815"/>
    <w:rsid w:val="00D12A31"/>
    <w:rsid w:val="00D138E5"/>
    <w:rsid w:val="00D142B5"/>
    <w:rsid w:val="00D15CEE"/>
    <w:rsid w:val="00D15F8F"/>
    <w:rsid w:val="00D16DDA"/>
    <w:rsid w:val="00D207F9"/>
    <w:rsid w:val="00D20C65"/>
    <w:rsid w:val="00D21998"/>
    <w:rsid w:val="00D22BDC"/>
    <w:rsid w:val="00D22F96"/>
    <w:rsid w:val="00D22FBD"/>
    <w:rsid w:val="00D2394F"/>
    <w:rsid w:val="00D23D58"/>
    <w:rsid w:val="00D24916"/>
    <w:rsid w:val="00D24B5E"/>
    <w:rsid w:val="00D24DE6"/>
    <w:rsid w:val="00D250E2"/>
    <w:rsid w:val="00D26BBE"/>
    <w:rsid w:val="00D2717C"/>
    <w:rsid w:val="00D272CC"/>
    <w:rsid w:val="00D2791F"/>
    <w:rsid w:val="00D307F4"/>
    <w:rsid w:val="00D30915"/>
    <w:rsid w:val="00D30C51"/>
    <w:rsid w:val="00D310BB"/>
    <w:rsid w:val="00D31530"/>
    <w:rsid w:val="00D32172"/>
    <w:rsid w:val="00D32DC5"/>
    <w:rsid w:val="00D34D12"/>
    <w:rsid w:val="00D34EC9"/>
    <w:rsid w:val="00D352FA"/>
    <w:rsid w:val="00D35F05"/>
    <w:rsid w:val="00D36598"/>
    <w:rsid w:val="00D36997"/>
    <w:rsid w:val="00D36E21"/>
    <w:rsid w:val="00D372B7"/>
    <w:rsid w:val="00D40A8A"/>
    <w:rsid w:val="00D40F3B"/>
    <w:rsid w:val="00D416CC"/>
    <w:rsid w:val="00D42092"/>
    <w:rsid w:val="00D420B0"/>
    <w:rsid w:val="00D421D6"/>
    <w:rsid w:val="00D42305"/>
    <w:rsid w:val="00D4354B"/>
    <w:rsid w:val="00D44DA6"/>
    <w:rsid w:val="00D44F67"/>
    <w:rsid w:val="00D45E14"/>
    <w:rsid w:val="00D4622A"/>
    <w:rsid w:val="00D46A75"/>
    <w:rsid w:val="00D46C2C"/>
    <w:rsid w:val="00D4701C"/>
    <w:rsid w:val="00D473E8"/>
    <w:rsid w:val="00D50294"/>
    <w:rsid w:val="00D50A11"/>
    <w:rsid w:val="00D50EF3"/>
    <w:rsid w:val="00D51150"/>
    <w:rsid w:val="00D52168"/>
    <w:rsid w:val="00D545DB"/>
    <w:rsid w:val="00D550AF"/>
    <w:rsid w:val="00D551A3"/>
    <w:rsid w:val="00D55814"/>
    <w:rsid w:val="00D568FF"/>
    <w:rsid w:val="00D57440"/>
    <w:rsid w:val="00D574B9"/>
    <w:rsid w:val="00D57541"/>
    <w:rsid w:val="00D57DBE"/>
    <w:rsid w:val="00D6185E"/>
    <w:rsid w:val="00D63C8C"/>
    <w:rsid w:val="00D64B36"/>
    <w:rsid w:val="00D650F8"/>
    <w:rsid w:val="00D65BF1"/>
    <w:rsid w:val="00D65CCC"/>
    <w:rsid w:val="00D66830"/>
    <w:rsid w:val="00D669F1"/>
    <w:rsid w:val="00D67612"/>
    <w:rsid w:val="00D70180"/>
    <w:rsid w:val="00D7072E"/>
    <w:rsid w:val="00D73C72"/>
    <w:rsid w:val="00D749D4"/>
    <w:rsid w:val="00D74A19"/>
    <w:rsid w:val="00D75831"/>
    <w:rsid w:val="00D75CB5"/>
    <w:rsid w:val="00D75E83"/>
    <w:rsid w:val="00D77233"/>
    <w:rsid w:val="00D77B21"/>
    <w:rsid w:val="00D81332"/>
    <w:rsid w:val="00D81F71"/>
    <w:rsid w:val="00D83ABF"/>
    <w:rsid w:val="00D83BB3"/>
    <w:rsid w:val="00D83BD3"/>
    <w:rsid w:val="00D83D10"/>
    <w:rsid w:val="00D84E9B"/>
    <w:rsid w:val="00D85345"/>
    <w:rsid w:val="00D85C29"/>
    <w:rsid w:val="00D86B1E"/>
    <w:rsid w:val="00D86E1E"/>
    <w:rsid w:val="00D903CA"/>
    <w:rsid w:val="00D91149"/>
    <w:rsid w:val="00D91613"/>
    <w:rsid w:val="00D92C10"/>
    <w:rsid w:val="00D940DC"/>
    <w:rsid w:val="00D94584"/>
    <w:rsid w:val="00D94CBB"/>
    <w:rsid w:val="00D95828"/>
    <w:rsid w:val="00D9596E"/>
    <w:rsid w:val="00D95AB9"/>
    <w:rsid w:val="00D96FCC"/>
    <w:rsid w:val="00D97195"/>
    <w:rsid w:val="00D97D84"/>
    <w:rsid w:val="00DA027C"/>
    <w:rsid w:val="00DA0E5B"/>
    <w:rsid w:val="00DA1310"/>
    <w:rsid w:val="00DA15BA"/>
    <w:rsid w:val="00DA44E6"/>
    <w:rsid w:val="00DA547A"/>
    <w:rsid w:val="00DA5966"/>
    <w:rsid w:val="00DA6B1F"/>
    <w:rsid w:val="00DA7EF1"/>
    <w:rsid w:val="00DB043A"/>
    <w:rsid w:val="00DB19C6"/>
    <w:rsid w:val="00DB1B8F"/>
    <w:rsid w:val="00DB3A31"/>
    <w:rsid w:val="00DB3D6C"/>
    <w:rsid w:val="00DB4C62"/>
    <w:rsid w:val="00DB62AA"/>
    <w:rsid w:val="00DB67D0"/>
    <w:rsid w:val="00DC04C7"/>
    <w:rsid w:val="00DC0DBA"/>
    <w:rsid w:val="00DC1E39"/>
    <w:rsid w:val="00DC313B"/>
    <w:rsid w:val="00DC3565"/>
    <w:rsid w:val="00DC3609"/>
    <w:rsid w:val="00DC38C0"/>
    <w:rsid w:val="00DC3D47"/>
    <w:rsid w:val="00DC4670"/>
    <w:rsid w:val="00DD1C13"/>
    <w:rsid w:val="00DD1CCD"/>
    <w:rsid w:val="00DD21BF"/>
    <w:rsid w:val="00DD31ED"/>
    <w:rsid w:val="00DD3CC6"/>
    <w:rsid w:val="00DD4760"/>
    <w:rsid w:val="00DD6592"/>
    <w:rsid w:val="00DD6B1A"/>
    <w:rsid w:val="00DD6C1E"/>
    <w:rsid w:val="00DD7811"/>
    <w:rsid w:val="00DE0CF6"/>
    <w:rsid w:val="00DE1BD7"/>
    <w:rsid w:val="00DE1EE6"/>
    <w:rsid w:val="00DE219A"/>
    <w:rsid w:val="00DE2EEA"/>
    <w:rsid w:val="00DE4332"/>
    <w:rsid w:val="00DE4C2E"/>
    <w:rsid w:val="00DE5BD1"/>
    <w:rsid w:val="00DE61E8"/>
    <w:rsid w:val="00DF0FA0"/>
    <w:rsid w:val="00DF27FE"/>
    <w:rsid w:val="00DF3313"/>
    <w:rsid w:val="00DF3398"/>
    <w:rsid w:val="00DF381A"/>
    <w:rsid w:val="00DF3905"/>
    <w:rsid w:val="00DF3E95"/>
    <w:rsid w:val="00DF5CA6"/>
    <w:rsid w:val="00DF5CF6"/>
    <w:rsid w:val="00DF651C"/>
    <w:rsid w:val="00DF659E"/>
    <w:rsid w:val="00DF6DF2"/>
    <w:rsid w:val="00E00585"/>
    <w:rsid w:val="00E01041"/>
    <w:rsid w:val="00E02D55"/>
    <w:rsid w:val="00E03381"/>
    <w:rsid w:val="00E04355"/>
    <w:rsid w:val="00E052E0"/>
    <w:rsid w:val="00E05454"/>
    <w:rsid w:val="00E056D5"/>
    <w:rsid w:val="00E05C72"/>
    <w:rsid w:val="00E05E8F"/>
    <w:rsid w:val="00E06B9C"/>
    <w:rsid w:val="00E07533"/>
    <w:rsid w:val="00E07F16"/>
    <w:rsid w:val="00E114E3"/>
    <w:rsid w:val="00E11B84"/>
    <w:rsid w:val="00E12A71"/>
    <w:rsid w:val="00E139C0"/>
    <w:rsid w:val="00E153C8"/>
    <w:rsid w:val="00E1574A"/>
    <w:rsid w:val="00E15AAF"/>
    <w:rsid w:val="00E168EE"/>
    <w:rsid w:val="00E178E5"/>
    <w:rsid w:val="00E17D27"/>
    <w:rsid w:val="00E208CB"/>
    <w:rsid w:val="00E210C7"/>
    <w:rsid w:val="00E24589"/>
    <w:rsid w:val="00E26CEB"/>
    <w:rsid w:val="00E26FD7"/>
    <w:rsid w:val="00E26FEE"/>
    <w:rsid w:val="00E2763C"/>
    <w:rsid w:val="00E27B2E"/>
    <w:rsid w:val="00E300E8"/>
    <w:rsid w:val="00E310AD"/>
    <w:rsid w:val="00E31513"/>
    <w:rsid w:val="00E32064"/>
    <w:rsid w:val="00E324AE"/>
    <w:rsid w:val="00E328D0"/>
    <w:rsid w:val="00E329C5"/>
    <w:rsid w:val="00E338AF"/>
    <w:rsid w:val="00E34353"/>
    <w:rsid w:val="00E34BE5"/>
    <w:rsid w:val="00E35805"/>
    <w:rsid w:val="00E36B00"/>
    <w:rsid w:val="00E379DA"/>
    <w:rsid w:val="00E37E25"/>
    <w:rsid w:val="00E400F7"/>
    <w:rsid w:val="00E41744"/>
    <w:rsid w:val="00E424F1"/>
    <w:rsid w:val="00E427A7"/>
    <w:rsid w:val="00E42815"/>
    <w:rsid w:val="00E428E1"/>
    <w:rsid w:val="00E42C94"/>
    <w:rsid w:val="00E45231"/>
    <w:rsid w:val="00E45453"/>
    <w:rsid w:val="00E461AC"/>
    <w:rsid w:val="00E464E6"/>
    <w:rsid w:val="00E46B31"/>
    <w:rsid w:val="00E507D9"/>
    <w:rsid w:val="00E510F2"/>
    <w:rsid w:val="00E514ED"/>
    <w:rsid w:val="00E52F5B"/>
    <w:rsid w:val="00E52F9F"/>
    <w:rsid w:val="00E54ABE"/>
    <w:rsid w:val="00E55ED2"/>
    <w:rsid w:val="00E56E7F"/>
    <w:rsid w:val="00E57277"/>
    <w:rsid w:val="00E602BF"/>
    <w:rsid w:val="00E60ABE"/>
    <w:rsid w:val="00E61556"/>
    <w:rsid w:val="00E61EB3"/>
    <w:rsid w:val="00E62DEE"/>
    <w:rsid w:val="00E62E64"/>
    <w:rsid w:val="00E62F4A"/>
    <w:rsid w:val="00E631A6"/>
    <w:rsid w:val="00E631B4"/>
    <w:rsid w:val="00E638AB"/>
    <w:rsid w:val="00E638E7"/>
    <w:rsid w:val="00E639F2"/>
    <w:rsid w:val="00E6569A"/>
    <w:rsid w:val="00E664EC"/>
    <w:rsid w:val="00E70415"/>
    <w:rsid w:val="00E7061F"/>
    <w:rsid w:val="00E70866"/>
    <w:rsid w:val="00E70D5A"/>
    <w:rsid w:val="00E716F9"/>
    <w:rsid w:val="00E73F48"/>
    <w:rsid w:val="00E7482B"/>
    <w:rsid w:val="00E756F5"/>
    <w:rsid w:val="00E75EE0"/>
    <w:rsid w:val="00E760CF"/>
    <w:rsid w:val="00E76884"/>
    <w:rsid w:val="00E7688C"/>
    <w:rsid w:val="00E803C8"/>
    <w:rsid w:val="00E80D73"/>
    <w:rsid w:val="00E811D4"/>
    <w:rsid w:val="00E812E5"/>
    <w:rsid w:val="00E83B76"/>
    <w:rsid w:val="00E83C35"/>
    <w:rsid w:val="00E8474F"/>
    <w:rsid w:val="00E849A3"/>
    <w:rsid w:val="00E84CB5"/>
    <w:rsid w:val="00E85184"/>
    <w:rsid w:val="00E878E0"/>
    <w:rsid w:val="00E87DD7"/>
    <w:rsid w:val="00E90596"/>
    <w:rsid w:val="00E91260"/>
    <w:rsid w:val="00E91268"/>
    <w:rsid w:val="00E91329"/>
    <w:rsid w:val="00E9200A"/>
    <w:rsid w:val="00E926E2"/>
    <w:rsid w:val="00E92C57"/>
    <w:rsid w:val="00E932EE"/>
    <w:rsid w:val="00E935FD"/>
    <w:rsid w:val="00E938F7"/>
    <w:rsid w:val="00E9429C"/>
    <w:rsid w:val="00E95616"/>
    <w:rsid w:val="00E97118"/>
    <w:rsid w:val="00E974AD"/>
    <w:rsid w:val="00E97D9D"/>
    <w:rsid w:val="00EA0090"/>
    <w:rsid w:val="00EA061A"/>
    <w:rsid w:val="00EA1038"/>
    <w:rsid w:val="00EA12F1"/>
    <w:rsid w:val="00EA1456"/>
    <w:rsid w:val="00EA191B"/>
    <w:rsid w:val="00EA1E87"/>
    <w:rsid w:val="00EA230F"/>
    <w:rsid w:val="00EA243C"/>
    <w:rsid w:val="00EA25D6"/>
    <w:rsid w:val="00EA2851"/>
    <w:rsid w:val="00EA2C3C"/>
    <w:rsid w:val="00EA3F12"/>
    <w:rsid w:val="00EA7420"/>
    <w:rsid w:val="00EB04D4"/>
    <w:rsid w:val="00EB06EF"/>
    <w:rsid w:val="00EB08E5"/>
    <w:rsid w:val="00EB1640"/>
    <w:rsid w:val="00EB3F6C"/>
    <w:rsid w:val="00EB4055"/>
    <w:rsid w:val="00EB4F25"/>
    <w:rsid w:val="00EB4F52"/>
    <w:rsid w:val="00EB52AB"/>
    <w:rsid w:val="00EB6206"/>
    <w:rsid w:val="00EB7EFF"/>
    <w:rsid w:val="00EC067D"/>
    <w:rsid w:val="00EC1253"/>
    <w:rsid w:val="00EC1E65"/>
    <w:rsid w:val="00EC2D0E"/>
    <w:rsid w:val="00EC35BE"/>
    <w:rsid w:val="00EC360D"/>
    <w:rsid w:val="00EC4514"/>
    <w:rsid w:val="00EC59E8"/>
    <w:rsid w:val="00EC6321"/>
    <w:rsid w:val="00EC6B9A"/>
    <w:rsid w:val="00EC7734"/>
    <w:rsid w:val="00EC782B"/>
    <w:rsid w:val="00EC7E3F"/>
    <w:rsid w:val="00ED04F2"/>
    <w:rsid w:val="00ED0705"/>
    <w:rsid w:val="00ED1C1A"/>
    <w:rsid w:val="00ED26F7"/>
    <w:rsid w:val="00ED2F0D"/>
    <w:rsid w:val="00ED4DC6"/>
    <w:rsid w:val="00ED4E81"/>
    <w:rsid w:val="00ED4EBF"/>
    <w:rsid w:val="00ED5253"/>
    <w:rsid w:val="00ED550C"/>
    <w:rsid w:val="00ED59C3"/>
    <w:rsid w:val="00ED687E"/>
    <w:rsid w:val="00ED76C1"/>
    <w:rsid w:val="00EE10AA"/>
    <w:rsid w:val="00EE1788"/>
    <w:rsid w:val="00EE17F1"/>
    <w:rsid w:val="00EE1B43"/>
    <w:rsid w:val="00EE20C5"/>
    <w:rsid w:val="00EE23F1"/>
    <w:rsid w:val="00EE2913"/>
    <w:rsid w:val="00EE2DB4"/>
    <w:rsid w:val="00EE3C48"/>
    <w:rsid w:val="00EE40FC"/>
    <w:rsid w:val="00EE7354"/>
    <w:rsid w:val="00EE74DC"/>
    <w:rsid w:val="00EE799C"/>
    <w:rsid w:val="00EF0472"/>
    <w:rsid w:val="00EF2147"/>
    <w:rsid w:val="00EF2370"/>
    <w:rsid w:val="00EF251D"/>
    <w:rsid w:val="00EF2AE5"/>
    <w:rsid w:val="00EF3244"/>
    <w:rsid w:val="00EF41FC"/>
    <w:rsid w:val="00EF4848"/>
    <w:rsid w:val="00EF5772"/>
    <w:rsid w:val="00EF62DC"/>
    <w:rsid w:val="00EF7E95"/>
    <w:rsid w:val="00EF7EFB"/>
    <w:rsid w:val="00F000BD"/>
    <w:rsid w:val="00F00EB7"/>
    <w:rsid w:val="00F01A8C"/>
    <w:rsid w:val="00F02C8D"/>
    <w:rsid w:val="00F03CDA"/>
    <w:rsid w:val="00F041D5"/>
    <w:rsid w:val="00F042CA"/>
    <w:rsid w:val="00F043B5"/>
    <w:rsid w:val="00F04A96"/>
    <w:rsid w:val="00F050DF"/>
    <w:rsid w:val="00F05EED"/>
    <w:rsid w:val="00F0756D"/>
    <w:rsid w:val="00F079E7"/>
    <w:rsid w:val="00F10623"/>
    <w:rsid w:val="00F119D5"/>
    <w:rsid w:val="00F11AD3"/>
    <w:rsid w:val="00F126CE"/>
    <w:rsid w:val="00F12A70"/>
    <w:rsid w:val="00F12B6B"/>
    <w:rsid w:val="00F140CF"/>
    <w:rsid w:val="00F14FE8"/>
    <w:rsid w:val="00F154F2"/>
    <w:rsid w:val="00F16564"/>
    <w:rsid w:val="00F172A1"/>
    <w:rsid w:val="00F1750F"/>
    <w:rsid w:val="00F17A1E"/>
    <w:rsid w:val="00F20684"/>
    <w:rsid w:val="00F218CC"/>
    <w:rsid w:val="00F21DDF"/>
    <w:rsid w:val="00F2209F"/>
    <w:rsid w:val="00F2433F"/>
    <w:rsid w:val="00F2578B"/>
    <w:rsid w:val="00F30520"/>
    <w:rsid w:val="00F30A89"/>
    <w:rsid w:val="00F31878"/>
    <w:rsid w:val="00F31CF1"/>
    <w:rsid w:val="00F32246"/>
    <w:rsid w:val="00F32283"/>
    <w:rsid w:val="00F32862"/>
    <w:rsid w:val="00F33403"/>
    <w:rsid w:val="00F33960"/>
    <w:rsid w:val="00F33A8B"/>
    <w:rsid w:val="00F3711A"/>
    <w:rsid w:val="00F373DD"/>
    <w:rsid w:val="00F375A3"/>
    <w:rsid w:val="00F37845"/>
    <w:rsid w:val="00F403EC"/>
    <w:rsid w:val="00F404D4"/>
    <w:rsid w:val="00F406F6"/>
    <w:rsid w:val="00F40E5D"/>
    <w:rsid w:val="00F41AA5"/>
    <w:rsid w:val="00F41E31"/>
    <w:rsid w:val="00F42046"/>
    <w:rsid w:val="00F4272F"/>
    <w:rsid w:val="00F4434A"/>
    <w:rsid w:val="00F44CF2"/>
    <w:rsid w:val="00F4549A"/>
    <w:rsid w:val="00F46074"/>
    <w:rsid w:val="00F461ED"/>
    <w:rsid w:val="00F46238"/>
    <w:rsid w:val="00F464E7"/>
    <w:rsid w:val="00F46BFB"/>
    <w:rsid w:val="00F46EEB"/>
    <w:rsid w:val="00F47091"/>
    <w:rsid w:val="00F50C8E"/>
    <w:rsid w:val="00F5175E"/>
    <w:rsid w:val="00F51C26"/>
    <w:rsid w:val="00F5267D"/>
    <w:rsid w:val="00F54CFF"/>
    <w:rsid w:val="00F54DC9"/>
    <w:rsid w:val="00F56B75"/>
    <w:rsid w:val="00F56D21"/>
    <w:rsid w:val="00F57A56"/>
    <w:rsid w:val="00F60D24"/>
    <w:rsid w:val="00F618B1"/>
    <w:rsid w:val="00F62902"/>
    <w:rsid w:val="00F62C71"/>
    <w:rsid w:val="00F6393F"/>
    <w:rsid w:val="00F64D07"/>
    <w:rsid w:val="00F65140"/>
    <w:rsid w:val="00F6583E"/>
    <w:rsid w:val="00F658E7"/>
    <w:rsid w:val="00F6603B"/>
    <w:rsid w:val="00F661C6"/>
    <w:rsid w:val="00F66219"/>
    <w:rsid w:val="00F66EDC"/>
    <w:rsid w:val="00F67D73"/>
    <w:rsid w:val="00F7039F"/>
    <w:rsid w:val="00F70539"/>
    <w:rsid w:val="00F70594"/>
    <w:rsid w:val="00F710EC"/>
    <w:rsid w:val="00F713D2"/>
    <w:rsid w:val="00F7264A"/>
    <w:rsid w:val="00F72C6D"/>
    <w:rsid w:val="00F73C99"/>
    <w:rsid w:val="00F74A39"/>
    <w:rsid w:val="00F7526C"/>
    <w:rsid w:val="00F7667A"/>
    <w:rsid w:val="00F775F5"/>
    <w:rsid w:val="00F77758"/>
    <w:rsid w:val="00F811DC"/>
    <w:rsid w:val="00F813C8"/>
    <w:rsid w:val="00F81DC2"/>
    <w:rsid w:val="00F8291F"/>
    <w:rsid w:val="00F82E64"/>
    <w:rsid w:val="00F832C2"/>
    <w:rsid w:val="00F83956"/>
    <w:rsid w:val="00F845AC"/>
    <w:rsid w:val="00F848F3"/>
    <w:rsid w:val="00F85710"/>
    <w:rsid w:val="00F8683D"/>
    <w:rsid w:val="00F87105"/>
    <w:rsid w:val="00F87B04"/>
    <w:rsid w:val="00F87DF5"/>
    <w:rsid w:val="00F90979"/>
    <w:rsid w:val="00F90E38"/>
    <w:rsid w:val="00F91563"/>
    <w:rsid w:val="00F918A6"/>
    <w:rsid w:val="00F92016"/>
    <w:rsid w:val="00F92B27"/>
    <w:rsid w:val="00F94CEF"/>
    <w:rsid w:val="00F95075"/>
    <w:rsid w:val="00F965DC"/>
    <w:rsid w:val="00F96A60"/>
    <w:rsid w:val="00F96B70"/>
    <w:rsid w:val="00F96E69"/>
    <w:rsid w:val="00F96EC8"/>
    <w:rsid w:val="00FA0225"/>
    <w:rsid w:val="00FA031A"/>
    <w:rsid w:val="00FA0DC4"/>
    <w:rsid w:val="00FA2ADB"/>
    <w:rsid w:val="00FA3570"/>
    <w:rsid w:val="00FA386C"/>
    <w:rsid w:val="00FA39D9"/>
    <w:rsid w:val="00FA4394"/>
    <w:rsid w:val="00FA55E1"/>
    <w:rsid w:val="00FA5B21"/>
    <w:rsid w:val="00FA6860"/>
    <w:rsid w:val="00FA6D69"/>
    <w:rsid w:val="00FA6D94"/>
    <w:rsid w:val="00FA6DF9"/>
    <w:rsid w:val="00FA71B8"/>
    <w:rsid w:val="00FA73A4"/>
    <w:rsid w:val="00FA7676"/>
    <w:rsid w:val="00FB2113"/>
    <w:rsid w:val="00FB2AA5"/>
    <w:rsid w:val="00FB3751"/>
    <w:rsid w:val="00FB3F25"/>
    <w:rsid w:val="00FB43F8"/>
    <w:rsid w:val="00FB44B7"/>
    <w:rsid w:val="00FB45CA"/>
    <w:rsid w:val="00FB536E"/>
    <w:rsid w:val="00FB60AA"/>
    <w:rsid w:val="00FB682E"/>
    <w:rsid w:val="00FB773C"/>
    <w:rsid w:val="00FB7BAC"/>
    <w:rsid w:val="00FC0D04"/>
    <w:rsid w:val="00FC259C"/>
    <w:rsid w:val="00FC280F"/>
    <w:rsid w:val="00FC2A32"/>
    <w:rsid w:val="00FC2C18"/>
    <w:rsid w:val="00FC2F44"/>
    <w:rsid w:val="00FC3645"/>
    <w:rsid w:val="00FC45AB"/>
    <w:rsid w:val="00FC53CF"/>
    <w:rsid w:val="00FC5919"/>
    <w:rsid w:val="00FC60D8"/>
    <w:rsid w:val="00FC68A0"/>
    <w:rsid w:val="00FC6CCB"/>
    <w:rsid w:val="00FC73C1"/>
    <w:rsid w:val="00FD02C6"/>
    <w:rsid w:val="00FD2BA4"/>
    <w:rsid w:val="00FD326F"/>
    <w:rsid w:val="00FD3FEB"/>
    <w:rsid w:val="00FD78E5"/>
    <w:rsid w:val="00FE046F"/>
    <w:rsid w:val="00FE0B2C"/>
    <w:rsid w:val="00FE21A8"/>
    <w:rsid w:val="00FE25D9"/>
    <w:rsid w:val="00FE2EE6"/>
    <w:rsid w:val="00FE3243"/>
    <w:rsid w:val="00FE4014"/>
    <w:rsid w:val="00FE5D74"/>
    <w:rsid w:val="00FE5F08"/>
    <w:rsid w:val="00FE66FF"/>
    <w:rsid w:val="00FE67DD"/>
    <w:rsid w:val="00FE7431"/>
    <w:rsid w:val="00FF08C0"/>
    <w:rsid w:val="00FF0CB2"/>
    <w:rsid w:val="00FF162A"/>
    <w:rsid w:val="00FF1743"/>
    <w:rsid w:val="00FF21DF"/>
    <w:rsid w:val="00FF24D8"/>
    <w:rsid w:val="00FF2DE0"/>
    <w:rsid w:val="00FF30D2"/>
    <w:rsid w:val="00FF453F"/>
    <w:rsid w:val="00FF458B"/>
    <w:rsid w:val="00FF4D96"/>
    <w:rsid w:val="00FF53D0"/>
    <w:rsid w:val="00FF587C"/>
    <w:rsid w:val="00FF6E50"/>
    <w:rsid w:val="00FF6FCB"/>
    <w:rsid w:val="00FF72CC"/>
    <w:rsid w:val="00FF7378"/>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18411"/>
  <w15:docId w15:val="{E048BAA6-C710-4B2B-BFD9-AB5E81ED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BE"/>
    <w:pPr>
      <w:spacing w:line="480" w:lineRule="auto"/>
      <w:ind w:firstLine="567"/>
    </w:pPr>
    <w:rPr>
      <w:sz w:val="24"/>
      <w:szCs w:val="22"/>
      <w:lang w:val="en-US" w:eastAsia="en-US"/>
    </w:rPr>
  </w:style>
  <w:style w:type="paragraph" w:styleId="Heading1">
    <w:name w:val="heading 1"/>
    <w:basedOn w:val="Normal"/>
    <w:next w:val="Normal"/>
    <w:link w:val="Heading1Char"/>
    <w:uiPriority w:val="99"/>
    <w:qFormat/>
    <w:rsid w:val="008C143D"/>
    <w:pPr>
      <w:keepNext/>
      <w:keepLines/>
      <w:spacing w:before="240" w:after="120"/>
      <w:ind w:firstLine="0"/>
      <w:outlineLvl w:val="0"/>
    </w:pPr>
    <w:rPr>
      <w:rFonts w:eastAsia="Times New Roman"/>
      <w:b/>
      <w:bCs/>
      <w:szCs w:val="28"/>
    </w:rPr>
  </w:style>
  <w:style w:type="paragraph" w:styleId="Heading2">
    <w:name w:val="heading 2"/>
    <w:basedOn w:val="Normal"/>
    <w:next w:val="Normal"/>
    <w:link w:val="Heading2Char"/>
    <w:uiPriority w:val="99"/>
    <w:unhideWhenUsed/>
    <w:qFormat/>
    <w:rsid w:val="008C143D"/>
    <w:pPr>
      <w:keepNext/>
      <w:spacing w:before="120" w:after="60"/>
      <w:ind w:firstLine="0"/>
      <w:outlineLvl w:val="1"/>
    </w:pPr>
    <w:rPr>
      <w:rFonts w:eastAsia="Times New Roman"/>
      <w:b/>
      <w:bCs/>
      <w:i/>
      <w:iCs/>
      <w:szCs w:val="28"/>
    </w:rPr>
  </w:style>
  <w:style w:type="paragraph" w:styleId="Heading3">
    <w:name w:val="heading 3"/>
    <w:basedOn w:val="Normal"/>
    <w:next w:val="Normal"/>
    <w:link w:val="Heading3Char"/>
    <w:uiPriority w:val="99"/>
    <w:unhideWhenUsed/>
    <w:qFormat/>
    <w:rsid w:val="00510993"/>
    <w:pPr>
      <w:keepNext/>
      <w:spacing w:before="120" w:after="60"/>
      <w:ind w:firstLine="0"/>
      <w:outlineLvl w:val="2"/>
    </w:pPr>
    <w:rPr>
      <w:rFonts w:eastAsia="Times New Roman"/>
      <w:bCs/>
      <w:i/>
      <w:szCs w:val="26"/>
    </w:rPr>
  </w:style>
  <w:style w:type="paragraph" w:styleId="Heading4">
    <w:name w:val="heading 4"/>
    <w:basedOn w:val="Normal"/>
    <w:next w:val="Normal"/>
    <w:link w:val="Heading4Char"/>
    <w:uiPriority w:val="99"/>
    <w:unhideWhenUsed/>
    <w:qFormat/>
    <w:rsid w:val="00510993"/>
    <w:pPr>
      <w:keepNext/>
      <w:spacing w:before="120" w:after="60"/>
      <w:ind w:firstLine="0"/>
      <w:outlineLvl w:val="3"/>
    </w:pPr>
    <w:rPr>
      <w:rFonts w:eastAsia="Times New Roman"/>
      <w:bCs/>
      <w:szCs w:val="28"/>
    </w:rPr>
  </w:style>
  <w:style w:type="paragraph" w:styleId="Heading5">
    <w:name w:val="heading 5"/>
    <w:basedOn w:val="Normal"/>
    <w:next w:val="Normal"/>
    <w:link w:val="Heading5Char"/>
    <w:uiPriority w:val="99"/>
    <w:qFormat/>
    <w:rsid w:val="00C206B9"/>
    <w:pPr>
      <w:keepNext/>
      <w:ind w:firstLine="340"/>
      <w:outlineLvl w:val="4"/>
    </w:pPr>
    <w:rPr>
      <w:rFonts w:eastAsia="SimSun"/>
      <w:b/>
      <w:bCs/>
      <w:szCs w:val="24"/>
      <w:lang w:eastAsia="de-DE"/>
    </w:rPr>
  </w:style>
  <w:style w:type="paragraph" w:styleId="Heading6">
    <w:name w:val="heading 6"/>
    <w:basedOn w:val="Normal"/>
    <w:next w:val="Normal"/>
    <w:link w:val="Heading6Char"/>
    <w:uiPriority w:val="99"/>
    <w:qFormat/>
    <w:rsid w:val="00C206B9"/>
    <w:pPr>
      <w:keepNext/>
      <w:pageBreakBefore/>
      <w:jc w:val="center"/>
      <w:outlineLvl w:val="5"/>
    </w:pPr>
    <w:rPr>
      <w:rFonts w:eastAsia="SimSun"/>
      <w:b/>
      <w:bCs/>
      <w:sz w:val="20"/>
      <w:szCs w:val="24"/>
      <w:lang w:eastAsia="de-DE"/>
    </w:rPr>
  </w:style>
  <w:style w:type="paragraph" w:styleId="Heading7">
    <w:name w:val="heading 7"/>
    <w:basedOn w:val="Normal"/>
    <w:next w:val="Normal"/>
    <w:link w:val="Heading7Char"/>
    <w:uiPriority w:val="99"/>
    <w:qFormat/>
    <w:rsid w:val="00C206B9"/>
    <w:pPr>
      <w:keepNext/>
      <w:jc w:val="center"/>
      <w:outlineLvl w:val="6"/>
    </w:pPr>
    <w:rPr>
      <w:rFonts w:eastAsia="SimSun"/>
      <w:b/>
      <w:bCs/>
      <w:szCs w:val="24"/>
      <w:lang w:eastAsia="de-DE"/>
    </w:rPr>
  </w:style>
  <w:style w:type="paragraph" w:styleId="Heading8">
    <w:name w:val="heading 8"/>
    <w:basedOn w:val="Normal"/>
    <w:next w:val="Normal"/>
    <w:link w:val="Heading8Char"/>
    <w:uiPriority w:val="99"/>
    <w:qFormat/>
    <w:rsid w:val="00C206B9"/>
    <w:pPr>
      <w:keepNext/>
      <w:ind w:left="113" w:right="113"/>
      <w:jc w:val="center"/>
      <w:outlineLvl w:val="7"/>
    </w:pPr>
    <w:rPr>
      <w:rFonts w:eastAsia="SimSun"/>
      <w:b/>
      <w:bCs/>
      <w:szCs w:val="24"/>
      <w:lang w:val="en-GB" w:eastAsia="de-DE"/>
    </w:rPr>
  </w:style>
  <w:style w:type="paragraph" w:styleId="Heading9">
    <w:name w:val="heading 9"/>
    <w:basedOn w:val="Normal"/>
    <w:next w:val="Normal"/>
    <w:link w:val="Heading9Char"/>
    <w:uiPriority w:val="99"/>
    <w:qFormat/>
    <w:rsid w:val="00C206B9"/>
    <w:pPr>
      <w:keepNext/>
      <w:ind w:left="113" w:right="113"/>
      <w:outlineLvl w:val="8"/>
    </w:pPr>
    <w:rPr>
      <w:rFonts w:eastAsia="SimSun"/>
      <w:b/>
      <w:bCs/>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43D"/>
    <w:rPr>
      <w:rFonts w:eastAsia="Times New Roman"/>
      <w:b/>
      <w:bCs/>
      <w:sz w:val="24"/>
      <w:szCs w:val="28"/>
      <w:lang w:val="en-US" w:eastAsia="en-US"/>
    </w:rPr>
  </w:style>
  <w:style w:type="character" w:customStyle="1" w:styleId="Heading2Char">
    <w:name w:val="Heading 2 Char"/>
    <w:basedOn w:val="DefaultParagraphFont"/>
    <w:link w:val="Heading2"/>
    <w:uiPriority w:val="99"/>
    <w:rsid w:val="008C143D"/>
    <w:rPr>
      <w:rFonts w:eastAsia="Times New Roman"/>
      <w:b/>
      <w:bCs/>
      <w:i/>
      <w:iCs/>
      <w:sz w:val="24"/>
      <w:szCs w:val="28"/>
      <w:lang w:val="en-US" w:eastAsia="en-US"/>
    </w:rPr>
  </w:style>
  <w:style w:type="character" w:customStyle="1" w:styleId="Heading3Char">
    <w:name w:val="Heading 3 Char"/>
    <w:basedOn w:val="DefaultParagraphFont"/>
    <w:link w:val="Heading3"/>
    <w:uiPriority w:val="99"/>
    <w:rsid w:val="00510993"/>
    <w:rPr>
      <w:rFonts w:eastAsia="Times New Roman"/>
      <w:bCs/>
      <w:i/>
      <w:sz w:val="22"/>
      <w:szCs w:val="26"/>
      <w:lang w:eastAsia="en-US"/>
    </w:rPr>
  </w:style>
  <w:style w:type="character" w:customStyle="1" w:styleId="Heading4Char">
    <w:name w:val="Heading 4 Char"/>
    <w:basedOn w:val="DefaultParagraphFont"/>
    <w:link w:val="Heading4"/>
    <w:uiPriority w:val="99"/>
    <w:rsid w:val="00510993"/>
    <w:rPr>
      <w:rFonts w:eastAsia="Times New Roman"/>
      <w:bCs/>
      <w:sz w:val="22"/>
      <w:szCs w:val="28"/>
      <w:lang w:eastAsia="en-US"/>
    </w:rPr>
  </w:style>
  <w:style w:type="character" w:customStyle="1" w:styleId="Heading5Char">
    <w:name w:val="Heading 5 Char"/>
    <w:basedOn w:val="DefaultParagraphFont"/>
    <w:link w:val="Heading5"/>
    <w:uiPriority w:val="99"/>
    <w:rsid w:val="00C206B9"/>
    <w:rPr>
      <w:rFonts w:eastAsia="SimSun"/>
      <w:b/>
      <w:bCs/>
      <w:sz w:val="24"/>
      <w:szCs w:val="24"/>
    </w:rPr>
  </w:style>
  <w:style w:type="character" w:customStyle="1" w:styleId="Heading6Char">
    <w:name w:val="Heading 6 Char"/>
    <w:basedOn w:val="DefaultParagraphFont"/>
    <w:link w:val="Heading6"/>
    <w:uiPriority w:val="99"/>
    <w:rsid w:val="00C206B9"/>
    <w:rPr>
      <w:rFonts w:eastAsia="SimSun"/>
      <w:b/>
      <w:bCs/>
      <w:szCs w:val="24"/>
    </w:rPr>
  </w:style>
  <w:style w:type="character" w:customStyle="1" w:styleId="Heading7Char">
    <w:name w:val="Heading 7 Char"/>
    <w:basedOn w:val="DefaultParagraphFont"/>
    <w:link w:val="Heading7"/>
    <w:uiPriority w:val="99"/>
    <w:rsid w:val="00C206B9"/>
    <w:rPr>
      <w:rFonts w:eastAsia="SimSun"/>
      <w:b/>
      <w:bCs/>
      <w:sz w:val="24"/>
      <w:szCs w:val="24"/>
    </w:rPr>
  </w:style>
  <w:style w:type="character" w:customStyle="1" w:styleId="Heading8Char">
    <w:name w:val="Heading 8 Char"/>
    <w:basedOn w:val="DefaultParagraphFont"/>
    <w:link w:val="Heading8"/>
    <w:uiPriority w:val="99"/>
    <w:rsid w:val="00C206B9"/>
    <w:rPr>
      <w:rFonts w:eastAsia="SimSun"/>
      <w:b/>
      <w:bCs/>
      <w:sz w:val="24"/>
      <w:szCs w:val="24"/>
      <w:lang w:val="en-GB"/>
    </w:rPr>
  </w:style>
  <w:style w:type="character" w:customStyle="1" w:styleId="Heading9Char">
    <w:name w:val="Heading 9 Char"/>
    <w:basedOn w:val="DefaultParagraphFont"/>
    <w:link w:val="Heading9"/>
    <w:uiPriority w:val="99"/>
    <w:rsid w:val="00C206B9"/>
    <w:rPr>
      <w:rFonts w:eastAsia="SimSun"/>
      <w:b/>
      <w:bCs/>
      <w:sz w:val="24"/>
      <w:szCs w:val="24"/>
      <w:lang w:val="en-GB"/>
    </w:rPr>
  </w:style>
  <w:style w:type="table" w:styleId="TableGrid">
    <w:name w:val="Table Grid"/>
    <w:basedOn w:val="TableNormal"/>
    <w:uiPriority w:val="99"/>
    <w:rsid w:val="001357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unhideWhenUsed/>
    <w:rsid w:val="00FF4D96"/>
    <w:rPr>
      <w:b/>
    </w:rPr>
  </w:style>
  <w:style w:type="paragraph" w:styleId="TOC2">
    <w:name w:val="toc 2"/>
    <w:basedOn w:val="Normal"/>
    <w:next w:val="Normal"/>
    <w:autoRedefine/>
    <w:uiPriority w:val="99"/>
    <w:unhideWhenUsed/>
    <w:rsid w:val="001357A4"/>
    <w:pPr>
      <w:ind w:left="220"/>
    </w:pPr>
  </w:style>
  <w:style w:type="character" w:styleId="Hyperlink">
    <w:name w:val="Hyperlink"/>
    <w:basedOn w:val="DefaultParagraphFont"/>
    <w:uiPriority w:val="99"/>
    <w:unhideWhenUsed/>
    <w:rsid w:val="00734DC3"/>
    <w:rPr>
      <w:color w:val="808080"/>
      <w:u w:val="single"/>
    </w:rPr>
  </w:style>
  <w:style w:type="paragraph" w:styleId="Header">
    <w:name w:val="header"/>
    <w:basedOn w:val="Normal"/>
    <w:link w:val="HeaderChar"/>
    <w:uiPriority w:val="99"/>
    <w:semiHidden/>
    <w:unhideWhenUsed/>
    <w:rsid w:val="00FF4D96"/>
    <w:pPr>
      <w:tabs>
        <w:tab w:val="center" w:pos="4536"/>
        <w:tab w:val="right" w:pos="9072"/>
      </w:tabs>
    </w:pPr>
  </w:style>
  <w:style w:type="character" w:customStyle="1" w:styleId="HeaderChar">
    <w:name w:val="Header Char"/>
    <w:basedOn w:val="DefaultParagraphFont"/>
    <w:link w:val="Header"/>
    <w:uiPriority w:val="99"/>
    <w:semiHidden/>
    <w:rsid w:val="00FF4D96"/>
    <w:rPr>
      <w:sz w:val="22"/>
      <w:szCs w:val="22"/>
      <w:lang w:eastAsia="en-US"/>
    </w:rPr>
  </w:style>
  <w:style w:type="paragraph" w:styleId="Footer">
    <w:name w:val="footer"/>
    <w:basedOn w:val="Normal"/>
    <w:link w:val="FooterChar"/>
    <w:uiPriority w:val="99"/>
    <w:unhideWhenUsed/>
    <w:rsid w:val="008D630D"/>
    <w:pPr>
      <w:tabs>
        <w:tab w:val="center" w:pos="4536"/>
        <w:tab w:val="right" w:pos="9072"/>
      </w:tabs>
      <w:spacing w:before="120" w:line="240" w:lineRule="auto"/>
      <w:ind w:firstLine="0"/>
    </w:pPr>
  </w:style>
  <w:style w:type="character" w:customStyle="1" w:styleId="FooterChar">
    <w:name w:val="Footer Char"/>
    <w:basedOn w:val="DefaultParagraphFont"/>
    <w:link w:val="Footer"/>
    <w:uiPriority w:val="99"/>
    <w:rsid w:val="008D630D"/>
    <w:rPr>
      <w:sz w:val="24"/>
      <w:szCs w:val="22"/>
      <w:lang w:val="en-US" w:eastAsia="en-US"/>
    </w:rPr>
  </w:style>
  <w:style w:type="paragraph" w:styleId="Title">
    <w:name w:val="Title"/>
    <w:basedOn w:val="Normal"/>
    <w:next w:val="Normal"/>
    <w:link w:val="TitleChar"/>
    <w:uiPriority w:val="99"/>
    <w:qFormat/>
    <w:rsid w:val="00664A54"/>
    <w:pPr>
      <w:pBdr>
        <w:bottom w:val="single" w:sz="4" w:space="1" w:color="auto"/>
      </w:pBdr>
      <w:jc w:val="center"/>
      <w:outlineLvl w:val="0"/>
    </w:pPr>
    <w:rPr>
      <w:rFonts w:eastAsia="Times New Roman"/>
      <w:b/>
      <w:bCs/>
      <w:kern w:val="28"/>
      <w:szCs w:val="32"/>
    </w:rPr>
  </w:style>
  <w:style w:type="character" w:customStyle="1" w:styleId="TitleChar">
    <w:name w:val="Title Char"/>
    <w:basedOn w:val="DefaultParagraphFont"/>
    <w:link w:val="Title"/>
    <w:uiPriority w:val="99"/>
    <w:rsid w:val="00664A54"/>
    <w:rPr>
      <w:rFonts w:eastAsia="Times New Roman"/>
      <w:b/>
      <w:bCs/>
      <w:kern w:val="28"/>
      <w:sz w:val="22"/>
      <w:szCs w:val="32"/>
      <w:lang w:eastAsia="en-US"/>
    </w:rPr>
  </w:style>
  <w:style w:type="paragraph" w:styleId="FootnoteText">
    <w:name w:val="footnote text"/>
    <w:basedOn w:val="Normal"/>
    <w:link w:val="FootnoteTextChar"/>
    <w:uiPriority w:val="99"/>
    <w:unhideWhenUsed/>
    <w:rsid w:val="008E3A18"/>
    <w:pPr>
      <w:spacing w:line="240" w:lineRule="auto"/>
      <w:ind w:left="284" w:hanging="284"/>
    </w:pPr>
    <w:rPr>
      <w:sz w:val="20"/>
      <w:szCs w:val="20"/>
    </w:rPr>
  </w:style>
  <w:style w:type="character" w:customStyle="1" w:styleId="FootnoteTextChar">
    <w:name w:val="Footnote Text Char"/>
    <w:basedOn w:val="DefaultParagraphFont"/>
    <w:link w:val="FootnoteText"/>
    <w:uiPriority w:val="99"/>
    <w:rsid w:val="008E3A18"/>
    <w:rPr>
      <w:lang w:val="en-US" w:eastAsia="en-US"/>
    </w:rPr>
  </w:style>
  <w:style w:type="character" w:styleId="FootnoteReference">
    <w:name w:val="footnote reference"/>
    <w:basedOn w:val="DefaultParagraphFont"/>
    <w:uiPriority w:val="99"/>
    <w:semiHidden/>
    <w:unhideWhenUsed/>
    <w:rsid w:val="00AE0142"/>
    <w:rPr>
      <w:vertAlign w:val="superscript"/>
    </w:rPr>
  </w:style>
  <w:style w:type="paragraph" w:styleId="TOC3">
    <w:name w:val="toc 3"/>
    <w:basedOn w:val="Normal"/>
    <w:next w:val="Normal"/>
    <w:autoRedefine/>
    <w:uiPriority w:val="99"/>
    <w:unhideWhenUsed/>
    <w:rsid w:val="00B97AE9"/>
    <w:pPr>
      <w:ind w:left="440"/>
    </w:pPr>
    <w:rPr>
      <w:i/>
    </w:rPr>
  </w:style>
  <w:style w:type="character" w:styleId="PageNumber">
    <w:name w:val="page number"/>
    <w:basedOn w:val="DefaultParagraphFont"/>
    <w:uiPriority w:val="99"/>
    <w:semiHidden/>
    <w:rsid w:val="00C206B9"/>
  </w:style>
  <w:style w:type="paragraph" w:styleId="BodyText">
    <w:name w:val="Body Text"/>
    <w:basedOn w:val="Normal"/>
    <w:link w:val="BodyTextChar"/>
    <w:uiPriority w:val="99"/>
    <w:semiHidden/>
    <w:rsid w:val="00C206B9"/>
    <w:rPr>
      <w:rFonts w:eastAsia="SimSun" w:cs="Arial"/>
      <w:sz w:val="20"/>
      <w:szCs w:val="24"/>
      <w:lang w:val="en-GB" w:eastAsia="de-DE"/>
    </w:rPr>
  </w:style>
  <w:style w:type="character" w:customStyle="1" w:styleId="BodyTextChar">
    <w:name w:val="Body Text Char"/>
    <w:basedOn w:val="DefaultParagraphFont"/>
    <w:link w:val="BodyText"/>
    <w:uiPriority w:val="99"/>
    <w:semiHidden/>
    <w:rsid w:val="00C206B9"/>
    <w:rPr>
      <w:rFonts w:eastAsia="SimSun" w:cs="Arial"/>
      <w:szCs w:val="24"/>
      <w:lang w:val="en-GB"/>
    </w:rPr>
  </w:style>
  <w:style w:type="character" w:customStyle="1" w:styleId="BodyTextIndentChar">
    <w:name w:val="Body Text Indent Char"/>
    <w:basedOn w:val="DefaultParagraphFont"/>
    <w:link w:val="BodyTextIndent"/>
    <w:uiPriority w:val="99"/>
    <w:semiHidden/>
    <w:rsid w:val="00C206B9"/>
    <w:rPr>
      <w:rFonts w:eastAsia="SimSun" w:cs="Arial"/>
      <w:sz w:val="24"/>
      <w:szCs w:val="24"/>
    </w:rPr>
  </w:style>
  <w:style w:type="paragraph" w:styleId="BodyTextIndent">
    <w:name w:val="Body Text Indent"/>
    <w:basedOn w:val="Normal"/>
    <w:link w:val="BodyTextIndentChar"/>
    <w:uiPriority w:val="99"/>
    <w:semiHidden/>
    <w:rsid w:val="00C206B9"/>
    <w:pPr>
      <w:ind w:left="900" w:firstLine="340"/>
    </w:pPr>
    <w:rPr>
      <w:rFonts w:eastAsia="SimSun" w:cs="Arial"/>
      <w:szCs w:val="24"/>
      <w:lang w:eastAsia="de-DE"/>
    </w:rPr>
  </w:style>
  <w:style w:type="paragraph" w:styleId="BodyText2">
    <w:name w:val="Body Text 2"/>
    <w:basedOn w:val="Normal"/>
    <w:link w:val="BodyText2Char"/>
    <w:uiPriority w:val="99"/>
    <w:semiHidden/>
    <w:rsid w:val="00C206B9"/>
    <w:rPr>
      <w:rFonts w:eastAsia="SimSun"/>
      <w:bCs/>
      <w:szCs w:val="24"/>
      <w:lang w:eastAsia="de-DE"/>
    </w:rPr>
  </w:style>
  <w:style w:type="character" w:customStyle="1" w:styleId="BodyText2Char">
    <w:name w:val="Body Text 2 Char"/>
    <w:basedOn w:val="DefaultParagraphFont"/>
    <w:link w:val="BodyText2"/>
    <w:uiPriority w:val="99"/>
    <w:semiHidden/>
    <w:rsid w:val="00C206B9"/>
    <w:rPr>
      <w:rFonts w:eastAsia="SimSun"/>
      <w:bCs/>
      <w:sz w:val="24"/>
      <w:szCs w:val="24"/>
    </w:rPr>
  </w:style>
  <w:style w:type="character" w:customStyle="1" w:styleId="BodyTextIndent2Char">
    <w:name w:val="Body Text Indent 2 Char"/>
    <w:basedOn w:val="DefaultParagraphFont"/>
    <w:link w:val="BodyTextIndent2"/>
    <w:uiPriority w:val="99"/>
    <w:semiHidden/>
    <w:rsid w:val="00C206B9"/>
    <w:rPr>
      <w:rFonts w:eastAsia="SimSun"/>
      <w:sz w:val="24"/>
      <w:szCs w:val="24"/>
      <w:lang w:val="en-GB"/>
    </w:rPr>
  </w:style>
  <w:style w:type="paragraph" w:styleId="BodyTextIndent2">
    <w:name w:val="Body Text Indent 2"/>
    <w:basedOn w:val="Normal"/>
    <w:link w:val="BodyTextIndent2Char"/>
    <w:uiPriority w:val="99"/>
    <w:semiHidden/>
    <w:rsid w:val="00C206B9"/>
    <w:pPr>
      <w:ind w:firstLine="340"/>
    </w:pPr>
    <w:rPr>
      <w:rFonts w:eastAsia="SimSun"/>
      <w:szCs w:val="24"/>
      <w:lang w:val="en-GB" w:eastAsia="de-DE"/>
    </w:rPr>
  </w:style>
  <w:style w:type="character" w:customStyle="1" w:styleId="BodyTextIndent3Char">
    <w:name w:val="Body Text Indent 3 Char"/>
    <w:basedOn w:val="DefaultParagraphFont"/>
    <w:link w:val="BodyTextIndent3"/>
    <w:uiPriority w:val="99"/>
    <w:semiHidden/>
    <w:rsid w:val="00C206B9"/>
    <w:rPr>
      <w:rFonts w:eastAsia="SimSun"/>
      <w:sz w:val="24"/>
      <w:szCs w:val="24"/>
      <w:lang w:val="en-GB"/>
    </w:rPr>
  </w:style>
  <w:style w:type="paragraph" w:styleId="BodyTextIndent3">
    <w:name w:val="Body Text Indent 3"/>
    <w:basedOn w:val="Normal"/>
    <w:link w:val="BodyTextIndent3Char"/>
    <w:uiPriority w:val="99"/>
    <w:semiHidden/>
    <w:rsid w:val="00C206B9"/>
    <w:pPr>
      <w:ind w:left="360"/>
    </w:pPr>
    <w:rPr>
      <w:rFonts w:eastAsia="SimSun"/>
      <w:szCs w:val="24"/>
      <w:lang w:val="en-GB" w:eastAsia="de-DE"/>
    </w:rPr>
  </w:style>
  <w:style w:type="character" w:customStyle="1" w:styleId="BalloonTextChar">
    <w:name w:val="Balloon Text Char"/>
    <w:basedOn w:val="DefaultParagraphFont"/>
    <w:link w:val="BalloonText"/>
    <w:uiPriority w:val="99"/>
    <w:semiHidden/>
    <w:rsid w:val="00C206B9"/>
    <w:rPr>
      <w:rFonts w:ascii="Tahoma" w:eastAsia="SimSun" w:hAnsi="Tahoma"/>
      <w:sz w:val="16"/>
      <w:szCs w:val="16"/>
    </w:rPr>
  </w:style>
  <w:style w:type="paragraph" w:styleId="BalloonText">
    <w:name w:val="Balloon Text"/>
    <w:basedOn w:val="Normal"/>
    <w:link w:val="BalloonTextChar"/>
    <w:uiPriority w:val="99"/>
    <w:semiHidden/>
    <w:rsid w:val="00C206B9"/>
    <w:pPr>
      <w:ind w:firstLine="340"/>
    </w:pPr>
    <w:rPr>
      <w:rFonts w:ascii="Tahoma" w:eastAsia="SimSun" w:hAnsi="Tahoma"/>
      <w:sz w:val="16"/>
      <w:szCs w:val="16"/>
      <w:lang w:eastAsia="de-DE"/>
    </w:rPr>
  </w:style>
  <w:style w:type="character" w:customStyle="1" w:styleId="BodyText3Char">
    <w:name w:val="Body Text 3 Char"/>
    <w:basedOn w:val="DefaultParagraphFont"/>
    <w:link w:val="BodyText3"/>
    <w:uiPriority w:val="99"/>
    <w:semiHidden/>
    <w:rsid w:val="00C206B9"/>
    <w:rPr>
      <w:rFonts w:eastAsia="SimSun"/>
      <w:sz w:val="24"/>
      <w:szCs w:val="24"/>
    </w:rPr>
  </w:style>
  <w:style w:type="paragraph" w:styleId="BodyText3">
    <w:name w:val="Body Text 3"/>
    <w:basedOn w:val="Normal"/>
    <w:link w:val="BodyText3Char"/>
    <w:uiPriority w:val="99"/>
    <w:semiHidden/>
    <w:rsid w:val="00C206B9"/>
    <w:pPr>
      <w:spacing w:after="120"/>
      <w:ind w:left="539" w:hanging="539"/>
    </w:pPr>
    <w:rPr>
      <w:rFonts w:eastAsia="SimSun"/>
      <w:szCs w:val="24"/>
      <w:lang w:eastAsia="de-DE"/>
    </w:rPr>
  </w:style>
  <w:style w:type="paragraph" w:styleId="Caption">
    <w:name w:val="caption"/>
    <w:basedOn w:val="Normal"/>
    <w:next w:val="Normal"/>
    <w:qFormat/>
    <w:rsid w:val="0053686D"/>
    <w:pPr>
      <w:pageBreakBefore/>
      <w:spacing w:line="240" w:lineRule="auto"/>
      <w:ind w:firstLine="0"/>
      <w:jc w:val="center"/>
    </w:pPr>
    <w:rPr>
      <w:rFonts w:eastAsia="SimSun"/>
      <w:b/>
      <w:bCs/>
      <w:szCs w:val="20"/>
      <w:lang w:eastAsia="de-DE"/>
    </w:rPr>
  </w:style>
  <w:style w:type="paragraph" w:customStyle="1" w:styleId="Default">
    <w:name w:val="Default"/>
    <w:uiPriority w:val="99"/>
    <w:rsid w:val="00C206B9"/>
    <w:pPr>
      <w:autoSpaceDE w:val="0"/>
      <w:autoSpaceDN w:val="0"/>
      <w:adjustRightInd w:val="0"/>
    </w:pPr>
    <w:rPr>
      <w:rFonts w:eastAsia="SimSun"/>
      <w:color w:val="000000"/>
      <w:sz w:val="24"/>
      <w:szCs w:val="24"/>
    </w:rPr>
  </w:style>
  <w:style w:type="character" w:customStyle="1" w:styleId="CommentTextChar">
    <w:name w:val="Comment Text Char"/>
    <w:basedOn w:val="DefaultParagraphFont"/>
    <w:link w:val="CommentText"/>
    <w:uiPriority w:val="99"/>
    <w:semiHidden/>
    <w:rsid w:val="00C206B9"/>
    <w:rPr>
      <w:rFonts w:eastAsia="SimSun"/>
    </w:rPr>
  </w:style>
  <w:style w:type="paragraph" w:styleId="CommentText">
    <w:name w:val="annotation text"/>
    <w:basedOn w:val="Normal"/>
    <w:link w:val="CommentTextChar"/>
    <w:uiPriority w:val="99"/>
    <w:semiHidden/>
    <w:rsid w:val="00C206B9"/>
    <w:pPr>
      <w:ind w:firstLine="340"/>
    </w:pPr>
    <w:rPr>
      <w:rFonts w:eastAsia="SimSun"/>
      <w:sz w:val="20"/>
      <w:szCs w:val="20"/>
      <w:lang w:eastAsia="de-DE"/>
    </w:rPr>
  </w:style>
  <w:style w:type="character" w:customStyle="1" w:styleId="CommentSubjectChar">
    <w:name w:val="Comment Subject Char"/>
    <w:basedOn w:val="CommentTextChar"/>
    <w:link w:val="CommentSubject"/>
    <w:uiPriority w:val="99"/>
    <w:semiHidden/>
    <w:rsid w:val="00C206B9"/>
    <w:rPr>
      <w:rFonts w:eastAsia="SimSun"/>
      <w:b/>
      <w:bCs/>
    </w:rPr>
  </w:style>
  <w:style w:type="paragraph" w:styleId="CommentSubject">
    <w:name w:val="annotation subject"/>
    <w:basedOn w:val="CommentText"/>
    <w:next w:val="CommentText"/>
    <w:link w:val="CommentSubjectChar"/>
    <w:uiPriority w:val="99"/>
    <w:semiHidden/>
    <w:rsid w:val="00C206B9"/>
    <w:rPr>
      <w:b/>
      <w:bCs/>
    </w:rPr>
  </w:style>
  <w:style w:type="paragraph" w:customStyle="1" w:styleId="Table-FigureHeading">
    <w:name w:val="_ Table-Figure Heading"/>
    <w:basedOn w:val="Normal"/>
    <w:uiPriority w:val="99"/>
    <w:rsid w:val="00AF5536"/>
    <w:pPr>
      <w:spacing w:line="240" w:lineRule="auto"/>
      <w:ind w:firstLine="0"/>
      <w:jc w:val="center"/>
    </w:pPr>
    <w:rPr>
      <w:b/>
      <w:bCs/>
    </w:rPr>
  </w:style>
  <w:style w:type="paragraph" w:customStyle="1" w:styleId="References">
    <w:name w:val="_ References"/>
    <w:basedOn w:val="Normal"/>
    <w:rsid w:val="00357BFA"/>
    <w:pPr>
      <w:spacing w:after="120" w:line="240" w:lineRule="auto"/>
      <w:ind w:left="567" w:hanging="567"/>
    </w:pPr>
    <w:rPr>
      <w:rFonts w:eastAsia="SimSun"/>
      <w:szCs w:val="24"/>
      <w:lang w:eastAsia="de-DE"/>
    </w:rPr>
  </w:style>
  <w:style w:type="paragraph" w:customStyle="1" w:styleId="TitlePage">
    <w:name w:val="_ Title Page"/>
    <w:basedOn w:val="Normal"/>
    <w:link w:val="TitlePageZchn"/>
    <w:uiPriority w:val="99"/>
    <w:rsid w:val="00D568FF"/>
    <w:pPr>
      <w:spacing w:line="240" w:lineRule="auto"/>
      <w:ind w:firstLine="0"/>
      <w:jc w:val="center"/>
    </w:pPr>
    <w:rPr>
      <w:rFonts w:eastAsia="SimSun"/>
      <w:iCs/>
      <w:szCs w:val="24"/>
      <w:lang w:eastAsia="de-DE"/>
    </w:rPr>
  </w:style>
  <w:style w:type="character" w:customStyle="1" w:styleId="TitlePageZchn">
    <w:name w:val="_ Title Page Zchn"/>
    <w:basedOn w:val="DefaultParagraphFont"/>
    <w:link w:val="TitlePage"/>
    <w:uiPriority w:val="99"/>
    <w:rsid w:val="00D568FF"/>
    <w:rPr>
      <w:rFonts w:eastAsia="SimSun"/>
      <w:iCs/>
      <w:sz w:val="24"/>
      <w:szCs w:val="24"/>
      <w:lang w:val="en-US"/>
    </w:rPr>
  </w:style>
  <w:style w:type="paragraph" w:customStyle="1" w:styleId="Table-FigureDescription">
    <w:name w:val="_ Table-Figure Description"/>
    <w:basedOn w:val="Normal"/>
    <w:link w:val="Table-FigureDescriptionZchn"/>
    <w:uiPriority w:val="99"/>
    <w:rsid w:val="00C91A36"/>
    <w:pPr>
      <w:spacing w:line="240" w:lineRule="auto"/>
      <w:ind w:firstLine="0"/>
    </w:pPr>
    <w:rPr>
      <w:sz w:val="20"/>
    </w:rPr>
  </w:style>
  <w:style w:type="character" w:customStyle="1" w:styleId="Table-FigureDescriptionZchn">
    <w:name w:val="_ Table-Figure Description Zchn"/>
    <w:basedOn w:val="DefaultParagraphFont"/>
    <w:link w:val="Table-FigureDescription"/>
    <w:uiPriority w:val="99"/>
    <w:rsid w:val="00C96BC7"/>
    <w:rPr>
      <w:szCs w:val="22"/>
      <w:lang w:val="en-US" w:eastAsia="en-US"/>
    </w:rPr>
  </w:style>
  <w:style w:type="paragraph" w:customStyle="1" w:styleId="Table">
    <w:name w:val="_ Table"/>
    <w:basedOn w:val="Normal"/>
    <w:uiPriority w:val="99"/>
    <w:rsid w:val="00357BFA"/>
    <w:pPr>
      <w:spacing w:line="240" w:lineRule="auto"/>
      <w:ind w:firstLine="0"/>
    </w:pPr>
    <w:rPr>
      <w:bCs/>
      <w:sz w:val="20"/>
    </w:rPr>
  </w:style>
  <w:style w:type="paragraph" w:customStyle="1" w:styleId="Figure">
    <w:name w:val="_ Figure"/>
    <w:basedOn w:val="Normal"/>
    <w:uiPriority w:val="99"/>
    <w:rsid w:val="00331516"/>
    <w:pPr>
      <w:spacing w:line="240" w:lineRule="auto"/>
      <w:ind w:firstLine="0"/>
      <w:jc w:val="center"/>
    </w:pPr>
  </w:style>
  <w:style w:type="paragraph" w:customStyle="1" w:styleId="Abstract">
    <w:name w:val="_ Abstract"/>
    <w:basedOn w:val="TitlePage"/>
    <w:link w:val="AbstractZchn"/>
    <w:uiPriority w:val="99"/>
    <w:qFormat/>
    <w:rsid w:val="00510993"/>
    <w:pPr>
      <w:jc w:val="both"/>
    </w:pPr>
  </w:style>
  <w:style w:type="character" w:customStyle="1" w:styleId="AbstractZchn">
    <w:name w:val="_ Abstract Zchn"/>
    <w:basedOn w:val="TitlePageZchn"/>
    <w:link w:val="Abstract"/>
    <w:uiPriority w:val="99"/>
    <w:rsid w:val="00510993"/>
    <w:rPr>
      <w:rFonts w:eastAsia="SimSun"/>
      <w:iCs/>
      <w:sz w:val="24"/>
      <w:szCs w:val="24"/>
      <w:lang w:val="en-US"/>
    </w:rPr>
  </w:style>
  <w:style w:type="paragraph" w:customStyle="1" w:styleId="Acknowledgements">
    <w:name w:val="_ Acknowledgements"/>
    <w:basedOn w:val="TitlePage"/>
    <w:link w:val="AcknowledgementsZchn"/>
    <w:uiPriority w:val="99"/>
    <w:qFormat/>
    <w:rsid w:val="00357BFA"/>
    <w:pPr>
      <w:pBdr>
        <w:top w:val="single" w:sz="4" w:space="1" w:color="C0C0C0"/>
      </w:pBdr>
      <w:jc w:val="both"/>
    </w:pPr>
    <w:rPr>
      <w:szCs w:val="20"/>
    </w:rPr>
  </w:style>
  <w:style w:type="character" w:customStyle="1" w:styleId="AcknowledgementsZchn">
    <w:name w:val="_ Acknowledgements Zchn"/>
    <w:basedOn w:val="TitlePageZchn"/>
    <w:link w:val="Acknowledgements"/>
    <w:uiPriority w:val="99"/>
    <w:rsid w:val="00357BFA"/>
    <w:rPr>
      <w:rFonts w:eastAsia="SimSun"/>
      <w:iCs/>
      <w:sz w:val="24"/>
      <w:szCs w:val="24"/>
      <w:lang w:val="en-US"/>
    </w:rPr>
  </w:style>
  <w:style w:type="paragraph" w:customStyle="1" w:styleId="JEL-Keywords">
    <w:name w:val="_ JEL-Keywords"/>
    <w:basedOn w:val="TitlePage"/>
    <w:link w:val="JEL-KeywordsZchn"/>
    <w:uiPriority w:val="99"/>
    <w:qFormat/>
    <w:rsid w:val="00357BFA"/>
    <w:pPr>
      <w:jc w:val="left"/>
    </w:pPr>
    <w:rPr>
      <w:bCs/>
    </w:rPr>
  </w:style>
  <w:style w:type="character" w:customStyle="1" w:styleId="JEL-KeywordsZchn">
    <w:name w:val="_ JEL-Keywords Zchn"/>
    <w:basedOn w:val="TitlePageZchn"/>
    <w:link w:val="JEL-Keywords"/>
    <w:uiPriority w:val="99"/>
    <w:rsid w:val="00357BFA"/>
    <w:rPr>
      <w:rFonts w:eastAsia="SimSun"/>
      <w:bCs/>
      <w:iCs/>
      <w:sz w:val="24"/>
      <w:szCs w:val="24"/>
      <w:lang w:val="en-US"/>
    </w:rPr>
  </w:style>
  <w:style w:type="paragraph" w:customStyle="1" w:styleId="Table-FigureInsert">
    <w:name w:val="_ Table-Figure Insert"/>
    <w:basedOn w:val="Normal"/>
    <w:link w:val="Table-FigureInsertZchn"/>
    <w:uiPriority w:val="99"/>
    <w:qFormat/>
    <w:rsid w:val="007B285F"/>
    <w:pPr>
      <w:spacing w:before="120" w:after="120"/>
      <w:jc w:val="center"/>
    </w:pPr>
  </w:style>
  <w:style w:type="character" w:customStyle="1" w:styleId="Table-FigureInsertZchn">
    <w:name w:val="_ Table-Figure Insert Zchn"/>
    <w:basedOn w:val="DefaultParagraphFont"/>
    <w:link w:val="Table-FigureInsert"/>
    <w:uiPriority w:val="99"/>
    <w:rsid w:val="007B285F"/>
    <w:rPr>
      <w:sz w:val="24"/>
      <w:szCs w:val="22"/>
      <w:lang w:val="en-US" w:eastAsia="en-US"/>
    </w:rPr>
  </w:style>
  <w:style w:type="paragraph" w:customStyle="1" w:styleId="Table-FigurePanelHeading">
    <w:name w:val="_ Table-Figure Panel Heading"/>
    <w:basedOn w:val="Table-FigureDescription"/>
    <w:link w:val="Table-FigurePanelHeadingZchn"/>
    <w:uiPriority w:val="99"/>
    <w:qFormat/>
    <w:rsid w:val="00C96BC7"/>
    <w:rPr>
      <w:i/>
      <w:sz w:val="24"/>
    </w:rPr>
  </w:style>
  <w:style w:type="character" w:customStyle="1" w:styleId="Table-FigurePanelHeadingZchn">
    <w:name w:val="_ Table-Figure Panel Heading Zchn"/>
    <w:basedOn w:val="Table-FigureDescriptionZchn"/>
    <w:link w:val="Table-FigurePanelHeading"/>
    <w:uiPriority w:val="99"/>
    <w:rsid w:val="00C96BC7"/>
    <w:rPr>
      <w:i/>
      <w:sz w:val="24"/>
      <w:szCs w:val="22"/>
      <w:lang w:val="en-US" w:eastAsia="en-US"/>
    </w:rPr>
  </w:style>
  <w:style w:type="paragraph" w:customStyle="1" w:styleId="Formula">
    <w:name w:val="_ Formula"/>
    <w:basedOn w:val="Table-FigureInsert"/>
    <w:link w:val="FormulaZchn"/>
    <w:uiPriority w:val="99"/>
    <w:qFormat/>
    <w:rsid w:val="001941F9"/>
    <w:pPr>
      <w:ind w:left="1701" w:hanging="1134"/>
      <w:contextualSpacing/>
      <w:jc w:val="left"/>
    </w:pPr>
  </w:style>
  <w:style w:type="character" w:customStyle="1" w:styleId="FormulaZchn">
    <w:name w:val="_ Formula Zchn"/>
    <w:basedOn w:val="Table-FigureInsertZchn"/>
    <w:link w:val="Formula"/>
    <w:uiPriority w:val="99"/>
    <w:rsid w:val="001941F9"/>
    <w:rPr>
      <w:sz w:val="24"/>
      <w:szCs w:val="22"/>
      <w:lang w:val="en-US" w:eastAsia="en-US"/>
    </w:rPr>
  </w:style>
  <w:style w:type="paragraph" w:customStyle="1" w:styleId="VariableDefinition">
    <w:name w:val="_ Variable Definition"/>
    <w:basedOn w:val="Normal"/>
    <w:link w:val="VariableDefinitionZchn"/>
    <w:uiPriority w:val="99"/>
    <w:qFormat/>
    <w:rsid w:val="00D75E83"/>
    <w:pPr>
      <w:spacing w:line="240" w:lineRule="auto"/>
      <w:ind w:left="2829" w:hanging="2262"/>
    </w:pPr>
  </w:style>
  <w:style w:type="character" w:customStyle="1" w:styleId="VariableDefinitionZchn">
    <w:name w:val="_ Variable Definition Zchn"/>
    <w:basedOn w:val="DefaultParagraphFont"/>
    <w:link w:val="VariableDefinition"/>
    <w:uiPriority w:val="99"/>
    <w:rsid w:val="00D75E83"/>
    <w:rPr>
      <w:sz w:val="24"/>
      <w:szCs w:val="22"/>
      <w:lang w:val="en-US" w:eastAsia="en-US"/>
    </w:rPr>
  </w:style>
  <w:style w:type="paragraph" w:customStyle="1" w:styleId="Hypothesis">
    <w:name w:val="_ Hypothesis"/>
    <w:basedOn w:val="Normal"/>
    <w:link w:val="HypothesisZchn"/>
    <w:uiPriority w:val="99"/>
    <w:qFormat/>
    <w:rsid w:val="00267D72"/>
    <w:pPr>
      <w:spacing w:before="120" w:after="120"/>
      <w:ind w:left="1134" w:hanging="567"/>
    </w:pPr>
  </w:style>
  <w:style w:type="character" w:customStyle="1" w:styleId="HypothesisZchn">
    <w:name w:val="_ Hypothesis Zchn"/>
    <w:basedOn w:val="DefaultParagraphFont"/>
    <w:link w:val="Hypothesis"/>
    <w:uiPriority w:val="99"/>
    <w:rsid w:val="00267D72"/>
    <w:rPr>
      <w:sz w:val="24"/>
      <w:szCs w:val="22"/>
      <w:lang w:val="en-US" w:eastAsia="en-US"/>
    </w:rPr>
  </w:style>
  <w:style w:type="character" w:styleId="CommentReference">
    <w:name w:val="annotation reference"/>
    <w:basedOn w:val="DefaultParagraphFont"/>
    <w:uiPriority w:val="99"/>
    <w:semiHidden/>
    <w:unhideWhenUsed/>
    <w:rsid w:val="0023778B"/>
    <w:rPr>
      <w:sz w:val="16"/>
      <w:szCs w:val="16"/>
    </w:rPr>
  </w:style>
  <w:style w:type="paragraph" w:styleId="Revision">
    <w:name w:val="Revision"/>
    <w:hidden/>
    <w:uiPriority w:val="99"/>
    <w:semiHidden/>
    <w:rsid w:val="00100DBC"/>
    <w:rPr>
      <w:sz w:val="24"/>
      <w:szCs w:val="22"/>
      <w:lang w:val="en-US" w:eastAsia="en-US"/>
    </w:rPr>
  </w:style>
  <w:style w:type="paragraph" w:customStyle="1" w:styleId="Tablesmall">
    <w:name w:val="_ Table small"/>
    <w:basedOn w:val="Table"/>
    <w:uiPriority w:val="99"/>
    <w:rsid w:val="00F33403"/>
    <w:rPr>
      <w:rFonts w:eastAsia="Times New Roman"/>
      <w:sz w:val="18"/>
      <w:szCs w:val="20"/>
      <w:lang w:val="en-GB"/>
    </w:rPr>
  </w:style>
  <w:style w:type="paragraph" w:styleId="ListParagraph">
    <w:name w:val="List Paragraph"/>
    <w:basedOn w:val="Normal"/>
    <w:uiPriority w:val="99"/>
    <w:qFormat/>
    <w:rsid w:val="00736F35"/>
    <w:pPr>
      <w:ind w:left="720"/>
      <w:contextualSpacing/>
    </w:pPr>
  </w:style>
  <w:style w:type="paragraph" w:customStyle="1" w:styleId="Quotation">
    <w:name w:val="_ Quotation"/>
    <w:basedOn w:val="Normal"/>
    <w:link w:val="QuotationChar"/>
    <w:uiPriority w:val="99"/>
    <w:rsid w:val="00736F35"/>
    <w:pPr>
      <w:spacing w:after="240" w:line="240" w:lineRule="auto"/>
      <w:ind w:left="567" w:right="567" w:firstLine="0"/>
    </w:pPr>
  </w:style>
  <w:style w:type="character" w:customStyle="1" w:styleId="QuotationChar">
    <w:name w:val="_ Quotation Char"/>
    <w:link w:val="Quotation"/>
    <w:uiPriority w:val="99"/>
    <w:locked/>
    <w:rsid w:val="00736F35"/>
    <w:rPr>
      <w:sz w:val="24"/>
      <w:szCs w:val="22"/>
      <w:lang w:val="en-US" w:eastAsia="en-US"/>
    </w:rPr>
  </w:style>
  <w:style w:type="character" w:customStyle="1" w:styleId="EndnoteTextChar">
    <w:name w:val="Endnote Text Char"/>
    <w:basedOn w:val="DefaultParagraphFont"/>
    <w:link w:val="EndnoteText"/>
    <w:uiPriority w:val="99"/>
    <w:rsid w:val="00736F35"/>
    <w:rPr>
      <w:sz w:val="24"/>
      <w:lang w:val="en-US" w:eastAsia="en-US"/>
    </w:rPr>
  </w:style>
  <w:style w:type="paragraph" w:styleId="EndnoteText">
    <w:name w:val="endnote text"/>
    <w:basedOn w:val="Normal"/>
    <w:link w:val="EndnoteTextChar"/>
    <w:uiPriority w:val="99"/>
    <w:unhideWhenUsed/>
    <w:rsid w:val="00736F35"/>
    <w:pPr>
      <w:spacing w:after="360"/>
      <w:ind w:left="284" w:hanging="284"/>
    </w:pPr>
    <w:rPr>
      <w:szCs w:val="20"/>
    </w:rPr>
  </w:style>
  <w:style w:type="paragraph" w:customStyle="1" w:styleId="ReferencesFurtherreading">
    <w:name w:val="References/Further reading"/>
    <w:basedOn w:val="Normal"/>
    <w:rsid w:val="003B3A9D"/>
    <w:pPr>
      <w:ind w:left="397" w:hanging="397"/>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67933">
      <w:bodyDiv w:val="1"/>
      <w:marLeft w:val="0"/>
      <w:marRight w:val="0"/>
      <w:marTop w:val="0"/>
      <w:marBottom w:val="0"/>
      <w:divBdr>
        <w:top w:val="none" w:sz="0" w:space="0" w:color="auto"/>
        <w:left w:val="none" w:sz="0" w:space="0" w:color="auto"/>
        <w:bottom w:val="none" w:sz="0" w:space="0" w:color="auto"/>
        <w:right w:val="none" w:sz="0" w:space="0" w:color="auto"/>
      </w:divBdr>
    </w:div>
    <w:div w:id="415130261">
      <w:bodyDiv w:val="1"/>
      <w:marLeft w:val="0"/>
      <w:marRight w:val="0"/>
      <w:marTop w:val="0"/>
      <w:marBottom w:val="0"/>
      <w:divBdr>
        <w:top w:val="none" w:sz="0" w:space="0" w:color="auto"/>
        <w:left w:val="none" w:sz="0" w:space="0" w:color="auto"/>
        <w:bottom w:val="none" w:sz="0" w:space="0" w:color="auto"/>
        <w:right w:val="none" w:sz="0" w:space="0" w:color="auto"/>
      </w:divBdr>
    </w:div>
    <w:div w:id="544371624">
      <w:bodyDiv w:val="1"/>
      <w:marLeft w:val="0"/>
      <w:marRight w:val="0"/>
      <w:marTop w:val="0"/>
      <w:marBottom w:val="0"/>
      <w:divBdr>
        <w:top w:val="none" w:sz="0" w:space="0" w:color="auto"/>
        <w:left w:val="none" w:sz="0" w:space="0" w:color="auto"/>
        <w:bottom w:val="none" w:sz="0" w:space="0" w:color="auto"/>
        <w:right w:val="none" w:sz="0" w:space="0" w:color="auto"/>
      </w:divBdr>
    </w:div>
    <w:div w:id="602107461">
      <w:bodyDiv w:val="1"/>
      <w:marLeft w:val="0"/>
      <w:marRight w:val="0"/>
      <w:marTop w:val="0"/>
      <w:marBottom w:val="0"/>
      <w:divBdr>
        <w:top w:val="none" w:sz="0" w:space="0" w:color="auto"/>
        <w:left w:val="none" w:sz="0" w:space="0" w:color="auto"/>
        <w:bottom w:val="none" w:sz="0" w:space="0" w:color="auto"/>
        <w:right w:val="none" w:sz="0" w:space="0" w:color="auto"/>
      </w:divBdr>
    </w:div>
    <w:div w:id="1192458772">
      <w:bodyDiv w:val="1"/>
      <w:marLeft w:val="0"/>
      <w:marRight w:val="0"/>
      <w:marTop w:val="0"/>
      <w:marBottom w:val="0"/>
      <w:divBdr>
        <w:top w:val="none" w:sz="0" w:space="0" w:color="auto"/>
        <w:left w:val="none" w:sz="0" w:space="0" w:color="auto"/>
        <w:bottom w:val="none" w:sz="0" w:space="0" w:color="auto"/>
        <w:right w:val="none" w:sz="0" w:space="0" w:color="auto"/>
      </w:divBdr>
    </w:div>
    <w:div w:id="1205361525">
      <w:bodyDiv w:val="1"/>
      <w:marLeft w:val="0"/>
      <w:marRight w:val="0"/>
      <w:marTop w:val="0"/>
      <w:marBottom w:val="0"/>
      <w:divBdr>
        <w:top w:val="none" w:sz="0" w:space="0" w:color="auto"/>
        <w:left w:val="none" w:sz="0" w:space="0" w:color="auto"/>
        <w:bottom w:val="none" w:sz="0" w:space="0" w:color="auto"/>
        <w:right w:val="none" w:sz="0" w:space="0" w:color="auto"/>
      </w:divBdr>
    </w:div>
    <w:div w:id="1265378074">
      <w:bodyDiv w:val="1"/>
      <w:marLeft w:val="0"/>
      <w:marRight w:val="0"/>
      <w:marTop w:val="0"/>
      <w:marBottom w:val="0"/>
      <w:divBdr>
        <w:top w:val="none" w:sz="0" w:space="0" w:color="auto"/>
        <w:left w:val="none" w:sz="0" w:space="0" w:color="auto"/>
        <w:bottom w:val="none" w:sz="0" w:space="0" w:color="auto"/>
        <w:right w:val="none" w:sz="0" w:space="0" w:color="auto"/>
      </w:divBdr>
    </w:div>
    <w:div w:id="1307278212">
      <w:bodyDiv w:val="1"/>
      <w:marLeft w:val="0"/>
      <w:marRight w:val="0"/>
      <w:marTop w:val="0"/>
      <w:marBottom w:val="0"/>
      <w:divBdr>
        <w:top w:val="none" w:sz="0" w:space="0" w:color="auto"/>
        <w:left w:val="none" w:sz="0" w:space="0" w:color="auto"/>
        <w:bottom w:val="none" w:sz="0" w:space="0" w:color="auto"/>
        <w:right w:val="none" w:sz="0" w:space="0" w:color="auto"/>
      </w:divBdr>
    </w:div>
    <w:div w:id="1428428829">
      <w:bodyDiv w:val="1"/>
      <w:marLeft w:val="0"/>
      <w:marRight w:val="0"/>
      <w:marTop w:val="0"/>
      <w:marBottom w:val="0"/>
      <w:divBdr>
        <w:top w:val="none" w:sz="0" w:space="0" w:color="auto"/>
        <w:left w:val="none" w:sz="0" w:space="0" w:color="auto"/>
        <w:bottom w:val="none" w:sz="0" w:space="0" w:color="auto"/>
        <w:right w:val="none" w:sz="0" w:space="0" w:color="auto"/>
      </w:divBdr>
    </w:div>
    <w:div w:id="1456749878">
      <w:bodyDiv w:val="1"/>
      <w:marLeft w:val="0"/>
      <w:marRight w:val="0"/>
      <w:marTop w:val="0"/>
      <w:marBottom w:val="0"/>
      <w:divBdr>
        <w:top w:val="none" w:sz="0" w:space="0" w:color="auto"/>
        <w:left w:val="none" w:sz="0" w:space="0" w:color="auto"/>
        <w:bottom w:val="none" w:sz="0" w:space="0" w:color="auto"/>
        <w:right w:val="none" w:sz="0" w:space="0" w:color="auto"/>
      </w:divBdr>
    </w:div>
    <w:div w:id="1810635489">
      <w:bodyDiv w:val="1"/>
      <w:marLeft w:val="0"/>
      <w:marRight w:val="0"/>
      <w:marTop w:val="0"/>
      <w:marBottom w:val="0"/>
      <w:divBdr>
        <w:top w:val="none" w:sz="0" w:space="0" w:color="auto"/>
        <w:left w:val="none" w:sz="0" w:space="0" w:color="auto"/>
        <w:bottom w:val="none" w:sz="0" w:space="0" w:color="auto"/>
        <w:right w:val="none" w:sz="0" w:space="0" w:color="auto"/>
      </w:divBdr>
    </w:div>
    <w:div w:id="1922056951">
      <w:bodyDiv w:val="1"/>
      <w:marLeft w:val="0"/>
      <w:marRight w:val="0"/>
      <w:marTop w:val="0"/>
      <w:marBottom w:val="0"/>
      <w:divBdr>
        <w:top w:val="none" w:sz="0" w:space="0" w:color="auto"/>
        <w:left w:val="none" w:sz="0" w:space="0" w:color="auto"/>
        <w:bottom w:val="none" w:sz="0" w:space="0" w:color="auto"/>
        <w:right w:val="none" w:sz="0" w:space="0" w:color="auto"/>
      </w:divBdr>
    </w:div>
    <w:div w:id="20552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dokumente\15-office-vorlagen\cs-academic-pap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E534-3BF3-4956-B7D6-592A0042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cs-academic-paper.dot</Template>
  <TotalTime>0</TotalTime>
  <Pages>4</Pages>
  <Words>15361</Words>
  <Characters>87560</Characters>
  <Application>Microsoft Office Word</Application>
  <DocSecurity>4</DocSecurity>
  <Lines>729</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Stadler</dc:creator>
  <cp:lastModifiedBy>Nobes, Chris</cp:lastModifiedBy>
  <cp:revision>2</cp:revision>
  <cp:lastPrinted>2014-07-22T09:58:00Z</cp:lastPrinted>
  <dcterms:created xsi:type="dcterms:W3CDTF">2015-04-27T10:38:00Z</dcterms:created>
  <dcterms:modified xsi:type="dcterms:W3CDTF">2015-04-27T10:38:00Z</dcterms:modified>
</cp:coreProperties>
</file>