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D7" w:rsidRPr="00C420F1" w:rsidRDefault="009936D7" w:rsidP="009936D7">
      <w:pPr>
        <w:spacing w:line="480" w:lineRule="auto"/>
        <w:rPr>
          <w:b/>
          <w:u w:val="single"/>
        </w:rPr>
      </w:pPr>
    </w:p>
    <w:p w:rsidR="00655ED1" w:rsidRPr="00655ED1" w:rsidRDefault="00655ED1" w:rsidP="00655ED1">
      <w:pPr>
        <w:spacing w:line="480" w:lineRule="auto"/>
        <w:jc w:val="center"/>
        <w:rPr>
          <w:b/>
          <w:u w:val="single"/>
        </w:rPr>
      </w:pPr>
      <w:r w:rsidRPr="00655ED1">
        <w:rPr>
          <w:b/>
          <w:u w:val="single"/>
        </w:rPr>
        <w:t>Reclaiming Humanity: From Capacities to Capabilities in Understanding Parenting in Adversity</w:t>
      </w:r>
    </w:p>
    <w:p w:rsidR="00655ED1" w:rsidRPr="00655ED1" w:rsidRDefault="00655ED1" w:rsidP="00655ED1">
      <w:pPr>
        <w:spacing w:line="480" w:lineRule="auto"/>
        <w:jc w:val="both"/>
        <w:rPr>
          <w:b/>
        </w:rPr>
      </w:pPr>
    </w:p>
    <w:p w:rsidR="00655ED1" w:rsidRPr="00655ED1" w:rsidRDefault="00655ED1" w:rsidP="00655ED1">
      <w:pPr>
        <w:spacing w:line="480" w:lineRule="auto"/>
        <w:jc w:val="both"/>
        <w:rPr>
          <w:b/>
        </w:rPr>
      </w:pPr>
      <w:r w:rsidRPr="00655ED1">
        <w:rPr>
          <w:b/>
        </w:rPr>
        <w:t>Authors:</w:t>
      </w:r>
    </w:p>
    <w:p w:rsidR="00655ED1" w:rsidRPr="00655ED1" w:rsidRDefault="00655ED1" w:rsidP="00655ED1">
      <w:pPr>
        <w:spacing w:line="480" w:lineRule="auto"/>
        <w:jc w:val="both"/>
      </w:pPr>
      <w:r w:rsidRPr="00655ED1">
        <w:t>*Anna Gupta is a Senior Lecturer in Social Work at Royal Holloway, University of London, UK</w:t>
      </w:r>
    </w:p>
    <w:p w:rsidR="00655ED1" w:rsidRPr="00655ED1" w:rsidRDefault="00655ED1" w:rsidP="00655ED1">
      <w:pPr>
        <w:spacing w:line="480" w:lineRule="auto"/>
        <w:jc w:val="both"/>
      </w:pPr>
      <w:proofErr w:type="spellStart"/>
      <w:r w:rsidRPr="00655ED1">
        <w:t>Brid</w:t>
      </w:r>
      <w:proofErr w:type="spellEnd"/>
      <w:r w:rsidRPr="00655ED1">
        <w:t xml:space="preserve"> Featherstone is Professor of Social Work at the Open University, UK.</w:t>
      </w:r>
    </w:p>
    <w:p w:rsidR="00655ED1" w:rsidRPr="00655ED1" w:rsidRDefault="00655ED1" w:rsidP="00655ED1">
      <w:pPr>
        <w:spacing w:line="480" w:lineRule="auto"/>
        <w:jc w:val="both"/>
      </w:pPr>
      <w:r w:rsidRPr="00655ED1">
        <w:t xml:space="preserve">Sue White is Professor of Social Work (Children and Families) at the University of Birmingham, UK. </w:t>
      </w:r>
    </w:p>
    <w:p w:rsidR="00655ED1" w:rsidRPr="00655ED1" w:rsidRDefault="00655ED1" w:rsidP="00655ED1">
      <w:pPr>
        <w:spacing w:line="480" w:lineRule="auto"/>
        <w:jc w:val="both"/>
      </w:pPr>
    </w:p>
    <w:p w:rsidR="00655ED1" w:rsidRPr="00655ED1" w:rsidRDefault="00655ED1" w:rsidP="00655ED1">
      <w:pPr>
        <w:spacing w:line="480" w:lineRule="auto"/>
        <w:jc w:val="both"/>
        <w:rPr>
          <w:b/>
        </w:rPr>
      </w:pPr>
      <w:r w:rsidRPr="00655ED1">
        <w:rPr>
          <w:b/>
        </w:rPr>
        <w:t xml:space="preserve">*Correspondence </w:t>
      </w:r>
      <w:proofErr w:type="gramStart"/>
      <w:r w:rsidRPr="00655ED1">
        <w:rPr>
          <w:b/>
        </w:rPr>
        <w:t>to :</w:t>
      </w:r>
      <w:proofErr w:type="gramEnd"/>
    </w:p>
    <w:p w:rsidR="00655ED1" w:rsidRPr="00655ED1" w:rsidRDefault="00655ED1" w:rsidP="00655ED1">
      <w:pPr>
        <w:spacing w:line="480" w:lineRule="auto"/>
        <w:jc w:val="both"/>
      </w:pPr>
      <w:r w:rsidRPr="00655ED1">
        <w:t>Anna Gupta</w:t>
      </w:r>
    </w:p>
    <w:p w:rsidR="00655ED1" w:rsidRPr="00655ED1" w:rsidRDefault="00655ED1" w:rsidP="00655ED1">
      <w:pPr>
        <w:spacing w:line="480" w:lineRule="auto"/>
        <w:jc w:val="both"/>
      </w:pPr>
      <w:r w:rsidRPr="00655ED1">
        <w:t xml:space="preserve">Department of </w:t>
      </w:r>
      <w:proofErr w:type="gramStart"/>
      <w:r w:rsidRPr="00655ED1">
        <w:t>Social Work</w:t>
      </w:r>
      <w:proofErr w:type="gramEnd"/>
    </w:p>
    <w:p w:rsidR="00655ED1" w:rsidRPr="00655ED1" w:rsidRDefault="00655ED1" w:rsidP="00655ED1">
      <w:pPr>
        <w:spacing w:line="480" w:lineRule="auto"/>
        <w:jc w:val="both"/>
      </w:pPr>
      <w:r w:rsidRPr="00655ED1">
        <w:t>Royal Holloway, University of London</w:t>
      </w:r>
    </w:p>
    <w:p w:rsidR="00655ED1" w:rsidRPr="00655ED1" w:rsidRDefault="00655ED1" w:rsidP="00655ED1">
      <w:pPr>
        <w:spacing w:line="480" w:lineRule="auto"/>
        <w:jc w:val="both"/>
      </w:pPr>
      <w:proofErr w:type="spellStart"/>
      <w:r w:rsidRPr="00655ED1">
        <w:t>Egham</w:t>
      </w:r>
      <w:proofErr w:type="spellEnd"/>
      <w:r w:rsidRPr="00655ED1">
        <w:t>, Surrey, TW20 0EX</w:t>
      </w:r>
    </w:p>
    <w:p w:rsidR="00655ED1" w:rsidRPr="00655ED1" w:rsidRDefault="00655ED1" w:rsidP="00655ED1">
      <w:pPr>
        <w:spacing w:line="480" w:lineRule="auto"/>
        <w:jc w:val="both"/>
      </w:pPr>
      <w:r w:rsidRPr="00655ED1">
        <w:t xml:space="preserve">Email: </w:t>
      </w:r>
      <w:hyperlink r:id="rId7" w:history="1">
        <w:r w:rsidRPr="00655ED1">
          <w:rPr>
            <w:rStyle w:val="Hyperlink"/>
          </w:rPr>
          <w:t>Anna.Gupta@rhul.ac.uk</w:t>
        </w:r>
      </w:hyperlink>
    </w:p>
    <w:p w:rsidR="00655ED1" w:rsidRDefault="00655ED1" w:rsidP="00655ED1">
      <w:pPr>
        <w:spacing w:line="480" w:lineRule="auto"/>
        <w:jc w:val="both"/>
      </w:pPr>
      <w:r w:rsidRPr="00655ED1">
        <w:t>Tel: 01784 443681</w:t>
      </w:r>
    </w:p>
    <w:p w:rsidR="00CD71B9" w:rsidRDefault="00CD71B9" w:rsidP="00655ED1">
      <w:pPr>
        <w:spacing w:line="480" w:lineRule="auto"/>
        <w:jc w:val="both"/>
      </w:pPr>
    </w:p>
    <w:p w:rsidR="00CD71B9" w:rsidRPr="00CD71B9" w:rsidRDefault="00CD71B9" w:rsidP="00CD71B9">
      <w:pPr>
        <w:rPr>
          <w:b/>
          <w:lang w:val="en-GB"/>
        </w:rPr>
      </w:pPr>
      <w:r w:rsidRPr="00CD71B9">
        <w:rPr>
          <w:rFonts w:cs="Arial"/>
          <w:bCs/>
        </w:rPr>
        <w:t xml:space="preserve">Gupta, A., Featherstone, B. &amp; White, S. (2014) ‘Reclaiming Humanity: From Capacities to Capabilities in Understanding Parenting in Adversity’, </w:t>
      </w:r>
      <w:r w:rsidRPr="00CD71B9">
        <w:rPr>
          <w:rFonts w:cs="Arial"/>
          <w:bCs/>
          <w:i/>
        </w:rPr>
        <w:t xml:space="preserve">British Journal of Social Work, </w:t>
      </w:r>
      <w:r w:rsidRPr="00CD71B9">
        <w:rPr>
          <w:rFonts w:cs="Arial"/>
          <w:bCs/>
        </w:rPr>
        <w:t>early online publication</w:t>
      </w:r>
      <w:r>
        <w:rPr>
          <w:rFonts w:cs="Arial"/>
          <w:bCs/>
        </w:rPr>
        <w:t>,</w:t>
      </w:r>
      <w:r w:rsidRPr="00CD71B9">
        <w:rPr>
          <w:rFonts w:cs="Arial"/>
          <w:bCs/>
        </w:rPr>
        <w:t xml:space="preserve"> </w:t>
      </w:r>
      <w:r w:rsidRPr="00CD71B9">
        <w:rPr>
          <w:rFonts w:cs="Times New Roman"/>
          <w:szCs w:val="12"/>
        </w:rPr>
        <w:t>doi</w:t>
      </w:r>
      <w:proofErr w:type="gramStart"/>
      <w:r w:rsidRPr="00CD71B9">
        <w:rPr>
          <w:rFonts w:cs="Times New Roman"/>
          <w:szCs w:val="12"/>
        </w:rPr>
        <w:t>:10.1093</w:t>
      </w:r>
      <w:proofErr w:type="gramEnd"/>
      <w:r w:rsidRPr="00CD71B9">
        <w:rPr>
          <w:rFonts w:cs="Times New Roman"/>
          <w:szCs w:val="12"/>
        </w:rPr>
        <w:t>/bjsw/bcu137</w:t>
      </w:r>
    </w:p>
    <w:p w:rsidR="00655ED1" w:rsidRPr="00CD71B9" w:rsidRDefault="00655ED1" w:rsidP="00655ED1">
      <w:pPr>
        <w:spacing w:line="480" w:lineRule="auto"/>
        <w:jc w:val="both"/>
      </w:pPr>
    </w:p>
    <w:p w:rsidR="00655ED1" w:rsidRDefault="00655ED1">
      <w:pPr>
        <w:rPr>
          <w:sz w:val="28"/>
        </w:rPr>
      </w:pPr>
      <w:r w:rsidRPr="00655ED1">
        <w:br w:type="page"/>
      </w:r>
    </w:p>
    <w:p w:rsidR="009936D7" w:rsidRPr="00CD71B9" w:rsidRDefault="009936D7" w:rsidP="00CD71B9">
      <w:pPr>
        <w:spacing w:line="480" w:lineRule="auto"/>
        <w:jc w:val="center"/>
        <w:rPr>
          <w:b/>
          <w:u w:val="single"/>
        </w:rPr>
      </w:pPr>
      <w:r w:rsidRPr="00ED7E96">
        <w:rPr>
          <w:b/>
          <w:u w:val="single"/>
        </w:rPr>
        <w:t>Reclaiming Humanity: From Capacities to Capabilities in Understanding Parenting in Adversity</w:t>
      </w:r>
    </w:p>
    <w:p w:rsidR="009936D7" w:rsidRDefault="009936D7" w:rsidP="009936D7">
      <w:pPr>
        <w:spacing w:line="480" w:lineRule="auto"/>
        <w:rPr>
          <w:b/>
          <w:lang w:val="en-GB"/>
        </w:rPr>
      </w:pPr>
      <w:r>
        <w:rPr>
          <w:b/>
          <w:lang w:val="en-GB"/>
        </w:rPr>
        <w:t>Abstract:</w:t>
      </w:r>
    </w:p>
    <w:p w:rsidR="009936D7" w:rsidRDefault="00E90CB8" w:rsidP="009936D7">
      <w:pPr>
        <w:spacing w:line="480" w:lineRule="auto"/>
        <w:jc w:val="both"/>
        <w:rPr>
          <w:lang w:val="en-GB"/>
        </w:rPr>
      </w:pPr>
      <w:r>
        <w:t>This paper</w:t>
      </w:r>
      <w:r w:rsidR="009936D7" w:rsidRPr="00C420F1">
        <w:t xml:space="preserve"> explore</w:t>
      </w:r>
      <w:r>
        <w:t>s</w:t>
      </w:r>
      <w:r w:rsidR="009936D7" w:rsidRPr="00C420F1">
        <w:t xml:space="preserve"> how the C</w:t>
      </w:r>
      <w:r w:rsidR="00012146">
        <w:t>apability</w:t>
      </w:r>
      <w:r w:rsidR="009936D7">
        <w:t xml:space="preserve"> </w:t>
      </w:r>
      <w:r w:rsidR="009936D7" w:rsidRPr="00C420F1">
        <w:t>A</w:t>
      </w:r>
      <w:r w:rsidR="009936D7">
        <w:t xml:space="preserve">pproach (CA) </w:t>
      </w:r>
      <w:r w:rsidR="009936D7" w:rsidRPr="00C420F1">
        <w:t>can inform a critical anal</w:t>
      </w:r>
      <w:r w:rsidR="009936D7">
        <w:t xml:space="preserve">ysis of child protection policy, </w:t>
      </w:r>
      <w:r w:rsidR="009936D7" w:rsidRPr="00C420F1">
        <w:t>with particular reference to pove</w:t>
      </w:r>
      <w:r w:rsidR="009936D7">
        <w:t>rty, parenting and maltreatment.</w:t>
      </w:r>
      <w:r w:rsidR="009936D7">
        <w:rPr>
          <w:lang w:val="en-GB"/>
        </w:rPr>
        <w:t xml:space="preserve"> The CA, originally developed by the Nobel Prize winning economist </w:t>
      </w:r>
      <w:proofErr w:type="spellStart"/>
      <w:r w:rsidR="009936D7">
        <w:rPr>
          <w:lang w:val="en-GB"/>
        </w:rPr>
        <w:t>Amartya</w:t>
      </w:r>
      <w:proofErr w:type="spellEnd"/>
      <w:r w:rsidR="009936D7">
        <w:rPr>
          <w:lang w:val="en-GB"/>
        </w:rPr>
        <w:t xml:space="preserve"> </w:t>
      </w:r>
      <w:proofErr w:type="spellStart"/>
      <w:r w:rsidR="009936D7">
        <w:rPr>
          <w:lang w:val="en-GB"/>
        </w:rPr>
        <w:t>Sen</w:t>
      </w:r>
      <w:proofErr w:type="spellEnd"/>
      <w:r w:rsidR="009936D7">
        <w:rPr>
          <w:lang w:val="en-GB"/>
        </w:rPr>
        <w:t xml:space="preserve">, is an approach that has been </w:t>
      </w:r>
      <w:r w:rsidR="009936D7" w:rsidRPr="00C420F1">
        <w:rPr>
          <w:lang w:val="en-GB"/>
        </w:rPr>
        <w:t>used widely</w:t>
      </w:r>
      <w:r w:rsidR="009936D7">
        <w:rPr>
          <w:lang w:val="en-GB"/>
        </w:rPr>
        <w:t xml:space="preserve"> in a range of disciplines and policy domains. </w:t>
      </w:r>
      <w:r>
        <w:rPr>
          <w:lang w:val="en-GB"/>
        </w:rPr>
        <w:t>Here,</w:t>
      </w:r>
      <w:r w:rsidR="009936D7">
        <w:rPr>
          <w:lang w:val="en-GB"/>
        </w:rPr>
        <w:t xml:space="preserve"> we outline the CA and examine how it can inform our understanding of the impact of the current policies </w:t>
      </w:r>
      <w:r>
        <w:rPr>
          <w:lang w:val="en-GB"/>
        </w:rPr>
        <w:t>on</w:t>
      </w:r>
      <w:r w:rsidR="009936D7">
        <w:rPr>
          <w:lang w:val="en-GB"/>
        </w:rPr>
        <w:t xml:space="preserve"> families living in poverty and especially those involved in the child protection system. The CA offers a multidimensional framework that </w:t>
      </w:r>
      <w:r>
        <w:t>incorporat</w:t>
      </w:r>
      <w:r w:rsidR="00C6298F">
        <w:t>es</w:t>
      </w:r>
      <w:r w:rsidR="009936D7" w:rsidRPr="00CC2B52">
        <w:t xml:space="preserve"> both individu</w:t>
      </w:r>
      <w:r w:rsidR="009936D7">
        <w:t xml:space="preserve">al and social causes </w:t>
      </w:r>
      <w:r w:rsidR="009936D7" w:rsidRPr="00CC2B52">
        <w:t>into</w:t>
      </w:r>
      <w:r w:rsidR="00C6298F">
        <w:t xml:space="preserve"> analysis</w:t>
      </w:r>
      <w:r w:rsidR="009936D7">
        <w:t xml:space="preserve">. Drawing upon the CA we argue </w:t>
      </w:r>
      <w:r w:rsidR="009936D7">
        <w:rPr>
          <w:lang w:val="en-GB"/>
        </w:rPr>
        <w:t>that there is both a moral and legal imperative to rethink current child welfare policy in relation to families living in poverty</w:t>
      </w:r>
      <w:r>
        <w:rPr>
          <w:lang w:val="en-GB"/>
        </w:rPr>
        <w:t>. We</w:t>
      </w:r>
      <w:r w:rsidR="009936D7">
        <w:rPr>
          <w:lang w:val="en-GB"/>
        </w:rPr>
        <w:t xml:space="preserve"> suggest that </w:t>
      </w:r>
      <w:r>
        <w:rPr>
          <w:lang w:val="en-GB"/>
        </w:rPr>
        <w:t xml:space="preserve">the CA </w:t>
      </w:r>
      <w:r w:rsidR="009936D7">
        <w:rPr>
          <w:lang w:val="en-GB"/>
        </w:rPr>
        <w:t>offers a framework for the development of more humane and socially just social work practice.</w:t>
      </w:r>
    </w:p>
    <w:p w:rsidR="009936D7" w:rsidRDefault="009936D7" w:rsidP="009936D7">
      <w:pPr>
        <w:spacing w:line="480" w:lineRule="auto"/>
      </w:pPr>
    </w:p>
    <w:p w:rsidR="009936D7" w:rsidRDefault="009936D7" w:rsidP="009936D7">
      <w:pPr>
        <w:spacing w:line="480" w:lineRule="auto"/>
        <w:rPr>
          <w:b/>
        </w:rPr>
      </w:pPr>
      <w:r>
        <w:rPr>
          <w:b/>
        </w:rPr>
        <w:t>Key words:</w:t>
      </w:r>
    </w:p>
    <w:p w:rsidR="00CD71B9" w:rsidRDefault="00012146" w:rsidP="009936D7">
      <w:pPr>
        <w:spacing w:line="480" w:lineRule="auto"/>
      </w:pPr>
      <w:r>
        <w:t>Capability</w:t>
      </w:r>
      <w:r w:rsidR="009936D7">
        <w:t xml:space="preserve"> Approach, poverty, parenting, child protection</w:t>
      </w:r>
    </w:p>
    <w:p w:rsidR="00CD71B9" w:rsidRDefault="00CD71B9">
      <w:r>
        <w:br w:type="page"/>
      </w:r>
    </w:p>
    <w:p w:rsidR="009936D7" w:rsidRDefault="009936D7" w:rsidP="009936D7">
      <w:pPr>
        <w:spacing w:line="480" w:lineRule="auto"/>
        <w:rPr>
          <w:b/>
          <w:lang w:val="en-GB"/>
        </w:rPr>
      </w:pPr>
    </w:p>
    <w:p w:rsidR="00C420F1" w:rsidRPr="00C420F1" w:rsidRDefault="00C420F1" w:rsidP="00ED7E96">
      <w:pPr>
        <w:spacing w:line="480" w:lineRule="auto"/>
        <w:jc w:val="both"/>
        <w:rPr>
          <w:b/>
          <w:lang w:val="en-GB"/>
        </w:rPr>
      </w:pPr>
      <w:r w:rsidRPr="00C420F1">
        <w:rPr>
          <w:b/>
          <w:lang w:val="en-GB"/>
        </w:rPr>
        <w:t>Introduction</w:t>
      </w:r>
    </w:p>
    <w:p w:rsidR="00C420F1" w:rsidRDefault="00C420F1" w:rsidP="00ED7E96">
      <w:pPr>
        <w:spacing w:line="480" w:lineRule="auto"/>
        <w:jc w:val="both"/>
        <w:rPr>
          <w:b/>
          <w:lang w:val="en-GB"/>
        </w:rPr>
      </w:pPr>
    </w:p>
    <w:p w:rsidR="00C420F1" w:rsidRPr="00C420F1" w:rsidRDefault="001A3E7E" w:rsidP="00ED7E96">
      <w:pPr>
        <w:spacing w:line="480" w:lineRule="auto"/>
        <w:jc w:val="both"/>
      </w:pPr>
      <w:r w:rsidRPr="00012146">
        <w:rPr>
          <w:lang w:val="en-GB"/>
        </w:rPr>
        <w:t xml:space="preserve">The </w:t>
      </w:r>
      <w:r w:rsidR="005147F9" w:rsidRPr="00012146">
        <w:rPr>
          <w:lang w:val="en-GB"/>
        </w:rPr>
        <w:t xml:space="preserve">former </w:t>
      </w:r>
      <w:r w:rsidRPr="00012146">
        <w:rPr>
          <w:lang w:val="en-GB"/>
        </w:rPr>
        <w:t>Minister for Education</w:t>
      </w:r>
      <w:r w:rsidR="00C6298F" w:rsidRPr="00012146">
        <w:rPr>
          <w:lang w:val="en-GB"/>
        </w:rPr>
        <w:t xml:space="preserve"> in England,</w:t>
      </w:r>
      <w:r>
        <w:rPr>
          <w:lang w:val="en-GB"/>
        </w:rPr>
        <w:t xml:space="preserve"> Michael Gove</w:t>
      </w:r>
      <w:r w:rsidR="00C6298F">
        <w:rPr>
          <w:lang w:val="en-GB"/>
        </w:rPr>
        <w:t xml:space="preserve">, </w:t>
      </w:r>
      <w:r w:rsidR="0085552E">
        <w:rPr>
          <w:lang w:val="en-GB"/>
        </w:rPr>
        <w:t>suggested on a number of occasions</w:t>
      </w:r>
      <w:r>
        <w:rPr>
          <w:lang w:val="en-GB"/>
        </w:rPr>
        <w:t xml:space="preserve"> that social work educators are doing their students a serious disservice when they teach that ‘bad choices’ by adults can be understood and explained away by poverty. While we have yet to see any evidence that this is indeed what educators are teaching students, the purpose of this article is to explore why poverty matters through an engagement with the </w:t>
      </w:r>
      <w:r w:rsidR="0085552E">
        <w:rPr>
          <w:lang w:val="en-GB"/>
        </w:rPr>
        <w:t>C</w:t>
      </w:r>
      <w:r w:rsidR="00012146">
        <w:rPr>
          <w:lang w:val="en-GB"/>
        </w:rPr>
        <w:t>apability</w:t>
      </w:r>
      <w:r>
        <w:rPr>
          <w:lang w:val="en-GB"/>
        </w:rPr>
        <w:t xml:space="preserve"> </w:t>
      </w:r>
      <w:r w:rsidR="0085552E">
        <w:rPr>
          <w:lang w:val="en-GB"/>
        </w:rPr>
        <w:t>A</w:t>
      </w:r>
      <w:r>
        <w:rPr>
          <w:lang w:val="en-GB"/>
        </w:rPr>
        <w:t>pproach</w:t>
      </w:r>
      <w:r w:rsidR="00AF35F9">
        <w:rPr>
          <w:lang w:val="en-GB"/>
        </w:rPr>
        <w:t xml:space="preserve"> (CA)</w:t>
      </w:r>
      <w:r w:rsidR="00C6298F">
        <w:rPr>
          <w:lang w:val="en-GB"/>
        </w:rPr>
        <w:t>;</w:t>
      </w:r>
      <w:r>
        <w:rPr>
          <w:lang w:val="en-GB"/>
        </w:rPr>
        <w:t xml:space="preserve"> an approach that has been profoundly influential in an array of disciplines and policy domains but whose embrace by social work </w:t>
      </w:r>
      <w:r w:rsidR="0085552E">
        <w:rPr>
          <w:lang w:val="en-GB"/>
        </w:rPr>
        <w:t>remains under developed</w:t>
      </w:r>
      <w:r>
        <w:rPr>
          <w:lang w:val="en-GB"/>
        </w:rPr>
        <w:t xml:space="preserve">. We suggest this approach has the capacity to advance work in the area of child maltreatment conceptually and </w:t>
      </w:r>
      <w:r w:rsidR="006671DC">
        <w:rPr>
          <w:lang w:val="en-GB"/>
        </w:rPr>
        <w:t>in relation to practice</w:t>
      </w:r>
      <w:r w:rsidR="009156CF">
        <w:rPr>
          <w:lang w:val="en-GB"/>
        </w:rPr>
        <w:t>. This is of considerable importance in the current climate where t</w:t>
      </w:r>
      <w:r w:rsidR="00C420F1" w:rsidRPr="00C420F1">
        <w:t xml:space="preserve">he settlement between the state and family life </w:t>
      </w:r>
      <w:r w:rsidR="00E90CB8">
        <w:t>in</w:t>
      </w:r>
      <w:r w:rsidR="00DB4348">
        <w:t xml:space="preserve"> </w:t>
      </w:r>
      <w:r w:rsidR="00C6298F">
        <w:t xml:space="preserve">England </w:t>
      </w:r>
      <w:r w:rsidR="0085552E">
        <w:t>is p</w:t>
      </w:r>
      <w:r w:rsidR="00C420F1" w:rsidRPr="00C420F1">
        <w:t>articularly punitive towards families experiencing poverty</w:t>
      </w:r>
      <w:r w:rsidR="00C6298F">
        <w:t xml:space="preserve">, </w:t>
      </w:r>
      <w:r w:rsidR="0085552E">
        <w:t>and in a context of i</w:t>
      </w:r>
      <w:r w:rsidR="00157FED">
        <w:t xml:space="preserve">ncreasing </w:t>
      </w:r>
      <w:r w:rsidR="00C420F1" w:rsidRPr="00C420F1">
        <w:t>calls</w:t>
      </w:r>
      <w:r w:rsidR="0085552E">
        <w:t xml:space="preserve"> within social work</w:t>
      </w:r>
      <w:r w:rsidR="00C420F1" w:rsidRPr="00C420F1">
        <w:t xml:space="preserve"> for a rethinking of how we respond to our society’s vulnerable children and families (</w:t>
      </w:r>
      <w:proofErr w:type="spellStart"/>
      <w:r w:rsidR="00A0671D">
        <w:t>Bywaters</w:t>
      </w:r>
      <w:proofErr w:type="spellEnd"/>
      <w:r w:rsidR="00A0671D">
        <w:t xml:space="preserve">, 2013; Featherstone </w:t>
      </w:r>
      <w:r w:rsidR="00A0671D">
        <w:rPr>
          <w:i/>
        </w:rPr>
        <w:t>et al.</w:t>
      </w:r>
      <w:r w:rsidR="005A111C">
        <w:t xml:space="preserve">, </w:t>
      </w:r>
      <w:r w:rsidR="00C420F1" w:rsidRPr="00C420F1">
        <w:t>201</w:t>
      </w:r>
      <w:r w:rsidR="009C4665">
        <w:t>4</w:t>
      </w:r>
      <w:r w:rsidR="00C420F1" w:rsidRPr="00C420F1">
        <w:t xml:space="preserve">; Parton, 2014). </w:t>
      </w:r>
    </w:p>
    <w:p w:rsidR="00C420F1" w:rsidRPr="00C420F1" w:rsidRDefault="00C420F1" w:rsidP="00ED7E96">
      <w:pPr>
        <w:spacing w:line="480" w:lineRule="auto"/>
        <w:jc w:val="both"/>
      </w:pPr>
    </w:p>
    <w:p w:rsidR="00C420F1" w:rsidRPr="00C420F1" w:rsidRDefault="00C420F1" w:rsidP="00ED7E96">
      <w:pPr>
        <w:spacing w:line="480" w:lineRule="auto"/>
        <w:jc w:val="both"/>
        <w:rPr>
          <w:b/>
        </w:rPr>
      </w:pPr>
      <w:r w:rsidRPr="00C420F1">
        <w:rPr>
          <w:b/>
        </w:rPr>
        <w:t>What is the Capabilit</w:t>
      </w:r>
      <w:r w:rsidR="00012146">
        <w:rPr>
          <w:b/>
        </w:rPr>
        <w:t>y</w:t>
      </w:r>
      <w:r w:rsidRPr="00C420F1">
        <w:rPr>
          <w:b/>
        </w:rPr>
        <w:t xml:space="preserve"> Approach?</w:t>
      </w:r>
    </w:p>
    <w:p w:rsidR="00C420F1" w:rsidRPr="00C420F1" w:rsidRDefault="00C420F1" w:rsidP="00ED7E96">
      <w:pPr>
        <w:spacing w:line="480" w:lineRule="auto"/>
        <w:jc w:val="both"/>
        <w:rPr>
          <w:b/>
        </w:rPr>
      </w:pPr>
    </w:p>
    <w:p w:rsidR="0085552E" w:rsidRDefault="009156CF" w:rsidP="00ED7E96">
      <w:pPr>
        <w:spacing w:line="480" w:lineRule="auto"/>
        <w:jc w:val="both"/>
        <w:rPr>
          <w:lang w:val="en-GB"/>
        </w:rPr>
      </w:pPr>
      <w:r w:rsidRPr="00C420F1">
        <w:rPr>
          <w:lang w:val="en-GB"/>
        </w:rPr>
        <w:t xml:space="preserve">The </w:t>
      </w:r>
      <w:r w:rsidR="00AF35F9">
        <w:rPr>
          <w:lang w:val="en-GB"/>
        </w:rPr>
        <w:t xml:space="preserve">CA </w:t>
      </w:r>
      <w:r>
        <w:rPr>
          <w:lang w:val="en-GB"/>
        </w:rPr>
        <w:t xml:space="preserve">was originally developed by </w:t>
      </w:r>
      <w:r w:rsidRPr="00C420F1">
        <w:rPr>
          <w:lang w:val="en-GB"/>
        </w:rPr>
        <w:t xml:space="preserve">the Nobel </w:t>
      </w:r>
      <w:r w:rsidR="009936D7" w:rsidRPr="00C420F1">
        <w:rPr>
          <w:lang w:val="en-GB"/>
        </w:rPr>
        <w:t>Prize</w:t>
      </w:r>
      <w:r w:rsidRPr="00C420F1">
        <w:rPr>
          <w:lang w:val="en-GB"/>
        </w:rPr>
        <w:t xml:space="preserve"> win</w:t>
      </w:r>
      <w:r w:rsidR="006671DC">
        <w:rPr>
          <w:lang w:val="en-GB"/>
        </w:rPr>
        <w:t>n</w:t>
      </w:r>
      <w:r w:rsidRPr="00C420F1">
        <w:rPr>
          <w:lang w:val="en-GB"/>
        </w:rPr>
        <w:t>ing economist</w:t>
      </w:r>
      <w:r w:rsidR="00F43D8B">
        <w:rPr>
          <w:lang w:val="en-GB"/>
        </w:rPr>
        <w:t>,</w:t>
      </w:r>
      <w:r w:rsidRPr="00C420F1">
        <w:rPr>
          <w:lang w:val="en-GB"/>
        </w:rPr>
        <w:t xml:space="preserve"> </w:t>
      </w:r>
      <w:proofErr w:type="spellStart"/>
      <w:r w:rsidRPr="00C420F1">
        <w:rPr>
          <w:lang w:val="en-GB"/>
        </w:rPr>
        <w:t>Amartya</w:t>
      </w:r>
      <w:proofErr w:type="spellEnd"/>
      <w:r w:rsidRPr="00C420F1">
        <w:rPr>
          <w:lang w:val="en-GB"/>
        </w:rPr>
        <w:t xml:space="preserve"> </w:t>
      </w:r>
      <w:proofErr w:type="spellStart"/>
      <w:r w:rsidRPr="00C420F1">
        <w:rPr>
          <w:lang w:val="en-GB"/>
        </w:rPr>
        <w:t>Sen</w:t>
      </w:r>
      <w:proofErr w:type="spellEnd"/>
      <w:r w:rsidR="00F43D8B">
        <w:rPr>
          <w:lang w:val="en-GB"/>
        </w:rPr>
        <w:t>,</w:t>
      </w:r>
      <w:r w:rsidRPr="00C420F1">
        <w:rPr>
          <w:lang w:val="en-GB"/>
        </w:rPr>
        <w:t xml:space="preserve"> and then further explored by feminist ph</w:t>
      </w:r>
      <w:r>
        <w:rPr>
          <w:lang w:val="en-GB"/>
        </w:rPr>
        <w:t xml:space="preserve">ilosopher </w:t>
      </w:r>
      <w:r w:rsidR="00925B01">
        <w:rPr>
          <w:lang w:val="en-GB"/>
        </w:rPr>
        <w:t xml:space="preserve">and ethicist, </w:t>
      </w:r>
      <w:r>
        <w:rPr>
          <w:lang w:val="en-GB"/>
        </w:rPr>
        <w:t>Martha Nussbaum</w:t>
      </w:r>
      <w:r w:rsidRPr="00C420F1">
        <w:rPr>
          <w:lang w:val="en-GB"/>
        </w:rPr>
        <w:t xml:space="preserve">. It provides a theoretical framework concerning wellbeing, human development and social justice. </w:t>
      </w:r>
      <w:r>
        <w:rPr>
          <w:lang w:val="en-GB"/>
        </w:rPr>
        <w:t xml:space="preserve">It </w:t>
      </w:r>
      <w:r w:rsidRPr="00C420F1">
        <w:rPr>
          <w:lang w:val="en-GB"/>
        </w:rPr>
        <w:t xml:space="preserve">has been used widely in development work in </w:t>
      </w:r>
      <w:r w:rsidR="00F43D8B">
        <w:rPr>
          <w:lang w:val="en-GB"/>
        </w:rPr>
        <w:t>the g</w:t>
      </w:r>
      <w:r w:rsidRPr="00C420F1">
        <w:rPr>
          <w:lang w:val="en-GB"/>
        </w:rPr>
        <w:t>lobal South, and is attracting increasing attention in social</w:t>
      </w:r>
      <w:r>
        <w:rPr>
          <w:lang w:val="en-GB"/>
        </w:rPr>
        <w:t xml:space="preserve"> policy discourses and research programmes in Europe (Carpenter, 2009</w:t>
      </w:r>
      <w:r w:rsidRPr="00C420F1">
        <w:rPr>
          <w:lang w:val="en-GB"/>
        </w:rPr>
        <w:t xml:space="preserve">). </w:t>
      </w:r>
    </w:p>
    <w:p w:rsidR="009156CF" w:rsidRDefault="009156CF" w:rsidP="00ED7E96">
      <w:pPr>
        <w:spacing w:line="480" w:lineRule="auto"/>
        <w:jc w:val="both"/>
        <w:rPr>
          <w:lang w:val="en-GB"/>
        </w:rPr>
      </w:pPr>
    </w:p>
    <w:p w:rsidR="00C420F1" w:rsidRPr="00C420F1" w:rsidRDefault="00AF35F9" w:rsidP="00ED7E96">
      <w:pPr>
        <w:spacing w:line="480" w:lineRule="auto"/>
        <w:jc w:val="both"/>
        <w:rPr>
          <w:lang w:val="en-GB"/>
        </w:rPr>
      </w:pPr>
      <w:r>
        <w:rPr>
          <w:lang w:val="en-GB"/>
        </w:rPr>
        <w:t xml:space="preserve">The </w:t>
      </w:r>
      <w:r w:rsidR="009156CF">
        <w:rPr>
          <w:lang w:val="en-GB"/>
        </w:rPr>
        <w:t>CA</w:t>
      </w:r>
      <w:r w:rsidR="00C420F1" w:rsidRPr="00C420F1">
        <w:rPr>
          <w:lang w:val="en-GB"/>
        </w:rPr>
        <w:t xml:space="preserve"> is generally conceived as a flexible and multi-purpose framework, rather than a precise theory</w:t>
      </w:r>
      <w:r w:rsidR="00DB4348">
        <w:rPr>
          <w:lang w:val="en-GB"/>
        </w:rPr>
        <w:t>. It</w:t>
      </w:r>
      <w:r w:rsidR="00C420F1" w:rsidRPr="00C420F1">
        <w:rPr>
          <w:lang w:val="en-GB"/>
        </w:rPr>
        <w:t xml:space="preserve"> can be used to assess individual </w:t>
      </w:r>
      <w:proofErr w:type="gramStart"/>
      <w:r w:rsidR="00C420F1" w:rsidRPr="00C420F1">
        <w:rPr>
          <w:lang w:val="en-GB"/>
        </w:rPr>
        <w:t>well-being</w:t>
      </w:r>
      <w:proofErr w:type="gramEnd"/>
      <w:r w:rsidR="00C420F1" w:rsidRPr="00C420F1">
        <w:rPr>
          <w:lang w:val="en-GB"/>
        </w:rPr>
        <w:t>; evaluat</w:t>
      </w:r>
      <w:r w:rsidR="00635E3F">
        <w:rPr>
          <w:lang w:val="en-GB"/>
        </w:rPr>
        <w:t>e</w:t>
      </w:r>
      <w:r w:rsidR="00C420F1" w:rsidRPr="00C420F1">
        <w:rPr>
          <w:lang w:val="en-GB"/>
        </w:rPr>
        <w:t xml:space="preserve"> social arrangements; and develop policies and practices to effect social change. </w:t>
      </w:r>
      <w:r w:rsidR="009156CF">
        <w:rPr>
          <w:lang w:val="en-GB"/>
        </w:rPr>
        <w:t xml:space="preserve">It </w:t>
      </w:r>
      <w:r w:rsidR="00C420F1" w:rsidRPr="00C420F1">
        <w:t xml:space="preserve">emerged as an alternative to resource or income-based approaches to </w:t>
      </w:r>
      <w:r w:rsidR="00DB4348">
        <w:t xml:space="preserve">evaluating </w:t>
      </w:r>
      <w:r w:rsidR="00C420F1" w:rsidRPr="00C420F1">
        <w:t xml:space="preserve">human welfare. It challenged orthodox neoclassical economics and neoliberal ideologies that focused on economic growth and per capita income, and was influential in the development of United Nations Human Development Index in 1990 (Carpenter, 2009). </w:t>
      </w:r>
      <w:r>
        <w:t>The</w:t>
      </w:r>
      <w:r w:rsidR="009156CF">
        <w:t xml:space="preserve"> CA</w:t>
      </w:r>
      <w:r w:rsidR="00C420F1" w:rsidRPr="00C420F1">
        <w:rPr>
          <w:lang w:val="en-GB"/>
        </w:rPr>
        <w:t xml:space="preserve"> focuses directly on the quality of life that individuals are actually able to achieve, and </w:t>
      </w:r>
      <w:r w:rsidR="00C420F1" w:rsidRPr="00C420F1">
        <w:t xml:space="preserve">proposes that we consider </w:t>
      </w:r>
      <w:r w:rsidR="00C420F1" w:rsidRPr="00635E3F">
        <w:rPr>
          <w:iCs/>
        </w:rPr>
        <w:t>not</w:t>
      </w:r>
      <w:r w:rsidR="00C420F1" w:rsidRPr="00635E3F">
        <w:rPr>
          <w:i/>
        </w:rPr>
        <w:t xml:space="preserve"> </w:t>
      </w:r>
      <w:r w:rsidR="00157FED" w:rsidRPr="00635E3F">
        <w:rPr>
          <w:i/>
        </w:rPr>
        <w:t>just</w:t>
      </w:r>
      <w:r w:rsidR="00157FED">
        <w:t xml:space="preserve"> </w:t>
      </w:r>
      <w:r w:rsidR="00C420F1" w:rsidRPr="00C420F1">
        <w:t xml:space="preserve">resources but rather the valued things people are able to do or to be as a result of having them – the </w:t>
      </w:r>
      <w:r w:rsidR="00C420F1" w:rsidRPr="00C420F1">
        <w:rPr>
          <w:i/>
          <w:iCs/>
        </w:rPr>
        <w:t>capabilities</w:t>
      </w:r>
      <w:r w:rsidR="00C420F1" w:rsidRPr="00C420F1">
        <w:t xml:space="preserve"> they command.</w:t>
      </w:r>
    </w:p>
    <w:p w:rsidR="00C420F1" w:rsidRPr="00C420F1" w:rsidRDefault="00C420F1" w:rsidP="00ED7E96">
      <w:pPr>
        <w:spacing w:line="480" w:lineRule="auto"/>
        <w:jc w:val="both"/>
        <w:rPr>
          <w:lang w:val="en-GB"/>
        </w:rPr>
      </w:pPr>
    </w:p>
    <w:p w:rsidR="009C4665" w:rsidRDefault="00C420F1" w:rsidP="00ED7E96">
      <w:pPr>
        <w:spacing w:line="480" w:lineRule="auto"/>
        <w:jc w:val="both"/>
        <w:rPr>
          <w:lang w:val="en-GB"/>
        </w:rPr>
      </w:pPr>
      <w:r w:rsidRPr="00C420F1">
        <w:rPr>
          <w:lang w:val="en-GB"/>
        </w:rPr>
        <w:t xml:space="preserve">Core concepts central to the </w:t>
      </w:r>
      <w:proofErr w:type="spellStart"/>
      <w:r w:rsidR="009156CF">
        <w:rPr>
          <w:lang w:val="en-GB"/>
        </w:rPr>
        <w:t>ap</w:t>
      </w:r>
      <w:r w:rsidR="00DB4348">
        <w:t>proach</w:t>
      </w:r>
      <w:proofErr w:type="spellEnd"/>
      <w:r w:rsidRPr="00C420F1">
        <w:rPr>
          <w:lang w:val="en-GB"/>
        </w:rPr>
        <w:t xml:space="preserve"> are: the resources available to a person (means); what she is and does (</w:t>
      </w:r>
      <w:proofErr w:type="spellStart"/>
      <w:r w:rsidRPr="00C420F1">
        <w:rPr>
          <w:lang w:val="en-GB"/>
        </w:rPr>
        <w:t>functionings</w:t>
      </w:r>
      <w:proofErr w:type="spellEnd"/>
      <w:r w:rsidRPr="00C420F1">
        <w:rPr>
          <w:lang w:val="en-GB"/>
        </w:rPr>
        <w:t xml:space="preserve">); the personal, social and environmental factors that affect her ability to transform means into </w:t>
      </w:r>
      <w:proofErr w:type="spellStart"/>
      <w:r w:rsidRPr="00C420F1">
        <w:rPr>
          <w:lang w:val="en-GB"/>
        </w:rPr>
        <w:t>functionings</w:t>
      </w:r>
      <w:proofErr w:type="spellEnd"/>
      <w:r w:rsidRPr="00C420F1">
        <w:rPr>
          <w:lang w:val="en-GB"/>
        </w:rPr>
        <w:t xml:space="preserve"> (conversion factors); and the combination of being and doing that she has the real freedom to achieve (capabilities). A person’s capabilities represent the effective freedom of an individual to choose between different functioning combinations</w:t>
      </w:r>
      <w:r w:rsidR="00925B01">
        <w:rPr>
          <w:lang w:val="en-GB"/>
        </w:rPr>
        <w:t xml:space="preserve"> and</w:t>
      </w:r>
      <w:r w:rsidRPr="00C420F1">
        <w:rPr>
          <w:lang w:val="en-GB"/>
        </w:rPr>
        <w:t xml:space="preserve"> between different kinds of life that she may value and has reason to value. </w:t>
      </w:r>
    </w:p>
    <w:p w:rsidR="009C4665" w:rsidRDefault="009C4665" w:rsidP="00ED7E96">
      <w:pPr>
        <w:spacing w:line="480" w:lineRule="auto"/>
        <w:jc w:val="both"/>
        <w:rPr>
          <w:lang w:val="en-GB"/>
        </w:rPr>
      </w:pPr>
    </w:p>
    <w:p w:rsidR="00C420F1" w:rsidRDefault="009C4665" w:rsidP="009C4665">
      <w:pPr>
        <w:spacing w:line="480" w:lineRule="auto"/>
        <w:jc w:val="both"/>
        <w:rPr>
          <w:lang w:val="en-GB"/>
        </w:rPr>
      </w:pPr>
      <w:r w:rsidRPr="002E4A96">
        <w:rPr>
          <w:lang w:val="en-GB"/>
        </w:rPr>
        <w:t>People differ in their ability to convert means into valuable opportunities (capabilities) or outcomes (</w:t>
      </w:r>
      <w:proofErr w:type="spellStart"/>
      <w:r w:rsidRPr="002E4A96">
        <w:rPr>
          <w:lang w:val="en-GB"/>
        </w:rPr>
        <w:t>functionings</w:t>
      </w:r>
      <w:proofErr w:type="spellEnd"/>
      <w:r w:rsidRPr="002E4A96">
        <w:rPr>
          <w:lang w:val="en-GB"/>
        </w:rPr>
        <w:t xml:space="preserve">). The differences in the capabilities to function can arise even with the same set of personal means for a variety of reasons, such as: 1) </w:t>
      </w:r>
      <w:r w:rsidRPr="002E4A96">
        <w:rPr>
          <w:i/>
          <w:iCs/>
          <w:lang w:val="en-GB"/>
        </w:rPr>
        <w:t xml:space="preserve">Physical and mental heterogeneities among persons </w:t>
      </w:r>
      <w:r w:rsidRPr="002E4A96">
        <w:rPr>
          <w:lang w:val="en-GB"/>
        </w:rPr>
        <w:t xml:space="preserve">(related, for example, to disability or illness); 2) </w:t>
      </w:r>
      <w:r w:rsidRPr="002E4A96">
        <w:rPr>
          <w:i/>
          <w:iCs/>
          <w:lang w:val="en-GB"/>
        </w:rPr>
        <w:t xml:space="preserve">Variations in non-personal resources </w:t>
      </w:r>
      <w:r w:rsidRPr="002E4A96">
        <w:rPr>
          <w:lang w:val="en-GB"/>
        </w:rPr>
        <w:t xml:space="preserve">(such as health care or community resources); 3) </w:t>
      </w:r>
      <w:r w:rsidRPr="002E4A96">
        <w:rPr>
          <w:i/>
          <w:iCs/>
          <w:lang w:val="en-GB"/>
        </w:rPr>
        <w:t>Environmental diversities</w:t>
      </w:r>
      <w:r w:rsidRPr="002E4A96">
        <w:rPr>
          <w:lang w:val="en-GB"/>
        </w:rPr>
        <w:t xml:space="preserve"> (such as physical or built environment or threats from local crime); 4) </w:t>
      </w:r>
      <w:r w:rsidRPr="002E4A96">
        <w:rPr>
          <w:i/>
          <w:iCs/>
          <w:lang w:val="en-GB"/>
        </w:rPr>
        <w:t xml:space="preserve">Differences in relative position vis-à-vis others </w:t>
      </w:r>
      <w:r>
        <w:rPr>
          <w:iCs/>
          <w:lang w:val="en-GB"/>
        </w:rPr>
        <w:t xml:space="preserve">(for example </w:t>
      </w:r>
      <w:r w:rsidRPr="002E4A96">
        <w:rPr>
          <w:lang w:val="en-GB"/>
        </w:rPr>
        <w:t>relative income poverty in a rich community may translate into absolute poverty in the space of capability</w:t>
      </w:r>
      <w:r w:rsidR="00F43D8B">
        <w:rPr>
          <w:lang w:val="en-GB"/>
        </w:rPr>
        <w:t>)</w:t>
      </w:r>
      <w:r w:rsidRPr="002E4A96">
        <w:rPr>
          <w:lang w:val="en-GB"/>
        </w:rPr>
        <w:t xml:space="preserve">; </w:t>
      </w:r>
      <w:r w:rsidRPr="00F43D8B">
        <w:rPr>
          <w:iCs/>
          <w:lang w:val="en-GB"/>
        </w:rPr>
        <w:t>5)</w:t>
      </w:r>
      <w:r w:rsidRPr="002E4A96">
        <w:rPr>
          <w:i/>
          <w:iCs/>
          <w:lang w:val="en-GB"/>
        </w:rPr>
        <w:t xml:space="preserve"> Distribution within the family</w:t>
      </w:r>
      <w:r w:rsidR="00F43D8B">
        <w:rPr>
          <w:i/>
          <w:iCs/>
          <w:lang w:val="en-GB"/>
        </w:rPr>
        <w:t xml:space="preserve"> </w:t>
      </w:r>
      <w:r w:rsidR="00F43D8B">
        <w:rPr>
          <w:iCs/>
          <w:lang w:val="en-GB"/>
        </w:rPr>
        <w:t>(</w:t>
      </w:r>
      <w:r w:rsidR="00F43D8B">
        <w:rPr>
          <w:lang w:val="en-GB"/>
        </w:rPr>
        <w:t>d</w:t>
      </w:r>
      <w:r w:rsidRPr="002E4A96">
        <w:rPr>
          <w:lang w:val="en-GB"/>
        </w:rPr>
        <w:t>istributional rules within a family determining, for example, the allocation of food and health care between children and adults, males and females</w:t>
      </w:r>
      <w:r w:rsidR="00F43D8B">
        <w:rPr>
          <w:lang w:val="en-GB"/>
        </w:rPr>
        <w:t>)</w:t>
      </w:r>
      <w:r w:rsidRPr="002E4A96">
        <w:rPr>
          <w:lang w:val="en-GB"/>
        </w:rPr>
        <w:t xml:space="preserve"> (</w:t>
      </w:r>
      <w:proofErr w:type="spellStart"/>
      <w:r w:rsidRPr="002E4A96">
        <w:rPr>
          <w:lang w:val="en-GB"/>
        </w:rPr>
        <w:t>Sen</w:t>
      </w:r>
      <w:proofErr w:type="spellEnd"/>
      <w:r w:rsidRPr="002E4A96">
        <w:rPr>
          <w:lang w:val="en-GB"/>
        </w:rPr>
        <w:t xml:space="preserve">, 2005; 2009).  </w:t>
      </w:r>
    </w:p>
    <w:p w:rsidR="00DC2BC1" w:rsidRPr="00C420F1" w:rsidRDefault="00DC2BC1" w:rsidP="00ED7E96">
      <w:pPr>
        <w:spacing w:line="480" w:lineRule="auto"/>
        <w:jc w:val="both"/>
        <w:rPr>
          <w:lang w:val="en-GB"/>
        </w:rPr>
      </w:pPr>
    </w:p>
    <w:p w:rsidR="00635E3F" w:rsidRDefault="003327FF">
      <w:pPr>
        <w:widowControl w:val="0"/>
        <w:autoSpaceDE w:val="0"/>
        <w:autoSpaceDN w:val="0"/>
        <w:adjustRightInd w:val="0"/>
        <w:spacing w:after="182" w:line="480" w:lineRule="auto"/>
        <w:jc w:val="both"/>
        <w:rPr>
          <w:lang w:val="en-GB"/>
        </w:rPr>
      </w:pPr>
      <w:r w:rsidRPr="00012146">
        <w:t xml:space="preserve">Nussbaum (2011) refers to </w:t>
      </w:r>
      <w:r w:rsidRPr="00012146">
        <w:rPr>
          <w:bCs/>
          <w:i/>
          <w:iCs/>
        </w:rPr>
        <w:t>combined capabilities</w:t>
      </w:r>
      <w:r w:rsidRPr="00012146">
        <w:rPr>
          <w:lang w:val="en-GB"/>
        </w:rPr>
        <w:t xml:space="preserve">. </w:t>
      </w:r>
      <w:r w:rsidRPr="00012146">
        <w:t xml:space="preserve">She identifies internal capabilities or characteristics of a person, including personality traits, intellectual and emotional capacities, states of bodily fitness and health, </w:t>
      </w:r>
      <w:proofErr w:type="spellStart"/>
      <w:r w:rsidRPr="00012146">
        <w:t>internalised</w:t>
      </w:r>
      <w:proofErr w:type="spellEnd"/>
      <w:r w:rsidRPr="00012146">
        <w:t xml:space="preserve"> learning, skills of perception and movement, as being highly relevant to ‘</w:t>
      </w:r>
      <w:r w:rsidRPr="00012146">
        <w:rPr>
          <w:bCs/>
        </w:rPr>
        <w:t>combined capabilities</w:t>
      </w:r>
      <w:r w:rsidRPr="00012146">
        <w:t xml:space="preserve">’. </w:t>
      </w:r>
      <w:r w:rsidRPr="00012146">
        <w:rPr>
          <w:bCs/>
        </w:rPr>
        <w:t xml:space="preserve">Combined capabilities </w:t>
      </w:r>
      <w:r w:rsidRPr="00012146">
        <w:t>are freedoms or opportunities created by a combination of personal abilities and political, social and economic contexts that support these capabilities. However internal capabilities are developed in interaction with the social, economic, familial and political environments.</w:t>
      </w:r>
      <w:r w:rsidRPr="00012146">
        <w:rPr>
          <w:lang w:val="en-GB"/>
        </w:rPr>
        <w:t xml:space="preserve"> A role of </w:t>
      </w:r>
      <w:r w:rsidRPr="00012146">
        <w:t xml:space="preserve">society and governments is to support the development of </w:t>
      </w:r>
      <w:r w:rsidRPr="00012146">
        <w:rPr>
          <w:bCs/>
        </w:rPr>
        <w:t>internal capabilities</w:t>
      </w:r>
      <w:r w:rsidRPr="00012146">
        <w:t xml:space="preserve"> and create environments that facilitate opportunities for people to function in accordance with these capabilities.</w:t>
      </w:r>
      <w:r w:rsidR="003B380B" w:rsidRPr="00012146">
        <w:t xml:space="preserve"> </w:t>
      </w:r>
      <w:r w:rsidR="003B380B" w:rsidRPr="00012146">
        <w:rPr>
          <w:lang w:val="en-GB"/>
        </w:rPr>
        <w:t xml:space="preserve">In the CA there is also an </w:t>
      </w:r>
      <w:r w:rsidR="003B380B" w:rsidRPr="00012146">
        <w:t>acknowledgement of the need for the state to impose limits on some parental rights and freedoms in order to protect the capabilities and rights of children (Nussbaum</w:t>
      </w:r>
      <w:r w:rsidR="00666FFD" w:rsidRPr="00012146">
        <w:t xml:space="preserve"> and Dixon</w:t>
      </w:r>
      <w:r w:rsidR="003B380B" w:rsidRPr="00012146">
        <w:t>, 2012).</w:t>
      </w:r>
    </w:p>
    <w:p w:rsidR="00C420F1" w:rsidRDefault="00C420F1" w:rsidP="001F7716">
      <w:pPr>
        <w:spacing w:line="480" w:lineRule="auto"/>
        <w:jc w:val="both"/>
        <w:rPr>
          <w:lang w:val="en-GB"/>
        </w:rPr>
      </w:pPr>
    </w:p>
    <w:p w:rsidR="001D4C4C" w:rsidRDefault="00AF35F9" w:rsidP="00ED7E96">
      <w:pPr>
        <w:spacing w:line="480" w:lineRule="auto"/>
        <w:jc w:val="both"/>
      </w:pPr>
      <w:r>
        <w:rPr>
          <w:lang w:val="en-GB"/>
        </w:rPr>
        <w:t xml:space="preserve">The </w:t>
      </w:r>
      <w:r w:rsidR="00925B01">
        <w:rPr>
          <w:lang w:val="en-GB"/>
        </w:rPr>
        <w:t xml:space="preserve">CA </w:t>
      </w:r>
      <w:r w:rsidR="008202F1">
        <w:rPr>
          <w:lang w:val="en-GB"/>
        </w:rPr>
        <w:t xml:space="preserve">recognises that people are not </w:t>
      </w:r>
      <w:r w:rsidR="005F55DA">
        <w:rPr>
          <w:lang w:val="en-GB"/>
        </w:rPr>
        <w:t xml:space="preserve">equally placed to realise their human capabilities arising from structural inequalities, such as class, ‘race’, gender and disabilities, and tackling these is central to </w:t>
      </w:r>
      <w:r>
        <w:rPr>
          <w:lang w:val="en-GB"/>
        </w:rPr>
        <w:t xml:space="preserve">the </w:t>
      </w:r>
      <w:r w:rsidR="005F55DA">
        <w:rPr>
          <w:lang w:val="en-GB"/>
        </w:rPr>
        <w:t xml:space="preserve">CA’s theory of social justice (Carpenter, 2009).  </w:t>
      </w:r>
      <w:r w:rsidR="00926368" w:rsidRPr="00F14710">
        <w:t xml:space="preserve">Poverty is regarded as a capability </w:t>
      </w:r>
      <w:proofErr w:type="spellStart"/>
      <w:r w:rsidR="00926368" w:rsidRPr="00F14710">
        <w:t>deprivator</w:t>
      </w:r>
      <w:proofErr w:type="spellEnd"/>
      <w:r w:rsidR="00926368" w:rsidRPr="00F14710">
        <w:t xml:space="preserve"> because it interferes with a person's ability to make valued choices and participate fully in society (</w:t>
      </w:r>
      <w:proofErr w:type="spellStart"/>
      <w:r w:rsidR="00926368" w:rsidRPr="00F14710">
        <w:t>Sen</w:t>
      </w:r>
      <w:proofErr w:type="spellEnd"/>
      <w:r w:rsidR="00926368" w:rsidRPr="00F14710">
        <w:t xml:space="preserve">, 1999).  </w:t>
      </w:r>
      <w:r w:rsidR="00925B01">
        <w:t>Thus, it is not just about material resources, p</w:t>
      </w:r>
      <w:r w:rsidR="00926368" w:rsidRPr="00F14710">
        <w:t xml:space="preserve">overty leads to the deprivation of certain basic capabilities, and these can vary, as </w:t>
      </w:r>
      <w:proofErr w:type="spellStart"/>
      <w:r w:rsidR="00926368" w:rsidRPr="00F14710">
        <w:t>Sen</w:t>
      </w:r>
      <w:proofErr w:type="spellEnd"/>
      <w:r w:rsidR="00926368" w:rsidRPr="00F14710">
        <w:t xml:space="preserve"> has argued, ‘from such elementary physical ones as being well nourished, being adequately clothed and sheltered, avoiding preventable morbidity, and so forth, to more complex social achievements such as taking part in the life of the community, being able to appear in public without shame, and so on’ (</w:t>
      </w:r>
      <w:proofErr w:type="spellStart"/>
      <w:r w:rsidR="00926368" w:rsidRPr="00F14710">
        <w:t>Sen</w:t>
      </w:r>
      <w:proofErr w:type="spellEnd"/>
      <w:r w:rsidR="00926368" w:rsidRPr="00F14710">
        <w:t>, 19</w:t>
      </w:r>
      <w:r w:rsidR="00BA5E5F">
        <w:t>95, p.</w:t>
      </w:r>
      <w:r w:rsidR="00926368" w:rsidRPr="00F14710">
        <w:t xml:space="preserve"> 15).</w:t>
      </w:r>
      <w:r w:rsidR="001D4C4C">
        <w:t xml:space="preserve"> </w:t>
      </w:r>
    </w:p>
    <w:p w:rsidR="001D4C4C" w:rsidDel="001D4C4C" w:rsidRDefault="001D4C4C" w:rsidP="00ED7E96">
      <w:pPr>
        <w:spacing w:line="480" w:lineRule="auto"/>
        <w:jc w:val="both"/>
      </w:pPr>
    </w:p>
    <w:p w:rsidR="0011261C" w:rsidRDefault="00E90CB8" w:rsidP="00ED7E96">
      <w:pPr>
        <w:spacing w:line="480" w:lineRule="auto"/>
        <w:jc w:val="both"/>
      </w:pPr>
      <w:r>
        <w:t>So, t</w:t>
      </w:r>
      <w:r w:rsidR="00AF35F9">
        <w:t xml:space="preserve">he </w:t>
      </w:r>
      <w:r w:rsidR="009156CF">
        <w:t xml:space="preserve">CA </w:t>
      </w:r>
      <w:r w:rsidR="00926368" w:rsidRPr="00F14710">
        <w:t xml:space="preserve">can provide a lens for poverty analysis, which </w:t>
      </w:r>
      <w:r w:rsidR="00BA5E5F" w:rsidRPr="00F14710">
        <w:t>emphasizes</w:t>
      </w:r>
      <w:r w:rsidR="00926368" w:rsidRPr="00F14710">
        <w:t xml:space="preserve"> its normative or ethical dimension. It stresses the intrinsic importance of people’s</w:t>
      </w:r>
      <w:r w:rsidR="00BA5E5F">
        <w:t xml:space="preserve"> capabilities, </w:t>
      </w:r>
      <w:r w:rsidR="00926368" w:rsidRPr="00C420F1">
        <w:t xml:space="preserve">argues for </w:t>
      </w:r>
      <w:r w:rsidR="008D2B81">
        <w:t xml:space="preserve">a </w:t>
      </w:r>
      <w:r w:rsidR="00926368" w:rsidRPr="00F14710">
        <w:t>multidimensional assessment in poverty analysis</w:t>
      </w:r>
      <w:r w:rsidR="000478D4">
        <w:t>,</w:t>
      </w:r>
      <w:r w:rsidR="00926368" w:rsidRPr="00F14710">
        <w:t xml:space="preserve"> and adopts a broad perspective of the many kinds of constraints that can limit people’s lives (Hick</w:t>
      </w:r>
      <w:r w:rsidR="00AF35F9">
        <w:t>,</w:t>
      </w:r>
      <w:r w:rsidR="00926368" w:rsidRPr="00F14710">
        <w:t xml:space="preserve"> 2012).</w:t>
      </w:r>
      <w:r w:rsidR="00926368">
        <w:t xml:space="preserve"> The inte</w:t>
      </w:r>
      <w:r w:rsidR="00D8163C">
        <w:t xml:space="preserve">rsection of inequalities is </w:t>
      </w:r>
      <w:r w:rsidR="0011261C">
        <w:t xml:space="preserve">highlighted by the </w:t>
      </w:r>
      <w:r w:rsidR="009156CF">
        <w:t>a</w:t>
      </w:r>
      <w:r w:rsidR="00DB4348" w:rsidRPr="00474918">
        <w:t>pproach</w:t>
      </w:r>
      <w:r w:rsidR="0011261C">
        <w:t>, so for</w:t>
      </w:r>
      <w:r w:rsidR="00926368">
        <w:t xml:space="preserve"> example </w:t>
      </w:r>
      <w:r w:rsidR="00CC2B52">
        <w:t>a person with a disability may</w:t>
      </w:r>
      <w:r w:rsidR="00926368">
        <w:t xml:space="preserve"> have less </w:t>
      </w:r>
      <w:r w:rsidR="00CC2B52">
        <w:t>opportunities to earn an income due to discrimination in employment processes, as well as requiring more income in order to live the life they have reason to value.</w:t>
      </w:r>
    </w:p>
    <w:p w:rsidR="0011261C" w:rsidRDefault="0011261C" w:rsidP="00ED7E96">
      <w:pPr>
        <w:spacing w:line="480" w:lineRule="auto"/>
        <w:jc w:val="both"/>
      </w:pPr>
    </w:p>
    <w:p w:rsidR="0011261C" w:rsidRPr="00C420F1" w:rsidRDefault="00E90CB8" w:rsidP="00ED7E96">
      <w:pPr>
        <w:spacing w:line="480" w:lineRule="auto"/>
        <w:jc w:val="both"/>
      </w:pPr>
      <w:r>
        <w:t>A</w:t>
      </w:r>
      <w:r w:rsidR="00DB4348" w:rsidRPr="00474918">
        <w:t xml:space="preserve"> person's capabilities are significantly shaped by their environmental and social circumstances—both past and present. </w:t>
      </w:r>
      <w:r w:rsidR="00DB4348">
        <w:t>T</w:t>
      </w:r>
      <w:r w:rsidR="00CC2B52" w:rsidRPr="00CC2B52">
        <w:t>his conception of society is predicated upon a contextual notion of causality that is flexible enough to incorporate both individual and social causes into social analysis (Smith and Seward</w:t>
      </w:r>
      <w:r w:rsidR="00DB4348">
        <w:t>, 2009</w:t>
      </w:r>
      <w:r w:rsidR="00CC2B52" w:rsidRPr="00CC2B52">
        <w:t>)</w:t>
      </w:r>
      <w:r w:rsidR="0011261C">
        <w:t xml:space="preserve">. </w:t>
      </w:r>
      <w:r w:rsidR="0011261C" w:rsidRPr="00C420F1">
        <w:t>When considering the absence of a particular capability</w:t>
      </w:r>
      <w:r>
        <w:t>,</w:t>
      </w:r>
      <w:r w:rsidR="0011261C" w:rsidRPr="00C420F1">
        <w:t xml:space="preserve"> attention is directed to the relevant causal pathways responsible. For example</w:t>
      </w:r>
      <w:r w:rsidR="009156CF">
        <w:t>,</w:t>
      </w:r>
      <w:r w:rsidR="0011261C" w:rsidRPr="00C420F1">
        <w:t xml:space="preserve"> the capability to prepare meals for one's family depends on having relevant resources (food and equipment for cooking), knowledge and skills, interpersonal proximity, and a position within the family from which sociocultural norms allow one to take on food preparation responsibilities. (</w:t>
      </w:r>
      <w:proofErr w:type="spellStart"/>
      <w:r w:rsidR="0011261C" w:rsidRPr="00C420F1">
        <w:t>Entwhistle</w:t>
      </w:r>
      <w:proofErr w:type="spellEnd"/>
      <w:r w:rsidR="0011261C" w:rsidRPr="00C420F1">
        <w:t xml:space="preserve"> and Watt, 2013).</w:t>
      </w:r>
    </w:p>
    <w:p w:rsidR="008202F1" w:rsidRPr="00C420F1" w:rsidRDefault="008202F1" w:rsidP="00ED7E96">
      <w:pPr>
        <w:spacing w:line="480" w:lineRule="auto"/>
        <w:jc w:val="both"/>
        <w:rPr>
          <w:lang w:val="en-GB"/>
        </w:rPr>
      </w:pPr>
    </w:p>
    <w:p w:rsidR="001D4C4C" w:rsidRDefault="00C420F1" w:rsidP="00ED7E96">
      <w:pPr>
        <w:spacing w:line="480" w:lineRule="auto"/>
        <w:jc w:val="both"/>
      </w:pPr>
      <w:r w:rsidRPr="00C420F1">
        <w:rPr>
          <w:lang w:val="en-GB"/>
        </w:rPr>
        <w:t xml:space="preserve">A crucial element in </w:t>
      </w:r>
      <w:r w:rsidR="00AF35F9">
        <w:rPr>
          <w:lang w:val="en-GB"/>
        </w:rPr>
        <w:t xml:space="preserve">the </w:t>
      </w:r>
      <w:r w:rsidR="003B3013">
        <w:rPr>
          <w:lang w:val="en-GB"/>
        </w:rPr>
        <w:t xml:space="preserve">CA </w:t>
      </w:r>
      <w:r w:rsidR="00157FED">
        <w:rPr>
          <w:lang w:val="en-GB"/>
        </w:rPr>
        <w:t xml:space="preserve">is agency freedom. </w:t>
      </w:r>
      <w:proofErr w:type="spellStart"/>
      <w:r w:rsidR="00157FED">
        <w:rPr>
          <w:lang w:val="en-GB"/>
        </w:rPr>
        <w:t>Sen</w:t>
      </w:r>
      <w:proofErr w:type="spellEnd"/>
      <w:r w:rsidR="00157FED">
        <w:rPr>
          <w:lang w:val="en-GB"/>
        </w:rPr>
        <w:t xml:space="preserve"> (2009)</w:t>
      </w:r>
      <w:r w:rsidRPr="00C420F1">
        <w:rPr>
          <w:lang w:val="en-GB"/>
        </w:rPr>
        <w:t xml:space="preserve"> argues that agency freedom </w:t>
      </w:r>
      <w:r w:rsidR="0043575C">
        <w:rPr>
          <w:lang w:val="en-GB"/>
        </w:rPr>
        <w:t>is</w:t>
      </w:r>
      <w:r w:rsidRPr="00C420F1">
        <w:rPr>
          <w:lang w:val="en-GB"/>
        </w:rPr>
        <w:t xml:space="preserve"> intrinsically important regardless of whether it increases or decreases </w:t>
      </w:r>
      <w:proofErr w:type="gramStart"/>
      <w:r w:rsidRPr="00C420F1">
        <w:rPr>
          <w:lang w:val="en-GB"/>
        </w:rPr>
        <w:t>well-being</w:t>
      </w:r>
      <w:proofErr w:type="gramEnd"/>
      <w:r w:rsidRPr="00C420F1">
        <w:rPr>
          <w:lang w:val="en-GB"/>
        </w:rPr>
        <w:t xml:space="preserve">, because of the importance that is </w:t>
      </w:r>
      <w:r w:rsidR="00157FED">
        <w:rPr>
          <w:lang w:val="en-GB"/>
        </w:rPr>
        <w:t>attached to the individual’s ‘</w:t>
      </w:r>
      <w:r w:rsidRPr="00C420F1">
        <w:rPr>
          <w:lang w:val="en-GB"/>
        </w:rPr>
        <w:t>real freedom</w:t>
      </w:r>
      <w:r w:rsidR="00157FED">
        <w:rPr>
          <w:lang w:val="en-GB"/>
        </w:rPr>
        <w:t>’ (</w:t>
      </w:r>
      <w:proofErr w:type="spellStart"/>
      <w:r w:rsidRPr="00C420F1">
        <w:t>Giullari</w:t>
      </w:r>
      <w:proofErr w:type="spellEnd"/>
      <w:r w:rsidRPr="00C420F1">
        <w:t xml:space="preserve"> and Lewis,</w:t>
      </w:r>
      <w:r w:rsidR="00DB4348">
        <w:t xml:space="preserve"> 2005</w:t>
      </w:r>
      <w:r w:rsidRPr="00C420F1">
        <w:t>). Capabilities are substantive freedoms; the potential to do</w:t>
      </w:r>
      <w:r w:rsidR="00925B01">
        <w:t>,</w:t>
      </w:r>
      <w:r w:rsidRPr="00C420F1">
        <w:t xml:space="preserve"> or to be something that is social valued, and distinguished from actually exercised or realized specific </w:t>
      </w:r>
      <w:proofErr w:type="spellStart"/>
      <w:r w:rsidRPr="00C420F1">
        <w:t>functionings</w:t>
      </w:r>
      <w:proofErr w:type="spellEnd"/>
      <w:r w:rsidRPr="00C420F1">
        <w:t>. What one chooses is less important than the range of valued options actually entertained, developmentally available and so</w:t>
      </w:r>
      <w:r w:rsidR="00BA5E5F">
        <w:t xml:space="preserve">cially sanctioned. As </w:t>
      </w:r>
      <w:proofErr w:type="spellStart"/>
      <w:r w:rsidR="00BA5E5F">
        <w:t>Sen</w:t>
      </w:r>
      <w:proofErr w:type="spellEnd"/>
      <w:r w:rsidR="00BA5E5F">
        <w:t xml:space="preserve"> (2005, p.</w:t>
      </w:r>
      <w:r w:rsidRPr="00C420F1">
        <w:t xml:space="preserve"> 155) explains ‘the </w:t>
      </w:r>
      <w:r w:rsidRPr="00C420F1">
        <w:rPr>
          <w:i/>
        </w:rPr>
        <w:t>freedom to have</w:t>
      </w:r>
      <w:r w:rsidRPr="00C420F1">
        <w:t xml:space="preserve"> any particular thing can be substantially distinguished from actually </w:t>
      </w:r>
      <w:r w:rsidRPr="00C420F1">
        <w:rPr>
          <w:i/>
        </w:rPr>
        <w:t xml:space="preserve">having </w:t>
      </w:r>
      <w:r w:rsidRPr="00C420F1">
        <w:t>that thing. What a person is free to have – not just what he actually has – is relevant</w:t>
      </w:r>
      <w:r w:rsidR="0043575C">
        <w:t>…</w:t>
      </w:r>
      <w:r w:rsidRPr="00C420F1">
        <w:t xml:space="preserve"> to a theory of justice.’ Such a stance contains a constructive tension between cultural context and moral agency (Hopper, 2007). When assessments of quality of life focus on people's capabilities rather than their achieved </w:t>
      </w:r>
      <w:proofErr w:type="spellStart"/>
      <w:r w:rsidRPr="00C420F1">
        <w:t>functionings</w:t>
      </w:r>
      <w:proofErr w:type="spellEnd"/>
      <w:r w:rsidRPr="00C420F1">
        <w:t>, they avoid imposing particular expectations on everyone. For example, a focus on the capability to be well nourished requires consideration of the means available (i.e. sufficient food) but also allows respect for the value that some might attach to religious or politically motivated fasting, as well as the value of being well nourished (</w:t>
      </w:r>
      <w:proofErr w:type="spellStart"/>
      <w:r w:rsidRPr="00C420F1">
        <w:t>Entwhistle</w:t>
      </w:r>
      <w:proofErr w:type="spellEnd"/>
      <w:r w:rsidRPr="00C420F1">
        <w:t xml:space="preserve"> and Watt, 2013).</w:t>
      </w:r>
      <w:r w:rsidR="00420A72">
        <w:t xml:space="preserve"> </w:t>
      </w:r>
    </w:p>
    <w:p w:rsidR="001D4C4C" w:rsidRDefault="001D4C4C" w:rsidP="00ED7E96">
      <w:pPr>
        <w:spacing w:line="480" w:lineRule="auto"/>
        <w:jc w:val="both"/>
      </w:pPr>
    </w:p>
    <w:p w:rsidR="00C420F1" w:rsidRPr="0030397B" w:rsidRDefault="00420A72" w:rsidP="0030397B">
      <w:pPr>
        <w:spacing w:line="480" w:lineRule="auto"/>
        <w:jc w:val="both"/>
      </w:pPr>
      <w:r>
        <w:t xml:space="preserve">From a capabilities perspective cultural freedom involves being able to pursue valued </w:t>
      </w:r>
      <w:proofErr w:type="spellStart"/>
      <w:r>
        <w:t>ancestoral</w:t>
      </w:r>
      <w:proofErr w:type="spellEnd"/>
      <w:r>
        <w:t xml:space="preserve"> cultural preferences whether one chooses to or not</w:t>
      </w:r>
      <w:r w:rsidR="00D4425F">
        <w:t>, reflecting opportunity and choice</w:t>
      </w:r>
      <w:r w:rsidR="001D4C4C">
        <w:t xml:space="preserve"> (</w:t>
      </w:r>
      <w:proofErr w:type="spellStart"/>
      <w:r w:rsidR="001D4C4C">
        <w:t>Sen</w:t>
      </w:r>
      <w:proofErr w:type="spellEnd"/>
      <w:r w:rsidR="001D4C4C">
        <w:t>, 2009)</w:t>
      </w:r>
      <w:r w:rsidR="00D4425F">
        <w:t xml:space="preserve">. </w:t>
      </w:r>
      <w:r w:rsidR="001D4C4C">
        <w:t>H</w:t>
      </w:r>
      <w:r w:rsidR="00D4425F">
        <w:t>armful cultural practices, such as female genital mutilation, need to be eliminated ‘on the grounds of the loss of freedom for the victims, irrespective of whether the potential migrants emigrate or not’ (</w:t>
      </w:r>
      <w:proofErr w:type="spellStart"/>
      <w:r w:rsidR="00D4425F">
        <w:t>Sen</w:t>
      </w:r>
      <w:proofErr w:type="spellEnd"/>
      <w:r w:rsidR="00D4425F">
        <w:t xml:space="preserve"> 2009, p. 237).</w:t>
      </w:r>
      <w:r w:rsidR="008202F1">
        <w:t xml:space="preserve"> </w:t>
      </w:r>
      <w:r w:rsidR="008E271B">
        <w:t xml:space="preserve"> </w:t>
      </w:r>
      <w:r w:rsidR="008E271B" w:rsidRPr="00012146">
        <w:t xml:space="preserve">The </w:t>
      </w:r>
      <w:r w:rsidR="009156CF" w:rsidRPr="00012146">
        <w:t>approach</w:t>
      </w:r>
      <w:r w:rsidR="00DC2BC1" w:rsidRPr="00012146">
        <w:t xml:space="preserve"> </w:t>
      </w:r>
      <w:r w:rsidR="008E271B" w:rsidRPr="00012146">
        <w:t xml:space="preserve">offers ways of </w:t>
      </w:r>
      <w:r w:rsidR="004D6230" w:rsidRPr="00012146">
        <w:t>thinking about universalism and diversity within a</w:t>
      </w:r>
      <w:r w:rsidR="008E271B" w:rsidRPr="00012146">
        <w:t xml:space="preserve"> social </w:t>
      </w:r>
      <w:r w:rsidR="00DB4348" w:rsidRPr="00012146">
        <w:t>just</w:t>
      </w:r>
      <w:r w:rsidR="008E271B" w:rsidRPr="00012146">
        <w:t xml:space="preserve">ice </w:t>
      </w:r>
      <w:r w:rsidR="004D6230" w:rsidRPr="00012146">
        <w:t xml:space="preserve">framework </w:t>
      </w:r>
      <w:r w:rsidR="008E271B" w:rsidRPr="00012146">
        <w:t>(Carpenter, 2009)</w:t>
      </w:r>
      <w:r w:rsidR="003B380B" w:rsidRPr="00012146">
        <w:t xml:space="preserve"> and </w:t>
      </w:r>
      <w:r w:rsidR="0030397B" w:rsidRPr="00012146">
        <w:t xml:space="preserve">can avoid the pitfalls of cultural relativism on the one hand and cultural imperialism on the other (Singh and Cowden, 2013). Otto and Ziegler (2006, p.269) suggest that the CA </w:t>
      </w:r>
      <w:r w:rsidR="003B380B" w:rsidRPr="00012146">
        <w:t>‘keeps the promise to be innovative with r</w:t>
      </w:r>
      <w:r w:rsidR="00DC2BC1" w:rsidRPr="00012146">
        <w:t>e</w:t>
      </w:r>
      <w:r w:rsidR="003B380B" w:rsidRPr="00012146">
        <w:t xml:space="preserve">spect to the significance of human diversity in assessing </w:t>
      </w:r>
      <w:r w:rsidR="00DC2BC1" w:rsidRPr="00012146">
        <w:t>e</w:t>
      </w:r>
      <w:r w:rsidR="003B380B" w:rsidRPr="00012146">
        <w:t>quality’</w:t>
      </w:r>
      <w:r w:rsidR="000478D4" w:rsidRPr="00012146">
        <w:t>.</w:t>
      </w:r>
    </w:p>
    <w:p w:rsidR="00C420F1" w:rsidRDefault="00C420F1" w:rsidP="00ED7E96">
      <w:pPr>
        <w:spacing w:line="480" w:lineRule="auto"/>
        <w:jc w:val="both"/>
      </w:pPr>
    </w:p>
    <w:p w:rsidR="00C03E5C" w:rsidRPr="00C420F1" w:rsidDel="00C03E5C" w:rsidRDefault="004D6230" w:rsidP="00ED7E96">
      <w:pPr>
        <w:spacing w:line="480" w:lineRule="auto"/>
        <w:jc w:val="both"/>
      </w:pPr>
      <w:proofErr w:type="spellStart"/>
      <w:r>
        <w:t>Sen</w:t>
      </w:r>
      <w:proofErr w:type="spellEnd"/>
      <w:r>
        <w:t xml:space="preserve"> and</w:t>
      </w:r>
      <w:r w:rsidR="008E271B" w:rsidRPr="008E271B">
        <w:t xml:space="preserve"> Nussbaum differ in relation to whether an overarching list of ‘human capabilities’ can and should be developed. </w:t>
      </w:r>
      <w:proofErr w:type="spellStart"/>
      <w:r w:rsidR="008E271B" w:rsidRPr="008E271B">
        <w:t>Sen</w:t>
      </w:r>
      <w:proofErr w:type="spellEnd"/>
      <w:r w:rsidR="008E271B" w:rsidRPr="008E271B">
        <w:t xml:space="preserve"> (2005) questions whether a definitive list can be chosen without reference to contexts and suggests that this would result in a ‘substantive diminution of the domain of public reasoning’ (p. 157). </w:t>
      </w:r>
      <w:r w:rsidR="008E271B" w:rsidRPr="008E271B">
        <w:rPr>
          <w:lang w:val="en-GB"/>
        </w:rPr>
        <w:t>Nussbaum (20</w:t>
      </w:r>
      <w:r w:rsidR="00500E09">
        <w:rPr>
          <w:lang w:val="en-GB"/>
        </w:rPr>
        <w:t>1</w:t>
      </w:r>
      <w:r w:rsidR="00666FFD">
        <w:rPr>
          <w:lang w:val="en-GB"/>
        </w:rPr>
        <w:t>1</w:t>
      </w:r>
      <w:r w:rsidR="008E271B" w:rsidRPr="008E271B">
        <w:rPr>
          <w:lang w:val="en-GB"/>
        </w:rPr>
        <w:t xml:space="preserve">) argues for the compilation of a list of the core, fundamental capabilities necessary for human </w:t>
      </w:r>
      <w:proofErr w:type="gramStart"/>
      <w:r w:rsidR="008E271B" w:rsidRPr="008E271B">
        <w:rPr>
          <w:lang w:val="en-GB"/>
        </w:rPr>
        <w:t>well-being</w:t>
      </w:r>
      <w:proofErr w:type="gramEnd"/>
      <w:r w:rsidR="008E271B" w:rsidRPr="008E271B">
        <w:rPr>
          <w:lang w:val="en-GB"/>
        </w:rPr>
        <w:t xml:space="preserve">, which must be guaranteed in order for a society to be just. She suggests that the list is subject to on-going revision and </w:t>
      </w:r>
      <w:r w:rsidR="001D4C4C">
        <w:rPr>
          <w:lang w:val="en-GB"/>
        </w:rPr>
        <w:t xml:space="preserve">her </w:t>
      </w:r>
      <w:r w:rsidR="008E271B" w:rsidRPr="008E271B">
        <w:rPr>
          <w:lang w:val="en-GB"/>
        </w:rPr>
        <w:t>list of 10 ‘Central Human Capabilities’ is sensitive to</w:t>
      </w:r>
      <w:r w:rsidR="00500E09">
        <w:rPr>
          <w:lang w:val="en-GB"/>
        </w:rPr>
        <w:t xml:space="preserve"> gender and cultural difference. </w:t>
      </w:r>
      <w:r w:rsidR="008E271B" w:rsidRPr="008E271B">
        <w:rPr>
          <w:lang w:val="en-GB"/>
        </w:rPr>
        <w:t>Whilst being closely related to human rights, Nussbaum (201</w:t>
      </w:r>
      <w:r w:rsidR="00666FFD">
        <w:rPr>
          <w:lang w:val="en-GB"/>
        </w:rPr>
        <w:t>1</w:t>
      </w:r>
      <w:r w:rsidR="008E271B" w:rsidRPr="008E271B">
        <w:rPr>
          <w:lang w:val="en-GB"/>
        </w:rPr>
        <w:t>) contrasts capabilities as requiring more affirmative and proactive state support.</w:t>
      </w:r>
    </w:p>
    <w:p w:rsidR="007E430E" w:rsidRDefault="007E430E" w:rsidP="00ED7E96">
      <w:pPr>
        <w:spacing w:line="480" w:lineRule="auto"/>
        <w:jc w:val="both"/>
      </w:pPr>
    </w:p>
    <w:p w:rsidR="0064314F" w:rsidRPr="00012146" w:rsidRDefault="000478D4" w:rsidP="00ED7E96">
      <w:pPr>
        <w:spacing w:line="480" w:lineRule="auto"/>
        <w:jc w:val="both"/>
      </w:pPr>
      <w:r w:rsidRPr="00012146">
        <w:t xml:space="preserve">The </w:t>
      </w:r>
      <w:r w:rsidR="009156CF" w:rsidRPr="00012146">
        <w:t xml:space="preserve">CA </w:t>
      </w:r>
      <w:r w:rsidR="00600B58" w:rsidRPr="00012146">
        <w:t xml:space="preserve">has been incorporated into academic and policy discourse in various </w:t>
      </w:r>
      <w:r w:rsidR="00D759E6" w:rsidRPr="00012146">
        <w:t xml:space="preserve">ways in different </w:t>
      </w:r>
      <w:r w:rsidR="00600B58" w:rsidRPr="00012146">
        <w:t>disciplines</w:t>
      </w:r>
      <w:r w:rsidR="00176E0D" w:rsidRPr="00012146">
        <w:t xml:space="preserve"> and some </w:t>
      </w:r>
      <w:r w:rsidR="00D759E6" w:rsidRPr="00012146">
        <w:t xml:space="preserve">consideration </w:t>
      </w:r>
      <w:r w:rsidR="00030398" w:rsidRPr="00012146">
        <w:t>is beginning to be given</w:t>
      </w:r>
      <w:r w:rsidR="00600B58" w:rsidRPr="00012146">
        <w:t xml:space="preserve"> to its </w:t>
      </w:r>
      <w:r w:rsidR="00813702" w:rsidRPr="00012146">
        <w:t>relevance to social work</w:t>
      </w:r>
      <w:r w:rsidR="00030398" w:rsidRPr="00012146">
        <w:t xml:space="preserve">. </w:t>
      </w:r>
      <w:r w:rsidR="001F7716" w:rsidRPr="00012146">
        <w:t xml:space="preserve"> We would argue that th</w:t>
      </w:r>
      <w:r w:rsidR="009C4665" w:rsidRPr="00012146">
        <w:t>e CA has the potential to offer</w:t>
      </w:r>
      <w:r w:rsidR="001F7716" w:rsidRPr="00012146">
        <w:t xml:space="preserve"> a</w:t>
      </w:r>
      <w:r w:rsidR="00557E81" w:rsidRPr="00012146">
        <w:t>n overarching</w:t>
      </w:r>
      <w:r w:rsidR="001F7716" w:rsidRPr="00012146">
        <w:t xml:space="preserve"> framework for socially just policy and </w:t>
      </w:r>
      <w:r w:rsidR="00D759E6" w:rsidRPr="00012146">
        <w:t xml:space="preserve">social work </w:t>
      </w:r>
      <w:r w:rsidR="001F7716" w:rsidRPr="00012146">
        <w:t xml:space="preserve">practice development that challenges the </w:t>
      </w:r>
      <w:r w:rsidR="00374321" w:rsidRPr="00012146">
        <w:t>ascent</w:t>
      </w:r>
      <w:r w:rsidR="001F7716" w:rsidRPr="00012146">
        <w:t xml:space="preserve"> of neo-liberalism and the individualization of risk</w:t>
      </w:r>
      <w:r w:rsidR="00D759E6" w:rsidRPr="00012146">
        <w:t>, and therefore warrants further attention</w:t>
      </w:r>
      <w:r w:rsidR="001F7716" w:rsidRPr="00012146">
        <w:t xml:space="preserve">. </w:t>
      </w:r>
      <w:r w:rsidR="00030398" w:rsidRPr="00012146">
        <w:t>The</w:t>
      </w:r>
      <w:r w:rsidR="003B3013" w:rsidRPr="00012146">
        <w:t xml:space="preserve"> approach</w:t>
      </w:r>
      <w:r w:rsidR="003422DB" w:rsidRPr="00012146">
        <w:t xml:space="preserve"> </w:t>
      </w:r>
      <w:r w:rsidR="003B3013" w:rsidRPr="00012146">
        <w:t>recognizes</w:t>
      </w:r>
      <w:r w:rsidR="003422DB" w:rsidRPr="00012146">
        <w:t xml:space="preserve"> </w:t>
      </w:r>
      <w:r w:rsidR="00C03E5C" w:rsidRPr="00012146">
        <w:t xml:space="preserve">structural inequalities </w:t>
      </w:r>
      <w:r w:rsidR="003422DB" w:rsidRPr="00012146">
        <w:t xml:space="preserve">and the multi-dimensional </w:t>
      </w:r>
      <w:r w:rsidR="00600B58" w:rsidRPr="00012146">
        <w:t xml:space="preserve">power relationships that influence </w:t>
      </w:r>
      <w:r w:rsidR="003422DB" w:rsidRPr="00012146">
        <w:t>an individual’s welfare in line with critical approaches to social work. Capabilities are dynamically shaped by interactions between individuals and their environments, including their social relationships</w:t>
      </w:r>
      <w:r w:rsidR="00374321" w:rsidRPr="00012146">
        <w:t>.</w:t>
      </w:r>
      <w:r w:rsidR="0030397B" w:rsidRPr="00012146">
        <w:t xml:space="preserve"> </w:t>
      </w:r>
      <w:r w:rsidR="00374321" w:rsidRPr="00012146">
        <w:t xml:space="preserve">Thus, the </w:t>
      </w:r>
      <w:r w:rsidR="001F7716" w:rsidRPr="00012146">
        <w:t xml:space="preserve">CA is </w:t>
      </w:r>
      <w:r w:rsidR="003422DB" w:rsidRPr="00012146">
        <w:t>consistent with social work’s bio-psycho-social perspectives and ecological approaches</w:t>
      </w:r>
      <w:r w:rsidR="00374321" w:rsidRPr="00012146">
        <w:t>, but</w:t>
      </w:r>
      <w:r w:rsidR="00964E01" w:rsidRPr="00012146">
        <w:t xml:space="preserve"> </w:t>
      </w:r>
      <w:r w:rsidR="009B463D" w:rsidRPr="00012146">
        <w:t xml:space="preserve">additionally </w:t>
      </w:r>
      <w:r w:rsidR="00964E01" w:rsidRPr="00012146">
        <w:t>provides a lens for the analysis of poverty</w:t>
      </w:r>
      <w:r w:rsidR="005451C6" w:rsidRPr="00012146">
        <w:t xml:space="preserve"> that</w:t>
      </w:r>
      <w:r w:rsidR="00964E01" w:rsidRPr="00012146">
        <w:t xml:space="preserve"> emphasizes its ethical dimension and the intrinsic importance of people’s capabilities as part of a broad theory for social justice that promotes human dignity for all</w:t>
      </w:r>
      <w:r w:rsidR="003422DB" w:rsidRPr="00012146">
        <w:t xml:space="preserve">. </w:t>
      </w:r>
    </w:p>
    <w:p w:rsidR="0064314F" w:rsidRPr="00012146" w:rsidRDefault="0064314F" w:rsidP="00ED7E96">
      <w:pPr>
        <w:spacing w:line="480" w:lineRule="auto"/>
        <w:jc w:val="both"/>
      </w:pPr>
    </w:p>
    <w:p w:rsidR="00C420F1" w:rsidRPr="00C420F1" w:rsidRDefault="00C420F1" w:rsidP="00ED7E96">
      <w:pPr>
        <w:spacing w:line="480" w:lineRule="auto"/>
        <w:jc w:val="both"/>
      </w:pPr>
      <w:r w:rsidRPr="00012146">
        <w:t xml:space="preserve">By recognizing that a person’s capabilities are significantly shaped by their social circumstances, the </w:t>
      </w:r>
      <w:r w:rsidR="00D759E6" w:rsidRPr="00012146">
        <w:t xml:space="preserve">CA </w:t>
      </w:r>
      <w:r w:rsidRPr="00012146">
        <w:t xml:space="preserve">encourages </w:t>
      </w:r>
      <w:r w:rsidR="00111539" w:rsidRPr="00012146">
        <w:rPr>
          <w:i/>
        </w:rPr>
        <w:t>relational</w:t>
      </w:r>
      <w:r w:rsidRPr="00012146">
        <w:t xml:space="preserve"> rather than individualistic </w:t>
      </w:r>
      <w:r w:rsidR="00403F96" w:rsidRPr="00012146">
        <w:t xml:space="preserve">blame-oriented </w:t>
      </w:r>
      <w:r w:rsidRPr="00012146">
        <w:t>thinking about people and their capabilities (Smith and Seward</w:t>
      </w:r>
      <w:r w:rsidR="003B0722" w:rsidRPr="00012146">
        <w:t>,</w:t>
      </w:r>
      <w:r w:rsidRPr="00012146">
        <w:t xml:space="preserve"> 2009)</w:t>
      </w:r>
      <w:r w:rsidR="009B463D" w:rsidRPr="00012146">
        <w:t xml:space="preserve">. It </w:t>
      </w:r>
      <w:r w:rsidRPr="00012146">
        <w:t>distinguishes between power over others and power with</w:t>
      </w:r>
      <w:r w:rsidR="00030398" w:rsidRPr="00012146">
        <w:t xml:space="preserve"> others (</w:t>
      </w:r>
      <w:proofErr w:type="spellStart"/>
      <w:r w:rsidR="00030398" w:rsidRPr="00012146">
        <w:t>Reisch</w:t>
      </w:r>
      <w:proofErr w:type="spellEnd"/>
      <w:r w:rsidR="00030398" w:rsidRPr="00012146">
        <w:t xml:space="preserve"> and </w:t>
      </w:r>
      <w:proofErr w:type="spellStart"/>
      <w:r w:rsidR="00030398" w:rsidRPr="00012146">
        <w:t>Jani</w:t>
      </w:r>
      <w:proofErr w:type="spellEnd"/>
      <w:r w:rsidR="00030398" w:rsidRPr="00012146">
        <w:t>, 2012)</w:t>
      </w:r>
      <w:r w:rsidR="009B463D" w:rsidRPr="00012146">
        <w:t xml:space="preserve"> and</w:t>
      </w:r>
      <w:r w:rsidR="00DB4348" w:rsidRPr="00012146">
        <w:t xml:space="preserve"> </w:t>
      </w:r>
      <w:r w:rsidRPr="00012146">
        <w:t>is consistent with ideas from strengths-based and relational perspectives</w:t>
      </w:r>
      <w:r w:rsidR="003422DB" w:rsidRPr="00012146">
        <w:t xml:space="preserve"> that take each service user’s </w:t>
      </w:r>
      <w:r w:rsidR="000B0336" w:rsidRPr="00012146">
        <w:t>subjective experiences and relationships that matter to them seriously</w:t>
      </w:r>
      <w:r w:rsidR="009B463D" w:rsidRPr="00012146">
        <w:t xml:space="preserve">. </w:t>
      </w:r>
      <w:r w:rsidR="00E52D92" w:rsidRPr="00012146">
        <w:t>By inc</w:t>
      </w:r>
      <w:r w:rsidR="00D759E6" w:rsidRPr="00012146">
        <w:t>orporating</w:t>
      </w:r>
      <w:r w:rsidR="00E52D92" w:rsidRPr="00012146">
        <w:t xml:space="preserve"> </w:t>
      </w:r>
      <w:r w:rsidR="00403F96" w:rsidRPr="00012146">
        <w:t>recognition</w:t>
      </w:r>
      <w:r w:rsidR="00E52D92" w:rsidRPr="00012146">
        <w:t xml:space="preserve"> of structural causes of distress, including the social construction of shame and stigma associated with poverty and other inequalities, the CA </w:t>
      </w:r>
      <w:r w:rsidR="00425F59" w:rsidRPr="00012146">
        <w:t>can provide</w:t>
      </w:r>
      <w:r w:rsidR="00E52D92" w:rsidRPr="00012146">
        <w:t xml:space="preserve"> a framework for strengths-based approaches</w:t>
      </w:r>
      <w:r w:rsidR="00425F59" w:rsidRPr="00012146">
        <w:t xml:space="preserve"> that</w:t>
      </w:r>
      <w:r w:rsidR="00E52D92" w:rsidRPr="00012146">
        <w:t xml:space="preserve"> avoids reinforcing a process of individualization </w:t>
      </w:r>
      <w:r w:rsidR="00425F59" w:rsidRPr="00012146">
        <w:t>(</w:t>
      </w:r>
      <w:proofErr w:type="spellStart"/>
      <w:r w:rsidR="00E52D92" w:rsidRPr="00012146">
        <w:t>Roose</w:t>
      </w:r>
      <w:proofErr w:type="spellEnd"/>
      <w:r w:rsidR="00E52D92" w:rsidRPr="00012146">
        <w:t xml:space="preserve"> </w:t>
      </w:r>
      <w:r w:rsidR="00E52D92" w:rsidRPr="00012146">
        <w:rPr>
          <w:i/>
        </w:rPr>
        <w:t>et al</w:t>
      </w:r>
      <w:r w:rsidR="00403F96" w:rsidRPr="00012146">
        <w:rPr>
          <w:i/>
        </w:rPr>
        <w:t>.</w:t>
      </w:r>
      <w:r w:rsidR="00425F59" w:rsidRPr="00012146">
        <w:t xml:space="preserve">, </w:t>
      </w:r>
      <w:r w:rsidR="00E52D92" w:rsidRPr="00012146">
        <w:t xml:space="preserve">2014). </w:t>
      </w:r>
      <w:r w:rsidR="00425E16" w:rsidRPr="00012146">
        <w:t xml:space="preserve">In the sections below we </w:t>
      </w:r>
      <w:r w:rsidR="00403F96" w:rsidRPr="00012146">
        <w:t xml:space="preserve">examine </w:t>
      </w:r>
      <w:r w:rsidR="00425E16" w:rsidRPr="00012146">
        <w:t>current policy context</w:t>
      </w:r>
      <w:r w:rsidR="00DB4348" w:rsidRPr="00012146">
        <w:t>s</w:t>
      </w:r>
      <w:r w:rsidR="00425E16" w:rsidRPr="00012146">
        <w:t xml:space="preserve"> and social work practice with children and families</w:t>
      </w:r>
      <w:r w:rsidR="00DB4348" w:rsidRPr="00012146">
        <w:t xml:space="preserve"> living in poverty</w:t>
      </w:r>
      <w:r w:rsidR="00E52D92" w:rsidRPr="00012146">
        <w:t xml:space="preserve"> in England</w:t>
      </w:r>
      <w:r w:rsidR="00403F96" w:rsidRPr="00012146">
        <w:t xml:space="preserve"> and explore how the CA can inform our understanding of the impact of policy and the development of social work practice within a social justice framework.</w:t>
      </w:r>
    </w:p>
    <w:p w:rsidR="008E271B" w:rsidRPr="002C220E" w:rsidRDefault="008E271B" w:rsidP="00ED7E96">
      <w:pPr>
        <w:spacing w:line="480" w:lineRule="auto"/>
        <w:jc w:val="both"/>
      </w:pPr>
    </w:p>
    <w:p w:rsidR="00EA0C62" w:rsidRPr="00EA0C62" w:rsidRDefault="00EA0C62" w:rsidP="00ED7E96">
      <w:pPr>
        <w:spacing w:line="480" w:lineRule="auto"/>
        <w:jc w:val="both"/>
        <w:rPr>
          <w:b/>
        </w:rPr>
      </w:pPr>
      <w:r w:rsidRPr="00EA0C62">
        <w:rPr>
          <w:b/>
        </w:rPr>
        <w:t>The policy and legal context for child welfare and protection</w:t>
      </w:r>
      <w:r w:rsidR="004F46D4">
        <w:rPr>
          <w:b/>
        </w:rPr>
        <w:t xml:space="preserve"> in the </w:t>
      </w:r>
      <w:r w:rsidR="00557E81">
        <w:rPr>
          <w:b/>
        </w:rPr>
        <w:t>England</w:t>
      </w:r>
    </w:p>
    <w:p w:rsidR="00EA0C62" w:rsidRDefault="00EA0C62" w:rsidP="00ED7E96">
      <w:pPr>
        <w:spacing w:line="480" w:lineRule="auto"/>
        <w:jc w:val="both"/>
        <w:rPr>
          <w:lang w:val="en-GB"/>
        </w:rPr>
      </w:pPr>
    </w:p>
    <w:p w:rsidR="0076619B" w:rsidRDefault="00EA0C62" w:rsidP="00ED7E96">
      <w:pPr>
        <w:widowControl w:val="0"/>
        <w:numPr>
          <w:ilvl w:val="0"/>
          <w:numId w:val="2"/>
        </w:numPr>
        <w:tabs>
          <w:tab w:val="left" w:pos="220"/>
          <w:tab w:val="left" w:pos="720"/>
        </w:tabs>
        <w:autoSpaceDE w:val="0"/>
        <w:autoSpaceDN w:val="0"/>
        <w:adjustRightInd w:val="0"/>
        <w:spacing w:after="240" w:line="480" w:lineRule="auto"/>
        <w:ind w:left="0" w:firstLine="0"/>
        <w:jc w:val="both"/>
        <w:rPr>
          <w:rFonts w:cs="Times"/>
        </w:rPr>
      </w:pPr>
      <w:r>
        <w:rPr>
          <w:lang w:val="en-GB"/>
        </w:rPr>
        <w:t xml:space="preserve">Since the </w:t>
      </w:r>
      <w:r w:rsidR="008E2012">
        <w:rPr>
          <w:lang w:val="en-GB"/>
        </w:rPr>
        <w:t xml:space="preserve">Coalition Government came to power </w:t>
      </w:r>
      <w:r w:rsidR="00425E16">
        <w:rPr>
          <w:lang w:val="en-GB"/>
        </w:rPr>
        <w:t xml:space="preserve">in 2010 </w:t>
      </w:r>
      <w:r w:rsidR="009468DB">
        <w:rPr>
          <w:lang w:val="en-GB"/>
        </w:rPr>
        <w:t xml:space="preserve">there have been </w:t>
      </w:r>
      <w:r w:rsidR="008E2012">
        <w:rPr>
          <w:lang w:val="en-GB"/>
        </w:rPr>
        <w:t xml:space="preserve">significant changes to the </w:t>
      </w:r>
      <w:r w:rsidR="000B0336">
        <w:rPr>
          <w:lang w:val="en-GB"/>
        </w:rPr>
        <w:t xml:space="preserve">social policy context for child welfare provision in </w:t>
      </w:r>
      <w:r w:rsidR="00557E81">
        <w:rPr>
          <w:lang w:val="en-GB"/>
        </w:rPr>
        <w:t>England</w:t>
      </w:r>
      <w:r w:rsidR="0076619B">
        <w:rPr>
          <w:lang w:val="en-GB"/>
        </w:rPr>
        <w:t>. These include</w:t>
      </w:r>
      <w:r w:rsidR="000B0336">
        <w:rPr>
          <w:lang w:val="en-GB"/>
        </w:rPr>
        <w:t xml:space="preserve"> major changes to the </w:t>
      </w:r>
      <w:r w:rsidR="008E2012">
        <w:rPr>
          <w:lang w:val="en-GB"/>
        </w:rPr>
        <w:t>we</w:t>
      </w:r>
      <w:r w:rsidR="000B0336">
        <w:rPr>
          <w:lang w:val="en-GB"/>
        </w:rPr>
        <w:t>lfare benefits system</w:t>
      </w:r>
      <w:r w:rsidR="008E2012">
        <w:rPr>
          <w:lang w:val="en-GB"/>
        </w:rPr>
        <w:t xml:space="preserve"> and </w:t>
      </w:r>
      <w:r w:rsidR="00926613">
        <w:rPr>
          <w:lang w:val="en-GB"/>
        </w:rPr>
        <w:t xml:space="preserve">large reductions in </w:t>
      </w:r>
      <w:r w:rsidR="008E2012">
        <w:rPr>
          <w:lang w:val="en-GB"/>
        </w:rPr>
        <w:t xml:space="preserve">local authority funding for </w:t>
      </w:r>
      <w:r w:rsidR="00425E16">
        <w:rPr>
          <w:lang w:val="en-GB"/>
        </w:rPr>
        <w:t xml:space="preserve">family </w:t>
      </w:r>
      <w:r w:rsidR="008E2012">
        <w:rPr>
          <w:lang w:val="en-GB"/>
        </w:rPr>
        <w:t xml:space="preserve">support services. There is evidence of increasing numbers of children and families </w:t>
      </w:r>
      <w:r w:rsidR="008E2012" w:rsidRPr="00926613">
        <w:rPr>
          <w:lang w:val="en-GB"/>
        </w:rPr>
        <w:t>experiencing poverty and deprivation (Ridge</w:t>
      </w:r>
      <w:r w:rsidR="00926613" w:rsidRPr="00926613">
        <w:rPr>
          <w:lang w:val="en-GB"/>
        </w:rPr>
        <w:t>,</w:t>
      </w:r>
      <w:r w:rsidR="008E2012" w:rsidRPr="00926613">
        <w:rPr>
          <w:lang w:val="en-GB"/>
        </w:rPr>
        <w:t xml:space="preserve"> 2013)</w:t>
      </w:r>
      <w:r w:rsidR="00DB4348">
        <w:rPr>
          <w:lang w:val="en-GB"/>
        </w:rPr>
        <w:t>,</w:t>
      </w:r>
      <w:r w:rsidR="00926613">
        <w:rPr>
          <w:lang w:val="en-GB"/>
        </w:rPr>
        <w:t xml:space="preserve"> with </w:t>
      </w:r>
      <w:r w:rsidR="00926613" w:rsidRPr="00926613">
        <w:rPr>
          <w:rFonts w:cs="Arial"/>
        </w:rPr>
        <w:t xml:space="preserve">the poorest children and families bearing the </w:t>
      </w:r>
      <w:r w:rsidR="00926613" w:rsidRPr="009468DB">
        <w:rPr>
          <w:rFonts w:cs="Arial"/>
        </w:rPr>
        <w:t xml:space="preserve">brunt of the recession and of austerity measures (Browne, </w:t>
      </w:r>
      <w:r w:rsidR="00926613" w:rsidRPr="009468DB">
        <w:rPr>
          <w:rFonts w:cs="Arial"/>
          <w:u w:color="0E6C77"/>
        </w:rPr>
        <w:t xml:space="preserve">2012). </w:t>
      </w:r>
      <w:r w:rsidR="00926613" w:rsidRPr="009468DB">
        <w:rPr>
          <w:lang w:val="en-GB"/>
        </w:rPr>
        <w:t xml:space="preserve"> </w:t>
      </w:r>
      <w:r w:rsidR="008E2012" w:rsidRPr="009468DB">
        <w:rPr>
          <w:lang w:val="en-GB"/>
        </w:rPr>
        <w:t>The numbers of families reliant on food banks is ever increasing</w:t>
      </w:r>
      <w:r w:rsidR="00050000" w:rsidRPr="009468DB">
        <w:rPr>
          <w:lang w:val="en-GB"/>
        </w:rPr>
        <w:t xml:space="preserve">. </w:t>
      </w:r>
      <w:r w:rsidR="004F46D4" w:rsidRPr="009468DB">
        <w:rPr>
          <w:lang w:val="en-GB"/>
        </w:rPr>
        <w:t xml:space="preserve">It is </w:t>
      </w:r>
      <w:r w:rsidR="004F46D4" w:rsidRPr="009468DB">
        <w:rPr>
          <w:rFonts w:cs="Times"/>
        </w:rPr>
        <w:t>estimated that 500,000 people were reliant on food</w:t>
      </w:r>
      <w:r w:rsidR="00E52D92">
        <w:rPr>
          <w:rFonts w:cs="Times"/>
        </w:rPr>
        <w:t xml:space="preserve"> aid</w:t>
      </w:r>
      <w:r w:rsidR="004F46D4" w:rsidRPr="009468DB">
        <w:rPr>
          <w:rFonts w:cs="Times"/>
        </w:rPr>
        <w:t xml:space="preserve"> in 2012-13, with the </w:t>
      </w:r>
      <w:proofErr w:type="spellStart"/>
      <w:r w:rsidR="004F46D4" w:rsidRPr="009468DB">
        <w:rPr>
          <w:rFonts w:cs="Times"/>
        </w:rPr>
        <w:t>Trussell</w:t>
      </w:r>
      <w:proofErr w:type="spellEnd"/>
      <w:r w:rsidR="004F46D4" w:rsidRPr="009468DB">
        <w:rPr>
          <w:rFonts w:cs="Times"/>
        </w:rPr>
        <w:t xml:space="preserve"> Trust </w:t>
      </w:r>
      <w:r w:rsidR="00050000" w:rsidRPr="009468DB">
        <w:rPr>
          <w:rFonts w:cs="Times"/>
        </w:rPr>
        <w:t>(the biggest provid</w:t>
      </w:r>
      <w:r w:rsidR="004F46D4" w:rsidRPr="009468DB">
        <w:rPr>
          <w:rFonts w:cs="Times"/>
        </w:rPr>
        <w:t>er of food banks in the</w:t>
      </w:r>
      <w:r w:rsidR="00557E81">
        <w:rPr>
          <w:rFonts w:cs="Times"/>
        </w:rPr>
        <w:t xml:space="preserve"> </w:t>
      </w:r>
      <w:r w:rsidR="009C4665">
        <w:rPr>
          <w:rFonts w:cs="Times"/>
        </w:rPr>
        <w:t>England</w:t>
      </w:r>
      <w:r w:rsidR="004F46D4" w:rsidRPr="009468DB">
        <w:rPr>
          <w:rFonts w:cs="Times"/>
        </w:rPr>
        <w:t>) reporting</w:t>
      </w:r>
      <w:r w:rsidR="00050000" w:rsidRPr="009468DB">
        <w:rPr>
          <w:rFonts w:cs="Times"/>
        </w:rPr>
        <w:t xml:space="preserve"> that the number</w:t>
      </w:r>
      <w:r w:rsidR="00BB2BEE">
        <w:rPr>
          <w:rFonts w:cs="Times"/>
        </w:rPr>
        <w:t xml:space="preserve"> of people </w:t>
      </w:r>
      <w:r w:rsidR="00050000" w:rsidRPr="009468DB">
        <w:rPr>
          <w:rFonts w:cs="Times"/>
        </w:rPr>
        <w:t>who receiv</w:t>
      </w:r>
      <w:r w:rsidR="004F46D4" w:rsidRPr="009468DB">
        <w:rPr>
          <w:rFonts w:cs="Times"/>
        </w:rPr>
        <w:t xml:space="preserve">ed food aid almost tripled from the previous year (Cooper and </w:t>
      </w:r>
      <w:proofErr w:type="spellStart"/>
      <w:r w:rsidR="005451C6">
        <w:rPr>
          <w:rFonts w:cs="Times"/>
        </w:rPr>
        <w:t>Dump</w:t>
      </w:r>
      <w:r w:rsidR="004F46D4" w:rsidRPr="009468DB">
        <w:rPr>
          <w:rFonts w:cs="Times"/>
        </w:rPr>
        <w:t>leton</w:t>
      </w:r>
      <w:proofErr w:type="spellEnd"/>
      <w:r w:rsidR="004F46D4" w:rsidRPr="009468DB">
        <w:rPr>
          <w:rFonts w:cs="Times"/>
        </w:rPr>
        <w:t>, 2013)</w:t>
      </w:r>
      <w:r w:rsidR="009468DB" w:rsidRPr="009468DB">
        <w:rPr>
          <w:rFonts w:cs="Times"/>
        </w:rPr>
        <w:t>. It has been suggested that half a million children are not adequately fed today, not as a result of negligence but due to a lack of money largely brought about by changes in the benefit syst</w:t>
      </w:r>
      <w:r w:rsidR="005451C6">
        <w:rPr>
          <w:rFonts w:cs="Times"/>
        </w:rPr>
        <w:t xml:space="preserve">em (Cooper and </w:t>
      </w:r>
      <w:proofErr w:type="spellStart"/>
      <w:r w:rsidR="005451C6">
        <w:rPr>
          <w:rFonts w:cs="Times"/>
        </w:rPr>
        <w:t>Dump</w:t>
      </w:r>
      <w:r w:rsidR="002F3837">
        <w:rPr>
          <w:rFonts w:cs="Times"/>
        </w:rPr>
        <w:t>leton</w:t>
      </w:r>
      <w:proofErr w:type="spellEnd"/>
      <w:r w:rsidR="002F3837">
        <w:rPr>
          <w:rFonts w:cs="Times"/>
        </w:rPr>
        <w:t>, 2013</w:t>
      </w:r>
      <w:r w:rsidR="009468DB" w:rsidRPr="009468DB">
        <w:rPr>
          <w:rFonts w:cs="Times"/>
        </w:rPr>
        <w:t xml:space="preserve">). It would seem from the growth in food aid that our society is failing to ensure many families have the basic capability of </w:t>
      </w:r>
      <w:r w:rsidR="004F46D4" w:rsidRPr="009468DB">
        <w:rPr>
          <w:rFonts w:cs="Times"/>
        </w:rPr>
        <w:t xml:space="preserve">access to sufficient income to feed themselves </w:t>
      </w:r>
      <w:r w:rsidR="009468DB" w:rsidRPr="009468DB">
        <w:rPr>
          <w:rFonts w:cs="Times"/>
        </w:rPr>
        <w:t xml:space="preserve">and their children </w:t>
      </w:r>
      <w:r w:rsidR="004F46D4" w:rsidRPr="009468DB">
        <w:rPr>
          <w:rFonts w:cs="Times"/>
        </w:rPr>
        <w:t>adequately.</w:t>
      </w:r>
    </w:p>
    <w:p w:rsidR="00EF6440" w:rsidRPr="00324B31" w:rsidRDefault="009468DB" w:rsidP="00ED7E96">
      <w:pPr>
        <w:widowControl w:val="0"/>
        <w:numPr>
          <w:ilvl w:val="0"/>
          <w:numId w:val="2"/>
        </w:numPr>
        <w:tabs>
          <w:tab w:val="left" w:pos="220"/>
          <w:tab w:val="left" w:pos="720"/>
        </w:tabs>
        <w:autoSpaceDE w:val="0"/>
        <w:autoSpaceDN w:val="0"/>
        <w:adjustRightInd w:val="0"/>
        <w:spacing w:after="240" w:line="480" w:lineRule="auto"/>
        <w:ind w:left="0" w:firstLine="0"/>
        <w:jc w:val="both"/>
        <w:rPr>
          <w:rFonts w:cs="Times"/>
        </w:rPr>
      </w:pPr>
      <w:r w:rsidRPr="009468DB">
        <w:rPr>
          <w:lang w:val="en-GB"/>
        </w:rPr>
        <w:t>The</w:t>
      </w:r>
      <w:r w:rsidR="00E83477" w:rsidRPr="009468DB">
        <w:rPr>
          <w:lang w:val="en-GB"/>
        </w:rPr>
        <w:t xml:space="preserve"> ‘cap’ on benef</w:t>
      </w:r>
      <w:r w:rsidRPr="009468DB">
        <w:rPr>
          <w:lang w:val="en-GB"/>
        </w:rPr>
        <w:t xml:space="preserve">its disproportionally affects </w:t>
      </w:r>
      <w:r w:rsidR="00E83477" w:rsidRPr="009468DB">
        <w:rPr>
          <w:lang w:val="en-GB"/>
        </w:rPr>
        <w:t xml:space="preserve">larger families and those where there are children with disabilities. </w:t>
      </w:r>
      <w:r w:rsidR="00A06B57" w:rsidRPr="009468DB">
        <w:rPr>
          <w:lang w:val="en-GB"/>
        </w:rPr>
        <w:t xml:space="preserve">This policy appears to take no account of what </w:t>
      </w:r>
      <w:proofErr w:type="spellStart"/>
      <w:r w:rsidR="00A06B57" w:rsidRPr="009468DB">
        <w:rPr>
          <w:lang w:val="en-GB"/>
        </w:rPr>
        <w:t>Sen</w:t>
      </w:r>
      <w:proofErr w:type="spellEnd"/>
      <w:r w:rsidR="00A06B57" w:rsidRPr="009468DB">
        <w:rPr>
          <w:lang w:val="en-GB"/>
        </w:rPr>
        <w:t xml:space="preserve"> </w:t>
      </w:r>
      <w:r w:rsidR="00F662E9" w:rsidRPr="009468DB">
        <w:rPr>
          <w:lang w:val="en-GB"/>
        </w:rPr>
        <w:t xml:space="preserve">(2005) </w:t>
      </w:r>
      <w:r w:rsidR="00A06B57" w:rsidRPr="009468DB">
        <w:rPr>
          <w:lang w:val="en-GB"/>
        </w:rPr>
        <w:t>would argue is the differential requirements for resources</w:t>
      </w:r>
      <w:r w:rsidR="00F662E9" w:rsidRPr="009468DB">
        <w:rPr>
          <w:lang w:val="en-GB"/>
        </w:rPr>
        <w:t xml:space="preserve">. It is therefore unsurprising that </w:t>
      </w:r>
      <w:r>
        <w:rPr>
          <w:lang w:val="en-GB"/>
        </w:rPr>
        <w:t xml:space="preserve">Browne (2012) forecasts that </w:t>
      </w:r>
      <w:r w:rsidR="00F662E9" w:rsidRPr="009468DB">
        <w:rPr>
          <w:lang w:val="en-GB"/>
        </w:rPr>
        <w:t xml:space="preserve">with the continuing implementation of welfare reforms child and family poverty will </w:t>
      </w:r>
      <w:proofErr w:type="gramStart"/>
      <w:r w:rsidR="00F662E9" w:rsidRPr="009468DB">
        <w:rPr>
          <w:lang w:val="en-GB"/>
        </w:rPr>
        <w:t>rise</w:t>
      </w:r>
      <w:proofErr w:type="gramEnd"/>
      <w:r w:rsidR="00F662E9" w:rsidRPr="009468DB">
        <w:rPr>
          <w:lang w:val="en-GB"/>
        </w:rPr>
        <w:t xml:space="preserve"> significantly, particularly amongst large families, those in rented accommodation and those with children under the </w:t>
      </w:r>
      <w:r>
        <w:rPr>
          <w:lang w:val="en-GB"/>
        </w:rPr>
        <w:t>age of five years</w:t>
      </w:r>
      <w:r w:rsidR="00F662E9" w:rsidRPr="009468DB">
        <w:rPr>
          <w:lang w:val="en-GB"/>
        </w:rPr>
        <w:t>. Research by the Ins</w:t>
      </w:r>
      <w:r w:rsidR="00B81AFB">
        <w:rPr>
          <w:lang w:val="en-GB"/>
        </w:rPr>
        <w:t xml:space="preserve">titute for Fiscal Studies </w:t>
      </w:r>
      <w:r w:rsidR="0016033D" w:rsidRPr="009468DB">
        <w:rPr>
          <w:lang w:val="en-GB"/>
        </w:rPr>
        <w:t>estimates that an increase of 1.1 million children will be living in poverty by 2020, with tax and benefit reforms accounting for alm</w:t>
      </w:r>
      <w:r w:rsidR="005451C6">
        <w:rPr>
          <w:lang w:val="en-GB"/>
        </w:rPr>
        <w:t>ost all of the increase (Browne</w:t>
      </w:r>
      <w:r w:rsidR="0016033D" w:rsidRPr="009468DB">
        <w:rPr>
          <w:lang w:val="en-GB"/>
        </w:rPr>
        <w:t xml:space="preserve"> </w:t>
      </w:r>
      <w:r w:rsidR="00C019D8">
        <w:rPr>
          <w:i/>
          <w:lang w:val="en-GB"/>
        </w:rPr>
        <w:t xml:space="preserve">et </w:t>
      </w:r>
      <w:r w:rsidR="0016033D" w:rsidRPr="009468DB">
        <w:rPr>
          <w:i/>
          <w:lang w:val="en-GB"/>
        </w:rPr>
        <w:t xml:space="preserve">al., </w:t>
      </w:r>
      <w:r w:rsidR="0016033D" w:rsidRPr="009468DB">
        <w:rPr>
          <w:lang w:val="en-GB"/>
        </w:rPr>
        <w:t>2013)</w:t>
      </w:r>
      <w:r>
        <w:rPr>
          <w:lang w:val="en-GB"/>
        </w:rPr>
        <w:t>.</w:t>
      </w:r>
      <w:r w:rsidR="00324B31">
        <w:rPr>
          <w:rFonts w:cs="Times"/>
        </w:rPr>
        <w:t xml:space="preserve"> </w:t>
      </w:r>
      <w:r w:rsidR="00E83477" w:rsidRPr="00324B31">
        <w:rPr>
          <w:lang w:val="en-GB"/>
        </w:rPr>
        <w:t xml:space="preserve">Alongside </w:t>
      </w:r>
      <w:r w:rsidR="0016033D" w:rsidRPr="00324B31">
        <w:rPr>
          <w:lang w:val="en-GB"/>
        </w:rPr>
        <w:t>a reduction in relative income</w:t>
      </w:r>
      <w:r w:rsidR="00F85345" w:rsidRPr="00324B31">
        <w:rPr>
          <w:lang w:val="en-GB"/>
        </w:rPr>
        <w:t xml:space="preserve">, severe cuts to local authority budgets have led to many </w:t>
      </w:r>
      <w:r w:rsidR="00E83477" w:rsidRPr="00324B31">
        <w:rPr>
          <w:lang w:val="en-GB"/>
        </w:rPr>
        <w:t>community resources</w:t>
      </w:r>
      <w:r w:rsidR="006411A7" w:rsidRPr="00324B31">
        <w:rPr>
          <w:lang w:val="en-GB"/>
        </w:rPr>
        <w:t>, such as libraries</w:t>
      </w:r>
      <w:r w:rsidR="00BB2BEE">
        <w:rPr>
          <w:lang w:val="en-GB"/>
        </w:rPr>
        <w:t>,</w:t>
      </w:r>
      <w:r w:rsidR="00E83477" w:rsidRPr="00324B31">
        <w:rPr>
          <w:lang w:val="en-GB"/>
        </w:rPr>
        <w:t xml:space="preserve"> being </w:t>
      </w:r>
      <w:r w:rsidR="00F85345" w:rsidRPr="00324B31">
        <w:rPr>
          <w:lang w:val="en-GB"/>
        </w:rPr>
        <w:t>shut down</w:t>
      </w:r>
      <w:r w:rsidR="006411A7" w:rsidRPr="00324B31">
        <w:rPr>
          <w:lang w:val="en-GB"/>
        </w:rPr>
        <w:t xml:space="preserve">, with disproportionate effect on disadvantaged children’s lives (Ridge, 2013). </w:t>
      </w:r>
      <w:r w:rsidR="00E83477" w:rsidRPr="00324B31">
        <w:rPr>
          <w:lang w:val="en-GB"/>
        </w:rPr>
        <w:t>From a capabilities perspective, families</w:t>
      </w:r>
      <w:r w:rsidR="006411A7" w:rsidRPr="00324B31">
        <w:rPr>
          <w:lang w:val="en-GB"/>
        </w:rPr>
        <w:t xml:space="preserve"> living in poverty</w:t>
      </w:r>
      <w:r w:rsidR="00E83477" w:rsidRPr="00324B31">
        <w:rPr>
          <w:lang w:val="en-GB"/>
        </w:rPr>
        <w:t xml:space="preserve"> are increasingly being deprived </w:t>
      </w:r>
      <w:r w:rsidR="00BB2BEE">
        <w:rPr>
          <w:lang w:val="en-GB"/>
        </w:rPr>
        <w:t xml:space="preserve">of </w:t>
      </w:r>
      <w:r w:rsidR="00E83477" w:rsidRPr="00324B31">
        <w:rPr>
          <w:lang w:val="en-GB"/>
        </w:rPr>
        <w:t xml:space="preserve">the </w:t>
      </w:r>
      <w:r w:rsidR="006411A7" w:rsidRPr="00324B31">
        <w:rPr>
          <w:lang w:val="en-GB"/>
        </w:rPr>
        <w:t xml:space="preserve">means </w:t>
      </w:r>
      <w:r w:rsidR="00E83477" w:rsidRPr="00324B31">
        <w:rPr>
          <w:lang w:val="en-GB"/>
        </w:rPr>
        <w:t>f</w:t>
      </w:r>
      <w:r w:rsidR="00C27B9F" w:rsidRPr="00324B31">
        <w:rPr>
          <w:lang w:val="en-GB"/>
        </w:rPr>
        <w:t>or basic capabi</w:t>
      </w:r>
      <w:r w:rsidR="006411A7" w:rsidRPr="00324B31">
        <w:rPr>
          <w:lang w:val="en-GB"/>
        </w:rPr>
        <w:t>lities, such as adequate nu</w:t>
      </w:r>
      <w:r w:rsidR="00C27B9F" w:rsidRPr="00324B31">
        <w:rPr>
          <w:lang w:val="en-GB"/>
        </w:rPr>
        <w:t>t</w:t>
      </w:r>
      <w:r w:rsidR="006411A7" w:rsidRPr="00324B31">
        <w:rPr>
          <w:lang w:val="en-GB"/>
        </w:rPr>
        <w:t>r</w:t>
      </w:r>
      <w:r w:rsidR="00C27B9F" w:rsidRPr="00324B31">
        <w:rPr>
          <w:lang w:val="en-GB"/>
        </w:rPr>
        <w:t>ition</w:t>
      </w:r>
      <w:r w:rsidR="00E83477" w:rsidRPr="00324B31">
        <w:rPr>
          <w:lang w:val="en-GB"/>
        </w:rPr>
        <w:t>, warmth and shelter</w:t>
      </w:r>
      <w:r w:rsidR="006411A7" w:rsidRPr="00324B31">
        <w:rPr>
          <w:lang w:val="en-GB"/>
        </w:rPr>
        <w:t xml:space="preserve">, as well as </w:t>
      </w:r>
      <w:r w:rsidR="003D5E2D" w:rsidRPr="00324B31">
        <w:rPr>
          <w:lang w:val="en-GB"/>
        </w:rPr>
        <w:t xml:space="preserve">social and environmental </w:t>
      </w:r>
      <w:r w:rsidR="00BB2BEE">
        <w:rPr>
          <w:lang w:val="en-GB"/>
        </w:rPr>
        <w:t xml:space="preserve">‘conversion’ </w:t>
      </w:r>
      <w:r w:rsidR="003D5E2D" w:rsidRPr="00324B31">
        <w:rPr>
          <w:lang w:val="en-GB"/>
        </w:rPr>
        <w:t xml:space="preserve">factors that would support their capabilities and </w:t>
      </w:r>
      <w:proofErr w:type="spellStart"/>
      <w:r w:rsidR="003D5E2D" w:rsidRPr="00324B31">
        <w:rPr>
          <w:lang w:val="en-GB"/>
        </w:rPr>
        <w:t>functionings</w:t>
      </w:r>
      <w:proofErr w:type="spellEnd"/>
      <w:r w:rsidR="00E83477" w:rsidRPr="00324B31">
        <w:rPr>
          <w:lang w:val="en-GB"/>
        </w:rPr>
        <w:t>.</w:t>
      </w:r>
    </w:p>
    <w:p w:rsidR="001E1DAC" w:rsidRPr="00121FB1" w:rsidRDefault="00BB2BEE" w:rsidP="00ED7E96">
      <w:pPr>
        <w:widowControl w:val="0"/>
        <w:autoSpaceDE w:val="0"/>
        <w:autoSpaceDN w:val="0"/>
        <w:adjustRightInd w:val="0"/>
        <w:spacing w:line="480" w:lineRule="auto"/>
        <w:jc w:val="both"/>
        <w:rPr>
          <w:rFonts w:cs="Times New Roman"/>
          <w:szCs w:val="20"/>
        </w:rPr>
      </w:pPr>
      <w:r>
        <w:rPr>
          <w:lang w:val="en-GB"/>
        </w:rPr>
        <w:t>Alongside</w:t>
      </w:r>
      <w:r w:rsidR="001E1DAC">
        <w:rPr>
          <w:lang w:val="en-GB"/>
        </w:rPr>
        <w:t xml:space="preserve"> policies of the Coalition Government, there has been have been increasing p</w:t>
      </w:r>
      <w:r w:rsidR="000F7AD8">
        <w:rPr>
          <w:lang w:val="en-GB"/>
        </w:rPr>
        <w:t>ublic</w:t>
      </w:r>
      <w:r w:rsidR="001E1DAC">
        <w:rPr>
          <w:lang w:val="en-GB"/>
        </w:rPr>
        <w:t xml:space="preserve"> and </w:t>
      </w:r>
      <w:r w:rsidR="000F7AD8">
        <w:rPr>
          <w:lang w:val="en-GB"/>
        </w:rPr>
        <w:t xml:space="preserve">media </w:t>
      </w:r>
      <w:r w:rsidR="00F17800">
        <w:rPr>
          <w:lang w:val="en-GB"/>
        </w:rPr>
        <w:t xml:space="preserve">discourse </w:t>
      </w:r>
      <w:r w:rsidR="000F7AD8">
        <w:rPr>
          <w:lang w:val="en-GB"/>
        </w:rPr>
        <w:t xml:space="preserve">that stigmatises and </w:t>
      </w:r>
      <w:r w:rsidR="002645A9" w:rsidRPr="00C27B9F">
        <w:rPr>
          <w:lang w:val="en-GB"/>
        </w:rPr>
        <w:t>demonise</w:t>
      </w:r>
      <w:r w:rsidR="002645A9">
        <w:rPr>
          <w:lang w:val="en-GB"/>
        </w:rPr>
        <w:t>s people</w:t>
      </w:r>
      <w:r w:rsidR="000F7AD8">
        <w:rPr>
          <w:lang w:val="en-GB"/>
        </w:rPr>
        <w:t xml:space="preserve"> </w:t>
      </w:r>
      <w:r w:rsidR="00176E0D">
        <w:rPr>
          <w:lang w:val="en-GB"/>
        </w:rPr>
        <w:t xml:space="preserve">with a particular </w:t>
      </w:r>
      <w:r w:rsidR="00925B01">
        <w:rPr>
          <w:lang w:val="en-GB"/>
        </w:rPr>
        <w:t xml:space="preserve">moral </w:t>
      </w:r>
      <w:r w:rsidR="00176E0D">
        <w:rPr>
          <w:lang w:val="en-GB"/>
        </w:rPr>
        <w:t xml:space="preserve">twist evident in relation to parents who are deemed responsible for their children’s </w:t>
      </w:r>
      <w:r w:rsidR="000F7AD8">
        <w:rPr>
          <w:lang w:val="en-GB"/>
        </w:rPr>
        <w:t xml:space="preserve">poverty </w:t>
      </w:r>
      <w:r w:rsidR="00176E0D">
        <w:rPr>
          <w:lang w:val="en-GB"/>
        </w:rPr>
        <w:t xml:space="preserve">because of their poor choices </w:t>
      </w:r>
      <w:r w:rsidR="001E1DAC" w:rsidRPr="00C27B9F">
        <w:rPr>
          <w:lang w:val="en-GB"/>
        </w:rPr>
        <w:t>(</w:t>
      </w:r>
      <w:r w:rsidR="00E602C7">
        <w:rPr>
          <w:lang w:val="en-GB"/>
        </w:rPr>
        <w:t>Parton, 2014</w:t>
      </w:r>
      <w:r w:rsidR="001E1DAC" w:rsidRPr="00C27B9F">
        <w:rPr>
          <w:lang w:val="en-GB"/>
        </w:rPr>
        <w:t>).</w:t>
      </w:r>
      <w:r w:rsidR="001E1DAC">
        <w:rPr>
          <w:lang w:val="en-GB"/>
        </w:rPr>
        <w:t xml:space="preserve"> </w:t>
      </w:r>
      <w:r w:rsidR="00324B31">
        <w:rPr>
          <w:lang w:val="en-GB"/>
        </w:rPr>
        <w:t>T</w:t>
      </w:r>
      <w:r w:rsidR="000F7AD8">
        <w:rPr>
          <w:lang w:val="en-GB"/>
        </w:rPr>
        <w:t>he individual blaming of families for their socio-economic hardship</w:t>
      </w:r>
      <w:r w:rsidR="00324B31">
        <w:rPr>
          <w:lang w:val="en-GB"/>
        </w:rPr>
        <w:t xml:space="preserve">, although </w:t>
      </w:r>
      <w:r w:rsidR="00925B01">
        <w:rPr>
          <w:lang w:val="en-GB"/>
        </w:rPr>
        <w:t xml:space="preserve">apparent </w:t>
      </w:r>
      <w:r w:rsidR="00324B31">
        <w:rPr>
          <w:lang w:val="en-GB"/>
        </w:rPr>
        <w:t>in some of the policies of New Labour,</w:t>
      </w:r>
      <w:r w:rsidR="000F7AD8">
        <w:rPr>
          <w:lang w:val="en-GB"/>
        </w:rPr>
        <w:t xml:space="preserve"> has significantly gathered </w:t>
      </w:r>
      <w:r w:rsidR="008618C9">
        <w:rPr>
          <w:lang w:val="en-GB"/>
        </w:rPr>
        <w:t xml:space="preserve">pace </w:t>
      </w:r>
      <w:r w:rsidR="00B62A0A">
        <w:rPr>
          <w:lang w:val="en-GB"/>
        </w:rPr>
        <w:t xml:space="preserve">under the Coalition Government. </w:t>
      </w:r>
      <w:r w:rsidR="008618C9">
        <w:rPr>
          <w:lang w:val="en-GB"/>
        </w:rPr>
        <w:t xml:space="preserve">Poverty has once again been recast as a personal deficit rooted in perceived individual failings and moral turpitude (Ridge, 2013). </w:t>
      </w:r>
      <w:proofErr w:type="spellStart"/>
      <w:r w:rsidR="00B62A0A">
        <w:rPr>
          <w:lang w:val="en-GB"/>
        </w:rPr>
        <w:t>Sen</w:t>
      </w:r>
      <w:proofErr w:type="spellEnd"/>
      <w:r w:rsidR="00B62A0A">
        <w:rPr>
          <w:lang w:val="en-GB"/>
        </w:rPr>
        <w:t xml:space="preserve"> (1995; 2005) recognizes the </w:t>
      </w:r>
      <w:r w:rsidR="008618C9">
        <w:rPr>
          <w:lang w:val="en-GB"/>
        </w:rPr>
        <w:t xml:space="preserve">corrosive and negative </w:t>
      </w:r>
      <w:r w:rsidR="00B62A0A">
        <w:rPr>
          <w:lang w:val="en-GB"/>
        </w:rPr>
        <w:t>impact of shame and stigma on people living relative pov</w:t>
      </w:r>
      <w:r w:rsidR="008618C9">
        <w:rPr>
          <w:lang w:val="en-GB"/>
        </w:rPr>
        <w:t>erty, as do many other authors (Chase and Walker, 2012</w:t>
      </w:r>
      <w:r w:rsidR="008618C9" w:rsidRPr="00121FB1">
        <w:rPr>
          <w:lang w:val="en-GB"/>
        </w:rPr>
        <w:t xml:space="preserve">). </w:t>
      </w:r>
      <w:r w:rsidR="00324B31">
        <w:rPr>
          <w:lang w:val="en-GB"/>
        </w:rPr>
        <w:t xml:space="preserve">As </w:t>
      </w:r>
      <w:r w:rsidR="00324B31">
        <w:rPr>
          <w:rFonts w:cs="Times New Roman"/>
          <w:szCs w:val="20"/>
        </w:rPr>
        <w:t>Wilkinson and Pickett (</w:t>
      </w:r>
      <w:r w:rsidR="00324B31" w:rsidRPr="00121FB1">
        <w:rPr>
          <w:rFonts w:cs="Times New Roman"/>
          <w:szCs w:val="20"/>
        </w:rPr>
        <w:t>2009, p. 41</w:t>
      </w:r>
      <w:r w:rsidR="00324B31">
        <w:rPr>
          <w:rFonts w:cs="Times New Roman"/>
          <w:szCs w:val="20"/>
        </w:rPr>
        <w:t>) explain ‘</w:t>
      </w:r>
      <w:r w:rsidR="00324B31">
        <w:rPr>
          <w:rFonts w:cs="Times New Roman"/>
          <w:color w:val="000000"/>
          <w:szCs w:val="20"/>
        </w:rPr>
        <w:t>s</w:t>
      </w:r>
      <w:r w:rsidR="00121FB1">
        <w:rPr>
          <w:rFonts w:cs="Times New Roman"/>
          <w:color w:val="000000"/>
          <w:szCs w:val="20"/>
        </w:rPr>
        <w:t xml:space="preserve">hame and its opposite, pride, </w:t>
      </w:r>
      <w:r w:rsidR="00121FB1" w:rsidRPr="00121FB1">
        <w:rPr>
          <w:rFonts w:cs="Times New Roman"/>
          <w:color w:val="000000"/>
          <w:szCs w:val="20"/>
        </w:rPr>
        <w:t>are rooted in the processes through which we internalize how we imagine</w:t>
      </w:r>
      <w:r w:rsidR="00121FB1">
        <w:rPr>
          <w:rFonts w:cs="Times New Roman"/>
          <w:color w:val="000000"/>
          <w:szCs w:val="20"/>
        </w:rPr>
        <w:t xml:space="preserve"> </w:t>
      </w:r>
      <w:r w:rsidR="00121FB1" w:rsidRPr="00121FB1">
        <w:rPr>
          <w:rFonts w:cs="Times New Roman"/>
          <w:color w:val="000000"/>
          <w:szCs w:val="20"/>
        </w:rPr>
        <w:t>others see us’</w:t>
      </w:r>
      <w:r w:rsidR="00121FB1" w:rsidRPr="00121FB1">
        <w:rPr>
          <w:rFonts w:cs="Times New Roman"/>
          <w:szCs w:val="20"/>
        </w:rPr>
        <w:t xml:space="preserve">. </w:t>
      </w:r>
      <w:r w:rsidR="008618C9" w:rsidRPr="00121FB1">
        <w:rPr>
          <w:lang w:val="en-GB"/>
        </w:rPr>
        <w:t>The</w:t>
      </w:r>
      <w:r w:rsidR="008618C9">
        <w:rPr>
          <w:lang w:val="en-GB"/>
        </w:rPr>
        <w:t xml:space="preserve"> debates fuelled by politicians and the media that portrays people l</w:t>
      </w:r>
      <w:r w:rsidR="00B61F8F">
        <w:rPr>
          <w:lang w:val="en-GB"/>
        </w:rPr>
        <w:t xml:space="preserve">iving poverty as </w:t>
      </w:r>
      <w:r w:rsidR="00324B31">
        <w:rPr>
          <w:lang w:val="en-GB"/>
        </w:rPr>
        <w:t xml:space="preserve">‘scroungers’ and ‘skivers’ can </w:t>
      </w:r>
      <w:r w:rsidR="00B61F8F">
        <w:rPr>
          <w:lang w:val="en-GB"/>
        </w:rPr>
        <w:t>only serve to further undermine the social confidence, self-esteem and capabilities of children and adults living in poverty.</w:t>
      </w:r>
    </w:p>
    <w:p w:rsidR="00EF6440" w:rsidRDefault="00EF6440" w:rsidP="00ED7E96">
      <w:pPr>
        <w:spacing w:line="480" w:lineRule="auto"/>
        <w:jc w:val="both"/>
        <w:rPr>
          <w:lang w:val="en-GB"/>
        </w:rPr>
      </w:pPr>
    </w:p>
    <w:p w:rsidR="002609AE" w:rsidRPr="00B54C25" w:rsidRDefault="00A06B57" w:rsidP="00ED7E96">
      <w:pPr>
        <w:spacing w:line="480" w:lineRule="auto"/>
        <w:jc w:val="both"/>
        <w:rPr>
          <w:szCs w:val="20"/>
          <w:lang w:val="en-GB"/>
        </w:rPr>
      </w:pPr>
      <w:r>
        <w:rPr>
          <w:lang w:val="en-GB"/>
        </w:rPr>
        <w:t xml:space="preserve">The </w:t>
      </w:r>
      <w:r w:rsidR="00EF6440">
        <w:rPr>
          <w:lang w:val="en-GB"/>
        </w:rPr>
        <w:t xml:space="preserve">direct </w:t>
      </w:r>
      <w:r>
        <w:rPr>
          <w:lang w:val="en-GB"/>
        </w:rPr>
        <w:t>negative impact of poverty on children’s develo</w:t>
      </w:r>
      <w:r w:rsidR="003D5E2D">
        <w:rPr>
          <w:lang w:val="en-GB"/>
        </w:rPr>
        <w:t xml:space="preserve">pment has been well </w:t>
      </w:r>
      <w:r w:rsidR="00C27B9F">
        <w:rPr>
          <w:lang w:val="en-GB"/>
        </w:rPr>
        <w:t>documented</w:t>
      </w:r>
      <w:r w:rsidR="00EF6440">
        <w:rPr>
          <w:lang w:val="en-GB"/>
        </w:rPr>
        <w:t>.</w:t>
      </w:r>
      <w:r w:rsidR="00C27B9F">
        <w:rPr>
          <w:lang w:val="en-GB"/>
        </w:rPr>
        <w:t xml:space="preserve"> </w:t>
      </w:r>
      <w:r w:rsidR="00FC63D9">
        <w:rPr>
          <w:lang w:val="en-GB"/>
        </w:rPr>
        <w:t xml:space="preserve">Children who grow up in poverty are at greater risk of a wide range of adverse outcomes including in relation to </w:t>
      </w:r>
      <w:r w:rsidR="00B61F8F">
        <w:rPr>
          <w:lang w:val="en-GB"/>
        </w:rPr>
        <w:t xml:space="preserve">their </w:t>
      </w:r>
      <w:r w:rsidR="00FC63D9">
        <w:rPr>
          <w:lang w:val="en-GB"/>
        </w:rPr>
        <w:t xml:space="preserve">physical and mental health, educational attainment, </w:t>
      </w:r>
      <w:proofErr w:type="gramStart"/>
      <w:r w:rsidR="00FC63D9">
        <w:rPr>
          <w:lang w:val="en-GB"/>
        </w:rPr>
        <w:t>victimisation</w:t>
      </w:r>
      <w:proofErr w:type="gramEnd"/>
      <w:r w:rsidR="00FC63D9">
        <w:rPr>
          <w:lang w:val="en-GB"/>
        </w:rPr>
        <w:t xml:space="preserve"> by crime as well as criminalisation for anti-social or offending behaviour (</w:t>
      </w:r>
      <w:r w:rsidR="00D759E6">
        <w:rPr>
          <w:lang w:val="en-GB"/>
        </w:rPr>
        <w:t>Hooper</w:t>
      </w:r>
      <w:r w:rsidR="00FC63D9" w:rsidRPr="00324B31">
        <w:rPr>
          <w:lang w:val="en-GB"/>
        </w:rPr>
        <w:t xml:space="preserve"> </w:t>
      </w:r>
      <w:r w:rsidR="00C019D8">
        <w:rPr>
          <w:i/>
          <w:lang w:val="en-GB"/>
        </w:rPr>
        <w:t xml:space="preserve">et </w:t>
      </w:r>
      <w:r w:rsidR="00FC63D9" w:rsidRPr="00324B31">
        <w:rPr>
          <w:i/>
          <w:lang w:val="en-GB"/>
        </w:rPr>
        <w:t>al</w:t>
      </w:r>
      <w:r w:rsidR="00C019D8">
        <w:rPr>
          <w:i/>
          <w:lang w:val="en-GB"/>
        </w:rPr>
        <w:t>.</w:t>
      </w:r>
      <w:r w:rsidR="00FC63D9" w:rsidRPr="00324B31">
        <w:rPr>
          <w:i/>
          <w:lang w:val="en-GB"/>
        </w:rPr>
        <w:t xml:space="preserve">, </w:t>
      </w:r>
      <w:r w:rsidR="00FC63D9" w:rsidRPr="00324B31">
        <w:rPr>
          <w:lang w:val="en-GB"/>
        </w:rPr>
        <w:t>2007</w:t>
      </w:r>
      <w:r w:rsidR="009506C4">
        <w:rPr>
          <w:lang w:val="en-GB"/>
        </w:rPr>
        <w:t>; Bradshaw, 201</w:t>
      </w:r>
      <w:r w:rsidR="009506C4" w:rsidRPr="009506C4">
        <w:rPr>
          <w:lang w:val="en-GB"/>
        </w:rPr>
        <w:t>1</w:t>
      </w:r>
      <w:r w:rsidR="00FC63D9" w:rsidRPr="009506C4">
        <w:rPr>
          <w:lang w:val="en-GB"/>
        </w:rPr>
        <w:t>).</w:t>
      </w:r>
      <w:r w:rsidR="00FC63D9" w:rsidRPr="00324B31">
        <w:rPr>
          <w:i/>
          <w:lang w:val="en-GB"/>
        </w:rPr>
        <w:t xml:space="preserve"> </w:t>
      </w:r>
      <w:r w:rsidR="00B61F8F" w:rsidRPr="00324B31">
        <w:rPr>
          <w:lang w:val="en-GB"/>
        </w:rPr>
        <w:t xml:space="preserve">Cooper </w:t>
      </w:r>
      <w:r w:rsidR="002F3837">
        <w:rPr>
          <w:lang w:val="en-GB"/>
        </w:rPr>
        <w:t>and Stewart</w:t>
      </w:r>
      <w:r w:rsidR="002F3837">
        <w:rPr>
          <w:i/>
          <w:lang w:val="en-GB"/>
        </w:rPr>
        <w:t xml:space="preserve">, </w:t>
      </w:r>
      <w:r w:rsidR="00B61F8F" w:rsidRPr="00324B31">
        <w:rPr>
          <w:lang w:val="en-GB"/>
        </w:rPr>
        <w:t>2013)</w:t>
      </w:r>
      <w:r w:rsidR="00506579" w:rsidRPr="00324B31">
        <w:rPr>
          <w:lang w:val="en-GB"/>
        </w:rPr>
        <w:t xml:space="preserve"> found that children in lower income families</w:t>
      </w:r>
      <w:r w:rsidR="00506579">
        <w:rPr>
          <w:lang w:val="en-GB"/>
        </w:rPr>
        <w:t xml:space="preserve"> have worse cognitive, social-behavioural and health outcomes in part </w:t>
      </w:r>
      <w:r w:rsidR="00506579">
        <w:rPr>
          <w:i/>
          <w:lang w:val="en-GB"/>
        </w:rPr>
        <w:t xml:space="preserve">because they are poorer, </w:t>
      </w:r>
      <w:r w:rsidR="00506579">
        <w:rPr>
          <w:lang w:val="en-GB"/>
        </w:rPr>
        <w:t xml:space="preserve">not just because low income is correlated with other household and parental characteristics. </w:t>
      </w:r>
      <w:r w:rsidR="00AF35F9">
        <w:rPr>
          <w:rFonts w:cs="Times New Roman"/>
          <w:szCs w:val="20"/>
        </w:rPr>
        <w:t>Wilkinson and Pickett (</w:t>
      </w:r>
      <w:r w:rsidR="00AF35F9" w:rsidRPr="00121FB1">
        <w:rPr>
          <w:rFonts w:cs="Times New Roman"/>
          <w:szCs w:val="20"/>
        </w:rPr>
        <w:t>2009</w:t>
      </w:r>
      <w:r w:rsidR="00AF35F9">
        <w:rPr>
          <w:rFonts w:cs="Times New Roman"/>
          <w:szCs w:val="20"/>
        </w:rPr>
        <w:t xml:space="preserve">) </w:t>
      </w:r>
      <w:r w:rsidR="002645A9">
        <w:rPr>
          <w:lang w:val="en-GB"/>
        </w:rPr>
        <w:t>using the UNICEF index found that child wellbeing is strongly related to inequality, with the UK being low on child well-being and high on inequality. In the next section we consider poverty, parenting and child maltreatment</w:t>
      </w:r>
      <w:r w:rsidR="00052119">
        <w:rPr>
          <w:lang w:val="en-GB"/>
        </w:rPr>
        <w:t xml:space="preserve">, however it needs to recognised that children are directly harmed by poverty and </w:t>
      </w:r>
      <w:r w:rsidR="00745EDE">
        <w:rPr>
          <w:lang w:val="en-GB"/>
        </w:rPr>
        <w:t xml:space="preserve">that </w:t>
      </w:r>
      <w:r w:rsidR="00745EDE">
        <w:rPr>
          <w:szCs w:val="20"/>
        </w:rPr>
        <w:t>c</w:t>
      </w:r>
      <w:r w:rsidR="002609AE" w:rsidRPr="002609AE">
        <w:rPr>
          <w:szCs w:val="20"/>
        </w:rPr>
        <w:t>hildren’s set</w:t>
      </w:r>
      <w:r w:rsidR="00745EDE">
        <w:rPr>
          <w:szCs w:val="20"/>
        </w:rPr>
        <w:t>s</w:t>
      </w:r>
      <w:r w:rsidR="002609AE" w:rsidRPr="002609AE">
        <w:rPr>
          <w:szCs w:val="20"/>
        </w:rPr>
        <w:t xml:space="preserve"> of capabilities, or real opportunities, that they </w:t>
      </w:r>
      <w:r w:rsidR="00B54C25">
        <w:rPr>
          <w:szCs w:val="20"/>
        </w:rPr>
        <w:t xml:space="preserve">value </w:t>
      </w:r>
      <w:r w:rsidR="002609AE" w:rsidRPr="002609AE">
        <w:rPr>
          <w:szCs w:val="20"/>
        </w:rPr>
        <w:t xml:space="preserve">or will have reason to value </w:t>
      </w:r>
      <w:r w:rsidR="00745EDE">
        <w:rPr>
          <w:szCs w:val="20"/>
        </w:rPr>
        <w:t xml:space="preserve">are </w:t>
      </w:r>
      <w:r w:rsidR="00E602C7">
        <w:rPr>
          <w:szCs w:val="20"/>
        </w:rPr>
        <w:t xml:space="preserve">being </w:t>
      </w:r>
      <w:r w:rsidR="002609AE" w:rsidRPr="002609AE">
        <w:rPr>
          <w:szCs w:val="20"/>
        </w:rPr>
        <w:t xml:space="preserve">diminished by </w:t>
      </w:r>
      <w:r w:rsidR="00876C5B">
        <w:rPr>
          <w:szCs w:val="20"/>
        </w:rPr>
        <w:t>Government</w:t>
      </w:r>
      <w:r w:rsidR="002609AE" w:rsidRPr="002609AE">
        <w:rPr>
          <w:szCs w:val="20"/>
        </w:rPr>
        <w:t xml:space="preserve"> policies. </w:t>
      </w:r>
      <w:r w:rsidR="00234C0F">
        <w:rPr>
          <w:szCs w:val="20"/>
          <w:lang w:val="en-GB"/>
        </w:rPr>
        <w:t xml:space="preserve">This needs to be </w:t>
      </w:r>
      <w:r w:rsidR="00234C0F" w:rsidRPr="00745EDE">
        <w:rPr>
          <w:szCs w:val="20"/>
          <w:lang w:val="en-GB"/>
        </w:rPr>
        <w:t xml:space="preserve">seen as societal neglect of them and their families (Hooper </w:t>
      </w:r>
      <w:r w:rsidR="00C019D8">
        <w:rPr>
          <w:i/>
          <w:szCs w:val="20"/>
          <w:lang w:val="en-GB"/>
        </w:rPr>
        <w:t>et</w:t>
      </w:r>
      <w:r w:rsidR="00234C0F" w:rsidRPr="00745EDE">
        <w:rPr>
          <w:i/>
          <w:szCs w:val="20"/>
          <w:lang w:val="en-GB"/>
        </w:rPr>
        <w:t xml:space="preserve"> al</w:t>
      </w:r>
      <w:r w:rsidR="00234C0F" w:rsidRPr="00745EDE">
        <w:rPr>
          <w:szCs w:val="20"/>
          <w:lang w:val="en-GB"/>
        </w:rPr>
        <w:t xml:space="preserve">., 2007). </w:t>
      </w:r>
      <w:r w:rsidR="00234C0F">
        <w:rPr>
          <w:szCs w:val="20"/>
        </w:rPr>
        <w:t xml:space="preserve"> After all a child lacking in the capability of </w:t>
      </w:r>
      <w:r w:rsidR="00B81AFB">
        <w:rPr>
          <w:szCs w:val="20"/>
        </w:rPr>
        <w:t xml:space="preserve">having </w:t>
      </w:r>
      <w:r w:rsidR="00234C0F">
        <w:rPr>
          <w:szCs w:val="20"/>
        </w:rPr>
        <w:t xml:space="preserve">an adequate diet will be hungry and </w:t>
      </w:r>
      <w:r w:rsidR="00B81AFB">
        <w:rPr>
          <w:szCs w:val="20"/>
        </w:rPr>
        <w:t xml:space="preserve">her </w:t>
      </w:r>
      <w:r w:rsidR="00234C0F">
        <w:rPr>
          <w:szCs w:val="20"/>
        </w:rPr>
        <w:t>health impaired</w:t>
      </w:r>
      <w:r w:rsidR="00B81AFB">
        <w:rPr>
          <w:szCs w:val="20"/>
        </w:rPr>
        <w:t>,</w:t>
      </w:r>
      <w:r w:rsidR="00234C0F">
        <w:rPr>
          <w:szCs w:val="20"/>
        </w:rPr>
        <w:t xml:space="preserve"> irrespective of whether her parents don’t have the means to provide </w:t>
      </w:r>
      <w:r w:rsidR="00B81AFB">
        <w:rPr>
          <w:szCs w:val="20"/>
        </w:rPr>
        <w:t xml:space="preserve">enough food </w:t>
      </w:r>
      <w:r w:rsidR="00234C0F">
        <w:rPr>
          <w:szCs w:val="20"/>
        </w:rPr>
        <w:t>or are willfully not feeding her.</w:t>
      </w:r>
      <w:r w:rsidR="00234C0F">
        <w:rPr>
          <w:szCs w:val="20"/>
          <w:lang w:val="en-GB"/>
        </w:rPr>
        <w:t xml:space="preserve"> </w:t>
      </w:r>
      <w:r w:rsidR="002609AE" w:rsidRPr="002609AE">
        <w:rPr>
          <w:rFonts w:cs="Times New Roman"/>
        </w:rPr>
        <w:t xml:space="preserve">Structural issues are central to children’s well being and addressing </w:t>
      </w:r>
      <w:r w:rsidR="00E602C7">
        <w:rPr>
          <w:rFonts w:cs="Times New Roman"/>
        </w:rPr>
        <w:t xml:space="preserve">health and child welfare </w:t>
      </w:r>
      <w:r w:rsidR="00E602C7" w:rsidRPr="002609AE">
        <w:rPr>
          <w:rFonts w:cs="Times New Roman"/>
        </w:rPr>
        <w:t>inequalities are</w:t>
      </w:r>
      <w:r w:rsidR="002609AE" w:rsidRPr="002609AE">
        <w:rPr>
          <w:rFonts w:cs="Times New Roman"/>
        </w:rPr>
        <w:t xml:space="preserve"> </w:t>
      </w:r>
      <w:r w:rsidR="00E602C7">
        <w:rPr>
          <w:rFonts w:cs="Times New Roman"/>
        </w:rPr>
        <w:t>a matter of social justice and human rights (</w:t>
      </w:r>
      <w:proofErr w:type="spellStart"/>
      <w:r w:rsidR="00E602C7">
        <w:rPr>
          <w:rFonts w:cs="Times New Roman"/>
        </w:rPr>
        <w:t>Bywaters</w:t>
      </w:r>
      <w:proofErr w:type="spellEnd"/>
      <w:r w:rsidR="00E602C7">
        <w:rPr>
          <w:rFonts w:cs="Times New Roman"/>
        </w:rPr>
        <w:t>, 2009).</w:t>
      </w:r>
    </w:p>
    <w:p w:rsidR="002609AE" w:rsidRDefault="002609AE" w:rsidP="00ED7E96">
      <w:pPr>
        <w:spacing w:line="480" w:lineRule="auto"/>
        <w:jc w:val="both"/>
        <w:rPr>
          <w:lang w:val="en-GB"/>
        </w:rPr>
      </w:pPr>
    </w:p>
    <w:p w:rsidR="00E602C7" w:rsidRPr="00E602C7" w:rsidRDefault="00E602C7" w:rsidP="00ED7E96">
      <w:pPr>
        <w:spacing w:line="480" w:lineRule="auto"/>
        <w:jc w:val="both"/>
        <w:rPr>
          <w:b/>
          <w:lang w:val="en-GB"/>
        </w:rPr>
      </w:pPr>
      <w:r>
        <w:rPr>
          <w:b/>
          <w:lang w:val="en-GB"/>
        </w:rPr>
        <w:t>Poverty, parenting and maltreatment</w:t>
      </w:r>
    </w:p>
    <w:p w:rsidR="00E602C7" w:rsidRDefault="00E602C7" w:rsidP="00ED7E96">
      <w:pPr>
        <w:spacing w:line="480" w:lineRule="auto"/>
        <w:jc w:val="both"/>
        <w:rPr>
          <w:lang w:val="en-GB"/>
        </w:rPr>
      </w:pPr>
    </w:p>
    <w:p w:rsidR="005451C6" w:rsidRDefault="00E602C7" w:rsidP="00ED7E96">
      <w:pPr>
        <w:widowControl w:val="0"/>
        <w:autoSpaceDE w:val="0"/>
        <w:autoSpaceDN w:val="0"/>
        <w:adjustRightInd w:val="0"/>
        <w:spacing w:after="182" w:line="480" w:lineRule="auto"/>
        <w:jc w:val="both"/>
        <w:rPr>
          <w:rFonts w:cs="Arial"/>
          <w:szCs w:val="30"/>
        </w:rPr>
      </w:pPr>
      <w:r>
        <w:rPr>
          <w:lang w:val="en-GB"/>
        </w:rPr>
        <w:t xml:space="preserve">The relationship between poverty, parenting and child maltreatment is complex. </w:t>
      </w:r>
      <w:r w:rsidR="009A23AE">
        <w:rPr>
          <w:lang w:val="en-GB"/>
        </w:rPr>
        <w:t xml:space="preserve">Whilst </w:t>
      </w:r>
      <w:r w:rsidR="00A51933">
        <w:rPr>
          <w:lang w:val="en-GB"/>
        </w:rPr>
        <w:t xml:space="preserve">the vast majority of </w:t>
      </w:r>
      <w:r w:rsidR="009A23AE">
        <w:rPr>
          <w:lang w:val="en-GB"/>
        </w:rPr>
        <w:t>parents living in poverty do not maltreat their children, poverty clearly impacts on parenting in a number of ways</w:t>
      </w:r>
      <w:r w:rsidR="00A51933">
        <w:rPr>
          <w:lang w:val="en-GB"/>
        </w:rPr>
        <w:t>, and generally makes parenting harder. A</w:t>
      </w:r>
      <w:r w:rsidR="009A23AE">
        <w:rPr>
          <w:lang w:val="en-GB"/>
        </w:rPr>
        <w:t xml:space="preserve"> number of studies have identified increased risk of physical abuse and </w:t>
      </w:r>
      <w:r w:rsidR="00C110A6">
        <w:rPr>
          <w:lang w:val="en-GB"/>
        </w:rPr>
        <w:t xml:space="preserve">neglect associated with poverty, </w:t>
      </w:r>
      <w:r w:rsidR="00A51933">
        <w:rPr>
          <w:lang w:val="en-GB"/>
        </w:rPr>
        <w:t xml:space="preserve">with poverty and neglect being particularly interwoven </w:t>
      </w:r>
      <w:r w:rsidR="00C110A6">
        <w:rPr>
          <w:lang w:val="en-GB"/>
        </w:rPr>
        <w:t>(</w:t>
      </w:r>
      <w:proofErr w:type="spellStart"/>
      <w:r w:rsidR="00C110A6">
        <w:rPr>
          <w:lang w:val="en-GB"/>
        </w:rPr>
        <w:t>Cawson</w:t>
      </w:r>
      <w:proofErr w:type="spellEnd"/>
      <w:r w:rsidR="00C110A6">
        <w:rPr>
          <w:lang w:val="en-GB"/>
        </w:rPr>
        <w:t xml:space="preserve"> </w:t>
      </w:r>
      <w:r w:rsidR="00C019D8">
        <w:rPr>
          <w:i/>
          <w:lang w:val="en-GB"/>
        </w:rPr>
        <w:t xml:space="preserve">et </w:t>
      </w:r>
      <w:r w:rsidR="00C110A6">
        <w:rPr>
          <w:i/>
          <w:lang w:val="en-GB"/>
        </w:rPr>
        <w:t xml:space="preserve">al., </w:t>
      </w:r>
      <w:r w:rsidR="00C110A6" w:rsidRPr="009A23AE">
        <w:rPr>
          <w:lang w:val="en-GB"/>
        </w:rPr>
        <w:t>2000;</w:t>
      </w:r>
      <w:r w:rsidR="00C110A6">
        <w:rPr>
          <w:lang w:val="en-GB"/>
        </w:rPr>
        <w:t xml:space="preserve"> </w:t>
      </w:r>
      <w:r w:rsidR="00C110A6">
        <w:rPr>
          <w:rFonts w:cs="Times New Roman"/>
        </w:rPr>
        <w:t xml:space="preserve">Hooper </w:t>
      </w:r>
      <w:r w:rsidR="00C110A6">
        <w:rPr>
          <w:rFonts w:cs="Times New Roman"/>
          <w:i/>
        </w:rPr>
        <w:t xml:space="preserve">et al., </w:t>
      </w:r>
      <w:r w:rsidR="00C110A6">
        <w:rPr>
          <w:rFonts w:cs="Times New Roman"/>
        </w:rPr>
        <w:t>2007)</w:t>
      </w:r>
      <w:r w:rsidR="00C110A6">
        <w:rPr>
          <w:lang w:val="en-GB"/>
        </w:rPr>
        <w:t xml:space="preserve">. </w:t>
      </w:r>
      <w:r w:rsidR="00946B8C" w:rsidRPr="00946B8C">
        <w:rPr>
          <w:rFonts w:cs="Arial"/>
        </w:rPr>
        <w:t xml:space="preserve">Research on families involved with child protection services in </w:t>
      </w:r>
      <w:r w:rsidR="00D759E6">
        <w:rPr>
          <w:rFonts w:cs="Arial"/>
        </w:rPr>
        <w:t xml:space="preserve">England </w:t>
      </w:r>
      <w:r w:rsidR="00946B8C" w:rsidRPr="00946B8C">
        <w:rPr>
          <w:rFonts w:cs="Arial"/>
        </w:rPr>
        <w:t>has consistently indicated that many share the common experience</w:t>
      </w:r>
      <w:r w:rsidR="005C64FA">
        <w:rPr>
          <w:rFonts w:cs="Arial"/>
        </w:rPr>
        <w:t>s</w:t>
      </w:r>
      <w:r w:rsidR="00946B8C" w:rsidRPr="00946B8C">
        <w:rPr>
          <w:rFonts w:cs="Arial"/>
        </w:rPr>
        <w:t xml:space="preserve"> of living on a low income, </w:t>
      </w:r>
      <w:r w:rsidR="00F17800">
        <w:rPr>
          <w:rFonts w:cs="Arial"/>
        </w:rPr>
        <w:t xml:space="preserve">in poor </w:t>
      </w:r>
      <w:r w:rsidR="00946B8C" w:rsidRPr="00946B8C">
        <w:rPr>
          <w:rFonts w:cs="Arial"/>
        </w:rPr>
        <w:t xml:space="preserve">housing, and social isolation. However the studies </w:t>
      </w:r>
      <w:r w:rsidR="00946B8C" w:rsidRPr="009F2E84">
        <w:rPr>
          <w:rFonts w:cs="Arial"/>
        </w:rPr>
        <w:t xml:space="preserve">demonstrate that the majority of these parents want what is best for their children (DH, 2001; Quinton, 2004). </w:t>
      </w:r>
      <w:r w:rsidR="009F2E84" w:rsidRPr="009F2E84">
        <w:rPr>
          <w:rFonts w:cs="Arial"/>
        </w:rPr>
        <w:t xml:space="preserve">In the language of </w:t>
      </w:r>
      <w:r w:rsidR="00AF35F9">
        <w:rPr>
          <w:rFonts w:cs="Arial"/>
        </w:rPr>
        <w:t xml:space="preserve">the </w:t>
      </w:r>
      <w:r w:rsidR="00176E0D">
        <w:rPr>
          <w:rFonts w:cs="Arial"/>
        </w:rPr>
        <w:t>CA</w:t>
      </w:r>
      <w:r w:rsidR="009F2E84" w:rsidRPr="009F2E84">
        <w:rPr>
          <w:rFonts w:cs="Arial"/>
        </w:rPr>
        <w:t xml:space="preserve">, they have reason to value </w:t>
      </w:r>
      <w:r w:rsidR="008432A4">
        <w:rPr>
          <w:rFonts w:cs="Arial"/>
        </w:rPr>
        <w:t>the capability of being able to care well</w:t>
      </w:r>
      <w:r w:rsidR="00B81AFB">
        <w:rPr>
          <w:rFonts w:cs="Arial"/>
        </w:rPr>
        <w:t xml:space="preserve"> for their children, but for many </w:t>
      </w:r>
      <w:proofErr w:type="gramStart"/>
      <w:r w:rsidR="00B81AFB">
        <w:rPr>
          <w:rFonts w:cs="Arial"/>
        </w:rPr>
        <w:t>this</w:t>
      </w:r>
      <w:proofErr w:type="gramEnd"/>
      <w:r w:rsidR="00B81AFB">
        <w:rPr>
          <w:rFonts w:cs="Arial"/>
        </w:rPr>
        <w:t xml:space="preserve"> is not possible.</w:t>
      </w:r>
      <w:r w:rsidR="0076619B">
        <w:rPr>
          <w:rFonts w:cs="Arial"/>
        </w:rPr>
        <w:t xml:space="preserve"> C</w:t>
      </w:r>
      <w:r w:rsidR="0025349B" w:rsidRPr="009F2E84">
        <w:rPr>
          <w:rFonts w:cs="Arial"/>
        </w:rPr>
        <w:t xml:space="preserve">hildren </w:t>
      </w:r>
      <w:r w:rsidR="00A51933" w:rsidRPr="009F2E84">
        <w:rPr>
          <w:rFonts w:cs="Arial"/>
        </w:rPr>
        <w:t xml:space="preserve">in poverty </w:t>
      </w:r>
      <w:r w:rsidR="00946B8C" w:rsidRPr="009F2E84">
        <w:rPr>
          <w:rFonts w:cs="Arial"/>
        </w:rPr>
        <w:t xml:space="preserve">are </w:t>
      </w:r>
      <w:r w:rsidR="00A51933" w:rsidRPr="009F2E84">
        <w:rPr>
          <w:rFonts w:cs="Arial"/>
        </w:rPr>
        <w:t xml:space="preserve">far </w:t>
      </w:r>
      <w:r w:rsidR="00946B8C" w:rsidRPr="009F2E84">
        <w:rPr>
          <w:rFonts w:cs="Arial"/>
        </w:rPr>
        <w:t xml:space="preserve">more </w:t>
      </w:r>
      <w:r w:rsidR="00A51933" w:rsidRPr="009F2E84">
        <w:rPr>
          <w:rFonts w:cs="Arial"/>
        </w:rPr>
        <w:t>likely to</w:t>
      </w:r>
      <w:r w:rsidR="00A51933">
        <w:rPr>
          <w:rFonts w:cs="Arial"/>
        </w:rPr>
        <w:t xml:space="preserve"> </w:t>
      </w:r>
      <w:r w:rsidR="007D1AB0">
        <w:rPr>
          <w:rFonts w:cs="Arial"/>
        </w:rPr>
        <w:t xml:space="preserve">become looked after. In the late eighties a seminal study by </w:t>
      </w:r>
      <w:proofErr w:type="spellStart"/>
      <w:r w:rsidR="007D1AB0">
        <w:rPr>
          <w:rFonts w:cs="Arial"/>
        </w:rPr>
        <w:t>Bebbington</w:t>
      </w:r>
      <w:proofErr w:type="spellEnd"/>
      <w:r w:rsidR="007D1AB0">
        <w:rPr>
          <w:rFonts w:cs="Arial"/>
        </w:rPr>
        <w:t xml:space="preserve"> and Miles (1989) demonstrated how the cumulative effect of disadvantage dramatically increases a child’s chances of coming into the care system. More rec</w:t>
      </w:r>
      <w:r w:rsidR="00D05E1F">
        <w:rPr>
          <w:rFonts w:cs="Arial"/>
        </w:rPr>
        <w:t xml:space="preserve">ently </w:t>
      </w:r>
      <w:proofErr w:type="spellStart"/>
      <w:r w:rsidR="00D05E1F">
        <w:rPr>
          <w:rFonts w:cs="Arial"/>
        </w:rPr>
        <w:t>Bywaters</w:t>
      </w:r>
      <w:proofErr w:type="spellEnd"/>
      <w:r w:rsidR="00D05E1F">
        <w:rPr>
          <w:rFonts w:cs="Arial"/>
        </w:rPr>
        <w:t xml:space="preserve"> (2013) found large differences between local authorities in England in the proportion of children in care or subject to child protection plans, with deprivation being identified as the major explanatory factor</w:t>
      </w:r>
      <w:r w:rsidR="007D1AB0" w:rsidRPr="007D1AB0">
        <w:rPr>
          <w:rFonts w:cs="Arial"/>
          <w:szCs w:val="30"/>
        </w:rPr>
        <w:t>.</w:t>
      </w:r>
      <w:r w:rsidR="00AE7614">
        <w:rPr>
          <w:rFonts w:cs="Arial"/>
          <w:szCs w:val="30"/>
        </w:rPr>
        <w:t xml:space="preserve"> </w:t>
      </w:r>
      <w:r w:rsidR="008807E4">
        <w:rPr>
          <w:rFonts w:cs="Arial"/>
          <w:szCs w:val="30"/>
        </w:rPr>
        <w:t xml:space="preserve"> He suggests </w:t>
      </w:r>
      <w:r w:rsidR="00725902">
        <w:rPr>
          <w:rFonts w:cs="Arial"/>
          <w:szCs w:val="30"/>
        </w:rPr>
        <w:t>the reframing of child welfare in terms of social inequalities in ways that parallel the well-established health inequalities discourse.</w:t>
      </w:r>
    </w:p>
    <w:p w:rsidR="00946B8C" w:rsidRDefault="00946B8C" w:rsidP="00ED7E96">
      <w:pPr>
        <w:widowControl w:val="0"/>
        <w:autoSpaceDE w:val="0"/>
        <w:autoSpaceDN w:val="0"/>
        <w:adjustRightInd w:val="0"/>
        <w:spacing w:after="182" w:line="480" w:lineRule="auto"/>
        <w:jc w:val="both"/>
        <w:rPr>
          <w:rFonts w:cs="Arial"/>
          <w:szCs w:val="30"/>
        </w:rPr>
      </w:pPr>
    </w:p>
    <w:p w:rsidR="00557E81" w:rsidRPr="00012146" w:rsidRDefault="00AE7614" w:rsidP="00ED7E96">
      <w:pPr>
        <w:spacing w:line="480" w:lineRule="auto"/>
        <w:jc w:val="both"/>
        <w:rPr>
          <w:rFonts w:cs="Arial"/>
          <w:szCs w:val="30"/>
        </w:rPr>
      </w:pPr>
      <w:r w:rsidRPr="00946B8C">
        <w:rPr>
          <w:rFonts w:cs="Arial"/>
          <w:szCs w:val="30"/>
        </w:rPr>
        <w:t xml:space="preserve">When considering the relationship between poverty, parenting and maltreatment </w:t>
      </w:r>
      <w:r w:rsidR="0025349B" w:rsidRPr="00946B8C">
        <w:rPr>
          <w:rFonts w:cs="Arial"/>
          <w:szCs w:val="30"/>
        </w:rPr>
        <w:t xml:space="preserve">it </w:t>
      </w:r>
      <w:r w:rsidR="001629DF" w:rsidRPr="00946B8C">
        <w:rPr>
          <w:rFonts w:cs="Arial"/>
          <w:szCs w:val="30"/>
        </w:rPr>
        <w:t xml:space="preserve">is essential not to adopt a binary approach that on the one hand </w:t>
      </w:r>
      <w:proofErr w:type="spellStart"/>
      <w:r w:rsidR="001629DF" w:rsidRPr="00946B8C">
        <w:rPr>
          <w:rFonts w:cs="Arial"/>
          <w:szCs w:val="30"/>
        </w:rPr>
        <w:t>pathologises</w:t>
      </w:r>
      <w:proofErr w:type="spellEnd"/>
      <w:r w:rsidR="001629DF" w:rsidRPr="00946B8C">
        <w:rPr>
          <w:rFonts w:cs="Arial"/>
          <w:szCs w:val="30"/>
        </w:rPr>
        <w:t xml:space="preserve"> poor parents (the ‘if Ms X next door can parent adequately on benefits why can’t you’ approach) and on the other reduce the problem of maltreatment to </w:t>
      </w:r>
      <w:r w:rsidR="00176E0D">
        <w:rPr>
          <w:rFonts w:cs="Arial"/>
          <w:szCs w:val="30"/>
        </w:rPr>
        <w:t xml:space="preserve">one solely of </w:t>
      </w:r>
      <w:r w:rsidR="005127C1">
        <w:rPr>
          <w:rFonts w:cs="Arial"/>
          <w:szCs w:val="30"/>
        </w:rPr>
        <w:t xml:space="preserve">material </w:t>
      </w:r>
      <w:r w:rsidR="001629DF" w:rsidRPr="00946B8C">
        <w:rPr>
          <w:rFonts w:cs="Arial"/>
          <w:szCs w:val="30"/>
        </w:rPr>
        <w:t>poverty</w:t>
      </w:r>
      <w:r w:rsidR="00AB6181">
        <w:rPr>
          <w:rFonts w:cs="Arial"/>
          <w:szCs w:val="30"/>
        </w:rPr>
        <w:t>. The former perspective is currently dominant, with both poverty and poor parenting be</w:t>
      </w:r>
      <w:r w:rsidR="00B04958">
        <w:rPr>
          <w:rFonts w:cs="Arial"/>
          <w:szCs w:val="30"/>
        </w:rPr>
        <w:t xml:space="preserve">ing </w:t>
      </w:r>
      <w:r w:rsidR="00476E02">
        <w:rPr>
          <w:rFonts w:cs="Arial"/>
          <w:szCs w:val="30"/>
        </w:rPr>
        <w:t xml:space="preserve">constructed as </w:t>
      </w:r>
      <w:r w:rsidR="00B04958">
        <w:rPr>
          <w:rFonts w:cs="Arial"/>
          <w:szCs w:val="30"/>
        </w:rPr>
        <w:t>a failing of the individual</w:t>
      </w:r>
      <w:r w:rsidR="001629DF" w:rsidRPr="00946B8C">
        <w:rPr>
          <w:rFonts w:cs="Arial"/>
          <w:szCs w:val="30"/>
        </w:rPr>
        <w:t xml:space="preserve">. </w:t>
      </w:r>
      <w:r w:rsidR="004925BB" w:rsidRPr="00012146">
        <w:rPr>
          <w:rFonts w:cs="Arial"/>
          <w:szCs w:val="30"/>
        </w:rPr>
        <w:t xml:space="preserve">For example </w:t>
      </w:r>
      <w:r w:rsidR="004925BB" w:rsidRPr="00012146">
        <w:t>t</w:t>
      </w:r>
      <w:r w:rsidR="00100F93" w:rsidRPr="00012146">
        <w:t xml:space="preserve">he dominant political and policy discourse is unequivocal in its presentation of neglect as being about parental pathology and individual blame. </w:t>
      </w:r>
      <w:r w:rsidR="00100F93" w:rsidRPr="00012146">
        <w:rPr>
          <w:rFonts w:cs="Times"/>
        </w:rPr>
        <w:t xml:space="preserve">The </w:t>
      </w:r>
      <w:r w:rsidR="00374321" w:rsidRPr="00012146">
        <w:rPr>
          <w:rFonts w:cs="Times"/>
        </w:rPr>
        <w:t xml:space="preserve">former </w:t>
      </w:r>
      <w:r w:rsidR="005A77E1" w:rsidRPr="00012146">
        <w:rPr>
          <w:rFonts w:cs="Times"/>
        </w:rPr>
        <w:t>Education Secretary spoke</w:t>
      </w:r>
      <w:r w:rsidR="00100F93" w:rsidRPr="00012146">
        <w:rPr>
          <w:rFonts w:cs="Times"/>
        </w:rPr>
        <w:t xml:space="preserve"> </w:t>
      </w:r>
      <w:r w:rsidR="005A77E1" w:rsidRPr="00012146">
        <w:t xml:space="preserve">about the need to rescue children from ‘a life of soiled nappies and scummy baths, chaos and hunger, hopelessness and despair’ and </w:t>
      </w:r>
      <w:r w:rsidR="00100F93" w:rsidRPr="00012146">
        <w:rPr>
          <w:rFonts w:cs="Times"/>
        </w:rPr>
        <w:t>liken</w:t>
      </w:r>
      <w:r w:rsidR="005A77E1" w:rsidRPr="00012146">
        <w:rPr>
          <w:rFonts w:cs="Times"/>
        </w:rPr>
        <w:t>ed</w:t>
      </w:r>
      <w:r w:rsidR="00100F93" w:rsidRPr="00012146">
        <w:rPr>
          <w:rFonts w:cs="Times"/>
        </w:rPr>
        <w:t xml:space="preserve"> </w:t>
      </w:r>
      <w:r w:rsidR="00100F93" w:rsidRPr="00012146">
        <w:t>children who experience neglect to ‘victims of any other natural disaster’ (Gove, 2012)</w:t>
      </w:r>
      <w:r w:rsidR="005451C6" w:rsidRPr="00012146">
        <w:t>.</w:t>
      </w:r>
      <w:r w:rsidR="00100F93" w:rsidRPr="00012146">
        <w:t xml:space="preserve"> </w:t>
      </w:r>
      <w:r w:rsidR="005A77E1" w:rsidRPr="00012146">
        <w:t xml:space="preserve">This </w:t>
      </w:r>
      <w:r w:rsidR="005451C6" w:rsidRPr="00012146">
        <w:t xml:space="preserve">reflects </w:t>
      </w:r>
      <w:r w:rsidR="00B47588" w:rsidRPr="00012146">
        <w:t>the perspective that parents</w:t>
      </w:r>
      <w:r w:rsidR="00100F93" w:rsidRPr="00012146">
        <w:t xml:space="preserve"> are to blame and social factors play a lim</w:t>
      </w:r>
      <w:r w:rsidR="005A77E1" w:rsidRPr="00012146">
        <w:t>ited role</w:t>
      </w:r>
      <w:r w:rsidR="00100F93" w:rsidRPr="00012146">
        <w:t>. The construction of neglect is of a problem that children need to be rescued from rather than one that their parents can be supported to address.</w:t>
      </w:r>
      <w:r w:rsidR="00525FA0" w:rsidRPr="00012146">
        <w:t xml:space="preserve"> Indeed</w:t>
      </w:r>
      <w:r w:rsidR="00D17109" w:rsidRPr="00012146">
        <w:t>,</w:t>
      </w:r>
      <w:r w:rsidR="00525FA0" w:rsidRPr="00012146">
        <w:t xml:space="preserve"> neglect is increasingly </w:t>
      </w:r>
      <w:proofErr w:type="spellStart"/>
      <w:r w:rsidR="00525FA0" w:rsidRPr="00012146">
        <w:t>biologised</w:t>
      </w:r>
      <w:proofErr w:type="spellEnd"/>
      <w:r w:rsidR="00525FA0" w:rsidRPr="00012146">
        <w:t xml:space="preserve">, with brain science and </w:t>
      </w:r>
      <w:proofErr w:type="spellStart"/>
      <w:r w:rsidR="00525FA0" w:rsidRPr="00012146">
        <w:t>foetal</w:t>
      </w:r>
      <w:proofErr w:type="spellEnd"/>
      <w:r w:rsidR="00525FA0" w:rsidRPr="00012146">
        <w:t xml:space="preserve"> programming in the (inadequate) womb invoked as warrants for </w:t>
      </w:r>
      <w:r w:rsidR="00D17109" w:rsidRPr="00012146">
        <w:t xml:space="preserve">particular forms of </w:t>
      </w:r>
      <w:r w:rsidR="00525FA0" w:rsidRPr="00012146">
        <w:t>state intervention into family life</w:t>
      </w:r>
      <w:r w:rsidR="00D17109" w:rsidRPr="00012146">
        <w:t xml:space="preserve"> (</w:t>
      </w:r>
      <w:r w:rsidR="00C019D8" w:rsidRPr="00012146">
        <w:t>Glover, 201</w:t>
      </w:r>
      <w:r w:rsidR="00D17109" w:rsidRPr="00012146">
        <w:t>1).</w:t>
      </w:r>
    </w:p>
    <w:p w:rsidR="00557E81" w:rsidRPr="00012146" w:rsidRDefault="00557E81" w:rsidP="00ED7E96">
      <w:pPr>
        <w:spacing w:line="480" w:lineRule="auto"/>
        <w:jc w:val="both"/>
        <w:rPr>
          <w:rFonts w:cs="Arial"/>
          <w:szCs w:val="30"/>
        </w:rPr>
      </w:pPr>
    </w:p>
    <w:p w:rsidR="00D05E1F" w:rsidRDefault="005A77E1" w:rsidP="00ED7E96">
      <w:pPr>
        <w:spacing w:line="480" w:lineRule="auto"/>
        <w:jc w:val="both"/>
        <w:rPr>
          <w:rFonts w:cs="Arial"/>
        </w:rPr>
      </w:pPr>
      <w:r w:rsidRPr="00012146">
        <w:rPr>
          <w:rFonts w:cs="Arial"/>
          <w:szCs w:val="30"/>
        </w:rPr>
        <w:t xml:space="preserve">A </w:t>
      </w:r>
      <w:r w:rsidR="001629DF" w:rsidRPr="00012146">
        <w:rPr>
          <w:rFonts w:cs="Arial"/>
          <w:szCs w:val="30"/>
        </w:rPr>
        <w:t>more nuanced and multi-factor</w:t>
      </w:r>
      <w:r w:rsidR="005127C1" w:rsidRPr="00012146">
        <w:rPr>
          <w:rFonts w:cs="Arial"/>
          <w:szCs w:val="30"/>
        </w:rPr>
        <w:t>i</w:t>
      </w:r>
      <w:r w:rsidR="001629DF" w:rsidRPr="00012146">
        <w:rPr>
          <w:rFonts w:cs="Arial"/>
          <w:szCs w:val="30"/>
        </w:rPr>
        <w:t>al analysis is</w:t>
      </w:r>
      <w:r w:rsidR="00F17800" w:rsidRPr="00012146">
        <w:rPr>
          <w:rFonts w:cs="Arial"/>
          <w:szCs w:val="30"/>
        </w:rPr>
        <w:t xml:space="preserve"> necessary</w:t>
      </w:r>
      <w:r w:rsidRPr="00012146">
        <w:rPr>
          <w:rFonts w:cs="Arial"/>
          <w:szCs w:val="30"/>
        </w:rPr>
        <w:t xml:space="preserve"> for a socially just system</w:t>
      </w:r>
      <w:r w:rsidR="001629DF" w:rsidRPr="00012146">
        <w:rPr>
          <w:rFonts w:cs="Arial"/>
          <w:szCs w:val="30"/>
        </w:rPr>
        <w:t>.</w:t>
      </w:r>
      <w:r w:rsidR="00176E0D" w:rsidRPr="00012146">
        <w:rPr>
          <w:rFonts w:cs="Arial"/>
          <w:szCs w:val="30"/>
        </w:rPr>
        <w:t xml:space="preserve"> We would argue that </w:t>
      </w:r>
      <w:r w:rsidR="00AF35F9" w:rsidRPr="00012146">
        <w:rPr>
          <w:rFonts w:cs="Arial"/>
          <w:szCs w:val="30"/>
        </w:rPr>
        <w:t xml:space="preserve">the </w:t>
      </w:r>
      <w:r w:rsidR="00176E0D" w:rsidRPr="00012146">
        <w:rPr>
          <w:rFonts w:cs="Arial"/>
          <w:szCs w:val="30"/>
        </w:rPr>
        <w:t>CA</w:t>
      </w:r>
      <w:r w:rsidR="00D759E6" w:rsidRPr="00012146">
        <w:rPr>
          <w:rFonts w:cs="Arial"/>
          <w:szCs w:val="30"/>
        </w:rPr>
        <w:t xml:space="preserve"> challenges the discourse of individual pathology and blame, and</w:t>
      </w:r>
      <w:r w:rsidR="00176E0D" w:rsidRPr="00012146">
        <w:rPr>
          <w:rFonts w:cs="Arial"/>
          <w:szCs w:val="30"/>
        </w:rPr>
        <w:t xml:space="preserve"> </w:t>
      </w:r>
      <w:r w:rsidR="001629DF" w:rsidRPr="00012146">
        <w:rPr>
          <w:rFonts w:cs="Arial"/>
          <w:szCs w:val="30"/>
        </w:rPr>
        <w:t xml:space="preserve">offers a framework that </w:t>
      </w:r>
      <w:r w:rsidR="001629DF" w:rsidRPr="00012146">
        <w:t>stresses the importance of multidimensional assessment</w:t>
      </w:r>
      <w:r w:rsidR="00F17800" w:rsidRPr="00012146">
        <w:t>s</w:t>
      </w:r>
      <w:r w:rsidRPr="00012146">
        <w:t xml:space="preserve"> that analyze</w:t>
      </w:r>
      <w:r w:rsidR="001629DF" w:rsidRPr="00012146">
        <w:t xml:space="preserve"> </w:t>
      </w:r>
      <w:r w:rsidR="00E17484" w:rsidRPr="00012146">
        <w:t>the interaction of individual, r</w:t>
      </w:r>
      <w:r w:rsidR="00F17800" w:rsidRPr="00012146">
        <w:t>elational and social factors on</w:t>
      </w:r>
      <w:r w:rsidR="00E17484" w:rsidRPr="00012146">
        <w:t xml:space="preserve"> a person’s </w:t>
      </w:r>
      <w:r w:rsidR="00B278B9" w:rsidRPr="00012146">
        <w:t xml:space="preserve">combined </w:t>
      </w:r>
      <w:r w:rsidR="00E17484" w:rsidRPr="00012146">
        <w:t>capabilities</w:t>
      </w:r>
      <w:r w:rsidR="00EC57A0" w:rsidRPr="00012146">
        <w:t>. Nussbaum’s (2011) ideas on the interactions between internal capabilities and social, economic, familial and political environments are</w:t>
      </w:r>
      <w:r w:rsidR="00E17484" w:rsidRPr="00012146">
        <w:t xml:space="preserve"> consistent with much </w:t>
      </w:r>
      <w:r w:rsidR="0025349B" w:rsidRPr="00012146">
        <w:t xml:space="preserve">recent </w:t>
      </w:r>
      <w:r w:rsidR="00E17484" w:rsidRPr="00012146">
        <w:t>research on parenting and poverty.</w:t>
      </w:r>
      <w:r w:rsidR="00E17484" w:rsidRPr="00946B8C">
        <w:t xml:space="preserve"> </w:t>
      </w:r>
      <w:r w:rsidR="00946B8C">
        <w:rPr>
          <w:rFonts w:cs="Arial"/>
        </w:rPr>
        <w:t>P</w:t>
      </w:r>
      <w:r w:rsidR="00946B8C" w:rsidRPr="00946B8C">
        <w:rPr>
          <w:rFonts w:cs="Arial"/>
        </w:rPr>
        <w:t>overty impacts differentially on individual families, with particularly serious consequences for more vulnerable individuals, for those who are less resilient</w:t>
      </w:r>
      <w:r w:rsidR="00946B8C">
        <w:rPr>
          <w:rFonts w:cs="Arial"/>
        </w:rPr>
        <w:t>, or who lack informal and formal sources of support</w:t>
      </w:r>
      <w:r w:rsidR="00A674CF">
        <w:rPr>
          <w:rFonts w:cs="Arial"/>
        </w:rPr>
        <w:t xml:space="preserve"> </w:t>
      </w:r>
      <w:r w:rsidR="00A674CF" w:rsidRPr="00946B8C">
        <w:rPr>
          <w:rFonts w:cs="Arial"/>
        </w:rPr>
        <w:t>(</w:t>
      </w:r>
      <w:proofErr w:type="spellStart"/>
      <w:r w:rsidR="00A674CF" w:rsidRPr="00946B8C">
        <w:rPr>
          <w:rFonts w:cs="Arial"/>
        </w:rPr>
        <w:t>Ghate</w:t>
      </w:r>
      <w:proofErr w:type="spellEnd"/>
      <w:r w:rsidR="00A674CF" w:rsidRPr="00946B8C">
        <w:rPr>
          <w:rFonts w:cs="Arial"/>
        </w:rPr>
        <w:t xml:space="preserve"> </w:t>
      </w:r>
      <w:r w:rsidR="00C019D8">
        <w:rPr>
          <w:rFonts w:cs="Arial"/>
        </w:rPr>
        <w:t>and</w:t>
      </w:r>
      <w:r w:rsidR="00A674CF" w:rsidRPr="00946B8C">
        <w:rPr>
          <w:rFonts w:cs="Arial"/>
        </w:rPr>
        <w:t xml:space="preserve"> Hazel, 2002; Quinton, 2004)</w:t>
      </w:r>
      <w:r w:rsidR="00CE6C2C">
        <w:rPr>
          <w:rFonts w:cs="Arial"/>
        </w:rPr>
        <w:t xml:space="preserve">. </w:t>
      </w:r>
      <w:r w:rsidR="00A674CF" w:rsidRPr="0056371A">
        <w:rPr>
          <w:rFonts w:cs="Arial"/>
        </w:rPr>
        <w:t xml:space="preserve">The housing of families </w:t>
      </w:r>
      <w:r w:rsidR="00CE6C2C" w:rsidRPr="0056371A">
        <w:rPr>
          <w:rFonts w:cs="Arial"/>
        </w:rPr>
        <w:t xml:space="preserve">in temporary bed and breakfast accommodation </w:t>
      </w:r>
      <w:r w:rsidR="00D17109">
        <w:rPr>
          <w:rFonts w:cs="Arial"/>
        </w:rPr>
        <w:t>distant</w:t>
      </w:r>
      <w:r w:rsidR="00D17109" w:rsidRPr="0056371A">
        <w:rPr>
          <w:rFonts w:cs="Arial"/>
        </w:rPr>
        <w:t xml:space="preserve"> </w:t>
      </w:r>
      <w:r w:rsidR="00CE6C2C" w:rsidRPr="0056371A">
        <w:rPr>
          <w:rFonts w:cs="Arial"/>
        </w:rPr>
        <w:t>from their family and friends</w:t>
      </w:r>
      <w:r w:rsidR="00A674CF" w:rsidRPr="0056371A">
        <w:rPr>
          <w:rFonts w:cs="Arial"/>
        </w:rPr>
        <w:t xml:space="preserve"> is an example </w:t>
      </w:r>
      <w:r w:rsidR="00544594" w:rsidRPr="0056371A">
        <w:rPr>
          <w:rFonts w:cs="Arial"/>
        </w:rPr>
        <w:t xml:space="preserve">of </w:t>
      </w:r>
      <w:r w:rsidR="00876C5B" w:rsidRPr="0056371A">
        <w:rPr>
          <w:rFonts w:cs="Arial"/>
        </w:rPr>
        <w:t>policy</w:t>
      </w:r>
      <w:r w:rsidR="00A674CF" w:rsidRPr="0056371A">
        <w:rPr>
          <w:rFonts w:cs="Arial"/>
        </w:rPr>
        <w:t xml:space="preserve"> and practices that compound people’s stress and difficulties coping</w:t>
      </w:r>
      <w:r w:rsidR="00B278B9">
        <w:rPr>
          <w:rFonts w:cs="Arial"/>
        </w:rPr>
        <w:t xml:space="preserve">, thereby diminishing their capabilities </w:t>
      </w:r>
      <w:r w:rsidR="00A674CF" w:rsidRPr="0056371A">
        <w:rPr>
          <w:rFonts w:cs="Arial"/>
        </w:rPr>
        <w:t>in already adverse circumstances</w:t>
      </w:r>
      <w:r w:rsidR="00946B8C" w:rsidRPr="0056371A">
        <w:rPr>
          <w:rFonts w:cs="Arial"/>
        </w:rPr>
        <w:t>.</w:t>
      </w:r>
      <w:r w:rsidR="005127C1">
        <w:rPr>
          <w:rFonts w:cs="Arial"/>
        </w:rPr>
        <w:t xml:space="preserve"> Of course, formal support is in short supply and arguably informal support too, as moral pressure is exerted on </w:t>
      </w:r>
      <w:r w:rsidR="001E0C94" w:rsidRPr="001E0C94">
        <w:rPr>
          <w:rFonts w:cs="Arial"/>
          <w:i/>
        </w:rPr>
        <w:t>everyone</w:t>
      </w:r>
      <w:r w:rsidR="005127C1">
        <w:rPr>
          <w:rFonts w:cs="Arial"/>
        </w:rPr>
        <w:t xml:space="preserve"> to be ‘economically active’ in the </w:t>
      </w:r>
      <w:proofErr w:type="spellStart"/>
      <w:r w:rsidR="005127C1">
        <w:rPr>
          <w:rFonts w:cs="Arial"/>
        </w:rPr>
        <w:t>labour</w:t>
      </w:r>
      <w:proofErr w:type="spellEnd"/>
      <w:r w:rsidR="005127C1">
        <w:rPr>
          <w:rFonts w:cs="Arial"/>
        </w:rPr>
        <w:t xml:space="preserve"> market.</w:t>
      </w:r>
    </w:p>
    <w:p w:rsidR="00D05E1F" w:rsidRDefault="00D05E1F" w:rsidP="00ED7E96">
      <w:pPr>
        <w:spacing w:line="480" w:lineRule="auto"/>
        <w:jc w:val="both"/>
        <w:rPr>
          <w:rFonts w:cs="Arial"/>
        </w:rPr>
      </w:pPr>
    </w:p>
    <w:p w:rsidR="002749F2" w:rsidRDefault="00AB6181" w:rsidP="00ED7E96">
      <w:pPr>
        <w:spacing w:line="480" w:lineRule="auto"/>
        <w:jc w:val="both"/>
        <w:rPr>
          <w:rFonts w:cs="Times New Roman"/>
        </w:rPr>
      </w:pPr>
      <w:r>
        <w:rPr>
          <w:rFonts w:cs="Times New Roman"/>
        </w:rPr>
        <w:t xml:space="preserve">Hooper </w:t>
      </w:r>
      <w:r w:rsidRPr="00AB6181">
        <w:rPr>
          <w:rFonts w:cs="Times New Roman"/>
          <w:i/>
        </w:rPr>
        <w:t>et al</w:t>
      </w:r>
      <w:r w:rsidR="00C019D8">
        <w:rPr>
          <w:rFonts w:cs="Times New Roman"/>
          <w:i/>
        </w:rPr>
        <w:t>.</w:t>
      </w:r>
      <w:r w:rsidRPr="00AB6181">
        <w:rPr>
          <w:rFonts w:cs="Times New Roman"/>
          <w:i/>
        </w:rPr>
        <w:t>’s</w:t>
      </w:r>
      <w:r>
        <w:rPr>
          <w:rFonts w:cs="Times New Roman"/>
        </w:rPr>
        <w:t xml:space="preserve"> (2007) study explored the complex relationships between poverty, parenting and children’s wellbeing in diverse social circumstances. </w:t>
      </w:r>
      <w:r w:rsidR="00B04958">
        <w:rPr>
          <w:rFonts w:cs="Times New Roman"/>
        </w:rPr>
        <w:t xml:space="preserve">They found that ‘stress, unless buffered by sufficient social support and/or mitigated by other sources of resilience, is likely to be significant in the increased risk of some forms of maltreatment among parents living in poverty’ (p. 105). Hooper and colleagues (2007) found that parents’ own experiences of violence and abuse had ongoing impacts on their lives and were </w:t>
      </w:r>
      <w:r w:rsidR="00B04958" w:rsidRPr="00234C0F">
        <w:rPr>
          <w:rFonts w:cs="Times New Roman"/>
        </w:rPr>
        <w:t xml:space="preserve">compounded by poverty. </w:t>
      </w:r>
      <w:r w:rsidR="00725902">
        <w:rPr>
          <w:rFonts w:cs="Times New Roman"/>
        </w:rPr>
        <w:t xml:space="preserve">As with </w:t>
      </w:r>
      <w:r w:rsidR="00AF35F9">
        <w:rPr>
          <w:rFonts w:cs="Times New Roman"/>
        </w:rPr>
        <w:t xml:space="preserve">the </w:t>
      </w:r>
      <w:r w:rsidR="008432A4">
        <w:rPr>
          <w:rFonts w:cs="Times New Roman"/>
        </w:rPr>
        <w:t xml:space="preserve">CA </w:t>
      </w:r>
      <w:r w:rsidR="008432A4" w:rsidRPr="00946B8C">
        <w:rPr>
          <w:rFonts w:cs="Arial"/>
          <w:szCs w:val="30"/>
        </w:rPr>
        <w:t>they</w:t>
      </w:r>
      <w:r w:rsidR="00725902">
        <w:rPr>
          <w:rFonts w:cs="Times New Roman"/>
        </w:rPr>
        <w:t xml:space="preserve"> suggest </w:t>
      </w:r>
      <w:r w:rsidR="00AD4D05">
        <w:rPr>
          <w:rFonts w:cs="Times New Roman"/>
        </w:rPr>
        <w:t>an individualistic focus i</w:t>
      </w:r>
      <w:r w:rsidR="00725902">
        <w:rPr>
          <w:rFonts w:cs="Times New Roman"/>
        </w:rPr>
        <w:t xml:space="preserve">s inadequate, and recommend that a more holistic approach is required </w:t>
      </w:r>
      <w:r w:rsidR="00F17800">
        <w:rPr>
          <w:rFonts w:cs="Times New Roman"/>
        </w:rPr>
        <w:t xml:space="preserve">in order </w:t>
      </w:r>
      <w:r w:rsidR="00725902">
        <w:rPr>
          <w:rFonts w:cs="Times New Roman"/>
        </w:rPr>
        <w:t>for social workers to have a fuller appreciation of the many ways poverty impacts on family life. They argue that ‘</w:t>
      </w:r>
      <w:r w:rsidR="00AD4D05">
        <w:rPr>
          <w:rFonts w:cs="Times New Roman"/>
        </w:rPr>
        <w:t xml:space="preserve">a limited conception of </w:t>
      </w:r>
      <w:r w:rsidR="001A3AE8">
        <w:rPr>
          <w:rFonts w:cs="Times New Roman"/>
        </w:rPr>
        <w:t>poverty, lack of resources to a</w:t>
      </w:r>
      <w:r w:rsidR="00725902">
        <w:rPr>
          <w:rFonts w:cs="Times New Roman"/>
        </w:rPr>
        <w:t>ddress it, and lack of attention</w:t>
      </w:r>
      <w:r w:rsidR="001A3AE8">
        <w:rPr>
          <w:rFonts w:cs="Times New Roman"/>
        </w:rPr>
        <w:t xml:space="preserve"> to the impacts of trauma, addiction and lifelong disadvantage on the choices they experience themselves as hav</w:t>
      </w:r>
      <w:r w:rsidR="00725902">
        <w:rPr>
          <w:rFonts w:cs="Times New Roman"/>
        </w:rPr>
        <w:t xml:space="preserve">ing may contribute to </w:t>
      </w:r>
      <w:proofErr w:type="spellStart"/>
      <w:r w:rsidR="00725902">
        <w:rPr>
          <w:rFonts w:cs="Times New Roman"/>
        </w:rPr>
        <w:t>overempha</w:t>
      </w:r>
      <w:r w:rsidR="001A3AE8">
        <w:rPr>
          <w:rFonts w:cs="Times New Roman"/>
        </w:rPr>
        <w:t>sising</w:t>
      </w:r>
      <w:proofErr w:type="spellEnd"/>
      <w:r w:rsidR="001A3AE8">
        <w:rPr>
          <w:rFonts w:cs="Times New Roman"/>
        </w:rPr>
        <w:t xml:space="preserve"> </w:t>
      </w:r>
      <w:r w:rsidR="00725902">
        <w:rPr>
          <w:rFonts w:cs="Times New Roman"/>
        </w:rPr>
        <w:t xml:space="preserve">of </w:t>
      </w:r>
      <w:r w:rsidR="001A3AE8">
        <w:rPr>
          <w:rFonts w:cs="Times New Roman"/>
        </w:rPr>
        <w:t>agency at the expense of structural inequality</w:t>
      </w:r>
      <w:r w:rsidR="00F17800">
        <w:rPr>
          <w:rFonts w:cs="Times New Roman"/>
        </w:rPr>
        <w:t>’</w:t>
      </w:r>
      <w:r w:rsidR="001A3AE8">
        <w:rPr>
          <w:rFonts w:cs="Times New Roman"/>
        </w:rPr>
        <w:t xml:space="preserve"> (Hooper </w:t>
      </w:r>
      <w:r w:rsidR="00C019D8">
        <w:rPr>
          <w:rFonts w:cs="Times New Roman"/>
          <w:i/>
        </w:rPr>
        <w:t xml:space="preserve">et </w:t>
      </w:r>
      <w:r w:rsidR="001A3AE8">
        <w:rPr>
          <w:rFonts w:cs="Times New Roman"/>
          <w:i/>
        </w:rPr>
        <w:t xml:space="preserve">al., </w:t>
      </w:r>
      <w:r w:rsidR="001A3AE8">
        <w:rPr>
          <w:rFonts w:cs="Times New Roman"/>
        </w:rPr>
        <w:t>2007, p. 97).</w:t>
      </w:r>
      <w:r w:rsidR="00A22A35" w:rsidRPr="00A22A35">
        <w:rPr>
          <w:rFonts w:cs="Times New Roman"/>
        </w:rPr>
        <w:t xml:space="preserve"> </w:t>
      </w:r>
      <w:r w:rsidR="00A22A35">
        <w:rPr>
          <w:rFonts w:cs="Times New Roman"/>
        </w:rPr>
        <w:t xml:space="preserve"> </w:t>
      </w:r>
      <w:r w:rsidR="001A3AE8">
        <w:rPr>
          <w:rFonts w:cs="Times New Roman"/>
        </w:rPr>
        <w:t xml:space="preserve">Like </w:t>
      </w:r>
      <w:proofErr w:type="spellStart"/>
      <w:r w:rsidR="00097423" w:rsidRPr="00234C0F">
        <w:rPr>
          <w:rFonts w:cs="Times New Roman"/>
        </w:rPr>
        <w:t>Sen</w:t>
      </w:r>
      <w:proofErr w:type="spellEnd"/>
      <w:r w:rsidR="00097423" w:rsidRPr="00234C0F">
        <w:rPr>
          <w:rFonts w:cs="Times New Roman"/>
        </w:rPr>
        <w:t xml:space="preserve"> and Nussbaum, Hooper </w:t>
      </w:r>
      <w:r w:rsidR="00C86F0A">
        <w:rPr>
          <w:rFonts w:cs="Times New Roman"/>
          <w:i/>
        </w:rPr>
        <w:t>et al.</w:t>
      </w:r>
      <w:r w:rsidR="00097423" w:rsidRPr="00234C0F">
        <w:rPr>
          <w:rFonts w:cs="Times New Roman"/>
          <w:i/>
        </w:rPr>
        <w:t xml:space="preserve"> </w:t>
      </w:r>
      <w:r w:rsidR="00097423" w:rsidRPr="00234C0F">
        <w:rPr>
          <w:rFonts w:cs="Times New Roman"/>
        </w:rPr>
        <w:t xml:space="preserve">(2007) </w:t>
      </w:r>
      <w:r w:rsidR="00234C0F">
        <w:rPr>
          <w:rFonts w:cs="Times New Roman"/>
        </w:rPr>
        <w:t>acknowledge</w:t>
      </w:r>
      <w:r w:rsidR="00097423" w:rsidRPr="00234C0F">
        <w:rPr>
          <w:rFonts w:cs="Times New Roman"/>
        </w:rPr>
        <w:t xml:space="preserve"> that recognition and</w:t>
      </w:r>
      <w:r w:rsidR="00097423">
        <w:rPr>
          <w:rFonts w:cs="Times New Roman"/>
        </w:rPr>
        <w:t xml:space="preserve"> respect are fundamental human needs often denied to </w:t>
      </w:r>
      <w:proofErr w:type="spellStart"/>
      <w:r w:rsidR="00097423">
        <w:rPr>
          <w:rFonts w:cs="Times New Roman"/>
        </w:rPr>
        <w:t>marginalised</w:t>
      </w:r>
      <w:proofErr w:type="spellEnd"/>
      <w:r w:rsidR="00097423">
        <w:rPr>
          <w:rFonts w:cs="Times New Roman"/>
        </w:rPr>
        <w:t xml:space="preserve"> and oppressed groups, and that the ‘spoiled’ identities associated with poverty and other life experiences could lead to social iso</w:t>
      </w:r>
      <w:r w:rsidR="002749F2">
        <w:rPr>
          <w:rFonts w:cs="Times New Roman"/>
        </w:rPr>
        <w:t>lation and ‘</w:t>
      </w:r>
      <w:proofErr w:type="spellStart"/>
      <w:r w:rsidR="002749F2">
        <w:rPr>
          <w:rFonts w:cs="Times New Roman"/>
        </w:rPr>
        <w:t>othering</w:t>
      </w:r>
      <w:proofErr w:type="spellEnd"/>
      <w:r w:rsidR="002749F2">
        <w:rPr>
          <w:rFonts w:cs="Times New Roman"/>
        </w:rPr>
        <w:t>’ processes.</w:t>
      </w:r>
    </w:p>
    <w:p w:rsidR="00442E6A" w:rsidRDefault="00442E6A" w:rsidP="00ED7E96">
      <w:pPr>
        <w:spacing w:line="480" w:lineRule="auto"/>
        <w:jc w:val="both"/>
        <w:rPr>
          <w:i/>
          <w:lang w:val="en-GB"/>
        </w:rPr>
      </w:pPr>
    </w:p>
    <w:p w:rsidR="00027C2C" w:rsidRPr="00027C2C" w:rsidRDefault="007E604B" w:rsidP="00ED7E96">
      <w:pPr>
        <w:widowControl w:val="0"/>
        <w:autoSpaceDE w:val="0"/>
        <w:autoSpaceDN w:val="0"/>
        <w:adjustRightInd w:val="0"/>
        <w:spacing w:line="480" w:lineRule="auto"/>
        <w:jc w:val="both"/>
        <w:rPr>
          <w:lang w:val="en-GB"/>
        </w:rPr>
      </w:pPr>
      <w:r>
        <w:rPr>
          <w:lang w:val="en-GB"/>
        </w:rPr>
        <w:t>Drawi</w:t>
      </w:r>
      <w:r w:rsidR="00402B3E">
        <w:rPr>
          <w:lang w:val="en-GB"/>
        </w:rPr>
        <w:t xml:space="preserve">ng on </w:t>
      </w:r>
      <w:r w:rsidR="00AF35F9">
        <w:rPr>
          <w:lang w:val="en-GB"/>
        </w:rPr>
        <w:t xml:space="preserve">the </w:t>
      </w:r>
      <w:r w:rsidR="00176E0D">
        <w:rPr>
          <w:lang w:val="en-GB"/>
        </w:rPr>
        <w:t>CA</w:t>
      </w:r>
      <w:r w:rsidR="00EC57A0">
        <w:rPr>
          <w:lang w:val="en-GB"/>
        </w:rPr>
        <w:t>,</w:t>
      </w:r>
      <w:r w:rsidR="00176E0D">
        <w:rPr>
          <w:lang w:val="en-GB"/>
        </w:rPr>
        <w:t xml:space="preserve"> </w:t>
      </w:r>
      <w:r w:rsidR="00402B3E">
        <w:rPr>
          <w:lang w:val="en-GB"/>
        </w:rPr>
        <w:t>Bartley (</w:t>
      </w:r>
      <w:r>
        <w:rPr>
          <w:lang w:val="en-GB"/>
        </w:rPr>
        <w:t xml:space="preserve">2006) reviews the evidence on </w:t>
      </w:r>
      <w:r w:rsidR="00525265">
        <w:rPr>
          <w:lang w:val="en-GB"/>
        </w:rPr>
        <w:t xml:space="preserve">health inequalities and suggests </w:t>
      </w:r>
      <w:r>
        <w:rPr>
          <w:lang w:val="en-GB"/>
        </w:rPr>
        <w:t xml:space="preserve">ways </w:t>
      </w:r>
      <w:r w:rsidR="00525265">
        <w:rPr>
          <w:lang w:val="en-GB"/>
        </w:rPr>
        <w:t xml:space="preserve">of </w:t>
      </w:r>
      <w:r>
        <w:rPr>
          <w:lang w:val="en-GB"/>
        </w:rPr>
        <w:t>promo</w:t>
      </w:r>
      <w:r w:rsidR="00525265">
        <w:rPr>
          <w:lang w:val="en-GB"/>
        </w:rPr>
        <w:t>ting capabilit</w:t>
      </w:r>
      <w:r w:rsidR="00B278B9">
        <w:rPr>
          <w:lang w:val="en-GB"/>
        </w:rPr>
        <w:t>ies</w:t>
      </w:r>
      <w:r w:rsidR="00525265">
        <w:rPr>
          <w:lang w:val="en-GB"/>
        </w:rPr>
        <w:t xml:space="preserve"> and resilience</w:t>
      </w:r>
      <w:r w:rsidR="00D56200">
        <w:rPr>
          <w:lang w:val="en-GB"/>
        </w:rPr>
        <w:t xml:space="preserve">. </w:t>
      </w:r>
      <w:r w:rsidR="00525265">
        <w:rPr>
          <w:lang w:val="en-GB"/>
        </w:rPr>
        <w:t>The study</w:t>
      </w:r>
      <w:r>
        <w:rPr>
          <w:lang w:val="en-GB"/>
        </w:rPr>
        <w:t xml:space="preserve"> found that the two factors that </w:t>
      </w:r>
      <w:r w:rsidR="004859AC">
        <w:rPr>
          <w:lang w:val="en-GB"/>
        </w:rPr>
        <w:t>make resilience possible and increase people’s capabilities are the quality of human relationships and the quality of public responses.  Ba</w:t>
      </w:r>
      <w:r w:rsidR="002921DC">
        <w:rPr>
          <w:lang w:val="en-GB"/>
        </w:rPr>
        <w:t>rtley (2006, p.3) argues that ‘</w:t>
      </w:r>
      <w:r w:rsidR="004859AC">
        <w:rPr>
          <w:lang w:val="en-GB"/>
        </w:rPr>
        <w:t xml:space="preserve">good public services enable and encourage people to maintain social relationships, but badly provided ones can create social isolation’.  The study suggests that the key to promoting children’s well-being is to help their parents, and by increasing the living standards of poor families, including the improvement of social housing, schools and other public services. </w:t>
      </w:r>
      <w:r w:rsidR="002921DC">
        <w:rPr>
          <w:lang w:val="en-GB"/>
        </w:rPr>
        <w:t xml:space="preserve"> </w:t>
      </w:r>
      <w:r w:rsidR="0091424C">
        <w:rPr>
          <w:lang w:val="en-GB"/>
        </w:rPr>
        <w:t xml:space="preserve">However </w:t>
      </w:r>
      <w:r w:rsidR="004D1F33">
        <w:rPr>
          <w:lang w:val="en-GB"/>
        </w:rPr>
        <w:t>over</w:t>
      </w:r>
      <w:r w:rsidR="00176E0D">
        <w:rPr>
          <w:lang w:val="en-GB"/>
        </w:rPr>
        <w:t xml:space="preserve"> the </w:t>
      </w:r>
      <w:r w:rsidR="004D1F33">
        <w:rPr>
          <w:lang w:val="en-GB"/>
        </w:rPr>
        <w:t>past few years</w:t>
      </w:r>
      <w:r w:rsidR="00176E0D">
        <w:rPr>
          <w:lang w:val="en-GB"/>
        </w:rPr>
        <w:t xml:space="preserve">, </w:t>
      </w:r>
      <w:r w:rsidR="00525265">
        <w:rPr>
          <w:lang w:val="en-GB"/>
        </w:rPr>
        <w:t>due to public spending cuts</w:t>
      </w:r>
      <w:r w:rsidR="00176E0D">
        <w:rPr>
          <w:lang w:val="en-GB"/>
        </w:rPr>
        <w:t>,</w:t>
      </w:r>
      <w:r w:rsidR="00525265">
        <w:rPr>
          <w:lang w:val="en-GB"/>
        </w:rPr>
        <w:t xml:space="preserve"> there </w:t>
      </w:r>
      <w:r w:rsidR="004D1F33">
        <w:rPr>
          <w:lang w:val="en-GB"/>
        </w:rPr>
        <w:t xml:space="preserve">has been a reduction of community and formal </w:t>
      </w:r>
      <w:r w:rsidR="00027C2C">
        <w:rPr>
          <w:lang w:val="en-GB"/>
        </w:rPr>
        <w:t>support services</w:t>
      </w:r>
      <w:r w:rsidR="00BB2BEE">
        <w:rPr>
          <w:lang w:val="en-GB"/>
        </w:rPr>
        <w:t xml:space="preserve">, such as children centres (Ridge, 2013).  As indicated above, </w:t>
      </w:r>
      <w:r w:rsidR="00BB2BEE">
        <w:t>f</w:t>
      </w:r>
      <w:r w:rsidR="00027C2C" w:rsidRPr="00027C2C">
        <w:t xml:space="preserve">rom a capabilities perspective </w:t>
      </w:r>
      <w:r w:rsidR="00876C5B">
        <w:rPr>
          <w:lang w:val="en-GB"/>
        </w:rPr>
        <w:t>not only are current Government</w:t>
      </w:r>
      <w:r w:rsidR="00027C2C" w:rsidRPr="00027C2C">
        <w:rPr>
          <w:lang w:val="en-GB"/>
        </w:rPr>
        <w:t xml:space="preserve"> policies on welfare benefit changes impacting on </w:t>
      </w:r>
      <w:r w:rsidR="00BB2BEE">
        <w:rPr>
          <w:lang w:val="en-GB"/>
        </w:rPr>
        <w:t xml:space="preserve">vulnerable </w:t>
      </w:r>
      <w:r w:rsidR="00027C2C" w:rsidRPr="00027C2C">
        <w:rPr>
          <w:lang w:val="en-GB"/>
        </w:rPr>
        <w:t>parents’ capabilities to adequately care for their children, but the reduction in family support services also diminishes the buffers to deal with the effect of social adversities.</w:t>
      </w:r>
    </w:p>
    <w:p w:rsidR="007E604B" w:rsidRDefault="007E604B" w:rsidP="00ED7E96">
      <w:pPr>
        <w:widowControl w:val="0"/>
        <w:autoSpaceDE w:val="0"/>
        <w:autoSpaceDN w:val="0"/>
        <w:adjustRightInd w:val="0"/>
        <w:spacing w:line="480" w:lineRule="auto"/>
        <w:jc w:val="both"/>
        <w:rPr>
          <w:lang w:val="en-GB"/>
        </w:rPr>
      </w:pPr>
    </w:p>
    <w:p w:rsidR="0091424C" w:rsidRPr="00415312" w:rsidRDefault="00415312" w:rsidP="00ED7E96">
      <w:pPr>
        <w:spacing w:line="480" w:lineRule="auto"/>
        <w:jc w:val="both"/>
        <w:rPr>
          <w:rFonts w:cs="Times New Roman"/>
        </w:rPr>
      </w:pPr>
      <w:r>
        <w:rPr>
          <w:lang w:val="en-GB"/>
        </w:rPr>
        <w:t>The nature of the support services and how parents</w:t>
      </w:r>
      <w:r w:rsidR="00F17800">
        <w:rPr>
          <w:lang w:val="en-GB"/>
        </w:rPr>
        <w:t xml:space="preserve"> experience these</w:t>
      </w:r>
      <w:r>
        <w:rPr>
          <w:lang w:val="en-GB"/>
        </w:rPr>
        <w:t xml:space="preserve">, </w:t>
      </w:r>
      <w:r w:rsidR="00F17800">
        <w:rPr>
          <w:lang w:val="en-GB"/>
        </w:rPr>
        <w:t xml:space="preserve">whether </w:t>
      </w:r>
      <w:r>
        <w:rPr>
          <w:lang w:val="en-GB"/>
        </w:rPr>
        <w:t xml:space="preserve">as undermining or promoting their capabilities, is of relevance. </w:t>
      </w:r>
      <w:r w:rsidR="00EE44E3">
        <w:rPr>
          <w:rFonts w:cs="Times New Roman"/>
          <w:lang w:val="en-GB"/>
        </w:rPr>
        <w:t xml:space="preserve">Featherstone </w:t>
      </w:r>
      <w:r w:rsidR="00EE44E3">
        <w:rPr>
          <w:rFonts w:cs="Times New Roman"/>
          <w:i/>
          <w:lang w:val="en-GB"/>
        </w:rPr>
        <w:t xml:space="preserve">et al. </w:t>
      </w:r>
      <w:r w:rsidR="00F53151">
        <w:rPr>
          <w:rFonts w:cs="Times New Roman"/>
          <w:lang w:val="en-GB"/>
        </w:rPr>
        <w:t>(2012</w:t>
      </w:r>
      <w:r w:rsidRPr="009F29F8">
        <w:rPr>
          <w:rFonts w:cs="Times New Roman"/>
          <w:lang w:val="en-GB"/>
        </w:rPr>
        <w:t xml:space="preserve">) argue that the individualising neo-liberal discourse of welfare that started under the Thatcher Government was continued by New Labour </w:t>
      </w:r>
      <w:r w:rsidR="00F17800">
        <w:rPr>
          <w:rFonts w:cs="Times New Roman"/>
          <w:lang w:val="en-GB"/>
        </w:rPr>
        <w:t xml:space="preserve">and </w:t>
      </w:r>
      <w:r w:rsidRPr="009F29F8">
        <w:rPr>
          <w:rFonts w:cs="Times New Roman"/>
          <w:lang w:val="en-GB"/>
        </w:rPr>
        <w:t>led to services ‘</w:t>
      </w:r>
      <w:r w:rsidRPr="009F29F8">
        <w:rPr>
          <w:rFonts w:cs="Times New Roman"/>
        </w:rPr>
        <w:t xml:space="preserve">based on a reductive analysis of needs, conflating multiple vulnerabilities of social networks, environmental resources, parenting capacity and health and well-being to, simply, skills </w:t>
      </w:r>
      <w:r w:rsidRPr="00F53151">
        <w:rPr>
          <w:rFonts w:cs="Times New Roman"/>
        </w:rPr>
        <w:t xml:space="preserve">deficits’ </w:t>
      </w:r>
      <w:r w:rsidR="001E0C94" w:rsidRPr="00F53151">
        <w:rPr>
          <w:rFonts w:cs="Times New Roman"/>
        </w:rPr>
        <w:t>(p.</w:t>
      </w:r>
      <w:r w:rsidR="00F53151" w:rsidRPr="00F53151">
        <w:rPr>
          <w:rFonts w:cs="Times New Roman"/>
        </w:rPr>
        <w:t xml:space="preserve"> 625</w:t>
      </w:r>
      <w:r w:rsidR="001E0C94" w:rsidRPr="00F53151">
        <w:rPr>
          <w:rFonts w:cs="Times New Roman"/>
        </w:rPr>
        <w:t>).</w:t>
      </w:r>
      <w:r w:rsidRPr="009F29F8">
        <w:rPr>
          <w:rFonts w:cs="Times New Roman"/>
        </w:rPr>
        <w:t xml:space="preserve"> This resulted in the </w:t>
      </w:r>
      <w:r w:rsidR="00BB2BEE">
        <w:rPr>
          <w:rFonts w:cs="Times New Roman"/>
        </w:rPr>
        <w:t xml:space="preserve">minimizing </w:t>
      </w:r>
      <w:r w:rsidRPr="009F29F8">
        <w:rPr>
          <w:rFonts w:cs="Times New Roman"/>
        </w:rPr>
        <w:t>of social and structural constraints facing many families living in poverty.</w:t>
      </w:r>
      <w:r>
        <w:rPr>
          <w:rFonts w:cs="Times New Roman"/>
        </w:rPr>
        <w:t xml:space="preserve"> </w:t>
      </w:r>
      <w:r w:rsidR="00770F33">
        <w:rPr>
          <w:rFonts w:cs="Times New Roman"/>
          <w:szCs w:val="20"/>
        </w:rPr>
        <w:t xml:space="preserve">The policies of the Coalition Government have significantly escalated this process. </w:t>
      </w:r>
      <w:r w:rsidR="004859AC">
        <w:rPr>
          <w:rFonts w:cs="Times New Roman"/>
          <w:szCs w:val="20"/>
        </w:rPr>
        <w:t xml:space="preserve">Two reviews </w:t>
      </w:r>
      <w:r w:rsidR="002921DC">
        <w:rPr>
          <w:rFonts w:cs="Times New Roman"/>
          <w:szCs w:val="20"/>
        </w:rPr>
        <w:t xml:space="preserve">on early intervention </w:t>
      </w:r>
      <w:r w:rsidR="00770F33" w:rsidRPr="004859AC">
        <w:rPr>
          <w:rFonts w:cs="Arial"/>
        </w:rPr>
        <w:t>(</w:t>
      </w:r>
      <w:r w:rsidR="00E06B94">
        <w:rPr>
          <w:rFonts w:cs="Arial"/>
        </w:rPr>
        <w:t>Field</w:t>
      </w:r>
      <w:r w:rsidR="00770F33" w:rsidRPr="004859AC">
        <w:rPr>
          <w:rFonts w:cs="Arial"/>
        </w:rPr>
        <w:t>, 20</w:t>
      </w:r>
      <w:r w:rsidR="004859AC">
        <w:rPr>
          <w:rFonts w:cs="Arial"/>
        </w:rPr>
        <w:t xml:space="preserve">10 and Allen, 2011) </w:t>
      </w:r>
      <w:r w:rsidR="002921DC">
        <w:rPr>
          <w:rFonts w:cs="Arial"/>
        </w:rPr>
        <w:t xml:space="preserve">have not served </w:t>
      </w:r>
      <w:r w:rsidR="005127C1">
        <w:rPr>
          <w:rFonts w:cs="Arial"/>
        </w:rPr>
        <w:t xml:space="preserve">to </w:t>
      </w:r>
      <w:r w:rsidR="00770F33" w:rsidRPr="004859AC">
        <w:rPr>
          <w:rFonts w:cs="Arial"/>
        </w:rPr>
        <w:t xml:space="preserve">counterbalance the impact of austerity policies on the lives of </w:t>
      </w:r>
      <w:r w:rsidR="002921DC">
        <w:rPr>
          <w:rFonts w:cs="Arial"/>
        </w:rPr>
        <w:t>chi</w:t>
      </w:r>
      <w:r w:rsidR="00176E0D">
        <w:rPr>
          <w:rFonts w:cs="Arial"/>
        </w:rPr>
        <w:t xml:space="preserve">ldren experiencing poverty, and, indeed, </w:t>
      </w:r>
      <w:r w:rsidR="002921DC">
        <w:rPr>
          <w:rFonts w:cs="Arial"/>
        </w:rPr>
        <w:t xml:space="preserve">have led to a more punitive and individualized focus on parenting in poverty. </w:t>
      </w:r>
      <w:r w:rsidR="00AF35F9">
        <w:rPr>
          <w:rFonts w:cs="Arial"/>
        </w:rPr>
        <w:t xml:space="preserve">Allen </w:t>
      </w:r>
      <w:r w:rsidR="002921DC">
        <w:rPr>
          <w:rFonts w:cs="Arial"/>
        </w:rPr>
        <w:t>(2011) draws</w:t>
      </w:r>
      <w:r>
        <w:rPr>
          <w:rFonts w:cs="Times New Roman"/>
        </w:rPr>
        <w:t xml:space="preserve"> </w:t>
      </w:r>
      <w:r w:rsidR="007E604B" w:rsidRPr="004859AC">
        <w:rPr>
          <w:rFonts w:cs="Book Antiqua"/>
        </w:rPr>
        <w:t>up</w:t>
      </w:r>
      <w:r w:rsidR="002921DC">
        <w:rPr>
          <w:rFonts w:cs="Book Antiqua"/>
        </w:rPr>
        <w:t>on</w:t>
      </w:r>
      <w:r w:rsidR="007E604B" w:rsidRPr="004859AC">
        <w:rPr>
          <w:rFonts w:cs="Book Antiqua"/>
        </w:rPr>
        <w:t xml:space="preserve"> </w:t>
      </w:r>
      <w:proofErr w:type="spellStart"/>
      <w:r w:rsidR="007E604B" w:rsidRPr="004859AC">
        <w:rPr>
          <w:rFonts w:cs="Book Antiqua"/>
        </w:rPr>
        <w:t>neuroscientific</w:t>
      </w:r>
      <w:proofErr w:type="spellEnd"/>
      <w:r w:rsidR="007E604B" w:rsidRPr="004859AC">
        <w:rPr>
          <w:rFonts w:cs="Book Antiqua"/>
        </w:rPr>
        <w:t xml:space="preserve"> argument</w:t>
      </w:r>
      <w:r w:rsidR="00176E0D">
        <w:rPr>
          <w:rFonts w:cs="Book Antiqua"/>
        </w:rPr>
        <w:t xml:space="preserve">s that </w:t>
      </w:r>
      <w:r w:rsidR="007E604B" w:rsidRPr="004859AC">
        <w:rPr>
          <w:rFonts w:cs="Book Antiqua"/>
        </w:rPr>
        <w:t>ha</w:t>
      </w:r>
      <w:r w:rsidR="00176E0D">
        <w:rPr>
          <w:rFonts w:cs="Book Antiqua"/>
        </w:rPr>
        <w:t>ve</w:t>
      </w:r>
      <w:r w:rsidR="007E604B" w:rsidRPr="004859AC">
        <w:rPr>
          <w:rFonts w:cs="Book Antiqua"/>
        </w:rPr>
        <w:t xml:space="preserve"> been widely critiqued from </w:t>
      </w:r>
      <w:r w:rsidR="00C86F0A">
        <w:rPr>
          <w:rFonts w:cs="Book Antiqua"/>
        </w:rPr>
        <w:t>within neuroscience</w:t>
      </w:r>
      <w:r w:rsidR="007E604B" w:rsidRPr="004859AC">
        <w:rPr>
          <w:rFonts w:cs="Book Antiqua"/>
        </w:rPr>
        <w:t xml:space="preserve"> </w:t>
      </w:r>
      <w:r w:rsidR="00E859D3">
        <w:rPr>
          <w:rFonts w:cs="Book Antiqua"/>
        </w:rPr>
        <w:t xml:space="preserve">and </w:t>
      </w:r>
      <w:r w:rsidR="005D7F9E">
        <w:rPr>
          <w:rFonts w:cs="Book Antiqua"/>
        </w:rPr>
        <w:t>are far</w:t>
      </w:r>
      <w:r w:rsidR="00E859D3">
        <w:rPr>
          <w:rFonts w:cs="Book Antiqua"/>
        </w:rPr>
        <w:t xml:space="preserve"> from ‘policy ready’ </w:t>
      </w:r>
      <w:r w:rsidR="007E604B" w:rsidRPr="004859AC">
        <w:rPr>
          <w:rFonts w:cs="Book Antiqua"/>
        </w:rPr>
        <w:t>(</w:t>
      </w:r>
      <w:proofErr w:type="spellStart"/>
      <w:r w:rsidR="00EE44E3">
        <w:rPr>
          <w:rFonts w:cs="Book Antiqua"/>
        </w:rPr>
        <w:t>Wastell</w:t>
      </w:r>
      <w:proofErr w:type="spellEnd"/>
      <w:r w:rsidR="00EE44E3">
        <w:rPr>
          <w:rFonts w:cs="Book Antiqua"/>
        </w:rPr>
        <w:t xml:space="preserve"> and White</w:t>
      </w:r>
      <w:r>
        <w:rPr>
          <w:rFonts w:cs="Book Antiqua"/>
        </w:rPr>
        <w:t>, 2012</w:t>
      </w:r>
      <w:r w:rsidR="00E859D3">
        <w:rPr>
          <w:rFonts w:cs="Book Antiqua"/>
        </w:rPr>
        <w:t xml:space="preserve">). It takes an unforgiving approach to parenting, where parents </w:t>
      </w:r>
      <w:r>
        <w:rPr>
          <w:rFonts w:cs="Book Antiqua"/>
        </w:rPr>
        <w:t xml:space="preserve">(particularly working class mothers) </w:t>
      </w:r>
      <w:r w:rsidR="00E859D3">
        <w:rPr>
          <w:rFonts w:cs="Book Antiqua"/>
        </w:rPr>
        <w:t>are expected</w:t>
      </w:r>
      <w:r w:rsidR="00176E0D">
        <w:rPr>
          <w:rFonts w:cs="Book Antiqua"/>
        </w:rPr>
        <w:t xml:space="preserve"> to </w:t>
      </w:r>
      <w:r w:rsidR="00E859D3">
        <w:rPr>
          <w:rFonts w:cs="Book Antiqua"/>
        </w:rPr>
        <w:t xml:space="preserve">‘change’ within </w:t>
      </w:r>
      <w:r w:rsidR="00176E0D">
        <w:rPr>
          <w:rFonts w:cs="Book Antiqua"/>
        </w:rPr>
        <w:t xml:space="preserve">rigid </w:t>
      </w:r>
      <w:r w:rsidR="00E859D3">
        <w:rPr>
          <w:rFonts w:cs="Book Antiqua"/>
        </w:rPr>
        <w:t>timescales and is devoid of any consideration of social and political context</w:t>
      </w:r>
      <w:r w:rsidR="00FE2F52">
        <w:rPr>
          <w:rFonts w:cs="Book Antiqua"/>
        </w:rPr>
        <w:t>s</w:t>
      </w:r>
      <w:r w:rsidR="00E859D3">
        <w:rPr>
          <w:rFonts w:cs="Book Antiqua"/>
        </w:rPr>
        <w:t xml:space="preserve"> </w:t>
      </w:r>
      <w:r w:rsidR="00FE2F52">
        <w:rPr>
          <w:rFonts w:cs="Book Antiqua"/>
        </w:rPr>
        <w:t>and the complex range of factors that may have diminished their capabi</w:t>
      </w:r>
      <w:r w:rsidR="00F17800">
        <w:rPr>
          <w:rFonts w:cs="Book Antiqua"/>
        </w:rPr>
        <w:t>lities to be</w:t>
      </w:r>
      <w:r>
        <w:rPr>
          <w:rFonts w:cs="Book Antiqua"/>
        </w:rPr>
        <w:t xml:space="preserve"> ‘good enough’ parents (</w:t>
      </w:r>
      <w:r w:rsidR="003D17D0">
        <w:rPr>
          <w:rFonts w:cs="Book Antiqua"/>
        </w:rPr>
        <w:t xml:space="preserve">Grover </w:t>
      </w:r>
      <w:r w:rsidR="00C019D8">
        <w:rPr>
          <w:rFonts w:cs="Book Antiqua"/>
        </w:rPr>
        <w:t>and</w:t>
      </w:r>
      <w:r w:rsidR="003D17D0">
        <w:rPr>
          <w:rFonts w:cs="Book Antiqua"/>
        </w:rPr>
        <w:t xml:space="preserve"> Mas</w:t>
      </w:r>
      <w:r>
        <w:rPr>
          <w:rFonts w:cs="Book Antiqua"/>
        </w:rPr>
        <w:t>on, 2013</w:t>
      </w:r>
      <w:r w:rsidR="00A0671D">
        <w:rPr>
          <w:rFonts w:cs="Book Antiqua"/>
        </w:rPr>
        <w:t xml:space="preserve">; Featherstone </w:t>
      </w:r>
      <w:r w:rsidR="00A0671D">
        <w:rPr>
          <w:rFonts w:cs="Book Antiqua"/>
          <w:i/>
        </w:rPr>
        <w:t>et al.</w:t>
      </w:r>
      <w:r w:rsidR="00A0671D">
        <w:rPr>
          <w:rFonts w:cs="Book Antiqua"/>
        </w:rPr>
        <w:t>, 2014</w:t>
      </w:r>
      <w:r>
        <w:rPr>
          <w:rFonts w:cs="Book Antiqua"/>
        </w:rPr>
        <w:t>)</w:t>
      </w:r>
      <w:r w:rsidR="00AF4B54">
        <w:rPr>
          <w:rFonts w:cs="Book Antiqua"/>
        </w:rPr>
        <w:t>.</w:t>
      </w:r>
    </w:p>
    <w:p w:rsidR="0091424C" w:rsidRDefault="0091424C" w:rsidP="00ED7E96">
      <w:pPr>
        <w:spacing w:line="480" w:lineRule="auto"/>
        <w:jc w:val="both"/>
        <w:rPr>
          <w:rFonts w:cs="Times New Roman"/>
        </w:rPr>
      </w:pPr>
    </w:p>
    <w:p w:rsidR="00E27AED" w:rsidRDefault="002921DC" w:rsidP="00ED7E96">
      <w:pPr>
        <w:spacing w:line="480" w:lineRule="auto"/>
        <w:jc w:val="both"/>
      </w:pPr>
      <w:r w:rsidRPr="004E0191">
        <w:rPr>
          <w:rFonts w:cs="Times New Roman"/>
        </w:rPr>
        <w:t>Parton (2014) asse</w:t>
      </w:r>
      <w:r w:rsidR="00EC57A0">
        <w:rPr>
          <w:rFonts w:cs="Times New Roman"/>
        </w:rPr>
        <w:t xml:space="preserve">rts that what has emerged is </w:t>
      </w:r>
      <w:proofErr w:type="gramStart"/>
      <w:r w:rsidR="00EC57A0">
        <w:rPr>
          <w:rFonts w:cs="Times New Roman"/>
        </w:rPr>
        <w:t xml:space="preserve">an </w:t>
      </w:r>
      <w:r w:rsidRPr="004E0191">
        <w:rPr>
          <w:rFonts w:cs="Times New Roman"/>
        </w:rPr>
        <w:t>‘</w:t>
      </w:r>
      <w:r w:rsidRPr="00F53151">
        <w:rPr>
          <w:rFonts w:cs="Times New Roman"/>
        </w:rPr>
        <w:t>authoritarian</w:t>
      </w:r>
      <w:proofErr w:type="gramEnd"/>
      <w:r w:rsidRPr="00F53151">
        <w:rPr>
          <w:rFonts w:cs="Times New Roman"/>
        </w:rPr>
        <w:t xml:space="preserve"> neoliberal state’</w:t>
      </w:r>
      <w:r w:rsidRPr="004E0191">
        <w:rPr>
          <w:rFonts w:cs="Times New Roman"/>
        </w:rPr>
        <w:t xml:space="preserve"> in child welfare that is changing the nature of relationships between the state and families, particularly families from lower socio-economic backgrounds. The new </w:t>
      </w:r>
      <w:r w:rsidRPr="004E0191">
        <w:rPr>
          <w:rFonts w:cs="Times New Roman"/>
          <w:i/>
        </w:rPr>
        <w:t xml:space="preserve">Working Together </w:t>
      </w:r>
      <w:r w:rsidRPr="004E0191">
        <w:rPr>
          <w:rFonts w:cs="Times New Roman"/>
        </w:rPr>
        <w:t>guidance identifies the need to ‘rescue children from chaotic, neglectful and abusive homes’ (HM Government, 2013</w:t>
      </w:r>
      <w:r w:rsidR="00F53151">
        <w:rPr>
          <w:rFonts w:cs="Times New Roman"/>
        </w:rPr>
        <w:t xml:space="preserve">, p. </w:t>
      </w:r>
      <w:r w:rsidRPr="004E0191">
        <w:rPr>
          <w:rFonts w:cs="Times New Roman"/>
        </w:rPr>
        <w:t>22).</w:t>
      </w:r>
      <w:r w:rsidR="0091424C">
        <w:rPr>
          <w:rFonts w:cs="Times New Roman"/>
        </w:rPr>
        <w:t xml:space="preserve"> </w:t>
      </w:r>
      <w:r w:rsidR="00524536">
        <w:rPr>
          <w:rFonts w:cs="Times New Roman"/>
        </w:rPr>
        <w:t xml:space="preserve"> In a speech</w:t>
      </w:r>
      <w:r w:rsidR="00AF4B54">
        <w:rPr>
          <w:rFonts w:cs="Times New Roman"/>
        </w:rPr>
        <w:t xml:space="preserve"> at the Institute of Public Policy Resear</w:t>
      </w:r>
      <w:r w:rsidR="005C64FA">
        <w:rPr>
          <w:rFonts w:cs="Times New Roman"/>
        </w:rPr>
        <w:t xml:space="preserve">ch (IPPR) in November 2012, </w:t>
      </w:r>
      <w:r w:rsidR="005127C1">
        <w:rPr>
          <w:rFonts w:cs="Times New Roman"/>
        </w:rPr>
        <w:t xml:space="preserve">Michael </w:t>
      </w:r>
      <w:r w:rsidR="00AF4B54">
        <w:rPr>
          <w:rFonts w:cs="Times New Roman"/>
        </w:rPr>
        <w:t>Gove reaffirmed the need to act swiftly as ‘too</w:t>
      </w:r>
      <w:r w:rsidR="00AF4B54" w:rsidRPr="00524536">
        <w:rPr>
          <w:rFonts w:cs="Times New Roman"/>
        </w:rPr>
        <w:t xml:space="preserve"> many children are left for far too long in homes where they are exposed to appalling neglect and criminal mistreatment</w:t>
      </w:r>
      <w:r w:rsidR="00AF4B54">
        <w:rPr>
          <w:rFonts w:cs="Times New Roman"/>
        </w:rPr>
        <w:t xml:space="preserve">’. </w:t>
      </w:r>
      <w:r w:rsidR="00000CFA">
        <w:rPr>
          <w:rFonts w:cs="Times New Roman"/>
        </w:rPr>
        <w:t xml:space="preserve"> The blame was placed solely on parental behavior with no recognition</w:t>
      </w:r>
      <w:r w:rsidR="00BB2BEE">
        <w:rPr>
          <w:rFonts w:cs="Times New Roman"/>
        </w:rPr>
        <w:t xml:space="preserve"> of the influence of social and </w:t>
      </w:r>
      <w:r w:rsidR="00000CFA">
        <w:rPr>
          <w:rFonts w:cs="Times New Roman"/>
        </w:rPr>
        <w:t>environmental adversities.</w:t>
      </w:r>
      <w:r w:rsidR="00AF4B54">
        <w:rPr>
          <w:rFonts w:cs="Times New Roman"/>
        </w:rPr>
        <w:t xml:space="preserve"> </w:t>
      </w:r>
      <w:r w:rsidR="00693A76">
        <w:rPr>
          <w:lang w:val="en-GB"/>
        </w:rPr>
        <w:t>Policies</w:t>
      </w:r>
      <w:r w:rsidR="000344B2">
        <w:rPr>
          <w:lang w:val="en-GB"/>
        </w:rPr>
        <w:t xml:space="preserve"> in relation to child protection and care proceedings </w:t>
      </w:r>
      <w:r w:rsidR="00693A76">
        <w:rPr>
          <w:lang w:val="en-GB"/>
        </w:rPr>
        <w:t xml:space="preserve">have </w:t>
      </w:r>
      <w:r w:rsidR="000344B2">
        <w:rPr>
          <w:lang w:val="en-GB"/>
        </w:rPr>
        <w:t>le</w:t>
      </w:r>
      <w:r w:rsidR="00693A76">
        <w:rPr>
          <w:lang w:val="en-GB"/>
        </w:rPr>
        <w:t>d</w:t>
      </w:r>
      <w:r w:rsidR="000344B2">
        <w:rPr>
          <w:lang w:val="en-GB"/>
        </w:rPr>
        <w:t xml:space="preserve"> to more (inevitably poor) children coming in to the care system and being placed for adoption. </w:t>
      </w:r>
      <w:r w:rsidR="00E859D3">
        <w:rPr>
          <w:rFonts w:cs="Times New Roman"/>
        </w:rPr>
        <w:t xml:space="preserve">It </w:t>
      </w:r>
      <w:r w:rsidR="00390446" w:rsidRPr="004E0191">
        <w:rPr>
          <w:rFonts w:cs="Times New Roman"/>
        </w:rPr>
        <w:t xml:space="preserve">is </w:t>
      </w:r>
      <w:r w:rsidR="00693A76">
        <w:rPr>
          <w:rFonts w:cs="Times New Roman"/>
        </w:rPr>
        <w:t xml:space="preserve">current </w:t>
      </w:r>
      <w:r w:rsidR="00390446" w:rsidRPr="004E0191">
        <w:rPr>
          <w:rFonts w:cs="Times New Roman"/>
        </w:rPr>
        <w:t>government policy to speed up the family court</w:t>
      </w:r>
      <w:r w:rsidR="005C64FA">
        <w:rPr>
          <w:rFonts w:cs="Times New Roman"/>
        </w:rPr>
        <w:t>s</w:t>
      </w:r>
      <w:r w:rsidR="00390446" w:rsidRPr="004E0191">
        <w:rPr>
          <w:rFonts w:cs="Times New Roman"/>
        </w:rPr>
        <w:t>, giving less opportunity for parents to be suppor</w:t>
      </w:r>
      <w:r w:rsidR="00BE5865">
        <w:rPr>
          <w:rFonts w:cs="Times New Roman"/>
        </w:rPr>
        <w:t>ted to care for their children</w:t>
      </w:r>
      <w:r w:rsidR="005B1E93">
        <w:rPr>
          <w:rFonts w:cs="Times New Roman"/>
        </w:rPr>
        <w:t>,</w:t>
      </w:r>
      <w:r w:rsidR="00BE5865">
        <w:rPr>
          <w:rFonts w:cs="Times New Roman"/>
        </w:rPr>
        <w:t xml:space="preserve"> and </w:t>
      </w:r>
      <w:r w:rsidR="00FE2F52">
        <w:rPr>
          <w:rFonts w:cs="Times New Roman"/>
        </w:rPr>
        <w:t xml:space="preserve">also </w:t>
      </w:r>
      <w:r w:rsidR="00BE5865">
        <w:rPr>
          <w:rFonts w:cs="Times New Roman"/>
        </w:rPr>
        <w:t xml:space="preserve">to </w:t>
      </w:r>
      <w:r w:rsidR="005127C1">
        <w:rPr>
          <w:rFonts w:cs="Times New Roman"/>
        </w:rPr>
        <w:t>prioritize</w:t>
      </w:r>
      <w:r w:rsidR="00BE5865">
        <w:rPr>
          <w:rFonts w:cs="Times New Roman"/>
        </w:rPr>
        <w:t xml:space="preserve"> </w:t>
      </w:r>
      <w:r w:rsidR="00BE5865">
        <w:t>adoption</w:t>
      </w:r>
      <w:r w:rsidR="005B1E93">
        <w:t xml:space="preserve"> as the ‘gold standard’ for children in care</w:t>
      </w:r>
      <w:r w:rsidR="00BE5865">
        <w:t>.</w:t>
      </w:r>
    </w:p>
    <w:p w:rsidR="00E27AED" w:rsidRDefault="00E27AED" w:rsidP="00ED7E96">
      <w:pPr>
        <w:spacing w:line="480" w:lineRule="auto"/>
        <w:jc w:val="both"/>
      </w:pPr>
    </w:p>
    <w:p w:rsidR="00000CFA" w:rsidRDefault="00000CFA" w:rsidP="00ED7E96">
      <w:pPr>
        <w:spacing w:line="480" w:lineRule="auto"/>
        <w:jc w:val="both"/>
        <w:rPr>
          <w:szCs w:val="20"/>
        </w:rPr>
      </w:pPr>
      <w:r w:rsidRPr="00390446">
        <w:rPr>
          <w:rFonts w:cs="Times New Roman"/>
        </w:rPr>
        <w:t>Nussbaum (201</w:t>
      </w:r>
      <w:r w:rsidR="00666FFD">
        <w:rPr>
          <w:rFonts w:cs="Times New Roman"/>
        </w:rPr>
        <w:t>1</w:t>
      </w:r>
      <w:r w:rsidRPr="00390446">
        <w:rPr>
          <w:rFonts w:cs="Times New Roman"/>
        </w:rPr>
        <w:t xml:space="preserve">) </w:t>
      </w:r>
      <w:r w:rsidRPr="00390446">
        <w:rPr>
          <w:szCs w:val="20"/>
        </w:rPr>
        <w:t>use</w:t>
      </w:r>
      <w:r>
        <w:rPr>
          <w:szCs w:val="20"/>
        </w:rPr>
        <w:t>s</w:t>
      </w:r>
      <w:r w:rsidRPr="00390446">
        <w:rPr>
          <w:szCs w:val="20"/>
        </w:rPr>
        <w:t xml:space="preserve"> the idea of capabilities to develop </w:t>
      </w:r>
      <w:r w:rsidR="00E27AED">
        <w:rPr>
          <w:szCs w:val="20"/>
        </w:rPr>
        <w:t xml:space="preserve">thinking </w:t>
      </w:r>
      <w:r w:rsidR="00693A76">
        <w:rPr>
          <w:szCs w:val="20"/>
        </w:rPr>
        <w:t>about</w:t>
      </w:r>
      <w:r w:rsidR="00693A76" w:rsidRPr="00390446">
        <w:rPr>
          <w:szCs w:val="20"/>
        </w:rPr>
        <w:t xml:space="preserve"> </w:t>
      </w:r>
      <w:r w:rsidRPr="00390446">
        <w:rPr>
          <w:szCs w:val="20"/>
        </w:rPr>
        <w:t>social justice,</w:t>
      </w:r>
      <w:r>
        <w:rPr>
          <w:szCs w:val="20"/>
        </w:rPr>
        <w:t xml:space="preserve"> and a state’s basic responsibilities towards their citizens. </w:t>
      </w:r>
      <w:r w:rsidRPr="00390446">
        <w:rPr>
          <w:szCs w:val="20"/>
        </w:rPr>
        <w:t>Her central capabilities are closely related to rights; like rights they include the idea of entitlement.</w:t>
      </w:r>
      <w:r>
        <w:rPr>
          <w:szCs w:val="20"/>
        </w:rPr>
        <w:t xml:space="preserve"> One of the capabilities is ‘Affiliation’</w:t>
      </w:r>
      <w:r w:rsidRPr="00023A77">
        <w:rPr>
          <w:szCs w:val="20"/>
        </w:rPr>
        <w:t xml:space="preserve"> - </w:t>
      </w:r>
      <w:r>
        <w:rPr>
          <w:szCs w:val="20"/>
        </w:rPr>
        <w:t>b</w:t>
      </w:r>
      <w:r w:rsidRPr="00023A77">
        <w:rPr>
          <w:szCs w:val="20"/>
        </w:rPr>
        <w:t>eing able to live with and toward others</w:t>
      </w:r>
      <w:r>
        <w:rPr>
          <w:szCs w:val="20"/>
        </w:rPr>
        <w:t>’ (Nussbaum, 201</w:t>
      </w:r>
      <w:r w:rsidR="00666FFD">
        <w:rPr>
          <w:szCs w:val="20"/>
        </w:rPr>
        <w:t>1</w:t>
      </w:r>
      <w:r>
        <w:rPr>
          <w:szCs w:val="20"/>
        </w:rPr>
        <w:t xml:space="preserve">, p. </w:t>
      </w:r>
      <w:r w:rsidR="00666FFD">
        <w:rPr>
          <w:szCs w:val="20"/>
        </w:rPr>
        <w:t>34</w:t>
      </w:r>
      <w:r>
        <w:rPr>
          <w:szCs w:val="20"/>
        </w:rPr>
        <w:t xml:space="preserve">). She </w:t>
      </w:r>
      <w:r w:rsidRPr="00023A77">
        <w:rPr>
          <w:szCs w:val="20"/>
        </w:rPr>
        <w:t>suggests that protecting this capability means protecting institutions that constitute and nourish such forms of affiliation</w:t>
      </w:r>
      <w:r>
        <w:rPr>
          <w:szCs w:val="20"/>
        </w:rPr>
        <w:t xml:space="preserve">, which would include the family. </w:t>
      </w:r>
      <w:r w:rsidR="009970DF">
        <w:rPr>
          <w:szCs w:val="20"/>
        </w:rPr>
        <w:t>This is closely linked with the value a</w:t>
      </w:r>
      <w:r w:rsidR="009970DF" w:rsidRPr="009970DF">
        <w:rPr>
          <w:szCs w:val="20"/>
        </w:rPr>
        <w:t>s a society we place a on ‘private family life’ as indicated by Article 8</w:t>
      </w:r>
      <w:r w:rsidR="009970DF">
        <w:rPr>
          <w:szCs w:val="20"/>
        </w:rPr>
        <w:t xml:space="preserve"> of the European Convention on Human Rights</w:t>
      </w:r>
      <w:r w:rsidR="000049A2">
        <w:rPr>
          <w:szCs w:val="20"/>
        </w:rPr>
        <w:t xml:space="preserve"> (ECHR). However some children are unable to live with their parents </w:t>
      </w:r>
      <w:r w:rsidR="00474EA6">
        <w:rPr>
          <w:szCs w:val="20"/>
        </w:rPr>
        <w:t>because</w:t>
      </w:r>
      <w:r w:rsidR="00BB2BEE">
        <w:rPr>
          <w:szCs w:val="20"/>
        </w:rPr>
        <w:t xml:space="preserve"> of</w:t>
      </w:r>
      <w:r w:rsidR="002616DD">
        <w:rPr>
          <w:szCs w:val="20"/>
        </w:rPr>
        <w:t xml:space="preserve"> maltreatment</w:t>
      </w:r>
      <w:r w:rsidR="00BB2BEE">
        <w:rPr>
          <w:szCs w:val="20"/>
        </w:rPr>
        <w:t>, and</w:t>
      </w:r>
      <w:r w:rsidR="004925BB">
        <w:rPr>
          <w:szCs w:val="20"/>
        </w:rPr>
        <w:t xml:space="preserve"> it is recognized by the CA that the state has a role in intervening </w:t>
      </w:r>
      <w:r w:rsidR="004925BB">
        <w:t xml:space="preserve">in private family life </w:t>
      </w:r>
      <w:r w:rsidR="004925BB" w:rsidRPr="007004A6">
        <w:t xml:space="preserve">in order to protect </w:t>
      </w:r>
      <w:r w:rsidR="004925BB">
        <w:t xml:space="preserve">the </w:t>
      </w:r>
      <w:r w:rsidR="004925BB" w:rsidRPr="007004A6">
        <w:t xml:space="preserve">capabilities </w:t>
      </w:r>
      <w:r w:rsidR="004925BB">
        <w:t xml:space="preserve">and rights </w:t>
      </w:r>
      <w:r w:rsidR="004925BB" w:rsidRPr="007004A6">
        <w:t>of children</w:t>
      </w:r>
      <w:r w:rsidR="004925BB">
        <w:t xml:space="preserve">. </w:t>
      </w:r>
      <w:r w:rsidR="00E01994">
        <w:rPr>
          <w:szCs w:val="20"/>
        </w:rPr>
        <w:t>C</w:t>
      </w:r>
      <w:r w:rsidR="000049A2">
        <w:rPr>
          <w:szCs w:val="20"/>
        </w:rPr>
        <w:t xml:space="preserve">rucial questions are </w:t>
      </w:r>
      <w:r w:rsidR="00F17800">
        <w:rPr>
          <w:szCs w:val="20"/>
        </w:rPr>
        <w:t xml:space="preserve">therefore </w:t>
      </w:r>
      <w:r w:rsidR="000049A2">
        <w:rPr>
          <w:szCs w:val="20"/>
        </w:rPr>
        <w:t>when and how the state should intervene.</w:t>
      </w:r>
    </w:p>
    <w:p w:rsidR="00C86F0A" w:rsidRDefault="00C86F0A" w:rsidP="00ED7E96">
      <w:pPr>
        <w:spacing w:line="480" w:lineRule="auto"/>
        <w:jc w:val="both"/>
      </w:pPr>
    </w:p>
    <w:p w:rsidR="00957812" w:rsidRDefault="005B1E93" w:rsidP="00ED7E96">
      <w:pPr>
        <w:spacing w:line="480" w:lineRule="auto"/>
        <w:jc w:val="both"/>
        <w:rPr>
          <w:rFonts w:eastAsiaTheme="minorHAnsi" w:cs="Arial"/>
          <w:lang w:val="en-GB"/>
        </w:rPr>
      </w:pPr>
      <w:r w:rsidRPr="00746893">
        <w:t xml:space="preserve">The legal threshold for compulsory state intervention in private family life in England and Wales is the </w:t>
      </w:r>
      <w:r w:rsidR="007820A8">
        <w:t>concept of ‘significant harm’</w:t>
      </w:r>
      <w:r w:rsidRPr="00746893">
        <w:t xml:space="preserve">. </w:t>
      </w:r>
      <w:r>
        <w:t xml:space="preserve">‘Harm’ is defined as </w:t>
      </w:r>
      <w:proofErr w:type="gramStart"/>
      <w:r>
        <w:t>ill-treatment</w:t>
      </w:r>
      <w:proofErr w:type="gramEnd"/>
      <w:r>
        <w:t xml:space="preserve"> or impairment of health and development. The harm or likelihood of harm needs to be attributable to parental care, </w:t>
      </w:r>
      <w:r w:rsidRPr="00DD69FB">
        <w:rPr>
          <w:i/>
        </w:rPr>
        <w:t>‘</w:t>
      </w:r>
      <w:r w:rsidRPr="00DD69FB">
        <w:rPr>
          <w:rFonts w:eastAsiaTheme="minorHAnsi" w:cs="Arial"/>
          <w:i/>
        </w:rPr>
        <w:t>not being what it would be reasonable to expect a parent to give to him</w:t>
      </w:r>
      <w:r w:rsidRPr="00DD69FB">
        <w:rPr>
          <w:rFonts w:eastAsiaTheme="minorHAnsi" w:cs="Arial"/>
        </w:rPr>
        <w:t>’ (S. 31(2)(b)(</w:t>
      </w:r>
      <w:proofErr w:type="spellStart"/>
      <w:r w:rsidRPr="00DD69FB">
        <w:rPr>
          <w:rFonts w:eastAsiaTheme="minorHAnsi" w:cs="Arial"/>
        </w:rPr>
        <w:t>i</w:t>
      </w:r>
      <w:proofErr w:type="spellEnd"/>
      <w:r w:rsidRPr="00DD69FB">
        <w:rPr>
          <w:rFonts w:eastAsiaTheme="minorHAnsi" w:cs="Arial"/>
        </w:rPr>
        <w:t>) of the Children Act 1989</w:t>
      </w:r>
      <w:r>
        <w:rPr>
          <w:rFonts w:eastAsiaTheme="minorHAnsi" w:cs="Arial"/>
        </w:rPr>
        <w:t xml:space="preserve">). </w:t>
      </w:r>
      <w:r w:rsidR="00957812" w:rsidRPr="00957812">
        <w:rPr>
          <w:rFonts w:eastAsiaTheme="minorHAnsi" w:cs="Arial"/>
        </w:rPr>
        <w:t>The permanent removal of a child from her birth family is one of the most draconian actions of the state with life-long consequences.</w:t>
      </w:r>
      <w:r w:rsidR="00957812" w:rsidRPr="00957812">
        <w:rPr>
          <w:rFonts w:eastAsiaTheme="minorHAnsi" w:cs="Arial"/>
          <w:lang w:val="en-GB"/>
        </w:rPr>
        <w:t xml:space="preserve"> Two significant case law judgements (</w:t>
      </w:r>
      <w:r w:rsidR="00BB2BEE">
        <w:rPr>
          <w:rFonts w:eastAsiaTheme="minorHAnsi" w:cs="Arial"/>
          <w:i/>
        </w:rPr>
        <w:t xml:space="preserve">Re </w:t>
      </w:r>
      <w:r w:rsidR="00957812" w:rsidRPr="00957812">
        <w:rPr>
          <w:rFonts w:eastAsiaTheme="minorHAnsi" w:cs="Arial"/>
          <w:i/>
        </w:rPr>
        <w:t>B (A Child) (Care Proceedings: Threshold Criteria)</w:t>
      </w:r>
      <w:r w:rsidR="00957812" w:rsidRPr="00957812">
        <w:rPr>
          <w:rFonts w:eastAsiaTheme="minorHAnsi" w:cs="Arial"/>
        </w:rPr>
        <w:t xml:space="preserve"> [2013] UKSC 33, [2013] 1 WLR 1911 and </w:t>
      </w:r>
      <w:r w:rsidR="00957812" w:rsidRPr="00957812">
        <w:rPr>
          <w:rFonts w:eastAsiaTheme="minorHAnsi" w:cs="Arial"/>
          <w:i/>
        </w:rPr>
        <w:t>Re B-S (Children)</w:t>
      </w:r>
      <w:r w:rsidR="00957812" w:rsidRPr="00957812">
        <w:rPr>
          <w:rFonts w:eastAsiaTheme="minorHAnsi" w:cs="Arial"/>
        </w:rPr>
        <w:t xml:space="preserve"> </w:t>
      </w:r>
      <w:r w:rsidR="00957812" w:rsidRPr="00957812">
        <w:rPr>
          <w:rFonts w:eastAsiaTheme="minorHAnsi" w:cs="Arial"/>
          <w:bCs/>
        </w:rPr>
        <w:t xml:space="preserve">[2013] EWCA </w:t>
      </w:r>
      <w:proofErr w:type="spellStart"/>
      <w:r w:rsidR="00957812" w:rsidRPr="00957812">
        <w:rPr>
          <w:rFonts w:eastAsiaTheme="minorHAnsi" w:cs="Arial"/>
          <w:bCs/>
        </w:rPr>
        <w:t>Civ</w:t>
      </w:r>
      <w:proofErr w:type="spellEnd"/>
      <w:r w:rsidR="00957812" w:rsidRPr="00957812">
        <w:rPr>
          <w:rFonts w:eastAsiaTheme="minorHAnsi" w:cs="Arial"/>
          <w:bCs/>
        </w:rPr>
        <w:t xml:space="preserve"> 1146) have reaffirmed </w:t>
      </w:r>
      <w:r w:rsidR="00BB2BEE">
        <w:rPr>
          <w:rFonts w:eastAsiaTheme="minorHAnsi" w:cs="Arial"/>
          <w:bCs/>
        </w:rPr>
        <w:t>adoption as</w:t>
      </w:r>
      <w:r w:rsidR="00957812" w:rsidRPr="00957812">
        <w:rPr>
          <w:rFonts w:eastAsiaTheme="minorHAnsi" w:cs="Arial"/>
          <w:bCs/>
        </w:rPr>
        <w:t xml:space="preserve"> a </w:t>
      </w:r>
      <w:r w:rsidR="00BB2BEE">
        <w:rPr>
          <w:rFonts w:eastAsiaTheme="minorHAnsi" w:cs="Arial"/>
          <w:bCs/>
        </w:rPr>
        <w:t xml:space="preserve">placement of </w:t>
      </w:r>
      <w:r w:rsidR="00957812" w:rsidRPr="00957812">
        <w:rPr>
          <w:rFonts w:eastAsiaTheme="minorHAnsi" w:cs="Arial"/>
          <w:bCs/>
        </w:rPr>
        <w:t xml:space="preserve">last resort. </w:t>
      </w:r>
      <w:r w:rsidR="00957812" w:rsidRPr="00957812">
        <w:rPr>
          <w:rFonts w:eastAsiaTheme="minorHAnsi" w:cs="Arial"/>
          <w:i/>
          <w:lang w:val="en-GB"/>
        </w:rPr>
        <w:t xml:space="preserve">Re B </w:t>
      </w:r>
      <w:r w:rsidR="00957812" w:rsidRPr="00957812">
        <w:rPr>
          <w:rFonts w:eastAsiaTheme="minorHAnsi" w:cs="Arial"/>
          <w:lang w:val="en-GB"/>
        </w:rPr>
        <w:t>states that ‘the court’s assessment of the parents’ ability to discharge their responsibilities towards the child must take into account the assistance and support, which the authorities would offer. So ‘before making an adoption order … the court must be satisfied that there is no practical way of the authorities (or others) providing the re</w:t>
      </w:r>
      <w:r w:rsidR="00F32642">
        <w:rPr>
          <w:rFonts w:eastAsiaTheme="minorHAnsi" w:cs="Arial"/>
          <w:lang w:val="en-GB"/>
        </w:rPr>
        <w:t>quisite assistance and support’</w:t>
      </w:r>
      <w:r w:rsidR="00957812" w:rsidRPr="00957812">
        <w:rPr>
          <w:rFonts w:eastAsiaTheme="minorHAnsi" w:cs="Arial"/>
          <w:lang w:val="en-GB"/>
        </w:rPr>
        <w:t xml:space="preserve"> </w:t>
      </w:r>
      <w:r w:rsidR="00957812">
        <w:rPr>
          <w:rFonts w:eastAsiaTheme="minorHAnsi" w:cs="Arial"/>
          <w:lang w:val="en-GB"/>
        </w:rPr>
        <w:t>(</w:t>
      </w:r>
      <w:proofErr w:type="spellStart"/>
      <w:r w:rsidR="00957812">
        <w:rPr>
          <w:rFonts w:eastAsiaTheme="minorHAnsi" w:cs="Arial"/>
          <w:lang w:val="en-GB"/>
        </w:rPr>
        <w:t>para</w:t>
      </w:r>
      <w:proofErr w:type="spellEnd"/>
      <w:r w:rsidR="00E06B94">
        <w:rPr>
          <w:rFonts w:eastAsiaTheme="minorHAnsi" w:cs="Arial"/>
          <w:lang w:val="en-GB"/>
        </w:rPr>
        <w:t>.</w:t>
      </w:r>
      <w:r w:rsidR="00957812">
        <w:rPr>
          <w:rFonts w:eastAsiaTheme="minorHAnsi" w:cs="Arial"/>
          <w:lang w:val="en-GB"/>
        </w:rPr>
        <w:t xml:space="preserve"> 105).</w:t>
      </w:r>
    </w:p>
    <w:p w:rsidR="00957812" w:rsidRDefault="00957812" w:rsidP="00ED7E96">
      <w:pPr>
        <w:spacing w:line="480" w:lineRule="auto"/>
        <w:jc w:val="both"/>
        <w:rPr>
          <w:rFonts w:eastAsiaTheme="minorHAnsi" w:cs="Arial"/>
          <w:lang w:val="en-GB"/>
        </w:rPr>
      </w:pPr>
    </w:p>
    <w:p w:rsidR="00C86F0A" w:rsidRDefault="002E7B89" w:rsidP="00C86F0A">
      <w:pPr>
        <w:spacing w:line="480" w:lineRule="auto"/>
        <w:jc w:val="both"/>
        <w:rPr>
          <w:rFonts w:cs="Times New Roman"/>
        </w:rPr>
      </w:pPr>
      <w:r>
        <w:rPr>
          <w:rFonts w:cs="Times New Roman"/>
          <w:lang w:val="en-GB"/>
        </w:rPr>
        <w:t xml:space="preserve">Many of the parents involved in care proceedings will be experiencing socio-economic deprivation as well </w:t>
      </w:r>
      <w:r w:rsidR="00BB2BEE">
        <w:rPr>
          <w:rFonts w:cs="Times New Roman"/>
          <w:lang w:val="en-GB"/>
        </w:rPr>
        <w:t xml:space="preserve">as </w:t>
      </w:r>
      <w:r>
        <w:rPr>
          <w:rFonts w:cs="Times New Roman"/>
          <w:lang w:val="en-GB"/>
        </w:rPr>
        <w:t xml:space="preserve">other difficulties, such as learning difficulties, mental health problems or substance misuse. </w:t>
      </w:r>
      <w:r w:rsidR="005B1E93" w:rsidRPr="006A00D1">
        <w:rPr>
          <w:rFonts w:eastAsiaTheme="minorHAnsi" w:cs="Helvetica"/>
        </w:rPr>
        <w:t xml:space="preserve">Neglect is the most common form of harm experienced by children involved in care proceedings (Masson </w:t>
      </w:r>
      <w:r w:rsidR="00F32642">
        <w:rPr>
          <w:rFonts w:eastAsiaTheme="minorHAnsi" w:cs="Helvetica"/>
          <w:i/>
        </w:rPr>
        <w:t>et</w:t>
      </w:r>
      <w:r w:rsidR="005B1E93" w:rsidRPr="006A00D1">
        <w:rPr>
          <w:rFonts w:eastAsiaTheme="minorHAnsi" w:cs="Helvetica"/>
          <w:i/>
        </w:rPr>
        <w:t xml:space="preserve"> al</w:t>
      </w:r>
      <w:r w:rsidR="00F32642">
        <w:rPr>
          <w:rFonts w:eastAsiaTheme="minorHAnsi" w:cs="Helvetica"/>
          <w:i/>
        </w:rPr>
        <w:t>.</w:t>
      </w:r>
      <w:r w:rsidR="005B1E93" w:rsidRPr="006A00D1">
        <w:rPr>
          <w:rFonts w:eastAsiaTheme="minorHAnsi" w:cs="Helvetica"/>
          <w:i/>
        </w:rPr>
        <w:t xml:space="preserve">, </w:t>
      </w:r>
      <w:r w:rsidR="005B1E93">
        <w:rPr>
          <w:rFonts w:eastAsiaTheme="minorHAnsi" w:cs="Helvetica"/>
        </w:rPr>
        <w:t>2008). H</w:t>
      </w:r>
      <w:r w:rsidR="005B1E93" w:rsidRPr="006A00D1">
        <w:rPr>
          <w:rFonts w:eastAsiaTheme="minorHAnsi" w:cs="Helvetica"/>
        </w:rPr>
        <w:t xml:space="preserve">owever </w:t>
      </w:r>
      <w:r w:rsidR="005B1E93">
        <w:rPr>
          <w:rFonts w:eastAsiaTheme="minorHAnsi" w:cs="Helvetica"/>
        </w:rPr>
        <w:t xml:space="preserve">the link between neglect, poverty and social deprivation, makes decisions about parental culpability </w:t>
      </w:r>
      <w:r w:rsidR="00F17800">
        <w:rPr>
          <w:rFonts w:eastAsiaTheme="minorHAnsi" w:cs="Helvetica"/>
        </w:rPr>
        <w:t xml:space="preserve">and ‘reasonable parenting’ </w:t>
      </w:r>
      <w:r w:rsidR="005B1E93">
        <w:rPr>
          <w:rFonts w:eastAsiaTheme="minorHAnsi" w:cs="Helvetica"/>
        </w:rPr>
        <w:t xml:space="preserve">particularly difficult </w:t>
      </w:r>
      <w:r w:rsidR="00FE2F52">
        <w:rPr>
          <w:rFonts w:eastAsiaTheme="minorHAnsi" w:cs="Helvetica"/>
        </w:rPr>
        <w:t xml:space="preserve">given </w:t>
      </w:r>
      <w:r w:rsidR="005B1E93">
        <w:rPr>
          <w:rFonts w:eastAsiaTheme="minorHAnsi" w:cs="Helvetica"/>
        </w:rPr>
        <w:t>the severe cuts to welfare benefits, housing and family support services</w:t>
      </w:r>
      <w:r w:rsidR="005B1E93" w:rsidRPr="005B1E93">
        <w:rPr>
          <w:rFonts w:eastAsiaTheme="minorHAnsi" w:cs="Helvetica"/>
        </w:rPr>
        <w:t xml:space="preserve">. </w:t>
      </w:r>
      <w:r w:rsidR="00593A34">
        <w:rPr>
          <w:rFonts w:cs="Times New Roman"/>
        </w:rPr>
        <w:t>This raises questions about children and families</w:t>
      </w:r>
      <w:r w:rsidR="007027B9">
        <w:rPr>
          <w:rFonts w:cs="Times New Roman"/>
        </w:rPr>
        <w:t>’</w:t>
      </w:r>
      <w:r w:rsidR="00593A34">
        <w:rPr>
          <w:rFonts w:cs="Times New Roman"/>
        </w:rPr>
        <w:t xml:space="preserve"> rights under Article 8 of the </w:t>
      </w:r>
      <w:r w:rsidR="002616DD">
        <w:rPr>
          <w:rFonts w:cs="Times New Roman"/>
        </w:rPr>
        <w:t xml:space="preserve">ECHR </w:t>
      </w:r>
      <w:r w:rsidR="00593A34">
        <w:rPr>
          <w:rFonts w:cs="Times New Roman"/>
        </w:rPr>
        <w:t>that have been largely absent from current debate</w:t>
      </w:r>
      <w:r w:rsidR="00C86F0A">
        <w:rPr>
          <w:rFonts w:cs="Times New Roman"/>
        </w:rPr>
        <w:t>s in the family justice system.</w:t>
      </w:r>
    </w:p>
    <w:p w:rsidR="00C86F0A" w:rsidRDefault="00C86F0A" w:rsidP="00C86F0A">
      <w:pPr>
        <w:spacing w:line="480" w:lineRule="auto"/>
        <w:jc w:val="both"/>
        <w:rPr>
          <w:rFonts w:cs="Times New Roman"/>
        </w:rPr>
      </w:pPr>
    </w:p>
    <w:p w:rsidR="00B278B9" w:rsidRPr="00C86F0A" w:rsidRDefault="00B278B9" w:rsidP="00C86F0A">
      <w:pPr>
        <w:spacing w:line="480" w:lineRule="auto"/>
        <w:jc w:val="both"/>
        <w:rPr>
          <w:rFonts w:cs="Times New Roman"/>
        </w:rPr>
      </w:pPr>
      <w:r w:rsidRPr="00012146">
        <w:rPr>
          <w:lang w:val="en-GB"/>
        </w:rPr>
        <w:t xml:space="preserve">From a capabilities perspective </w:t>
      </w:r>
      <w:r w:rsidRPr="00012146">
        <w:rPr>
          <w:iCs/>
        </w:rPr>
        <w:t>the diagnosis of capability failures, or significant interpersonal variations in capability, directs attention to the relevant causal pathways responsible</w:t>
      </w:r>
      <w:r w:rsidRPr="00012146">
        <w:t xml:space="preserve">. If a parent is deemed to be failing to provide ‘reasonable’ care for her child, exploration is needed as to the various possible </w:t>
      </w:r>
      <w:r w:rsidRPr="00012146">
        <w:rPr>
          <w:lang w:val="en-GB"/>
        </w:rPr>
        <w:t xml:space="preserve">personal, social and environmental factors that affect her capabilities. It requires recognition of poverty and inequalities as capability </w:t>
      </w:r>
      <w:proofErr w:type="spellStart"/>
      <w:r w:rsidRPr="00012146">
        <w:rPr>
          <w:lang w:val="en-GB"/>
        </w:rPr>
        <w:t>deprivators</w:t>
      </w:r>
      <w:proofErr w:type="spellEnd"/>
      <w:r w:rsidRPr="00012146">
        <w:rPr>
          <w:lang w:val="en-GB"/>
        </w:rPr>
        <w:t xml:space="preserve">. </w:t>
      </w:r>
      <w:r w:rsidR="00FD650C" w:rsidRPr="00012146">
        <w:rPr>
          <w:lang w:val="en-GB"/>
        </w:rPr>
        <w:t xml:space="preserve">Although the ecological approach outlined in the Assessment Framework (DH, 2000) </w:t>
      </w:r>
      <w:r w:rsidR="00EC57A0" w:rsidRPr="00012146">
        <w:rPr>
          <w:lang w:val="en-GB"/>
        </w:rPr>
        <w:t xml:space="preserve">includes consideration of </w:t>
      </w:r>
      <w:r w:rsidR="00FD650C" w:rsidRPr="00012146">
        <w:rPr>
          <w:lang w:val="en-GB"/>
        </w:rPr>
        <w:t>environmental factors,</w:t>
      </w:r>
      <w:r w:rsidRPr="00012146">
        <w:rPr>
          <w:lang w:val="en-GB"/>
        </w:rPr>
        <w:t xml:space="preserve"> there is evidence to suggest that challenging the dominant political discourse of blaming poor families for their poverty and related difficulties is not a feature of </w:t>
      </w:r>
      <w:r w:rsidR="00C86F0A" w:rsidRPr="00012146">
        <w:rPr>
          <w:lang w:val="en-GB"/>
        </w:rPr>
        <w:t xml:space="preserve">some </w:t>
      </w:r>
      <w:r w:rsidRPr="00012146">
        <w:rPr>
          <w:lang w:val="en-GB"/>
        </w:rPr>
        <w:t xml:space="preserve">social work assessments. For example Hooper </w:t>
      </w:r>
      <w:r w:rsidRPr="00012146">
        <w:rPr>
          <w:i/>
          <w:lang w:val="en-GB"/>
        </w:rPr>
        <w:t>et al</w:t>
      </w:r>
      <w:r w:rsidR="00C86F0A" w:rsidRPr="00012146">
        <w:rPr>
          <w:lang w:val="en-GB"/>
        </w:rPr>
        <w:t>.</w:t>
      </w:r>
      <w:r w:rsidRPr="00012146">
        <w:rPr>
          <w:lang w:val="en-GB"/>
        </w:rPr>
        <w:t xml:space="preserve"> (2007, p. 109) concluded that </w:t>
      </w:r>
      <w:r w:rsidRPr="00012146">
        <w:rPr>
          <w:rFonts w:cs="Times New Roman"/>
        </w:rPr>
        <w:t xml:space="preserve">in social work with children and families ‘poverty has slipped out of sight’. </w:t>
      </w:r>
      <w:r w:rsidRPr="00012146">
        <w:rPr>
          <w:lang w:val="en-GB"/>
        </w:rPr>
        <w:t xml:space="preserve">Burgess </w:t>
      </w:r>
      <w:r w:rsidRPr="00012146">
        <w:rPr>
          <w:i/>
          <w:lang w:val="en-GB"/>
        </w:rPr>
        <w:t>et al</w:t>
      </w:r>
      <w:r w:rsidR="00C019D8" w:rsidRPr="00012146">
        <w:rPr>
          <w:lang w:val="en-GB"/>
        </w:rPr>
        <w:t>.</w:t>
      </w:r>
      <w:r w:rsidRPr="00012146">
        <w:rPr>
          <w:lang w:val="en-GB"/>
        </w:rPr>
        <w:t xml:space="preserve"> (2014) similarly found that </w:t>
      </w:r>
      <w:r w:rsidRPr="00012146">
        <w:rPr>
          <w:kern w:val="24"/>
          <w:lang w:val="en-GB" w:eastAsia="en-GB"/>
        </w:rPr>
        <w:t>that practitioners can tend to overlook and fail to assess adequately socio-economic factors.</w:t>
      </w:r>
      <w:r>
        <w:rPr>
          <w:kern w:val="24"/>
          <w:lang w:val="en-GB" w:eastAsia="en-GB"/>
        </w:rPr>
        <w:t xml:space="preserve"> </w:t>
      </w:r>
    </w:p>
    <w:p w:rsidR="00232239" w:rsidRDefault="00232239" w:rsidP="00ED7E96">
      <w:pPr>
        <w:spacing w:line="480" w:lineRule="auto"/>
        <w:jc w:val="both"/>
        <w:rPr>
          <w:rFonts w:cs="Times New Roman"/>
        </w:rPr>
      </w:pPr>
    </w:p>
    <w:p w:rsidR="00232239" w:rsidRDefault="00232239" w:rsidP="00232239">
      <w:pPr>
        <w:spacing w:line="480" w:lineRule="auto"/>
        <w:jc w:val="both"/>
        <w:rPr>
          <w:rFonts w:cs="Times New Roman"/>
          <w:lang w:val="en-GB"/>
        </w:rPr>
      </w:pPr>
      <w:r>
        <w:rPr>
          <w:lang w:val="en-GB"/>
        </w:rPr>
        <w:t>Parental difficulties should not be ignored, but policy and practice responses need to be contextualised. Unfortunately the policy context for social work practice supports an individual deficit view of parenting difficulties</w:t>
      </w:r>
      <w:r w:rsidRPr="002E4A96">
        <w:rPr>
          <w:rFonts w:cs="Times"/>
        </w:rPr>
        <w:t>.</w:t>
      </w:r>
      <w:r>
        <w:rPr>
          <w:rFonts w:cs="Times"/>
        </w:rPr>
        <w:t xml:space="preserve"> </w:t>
      </w:r>
      <w:r>
        <w:rPr>
          <w:rFonts w:cs="Times New Roman"/>
          <w:lang w:val="en-GB"/>
        </w:rPr>
        <w:t xml:space="preserve">Hall </w:t>
      </w:r>
      <w:r w:rsidRPr="005A5D96">
        <w:rPr>
          <w:rFonts w:cs="Times New Roman"/>
          <w:i/>
          <w:lang w:val="en-GB"/>
        </w:rPr>
        <w:t>et al</w:t>
      </w:r>
      <w:r>
        <w:rPr>
          <w:rFonts w:cs="Times New Roman"/>
          <w:i/>
          <w:lang w:val="en-GB"/>
        </w:rPr>
        <w:t>.</w:t>
      </w:r>
      <w:r>
        <w:rPr>
          <w:rFonts w:cs="Times New Roman"/>
          <w:lang w:val="en-GB"/>
        </w:rPr>
        <w:t xml:space="preserve"> (2010) argue that the shift to ‘child centric’ practices has rendered parents and their needs irrelevant, only their capacities count. </w:t>
      </w:r>
      <w:r>
        <w:rPr>
          <w:lang w:val="en-GB"/>
        </w:rPr>
        <w:t xml:space="preserve">A Government funded review of research to assist decision-making in the family courts focuses primarily on parent-child interactions drawing upon </w:t>
      </w:r>
      <w:proofErr w:type="spellStart"/>
      <w:r>
        <w:rPr>
          <w:lang w:val="en-GB"/>
        </w:rPr>
        <w:t>neuroscientific</w:t>
      </w:r>
      <w:proofErr w:type="spellEnd"/>
      <w:r>
        <w:rPr>
          <w:lang w:val="en-GB"/>
        </w:rPr>
        <w:t xml:space="preserve"> research (Brown and Ward, 2012). Quite extraordinarily even in the section on </w:t>
      </w:r>
      <w:r w:rsidRPr="00BB2BEE">
        <w:rPr>
          <w:lang w:val="en-GB"/>
        </w:rPr>
        <w:t xml:space="preserve">‘issues affecting parenting capacity’ there is no mention of poverty, poor housing, racism or any other structural inequalities. The construction of a ‘reasonable parent’ in the family courts is </w:t>
      </w:r>
      <w:r>
        <w:rPr>
          <w:lang w:val="en-GB"/>
        </w:rPr>
        <w:t>thus stripped</w:t>
      </w:r>
      <w:r w:rsidRPr="00BB2BEE">
        <w:rPr>
          <w:lang w:val="en-GB"/>
        </w:rPr>
        <w:t xml:space="preserve"> of context.</w:t>
      </w:r>
    </w:p>
    <w:p w:rsidR="005451C6" w:rsidRDefault="005451C6" w:rsidP="00ED7E96">
      <w:pPr>
        <w:spacing w:line="480" w:lineRule="auto"/>
        <w:jc w:val="both"/>
        <w:rPr>
          <w:rFonts w:cs="Times New Roman"/>
        </w:rPr>
      </w:pPr>
    </w:p>
    <w:p w:rsidR="005451C6" w:rsidRDefault="00B11619" w:rsidP="005451C6">
      <w:pPr>
        <w:spacing w:line="480" w:lineRule="auto"/>
        <w:jc w:val="both"/>
        <w:rPr>
          <w:rFonts w:cs="Times New Roman"/>
          <w:lang w:val="en-GB"/>
        </w:rPr>
      </w:pPr>
      <w:r>
        <w:rPr>
          <w:rFonts w:cs="Times New Roman"/>
          <w:lang w:val="en-GB"/>
        </w:rPr>
        <w:t xml:space="preserve">How the </w:t>
      </w:r>
      <w:r w:rsidR="00694422">
        <w:rPr>
          <w:rFonts w:cs="Times New Roman"/>
          <w:lang w:val="en-GB"/>
        </w:rPr>
        <w:t>causal</w:t>
      </w:r>
      <w:r w:rsidR="007027B9">
        <w:rPr>
          <w:rFonts w:cs="Times New Roman"/>
          <w:lang w:val="en-GB"/>
        </w:rPr>
        <w:t xml:space="preserve"> factor</w:t>
      </w:r>
      <w:r w:rsidR="00DE2F18">
        <w:rPr>
          <w:rFonts w:cs="Times New Roman"/>
          <w:lang w:val="en-GB"/>
        </w:rPr>
        <w:t xml:space="preserve">s in relation to </w:t>
      </w:r>
      <w:r w:rsidR="00FD650C">
        <w:rPr>
          <w:rFonts w:cs="Times New Roman"/>
          <w:lang w:val="en-GB"/>
        </w:rPr>
        <w:t>parents</w:t>
      </w:r>
      <w:r w:rsidR="00DE2F18">
        <w:rPr>
          <w:rFonts w:cs="Times New Roman"/>
          <w:lang w:val="en-GB"/>
        </w:rPr>
        <w:t xml:space="preserve"> and children’s</w:t>
      </w:r>
      <w:r w:rsidR="00694422">
        <w:rPr>
          <w:rFonts w:cs="Times New Roman"/>
          <w:lang w:val="en-GB"/>
        </w:rPr>
        <w:t xml:space="preserve"> difficulties </w:t>
      </w:r>
      <w:r w:rsidR="007027B9">
        <w:rPr>
          <w:rFonts w:cs="Times New Roman"/>
          <w:lang w:val="en-GB"/>
        </w:rPr>
        <w:t>have been framed</w:t>
      </w:r>
      <w:r>
        <w:rPr>
          <w:rFonts w:cs="Times New Roman"/>
          <w:lang w:val="en-GB"/>
        </w:rPr>
        <w:t xml:space="preserve"> will determine how families are responded to prior to</w:t>
      </w:r>
      <w:r w:rsidR="00C86F0A">
        <w:rPr>
          <w:rFonts w:cs="Times New Roman"/>
          <w:lang w:val="en-GB"/>
        </w:rPr>
        <w:t xml:space="preserve">, as well as </w:t>
      </w:r>
      <w:r>
        <w:rPr>
          <w:rFonts w:cs="Times New Roman"/>
          <w:lang w:val="en-GB"/>
        </w:rPr>
        <w:t>during court proceedings</w:t>
      </w:r>
      <w:r w:rsidR="0086548F">
        <w:rPr>
          <w:rFonts w:cs="Times New Roman"/>
          <w:lang w:val="en-GB"/>
        </w:rPr>
        <w:t>, often with life-long consequences</w:t>
      </w:r>
      <w:r>
        <w:rPr>
          <w:rFonts w:cs="Times New Roman"/>
          <w:lang w:val="en-GB"/>
        </w:rPr>
        <w:t>.</w:t>
      </w:r>
      <w:r w:rsidR="005127C1">
        <w:rPr>
          <w:rFonts w:cs="Times New Roman"/>
          <w:lang w:val="en-GB"/>
        </w:rPr>
        <w:t xml:space="preserve"> </w:t>
      </w:r>
      <w:r w:rsidR="00A674CF" w:rsidRPr="00FD650C">
        <w:rPr>
          <w:rFonts w:cs="Times New Roman"/>
          <w:lang w:val="en-GB"/>
        </w:rPr>
        <w:t>For example i</w:t>
      </w:r>
      <w:r w:rsidR="00CE6C2C" w:rsidRPr="00FD650C">
        <w:rPr>
          <w:rFonts w:cs="Times New Roman"/>
          <w:lang w:val="en-GB"/>
        </w:rPr>
        <w:t xml:space="preserve">n a care proceedings case that one of the authors was involved in as an independent social worker, </w:t>
      </w:r>
      <w:r w:rsidR="00A674CF" w:rsidRPr="00FD650C">
        <w:rPr>
          <w:rFonts w:cs="Times New Roman"/>
          <w:lang w:val="en-GB"/>
        </w:rPr>
        <w:t xml:space="preserve">a major criticism </w:t>
      </w:r>
      <w:r w:rsidR="00667A81" w:rsidRPr="00FD650C">
        <w:rPr>
          <w:rFonts w:cs="Times New Roman"/>
          <w:lang w:val="en-GB"/>
        </w:rPr>
        <w:t xml:space="preserve">by the local authority </w:t>
      </w:r>
      <w:r w:rsidR="00352CE1" w:rsidRPr="00FD650C">
        <w:rPr>
          <w:rFonts w:cs="Times New Roman"/>
          <w:lang w:val="en-GB"/>
        </w:rPr>
        <w:t>of the children’s</w:t>
      </w:r>
      <w:r w:rsidR="00667A81" w:rsidRPr="00FD650C">
        <w:rPr>
          <w:rFonts w:cs="Times New Roman"/>
          <w:lang w:val="en-GB"/>
        </w:rPr>
        <w:t xml:space="preserve"> father </w:t>
      </w:r>
      <w:r w:rsidR="00352CE1" w:rsidRPr="00FD650C">
        <w:rPr>
          <w:rFonts w:cs="Times New Roman"/>
          <w:lang w:val="en-GB"/>
        </w:rPr>
        <w:t xml:space="preserve">and reason for not placing the children in his care </w:t>
      </w:r>
      <w:r w:rsidR="00667A81" w:rsidRPr="00FD650C">
        <w:rPr>
          <w:rFonts w:cs="Times New Roman"/>
          <w:lang w:val="en-GB"/>
        </w:rPr>
        <w:t>when their mother suffered a mental healt</w:t>
      </w:r>
      <w:r w:rsidR="00352CE1" w:rsidRPr="00FD650C">
        <w:rPr>
          <w:rFonts w:cs="Times New Roman"/>
          <w:lang w:val="en-GB"/>
        </w:rPr>
        <w:t>h breakdown</w:t>
      </w:r>
      <w:r w:rsidR="00544594" w:rsidRPr="00FD650C">
        <w:rPr>
          <w:rFonts w:cs="Times New Roman"/>
          <w:lang w:val="en-GB"/>
        </w:rPr>
        <w:t>,</w:t>
      </w:r>
      <w:r w:rsidR="00352CE1" w:rsidRPr="00FD650C">
        <w:rPr>
          <w:rFonts w:cs="Times New Roman"/>
          <w:lang w:val="en-GB"/>
        </w:rPr>
        <w:t xml:space="preserve"> was that he had not </w:t>
      </w:r>
      <w:r w:rsidR="00667A81" w:rsidRPr="00FD650C">
        <w:rPr>
          <w:rFonts w:cs="Times New Roman"/>
          <w:lang w:val="en-GB"/>
        </w:rPr>
        <w:t>obtained suitable housing</w:t>
      </w:r>
      <w:r w:rsidR="00352CE1" w:rsidRPr="00FD650C">
        <w:rPr>
          <w:rFonts w:cs="Times New Roman"/>
          <w:lang w:val="en-GB"/>
        </w:rPr>
        <w:t>. This was seen as reflecting his ‘lack of commitment’ to the children</w:t>
      </w:r>
      <w:r w:rsidR="00667A81" w:rsidRPr="00FD650C">
        <w:rPr>
          <w:rFonts w:cs="Times New Roman"/>
          <w:lang w:val="en-GB"/>
        </w:rPr>
        <w:t xml:space="preserve">. </w:t>
      </w:r>
      <w:r w:rsidR="00352CE1" w:rsidRPr="00FD650C">
        <w:rPr>
          <w:rFonts w:cs="Times New Roman"/>
          <w:lang w:val="en-GB"/>
        </w:rPr>
        <w:t>However h</w:t>
      </w:r>
      <w:r w:rsidR="00667A81" w:rsidRPr="00FD650C">
        <w:rPr>
          <w:rFonts w:cs="Times New Roman"/>
          <w:lang w:val="en-GB"/>
        </w:rPr>
        <w:t>e had come to this country as a refugee</w:t>
      </w:r>
      <w:r w:rsidR="00352CE1" w:rsidRPr="00FD650C">
        <w:rPr>
          <w:rFonts w:cs="Times New Roman"/>
          <w:lang w:val="en-GB"/>
        </w:rPr>
        <w:t>,</w:t>
      </w:r>
      <w:r w:rsidR="00AF35F9" w:rsidRPr="00FD650C">
        <w:rPr>
          <w:rFonts w:cs="Times New Roman"/>
          <w:lang w:val="en-GB"/>
        </w:rPr>
        <w:t xml:space="preserve"> had only obtained Indefinite Leave to R</w:t>
      </w:r>
      <w:r w:rsidR="00667A81" w:rsidRPr="00FD650C">
        <w:rPr>
          <w:rFonts w:cs="Times New Roman"/>
          <w:lang w:val="en-GB"/>
        </w:rPr>
        <w:t>emain a few years previously</w:t>
      </w:r>
      <w:r w:rsidR="00352CE1" w:rsidRPr="00FD650C">
        <w:rPr>
          <w:rFonts w:cs="Times New Roman"/>
          <w:lang w:val="en-GB"/>
        </w:rPr>
        <w:t>,</w:t>
      </w:r>
      <w:r w:rsidR="00667A81" w:rsidRPr="00FD650C">
        <w:rPr>
          <w:rFonts w:cs="Times New Roman"/>
          <w:lang w:val="en-GB"/>
        </w:rPr>
        <w:t xml:space="preserve"> and was employed on the minimum wage. </w:t>
      </w:r>
      <w:r w:rsidR="00544594" w:rsidRPr="00FD650C">
        <w:rPr>
          <w:rFonts w:cs="Times New Roman"/>
          <w:lang w:val="en-GB"/>
        </w:rPr>
        <w:t xml:space="preserve">He also assiduously attended contact with the children three times per week. An approach based on </w:t>
      </w:r>
      <w:r w:rsidR="00AF35F9" w:rsidRPr="00FD650C">
        <w:rPr>
          <w:rFonts w:cs="Times New Roman"/>
          <w:lang w:val="en-GB"/>
        </w:rPr>
        <w:t xml:space="preserve">the </w:t>
      </w:r>
      <w:r w:rsidR="00544594" w:rsidRPr="00FD650C">
        <w:rPr>
          <w:rFonts w:cs="Times New Roman"/>
          <w:lang w:val="en-GB"/>
        </w:rPr>
        <w:t>CA would recognise that o</w:t>
      </w:r>
      <w:r w:rsidR="00667A81" w:rsidRPr="00FD650C">
        <w:rPr>
          <w:rFonts w:cs="Times New Roman"/>
          <w:lang w:val="en-GB"/>
        </w:rPr>
        <w:t>btaining private rental property is a challenge in many parts of London, but especially so when on a low wage with little chance of saving a deposit and rent in advance.</w:t>
      </w:r>
      <w:r w:rsidR="00544594" w:rsidRPr="00FD650C">
        <w:rPr>
          <w:rFonts w:cs="Times New Roman"/>
          <w:lang w:val="en-GB"/>
        </w:rPr>
        <w:t xml:space="preserve"> It would not involve a dismissal of concerns about his emotional relationship and commitment to the children, but would </w:t>
      </w:r>
      <w:r w:rsidR="0001509E" w:rsidRPr="00FD650C">
        <w:rPr>
          <w:rFonts w:cs="Times New Roman"/>
          <w:lang w:val="en-GB"/>
        </w:rPr>
        <w:t xml:space="preserve">recognise his </w:t>
      </w:r>
      <w:r w:rsidR="00544594" w:rsidRPr="00FD650C">
        <w:rPr>
          <w:rFonts w:cs="Times New Roman"/>
          <w:lang w:val="en-GB"/>
        </w:rPr>
        <w:t xml:space="preserve">strengths as well as work with him to </w:t>
      </w:r>
      <w:r w:rsidR="00D457AB" w:rsidRPr="00FD650C">
        <w:rPr>
          <w:rFonts w:cs="Times New Roman"/>
          <w:lang w:val="en-GB"/>
        </w:rPr>
        <w:t xml:space="preserve">understand and </w:t>
      </w:r>
      <w:r w:rsidR="00544594" w:rsidRPr="00FD650C">
        <w:rPr>
          <w:rFonts w:cs="Times New Roman"/>
          <w:lang w:val="en-GB"/>
        </w:rPr>
        <w:t xml:space="preserve">address any identified deficits. </w:t>
      </w:r>
    </w:p>
    <w:p w:rsidR="0086548F" w:rsidRDefault="0086548F" w:rsidP="005451C6">
      <w:pPr>
        <w:spacing w:line="480" w:lineRule="auto"/>
        <w:jc w:val="both"/>
        <w:rPr>
          <w:rFonts w:cs="Times New Roman"/>
          <w:lang w:val="en-GB"/>
        </w:rPr>
      </w:pPr>
    </w:p>
    <w:p w:rsidR="005451C6" w:rsidRDefault="0086548F" w:rsidP="005451C6">
      <w:pPr>
        <w:spacing w:line="480" w:lineRule="auto"/>
        <w:jc w:val="both"/>
        <w:rPr>
          <w:rFonts w:cs="Times New Roman"/>
          <w:lang w:val="en-GB"/>
        </w:rPr>
      </w:pPr>
      <w:r w:rsidRPr="00012146">
        <w:rPr>
          <w:lang w:val="en-GB"/>
        </w:rPr>
        <w:t>For some children and families greater attention to structural inequalities and support provisions as required by the CA may not change the outcome of care proceedings, but the process will have been more just. For others, however, detailed attention to the complex interactions between parents’ life histories, their current social circumstances and effective support services could result in the child remaining in the family and the child and their parents’ rights to family life (or human capability of ‘affiliation’) being upheld.</w:t>
      </w:r>
    </w:p>
    <w:p w:rsidR="005451C6" w:rsidRDefault="005451C6" w:rsidP="005451C6">
      <w:pPr>
        <w:spacing w:line="480" w:lineRule="auto"/>
        <w:jc w:val="both"/>
        <w:rPr>
          <w:rFonts w:cs="Times New Roman"/>
          <w:lang w:val="en-GB"/>
        </w:rPr>
      </w:pPr>
    </w:p>
    <w:p w:rsidR="00C86F0A" w:rsidRDefault="00BB2BEE" w:rsidP="00C86F0A">
      <w:pPr>
        <w:spacing w:line="480" w:lineRule="auto"/>
        <w:jc w:val="both"/>
        <w:rPr>
          <w:rFonts w:cs="Times New Roman"/>
          <w:lang w:val="en-GB"/>
        </w:rPr>
      </w:pPr>
      <w:r w:rsidRPr="00BB2BEE">
        <w:rPr>
          <w:szCs w:val="23"/>
        </w:rPr>
        <w:t>The quality of the relationship between the child and family and professionals directly impacts o</w:t>
      </w:r>
      <w:r w:rsidR="00404B7D">
        <w:rPr>
          <w:szCs w:val="23"/>
        </w:rPr>
        <w:t xml:space="preserve">n the effectiveness of help. There has been increasing attention </w:t>
      </w:r>
      <w:r w:rsidR="00404B7D">
        <w:rPr>
          <w:lang w:val="en-GB"/>
        </w:rPr>
        <w:t xml:space="preserve">to </w:t>
      </w:r>
      <w:r w:rsidR="00404B7D" w:rsidRPr="00BB2BEE">
        <w:rPr>
          <w:lang w:val="en-GB"/>
        </w:rPr>
        <w:t xml:space="preserve">the development of relationships as a means of </w:t>
      </w:r>
      <w:r w:rsidR="00693A76">
        <w:rPr>
          <w:lang w:val="en-GB"/>
        </w:rPr>
        <w:t>e</w:t>
      </w:r>
      <w:r w:rsidR="00404B7D" w:rsidRPr="00BB2BEE">
        <w:rPr>
          <w:lang w:val="en-GB"/>
        </w:rPr>
        <w:t>ffecting change in social work practice</w:t>
      </w:r>
      <w:r w:rsidR="008D2F9F">
        <w:rPr>
          <w:lang w:val="en-GB"/>
        </w:rPr>
        <w:t xml:space="preserve">, particularly in response to </w:t>
      </w:r>
      <w:r w:rsidR="00404B7D">
        <w:rPr>
          <w:lang w:val="en-GB"/>
        </w:rPr>
        <w:t xml:space="preserve">the </w:t>
      </w:r>
      <w:r w:rsidR="00404B7D">
        <w:rPr>
          <w:szCs w:val="23"/>
        </w:rPr>
        <w:t xml:space="preserve">bureaucratic nature of much local authority children’s social work and the risk averse context in which workers operate (Munro, 2011). </w:t>
      </w:r>
      <w:r w:rsidR="00B110DD">
        <w:rPr>
          <w:szCs w:val="23"/>
        </w:rPr>
        <w:t xml:space="preserve">Issues of power are central to the CA, including the intrinsic importance of ‘power with’ rather than ‘power over others’. </w:t>
      </w:r>
      <w:r w:rsidR="00F20012">
        <w:rPr>
          <w:szCs w:val="23"/>
        </w:rPr>
        <w:t xml:space="preserve">Social workers need to be aware of their power </w:t>
      </w:r>
      <w:r w:rsidR="00B110DD" w:rsidRPr="00B110DD">
        <w:rPr>
          <w:szCs w:val="23"/>
        </w:rPr>
        <w:t>to promote strengths and enhance capabilities</w:t>
      </w:r>
      <w:r w:rsidR="00F20012">
        <w:rPr>
          <w:szCs w:val="23"/>
        </w:rPr>
        <w:t xml:space="preserve">, as well as </w:t>
      </w:r>
      <w:r w:rsidR="00B110DD" w:rsidRPr="00B110DD">
        <w:rPr>
          <w:szCs w:val="23"/>
        </w:rPr>
        <w:t>diminish and destroy</w:t>
      </w:r>
      <w:r w:rsidR="00F20012">
        <w:rPr>
          <w:szCs w:val="23"/>
        </w:rPr>
        <w:t xml:space="preserve"> them (</w:t>
      </w:r>
      <w:proofErr w:type="spellStart"/>
      <w:r w:rsidR="00F20012">
        <w:rPr>
          <w:szCs w:val="23"/>
        </w:rPr>
        <w:t>Entwhistle</w:t>
      </w:r>
      <w:proofErr w:type="spellEnd"/>
      <w:r w:rsidR="00F20012">
        <w:rPr>
          <w:szCs w:val="23"/>
        </w:rPr>
        <w:t xml:space="preserve"> and Watt, 2013). Where compulsory intervention is required to protect and promote children’s capabilities, the CA requires that </w:t>
      </w:r>
      <w:r w:rsidR="00F20012" w:rsidRPr="00F20012">
        <w:rPr>
          <w:szCs w:val="23"/>
        </w:rPr>
        <w:t xml:space="preserve">attention </w:t>
      </w:r>
      <w:r w:rsidR="00F20012">
        <w:rPr>
          <w:szCs w:val="23"/>
        </w:rPr>
        <w:t xml:space="preserve">still be paid </w:t>
      </w:r>
      <w:r w:rsidR="00F20012" w:rsidRPr="00F20012">
        <w:rPr>
          <w:szCs w:val="23"/>
        </w:rPr>
        <w:t>to parents’</w:t>
      </w:r>
      <w:r w:rsidR="00F20012">
        <w:rPr>
          <w:szCs w:val="23"/>
        </w:rPr>
        <w:t xml:space="preserve"> fundamental</w:t>
      </w:r>
      <w:r w:rsidR="00F20012" w:rsidRPr="00F20012">
        <w:rPr>
          <w:szCs w:val="23"/>
        </w:rPr>
        <w:t xml:space="preserve"> right to be treated with dignity</w:t>
      </w:r>
      <w:r w:rsidR="00F20012">
        <w:rPr>
          <w:szCs w:val="23"/>
        </w:rPr>
        <w:t xml:space="preserve"> and respect (Nussbaum, </w:t>
      </w:r>
      <w:r w:rsidR="00666FFD">
        <w:rPr>
          <w:szCs w:val="23"/>
        </w:rPr>
        <w:t>2011</w:t>
      </w:r>
      <w:r w:rsidR="00F20012">
        <w:rPr>
          <w:szCs w:val="23"/>
        </w:rPr>
        <w:t>).</w:t>
      </w:r>
    </w:p>
    <w:p w:rsidR="00C86F0A" w:rsidRDefault="00C86F0A" w:rsidP="00C86F0A">
      <w:pPr>
        <w:spacing w:line="480" w:lineRule="auto"/>
        <w:jc w:val="both"/>
        <w:rPr>
          <w:rFonts w:cs="Times New Roman"/>
          <w:lang w:val="en-GB"/>
        </w:rPr>
      </w:pPr>
    </w:p>
    <w:p w:rsidR="00176E0D" w:rsidRPr="00C86F0A" w:rsidRDefault="00404B7D" w:rsidP="00C86F0A">
      <w:pPr>
        <w:spacing w:line="480" w:lineRule="auto"/>
        <w:jc w:val="both"/>
        <w:rPr>
          <w:rFonts w:cs="Times New Roman"/>
          <w:lang w:val="en-GB"/>
        </w:rPr>
      </w:pPr>
      <w:r>
        <w:rPr>
          <w:szCs w:val="23"/>
        </w:rPr>
        <w:t xml:space="preserve">Drawing upon </w:t>
      </w:r>
      <w:r w:rsidR="0001509E">
        <w:rPr>
          <w:szCs w:val="23"/>
        </w:rPr>
        <w:t xml:space="preserve">the </w:t>
      </w:r>
      <w:r w:rsidR="005A5D96">
        <w:rPr>
          <w:szCs w:val="23"/>
        </w:rPr>
        <w:t>CA</w:t>
      </w:r>
      <w:r w:rsidR="00F53603">
        <w:rPr>
          <w:szCs w:val="23"/>
        </w:rPr>
        <w:t>,</w:t>
      </w:r>
      <w:r w:rsidR="005A5D96">
        <w:rPr>
          <w:szCs w:val="23"/>
        </w:rPr>
        <w:t xml:space="preserve"> </w:t>
      </w:r>
      <w:proofErr w:type="spellStart"/>
      <w:r w:rsidRPr="00404B7D">
        <w:rPr>
          <w:szCs w:val="23"/>
        </w:rPr>
        <w:t>Cott</w:t>
      </w:r>
      <w:r w:rsidR="00C63A6E">
        <w:rPr>
          <w:szCs w:val="23"/>
        </w:rPr>
        <w:t>a</w:t>
      </w:r>
      <w:r w:rsidRPr="00404B7D">
        <w:rPr>
          <w:szCs w:val="23"/>
        </w:rPr>
        <w:t>m</w:t>
      </w:r>
      <w:proofErr w:type="spellEnd"/>
      <w:r w:rsidRPr="00404B7D">
        <w:rPr>
          <w:szCs w:val="23"/>
        </w:rPr>
        <w:t xml:space="preserve"> (2011</w:t>
      </w:r>
      <w:r w:rsidRPr="00012146">
        <w:rPr>
          <w:szCs w:val="23"/>
        </w:rPr>
        <w:t xml:space="preserve">) discusses the work of </w:t>
      </w:r>
      <w:r w:rsidR="009250B3" w:rsidRPr="00012146">
        <w:rPr>
          <w:szCs w:val="23"/>
        </w:rPr>
        <w:t>the organization</w:t>
      </w:r>
      <w:r w:rsidR="00F20012" w:rsidRPr="00012146">
        <w:rPr>
          <w:szCs w:val="23"/>
        </w:rPr>
        <w:t>,</w:t>
      </w:r>
      <w:r w:rsidR="009250B3" w:rsidRPr="00012146">
        <w:rPr>
          <w:szCs w:val="23"/>
        </w:rPr>
        <w:t xml:space="preserve"> </w:t>
      </w:r>
      <w:r w:rsidR="00C86F0A" w:rsidRPr="00012146">
        <w:rPr>
          <w:szCs w:val="23"/>
        </w:rPr>
        <w:t xml:space="preserve">Participle, which is </w:t>
      </w:r>
      <w:r w:rsidRPr="00012146">
        <w:rPr>
          <w:szCs w:val="23"/>
        </w:rPr>
        <w:t>based on an approach termed ‘relational welfare’. She</w:t>
      </w:r>
      <w:r w:rsidRPr="008D2F9F">
        <w:rPr>
          <w:szCs w:val="23"/>
        </w:rPr>
        <w:t xml:space="preserve"> describes practice where </w:t>
      </w:r>
      <w:r w:rsidRPr="008D2F9F">
        <w:rPr>
          <w:rFonts w:cs="Book Antiqua"/>
          <w:lang w:val="en-IE"/>
        </w:rPr>
        <w:t xml:space="preserve">professionals are not there to intervene and solve problems, they are there to listen, challenge and support a process of discovery and transformation. </w:t>
      </w:r>
      <w:r w:rsidR="008D2F9F" w:rsidRPr="008D2F9F">
        <w:rPr>
          <w:rFonts w:cs="Book Antiqua"/>
          <w:lang w:val="en-IE"/>
        </w:rPr>
        <w:t>Although not specifically based on</w:t>
      </w:r>
      <w:r w:rsidR="005A5D96">
        <w:rPr>
          <w:rFonts w:cs="Book Antiqua"/>
          <w:lang w:val="en-IE"/>
        </w:rPr>
        <w:t xml:space="preserve"> </w:t>
      </w:r>
      <w:r w:rsidR="0001509E">
        <w:rPr>
          <w:rFonts w:cs="Book Antiqua"/>
          <w:lang w:val="en-IE"/>
        </w:rPr>
        <w:t xml:space="preserve">the </w:t>
      </w:r>
      <w:r w:rsidR="005A5D96">
        <w:rPr>
          <w:rFonts w:cs="Book Antiqua"/>
          <w:lang w:val="en-IE"/>
        </w:rPr>
        <w:t>CA</w:t>
      </w:r>
      <w:r w:rsidR="008D2F9F" w:rsidRPr="008D2F9F">
        <w:rPr>
          <w:rFonts w:cs="Book Antiqua"/>
          <w:lang w:val="en-IE"/>
        </w:rPr>
        <w:t xml:space="preserve">, Jack and Gill (2010) highlight examples of practices that similarly challenge </w:t>
      </w:r>
      <w:r w:rsidR="008D2F9F" w:rsidRPr="008D2F9F">
        <w:rPr>
          <w:rFonts w:cs="Times New Roman"/>
        </w:rPr>
        <w:t xml:space="preserve">individually oriented and punitive approaches to safeguarding children. These include services that develop a culture </w:t>
      </w:r>
      <w:r w:rsidR="008D2F9F" w:rsidRPr="008D2F9F">
        <w:rPr>
          <w:rFonts w:cs="Arial"/>
        </w:rPr>
        <w:t>of listening to children and adults; recognize and promote strengths</w:t>
      </w:r>
      <w:r w:rsidR="00CB60F8">
        <w:rPr>
          <w:rFonts w:cs="Arial"/>
        </w:rPr>
        <w:t>;</w:t>
      </w:r>
      <w:r w:rsidR="008D2F9F" w:rsidRPr="008D2F9F">
        <w:rPr>
          <w:rFonts w:cs="Arial"/>
        </w:rPr>
        <w:t xml:space="preserve"> and develop partnership approaches to extending local support services. </w:t>
      </w:r>
      <w:r w:rsidR="0023488C">
        <w:rPr>
          <w:rFonts w:cs="Arial"/>
        </w:rPr>
        <w:t xml:space="preserve"> </w:t>
      </w:r>
      <w:proofErr w:type="spellStart"/>
      <w:r w:rsidR="00CF09F0">
        <w:rPr>
          <w:rFonts w:cs="Arial"/>
        </w:rPr>
        <w:t>Tobis</w:t>
      </w:r>
      <w:proofErr w:type="spellEnd"/>
      <w:r w:rsidR="00CF09F0">
        <w:rPr>
          <w:rFonts w:cs="Arial"/>
        </w:rPr>
        <w:t xml:space="preserve"> (2013) describes a parental advocacy scheme in New York City, where disadvantaged parents who had lost children to public care worked with other parents to improve their capabilities and confidence massively reducing the number the numbers of children in care:</w:t>
      </w:r>
    </w:p>
    <w:p w:rsidR="00565D2B" w:rsidRPr="00565D2B" w:rsidRDefault="00CF09F0" w:rsidP="00565D2B">
      <w:pPr>
        <w:spacing w:before="240" w:line="480" w:lineRule="auto"/>
        <w:ind w:left="720"/>
        <w:jc w:val="both"/>
        <w:rPr>
          <w:rFonts w:cs="Arial"/>
        </w:rPr>
      </w:pPr>
      <w:r>
        <w:rPr>
          <w:rFonts w:cs="Arial"/>
        </w:rPr>
        <w:t>The parent advocates movement has lifted the pessimism that was pervasive amongst child welfare-affected parents… They have a voice and are making a difference in their own lives and in the lives of parents throughout the city… Parents have overcome enormous difficulties and have helped move an intransigent system (p</w:t>
      </w:r>
      <w:r w:rsidR="00E06B94">
        <w:rPr>
          <w:rFonts w:cs="Arial"/>
        </w:rPr>
        <w:t>.</w:t>
      </w:r>
      <w:r>
        <w:rPr>
          <w:rFonts w:cs="Arial"/>
        </w:rPr>
        <w:t xml:space="preserve"> 217)</w:t>
      </w:r>
      <w:r w:rsidR="00F53603">
        <w:rPr>
          <w:rFonts w:cs="Arial"/>
        </w:rPr>
        <w:t>.</w:t>
      </w:r>
    </w:p>
    <w:p w:rsidR="004E4DA8" w:rsidRDefault="00656301" w:rsidP="00966C34">
      <w:pPr>
        <w:spacing w:before="240" w:line="480" w:lineRule="auto"/>
        <w:jc w:val="both"/>
        <w:rPr>
          <w:rFonts w:cs="Arial"/>
        </w:rPr>
      </w:pPr>
      <w:r>
        <w:rPr>
          <w:b/>
          <w:lang w:val="en-GB"/>
        </w:rPr>
        <w:t>Conclusions</w:t>
      </w:r>
    </w:p>
    <w:p w:rsidR="0086548F" w:rsidRPr="004E4DA8" w:rsidRDefault="00474EA6" w:rsidP="00966C34">
      <w:pPr>
        <w:spacing w:before="240" w:line="480" w:lineRule="auto"/>
        <w:jc w:val="both"/>
        <w:rPr>
          <w:rFonts w:cs="Arial"/>
        </w:rPr>
      </w:pPr>
      <w:proofErr w:type="spellStart"/>
      <w:r>
        <w:rPr>
          <w:lang w:val="en-GB"/>
        </w:rPr>
        <w:t>Sen</w:t>
      </w:r>
      <w:proofErr w:type="spellEnd"/>
      <w:r>
        <w:rPr>
          <w:lang w:val="en-GB"/>
        </w:rPr>
        <w:t xml:space="preserve"> </w:t>
      </w:r>
      <w:r w:rsidR="00FD44C4">
        <w:rPr>
          <w:lang w:val="en-GB"/>
        </w:rPr>
        <w:t xml:space="preserve">(2009, p. ix) </w:t>
      </w:r>
      <w:r>
        <w:rPr>
          <w:lang w:val="en-GB"/>
        </w:rPr>
        <w:t xml:space="preserve">aims in his work </w:t>
      </w:r>
      <w:r w:rsidR="00FD44C4">
        <w:rPr>
          <w:i/>
          <w:lang w:val="en-GB"/>
        </w:rPr>
        <w:t xml:space="preserve">The Idea of Justice </w:t>
      </w:r>
      <w:r w:rsidR="00FD44C4">
        <w:rPr>
          <w:lang w:val="en-GB"/>
        </w:rPr>
        <w:t>to pr</w:t>
      </w:r>
      <w:r w:rsidR="00BB2BEE">
        <w:rPr>
          <w:lang w:val="en-GB"/>
        </w:rPr>
        <w:t>esent a broad theory of justice,</w:t>
      </w:r>
      <w:r w:rsidR="00FD44C4">
        <w:rPr>
          <w:lang w:val="en-GB"/>
        </w:rPr>
        <w:t xml:space="preserve"> a way ‘to address questions of enhancing justice and re</w:t>
      </w:r>
      <w:r w:rsidR="004212D2">
        <w:rPr>
          <w:lang w:val="en-GB"/>
        </w:rPr>
        <w:t>moving injustice’. In the above</w:t>
      </w:r>
      <w:r w:rsidR="00FD44C4">
        <w:rPr>
          <w:lang w:val="en-GB"/>
        </w:rPr>
        <w:t xml:space="preserve"> we have analysed the current policy and practice context for child protection work with children and families living in poverty</w:t>
      </w:r>
      <w:r w:rsidR="00CB60F8">
        <w:rPr>
          <w:lang w:val="en-GB"/>
        </w:rPr>
        <w:t>,</w:t>
      </w:r>
      <w:r w:rsidR="00FD44C4">
        <w:rPr>
          <w:lang w:val="en-GB"/>
        </w:rPr>
        <w:t xml:space="preserve"> with reference to</w:t>
      </w:r>
      <w:r w:rsidR="00135DE8">
        <w:rPr>
          <w:lang w:val="en-GB"/>
        </w:rPr>
        <w:t xml:space="preserve"> </w:t>
      </w:r>
      <w:r w:rsidR="0001509E">
        <w:rPr>
          <w:lang w:val="en-GB"/>
        </w:rPr>
        <w:t xml:space="preserve">the </w:t>
      </w:r>
      <w:r w:rsidR="00135DE8">
        <w:rPr>
          <w:lang w:val="en-GB"/>
        </w:rPr>
        <w:t>CA</w:t>
      </w:r>
      <w:r w:rsidR="00FD44C4">
        <w:rPr>
          <w:lang w:val="en-GB"/>
        </w:rPr>
        <w:t>. We have argued that policies increasing poverty and inequalities serve to reduce</w:t>
      </w:r>
      <w:r w:rsidR="00B57ED5">
        <w:rPr>
          <w:lang w:val="en-GB"/>
        </w:rPr>
        <w:t xml:space="preserve"> the</w:t>
      </w:r>
      <w:r w:rsidR="00627EB2">
        <w:rPr>
          <w:lang w:val="en-GB"/>
        </w:rPr>
        <w:t xml:space="preserve"> ‘means’ available to families, whilst cuts to local authority and community- based support services are at the same time diminishing ‘conversion’ factors that would enhance capabilities in these adverse circumstances. Families involved in the child protection and family court systems face a ‘triple j</w:t>
      </w:r>
      <w:r w:rsidR="00A05035">
        <w:rPr>
          <w:lang w:val="en-GB"/>
        </w:rPr>
        <w:t>e</w:t>
      </w:r>
      <w:r w:rsidR="00627EB2">
        <w:rPr>
          <w:lang w:val="en-GB"/>
        </w:rPr>
        <w:t>opardy’</w:t>
      </w:r>
      <w:r w:rsidR="00A05035">
        <w:rPr>
          <w:lang w:val="en-GB"/>
        </w:rPr>
        <w:t xml:space="preserve"> of </w:t>
      </w:r>
      <w:r w:rsidR="00C110A6">
        <w:rPr>
          <w:lang w:val="en-GB"/>
        </w:rPr>
        <w:t xml:space="preserve">punitive practices that fail to </w:t>
      </w:r>
      <w:r w:rsidR="00A05035">
        <w:rPr>
          <w:lang w:val="en-GB"/>
        </w:rPr>
        <w:t xml:space="preserve">recognize the socio-economic context </w:t>
      </w:r>
      <w:r w:rsidR="00656301">
        <w:rPr>
          <w:lang w:val="en-GB"/>
        </w:rPr>
        <w:t xml:space="preserve">of their lives. </w:t>
      </w:r>
    </w:p>
    <w:p w:rsidR="005A5D96" w:rsidRPr="00966C34" w:rsidRDefault="0086548F" w:rsidP="00966C34">
      <w:pPr>
        <w:spacing w:before="240" w:line="480" w:lineRule="auto"/>
        <w:jc w:val="both"/>
        <w:rPr>
          <w:lang w:val="en-GB"/>
        </w:rPr>
      </w:pPr>
      <w:r w:rsidRPr="00012146">
        <w:rPr>
          <w:rFonts w:cs="Arial"/>
        </w:rPr>
        <w:t>However things can be done differently. Whilst much further work is needed, it would seem that the CA offers potential for developing critical and ethical social work practice that promotes human dignity, incorporates a multi-dimensional analysis of factors</w:t>
      </w:r>
      <w:r w:rsidR="000D1EC5" w:rsidRPr="00012146">
        <w:rPr>
          <w:rFonts w:cs="Arial"/>
        </w:rPr>
        <w:t xml:space="preserve"> </w:t>
      </w:r>
      <w:r w:rsidRPr="00012146">
        <w:rPr>
          <w:rFonts w:cs="Arial"/>
        </w:rPr>
        <w:t>that impact on individuals’ lives, and works with families to promote the capabilities of parents and children.</w:t>
      </w:r>
      <w:r>
        <w:rPr>
          <w:lang w:val="en-GB"/>
        </w:rPr>
        <w:t xml:space="preserve"> </w:t>
      </w:r>
      <w:r w:rsidR="00656301">
        <w:rPr>
          <w:lang w:val="en-GB"/>
        </w:rPr>
        <w:t>Our analysis suggests that there is both a moral and legal imperative to rethink current child welfare policy and practice in relation to families living in poverty</w:t>
      </w:r>
      <w:r w:rsidR="001929D6">
        <w:rPr>
          <w:lang w:val="en-GB"/>
        </w:rPr>
        <w:t xml:space="preserve"> and it is going to involve reconnecting</w:t>
      </w:r>
      <w:r w:rsidR="00F53603">
        <w:rPr>
          <w:lang w:val="en-GB"/>
        </w:rPr>
        <w:t xml:space="preserve"> with the humanness of struggle. ‘T</w:t>
      </w:r>
      <w:r w:rsidR="00345AFA">
        <w:rPr>
          <w:lang w:val="en-GB"/>
        </w:rPr>
        <w:t>hey’ need what ‘we’ need when our worlds go awry:</w:t>
      </w:r>
    </w:p>
    <w:p w:rsidR="001E0C94" w:rsidRPr="005A5D96" w:rsidRDefault="00345AFA" w:rsidP="00ED7E96">
      <w:pPr>
        <w:spacing w:line="480" w:lineRule="auto"/>
        <w:ind w:left="720"/>
        <w:jc w:val="both"/>
        <w:rPr>
          <w:rFonts w:cs="Times New Roman"/>
          <w:iCs/>
        </w:rPr>
      </w:pPr>
      <w:r w:rsidRPr="005A5D96">
        <w:rPr>
          <w:rFonts w:cs="Times New Roman"/>
          <w:iCs/>
        </w:rPr>
        <w:t>Anyone who has experienced their own difficulties might think about the times we have been depressed, have not had enough money, have drunk too much, or have broken promises to ourselves. Think about the mistakes each o</w:t>
      </w:r>
      <w:r w:rsidR="00E06B94">
        <w:rPr>
          <w:rFonts w:cs="Times New Roman"/>
          <w:iCs/>
        </w:rPr>
        <w:t>f us has made while parenting (</w:t>
      </w:r>
      <w:proofErr w:type="spellStart"/>
      <w:r w:rsidR="00D33EEC">
        <w:rPr>
          <w:rFonts w:cs="Times New Roman"/>
          <w:iCs/>
        </w:rPr>
        <w:t>Tobis</w:t>
      </w:r>
      <w:proofErr w:type="spellEnd"/>
      <w:r w:rsidR="00D33EEC">
        <w:rPr>
          <w:rFonts w:cs="Times New Roman"/>
          <w:iCs/>
        </w:rPr>
        <w:t xml:space="preserve">, 2013, p. </w:t>
      </w:r>
      <w:r w:rsidRPr="005A5D96">
        <w:rPr>
          <w:rFonts w:cs="Times New Roman"/>
          <w:iCs/>
        </w:rPr>
        <w:t>217).</w:t>
      </w:r>
    </w:p>
    <w:p w:rsidR="00A40462" w:rsidRDefault="00A40462" w:rsidP="00ED7E96">
      <w:pPr>
        <w:spacing w:line="480" w:lineRule="auto"/>
        <w:jc w:val="both"/>
        <w:rPr>
          <w:rFonts w:ascii="Times New Roman" w:hAnsi="Times New Roman" w:cs="Times New Roman"/>
          <w:iCs/>
        </w:rPr>
      </w:pPr>
    </w:p>
    <w:p w:rsidR="0001509E" w:rsidRDefault="00A40462" w:rsidP="00ED7E96">
      <w:pPr>
        <w:spacing w:line="480" w:lineRule="auto"/>
        <w:jc w:val="both"/>
        <w:rPr>
          <w:rFonts w:cs="Times New Roman"/>
          <w:i/>
          <w:iCs/>
        </w:rPr>
      </w:pPr>
      <w:r w:rsidRPr="00F53603">
        <w:rPr>
          <w:rFonts w:cs="Times New Roman"/>
          <w:i/>
          <w:iCs/>
        </w:rPr>
        <w:t xml:space="preserve">The authors would like to thank Professor </w:t>
      </w:r>
      <w:proofErr w:type="spellStart"/>
      <w:r w:rsidRPr="00F53603">
        <w:rPr>
          <w:rFonts w:cs="Times New Roman"/>
          <w:i/>
          <w:iCs/>
        </w:rPr>
        <w:t>Amartya</w:t>
      </w:r>
      <w:proofErr w:type="spellEnd"/>
      <w:r w:rsidRPr="00F53603">
        <w:rPr>
          <w:rFonts w:cs="Times New Roman"/>
          <w:i/>
          <w:iCs/>
        </w:rPr>
        <w:t xml:space="preserve"> </w:t>
      </w:r>
      <w:proofErr w:type="spellStart"/>
      <w:r w:rsidRPr="00F53603">
        <w:rPr>
          <w:rFonts w:cs="Times New Roman"/>
          <w:i/>
          <w:iCs/>
        </w:rPr>
        <w:t>Sen</w:t>
      </w:r>
      <w:proofErr w:type="spellEnd"/>
      <w:r w:rsidRPr="00F53603">
        <w:rPr>
          <w:rFonts w:cs="Times New Roman"/>
          <w:i/>
          <w:iCs/>
        </w:rPr>
        <w:t xml:space="preserve"> for his conversations with us.</w:t>
      </w:r>
    </w:p>
    <w:p w:rsidR="0001509E" w:rsidRDefault="0001509E" w:rsidP="00ED7E96">
      <w:pPr>
        <w:spacing w:line="480" w:lineRule="auto"/>
        <w:jc w:val="both"/>
        <w:rPr>
          <w:rFonts w:cs="Times New Roman"/>
          <w:i/>
          <w:iCs/>
        </w:rPr>
      </w:pPr>
    </w:p>
    <w:p w:rsidR="0001509E" w:rsidRDefault="0001509E" w:rsidP="00ED7E96">
      <w:pPr>
        <w:spacing w:line="480" w:lineRule="auto"/>
        <w:rPr>
          <w:b/>
        </w:rPr>
      </w:pPr>
      <w:r>
        <w:rPr>
          <w:b/>
        </w:rPr>
        <w:t>References</w:t>
      </w:r>
    </w:p>
    <w:p w:rsidR="0001509E" w:rsidRDefault="0001509E" w:rsidP="00ED7E96">
      <w:pPr>
        <w:spacing w:line="480" w:lineRule="auto"/>
        <w:rPr>
          <w:lang w:val="en-GB"/>
        </w:rPr>
      </w:pPr>
    </w:p>
    <w:p w:rsidR="0001509E" w:rsidRPr="007844E0" w:rsidRDefault="00E331A7" w:rsidP="007844E0">
      <w:pPr>
        <w:spacing w:line="480" w:lineRule="auto"/>
        <w:ind w:left="720" w:hanging="720"/>
        <w:jc w:val="both"/>
        <w:rPr>
          <w:rFonts w:cs="Arial"/>
          <w:color w:val="1A1A1A"/>
          <w:szCs w:val="26"/>
        </w:rPr>
      </w:pPr>
      <w:r>
        <w:rPr>
          <w:rFonts w:cs="Arial"/>
          <w:color w:val="1A1A1A"/>
          <w:szCs w:val="26"/>
        </w:rPr>
        <w:t>Allen, G. (2011)</w:t>
      </w:r>
      <w:r w:rsidR="0001509E" w:rsidRPr="00A87948">
        <w:rPr>
          <w:rFonts w:cs="Arial"/>
          <w:color w:val="1A1A1A"/>
          <w:szCs w:val="26"/>
        </w:rPr>
        <w:t xml:space="preserve"> </w:t>
      </w:r>
      <w:r w:rsidR="0001509E" w:rsidRPr="00A87948">
        <w:rPr>
          <w:rFonts w:cs="Arial"/>
          <w:i/>
          <w:iCs/>
          <w:color w:val="1A1A1A"/>
          <w:szCs w:val="26"/>
        </w:rPr>
        <w:t>Early intervention: the next steps, an independent report to Her Majesty's government by Graham Allen MP</w:t>
      </w:r>
      <w:r w:rsidR="0001509E">
        <w:rPr>
          <w:rFonts w:cs="Arial"/>
          <w:color w:val="1A1A1A"/>
          <w:szCs w:val="26"/>
        </w:rPr>
        <w:t>, London, The Stationery Office.</w:t>
      </w:r>
    </w:p>
    <w:p w:rsidR="0001509E" w:rsidRPr="007844E0" w:rsidRDefault="00E331A7" w:rsidP="007844E0">
      <w:pPr>
        <w:spacing w:line="480" w:lineRule="auto"/>
        <w:ind w:left="720" w:hanging="720"/>
        <w:jc w:val="both"/>
        <w:rPr>
          <w:rFonts w:cs="Arial"/>
          <w:color w:val="1A1A1A"/>
          <w:szCs w:val="26"/>
        </w:rPr>
      </w:pPr>
      <w:r>
        <w:rPr>
          <w:rFonts w:cs="Arial"/>
          <w:color w:val="1A1A1A"/>
          <w:szCs w:val="26"/>
        </w:rPr>
        <w:t>Bartley, M. (</w:t>
      </w:r>
      <w:proofErr w:type="spellStart"/>
      <w:r>
        <w:rPr>
          <w:rFonts w:cs="Arial"/>
          <w:color w:val="1A1A1A"/>
          <w:szCs w:val="26"/>
        </w:rPr>
        <w:t>ed</w:t>
      </w:r>
      <w:proofErr w:type="spellEnd"/>
      <w:r w:rsidR="0001509E">
        <w:rPr>
          <w:rFonts w:cs="Arial"/>
          <w:color w:val="1A1A1A"/>
          <w:szCs w:val="26"/>
        </w:rPr>
        <w:t>) (2006)</w:t>
      </w:r>
      <w:r w:rsidR="0001509E" w:rsidRPr="00A87948">
        <w:rPr>
          <w:rFonts w:cs="Arial"/>
          <w:color w:val="1A1A1A"/>
          <w:szCs w:val="26"/>
        </w:rPr>
        <w:t xml:space="preserve"> </w:t>
      </w:r>
      <w:r w:rsidR="0001509E" w:rsidRPr="00A87948">
        <w:rPr>
          <w:rFonts w:cs="Arial"/>
          <w:i/>
          <w:iCs/>
          <w:color w:val="1A1A1A"/>
          <w:szCs w:val="26"/>
        </w:rPr>
        <w:t>Capability and resilience: Beating the odds</w:t>
      </w:r>
      <w:r w:rsidR="0001509E">
        <w:rPr>
          <w:rFonts w:cs="Arial"/>
          <w:color w:val="1A1A1A"/>
          <w:szCs w:val="26"/>
        </w:rPr>
        <w:t>, London</w:t>
      </w:r>
      <w:proofErr w:type="gramStart"/>
      <w:r w:rsidR="0001509E">
        <w:rPr>
          <w:rFonts w:cs="Arial"/>
          <w:color w:val="1A1A1A"/>
          <w:szCs w:val="26"/>
        </w:rPr>
        <w:t xml:space="preserve">, </w:t>
      </w:r>
      <w:r w:rsidR="0001509E" w:rsidRPr="00A87948">
        <w:rPr>
          <w:rFonts w:cs="Arial"/>
          <w:color w:val="1A1A1A"/>
          <w:szCs w:val="26"/>
        </w:rPr>
        <w:t xml:space="preserve"> UCL</w:t>
      </w:r>
      <w:proofErr w:type="gramEnd"/>
      <w:r w:rsidR="0001509E" w:rsidRPr="00A87948">
        <w:rPr>
          <w:rFonts w:cs="Arial"/>
          <w:color w:val="1A1A1A"/>
          <w:szCs w:val="26"/>
        </w:rPr>
        <w:t xml:space="preserve"> Department of Epidemiology and Public Health.</w:t>
      </w:r>
    </w:p>
    <w:p w:rsidR="007844E0" w:rsidRDefault="0001509E" w:rsidP="007844E0">
      <w:pPr>
        <w:spacing w:line="480" w:lineRule="auto"/>
        <w:ind w:left="720" w:hanging="720"/>
        <w:jc w:val="both"/>
        <w:rPr>
          <w:rFonts w:cs="Arial"/>
          <w:color w:val="1A1A1A"/>
          <w:szCs w:val="26"/>
        </w:rPr>
      </w:pPr>
      <w:proofErr w:type="spellStart"/>
      <w:proofErr w:type="gramStart"/>
      <w:r w:rsidRPr="00A87948">
        <w:rPr>
          <w:rFonts w:cs="Arial"/>
          <w:color w:val="1A1A1A"/>
          <w:szCs w:val="26"/>
        </w:rPr>
        <w:t>Beb</w:t>
      </w:r>
      <w:r>
        <w:rPr>
          <w:rFonts w:cs="Arial"/>
          <w:color w:val="1A1A1A"/>
          <w:szCs w:val="26"/>
        </w:rPr>
        <w:t>bington</w:t>
      </w:r>
      <w:proofErr w:type="spellEnd"/>
      <w:r>
        <w:rPr>
          <w:rFonts w:cs="Arial"/>
          <w:color w:val="1A1A1A"/>
          <w:szCs w:val="26"/>
        </w:rPr>
        <w:t>, A. and Miles, J. (1989)</w:t>
      </w:r>
      <w:r w:rsidRPr="00A87948">
        <w:rPr>
          <w:rFonts w:cs="Arial"/>
          <w:color w:val="1A1A1A"/>
          <w:szCs w:val="26"/>
        </w:rPr>
        <w:t xml:space="preserve"> </w:t>
      </w:r>
      <w:r>
        <w:rPr>
          <w:rFonts w:cs="Arial"/>
          <w:color w:val="1A1A1A"/>
          <w:szCs w:val="26"/>
        </w:rPr>
        <w:t>‘</w:t>
      </w:r>
      <w:r w:rsidRPr="00A87948">
        <w:rPr>
          <w:rFonts w:cs="Arial"/>
          <w:color w:val="1A1A1A"/>
          <w:szCs w:val="26"/>
        </w:rPr>
        <w:t>The background of children who enter local authority care</w:t>
      </w:r>
      <w:r>
        <w:rPr>
          <w:rFonts w:cs="Arial"/>
          <w:color w:val="1A1A1A"/>
          <w:szCs w:val="26"/>
        </w:rPr>
        <w:t xml:space="preserve">’, </w:t>
      </w:r>
      <w:r w:rsidRPr="00A87948">
        <w:rPr>
          <w:rFonts w:cs="Arial"/>
          <w:i/>
          <w:iCs/>
          <w:color w:val="1A1A1A"/>
          <w:szCs w:val="26"/>
        </w:rPr>
        <w:t>British Journal of Social Work</w:t>
      </w:r>
      <w:r w:rsidRPr="00A87948">
        <w:rPr>
          <w:rFonts w:cs="Arial"/>
          <w:color w:val="1A1A1A"/>
          <w:szCs w:val="26"/>
        </w:rPr>
        <w:t xml:space="preserve">, </w:t>
      </w:r>
      <w:r w:rsidRPr="00A87948">
        <w:rPr>
          <w:rFonts w:cs="Arial"/>
          <w:b/>
          <w:iCs/>
          <w:color w:val="1A1A1A"/>
          <w:szCs w:val="26"/>
        </w:rPr>
        <w:t>19</w:t>
      </w:r>
      <w:r w:rsidRPr="00A87948">
        <w:rPr>
          <w:rFonts w:cs="Arial"/>
          <w:color w:val="1A1A1A"/>
          <w:szCs w:val="26"/>
        </w:rPr>
        <w:t xml:space="preserve">(1), </w:t>
      </w:r>
      <w:r>
        <w:rPr>
          <w:rFonts w:cs="Arial"/>
          <w:color w:val="1A1A1A"/>
          <w:szCs w:val="26"/>
        </w:rPr>
        <w:t xml:space="preserve">pp. </w:t>
      </w:r>
      <w:r w:rsidRPr="00A87948">
        <w:rPr>
          <w:rFonts w:cs="Arial"/>
          <w:color w:val="1A1A1A"/>
          <w:szCs w:val="26"/>
        </w:rPr>
        <w:t>349-368.</w:t>
      </w:r>
      <w:proofErr w:type="gramEnd"/>
    </w:p>
    <w:p w:rsidR="007844E0" w:rsidRDefault="0001509E" w:rsidP="007844E0">
      <w:pPr>
        <w:spacing w:line="480" w:lineRule="auto"/>
        <w:ind w:left="720" w:hanging="720"/>
        <w:jc w:val="both"/>
        <w:rPr>
          <w:rFonts w:cs="Arial"/>
          <w:color w:val="1A1A1A"/>
          <w:szCs w:val="26"/>
        </w:rPr>
      </w:pPr>
      <w:r>
        <w:rPr>
          <w:lang w:val="en-GB"/>
        </w:rPr>
        <w:t xml:space="preserve">Bradshaw, J. (2011) </w:t>
      </w:r>
      <w:r>
        <w:rPr>
          <w:i/>
          <w:lang w:val="en-GB"/>
        </w:rPr>
        <w:t>The Well-being of Children in the UK (3</w:t>
      </w:r>
      <w:r w:rsidRPr="00F74E21">
        <w:rPr>
          <w:i/>
          <w:vertAlign w:val="superscript"/>
          <w:lang w:val="en-GB"/>
        </w:rPr>
        <w:t>rd</w:t>
      </w:r>
      <w:r>
        <w:rPr>
          <w:i/>
          <w:lang w:val="en-GB"/>
        </w:rPr>
        <w:t xml:space="preserve"> Edition), </w:t>
      </w:r>
      <w:r>
        <w:rPr>
          <w:lang w:val="en-GB"/>
        </w:rPr>
        <w:t>Bristol, Policy Press.</w:t>
      </w:r>
    </w:p>
    <w:p w:rsidR="007844E0" w:rsidRDefault="0001509E" w:rsidP="007844E0">
      <w:pPr>
        <w:spacing w:line="480" w:lineRule="auto"/>
        <w:ind w:left="720" w:hanging="720"/>
        <w:jc w:val="both"/>
        <w:rPr>
          <w:rFonts w:cs="Arial"/>
          <w:color w:val="1A1A1A"/>
          <w:szCs w:val="26"/>
        </w:rPr>
      </w:pPr>
      <w:r>
        <w:rPr>
          <w:rFonts w:cs="Arial"/>
          <w:color w:val="1A1A1A"/>
          <w:szCs w:val="26"/>
        </w:rPr>
        <w:t>Brown, R. and Ward, H. (2012)</w:t>
      </w:r>
      <w:r w:rsidRPr="00AB6E1B">
        <w:rPr>
          <w:rFonts w:cs="Arial"/>
          <w:color w:val="1A1A1A"/>
          <w:szCs w:val="26"/>
        </w:rPr>
        <w:t xml:space="preserve"> </w:t>
      </w:r>
      <w:r w:rsidRPr="00AB6E1B">
        <w:rPr>
          <w:rFonts w:cs="Arial"/>
          <w:i/>
          <w:color w:val="1A1A1A"/>
          <w:szCs w:val="26"/>
        </w:rPr>
        <w:t>Decision-making within a child’s timeframe</w:t>
      </w:r>
      <w:r>
        <w:rPr>
          <w:rFonts w:cs="Arial"/>
          <w:color w:val="1A1A1A"/>
          <w:szCs w:val="26"/>
        </w:rPr>
        <w:t>, London, Childhood Wellbeing Research Centre.</w:t>
      </w:r>
    </w:p>
    <w:p w:rsidR="007844E0" w:rsidRDefault="0001509E" w:rsidP="007844E0">
      <w:pPr>
        <w:spacing w:line="480" w:lineRule="auto"/>
        <w:ind w:left="720" w:hanging="720"/>
        <w:jc w:val="both"/>
        <w:rPr>
          <w:rFonts w:cs="Arial"/>
          <w:color w:val="1A1A1A"/>
          <w:szCs w:val="26"/>
        </w:rPr>
      </w:pPr>
      <w:r w:rsidRPr="00627C2D">
        <w:rPr>
          <w:rFonts w:cs="Arial"/>
        </w:rPr>
        <w:t xml:space="preserve">Browne J. </w:t>
      </w:r>
      <w:r>
        <w:rPr>
          <w:rFonts w:cs="Arial"/>
        </w:rPr>
        <w:t xml:space="preserve">(2012) </w:t>
      </w:r>
      <w:r w:rsidRPr="00CB51E6">
        <w:rPr>
          <w:rFonts w:cs="Arial"/>
          <w:i/>
        </w:rPr>
        <w:t>The Impact of Austerity Measures on Households with children</w:t>
      </w:r>
      <w:r w:rsidRPr="00627C2D">
        <w:rPr>
          <w:rFonts w:cs="Arial"/>
        </w:rPr>
        <w:t xml:space="preserve">, </w:t>
      </w:r>
      <w:r>
        <w:rPr>
          <w:rFonts w:cs="Arial"/>
        </w:rPr>
        <w:t xml:space="preserve">London, </w:t>
      </w:r>
      <w:r w:rsidRPr="00627C2D">
        <w:rPr>
          <w:rFonts w:cs="Arial"/>
        </w:rPr>
        <w:t xml:space="preserve">Family and Parenting Institute. </w:t>
      </w:r>
    </w:p>
    <w:p w:rsidR="0073427A" w:rsidRDefault="0001509E" w:rsidP="0073427A">
      <w:pPr>
        <w:spacing w:line="480" w:lineRule="auto"/>
        <w:ind w:left="720" w:hanging="720"/>
        <w:jc w:val="both"/>
        <w:rPr>
          <w:rFonts w:cs="Arial"/>
        </w:rPr>
      </w:pPr>
      <w:r w:rsidRPr="00EE50FF">
        <w:rPr>
          <w:rFonts w:cs="Arial"/>
        </w:rPr>
        <w:t>Browne J</w:t>
      </w:r>
      <w:r>
        <w:rPr>
          <w:rFonts w:cs="Arial"/>
        </w:rPr>
        <w:t>.</w:t>
      </w:r>
      <w:r w:rsidRPr="00EE50FF">
        <w:rPr>
          <w:rFonts w:cs="Arial"/>
        </w:rPr>
        <w:t xml:space="preserve">, </w:t>
      </w:r>
      <w:proofErr w:type="spellStart"/>
      <w:r w:rsidRPr="00EE50FF">
        <w:rPr>
          <w:rFonts w:cs="Arial"/>
        </w:rPr>
        <w:t>Hoode</w:t>
      </w:r>
      <w:proofErr w:type="spellEnd"/>
      <w:r w:rsidRPr="00EE50FF">
        <w:rPr>
          <w:rFonts w:cs="Arial"/>
        </w:rPr>
        <w:t xml:space="preserve"> A</w:t>
      </w:r>
      <w:r>
        <w:rPr>
          <w:rFonts w:cs="Arial"/>
        </w:rPr>
        <w:t>.</w:t>
      </w:r>
      <w:r w:rsidRPr="00EE50FF">
        <w:rPr>
          <w:rFonts w:cs="Arial"/>
        </w:rPr>
        <w:t xml:space="preserve">, </w:t>
      </w:r>
      <w:r>
        <w:rPr>
          <w:rFonts w:cs="Arial"/>
        </w:rPr>
        <w:t xml:space="preserve">and </w:t>
      </w:r>
      <w:r w:rsidRPr="00EE50FF">
        <w:rPr>
          <w:rFonts w:cs="Arial"/>
        </w:rPr>
        <w:t>Joyce R</w:t>
      </w:r>
      <w:r>
        <w:rPr>
          <w:rFonts w:cs="Arial"/>
        </w:rPr>
        <w:t>. (2013)</w:t>
      </w:r>
      <w:r w:rsidRPr="00EE50FF">
        <w:rPr>
          <w:rFonts w:cs="Arial"/>
        </w:rPr>
        <w:t xml:space="preserve"> </w:t>
      </w:r>
      <w:r w:rsidRPr="00EE50FF">
        <w:rPr>
          <w:rFonts w:cs="Arial"/>
          <w:i/>
          <w:iCs/>
        </w:rPr>
        <w:t>Child and Working-age Poverty in Northern Ireland from 2010 to 2020</w:t>
      </w:r>
      <w:r>
        <w:rPr>
          <w:rFonts w:cs="Arial"/>
        </w:rPr>
        <w:t xml:space="preserve">, London, </w:t>
      </w:r>
      <w:r w:rsidRPr="00EE50FF">
        <w:rPr>
          <w:rFonts w:cs="Arial"/>
        </w:rPr>
        <w:t>T</w:t>
      </w:r>
      <w:r w:rsidR="0073427A">
        <w:rPr>
          <w:rFonts w:cs="Arial"/>
        </w:rPr>
        <w:t>he Institute for Fiscal Studies.</w:t>
      </w:r>
    </w:p>
    <w:p w:rsidR="0073427A" w:rsidRPr="0073427A" w:rsidRDefault="0073427A" w:rsidP="00FF47D9">
      <w:pPr>
        <w:spacing w:line="480" w:lineRule="auto"/>
        <w:ind w:left="720" w:hanging="720"/>
        <w:jc w:val="both"/>
        <w:rPr>
          <w:rFonts w:cs="Arial"/>
        </w:rPr>
      </w:pPr>
      <w:r>
        <w:rPr>
          <w:rFonts w:cs="Arial"/>
        </w:rPr>
        <w:t xml:space="preserve">Burgess, C., Daniel, B., Scott, J., Dobbin, H., Mulley, K. and Whitfield, E. (2014) </w:t>
      </w:r>
      <w:proofErr w:type="gramStart"/>
      <w:r>
        <w:rPr>
          <w:rFonts w:cs="Arial"/>
          <w:i/>
        </w:rPr>
        <w:t>Preventing</w:t>
      </w:r>
      <w:proofErr w:type="gramEnd"/>
      <w:r>
        <w:rPr>
          <w:rFonts w:cs="Arial"/>
          <w:i/>
        </w:rPr>
        <w:t xml:space="preserve"> child neglect in the UK: What makes services accessible to children and families? </w:t>
      </w:r>
      <w:r>
        <w:rPr>
          <w:rFonts w:cs="Arial"/>
        </w:rPr>
        <w:t>Watford, Action for Children.</w:t>
      </w:r>
    </w:p>
    <w:p w:rsidR="007844E0" w:rsidRDefault="0001509E" w:rsidP="007844E0">
      <w:pPr>
        <w:spacing w:line="480" w:lineRule="auto"/>
        <w:ind w:left="720" w:hanging="720"/>
        <w:jc w:val="both"/>
        <w:rPr>
          <w:rFonts w:cs="Arial"/>
          <w:color w:val="1A1A1A"/>
          <w:szCs w:val="26"/>
        </w:rPr>
      </w:pPr>
      <w:proofErr w:type="spellStart"/>
      <w:r>
        <w:rPr>
          <w:rFonts w:cs="Arial"/>
          <w:color w:val="1A1A1A"/>
          <w:szCs w:val="26"/>
        </w:rPr>
        <w:t>Bywaters</w:t>
      </w:r>
      <w:proofErr w:type="spellEnd"/>
      <w:r>
        <w:rPr>
          <w:rFonts w:cs="Arial"/>
          <w:color w:val="1A1A1A"/>
          <w:szCs w:val="26"/>
        </w:rPr>
        <w:t>, P. (2009)</w:t>
      </w:r>
      <w:r w:rsidRPr="00AB6E1B">
        <w:rPr>
          <w:rFonts w:cs="Arial"/>
          <w:color w:val="1A1A1A"/>
          <w:szCs w:val="26"/>
        </w:rPr>
        <w:t xml:space="preserve"> </w:t>
      </w:r>
      <w:r>
        <w:rPr>
          <w:rFonts w:cs="Arial"/>
          <w:color w:val="1A1A1A"/>
          <w:szCs w:val="26"/>
        </w:rPr>
        <w:t>‘</w:t>
      </w:r>
      <w:r w:rsidRPr="00AB6E1B">
        <w:rPr>
          <w:rFonts w:cs="Arial"/>
          <w:color w:val="1A1A1A"/>
          <w:szCs w:val="26"/>
        </w:rPr>
        <w:t xml:space="preserve">Tackling inequalities in health: a </w:t>
      </w:r>
      <w:r>
        <w:rPr>
          <w:rFonts w:cs="Arial"/>
          <w:color w:val="1A1A1A"/>
          <w:szCs w:val="26"/>
        </w:rPr>
        <w:t xml:space="preserve">global challenge for social work, </w:t>
      </w:r>
      <w:r w:rsidRPr="00AB6E1B">
        <w:rPr>
          <w:rFonts w:cs="Arial"/>
          <w:i/>
          <w:iCs/>
          <w:color w:val="1A1A1A"/>
          <w:szCs w:val="26"/>
        </w:rPr>
        <w:t>British Journal of social work</w:t>
      </w:r>
      <w:r w:rsidRPr="00AB6E1B">
        <w:rPr>
          <w:rFonts w:cs="Arial"/>
          <w:color w:val="1A1A1A"/>
          <w:szCs w:val="26"/>
        </w:rPr>
        <w:t xml:space="preserve">, </w:t>
      </w:r>
      <w:r w:rsidRPr="00AB6E1B">
        <w:rPr>
          <w:rFonts w:cs="Arial"/>
          <w:b/>
          <w:iCs/>
          <w:color w:val="1A1A1A"/>
          <w:szCs w:val="26"/>
        </w:rPr>
        <w:t>39</w:t>
      </w:r>
      <w:r w:rsidRPr="00AB6E1B">
        <w:rPr>
          <w:rFonts w:cs="Arial"/>
          <w:color w:val="1A1A1A"/>
          <w:szCs w:val="26"/>
        </w:rPr>
        <w:t xml:space="preserve">(2), </w:t>
      </w:r>
      <w:r>
        <w:rPr>
          <w:rFonts w:cs="Arial"/>
          <w:color w:val="1A1A1A"/>
          <w:szCs w:val="26"/>
        </w:rPr>
        <w:t xml:space="preserve">pp. </w:t>
      </w:r>
      <w:r w:rsidRPr="00AB6E1B">
        <w:rPr>
          <w:rFonts w:cs="Arial"/>
          <w:color w:val="1A1A1A"/>
          <w:szCs w:val="26"/>
        </w:rPr>
        <w:t>353-367.</w:t>
      </w:r>
    </w:p>
    <w:p w:rsidR="007236A2" w:rsidRDefault="00E331A7" w:rsidP="007236A2">
      <w:pPr>
        <w:spacing w:line="480" w:lineRule="auto"/>
        <w:ind w:left="720" w:hanging="720"/>
        <w:jc w:val="both"/>
        <w:rPr>
          <w:rFonts w:cs="Arial"/>
          <w:color w:val="1A1A1A"/>
          <w:szCs w:val="26"/>
        </w:rPr>
      </w:pPr>
      <w:proofErr w:type="spellStart"/>
      <w:r>
        <w:rPr>
          <w:rFonts w:cs="Arial"/>
          <w:color w:val="1A1A1A"/>
          <w:szCs w:val="26"/>
        </w:rPr>
        <w:t>Bywaters</w:t>
      </w:r>
      <w:proofErr w:type="spellEnd"/>
      <w:r>
        <w:rPr>
          <w:rFonts w:cs="Arial"/>
          <w:color w:val="1A1A1A"/>
          <w:szCs w:val="26"/>
        </w:rPr>
        <w:t>, P. (2013)</w:t>
      </w:r>
      <w:r w:rsidR="0001509E" w:rsidRPr="00AB6E1B">
        <w:rPr>
          <w:rFonts w:cs="Arial"/>
          <w:color w:val="1A1A1A"/>
          <w:szCs w:val="26"/>
        </w:rPr>
        <w:t xml:space="preserve"> </w:t>
      </w:r>
      <w:r>
        <w:rPr>
          <w:rFonts w:cs="Arial"/>
          <w:color w:val="1A1A1A"/>
          <w:szCs w:val="26"/>
        </w:rPr>
        <w:t>‘</w:t>
      </w:r>
      <w:r w:rsidR="0001509E" w:rsidRPr="00AB6E1B">
        <w:rPr>
          <w:rFonts w:cs="Arial"/>
          <w:color w:val="1A1A1A"/>
          <w:szCs w:val="26"/>
        </w:rPr>
        <w:t>Inequalities in Child Welfare: Towards a New Pol</w:t>
      </w:r>
      <w:r>
        <w:rPr>
          <w:rFonts w:cs="Arial"/>
          <w:color w:val="1A1A1A"/>
          <w:szCs w:val="26"/>
        </w:rPr>
        <w:t>icy, Research and Action Agenda’,</w:t>
      </w:r>
      <w:r w:rsidR="0001509E" w:rsidRPr="00AB6E1B">
        <w:rPr>
          <w:rFonts w:cs="Arial"/>
          <w:color w:val="1A1A1A"/>
          <w:szCs w:val="26"/>
        </w:rPr>
        <w:t xml:space="preserve"> </w:t>
      </w:r>
      <w:r w:rsidR="0001509E" w:rsidRPr="00AB6E1B">
        <w:rPr>
          <w:rFonts w:cs="Arial"/>
          <w:i/>
          <w:iCs/>
          <w:color w:val="1A1A1A"/>
          <w:szCs w:val="26"/>
        </w:rPr>
        <w:t>British Journal of Social Work</w:t>
      </w:r>
      <w:r w:rsidR="0001509E">
        <w:rPr>
          <w:rFonts w:cs="Arial"/>
          <w:color w:val="1A1A1A"/>
          <w:szCs w:val="26"/>
        </w:rPr>
        <w:t>, Advanced access published May 3, 2013, doi</w:t>
      </w:r>
      <w:proofErr w:type="gramStart"/>
      <w:r w:rsidR="0001509E">
        <w:rPr>
          <w:rFonts w:cs="Arial"/>
          <w:color w:val="1A1A1A"/>
          <w:szCs w:val="26"/>
        </w:rPr>
        <w:t>:10.1093</w:t>
      </w:r>
      <w:proofErr w:type="gramEnd"/>
      <w:r w:rsidR="0001509E">
        <w:rPr>
          <w:rFonts w:cs="Arial"/>
          <w:color w:val="1A1A1A"/>
          <w:szCs w:val="26"/>
        </w:rPr>
        <w:t>/bjsw/bet079.</w:t>
      </w:r>
    </w:p>
    <w:p w:rsidR="007236A2" w:rsidRDefault="0001509E" w:rsidP="007236A2">
      <w:pPr>
        <w:spacing w:line="480" w:lineRule="auto"/>
        <w:ind w:left="720" w:hanging="720"/>
        <w:jc w:val="both"/>
        <w:rPr>
          <w:rFonts w:cs="Arial"/>
          <w:color w:val="1A1A1A"/>
          <w:szCs w:val="26"/>
        </w:rPr>
      </w:pPr>
      <w:r>
        <w:rPr>
          <w:rFonts w:cs="Arial"/>
          <w:color w:val="1A1A1A"/>
          <w:szCs w:val="26"/>
        </w:rPr>
        <w:t xml:space="preserve">Carpenter, M. (2009) </w:t>
      </w:r>
      <w:r w:rsidR="00E331A7">
        <w:rPr>
          <w:rFonts w:cs="Arial"/>
          <w:color w:val="1A1A1A"/>
          <w:szCs w:val="26"/>
        </w:rPr>
        <w:t>‘</w:t>
      </w:r>
      <w:r w:rsidRPr="00E94817">
        <w:rPr>
          <w:rFonts w:cs="Arial"/>
          <w:color w:val="1A1A1A"/>
          <w:szCs w:val="26"/>
        </w:rPr>
        <w:t>The capabilities approach and critical social policy: L</w:t>
      </w:r>
      <w:r>
        <w:rPr>
          <w:rFonts w:cs="Arial"/>
          <w:color w:val="1A1A1A"/>
          <w:szCs w:val="26"/>
        </w:rPr>
        <w:t>essons from the majority world?</w:t>
      </w:r>
      <w:proofErr w:type="gramStart"/>
      <w:r w:rsidR="00E331A7">
        <w:rPr>
          <w:rFonts w:cs="Arial"/>
          <w:color w:val="1A1A1A"/>
          <w:szCs w:val="26"/>
        </w:rPr>
        <w:t>’</w:t>
      </w:r>
      <w:r>
        <w:rPr>
          <w:rFonts w:cs="Arial"/>
          <w:color w:val="1A1A1A"/>
          <w:szCs w:val="26"/>
        </w:rPr>
        <w:t>,</w:t>
      </w:r>
      <w:proofErr w:type="gramEnd"/>
      <w:r>
        <w:rPr>
          <w:rFonts w:cs="Arial"/>
          <w:color w:val="1A1A1A"/>
          <w:szCs w:val="26"/>
        </w:rPr>
        <w:t xml:space="preserve"> </w:t>
      </w:r>
      <w:r w:rsidRPr="00E94817">
        <w:rPr>
          <w:rFonts w:cs="Arial"/>
          <w:i/>
          <w:iCs/>
          <w:color w:val="1A1A1A"/>
          <w:szCs w:val="26"/>
        </w:rPr>
        <w:t>Critical Social Policy</w:t>
      </w:r>
      <w:r w:rsidRPr="00E94817">
        <w:rPr>
          <w:rFonts w:cs="Arial"/>
          <w:color w:val="1A1A1A"/>
          <w:szCs w:val="26"/>
        </w:rPr>
        <w:t xml:space="preserve">, </w:t>
      </w:r>
      <w:r w:rsidRPr="00E94817">
        <w:rPr>
          <w:rFonts w:cs="Arial"/>
          <w:b/>
          <w:iCs/>
          <w:color w:val="1A1A1A"/>
          <w:szCs w:val="26"/>
        </w:rPr>
        <w:t>29</w:t>
      </w:r>
      <w:r w:rsidRPr="00E94817">
        <w:rPr>
          <w:rFonts w:cs="Arial"/>
          <w:color w:val="1A1A1A"/>
          <w:szCs w:val="26"/>
        </w:rPr>
        <w:t xml:space="preserve">(3), </w:t>
      </w:r>
      <w:r>
        <w:rPr>
          <w:rFonts w:cs="Arial"/>
          <w:color w:val="1A1A1A"/>
          <w:szCs w:val="26"/>
        </w:rPr>
        <w:t xml:space="preserve">pp. </w:t>
      </w:r>
      <w:r w:rsidRPr="00E94817">
        <w:rPr>
          <w:rFonts w:cs="Arial"/>
          <w:color w:val="1A1A1A"/>
          <w:szCs w:val="26"/>
        </w:rPr>
        <w:t>351-373.</w:t>
      </w:r>
    </w:p>
    <w:p w:rsidR="007236A2" w:rsidRDefault="0001509E" w:rsidP="007236A2">
      <w:pPr>
        <w:spacing w:line="480" w:lineRule="auto"/>
        <w:ind w:left="720" w:hanging="720"/>
        <w:jc w:val="both"/>
        <w:rPr>
          <w:rFonts w:cs="Arial"/>
          <w:color w:val="1A1A1A"/>
          <w:szCs w:val="26"/>
        </w:rPr>
      </w:pPr>
      <w:proofErr w:type="spellStart"/>
      <w:r w:rsidRPr="00E94817">
        <w:rPr>
          <w:rFonts w:cs="Arial"/>
          <w:color w:val="1A1A1A"/>
          <w:szCs w:val="26"/>
        </w:rPr>
        <w:t>Cawson</w:t>
      </w:r>
      <w:proofErr w:type="spellEnd"/>
      <w:r w:rsidRPr="00E94817">
        <w:rPr>
          <w:rFonts w:cs="Arial"/>
          <w:color w:val="1A1A1A"/>
          <w:szCs w:val="26"/>
        </w:rPr>
        <w:t xml:space="preserve">, P., </w:t>
      </w:r>
      <w:proofErr w:type="spellStart"/>
      <w:r w:rsidRPr="00E94817">
        <w:rPr>
          <w:rFonts w:cs="Arial"/>
          <w:color w:val="1A1A1A"/>
          <w:szCs w:val="26"/>
        </w:rPr>
        <w:t>Wattam</w:t>
      </w:r>
      <w:proofErr w:type="spellEnd"/>
      <w:r w:rsidRPr="00E94817">
        <w:rPr>
          <w:rFonts w:cs="Arial"/>
          <w:color w:val="1A1A1A"/>
          <w:szCs w:val="26"/>
        </w:rPr>
        <w:t xml:space="preserve">, C., </w:t>
      </w:r>
      <w:proofErr w:type="spellStart"/>
      <w:r>
        <w:rPr>
          <w:rFonts w:cs="Arial"/>
          <w:color w:val="1A1A1A"/>
          <w:szCs w:val="26"/>
        </w:rPr>
        <w:t>Brooker</w:t>
      </w:r>
      <w:proofErr w:type="spellEnd"/>
      <w:r>
        <w:rPr>
          <w:rFonts w:cs="Arial"/>
          <w:color w:val="1A1A1A"/>
          <w:szCs w:val="26"/>
        </w:rPr>
        <w:t>, S. and Kelly, G. (2000)</w:t>
      </w:r>
      <w:r w:rsidRPr="00E94817">
        <w:rPr>
          <w:rFonts w:cs="Arial"/>
          <w:color w:val="1A1A1A"/>
          <w:szCs w:val="26"/>
        </w:rPr>
        <w:t xml:space="preserve"> </w:t>
      </w:r>
      <w:r w:rsidRPr="00E94817">
        <w:rPr>
          <w:rFonts w:cs="Arial"/>
          <w:i/>
          <w:color w:val="1A1A1A"/>
          <w:szCs w:val="26"/>
        </w:rPr>
        <w:t>Child maltreatment in the United Kingdom: a study of the prevalence of abuse and neglect</w:t>
      </w:r>
      <w:proofErr w:type="gramStart"/>
      <w:r>
        <w:rPr>
          <w:rFonts w:cs="Arial"/>
          <w:color w:val="1A1A1A"/>
          <w:szCs w:val="26"/>
        </w:rPr>
        <w:t xml:space="preserve">, </w:t>
      </w:r>
      <w:r w:rsidRPr="00E94817">
        <w:rPr>
          <w:rFonts w:cs="Arial"/>
          <w:color w:val="1A1A1A"/>
          <w:szCs w:val="26"/>
        </w:rPr>
        <w:t xml:space="preserve"> </w:t>
      </w:r>
      <w:r w:rsidRPr="00E94817">
        <w:rPr>
          <w:rFonts w:cs="Arial"/>
          <w:iCs/>
          <w:color w:val="1A1A1A"/>
          <w:szCs w:val="26"/>
        </w:rPr>
        <w:t>London</w:t>
      </w:r>
      <w:proofErr w:type="gramEnd"/>
      <w:r>
        <w:rPr>
          <w:rFonts w:cs="Arial"/>
          <w:iCs/>
          <w:color w:val="1A1A1A"/>
          <w:szCs w:val="26"/>
        </w:rPr>
        <w:t>,</w:t>
      </w:r>
      <w:r w:rsidRPr="00E94817">
        <w:rPr>
          <w:rFonts w:cs="Arial"/>
          <w:iCs/>
          <w:color w:val="1A1A1A"/>
          <w:szCs w:val="26"/>
        </w:rPr>
        <w:t xml:space="preserve"> NSPCC</w:t>
      </w:r>
      <w:r w:rsidRPr="00E94817">
        <w:rPr>
          <w:rFonts w:cs="Arial"/>
          <w:color w:val="1A1A1A"/>
          <w:szCs w:val="26"/>
        </w:rPr>
        <w:t>.</w:t>
      </w:r>
    </w:p>
    <w:p w:rsidR="007236A2" w:rsidRDefault="0001509E" w:rsidP="007236A2">
      <w:pPr>
        <w:spacing w:line="480" w:lineRule="auto"/>
        <w:ind w:left="720" w:hanging="720"/>
        <w:jc w:val="both"/>
        <w:rPr>
          <w:rFonts w:cs="Arial"/>
          <w:color w:val="1A1A1A"/>
          <w:szCs w:val="26"/>
        </w:rPr>
      </w:pPr>
      <w:r>
        <w:rPr>
          <w:rFonts w:cs="Arial"/>
          <w:color w:val="1A1A1A"/>
          <w:szCs w:val="26"/>
        </w:rPr>
        <w:t>Chase, E. and Walker, R. (2012) ‘</w:t>
      </w:r>
      <w:r w:rsidRPr="00E94817">
        <w:rPr>
          <w:rFonts w:cs="Arial"/>
          <w:color w:val="1A1A1A"/>
          <w:szCs w:val="26"/>
        </w:rPr>
        <w:t>The Co-construction of Shame in the Context of Poverty: Bey</w:t>
      </w:r>
      <w:r>
        <w:rPr>
          <w:rFonts w:cs="Arial"/>
          <w:color w:val="1A1A1A"/>
          <w:szCs w:val="26"/>
        </w:rPr>
        <w:t>ond a Threat to the Social Bond’,</w:t>
      </w:r>
      <w:r w:rsidRPr="00E94817">
        <w:rPr>
          <w:rFonts w:cs="Arial"/>
          <w:color w:val="1A1A1A"/>
          <w:szCs w:val="26"/>
        </w:rPr>
        <w:t xml:space="preserve"> </w:t>
      </w:r>
      <w:r w:rsidRPr="00E94817">
        <w:rPr>
          <w:rFonts w:cs="Arial"/>
          <w:i/>
          <w:iCs/>
          <w:color w:val="1A1A1A"/>
          <w:szCs w:val="26"/>
        </w:rPr>
        <w:t>Sociology</w:t>
      </w:r>
      <w:r>
        <w:rPr>
          <w:rFonts w:cs="Arial"/>
          <w:color w:val="1A1A1A"/>
          <w:szCs w:val="26"/>
        </w:rPr>
        <w:t xml:space="preserve">, </w:t>
      </w:r>
      <w:r>
        <w:rPr>
          <w:rFonts w:cs="Arial"/>
          <w:b/>
          <w:color w:val="1A1A1A"/>
          <w:szCs w:val="26"/>
        </w:rPr>
        <w:t xml:space="preserve">47 </w:t>
      </w:r>
      <w:r>
        <w:rPr>
          <w:rFonts w:cs="Arial"/>
          <w:color w:val="1A1A1A"/>
          <w:szCs w:val="26"/>
        </w:rPr>
        <w:t>(4), pp. 739 – 754.</w:t>
      </w:r>
    </w:p>
    <w:p w:rsidR="007236A2" w:rsidRDefault="0001509E" w:rsidP="007236A2">
      <w:pPr>
        <w:spacing w:line="480" w:lineRule="auto"/>
        <w:ind w:left="720" w:hanging="720"/>
        <w:jc w:val="both"/>
        <w:rPr>
          <w:rFonts w:cs="Arial"/>
        </w:rPr>
      </w:pPr>
      <w:r w:rsidRPr="00387891">
        <w:rPr>
          <w:rFonts w:cs="Times"/>
        </w:rPr>
        <w:t xml:space="preserve">Cooper, N. and </w:t>
      </w:r>
      <w:proofErr w:type="spellStart"/>
      <w:r w:rsidRPr="00387891">
        <w:rPr>
          <w:rFonts w:cs="Times"/>
        </w:rPr>
        <w:t>Dumpleton</w:t>
      </w:r>
      <w:proofErr w:type="spellEnd"/>
      <w:r w:rsidRPr="00387891">
        <w:rPr>
          <w:rFonts w:cs="Times"/>
        </w:rPr>
        <w:t xml:space="preserve">, S. (2013) </w:t>
      </w:r>
      <w:r w:rsidRPr="00387891">
        <w:rPr>
          <w:rFonts w:cs="Arial"/>
          <w:i/>
          <w:iCs/>
        </w:rPr>
        <w:t>Walking The Breadline: The Scandal of Food Poverty in 21st Century Britain</w:t>
      </w:r>
      <w:r w:rsidRPr="00387891">
        <w:rPr>
          <w:rFonts w:cs="Arial"/>
        </w:rPr>
        <w:t>, </w:t>
      </w:r>
      <w:r>
        <w:rPr>
          <w:rFonts w:cs="Arial"/>
        </w:rPr>
        <w:t xml:space="preserve">Oxford, </w:t>
      </w:r>
      <w:proofErr w:type="gramStart"/>
      <w:r w:rsidRPr="00387891">
        <w:rPr>
          <w:rFonts w:cs="Arial"/>
        </w:rPr>
        <w:t>Oxfam</w:t>
      </w:r>
      <w:proofErr w:type="gramEnd"/>
      <w:r w:rsidRPr="00387891">
        <w:rPr>
          <w:rFonts w:cs="Arial"/>
        </w:rPr>
        <w:t xml:space="preserve"> GB/Church Action on Poverty</w:t>
      </w:r>
      <w:r w:rsidR="007236A2">
        <w:rPr>
          <w:rFonts w:cs="Arial"/>
        </w:rPr>
        <w:t>.</w:t>
      </w:r>
    </w:p>
    <w:p w:rsidR="007236A2" w:rsidRDefault="0001509E" w:rsidP="007236A2">
      <w:pPr>
        <w:spacing w:line="480" w:lineRule="auto"/>
        <w:ind w:left="720" w:hanging="720"/>
        <w:jc w:val="both"/>
        <w:rPr>
          <w:rFonts w:cs="Arial"/>
          <w:color w:val="1A1A1A"/>
          <w:szCs w:val="26"/>
        </w:rPr>
      </w:pPr>
      <w:r>
        <w:rPr>
          <w:rFonts w:cs="Arial"/>
          <w:color w:val="1A1A1A"/>
          <w:szCs w:val="26"/>
        </w:rPr>
        <w:t xml:space="preserve">Cooper, K. and Stewart, K. (2013) </w:t>
      </w:r>
      <w:r>
        <w:rPr>
          <w:rFonts w:cs="Arial"/>
          <w:i/>
          <w:color w:val="1A1A1A"/>
          <w:szCs w:val="26"/>
        </w:rPr>
        <w:t xml:space="preserve">Does money </w:t>
      </w:r>
      <w:proofErr w:type="gramStart"/>
      <w:r>
        <w:rPr>
          <w:rFonts w:cs="Arial"/>
          <w:i/>
          <w:color w:val="1A1A1A"/>
          <w:szCs w:val="26"/>
        </w:rPr>
        <w:t>affect</w:t>
      </w:r>
      <w:proofErr w:type="gramEnd"/>
      <w:r>
        <w:rPr>
          <w:rFonts w:cs="Arial"/>
          <w:i/>
          <w:color w:val="1A1A1A"/>
          <w:szCs w:val="26"/>
        </w:rPr>
        <w:t xml:space="preserve"> children’s outcomes? A systematic review, </w:t>
      </w:r>
      <w:r>
        <w:t xml:space="preserve">York, Joseph </w:t>
      </w:r>
      <w:proofErr w:type="spellStart"/>
      <w:r>
        <w:t>Rowntree</w:t>
      </w:r>
      <w:proofErr w:type="spellEnd"/>
      <w:r>
        <w:t xml:space="preserve"> Foundation.</w:t>
      </w:r>
    </w:p>
    <w:p w:rsidR="007236A2" w:rsidRDefault="00F32642" w:rsidP="007236A2">
      <w:pPr>
        <w:spacing w:line="480" w:lineRule="auto"/>
        <w:ind w:left="720" w:hanging="720"/>
        <w:jc w:val="both"/>
        <w:rPr>
          <w:rFonts w:cs="Arial"/>
          <w:color w:val="1A1A1A"/>
          <w:szCs w:val="26"/>
        </w:rPr>
      </w:pPr>
      <w:proofErr w:type="spellStart"/>
      <w:proofErr w:type="gramStart"/>
      <w:r>
        <w:t>Cotta</w:t>
      </w:r>
      <w:r w:rsidR="0001509E" w:rsidRPr="00ED7FF6">
        <w:t>m</w:t>
      </w:r>
      <w:proofErr w:type="spellEnd"/>
      <w:r w:rsidR="0001509E" w:rsidRPr="00ED7FF6">
        <w:t>, H. (2011)</w:t>
      </w:r>
      <w:r w:rsidR="0001509E" w:rsidRPr="00ED7FF6">
        <w:rPr>
          <w:rFonts w:cs="Arial"/>
          <w:color w:val="1A1A1A"/>
        </w:rPr>
        <w:t xml:space="preserve"> ‘Relational welfare’, </w:t>
      </w:r>
      <w:r w:rsidR="0001509E" w:rsidRPr="00ED7FF6">
        <w:rPr>
          <w:rFonts w:cs="Arial"/>
          <w:i/>
          <w:iCs/>
          <w:color w:val="1A1A1A"/>
        </w:rPr>
        <w:t>Soundings</w:t>
      </w:r>
      <w:r w:rsidR="0001509E" w:rsidRPr="00ED7FF6">
        <w:rPr>
          <w:rFonts w:cs="Arial"/>
          <w:color w:val="1A1A1A"/>
        </w:rPr>
        <w:t xml:space="preserve">, </w:t>
      </w:r>
      <w:r w:rsidR="0001509E" w:rsidRPr="00ED7FF6">
        <w:rPr>
          <w:rFonts w:cs="Arial"/>
          <w:b/>
          <w:iCs/>
          <w:color w:val="1A1A1A"/>
        </w:rPr>
        <w:t>48</w:t>
      </w:r>
      <w:r w:rsidR="0001509E" w:rsidRPr="00ED7FF6">
        <w:rPr>
          <w:rFonts w:cs="Arial"/>
          <w:color w:val="1A1A1A"/>
        </w:rPr>
        <w:t>(1), pp.134-144.</w:t>
      </w:r>
      <w:proofErr w:type="gramEnd"/>
    </w:p>
    <w:p w:rsidR="006B5B5F" w:rsidRDefault="0001509E" w:rsidP="006B5B5F">
      <w:pPr>
        <w:spacing w:line="480" w:lineRule="auto"/>
        <w:ind w:left="720" w:hanging="720"/>
        <w:jc w:val="both"/>
        <w:rPr>
          <w:lang w:val="en-GB"/>
        </w:rPr>
      </w:pPr>
      <w:proofErr w:type="gramStart"/>
      <w:r>
        <w:rPr>
          <w:lang w:val="en-GB"/>
        </w:rPr>
        <w:t xml:space="preserve">Department of Health (DH) (2000) </w:t>
      </w:r>
      <w:r>
        <w:rPr>
          <w:i/>
          <w:lang w:val="en-GB"/>
        </w:rPr>
        <w:t xml:space="preserve">Framework for the Assessment of Children in Need and their Families, </w:t>
      </w:r>
      <w:r>
        <w:rPr>
          <w:lang w:val="en-GB"/>
        </w:rPr>
        <w:t>London, The Stationery Office.</w:t>
      </w:r>
      <w:proofErr w:type="gramEnd"/>
    </w:p>
    <w:p w:rsidR="006B5B5F" w:rsidRDefault="0001509E" w:rsidP="006B5B5F">
      <w:pPr>
        <w:spacing w:line="480" w:lineRule="auto"/>
        <w:ind w:left="720" w:hanging="720"/>
        <w:jc w:val="both"/>
        <w:rPr>
          <w:rFonts w:cs="Arial"/>
          <w:color w:val="1A1A1A"/>
          <w:szCs w:val="26"/>
        </w:rPr>
      </w:pPr>
      <w:r w:rsidRPr="00F52DA5">
        <w:rPr>
          <w:bCs/>
        </w:rPr>
        <w:t xml:space="preserve">Department of Health (DH) (2001) </w:t>
      </w:r>
      <w:r w:rsidRPr="00F52DA5">
        <w:rPr>
          <w:bCs/>
          <w:i/>
          <w:iCs/>
        </w:rPr>
        <w:t>Children Act Now: Messages from Research</w:t>
      </w:r>
      <w:r>
        <w:rPr>
          <w:bCs/>
          <w:iCs/>
        </w:rPr>
        <w:t>,</w:t>
      </w:r>
      <w:r w:rsidRPr="00F52DA5">
        <w:rPr>
          <w:bCs/>
        </w:rPr>
        <w:t xml:space="preserve"> London</w:t>
      </w:r>
      <w:r>
        <w:rPr>
          <w:bCs/>
        </w:rPr>
        <w:t xml:space="preserve">, </w:t>
      </w:r>
      <w:proofErr w:type="gramStart"/>
      <w:r w:rsidRPr="00F52DA5">
        <w:rPr>
          <w:bCs/>
        </w:rPr>
        <w:t>The</w:t>
      </w:r>
      <w:proofErr w:type="gramEnd"/>
      <w:r w:rsidRPr="00F52DA5">
        <w:rPr>
          <w:bCs/>
        </w:rPr>
        <w:t xml:space="preserve"> Stationery Office</w:t>
      </w:r>
      <w:r>
        <w:rPr>
          <w:bCs/>
        </w:rPr>
        <w:t>.</w:t>
      </w:r>
    </w:p>
    <w:p w:rsidR="0001509E" w:rsidRDefault="0001509E" w:rsidP="006B5B5F">
      <w:pPr>
        <w:spacing w:line="480" w:lineRule="auto"/>
        <w:ind w:left="720" w:hanging="720"/>
        <w:jc w:val="both"/>
        <w:rPr>
          <w:rFonts w:cs="Arial"/>
          <w:color w:val="1A1A1A"/>
          <w:szCs w:val="26"/>
        </w:rPr>
      </w:pPr>
      <w:proofErr w:type="spellStart"/>
      <w:r>
        <w:rPr>
          <w:rFonts w:cs="Arial"/>
          <w:color w:val="1A1A1A"/>
          <w:szCs w:val="26"/>
        </w:rPr>
        <w:t>Entwistle</w:t>
      </w:r>
      <w:proofErr w:type="spellEnd"/>
      <w:r>
        <w:rPr>
          <w:rFonts w:cs="Arial"/>
          <w:color w:val="1A1A1A"/>
          <w:szCs w:val="26"/>
        </w:rPr>
        <w:t>, V. A. and Watt, I. S. (2013) ‘</w:t>
      </w:r>
      <w:r w:rsidRPr="0007145F">
        <w:rPr>
          <w:rFonts w:cs="Arial"/>
          <w:color w:val="1A1A1A"/>
          <w:szCs w:val="26"/>
        </w:rPr>
        <w:t>Treating Patients as Persons: A Capabilities Approach to Support De</w:t>
      </w:r>
      <w:r>
        <w:rPr>
          <w:rFonts w:cs="Arial"/>
          <w:color w:val="1A1A1A"/>
          <w:szCs w:val="26"/>
        </w:rPr>
        <w:t>livery of Person-Centered Care’,</w:t>
      </w:r>
      <w:r w:rsidRPr="0007145F">
        <w:rPr>
          <w:rFonts w:cs="Arial"/>
          <w:color w:val="1A1A1A"/>
          <w:szCs w:val="26"/>
        </w:rPr>
        <w:t xml:space="preserve"> </w:t>
      </w:r>
      <w:r w:rsidRPr="0007145F">
        <w:rPr>
          <w:rFonts w:cs="Arial"/>
          <w:i/>
          <w:iCs/>
          <w:color w:val="1A1A1A"/>
          <w:szCs w:val="26"/>
        </w:rPr>
        <w:t>The American Journal of Bioethics</w:t>
      </w:r>
      <w:r w:rsidRPr="0007145F">
        <w:rPr>
          <w:rFonts w:cs="Arial"/>
          <w:color w:val="1A1A1A"/>
          <w:szCs w:val="26"/>
        </w:rPr>
        <w:t xml:space="preserve">, </w:t>
      </w:r>
      <w:r w:rsidRPr="000B4186">
        <w:rPr>
          <w:rFonts w:cs="Arial"/>
          <w:b/>
          <w:iCs/>
          <w:color w:val="1A1A1A"/>
          <w:szCs w:val="26"/>
        </w:rPr>
        <w:t>13</w:t>
      </w:r>
      <w:r w:rsidRPr="0007145F">
        <w:rPr>
          <w:rFonts w:cs="Arial"/>
          <w:color w:val="1A1A1A"/>
          <w:szCs w:val="26"/>
        </w:rPr>
        <w:t>(8)</w:t>
      </w:r>
      <w:proofErr w:type="gramStart"/>
      <w:r w:rsidRPr="0007145F">
        <w:rPr>
          <w:rFonts w:cs="Arial"/>
          <w:color w:val="1A1A1A"/>
          <w:szCs w:val="26"/>
        </w:rPr>
        <w:t xml:space="preserve">, </w:t>
      </w:r>
      <w:r>
        <w:rPr>
          <w:rFonts w:cs="Arial"/>
          <w:color w:val="1A1A1A"/>
          <w:szCs w:val="26"/>
        </w:rPr>
        <w:t xml:space="preserve"> pp</w:t>
      </w:r>
      <w:proofErr w:type="gramEnd"/>
      <w:r>
        <w:rPr>
          <w:rFonts w:cs="Arial"/>
          <w:color w:val="1A1A1A"/>
          <w:szCs w:val="26"/>
        </w:rPr>
        <w:t>. 28- 39.</w:t>
      </w:r>
    </w:p>
    <w:p w:rsidR="00FD00C3" w:rsidRPr="00FD00C3" w:rsidRDefault="00FB0DAA" w:rsidP="00FD00C3">
      <w:pPr>
        <w:widowControl w:val="0"/>
        <w:numPr>
          <w:ilvl w:val="0"/>
          <w:numId w:val="2"/>
        </w:numPr>
        <w:tabs>
          <w:tab w:val="left" w:pos="220"/>
          <w:tab w:val="left" w:pos="720"/>
        </w:tabs>
        <w:autoSpaceDE w:val="0"/>
        <w:autoSpaceDN w:val="0"/>
        <w:adjustRightInd w:val="0"/>
        <w:spacing w:line="480" w:lineRule="auto"/>
        <w:ind w:hanging="720"/>
        <w:jc w:val="both"/>
        <w:rPr>
          <w:rFonts w:cs="Verdana"/>
        </w:rPr>
      </w:pPr>
      <w:r w:rsidRPr="00012146">
        <w:rPr>
          <w:rFonts w:cs="Verdana"/>
          <w:bCs/>
        </w:rPr>
        <w:t>Featherstone</w:t>
      </w:r>
      <w:r w:rsidRPr="00012146">
        <w:rPr>
          <w:rFonts w:cs="Verdana"/>
        </w:rPr>
        <w:t xml:space="preserve">, </w:t>
      </w:r>
      <w:r>
        <w:rPr>
          <w:rFonts w:cs="Verdana"/>
        </w:rPr>
        <w:t xml:space="preserve">B., </w:t>
      </w:r>
      <w:proofErr w:type="spellStart"/>
      <w:r w:rsidRPr="00012146">
        <w:rPr>
          <w:rFonts w:cs="Verdana"/>
        </w:rPr>
        <w:t>Broadhurst</w:t>
      </w:r>
      <w:proofErr w:type="spellEnd"/>
      <w:r w:rsidRPr="00012146">
        <w:rPr>
          <w:rFonts w:cs="Verdana"/>
        </w:rPr>
        <w:t xml:space="preserve">, </w:t>
      </w:r>
      <w:r>
        <w:rPr>
          <w:rFonts w:cs="Verdana"/>
        </w:rPr>
        <w:t xml:space="preserve">K. </w:t>
      </w:r>
      <w:r w:rsidRPr="00012146">
        <w:rPr>
          <w:rFonts w:cs="Verdana"/>
        </w:rPr>
        <w:t>and Holt</w:t>
      </w:r>
      <w:r>
        <w:rPr>
          <w:rFonts w:cs="Verdana"/>
        </w:rPr>
        <w:t>, K. (2012) ‘</w:t>
      </w:r>
      <w:r w:rsidRPr="00FB0DAA">
        <w:rPr>
          <w:rFonts w:cs="Verdana"/>
          <w:bCs/>
        </w:rPr>
        <w:t>Thinking Systemically—Thinking Politically: Building Strong Partnerships with Children and Families in the Context of Rising Inequality</w:t>
      </w:r>
      <w:r>
        <w:rPr>
          <w:rFonts w:cs="Verdana"/>
        </w:rPr>
        <w:t xml:space="preserve">’, </w:t>
      </w:r>
      <w:r w:rsidRPr="00A87948">
        <w:rPr>
          <w:rFonts w:cs="Arial"/>
          <w:i/>
          <w:iCs/>
          <w:color w:val="1A1A1A"/>
          <w:szCs w:val="26"/>
        </w:rPr>
        <w:t>British Journal of Social Work</w:t>
      </w:r>
      <w:r>
        <w:rPr>
          <w:rFonts w:cs="Verdana"/>
        </w:rPr>
        <w:t xml:space="preserve">, </w:t>
      </w:r>
      <w:r w:rsidRPr="00FB0DAA">
        <w:rPr>
          <w:rFonts w:cs="Verdana"/>
          <w:b/>
        </w:rPr>
        <w:t>42</w:t>
      </w:r>
      <w:r>
        <w:rPr>
          <w:rFonts w:cs="Verdana"/>
        </w:rPr>
        <w:t xml:space="preserve"> (4), pp.</w:t>
      </w:r>
      <w:r w:rsidRPr="00FB0DAA">
        <w:rPr>
          <w:rFonts w:cs="Verdana"/>
        </w:rPr>
        <w:t xml:space="preserve"> 618-633</w:t>
      </w:r>
      <w:r>
        <w:rPr>
          <w:rFonts w:cs="Verdana"/>
        </w:rPr>
        <w:t>.</w:t>
      </w:r>
      <w:bookmarkStart w:id="0" w:name="_GoBack"/>
      <w:bookmarkEnd w:id="0"/>
    </w:p>
    <w:p w:rsidR="00FD00C3" w:rsidRPr="00FD00C3" w:rsidRDefault="00FD00C3" w:rsidP="00FD00C3">
      <w:pPr>
        <w:widowControl w:val="0"/>
        <w:tabs>
          <w:tab w:val="left" w:pos="220"/>
          <w:tab w:val="left" w:pos="720"/>
        </w:tabs>
        <w:autoSpaceDE w:val="0"/>
        <w:autoSpaceDN w:val="0"/>
        <w:adjustRightInd w:val="0"/>
        <w:spacing w:line="480" w:lineRule="auto"/>
        <w:ind w:left="737" w:hanging="737"/>
        <w:jc w:val="both"/>
        <w:rPr>
          <w:rFonts w:cs="Verdana"/>
        </w:rPr>
      </w:pPr>
      <w:r>
        <w:rPr>
          <w:rFonts w:cs="Verdana"/>
        </w:rPr>
        <w:t xml:space="preserve">Featherstone, B., White, S. and Morris, K. (2014) </w:t>
      </w:r>
      <w:r>
        <w:rPr>
          <w:rFonts w:cs="Verdana"/>
          <w:i/>
        </w:rPr>
        <w:t xml:space="preserve">Re-imagining Child Protection, </w:t>
      </w:r>
      <w:r>
        <w:rPr>
          <w:rFonts w:cs="Verdana"/>
        </w:rPr>
        <w:t>Bristol, Policy Press.</w:t>
      </w:r>
    </w:p>
    <w:p w:rsidR="006B5B5F" w:rsidRDefault="0001509E" w:rsidP="006B5B5F">
      <w:pPr>
        <w:widowControl w:val="0"/>
        <w:numPr>
          <w:ilvl w:val="0"/>
          <w:numId w:val="2"/>
        </w:numPr>
        <w:tabs>
          <w:tab w:val="left" w:pos="220"/>
          <w:tab w:val="left" w:pos="720"/>
        </w:tabs>
        <w:autoSpaceDE w:val="0"/>
        <w:autoSpaceDN w:val="0"/>
        <w:adjustRightInd w:val="0"/>
        <w:spacing w:line="480" w:lineRule="auto"/>
        <w:ind w:hanging="720"/>
        <w:jc w:val="both"/>
        <w:rPr>
          <w:rFonts w:cs="Verdana"/>
        </w:rPr>
      </w:pPr>
      <w:r w:rsidRPr="006B5B5F">
        <w:rPr>
          <w:rFonts w:cs="Arial"/>
        </w:rPr>
        <w:t xml:space="preserve">Field, F. (2010) </w:t>
      </w:r>
      <w:r w:rsidRPr="006B5B5F">
        <w:rPr>
          <w:i/>
        </w:rPr>
        <w:t xml:space="preserve">The Foundation Years: Preventing poor children becoming poor adults, </w:t>
      </w:r>
      <w:r w:rsidRPr="006B5B5F">
        <w:t>London</w:t>
      </w:r>
      <w:r w:rsidR="00E331A7" w:rsidRPr="006B5B5F">
        <w:t>,</w:t>
      </w:r>
      <w:r w:rsidRPr="006B5B5F">
        <w:t xml:space="preserve"> Cabinet Office</w:t>
      </w:r>
      <w:r w:rsidR="00E331A7" w:rsidRPr="006B5B5F">
        <w:t>.</w:t>
      </w:r>
    </w:p>
    <w:p w:rsidR="006B5B5F" w:rsidRDefault="0001509E" w:rsidP="006B5B5F">
      <w:pPr>
        <w:widowControl w:val="0"/>
        <w:numPr>
          <w:ilvl w:val="0"/>
          <w:numId w:val="2"/>
        </w:numPr>
        <w:tabs>
          <w:tab w:val="left" w:pos="220"/>
          <w:tab w:val="left" w:pos="720"/>
        </w:tabs>
        <w:autoSpaceDE w:val="0"/>
        <w:autoSpaceDN w:val="0"/>
        <w:adjustRightInd w:val="0"/>
        <w:spacing w:line="480" w:lineRule="auto"/>
        <w:ind w:hanging="720"/>
        <w:jc w:val="both"/>
        <w:rPr>
          <w:rFonts w:cs="Verdana"/>
        </w:rPr>
      </w:pPr>
      <w:proofErr w:type="spellStart"/>
      <w:r w:rsidRPr="006B5B5F">
        <w:rPr>
          <w:color w:val="000000"/>
        </w:rPr>
        <w:t>Ghate</w:t>
      </w:r>
      <w:proofErr w:type="spellEnd"/>
      <w:r w:rsidRPr="006B5B5F">
        <w:rPr>
          <w:color w:val="000000"/>
        </w:rPr>
        <w:t xml:space="preserve">, D. and Hazel, N. (2002) </w:t>
      </w:r>
      <w:r w:rsidRPr="006B5B5F">
        <w:rPr>
          <w:i/>
          <w:iCs/>
          <w:color w:val="000000"/>
        </w:rPr>
        <w:t xml:space="preserve">Parenting in Poor Environments: Stress, support and coping, </w:t>
      </w:r>
      <w:r w:rsidRPr="006B5B5F">
        <w:rPr>
          <w:color w:val="000000"/>
        </w:rPr>
        <w:t>London, JKP.</w:t>
      </w:r>
    </w:p>
    <w:p w:rsidR="006B5B5F" w:rsidRDefault="0001509E" w:rsidP="006B5B5F">
      <w:pPr>
        <w:widowControl w:val="0"/>
        <w:numPr>
          <w:ilvl w:val="0"/>
          <w:numId w:val="2"/>
        </w:numPr>
        <w:tabs>
          <w:tab w:val="left" w:pos="220"/>
          <w:tab w:val="left" w:pos="720"/>
        </w:tabs>
        <w:autoSpaceDE w:val="0"/>
        <w:autoSpaceDN w:val="0"/>
        <w:adjustRightInd w:val="0"/>
        <w:spacing w:line="480" w:lineRule="auto"/>
        <w:ind w:hanging="720"/>
        <w:jc w:val="both"/>
        <w:rPr>
          <w:rFonts w:cs="Verdana"/>
        </w:rPr>
      </w:pPr>
      <w:proofErr w:type="spellStart"/>
      <w:r w:rsidRPr="006B5B5F">
        <w:rPr>
          <w:rFonts w:cs="Arial"/>
          <w:color w:val="1A1A1A"/>
          <w:szCs w:val="26"/>
        </w:rPr>
        <w:t>Giullari</w:t>
      </w:r>
      <w:proofErr w:type="spellEnd"/>
      <w:r w:rsidRPr="006B5B5F">
        <w:rPr>
          <w:rFonts w:cs="Arial"/>
          <w:color w:val="1A1A1A"/>
          <w:szCs w:val="26"/>
        </w:rPr>
        <w:t>, S., and Lewis, J. (2005) ‘</w:t>
      </w:r>
      <w:proofErr w:type="gramStart"/>
      <w:r w:rsidRPr="006B5B5F">
        <w:rPr>
          <w:rFonts w:cs="Arial"/>
          <w:color w:val="1A1A1A"/>
          <w:szCs w:val="26"/>
        </w:rPr>
        <w:t>The</w:t>
      </w:r>
      <w:proofErr w:type="gramEnd"/>
      <w:r w:rsidRPr="006B5B5F">
        <w:rPr>
          <w:rFonts w:cs="Arial"/>
          <w:color w:val="1A1A1A"/>
          <w:szCs w:val="26"/>
        </w:rPr>
        <w:t xml:space="preserve"> adult worker model family, gender equality and care: The search for new policy principles and the possibilities and probl</w:t>
      </w:r>
      <w:r w:rsidR="00E331A7" w:rsidRPr="006B5B5F">
        <w:rPr>
          <w:rFonts w:cs="Arial"/>
          <w:color w:val="1A1A1A"/>
          <w:szCs w:val="26"/>
        </w:rPr>
        <w:t>ems of a capabilities approach’,</w:t>
      </w:r>
      <w:r w:rsidRPr="006B5B5F">
        <w:rPr>
          <w:rFonts w:cs="Arial"/>
          <w:color w:val="1A1A1A"/>
          <w:szCs w:val="26"/>
        </w:rPr>
        <w:t xml:space="preserve"> </w:t>
      </w:r>
      <w:r w:rsidRPr="006B5B5F">
        <w:rPr>
          <w:rFonts w:cs="Arial"/>
          <w:i/>
          <w:iCs/>
          <w:color w:val="1A1A1A"/>
          <w:szCs w:val="26"/>
        </w:rPr>
        <w:t xml:space="preserve">Economy and Society, </w:t>
      </w:r>
      <w:r w:rsidRPr="006B5B5F">
        <w:rPr>
          <w:rFonts w:cs="Arial"/>
          <w:b/>
          <w:iCs/>
          <w:color w:val="1A1A1A"/>
          <w:szCs w:val="26"/>
        </w:rPr>
        <w:t xml:space="preserve">34, </w:t>
      </w:r>
      <w:r w:rsidRPr="006B5B5F">
        <w:rPr>
          <w:rFonts w:cs="Arial"/>
          <w:iCs/>
          <w:color w:val="1A1A1A"/>
          <w:szCs w:val="26"/>
        </w:rPr>
        <w:t>pp. 76 -104.</w:t>
      </w:r>
    </w:p>
    <w:p w:rsidR="006B5B5F" w:rsidRDefault="00D17109" w:rsidP="006B5B5F">
      <w:pPr>
        <w:widowControl w:val="0"/>
        <w:numPr>
          <w:ilvl w:val="0"/>
          <w:numId w:val="2"/>
        </w:numPr>
        <w:tabs>
          <w:tab w:val="left" w:pos="220"/>
          <w:tab w:val="left" w:pos="720"/>
        </w:tabs>
        <w:autoSpaceDE w:val="0"/>
        <w:autoSpaceDN w:val="0"/>
        <w:adjustRightInd w:val="0"/>
        <w:spacing w:line="480" w:lineRule="auto"/>
        <w:ind w:hanging="720"/>
        <w:jc w:val="both"/>
        <w:rPr>
          <w:rFonts w:cs="Verdana"/>
        </w:rPr>
      </w:pPr>
      <w:r w:rsidRPr="006B5B5F">
        <w:rPr>
          <w:bCs/>
          <w:szCs w:val="18"/>
        </w:rPr>
        <w:t>Glover,</w:t>
      </w:r>
      <w:r w:rsidR="00E331A7" w:rsidRPr="006B5B5F">
        <w:rPr>
          <w:bCs/>
          <w:szCs w:val="18"/>
        </w:rPr>
        <w:t xml:space="preserve"> </w:t>
      </w:r>
      <w:r w:rsidRPr="006B5B5F">
        <w:rPr>
          <w:bCs/>
          <w:szCs w:val="18"/>
        </w:rPr>
        <w:t xml:space="preserve">V. (2011) </w:t>
      </w:r>
      <w:r w:rsidR="00E331A7" w:rsidRPr="006B5B5F">
        <w:rPr>
          <w:bCs/>
          <w:szCs w:val="18"/>
        </w:rPr>
        <w:t>‘</w:t>
      </w:r>
      <w:r w:rsidRPr="006B5B5F">
        <w:rPr>
          <w:bCs/>
          <w:szCs w:val="18"/>
        </w:rPr>
        <w:t>Annual research review: Prenatal stress and the origins of psychopathology: An evolutionary perspective</w:t>
      </w:r>
      <w:r w:rsidR="00E331A7" w:rsidRPr="006B5B5F">
        <w:rPr>
          <w:bCs/>
          <w:szCs w:val="18"/>
        </w:rPr>
        <w:t xml:space="preserve">’, </w:t>
      </w:r>
      <w:r w:rsidRPr="006B5B5F">
        <w:rPr>
          <w:bCs/>
          <w:i/>
          <w:szCs w:val="18"/>
        </w:rPr>
        <w:t>Journal of Child Psychology and Psychiat</w:t>
      </w:r>
      <w:r w:rsidRPr="006B5B5F">
        <w:rPr>
          <w:bCs/>
          <w:szCs w:val="18"/>
        </w:rPr>
        <w:t>ry</w:t>
      </w:r>
      <w:r w:rsidR="00E331A7" w:rsidRPr="006B5B5F">
        <w:rPr>
          <w:b/>
          <w:bCs/>
          <w:szCs w:val="18"/>
        </w:rPr>
        <w:t>, 52,</w:t>
      </w:r>
      <w:r w:rsidR="00E331A7" w:rsidRPr="006B5B5F">
        <w:rPr>
          <w:bCs/>
          <w:szCs w:val="18"/>
        </w:rPr>
        <w:t xml:space="preserve"> pp.</w:t>
      </w:r>
      <w:r w:rsidRPr="006B5B5F">
        <w:rPr>
          <w:bCs/>
          <w:szCs w:val="18"/>
        </w:rPr>
        <w:t xml:space="preserve"> 4356-67</w:t>
      </w:r>
      <w:r w:rsidR="00E331A7" w:rsidRPr="006B5B5F">
        <w:rPr>
          <w:bCs/>
          <w:szCs w:val="18"/>
        </w:rPr>
        <w:t>.</w:t>
      </w:r>
    </w:p>
    <w:p w:rsidR="006B5B5F" w:rsidRPr="00C400EF" w:rsidRDefault="00F43D8B" w:rsidP="008319B8">
      <w:pPr>
        <w:widowControl w:val="0"/>
        <w:numPr>
          <w:ilvl w:val="0"/>
          <w:numId w:val="2"/>
        </w:numPr>
        <w:tabs>
          <w:tab w:val="left" w:pos="220"/>
          <w:tab w:val="left" w:pos="720"/>
        </w:tabs>
        <w:autoSpaceDE w:val="0"/>
        <w:autoSpaceDN w:val="0"/>
        <w:adjustRightInd w:val="0"/>
        <w:spacing w:line="480" w:lineRule="auto"/>
        <w:ind w:hanging="720"/>
        <w:jc w:val="both"/>
        <w:rPr>
          <w:rFonts w:cs="Verdana"/>
        </w:rPr>
      </w:pPr>
      <w:r w:rsidRPr="00F43D8B">
        <w:t xml:space="preserve">Gove, M. (2012) </w:t>
      </w:r>
      <w:r w:rsidRPr="006B5B5F">
        <w:rPr>
          <w:bCs/>
          <w:i/>
        </w:rPr>
        <w:t xml:space="preserve">The failure of child protection and the need for a fresh start, </w:t>
      </w:r>
      <w:r w:rsidRPr="00F43D8B">
        <w:t xml:space="preserve">Education Secretary speech on child protection on 19th November at the </w:t>
      </w:r>
      <w:r w:rsidRPr="00C400EF">
        <w:t>Institute of Public Policy Research,</w:t>
      </w:r>
    </w:p>
    <w:p w:rsidR="008319B8" w:rsidRPr="00FF4298" w:rsidRDefault="00752B98" w:rsidP="006B5B5F">
      <w:pPr>
        <w:widowControl w:val="0"/>
        <w:numPr>
          <w:ilvl w:val="7"/>
          <w:numId w:val="2"/>
        </w:numPr>
        <w:tabs>
          <w:tab w:val="left" w:pos="220"/>
          <w:tab w:val="left" w:pos="720"/>
        </w:tabs>
        <w:autoSpaceDE w:val="0"/>
        <w:autoSpaceDN w:val="0"/>
        <w:adjustRightInd w:val="0"/>
        <w:spacing w:line="480" w:lineRule="auto"/>
        <w:ind w:hanging="720"/>
        <w:jc w:val="both"/>
        <w:rPr>
          <w:rFonts w:cs="Verdana"/>
        </w:rPr>
      </w:pPr>
      <w:hyperlink r:id="rId8" w:history="1">
        <w:r w:rsidR="00F43D8B" w:rsidRPr="00C400EF">
          <w:rPr>
            <w:rStyle w:val="Hyperlink"/>
            <w:color w:val="auto"/>
          </w:rPr>
          <w:t>https://www.gov.uk/government/speeches/the-failure-of-child-protection-and-the-need-for-a-fresh-start</w:t>
        </w:r>
      </w:hyperlink>
    </w:p>
    <w:p w:rsidR="008319B8" w:rsidRDefault="0001509E" w:rsidP="008319B8">
      <w:pPr>
        <w:widowControl w:val="0"/>
        <w:tabs>
          <w:tab w:val="left" w:pos="220"/>
          <w:tab w:val="left" w:pos="720"/>
        </w:tabs>
        <w:autoSpaceDE w:val="0"/>
        <w:autoSpaceDN w:val="0"/>
        <w:adjustRightInd w:val="0"/>
        <w:spacing w:line="480" w:lineRule="auto"/>
        <w:ind w:left="737" w:hanging="737"/>
        <w:jc w:val="both"/>
        <w:rPr>
          <w:rFonts w:cs="Verdana"/>
        </w:rPr>
      </w:pPr>
      <w:r w:rsidRPr="006B5B5F">
        <w:rPr>
          <w:rFonts w:cs="Arial"/>
          <w:color w:val="1A1A1A"/>
        </w:rPr>
        <w:t xml:space="preserve">Grover, C. and Mason, C. (2013) ‘The Allen Report: class, gender and disadvantage’, </w:t>
      </w:r>
      <w:r w:rsidRPr="006B5B5F">
        <w:rPr>
          <w:rFonts w:cs="Arial"/>
          <w:i/>
          <w:iCs/>
          <w:color w:val="1A1A1A"/>
        </w:rPr>
        <w:t>Families, Relationships and Societies</w:t>
      </w:r>
      <w:r w:rsidRPr="006B5B5F">
        <w:rPr>
          <w:rFonts w:cs="Arial"/>
          <w:color w:val="1A1A1A"/>
        </w:rPr>
        <w:t xml:space="preserve">, </w:t>
      </w:r>
      <w:r w:rsidRPr="006B5B5F">
        <w:rPr>
          <w:rFonts w:cs="Arial"/>
          <w:b/>
          <w:iCs/>
          <w:color w:val="1A1A1A"/>
        </w:rPr>
        <w:t>2</w:t>
      </w:r>
      <w:r w:rsidRPr="006B5B5F">
        <w:rPr>
          <w:rFonts w:cs="Arial"/>
          <w:color w:val="1A1A1A"/>
        </w:rPr>
        <w:t>(3), pp. 355-369.</w:t>
      </w:r>
    </w:p>
    <w:p w:rsidR="008319B8" w:rsidRDefault="0001509E" w:rsidP="008319B8">
      <w:pPr>
        <w:widowControl w:val="0"/>
        <w:tabs>
          <w:tab w:val="left" w:pos="220"/>
          <w:tab w:val="left" w:pos="720"/>
        </w:tabs>
        <w:autoSpaceDE w:val="0"/>
        <w:autoSpaceDN w:val="0"/>
        <w:adjustRightInd w:val="0"/>
        <w:spacing w:line="480" w:lineRule="auto"/>
        <w:ind w:left="737" w:hanging="737"/>
        <w:jc w:val="both"/>
        <w:rPr>
          <w:rFonts w:cs="Verdana"/>
        </w:rPr>
      </w:pPr>
      <w:r>
        <w:rPr>
          <w:rFonts w:cs="Times New Roman"/>
          <w:lang w:val="en-GB" w:eastAsia="en-GB"/>
        </w:rPr>
        <w:t>Hall, C., Parton, N.,</w:t>
      </w:r>
      <w:r w:rsidRPr="007A45AA">
        <w:rPr>
          <w:rFonts w:cs="Times New Roman"/>
          <w:lang w:val="en-GB" w:eastAsia="en-GB"/>
        </w:rPr>
        <w:t xml:space="preserve"> </w:t>
      </w:r>
      <w:proofErr w:type="spellStart"/>
      <w:r w:rsidRPr="007A45AA">
        <w:rPr>
          <w:rFonts w:cs="Times New Roman"/>
          <w:lang w:val="en-GB" w:eastAsia="en-GB"/>
        </w:rPr>
        <w:t>Peckover</w:t>
      </w:r>
      <w:proofErr w:type="spellEnd"/>
      <w:r w:rsidRPr="007A45AA">
        <w:rPr>
          <w:rFonts w:cs="Times New Roman"/>
          <w:lang w:val="en-GB" w:eastAsia="en-GB"/>
        </w:rPr>
        <w:t xml:space="preserve">, S. and White, S. (2010) </w:t>
      </w:r>
      <w:r>
        <w:rPr>
          <w:rFonts w:cs="Times New Roman"/>
          <w:lang w:val="en-GB" w:eastAsia="en-GB"/>
        </w:rPr>
        <w:t>‘</w:t>
      </w:r>
      <w:r w:rsidRPr="007A45AA">
        <w:rPr>
          <w:rFonts w:cs="Times New Roman"/>
        </w:rPr>
        <w:t>Child-centric ICTs and the fragmentation of child welfare practice in England</w:t>
      </w:r>
      <w:r>
        <w:rPr>
          <w:rFonts w:cs="Times New Roman"/>
        </w:rPr>
        <w:t>’</w:t>
      </w:r>
      <w:r w:rsidRPr="007A45AA">
        <w:rPr>
          <w:rFonts w:cs="Times New Roman"/>
        </w:rPr>
        <w:t xml:space="preserve">, </w:t>
      </w:r>
      <w:r w:rsidRPr="007A45AA">
        <w:rPr>
          <w:rFonts w:cs="Times New Roman"/>
          <w:i/>
        </w:rPr>
        <w:t>Journal of Social Policy</w:t>
      </w:r>
      <w:r w:rsidR="00E331A7">
        <w:rPr>
          <w:rFonts w:cs="Times New Roman"/>
        </w:rPr>
        <w:t xml:space="preserve">, </w:t>
      </w:r>
      <w:r w:rsidRPr="007A45AA">
        <w:rPr>
          <w:rFonts w:cs="Times New Roman"/>
          <w:b/>
        </w:rPr>
        <w:t>39</w:t>
      </w:r>
      <w:r>
        <w:rPr>
          <w:rFonts w:cs="Times New Roman"/>
        </w:rPr>
        <w:t>(3)</w:t>
      </w:r>
      <w:r w:rsidR="00E331A7">
        <w:rPr>
          <w:rFonts w:cs="Times New Roman"/>
        </w:rPr>
        <w:t xml:space="preserve">, </w:t>
      </w:r>
      <w:r>
        <w:rPr>
          <w:rFonts w:cs="Times New Roman"/>
        </w:rPr>
        <w:t xml:space="preserve">pp. </w:t>
      </w:r>
      <w:r w:rsidRPr="007A45AA">
        <w:rPr>
          <w:rFonts w:cs="Times New Roman"/>
        </w:rPr>
        <w:t>393–413</w:t>
      </w:r>
      <w:r>
        <w:rPr>
          <w:rFonts w:cs="Times New Roman"/>
        </w:rPr>
        <w:t>.</w:t>
      </w:r>
    </w:p>
    <w:p w:rsidR="008319B8" w:rsidRDefault="0001509E" w:rsidP="008319B8">
      <w:pPr>
        <w:widowControl w:val="0"/>
        <w:tabs>
          <w:tab w:val="left" w:pos="220"/>
          <w:tab w:val="left" w:pos="720"/>
        </w:tabs>
        <w:autoSpaceDE w:val="0"/>
        <w:autoSpaceDN w:val="0"/>
        <w:adjustRightInd w:val="0"/>
        <w:spacing w:line="480" w:lineRule="auto"/>
        <w:ind w:left="737" w:hanging="737"/>
        <w:jc w:val="both"/>
        <w:rPr>
          <w:rFonts w:cs="Arial"/>
          <w:color w:val="1A1A1A"/>
          <w:szCs w:val="26"/>
        </w:rPr>
      </w:pPr>
      <w:r>
        <w:rPr>
          <w:rFonts w:cs="Arial"/>
          <w:color w:val="1A1A1A"/>
          <w:szCs w:val="26"/>
        </w:rPr>
        <w:t>Hick, R. (2012)</w:t>
      </w:r>
      <w:r w:rsidRPr="00B95AB5">
        <w:rPr>
          <w:rFonts w:cs="Arial"/>
          <w:color w:val="1A1A1A"/>
          <w:szCs w:val="26"/>
        </w:rPr>
        <w:t xml:space="preserve"> </w:t>
      </w:r>
      <w:r>
        <w:rPr>
          <w:rFonts w:cs="Arial"/>
          <w:color w:val="1A1A1A"/>
          <w:szCs w:val="26"/>
        </w:rPr>
        <w:t>‘</w:t>
      </w:r>
      <w:proofErr w:type="gramStart"/>
      <w:r w:rsidRPr="00B95AB5">
        <w:rPr>
          <w:rFonts w:cs="Arial"/>
          <w:color w:val="1A1A1A"/>
          <w:szCs w:val="26"/>
        </w:rPr>
        <w:t>The</w:t>
      </w:r>
      <w:proofErr w:type="gramEnd"/>
      <w:r w:rsidRPr="00B95AB5">
        <w:rPr>
          <w:rFonts w:cs="Arial"/>
          <w:color w:val="1A1A1A"/>
          <w:szCs w:val="26"/>
        </w:rPr>
        <w:t xml:space="preserve"> capability approach: insights for a new poverty focus</w:t>
      </w:r>
      <w:r>
        <w:rPr>
          <w:rFonts w:cs="Arial"/>
          <w:color w:val="1A1A1A"/>
          <w:szCs w:val="26"/>
        </w:rPr>
        <w:t xml:space="preserve">’, </w:t>
      </w:r>
      <w:r>
        <w:rPr>
          <w:rFonts w:cs="Arial"/>
          <w:i/>
          <w:iCs/>
          <w:color w:val="1A1A1A"/>
          <w:szCs w:val="26"/>
        </w:rPr>
        <w:t>Journal of Social P</w:t>
      </w:r>
      <w:r w:rsidRPr="00B95AB5">
        <w:rPr>
          <w:rFonts w:cs="Arial"/>
          <w:i/>
          <w:iCs/>
          <w:color w:val="1A1A1A"/>
          <w:szCs w:val="26"/>
        </w:rPr>
        <w:t>olicy</w:t>
      </w:r>
      <w:r w:rsidRPr="00B95AB5">
        <w:rPr>
          <w:rFonts w:cs="Arial"/>
          <w:color w:val="1A1A1A"/>
          <w:szCs w:val="26"/>
        </w:rPr>
        <w:t xml:space="preserve">, </w:t>
      </w:r>
      <w:r w:rsidRPr="000B4186">
        <w:rPr>
          <w:rFonts w:cs="Arial"/>
          <w:b/>
          <w:iCs/>
          <w:color w:val="1A1A1A"/>
          <w:szCs w:val="26"/>
        </w:rPr>
        <w:t>41</w:t>
      </w:r>
      <w:r w:rsidRPr="00B95AB5">
        <w:rPr>
          <w:rFonts w:cs="Arial"/>
          <w:color w:val="1A1A1A"/>
          <w:szCs w:val="26"/>
        </w:rPr>
        <w:t xml:space="preserve">(2), </w:t>
      </w:r>
      <w:r>
        <w:rPr>
          <w:rFonts w:cs="Arial"/>
          <w:color w:val="1A1A1A"/>
          <w:szCs w:val="26"/>
        </w:rPr>
        <w:t xml:space="preserve">pp. </w:t>
      </w:r>
      <w:r w:rsidRPr="00B95AB5">
        <w:rPr>
          <w:rFonts w:cs="Arial"/>
          <w:color w:val="1A1A1A"/>
          <w:szCs w:val="26"/>
        </w:rPr>
        <w:t>291-308.</w:t>
      </w:r>
    </w:p>
    <w:p w:rsidR="00C00CA0" w:rsidRDefault="00C00CA0" w:rsidP="00C00CA0">
      <w:pPr>
        <w:widowControl w:val="0"/>
        <w:tabs>
          <w:tab w:val="left" w:pos="220"/>
          <w:tab w:val="left" w:pos="720"/>
        </w:tabs>
        <w:autoSpaceDE w:val="0"/>
        <w:autoSpaceDN w:val="0"/>
        <w:adjustRightInd w:val="0"/>
        <w:spacing w:line="480" w:lineRule="auto"/>
        <w:ind w:left="737" w:hanging="737"/>
        <w:jc w:val="both"/>
        <w:rPr>
          <w:rFonts w:cs="Arial"/>
          <w:color w:val="1A1A1A"/>
          <w:szCs w:val="26"/>
        </w:rPr>
      </w:pPr>
      <w:proofErr w:type="gramStart"/>
      <w:r w:rsidRPr="00C00CA0">
        <w:rPr>
          <w:rFonts w:cs="Arial"/>
          <w:color w:val="1A1A1A"/>
          <w:szCs w:val="26"/>
        </w:rPr>
        <w:t>HM Government (2013)</w:t>
      </w:r>
      <w:r>
        <w:rPr>
          <w:rFonts w:cs="Arial"/>
          <w:color w:val="1A1A1A"/>
          <w:szCs w:val="26"/>
        </w:rPr>
        <w:t xml:space="preserve"> </w:t>
      </w:r>
      <w:r w:rsidRPr="00C00CA0">
        <w:rPr>
          <w:rFonts w:cs="Arial"/>
          <w:i/>
          <w:color w:val="1A1A1A"/>
          <w:szCs w:val="26"/>
        </w:rPr>
        <w:t>Working</w:t>
      </w:r>
      <w:r>
        <w:rPr>
          <w:rFonts w:cs="Arial"/>
          <w:i/>
          <w:color w:val="1A1A1A"/>
          <w:szCs w:val="26"/>
        </w:rPr>
        <w:t xml:space="preserve"> Together to Safeguard Children,</w:t>
      </w:r>
      <w:r w:rsidRPr="00C00CA0">
        <w:rPr>
          <w:rFonts w:cs="Arial"/>
          <w:i/>
          <w:color w:val="1A1A1A"/>
          <w:szCs w:val="26"/>
        </w:rPr>
        <w:t xml:space="preserve"> </w:t>
      </w:r>
      <w:r w:rsidRPr="00C00CA0">
        <w:rPr>
          <w:rFonts w:cs="Arial"/>
          <w:color w:val="1A1A1A"/>
          <w:szCs w:val="26"/>
        </w:rPr>
        <w:t>London</w:t>
      </w:r>
      <w:r>
        <w:rPr>
          <w:rFonts w:cs="Arial"/>
          <w:color w:val="1A1A1A"/>
          <w:szCs w:val="26"/>
        </w:rPr>
        <w:t>, Department for Education.</w:t>
      </w:r>
      <w:proofErr w:type="gramEnd"/>
    </w:p>
    <w:p w:rsidR="008319B8" w:rsidRDefault="0001509E" w:rsidP="008319B8">
      <w:pPr>
        <w:widowControl w:val="0"/>
        <w:tabs>
          <w:tab w:val="left" w:pos="220"/>
          <w:tab w:val="left" w:pos="720"/>
        </w:tabs>
        <w:autoSpaceDE w:val="0"/>
        <w:autoSpaceDN w:val="0"/>
        <w:adjustRightInd w:val="0"/>
        <w:spacing w:line="480" w:lineRule="auto"/>
        <w:ind w:left="737" w:hanging="737"/>
        <w:jc w:val="both"/>
        <w:rPr>
          <w:rFonts w:cs="Verdana"/>
        </w:rPr>
      </w:pPr>
      <w:r w:rsidRPr="00CA681D">
        <w:rPr>
          <w:rFonts w:cs="Arial"/>
          <w:color w:val="1A1A1A"/>
        </w:rPr>
        <w:t xml:space="preserve">Hooper, C., </w:t>
      </w:r>
      <w:proofErr w:type="spellStart"/>
      <w:r w:rsidRPr="00CA681D">
        <w:rPr>
          <w:rFonts w:cs="Arial"/>
          <w:color w:val="1A1A1A"/>
        </w:rPr>
        <w:t>Gorin</w:t>
      </w:r>
      <w:proofErr w:type="spellEnd"/>
      <w:r w:rsidRPr="00CA681D">
        <w:rPr>
          <w:rFonts w:cs="Arial"/>
          <w:color w:val="1A1A1A"/>
        </w:rPr>
        <w:t xml:space="preserve">, S., Cabral, C. and Dyson, C. (2007) </w:t>
      </w:r>
      <w:proofErr w:type="gramStart"/>
      <w:r w:rsidRPr="00CA681D">
        <w:rPr>
          <w:rFonts w:cs="Arial"/>
          <w:i/>
          <w:color w:val="1A1A1A"/>
        </w:rPr>
        <w:t>Living</w:t>
      </w:r>
      <w:proofErr w:type="gramEnd"/>
      <w:r w:rsidRPr="00CA681D">
        <w:rPr>
          <w:rFonts w:cs="Arial"/>
          <w:i/>
          <w:color w:val="1A1A1A"/>
        </w:rPr>
        <w:t xml:space="preserve"> with hardship 24/7: </w:t>
      </w:r>
      <w:r w:rsidRPr="00CA681D">
        <w:rPr>
          <w:bCs/>
          <w:i/>
          <w:iCs/>
        </w:rPr>
        <w:t>The diverse experiences of families in poverty in England</w:t>
      </w:r>
      <w:r>
        <w:rPr>
          <w:bCs/>
          <w:i/>
          <w:iCs/>
        </w:rPr>
        <w:t xml:space="preserve">, </w:t>
      </w:r>
      <w:r>
        <w:rPr>
          <w:rFonts w:cs="Arial"/>
          <w:iCs/>
          <w:color w:val="1A1A1A"/>
        </w:rPr>
        <w:t xml:space="preserve">London, </w:t>
      </w:r>
      <w:r w:rsidRPr="00CA681D">
        <w:rPr>
          <w:rFonts w:cs="Arial"/>
          <w:iCs/>
          <w:color w:val="1A1A1A"/>
        </w:rPr>
        <w:t xml:space="preserve">Frank </w:t>
      </w:r>
      <w:proofErr w:type="spellStart"/>
      <w:r w:rsidRPr="00CA681D">
        <w:rPr>
          <w:rFonts w:cs="Arial"/>
          <w:iCs/>
          <w:color w:val="1A1A1A"/>
        </w:rPr>
        <w:t>Buttle</w:t>
      </w:r>
      <w:proofErr w:type="spellEnd"/>
      <w:r w:rsidRPr="00CA681D">
        <w:rPr>
          <w:rFonts w:cs="Arial"/>
          <w:iCs/>
          <w:color w:val="1A1A1A"/>
        </w:rPr>
        <w:t xml:space="preserve"> Trust</w:t>
      </w:r>
      <w:r w:rsidRPr="00CA681D">
        <w:rPr>
          <w:rFonts w:cs="Arial"/>
          <w:color w:val="1A1A1A"/>
        </w:rPr>
        <w:t>.</w:t>
      </w:r>
    </w:p>
    <w:p w:rsidR="008319B8" w:rsidRDefault="0001509E" w:rsidP="008319B8">
      <w:pPr>
        <w:widowControl w:val="0"/>
        <w:tabs>
          <w:tab w:val="left" w:pos="220"/>
          <w:tab w:val="left" w:pos="720"/>
        </w:tabs>
        <w:autoSpaceDE w:val="0"/>
        <w:autoSpaceDN w:val="0"/>
        <w:adjustRightInd w:val="0"/>
        <w:spacing w:line="480" w:lineRule="auto"/>
        <w:ind w:left="737" w:hanging="737"/>
        <w:jc w:val="both"/>
        <w:rPr>
          <w:rFonts w:cs="Verdana"/>
        </w:rPr>
      </w:pPr>
      <w:r>
        <w:rPr>
          <w:rFonts w:cs="Arial"/>
          <w:color w:val="1A1A1A"/>
        </w:rPr>
        <w:t>Hopper, K. (2007)</w:t>
      </w:r>
      <w:r w:rsidRPr="004D0884">
        <w:rPr>
          <w:rFonts w:cs="Arial"/>
          <w:color w:val="1A1A1A"/>
        </w:rPr>
        <w:t xml:space="preserve"> </w:t>
      </w:r>
      <w:r>
        <w:rPr>
          <w:rFonts w:cs="Arial"/>
          <w:color w:val="1A1A1A"/>
        </w:rPr>
        <w:t>‘</w:t>
      </w:r>
      <w:r w:rsidRPr="004D0884">
        <w:rPr>
          <w:rFonts w:cs="Arial"/>
          <w:color w:val="1A1A1A"/>
        </w:rPr>
        <w:t>Rethinking social recovery in schizophrenia: what a ca</w:t>
      </w:r>
      <w:r>
        <w:rPr>
          <w:rFonts w:cs="Arial"/>
          <w:color w:val="1A1A1A"/>
        </w:rPr>
        <w:t>pabilities approach might offer’,</w:t>
      </w:r>
      <w:r w:rsidRPr="004D0884">
        <w:rPr>
          <w:rFonts w:cs="Arial"/>
          <w:color w:val="1A1A1A"/>
        </w:rPr>
        <w:t xml:space="preserve"> </w:t>
      </w:r>
      <w:proofErr w:type="gramStart"/>
      <w:r w:rsidRPr="004D0884">
        <w:rPr>
          <w:rFonts w:cs="Arial"/>
          <w:i/>
          <w:iCs/>
          <w:color w:val="1A1A1A"/>
        </w:rPr>
        <w:t>Social Science</w:t>
      </w:r>
      <w:proofErr w:type="gramEnd"/>
      <w:r w:rsidRPr="004D0884">
        <w:rPr>
          <w:rFonts w:cs="Arial"/>
          <w:i/>
          <w:iCs/>
          <w:color w:val="1A1A1A"/>
        </w:rPr>
        <w:t xml:space="preserve"> &amp; Medicine</w:t>
      </w:r>
      <w:r w:rsidRPr="004D0884">
        <w:rPr>
          <w:rFonts w:cs="Arial"/>
          <w:color w:val="1A1A1A"/>
        </w:rPr>
        <w:t xml:space="preserve">, </w:t>
      </w:r>
      <w:r w:rsidRPr="004D0884">
        <w:rPr>
          <w:rFonts w:cs="Arial"/>
          <w:b/>
          <w:iCs/>
          <w:color w:val="1A1A1A"/>
        </w:rPr>
        <w:t>65</w:t>
      </w:r>
      <w:r w:rsidRPr="004D0884">
        <w:rPr>
          <w:rFonts w:cs="Arial"/>
          <w:color w:val="1A1A1A"/>
        </w:rPr>
        <w:t xml:space="preserve">(5), </w:t>
      </w:r>
      <w:r>
        <w:rPr>
          <w:rFonts w:cs="Arial"/>
          <w:color w:val="1A1A1A"/>
        </w:rPr>
        <w:t xml:space="preserve">pp. </w:t>
      </w:r>
      <w:r w:rsidRPr="004D0884">
        <w:rPr>
          <w:rFonts w:cs="Arial"/>
          <w:color w:val="1A1A1A"/>
        </w:rPr>
        <w:t>868-879.</w:t>
      </w:r>
    </w:p>
    <w:p w:rsidR="008319B8" w:rsidRDefault="0001509E" w:rsidP="008319B8">
      <w:pPr>
        <w:widowControl w:val="0"/>
        <w:tabs>
          <w:tab w:val="left" w:pos="220"/>
          <w:tab w:val="left" w:pos="720"/>
        </w:tabs>
        <w:autoSpaceDE w:val="0"/>
        <w:autoSpaceDN w:val="0"/>
        <w:adjustRightInd w:val="0"/>
        <w:spacing w:line="480" w:lineRule="auto"/>
        <w:ind w:left="737" w:hanging="737"/>
        <w:jc w:val="both"/>
        <w:rPr>
          <w:rFonts w:cs="Verdana"/>
        </w:rPr>
      </w:pPr>
      <w:proofErr w:type="gramStart"/>
      <w:r>
        <w:rPr>
          <w:rFonts w:cs="Arial"/>
          <w:color w:val="1A1A1A"/>
        </w:rPr>
        <w:t>Jack, G. and Gill, O. (2010)</w:t>
      </w:r>
      <w:r w:rsidRPr="00D93988">
        <w:rPr>
          <w:rFonts w:cs="Arial"/>
          <w:color w:val="1A1A1A"/>
        </w:rPr>
        <w:t xml:space="preserve"> </w:t>
      </w:r>
      <w:r>
        <w:rPr>
          <w:rFonts w:cs="Arial"/>
          <w:color w:val="1A1A1A"/>
        </w:rPr>
        <w:t>‘</w:t>
      </w:r>
      <w:r w:rsidRPr="00D93988">
        <w:rPr>
          <w:rFonts w:cs="Arial"/>
          <w:color w:val="1A1A1A"/>
        </w:rPr>
        <w:t>The role of communities in safegua</w:t>
      </w:r>
      <w:r>
        <w:rPr>
          <w:rFonts w:cs="Arial"/>
          <w:color w:val="1A1A1A"/>
        </w:rPr>
        <w:t>rding children and young people’,</w:t>
      </w:r>
      <w:r w:rsidRPr="00D93988">
        <w:rPr>
          <w:rFonts w:cs="Arial"/>
          <w:color w:val="1A1A1A"/>
        </w:rPr>
        <w:t xml:space="preserve"> </w:t>
      </w:r>
      <w:r w:rsidRPr="00D93988">
        <w:rPr>
          <w:rFonts w:cs="Arial"/>
          <w:i/>
          <w:iCs/>
          <w:color w:val="1A1A1A"/>
        </w:rPr>
        <w:t>Child Abuse Review</w:t>
      </w:r>
      <w:r w:rsidRPr="00D93988">
        <w:rPr>
          <w:rFonts w:cs="Arial"/>
          <w:color w:val="1A1A1A"/>
        </w:rPr>
        <w:t xml:space="preserve">, </w:t>
      </w:r>
      <w:r w:rsidRPr="00D93988">
        <w:rPr>
          <w:rFonts w:cs="Arial"/>
          <w:b/>
          <w:iCs/>
          <w:color w:val="1A1A1A"/>
        </w:rPr>
        <w:t>19</w:t>
      </w:r>
      <w:r w:rsidRPr="00D93988">
        <w:rPr>
          <w:rFonts w:cs="Arial"/>
          <w:color w:val="1A1A1A"/>
        </w:rPr>
        <w:t xml:space="preserve">(2), </w:t>
      </w:r>
      <w:r>
        <w:rPr>
          <w:rFonts w:cs="Arial"/>
          <w:color w:val="1A1A1A"/>
        </w:rPr>
        <w:t xml:space="preserve">pp. </w:t>
      </w:r>
      <w:r w:rsidRPr="00D93988">
        <w:rPr>
          <w:rFonts w:cs="Arial"/>
          <w:color w:val="1A1A1A"/>
        </w:rPr>
        <w:t>82-96.</w:t>
      </w:r>
      <w:proofErr w:type="gramEnd"/>
    </w:p>
    <w:p w:rsidR="008319B8" w:rsidRDefault="0001509E" w:rsidP="008319B8">
      <w:pPr>
        <w:widowControl w:val="0"/>
        <w:tabs>
          <w:tab w:val="left" w:pos="220"/>
          <w:tab w:val="left" w:pos="720"/>
        </w:tabs>
        <w:autoSpaceDE w:val="0"/>
        <w:autoSpaceDN w:val="0"/>
        <w:adjustRightInd w:val="0"/>
        <w:spacing w:line="480" w:lineRule="auto"/>
        <w:ind w:left="737" w:hanging="737"/>
        <w:jc w:val="both"/>
        <w:rPr>
          <w:rFonts w:cs="Verdana"/>
        </w:rPr>
      </w:pPr>
      <w:r>
        <w:rPr>
          <w:rFonts w:cs="Arial"/>
          <w:color w:val="1A1A1A"/>
          <w:szCs w:val="26"/>
        </w:rPr>
        <w:t>Masson, J. M., Pearce, J. and</w:t>
      </w:r>
      <w:r w:rsidRPr="00A87948">
        <w:rPr>
          <w:rFonts w:cs="Arial"/>
          <w:color w:val="1A1A1A"/>
          <w:szCs w:val="26"/>
        </w:rPr>
        <w:t xml:space="preserve"> Bader, K. (2008)</w:t>
      </w:r>
      <w:r>
        <w:rPr>
          <w:rFonts w:cs="Arial"/>
          <w:color w:val="1A1A1A"/>
          <w:szCs w:val="26"/>
        </w:rPr>
        <w:t xml:space="preserve"> </w:t>
      </w:r>
      <w:r w:rsidRPr="00A87948">
        <w:rPr>
          <w:rFonts w:cs="Arial"/>
          <w:i/>
          <w:iCs/>
          <w:color w:val="1A1A1A"/>
          <w:szCs w:val="26"/>
        </w:rPr>
        <w:t>Care profiling study</w:t>
      </w:r>
      <w:r>
        <w:rPr>
          <w:rFonts w:cs="Arial"/>
          <w:color w:val="1A1A1A"/>
          <w:szCs w:val="26"/>
        </w:rPr>
        <w:t>, London,</w:t>
      </w:r>
      <w:r w:rsidRPr="00A87948">
        <w:rPr>
          <w:rFonts w:cs="Arial"/>
          <w:color w:val="1A1A1A"/>
          <w:szCs w:val="26"/>
        </w:rPr>
        <w:t xml:space="preserve"> Ministry of Justice.</w:t>
      </w:r>
    </w:p>
    <w:p w:rsidR="008319B8" w:rsidRDefault="0001509E" w:rsidP="008319B8">
      <w:pPr>
        <w:widowControl w:val="0"/>
        <w:tabs>
          <w:tab w:val="left" w:pos="220"/>
          <w:tab w:val="left" w:pos="720"/>
        </w:tabs>
        <w:autoSpaceDE w:val="0"/>
        <w:autoSpaceDN w:val="0"/>
        <w:adjustRightInd w:val="0"/>
        <w:spacing w:line="480" w:lineRule="auto"/>
        <w:ind w:left="737" w:hanging="737"/>
        <w:jc w:val="both"/>
        <w:rPr>
          <w:rFonts w:cs="Verdana"/>
        </w:rPr>
      </w:pPr>
      <w:r>
        <w:rPr>
          <w:rFonts w:cs="Arial"/>
          <w:color w:val="1A1A1A"/>
        </w:rPr>
        <w:t xml:space="preserve">Munro, E. (2011) </w:t>
      </w:r>
      <w:r w:rsidRPr="00D93988">
        <w:rPr>
          <w:rFonts w:cs="Arial"/>
          <w:i/>
          <w:iCs/>
          <w:color w:val="1A1A1A"/>
        </w:rPr>
        <w:t>The Munro review of child protection: final report, a child-</w:t>
      </w:r>
      <w:proofErr w:type="spellStart"/>
      <w:r w:rsidRPr="00D93988">
        <w:rPr>
          <w:rFonts w:cs="Arial"/>
          <w:i/>
          <w:iCs/>
          <w:color w:val="1A1A1A"/>
        </w:rPr>
        <w:t>centred</w:t>
      </w:r>
      <w:proofErr w:type="spellEnd"/>
      <w:r w:rsidRPr="00D93988">
        <w:rPr>
          <w:rFonts w:cs="Arial"/>
          <w:i/>
          <w:iCs/>
          <w:color w:val="1A1A1A"/>
        </w:rPr>
        <w:t xml:space="preserve"> system</w:t>
      </w:r>
      <w:r>
        <w:rPr>
          <w:rFonts w:cs="Arial"/>
          <w:color w:val="1A1A1A"/>
        </w:rPr>
        <w:t xml:space="preserve">, London, </w:t>
      </w:r>
      <w:r w:rsidRPr="00D93988">
        <w:rPr>
          <w:rFonts w:cs="Arial"/>
          <w:color w:val="1A1A1A"/>
        </w:rPr>
        <w:t>The Stationery Office.</w:t>
      </w:r>
    </w:p>
    <w:p w:rsidR="008319B8" w:rsidRDefault="0001509E" w:rsidP="008319B8">
      <w:pPr>
        <w:widowControl w:val="0"/>
        <w:tabs>
          <w:tab w:val="left" w:pos="220"/>
          <w:tab w:val="left" w:pos="720"/>
        </w:tabs>
        <w:autoSpaceDE w:val="0"/>
        <w:autoSpaceDN w:val="0"/>
        <w:adjustRightInd w:val="0"/>
        <w:spacing w:line="480" w:lineRule="auto"/>
        <w:ind w:left="737" w:hanging="737"/>
        <w:jc w:val="both"/>
        <w:rPr>
          <w:rFonts w:cs="Verdana"/>
        </w:rPr>
      </w:pPr>
      <w:r w:rsidRPr="002B1A12">
        <w:rPr>
          <w:lang w:val="en-GB"/>
        </w:rPr>
        <w:t>Nussbaum</w:t>
      </w:r>
      <w:r>
        <w:rPr>
          <w:lang w:val="en-GB"/>
        </w:rPr>
        <w:t>, N.</w:t>
      </w:r>
      <w:r w:rsidRPr="002B1A12">
        <w:rPr>
          <w:lang w:val="en-GB"/>
        </w:rPr>
        <w:t xml:space="preserve"> (201</w:t>
      </w:r>
      <w:r w:rsidR="00347513">
        <w:rPr>
          <w:lang w:val="en-GB"/>
        </w:rPr>
        <w:t>1</w:t>
      </w:r>
      <w:r w:rsidRPr="002B1A12">
        <w:rPr>
          <w:lang w:val="en-GB"/>
        </w:rPr>
        <w:t xml:space="preserve">) </w:t>
      </w:r>
      <w:r w:rsidRPr="002B1A12">
        <w:rPr>
          <w:bCs/>
          <w:i/>
          <w:szCs w:val="20"/>
        </w:rPr>
        <w:t>Creating Capabilities: The Human Development Approach</w:t>
      </w:r>
      <w:r>
        <w:rPr>
          <w:bCs/>
          <w:i/>
          <w:szCs w:val="20"/>
        </w:rPr>
        <w:t xml:space="preserve">, </w:t>
      </w:r>
      <w:r w:rsidR="00347513">
        <w:rPr>
          <w:bCs/>
          <w:szCs w:val="20"/>
        </w:rPr>
        <w:t>Cambridge</w:t>
      </w:r>
      <w:r w:rsidR="008A42E0">
        <w:rPr>
          <w:bCs/>
          <w:szCs w:val="20"/>
        </w:rPr>
        <w:t xml:space="preserve">, </w:t>
      </w:r>
      <w:proofErr w:type="gramStart"/>
      <w:r w:rsidR="008A42E0">
        <w:rPr>
          <w:bCs/>
          <w:szCs w:val="20"/>
        </w:rPr>
        <w:t>Harvard</w:t>
      </w:r>
      <w:proofErr w:type="gramEnd"/>
      <w:r w:rsidR="008A42E0">
        <w:rPr>
          <w:bCs/>
          <w:szCs w:val="20"/>
        </w:rPr>
        <w:t xml:space="preserve"> University Press</w:t>
      </w:r>
      <w:r w:rsidR="008319B8">
        <w:rPr>
          <w:rFonts w:cs="Verdana"/>
        </w:rPr>
        <w:t>.</w:t>
      </w:r>
    </w:p>
    <w:p w:rsidR="008319B8" w:rsidRDefault="00111539" w:rsidP="008319B8">
      <w:pPr>
        <w:widowControl w:val="0"/>
        <w:tabs>
          <w:tab w:val="left" w:pos="220"/>
          <w:tab w:val="left" w:pos="720"/>
        </w:tabs>
        <w:autoSpaceDE w:val="0"/>
        <w:autoSpaceDN w:val="0"/>
        <w:adjustRightInd w:val="0"/>
        <w:spacing w:line="480" w:lineRule="auto"/>
        <w:ind w:left="737" w:hanging="737"/>
        <w:jc w:val="both"/>
        <w:rPr>
          <w:rFonts w:cs="Verdana"/>
        </w:rPr>
      </w:pPr>
      <w:r w:rsidRPr="00E331A7">
        <w:rPr>
          <w:rFonts w:cs="Ωvú•'1"/>
          <w:szCs w:val="18"/>
        </w:rPr>
        <w:t>Nussbaum</w:t>
      </w:r>
      <w:r w:rsidR="008A42E0" w:rsidRPr="00E331A7">
        <w:rPr>
          <w:rFonts w:cs="Ωvú•'1"/>
          <w:szCs w:val="18"/>
        </w:rPr>
        <w:t>, M.</w:t>
      </w:r>
      <w:r w:rsidRPr="00E331A7">
        <w:rPr>
          <w:rFonts w:cs="Ωvú•'1"/>
          <w:szCs w:val="18"/>
        </w:rPr>
        <w:t xml:space="preserve"> </w:t>
      </w:r>
      <w:r w:rsidR="00C019D8">
        <w:rPr>
          <w:rFonts w:cs="Ωvú•'1"/>
          <w:szCs w:val="18"/>
        </w:rPr>
        <w:t xml:space="preserve">and </w:t>
      </w:r>
      <w:r w:rsidRPr="00E331A7">
        <w:rPr>
          <w:rFonts w:cs="Ωvú•'1"/>
          <w:szCs w:val="18"/>
        </w:rPr>
        <w:t xml:space="preserve">Dixon, </w:t>
      </w:r>
      <w:r w:rsidR="008A42E0" w:rsidRPr="00E331A7">
        <w:rPr>
          <w:rFonts w:cs="Ωvú•'1"/>
          <w:szCs w:val="18"/>
        </w:rPr>
        <w:t>R. (2012) ‘</w:t>
      </w:r>
      <w:r w:rsidRPr="00E331A7">
        <w:rPr>
          <w:rFonts w:cs="Ωvú•'1"/>
          <w:szCs w:val="18"/>
        </w:rPr>
        <w:t>Children's Rights and a Capabilities Approach: Th</w:t>
      </w:r>
      <w:r w:rsidR="008A42E0" w:rsidRPr="00E331A7">
        <w:rPr>
          <w:rFonts w:cs="Ωvú•'1"/>
          <w:szCs w:val="18"/>
        </w:rPr>
        <w:t xml:space="preserve">e Question of Special Priority’, </w:t>
      </w:r>
      <w:r w:rsidRPr="00E331A7">
        <w:rPr>
          <w:rFonts w:cs="Ωvú•'1"/>
          <w:i/>
          <w:szCs w:val="18"/>
        </w:rPr>
        <w:t>Public Law &amp; Legal Theory Working Papers No. 384</w:t>
      </w:r>
      <w:r w:rsidRPr="00E331A7">
        <w:rPr>
          <w:rFonts w:cs="Ωvú•'1"/>
          <w:szCs w:val="18"/>
        </w:rPr>
        <w:t>,</w:t>
      </w:r>
      <w:r w:rsidRPr="00E331A7">
        <w:rPr>
          <w:rFonts w:cs="Times New Roman"/>
          <w:szCs w:val="26"/>
        </w:rPr>
        <w:t xml:space="preserve"> </w:t>
      </w:r>
      <w:r w:rsidRPr="00E331A7">
        <w:rPr>
          <w:rFonts w:cs="Times New Roman"/>
          <w:szCs w:val="36"/>
        </w:rPr>
        <w:t>Chicago</w:t>
      </w:r>
      <w:r w:rsidR="008A42E0" w:rsidRPr="00E331A7">
        <w:rPr>
          <w:rFonts w:cs="Times New Roman"/>
          <w:szCs w:val="36"/>
        </w:rPr>
        <w:t xml:space="preserve">, </w:t>
      </w:r>
      <w:r w:rsidR="008A42E0" w:rsidRPr="00E331A7">
        <w:rPr>
          <w:rFonts w:cs="Times New Roman"/>
          <w:szCs w:val="26"/>
        </w:rPr>
        <w:t>University of Chicago</w:t>
      </w:r>
      <w:r w:rsidR="00E331A7">
        <w:rPr>
          <w:rFonts w:cs="Times New Roman"/>
          <w:szCs w:val="26"/>
        </w:rPr>
        <w:t xml:space="preserve"> Law School</w:t>
      </w:r>
      <w:r w:rsidR="008319B8">
        <w:rPr>
          <w:rFonts w:cs="Verdana"/>
        </w:rPr>
        <w:t>.</w:t>
      </w:r>
    </w:p>
    <w:p w:rsidR="008319B8" w:rsidRDefault="00C019D8" w:rsidP="008319B8">
      <w:pPr>
        <w:widowControl w:val="0"/>
        <w:tabs>
          <w:tab w:val="left" w:pos="220"/>
          <w:tab w:val="left" w:pos="720"/>
        </w:tabs>
        <w:autoSpaceDE w:val="0"/>
        <w:autoSpaceDN w:val="0"/>
        <w:adjustRightInd w:val="0"/>
        <w:spacing w:line="480" w:lineRule="auto"/>
        <w:ind w:left="737" w:hanging="737"/>
        <w:jc w:val="both"/>
        <w:rPr>
          <w:rFonts w:cs="Verdana"/>
        </w:rPr>
      </w:pPr>
      <w:r>
        <w:rPr>
          <w:rFonts w:cs="Arial"/>
          <w:color w:val="1A1A1A"/>
          <w:szCs w:val="26"/>
        </w:rPr>
        <w:t>Otto, H. U. and Ziegler, H. (2006)</w:t>
      </w:r>
      <w:r w:rsidR="00111539" w:rsidRPr="00111539">
        <w:rPr>
          <w:rFonts w:cs="Arial"/>
          <w:color w:val="1A1A1A"/>
          <w:szCs w:val="26"/>
        </w:rPr>
        <w:t xml:space="preserve"> </w:t>
      </w:r>
      <w:r>
        <w:rPr>
          <w:rFonts w:cs="Arial"/>
          <w:color w:val="1A1A1A"/>
          <w:szCs w:val="26"/>
        </w:rPr>
        <w:t>‘Capabilities and education’,</w:t>
      </w:r>
      <w:r w:rsidR="00111539" w:rsidRPr="00111539">
        <w:rPr>
          <w:rFonts w:cs="Arial"/>
          <w:color w:val="1A1A1A"/>
          <w:szCs w:val="26"/>
        </w:rPr>
        <w:t xml:space="preserve"> </w:t>
      </w:r>
      <w:proofErr w:type="gramStart"/>
      <w:r w:rsidR="00111539" w:rsidRPr="00111539">
        <w:rPr>
          <w:rFonts w:cs="Arial"/>
          <w:i/>
          <w:iCs/>
          <w:color w:val="1A1A1A"/>
          <w:szCs w:val="26"/>
        </w:rPr>
        <w:t>Social Work</w:t>
      </w:r>
      <w:proofErr w:type="gramEnd"/>
      <w:r w:rsidR="00111539" w:rsidRPr="00111539">
        <w:rPr>
          <w:rFonts w:cs="Arial"/>
          <w:i/>
          <w:iCs/>
          <w:color w:val="1A1A1A"/>
          <w:szCs w:val="26"/>
        </w:rPr>
        <w:t xml:space="preserve"> &amp; Society</w:t>
      </w:r>
      <w:r w:rsidR="00111539" w:rsidRPr="00111539">
        <w:rPr>
          <w:rFonts w:cs="Arial"/>
          <w:color w:val="1A1A1A"/>
          <w:szCs w:val="26"/>
        </w:rPr>
        <w:t xml:space="preserve">, </w:t>
      </w:r>
      <w:r w:rsidR="00111539" w:rsidRPr="00111539">
        <w:rPr>
          <w:rFonts w:cs="Arial"/>
          <w:b/>
          <w:iCs/>
          <w:color w:val="1A1A1A"/>
          <w:szCs w:val="26"/>
        </w:rPr>
        <w:t>4</w:t>
      </w:r>
      <w:r w:rsidR="00111539" w:rsidRPr="00111539">
        <w:rPr>
          <w:rFonts w:cs="Arial"/>
          <w:color w:val="1A1A1A"/>
          <w:szCs w:val="26"/>
        </w:rPr>
        <w:t xml:space="preserve">(2), </w:t>
      </w:r>
      <w:r>
        <w:rPr>
          <w:rFonts w:cs="Arial"/>
          <w:color w:val="1A1A1A"/>
          <w:szCs w:val="26"/>
        </w:rPr>
        <w:t xml:space="preserve">pp. </w:t>
      </w:r>
      <w:r w:rsidR="00111539" w:rsidRPr="00111539">
        <w:rPr>
          <w:rFonts w:cs="Arial"/>
          <w:color w:val="1A1A1A"/>
          <w:szCs w:val="26"/>
        </w:rPr>
        <w:t>269-287.</w:t>
      </w:r>
    </w:p>
    <w:p w:rsidR="008319B8" w:rsidRDefault="0001509E" w:rsidP="008319B8">
      <w:pPr>
        <w:widowControl w:val="0"/>
        <w:tabs>
          <w:tab w:val="left" w:pos="220"/>
          <w:tab w:val="left" w:pos="720"/>
        </w:tabs>
        <w:autoSpaceDE w:val="0"/>
        <w:autoSpaceDN w:val="0"/>
        <w:adjustRightInd w:val="0"/>
        <w:spacing w:line="480" w:lineRule="auto"/>
        <w:ind w:left="737" w:hanging="737"/>
        <w:jc w:val="both"/>
        <w:rPr>
          <w:rFonts w:cs="Verdana"/>
        </w:rPr>
      </w:pPr>
      <w:r w:rsidRPr="00C420F1">
        <w:t xml:space="preserve">Parton, </w:t>
      </w:r>
      <w:r>
        <w:t>N</w:t>
      </w:r>
      <w:r w:rsidR="00C019D8">
        <w:t>.</w:t>
      </w:r>
      <w:r>
        <w:t xml:space="preserve"> (</w:t>
      </w:r>
      <w:r w:rsidRPr="00C420F1">
        <w:t>2014</w:t>
      </w:r>
      <w:r>
        <w:t xml:space="preserve">) </w:t>
      </w:r>
      <w:r w:rsidRPr="00DD690B">
        <w:rPr>
          <w:rFonts w:cs="Arial"/>
          <w:i/>
        </w:rPr>
        <w:t>The Politics of Child Protection: Contemporary Developments and Future Directions</w:t>
      </w:r>
      <w:r>
        <w:rPr>
          <w:rFonts w:cs="Arial"/>
          <w:i/>
        </w:rPr>
        <w:t xml:space="preserve">, </w:t>
      </w:r>
      <w:r>
        <w:rPr>
          <w:rFonts w:cs="Arial"/>
        </w:rPr>
        <w:t>Basingstoke, Palgrave Macmillan.</w:t>
      </w:r>
    </w:p>
    <w:p w:rsidR="008319B8" w:rsidRDefault="0001509E" w:rsidP="008319B8">
      <w:pPr>
        <w:widowControl w:val="0"/>
        <w:tabs>
          <w:tab w:val="left" w:pos="220"/>
          <w:tab w:val="left" w:pos="720"/>
        </w:tabs>
        <w:autoSpaceDE w:val="0"/>
        <w:autoSpaceDN w:val="0"/>
        <w:adjustRightInd w:val="0"/>
        <w:spacing w:line="480" w:lineRule="auto"/>
        <w:ind w:left="737" w:hanging="737"/>
        <w:jc w:val="both"/>
        <w:rPr>
          <w:rFonts w:cs="Verdana"/>
        </w:rPr>
      </w:pPr>
      <w:r w:rsidRPr="00CA681D">
        <w:t xml:space="preserve">Quinton, D. (2004) </w:t>
      </w:r>
      <w:r w:rsidRPr="00CA681D">
        <w:rPr>
          <w:i/>
          <w:iCs/>
        </w:rPr>
        <w:t xml:space="preserve">Supporting Parents: Messages from Research, </w:t>
      </w:r>
      <w:r>
        <w:rPr>
          <w:iCs/>
        </w:rPr>
        <w:t xml:space="preserve">London, </w:t>
      </w:r>
      <w:proofErr w:type="gramStart"/>
      <w:r>
        <w:t>JKP</w:t>
      </w:r>
      <w:proofErr w:type="gramEnd"/>
      <w:r>
        <w:t>.</w:t>
      </w:r>
    </w:p>
    <w:p w:rsidR="008319B8" w:rsidRDefault="0001509E" w:rsidP="008319B8">
      <w:pPr>
        <w:widowControl w:val="0"/>
        <w:tabs>
          <w:tab w:val="left" w:pos="220"/>
          <w:tab w:val="left" w:pos="720"/>
        </w:tabs>
        <w:autoSpaceDE w:val="0"/>
        <w:autoSpaceDN w:val="0"/>
        <w:adjustRightInd w:val="0"/>
        <w:spacing w:line="480" w:lineRule="auto"/>
        <w:ind w:left="737" w:hanging="737"/>
        <w:jc w:val="both"/>
        <w:rPr>
          <w:rFonts w:cs="Verdana"/>
        </w:rPr>
      </w:pPr>
      <w:proofErr w:type="spellStart"/>
      <w:r w:rsidRPr="002B1A12">
        <w:rPr>
          <w:rFonts w:cs="Arial"/>
          <w:color w:val="1A1A1A"/>
          <w:szCs w:val="26"/>
        </w:rPr>
        <w:t>R</w:t>
      </w:r>
      <w:r>
        <w:rPr>
          <w:rFonts w:cs="Arial"/>
          <w:color w:val="1A1A1A"/>
          <w:szCs w:val="26"/>
        </w:rPr>
        <w:t>eisch</w:t>
      </w:r>
      <w:proofErr w:type="spellEnd"/>
      <w:r>
        <w:rPr>
          <w:rFonts w:cs="Arial"/>
          <w:color w:val="1A1A1A"/>
          <w:szCs w:val="26"/>
        </w:rPr>
        <w:t xml:space="preserve">, M. and </w:t>
      </w:r>
      <w:proofErr w:type="spellStart"/>
      <w:r>
        <w:rPr>
          <w:rFonts w:cs="Arial"/>
          <w:color w:val="1A1A1A"/>
          <w:szCs w:val="26"/>
        </w:rPr>
        <w:t>Jani</w:t>
      </w:r>
      <w:proofErr w:type="spellEnd"/>
      <w:r>
        <w:rPr>
          <w:rFonts w:cs="Arial"/>
          <w:color w:val="1A1A1A"/>
          <w:szCs w:val="26"/>
        </w:rPr>
        <w:t>, J. S. (2012)</w:t>
      </w:r>
      <w:r w:rsidRPr="002B1A12">
        <w:rPr>
          <w:rFonts w:cs="Arial"/>
          <w:color w:val="1A1A1A"/>
          <w:szCs w:val="26"/>
        </w:rPr>
        <w:t xml:space="preserve"> </w:t>
      </w:r>
      <w:r>
        <w:rPr>
          <w:rFonts w:cs="Arial"/>
          <w:color w:val="1A1A1A"/>
          <w:szCs w:val="26"/>
        </w:rPr>
        <w:t>‘</w:t>
      </w:r>
      <w:proofErr w:type="gramStart"/>
      <w:r w:rsidRPr="002B1A12">
        <w:rPr>
          <w:rFonts w:cs="Arial"/>
          <w:color w:val="1A1A1A"/>
          <w:szCs w:val="26"/>
        </w:rPr>
        <w:t>The</w:t>
      </w:r>
      <w:proofErr w:type="gramEnd"/>
      <w:r w:rsidRPr="002B1A12">
        <w:rPr>
          <w:rFonts w:cs="Arial"/>
          <w:color w:val="1A1A1A"/>
          <w:szCs w:val="26"/>
        </w:rPr>
        <w:t xml:space="preserve"> new politics of social work practice: Understanding context to promote change</w:t>
      </w:r>
      <w:r>
        <w:rPr>
          <w:rFonts w:cs="Arial"/>
          <w:color w:val="1A1A1A"/>
          <w:szCs w:val="26"/>
        </w:rPr>
        <w:t xml:space="preserve">’, </w:t>
      </w:r>
      <w:r w:rsidRPr="002B1A12">
        <w:rPr>
          <w:rFonts w:cs="Arial"/>
          <w:i/>
          <w:iCs/>
          <w:color w:val="1A1A1A"/>
          <w:szCs w:val="26"/>
        </w:rPr>
        <w:t>British Journal of Social Work</w:t>
      </w:r>
      <w:r w:rsidRPr="002B1A12">
        <w:rPr>
          <w:rFonts w:cs="Arial"/>
          <w:color w:val="1A1A1A"/>
          <w:szCs w:val="26"/>
        </w:rPr>
        <w:t xml:space="preserve">, </w:t>
      </w:r>
      <w:r w:rsidRPr="002B1A12">
        <w:rPr>
          <w:rFonts w:cs="Arial"/>
          <w:b/>
          <w:iCs/>
          <w:color w:val="1A1A1A"/>
          <w:szCs w:val="26"/>
        </w:rPr>
        <w:t>42</w:t>
      </w:r>
      <w:r w:rsidRPr="002B1A12">
        <w:rPr>
          <w:rFonts w:cs="Arial"/>
          <w:color w:val="1A1A1A"/>
          <w:szCs w:val="26"/>
        </w:rPr>
        <w:t xml:space="preserve">(6), </w:t>
      </w:r>
      <w:r>
        <w:rPr>
          <w:rFonts w:cs="Arial"/>
          <w:color w:val="1A1A1A"/>
          <w:szCs w:val="26"/>
        </w:rPr>
        <w:t xml:space="preserve">pp. </w:t>
      </w:r>
      <w:r w:rsidRPr="002B1A12">
        <w:rPr>
          <w:rFonts w:cs="Arial"/>
          <w:color w:val="1A1A1A"/>
          <w:szCs w:val="26"/>
        </w:rPr>
        <w:t>1132-1150.</w:t>
      </w:r>
    </w:p>
    <w:p w:rsidR="008319B8" w:rsidRDefault="0001509E" w:rsidP="008319B8">
      <w:pPr>
        <w:widowControl w:val="0"/>
        <w:tabs>
          <w:tab w:val="left" w:pos="220"/>
          <w:tab w:val="left" w:pos="720"/>
        </w:tabs>
        <w:autoSpaceDE w:val="0"/>
        <w:autoSpaceDN w:val="0"/>
        <w:adjustRightInd w:val="0"/>
        <w:spacing w:line="480" w:lineRule="auto"/>
        <w:ind w:left="737" w:hanging="737"/>
        <w:jc w:val="both"/>
        <w:rPr>
          <w:rFonts w:cs="Verdana"/>
        </w:rPr>
      </w:pPr>
      <w:r w:rsidRPr="00627C2D">
        <w:rPr>
          <w:rFonts w:cs="Arial"/>
          <w:bCs/>
          <w:szCs w:val="28"/>
        </w:rPr>
        <w:t>Ridge, T</w:t>
      </w:r>
      <w:r>
        <w:rPr>
          <w:rFonts w:cs="Arial"/>
          <w:bCs/>
          <w:szCs w:val="28"/>
        </w:rPr>
        <w:t>.</w:t>
      </w:r>
      <w:r w:rsidRPr="00627C2D">
        <w:rPr>
          <w:rFonts w:cs="Arial"/>
          <w:bCs/>
          <w:szCs w:val="28"/>
        </w:rPr>
        <w:t xml:space="preserve"> (2013) </w:t>
      </w:r>
      <w:r>
        <w:rPr>
          <w:rFonts w:cs="Arial"/>
          <w:bCs/>
          <w:szCs w:val="28"/>
        </w:rPr>
        <w:t>‘</w:t>
      </w:r>
      <w:r w:rsidRPr="00627C2D">
        <w:rPr>
          <w:rFonts w:cs="Arial"/>
          <w:bCs/>
          <w:szCs w:val="28"/>
        </w:rPr>
        <w:t>We are All in This Together’? The Hidden Costs of Poverty, Recession and Austerity Policies on Britain's Poorest Children</w:t>
      </w:r>
      <w:r>
        <w:rPr>
          <w:rFonts w:cs="Arial"/>
          <w:bCs/>
          <w:szCs w:val="28"/>
        </w:rPr>
        <w:t>’,</w:t>
      </w:r>
      <w:r w:rsidRPr="00627C2D">
        <w:rPr>
          <w:rFonts w:cs="Arial"/>
          <w:bCs/>
          <w:szCs w:val="28"/>
        </w:rPr>
        <w:t xml:space="preserve"> </w:t>
      </w:r>
      <w:r w:rsidRPr="00627C2D">
        <w:rPr>
          <w:rFonts w:cs="Arial"/>
          <w:bCs/>
          <w:i/>
        </w:rPr>
        <w:t>Children &amp; Society</w:t>
      </w:r>
      <w:r w:rsidRPr="00627C2D">
        <w:rPr>
          <w:rFonts w:cs="Arial"/>
          <w:bCs/>
          <w:szCs w:val="28"/>
        </w:rPr>
        <w:t xml:space="preserve">, </w:t>
      </w:r>
      <w:hyperlink r:id="rId9" w:history="1">
        <w:r w:rsidRPr="00627C2D">
          <w:rPr>
            <w:rFonts w:cs="Arial"/>
            <w:bCs/>
          </w:rPr>
          <w:t xml:space="preserve"> </w:t>
        </w:r>
        <w:r w:rsidRPr="002D64E3">
          <w:rPr>
            <w:rFonts w:cs="Arial"/>
            <w:b/>
            <w:bCs/>
          </w:rPr>
          <w:t>27</w:t>
        </w:r>
        <w:r w:rsidRPr="002D64E3">
          <w:rPr>
            <w:rFonts w:cs="Arial"/>
          </w:rPr>
          <w:t>(</w:t>
        </w:r>
        <w:r w:rsidRPr="002D64E3">
          <w:rPr>
            <w:rFonts w:cs="Arial"/>
            <w:bCs/>
          </w:rPr>
          <w:t>5</w:t>
        </w:r>
        <w:r>
          <w:rPr>
            <w:rFonts w:cs="Arial"/>
            <w:bCs/>
          </w:rPr>
          <w:t>)</w:t>
        </w:r>
        <w:r w:rsidRPr="00627C2D">
          <w:rPr>
            <w:rFonts w:cs="Arial"/>
          </w:rPr>
          <w:t xml:space="preserve">, </w:t>
        </w:r>
      </w:hyperlink>
      <w:r w:rsidRPr="00627C2D">
        <w:rPr>
          <w:rFonts w:cs="Arial"/>
          <w:bCs/>
        </w:rPr>
        <w:t>p</w:t>
      </w:r>
      <w:r>
        <w:rPr>
          <w:rFonts w:cs="Arial"/>
          <w:bCs/>
        </w:rPr>
        <w:t xml:space="preserve">p. </w:t>
      </w:r>
      <w:r w:rsidRPr="00627C2D">
        <w:rPr>
          <w:rFonts w:cs="Arial"/>
          <w:bCs/>
        </w:rPr>
        <w:t>406–417</w:t>
      </w:r>
      <w:r>
        <w:rPr>
          <w:rFonts w:cs="Arial"/>
        </w:rPr>
        <w:t>.</w:t>
      </w:r>
      <w:r w:rsidRPr="00627C2D">
        <w:rPr>
          <w:rFonts w:cs="Arial"/>
        </w:rPr>
        <w:t xml:space="preserve"> </w:t>
      </w:r>
    </w:p>
    <w:p w:rsidR="008319B8" w:rsidRDefault="00C019D8" w:rsidP="008319B8">
      <w:pPr>
        <w:widowControl w:val="0"/>
        <w:tabs>
          <w:tab w:val="left" w:pos="220"/>
          <w:tab w:val="left" w:pos="720"/>
        </w:tabs>
        <w:autoSpaceDE w:val="0"/>
        <w:autoSpaceDN w:val="0"/>
        <w:adjustRightInd w:val="0"/>
        <w:spacing w:line="480" w:lineRule="auto"/>
        <w:ind w:left="737" w:hanging="737"/>
        <w:jc w:val="both"/>
        <w:rPr>
          <w:rFonts w:cs="Arial"/>
          <w:color w:val="1A1A1A"/>
          <w:szCs w:val="26"/>
        </w:rPr>
      </w:pPr>
      <w:proofErr w:type="spellStart"/>
      <w:r>
        <w:rPr>
          <w:rFonts w:cs="Arial"/>
          <w:color w:val="1A1A1A"/>
          <w:szCs w:val="26"/>
        </w:rPr>
        <w:t>Roose</w:t>
      </w:r>
      <w:proofErr w:type="spellEnd"/>
      <w:r>
        <w:rPr>
          <w:rFonts w:cs="Arial"/>
          <w:color w:val="1A1A1A"/>
          <w:szCs w:val="26"/>
        </w:rPr>
        <w:t xml:space="preserve">, R., </w:t>
      </w:r>
      <w:proofErr w:type="spellStart"/>
      <w:r>
        <w:rPr>
          <w:rFonts w:cs="Arial"/>
          <w:color w:val="1A1A1A"/>
          <w:szCs w:val="26"/>
        </w:rPr>
        <w:t>Roets</w:t>
      </w:r>
      <w:proofErr w:type="spellEnd"/>
      <w:r>
        <w:rPr>
          <w:rFonts w:cs="Arial"/>
          <w:color w:val="1A1A1A"/>
          <w:szCs w:val="26"/>
        </w:rPr>
        <w:t>, G.</w:t>
      </w:r>
      <w:r w:rsidR="00111539" w:rsidRPr="00111539">
        <w:rPr>
          <w:rFonts w:cs="Arial"/>
          <w:color w:val="1A1A1A"/>
          <w:szCs w:val="26"/>
        </w:rPr>
        <w:t xml:space="preserve"> </w:t>
      </w:r>
      <w:r>
        <w:rPr>
          <w:rFonts w:cs="Arial"/>
          <w:color w:val="1A1A1A"/>
          <w:szCs w:val="26"/>
        </w:rPr>
        <w:t xml:space="preserve">and </w:t>
      </w:r>
      <w:proofErr w:type="spellStart"/>
      <w:r>
        <w:rPr>
          <w:rFonts w:cs="Arial"/>
          <w:color w:val="1A1A1A"/>
          <w:szCs w:val="26"/>
        </w:rPr>
        <w:t>Schiettecat</w:t>
      </w:r>
      <w:proofErr w:type="spellEnd"/>
      <w:r>
        <w:rPr>
          <w:rFonts w:cs="Arial"/>
          <w:color w:val="1A1A1A"/>
          <w:szCs w:val="26"/>
        </w:rPr>
        <w:t>, T. (2014)</w:t>
      </w:r>
      <w:r w:rsidR="00111539" w:rsidRPr="00111539">
        <w:rPr>
          <w:rFonts w:cs="Arial"/>
          <w:color w:val="1A1A1A"/>
          <w:szCs w:val="26"/>
        </w:rPr>
        <w:t xml:space="preserve"> </w:t>
      </w:r>
      <w:r>
        <w:rPr>
          <w:rFonts w:cs="Arial"/>
          <w:color w:val="1A1A1A"/>
          <w:szCs w:val="26"/>
        </w:rPr>
        <w:t>‘</w:t>
      </w:r>
      <w:r w:rsidR="00111539" w:rsidRPr="00111539">
        <w:rPr>
          <w:rFonts w:cs="Arial"/>
          <w:color w:val="1A1A1A"/>
          <w:szCs w:val="26"/>
        </w:rPr>
        <w:t>Implementing a strengths perspective in child welfare and protection: a ch</w:t>
      </w:r>
      <w:r>
        <w:rPr>
          <w:rFonts w:cs="Arial"/>
          <w:color w:val="1A1A1A"/>
          <w:szCs w:val="26"/>
        </w:rPr>
        <w:t>allenge not to be taken lightly’,</w:t>
      </w:r>
      <w:r w:rsidR="00111539" w:rsidRPr="00111539">
        <w:rPr>
          <w:rFonts w:cs="Arial"/>
          <w:color w:val="1A1A1A"/>
          <w:szCs w:val="26"/>
        </w:rPr>
        <w:t xml:space="preserve"> </w:t>
      </w:r>
      <w:r w:rsidR="00111539" w:rsidRPr="00111539">
        <w:rPr>
          <w:rFonts w:cs="Arial"/>
          <w:i/>
          <w:iCs/>
          <w:color w:val="1A1A1A"/>
          <w:szCs w:val="26"/>
        </w:rPr>
        <w:t>European Journal of Social Work</w:t>
      </w:r>
      <w:r w:rsidR="00111539" w:rsidRPr="00111539">
        <w:rPr>
          <w:rFonts w:cs="Arial"/>
          <w:color w:val="1A1A1A"/>
          <w:szCs w:val="26"/>
        </w:rPr>
        <w:t xml:space="preserve">, </w:t>
      </w:r>
      <w:r w:rsidR="00111539" w:rsidRPr="00111539">
        <w:rPr>
          <w:rFonts w:cs="Arial"/>
          <w:b/>
          <w:iCs/>
          <w:color w:val="1A1A1A"/>
          <w:szCs w:val="26"/>
        </w:rPr>
        <w:t>17</w:t>
      </w:r>
      <w:r w:rsidR="00111539" w:rsidRPr="00111539">
        <w:rPr>
          <w:rFonts w:cs="Arial"/>
          <w:color w:val="1A1A1A"/>
          <w:szCs w:val="26"/>
        </w:rPr>
        <w:t>(1), 3-17</w:t>
      </w:r>
      <w:r w:rsidR="008319B8">
        <w:rPr>
          <w:rFonts w:cs="Arial"/>
          <w:color w:val="1A1A1A"/>
          <w:szCs w:val="26"/>
        </w:rPr>
        <w:t>.</w:t>
      </w:r>
    </w:p>
    <w:p w:rsidR="00C00CA0" w:rsidRPr="00C00CA0" w:rsidRDefault="00C00CA0" w:rsidP="00C00CA0">
      <w:pPr>
        <w:widowControl w:val="0"/>
        <w:tabs>
          <w:tab w:val="left" w:pos="220"/>
          <w:tab w:val="left" w:pos="720"/>
        </w:tabs>
        <w:autoSpaceDE w:val="0"/>
        <w:autoSpaceDN w:val="0"/>
        <w:adjustRightInd w:val="0"/>
        <w:spacing w:line="480" w:lineRule="auto"/>
        <w:ind w:left="737" w:hanging="737"/>
        <w:jc w:val="both"/>
        <w:rPr>
          <w:rFonts w:cs="Arial"/>
          <w:color w:val="1A1A1A"/>
          <w:szCs w:val="26"/>
          <w:lang w:val="en-GB"/>
        </w:rPr>
      </w:pPr>
      <w:proofErr w:type="spellStart"/>
      <w:r>
        <w:rPr>
          <w:rFonts w:cs="Arial"/>
          <w:color w:val="1A1A1A"/>
          <w:szCs w:val="26"/>
          <w:lang w:val="en-GB"/>
        </w:rPr>
        <w:t>Sen</w:t>
      </w:r>
      <w:proofErr w:type="spellEnd"/>
      <w:r>
        <w:rPr>
          <w:rFonts w:cs="Arial"/>
          <w:color w:val="1A1A1A"/>
          <w:szCs w:val="26"/>
          <w:lang w:val="en-GB"/>
        </w:rPr>
        <w:t>, A. (1995)</w:t>
      </w:r>
      <w:r w:rsidRPr="00C00CA0">
        <w:rPr>
          <w:rFonts w:cs="Arial"/>
          <w:color w:val="1A1A1A"/>
          <w:szCs w:val="26"/>
          <w:lang w:val="en-GB"/>
        </w:rPr>
        <w:t xml:space="preserve"> The political economy of targeting, in D. Van de </w:t>
      </w:r>
      <w:proofErr w:type="spellStart"/>
      <w:r w:rsidRPr="00C00CA0">
        <w:rPr>
          <w:rFonts w:cs="Arial"/>
          <w:color w:val="1A1A1A"/>
          <w:szCs w:val="26"/>
          <w:lang w:val="en-GB"/>
        </w:rPr>
        <w:t>W</w:t>
      </w:r>
      <w:r>
        <w:rPr>
          <w:rFonts w:cs="Arial"/>
          <w:color w:val="1A1A1A"/>
          <w:szCs w:val="26"/>
          <w:lang w:val="en-GB"/>
        </w:rPr>
        <w:t>alle</w:t>
      </w:r>
      <w:proofErr w:type="spellEnd"/>
      <w:r>
        <w:rPr>
          <w:rFonts w:cs="Arial"/>
          <w:color w:val="1A1A1A"/>
          <w:szCs w:val="26"/>
          <w:lang w:val="en-GB"/>
        </w:rPr>
        <w:t xml:space="preserve"> and K. </w:t>
      </w:r>
      <w:proofErr w:type="spellStart"/>
      <w:r>
        <w:rPr>
          <w:rFonts w:cs="Arial"/>
          <w:color w:val="1A1A1A"/>
          <w:szCs w:val="26"/>
          <w:lang w:val="en-GB"/>
        </w:rPr>
        <w:t>Nead</w:t>
      </w:r>
      <w:proofErr w:type="spellEnd"/>
      <w:r>
        <w:rPr>
          <w:rFonts w:cs="Arial"/>
          <w:color w:val="1A1A1A"/>
          <w:szCs w:val="26"/>
          <w:lang w:val="en-GB"/>
        </w:rPr>
        <w:t xml:space="preserve"> (</w:t>
      </w:r>
      <w:proofErr w:type="spellStart"/>
      <w:r>
        <w:rPr>
          <w:rFonts w:cs="Arial"/>
          <w:color w:val="1A1A1A"/>
          <w:szCs w:val="26"/>
          <w:lang w:val="en-GB"/>
        </w:rPr>
        <w:t>eds</w:t>
      </w:r>
      <w:proofErr w:type="spellEnd"/>
      <w:r>
        <w:rPr>
          <w:rFonts w:cs="Arial"/>
          <w:color w:val="1A1A1A"/>
          <w:szCs w:val="26"/>
          <w:lang w:val="en-GB"/>
        </w:rPr>
        <w:t xml:space="preserve">) </w:t>
      </w:r>
      <w:r w:rsidRPr="00C00CA0">
        <w:rPr>
          <w:rFonts w:cs="Arial"/>
          <w:i/>
          <w:color w:val="1A1A1A"/>
          <w:szCs w:val="26"/>
          <w:lang w:val="en-GB"/>
        </w:rPr>
        <w:t xml:space="preserve">Public spending and the poor, </w:t>
      </w:r>
      <w:r>
        <w:rPr>
          <w:rFonts w:cs="Arial"/>
          <w:color w:val="1A1A1A"/>
          <w:szCs w:val="26"/>
          <w:lang w:val="en-GB"/>
        </w:rPr>
        <w:t>Washington, DC,</w:t>
      </w:r>
      <w:r w:rsidRPr="00C00CA0">
        <w:rPr>
          <w:rFonts w:cs="Arial"/>
          <w:color w:val="1A1A1A"/>
          <w:szCs w:val="26"/>
          <w:lang w:val="en-GB"/>
        </w:rPr>
        <w:t xml:space="preserve"> World Bank</w:t>
      </w:r>
      <w:r>
        <w:rPr>
          <w:rFonts w:cs="Arial"/>
          <w:color w:val="1A1A1A"/>
          <w:szCs w:val="26"/>
          <w:lang w:val="en-GB"/>
        </w:rPr>
        <w:t>.</w:t>
      </w:r>
    </w:p>
    <w:p w:rsidR="008319B8" w:rsidRDefault="0001509E" w:rsidP="008319B8">
      <w:pPr>
        <w:widowControl w:val="0"/>
        <w:tabs>
          <w:tab w:val="left" w:pos="220"/>
          <w:tab w:val="left" w:pos="720"/>
        </w:tabs>
        <w:autoSpaceDE w:val="0"/>
        <w:autoSpaceDN w:val="0"/>
        <w:adjustRightInd w:val="0"/>
        <w:spacing w:line="480" w:lineRule="auto"/>
        <w:ind w:left="737" w:hanging="737"/>
        <w:jc w:val="both"/>
        <w:rPr>
          <w:rFonts w:cs="Verdana"/>
        </w:rPr>
      </w:pPr>
      <w:proofErr w:type="spellStart"/>
      <w:proofErr w:type="gramStart"/>
      <w:r>
        <w:t>Sen</w:t>
      </w:r>
      <w:proofErr w:type="spellEnd"/>
      <w:r>
        <w:t xml:space="preserve">, A. (1999) </w:t>
      </w:r>
      <w:r>
        <w:rPr>
          <w:i/>
        </w:rPr>
        <w:t xml:space="preserve">Development as Freedom, </w:t>
      </w:r>
      <w:r>
        <w:t>Oxford, Oxford University Press.</w:t>
      </w:r>
      <w:proofErr w:type="gramEnd"/>
    </w:p>
    <w:p w:rsidR="008319B8" w:rsidRDefault="0001509E" w:rsidP="008319B8">
      <w:pPr>
        <w:widowControl w:val="0"/>
        <w:tabs>
          <w:tab w:val="left" w:pos="220"/>
          <w:tab w:val="left" w:pos="720"/>
        </w:tabs>
        <w:autoSpaceDE w:val="0"/>
        <w:autoSpaceDN w:val="0"/>
        <w:adjustRightInd w:val="0"/>
        <w:spacing w:line="480" w:lineRule="auto"/>
        <w:ind w:left="737" w:hanging="737"/>
        <w:jc w:val="both"/>
        <w:rPr>
          <w:rFonts w:cs="Verdana"/>
        </w:rPr>
      </w:pPr>
      <w:proofErr w:type="spellStart"/>
      <w:proofErr w:type="gramStart"/>
      <w:r>
        <w:rPr>
          <w:rFonts w:cs="Arial"/>
          <w:color w:val="1A1A1A"/>
          <w:szCs w:val="26"/>
        </w:rPr>
        <w:t>Sen</w:t>
      </w:r>
      <w:proofErr w:type="spellEnd"/>
      <w:r>
        <w:rPr>
          <w:rFonts w:cs="Arial"/>
          <w:color w:val="1A1A1A"/>
          <w:szCs w:val="26"/>
        </w:rPr>
        <w:t xml:space="preserve">, A. (2005) ‘Human rights and capabilities’, </w:t>
      </w:r>
      <w:r w:rsidRPr="00002AE3">
        <w:rPr>
          <w:rFonts w:cs="Arial"/>
          <w:i/>
          <w:iCs/>
          <w:color w:val="1A1A1A"/>
          <w:szCs w:val="26"/>
        </w:rPr>
        <w:t>Journal of Human Development</w:t>
      </w:r>
      <w:r w:rsidRPr="00002AE3">
        <w:rPr>
          <w:rFonts w:cs="Arial"/>
          <w:color w:val="1A1A1A"/>
          <w:szCs w:val="26"/>
        </w:rPr>
        <w:t xml:space="preserve">, </w:t>
      </w:r>
      <w:r w:rsidRPr="00002AE3">
        <w:rPr>
          <w:rFonts w:cs="Arial"/>
          <w:b/>
          <w:iCs/>
          <w:color w:val="1A1A1A"/>
          <w:szCs w:val="26"/>
        </w:rPr>
        <w:t>6</w:t>
      </w:r>
      <w:r w:rsidRPr="00002AE3">
        <w:rPr>
          <w:rFonts w:cs="Arial"/>
          <w:color w:val="1A1A1A"/>
          <w:szCs w:val="26"/>
        </w:rPr>
        <w:t xml:space="preserve">(2), </w:t>
      </w:r>
      <w:r>
        <w:rPr>
          <w:rFonts w:cs="Arial"/>
          <w:color w:val="1A1A1A"/>
          <w:szCs w:val="26"/>
        </w:rPr>
        <w:t xml:space="preserve">pp. </w:t>
      </w:r>
      <w:r w:rsidRPr="00002AE3">
        <w:rPr>
          <w:rFonts w:cs="Arial"/>
          <w:color w:val="1A1A1A"/>
          <w:szCs w:val="26"/>
        </w:rPr>
        <w:t>151-166.</w:t>
      </w:r>
      <w:proofErr w:type="gramEnd"/>
    </w:p>
    <w:p w:rsidR="008319B8" w:rsidRDefault="0001509E" w:rsidP="008319B8">
      <w:pPr>
        <w:widowControl w:val="0"/>
        <w:tabs>
          <w:tab w:val="left" w:pos="220"/>
          <w:tab w:val="left" w:pos="720"/>
        </w:tabs>
        <w:autoSpaceDE w:val="0"/>
        <w:autoSpaceDN w:val="0"/>
        <w:adjustRightInd w:val="0"/>
        <w:spacing w:line="480" w:lineRule="auto"/>
        <w:ind w:left="737" w:hanging="737"/>
        <w:jc w:val="both"/>
        <w:rPr>
          <w:rFonts w:cs="Verdana"/>
        </w:rPr>
      </w:pPr>
      <w:proofErr w:type="spellStart"/>
      <w:r>
        <w:t>Sen</w:t>
      </w:r>
      <w:proofErr w:type="spellEnd"/>
      <w:r>
        <w:t xml:space="preserve">, A. (2009) </w:t>
      </w:r>
      <w:r>
        <w:rPr>
          <w:i/>
        </w:rPr>
        <w:t xml:space="preserve">The Idea of Justice, </w:t>
      </w:r>
      <w:r>
        <w:t>London, Allen Lane.</w:t>
      </w:r>
    </w:p>
    <w:p w:rsidR="008319B8" w:rsidRDefault="00C019D8" w:rsidP="008319B8">
      <w:pPr>
        <w:widowControl w:val="0"/>
        <w:tabs>
          <w:tab w:val="left" w:pos="220"/>
          <w:tab w:val="left" w:pos="720"/>
        </w:tabs>
        <w:autoSpaceDE w:val="0"/>
        <w:autoSpaceDN w:val="0"/>
        <w:adjustRightInd w:val="0"/>
        <w:spacing w:line="480" w:lineRule="auto"/>
        <w:ind w:left="737" w:hanging="737"/>
        <w:jc w:val="both"/>
        <w:rPr>
          <w:rFonts w:cs="Verdana"/>
        </w:rPr>
      </w:pPr>
      <w:r>
        <w:t xml:space="preserve">Singh, G. and </w:t>
      </w:r>
      <w:r w:rsidR="0001509E">
        <w:t>Cowden, S. (2013)  ‘</w:t>
      </w:r>
      <w:r w:rsidR="0001509E" w:rsidRPr="004003D3">
        <w:t xml:space="preserve">Is Cultural Sensitivity Always </w:t>
      </w:r>
      <w:r w:rsidR="0001509E">
        <w:t xml:space="preserve">a Good Thing?  </w:t>
      </w:r>
      <w:proofErr w:type="gramStart"/>
      <w:r w:rsidR="0001509E">
        <w:t>Arguments for a U</w:t>
      </w:r>
      <w:r w:rsidR="0001509E" w:rsidRPr="004003D3">
        <w:t xml:space="preserve">niversalist </w:t>
      </w:r>
      <w:r w:rsidR="0001509E">
        <w:t>Social Work’</w:t>
      </w:r>
      <w:r>
        <w:t>, in M. Carey and L. Green (</w:t>
      </w:r>
      <w:proofErr w:type="spellStart"/>
      <w:r>
        <w:t>eds</w:t>
      </w:r>
      <w:proofErr w:type="spellEnd"/>
      <w:r w:rsidR="0001509E">
        <w:t xml:space="preserve">) </w:t>
      </w:r>
      <w:r w:rsidR="0001509E" w:rsidRPr="004003D3">
        <w:rPr>
          <w:rFonts w:cs="Arial"/>
          <w:i/>
          <w:szCs w:val="38"/>
        </w:rPr>
        <w:t>Practical Social Work Ethics</w:t>
      </w:r>
      <w:r w:rsidR="0001509E">
        <w:rPr>
          <w:rFonts w:cs="Arial"/>
          <w:i/>
          <w:szCs w:val="38"/>
        </w:rPr>
        <w:t xml:space="preserve">, </w:t>
      </w:r>
      <w:proofErr w:type="spellStart"/>
      <w:r w:rsidR="0001509E">
        <w:rPr>
          <w:rFonts w:cs="Arial"/>
          <w:szCs w:val="38"/>
        </w:rPr>
        <w:t>Farnham</w:t>
      </w:r>
      <w:proofErr w:type="spellEnd"/>
      <w:r w:rsidR="0001509E">
        <w:rPr>
          <w:rFonts w:cs="Arial"/>
          <w:szCs w:val="38"/>
        </w:rPr>
        <w:t xml:space="preserve">, </w:t>
      </w:r>
      <w:proofErr w:type="spellStart"/>
      <w:r w:rsidR="0001509E">
        <w:rPr>
          <w:rFonts w:cs="Arial"/>
          <w:szCs w:val="38"/>
        </w:rPr>
        <w:t>Ashgate</w:t>
      </w:r>
      <w:proofErr w:type="spellEnd"/>
      <w:r w:rsidR="0001509E">
        <w:rPr>
          <w:rFonts w:cs="Arial"/>
          <w:szCs w:val="38"/>
        </w:rPr>
        <w:t>.</w:t>
      </w:r>
      <w:proofErr w:type="gramEnd"/>
    </w:p>
    <w:p w:rsidR="008319B8" w:rsidRDefault="00C019D8" w:rsidP="008319B8">
      <w:pPr>
        <w:widowControl w:val="0"/>
        <w:tabs>
          <w:tab w:val="left" w:pos="220"/>
          <w:tab w:val="left" w:pos="720"/>
        </w:tabs>
        <w:autoSpaceDE w:val="0"/>
        <w:autoSpaceDN w:val="0"/>
        <w:adjustRightInd w:val="0"/>
        <w:spacing w:line="480" w:lineRule="auto"/>
        <w:ind w:left="737" w:hanging="737"/>
        <w:jc w:val="both"/>
        <w:rPr>
          <w:rFonts w:cs="Verdana"/>
        </w:rPr>
      </w:pPr>
      <w:r>
        <w:rPr>
          <w:rFonts w:cs="Arial"/>
          <w:color w:val="1A1A1A"/>
          <w:szCs w:val="26"/>
        </w:rPr>
        <w:t>Smith, M. L.</w:t>
      </w:r>
      <w:r w:rsidR="0001509E">
        <w:rPr>
          <w:rFonts w:cs="Arial"/>
          <w:color w:val="1A1A1A"/>
          <w:szCs w:val="26"/>
        </w:rPr>
        <w:t xml:space="preserve"> and Seward, C. (2009)</w:t>
      </w:r>
      <w:r w:rsidR="0001509E" w:rsidRPr="00DB459A">
        <w:rPr>
          <w:rFonts w:cs="Arial"/>
          <w:color w:val="1A1A1A"/>
          <w:szCs w:val="26"/>
        </w:rPr>
        <w:t xml:space="preserve"> </w:t>
      </w:r>
      <w:r w:rsidR="0001509E">
        <w:rPr>
          <w:rFonts w:cs="Arial"/>
          <w:color w:val="1A1A1A"/>
          <w:szCs w:val="26"/>
        </w:rPr>
        <w:t>‘</w:t>
      </w:r>
      <w:proofErr w:type="gramStart"/>
      <w:r w:rsidR="0001509E" w:rsidRPr="00DB459A">
        <w:rPr>
          <w:rFonts w:cs="Arial"/>
          <w:color w:val="1A1A1A"/>
          <w:szCs w:val="26"/>
        </w:rPr>
        <w:t>The</w:t>
      </w:r>
      <w:proofErr w:type="gramEnd"/>
      <w:r w:rsidR="0001509E" w:rsidRPr="00DB459A">
        <w:rPr>
          <w:rFonts w:cs="Arial"/>
          <w:color w:val="1A1A1A"/>
          <w:szCs w:val="26"/>
        </w:rPr>
        <w:t xml:space="preserve"> relational ontology of </w:t>
      </w:r>
      <w:proofErr w:type="spellStart"/>
      <w:r w:rsidR="0001509E" w:rsidRPr="00DB459A">
        <w:rPr>
          <w:rFonts w:cs="Arial"/>
          <w:color w:val="1A1A1A"/>
          <w:szCs w:val="26"/>
        </w:rPr>
        <w:t>Amartya</w:t>
      </w:r>
      <w:proofErr w:type="spellEnd"/>
      <w:r w:rsidR="0001509E" w:rsidRPr="00DB459A">
        <w:rPr>
          <w:rFonts w:cs="Arial"/>
          <w:color w:val="1A1A1A"/>
          <w:szCs w:val="26"/>
        </w:rPr>
        <w:t xml:space="preserve"> </w:t>
      </w:r>
      <w:proofErr w:type="spellStart"/>
      <w:r w:rsidR="0001509E" w:rsidRPr="00DB459A">
        <w:rPr>
          <w:rFonts w:cs="Arial"/>
          <w:color w:val="1A1A1A"/>
          <w:szCs w:val="26"/>
        </w:rPr>
        <w:t>Sen’s</w:t>
      </w:r>
      <w:proofErr w:type="spellEnd"/>
      <w:r w:rsidR="0001509E" w:rsidRPr="00DB459A">
        <w:rPr>
          <w:rFonts w:cs="Arial"/>
          <w:color w:val="1A1A1A"/>
          <w:szCs w:val="26"/>
        </w:rPr>
        <w:t xml:space="preserve"> capability approach: Incorporati</w:t>
      </w:r>
      <w:r w:rsidR="0001509E">
        <w:rPr>
          <w:rFonts w:cs="Arial"/>
          <w:color w:val="1A1A1A"/>
          <w:szCs w:val="26"/>
        </w:rPr>
        <w:t>ng social and individual causes’,</w:t>
      </w:r>
      <w:r w:rsidR="0001509E" w:rsidRPr="00DB459A">
        <w:rPr>
          <w:rFonts w:cs="Arial"/>
          <w:color w:val="1A1A1A"/>
          <w:szCs w:val="26"/>
        </w:rPr>
        <w:t xml:space="preserve"> </w:t>
      </w:r>
      <w:r w:rsidR="0001509E" w:rsidRPr="00DB459A">
        <w:rPr>
          <w:rFonts w:cs="Arial"/>
          <w:i/>
          <w:iCs/>
          <w:color w:val="1A1A1A"/>
          <w:szCs w:val="26"/>
        </w:rPr>
        <w:t>Journal of Human Development and Capabilities</w:t>
      </w:r>
      <w:r w:rsidR="0001509E" w:rsidRPr="00DB459A">
        <w:rPr>
          <w:rFonts w:cs="Arial"/>
          <w:color w:val="1A1A1A"/>
          <w:szCs w:val="26"/>
        </w:rPr>
        <w:t xml:space="preserve">, </w:t>
      </w:r>
      <w:r w:rsidR="0001509E" w:rsidRPr="002D64E3">
        <w:rPr>
          <w:rFonts w:cs="Arial"/>
          <w:b/>
          <w:iCs/>
          <w:color w:val="1A1A1A"/>
          <w:szCs w:val="26"/>
        </w:rPr>
        <w:t>10</w:t>
      </w:r>
      <w:r w:rsidR="0001509E" w:rsidRPr="00DB459A">
        <w:rPr>
          <w:rFonts w:cs="Arial"/>
          <w:color w:val="1A1A1A"/>
          <w:szCs w:val="26"/>
        </w:rPr>
        <w:t xml:space="preserve">(2), </w:t>
      </w:r>
      <w:r w:rsidR="0001509E">
        <w:rPr>
          <w:rFonts w:cs="Arial"/>
          <w:color w:val="1A1A1A"/>
          <w:szCs w:val="26"/>
        </w:rPr>
        <w:t xml:space="preserve">pp. </w:t>
      </w:r>
      <w:r w:rsidR="0001509E" w:rsidRPr="00DB459A">
        <w:rPr>
          <w:rFonts w:cs="Arial"/>
          <w:color w:val="1A1A1A"/>
          <w:szCs w:val="26"/>
        </w:rPr>
        <w:t>213-235</w:t>
      </w:r>
      <w:r w:rsidR="0001509E">
        <w:rPr>
          <w:rFonts w:ascii="Arial" w:hAnsi="Arial" w:cs="Arial"/>
          <w:color w:val="1A1A1A"/>
          <w:sz w:val="26"/>
          <w:szCs w:val="26"/>
        </w:rPr>
        <w:t>.</w:t>
      </w:r>
    </w:p>
    <w:p w:rsidR="008319B8" w:rsidRDefault="0001509E" w:rsidP="008319B8">
      <w:pPr>
        <w:widowControl w:val="0"/>
        <w:tabs>
          <w:tab w:val="left" w:pos="220"/>
          <w:tab w:val="left" w:pos="720"/>
        </w:tabs>
        <w:autoSpaceDE w:val="0"/>
        <w:autoSpaceDN w:val="0"/>
        <w:adjustRightInd w:val="0"/>
        <w:spacing w:line="480" w:lineRule="auto"/>
        <w:ind w:left="737" w:hanging="737"/>
        <w:jc w:val="both"/>
        <w:rPr>
          <w:rFonts w:cs="Verdana"/>
        </w:rPr>
      </w:pPr>
      <w:proofErr w:type="spellStart"/>
      <w:r w:rsidRPr="00477A26">
        <w:rPr>
          <w:rFonts w:cs="Times New Roman"/>
        </w:rPr>
        <w:t>Tobis</w:t>
      </w:r>
      <w:proofErr w:type="spellEnd"/>
      <w:r w:rsidRPr="00477A26">
        <w:rPr>
          <w:rFonts w:cs="Times New Roman"/>
        </w:rPr>
        <w:t xml:space="preserve">, D. (2013) </w:t>
      </w:r>
      <w:r w:rsidRPr="00477A26">
        <w:rPr>
          <w:rFonts w:cs="Times New Roman"/>
          <w:i/>
        </w:rPr>
        <w:t xml:space="preserve">From Pariahs to Partners: How Parents and their Allies Changed New York City’s Child Welfare System, </w:t>
      </w:r>
      <w:r w:rsidRPr="00477A26">
        <w:rPr>
          <w:rFonts w:cs="Times New Roman"/>
        </w:rPr>
        <w:t>Oxford, Oxford University Press.</w:t>
      </w:r>
    </w:p>
    <w:p w:rsidR="008319B8" w:rsidRDefault="00FB0DAA" w:rsidP="008319B8">
      <w:pPr>
        <w:widowControl w:val="0"/>
        <w:tabs>
          <w:tab w:val="left" w:pos="220"/>
          <w:tab w:val="left" w:pos="720"/>
        </w:tabs>
        <w:autoSpaceDE w:val="0"/>
        <w:autoSpaceDN w:val="0"/>
        <w:adjustRightInd w:val="0"/>
        <w:spacing w:line="480" w:lineRule="auto"/>
        <w:ind w:left="737" w:hanging="737"/>
        <w:jc w:val="both"/>
        <w:rPr>
          <w:rFonts w:cs="Verdana"/>
        </w:rPr>
      </w:pPr>
      <w:proofErr w:type="spellStart"/>
      <w:r>
        <w:rPr>
          <w:rFonts w:cs="Arial"/>
          <w:color w:val="1A1A1A"/>
          <w:szCs w:val="26"/>
        </w:rPr>
        <w:t>Wastell</w:t>
      </w:r>
      <w:proofErr w:type="spellEnd"/>
      <w:r>
        <w:rPr>
          <w:rFonts w:cs="Arial"/>
          <w:color w:val="1A1A1A"/>
          <w:szCs w:val="26"/>
        </w:rPr>
        <w:t xml:space="preserve">, D. </w:t>
      </w:r>
      <w:proofErr w:type="gramStart"/>
      <w:r>
        <w:rPr>
          <w:rFonts w:cs="Arial"/>
          <w:color w:val="1A1A1A"/>
          <w:szCs w:val="26"/>
        </w:rPr>
        <w:t>and  White</w:t>
      </w:r>
      <w:proofErr w:type="gramEnd"/>
      <w:r>
        <w:rPr>
          <w:rFonts w:cs="Arial"/>
          <w:color w:val="1A1A1A"/>
          <w:szCs w:val="26"/>
        </w:rPr>
        <w:t>, S. (2012)</w:t>
      </w:r>
      <w:r w:rsidRPr="00951D6A">
        <w:rPr>
          <w:rFonts w:cs="Arial"/>
          <w:color w:val="1A1A1A"/>
          <w:szCs w:val="26"/>
        </w:rPr>
        <w:t xml:space="preserve"> </w:t>
      </w:r>
      <w:r>
        <w:rPr>
          <w:rFonts w:cs="Arial"/>
          <w:color w:val="1A1A1A"/>
          <w:szCs w:val="26"/>
        </w:rPr>
        <w:t>‘</w:t>
      </w:r>
      <w:r w:rsidRPr="00951D6A">
        <w:rPr>
          <w:rFonts w:cs="Arial"/>
          <w:color w:val="1A1A1A"/>
          <w:szCs w:val="26"/>
        </w:rPr>
        <w:t xml:space="preserve">Blinded by neuroscience: Social policy, </w:t>
      </w:r>
      <w:r>
        <w:rPr>
          <w:rFonts w:cs="Arial"/>
          <w:color w:val="1A1A1A"/>
          <w:szCs w:val="26"/>
        </w:rPr>
        <w:t>the family and the infant brain’,</w:t>
      </w:r>
      <w:r w:rsidRPr="00951D6A">
        <w:rPr>
          <w:rFonts w:cs="Arial"/>
          <w:color w:val="1A1A1A"/>
          <w:szCs w:val="26"/>
        </w:rPr>
        <w:t xml:space="preserve"> </w:t>
      </w:r>
      <w:r w:rsidRPr="00951D6A">
        <w:rPr>
          <w:rFonts w:cs="Arial"/>
          <w:i/>
          <w:iCs/>
          <w:color w:val="1A1A1A"/>
          <w:szCs w:val="26"/>
        </w:rPr>
        <w:t>Families, Relationships and Societies</w:t>
      </w:r>
      <w:r w:rsidRPr="00951D6A">
        <w:rPr>
          <w:rFonts w:cs="Arial"/>
          <w:color w:val="1A1A1A"/>
          <w:szCs w:val="26"/>
        </w:rPr>
        <w:t xml:space="preserve">, </w:t>
      </w:r>
      <w:r w:rsidRPr="00937E0A">
        <w:rPr>
          <w:rFonts w:cs="Arial"/>
          <w:b/>
          <w:iCs/>
          <w:color w:val="1A1A1A"/>
          <w:szCs w:val="26"/>
        </w:rPr>
        <w:t>1</w:t>
      </w:r>
      <w:r w:rsidRPr="00951D6A">
        <w:rPr>
          <w:rFonts w:cs="Arial"/>
          <w:color w:val="1A1A1A"/>
          <w:szCs w:val="26"/>
        </w:rPr>
        <w:t xml:space="preserve">(3), </w:t>
      </w:r>
      <w:r>
        <w:rPr>
          <w:rFonts w:cs="Arial"/>
          <w:color w:val="1A1A1A"/>
          <w:szCs w:val="26"/>
        </w:rPr>
        <w:t xml:space="preserve">pp. </w:t>
      </w:r>
      <w:r w:rsidRPr="00951D6A">
        <w:rPr>
          <w:rFonts w:cs="Arial"/>
          <w:color w:val="1A1A1A"/>
          <w:szCs w:val="26"/>
        </w:rPr>
        <w:t>397-414.</w:t>
      </w:r>
    </w:p>
    <w:p w:rsidR="00AE1880" w:rsidRPr="008319B8" w:rsidRDefault="00AE1880" w:rsidP="008319B8">
      <w:pPr>
        <w:widowControl w:val="0"/>
        <w:tabs>
          <w:tab w:val="left" w:pos="220"/>
          <w:tab w:val="left" w:pos="720"/>
        </w:tabs>
        <w:autoSpaceDE w:val="0"/>
        <w:autoSpaceDN w:val="0"/>
        <w:adjustRightInd w:val="0"/>
        <w:spacing w:line="480" w:lineRule="auto"/>
        <w:ind w:left="737" w:hanging="737"/>
        <w:jc w:val="both"/>
        <w:rPr>
          <w:rFonts w:cs="Verdana"/>
        </w:rPr>
      </w:pPr>
      <w:r>
        <w:rPr>
          <w:rFonts w:cs="Arial"/>
          <w:color w:val="1A1A1A"/>
          <w:szCs w:val="26"/>
        </w:rPr>
        <w:t>Wilkinson, R. and Pickett, K. (2009)</w:t>
      </w:r>
      <w:r w:rsidRPr="00476A5C">
        <w:rPr>
          <w:rFonts w:cs="Arial"/>
          <w:color w:val="1A1A1A"/>
          <w:szCs w:val="26"/>
        </w:rPr>
        <w:t xml:space="preserve"> </w:t>
      </w:r>
      <w:r w:rsidRPr="00476A5C">
        <w:rPr>
          <w:rFonts w:cs="Arial"/>
          <w:i/>
          <w:color w:val="1A1A1A"/>
          <w:szCs w:val="26"/>
        </w:rPr>
        <w:t>The Spirit Level: Why more equal societies almost always do better</w:t>
      </w:r>
      <w:r>
        <w:rPr>
          <w:rFonts w:cs="Arial"/>
          <w:color w:val="1A1A1A"/>
          <w:szCs w:val="26"/>
        </w:rPr>
        <w:t xml:space="preserve">, </w:t>
      </w:r>
      <w:r w:rsidRPr="00476A5C">
        <w:rPr>
          <w:rFonts w:cs="Arial"/>
          <w:iCs/>
          <w:color w:val="1A1A1A"/>
          <w:szCs w:val="26"/>
        </w:rPr>
        <w:t>London: Allen Lane</w:t>
      </w:r>
      <w:r w:rsidRPr="00476A5C">
        <w:rPr>
          <w:rFonts w:cs="Arial"/>
          <w:color w:val="1A1A1A"/>
          <w:szCs w:val="26"/>
        </w:rPr>
        <w:t>.</w:t>
      </w:r>
    </w:p>
    <w:p w:rsidR="0001509E" w:rsidRDefault="0001509E" w:rsidP="007844E0">
      <w:pPr>
        <w:spacing w:line="480" w:lineRule="auto"/>
        <w:ind w:hanging="720"/>
        <w:jc w:val="both"/>
      </w:pPr>
    </w:p>
    <w:p w:rsidR="0001509E" w:rsidRPr="00951D6A" w:rsidRDefault="0001509E" w:rsidP="007844E0">
      <w:pPr>
        <w:spacing w:line="480" w:lineRule="auto"/>
        <w:ind w:hanging="720"/>
        <w:jc w:val="both"/>
      </w:pPr>
    </w:p>
    <w:p w:rsidR="005A5D96" w:rsidRPr="00F53603" w:rsidRDefault="005A5D96" w:rsidP="007844E0">
      <w:pPr>
        <w:spacing w:line="480" w:lineRule="auto"/>
        <w:ind w:hanging="720"/>
        <w:jc w:val="both"/>
        <w:rPr>
          <w:rFonts w:cs="Times New Roman"/>
          <w:i/>
          <w:iCs/>
        </w:rPr>
      </w:pPr>
    </w:p>
    <w:sectPr w:rsidR="005A5D96" w:rsidRPr="00F53603" w:rsidSect="002C220E">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7D9" w:rsidRDefault="00FF47D9" w:rsidP="000C7678">
      <w:r>
        <w:separator/>
      </w:r>
    </w:p>
  </w:endnote>
  <w:endnote w:type="continuationSeparator" w:id="0">
    <w:p w:rsidR="00FF47D9" w:rsidRDefault="00FF47D9" w:rsidP="000C767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MyriadMM">
    <w:panose1 w:val="00000000000000000000"/>
    <w:charset w:val="00"/>
    <w:family w:val="roman"/>
    <w:notTrueType/>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Ωvú•'1">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D9" w:rsidRDefault="00752B98" w:rsidP="003B3013">
    <w:pPr>
      <w:pStyle w:val="Footer"/>
      <w:framePr w:wrap="around" w:vAnchor="text" w:hAnchor="margin" w:xAlign="right" w:y="1"/>
      <w:rPr>
        <w:rStyle w:val="PageNumber"/>
      </w:rPr>
    </w:pPr>
    <w:r>
      <w:rPr>
        <w:rStyle w:val="PageNumber"/>
      </w:rPr>
      <w:fldChar w:fldCharType="begin"/>
    </w:r>
    <w:r w:rsidR="00FF47D9">
      <w:rPr>
        <w:rStyle w:val="PageNumber"/>
      </w:rPr>
      <w:instrText xml:space="preserve">PAGE  </w:instrText>
    </w:r>
    <w:r>
      <w:rPr>
        <w:rStyle w:val="PageNumber"/>
      </w:rPr>
      <w:fldChar w:fldCharType="end"/>
    </w:r>
  </w:p>
  <w:p w:rsidR="00FF47D9" w:rsidRDefault="00FF47D9" w:rsidP="00CB60F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D9" w:rsidRDefault="00752B98" w:rsidP="003B3013">
    <w:pPr>
      <w:pStyle w:val="Footer"/>
      <w:framePr w:wrap="around" w:vAnchor="text" w:hAnchor="margin" w:xAlign="right" w:y="1"/>
      <w:rPr>
        <w:rStyle w:val="PageNumber"/>
      </w:rPr>
    </w:pPr>
    <w:r>
      <w:rPr>
        <w:rStyle w:val="PageNumber"/>
      </w:rPr>
      <w:fldChar w:fldCharType="begin"/>
    </w:r>
    <w:r w:rsidR="00FF47D9">
      <w:rPr>
        <w:rStyle w:val="PageNumber"/>
      </w:rPr>
      <w:instrText xml:space="preserve">PAGE  </w:instrText>
    </w:r>
    <w:r>
      <w:rPr>
        <w:rStyle w:val="PageNumber"/>
      </w:rPr>
      <w:fldChar w:fldCharType="separate"/>
    </w:r>
    <w:r w:rsidR="00CD71B9">
      <w:rPr>
        <w:rStyle w:val="PageNumber"/>
        <w:noProof/>
      </w:rPr>
      <w:t>1</w:t>
    </w:r>
    <w:r>
      <w:rPr>
        <w:rStyle w:val="PageNumber"/>
      </w:rPr>
      <w:fldChar w:fldCharType="end"/>
    </w:r>
  </w:p>
  <w:p w:rsidR="00FF47D9" w:rsidRDefault="00FF47D9" w:rsidP="00CB60F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7D9" w:rsidRDefault="00FF47D9" w:rsidP="000C7678">
      <w:r>
        <w:separator/>
      </w:r>
    </w:p>
  </w:footnote>
  <w:footnote w:type="continuationSeparator" w:id="0">
    <w:p w:rsidR="00FF47D9" w:rsidRDefault="00FF47D9" w:rsidP="000C767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6416440"/>
    <w:multiLevelType w:val="hybridMultilevel"/>
    <w:tmpl w:val="80941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9F63BB"/>
    <w:multiLevelType w:val="hybridMultilevel"/>
    <w:tmpl w:val="ADD0B37A"/>
    <w:lvl w:ilvl="0" w:tplc="FD486F80">
      <w:start w:val="1"/>
      <w:numFmt w:val="bullet"/>
      <w:lvlText w:val="•"/>
      <w:lvlJc w:val="left"/>
      <w:pPr>
        <w:tabs>
          <w:tab w:val="num" w:pos="720"/>
        </w:tabs>
        <w:ind w:left="720" w:hanging="360"/>
      </w:pPr>
      <w:rPr>
        <w:rFonts w:ascii="Arial" w:hAnsi="Arial" w:hint="default"/>
      </w:rPr>
    </w:lvl>
    <w:lvl w:ilvl="1" w:tplc="0DBE7D08" w:tentative="1">
      <w:start w:val="1"/>
      <w:numFmt w:val="bullet"/>
      <w:lvlText w:val="•"/>
      <w:lvlJc w:val="left"/>
      <w:pPr>
        <w:tabs>
          <w:tab w:val="num" w:pos="1440"/>
        </w:tabs>
        <w:ind w:left="1440" w:hanging="360"/>
      </w:pPr>
      <w:rPr>
        <w:rFonts w:ascii="Arial" w:hAnsi="Arial" w:hint="default"/>
      </w:rPr>
    </w:lvl>
    <w:lvl w:ilvl="2" w:tplc="10C6DD2C" w:tentative="1">
      <w:start w:val="1"/>
      <w:numFmt w:val="bullet"/>
      <w:lvlText w:val="•"/>
      <w:lvlJc w:val="left"/>
      <w:pPr>
        <w:tabs>
          <w:tab w:val="num" w:pos="2160"/>
        </w:tabs>
        <w:ind w:left="2160" w:hanging="360"/>
      </w:pPr>
      <w:rPr>
        <w:rFonts w:ascii="Arial" w:hAnsi="Arial" w:hint="default"/>
      </w:rPr>
    </w:lvl>
    <w:lvl w:ilvl="3" w:tplc="76AAF89C" w:tentative="1">
      <w:start w:val="1"/>
      <w:numFmt w:val="bullet"/>
      <w:lvlText w:val="•"/>
      <w:lvlJc w:val="left"/>
      <w:pPr>
        <w:tabs>
          <w:tab w:val="num" w:pos="2880"/>
        </w:tabs>
        <w:ind w:left="2880" w:hanging="360"/>
      </w:pPr>
      <w:rPr>
        <w:rFonts w:ascii="Arial" w:hAnsi="Arial" w:hint="default"/>
      </w:rPr>
    </w:lvl>
    <w:lvl w:ilvl="4" w:tplc="190668B8" w:tentative="1">
      <w:start w:val="1"/>
      <w:numFmt w:val="bullet"/>
      <w:lvlText w:val="•"/>
      <w:lvlJc w:val="left"/>
      <w:pPr>
        <w:tabs>
          <w:tab w:val="num" w:pos="3600"/>
        </w:tabs>
        <w:ind w:left="3600" w:hanging="360"/>
      </w:pPr>
      <w:rPr>
        <w:rFonts w:ascii="Arial" w:hAnsi="Arial" w:hint="default"/>
      </w:rPr>
    </w:lvl>
    <w:lvl w:ilvl="5" w:tplc="DA3496E0" w:tentative="1">
      <w:start w:val="1"/>
      <w:numFmt w:val="bullet"/>
      <w:lvlText w:val="•"/>
      <w:lvlJc w:val="left"/>
      <w:pPr>
        <w:tabs>
          <w:tab w:val="num" w:pos="4320"/>
        </w:tabs>
        <w:ind w:left="4320" w:hanging="360"/>
      </w:pPr>
      <w:rPr>
        <w:rFonts w:ascii="Arial" w:hAnsi="Arial" w:hint="default"/>
      </w:rPr>
    </w:lvl>
    <w:lvl w:ilvl="6" w:tplc="ABB84500" w:tentative="1">
      <w:start w:val="1"/>
      <w:numFmt w:val="bullet"/>
      <w:lvlText w:val="•"/>
      <w:lvlJc w:val="left"/>
      <w:pPr>
        <w:tabs>
          <w:tab w:val="num" w:pos="5040"/>
        </w:tabs>
        <w:ind w:left="5040" w:hanging="360"/>
      </w:pPr>
      <w:rPr>
        <w:rFonts w:ascii="Arial" w:hAnsi="Arial" w:hint="default"/>
      </w:rPr>
    </w:lvl>
    <w:lvl w:ilvl="7" w:tplc="7A686ADC" w:tentative="1">
      <w:start w:val="1"/>
      <w:numFmt w:val="bullet"/>
      <w:lvlText w:val="•"/>
      <w:lvlJc w:val="left"/>
      <w:pPr>
        <w:tabs>
          <w:tab w:val="num" w:pos="5760"/>
        </w:tabs>
        <w:ind w:left="5760" w:hanging="360"/>
      </w:pPr>
      <w:rPr>
        <w:rFonts w:ascii="Arial" w:hAnsi="Arial" w:hint="default"/>
      </w:rPr>
    </w:lvl>
    <w:lvl w:ilvl="8" w:tplc="1172B6FE" w:tentative="1">
      <w:start w:val="1"/>
      <w:numFmt w:val="bullet"/>
      <w:lvlText w:val="•"/>
      <w:lvlJc w:val="left"/>
      <w:pPr>
        <w:tabs>
          <w:tab w:val="num" w:pos="6480"/>
        </w:tabs>
        <w:ind w:left="6480" w:hanging="360"/>
      </w:pPr>
      <w:rPr>
        <w:rFonts w:ascii="Arial" w:hAnsi="Arial" w:hint="default"/>
      </w:rPr>
    </w:lvl>
  </w:abstractNum>
  <w:abstractNum w:abstractNumId="3">
    <w:nsid w:val="77B10F1D"/>
    <w:multiLevelType w:val="hybridMultilevel"/>
    <w:tmpl w:val="1F4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2E43D9"/>
    <w:rsid w:val="00000CFA"/>
    <w:rsid w:val="000049A2"/>
    <w:rsid w:val="000052A0"/>
    <w:rsid w:val="00012146"/>
    <w:rsid w:val="0001509E"/>
    <w:rsid w:val="00021137"/>
    <w:rsid w:val="00023A77"/>
    <w:rsid w:val="00024695"/>
    <w:rsid w:val="00024770"/>
    <w:rsid w:val="00027C2C"/>
    <w:rsid w:val="00030398"/>
    <w:rsid w:val="000344B2"/>
    <w:rsid w:val="000478D4"/>
    <w:rsid w:val="00050000"/>
    <w:rsid w:val="00052119"/>
    <w:rsid w:val="00066D6E"/>
    <w:rsid w:val="0007676D"/>
    <w:rsid w:val="00091288"/>
    <w:rsid w:val="00097423"/>
    <w:rsid w:val="000B0336"/>
    <w:rsid w:val="000C7678"/>
    <w:rsid w:val="000D1EC5"/>
    <w:rsid w:val="000D4A41"/>
    <w:rsid w:val="000F7AD8"/>
    <w:rsid w:val="00100F93"/>
    <w:rsid w:val="00106963"/>
    <w:rsid w:val="00111539"/>
    <w:rsid w:val="0011261C"/>
    <w:rsid w:val="00121FB1"/>
    <w:rsid w:val="00123821"/>
    <w:rsid w:val="00135DE8"/>
    <w:rsid w:val="0014121B"/>
    <w:rsid w:val="00144959"/>
    <w:rsid w:val="00146D9D"/>
    <w:rsid w:val="001541BB"/>
    <w:rsid w:val="00157FED"/>
    <w:rsid w:val="0016033D"/>
    <w:rsid w:val="001629DF"/>
    <w:rsid w:val="00166E9C"/>
    <w:rsid w:val="00176E0D"/>
    <w:rsid w:val="001929D6"/>
    <w:rsid w:val="001A3AE8"/>
    <w:rsid w:val="001A3E7E"/>
    <w:rsid w:val="001C4F28"/>
    <w:rsid w:val="001C6637"/>
    <w:rsid w:val="001D2BC9"/>
    <w:rsid w:val="001D4C4C"/>
    <w:rsid w:val="001E0C94"/>
    <w:rsid w:val="001E1DAC"/>
    <w:rsid w:val="001F7716"/>
    <w:rsid w:val="00220C96"/>
    <w:rsid w:val="00232239"/>
    <w:rsid w:val="0023488C"/>
    <w:rsid w:val="00234C0F"/>
    <w:rsid w:val="0025349B"/>
    <w:rsid w:val="002609AE"/>
    <w:rsid w:val="002616DD"/>
    <w:rsid w:val="0026414B"/>
    <w:rsid w:val="002645A9"/>
    <w:rsid w:val="002745CF"/>
    <w:rsid w:val="002749F2"/>
    <w:rsid w:val="002921DC"/>
    <w:rsid w:val="002B70D2"/>
    <w:rsid w:val="002C220E"/>
    <w:rsid w:val="002E43D9"/>
    <w:rsid w:val="002E7B89"/>
    <w:rsid w:val="002F3837"/>
    <w:rsid w:val="00302C20"/>
    <w:rsid w:val="0030397B"/>
    <w:rsid w:val="00306EE8"/>
    <w:rsid w:val="00324B31"/>
    <w:rsid w:val="003327FF"/>
    <w:rsid w:val="00340574"/>
    <w:rsid w:val="00342277"/>
    <w:rsid w:val="003422DB"/>
    <w:rsid w:val="00345AFA"/>
    <w:rsid w:val="00347513"/>
    <w:rsid w:val="00352CE1"/>
    <w:rsid w:val="00373B65"/>
    <w:rsid w:val="00374321"/>
    <w:rsid w:val="00390446"/>
    <w:rsid w:val="003B0722"/>
    <w:rsid w:val="003B3013"/>
    <w:rsid w:val="003B380B"/>
    <w:rsid w:val="003D17D0"/>
    <w:rsid w:val="003D431B"/>
    <w:rsid w:val="003D5E2D"/>
    <w:rsid w:val="003D77B5"/>
    <w:rsid w:val="003D7D94"/>
    <w:rsid w:val="003E2701"/>
    <w:rsid w:val="00402B3E"/>
    <w:rsid w:val="00403F96"/>
    <w:rsid w:val="00404B7D"/>
    <w:rsid w:val="00415312"/>
    <w:rsid w:val="0042026B"/>
    <w:rsid w:val="00420A72"/>
    <w:rsid w:val="004212D2"/>
    <w:rsid w:val="00425E16"/>
    <w:rsid w:val="00425F59"/>
    <w:rsid w:val="00433DF2"/>
    <w:rsid w:val="0043575C"/>
    <w:rsid w:val="00442E6A"/>
    <w:rsid w:val="0045283F"/>
    <w:rsid w:val="00474EA6"/>
    <w:rsid w:val="00476E02"/>
    <w:rsid w:val="00482F23"/>
    <w:rsid w:val="004859AC"/>
    <w:rsid w:val="004925BB"/>
    <w:rsid w:val="004A345E"/>
    <w:rsid w:val="004D1F33"/>
    <w:rsid w:val="004D6230"/>
    <w:rsid w:val="004E4DA8"/>
    <w:rsid w:val="004F46D4"/>
    <w:rsid w:val="00500E09"/>
    <w:rsid w:val="00506579"/>
    <w:rsid w:val="005127C1"/>
    <w:rsid w:val="005147F9"/>
    <w:rsid w:val="005236AD"/>
    <w:rsid w:val="00524536"/>
    <w:rsid w:val="00525265"/>
    <w:rsid w:val="00525FA0"/>
    <w:rsid w:val="00543501"/>
    <w:rsid w:val="00544594"/>
    <w:rsid w:val="005451C6"/>
    <w:rsid w:val="00546EE2"/>
    <w:rsid w:val="00552DFA"/>
    <w:rsid w:val="00557E81"/>
    <w:rsid w:val="0056371A"/>
    <w:rsid w:val="00565D2B"/>
    <w:rsid w:val="0058119E"/>
    <w:rsid w:val="00593A34"/>
    <w:rsid w:val="005A111C"/>
    <w:rsid w:val="005A5D96"/>
    <w:rsid w:val="005A77E1"/>
    <w:rsid w:val="005B1E93"/>
    <w:rsid w:val="005B2328"/>
    <w:rsid w:val="005C64FA"/>
    <w:rsid w:val="005D7F9E"/>
    <w:rsid w:val="005F55DA"/>
    <w:rsid w:val="00600B58"/>
    <w:rsid w:val="00627EB2"/>
    <w:rsid w:val="00635E3F"/>
    <w:rsid w:val="00636088"/>
    <w:rsid w:val="0063694D"/>
    <w:rsid w:val="006411A7"/>
    <w:rsid w:val="0064314F"/>
    <w:rsid w:val="00654426"/>
    <w:rsid w:val="00655ED1"/>
    <w:rsid w:val="00656301"/>
    <w:rsid w:val="00666FFD"/>
    <w:rsid w:val="006671DC"/>
    <w:rsid w:val="00667A81"/>
    <w:rsid w:val="0067220D"/>
    <w:rsid w:val="00693A76"/>
    <w:rsid w:val="00694422"/>
    <w:rsid w:val="006B5B5F"/>
    <w:rsid w:val="006C53F9"/>
    <w:rsid w:val="006D774B"/>
    <w:rsid w:val="006E0CCB"/>
    <w:rsid w:val="006F0857"/>
    <w:rsid w:val="007027B9"/>
    <w:rsid w:val="00704665"/>
    <w:rsid w:val="007064D9"/>
    <w:rsid w:val="00713857"/>
    <w:rsid w:val="007236A2"/>
    <w:rsid w:val="00725902"/>
    <w:rsid w:val="0073427A"/>
    <w:rsid w:val="00745EDE"/>
    <w:rsid w:val="00752B98"/>
    <w:rsid w:val="007632AA"/>
    <w:rsid w:val="0076619B"/>
    <w:rsid w:val="007675DE"/>
    <w:rsid w:val="00770F33"/>
    <w:rsid w:val="007820A8"/>
    <w:rsid w:val="007844E0"/>
    <w:rsid w:val="007B663F"/>
    <w:rsid w:val="007D1AB0"/>
    <w:rsid w:val="007E430E"/>
    <w:rsid w:val="007E604B"/>
    <w:rsid w:val="00810038"/>
    <w:rsid w:val="00813702"/>
    <w:rsid w:val="00814B1C"/>
    <w:rsid w:val="008202F1"/>
    <w:rsid w:val="008319B8"/>
    <w:rsid w:val="008432A4"/>
    <w:rsid w:val="0085552E"/>
    <w:rsid w:val="008618C9"/>
    <w:rsid w:val="00864184"/>
    <w:rsid w:val="0086548F"/>
    <w:rsid w:val="008744AF"/>
    <w:rsid w:val="00876C5B"/>
    <w:rsid w:val="00880240"/>
    <w:rsid w:val="008807E4"/>
    <w:rsid w:val="00882CB7"/>
    <w:rsid w:val="008966E6"/>
    <w:rsid w:val="008A42E0"/>
    <w:rsid w:val="008C46EE"/>
    <w:rsid w:val="008D2B81"/>
    <w:rsid w:val="008D2F9F"/>
    <w:rsid w:val="008D7A90"/>
    <w:rsid w:val="008E2012"/>
    <w:rsid w:val="008E271B"/>
    <w:rsid w:val="0091424C"/>
    <w:rsid w:val="009156CF"/>
    <w:rsid w:val="00917AC5"/>
    <w:rsid w:val="00917C02"/>
    <w:rsid w:val="00922DBC"/>
    <w:rsid w:val="009250B3"/>
    <w:rsid w:val="00925B01"/>
    <w:rsid w:val="00926368"/>
    <w:rsid w:val="00926613"/>
    <w:rsid w:val="009468DB"/>
    <w:rsid w:val="00946B8C"/>
    <w:rsid w:val="009506C4"/>
    <w:rsid w:val="00957812"/>
    <w:rsid w:val="00964E01"/>
    <w:rsid w:val="00966C34"/>
    <w:rsid w:val="00987E2B"/>
    <w:rsid w:val="009936D7"/>
    <w:rsid w:val="009970DF"/>
    <w:rsid w:val="009A23AE"/>
    <w:rsid w:val="009B463D"/>
    <w:rsid w:val="009C4665"/>
    <w:rsid w:val="009E16C9"/>
    <w:rsid w:val="009F29F8"/>
    <w:rsid w:val="009F2E84"/>
    <w:rsid w:val="00A04718"/>
    <w:rsid w:val="00A05035"/>
    <w:rsid w:val="00A0671D"/>
    <w:rsid w:val="00A06B57"/>
    <w:rsid w:val="00A16849"/>
    <w:rsid w:val="00A22A35"/>
    <w:rsid w:val="00A26E11"/>
    <w:rsid w:val="00A40462"/>
    <w:rsid w:val="00A51933"/>
    <w:rsid w:val="00A674CF"/>
    <w:rsid w:val="00A75EDC"/>
    <w:rsid w:val="00A90B65"/>
    <w:rsid w:val="00AB2B08"/>
    <w:rsid w:val="00AB6181"/>
    <w:rsid w:val="00AD4D05"/>
    <w:rsid w:val="00AD527A"/>
    <w:rsid w:val="00AD5E4F"/>
    <w:rsid w:val="00AE1880"/>
    <w:rsid w:val="00AE6E5E"/>
    <w:rsid w:val="00AE7614"/>
    <w:rsid w:val="00AF12F2"/>
    <w:rsid w:val="00AF35F9"/>
    <w:rsid w:val="00AF4B54"/>
    <w:rsid w:val="00B03EA7"/>
    <w:rsid w:val="00B04958"/>
    <w:rsid w:val="00B110DD"/>
    <w:rsid w:val="00B11619"/>
    <w:rsid w:val="00B2113F"/>
    <w:rsid w:val="00B278B9"/>
    <w:rsid w:val="00B47588"/>
    <w:rsid w:val="00B54C25"/>
    <w:rsid w:val="00B57ED5"/>
    <w:rsid w:val="00B61F8F"/>
    <w:rsid w:val="00B62A0A"/>
    <w:rsid w:val="00B73B04"/>
    <w:rsid w:val="00B73C37"/>
    <w:rsid w:val="00B81AFB"/>
    <w:rsid w:val="00BA379D"/>
    <w:rsid w:val="00BA5E5F"/>
    <w:rsid w:val="00BB2BEE"/>
    <w:rsid w:val="00BB3468"/>
    <w:rsid w:val="00BB4723"/>
    <w:rsid w:val="00BC1001"/>
    <w:rsid w:val="00BD0391"/>
    <w:rsid w:val="00BD3FD6"/>
    <w:rsid w:val="00BD4F99"/>
    <w:rsid w:val="00BE5865"/>
    <w:rsid w:val="00C00CA0"/>
    <w:rsid w:val="00C019D8"/>
    <w:rsid w:val="00C03E5C"/>
    <w:rsid w:val="00C110A6"/>
    <w:rsid w:val="00C15B49"/>
    <w:rsid w:val="00C27B9F"/>
    <w:rsid w:val="00C400EF"/>
    <w:rsid w:val="00C420F1"/>
    <w:rsid w:val="00C42C05"/>
    <w:rsid w:val="00C4713B"/>
    <w:rsid w:val="00C6298F"/>
    <w:rsid w:val="00C63A6E"/>
    <w:rsid w:val="00C7078B"/>
    <w:rsid w:val="00C86F0A"/>
    <w:rsid w:val="00C96751"/>
    <w:rsid w:val="00CB60F8"/>
    <w:rsid w:val="00CC1410"/>
    <w:rsid w:val="00CC2B52"/>
    <w:rsid w:val="00CD71B9"/>
    <w:rsid w:val="00CD77C0"/>
    <w:rsid w:val="00CE53E2"/>
    <w:rsid w:val="00CE6C2C"/>
    <w:rsid w:val="00CF09F0"/>
    <w:rsid w:val="00CF7C3F"/>
    <w:rsid w:val="00D03039"/>
    <w:rsid w:val="00D05E1F"/>
    <w:rsid w:val="00D17109"/>
    <w:rsid w:val="00D2290C"/>
    <w:rsid w:val="00D33EEC"/>
    <w:rsid w:val="00D34B28"/>
    <w:rsid w:val="00D434B8"/>
    <w:rsid w:val="00D4425F"/>
    <w:rsid w:val="00D457AB"/>
    <w:rsid w:val="00D56200"/>
    <w:rsid w:val="00D71389"/>
    <w:rsid w:val="00D759E6"/>
    <w:rsid w:val="00D8163C"/>
    <w:rsid w:val="00D86039"/>
    <w:rsid w:val="00DB4348"/>
    <w:rsid w:val="00DB5CB9"/>
    <w:rsid w:val="00DC2BC1"/>
    <w:rsid w:val="00DD1F10"/>
    <w:rsid w:val="00DE2F18"/>
    <w:rsid w:val="00DF1165"/>
    <w:rsid w:val="00DF77E4"/>
    <w:rsid w:val="00E01994"/>
    <w:rsid w:val="00E06B94"/>
    <w:rsid w:val="00E17484"/>
    <w:rsid w:val="00E27AED"/>
    <w:rsid w:val="00E331A7"/>
    <w:rsid w:val="00E33A0E"/>
    <w:rsid w:val="00E36599"/>
    <w:rsid w:val="00E52D92"/>
    <w:rsid w:val="00E602C7"/>
    <w:rsid w:val="00E60E4B"/>
    <w:rsid w:val="00E63FBC"/>
    <w:rsid w:val="00E83477"/>
    <w:rsid w:val="00E859D3"/>
    <w:rsid w:val="00E90CB8"/>
    <w:rsid w:val="00E95A30"/>
    <w:rsid w:val="00EA0C62"/>
    <w:rsid w:val="00EA3121"/>
    <w:rsid w:val="00EB710B"/>
    <w:rsid w:val="00EC57A0"/>
    <w:rsid w:val="00EC67E0"/>
    <w:rsid w:val="00ED4FF2"/>
    <w:rsid w:val="00ED7E96"/>
    <w:rsid w:val="00EE44E3"/>
    <w:rsid w:val="00EF6440"/>
    <w:rsid w:val="00F14710"/>
    <w:rsid w:val="00F17800"/>
    <w:rsid w:val="00F20012"/>
    <w:rsid w:val="00F32642"/>
    <w:rsid w:val="00F43D8B"/>
    <w:rsid w:val="00F457E4"/>
    <w:rsid w:val="00F53151"/>
    <w:rsid w:val="00F53603"/>
    <w:rsid w:val="00F54FD5"/>
    <w:rsid w:val="00F555E6"/>
    <w:rsid w:val="00F651B4"/>
    <w:rsid w:val="00F662E9"/>
    <w:rsid w:val="00F85345"/>
    <w:rsid w:val="00F962C7"/>
    <w:rsid w:val="00FA6252"/>
    <w:rsid w:val="00FB05A0"/>
    <w:rsid w:val="00FB0DAA"/>
    <w:rsid w:val="00FB17C9"/>
    <w:rsid w:val="00FC63D9"/>
    <w:rsid w:val="00FD00C3"/>
    <w:rsid w:val="00FD13BC"/>
    <w:rsid w:val="00FD1837"/>
    <w:rsid w:val="00FD44C4"/>
    <w:rsid w:val="00FD650C"/>
    <w:rsid w:val="00FE2F52"/>
    <w:rsid w:val="00FF4298"/>
    <w:rsid w:val="00FF47D9"/>
    <w:rsid w:val="00FF6F15"/>
  </w:rsids>
  <m:mathPr>
    <m:mathFont m:val="SimSun"/>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A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80240"/>
    <w:pPr>
      <w:ind w:left="720"/>
      <w:contextualSpacing/>
    </w:pPr>
    <w:rPr>
      <w:rFonts w:ascii="Times" w:hAnsi="Times"/>
      <w:sz w:val="20"/>
      <w:szCs w:val="20"/>
      <w:lang w:val="en-GB" w:eastAsia="en-US"/>
    </w:rPr>
  </w:style>
  <w:style w:type="paragraph" w:customStyle="1" w:styleId="CoverText">
    <w:name w:val="CoverText"/>
    <w:basedOn w:val="Normal"/>
    <w:rsid w:val="0045283F"/>
    <w:pPr>
      <w:jc w:val="right"/>
    </w:pPr>
    <w:rPr>
      <w:rFonts w:ascii="Times New Roman" w:eastAsia="Times New Roman" w:hAnsi="Times New Roman" w:cs="Times New Roman"/>
      <w:szCs w:val="20"/>
      <w:u w:val="single"/>
      <w:lang w:val="en-GB" w:eastAsia="en-US"/>
    </w:rPr>
  </w:style>
  <w:style w:type="paragraph" w:customStyle="1" w:styleId="Default">
    <w:name w:val="Default"/>
    <w:rsid w:val="00BB2BEE"/>
    <w:pPr>
      <w:widowControl w:val="0"/>
      <w:autoSpaceDE w:val="0"/>
      <w:autoSpaceDN w:val="0"/>
      <w:adjustRightInd w:val="0"/>
    </w:pPr>
    <w:rPr>
      <w:rFonts w:ascii="MyriadMM" w:hAnsi="MyriadMM" w:cs="MyriadMM"/>
      <w:color w:val="000000"/>
    </w:rPr>
  </w:style>
  <w:style w:type="paragraph" w:styleId="Footer">
    <w:name w:val="footer"/>
    <w:basedOn w:val="Normal"/>
    <w:link w:val="FooterChar"/>
    <w:rsid w:val="00CB60F8"/>
    <w:pPr>
      <w:tabs>
        <w:tab w:val="center" w:pos="4320"/>
        <w:tab w:val="right" w:pos="8640"/>
      </w:tabs>
    </w:pPr>
  </w:style>
  <w:style w:type="character" w:customStyle="1" w:styleId="FooterChar">
    <w:name w:val="Footer Char"/>
    <w:basedOn w:val="DefaultParagraphFont"/>
    <w:link w:val="Footer"/>
    <w:rsid w:val="00CB60F8"/>
  </w:style>
  <w:style w:type="character" w:styleId="PageNumber">
    <w:name w:val="page number"/>
    <w:basedOn w:val="DefaultParagraphFont"/>
    <w:rsid w:val="00CB60F8"/>
  </w:style>
  <w:style w:type="character" w:styleId="CommentReference">
    <w:name w:val="annotation reference"/>
    <w:basedOn w:val="DefaultParagraphFont"/>
    <w:rsid w:val="00176E0D"/>
    <w:rPr>
      <w:sz w:val="16"/>
      <w:szCs w:val="16"/>
    </w:rPr>
  </w:style>
  <w:style w:type="paragraph" w:styleId="CommentText">
    <w:name w:val="annotation text"/>
    <w:basedOn w:val="Normal"/>
    <w:link w:val="CommentTextChar"/>
    <w:rsid w:val="00176E0D"/>
    <w:rPr>
      <w:sz w:val="20"/>
      <w:szCs w:val="20"/>
    </w:rPr>
  </w:style>
  <w:style w:type="character" w:customStyle="1" w:styleId="CommentTextChar">
    <w:name w:val="Comment Text Char"/>
    <w:basedOn w:val="DefaultParagraphFont"/>
    <w:link w:val="CommentText"/>
    <w:rsid w:val="00176E0D"/>
    <w:rPr>
      <w:sz w:val="20"/>
      <w:szCs w:val="20"/>
    </w:rPr>
  </w:style>
  <w:style w:type="paragraph" w:styleId="CommentSubject">
    <w:name w:val="annotation subject"/>
    <w:basedOn w:val="CommentText"/>
    <w:next w:val="CommentText"/>
    <w:link w:val="CommentSubjectChar"/>
    <w:rsid w:val="00176E0D"/>
    <w:rPr>
      <w:b/>
      <w:bCs/>
    </w:rPr>
  </w:style>
  <w:style w:type="character" w:customStyle="1" w:styleId="CommentSubjectChar">
    <w:name w:val="Comment Subject Char"/>
    <w:basedOn w:val="CommentTextChar"/>
    <w:link w:val="CommentSubject"/>
    <w:rsid w:val="00176E0D"/>
    <w:rPr>
      <w:b/>
      <w:bCs/>
      <w:sz w:val="20"/>
      <w:szCs w:val="20"/>
    </w:rPr>
  </w:style>
  <w:style w:type="paragraph" w:styleId="BalloonText">
    <w:name w:val="Balloon Text"/>
    <w:basedOn w:val="Normal"/>
    <w:link w:val="BalloonTextChar"/>
    <w:rsid w:val="00176E0D"/>
    <w:rPr>
      <w:rFonts w:ascii="Tahoma" w:hAnsi="Tahoma" w:cs="Tahoma"/>
      <w:sz w:val="16"/>
      <w:szCs w:val="16"/>
    </w:rPr>
  </w:style>
  <w:style w:type="character" w:customStyle="1" w:styleId="BalloonTextChar">
    <w:name w:val="Balloon Text Char"/>
    <w:basedOn w:val="DefaultParagraphFont"/>
    <w:link w:val="BalloonText"/>
    <w:rsid w:val="00176E0D"/>
    <w:rPr>
      <w:rFonts w:ascii="Tahoma" w:hAnsi="Tahoma" w:cs="Tahoma"/>
      <w:sz w:val="16"/>
      <w:szCs w:val="16"/>
    </w:rPr>
  </w:style>
  <w:style w:type="character" w:styleId="Hyperlink">
    <w:name w:val="Hyperlink"/>
    <w:basedOn w:val="DefaultParagraphFont"/>
    <w:uiPriority w:val="99"/>
    <w:unhideWhenUsed/>
    <w:rsid w:val="0001509E"/>
    <w:rPr>
      <w:color w:val="0000FF" w:themeColor="hyperlink"/>
      <w:u w:val="single"/>
    </w:rPr>
  </w:style>
  <w:style w:type="paragraph" w:styleId="BodyText">
    <w:name w:val="Body Text"/>
    <w:basedOn w:val="Normal"/>
    <w:link w:val="BodyTextChar"/>
    <w:rsid w:val="0001509E"/>
    <w:pPr>
      <w:jc w:val="both"/>
    </w:pPr>
    <w:rPr>
      <w:rFonts w:ascii="Times New Roman" w:eastAsia="Times New Roman" w:hAnsi="Times New Roman" w:cs="Times New Roman"/>
      <w:lang w:val="en-GB" w:eastAsia="en-US"/>
    </w:rPr>
  </w:style>
  <w:style w:type="character" w:customStyle="1" w:styleId="BodyTextChar">
    <w:name w:val="Body Text Char"/>
    <w:basedOn w:val="DefaultParagraphFont"/>
    <w:link w:val="BodyText"/>
    <w:rsid w:val="0001509E"/>
    <w:rPr>
      <w:rFonts w:ascii="Times New Roman" w:eastAsia="Times New Roman" w:hAnsi="Times New Roman" w:cs="Times New Roman"/>
      <w:lang w:val="en-GB" w:eastAsia="en-US"/>
    </w:rPr>
  </w:style>
  <w:style w:type="paragraph" w:styleId="NormalWeb">
    <w:name w:val="Normal (Web)"/>
    <w:basedOn w:val="Normal"/>
    <w:uiPriority w:val="99"/>
    <w:unhideWhenUsed/>
    <w:rsid w:val="0001509E"/>
    <w:pPr>
      <w:spacing w:before="100" w:beforeAutospacing="1" w:after="100" w:afterAutospacing="1"/>
    </w:pPr>
    <w:rPr>
      <w:rFonts w:ascii="Times" w:hAnsi="Times" w:cs="Times New Roman"/>
      <w:sz w:val="20"/>
      <w:szCs w:val="20"/>
      <w:lang w:val="en-GB" w:eastAsia="en-US"/>
    </w:rPr>
  </w:style>
  <w:style w:type="character" w:styleId="FollowedHyperlink">
    <w:name w:val="FollowedHyperlink"/>
    <w:basedOn w:val="DefaultParagraphFont"/>
    <w:rsid w:val="006B5B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240"/>
    <w:pPr>
      <w:ind w:left="720"/>
      <w:contextualSpacing/>
    </w:pPr>
    <w:rPr>
      <w:rFonts w:ascii="Times" w:hAnsi="Times"/>
      <w:sz w:val="20"/>
      <w:szCs w:val="20"/>
      <w:lang w:val="en-GB" w:eastAsia="en-US"/>
    </w:rPr>
  </w:style>
  <w:style w:type="paragraph" w:customStyle="1" w:styleId="CoverText">
    <w:name w:val="CoverText"/>
    <w:basedOn w:val="Normal"/>
    <w:rsid w:val="0045283F"/>
    <w:pPr>
      <w:jc w:val="right"/>
    </w:pPr>
    <w:rPr>
      <w:rFonts w:ascii="Times New Roman" w:eastAsia="Times New Roman" w:hAnsi="Times New Roman" w:cs="Times New Roman"/>
      <w:szCs w:val="20"/>
      <w:u w:val="single"/>
      <w:lang w:val="en-GB" w:eastAsia="en-US"/>
    </w:rPr>
  </w:style>
  <w:style w:type="paragraph" w:customStyle="1" w:styleId="Default">
    <w:name w:val="Default"/>
    <w:rsid w:val="00BB2BEE"/>
    <w:pPr>
      <w:widowControl w:val="0"/>
      <w:autoSpaceDE w:val="0"/>
      <w:autoSpaceDN w:val="0"/>
      <w:adjustRightInd w:val="0"/>
    </w:pPr>
    <w:rPr>
      <w:rFonts w:ascii="MyriadMM" w:hAnsi="MyriadMM" w:cs="MyriadMM"/>
      <w:color w:val="000000"/>
    </w:rPr>
  </w:style>
  <w:style w:type="paragraph" w:styleId="Footer">
    <w:name w:val="footer"/>
    <w:basedOn w:val="Normal"/>
    <w:link w:val="FooterChar"/>
    <w:rsid w:val="00CB60F8"/>
    <w:pPr>
      <w:tabs>
        <w:tab w:val="center" w:pos="4320"/>
        <w:tab w:val="right" w:pos="8640"/>
      </w:tabs>
    </w:pPr>
  </w:style>
  <w:style w:type="character" w:customStyle="1" w:styleId="FooterChar">
    <w:name w:val="Footer Char"/>
    <w:basedOn w:val="DefaultParagraphFont"/>
    <w:link w:val="Footer"/>
    <w:rsid w:val="00CB60F8"/>
  </w:style>
  <w:style w:type="character" w:styleId="PageNumber">
    <w:name w:val="page number"/>
    <w:basedOn w:val="DefaultParagraphFont"/>
    <w:rsid w:val="00CB60F8"/>
  </w:style>
  <w:style w:type="character" w:styleId="CommentReference">
    <w:name w:val="annotation reference"/>
    <w:basedOn w:val="DefaultParagraphFont"/>
    <w:rsid w:val="00176E0D"/>
    <w:rPr>
      <w:sz w:val="16"/>
      <w:szCs w:val="16"/>
    </w:rPr>
  </w:style>
  <w:style w:type="paragraph" w:styleId="CommentText">
    <w:name w:val="annotation text"/>
    <w:basedOn w:val="Normal"/>
    <w:link w:val="CommentTextChar"/>
    <w:rsid w:val="00176E0D"/>
    <w:rPr>
      <w:sz w:val="20"/>
      <w:szCs w:val="20"/>
    </w:rPr>
  </w:style>
  <w:style w:type="character" w:customStyle="1" w:styleId="CommentTextChar">
    <w:name w:val="Comment Text Char"/>
    <w:basedOn w:val="DefaultParagraphFont"/>
    <w:link w:val="CommentText"/>
    <w:rsid w:val="00176E0D"/>
    <w:rPr>
      <w:sz w:val="20"/>
      <w:szCs w:val="20"/>
    </w:rPr>
  </w:style>
  <w:style w:type="paragraph" w:styleId="CommentSubject">
    <w:name w:val="annotation subject"/>
    <w:basedOn w:val="CommentText"/>
    <w:next w:val="CommentText"/>
    <w:link w:val="CommentSubjectChar"/>
    <w:rsid w:val="00176E0D"/>
    <w:rPr>
      <w:b/>
      <w:bCs/>
    </w:rPr>
  </w:style>
  <w:style w:type="character" w:customStyle="1" w:styleId="CommentSubjectChar">
    <w:name w:val="Comment Subject Char"/>
    <w:basedOn w:val="CommentTextChar"/>
    <w:link w:val="CommentSubject"/>
    <w:rsid w:val="00176E0D"/>
    <w:rPr>
      <w:b/>
      <w:bCs/>
      <w:sz w:val="20"/>
      <w:szCs w:val="20"/>
    </w:rPr>
  </w:style>
  <w:style w:type="paragraph" w:styleId="BalloonText">
    <w:name w:val="Balloon Text"/>
    <w:basedOn w:val="Normal"/>
    <w:link w:val="BalloonTextChar"/>
    <w:rsid w:val="00176E0D"/>
    <w:rPr>
      <w:rFonts w:ascii="Tahoma" w:hAnsi="Tahoma" w:cs="Tahoma"/>
      <w:sz w:val="16"/>
      <w:szCs w:val="16"/>
    </w:rPr>
  </w:style>
  <w:style w:type="character" w:customStyle="1" w:styleId="BalloonTextChar">
    <w:name w:val="Balloon Text Char"/>
    <w:basedOn w:val="DefaultParagraphFont"/>
    <w:link w:val="BalloonText"/>
    <w:rsid w:val="00176E0D"/>
    <w:rPr>
      <w:rFonts w:ascii="Tahoma" w:hAnsi="Tahoma" w:cs="Tahoma"/>
      <w:sz w:val="16"/>
      <w:szCs w:val="16"/>
    </w:rPr>
  </w:style>
  <w:style w:type="character" w:styleId="Hyperlink">
    <w:name w:val="Hyperlink"/>
    <w:basedOn w:val="DefaultParagraphFont"/>
    <w:uiPriority w:val="99"/>
    <w:unhideWhenUsed/>
    <w:rsid w:val="0001509E"/>
    <w:rPr>
      <w:color w:val="0000FF" w:themeColor="hyperlink"/>
      <w:u w:val="single"/>
    </w:rPr>
  </w:style>
  <w:style w:type="paragraph" w:styleId="BodyText">
    <w:name w:val="Body Text"/>
    <w:basedOn w:val="Normal"/>
    <w:link w:val="BodyTextChar"/>
    <w:rsid w:val="0001509E"/>
    <w:pPr>
      <w:jc w:val="both"/>
    </w:pPr>
    <w:rPr>
      <w:rFonts w:ascii="Times New Roman" w:eastAsia="Times New Roman" w:hAnsi="Times New Roman" w:cs="Times New Roman"/>
      <w:lang w:val="en-GB" w:eastAsia="en-US"/>
    </w:rPr>
  </w:style>
  <w:style w:type="character" w:customStyle="1" w:styleId="BodyTextChar">
    <w:name w:val="Body Text Char"/>
    <w:basedOn w:val="DefaultParagraphFont"/>
    <w:link w:val="BodyText"/>
    <w:rsid w:val="0001509E"/>
    <w:rPr>
      <w:rFonts w:ascii="Times New Roman" w:eastAsia="Times New Roman" w:hAnsi="Times New Roman" w:cs="Times New Roman"/>
      <w:lang w:val="en-GB" w:eastAsia="en-US"/>
    </w:rPr>
  </w:style>
  <w:style w:type="paragraph" w:styleId="NormalWeb">
    <w:name w:val="Normal (Web)"/>
    <w:basedOn w:val="Normal"/>
    <w:uiPriority w:val="99"/>
    <w:unhideWhenUsed/>
    <w:rsid w:val="0001509E"/>
    <w:pPr>
      <w:spacing w:before="100" w:beforeAutospacing="1" w:after="100" w:afterAutospacing="1"/>
    </w:pPr>
    <w:rPr>
      <w:rFonts w:ascii="Times" w:hAnsi="Times" w:cs="Times New Roman"/>
      <w:sz w:val="20"/>
      <w:szCs w:val="20"/>
      <w:lang w:val="en-GB" w:eastAsia="en-US"/>
    </w:rPr>
  </w:style>
  <w:style w:type="character" w:styleId="FollowedHyperlink">
    <w:name w:val="FollowedHyperlink"/>
    <w:basedOn w:val="DefaultParagraphFont"/>
    <w:rsid w:val="006B5B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7601349">
      <w:bodyDiv w:val="1"/>
      <w:marLeft w:val="0"/>
      <w:marRight w:val="0"/>
      <w:marTop w:val="0"/>
      <w:marBottom w:val="0"/>
      <w:divBdr>
        <w:top w:val="none" w:sz="0" w:space="0" w:color="auto"/>
        <w:left w:val="none" w:sz="0" w:space="0" w:color="auto"/>
        <w:bottom w:val="none" w:sz="0" w:space="0" w:color="auto"/>
        <w:right w:val="none" w:sz="0" w:space="0" w:color="auto"/>
      </w:divBdr>
      <w:divsChild>
        <w:div w:id="975260287">
          <w:marLeft w:val="547"/>
          <w:marRight w:val="0"/>
          <w:marTop w:val="120"/>
          <w:marBottom w:val="0"/>
          <w:divBdr>
            <w:top w:val="none" w:sz="0" w:space="0" w:color="auto"/>
            <w:left w:val="none" w:sz="0" w:space="0" w:color="auto"/>
            <w:bottom w:val="none" w:sz="0" w:space="0" w:color="auto"/>
            <w:right w:val="none" w:sz="0" w:space="0" w:color="auto"/>
          </w:divBdr>
        </w:div>
      </w:divsChild>
    </w:div>
    <w:div w:id="839546226">
      <w:bodyDiv w:val="1"/>
      <w:marLeft w:val="0"/>
      <w:marRight w:val="0"/>
      <w:marTop w:val="0"/>
      <w:marBottom w:val="0"/>
      <w:divBdr>
        <w:top w:val="none" w:sz="0" w:space="0" w:color="auto"/>
        <w:left w:val="none" w:sz="0" w:space="0" w:color="auto"/>
        <w:bottom w:val="none" w:sz="0" w:space="0" w:color="auto"/>
        <w:right w:val="none" w:sz="0" w:space="0" w:color="auto"/>
      </w:divBdr>
      <w:divsChild>
        <w:div w:id="73211830">
          <w:marLeft w:val="1166"/>
          <w:marRight w:val="0"/>
          <w:marTop w:val="0"/>
          <w:marBottom w:val="0"/>
          <w:divBdr>
            <w:top w:val="none" w:sz="0" w:space="0" w:color="auto"/>
            <w:left w:val="none" w:sz="0" w:space="0" w:color="auto"/>
            <w:bottom w:val="none" w:sz="0" w:space="0" w:color="auto"/>
            <w:right w:val="none" w:sz="0" w:space="0" w:color="auto"/>
          </w:divBdr>
        </w:div>
        <w:div w:id="273942393">
          <w:marLeft w:val="1166"/>
          <w:marRight w:val="0"/>
          <w:marTop w:val="0"/>
          <w:marBottom w:val="0"/>
          <w:divBdr>
            <w:top w:val="none" w:sz="0" w:space="0" w:color="auto"/>
            <w:left w:val="none" w:sz="0" w:space="0" w:color="auto"/>
            <w:bottom w:val="none" w:sz="0" w:space="0" w:color="auto"/>
            <w:right w:val="none" w:sz="0" w:space="0" w:color="auto"/>
          </w:divBdr>
        </w:div>
        <w:div w:id="928587747">
          <w:marLeft w:val="547"/>
          <w:marRight w:val="0"/>
          <w:marTop w:val="0"/>
          <w:marBottom w:val="0"/>
          <w:divBdr>
            <w:top w:val="none" w:sz="0" w:space="0" w:color="auto"/>
            <w:left w:val="none" w:sz="0" w:space="0" w:color="auto"/>
            <w:bottom w:val="none" w:sz="0" w:space="0" w:color="auto"/>
            <w:right w:val="none" w:sz="0" w:space="0" w:color="auto"/>
          </w:divBdr>
        </w:div>
        <w:div w:id="1386024971">
          <w:marLeft w:val="547"/>
          <w:marRight w:val="0"/>
          <w:marTop w:val="0"/>
          <w:marBottom w:val="0"/>
          <w:divBdr>
            <w:top w:val="none" w:sz="0" w:space="0" w:color="auto"/>
            <w:left w:val="none" w:sz="0" w:space="0" w:color="auto"/>
            <w:bottom w:val="none" w:sz="0" w:space="0" w:color="auto"/>
            <w:right w:val="none" w:sz="0" w:space="0" w:color="auto"/>
          </w:divBdr>
        </w:div>
        <w:div w:id="1696879247">
          <w:marLeft w:val="547"/>
          <w:marRight w:val="0"/>
          <w:marTop w:val="0"/>
          <w:marBottom w:val="0"/>
          <w:divBdr>
            <w:top w:val="none" w:sz="0" w:space="0" w:color="auto"/>
            <w:left w:val="none" w:sz="0" w:space="0" w:color="auto"/>
            <w:bottom w:val="none" w:sz="0" w:space="0" w:color="auto"/>
            <w:right w:val="none" w:sz="0" w:space="0" w:color="auto"/>
          </w:divBdr>
        </w:div>
        <w:div w:id="2027167739">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na.Gupta@rhul.ac.uk" TargetMode="External"/><Relationship Id="rId8" Type="http://schemas.openxmlformats.org/officeDocument/2006/relationships/hyperlink" Target="https://www.gov.uk/government/speeches/the-failure-of-child-protection-and-the-need-for-a-fresh-start" TargetMode="External"/><Relationship Id="rId9" Type="http://schemas.openxmlformats.org/officeDocument/2006/relationships/hyperlink" Target="http://onlinelibrary.wiley.com/doi/10.1111/chso.2013.27.issue-5/issuetoc"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7235</Words>
  <Characters>40562</Characters>
  <Application>Microsoft Macintosh Word</Application>
  <DocSecurity>0</DocSecurity>
  <Lines>724</Lines>
  <Paragraphs>116</Paragraphs>
  <ScaleCrop>false</ScaleCrop>
  <HeadingPairs>
    <vt:vector size="2" baseType="variant">
      <vt:variant>
        <vt:lpstr>Title</vt:lpstr>
      </vt:variant>
      <vt:variant>
        <vt:i4>1</vt:i4>
      </vt:variant>
    </vt:vector>
  </HeadingPairs>
  <TitlesOfParts>
    <vt:vector size="1" baseType="lpstr">
      <vt:lpstr/>
    </vt:vector>
  </TitlesOfParts>
  <Manager/>
  <Company>Grizli777</Company>
  <LinksUpToDate>false</LinksUpToDate>
  <CharactersWithSpaces>47718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Phillips</dc:creator>
  <cp:keywords/>
  <dc:description/>
  <cp:lastModifiedBy>Ed Phillips</cp:lastModifiedBy>
  <cp:revision>2</cp:revision>
  <cp:lastPrinted>2014-10-24T19:51:00Z</cp:lastPrinted>
  <dcterms:created xsi:type="dcterms:W3CDTF">2015-03-26T14:26:00Z</dcterms:created>
  <dcterms:modified xsi:type="dcterms:W3CDTF">2015-03-26T14:26:00Z</dcterms:modified>
  <cp:category/>
</cp:coreProperties>
</file>