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468E4" w14:textId="2322A93C" w:rsidR="005E23B3" w:rsidRDefault="00F93B15" w:rsidP="005E23B3">
      <w:pPr>
        <w:spacing w:line="480" w:lineRule="auto"/>
        <w:jc w:val="center"/>
        <w:rPr>
          <w:b/>
        </w:rPr>
      </w:pPr>
      <w:bookmarkStart w:id="0" w:name="_GoBack"/>
      <w:bookmarkEnd w:id="0"/>
      <w:r>
        <w:rPr>
          <w:b/>
        </w:rPr>
        <w:t xml:space="preserve"> </w:t>
      </w:r>
      <w:r w:rsidR="005E23B3">
        <w:rPr>
          <w:b/>
        </w:rPr>
        <w:tab/>
      </w:r>
      <w:r w:rsidR="00BA344F">
        <w:rPr>
          <w:b/>
        </w:rPr>
        <w:tab/>
      </w:r>
      <w:r w:rsidR="00BA344F">
        <w:rPr>
          <w:b/>
        </w:rPr>
        <w:tab/>
      </w:r>
      <w:r w:rsidR="00BA344F">
        <w:rPr>
          <w:b/>
        </w:rPr>
        <w:tab/>
        <w:t xml:space="preserve">  </w:t>
      </w:r>
      <w:r w:rsidR="0005375B">
        <w:rPr>
          <w:b/>
        </w:rPr>
        <w:t>4</w:t>
      </w:r>
      <w:r w:rsidR="005073DC">
        <w:rPr>
          <w:b/>
        </w:rPr>
        <w:t>.</w:t>
      </w:r>
      <w:r w:rsidR="0005375B">
        <w:rPr>
          <w:b/>
        </w:rPr>
        <w:t>2</w:t>
      </w:r>
      <w:r w:rsidR="00365493">
        <w:rPr>
          <w:b/>
        </w:rPr>
        <w:t>.</w:t>
      </w:r>
      <w:r w:rsidR="005073DC">
        <w:rPr>
          <w:b/>
        </w:rPr>
        <w:t>201</w:t>
      </w:r>
      <w:r w:rsidR="009B1BF2">
        <w:rPr>
          <w:b/>
        </w:rPr>
        <w:t>5</w:t>
      </w:r>
      <w:r w:rsidR="00DB2138">
        <w:rPr>
          <w:b/>
        </w:rPr>
        <w:t xml:space="preserve"> </w:t>
      </w:r>
    </w:p>
    <w:p w14:paraId="7228C58C" w14:textId="77777777" w:rsidR="004244F4" w:rsidRDefault="004244F4" w:rsidP="00F621E3">
      <w:pPr>
        <w:spacing w:line="480" w:lineRule="auto"/>
        <w:jc w:val="center"/>
        <w:rPr>
          <w:b/>
          <w:sz w:val="28"/>
          <w:szCs w:val="28"/>
        </w:rPr>
      </w:pPr>
    </w:p>
    <w:p w14:paraId="212F7A15" w14:textId="77777777" w:rsidR="004244F4" w:rsidRDefault="004244F4" w:rsidP="00F621E3">
      <w:pPr>
        <w:spacing w:line="480" w:lineRule="auto"/>
        <w:jc w:val="center"/>
        <w:rPr>
          <w:b/>
          <w:sz w:val="28"/>
          <w:szCs w:val="28"/>
        </w:rPr>
      </w:pPr>
    </w:p>
    <w:p w14:paraId="356B3299" w14:textId="77777777" w:rsidR="004554C4" w:rsidRDefault="001468A5" w:rsidP="00F621E3">
      <w:pPr>
        <w:spacing w:line="480" w:lineRule="auto"/>
        <w:jc w:val="center"/>
        <w:rPr>
          <w:b/>
          <w:sz w:val="28"/>
          <w:szCs w:val="28"/>
        </w:rPr>
      </w:pPr>
      <w:r>
        <w:rPr>
          <w:b/>
          <w:sz w:val="28"/>
          <w:szCs w:val="28"/>
        </w:rPr>
        <w:t>Accounting for capital:</w:t>
      </w:r>
      <w:r w:rsidR="000E60F0">
        <w:rPr>
          <w:b/>
          <w:sz w:val="28"/>
          <w:szCs w:val="28"/>
        </w:rPr>
        <w:t xml:space="preserve"> </w:t>
      </w:r>
      <w:r w:rsidR="00F621E3" w:rsidRPr="008C1CD0">
        <w:rPr>
          <w:b/>
          <w:sz w:val="28"/>
          <w:szCs w:val="28"/>
        </w:rPr>
        <w:t>the evolution of an idea</w:t>
      </w:r>
    </w:p>
    <w:p w14:paraId="6C80EF8C" w14:textId="77777777" w:rsidR="00B87C05" w:rsidRDefault="00B87C05" w:rsidP="00F621E3">
      <w:pPr>
        <w:spacing w:line="480" w:lineRule="auto"/>
        <w:jc w:val="center"/>
        <w:rPr>
          <w:b/>
          <w:sz w:val="28"/>
          <w:szCs w:val="28"/>
        </w:rPr>
      </w:pPr>
      <w:r>
        <w:rPr>
          <w:b/>
          <w:sz w:val="28"/>
          <w:szCs w:val="28"/>
        </w:rPr>
        <w:t>Christopher Nobes*</w:t>
      </w:r>
    </w:p>
    <w:p w14:paraId="2972B124" w14:textId="77777777" w:rsidR="00B87C05" w:rsidRDefault="00B87C05" w:rsidP="00F621E3">
      <w:pPr>
        <w:spacing w:line="480" w:lineRule="auto"/>
        <w:jc w:val="center"/>
        <w:rPr>
          <w:b/>
          <w:sz w:val="28"/>
          <w:szCs w:val="28"/>
        </w:rPr>
      </w:pPr>
    </w:p>
    <w:p w14:paraId="30027F7B" w14:textId="77777777" w:rsidR="00B87C05" w:rsidRDefault="00B87C05" w:rsidP="00F621E3">
      <w:pPr>
        <w:spacing w:line="480" w:lineRule="auto"/>
        <w:jc w:val="center"/>
        <w:rPr>
          <w:b/>
          <w:sz w:val="28"/>
          <w:szCs w:val="28"/>
        </w:rPr>
      </w:pPr>
    </w:p>
    <w:p w14:paraId="6AE15D82" w14:textId="77777777" w:rsidR="00B87C05" w:rsidRDefault="00B87C05" w:rsidP="00F621E3">
      <w:pPr>
        <w:spacing w:line="480" w:lineRule="auto"/>
        <w:jc w:val="center"/>
        <w:rPr>
          <w:b/>
          <w:sz w:val="28"/>
          <w:szCs w:val="28"/>
        </w:rPr>
      </w:pPr>
    </w:p>
    <w:p w14:paraId="62CD3D89" w14:textId="77777777" w:rsidR="00B87C05" w:rsidRDefault="00B87C05" w:rsidP="00F621E3">
      <w:pPr>
        <w:spacing w:line="480" w:lineRule="auto"/>
        <w:jc w:val="center"/>
        <w:rPr>
          <w:b/>
          <w:sz w:val="28"/>
          <w:szCs w:val="28"/>
        </w:rPr>
      </w:pPr>
    </w:p>
    <w:p w14:paraId="76BE8D9A" w14:textId="77777777" w:rsidR="00B87C05" w:rsidRDefault="00B87C05" w:rsidP="00F621E3">
      <w:pPr>
        <w:spacing w:line="480" w:lineRule="auto"/>
        <w:jc w:val="center"/>
        <w:rPr>
          <w:b/>
          <w:sz w:val="28"/>
          <w:szCs w:val="28"/>
        </w:rPr>
      </w:pPr>
    </w:p>
    <w:p w14:paraId="074B4F2D" w14:textId="77777777" w:rsidR="00B87C05" w:rsidRDefault="00B87C05" w:rsidP="00F621E3">
      <w:pPr>
        <w:spacing w:line="480" w:lineRule="auto"/>
        <w:jc w:val="center"/>
        <w:rPr>
          <w:b/>
          <w:sz w:val="28"/>
          <w:szCs w:val="28"/>
        </w:rPr>
      </w:pPr>
    </w:p>
    <w:p w14:paraId="6F291922" w14:textId="77777777" w:rsidR="00B87C05" w:rsidRDefault="00B87C05" w:rsidP="00F621E3">
      <w:pPr>
        <w:spacing w:line="480" w:lineRule="auto"/>
        <w:jc w:val="center"/>
        <w:rPr>
          <w:b/>
          <w:sz w:val="28"/>
          <w:szCs w:val="28"/>
        </w:rPr>
      </w:pPr>
    </w:p>
    <w:p w14:paraId="16B61880" w14:textId="6F81FE5B" w:rsidR="00B87C05" w:rsidRPr="00B87C05" w:rsidRDefault="00B87C05" w:rsidP="00B87C05">
      <w:pPr>
        <w:pStyle w:val="ListParagraph"/>
        <w:spacing w:line="240" w:lineRule="auto"/>
        <w:ind w:left="1080"/>
        <w:rPr>
          <w:sz w:val="28"/>
          <w:szCs w:val="28"/>
        </w:rPr>
      </w:pPr>
      <w:r>
        <w:rPr>
          <w:sz w:val="28"/>
          <w:szCs w:val="28"/>
        </w:rPr>
        <w:t>*</w:t>
      </w:r>
      <w:r w:rsidRPr="00B87C05">
        <w:rPr>
          <w:sz w:val="28"/>
          <w:szCs w:val="28"/>
        </w:rPr>
        <w:t>The author is grateful</w:t>
      </w:r>
      <w:r>
        <w:rPr>
          <w:sz w:val="28"/>
          <w:szCs w:val="28"/>
        </w:rPr>
        <w:t xml:space="preserve"> </w:t>
      </w:r>
      <w:r w:rsidR="009135E2">
        <w:rPr>
          <w:sz w:val="28"/>
          <w:szCs w:val="28"/>
        </w:rPr>
        <w:t xml:space="preserve">to the Institute of Chartered Accountants in England and Wales for suggesting this topic. He received helpful advice </w:t>
      </w:r>
      <w:r>
        <w:rPr>
          <w:sz w:val="28"/>
          <w:szCs w:val="28"/>
        </w:rPr>
        <w:t>on previous draft</w:t>
      </w:r>
      <w:r w:rsidR="0038342F">
        <w:rPr>
          <w:sz w:val="28"/>
          <w:szCs w:val="28"/>
        </w:rPr>
        <w:t>s</w:t>
      </w:r>
      <w:r>
        <w:rPr>
          <w:sz w:val="28"/>
          <w:szCs w:val="28"/>
        </w:rPr>
        <w:t xml:space="preserve"> from </w:t>
      </w:r>
      <w:r w:rsidR="005F7589">
        <w:rPr>
          <w:sz w:val="28"/>
          <w:szCs w:val="28"/>
        </w:rPr>
        <w:t xml:space="preserve">Richard Barker, </w:t>
      </w:r>
      <w:r w:rsidR="00C327C7">
        <w:rPr>
          <w:sz w:val="28"/>
          <w:szCs w:val="28"/>
        </w:rPr>
        <w:t xml:space="preserve">Jane Davison, </w:t>
      </w:r>
      <w:r w:rsidR="00902021">
        <w:rPr>
          <w:sz w:val="28"/>
          <w:szCs w:val="28"/>
        </w:rPr>
        <w:t xml:space="preserve">Alisdair Dobie, </w:t>
      </w:r>
      <w:r w:rsidR="00C327C7">
        <w:rPr>
          <w:sz w:val="28"/>
          <w:szCs w:val="28"/>
        </w:rPr>
        <w:t>J.R. Edwards,</w:t>
      </w:r>
      <w:r w:rsidR="0085266C">
        <w:rPr>
          <w:sz w:val="28"/>
          <w:szCs w:val="28"/>
        </w:rPr>
        <w:t xml:space="preserve"> </w:t>
      </w:r>
      <w:r w:rsidR="00703209">
        <w:rPr>
          <w:sz w:val="28"/>
          <w:szCs w:val="28"/>
        </w:rPr>
        <w:t xml:space="preserve">David Heald, </w:t>
      </w:r>
      <w:r w:rsidR="0085266C">
        <w:rPr>
          <w:sz w:val="28"/>
          <w:szCs w:val="28"/>
        </w:rPr>
        <w:t>Andrew Len</w:t>
      </w:r>
      <w:r w:rsidR="009135E2">
        <w:rPr>
          <w:sz w:val="28"/>
          <w:szCs w:val="28"/>
        </w:rPr>
        <w:t>n</w:t>
      </w:r>
      <w:r w:rsidR="0085266C">
        <w:rPr>
          <w:sz w:val="28"/>
          <w:szCs w:val="28"/>
        </w:rPr>
        <w:t xml:space="preserve">ard, </w:t>
      </w:r>
      <w:r w:rsidR="00C327C7">
        <w:rPr>
          <w:sz w:val="28"/>
          <w:szCs w:val="28"/>
        </w:rPr>
        <w:t xml:space="preserve"> </w:t>
      </w:r>
      <w:r w:rsidR="00365493">
        <w:rPr>
          <w:sz w:val="28"/>
          <w:szCs w:val="28"/>
        </w:rPr>
        <w:t xml:space="preserve">Richard Macve, </w:t>
      </w:r>
      <w:r w:rsidR="005F7589">
        <w:rPr>
          <w:sz w:val="28"/>
          <w:szCs w:val="28"/>
        </w:rPr>
        <w:t xml:space="preserve">Richard </w:t>
      </w:r>
      <w:r w:rsidR="00365493">
        <w:rPr>
          <w:sz w:val="28"/>
          <w:szCs w:val="28"/>
        </w:rPr>
        <w:t xml:space="preserve">D. </w:t>
      </w:r>
      <w:r w:rsidR="005F7589">
        <w:rPr>
          <w:sz w:val="28"/>
          <w:szCs w:val="28"/>
        </w:rPr>
        <w:t xml:space="preserve">Morris, </w:t>
      </w:r>
      <w:r w:rsidR="00275C1B">
        <w:rPr>
          <w:sz w:val="28"/>
          <w:szCs w:val="28"/>
        </w:rPr>
        <w:t xml:space="preserve">Christopher Napier, </w:t>
      </w:r>
      <w:r>
        <w:rPr>
          <w:sz w:val="28"/>
          <w:szCs w:val="28"/>
        </w:rPr>
        <w:t>R.H. Parker</w:t>
      </w:r>
      <w:r w:rsidR="00AE0ABD">
        <w:rPr>
          <w:sz w:val="28"/>
          <w:szCs w:val="28"/>
        </w:rPr>
        <w:t>, Brian Singleton-Green</w:t>
      </w:r>
      <w:r w:rsidR="00676889">
        <w:rPr>
          <w:sz w:val="28"/>
          <w:szCs w:val="28"/>
        </w:rPr>
        <w:t>, Christian Stadler</w:t>
      </w:r>
      <w:r w:rsidR="0005375B">
        <w:rPr>
          <w:sz w:val="28"/>
          <w:szCs w:val="28"/>
        </w:rPr>
        <w:t xml:space="preserve">, </w:t>
      </w:r>
      <w:r w:rsidR="005505B9">
        <w:rPr>
          <w:sz w:val="28"/>
          <w:szCs w:val="28"/>
        </w:rPr>
        <w:t>Stephen Zeff</w:t>
      </w:r>
      <w:r w:rsidR="0005375B">
        <w:rPr>
          <w:sz w:val="28"/>
          <w:szCs w:val="28"/>
        </w:rPr>
        <w:t xml:space="preserve"> and an anonymous reviewer of this journal</w:t>
      </w:r>
      <w:r>
        <w:rPr>
          <w:sz w:val="28"/>
          <w:szCs w:val="28"/>
        </w:rPr>
        <w:t>.</w:t>
      </w:r>
      <w:r w:rsidR="00F074E2">
        <w:rPr>
          <w:sz w:val="28"/>
          <w:szCs w:val="28"/>
        </w:rPr>
        <w:t xml:space="preserve"> He is also grateful for advice on </w:t>
      </w:r>
      <w:r w:rsidR="00293180">
        <w:rPr>
          <w:sz w:val="28"/>
          <w:szCs w:val="28"/>
        </w:rPr>
        <w:t>Italian words</w:t>
      </w:r>
      <w:r w:rsidR="00F074E2">
        <w:rPr>
          <w:sz w:val="28"/>
          <w:szCs w:val="28"/>
        </w:rPr>
        <w:t xml:space="preserve"> from </w:t>
      </w:r>
      <w:r w:rsidR="005505B9">
        <w:rPr>
          <w:sz w:val="28"/>
          <w:szCs w:val="28"/>
        </w:rPr>
        <w:t>Stefano Zambon</w:t>
      </w:r>
      <w:r w:rsidR="005F2D9C">
        <w:rPr>
          <w:sz w:val="28"/>
          <w:szCs w:val="28"/>
        </w:rPr>
        <w:t>; and for the provision of archival financial st</w:t>
      </w:r>
      <w:r w:rsidR="00C15431">
        <w:rPr>
          <w:sz w:val="28"/>
          <w:szCs w:val="28"/>
        </w:rPr>
        <w:t>atements of Marks and Spencer by</w:t>
      </w:r>
      <w:r w:rsidR="005F2D9C">
        <w:rPr>
          <w:sz w:val="28"/>
          <w:szCs w:val="28"/>
        </w:rPr>
        <w:t xml:space="preserve"> Paul Rolling and Alan Stewart</w:t>
      </w:r>
      <w:r w:rsidR="00F074E2">
        <w:rPr>
          <w:sz w:val="28"/>
          <w:szCs w:val="28"/>
        </w:rPr>
        <w:t>.</w:t>
      </w:r>
    </w:p>
    <w:p w14:paraId="62D6B6BF" w14:textId="77777777" w:rsidR="00B87C05" w:rsidRDefault="00B87C05" w:rsidP="009135E2">
      <w:pPr>
        <w:spacing w:line="480" w:lineRule="auto"/>
        <w:rPr>
          <w:b/>
          <w:sz w:val="28"/>
          <w:szCs w:val="28"/>
        </w:rPr>
      </w:pPr>
    </w:p>
    <w:p w14:paraId="622DABD4" w14:textId="77777777" w:rsidR="00A864F5" w:rsidRDefault="00B87C05" w:rsidP="00A864F5">
      <w:pPr>
        <w:spacing w:line="480" w:lineRule="auto"/>
        <w:ind w:left="720" w:firstLine="720"/>
        <w:rPr>
          <w:b/>
          <w:sz w:val="28"/>
          <w:szCs w:val="28"/>
        </w:rPr>
      </w:pPr>
      <w:r>
        <w:rPr>
          <w:b/>
          <w:sz w:val="28"/>
          <w:szCs w:val="28"/>
        </w:rPr>
        <w:lastRenderedPageBreak/>
        <w:t xml:space="preserve">Accounting for capital: </w:t>
      </w:r>
      <w:r w:rsidRPr="008C1CD0">
        <w:rPr>
          <w:b/>
          <w:sz w:val="28"/>
          <w:szCs w:val="28"/>
        </w:rPr>
        <w:t>the evolution of an idea</w:t>
      </w:r>
    </w:p>
    <w:p w14:paraId="0D25DA2E" w14:textId="77777777" w:rsidR="00F16EE8" w:rsidRDefault="00F16EE8" w:rsidP="00F16EE8">
      <w:pPr>
        <w:spacing w:after="0" w:line="480" w:lineRule="auto"/>
        <w:rPr>
          <w:rFonts w:ascii="Times New Roman" w:hAnsi="Times New Roman" w:cs="Times New Roman"/>
          <w:b/>
        </w:rPr>
      </w:pPr>
      <w:r>
        <w:rPr>
          <w:rFonts w:ascii="Times New Roman" w:hAnsi="Times New Roman" w:cs="Times New Roman"/>
          <w:b/>
        </w:rPr>
        <w:t>Abstract</w:t>
      </w:r>
    </w:p>
    <w:p w14:paraId="002FDB59" w14:textId="32B7312F" w:rsidR="00F16EE8" w:rsidRDefault="00F16EE8" w:rsidP="00F16EE8">
      <w:pPr>
        <w:spacing w:after="0" w:line="480" w:lineRule="auto"/>
        <w:rPr>
          <w:rFonts w:ascii="Times New Roman" w:hAnsi="Times New Roman" w:cs="Times New Roman"/>
        </w:rPr>
      </w:pPr>
      <w:r>
        <w:rPr>
          <w:rFonts w:ascii="Times New Roman" w:hAnsi="Times New Roman" w:cs="Times New Roman"/>
        </w:rPr>
        <w:tab/>
        <w:t>The word ‘capital’ has many meaning</w:t>
      </w:r>
      <w:r w:rsidR="009135E2">
        <w:rPr>
          <w:rFonts w:ascii="Times New Roman" w:hAnsi="Times New Roman" w:cs="Times New Roman"/>
        </w:rPr>
        <w:t xml:space="preserve">s, within and beyond business. </w:t>
      </w:r>
      <w:r>
        <w:rPr>
          <w:rFonts w:ascii="Times New Roman" w:hAnsi="Times New Roman" w:cs="Times New Roman"/>
        </w:rPr>
        <w:t xml:space="preserve">In accounting, it was originally a </w:t>
      </w:r>
      <w:r>
        <w:rPr>
          <w:rFonts w:ascii="Times New Roman" w:hAnsi="Times New Roman" w:cs="Times New Roman"/>
          <w:i/>
        </w:rPr>
        <w:t xml:space="preserve">credit </w:t>
      </w:r>
      <w:r>
        <w:rPr>
          <w:rFonts w:ascii="Times New Roman" w:hAnsi="Times New Roman" w:cs="Times New Roman"/>
        </w:rPr>
        <w:t>concept but ha</w:t>
      </w:r>
      <w:r w:rsidR="009135E2">
        <w:rPr>
          <w:rFonts w:ascii="Times New Roman" w:hAnsi="Times New Roman" w:cs="Times New Roman"/>
        </w:rPr>
        <w:t xml:space="preserve">s many uses related to assets. </w:t>
      </w:r>
      <w:r>
        <w:rPr>
          <w:rFonts w:ascii="Times New Roman" w:hAnsi="Times New Roman" w:cs="Times New Roman"/>
        </w:rPr>
        <w:t>In economics and tax, it h</w:t>
      </w:r>
      <w:r w:rsidR="009135E2">
        <w:rPr>
          <w:rFonts w:ascii="Times New Roman" w:hAnsi="Times New Roman" w:cs="Times New Roman"/>
        </w:rPr>
        <w:t xml:space="preserve">as exclusively asset meanings. </w:t>
      </w:r>
      <w:r>
        <w:rPr>
          <w:rFonts w:ascii="Times New Roman" w:hAnsi="Times New Roman" w:cs="Times New Roman"/>
        </w:rPr>
        <w:t>This paper investigates the development of the concept of capital, focussing on accounting and related disc</w:t>
      </w:r>
      <w:r w:rsidR="009135E2">
        <w:rPr>
          <w:rFonts w:ascii="Times New Roman" w:hAnsi="Times New Roman" w:cs="Times New Roman"/>
        </w:rPr>
        <w:t xml:space="preserve">iplines, especially in the UK. </w:t>
      </w:r>
      <w:r>
        <w:rPr>
          <w:rFonts w:ascii="Times New Roman" w:hAnsi="Times New Roman" w:cs="Times New Roman"/>
        </w:rPr>
        <w:t xml:space="preserve">Even as a </w:t>
      </w:r>
      <w:r>
        <w:rPr>
          <w:rFonts w:ascii="Times New Roman" w:hAnsi="Times New Roman" w:cs="Times New Roman"/>
          <w:i/>
        </w:rPr>
        <w:t>credit</w:t>
      </w:r>
      <w:r>
        <w:rPr>
          <w:rFonts w:ascii="Times New Roman" w:hAnsi="Times New Roman" w:cs="Times New Roman"/>
        </w:rPr>
        <w:t xml:space="preserve"> term, ‘capital’ can be as narrow as original equity o</w:t>
      </w:r>
      <w:r w:rsidR="009135E2">
        <w:rPr>
          <w:rFonts w:ascii="Times New Roman" w:hAnsi="Times New Roman" w:cs="Times New Roman"/>
        </w:rPr>
        <w:t xml:space="preserve">r wide enough to include debt. </w:t>
      </w:r>
      <w:r>
        <w:rPr>
          <w:rFonts w:ascii="Times New Roman" w:hAnsi="Times New Roman" w:cs="Times New Roman"/>
        </w:rPr>
        <w:t xml:space="preserve">A </w:t>
      </w:r>
      <w:r>
        <w:rPr>
          <w:rFonts w:ascii="Times New Roman" w:hAnsi="Times New Roman" w:cs="Times New Roman"/>
          <w:i/>
        </w:rPr>
        <w:t>credit/debit</w:t>
      </w:r>
      <w:r>
        <w:rPr>
          <w:rFonts w:ascii="Times New Roman" w:hAnsi="Times New Roman" w:cs="Times New Roman"/>
        </w:rPr>
        <w:t xml:space="preserve"> confusion can be seen in Pacioli’s treatise </w:t>
      </w:r>
      <w:r w:rsidR="009135E2">
        <w:rPr>
          <w:rFonts w:ascii="Times New Roman" w:hAnsi="Times New Roman" w:cs="Times New Roman"/>
        </w:rPr>
        <w:t xml:space="preserve">and </w:t>
      </w:r>
      <w:r>
        <w:rPr>
          <w:rFonts w:ascii="Times New Roman" w:hAnsi="Times New Roman" w:cs="Times New Roman"/>
        </w:rPr>
        <w:t>through to recent</w:t>
      </w:r>
      <w:r w:rsidR="009135E2">
        <w:rPr>
          <w:rFonts w:ascii="Times New Roman" w:hAnsi="Times New Roman" w:cs="Times New Roman"/>
        </w:rPr>
        <w:t xml:space="preserve"> documents by standard setters.</w:t>
      </w:r>
      <w:r>
        <w:rPr>
          <w:rFonts w:ascii="Times New Roman" w:hAnsi="Times New Roman" w:cs="Times New Roman"/>
        </w:rPr>
        <w:t xml:space="preserve"> At various dates, </w:t>
      </w:r>
      <w:r w:rsidR="0005375B">
        <w:rPr>
          <w:rFonts w:ascii="Times New Roman" w:hAnsi="Times New Roman" w:cs="Times New Roman"/>
        </w:rPr>
        <w:t>amounts called ‘</w:t>
      </w:r>
      <w:r>
        <w:rPr>
          <w:rFonts w:ascii="Times New Roman" w:hAnsi="Times New Roman" w:cs="Times New Roman"/>
        </w:rPr>
        <w:t>capital</w:t>
      </w:r>
      <w:r w:rsidR="0005375B">
        <w:rPr>
          <w:rFonts w:ascii="Times New Roman" w:hAnsi="Times New Roman" w:cs="Times New Roman"/>
        </w:rPr>
        <w:t>’</w:t>
      </w:r>
      <w:r>
        <w:rPr>
          <w:rFonts w:ascii="Times New Roman" w:hAnsi="Times New Roman" w:cs="Times New Roman"/>
        </w:rPr>
        <w:t xml:space="preserve"> ha</w:t>
      </w:r>
      <w:r w:rsidR="0005375B">
        <w:rPr>
          <w:rFonts w:ascii="Times New Roman" w:hAnsi="Times New Roman" w:cs="Times New Roman"/>
        </w:rPr>
        <w:t>ve</w:t>
      </w:r>
      <w:r>
        <w:rPr>
          <w:rFonts w:ascii="Times New Roman" w:hAnsi="Times New Roman" w:cs="Times New Roman"/>
        </w:rPr>
        <w:t xml:space="preserve"> been shown on different si</w:t>
      </w:r>
      <w:r w:rsidR="009135E2">
        <w:rPr>
          <w:rFonts w:ascii="Times New Roman" w:hAnsi="Times New Roman" w:cs="Times New Roman"/>
        </w:rPr>
        <w:t xml:space="preserve">des of the balance sheet. </w:t>
      </w:r>
      <w:r>
        <w:rPr>
          <w:rFonts w:ascii="Times New Roman" w:hAnsi="Times New Roman" w:cs="Times New Roman"/>
        </w:rPr>
        <w:t>Capital maintenance is central to the measurement of income for various purpose. It was thrown off course in 1889 by a legal case which seems to have been influenced by the double-account system, which also had echoes in economics</w:t>
      </w:r>
      <w:r w:rsidR="009135E2">
        <w:rPr>
          <w:rFonts w:ascii="Times New Roman" w:hAnsi="Times New Roman" w:cs="Times New Roman"/>
        </w:rPr>
        <w:t xml:space="preserve">. </w:t>
      </w:r>
      <w:r>
        <w:rPr>
          <w:rFonts w:ascii="Times New Roman" w:hAnsi="Times New Roman" w:cs="Times New Roman"/>
        </w:rPr>
        <w:t>However, the conventional accountants’ view was re-established in 19</w:t>
      </w:r>
      <w:r w:rsidR="009135E2">
        <w:rPr>
          <w:rFonts w:ascii="Times New Roman" w:hAnsi="Times New Roman" w:cs="Times New Roman"/>
        </w:rPr>
        <w:t xml:space="preserve">80 because of an EU Directive. </w:t>
      </w:r>
      <w:r>
        <w:rPr>
          <w:rFonts w:ascii="Times New Roman" w:hAnsi="Times New Roman" w:cs="Times New Roman"/>
        </w:rPr>
        <w:t xml:space="preserve">Maintenance of capital (both </w:t>
      </w:r>
      <w:r w:rsidRPr="00F16EE8">
        <w:rPr>
          <w:rFonts w:ascii="Times New Roman" w:hAnsi="Times New Roman" w:cs="Times New Roman"/>
          <w:i/>
        </w:rPr>
        <w:t>credit</w:t>
      </w:r>
      <w:r>
        <w:rPr>
          <w:rFonts w:ascii="Times New Roman" w:hAnsi="Times New Roman" w:cs="Times New Roman"/>
        </w:rPr>
        <w:t xml:space="preserve"> and </w:t>
      </w:r>
      <w:r w:rsidRPr="00F16EE8">
        <w:rPr>
          <w:rFonts w:ascii="Times New Roman" w:hAnsi="Times New Roman" w:cs="Times New Roman"/>
          <w:i/>
        </w:rPr>
        <w:t>debit</w:t>
      </w:r>
      <w:r>
        <w:rPr>
          <w:rFonts w:ascii="Times New Roman" w:hAnsi="Times New Roman" w:cs="Times New Roman"/>
        </w:rPr>
        <w:t xml:space="preserve"> forms) was much discussed in the 1970s </w:t>
      </w:r>
      <w:r w:rsidR="009135E2">
        <w:rPr>
          <w:rFonts w:ascii="Times New Roman" w:hAnsi="Times New Roman" w:cs="Times New Roman"/>
        </w:rPr>
        <w:t xml:space="preserve">in a period of high inflation. </w:t>
      </w:r>
      <w:r>
        <w:rPr>
          <w:rFonts w:ascii="Times New Roman" w:hAnsi="Times New Roman" w:cs="Times New Roman"/>
        </w:rPr>
        <w:t xml:space="preserve">The concept of equity began to become clear with the separation of provisions and reserves (in the 1940s) and when liabilities </w:t>
      </w:r>
      <w:r w:rsidR="009135E2">
        <w:rPr>
          <w:rFonts w:ascii="Times New Roman" w:hAnsi="Times New Roman" w:cs="Times New Roman"/>
        </w:rPr>
        <w:t xml:space="preserve">were defined (from the 1960s). </w:t>
      </w:r>
      <w:r>
        <w:rPr>
          <w:rFonts w:ascii="Times New Roman" w:hAnsi="Times New Roman" w:cs="Times New Roman"/>
        </w:rPr>
        <w:t>However, accounting practice departs from the definition and it measures liabilities in various ways, so that there is still no clear</w:t>
      </w:r>
      <w:r w:rsidR="009135E2">
        <w:rPr>
          <w:rFonts w:ascii="Times New Roman" w:hAnsi="Times New Roman" w:cs="Times New Roman"/>
        </w:rPr>
        <w:t xml:space="preserve"> concept of equity capital. </w:t>
      </w:r>
      <w:r>
        <w:rPr>
          <w:rFonts w:ascii="Times New Roman" w:hAnsi="Times New Roman" w:cs="Times New Roman"/>
        </w:rPr>
        <w:t>A number of policy implications are set out in the paper.</w:t>
      </w:r>
    </w:p>
    <w:p w14:paraId="46FEA77E" w14:textId="77777777" w:rsidR="00F16EE8" w:rsidRDefault="00F16EE8" w:rsidP="00F16EE8">
      <w:pPr>
        <w:spacing w:after="0" w:line="480" w:lineRule="auto"/>
        <w:rPr>
          <w:rFonts w:ascii="Times New Roman" w:hAnsi="Times New Roman" w:cs="Times New Roman"/>
        </w:rPr>
      </w:pPr>
    </w:p>
    <w:p w14:paraId="326C7587" w14:textId="77777777" w:rsidR="00F16EE8" w:rsidRDefault="00F16EE8" w:rsidP="00F16EE8">
      <w:pPr>
        <w:spacing w:after="0" w:line="480" w:lineRule="auto"/>
        <w:rPr>
          <w:rFonts w:ascii="Times New Roman" w:hAnsi="Times New Roman" w:cs="Times New Roman"/>
        </w:rPr>
      </w:pPr>
    </w:p>
    <w:p w14:paraId="05E57B5C" w14:textId="77777777" w:rsidR="00F16EE8" w:rsidRDefault="00F16EE8" w:rsidP="00F16EE8">
      <w:pPr>
        <w:spacing w:after="0" w:line="480" w:lineRule="auto"/>
        <w:rPr>
          <w:rFonts w:ascii="Times New Roman" w:hAnsi="Times New Roman" w:cs="Times New Roman"/>
        </w:rPr>
      </w:pPr>
    </w:p>
    <w:p w14:paraId="4FBA3E8E" w14:textId="77777777" w:rsidR="00F16EE8" w:rsidRDefault="00F16EE8" w:rsidP="00F16EE8">
      <w:pPr>
        <w:spacing w:after="0" w:line="480" w:lineRule="auto"/>
        <w:rPr>
          <w:rFonts w:ascii="Times New Roman" w:hAnsi="Times New Roman" w:cs="Times New Roman"/>
        </w:rPr>
      </w:pPr>
    </w:p>
    <w:p w14:paraId="36FEA806" w14:textId="77777777" w:rsidR="009135E2" w:rsidRDefault="009135E2" w:rsidP="00F16EE8">
      <w:pPr>
        <w:spacing w:line="480" w:lineRule="auto"/>
        <w:ind w:left="720" w:firstLine="720"/>
        <w:rPr>
          <w:b/>
          <w:sz w:val="28"/>
          <w:szCs w:val="28"/>
        </w:rPr>
      </w:pPr>
    </w:p>
    <w:p w14:paraId="6280D13C" w14:textId="77777777" w:rsidR="00F16EE8" w:rsidRPr="008C1CD0" w:rsidRDefault="00F16EE8" w:rsidP="00F16EE8">
      <w:pPr>
        <w:spacing w:line="480" w:lineRule="auto"/>
        <w:ind w:left="720" w:firstLine="720"/>
        <w:rPr>
          <w:b/>
          <w:sz w:val="28"/>
          <w:szCs w:val="28"/>
        </w:rPr>
      </w:pPr>
      <w:r>
        <w:rPr>
          <w:b/>
          <w:sz w:val="28"/>
          <w:szCs w:val="28"/>
        </w:rPr>
        <w:lastRenderedPageBreak/>
        <w:t xml:space="preserve">Accounting for capital: </w:t>
      </w:r>
      <w:r w:rsidRPr="008C1CD0">
        <w:rPr>
          <w:b/>
          <w:sz w:val="28"/>
          <w:szCs w:val="28"/>
        </w:rPr>
        <w:t>the evolution of an idea</w:t>
      </w:r>
    </w:p>
    <w:p w14:paraId="02E7C996" w14:textId="77777777" w:rsidR="00F621E3" w:rsidRPr="00A945E1" w:rsidRDefault="00F621E3" w:rsidP="00A945E1">
      <w:pPr>
        <w:pStyle w:val="ListParagraph"/>
        <w:numPr>
          <w:ilvl w:val="0"/>
          <w:numId w:val="3"/>
        </w:numPr>
        <w:spacing w:after="120" w:line="480" w:lineRule="auto"/>
        <w:rPr>
          <w:b/>
        </w:rPr>
      </w:pPr>
      <w:r w:rsidRPr="00A945E1">
        <w:rPr>
          <w:b/>
        </w:rPr>
        <w:t>Introduction</w:t>
      </w:r>
    </w:p>
    <w:p w14:paraId="112D2A5B" w14:textId="77777777" w:rsidR="00F621E3" w:rsidRDefault="008765C7" w:rsidP="00264F86">
      <w:pPr>
        <w:spacing w:after="120" w:line="480" w:lineRule="auto"/>
      </w:pPr>
      <w:r>
        <w:tab/>
        <w:t>The signifier ‘capital’ derives from ‘</w:t>
      </w:r>
      <w:r w:rsidRPr="008765C7">
        <w:rPr>
          <w:i/>
        </w:rPr>
        <w:t>caput</w:t>
      </w:r>
      <w:r>
        <w:t xml:space="preserve">’, the Latin for ‘head’. It </w:t>
      </w:r>
      <w:r w:rsidR="00F621E3">
        <w:t>has a bewildering variety of signifieds.  In the l</w:t>
      </w:r>
      <w:r w:rsidR="00F17622">
        <w:t xml:space="preserve">ate eighteenth century, Citizen Guillotin invented a </w:t>
      </w:r>
      <w:r>
        <w:t xml:space="preserve">more </w:t>
      </w:r>
      <w:r w:rsidR="00F621E3">
        <w:t xml:space="preserve">humane way to achieve capital punishment in the French </w:t>
      </w:r>
      <w:r w:rsidR="00264F86">
        <w:t>capital.  Soon after that</w:t>
      </w:r>
      <w:r w:rsidR="00F621E3">
        <w:t>, Corinthian capita</w:t>
      </w:r>
      <w:r w:rsidR="00D947D9">
        <w:t>ls were being installed o</w:t>
      </w:r>
      <w:r w:rsidR="00264F86">
        <w:t>n the C</w:t>
      </w:r>
      <w:r w:rsidR="00F621E3">
        <w:t>apitol</w:t>
      </w:r>
      <w:r w:rsidR="00AE625E">
        <w:rPr>
          <w:rStyle w:val="FootnoteReference"/>
        </w:rPr>
        <w:footnoteReference w:id="1"/>
      </w:r>
      <w:r w:rsidR="00F621E3">
        <w:t xml:space="preserve"> in the US capital.  </w:t>
      </w:r>
      <w:r w:rsidR="00F621E3">
        <w:rPr>
          <w:i/>
        </w:rPr>
        <w:t>Das Kapital</w:t>
      </w:r>
      <w:r w:rsidR="005E23B3">
        <w:t>, being a German noun, has a capital letter</w:t>
      </w:r>
      <w:r w:rsidR="00264F86">
        <w:t xml:space="preserve">.  </w:t>
      </w:r>
    </w:p>
    <w:p w14:paraId="0CBE94A5" w14:textId="7939DCD2" w:rsidR="00013BBE" w:rsidRDefault="00F621E3" w:rsidP="00264F86">
      <w:pPr>
        <w:spacing w:after="120" w:line="480" w:lineRule="auto"/>
      </w:pPr>
      <w:r>
        <w:tab/>
      </w:r>
      <w:r w:rsidR="00D87FD5">
        <w:t>I</w:t>
      </w:r>
      <w:r w:rsidR="00F62475">
        <w:t xml:space="preserve">n </w:t>
      </w:r>
      <w:r w:rsidR="00264F86">
        <w:t xml:space="preserve">accounting, </w:t>
      </w:r>
      <w:r w:rsidR="002A6379">
        <w:t>‘</w:t>
      </w:r>
      <w:r w:rsidR="00D87FD5">
        <w:t>capital</w:t>
      </w:r>
      <w:r w:rsidR="002A6379">
        <w:t>’</w:t>
      </w:r>
      <w:r w:rsidR="00D87FD5">
        <w:t xml:space="preserve"> was originally</w:t>
      </w:r>
      <w:r w:rsidR="0056131A">
        <w:t xml:space="preserve"> a </w:t>
      </w:r>
      <w:r w:rsidR="0056131A" w:rsidRPr="0056131A">
        <w:rPr>
          <w:i/>
        </w:rPr>
        <w:t>credit</w:t>
      </w:r>
      <w:r w:rsidR="00D87FD5">
        <w:t xml:space="preserve"> concept</w:t>
      </w:r>
      <w:r w:rsidR="00537017">
        <w:t>;</w:t>
      </w:r>
      <w:r w:rsidR="00D87FD5">
        <w:t xml:space="preserve"> </w:t>
      </w:r>
      <w:r w:rsidR="00161F59">
        <w:t xml:space="preserve">and </w:t>
      </w:r>
      <w:r w:rsidR="002A6379">
        <w:t>‘</w:t>
      </w:r>
      <w:r w:rsidR="00D87FD5">
        <w:t>capital and liabilities</w:t>
      </w:r>
      <w:r w:rsidR="002A6379">
        <w:t>’</w:t>
      </w:r>
      <w:r w:rsidR="00161F59">
        <w:t xml:space="preserve"> </w:t>
      </w:r>
      <w:r w:rsidR="006E671A">
        <w:t xml:space="preserve">is </w:t>
      </w:r>
      <w:r w:rsidR="00161F59">
        <w:t>still</w:t>
      </w:r>
      <w:r w:rsidR="006E671A">
        <w:t xml:space="preserve"> the caption for</w:t>
      </w:r>
      <w:r w:rsidR="0056131A">
        <w:t xml:space="preserve"> th</w:t>
      </w:r>
      <w:r w:rsidR="00586154">
        <w:t>at</w:t>
      </w:r>
      <w:r w:rsidR="0056131A">
        <w:t xml:space="preserve"> side of the balance </w:t>
      </w:r>
      <w:r w:rsidR="004B7621">
        <w:t>sheet.</w:t>
      </w:r>
      <w:r w:rsidR="0056131A">
        <w:t xml:space="preserve"> However, </w:t>
      </w:r>
      <w:r w:rsidR="00264F86">
        <w:t xml:space="preserve">the word </w:t>
      </w:r>
      <w:r w:rsidR="008765C7">
        <w:t xml:space="preserve">now </w:t>
      </w:r>
      <w:r w:rsidR="00264F86">
        <w:t>appe</w:t>
      </w:r>
      <w:r w:rsidR="00D947D9">
        <w:t xml:space="preserve">ars often: </w:t>
      </w:r>
      <w:r w:rsidR="00C026C1">
        <w:t xml:space="preserve">fixed </w:t>
      </w:r>
      <w:r w:rsidR="00264F86">
        <w:t>capital</w:t>
      </w:r>
      <w:r w:rsidR="00D6454B">
        <w:t xml:space="preserve"> </w:t>
      </w:r>
      <w:r w:rsidR="00264F86">
        <w:t>intellect</w:t>
      </w:r>
      <w:r w:rsidR="00CD2717">
        <w:t>ual capital, working capital</w:t>
      </w:r>
      <w:r w:rsidR="00053237">
        <w:t>. T</w:t>
      </w:r>
      <w:r w:rsidR="001C1FB7">
        <w:t xml:space="preserve">he common feature of </w:t>
      </w:r>
      <w:r w:rsidR="00264F86">
        <w:t xml:space="preserve"> those expressions is that they relate to </w:t>
      </w:r>
      <w:r w:rsidR="00264F86">
        <w:rPr>
          <w:i/>
        </w:rPr>
        <w:t>assets</w:t>
      </w:r>
      <w:r w:rsidR="00264F86">
        <w:t>, rather than to equity or other claims.</w:t>
      </w:r>
      <w:r w:rsidR="00D947D9">
        <w:t xml:space="preserve">  </w:t>
      </w:r>
      <w:r w:rsidR="008765C7">
        <w:t xml:space="preserve">There is </w:t>
      </w:r>
      <w:r w:rsidR="001C1FB7">
        <w:t>also ‘</w:t>
      </w:r>
      <w:r w:rsidR="008765C7">
        <w:t>c</w:t>
      </w:r>
      <w:r w:rsidR="00F62475">
        <w:t>apital expenditure</w:t>
      </w:r>
      <w:r w:rsidR="001C1FB7">
        <w:t>’</w:t>
      </w:r>
      <w:r w:rsidR="008765C7">
        <w:t>, which</w:t>
      </w:r>
      <w:r w:rsidR="00F62475">
        <w:t xml:space="preserve"> is distinguished from t</w:t>
      </w:r>
      <w:r w:rsidR="00264F86">
        <w:t xml:space="preserve">he splendidly oxymoronic </w:t>
      </w:r>
      <w:r w:rsidR="002A6379">
        <w:t>‘</w:t>
      </w:r>
      <w:r w:rsidR="00264F86">
        <w:t>revenue exp</w:t>
      </w:r>
      <w:r w:rsidR="00F62475">
        <w:t>enditure</w:t>
      </w:r>
      <w:r w:rsidR="002A6379">
        <w:t>’</w:t>
      </w:r>
      <w:r w:rsidR="00F62475">
        <w:t xml:space="preserve"> because it </w:t>
      </w:r>
      <w:r w:rsidR="00264F86">
        <w:t xml:space="preserve">is about </w:t>
      </w:r>
      <w:r w:rsidR="001C1FB7">
        <w:t xml:space="preserve">buying </w:t>
      </w:r>
      <w:r w:rsidR="00264F86">
        <w:t xml:space="preserve">assets. </w:t>
      </w:r>
      <w:r w:rsidR="007F3B07">
        <w:t xml:space="preserve">A German </w:t>
      </w:r>
      <w:r w:rsidR="007F3B07">
        <w:rPr>
          <w:i/>
        </w:rPr>
        <w:t>Kapitalflussrechnung</w:t>
      </w:r>
      <w:r w:rsidR="007F3B07">
        <w:t xml:space="preserve"> reports on the flow of cash and other current assets. </w:t>
      </w:r>
    </w:p>
    <w:p w14:paraId="06592F2C" w14:textId="7CAD9DF1" w:rsidR="00EC44AB" w:rsidRDefault="00013BBE" w:rsidP="00013BBE">
      <w:pPr>
        <w:spacing w:after="120" w:line="480" w:lineRule="auto"/>
        <w:ind w:firstLine="720"/>
      </w:pPr>
      <w:r w:rsidRPr="0056131A">
        <w:t>In economics</w:t>
      </w:r>
      <w:r w:rsidR="00DB5ACE">
        <w:t>, also</w:t>
      </w:r>
      <w:r w:rsidRPr="0056131A">
        <w:t xml:space="preserve">, </w:t>
      </w:r>
      <w:r>
        <w:t>‘</w:t>
      </w:r>
      <w:r w:rsidRPr="0056131A">
        <w:t>capital</w:t>
      </w:r>
      <w:r>
        <w:t>’</w:t>
      </w:r>
      <w:r w:rsidRPr="0056131A">
        <w:t xml:space="preserve"> refers to assets, as will be shown</w:t>
      </w:r>
      <w:r>
        <w:t xml:space="preserve">. </w:t>
      </w:r>
      <w:r w:rsidR="00DB5ACE">
        <w:t>The same applies in</w:t>
      </w:r>
      <w:r w:rsidR="0056131A">
        <w:t xml:space="preserve"> taxation</w:t>
      </w:r>
      <w:r w:rsidR="00DB5ACE">
        <w:t>.</w:t>
      </w:r>
      <w:r w:rsidR="0056131A">
        <w:t xml:space="preserve">  </w:t>
      </w:r>
      <w:r>
        <w:t xml:space="preserve">Capital Transfer Tax, as operated in the UK from 1975 to 1986, assessed the transfer of </w:t>
      </w:r>
      <w:r w:rsidRPr="00F62475">
        <w:rPr>
          <w:i/>
        </w:rPr>
        <w:t>assets</w:t>
      </w:r>
      <w:r>
        <w:t xml:space="preserve"> in order to attempt a redistribution of wealt</w:t>
      </w:r>
      <w:r w:rsidR="00DB5ACE">
        <w:t>h</w:t>
      </w:r>
      <w:r>
        <w:t xml:space="preserve">. Capital Gains Tax was introduced in the UK in 1965 as an attempt to tax a type of income by assessing the change in value of </w:t>
      </w:r>
      <w:r w:rsidRPr="00F62475">
        <w:rPr>
          <w:i/>
        </w:rPr>
        <w:t>assets</w:t>
      </w:r>
      <w:r w:rsidR="00C026C1">
        <w:rPr>
          <w:i/>
        </w:rPr>
        <w:t xml:space="preserve"> </w:t>
      </w:r>
      <w:r w:rsidR="00C026C1" w:rsidRPr="00C026C1">
        <w:t>on realisation</w:t>
      </w:r>
      <w:r>
        <w:t>. A tax on the</w:t>
      </w:r>
      <w:r w:rsidRPr="00F83579">
        <w:rPr>
          <w:i/>
        </w:rPr>
        <w:t xml:space="preserve"> stock</w:t>
      </w:r>
      <w:r>
        <w:t xml:space="preserve"> of assets is not generally labelled a capital tax but a wealth tax, as operated in several European countries (James and Nobes, 2013, p.226), but not yet in the UK.</w:t>
      </w:r>
      <w:r w:rsidRPr="00460C6E">
        <w:t xml:space="preserve"> </w:t>
      </w:r>
      <w:r>
        <w:t>Piketty (2014, p.515) proposes a global tax on wealth but refers</w:t>
      </w:r>
      <w:r w:rsidR="00CC25D3">
        <w:t xml:space="preserve"> </w:t>
      </w:r>
      <w:r>
        <w:t>to it as a capital tax.</w:t>
      </w:r>
      <w:r w:rsidR="00DB5ACE" w:rsidRPr="00DB5ACE">
        <w:t xml:space="preserve"> </w:t>
      </w:r>
      <w:r w:rsidR="00DB5ACE">
        <w:t>A poll tax, such as led to riots in the UK in 1381 and 1990, is a capital tax, in the sense that a ‘poll’ is a head and ‘</w:t>
      </w:r>
      <w:r w:rsidR="00DB5ACE">
        <w:rPr>
          <w:i/>
        </w:rPr>
        <w:t>per caput’</w:t>
      </w:r>
      <w:r w:rsidR="00DB5ACE">
        <w:t xml:space="preserve"> is by head.</w:t>
      </w:r>
    </w:p>
    <w:p w14:paraId="26736B6D" w14:textId="77777777" w:rsidR="00264F86" w:rsidRDefault="00365493" w:rsidP="00EC44AB">
      <w:pPr>
        <w:spacing w:after="120" w:line="480" w:lineRule="auto"/>
        <w:ind w:firstLine="720"/>
      </w:pPr>
      <w:r>
        <w:t>Perhaps the prime</w:t>
      </w:r>
      <w:r w:rsidR="00F579AE">
        <w:t xml:space="preserve"> reason why it is vital to be clear about capital is that the calculation of profit (for financial reporting, distribution</w:t>
      </w:r>
      <w:r w:rsidR="00537017">
        <w:t xml:space="preserve"> and taxation</w:t>
      </w:r>
      <w:r w:rsidR="00F579AE">
        <w:t>) is intimately connected to it.</w:t>
      </w:r>
      <w:r w:rsidR="00EC44AB">
        <w:t xml:space="preserve"> However</w:t>
      </w:r>
      <w:r w:rsidR="00275A97">
        <w:t>,</w:t>
      </w:r>
      <w:r w:rsidR="00264F86">
        <w:t xml:space="preserve"> Irving Fisher</w:t>
      </w:r>
      <w:r w:rsidR="002315EA">
        <w:t xml:space="preserve"> (1896)</w:t>
      </w:r>
      <w:r w:rsidR="00275A97">
        <w:t>,</w:t>
      </w:r>
      <w:r w:rsidR="00264F86">
        <w:t xml:space="preserve"> suggested that:</w:t>
      </w:r>
    </w:p>
    <w:p w14:paraId="34ECF02B" w14:textId="77777777" w:rsidR="00C56933" w:rsidRDefault="00264F86" w:rsidP="002E7185">
      <w:pPr>
        <w:spacing w:after="120" w:line="240" w:lineRule="auto"/>
        <w:ind w:left="720"/>
      </w:pPr>
      <w:r>
        <w:t>Of economic conceptions few are more fundamental and none more obscure than capital.</w:t>
      </w:r>
      <w:r w:rsidR="002315EA">
        <w:t xml:space="preserve"> (p.509)</w:t>
      </w:r>
    </w:p>
    <w:p w14:paraId="00C6649C" w14:textId="77777777" w:rsidR="00264F86" w:rsidRDefault="00264F86" w:rsidP="002E7185">
      <w:pPr>
        <w:spacing w:after="120" w:line="240" w:lineRule="auto"/>
        <w:ind w:left="720"/>
      </w:pPr>
      <w:r>
        <w:t>Capital has been so variously defined</w:t>
      </w:r>
      <w:r w:rsidR="00A37C9D">
        <w:t>,</w:t>
      </w:r>
      <w:r>
        <w:t xml:space="preserve"> that it may be doubtful whether it have</w:t>
      </w:r>
      <w:r w:rsidR="00A37C9D">
        <w:t xml:space="preserve"> any generally receiv</w:t>
      </w:r>
      <w:r>
        <w:t>ed meaning.</w:t>
      </w:r>
      <w:r w:rsidR="002315EA">
        <w:t xml:space="preserve"> (p.510, referring to an earlier opinion</w:t>
      </w:r>
      <w:r w:rsidR="004B7621">
        <w:t>, with which he concurred</w:t>
      </w:r>
      <w:r w:rsidR="002315EA">
        <w:t>)</w:t>
      </w:r>
    </w:p>
    <w:p w14:paraId="560E76FB" w14:textId="77777777" w:rsidR="00586154" w:rsidRDefault="00282306" w:rsidP="00BA344F">
      <w:pPr>
        <w:spacing w:after="120" w:line="480" w:lineRule="auto"/>
      </w:pPr>
      <w:r>
        <w:tab/>
      </w:r>
      <w:r w:rsidR="00586154">
        <w:t>In the context of accounting and closely related disciplines, t</w:t>
      </w:r>
      <w:r>
        <w:t xml:space="preserve">his paper traces the use of the signifier </w:t>
      </w:r>
      <w:r w:rsidR="002A6379">
        <w:t>‘</w:t>
      </w:r>
      <w:r>
        <w:t>capital</w:t>
      </w:r>
      <w:r w:rsidR="002A6379">
        <w:t>’</w:t>
      </w:r>
      <w:r>
        <w:t xml:space="preserve"> across centuries, countries and disciplines.  It also tries to identify what has been signified.  Concl</w:t>
      </w:r>
      <w:r w:rsidR="003F3741">
        <w:t>usions are reached about how</w:t>
      </w:r>
      <w:r>
        <w:t xml:space="preserve"> confusion </w:t>
      </w:r>
      <w:r w:rsidR="00264F86">
        <w:t xml:space="preserve">of terminology </w:t>
      </w:r>
      <w:r w:rsidR="003F3741">
        <w:t xml:space="preserve">and lack of conceptual clarity </w:t>
      </w:r>
      <w:r>
        <w:t>h</w:t>
      </w:r>
      <w:r w:rsidR="003F3741">
        <w:t>ave</w:t>
      </w:r>
      <w:r w:rsidR="00264F86">
        <w:t xml:space="preserve"> affected accounting</w:t>
      </w:r>
      <w:r>
        <w:t>.</w:t>
      </w:r>
      <w:r w:rsidR="009D3965">
        <w:t xml:space="preserve">  </w:t>
      </w:r>
      <w:r w:rsidR="00BA344F">
        <w:t xml:space="preserve">The word ‘capital’ is closely associated with company law, so it is necessary to specify a legal context. This paper is written largely in the context of British laws and related accounting, although that now includes </w:t>
      </w:r>
      <w:r w:rsidR="007560CA">
        <w:t xml:space="preserve">the use of </w:t>
      </w:r>
      <w:r w:rsidR="00BA344F">
        <w:t>International Financial Reporting Standards (IFRS). A number of comparisons with other jurisdictions are also made,</w:t>
      </w:r>
      <w:r w:rsidR="004C4517">
        <w:t xml:space="preserve"> including starting with double-</w:t>
      </w:r>
      <w:r w:rsidR="00BA344F">
        <w:t xml:space="preserve">entry </w:t>
      </w:r>
      <w:r w:rsidR="004C4517">
        <w:t xml:space="preserve">bookkeeping </w:t>
      </w:r>
      <w:r w:rsidR="00BA344F">
        <w:t>in Italy.</w:t>
      </w:r>
      <w:r w:rsidR="007560CA">
        <w:t xml:space="preserve"> </w:t>
      </w:r>
    </w:p>
    <w:p w14:paraId="03F771E0" w14:textId="53ED2CB0" w:rsidR="00BA344F" w:rsidRDefault="007560CA" w:rsidP="00212057">
      <w:pPr>
        <w:spacing w:after="120" w:line="480" w:lineRule="auto"/>
        <w:ind w:firstLine="720"/>
      </w:pPr>
      <w:r>
        <w:t>In order to keep the scope manageable, I restrict myself to for-profit activities.</w:t>
      </w:r>
      <w:r w:rsidR="00586154">
        <w:t xml:space="preserve"> I </w:t>
      </w:r>
      <w:r w:rsidR="00705F3D">
        <w:t xml:space="preserve">also </w:t>
      </w:r>
      <w:r w:rsidR="00293180">
        <w:t xml:space="preserve">do </w:t>
      </w:r>
      <w:r w:rsidR="00586154">
        <w:t xml:space="preserve">not investigate </w:t>
      </w:r>
      <w:r w:rsidR="00705F3D">
        <w:t>whether double-entry was a key driver of capitalism (Sombart 1916</w:t>
      </w:r>
      <w:r w:rsidR="00625B8C">
        <w:t>,</w:t>
      </w:r>
      <w:r w:rsidR="00705F3D">
        <w:t xml:space="preserve"> Weber 1927</w:t>
      </w:r>
      <w:r w:rsidR="00625B8C">
        <w:t>,</w:t>
      </w:r>
      <w:r w:rsidR="00705F3D">
        <w:t xml:space="preserve"> Bryer 1993) or merely oiled its wheels (Yamey 1964, 2005</w:t>
      </w:r>
      <w:r w:rsidR="00625B8C">
        <w:t>,</w:t>
      </w:r>
      <w:r w:rsidR="00705F3D">
        <w:t xml:space="preserve"> Edwards 1989, p.63).</w:t>
      </w:r>
      <w:r w:rsidR="009E0218">
        <w:t xml:space="preserve"> Except in passing, I do not discuss the capital adequacy or regulatory capital of financial institutions</w:t>
      </w:r>
      <w:r w:rsidR="00811658">
        <w:t xml:space="preserve"> (see Schoenmaker (2015) in this issue)</w:t>
      </w:r>
      <w:r w:rsidR="009E0218">
        <w:t>.</w:t>
      </w:r>
    </w:p>
    <w:p w14:paraId="46D85286" w14:textId="77777777" w:rsidR="00F83579" w:rsidRDefault="009D3965" w:rsidP="00BA344F">
      <w:pPr>
        <w:spacing w:after="120" w:line="480" w:lineRule="auto"/>
        <w:ind w:firstLine="720"/>
      </w:pPr>
      <w:r>
        <w:t>The paper proceeds as follows.  Section 2 examines the d</w:t>
      </w:r>
      <w:r w:rsidR="00250B64">
        <w:t>erivation</w:t>
      </w:r>
      <w:r>
        <w:t>s and</w:t>
      </w:r>
      <w:r w:rsidR="00250B64">
        <w:t xml:space="preserve"> the</w:t>
      </w:r>
      <w:r>
        <w:t xml:space="preserve"> gradual changes in usage and meaning of the words ‘capital’, ‘stock’, </w:t>
      </w:r>
      <w:r w:rsidR="00586154">
        <w:t xml:space="preserve">‘liability’, </w:t>
      </w:r>
      <w:r>
        <w:t xml:space="preserve">‘fund’ and ‘reserve’.  It also looks at the changing position </w:t>
      </w:r>
      <w:r w:rsidR="00250B64">
        <w:t xml:space="preserve">in </w:t>
      </w:r>
      <w:r w:rsidR="00250B64" w:rsidRPr="009D3965">
        <w:t>balance shee</w:t>
      </w:r>
      <w:r w:rsidR="00250B64">
        <w:t xml:space="preserve">ts </w:t>
      </w:r>
      <w:r>
        <w:t xml:space="preserve">of </w:t>
      </w:r>
      <w:r>
        <w:rPr>
          <w:i/>
        </w:rPr>
        <w:t xml:space="preserve">credit </w:t>
      </w:r>
      <w:r w:rsidRPr="009D3965">
        <w:t>items such as capital</w:t>
      </w:r>
      <w:r w:rsidR="00BA344F">
        <w:t xml:space="preserve">.  Section 3 examines how </w:t>
      </w:r>
      <w:r>
        <w:t xml:space="preserve">the concept of capital, including the </w:t>
      </w:r>
      <w:r w:rsidR="00BA344F">
        <w:t xml:space="preserve">notion of distributable profit, </w:t>
      </w:r>
      <w:r>
        <w:t>developed duri</w:t>
      </w:r>
      <w:r w:rsidR="00BA344F">
        <w:t xml:space="preserve">ng the nineteenth century among </w:t>
      </w:r>
      <w:r>
        <w:t>accountants, lawyers and economists.  This leads to a discussion of the depreciation of capital assets, in Section 4.  In Section 5, we return to the story of distributable profit, as dramatically affected by a change in law in 1980.  Section 6 examines the capital maintenance concepts developed in the inflationary period of the 1970s and inherited by the conceptual frameworks</w:t>
      </w:r>
      <w:r w:rsidR="00293180">
        <w:t xml:space="preserve"> of standard setters</w:t>
      </w:r>
      <w:r>
        <w:t>.  In Section 7, the dividing line between equity</w:t>
      </w:r>
      <w:r w:rsidR="00586154">
        <w:t xml:space="preserve"> capital</w:t>
      </w:r>
      <w:r>
        <w:t xml:space="preserve"> and liabilities is investigated.  This includes a discussion of provisions and reserves, and the ways in which accounting practice </w:t>
      </w:r>
      <w:r w:rsidR="008308EA">
        <w:t xml:space="preserve">has departed from definitions.  </w:t>
      </w:r>
      <w:r>
        <w:t xml:space="preserve">Section 8 contains </w:t>
      </w:r>
      <w:r w:rsidR="00293180">
        <w:t>a summary</w:t>
      </w:r>
      <w:r>
        <w:t xml:space="preserve"> and policy recommendations.</w:t>
      </w:r>
      <w:r w:rsidR="008308EA" w:rsidRPr="008308EA">
        <w:t xml:space="preserve"> </w:t>
      </w:r>
      <w:r w:rsidR="008308EA">
        <w:t>On the whole, the material within each section is organised chronologically. The same app</w:t>
      </w:r>
      <w:r w:rsidR="007D1AE2">
        <w:t xml:space="preserve">lies to the order of sections. </w:t>
      </w:r>
      <w:r w:rsidR="008308EA">
        <w:t>Section 2 begins with early bookkeeping (although it follo</w:t>
      </w:r>
      <w:r w:rsidR="007D1AE2">
        <w:t xml:space="preserve">ws its theme up to the present). </w:t>
      </w:r>
      <w:r w:rsidR="008308EA">
        <w:t xml:space="preserve"> Sections 3 and 4 start their topics in the early nineteenth century.  Sections 5 and 6 are based in the 1970s and 1980s. </w:t>
      </w:r>
      <w:r w:rsidR="007D1AE2">
        <w:t xml:space="preserve"> </w:t>
      </w:r>
      <w:r w:rsidR="008308EA">
        <w:t>Section 7</w:t>
      </w:r>
      <w:r w:rsidR="007D1AE2">
        <w:t xml:space="preserve"> is mostly set in the present.  </w:t>
      </w:r>
    </w:p>
    <w:p w14:paraId="73E2C8B3" w14:textId="77777777" w:rsidR="008D6833" w:rsidRPr="00BA344F" w:rsidRDefault="00BA344F" w:rsidP="00BA344F">
      <w:pPr>
        <w:spacing w:after="120" w:line="480" w:lineRule="auto"/>
        <w:ind w:firstLine="720"/>
      </w:pPr>
      <w:r>
        <w:rPr>
          <w:b/>
        </w:rPr>
        <w:t xml:space="preserve">2. </w:t>
      </w:r>
      <w:r w:rsidR="009813B1" w:rsidRPr="00BA344F">
        <w:rPr>
          <w:b/>
        </w:rPr>
        <w:t xml:space="preserve">Capital, stock, </w:t>
      </w:r>
      <w:r w:rsidR="00161F59">
        <w:rPr>
          <w:b/>
        </w:rPr>
        <w:t xml:space="preserve">liabilities, </w:t>
      </w:r>
      <w:r w:rsidR="00282306" w:rsidRPr="00BA344F">
        <w:rPr>
          <w:b/>
        </w:rPr>
        <w:t>funds</w:t>
      </w:r>
      <w:r w:rsidR="009813B1" w:rsidRPr="00BA344F">
        <w:rPr>
          <w:b/>
        </w:rPr>
        <w:t xml:space="preserve"> and reserves</w:t>
      </w:r>
    </w:p>
    <w:p w14:paraId="5E3A7C0D" w14:textId="77777777" w:rsidR="009813B1" w:rsidRPr="00A945E1" w:rsidRDefault="00A945E1" w:rsidP="00282306">
      <w:pPr>
        <w:spacing w:after="120" w:line="480" w:lineRule="auto"/>
        <w:rPr>
          <w:b/>
          <w:i/>
        </w:rPr>
      </w:pPr>
      <w:r w:rsidRPr="00A945E1">
        <w:rPr>
          <w:b/>
          <w:i/>
        </w:rPr>
        <w:t xml:space="preserve">2.1 </w:t>
      </w:r>
      <w:r w:rsidR="00161F59">
        <w:rPr>
          <w:b/>
          <w:i/>
        </w:rPr>
        <w:t xml:space="preserve">Capital, </w:t>
      </w:r>
      <w:r w:rsidR="009813B1" w:rsidRPr="00A945E1">
        <w:rPr>
          <w:b/>
          <w:i/>
        </w:rPr>
        <w:t>stock</w:t>
      </w:r>
      <w:r w:rsidR="00161F59">
        <w:rPr>
          <w:b/>
          <w:i/>
        </w:rPr>
        <w:t xml:space="preserve"> and liabilities</w:t>
      </w:r>
    </w:p>
    <w:p w14:paraId="04B5F6D6" w14:textId="0AE95B07" w:rsidR="009A538B" w:rsidRDefault="00282306" w:rsidP="0056131A">
      <w:pPr>
        <w:spacing w:after="120" w:line="480" w:lineRule="auto"/>
      </w:pPr>
      <w:r>
        <w:tab/>
      </w:r>
      <w:r w:rsidR="00A07884">
        <w:t xml:space="preserve">The derivation of the English word </w:t>
      </w:r>
      <w:r w:rsidR="002A6379">
        <w:t>‘</w:t>
      </w:r>
      <w:r w:rsidR="00A07884">
        <w:t>capital</w:t>
      </w:r>
      <w:r w:rsidR="002A6379">
        <w:t>’</w:t>
      </w:r>
      <w:r w:rsidR="00A07884">
        <w:t xml:space="preserve">, as used in a </w:t>
      </w:r>
      <w:r w:rsidR="00293180">
        <w:t xml:space="preserve">general </w:t>
      </w:r>
      <w:r w:rsidR="00A07884">
        <w:t xml:space="preserve">business context, can be traced to Latin: the </w:t>
      </w:r>
      <w:r w:rsidR="002A6379">
        <w:t>‘</w:t>
      </w:r>
      <w:r w:rsidR="00A07884" w:rsidRPr="00A07884">
        <w:rPr>
          <w:i/>
        </w:rPr>
        <w:t>capitalis pars debiti</w:t>
      </w:r>
      <w:r w:rsidR="002A6379">
        <w:t>’</w:t>
      </w:r>
      <w:r w:rsidR="00A07884">
        <w:t xml:space="preserve"> was the principal </w:t>
      </w:r>
      <w:r w:rsidR="008765C7">
        <w:t xml:space="preserve">(or head) </w:t>
      </w:r>
      <w:r w:rsidR="00A07884">
        <w:t>part of</w:t>
      </w:r>
      <w:r w:rsidR="008765C7">
        <w:t xml:space="preserve"> a loan (Fisher 1896, p.517</w:t>
      </w:r>
      <w:r w:rsidR="00625B8C">
        <w:t>,</w:t>
      </w:r>
      <w:r w:rsidR="00C14381">
        <w:t xml:space="preserve"> Cannan 1921, p.470</w:t>
      </w:r>
      <w:r w:rsidR="008765C7">
        <w:t>). The use of the word</w:t>
      </w:r>
      <w:r w:rsidR="006B6198">
        <w:t xml:space="preserve"> </w:t>
      </w:r>
      <w:r w:rsidR="00293180">
        <w:t xml:space="preserve">specifically </w:t>
      </w:r>
      <w:r w:rsidR="008765C7">
        <w:t>i</w:t>
      </w:r>
      <w:r>
        <w:t xml:space="preserve">n accounting </w:t>
      </w:r>
      <w:r w:rsidR="00A07884">
        <w:t xml:space="preserve">also </w:t>
      </w:r>
      <w:r>
        <w:t>comes to us from Italy</w:t>
      </w:r>
      <w:r w:rsidR="00B13501">
        <w:t>, more recently but from the same root</w:t>
      </w:r>
      <w:r w:rsidR="00EC777F">
        <w:t>.</w:t>
      </w:r>
      <w:r w:rsidR="00EC777F" w:rsidRPr="00EC777F">
        <w:t xml:space="preserve"> </w:t>
      </w:r>
      <w:r w:rsidR="00EC777F">
        <w:t xml:space="preserve">In </w:t>
      </w:r>
      <w:r w:rsidR="00EC777F">
        <w:rPr>
          <w:i/>
        </w:rPr>
        <w:t>capitolo</w:t>
      </w:r>
      <w:r w:rsidR="00EC777F">
        <w:t xml:space="preserve"> 12 of</w:t>
      </w:r>
      <w:r w:rsidR="00EC777F" w:rsidRPr="00A37C9D">
        <w:rPr>
          <w:i/>
        </w:rPr>
        <w:t xml:space="preserve"> </w:t>
      </w:r>
      <w:r w:rsidR="00EC777F" w:rsidRPr="007F4948">
        <w:rPr>
          <w:i/>
        </w:rPr>
        <w:t>tractatus</w:t>
      </w:r>
      <w:r w:rsidR="00B316DF">
        <w:t xml:space="preserve"> 11</w:t>
      </w:r>
      <w:r w:rsidR="00AD3589">
        <w:t xml:space="preserve"> of </w:t>
      </w:r>
      <w:r w:rsidR="00AD3589" w:rsidRPr="005073DC">
        <w:rPr>
          <w:i/>
        </w:rPr>
        <w:t>distinctio</w:t>
      </w:r>
      <w:r w:rsidR="00AD3589">
        <w:t xml:space="preserve"> 9</w:t>
      </w:r>
      <w:r w:rsidR="00B316DF">
        <w:t>, Pacioli (1494</w:t>
      </w:r>
      <w:r w:rsidR="00EC777F">
        <w:t xml:space="preserve">) says that a new business starts its accounting by recording the </w:t>
      </w:r>
      <w:r w:rsidR="008765C7">
        <w:t xml:space="preserve">initial </w:t>
      </w:r>
      <w:r w:rsidR="00EC777F">
        <w:t xml:space="preserve">cash on hand as: </w:t>
      </w:r>
      <w:r w:rsidR="00EC777F">
        <w:rPr>
          <w:i/>
        </w:rPr>
        <w:t>debit</w:t>
      </w:r>
      <w:r w:rsidR="00D87FD5">
        <w:t xml:space="preserve"> </w:t>
      </w:r>
      <w:r w:rsidR="002A6379">
        <w:t>‘</w:t>
      </w:r>
      <w:r w:rsidR="00D87FD5" w:rsidRPr="00D87FD5">
        <w:rPr>
          <w:i/>
        </w:rPr>
        <w:t>cassa</w:t>
      </w:r>
      <w:r w:rsidR="002A6379">
        <w:rPr>
          <w:i/>
        </w:rPr>
        <w:t>’</w:t>
      </w:r>
      <w:r w:rsidR="00D87FD5">
        <w:rPr>
          <w:i/>
        </w:rPr>
        <w:t>;</w:t>
      </w:r>
      <w:r w:rsidR="00EC777F">
        <w:t xml:space="preserve"> </w:t>
      </w:r>
      <w:r w:rsidR="00EC777F">
        <w:rPr>
          <w:i/>
        </w:rPr>
        <w:t>credit</w:t>
      </w:r>
      <w:r w:rsidR="00D87FD5">
        <w:t xml:space="preserve"> </w:t>
      </w:r>
      <w:r w:rsidR="002A6379">
        <w:t>‘</w:t>
      </w:r>
      <w:r w:rsidR="00D87FD5" w:rsidRPr="00D87FD5">
        <w:rPr>
          <w:i/>
        </w:rPr>
        <w:t>cavedal</w:t>
      </w:r>
      <w:r w:rsidR="002A6379">
        <w:rPr>
          <w:i/>
        </w:rPr>
        <w:t>’</w:t>
      </w:r>
      <w:r w:rsidR="00EC777F">
        <w:t>.</w:t>
      </w:r>
      <w:r w:rsidR="00EC777F">
        <w:rPr>
          <w:rStyle w:val="FootnoteReference"/>
        </w:rPr>
        <w:footnoteReference w:id="2"/>
      </w:r>
      <w:r w:rsidR="00EC777F">
        <w:t xml:space="preserve"> </w:t>
      </w:r>
      <w:r w:rsidR="00B13501">
        <w:t xml:space="preserve"> </w:t>
      </w:r>
      <w:r w:rsidR="00C14381">
        <w:t xml:space="preserve">Richards (1926) and </w:t>
      </w:r>
      <w:r w:rsidR="00F61696">
        <w:t>Hatfield (192</w:t>
      </w:r>
      <w:r w:rsidR="00B20F28">
        <w:t>6</w:t>
      </w:r>
      <w:r w:rsidR="00F61696">
        <w:t xml:space="preserve">) trace the first use of ‘capital’ in English back to </w:t>
      </w:r>
      <w:r w:rsidR="00A37C9D">
        <w:t>books on double entry</w:t>
      </w:r>
      <w:r w:rsidR="007465DE">
        <w:t>,</w:t>
      </w:r>
      <w:r>
        <w:t xml:space="preserve"> </w:t>
      </w:r>
      <w:r w:rsidR="007465DE">
        <w:t xml:space="preserve">based on Italian originals, </w:t>
      </w:r>
      <w:r w:rsidR="00F13AE0">
        <w:t>by Ympyn</w:t>
      </w:r>
      <w:r w:rsidR="00DB21D9">
        <w:t xml:space="preserve"> (</w:t>
      </w:r>
      <w:r w:rsidR="00F13AE0">
        <w:t>1547</w:t>
      </w:r>
      <w:r w:rsidR="00DB21D9">
        <w:t>)</w:t>
      </w:r>
      <w:r w:rsidR="00006CB0">
        <w:rPr>
          <w:rStyle w:val="FootnoteReference"/>
        </w:rPr>
        <w:footnoteReference w:id="3"/>
      </w:r>
      <w:r w:rsidR="00DB21D9">
        <w:t xml:space="preserve"> and </w:t>
      </w:r>
      <w:r>
        <w:t>Mellis</w:t>
      </w:r>
      <w:r w:rsidR="00DB21D9">
        <w:t xml:space="preserve"> (</w:t>
      </w:r>
      <w:r w:rsidR="00F13AE0">
        <w:t>1588</w:t>
      </w:r>
      <w:r w:rsidR="00DB21D9">
        <w:t>)</w:t>
      </w:r>
      <w:r w:rsidR="00F13AE0">
        <w:t xml:space="preserve">.  </w:t>
      </w:r>
      <w:r w:rsidR="006B6198">
        <w:t>Richards did not know about the former</w:t>
      </w:r>
      <w:r w:rsidR="00BD3092">
        <w:t xml:space="preserve"> book</w:t>
      </w:r>
      <w:r w:rsidR="006B6198">
        <w:t xml:space="preserve">, and </w:t>
      </w:r>
      <w:r w:rsidR="00F61696">
        <w:t xml:space="preserve">Hatfield </w:t>
      </w:r>
      <w:r w:rsidR="00B20F28">
        <w:t>(1934, p.162)</w:t>
      </w:r>
      <w:r w:rsidR="00B20F28" w:rsidRPr="00F61696">
        <w:t xml:space="preserve"> </w:t>
      </w:r>
      <w:r w:rsidR="00F61696">
        <w:t xml:space="preserve">thought that </w:t>
      </w:r>
      <w:r w:rsidR="006B6198">
        <w:t xml:space="preserve">it </w:t>
      </w:r>
      <w:r w:rsidR="00F61696">
        <w:t>was lost, except in a transcription from which he produces a quotation</w:t>
      </w:r>
      <w:r w:rsidR="009A538B">
        <w:t>:</w:t>
      </w:r>
      <w:r w:rsidR="009A538B">
        <w:rPr>
          <w:rStyle w:val="FootnoteReference"/>
        </w:rPr>
        <w:footnoteReference w:id="4"/>
      </w:r>
    </w:p>
    <w:p w14:paraId="53CB29BC" w14:textId="77777777" w:rsidR="006E448D" w:rsidRDefault="00F61696" w:rsidP="00F83579">
      <w:pPr>
        <w:spacing w:after="120" w:line="240" w:lineRule="auto"/>
        <w:ind w:left="720"/>
      </w:pPr>
      <w:r>
        <w:t>The other worde, the Italians call the Capitale</w:t>
      </w:r>
      <w:r w:rsidR="009A538B">
        <w:t xml:space="preserve">, that is to say the Stocke or principall that the Marchant began withall….And it is at your pleasure whether ye will vse </w:t>
      </w:r>
      <w:r>
        <w:t>this worde Stocke in Englishe, or Capitale</w:t>
      </w:r>
      <w:r w:rsidR="00B20F28">
        <w:t>.</w:t>
      </w:r>
      <w:r>
        <w:t xml:space="preserve"> </w:t>
      </w:r>
    </w:p>
    <w:p w14:paraId="340D01C4" w14:textId="77777777" w:rsidR="00BD3092" w:rsidRDefault="009A538B" w:rsidP="005073DC">
      <w:pPr>
        <w:spacing w:after="120" w:line="480" w:lineRule="auto"/>
        <w:ind w:firstLine="720"/>
      </w:pPr>
      <w:r>
        <w:t>This implies</w:t>
      </w:r>
      <w:r w:rsidR="00F61696">
        <w:t xml:space="preserve"> that ‘Capitale’ was still a foreign word</w:t>
      </w:r>
      <w:r w:rsidR="00006CB0">
        <w:t xml:space="preserve"> in 1547</w:t>
      </w:r>
      <w:r w:rsidR="00F61696">
        <w:t xml:space="preserve">. </w:t>
      </w:r>
      <w:r>
        <w:t xml:space="preserve">However, </w:t>
      </w:r>
      <w:r w:rsidR="006B6198">
        <w:t>40 years</w:t>
      </w:r>
      <w:r>
        <w:t xml:space="preserve"> later, Mellis instructs</w:t>
      </w:r>
      <w:r w:rsidR="00F13AE0">
        <w:t xml:space="preserve"> the novice</w:t>
      </w:r>
      <w:r w:rsidR="00282306">
        <w:t xml:space="preserve"> bookkeeper to record the introduct</w:t>
      </w:r>
      <w:r w:rsidR="007465DE">
        <w:t>ion of resources by the owner</w:t>
      </w:r>
      <w:r w:rsidR="00197F23">
        <w:t xml:space="preserve"> as</w:t>
      </w:r>
      <w:r w:rsidR="007465DE">
        <w:t xml:space="preserve">: </w:t>
      </w:r>
      <w:r w:rsidR="00282306">
        <w:rPr>
          <w:i/>
        </w:rPr>
        <w:t>debit</w:t>
      </w:r>
      <w:r w:rsidR="00D87FD5">
        <w:t xml:space="preserve"> various asset accounts; </w:t>
      </w:r>
      <w:r w:rsidR="00282306">
        <w:rPr>
          <w:i/>
        </w:rPr>
        <w:t>credit</w:t>
      </w:r>
      <w:r w:rsidR="001B1E49">
        <w:t xml:space="preserve"> </w:t>
      </w:r>
      <w:r w:rsidR="002A6379">
        <w:t>‘</w:t>
      </w:r>
      <w:r w:rsidR="001B1E49">
        <w:t>stock</w:t>
      </w:r>
      <w:r w:rsidR="00AB3845">
        <w:t>e’</w:t>
      </w:r>
      <w:r w:rsidR="001B1E49">
        <w:t xml:space="preserve"> or </w:t>
      </w:r>
      <w:r w:rsidR="00AB3845">
        <w:t>‘</w:t>
      </w:r>
      <w:r w:rsidR="001B1E49">
        <w:t>capital</w:t>
      </w:r>
      <w:r w:rsidR="00AB3845">
        <w:t>l</w:t>
      </w:r>
      <w:r w:rsidR="002A6379">
        <w:t>’</w:t>
      </w:r>
      <w:r w:rsidR="001B1E49">
        <w:t xml:space="preserve">.  </w:t>
      </w:r>
      <w:r w:rsidR="006469A2">
        <w:t xml:space="preserve">Richards (1926, p.331) notes that an earlier English term for the difference between the inventory and the </w:t>
      </w:r>
      <w:r w:rsidR="00714E89">
        <w:t>owings</w:t>
      </w:r>
      <w:r w:rsidR="006469A2">
        <w:t xml:space="preserve"> was ‘substance’. </w:t>
      </w:r>
      <w:r w:rsidR="00BD3092">
        <w:t xml:space="preserve">Edwards (2014) shows that the word ‘estate’ was </w:t>
      </w:r>
      <w:r w:rsidR="00D8087B">
        <w:t>used in 1738.</w:t>
      </w:r>
    </w:p>
    <w:p w14:paraId="72098854" w14:textId="17B3C54A" w:rsidR="00F469F7" w:rsidRDefault="001B1E49" w:rsidP="004C4517">
      <w:pPr>
        <w:spacing w:after="120" w:line="480" w:lineRule="auto"/>
        <w:ind w:firstLine="720"/>
      </w:pPr>
      <w:r>
        <w:t>Parker (1994</w:t>
      </w:r>
      <w:r w:rsidR="00F13AE0">
        <w:t>, p.77</w:t>
      </w:r>
      <w:r w:rsidR="00282306">
        <w:t>) suggests that th</w:t>
      </w:r>
      <w:r w:rsidR="00714E89">
        <w:t>e</w:t>
      </w:r>
      <w:r w:rsidR="00282306">
        <w:t xml:space="preserve"> meaning of </w:t>
      </w:r>
      <w:r w:rsidR="002A6379">
        <w:t>‘</w:t>
      </w:r>
      <w:r w:rsidR="00282306">
        <w:t>stock</w:t>
      </w:r>
      <w:r w:rsidR="002A6379">
        <w:t>’</w:t>
      </w:r>
      <w:r w:rsidR="006469A2">
        <w:t xml:space="preserve"> in this context</w:t>
      </w:r>
      <w:r w:rsidR="00282306">
        <w:t xml:space="preserve"> </w:t>
      </w:r>
      <w:r w:rsidR="005F7589">
        <w:t xml:space="preserve">relates to the </w:t>
      </w:r>
      <w:r w:rsidR="00537017">
        <w:t xml:space="preserve">signifieds </w:t>
      </w:r>
      <w:r w:rsidR="005F7589">
        <w:t xml:space="preserve">‘stem’ or ‘root’, and </w:t>
      </w:r>
      <w:r w:rsidR="00282306">
        <w:t>derives from the half of the tally stick which was retained by a person as proof o</w:t>
      </w:r>
      <w:r w:rsidR="009126CA">
        <w:t xml:space="preserve">f a payment to the Exchequer.  The holder </w:t>
      </w:r>
      <w:r w:rsidR="00212249">
        <w:t xml:space="preserve">of the stock </w:t>
      </w:r>
      <w:r w:rsidR="009126CA">
        <w:t>has provided money; he</w:t>
      </w:r>
      <w:r w:rsidR="00F047C4">
        <w:rPr>
          <w:rStyle w:val="FootnoteReference"/>
        </w:rPr>
        <w:footnoteReference w:id="5"/>
      </w:r>
      <w:r w:rsidR="009126CA">
        <w:t xml:space="preserve"> therefore has</w:t>
      </w:r>
      <w:r w:rsidR="005F7589">
        <w:t xml:space="preserve"> a</w:t>
      </w:r>
      <w:r w:rsidR="009126CA">
        <w:t xml:space="preserve"> claim against the firm; his</w:t>
      </w:r>
      <w:r>
        <w:t xml:space="preserve"> stock </w:t>
      </w:r>
      <w:r w:rsidR="00A22A98">
        <w:t xml:space="preserve">(his </w:t>
      </w:r>
      <w:r>
        <w:t>asset</w:t>
      </w:r>
      <w:r w:rsidR="00A22A98">
        <w:t>)</w:t>
      </w:r>
      <w:r>
        <w:t xml:space="preserve"> is the firm’s capital stock.</w:t>
      </w:r>
      <w:r w:rsidR="000E1E15">
        <w:t xml:space="preserve">  When, in order to get larger, a firm has</w:t>
      </w:r>
      <w:r w:rsidR="00F047C4">
        <w:t xml:space="preserve"> several contributors of capital, it becomes a joint stock company.</w:t>
      </w:r>
      <w:r w:rsidR="00DB21D9">
        <w:t xml:space="preserve"> </w:t>
      </w:r>
      <w:r w:rsidR="00031746">
        <w:t>The East India Company</w:t>
      </w:r>
      <w:r w:rsidR="00E91DD0">
        <w:t xml:space="preserve"> (EIC)</w:t>
      </w:r>
      <w:r w:rsidR="00031746">
        <w:t>, founded by charter in 1600, st</w:t>
      </w:r>
      <w:r w:rsidR="007F3B07">
        <w:t xml:space="preserve">arted by raising </w:t>
      </w:r>
      <w:r w:rsidR="00E91DD0">
        <w:t>stock</w:t>
      </w:r>
      <w:r w:rsidR="007F3B07">
        <w:t xml:space="preserve"> voyage-by-</w:t>
      </w:r>
      <w:r w:rsidR="00031746">
        <w:t xml:space="preserve">voyage. However, in 1613, it raised </w:t>
      </w:r>
      <w:r w:rsidR="00E91DD0">
        <w:t>stock</w:t>
      </w:r>
      <w:r w:rsidR="00031746">
        <w:t xml:space="preserve"> for four voyage</w:t>
      </w:r>
      <w:r w:rsidR="00F047C4">
        <w:t xml:space="preserve">s together, </w:t>
      </w:r>
      <w:r w:rsidR="00E91DD0">
        <w:t xml:space="preserve">and then merged them, </w:t>
      </w:r>
      <w:r w:rsidR="00F047C4">
        <w:t>thereby becoming a joint stock</w:t>
      </w:r>
      <w:r w:rsidR="00031746">
        <w:t xml:space="preserve"> company with a continu</w:t>
      </w:r>
      <w:r w:rsidR="00E91DD0">
        <w:t>ing</w:t>
      </w:r>
      <w:r w:rsidR="00031746">
        <w:t xml:space="preserve"> life.</w:t>
      </w:r>
      <w:r w:rsidR="00031746">
        <w:rPr>
          <w:rStyle w:val="FootnoteReference"/>
        </w:rPr>
        <w:footnoteReference w:id="6"/>
      </w:r>
      <w:r w:rsidR="00E91DD0">
        <w:t xml:space="preserve"> </w:t>
      </w:r>
      <w:r w:rsidR="00556DCA">
        <w:t>In 1614, t</w:t>
      </w:r>
      <w:r w:rsidR="00E91DD0">
        <w:t>he EI</w:t>
      </w:r>
      <w:r w:rsidR="00556DCA">
        <w:t>C first used the word ‘capital’</w:t>
      </w:r>
      <w:r w:rsidR="00E91DD0">
        <w:t xml:space="preserve"> instead of ‘stock</w:t>
      </w:r>
      <w:r w:rsidR="00556DCA">
        <w:t>’, perhaps because ‘stock’ also meant</w:t>
      </w:r>
      <w:r w:rsidR="00E91DD0">
        <w:t xml:space="preserve"> </w:t>
      </w:r>
      <w:r w:rsidR="00556DCA">
        <w:t xml:space="preserve">the commodities into which the stock had been turned, and </w:t>
      </w:r>
      <w:r w:rsidR="00212249">
        <w:t xml:space="preserve">because </w:t>
      </w:r>
      <w:r w:rsidR="00556DCA">
        <w:t xml:space="preserve">the link was now more complicated </w:t>
      </w:r>
      <w:r w:rsidR="00A109EA">
        <w:t xml:space="preserve">because of joint stock </w:t>
      </w:r>
      <w:r w:rsidR="00E91DD0">
        <w:t>(Bryer 2000, p. 347).</w:t>
      </w:r>
      <w:r w:rsidR="009D3A80">
        <w:t xml:space="preserve"> It has also been  point</w:t>
      </w:r>
      <w:r w:rsidR="00212249">
        <w:t xml:space="preserve">ed </w:t>
      </w:r>
      <w:r w:rsidR="009D3A80">
        <w:t xml:space="preserve">out </w:t>
      </w:r>
      <w:r w:rsidR="00212249">
        <w:t>that</w:t>
      </w:r>
      <w:r w:rsidR="004C4517">
        <w:t xml:space="preserve"> </w:t>
      </w:r>
      <w:r w:rsidR="00282306">
        <w:t>the E</w:t>
      </w:r>
      <w:r w:rsidR="00A109EA">
        <w:t>IC</w:t>
      </w:r>
      <w:r w:rsidR="00282306">
        <w:t xml:space="preserve"> in the seventeenth century used </w:t>
      </w:r>
      <w:r w:rsidR="002A6379">
        <w:t>‘</w:t>
      </w:r>
      <w:r w:rsidR="00282306">
        <w:t>capital</w:t>
      </w:r>
      <w:r w:rsidR="002A6379">
        <w:t>’</w:t>
      </w:r>
      <w:r w:rsidR="00282306">
        <w:t xml:space="preserve"> for shareholders’ claims, and </w:t>
      </w:r>
      <w:r w:rsidR="002A6379">
        <w:t>‘</w:t>
      </w:r>
      <w:r w:rsidR="00282306">
        <w:t>stock</w:t>
      </w:r>
      <w:r w:rsidR="002A6379">
        <w:t>’</w:t>
      </w:r>
      <w:r w:rsidR="00282306">
        <w:t xml:space="preserve"> for the wider set of claims including debt (Scott 1912,</w:t>
      </w:r>
      <w:r w:rsidR="00275A97">
        <w:t xml:space="preserve"> pp.157-8, cited by Parker 1994</w:t>
      </w:r>
      <w:r w:rsidR="008765C7">
        <w:t xml:space="preserve">).  </w:t>
      </w:r>
    </w:p>
    <w:p w14:paraId="72BFED55" w14:textId="23F4B433" w:rsidR="008765C7" w:rsidRDefault="00F469F7" w:rsidP="004C4517">
      <w:pPr>
        <w:spacing w:after="120" w:line="480" w:lineRule="auto"/>
        <w:ind w:firstLine="720"/>
      </w:pPr>
      <w:r>
        <w:t>B</w:t>
      </w:r>
      <w:r w:rsidR="00282306">
        <w:t xml:space="preserve">y the </w:t>
      </w:r>
      <w:r w:rsidR="00991B96">
        <w:t>Companies Act</w:t>
      </w:r>
      <w:r w:rsidR="00A22A98">
        <w:t xml:space="preserve"> 1856</w:t>
      </w:r>
      <w:r w:rsidR="00991B96">
        <w:t xml:space="preserve">, the label for the full set of </w:t>
      </w:r>
      <w:r w:rsidR="00991B96" w:rsidRPr="00676889">
        <w:rPr>
          <w:i/>
        </w:rPr>
        <w:t>credit</w:t>
      </w:r>
      <w:r w:rsidR="00991B96">
        <w:t xml:space="preserve"> balances</w:t>
      </w:r>
      <w:r w:rsidR="00282306">
        <w:t xml:space="preserve"> had become </w:t>
      </w:r>
      <w:r w:rsidR="002A6379">
        <w:t>‘</w:t>
      </w:r>
      <w:r w:rsidR="00282306">
        <w:t>capital and liabilities</w:t>
      </w:r>
      <w:r w:rsidR="002A6379">
        <w:t>’</w:t>
      </w:r>
      <w:r w:rsidR="005D2406">
        <w:t>, as illustrated in Figure 1</w:t>
      </w:r>
      <w:r>
        <w:t>.</w:t>
      </w:r>
      <w:r w:rsidR="00282306">
        <w:t xml:space="preserve"> </w:t>
      </w:r>
      <w:r w:rsidR="00991B96">
        <w:t xml:space="preserve">As a </w:t>
      </w:r>
      <w:r w:rsidR="00991B96">
        <w:rPr>
          <w:i/>
        </w:rPr>
        <w:t>debit</w:t>
      </w:r>
      <w:r w:rsidR="00991B96">
        <w:t xml:space="preserve"> term, </w:t>
      </w:r>
      <w:r w:rsidR="002A6379">
        <w:t>‘</w:t>
      </w:r>
      <w:r w:rsidR="00282306">
        <w:t>stock</w:t>
      </w:r>
      <w:r w:rsidR="002A6379">
        <w:t>’</w:t>
      </w:r>
      <w:r w:rsidR="00282306">
        <w:t xml:space="preserve"> </w:t>
      </w:r>
      <w:r w:rsidR="004B7621">
        <w:t xml:space="preserve"> was </w:t>
      </w:r>
      <w:r w:rsidR="00925BF9">
        <w:t xml:space="preserve">used </w:t>
      </w:r>
      <w:r w:rsidR="00991B96">
        <w:t xml:space="preserve">either </w:t>
      </w:r>
      <w:r w:rsidR="00925BF9">
        <w:t>to refer to all assets or merely to inventory.</w:t>
      </w:r>
      <w:r w:rsidR="001B1E49" w:rsidRPr="001B1E49">
        <w:t xml:space="preserve"> </w:t>
      </w:r>
      <w:r w:rsidR="005D2406">
        <w:t xml:space="preserve">Figure 2 shows </w:t>
      </w:r>
      <w:r w:rsidR="008765C7">
        <w:t xml:space="preserve">a balance sheet of 1900, with </w:t>
      </w:r>
      <w:r w:rsidR="002A6379">
        <w:t>‘</w:t>
      </w:r>
      <w:r w:rsidR="008765C7">
        <w:t>S</w:t>
      </w:r>
      <w:r w:rsidR="005D2406">
        <w:t>tocks</w:t>
      </w:r>
      <w:r w:rsidR="002A6379">
        <w:t>’</w:t>
      </w:r>
      <w:r w:rsidR="005D2406">
        <w:t xml:space="preserve"> on both sides</w:t>
      </w:r>
      <w:r w:rsidR="008765C7">
        <w:t>, with different meanings</w:t>
      </w:r>
      <w:r w:rsidR="005D2406">
        <w:t xml:space="preserve">. </w:t>
      </w:r>
      <w:r w:rsidR="005F2D9C">
        <w:t xml:space="preserve">Thus, in 1856 </w:t>
      </w:r>
      <w:r w:rsidR="00991B96">
        <w:t>and</w:t>
      </w:r>
      <w:r w:rsidR="005F2D9C">
        <w:t xml:space="preserve"> 1900, ‘capital’ in accounting meant a </w:t>
      </w:r>
      <w:r w:rsidR="005F2D9C">
        <w:rPr>
          <w:i/>
        </w:rPr>
        <w:t>credit</w:t>
      </w:r>
      <w:r w:rsidR="005F2D9C">
        <w:t xml:space="preserve"> balance, specifically an equity one, and specifically the principal amount. </w:t>
      </w:r>
      <w:r w:rsidR="00BC2900">
        <w:t xml:space="preserve">The matter of </w:t>
      </w:r>
      <w:r w:rsidR="00FA36C7" w:rsidRPr="005F2D9C">
        <w:t>which</w:t>
      </w:r>
      <w:r w:rsidR="00BC2900">
        <w:t xml:space="preserve"> side the capital is on is discussed in Section 2.2.</w:t>
      </w:r>
      <w:r w:rsidR="00B13501">
        <w:t xml:space="preserve"> </w:t>
      </w:r>
    </w:p>
    <w:p w14:paraId="4800C898" w14:textId="77777777" w:rsidR="00986353" w:rsidRDefault="00986353" w:rsidP="00F83579">
      <w:pPr>
        <w:spacing w:after="120" w:line="480" w:lineRule="auto"/>
        <w:ind w:firstLine="720"/>
      </w:pPr>
      <w:r>
        <w:t>[Insert Figures 1 and 2 near here.]</w:t>
      </w:r>
    </w:p>
    <w:p w14:paraId="611C4CA7" w14:textId="7DB1CCA2" w:rsidR="00D6112B" w:rsidRDefault="005F2D9C" w:rsidP="00161F59">
      <w:pPr>
        <w:spacing w:after="120" w:line="480" w:lineRule="auto"/>
        <w:ind w:firstLine="720"/>
      </w:pPr>
      <w:r>
        <w:t xml:space="preserve">The use of the term ‘capital and liabilities’ in the 1856 Act </w:t>
      </w:r>
      <w:r w:rsidR="00127B10">
        <w:t xml:space="preserve">might </w:t>
      </w:r>
      <w:r>
        <w:t xml:space="preserve">appear to imply the modern distinction between equity and liabilities. However, </w:t>
      </w:r>
      <w:r w:rsidR="00A22A98">
        <w:t>as Figure 1</w:t>
      </w:r>
      <w:r w:rsidR="00127B10">
        <w:t xml:space="preserve"> shows, the word ‘liabilities’ was used both to mean all the </w:t>
      </w:r>
      <w:r w:rsidR="00127B10" w:rsidRPr="00127B10">
        <w:rPr>
          <w:i/>
        </w:rPr>
        <w:t>credits</w:t>
      </w:r>
      <w:r w:rsidR="00127B10">
        <w:t xml:space="preserve"> and to mean part of the non-equity </w:t>
      </w:r>
      <w:r w:rsidR="00127B10" w:rsidRPr="00127B10">
        <w:rPr>
          <w:i/>
        </w:rPr>
        <w:t>credits</w:t>
      </w:r>
      <w:r w:rsidR="00127B10">
        <w:t>. T</w:t>
      </w:r>
      <w:r>
        <w:t>h</w:t>
      </w:r>
      <w:r w:rsidR="00127B10">
        <w:t>e modern meaning</w:t>
      </w:r>
      <w:r>
        <w:t xml:space="preserve"> had not arrived</w:t>
      </w:r>
      <w:r w:rsidR="00D6112B">
        <w:t xml:space="preserve"> </w:t>
      </w:r>
      <w:r w:rsidR="00A109EA">
        <w:t xml:space="preserve">by then </w:t>
      </w:r>
      <w:r w:rsidR="00D6112B">
        <w:t>in the UK or anywhere else</w:t>
      </w:r>
      <w:r>
        <w:t xml:space="preserve">. The U.S. Steel company is renowned for being the world’s first </w:t>
      </w:r>
      <w:r w:rsidR="00EE0991">
        <w:t>company</w:t>
      </w:r>
      <w:r w:rsidR="00EE0991">
        <w:rPr>
          <w:rStyle w:val="FootnoteReference"/>
        </w:rPr>
        <w:footnoteReference w:id="7"/>
      </w:r>
      <w:r w:rsidR="00EE0991">
        <w:t xml:space="preserve"> </w:t>
      </w:r>
      <w:r>
        <w:t>to present a consolidated balance sheet (in 1902).</w:t>
      </w:r>
      <w:r>
        <w:rPr>
          <w:rStyle w:val="FootnoteReference"/>
        </w:rPr>
        <w:footnoteReference w:id="8"/>
      </w:r>
      <w:r>
        <w:t xml:space="preserve">  Until 1943, the heading on the </w:t>
      </w:r>
      <w:r>
        <w:rPr>
          <w:i/>
        </w:rPr>
        <w:t>credit</w:t>
      </w:r>
      <w:r>
        <w:t xml:space="preserve"> side of </w:t>
      </w:r>
      <w:r w:rsidR="00304058">
        <w:t>its</w:t>
      </w:r>
      <w:r>
        <w:t xml:space="preserve"> balance sheet was ‘Liabilities’, although </w:t>
      </w:r>
      <w:r w:rsidR="00304058">
        <w:t>the heading</w:t>
      </w:r>
      <w:r>
        <w:t xml:space="preserve"> then </w:t>
      </w:r>
      <w:r w:rsidR="00304058">
        <w:t>became</w:t>
      </w:r>
      <w:r>
        <w:t xml:space="preserve"> ‘Liabilities, capital, and surplus’ (Claire 1945). Similarly, the </w:t>
      </w:r>
      <w:r w:rsidR="00D6112B">
        <w:rPr>
          <w:i/>
        </w:rPr>
        <w:t>credit</w:t>
      </w:r>
      <w:r>
        <w:t xml:space="preserve"> side of the 1934 balance sheet of Marks and Spencer was still headed ‘Liabilities’, as shown in Figure 3.</w:t>
      </w:r>
      <w:r w:rsidR="00D6112B">
        <w:t xml:space="preserve"> Not surprisingly, this lack of clarity spread to translations into English from other languages, and it lasted longer.</w:t>
      </w:r>
      <w:r w:rsidR="00D6112B">
        <w:rPr>
          <w:rStyle w:val="FootnoteReference"/>
        </w:rPr>
        <w:footnoteReference w:id="9"/>
      </w:r>
      <w:r w:rsidR="00D6112B">
        <w:t xml:space="preserve"> Figure 4 shows </w:t>
      </w:r>
      <w:r w:rsidR="00161F59">
        <w:t xml:space="preserve">the </w:t>
      </w:r>
      <w:r w:rsidR="009F78B6">
        <w:rPr>
          <w:i/>
        </w:rPr>
        <w:t xml:space="preserve">credit </w:t>
      </w:r>
      <w:r w:rsidR="009F78B6">
        <w:t xml:space="preserve">side </w:t>
      </w:r>
      <w:r w:rsidR="00684EF9">
        <w:t xml:space="preserve">of </w:t>
      </w:r>
      <w:r w:rsidR="00D6112B">
        <w:t xml:space="preserve">the 1985 balance sheet of </w:t>
      </w:r>
      <w:r w:rsidR="004A1CC0">
        <w:t xml:space="preserve">Total Oil, </w:t>
      </w:r>
      <w:r w:rsidR="00D6112B">
        <w:t>a very large French company which was listed on Paris and London.</w:t>
      </w:r>
      <w:r w:rsidR="0015149D">
        <w:t xml:space="preserve"> </w:t>
      </w:r>
      <w:r w:rsidR="009F78B6">
        <w:t>This is the English translation which the company published,</w:t>
      </w:r>
      <w:r w:rsidR="009F78B6" w:rsidRPr="009F78B6">
        <w:rPr>
          <w:rStyle w:val="FootnoteReference"/>
        </w:rPr>
        <w:t xml:space="preserve"> </w:t>
      </w:r>
      <w:r w:rsidR="009F78B6">
        <w:rPr>
          <w:rStyle w:val="FootnoteReference"/>
        </w:rPr>
        <w:footnoteReference w:id="10"/>
      </w:r>
      <w:r w:rsidR="009F78B6">
        <w:t xml:space="preserve"> and it shows the wide use of ‘Liabilities’. </w:t>
      </w:r>
      <w:r w:rsidR="0015149D">
        <w:t>Figure 5 shows the</w:t>
      </w:r>
      <w:r w:rsidR="00A109EA">
        <w:t xml:space="preserve"> us</w:t>
      </w:r>
      <w:r w:rsidR="00F469F7">
        <w:t xml:space="preserve">age continuing </w:t>
      </w:r>
      <w:r w:rsidR="00E15B26">
        <w:t xml:space="preserve">in </w:t>
      </w:r>
      <w:r w:rsidR="00A109EA">
        <w:t>the</w:t>
      </w:r>
      <w:r w:rsidR="00E15B26">
        <w:t xml:space="preserve"> 2004 balance sheet of</w:t>
      </w:r>
      <w:r w:rsidR="004A1CC0">
        <w:t xml:space="preserve"> Campari,</w:t>
      </w:r>
      <w:r w:rsidR="00E15B26">
        <w:t xml:space="preserve"> an Italian listed company.</w:t>
      </w:r>
      <w:r w:rsidR="0015149D">
        <w:rPr>
          <w:rStyle w:val="FootnoteReference"/>
        </w:rPr>
        <w:footnoteReference w:id="11"/>
      </w:r>
      <w:r w:rsidR="00D6112B">
        <w:t xml:space="preserve">  </w:t>
      </w:r>
    </w:p>
    <w:p w14:paraId="15B58FEB" w14:textId="77777777" w:rsidR="00D6112B" w:rsidRPr="009126CA" w:rsidRDefault="00D6112B" w:rsidP="005073DC">
      <w:pPr>
        <w:spacing w:after="120" w:line="480" w:lineRule="auto"/>
        <w:ind w:firstLine="720"/>
      </w:pPr>
      <w:r>
        <w:t>[Insert Figure</w:t>
      </w:r>
      <w:r w:rsidR="00E15B26">
        <w:t>s 3 to 5</w:t>
      </w:r>
      <w:r>
        <w:t xml:space="preserve"> near here.]</w:t>
      </w:r>
    </w:p>
    <w:p w14:paraId="715ED766" w14:textId="77777777" w:rsidR="00D6112B" w:rsidRPr="00B15765" w:rsidRDefault="00D6112B" w:rsidP="00B15765">
      <w:pPr>
        <w:pStyle w:val="FootnoteText"/>
        <w:spacing w:line="480" w:lineRule="auto"/>
        <w:rPr>
          <w:sz w:val="24"/>
          <w:szCs w:val="24"/>
        </w:rPr>
      </w:pPr>
      <w:r>
        <w:t xml:space="preserve">     </w:t>
      </w:r>
      <w:r>
        <w:tab/>
      </w:r>
      <w:r w:rsidR="007D1AE2" w:rsidRPr="00B15765">
        <w:rPr>
          <w:sz w:val="24"/>
          <w:szCs w:val="24"/>
        </w:rPr>
        <w:t>By the time the UK joined ‘T</w:t>
      </w:r>
      <w:r w:rsidR="004A1CC0" w:rsidRPr="00B15765">
        <w:rPr>
          <w:sz w:val="24"/>
          <w:szCs w:val="24"/>
        </w:rPr>
        <w:t>he Common Market</w:t>
      </w:r>
      <w:r w:rsidR="007D1AE2" w:rsidRPr="00B15765">
        <w:rPr>
          <w:sz w:val="24"/>
          <w:szCs w:val="24"/>
        </w:rPr>
        <w:t>’</w:t>
      </w:r>
      <w:r w:rsidR="004F3149" w:rsidRPr="00B15765">
        <w:rPr>
          <w:sz w:val="24"/>
          <w:szCs w:val="24"/>
        </w:rPr>
        <w:t xml:space="preserve"> in 1973</w:t>
      </w:r>
      <w:r w:rsidR="004A1CC0" w:rsidRPr="00B15765">
        <w:rPr>
          <w:sz w:val="24"/>
          <w:szCs w:val="24"/>
        </w:rPr>
        <w:t>, t</w:t>
      </w:r>
      <w:r w:rsidR="00684EF9" w:rsidRPr="00B15765">
        <w:rPr>
          <w:sz w:val="24"/>
          <w:szCs w:val="24"/>
        </w:rPr>
        <w:t xml:space="preserve">he British </w:t>
      </w:r>
      <w:r w:rsidR="004A1CC0" w:rsidRPr="00B15765">
        <w:rPr>
          <w:sz w:val="24"/>
          <w:szCs w:val="24"/>
        </w:rPr>
        <w:t xml:space="preserve">had </w:t>
      </w:r>
      <w:r w:rsidR="004F3149" w:rsidRPr="00B15765">
        <w:rPr>
          <w:sz w:val="24"/>
          <w:szCs w:val="24"/>
        </w:rPr>
        <w:t xml:space="preserve">generally </w:t>
      </w:r>
      <w:r w:rsidR="004A1CC0" w:rsidRPr="00B15765">
        <w:rPr>
          <w:sz w:val="24"/>
          <w:szCs w:val="24"/>
        </w:rPr>
        <w:t>restricted</w:t>
      </w:r>
      <w:r w:rsidR="004F3149" w:rsidRPr="00B15765">
        <w:rPr>
          <w:sz w:val="24"/>
          <w:szCs w:val="24"/>
        </w:rPr>
        <w:t xml:space="preserve"> the scope of the term ‘liability’, but </w:t>
      </w:r>
      <w:r w:rsidR="004A1CC0" w:rsidRPr="00B15765">
        <w:rPr>
          <w:sz w:val="24"/>
          <w:szCs w:val="24"/>
        </w:rPr>
        <w:t>received</w:t>
      </w:r>
      <w:r w:rsidR="00684EF9" w:rsidRPr="00B15765">
        <w:rPr>
          <w:sz w:val="24"/>
          <w:szCs w:val="24"/>
        </w:rPr>
        <w:t xml:space="preserve"> their </w:t>
      </w:r>
      <w:r w:rsidR="004F3149" w:rsidRPr="00B15765">
        <w:rPr>
          <w:sz w:val="24"/>
          <w:szCs w:val="24"/>
        </w:rPr>
        <w:t>confusion</w:t>
      </w:r>
      <w:r w:rsidR="00684EF9" w:rsidRPr="00B15765">
        <w:rPr>
          <w:sz w:val="24"/>
          <w:szCs w:val="24"/>
        </w:rPr>
        <w:t xml:space="preserve"> back again via Brussels. Figure </w:t>
      </w:r>
      <w:r w:rsidR="00E15B26" w:rsidRPr="00B15765">
        <w:rPr>
          <w:sz w:val="24"/>
          <w:szCs w:val="24"/>
        </w:rPr>
        <w:t>6</w:t>
      </w:r>
      <w:r w:rsidR="00684EF9" w:rsidRPr="00B15765">
        <w:rPr>
          <w:sz w:val="24"/>
          <w:szCs w:val="24"/>
        </w:rPr>
        <w:t xml:space="preserve"> shows the two-sided</w:t>
      </w:r>
      <w:r w:rsidRPr="00B15765">
        <w:rPr>
          <w:sz w:val="24"/>
          <w:szCs w:val="24"/>
        </w:rPr>
        <w:t xml:space="preserve"> balance sheet format in the regulations attached to the UK’s Companies Act 2006, which faithfully preserve</w:t>
      </w:r>
      <w:r w:rsidR="00684EF9" w:rsidRPr="00B15765">
        <w:rPr>
          <w:sz w:val="24"/>
          <w:szCs w:val="24"/>
        </w:rPr>
        <w:t xml:space="preserve"> the </w:t>
      </w:r>
      <w:r w:rsidR="004F3149" w:rsidRPr="00B15765">
        <w:rPr>
          <w:sz w:val="24"/>
          <w:szCs w:val="24"/>
        </w:rPr>
        <w:t xml:space="preserve">wide </w:t>
      </w:r>
      <w:r w:rsidR="00684EF9" w:rsidRPr="00B15765">
        <w:rPr>
          <w:sz w:val="24"/>
          <w:szCs w:val="24"/>
        </w:rPr>
        <w:t>use of ‘Liabilities’</w:t>
      </w:r>
      <w:r w:rsidRPr="00B15765">
        <w:rPr>
          <w:sz w:val="24"/>
          <w:szCs w:val="24"/>
        </w:rPr>
        <w:t xml:space="preserve"> </w:t>
      </w:r>
      <w:r w:rsidR="00DB47F9" w:rsidRPr="00B15765">
        <w:rPr>
          <w:sz w:val="24"/>
          <w:szCs w:val="24"/>
        </w:rPr>
        <w:t>put</w:t>
      </w:r>
      <w:r w:rsidRPr="00B15765">
        <w:rPr>
          <w:sz w:val="24"/>
          <w:szCs w:val="24"/>
        </w:rPr>
        <w:t xml:space="preserve"> into the </w:t>
      </w:r>
      <w:r w:rsidR="00684EF9" w:rsidRPr="00B15765">
        <w:rPr>
          <w:sz w:val="24"/>
          <w:szCs w:val="24"/>
        </w:rPr>
        <w:t xml:space="preserve">English language version of </w:t>
      </w:r>
      <w:r w:rsidRPr="00B15765">
        <w:rPr>
          <w:sz w:val="24"/>
          <w:szCs w:val="24"/>
        </w:rPr>
        <w:t xml:space="preserve">Article 9 of the Fourth Directive </w:t>
      </w:r>
      <w:r w:rsidR="007F7723" w:rsidRPr="00B15765">
        <w:rPr>
          <w:sz w:val="24"/>
          <w:szCs w:val="24"/>
        </w:rPr>
        <w:t xml:space="preserve">(of 1978) </w:t>
      </w:r>
      <w:r w:rsidR="00DB47F9" w:rsidRPr="00B15765">
        <w:rPr>
          <w:sz w:val="24"/>
          <w:szCs w:val="24"/>
        </w:rPr>
        <w:t>when</w:t>
      </w:r>
      <w:r w:rsidRPr="00B15765">
        <w:rPr>
          <w:sz w:val="24"/>
          <w:szCs w:val="24"/>
        </w:rPr>
        <w:t xml:space="preserve"> the EU’s jurists and lingui</w:t>
      </w:r>
      <w:r w:rsidR="00684EF9" w:rsidRPr="00B15765">
        <w:rPr>
          <w:sz w:val="24"/>
          <w:szCs w:val="24"/>
        </w:rPr>
        <w:t>sts group</w:t>
      </w:r>
      <w:r w:rsidR="00DB47F9" w:rsidRPr="00B15765">
        <w:rPr>
          <w:sz w:val="24"/>
          <w:szCs w:val="24"/>
        </w:rPr>
        <w:t xml:space="preserve"> translated it from the original French</w:t>
      </w:r>
      <w:r w:rsidR="00D4479D">
        <w:rPr>
          <w:sz w:val="24"/>
          <w:szCs w:val="24"/>
        </w:rPr>
        <w:t>.</w:t>
      </w:r>
      <w:r w:rsidR="00684EF9" w:rsidRPr="00B15765">
        <w:rPr>
          <w:sz w:val="24"/>
          <w:szCs w:val="24"/>
        </w:rPr>
        <w:t xml:space="preserve"> </w:t>
      </w:r>
      <w:r w:rsidR="00B15765" w:rsidRPr="00B15765">
        <w:rPr>
          <w:sz w:val="24"/>
          <w:szCs w:val="24"/>
        </w:rPr>
        <w:t xml:space="preserve">The translators </w:t>
      </w:r>
      <w:r w:rsidR="00684EF9" w:rsidRPr="00B15765">
        <w:rPr>
          <w:sz w:val="24"/>
          <w:szCs w:val="24"/>
        </w:rPr>
        <w:t xml:space="preserve">were </w:t>
      </w:r>
      <w:r w:rsidR="004F3149" w:rsidRPr="00B15765">
        <w:rPr>
          <w:sz w:val="24"/>
          <w:szCs w:val="24"/>
        </w:rPr>
        <w:t>presumabl</w:t>
      </w:r>
      <w:r w:rsidR="007D1AE2" w:rsidRPr="00B15765">
        <w:rPr>
          <w:sz w:val="24"/>
          <w:szCs w:val="24"/>
        </w:rPr>
        <w:t xml:space="preserve">y influenced by the </w:t>
      </w:r>
      <w:r w:rsidR="004F3149" w:rsidRPr="00B15765">
        <w:rPr>
          <w:sz w:val="24"/>
          <w:szCs w:val="24"/>
        </w:rPr>
        <w:t xml:space="preserve">continental practice </w:t>
      </w:r>
      <w:r w:rsidR="007D1AE2" w:rsidRPr="00B15765">
        <w:rPr>
          <w:sz w:val="24"/>
          <w:szCs w:val="24"/>
        </w:rPr>
        <w:t xml:space="preserve">mentioned in the previous paragraph </w:t>
      </w:r>
      <w:r w:rsidR="004F3149" w:rsidRPr="00B15765">
        <w:rPr>
          <w:sz w:val="24"/>
          <w:szCs w:val="24"/>
        </w:rPr>
        <w:t xml:space="preserve">when </w:t>
      </w:r>
      <w:r w:rsidR="00684EF9" w:rsidRPr="00B15765">
        <w:rPr>
          <w:sz w:val="24"/>
          <w:szCs w:val="24"/>
        </w:rPr>
        <w:t>attempting to translate ‘</w:t>
      </w:r>
      <w:r w:rsidR="00684EF9" w:rsidRPr="00B15765">
        <w:rPr>
          <w:i/>
          <w:sz w:val="24"/>
          <w:szCs w:val="24"/>
        </w:rPr>
        <w:t>passif</w:t>
      </w:r>
      <w:r w:rsidR="00684EF9" w:rsidRPr="00B15765">
        <w:rPr>
          <w:sz w:val="24"/>
          <w:szCs w:val="24"/>
        </w:rPr>
        <w:t>’</w:t>
      </w:r>
      <w:r w:rsidR="00502979" w:rsidRPr="00B15765">
        <w:rPr>
          <w:sz w:val="24"/>
          <w:szCs w:val="24"/>
        </w:rPr>
        <w:t xml:space="preserve"> </w:t>
      </w:r>
      <w:r w:rsidR="00684EF9" w:rsidRPr="00B15765">
        <w:rPr>
          <w:sz w:val="24"/>
          <w:szCs w:val="24"/>
        </w:rPr>
        <w:t>. The ‘</w:t>
      </w:r>
      <w:r w:rsidR="00684EF9" w:rsidRPr="00B15765">
        <w:rPr>
          <w:i/>
          <w:sz w:val="24"/>
          <w:szCs w:val="24"/>
        </w:rPr>
        <w:t>passif</w:t>
      </w:r>
      <w:r w:rsidR="00684EF9" w:rsidRPr="00B15765">
        <w:rPr>
          <w:sz w:val="24"/>
          <w:szCs w:val="24"/>
        </w:rPr>
        <w:t xml:space="preserve">’ </w:t>
      </w:r>
      <w:r w:rsidR="00D4479D">
        <w:rPr>
          <w:sz w:val="24"/>
          <w:szCs w:val="24"/>
        </w:rPr>
        <w:t xml:space="preserve">items </w:t>
      </w:r>
      <w:r w:rsidR="00D4479D" w:rsidRPr="00B15765">
        <w:rPr>
          <w:sz w:val="24"/>
          <w:szCs w:val="24"/>
        </w:rPr>
        <w:t>(Italian ‘</w:t>
      </w:r>
      <w:r w:rsidR="00D4479D" w:rsidRPr="00B15765">
        <w:rPr>
          <w:i/>
          <w:sz w:val="24"/>
          <w:szCs w:val="24"/>
        </w:rPr>
        <w:t>passivo</w:t>
      </w:r>
      <w:r w:rsidR="00D4479D" w:rsidRPr="00B15765">
        <w:rPr>
          <w:sz w:val="24"/>
          <w:szCs w:val="24"/>
        </w:rPr>
        <w:t xml:space="preserve">’, German </w:t>
      </w:r>
      <w:r w:rsidR="00D4479D" w:rsidRPr="00B15765">
        <w:rPr>
          <w:i/>
          <w:sz w:val="24"/>
          <w:szCs w:val="24"/>
        </w:rPr>
        <w:t>‘passiv’</w:t>
      </w:r>
      <w:r w:rsidR="00D4479D" w:rsidRPr="00B15765">
        <w:rPr>
          <w:sz w:val="24"/>
          <w:szCs w:val="24"/>
        </w:rPr>
        <w:t>)</w:t>
      </w:r>
      <w:r w:rsidR="00D4479D">
        <w:rPr>
          <w:sz w:val="24"/>
          <w:szCs w:val="24"/>
        </w:rPr>
        <w:t xml:space="preserve"> </w:t>
      </w:r>
      <w:r w:rsidR="00684EF9" w:rsidRPr="00B15765">
        <w:rPr>
          <w:sz w:val="24"/>
          <w:szCs w:val="24"/>
        </w:rPr>
        <w:t>are the claims,</w:t>
      </w:r>
      <w:r w:rsidR="00D4479D" w:rsidRPr="00D4479D">
        <w:rPr>
          <w:rStyle w:val="FootnoteReference"/>
          <w:sz w:val="24"/>
          <w:szCs w:val="24"/>
        </w:rPr>
        <w:t xml:space="preserve"> </w:t>
      </w:r>
      <w:r w:rsidR="00D4479D" w:rsidRPr="00B15765">
        <w:rPr>
          <w:rStyle w:val="FootnoteReference"/>
          <w:sz w:val="24"/>
          <w:szCs w:val="24"/>
        </w:rPr>
        <w:footnoteReference w:id="12"/>
      </w:r>
      <w:r w:rsidR="00684EF9" w:rsidRPr="00B15765">
        <w:rPr>
          <w:sz w:val="24"/>
          <w:szCs w:val="24"/>
        </w:rPr>
        <w:t xml:space="preserve"> as opposed to the ‘</w:t>
      </w:r>
      <w:r w:rsidR="00684EF9" w:rsidRPr="00B15765">
        <w:rPr>
          <w:i/>
          <w:sz w:val="24"/>
          <w:szCs w:val="24"/>
        </w:rPr>
        <w:t>actif</w:t>
      </w:r>
      <w:r w:rsidR="00684EF9" w:rsidRPr="00B15765">
        <w:rPr>
          <w:sz w:val="24"/>
          <w:szCs w:val="24"/>
        </w:rPr>
        <w:t xml:space="preserve">’ which are the resources. </w:t>
      </w:r>
      <w:r w:rsidRPr="00B15765">
        <w:rPr>
          <w:sz w:val="24"/>
          <w:szCs w:val="24"/>
        </w:rPr>
        <w:t>In French (unlike German), there was no specific word for ‘liability’,</w:t>
      </w:r>
      <w:r w:rsidRPr="00B15765">
        <w:rPr>
          <w:rStyle w:val="FootnoteReference"/>
          <w:sz w:val="24"/>
          <w:szCs w:val="24"/>
        </w:rPr>
        <w:footnoteReference w:id="13"/>
      </w:r>
      <w:r w:rsidRPr="00B15765">
        <w:rPr>
          <w:sz w:val="24"/>
          <w:szCs w:val="24"/>
        </w:rPr>
        <w:t xml:space="preserve"> but when international standard</w:t>
      </w:r>
      <w:r w:rsidR="00684EF9" w:rsidRPr="00B15765">
        <w:rPr>
          <w:sz w:val="24"/>
          <w:szCs w:val="24"/>
        </w:rPr>
        <w:t xml:space="preserve">s were translated into French, </w:t>
      </w:r>
      <w:r w:rsidRPr="00B15765">
        <w:rPr>
          <w:sz w:val="24"/>
          <w:szCs w:val="24"/>
        </w:rPr>
        <w:t>‘</w:t>
      </w:r>
      <w:r w:rsidRPr="00B15765">
        <w:rPr>
          <w:i/>
          <w:sz w:val="24"/>
          <w:szCs w:val="24"/>
        </w:rPr>
        <w:t>passif</w:t>
      </w:r>
      <w:r w:rsidRPr="00B15765">
        <w:rPr>
          <w:sz w:val="24"/>
          <w:szCs w:val="24"/>
        </w:rPr>
        <w:t xml:space="preserve">’ was used to mean ‘liability’. So, the French </w:t>
      </w:r>
      <w:r w:rsidR="00053237" w:rsidRPr="00B15765">
        <w:rPr>
          <w:sz w:val="24"/>
          <w:szCs w:val="24"/>
        </w:rPr>
        <w:t>accounting</w:t>
      </w:r>
      <w:r w:rsidRPr="00B15765">
        <w:rPr>
          <w:sz w:val="24"/>
          <w:szCs w:val="24"/>
        </w:rPr>
        <w:t xml:space="preserve"> meaning of  ‘</w:t>
      </w:r>
      <w:r w:rsidRPr="00B15765">
        <w:rPr>
          <w:i/>
          <w:sz w:val="24"/>
          <w:szCs w:val="24"/>
        </w:rPr>
        <w:t>passif</w:t>
      </w:r>
      <w:r w:rsidRPr="00B15765">
        <w:rPr>
          <w:sz w:val="24"/>
          <w:szCs w:val="24"/>
        </w:rPr>
        <w:t xml:space="preserve">’ is </w:t>
      </w:r>
      <w:r w:rsidR="00053237" w:rsidRPr="00B15765">
        <w:rPr>
          <w:sz w:val="24"/>
          <w:szCs w:val="24"/>
        </w:rPr>
        <w:t>narrow</w:t>
      </w:r>
      <w:r w:rsidRPr="00B15765">
        <w:rPr>
          <w:sz w:val="24"/>
          <w:szCs w:val="24"/>
        </w:rPr>
        <w:t xml:space="preserve">er than the </w:t>
      </w:r>
      <w:r w:rsidR="00053237" w:rsidRPr="00B15765">
        <w:rPr>
          <w:sz w:val="24"/>
          <w:szCs w:val="24"/>
        </w:rPr>
        <w:t>legal</w:t>
      </w:r>
      <w:r w:rsidR="00A94943" w:rsidRPr="00B15765">
        <w:rPr>
          <w:sz w:val="24"/>
          <w:szCs w:val="24"/>
        </w:rPr>
        <w:t xml:space="preserve"> </w:t>
      </w:r>
      <w:r w:rsidRPr="00B15765">
        <w:rPr>
          <w:sz w:val="24"/>
          <w:szCs w:val="24"/>
        </w:rPr>
        <w:t xml:space="preserve"> meaning.</w:t>
      </w:r>
      <w:r w:rsidR="00B15765" w:rsidRPr="00B15765">
        <w:rPr>
          <w:sz w:val="24"/>
          <w:szCs w:val="24"/>
        </w:rPr>
        <w:t xml:space="preserve"> The erroneously wide use of ‘Liabilities’ in the English version of the original 1978 Directive was not corrected until the 2013 revision</w:t>
      </w:r>
      <w:r w:rsidR="00D4479D">
        <w:rPr>
          <w:sz w:val="24"/>
          <w:szCs w:val="24"/>
        </w:rPr>
        <w:t xml:space="preserve"> of the Directive</w:t>
      </w:r>
      <w:r w:rsidR="00B15765" w:rsidRPr="00B15765">
        <w:rPr>
          <w:sz w:val="24"/>
          <w:szCs w:val="24"/>
        </w:rPr>
        <w:t>, Annex III of which refers to “Capital, reserves and liabilities”.</w:t>
      </w:r>
    </w:p>
    <w:p w14:paraId="5E7A6AA0" w14:textId="77777777" w:rsidR="00D6112B" w:rsidRDefault="00684EF9" w:rsidP="00F83579">
      <w:pPr>
        <w:spacing w:after="120" w:line="480" w:lineRule="auto"/>
        <w:ind w:firstLine="720"/>
      </w:pPr>
      <w:r>
        <w:t>[Insert Figure</w:t>
      </w:r>
      <w:r w:rsidR="00E15B26">
        <w:t xml:space="preserve"> 6 </w:t>
      </w:r>
      <w:r w:rsidR="00D6112B">
        <w:t>near here.]</w:t>
      </w:r>
    </w:p>
    <w:p w14:paraId="19595EA9" w14:textId="02873CA3" w:rsidR="00986353" w:rsidRDefault="00371144" w:rsidP="0015149D">
      <w:pPr>
        <w:spacing w:after="120" w:line="480" w:lineRule="auto"/>
        <w:ind w:firstLine="720"/>
      </w:pPr>
      <w:r>
        <w:t xml:space="preserve">Returning to </w:t>
      </w:r>
      <w:r w:rsidR="001C5C94">
        <w:t>English, t</w:t>
      </w:r>
      <w:r w:rsidR="005D2406">
        <w:t xml:space="preserve">he term </w:t>
      </w:r>
      <w:r w:rsidR="002A6379">
        <w:t>‘</w:t>
      </w:r>
      <w:r w:rsidR="00A14776">
        <w:t>capital and liabilities</w:t>
      </w:r>
      <w:r w:rsidR="002A6379">
        <w:t>’</w:t>
      </w:r>
      <w:r w:rsidR="00A14776">
        <w:t xml:space="preserve"> </w:t>
      </w:r>
      <w:r w:rsidR="0045637F">
        <w:t xml:space="preserve">still </w:t>
      </w:r>
      <w:r w:rsidR="004B7621">
        <w:t xml:space="preserve">involves </w:t>
      </w:r>
      <w:r w:rsidR="005D2406">
        <w:t>confusion</w:t>
      </w:r>
      <w:r w:rsidR="0050432C">
        <w:t xml:space="preserve"> even among accountants</w:t>
      </w:r>
      <w:r w:rsidR="005E23B3">
        <w:t xml:space="preserve">, because </w:t>
      </w:r>
      <w:r w:rsidR="00D45B88">
        <w:t xml:space="preserve">capital can include retained earnings as well as the principal. Further, </w:t>
      </w:r>
      <w:r w:rsidR="005E23B3">
        <w:t xml:space="preserve">capital can include liabilities: </w:t>
      </w:r>
      <w:r w:rsidR="004B7621">
        <w:t xml:space="preserve">(i) loan </w:t>
      </w:r>
      <w:r w:rsidR="002A6379">
        <w:t>‘</w:t>
      </w:r>
      <w:r w:rsidR="004B7621">
        <w:t>capital</w:t>
      </w:r>
      <w:r w:rsidR="002A6379">
        <w:t>’</w:t>
      </w:r>
      <w:r w:rsidR="004B7621">
        <w:t xml:space="preserve"> is a liability, </w:t>
      </w:r>
      <w:r w:rsidR="005139A7">
        <w:t xml:space="preserve">(ii) IAS 1’s discussion of disclosures about the management of capital suggests that capital can be deemed to include some debt and exclude some equity (para.s 134-136), </w:t>
      </w:r>
      <w:r w:rsidR="004B7621">
        <w:t>(ii</w:t>
      </w:r>
      <w:r w:rsidR="005139A7">
        <w:t>i</w:t>
      </w:r>
      <w:r w:rsidR="004B7621">
        <w:t xml:space="preserve">) </w:t>
      </w:r>
      <w:r w:rsidR="00A14776">
        <w:t xml:space="preserve">a </w:t>
      </w:r>
      <w:r w:rsidR="002A6379">
        <w:t>‘</w:t>
      </w:r>
      <w:r w:rsidR="00CD2717">
        <w:t>weighted average cost of capital</w:t>
      </w:r>
      <w:r w:rsidR="002A6379">
        <w:t>’</w:t>
      </w:r>
      <w:r w:rsidR="00CD2717">
        <w:t xml:space="preserve"> relates to equity and debt</w:t>
      </w:r>
      <w:r w:rsidR="0031580E">
        <w:t>, and (i</w:t>
      </w:r>
      <w:r w:rsidR="005139A7">
        <w:t xml:space="preserve">v) </w:t>
      </w:r>
      <w:r w:rsidR="0031580E">
        <w:t>‘</w:t>
      </w:r>
      <w:r w:rsidR="00811658">
        <w:t xml:space="preserve">regulatory </w:t>
      </w:r>
      <w:r w:rsidR="0031580E">
        <w:t>capital’</w:t>
      </w:r>
      <w:r w:rsidR="00B15765">
        <w:t xml:space="preserve">, which is a </w:t>
      </w:r>
      <w:r w:rsidR="00B15765" w:rsidRPr="0050432C">
        <w:rPr>
          <w:i/>
        </w:rPr>
        <w:t>credit</w:t>
      </w:r>
      <w:r w:rsidR="00B15765">
        <w:t xml:space="preserve"> concept, </w:t>
      </w:r>
      <w:r w:rsidR="0031580E">
        <w:t xml:space="preserve">includes </w:t>
      </w:r>
      <w:r w:rsidR="00B15765">
        <w:t>some liabilities</w:t>
      </w:r>
      <w:r w:rsidR="0050432C" w:rsidRPr="0050432C">
        <w:t xml:space="preserve"> </w:t>
      </w:r>
      <w:r w:rsidR="0050432C">
        <w:t>in its Tier 2</w:t>
      </w:r>
      <w:r w:rsidR="00B15765">
        <w:t>.</w:t>
      </w:r>
      <w:r w:rsidR="008E3FD1">
        <w:t xml:space="preserve"> </w:t>
      </w:r>
      <w:r w:rsidR="000B1A85">
        <w:t xml:space="preserve">Thus, </w:t>
      </w:r>
      <w:r w:rsidR="00C56933">
        <w:t xml:space="preserve">to accountants, </w:t>
      </w:r>
      <w:r w:rsidR="002A6379">
        <w:t>‘</w:t>
      </w:r>
      <w:r w:rsidR="00C56933">
        <w:t>capital</w:t>
      </w:r>
      <w:r w:rsidR="002A6379">
        <w:t>’</w:t>
      </w:r>
      <w:r w:rsidR="00C56933">
        <w:t xml:space="preserve"> can </w:t>
      </w:r>
      <w:r w:rsidR="00A14776">
        <w:t xml:space="preserve">now </w:t>
      </w:r>
      <w:r w:rsidR="00C56933">
        <w:t>mean the original</w:t>
      </w:r>
      <w:r w:rsidR="000B1A85">
        <w:t xml:space="preserve">/principal </w:t>
      </w:r>
      <w:r w:rsidR="00C56933">
        <w:t>equity capital</w:t>
      </w:r>
      <w:r w:rsidR="008E3FD1">
        <w:t>,</w:t>
      </w:r>
      <w:r w:rsidR="00C56933">
        <w:t xml:space="preserve"> or the sum of all </w:t>
      </w:r>
      <w:r w:rsidR="00D4479D">
        <w:t xml:space="preserve">(or most of) </w:t>
      </w:r>
      <w:r w:rsidR="00C56933">
        <w:t>the equity</w:t>
      </w:r>
      <w:r w:rsidR="000B1A85">
        <w:t xml:space="preserve"> balances</w:t>
      </w:r>
      <w:r w:rsidR="008E3FD1">
        <w:t>,</w:t>
      </w:r>
      <w:r w:rsidR="00C56933">
        <w:t xml:space="preserve"> or the sum of the equity and </w:t>
      </w:r>
      <w:r w:rsidR="00D4479D">
        <w:t xml:space="preserve">(some or all) </w:t>
      </w:r>
      <w:r w:rsidR="00C56933">
        <w:t>long-term liabilities</w:t>
      </w:r>
      <w:r w:rsidR="008E3FD1">
        <w:t>,</w:t>
      </w:r>
      <w:r w:rsidR="00C56933">
        <w:t xml:space="preserve"> or the sum of all the </w:t>
      </w:r>
      <w:r w:rsidR="00C56933">
        <w:rPr>
          <w:i/>
        </w:rPr>
        <w:t>credit</w:t>
      </w:r>
      <w:r w:rsidR="00C56933">
        <w:t xml:space="preserve"> balances.  In the proprietary view of a company, the capital is equity</w:t>
      </w:r>
      <w:r w:rsidR="008E3FD1">
        <w:t xml:space="preserve"> only</w:t>
      </w:r>
      <w:r w:rsidR="00C56933">
        <w:t>.  In the entity view, the capital is equity and liabilities</w:t>
      </w:r>
      <w:r w:rsidR="00A945E1">
        <w:t xml:space="preserve"> (Paton 1922)</w:t>
      </w:r>
      <w:r w:rsidR="00C56933">
        <w:t>.</w:t>
      </w:r>
      <w:r w:rsidR="004C0828">
        <w:t xml:space="preserve"> </w:t>
      </w:r>
      <w:r w:rsidR="00960A22">
        <w:t xml:space="preserve">Van Mourik (2010) reviews the literature on these </w:t>
      </w:r>
      <w:r w:rsidR="00703209">
        <w:t xml:space="preserve">two </w:t>
      </w:r>
      <w:r w:rsidR="00960A22">
        <w:t xml:space="preserve">concepts, noting that </w:t>
      </w:r>
      <w:r w:rsidR="009A12C1">
        <w:t>the proprietary view prevails in practice, though not exclusively in IFRS or any other GAAP. The</w:t>
      </w:r>
      <w:r w:rsidR="008765C7">
        <w:t>re was</w:t>
      </w:r>
      <w:r w:rsidR="009A12C1">
        <w:t xml:space="preserve"> discussion of the</w:t>
      </w:r>
      <w:r w:rsidR="008765C7">
        <w:t>se</w:t>
      </w:r>
      <w:r w:rsidR="009A12C1">
        <w:t xml:space="preserve"> concepts in the IASB/FASB proposals to reform the conceptual framework (IASB 2008</w:t>
      </w:r>
      <w:r w:rsidR="006F496C">
        <w:t>, paras OB5 and BC1.11-1.16</w:t>
      </w:r>
      <w:r w:rsidR="009A12C1">
        <w:t>)</w:t>
      </w:r>
      <w:r w:rsidR="008765C7">
        <w:t>, but it</w:t>
      </w:r>
      <w:r w:rsidR="009A12C1">
        <w:t xml:space="preserve"> was omitted from the revised framework (IASB 2010).</w:t>
      </w:r>
      <w:r w:rsidR="008765C7">
        <w:t xml:space="preserve"> However, we will return to the concepts</w:t>
      </w:r>
      <w:r w:rsidR="009A12C1">
        <w:t xml:space="preserve"> </w:t>
      </w:r>
      <w:r w:rsidR="004C0828">
        <w:t>in Section 7.</w:t>
      </w:r>
    </w:p>
    <w:p w14:paraId="14912767" w14:textId="77777777" w:rsidR="00371144" w:rsidRDefault="00EC44AB" w:rsidP="007B331D">
      <w:pPr>
        <w:spacing w:after="120" w:line="480" w:lineRule="auto"/>
        <w:ind w:firstLine="720"/>
      </w:pPr>
      <w:r>
        <w:t xml:space="preserve">It was </w:t>
      </w:r>
      <w:r w:rsidR="005823CC">
        <w:t>shown</w:t>
      </w:r>
      <w:r>
        <w:t xml:space="preserve"> above that </w:t>
      </w:r>
      <w:r w:rsidR="002A6379">
        <w:t>‘</w:t>
      </w:r>
      <w:r>
        <w:t>stock</w:t>
      </w:r>
      <w:r w:rsidR="002A6379">
        <w:t>’</w:t>
      </w:r>
      <w:r>
        <w:t xml:space="preserve"> started with a </w:t>
      </w:r>
      <w:r w:rsidRPr="00EC44AB">
        <w:rPr>
          <w:i/>
        </w:rPr>
        <w:t>credit</w:t>
      </w:r>
      <w:r>
        <w:t xml:space="preserve"> meaning but developed several </w:t>
      </w:r>
      <w:r w:rsidRPr="00EC44AB">
        <w:rPr>
          <w:i/>
        </w:rPr>
        <w:t>debit</w:t>
      </w:r>
      <w:r>
        <w:t xml:space="preserve"> meanings. The same transition occurred with </w:t>
      </w:r>
      <w:r w:rsidR="002A6379">
        <w:t>‘</w:t>
      </w:r>
      <w:r>
        <w:t>capital</w:t>
      </w:r>
      <w:r w:rsidR="002A6379">
        <w:t>’</w:t>
      </w:r>
      <w:r>
        <w:t xml:space="preserve">. </w:t>
      </w:r>
      <w:r w:rsidR="007B331D">
        <w:t xml:space="preserve">Indeed, as noted in the Introduction, current accounting expressions involving the word </w:t>
      </w:r>
      <w:r w:rsidR="002A6379">
        <w:t>‘</w:t>
      </w:r>
      <w:r w:rsidR="007B331D">
        <w:t>capital</w:t>
      </w:r>
      <w:r w:rsidR="002A6379">
        <w:t>’</w:t>
      </w:r>
      <w:r w:rsidR="007B331D">
        <w:t xml:space="preserve"> mostly refer to assets. </w:t>
      </w:r>
      <w:r w:rsidR="00EC777F">
        <w:t xml:space="preserve">Pacioli </w:t>
      </w:r>
      <w:r>
        <w:t>provides the earliest</w:t>
      </w:r>
      <w:r w:rsidR="0056131A">
        <w:t xml:space="preserve"> evidence of a co</w:t>
      </w:r>
      <w:r>
        <w:t>ntinuing confusion</w:t>
      </w:r>
      <w:r w:rsidR="00EC777F">
        <w:t xml:space="preserve">. When </w:t>
      </w:r>
      <w:r w:rsidR="005823CC">
        <w:t>giv</w:t>
      </w:r>
      <w:r w:rsidR="007B331D">
        <w:t>ing more detail on the transaction</w:t>
      </w:r>
      <w:r w:rsidR="00EC777F">
        <w:t xml:space="preserve"> mentioned at the start of this section, </w:t>
      </w:r>
      <w:r w:rsidR="0056131A">
        <w:t>he says</w:t>
      </w:r>
      <w:r w:rsidR="0056131A">
        <w:rPr>
          <w:rStyle w:val="FootnoteReference"/>
        </w:rPr>
        <w:footnoteReference w:id="14"/>
      </w:r>
      <w:r w:rsidR="007B331D">
        <w:t xml:space="preserve"> that the entry</w:t>
      </w:r>
      <w:r w:rsidR="00EC777F">
        <w:t xml:space="preserve"> comprises</w:t>
      </w:r>
      <w:r w:rsidR="0056131A">
        <w:t xml:space="preserve">: </w:t>
      </w:r>
      <w:r w:rsidR="0056131A">
        <w:rPr>
          <w:i/>
        </w:rPr>
        <w:t>debit</w:t>
      </w:r>
      <w:r w:rsidR="0056131A">
        <w:t xml:space="preserve"> cash (which </w:t>
      </w:r>
      <w:r w:rsidR="002A6379">
        <w:t>‘</w:t>
      </w:r>
      <w:r w:rsidR="0056131A">
        <w:t>means your cash on hand</w:t>
      </w:r>
      <w:r w:rsidR="002A6379">
        <w:t>’</w:t>
      </w:r>
      <w:r w:rsidR="0056131A">
        <w:t>) and</w:t>
      </w:r>
      <w:r w:rsidR="00D24ADB" w:rsidRPr="00D24ADB">
        <w:rPr>
          <w:i/>
        </w:rPr>
        <w:t xml:space="preserve"> </w:t>
      </w:r>
      <w:r w:rsidR="00D24ADB">
        <w:rPr>
          <w:i/>
        </w:rPr>
        <w:t>credit</w:t>
      </w:r>
      <w:r w:rsidR="00D24ADB">
        <w:t xml:space="preserve"> </w:t>
      </w:r>
      <w:r w:rsidR="0056131A">
        <w:t xml:space="preserve">capital (which </w:t>
      </w:r>
      <w:r w:rsidR="002A6379">
        <w:t>‘</w:t>
      </w:r>
      <w:r w:rsidR="0056131A">
        <w:t>means the total of your present possessions</w:t>
      </w:r>
      <w:r w:rsidR="002A6379">
        <w:t>’</w:t>
      </w:r>
      <w:r w:rsidR="0056131A">
        <w:t xml:space="preserve">).  So, both </w:t>
      </w:r>
      <w:r w:rsidR="007B331D">
        <w:t>parts of the dou</w:t>
      </w:r>
      <w:r w:rsidR="008765C7">
        <w:t xml:space="preserve">ble entry </w:t>
      </w:r>
      <w:r w:rsidR="00F66A34">
        <w:t xml:space="preserve">appear to </w:t>
      </w:r>
      <w:r w:rsidR="008765C7">
        <w:t xml:space="preserve">record </w:t>
      </w:r>
      <w:r w:rsidR="007F7723">
        <w:t>a</w:t>
      </w:r>
      <w:r w:rsidR="0056131A">
        <w:t xml:space="preserve"> stock of assets</w:t>
      </w:r>
      <w:r w:rsidR="00D24ADB">
        <w:t>, which should therefore both be</w:t>
      </w:r>
      <w:r w:rsidR="00D24ADB" w:rsidRPr="00D24ADB">
        <w:rPr>
          <w:i/>
        </w:rPr>
        <w:t xml:space="preserve"> </w:t>
      </w:r>
      <w:r w:rsidR="00D24ADB">
        <w:rPr>
          <w:i/>
        </w:rPr>
        <w:t>debits</w:t>
      </w:r>
      <w:r w:rsidR="0056131A">
        <w:t>.</w:t>
      </w:r>
      <w:r w:rsidR="0025708A">
        <w:t xml:space="preserve"> </w:t>
      </w:r>
    </w:p>
    <w:p w14:paraId="1FA16220" w14:textId="77777777" w:rsidR="0056131A" w:rsidRPr="00014DC0" w:rsidRDefault="00A3366B" w:rsidP="007B331D">
      <w:pPr>
        <w:spacing w:after="120" w:line="480" w:lineRule="auto"/>
        <w:ind w:firstLine="720"/>
      </w:pPr>
      <w:r>
        <w:t xml:space="preserve">Similarly, </w:t>
      </w:r>
      <w:r w:rsidR="002A6379">
        <w:t>‘</w:t>
      </w:r>
      <w:r w:rsidR="00D947CE">
        <w:t xml:space="preserve">to </w:t>
      </w:r>
      <w:r w:rsidR="00D24ADB">
        <w:t>capitalise</w:t>
      </w:r>
      <w:r w:rsidR="002A6379">
        <w:t>’</w:t>
      </w:r>
      <w:r w:rsidR="00D24ADB">
        <w:t xml:space="preserve"> was originally a </w:t>
      </w:r>
      <w:r w:rsidR="00D24ADB">
        <w:rPr>
          <w:i/>
        </w:rPr>
        <w:t>credit</w:t>
      </w:r>
      <w:r w:rsidR="00D24ADB">
        <w:t xml:space="preserve"> concept, meaning </w:t>
      </w:r>
      <w:r w:rsidR="002A6379">
        <w:t>‘</w:t>
      </w:r>
      <w:r w:rsidR="00D947CE">
        <w:t xml:space="preserve">to </w:t>
      </w:r>
      <w:r>
        <w:t>add to capital</w:t>
      </w:r>
      <w:r w:rsidR="002A6379">
        <w:t>’</w:t>
      </w:r>
      <w:r w:rsidR="00D4479D">
        <w:t>. F</w:t>
      </w:r>
      <w:r>
        <w:t>or example</w:t>
      </w:r>
      <w:r w:rsidR="00D4479D">
        <w:t>,</w:t>
      </w:r>
      <w:r>
        <w:t xml:space="preserve"> the  </w:t>
      </w:r>
      <w:r w:rsidR="00957B48">
        <w:t xml:space="preserve">Companies </w:t>
      </w:r>
      <w:r>
        <w:t xml:space="preserve">Act </w:t>
      </w:r>
      <w:r w:rsidR="00957B48">
        <w:t xml:space="preserve">1948 </w:t>
      </w:r>
      <w:r>
        <w:t xml:space="preserve">allows that: </w:t>
      </w:r>
      <w:r w:rsidR="002A6379">
        <w:t>‘</w:t>
      </w:r>
      <w:r>
        <w:t>The company in general meeting may … resolve that it is desirable to capitalise any part of the amount for the time being standing to the credit of any of the company’s reserve accounts or to the credit of the profit and loss accoun</w:t>
      </w:r>
      <w:r w:rsidR="00D947CE">
        <w:t>t</w:t>
      </w:r>
      <w:r w:rsidR="002A6379">
        <w:t>’</w:t>
      </w:r>
      <w:r w:rsidR="00D947CE">
        <w:t xml:space="preserve"> (para. 128 of Schedule 1).  However, l</w:t>
      </w:r>
      <w:r>
        <w:t xml:space="preserve">ater, </w:t>
      </w:r>
      <w:r w:rsidR="002A6379">
        <w:t>‘</w:t>
      </w:r>
      <w:r w:rsidR="00D947CE">
        <w:t xml:space="preserve">to </w:t>
      </w:r>
      <w:r>
        <w:t>capitalise</w:t>
      </w:r>
      <w:r w:rsidR="002A6379">
        <w:t>’</w:t>
      </w:r>
      <w:r>
        <w:t xml:space="preserve"> tended to mean adding to the </w:t>
      </w:r>
      <w:r w:rsidRPr="0025708A">
        <w:rPr>
          <w:i/>
        </w:rPr>
        <w:t>debit</w:t>
      </w:r>
      <w:r>
        <w:t xml:space="preserve"> side.  </w:t>
      </w:r>
      <w:r w:rsidR="005F027A">
        <w:t xml:space="preserve">In IFRS, the word </w:t>
      </w:r>
      <w:r w:rsidR="002A6379">
        <w:t>‘</w:t>
      </w:r>
      <w:r w:rsidR="005F027A">
        <w:t>recognise</w:t>
      </w:r>
      <w:r w:rsidR="002A6379">
        <w:t>’</w:t>
      </w:r>
      <w:r w:rsidR="005F027A">
        <w:t xml:space="preserve"> is now generally used instead, for both</w:t>
      </w:r>
      <w:r w:rsidR="00D947CE">
        <w:t xml:space="preserve"> assets and liabilities. Nevertheless</w:t>
      </w:r>
      <w:r w:rsidR="005F027A">
        <w:t xml:space="preserve">, IAS 23 still refers to the capitalisation of borrowing costs into an already recognised asset. </w:t>
      </w:r>
    </w:p>
    <w:p w14:paraId="0D3E38F3" w14:textId="38D7435B" w:rsidR="001B1E49" w:rsidRDefault="004B7621" w:rsidP="004B7621">
      <w:pPr>
        <w:spacing w:after="120" w:line="480" w:lineRule="auto"/>
        <w:ind w:firstLine="720"/>
      </w:pPr>
      <w:r>
        <w:t xml:space="preserve">In the minds of people not used to double-entry, the word </w:t>
      </w:r>
      <w:r w:rsidR="002A6379">
        <w:t>‘</w:t>
      </w:r>
      <w:r>
        <w:t>capital</w:t>
      </w:r>
      <w:r w:rsidR="002A6379">
        <w:t>’</w:t>
      </w:r>
      <w:r>
        <w:t xml:space="preserve"> nearly always has a </w:t>
      </w:r>
      <w:r>
        <w:rPr>
          <w:i/>
        </w:rPr>
        <w:t>debit</w:t>
      </w:r>
      <w:r>
        <w:t xml:space="preserve"> meaning.  Adam Smith (1776, chapter 9) divided stock (i.e. assets) into </w:t>
      </w:r>
      <w:r w:rsidR="002A6379">
        <w:t>‘</w:t>
      </w:r>
      <w:r>
        <w:t>fixed capital</w:t>
      </w:r>
      <w:r w:rsidR="002A6379">
        <w:t>’</w:t>
      </w:r>
      <w:r w:rsidRPr="00865CA0">
        <w:t xml:space="preserve"> </w:t>
      </w:r>
      <w:r>
        <w:t xml:space="preserve">and </w:t>
      </w:r>
      <w:r w:rsidR="002A6379">
        <w:t>‘</w:t>
      </w:r>
      <w:r>
        <w:t>circulating capital</w:t>
      </w:r>
      <w:r w:rsidR="002A6379">
        <w:t>’</w:t>
      </w:r>
      <w:r>
        <w:t>.  For late</w:t>
      </w:r>
      <w:r w:rsidR="0051433A">
        <w:t>r economists (see Section 3.2</w:t>
      </w:r>
      <w:r>
        <w:t xml:space="preserve">), </w:t>
      </w:r>
      <w:r w:rsidR="002A6379">
        <w:t>‘</w:t>
      </w:r>
      <w:r>
        <w:t>capital</w:t>
      </w:r>
      <w:r w:rsidR="002A6379">
        <w:t>’</w:t>
      </w:r>
      <w:r>
        <w:t xml:space="preserve"> remains purely a </w:t>
      </w:r>
      <w:r>
        <w:rPr>
          <w:i/>
        </w:rPr>
        <w:t>debit</w:t>
      </w:r>
      <w:r>
        <w:t xml:space="preserve"> concept. </w:t>
      </w:r>
      <w:r w:rsidR="001B1E49">
        <w:t>Giv</w:t>
      </w:r>
      <w:r w:rsidR="009813B1">
        <w:t xml:space="preserve">en the ambidextrous nature of terms such as capital and stock, </w:t>
      </w:r>
      <w:r w:rsidR="001B1E49">
        <w:t xml:space="preserve">and their tendency to migrate from </w:t>
      </w:r>
      <w:r w:rsidR="001B1E49">
        <w:rPr>
          <w:i/>
        </w:rPr>
        <w:t>credit</w:t>
      </w:r>
      <w:r w:rsidR="001B1E49">
        <w:t xml:space="preserve"> to </w:t>
      </w:r>
      <w:r w:rsidR="001B1E49">
        <w:rPr>
          <w:i/>
        </w:rPr>
        <w:t>debit</w:t>
      </w:r>
      <w:r w:rsidR="007F7723">
        <w:t xml:space="preserve"> meanings,</w:t>
      </w:r>
      <w:r w:rsidR="001B1E49">
        <w:t xml:space="preserve"> a supply of new terms </w:t>
      </w:r>
      <w:r w:rsidR="007F7723">
        <w:t xml:space="preserve">is needed </w:t>
      </w:r>
      <w:r w:rsidR="001B1E49">
        <w:t xml:space="preserve">for the </w:t>
      </w:r>
      <w:r w:rsidR="001B1E49">
        <w:rPr>
          <w:i/>
        </w:rPr>
        <w:t>credit</w:t>
      </w:r>
      <w:r w:rsidR="001B1E49">
        <w:t xml:space="preserve"> meaning, particularly as restricted to </w:t>
      </w:r>
      <w:r w:rsidR="004B530D">
        <w:t xml:space="preserve">the </w:t>
      </w:r>
      <w:r w:rsidR="001B1E49">
        <w:t xml:space="preserve">claims of owners.  At present, </w:t>
      </w:r>
      <w:r w:rsidR="002A6379">
        <w:t>‘</w:t>
      </w:r>
      <w:r w:rsidR="001B1E49">
        <w:t>equity</w:t>
      </w:r>
      <w:r w:rsidR="002A6379">
        <w:t>’</w:t>
      </w:r>
      <w:r w:rsidR="001B1E49">
        <w:t xml:space="preserve"> is the preferred term (e.g. IASB 2013).</w:t>
      </w:r>
      <w:r w:rsidR="00425049">
        <w:t xml:space="preserve"> </w:t>
      </w:r>
      <w:r w:rsidR="00284288">
        <w:t>In a balance sheet, like any equation, both sides are equal. E</w:t>
      </w:r>
      <w:r>
        <w:t>quity is equal</w:t>
      </w:r>
      <w:r w:rsidR="00284288">
        <w:t xml:space="preserve"> </w:t>
      </w:r>
      <w:r>
        <w:t>to the balan</w:t>
      </w:r>
      <w:r w:rsidR="00425049">
        <w:t>ce of assets over liabilities</w:t>
      </w:r>
      <w:r w:rsidR="00284288">
        <w:t>. T</w:t>
      </w:r>
      <w:r w:rsidR="00425049">
        <w:t>here is</w:t>
      </w:r>
      <w:r w:rsidR="00284288">
        <w:t>, thus,</w:t>
      </w:r>
      <w:r w:rsidR="00425049">
        <w:t xml:space="preserve"> a risk </w:t>
      </w:r>
      <w:r>
        <w:t xml:space="preserve">that the word </w:t>
      </w:r>
      <w:r w:rsidR="00F579AE">
        <w:t>will eventually be understood as the net assets rather than as a claim on them.</w:t>
      </w:r>
      <w:r w:rsidR="00D80BF9">
        <w:t xml:space="preserve"> Evans (2010, p.446) discusses the tendency of accounting and economics to take old words and give them new meanings, in contrast to sciences which create neologisms.</w:t>
      </w:r>
    </w:p>
    <w:p w14:paraId="271B7528" w14:textId="77777777" w:rsidR="00D24ADB" w:rsidRPr="00D24ADB" w:rsidRDefault="00D24ADB" w:rsidP="00D24ADB">
      <w:pPr>
        <w:spacing w:after="120" w:line="480" w:lineRule="auto"/>
        <w:rPr>
          <w:b/>
          <w:i/>
        </w:rPr>
      </w:pPr>
      <w:r w:rsidRPr="00D24ADB">
        <w:rPr>
          <w:b/>
          <w:i/>
        </w:rPr>
        <w:t>2.2 Left, right, left</w:t>
      </w:r>
    </w:p>
    <w:p w14:paraId="636A3FD1" w14:textId="77777777" w:rsidR="00D24ADB" w:rsidRDefault="009813B1" w:rsidP="00282306">
      <w:pPr>
        <w:spacing w:after="120" w:line="480" w:lineRule="auto"/>
      </w:pPr>
      <w:r>
        <w:tab/>
      </w:r>
      <w:r w:rsidR="00D24ADB">
        <w:t>N</w:t>
      </w:r>
      <w:r>
        <w:t xml:space="preserve">ot only can </w:t>
      </w:r>
      <w:r w:rsidR="00957B48">
        <w:t xml:space="preserve">various things called </w:t>
      </w:r>
      <w:r w:rsidR="00865CA0">
        <w:t xml:space="preserve">capital and stock </w:t>
      </w:r>
      <w:r w:rsidR="00957B48">
        <w:t xml:space="preserve">be seen on both </w:t>
      </w:r>
      <w:r w:rsidR="004B530D">
        <w:t>side</w:t>
      </w:r>
      <w:r w:rsidR="00957B48">
        <w:t>s</w:t>
      </w:r>
      <w:r>
        <w:t xml:space="preserve"> of the balance sheet but </w:t>
      </w:r>
      <w:r w:rsidR="001B1E49">
        <w:t xml:space="preserve">the same is </w:t>
      </w:r>
      <w:r>
        <w:t xml:space="preserve">also </w:t>
      </w:r>
      <w:r w:rsidR="001B1E49">
        <w:t>true, at various dates, e</w:t>
      </w:r>
      <w:r w:rsidR="00957B48">
        <w:t xml:space="preserve">ven for a particular </w:t>
      </w:r>
      <w:r w:rsidR="00371144">
        <w:t>meaning</w:t>
      </w:r>
      <w:r w:rsidR="00FD4095">
        <w:t xml:space="preserve"> of capital</w:t>
      </w:r>
      <w:r>
        <w:t xml:space="preserve"> or stock</w:t>
      </w:r>
      <w:r w:rsidR="007B331D">
        <w:t xml:space="preserve">. </w:t>
      </w:r>
      <w:r w:rsidR="00D24ADB">
        <w:t>That is, for over a century in the UK</w:t>
      </w:r>
      <w:r w:rsidR="00D24ADB" w:rsidRPr="008E3FD1">
        <w:t xml:space="preserve"> </w:t>
      </w:r>
      <w:r w:rsidR="00D24ADB">
        <w:t xml:space="preserve">(until 1981), the </w:t>
      </w:r>
      <w:r w:rsidR="005E7D00" w:rsidRPr="00212057">
        <w:rPr>
          <w:i/>
        </w:rPr>
        <w:t>credit</w:t>
      </w:r>
      <w:r w:rsidR="008418F4">
        <w:t xml:space="preserve"> </w:t>
      </w:r>
      <w:r w:rsidR="00D24ADB">
        <w:t xml:space="preserve">side of a </w:t>
      </w:r>
      <w:r w:rsidR="008418F4">
        <w:t xml:space="preserve">company </w:t>
      </w:r>
      <w:r w:rsidR="00D24ADB">
        <w:t xml:space="preserve">balance sheet was the left. </w:t>
      </w:r>
    </w:p>
    <w:p w14:paraId="7E1F2F48" w14:textId="7E50C991" w:rsidR="00616A21" w:rsidRPr="00014DC0" w:rsidRDefault="0015149D" w:rsidP="00D24ADB">
      <w:pPr>
        <w:spacing w:after="120" w:line="480" w:lineRule="auto"/>
        <w:ind w:firstLine="720"/>
      </w:pPr>
      <w:r>
        <w:t>Early Italian records (e.g. Lee 1973</w:t>
      </w:r>
      <w:r w:rsidR="00625B8C">
        <w:t>,</w:t>
      </w:r>
      <w:r>
        <w:t xml:space="preserve"> Nobes 1982) have </w:t>
      </w:r>
      <w:r w:rsidRPr="00957B48">
        <w:rPr>
          <w:i/>
        </w:rPr>
        <w:t>credits</w:t>
      </w:r>
      <w:r>
        <w:t xml:space="preserve"> (including capital) on the side</w:t>
      </w:r>
      <w:r w:rsidR="00D72385" w:rsidRPr="00D72385">
        <w:t xml:space="preserve"> </w:t>
      </w:r>
      <w:r w:rsidR="00D72385">
        <w:t>of the right</w:t>
      </w:r>
      <w:r>
        <w:t>, with</w:t>
      </w:r>
      <w:r w:rsidRPr="00957B48">
        <w:rPr>
          <w:i/>
        </w:rPr>
        <w:t xml:space="preserve"> debits</w:t>
      </w:r>
      <w:r>
        <w:t xml:space="preserve"> left </w:t>
      </w:r>
      <w:r w:rsidR="00D72385">
        <w:t xml:space="preserve">gauchely </w:t>
      </w:r>
      <w:r>
        <w:t>on the sinister side</w:t>
      </w:r>
      <w:r w:rsidR="001B1E49">
        <w:t>,</w:t>
      </w:r>
      <w:r w:rsidR="007F4948">
        <w:rPr>
          <w:rStyle w:val="FootnoteReference"/>
        </w:rPr>
        <w:footnoteReference w:id="15"/>
      </w:r>
      <w:r w:rsidR="001B1E49">
        <w:t xml:space="preserve"> perhaps because debto</w:t>
      </w:r>
      <w:r w:rsidR="009813B1">
        <w:t>rs are bad (they have not paid u</w:t>
      </w:r>
      <w:r w:rsidR="001B1E49">
        <w:t xml:space="preserve">s yet) whereas creditors are good (they trust </w:t>
      </w:r>
      <w:r w:rsidR="00616A21">
        <w:t xml:space="preserve">us to pay later). </w:t>
      </w:r>
      <w:r w:rsidR="00505256">
        <w:t>However,</w:t>
      </w:r>
      <w:r w:rsidR="001B1E49">
        <w:t xml:space="preserve"> </w:t>
      </w:r>
      <w:r w:rsidR="00616A21">
        <w:t xml:space="preserve">the reverse approach </w:t>
      </w:r>
      <w:r w:rsidR="007B331D">
        <w:t xml:space="preserve">(i.e. </w:t>
      </w:r>
      <w:r>
        <w:t>capital on the lef</w:t>
      </w:r>
      <w:r w:rsidR="007B331D">
        <w:t>t</w:t>
      </w:r>
      <w:r w:rsidR="00D24ADB">
        <w:t xml:space="preserve"> of balance sheets</w:t>
      </w:r>
      <w:r w:rsidR="007B331D">
        <w:t>) can also be found</w:t>
      </w:r>
      <w:r w:rsidR="00D24ADB">
        <w:t xml:space="preserve"> early on</w:t>
      </w:r>
      <w:r w:rsidR="007B331D">
        <w:t>; for example</w:t>
      </w:r>
      <w:r w:rsidR="00B87C05">
        <w:t>, in the Low C</w:t>
      </w:r>
      <w:r w:rsidR="00616A21">
        <w:t>ountri</w:t>
      </w:r>
      <w:r w:rsidR="00D24ADB">
        <w:t>es, according to</w:t>
      </w:r>
      <w:r w:rsidR="007B331D">
        <w:t xml:space="preserve"> </w:t>
      </w:r>
      <w:r w:rsidR="009E2380">
        <w:t>the writings</w:t>
      </w:r>
      <w:r w:rsidR="009E2380">
        <w:rPr>
          <w:rStyle w:val="FootnoteReference"/>
        </w:rPr>
        <w:footnoteReference w:id="16"/>
      </w:r>
      <w:r w:rsidR="009E2380">
        <w:t xml:space="preserve"> of Simon Stevin in the early seventeenth century</w:t>
      </w:r>
      <w:r w:rsidR="00014DC0">
        <w:t>.  The explanation for this might be that, when a ledger is closed (without carrying down any balances), the balancin</w:t>
      </w:r>
      <w:r w:rsidR="00957B48">
        <w:t>g entry for a capital or liability</w:t>
      </w:r>
      <w:r w:rsidR="00014DC0">
        <w:t xml:space="preserve"> account is a </w:t>
      </w:r>
      <w:r w:rsidR="00957B48">
        <w:rPr>
          <w:i/>
        </w:rPr>
        <w:t>deb</w:t>
      </w:r>
      <w:r w:rsidR="00014DC0">
        <w:rPr>
          <w:i/>
        </w:rPr>
        <w:t>it</w:t>
      </w:r>
      <w:r w:rsidR="00014DC0">
        <w:t>.  So</w:t>
      </w:r>
      <w:r w:rsidR="007F4948">
        <w:t>,</w:t>
      </w:r>
      <w:r w:rsidR="00957B48">
        <w:t xml:space="preserve"> the list of such </w:t>
      </w:r>
      <w:r w:rsidR="009813B1">
        <w:t xml:space="preserve">balancing entries </w:t>
      </w:r>
      <w:r w:rsidR="007B331D">
        <w:t xml:space="preserve">on capital and liability accounts </w:t>
      </w:r>
      <w:r w:rsidR="009813B1">
        <w:t xml:space="preserve">is a list of </w:t>
      </w:r>
      <w:r w:rsidR="00957B48">
        <w:rPr>
          <w:i/>
        </w:rPr>
        <w:t>deb</w:t>
      </w:r>
      <w:r w:rsidR="009813B1" w:rsidRPr="009813B1">
        <w:rPr>
          <w:i/>
        </w:rPr>
        <w:t>its</w:t>
      </w:r>
      <w:r w:rsidR="007B331D">
        <w:t xml:space="preserve">, and therefore shown on the left of a </w:t>
      </w:r>
      <w:r w:rsidR="00951DCC">
        <w:t xml:space="preserve">sheet of </w:t>
      </w:r>
      <w:r w:rsidR="007B331D">
        <w:t>balance</w:t>
      </w:r>
      <w:r w:rsidR="00951DCC">
        <w:t>s</w:t>
      </w:r>
      <w:r w:rsidR="007B331D">
        <w:t>.</w:t>
      </w:r>
      <w:r w:rsidR="00F047C4">
        <w:t xml:space="preserve">  Edwards (1989, p.66) suggests various other </w:t>
      </w:r>
      <w:r w:rsidR="00371144">
        <w:t xml:space="preserve">possible </w:t>
      </w:r>
      <w:r w:rsidR="00F047C4">
        <w:t>explanations.</w:t>
      </w:r>
    </w:p>
    <w:p w14:paraId="0D65CEC0" w14:textId="521C2D33" w:rsidR="00D24ADB" w:rsidRDefault="00616A21" w:rsidP="0015149D">
      <w:pPr>
        <w:spacing w:after="120" w:line="480" w:lineRule="auto"/>
        <w:ind w:firstLine="720"/>
      </w:pPr>
      <w:r>
        <w:t>Br</w:t>
      </w:r>
      <w:r w:rsidR="00A37C9D">
        <w:t xml:space="preserve">itish merchants </w:t>
      </w:r>
      <w:r w:rsidR="007B331D">
        <w:t>had once generally</w:t>
      </w:r>
      <w:r w:rsidR="008418F4">
        <w:t xml:space="preserve"> followed Italian practice, </w:t>
      </w:r>
      <w:r w:rsidR="007B331D">
        <w:t xml:space="preserve"> show</w:t>
      </w:r>
      <w:r w:rsidR="008418F4">
        <w:t>ing</w:t>
      </w:r>
      <w:r w:rsidR="00127F8D">
        <w:t xml:space="preserve"> capital on the right and assets on the left</w:t>
      </w:r>
      <w:r>
        <w:t xml:space="preserve"> (e.g. </w:t>
      </w:r>
      <w:r w:rsidR="00D76143">
        <w:t xml:space="preserve">in sixteenth century Bristol; </w:t>
      </w:r>
      <w:r>
        <w:t xml:space="preserve">Vanes 1967). However, </w:t>
      </w:r>
      <w:r w:rsidR="00505256">
        <w:t xml:space="preserve">in </w:t>
      </w:r>
      <w:r w:rsidR="001B1E49">
        <w:t>the</w:t>
      </w:r>
      <w:r w:rsidR="00505256">
        <w:t xml:space="preserve"> </w:t>
      </w:r>
      <w:r>
        <w:t>optional</w:t>
      </w:r>
      <w:r w:rsidR="00B15765">
        <w:rPr>
          <w:rStyle w:val="FootnoteReference"/>
        </w:rPr>
        <w:t xml:space="preserve"> </w:t>
      </w:r>
      <w:r w:rsidR="00B15765">
        <w:t xml:space="preserve"> </w:t>
      </w:r>
      <w:r w:rsidR="008675D6">
        <w:t>format</w:t>
      </w:r>
      <w:r w:rsidR="00505256">
        <w:t xml:space="preserve"> in the UK </w:t>
      </w:r>
      <w:r w:rsidR="001B1E49">
        <w:t>Companies Act</w:t>
      </w:r>
      <w:r w:rsidR="00505256">
        <w:t xml:space="preserve"> 1856</w:t>
      </w:r>
      <w:r w:rsidR="00B15765">
        <w:t xml:space="preserve"> (which is part of the model Articles of Association)</w:t>
      </w:r>
      <w:r w:rsidR="001B1E49">
        <w:t xml:space="preserve">, </w:t>
      </w:r>
      <w:r w:rsidR="00505256">
        <w:t xml:space="preserve">the </w:t>
      </w:r>
      <w:r w:rsidR="00127F8D">
        <w:t>capital is on the lef</w:t>
      </w:r>
      <w:r w:rsidR="001B1E49">
        <w:t>t</w:t>
      </w:r>
      <w:r w:rsidR="00425049">
        <w:t>, as illustrated in Figure</w:t>
      </w:r>
      <w:r w:rsidR="00DC02E0">
        <w:t xml:space="preserve"> 1</w:t>
      </w:r>
      <w:r w:rsidR="001B1E49">
        <w:t xml:space="preserve">.  </w:t>
      </w:r>
      <w:r w:rsidR="004830A7">
        <w:t xml:space="preserve">In the 1868 Act </w:t>
      </w:r>
      <w:r w:rsidR="00127F8D">
        <w:t>relating to railways, the capital</w:t>
      </w:r>
      <w:r w:rsidR="004830A7">
        <w:t xml:space="preserve"> i</w:t>
      </w:r>
      <w:r w:rsidR="00127F8D">
        <w:t>n the general balance sheet</w:t>
      </w:r>
      <w:r w:rsidR="008675D6">
        <w:rPr>
          <w:rStyle w:val="FootnoteReference"/>
        </w:rPr>
        <w:footnoteReference w:id="17"/>
      </w:r>
      <w:r w:rsidR="00127F8D">
        <w:t xml:space="preserve"> was</w:t>
      </w:r>
      <w:r w:rsidR="004830A7">
        <w:t xml:space="preserve"> </w:t>
      </w:r>
      <w:r w:rsidR="00505256">
        <w:t xml:space="preserve">compulsorily </w:t>
      </w:r>
      <w:r w:rsidR="00127F8D">
        <w:t>on the left</w:t>
      </w:r>
      <w:r w:rsidR="00505256">
        <w:t xml:space="preserve">. </w:t>
      </w:r>
      <w:r w:rsidR="0015149D">
        <w:t>There is no conclusion about why the law showed capital on the left (Yamey 1970</w:t>
      </w:r>
      <w:r w:rsidR="00625B8C">
        <w:t>,</w:t>
      </w:r>
      <w:r w:rsidR="0015149D">
        <w:t xml:space="preserve">  Edwards 1989, p.66). </w:t>
      </w:r>
      <w:r w:rsidR="00505256">
        <w:t>Although the la</w:t>
      </w:r>
      <w:r w:rsidR="008675D6">
        <w:t xml:space="preserve">w </w:t>
      </w:r>
      <w:r w:rsidR="00371144">
        <w:t xml:space="preserve">eventually </w:t>
      </w:r>
      <w:r w:rsidR="008675D6">
        <w:t>ceased to have a format</w:t>
      </w:r>
      <w:r w:rsidR="00505256">
        <w:t>,</w:t>
      </w:r>
      <w:r w:rsidR="008675D6">
        <w:rPr>
          <w:rStyle w:val="FootnoteReference"/>
        </w:rPr>
        <w:footnoteReference w:id="18"/>
      </w:r>
      <w:r w:rsidR="00505256">
        <w:t xml:space="preserve"> the practi</w:t>
      </w:r>
      <w:r w:rsidR="00127F8D">
        <w:t>ce of showing capital on the lef</w:t>
      </w:r>
      <w:r w:rsidR="00505256">
        <w:t xml:space="preserve">t </w:t>
      </w:r>
      <w:r w:rsidR="0015149D">
        <w:t xml:space="preserve">continued. </w:t>
      </w:r>
      <w:r w:rsidR="000E1E15">
        <w:t>T</w:t>
      </w:r>
      <w:r w:rsidR="004A5E55">
        <w:t xml:space="preserve">he Imperial Continental Gas Association </w:t>
      </w:r>
      <w:r w:rsidR="0015149D">
        <w:t xml:space="preserve">had </w:t>
      </w:r>
      <w:r w:rsidR="004A5E55">
        <w:t>presented a balance sheet with capital (</w:t>
      </w:r>
      <w:r w:rsidR="002A6379">
        <w:t>‘</w:t>
      </w:r>
      <w:r w:rsidR="004A5E55">
        <w:t>Stock</w:t>
      </w:r>
      <w:r w:rsidR="002A6379">
        <w:t>’</w:t>
      </w:r>
      <w:r w:rsidR="004A5E55">
        <w:t>) on the right when it was a pa</w:t>
      </w:r>
      <w:r w:rsidR="009126CA">
        <w:t>rtnership in 18</w:t>
      </w:r>
      <w:r w:rsidR="000E1E15">
        <w:t xml:space="preserve">26 but, as Figure 2 shows, </w:t>
      </w:r>
      <w:r w:rsidR="0015149D">
        <w:t xml:space="preserve">with </w:t>
      </w:r>
      <w:r w:rsidR="004A5E55">
        <w:t xml:space="preserve">capital on the left as a company in 1900 (Hill, 1955, Appendices A and B). </w:t>
      </w:r>
      <w:r w:rsidR="0045637F">
        <w:t xml:space="preserve">Figure 3 shows the </w:t>
      </w:r>
      <w:r w:rsidR="005823CC">
        <w:t>left-sided approach by</w:t>
      </w:r>
      <w:r w:rsidR="0045637F">
        <w:t xml:space="preserve"> Marks and Spencer in 1934.</w:t>
      </w:r>
      <w:r w:rsidR="004A5E55">
        <w:t xml:space="preserve"> </w:t>
      </w:r>
      <w:r w:rsidR="005505B9">
        <w:t xml:space="preserve">It was only when </w:t>
      </w:r>
      <w:r w:rsidR="0015149D">
        <w:t>the UK implemented the EU Fourth Directive</w:t>
      </w:r>
      <w:r w:rsidR="00951DCC">
        <w:t xml:space="preserve"> (based on German law)</w:t>
      </w:r>
      <w:r w:rsidR="005505B9">
        <w:t xml:space="preserve">, as the Companies Act 1981, that capital </w:t>
      </w:r>
      <w:r w:rsidR="006E671A">
        <w:t>returned</w:t>
      </w:r>
      <w:r w:rsidR="005505B9">
        <w:t xml:space="preserve"> to the right</w:t>
      </w:r>
      <w:r w:rsidR="0015149D">
        <w:t xml:space="preserve">.  </w:t>
      </w:r>
    </w:p>
    <w:p w14:paraId="15B95D51" w14:textId="1DFED186" w:rsidR="00DC02E0" w:rsidRPr="00C56933" w:rsidRDefault="00C56933" w:rsidP="00616A21">
      <w:pPr>
        <w:spacing w:after="120" w:line="480" w:lineRule="auto"/>
        <w:ind w:firstLine="720"/>
      </w:pPr>
      <w:r>
        <w:t xml:space="preserve">A brief note on the word </w:t>
      </w:r>
      <w:r w:rsidR="002A6379">
        <w:t>‘</w:t>
      </w:r>
      <w:r>
        <w:t>assets</w:t>
      </w:r>
      <w:r w:rsidR="002A6379">
        <w:t>’</w:t>
      </w:r>
      <w:r>
        <w:t xml:space="preserve"> is warranted, given the </w:t>
      </w:r>
      <w:r w:rsidR="006E671A">
        <w:t>caption</w:t>
      </w:r>
      <w:r>
        <w:t xml:space="preserve"> </w:t>
      </w:r>
      <w:r w:rsidR="002A6379">
        <w:t>‘</w:t>
      </w:r>
      <w:r>
        <w:t>Property and Assets</w:t>
      </w:r>
      <w:r w:rsidR="002A6379">
        <w:t>’</w:t>
      </w:r>
      <w:r>
        <w:t xml:space="preserve"> in </w:t>
      </w:r>
      <w:r w:rsidR="00D24ADB">
        <w:t xml:space="preserve">the balance sheet of the Companies Act 1856 (see </w:t>
      </w:r>
      <w:r>
        <w:t>Figure 1</w:t>
      </w:r>
      <w:r w:rsidR="00D24ADB">
        <w:t>)</w:t>
      </w:r>
      <w:r>
        <w:t xml:space="preserve">.  Parker (1994, p.80) explains that </w:t>
      </w:r>
      <w:r w:rsidR="002A6379">
        <w:t>‘</w:t>
      </w:r>
      <w:r>
        <w:t>assets</w:t>
      </w:r>
      <w:r w:rsidR="002A6379">
        <w:t>’</w:t>
      </w:r>
      <w:r>
        <w:t xml:space="preserve"> derives from the Norman </w:t>
      </w:r>
      <w:r w:rsidR="008418F4">
        <w:t xml:space="preserve">legal </w:t>
      </w:r>
      <w:r>
        <w:t xml:space="preserve">French </w:t>
      </w:r>
      <w:r w:rsidR="002A6379">
        <w:t>‘</w:t>
      </w:r>
      <w:r>
        <w:rPr>
          <w:i/>
        </w:rPr>
        <w:t>avoir assetz</w:t>
      </w:r>
      <w:r w:rsidR="002A6379">
        <w:t>’</w:t>
      </w:r>
      <w:r w:rsidR="008E3FD1">
        <w:t>, meaning to have enough</w:t>
      </w:r>
      <w:r w:rsidR="00A54619">
        <w:rPr>
          <w:rStyle w:val="FootnoteReference"/>
        </w:rPr>
        <w:footnoteReference w:id="19"/>
      </w:r>
      <w:r>
        <w:t xml:space="preserve"> to meet a claim.  The adverb </w:t>
      </w:r>
      <w:r w:rsidR="002A6379">
        <w:t>‘</w:t>
      </w:r>
      <w:r>
        <w:rPr>
          <w:i/>
        </w:rPr>
        <w:t>assetz</w:t>
      </w:r>
      <w:r w:rsidR="002A6379">
        <w:t>’</w:t>
      </w:r>
      <w:r>
        <w:t xml:space="preserve"> became a singular noun</w:t>
      </w:r>
      <w:r w:rsidR="008E3FD1">
        <w:t xml:space="preserve"> in English</w:t>
      </w:r>
      <w:r>
        <w:t>.  Then, by the mid-eighteenth century, presumably because of the accident that it sounded like a plural, it became one, init</w:t>
      </w:r>
      <w:r w:rsidR="00D24ADB">
        <w:t xml:space="preserve">ially without a singular.  The term ‘Property and Assets’ </w:t>
      </w:r>
      <w:r>
        <w:t xml:space="preserve">implies that the </w:t>
      </w:r>
      <w:r w:rsidR="002A6379">
        <w:t>‘</w:t>
      </w:r>
      <w:r>
        <w:t>assets</w:t>
      </w:r>
      <w:r w:rsidR="002A6379">
        <w:t>’</w:t>
      </w:r>
      <w:r>
        <w:t xml:space="preserve"> were still then res</w:t>
      </w:r>
      <w:r w:rsidR="0025708A">
        <w:t>tricted to the monetary items, i.e.</w:t>
      </w:r>
      <w:r>
        <w:t xml:space="preserve"> the resources that could be used to settle claims.</w:t>
      </w:r>
      <w:r w:rsidR="00D8087B">
        <w:t xml:space="preserve"> An alternative word in use in the eighteenth century for all the </w:t>
      </w:r>
      <w:r w:rsidR="00D101F5" w:rsidRPr="00D101F5">
        <w:rPr>
          <w:i/>
        </w:rPr>
        <w:t>debits</w:t>
      </w:r>
      <w:r w:rsidR="00D8087B">
        <w:t xml:space="preserve"> was ‘effects’ (Edwards 2014, p</w:t>
      </w:r>
      <w:r w:rsidR="00C16948">
        <w:t>.235</w:t>
      </w:r>
      <w:r w:rsidR="00D8087B">
        <w:t>).</w:t>
      </w:r>
    </w:p>
    <w:p w14:paraId="033D9D6F" w14:textId="77777777" w:rsidR="009813B1" w:rsidRPr="00A945E1" w:rsidRDefault="00D24ADB" w:rsidP="00282306">
      <w:pPr>
        <w:spacing w:after="120" w:line="480" w:lineRule="auto"/>
        <w:rPr>
          <w:b/>
          <w:i/>
        </w:rPr>
      </w:pPr>
      <w:r>
        <w:rPr>
          <w:b/>
          <w:i/>
        </w:rPr>
        <w:t>2.3</w:t>
      </w:r>
      <w:r w:rsidR="00A945E1" w:rsidRPr="00A945E1">
        <w:rPr>
          <w:b/>
          <w:i/>
        </w:rPr>
        <w:t xml:space="preserve"> </w:t>
      </w:r>
      <w:r w:rsidR="009813B1" w:rsidRPr="00A945E1">
        <w:rPr>
          <w:b/>
          <w:i/>
        </w:rPr>
        <w:t>Funds and reserves</w:t>
      </w:r>
    </w:p>
    <w:p w14:paraId="6DCD56DB" w14:textId="6DA2709E" w:rsidR="00986353" w:rsidRDefault="00FA1648" w:rsidP="00986353">
      <w:pPr>
        <w:spacing w:after="120" w:line="480" w:lineRule="auto"/>
      </w:pPr>
      <w:r>
        <w:tab/>
        <w:t xml:space="preserve">Another word which has ambiguous </w:t>
      </w:r>
      <w:r>
        <w:rPr>
          <w:i/>
        </w:rPr>
        <w:t>debit/credit</w:t>
      </w:r>
      <w:r>
        <w:t xml:space="preserve"> meanings is </w:t>
      </w:r>
      <w:r w:rsidR="002A6379">
        <w:t>‘</w:t>
      </w:r>
      <w:r>
        <w:t>funds</w:t>
      </w:r>
      <w:r w:rsidR="002A6379">
        <w:t>’</w:t>
      </w:r>
      <w:r>
        <w:t xml:space="preserve">.  Its </w:t>
      </w:r>
      <w:r>
        <w:rPr>
          <w:i/>
        </w:rPr>
        <w:t>credit</w:t>
      </w:r>
      <w:r>
        <w:t xml:space="preserve"> forms include </w:t>
      </w:r>
      <w:r w:rsidR="002A6379">
        <w:t>‘</w:t>
      </w:r>
      <w:r>
        <w:t>shareholders’ funds</w:t>
      </w:r>
      <w:r w:rsidR="002A6379">
        <w:t>’</w:t>
      </w:r>
      <w:r>
        <w:t xml:space="preserve">, </w:t>
      </w:r>
      <w:r w:rsidR="002A6379">
        <w:t>‘</w:t>
      </w:r>
      <w:r>
        <w:t>capital redemption reserve fund</w:t>
      </w:r>
      <w:r w:rsidR="002A6379">
        <w:t>’</w:t>
      </w:r>
      <w:r>
        <w:t xml:space="preserve"> (e.g. </w:t>
      </w:r>
      <w:r w:rsidR="00BA1CD8">
        <w:t>as required for various purposes in UK Companies Acts</w:t>
      </w:r>
      <w:r>
        <w:t xml:space="preserve">) and </w:t>
      </w:r>
      <w:r w:rsidR="002A6379">
        <w:t>‘</w:t>
      </w:r>
      <w:r>
        <w:t>sinking fund</w:t>
      </w:r>
      <w:r w:rsidR="002A6379">
        <w:t>’</w:t>
      </w:r>
      <w:r>
        <w:t xml:space="preserve">.  Its </w:t>
      </w:r>
      <w:r>
        <w:rPr>
          <w:i/>
        </w:rPr>
        <w:t>debit</w:t>
      </w:r>
      <w:r>
        <w:t xml:space="preserve"> forms include a </w:t>
      </w:r>
      <w:r w:rsidR="002A6379">
        <w:t>‘</w:t>
      </w:r>
      <w:r w:rsidR="006D5EBE">
        <w:t>pension fund</w:t>
      </w:r>
      <w:r w:rsidR="002A6379">
        <w:t>’</w:t>
      </w:r>
      <w:r w:rsidR="006D5EBE">
        <w:t xml:space="preserve"> </w:t>
      </w:r>
      <w:r w:rsidR="00076F46">
        <w:t xml:space="preserve">(i.e. a pile of assets) </w:t>
      </w:r>
      <w:r w:rsidR="006D5EBE">
        <w:t xml:space="preserve">and a </w:t>
      </w:r>
      <w:r w:rsidR="002A6379">
        <w:t>‘</w:t>
      </w:r>
      <w:r>
        <w:t>statement</w:t>
      </w:r>
      <w:r w:rsidR="006D5EBE">
        <w:t xml:space="preserve"> of source and application of funds</w:t>
      </w:r>
      <w:r w:rsidR="002A6379">
        <w:t>’</w:t>
      </w:r>
      <w:r w:rsidR="006D5EBE">
        <w:t xml:space="preserve"> (e.g. under SSAP 10 in the UK from 1975 to 1991)</w:t>
      </w:r>
      <w:r>
        <w:t xml:space="preserve">.  </w:t>
      </w:r>
      <w:r w:rsidR="00107940">
        <w:t>This potential confusion also arises in the original language of accounting:</w:t>
      </w:r>
      <w:r>
        <w:t xml:space="preserve"> Italian, in which both a claim</w:t>
      </w:r>
      <w:r w:rsidR="00E97C39">
        <w:t xml:space="preserve"> on the entity</w:t>
      </w:r>
      <w:r>
        <w:t xml:space="preserve"> (e.g. a pension provision</w:t>
      </w:r>
      <w:r w:rsidR="00E97C39">
        <w:t>: a liability of uncertain timing or amount</w:t>
      </w:r>
      <w:r>
        <w:t xml:space="preserve">) is a </w:t>
      </w:r>
      <w:r w:rsidR="002A6379">
        <w:t>‘</w:t>
      </w:r>
      <w:r>
        <w:rPr>
          <w:i/>
        </w:rPr>
        <w:t>fondo</w:t>
      </w:r>
      <w:r w:rsidR="002A6379">
        <w:t>’</w:t>
      </w:r>
      <w:r>
        <w:t xml:space="preserve"> and a resource (e.g. </w:t>
      </w:r>
      <w:r w:rsidR="00D474E5">
        <w:t>the</w:t>
      </w:r>
      <w:r>
        <w:t xml:space="preserve"> pension fund</w:t>
      </w:r>
      <w:r w:rsidR="00D474E5">
        <w:t xml:space="preserve"> assets</w:t>
      </w:r>
      <w:r>
        <w:t xml:space="preserve">) is a </w:t>
      </w:r>
      <w:r w:rsidR="002A6379">
        <w:t>‘</w:t>
      </w:r>
      <w:r>
        <w:rPr>
          <w:i/>
        </w:rPr>
        <w:t>fondo</w:t>
      </w:r>
      <w:r w:rsidR="002A6379">
        <w:t>’</w:t>
      </w:r>
      <w:r>
        <w:t>.</w:t>
      </w:r>
      <w:r w:rsidR="00076F46">
        <w:t xml:space="preserve">  </w:t>
      </w:r>
      <w:r w:rsidR="00986353">
        <w:t>Figure</w:t>
      </w:r>
      <w:r w:rsidR="00E15B26">
        <w:t xml:space="preserve"> 5</w:t>
      </w:r>
      <w:r w:rsidR="00702EEB">
        <w:t xml:space="preserve"> shows the headings on the </w:t>
      </w:r>
      <w:r w:rsidR="00702EEB">
        <w:rPr>
          <w:i/>
        </w:rPr>
        <w:t xml:space="preserve">credit </w:t>
      </w:r>
      <w:r w:rsidR="00FA36C7" w:rsidRPr="005073DC">
        <w:t>side</w:t>
      </w:r>
      <w:r w:rsidR="00702EEB">
        <w:t xml:space="preserve"> of the balance sheet of a listed Italian company, revealing the use of ‘fund’ to mean </w:t>
      </w:r>
      <w:r w:rsidR="00D474E5">
        <w:t xml:space="preserve">the pension </w:t>
      </w:r>
      <w:r w:rsidR="00702EEB">
        <w:t xml:space="preserve"> provision</w:t>
      </w:r>
      <w:r w:rsidR="00D474E5">
        <w:t>/liability rather than the pension assets</w:t>
      </w:r>
      <w:r w:rsidR="00702EEB">
        <w:t>.</w:t>
      </w:r>
      <w:r w:rsidR="00076F46">
        <w:t xml:space="preserve"> </w:t>
      </w:r>
    </w:p>
    <w:p w14:paraId="7989FDDA" w14:textId="77777777" w:rsidR="00AD3589" w:rsidRDefault="00FA1648" w:rsidP="005073DC">
      <w:pPr>
        <w:spacing w:after="120" w:line="480" w:lineRule="auto"/>
        <w:ind w:firstLine="720"/>
      </w:pPr>
      <w:r>
        <w:t xml:space="preserve">There are similar problems with </w:t>
      </w:r>
      <w:r w:rsidR="002A6379">
        <w:t>‘</w:t>
      </w:r>
      <w:r>
        <w:t>reserve</w:t>
      </w:r>
      <w:r w:rsidR="002A6379">
        <w:t>’</w:t>
      </w:r>
      <w:r>
        <w:t xml:space="preserve">, which </w:t>
      </w:r>
      <w:r w:rsidR="0015149D">
        <w:t xml:space="preserve">now </w:t>
      </w:r>
      <w:r>
        <w:t xml:space="preserve">means an undistributed gain </w:t>
      </w:r>
      <w:r w:rsidR="00C01E51">
        <w:t>to UK accountants</w:t>
      </w:r>
      <w:r w:rsidR="00076F46">
        <w:t xml:space="preserve"> or in IFRS</w:t>
      </w:r>
      <w:r w:rsidR="0015149D">
        <w:t xml:space="preserve">, </w:t>
      </w:r>
      <w:r w:rsidR="00EE0991">
        <w:t>al</w:t>
      </w:r>
      <w:r w:rsidR="0015149D">
        <w:t xml:space="preserve">though </w:t>
      </w:r>
      <w:r w:rsidR="00EE0991">
        <w:t xml:space="preserve">it </w:t>
      </w:r>
      <w:r w:rsidR="0015149D">
        <w:t>used to be a wider term (see Section 7)</w:t>
      </w:r>
      <w:r w:rsidR="00C01E51">
        <w:t>; but means either a provision (</w:t>
      </w:r>
      <w:r w:rsidR="001B1E49">
        <w:t xml:space="preserve">e.g. </w:t>
      </w:r>
      <w:r w:rsidR="002A6379">
        <w:t>‘</w:t>
      </w:r>
      <w:r w:rsidR="00C01E51">
        <w:t>pension reserve</w:t>
      </w:r>
      <w:r w:rsidR="002A6379">
        <w:t>’</w:t>
      </w:r>
      <w:r w:rsidR="00C01E51">
        <w:t>) or an impairment (</w:t>
      </w:r>
      <w:r w:rsidR="001B1E49">
        <w:t xml:space="preserve">e.g. </w:t>
      </w:r>
      <w:r w:rsidR="002A6379">
        <w:t>‘</w:t>
      </w:r>
      <w:r w:rsidR="00C01E51">
        <w:t>loan loss reserve</w:t>
      </w:r>
      <w:r w:rsidR="002A6379">
        <w:t>’</w:t>
      </w:r>
      <w:r w:rsidR="00C01E51">
        <w:t>) to American accountants;  and might imply a pile of money to non-accountants.</w:t>
      </w:r>
      <w:r w:rsidR="00275A97" w:rsidRPr="00275A97">
        <w:t xml:space="preserve"> </w:t>
      </w:r>
      <w:r w:rsidR="00076F46">
        <w:t>Figure</w:t>
      </w:r>
      <w:r w:rsidR="00E15B26">
        <w:t xml:space="preserve"> 5 </w:t>
      </w:r>
      <w:r w:rsidR="00076F46">
        <w:t>shows the Italian company using ‘reserve’ to mean provision</w:t>
      </w:r>
      <w:r w:rsidR="00E15B26">
        <w:t xml:space="preserve">. </w:t>
      </w:r>
      <w:r w:rsidR="005D2406">
        <w:t xml:space="preserve">Figure </w:t>
      </w:r>
      <w:r w:rsidR="0045637F">
        <w:t>7</w:t>
      </w:r>
      <w:r w:rsidR="00275A97">
        <w:t xml:space="preserve"> shows </w:t>
      </w:r>
      <w:r w:rsidR="001F61CC">
        <w:t xml:space="preserve">the </w:t>
      </w:r>
      <w:r w:rsidR="001F61CC" w:rsidRPr="001F61CC">
        <w:rPr>
          <w:i/>
        </w:rPr>
        <w:t xml:space="preserve">credit </w:t>
      </w:r>
      <w:r w:rsidR="001F61CC">
        <w:t xml:space="preserve">side of </w:t>
      </w:r>
      <w:r w:rsidR="00275A97">
        <w:t>a later balance sheet of the sa</w:t>
      </w:r>
      <w:r w:rsidR="005D2406">
        <w:t xml:space="preserve">me French company </w:t>
      </w:r>
      <w:r w:rsidR="00D474E5">
        <w:t>featured</w:t>
      </w:r>
      <w:r w:rsidR="005D2406">
        <w:t xml:space="preserve"> in Figure </w:t>
      </w:r>
      <w:r w:rsidR="0045637F">
        <w:t>4</w:t>
      </w:r>
      <w:r w:rsidR="00275A97">
        <w:t>.  The company has realised the problem with the heading</w:t>
      </w:r>
      <w:r w:rsidR="00D24ADB">
        <w:t xml:space="preserve"> ‘</w:t>
      </w:r>
      <w:r w:rsidR="00E97C39">
        <w:t>L</w:t>
      </w:r>
      <w:r w:rsidR="00D24ADB">
        <w:t xml:space="preserve">iabilities’ of Figure </w:t>
      </w:r>
      <w:r w:rsidR="0045637F">
        <w:t>4</w:t>
      </w:r>
      <w:r w:rsidR="00275A97">
        <w:t xml:space="preserve">, but now gets confused about </w:t>
      </w:r>
      <w:r w:rsidR="002A6379">
        <w:t>‘</w:t>
      </w:r>
      <w:r w:rsidR="00275A97">
        <w:t>reserve</w:t>
      </w:r>
      <w:r w:rsidR="002A6379">
        <w:t>’</w:t>
      </w:r>
      <w:r w:rsidR="00275A97">
        <w:t>, using it in a UK</w:t>
      </w:r>
      <w:r w:rsidR="00076F46">
        <w:t>/IFRS</w:t>
      </w:r>
      <w:r w:rsidR="00275A97">
        <w:t xml:space="preserve"> sense </w:t>
      </w:r>
      <w:r w:rsidR="00D24ADB">
        <w:t xml:space="preserve">(a part of equity) </w:t>
      </w:r>
      <w:r w:rsidR="00275A97">
        <w:t xml:space="preserve">in the top third, but </w:t>
      </w:r>
      <w:r w:rsidR="00865CA0">
        <w:t xml:space="preserve">in </w:t>
      </w:r>
      <w:r w:rsidR="00275A97">
        <w:t xml:space="preserve">a US sense </w:t>
      </w:r>
      <w:r w:rsidR="00D24ADB">
        <w:t xml:space="preserve">(a type of liability) </w:t>
      </w:r>
      <w:r w:rsidR="00275A97">
        <w:t>in the middle third.</w:t>
      </w:r>
    </w:p>
    <w:p w14:paraId="3DDC9380" w14:textId="77777777" w:rsidR="00AD3589" w:rsidRDefault="00986353" w:rsidP="005073DC">
      <w:pPr>
        <w:spacing w:after="120" w:line="480" w:lineRule="auto"/>
        <w:ind w:firstLine="720"/>
      </w:pPr>
      <w:r>
        <w:t xml:space="preserve">[Insert Figure </w:t>
      </w:r>
      <w:r w:rsidR="0045637F">
        <w:t>7</w:t>
      </w:r>
      <w:r>
        <w:t xml:space="preserve"> near here.]</w:t>
      </w:r>
    </w:p>
    <w:p w14:paraId="5213605A" w14:textId="77777777" w:rsidR="009813B1" w:rsidRPr="00A945E1" w:rsidRDefault="002A5669" w:rsidP="001B1E49">
      <w:pPr>
        <w:spacing w:after="120" w:line="480" w:lineRule="auto"/>
        <w:rPr>
          <w:b/>
          <w:i/>
        </w:rPr>
      </w:pPr>
      <w:r>
        <w:rPr>
          <w:b/>
          <w:i/>
        </w:rPr>
        <w:t>2.4</w:t>
      </w:r>
      <w:r w:rsidR="00A945E1" w:rsidRPr="00A945E1">
        <w:rPr>
          <w:b/>
          <w:i/>
        </w:rPr>
        <w:t xml:space="preserve"> </w:t>
      </w:r>
      <w:r w:rsidR="009813B1" w:rsidRPr="00A945E1">
        <w:rPr>
          <w:b/>
          <w:i/>
        </w:rPr>
        <w:t>Continuously contemporary confusion</w:t>
      </w:r>
    </w:p>
    <w:p w14:paraId="4C644824" w14:textId="0BC755D0" w:rsidR="003860AC" w:rsidRDefault="00C830AC" w:rsidP="003860AC">
      <w:pPr>
        <w:spacing w:after="120" w:line="480" w:lineRule="auto"/>
        <w:ind w:firstLine="720"/>
      </w:pPr>
      <w:r>
        <w:t>To bring this survey up to the present</w:t>
      </w:r>
      <w:r w:rsidR="00B22216">
        <w:t xml:space="preserve">, I now refer to </w:t>
      </w:r>
      <w:r w:rsidR="003860AC">
        <w:t>two current</w:t>
      </w:r>
      <w:r w:rsidR="00B22216">
        <w:t xml:space="preserve"> </w:t>
      </w:r>
      <w:r w:rsidR="00C17A68">
        <w:t>‘Framework</w:t>
      </w:r>
      <w:r w:rsidR="003860AC">
        <w:t>s</w:t>
      </w:r>
      <w:r w:rsidR="00C17A68">
        <w:t>’</w:t>
      </w:r>
      <w:r w:rsidR="003860AC">
        <w:t>.</w:t>
      </w:r>
      <w:r w:rsidR="00C17A68">
        <w:t xml:space="preserve"> </w:t>
      </w:r>
      <w:r w:rsidR="003860AC">
        <w:t xml:space="preserve">According to the IASB’s Framework </w:t>
      </w:r>
      <w:r w:rsidR="005520DF">
        <w:t xml:space="preserve">(IASC </w:t>
      </w:r>
      <w:r w:rsidR="003860AC">
        <w:t>1989</w:t>
      </w:r>
      <w:r w:rsidR="004038DB">
        <w:t xml:space="preserve">; </w:t>
      </w:r>
      <w:r w:rsidR="003860AC">
        <w:t>and rather similarly in the Discussion Paper of 2013), ‘expenses’ are:</w:t>
      </w:r>
    </w:p>
    <w:p w14:paraId="3E30790D" w14:textId="77777777" w:rsidR="003860AC" w:rsidRDefault="003860AC" w:rsidP="00F83579">
      <w:pPr>
        <w:spacing w:after="120" w:line="240" w:lineRule="auto"/>
        <w:ind w:left="720" w:right="386" w:hanging="720"/>
      </w:pPr>
      <w:r>
        <w:tab/>
        <w:t>decreases in … assets or incurrences of liabilities that result in decreases in equity …</w:t>
      </w:r>
    </w:p>
    <w:p w14:paraId="64A0B7BF" w14:textId="77777777" w:rsidR="005D2B9E" w:rsidRDefault="005D2B9E">
      <w:pPr>
        <w:spacing w:after="120" w:line="480" w:lineRule="auto"/>
      </w:pPr>
      <w:r>
        <w:t xml:space="preserve">However, </w:t>
      </w:r>
      <w:r w:rsidR="003860AC">
        <w:t>decrease</w:t>
      </w:r>
      <w:r>
        <w:t>s</w:t>
      </w:r>
      <w:r w:rsidR="003860AC">
        <w:t xml:space="preserve"> in asset</w:t>
      </w:r>
      <w:r>
        <w:t>s are</w:t>
      </w:r>
      <w:r w:rsidR="003860AC">
        <w:t xml:space="preserve"> </w:t>
      </w:r>
      <w:r w:rsidR="003860AC" w:rsidRPr="0015149D">
        <w:rPr>
          <w:i/>
        </w:rPr>
        <w:t>credit</w:t>
      </w:r>
      <w:r>
        <w:rPr>
          <w:i/>
        </w:rPr>
        <w:t xml:space="preserve">s, </w:t>
      </w:r>
      <w:r w:rsidRPr="005D2B9E">
        <w:t>whereas expenses are supposed to be</w:t>
      </w:r>
      <w:r>
        <w:rPr>
          <w:i/>
        </w:rPr>
        <w:t xml:space="preserve"> debits.</w:t>
      </w:r>
      <w:r w:rsidR="003860AC">
        <w:t xml:space="preserve"> Th</w:t>
      </w:r>
      <w:r>
        <w:t>at is, th</w:t>
      </w:r>
      <w:r w:rsidR="003860AC">
        <w:t>e definition is the wrong way round: the expense</w:t>
      </w:r>
      <w:r>
        <w:t>s</w:t>
      </w:r>
      <w:r w:rsidR="002956B6" w:rsidRPr="002956B6">
        <w:t xml:space="preserve"> </w:t>
      </w:r>
      <w:r>
        <w:t>are</w:t>
      </w:r>
      <w:r w:rsidR="002956B6">
        <w:t xml:space="preserve"> not the decrease</w:t>
      </w:r>
      <w:r>
        <w:t>s</w:t>
      </w:r>
      <w:r w:rsidR="002956B6">
        <w:t xml:space="preserve"> in assets but the </w:t>
      </w:r>
      <w:r w:rsidR="00191A5C">
        <w:t xml:space="preserve">related </w:t>
      </w:r>
      <w:r w:rsidR="002956B6">
        <w:t>decrease</w:t>
      </w:r>
      <w:r>
        <w:t>s</w:t>
      </w:r>
      <w:r w:rsidR="003860AC">
        <w:t xml:space="preserve"> in equity (which </w:t>
      </w:r>
      <w:r>
        <w:t>are</w:t>
      </w:r>
      <w:r w:rsidR="003860AC">
        <w:t xml:space="preserve"> </w:t>
      </w:r>
      <w:r w:rsidR="003860AC" w:rsidRPr="0015149D">
        <w:rPr>
          <w:i/>
        </w:rPr>
        <w:t>debit</w:t>
      </w:r>
      <w:r>
        <w:rPr>
          <w:i/>
        </w:rPr>
        <w:t>s</w:t>
      </w:r>
      <w:r w:rsidR="003860AC">
        <w:t>).</w:t>
      </w:r>
      <w:r w:rsidR="003860AC">
        <w:rPr>
          <w:rStyle w:val="FootnoteReference"/>
        </w:rPr>
        <w:footnoteReference w:id="20"/>
      </w:r>
      <w:r w:rsidR="003860AC">
        <w:t xml:space="preserve"> Further, the Discussion Paper (para.5.7 (a))</w:t>
      </w:r>
      <w:r w:rsidR="002956B6">
        <w:t xml:space="preserve"> defines equity </w:t>
      </w:r>
      <w:r w:rsidR="003860AC">
        <w:t>as ‘a present claim on the equity of an entity’, which appears somewhat circular.</w:t>
      </w:r>
    </w:p>
    <w:p w14:paraId="04B5F3EE" w14:textId="7933BC24" w:rsidR="00E073D7" w:rsidRDefault="003860AC" w:rsidP="00E64CAE">
      <w:pPr>
        <w:spacing w:after="120" w:line="480" w:lineRule="auto"/>
        <w:ind w:firstLine="720"/>
      </w:pPr>
      <w:r>
        <w:t xml:space="preserve">The Framework </w:t>
      </w:r>
      <w:r w:rsidR="00C17A68">
        <w:t xml:space="preserve">of the </w:t>
      </w:r>
      <w:r w:rsidR="00B22216">
        <w:t xml:space="preserve">International Integrated Reporting Council </w:t>
      </w:r>
      <w:r w:rsidR="008836CA">
        <w:t>(IIRC</w:t>
      </w:r>
      <w:r w:rsidR="00804E47">
        <w:t xml:space="preserve"> 2013</w:t>
      </w:r>
      <w:r w:rsidR="008836CA">
        <w:t>)</w:t>
      </w:r>
      <w:r w:rsidR="00127F8D">
        <w:t xml:space="preserve">  identifies</w:t>
      </w:r>
      <w:r w:rsidR="006A5CC6">
        <w:t xml:space="preserve"> six </w:t>
      </w:r>
      <w:r w:rsidR="002A6379">
        <w:t>‘</w:t>
      </w:r>
      <w:r w:rsidR="006A5CC6">
        <w:t>capitals</w:t>
      </w:r>
      <w:r w:rsidR="002A6379">
        <w:t>’</w:t>
      </w:r>
      <w:r w:rsidR="006A5CC6">
        <w:t xml:space="preserve">: </w:t>
      </w:r>
      <w:r w:rsidR="00B22216">
        <w:t xml:space="preserve">financial, manufactured, intellectual, human, social/relationship and natural.  </w:t>
      </w:r>
      <w:r w:rsidR="00374145">
        <w:t>This is somewhat reminiscent of Bourdieu’</w:t>
      </w:r>
      <w:r w:rsidR="00E3017D">
        <w:t>s (1986</w:t>
      </w:r>
      <w:r w:rsidR="00374145">
        <w:t xml:space="preserve">) list of capitals: economic, cultural, social and symbolic. </w:t>
      </w:r>
      <w:r w:rsidR="00E3017D">
        <w:t xml:space="preserve">Whereas </w:t>
      </w:r>
      <w:r w:rsidR="00CB140D">
        <w:t>Bourdieu’s</w:t>
      </w:r>
      <w:r w:rsidR="00E3017D">
        <w:t xml:space="preserve"> four capitals are all sets of assets, </w:t>
      </w:r>
      <w:r w:rsidR="00CB140D">
        <w:t>t</w:t>
      </w:r>
      <w:r w:rsidR="00B22216">
        <w:t>he</w:t>
      </w:r>
      <w:r w:rsidR="002A5669">
        <w:t xml:space="preserve"> </w:t>
      </w:r>
      <w:r w:rsidR="00E3017D" w:rsidRPr="00E3017D">
        <w:rPr>
          <w:i/>
        </w:rPr>
        <w:t>debit/credit</w:t>
      </w:r>
      <w:r w:rsidR="00E3017D">
        <w:t xml:space="preserve"> </w:t>
      </w:r>
      <w:r w:rsidR="002A5669">
        <w:t xml:space="preserve">confusion </w:t>
      </w:r>
      <w:r w:rsidR="00CB140D">
        <w:t>permeates</w:t>
      </w:r>
      <w:r w:rsidR="00374145">
        <w:t xml:space="preserve"> the IIRC’s</w:t>
      </w:r>
      <w:r w:rsidR="00E3017D">
        <w:t xml:space="preserve"> discussion</w:t>
      </w:r>
      <w:r w:rsidR="002A5669">
        <w:t>. Tangible and intangible assets are included in the manufactured and intellectual capitals</w:t>
      </w:r>
      <w:r w:rsidR="00E64CAE">
        <w:t xml:space="preserve">, respectively, </w:t>
      </w:r>
      <w:r w:rsidR="0015149D">
        <w:t>which are therefore</w:t>
      </w:r>
      <w:r w:rsidR="0015149D" w:rsidRPr="00C52552">
        <w:rPr>
          <w:i/>
        </w:rPr>
        <w:t xml:space="preserve"> </w:t>
      </w:r>
      <w:r w:rsidR="0015149D">
        <w:rPr>
          <w:i/>
        </w:rPr>
        <w:t>debit</w:t>
      </w:r>
      <w:r w:rsidR="00E64CAE">
        <w:t xml:space="preserve"> concepts. Three further capitals (human, social and natural) are also </w:t>
      </w:r>
      <w:r w:rsidR="00E64CAE">
        <w:rPr>
          <w:i/>
        </w:rPr>
        <w:t>debit</w:t>
      </w:r>
      <w:r w:rsidR="00E64CAE">
        <w:t xml:space="preserve"> concepts, although they go beyond what accountants recognise as assets (e.g. they include staff and the atmosphere).  However, </w:t>
      </w:r>
      <w:r w:rsidR="00B22216">
        <w:t xml:space="preserve">financial capital is </w:t>
      </w:r>
      <w:r w:rsidR="002A6379">
        <w:t>‘</w:t>
      </w:r>
      <w:r w:rsidR="00B22216">
        <w:t>the pool of funds</w:t>
      </w:r>
      <w:r w:rsidR="00C17A68">
        <w:t xml:space="preserve"> that is</w:t>
      </w:r>
      <w:r w:rsidR="00D32907">
        <w:t xml:space="preserve"> …</w:t>
      </w:r>
      <w:r w:rsidR="00C17A68">
        <w:t xml:space="preserve"> available to an organisation</w:t>
      </w:r>
      <w:r w:rsidR="00B22216">
        <w:t xml:space="preserve"> … obtained through financing, such as debt</w:t>
      </w:r>
      <w:r w:rsidR="00450FCE">
        <w:t>,</w:t>
      </w:r>
      <w:r w:rsidR="00B22216">
        <w:t xml:space="preserve"> eq</w:t>
      </w:r>
      <w:r w:rsidR="00450FCE">
        <w:t>uity or grants</w:t>
      </w:r>
      <w:r w:rsidR="002A6379">
        <w:t>’</w:t>
      </w:r>
      <w:r w:rsidR="00450FCE">
        <w:t xml:space="preserve"> (p.1</w:t>
      </w:r>
      <w:r w:rsidR="00C17A68">
        <w:t>1</w:t>
      </w:r>
      <w:r w:rsidR="00450FCE">
        <w:t>)</w:t>
      </w:r>
      <w:r w:rsidR="002A5669">
        <w:t xml:space="preserve">. So, financial capital </w:t>
      </w:r>
      <w:r w:rsidR="00E3017D">
        <w:t xml:space="preserve">includes liabilities; and it </w:t>
      </w:r>
      <w:r w:rsidR="002A5669">
        <w:t xml:space="preserve">cannot just mean </w:t>
      </w:r>
      <w:r w:rsidR="00E3017D">
        <w:t xml:space="preserve">(or be equivalent to) </w:t>
      </w:r>
      <w:r w:rsidR="002A5669">
        <w:t>financial assets</w:t>
      </w:r>
      <w:r w:rsidR="00ED670A">
        <w:t xml:space="preserve"> becau</w:t>
      </w:r>
      <w:r w:rsidR="00D32907">
        <w:t>se much of the pool of funds</w:t>
      </w:r>
      <w:r w:rsidR="00ED670A">
        <w:t xml:space="preserve"> will have been spent on other asset</w:t>
      </w:r>
      <w:r w:rsidR="00CB140D">
        <w:t xml:space="preserve"> capitals</w:t>
      </w:r>
      <w:r w:rsidR="00124E32">
        <w:t xml:space="preserve">. </w:t>
      </w:r>
      <w:r w:rsidR="00D32907">
        <w:t xml:space="preserve">We are also told that an entity’s financial capital ‘is increased as it makes a profit’ (p.11).  </w:t>
      </w:r>
      <w:r w:rsidR="00124E32">
        <w:t xml:space="preserve">Therefore, </w:t>
      </w:r>
      <w:r w:rsidR="00D32907">
        <w:t xml:space="preserve">it is clear that the IIRC’s </w:t>
      </w:r>
      <w:r w:rsidR="00124E32">
        <w:t>financial capital</w:t>
      </w:r>
      <w:r w:rsidR="00D32907">
        <w:t xml:space="preserve"> is</w:t>
      </w:r>
      <w:r w:rsidR="002A5669">
        <w:t xml:space="preserve"> </w:t>
      </w:r>
      <w:r w:rsidR="00B22216">
        <w:t xml:space="preserve">a </w:t>
      </w:r>
      <w:r w:rsidR="00B22216">
        <w:rPr>
          <w:i/>
        </w:rPr>
        <w:t>credit</w:t>
      </w:r>
      <w:r w:rsidR="00D32907">
        <w:t xml:space="preserve"> concept</w:t>
      </w:r>
      <w:r w:rsidR="00E073D7">
        <w:t xml:space="preserve">. </w:t>
      </w:r>
    </w:p>
    <w:p w14:paraId="535BA742" w14:textId="6528FCC1" w:rsidR="00106C9B" w:rsidRDefault="00E073D7" w:rsidP="00DD5A38">
      <w:pPr>
        <w:spacing w:after="120" w:line="480" w:lineRule="auto"/>
        <w:ind w:firstLine="720"/>
      </w:pPr>
      <w:r>
        <w:t>This creates several problems. First, financial capital does not then</w:t>
      </w:r>
      <w:r w:rsidR="00B22216">
        <w:t xml:space="preserve"> meet the document’s definition of capitals as </w:t>
      </w:r>
      <w:r w:rsidR="002A6379">
        <w:t>‘</w:t>
      </w:r>
      <w:r w:rsidR="00B22216">
        <w:t>sto</w:t>
      </w:r>
      <w:r w:rsidR="00AB6BFD">
        <w:t>cks</w:t>
      </w:r>
      <w:r w:rsidR="00B22216">
        <w:t xml:space="preserve"> o</w:t>
      </w:r>
      <w:r w:rsidR="002A5669">
        <w:t>f value</w:t>
      </w:r>
      <w:r w:rsidR="002A6379">
        <w:t>’</w:t>
      </w:r>
      <w:r w:rsidR="002A5669">
        <w:t xml:space="preserve"> (p.3</w:t>
      </w:r>
      <w:r w:rsidR="00AB6BFD">
        <w:t>3</w:t>
      </w:r>
      <w:r w:rsidR="002A5669">
        <w:t xml:space="preserve">).  </w:t>
      </w:r>
      <w:r>
        <w:t>Secondly, the Framework suggests that an entity should report on ‘how it uses and affects various capitals’ (p.8)</w:t>
      </w:r>
      <w:r w:rsidR="007F23F3">
        <w:t xml:space="preserve">, but an entity with </w:t>
      </w:r>
      <w:r>
        <w:t xml:space="preserve">piles of </w:t>
      </w:r>
      <w:r w:rsidR="007F23F3">
        <w:t>money</w:t>
      </w:r>
      <w:r w:rsidR="005012BC">
        <w:t>, receivables</w:t>
      </w:r>
      <w:r w:rsidR="007F23F3">
        <w:t xml:space="preserve"> and investments </w:t>
      </w:r>
      <w:r>
        <w:t xml:space="preserve">would </w:t>
      </w:r>
      <w:r w:rsidR="007F23F3">
        <w:t xml:space="preserve">apparently </w:t>
      </w:r>
      <w:r>
        <w:t xml:space="preserve">have no reporting requirements concerning these specific assets (as opposed to the entity in general) because </w:t>
      </w:r>
      <w:r w:rsidR="004D358D">
        <w:t>financial assets are not included in any</w:t>
      </w:r>
      <w:r>
        <w:t xml:space="preserve"> of the five </w:t>
      </w:r>
      <w:r w:rsidRPr="00E073D7">
        <w:rPr>
          <w:i/>
        </w:rPr>
        <w:t>debit</w:t>
      </w:r>
      <w:r>
        <w:t xml:space="preserve"> capitals. </w:t>
      </w:r>
      <w:r w:rsidR="007F23F3">
        <w:t>Thirdly, the</w:t>
      </w:r>
      <w:r w:rsidR="00B22216">
        <w:t xml:space="preserve"> document’s example of flows </w:t>
      </w:r>
      <w:r w:rsidR="00B22216" w:rsidRPr="008836CA">
        <w:rPr>
          <w:i/>
        </w:rPr>
        <w:t>between</w:t>
      </w:r>
      <w:r w:rsidR="00B22216">
        <w:t xml:space="preserve"> capi</w:t>
      </w:r>
      <w:r w:rsidR="00127F8D">
        <w:t>tals is training costs (p.1</w:t>
      </w:r>
      <w:r w:rsidR="00AB6BFD">
        <w:t>1</w:t>
      </w:r>
      <w:r w:rsidR="00127F8D">
        <w:t>), which</w:t>
      </w:r>
      <w:r w:rsidR="00B22216">
        <w:t xml:space="preserve"> </w:t>
      </w:r>
      <w:r w:rsidR="00450FCE">
        <w:t xml:space="preserve">are said to </w:t>
      </w:r>
      <w:r w:rsidR="00B22216">
        <w:t xml:space="preserve">improve human capital but reduce financial capital.  </w:t>
      </w:r>
      <w:r w:rsidR="00450FCE">
        <w:t xml:space="preserve">Is this double entry: </w:t>
      </w:r>
      <w:r w:rsidR="00450FCE">
        <w:rPr>
          <w:i/>
        </w:rPr>
        <w:t>debit</w:t>
      </w:r>
      <w:r w:rsidR="00450FCE">
        <w:t xml:space="preserve"> human assets, </w:t>
      </w:r>
      <w:r w:rsidR="00106C9B">
        <w:rPr>
          <w:i/>
        </w:rPr>
        <w:t>debit</w:t>
      </w:r>
      <w:r w:rsidR="00106C9B">
        <w:t xml:space="preserve"> expense (and therefore reduce equity</w:t>
      </w:r>
      <w:r w:rsidR="00106C9B" w:rsidRPr="00673B55">
        <w:t xml:space="preserve"> </w:t>
      </w:r>
      <w:r w:rsidR="00106C9B">
        <w:t xml:space="preserve">capital which is part of financial capital)? We could not </w:t>
      </w:r>
      <w:r w:rsidR="00673B55">
        <w:rPr>
          <w:i/>
        </w:rPr>
        <w:t xml:space="preserve">credit </w:t>
      </w:r>
      <w:r w:rsidR="00673B55">
        <w:t>cash</w:t>
      </w:r>
      <w:r w:rsidR="00106C9B">
        <w:t xml:space="preserve"> because</w:t>
      </w:r>
      <w:r w:rsidR="004D358D">
        <w:t>, again,</w:t>
      </w:r>
      <w:r w:rsidR="00106C9B">
        <w:t xml:space="preserve"> none of the </w:t>
      </w:r>
      <w:r w:rsidR="00106C9B" w:rsidRPr="00106C9B">
        <w:rPr>
          <w:i/>
        </w:rPr>
        <w:t>debit</w:t>
      </w:r>
      <w:r w:rsidR="00106C9B">
        <w:t xml:space="preserve"> capitals includes cash.</w:t>
      </w:r>
      <w:r w:rsidR="00E3017D">
        <w:t xml:space="preserve"> </w:t>
      </w:r>
      <w:r w:rsidR="00DD5A38" w:rsidRPr="00DD5A38">
        <w:t xml:space="preserve"> </w:t>
      </w:r>
      <w:r w:rsidR="00DD5A38">
        <w:t xml:space="preserve">More generally, the </w:t>
      </w:r>
      <w:r w:rsidR="00E3017D">
        <w:t>implied IIRC balance sheet does</w:t>
      </w:r>
      <w:r w:rsidR="00DD5A38">
        <w:t xml:space="preserve"> not add up because the financial assets are missing from the </w:t>
      </w:r>
      <w:r w:rsidR="00DD5A38" w:rsidRPr="00106C9B">
        <w:rPr>
          <w:i/>
        </w:rPr>
        <w:t>debit</w:t>
      </w:r>
      <w:r w:rsidR="00DD5A38">
        <w:t xml:space="preserve"> side, and the ‘financing’ for such things as the atmosphere are missing from the </w:t>
      </w:r>
      <w:r w:rsidR="00DD5A38" w:rsidRPr="00DD5A38">
        <w:rPr>
          <w:i/>
        </w:rPr>
        <w:t>credit</w:t>
      </w:r>
      <w:r w:rsidR="00DD5A38">
        <w:t xml:space="preserve"> side.</w:t>
      </w:r>
      <w:r w:rsidR="00106C9B">
        <w:t xml:space="preserve"> The solution might be to abandon the word </w:t>
      </w:r>
      <w:r w:rsidR="00E3017D">
        <w:t>‘capital’ because the discussion of it</w:t>
      </w:r>
      <w:r w:rsidR="00106C9B">
        <w:t xml:space="preserve"> seems to imp</w:t>
      </w:r>
      <w:r w:rsidR="00DD5A38">
        <w:t xml:space="preserve">ly some form of accounting. It might be better to discuss six types of </w:t>
      </w:r>
      <w:r w:rsidR="00E3017D">
        <w:t>‘</w:t>
      </w:r>
      <w:r w:rsidR="00DD5A38">
        <w:t>resources</w:t>
      </w:r>
      <w:r w:rsidR="00E3017D">
        <w:t>’</w:t>
      </w:r>
      <w:r w:rsidR="00DD5A38">
        <w:t xml:space="preserve"> or </w:t>
      </w:r>
      <w:r w:rsidR="00E3017D">
        <w:t>‘</w:t>
      </w:r>
      <w:r w:rsidR="00DD5A38">
        <w:t>capacities</w:t>
      </w:r>
      <w:r w:rsidR="00E3017D">
        <w:t>’</w:t>
      </w:r>
      <w:r w:rsidR="00DD5A38">
        <w:t xml:space="preserve">; the financial one corresponding to financial assets rather than to a </w:t>
      </w:r>
      <w:r w:rsidR="00DD5A38" w:rsidRPr="00DD5A38">
        <w:rPr>
          <w:i/>
        </w:rPr>
        <w:t>credit</w:t>
      </w:r>
      <w:r w:rsidR="00DD5A38">
        <w:t xml:space="preserve"> concept</w:t>
      </w:r>
      <w:r w:rsidR="00E3017D">
        <w:t xml:space="preserve"> of financing</w:t>
      </w:r>
      <w:r w:rsidR="00DD5A38">
        <w:t>.</w:t>
      </w:r>
    </w:p>
    <w:p w14:paraId="7E2C78D9" w14:textId="77777777" w:rsidR="00C26BB1" w:rsidRPr="0015149D" w:rsidRDefault="00DE036D" w:rsidP="00DE036D">
      <w:pPr>
        <w:spacing w:after="120" w:line="480" w:lineRule="auto"/>
        <w:ind w:firstLine="720"/>
      </w:pPr>
      <w:r w:rsidRPr="00DE036D">
        <w:rPr>
          <w:b/>
        </w:rPr>
        <w:t>3</w:t>
      </w:r>
      <w:r>
        <w:t xml:space="preserve">. </w:t>
      </w:r>
      <w:r w:rsidR="00C26BB1" w:rsidRPr="0015149D">
        <w:rPr>
          <w:b/>
        </w:rPr>
        <w:t>Capital and income</w:t>
      </w:r>
      <w:r w:rsidR="003F3741" w:rsidRPr="0015149D">
        <w:rPr>
          <w:b/>
        </w:rPr>
        <w:t xml:space="preserve"> in the ninete</w:t>
      </w:r>
      <w:r w:rsidR="00E87CF9" w:rsidRPr="0015149D">
        <w:rPr>
          <w:b/>
        </w:rPr>
        <w:t>e</w:t>
      </w:r>
      <w:r w:rsidR="003F3741" w:rsidRPr="0015149D">
        <w:rPr>
          <w:b/>
        </w:rPr>
        <w:t>n</w:t>
      </w:r>
      <w:r w:rsidR="00E87CF9" w:rsidRPr="0015149D">
        <w:rPr>
          <w:b/>
        </w:rPr>
        <w:t>th century</w:t>
      </w:r>
    </w:p>
    <w:p w14:paraId="0B250FED" w14:textId="77777777" w:rsidR="00376AE3" w:rsidRPr="00DE036D" w:rsidRDefault="00A945E1" w:rsidP="00DE036D">
      <w:pPr>
        <w:spacing w:after="120" w:line="480" w:lineRule="auto"/>
        <w:rPr>
          <w:b/>
          <w:i/>
        </w:rPr>
      </w:pPr>
      <w:r w:rsidRPr="00A945E1">
        <w:rPr>
          <w:b/>
          <w:i/>
        </w:rPr>
        <w:t xml:space="preserve">3.1 </w:t>
      </w:r>
      <w:r w:rsidR="00DE036D">
        <w:rPr>
          <w:b/>
          <w:i/>
        </w:rPr>
        <w:t>Accountants and lawyers</w:t>
      </w:r>
      <w:r w:rsidR="00376AE3">
        <w:t xml:space="preserve"> </w:t>
      </w:r>
    </w:p>
    <w:p w14:paraId="27E0AA93" w14:textId="50C59807" w:rsidR="00DE036D" w:rsidRDefault="00124E32" w:rsidP="00376AE3">
      <w:pPr>
        <w:spacing w:after="120" w:line="480" w:lineRule="auto"/>
        <w:ind w:firstLine="720"/>
      </w:pPr>
      <w:r>
        <w:t xml:space="preserve">As noted earlier, one of the reasons why clarity about capital is needed is because income is bound up with it. </w:t>
      </w:r>
      <w:r w:rsidR="00DE036D">
        <w:t>The idea that income is</w:t>
      </w:r>
      <w:r w:rsidR="004F7696">
        <w:t xml:space="preserve"> calculated in the context of</w:t>
      </w:r>
      <w:r w:rsidR="00A71388">
        <w:t xml:space="preserve"> </w:t>
      </w:r>
      <w:r w:rsidR="004F7696">
        <w:t xml:space="preserve">the maintenance of </w:t>
      </w:r>
      <w:r w:rsidR="00A95C29">
        <w:t>capital was well</w:t>
      </w:r>
      <w:r w:rsidR="00C26BB1">
        <w:t xml:space="preserve">-established among merchants by the </w:t>
      </w:r>
      <w:r w:rsidR="00A95C29">
        <w:t>time of the invention of double-</w:t>
      </w:r>
      <w:r w:rsidR="00C26BB1">
        <w:t>e</w:t>
      </w:r>
      <w:r w:rsidR="009512F5">
        <w:t xml:space="preserve">ntry bookkeeping (DEB) </w:t>
      </w:r>
      <w:r w:rsidR="00127F8D">
        <w:t>in the late thirteenth century (</w:t>
      </w:r>
      <w:r w:rsidR="008461F7">
        <w:t>Lee 1977</w:t>
      </w:r>
      <w:r w:rsidR="002A5669">
        <w:t>). Lee (1973, p. 59) discusses how capital was recorded even before DEB. As n</w:t>
      </w:r>
      <w:r w:rsidR="00AE2C4D">
        <w:t>oted earlier, t</w:t>
      </w:r>
      <w:r w:rsidR="00C26BB1">
        <w:t>he merchant</w:t>
      </w:r>
      <w:r w:rsidR="00A95C29">
        <w:t>’</w:t>
      </w:r>
      <w:r w:rsidR="00C26BB1">
        <w:t>s original contribution of assets was balance</w:t>
      </w:r>
      <w:r w:rsidR="002A5669">
        <w:t xml:space="preserve">d, under DEB, by a record of capital. </w:t>
      </w:r>
      <w:r w:rsidR="00C26BB1">
        <w:t xml:space="preserve">Any </w:t>
      </w:r>
      <w:r w:rsidR="00A71388">
        <w:t>increase on that</w:t>
      </w:r>
      <w:r w:rsidR="00C26BB1">
        <w:t xml:space="preserve"> capital was p</w:t>
      </w:r>
      <w:r w:rsidR="00542A44">
        <w:t>rofit, although</w:t>
      </w:r>
      <w:r w:rsidR="002A5669">
        <w:t xml:space="preserve"> </w:t>
      </w:r>
      <w:r w:rsidR="00954225">
        <w:t>Yamey (1949</w:t>
      </w:r>
      <w:r w:rsidR="00865CA0">
        <w:t>) suggests that, even for me</w:t>
      </w:r>
      <w:r w:rsidR="009512F5">
        <w:t>rchants using DEB</w:t>
      </w:r>
      <w:r w:rsidR="00865CA0">
        <w:t>,</w:t>
      </w:r>
      <w:r w:rsidR="00C26BB1">
        <w:t xml:space="preserve"> profit was seldom calculated on an annual basis, but rather when a ledger was full or when partnerships were dissolved.  Thi</w:t>
      </w:r>
      <w:r w:rsidR="00A95C29">
        <w:t xml:space="preserve">s general understanding </w:t>
      </w:r>
      <w:r w:rsidR="001B1E49">
        <w:t>about</w:t>
      </w:r>
      <w:r w:rsidR="00865CA0">
        <w:t xml:space="preserve"> the relationship between</w:t>
      </w:r>
      <w:r w:rsidR="001B1E49">
        <w:t xml:space="preserve"> capital and profit </w:t>
      </w:r>
      <w:r w:rsidR="00A95C29">
        <w:t>was inh</w:t>
      </w:r>
      <w:r w:rsidR="00C26BB1">
        <w:t>erited by partnerships and then</w:t>
      </w:r>
      <w:r w:rsidR="00865CA0">
        <w:t>, in the UK, by</w:t>
      </w:r>
      <w:r w:rsidR="00C26BB1">
        <w:t xml:space="preserve"> </w:t>
      </w:r>
      <w:r w:rsidR="002A6379">
        <w:t>‘</w:t>
      </w:r>
      <w:r w:rsidR="00A95C29">
        <w:t>Companies Act</w:t>
      </w:r>
      <w:r w:rsidR="002A6379">
        <w:t>’</w:t>
      </w:r>
      <w:r w:rsidR="00A95C29">
        <w:t xml:space="preserve"> companies</w:t>
      </w:r>
      <w:r w:rsidR="004D358D">
        <w:t>, i.e. those</w:t>
      </w:r>
      <w:r w:rsidR="00B74F75">
        <w:t xml:space="preserve"> formed by registration from 1844 onwards</w:t>
      </w:r>
      <w:r w:rsidR="002A5669">
        <w:t xml:space="preserve">, as opposed to </w:t>
      </w:r>
      <w:r w:rsidR="00720A13">
        <w:t xml:space="preserve">one-off </w:t>
      </w:r>
      <w:r w:rsidR="002A5669">
        <w:t xml:space="preserve">‘parliamentary companies’ such as </w:t>
      </w:r>
      <w:r w:rsidR="00B74F75">
        <w:t xml:space="preserve">those </w:t>
      </w:r>
      <w:r w:rsidR="00720A13">
        <w:t xml:space="preserve">formed </w:t>
      </w:r>
      <w:r w:rsidR="00B74F75">
        <w:t>to build and run</w:t>
      </w:r>
      <w:r w:rsidR="00720A13">
        <w:t xml:space="preserve"> canals or railways (see below).</w:t>
      </w:r>
      <w:r w:rsidR="002B2ABD">
        <w:t xml:space="preserve"> </w:t>
      </w:r>
    </w:p>
    <w:p w14:paraId="70FC9B12" w14:textId="77777777" w:rsidR="006E448D" w:rsidRDefault="00DE036D" w:rsidP="005F7589">
      <w:pPr>
        <w:spacing w:after="120" w:line="480" w:lineRule="auto"/>
        <w:ind w:left="720"/>
      </w:pPr>
      <w:r>
        <w:t>Companies Acts suggested</w:t>
      </w:r>
      <w:r>
        <w:rPr>
          <w:rStyle w:val="FootnoteReference"/>
        </w:rPr>
        <w:footnoteReference w:id="21"/>
      </w:r>
      <w:r>
        <w:t xml:space="preserve"> that </w:t>
      </w:r>
      <w:r w:rsidR="00A069BE">
        <w:t xml:space="preserve">‘The company shall not make any dividend </w:t>
      </w:r>
    </w:p>
    <w:p w14:paraId="25D6014B" w14:textId="340F6A1D" w:rsidR="002D1325" w:rsidRDefault="00A069BE" w:rsidP="002D1325">
      <w:pPr>
        <w:spacing w:after="120" w:line="480" w:lineRule="auto"/>
      </w:pPr>
      <w:r>
        <w:t xml:space="preserve">whereby their capital stock will be in any way reduced’ and </w:t>
      </w:r>
      <w:r w:rsidR="00DE036D">
        <w:t xml:space="preserve">‘No Dividend shall be payable except out of the Profits arising from the Business of the Company’. </w:t>
      </w:r>
      <w:r w:rsidR="006700CB">
        <w:t xml:space="preserve">McCartney and Arnold (2012, pp. 1298-1300) examine the evolution of these rules from the seventeenth century. </w:t>
      </w:r>
      <w:r w:rsidR="00DE036D">
        <w:t xml:space="preserve">Requirements for capital maintenance were </w:t>
      </w:r>
      <w:r w:rsidR="006700CB">
        <w:t xml:space="preserve">particularly </w:t>
      </w:r>
      <w:r w:rsidR="00DE036D">
        <w:t>needed in order to protect creditors in the context of limited liability</w:t>
      </w:r>
      <w:r w:rsidR="00CF06F3">
        <w:t xml:space="preserve"> (French 1977, p.</w:t>
      </w:r>
      <w:r w:rsidR="00421F51">
        <w:t>306)</w:t>
      </w:r>
      <w:r w:rsidR="00DE036D">
        <w:t xml:space="preserve">. Statute law was </w:t>
      </w:r>
      <w:r w:rsidR="006700CB">
        <w:t xml:space="preserve">later </w:t>
      </w:r>
      <w:r w:rsidR="00DE036D">
        <w:t>supported by a series of cases concerning dividends (Yamey 1941, pp. 274-5</w:t>
      </w:r>
      <w:r w:rsidR="00625B8C">
        <w:t>,</w:t>
      </w:r>
      <w:r>
        <w:t xml:space="preserve"> French 1977</w:t>
      </w:r>
      <w:r w:rsidR="00DE036D">
        <w:t>). For example, in Flitcroft’s case</w:t>
      </w:r>
      <w:r w:rsidR="00E936B0">
        <w:rPr>
          <w:rStyle w:val="FootnoteReference"/>
        </w:rPr>
        <w:footnoteReference w:id="22"/>
      </w:r>
      <w:r w:rsidR="00DE036D">
        <w:t xml:space="preserve"> of 1882 it was held that bad debts had to be accounted for before calculating dividends (Edwards 1989, p.177).  Flitcroft’s case </w:t>
      </w:r>
      <w:r w:rsidR="007E39F3">
        <w:t xml:space="preserve">also </w:t>
      </w:r>
      <w:r w:rsidR="00DE036D">
        <w:t>established that: ‘it is clearly against the intention of the legislature that any portion of the capital should be returned to the shareholders without the statutory conditions being complied with’</w:t>
      </w:r>
      <w:r w:rsidR="007F23F3">
        <w:t xml:space="preserve"> </w:t>
      </w:r>
      <w:r w:rsidR="002D1325">
        <w:t>(Davies and Worthington 2012, p.273)</w:t>
      </w:r>
      <w:r w:rsidR="00DE036D">
        <w:t xml:space="preserve">. Nevertheless, the </w:t>
      </w:r>
      <w:r w:rsidR="007E39F3">
        <w:t>circumstances in which capital could be returned</w:t>
      </w:r>
      <w:r w:rsidR="00DE036D">
        <w:t xml:space="preserve"> became steadily </w:t>
      </w:r>
      <w:r w:rsidR="007E39F3">
        <w:t>wider</w:t>
      </w:r>
      <w:r w:rsidR="00DE036D">
        <w:t xml:space="preserve">: the 1867 Act allowed </w:t>
      </w:r>
      <w:r w:rsidR="007264AD">
        <w:t>the reduction of cap</w:t>
      </w:r>
      <w:r w:rsidR="00864663">
        <w:t xml:space="preserve">ital by permitting </w:t>
      </w:r>
      <w:r w:rsidR="00DE036D">
        <w:t>surplus cash to be distributed; the 1877 Act allowed reduction of capital</w:t>
      </w:r>
      <w:r w:rsidR="00864663">
        <w:t xml:space="preserve"> when </w:t>
      </w:r>
      <w:r w:rsidR="00E43FE3">
        <w:t xml:space="preserve">it was </w:t>
      </w:r>
      <w:r w:rsidR="00864663">
        <w:t>no longer represented by assets</w:t>
      </w:r>
      <w:r w:rsidR="00DE036D">
        <w:t>; the 194</w:t>
      </w:r>
      <w:r w:rsidR="004D358D">
        <w:t>7</w:t>
      </w:r>
      <w:r w:rsidR="00DE036D">
        <w:t xml:space="preserve"> Act allowed the issue of </w:t>
      </w:r>
      <w:r w:rsidR="00124E32">
        <w:t>a type of share capital which could be returned (</w:t>
      </w:r>
      <w:r w:rsidR="00DE036D">
        <w:t>redeemable preference shares</w:t>
      </w:r>
      <w:r w:rsidR="00124E32">
        <w:t>)</w:t>
      </w:r>
      <w:r w:rsidR="00DE036D">
        <w:t xml:space="preserve">; and the 1981 Act allowed the purchase of own shares. </w:t>
      </w:r>
      <w:r w:rsidR="007E39F3">
        <w:t xml:space="preserve">However, these changes did not generally affect the calculation of income. </w:t>
      </w:r>
    </w:p>
    <w:p w14:paraId="1DFC688C" w14:textId="77777777" w:rsidR="00DE036D" w:rsidRDefault="00DE036D" w:rsidP="002D1325">
      <w:pPr>
        <w:spacing w:after="120" w:line="480" w:lineRule="auto"/>
        <w:ind w:firstLine="720"/>
      </w:pPr>
      <w:r>
        <w:t>Reid (1987) summarises the legal position up to 1889, concluding that there was no clear concept of</w:t>
      </w:r>
      <w:r w:rsidR="008B01E3">
        <w:t xml:space="preserve"> </w:t>
      </w:r>
      <w:r>
        <w:t>income</w:t>
      </w:r>
      <w:r w:rsidR="008B01E3">
        <w:t xml:space="preserve"> (p. 256)</w:t>
      </w:r>
      <w:r>
        <w:t>. Nevertheless, for the generality of companies, the concept that capital should remain intact prevailed</w:t>
      </w:r>
      <w:r w:rsidR="000D5639">
        <w:t>.</w:t>
      </w:r>
      <w:r>
        <w:t xml:space="preserve"> </w:t>
      </w:r>
      <w:r w:rsidR="000D197B">
        <w:t>Then</w:t>
      </w:r>
      <w:r w:rsidR="000D5639">
        <w:t xml:space="preserve">, </w:t>
      </w:r>
      <w:r>
        <w:t xml:space="preserve">a decision on appeal in </w:t>
      </w:r>
      <w:r>
        <w:rPr>
          <w:i/>
        </w:rPr>
        <w:t>Lee v. Neuchatel Asphalte Company</w:t>
      </w:r>
      <w:r w:rsidR="00E936B0">
        <w:rPr>
          <w:rStyle w:val="FootnoteReference"/>
          <w:i/>
        </w:rPr>
        <w:footnoteReference w:id="23"/>
      </w:r>
      <w:r>
        <w:t xml:space="preserve"> was that the defendant (a</w:t>
      </w:r>
      <w:r w:rsidR="0070411C">
        <w:t>n extractive</w:t>
      </w:r>
      <w:r>
        <w:t xml:space="preserve"> company) could omit depreciation on its mineral lease when calculating distributable profit.</w:t>
      </w:r>
    </w:p>
    <w:p w14:paraId="77439594" w14:textId="54174493" w:rsidR="00DE036D" w:rsidRDefault="00DE036D" w:rsidP="00DE036D">
      <w:pPr>
        <w:spacing w:after="120" w:line="480" w:lineRule="auto"/>
      </w:pPr>
      <w:r>
        <w:tab/>
      </w:r>
      <w:r w:rsidR="005905BA">
        <w:t>In order to interpret</w:t>
      </w:r>
      <w:r>
        <w:t xml:space="preserve"> this decision, it is useful to understand that there was another, quite different, accounting tradition found in monasteries (Noke 1981) and then aristocratic estates (Napier 1997). A great landed estate was held in trust in perpetuity.  Its temporary ‘owners’ were expected to hand the estate on to the next generation.  </w:t>
      </w:r>
      <w:r w:rsidR="00FF218A">
        <w:t>A</w:t>
      </w:r>
      <w:r>
        <w:t>ccounting focussed</w:t>
      </w:r>
      <w:r w:rsidR="00902021">
        <w:rPr>
          <w:rStyle w:val="FootnoteReference"/>
        </w:rPr>
        <w:footnoteReference w:id="24"/>
      </w:r>
      <w:r>
        <w:t xml:space="preserve"> on receipts and disbursements, using charge/discharge accounting.</w:t>
      </w:r>
    </w:p>
    <w:p w14:paraId="76CE3CFB" w14:textId="1BAE946B" w:rsidR="00720A13" w:rsidRDefault="00323C6C" w:rsidP="00282306">
      <w:pPr>
        <w:spacing w:after="120" w:line="480" w:lineRule="auto"/>
      </w:pPr>
      <w:r>
        <w:tab/>
        <w:t>T</w:t>
      </w:r>
      <w:r w:rsidR="0025708A">
        <w:t>his</w:t>
      </w:r>
      <w:r>
        <w:t xml:space="preserve"> tradition was continued by some canal companies</w:t>
      </w:r>
      <w:r w:rsidR="0096062F">
        <w:t xml:space="preserve"> </w:t>
      </w:r>
      <w:r w:rsidR="002713F6">
        <w:t xml:space="preserve">in the eighteenth century </w:t>
      </w:r>
      <w:r w:rsidR="0096062F">
        <w:t>(Edwards 1989, p. 164)</w:t>
      </w:r>
      <w:r w:rsidR="002713F6">
        <w:t>.</w:t>
      </w:r>
      <w:r>
        <w:t xml:space="preserve"> </w:t>
      </w:r>
      <w:r w:rsidR="002713F6">
        <w:t xml:space="preserve">The canal company was like a monastery or an estate in </w:t>
      </w:r>
      <w:r w:rsidR="006700CB">
        <w:t xml:space="preserve">the sense </w:t>
      </w:r>
      <w:r w:rsidR="002713F6">
        <w:t xml:space="preserve">that it was designed to </w:t>
      </w:r>
      <w:r w:rsidR="00E43FE3">
        <w:t>last in perpetuity</w:t>
      </w:r>
      <w:r w:rsidR="002713F6">
        <w:t xml:space="preserve"> </w:t>
      </w:r>
      <w:r w:rsidR="00191A5C">
        <w:t xml:space="preserve">and </w:t>
      </w:r>
      <w:r w:rsidR="002713F6">
        <w:t>could be seen as involvin</w:t>
      </w:r>
      <w:r w:rsidR="00F76646">
        <w:t>g</w:t>
      </w:r>
      <w:r w:rsidR="002713F6">
        <w:t xml:space="preserve"> two entirely different activities: capital and revenue.  The company used long-term money from </w:t>
      </w:r>
      <w:r w:rsidR="004D358D">
        <w:t>capital providers</w:t>
      </w:r>
      <w:r w:rsidR="002713F6">
        <w:t xml:space="preserve"> in order to create long-term assets. Quite separately, it operated the c</w:t>
      </w:r>
      <w:r w:rsidR="00720A13">
        <w:t xml:space="preserve">anal. It was therefore appropriate to use </w:t>
      </w:r>
      <w:r w:rsidR="002713F6">
        <w:t xml:space="preserve">a </w:t>
      </w:r>
      <w:r>
        <w:t>double-account system</w:t>
      </w:r>
      <w:r w:rsidR="002713F6">
        <w:t xml:space="preserve">, which </w:t>
      </w:r>
      <w:r w:rsidR="0096062F">
        <w:t>separated the ‘capital account’ (receipts from financing, and expenditures on fixed assets) from the ‘general balance sheet’ (tradi</w:t>
      </w:r>
      <w:r w:rsidR="00720A13">
        <w:t>ng assets and liabilities). On completion of the canal</w:t>
      </w:r>
      <w:r w:rsidR="0096062F">
        <w:t>, the capital account could be closed</w:t>
      </w:r>
      <w:r w:rsidR="007C4A32">
        <w:t>,</w:t>
      </w:r>
      <w:r w:rsidR="0096062F">
        <w:rPr>
          <w:rStyle w:val="FootnoteReference"/>
        </w:rPr>
        <w:footnoteReference w:id="25"/>
      </w:r>
      <w:r w:rsidR="007C4A32">
        <w:t xml:space="preserve"> although the canal operations continued.</w:t>
      </w:r>
    </w:p>
    <w:p w14:paraId="610670E1" w14:textId="4554C76F" w:rsidR="00687D48" w:rsidRDefault="00A95C29" w:rsidP="00720A13">
      <w:pPr>
        <w:spacing w:after="120" w:line="480" w:lineRule="auto"/>
        <w:ind w:firstLine="720"/>
      </w:pPr>
      <w:r>
        <w:t>When railway companies were set up</w:t>
      </w:r>
      <w:r w:rsidR="002713F6">
        <w:t xml:space="preserve"> in the nineteenth century</w:t>
      </w:r>
      <w:r>
        <w:t xml:space="preserve">, they needed to raise </w:t>
      </w:r>
      <w:r w:rsidR="00A65119">
        <w:t>vast</w:t>
      </w:r>
      <w:r>
        <w:t xml:space="preserve"> amounts of money for </w:t>
      </w:r>
      <w:r w:rsidR="001B1E49">
        <w:t xml:space="preserve">land, </w:t>
      </w:r>
      <w:r w:rsidR="00865CA0">
        <w:t>viaducts, bridges, tunnels and</w:t>
      </w:r>
      <w:r>
        <w:t xml:space="preserve"> rails.  This was of a different order of magnitude from the money needed for merchanting</w:t>
      </w:r>
      <w:r w:rsidR="0096062F">
        <w:t xml:space="preserve"> or even for canals</w:t>
      </w:r>
      <w:r w:rsidR="002713F6">
        <w:t xml:space="preserve">. </w:t>
      </w:r>
      <w:r w:rsidR="00497D40">
        <w:t>T</w:t>
      </w:r>
      <w:r w:rsidR="00AE2C4D">
        <w:t>he</w:t>
      </w:r>
      <w:r w:rsidR="00F579AE">
        <w:t xml:space="preserve"> double-</w:t>
      </w:r>
      <w:r w:rsidR="00497D40">
        <w:t xml:space="preserve">account system </w:t>
      </w:r>
      <w:r w:rsidR="00F579AE">
        <w:t xml:space="preserve">was required for railway companies and utilities </w:t>
      </w:r>
      <w:r w:rsidR="00542A44">
        <w:t>from</w:t>
      </w:r>
      <w:r w:rsidR="00497D40">
        <w:t xml:space="preserve"> the </w:t>
      </w:r>
      <w:r w:rsidR="00720A13">
        <w:t xml:space="preserve">Railway </w:t>
      </w:r>
      <w:r w:rsidR="00497D40">
        <w:t>Companies Act</w:t>
      </w:r>
      <w:r w:rsidR="00542A44">
        <w:t xml:space="preserve"> 1868</w:t>
      </w:r>
      <w:r w:rsidR="005748CC">
        <w:t xml:space="preserve"> </w:t>
      </w:r>
      <w:r w:rsidR="00AA1F0D">
        <w:t>(Kitchen 19</w:t>
      </w:r>
      <w:r w:rsidR="00CC1448">
        <w:t>74</w:t>
      </w:r>
      <w:r w:rsidR="00625B8C">
        <w:t>,</w:t>
      </w:r>
      <w:r w:rsidR="00AA1F0D">
        <w:t xml:space="preserve"> Glynn 19</w:t>
      </w:r>
      <w:r w:rsidR="00CC1448">
        <w:t>84</w:t>
      </w:r>
      <w:r w:rsidR="00625B8C">
        <w:t>,</w:t>
      </w:r>
      <w:r w:rsidR="00AA1F0D">
        <w:t xml:space="preserve"> Edwards 19</w:t>
      </w:r>
      <w:r w:rsidR="00CC1448">
        <w:t>85</w:t>
      </w:r>
      <w:r w:rsidR="00AA1F0D">
        <w:t>)</w:t>
      </w:r>
      <w:r w:rsidR="00687D48">
        <w:t>.</w:t>
      </w:r>
      <w:r w:rsidR="00F579AE" w:rsidRPr="00F579AE">
        <w:t xml:space="preserve"> </w:t>
      </w:r>
      <w:r w:rsidR="00F579AE">
        <w:t>The capital account contained</w:t>
      </w:r>
      <w:r w:rsidR="005748CC">
        <w:t>,</w:t>
      </w:r>
      <w:r w:rsidR="00F579AE">
        <w:t xml:space="preserve"> on two sides: (i) shares and debentures, and (ii) the long-term/fixed/permanent/capital assets. </w:t>
      </w:r>
      <w:r w:rsidR="00497D40">
        <w:t>Unlike for canals, it was not possible to close the capital account because the railway companies had to acquire increasing amounts of rolling stock.</w:t>
      </w:r>
      <w:r w:rsidR="00F579AE">
        <w:t xml:space="preserve"> </w:t>
      </w:r>
    </w:p>
    <w:p w14:paraId="4F253FC7" w14:textId="77777777" w:rsidR="00B33CFF" w:rsidRDefault="00497D40" w:rsidP="009512F5">
      <w:pPr>
        <w:spacing w:after="120" w:line="480" w:lineRule="auto"/>
      </w:pPr>
      <w:r>
        <w:tab/>
        <w:t>Under the double-account system</w:t>
      </w:r>
      <w:r w:rsidR="00687D48">
        <w:t xml:space="preserve">, </w:t>
      </w:r>
      <w:r w:rsidR="00A65119">
        <w:t xml:space="preserve">as used by canals and railways, </w:t>
      </w:r>
      <w:r w:rsidR="00687D48">
        <w:t>dividends were paid out of revenue, wit</w:t>
      </w:r>
      <w:r w:rsidR="00E85282">
        <w:t xml:space="preserve">hout any reference to </w:t>
      </w:r>
      <w:r w:rsidR="007264AD">
        <w:t xml:space="preserve">preserving </w:t>
      </w:r>
      <w:r w:rsidR="00E85282">
        <w:t>capi</w:t>
      </w:r>
      <w:r w:rsidR="00720A13">
        <w:t xml:space="preserve">tal.  The </w:t>
      </w:r>
      <w:r w:rsidR="00E85282">
        <w:t xml:space="preserve">1868 </w:t>
      </w:r>
      <w:r w:rsidR="00A65119">
        <w:t xml:space="preserve">Railway </w:t>
      </w:r>
      <w:r w:rsidR="00720A13">
        <w:t xml:space="preserve">Act </w:t>
      </w:r>
      <w:r w:rsidR="00E85282">
        <w:t>contained no instructions about capital</w:t>
      </w:r>
      <w:r w:rsidR="007264AD">
        <w:t xml:space="preserve"> maintenance</w:t>
      </w:r>
      <w:r w:rsidR="00E85282">
        <w:t>, but did require that:</w:t>
      </w:r>
    </w:p>
    <w:p w14:paraId="630C9F8A" w14:textId="77777777" w:rsidR="00E85282" w:rsidRPr="00E85282" w:rsidRDefault="00E85282" w:rsidP="00E85282">
      <w:pPr>
        <w:spacing w:after="120" w:line="480" w:lineRule="auto"/>
        <w:ind w:left="720"/>
      </w:pPr>
      <w:r>
        <w:t xml:space="preserve">No Dividend shall be declared by the Company until the Auditors have certified that … the Dividend proposed to be declared on any Shares is </w:t>
      </w:r>
      <w:r>
        <w:rPr>
          <w:i/>
        </w:rPr>
        <w:t>bona fide</w:t>
      </w:r>
      <w:r>
        <w:t xml:space="preserve"> due thereon after charging the Revenue of the Half Year with all Expenses which ou</w:t>
      </w:r>
      <w:r w:rsidR="00D947CE">
        <w:t>gh</w:t>
      </w:r>
      <w:r>
        <w:t>t to be paid thereon … (Section 30).</w:t>
      </w:r>
    </w:p>
    <w:p w14:paraId="765160B3" w14:textId="6073B999" w:rsidR="009512F5" w:rsidRDefault="005905BA" w:rsidP="00D52553">
      <w:pPr>
        <w:spacing w:after="120" w:line="480" w:lineRule="auto"/>
        <w:ind w:firstLine="720"/>
      </w:pPr>
      <w:r>
        <w:t xml:space="preserve">The decision in the </w:t>
      </w:r>
      <w:r>
        <w:rPr>
          <w:i/>
        </w:rPr>
        <w:t xml:space="preserve">Lee </w:t>
      </w:r>
      <w:r>
        <w:t xml:space="preserve">case, that depreciation was not necessary, can be seen in this double-account context (Napier 1997). </w:t>
      </w:r>
      <w:r w:rsidR="000222E6">
        <w:t>Morris (1986) reverses the logic</w:t>
      </w:r>
      <w:r w:rsidR="00720A13">
        <w:t xml:space="preserve"> about companies being long-lived</w:t>
      </w:r>
      <w:r w:rsidR="000222E6">
        <w:t xml:space="preserve">, and suggests that the purpose of a quarry is to be depleted, </w:t>
      </w:r>
      <w:r w:rsidR="00467802">
        <w:t xml:space="preserve">and </w:t>
      </w:r>
      <w:r w:rsidR="000222E6">
        <w:t xml:space="preserve">so </w:t>
      </w:r>
      <w:r w:rsidR="00AA1F0D">
        <w:t xml:space="preserve">we should rather see the </w:t>
      </w:r>
      <w:r w:rsidR="00E43FE3">
        <w:rPr>
          <w:i/>
        </w:rPr>
        <w:t>Lee</w:t>
      </w:r>
      <w:r w:rsidR="00E43FE3">
        <w:t xml:space="preserve"> </w:t>
      </w:r>
      <w:r w:rsidR="00AA1F0D">
        <w:t>case in the context of a company with a limited life. However</w:t>
      </w:r>
      <w:r w:rsidR="00687D48">
        <w:t xml:space="preserve">, </w:t>
      </w:r>
      <w:r w:rsidR="00AA1F0D">
        <w:t>soon afterwards,</w:t>
      </w:r>
      <w:r w:rsidR="005748CC">
        <w:t xml:space="preserve"> there w</w:t>
      </w:r>
      <w:r w:rsidR="006D3F10">
        <w:t>as a</w:t>
      </w:r>
      <w:r w:rsidR="00AE2C4D">
        <w:t xml:space="preserve"> similar decision relating to</w:t>
      </w:r>
      <w:r w:rsidR="005748CC">
        <w:t xml:space="preserve"> a non-mining company (</w:t>
      </w:r>
      <w:r w:rsidR="00687D48">
        <w:rPr>
          <w:i/>
        </w:rPr>
        <w:t>Verner v. The General and Commercial Investment Trust</w:t>
      </w:r>
      <w:r w:rsidR="005748CC">
        <w:t xml:space="preserve">, </w:t>
      </w:r>
      <w:r w:rsidR="00687D48">
        <w:t>1894)</w:t>
      </w:r>
      <w:r w:rsidR="00E936B0">
        <w:rPr>
          <w:rStyle w:val="FootnoteReference"/>
        </w:rPr>
        <w:footnoteReference w:id="26"/>
      </w:r>
      <w:r w:rsidR="00542A44">
        <w:t xml:space="preserve"> and then </w:t>
      </w:r>
      <w:r w:rsidR="006D3F10">
        <w:t xml:space="preserve">a similar opinion </w:t>
      </w:r>
      <w:r w:rsidR="00542A44">
        <w:t xml:space="preserve">even </w:t>
      </w:r>
      <w:r w:rsidR="006D3F10">
        <w:t>for</w:t>
      </w:r>
      <w:r w:rsidR="005748CC">
        <w:t xml:space="preserve"> an ordinary manufacturing company (</w:t>
      </w:r>
      <w:r w:rsidR="005748CC" w:rsidRPr="005748CC">
        <w:rPr>
          <w:i/>
        </w:rPr>
        <w:t>In re Kingston Cotton Mills Co.</w:t>
      </w:r>
      <w:r w:rsidR="005748CC">
        <w:t>, 1896)</w:t>
      </w:r>
      <w:r w:rsidR="00542A44">
        <w:t>.</w:t>
      </w:r>
      <w:r w:rsidR="00E936B0">
        <w:rPr>
          <w:rStyle w:val="FootnoteReference"/>
        </w:rPr>
        <w:footnoteReference w:id="27"/>
      </w:r>
      <w:r w:rsidR="005748CC">
        <w:t xml:space="preserve"> In these cases, it was </w:t>
      </w:r>
      <w:r w:rsidR="006D3F10">
        <w:t>conclude</w:t>
      </w:r>
      <w:r w:rsidR="005748CC">
        <w:t xml:space="preserve">d that </w:t>
      </w:r>
      <w:r w:rsidR="00687D48">
        <w:t>dividend</w:t>
      </w:r>
      <w:r w:rsidR="005748CC">
        <w:t>s</w:t>
      </w:r>
      <w:r w:rsidR="00687D48">
        <w:t xml:space="preserve"> could be paid out of the excess of current receipts over current payments even though </w:t>
      </w:r>
      <w:r w:rsidR="002A6379">
        <w:t>‘</w:t>
      </w:r>
      <w:r w:rsidR="00687D48">
        <w:t>fixed capital</w:t>
      </w:r>
      <w:r w:rsidR="002A6379">
        <w:t>’</w:t>
      </w:r>
      <w:r w:rsidR="00687D48">
        <w:t xml:space="preserve"> had been lost. </w:t>
      </w:r>
      <w:r w:rsidR="00467802">
        <w:t>As noted earlier, Adam Smith had similarly divided capital (i.e. assets) into fixed and circulating.</w:t>
      </w:r>
      <w:r w:rsidR="00687D48">
        <w:t xml:space="preserve"> </w:t>
      </w:r>
      <w:r w:rsidR="00C57094">
        <w:t xml:space="preserve">The capital losses in these </w:t>
      </w:r>
      <w:r w:rsidR="0071115E">
        <w:t xml:space="preserve">law </w:t>
      </w:r>
      <w:r w:rsidR="00C57094">
        <w:t>cases did not relate to wear and tear on fixed assets; that kind of depreciation is discussed below.</w:t>
      </w:r>
      <w:r w:rsidR="001B25EB">
        <w:t xml:space="preserve"> </w:t>
      </w:r>
    </w:p>
    <w:p w14:paraId="2AF79EA0" w14:textId="02630928" w:rsidR="00687D48" w:rsidRDefault="00DD0A63" w:rsidP="00D30092">
      <w:pPr>
        <w:spacing w:after="120" w:line="480" w:lineRule="auto"/>
      </w:pPr>
      <w:r>
        <w:tab/>
      </w:r>
      <w:r w:rsidR="001B25EB">
        <w:t xml:space="preserve">Brief (1966, p.12) reminds us that what the judges were doing </w:t>
      </w:r>
      <w:r w:rsidR="00542A44">
        <w:t xml:space="preserve">in the above cases </w:t>
      </w:r>
      <w:r w:rsidR="001B25EB">
        <w:t xml:space="preserve">was looking to see if a company’s articles of association were specific about capital maintenance and, if not, </w:t>
      </w:r>
      <w:r w:rsidR="007264AD">
        <w:t xml:space="preserve">leaving businessmen to run </w:t>
      </w:r>
      <w:r w:rsidR="00BD3092">
        <w:t xml:space="preserve">their </w:t>
      </w:r>
      <w:r w:rsidR="007264AD">
        <w:t xml:space="preserve">businesses. This included </w:t>
      </w:r>
      <w:r w:rsidR="001B25EB">
        <w:t>allowing dividends to be paid out of current receipts</w:t>
      </w:r>
      <w:r w:rsidR="007264AD">
        <w:t>, unless that jeopardised solvency</w:t>
      </w:r>
      <w:r w:rsidR="001B25EB">
        <w:t xml:space="preserve">. </w:t>
      </w:r>
      <w:r w:rsidR="003C4C5A">
        <w:t xml:space="preserve">So, the judges had interpreted ‘capital’ as ‘circulating capital’ </w:t>
      </w:r>
      <w:r w:rsidR="000D5639">
        <w:t xml:space="preserve">(i.e. part of the </w:t>
      </w:r>
      <w:r w:rsidR="000D5639" w:rsidRPr="00676889">
        <w:rPr>
          <w:i/>
        </w:rPr>
        <w:t>assets</w:t>
      </w:r>
      <w:r w:rsidR="000D5639">
        <w:t xml:space="preserve">) </w:t>
      </w:r>
      <w:r w:rsidR="003C4C5A">
        <w:t>instead of paid up share capital (French 1977, p. 319). T</w:t>
      </w:r>
      <w:r w:rsidR="009512F5">
        <w:t>hese legal cases</w:t>
      </w:r>
      <w:r w:rsidR="001B25EB">
        <w:t xml:space="preserve"> appeared to overturn</w:t>
      </w:r>
      <w:r w:rsidR="00687D48">
        <w:t xml:space="preserve"> the previous understanding of ac</w:t>
      </w:r>
      <w:r w:rsidR="005748CC">
        <w:t>co</w:t>
      </w:r>
      <w:r w:rsidR="00FF6ECE">
        <w:t xml:space="preserve">untants, who argued </w:t>
      </w:r>
      <w:r w:rsidR="000D5639">
        <w:t xml:space="preserve">that </w:t>
      </w:r>
      <w:r w:rsidR="00FF6ECE">
        <w:t>the</w:t>
      </w:r>
      <w:r w:rsidR="00522AD8">
        <w:t xml:space="preserve"> decisions</w:t>
      </w:r>
      <w:r w:rsidR="00687D48">
        <w:t xml:space="preserve"> </w:t>
      </w:r>
      <w:r w:rsidR="002A6379">
        <w:t>‘</w:t>
      </w:r>
      <w:r w:rsidR="00FF6ECE">
        <w:t xml:space="preserve">are </w:t>
      </w:r>
      <w:r w:rsidR="00687D48">
        <w:t>impractical in working</w:t>
      </w:r>
      <w:r w:rsidR="006D5EBE">
        <w:t>,</w:t>
      </w:r>
      <w:r w:rsidR="00687D48">
        <w:t xml:space="preserve"> and encourage unsound accounting</w:t>
      </w:r>
      <w:r w:rsidR="002A6379">
        <w:t>’</w:t>
      </w:r>
      <w:r w:rsidR="00687D48">
        <w:t xml:space="preserve"> (Cooper 1894</w:t>
      </w:r>
      <w:r w:rsidR="006D5EBE">
        <w:t>, p.1034</w:t>
      </w:r>
      <w:r w:rsidR="00CE3657">
        <w:t xml:space="preserve">). </w:t>
      </w:r>
      <w:r>
        <w:rPr>
          <w:i/>
        </w:rPr>
        <w:t>The Accountant</w:t>
      </w:r>
      <w:r>
        <w:t xml:space="preserve"> referred to the </w:t>
      </w:r>
      <w:r w:rsidR="00522AD8" w:rsidRPr="00676889">
        <w:rPr>
          <w:i/>
        </w:rPr>
        <w:t>Lee</w:t>
      </w:r>
      <w:r w:rsidR="00522AD8">
        <w:t xml:space="preserve"> </w:t>
      </w:r>
      <w:r>
        <w:t xml:space="preserve">decision as </w:t>
      </w:r>
      <w:r w:rsidR="002A6379">
        <w:t>‘</w:t>
      </w:r>
      <w:r w:rsidR="00A449D0">
        <w:t>the most mischievous which has</w:t>
      </w:r>
      <w:r>
        <w:t xml:space="preserve"> ever been given</w:t>
      </w:r>
      <w:r w:rsidR="002A6379">
        <w:t>’</w:t>
      </w:r>
      <w:r>
        <w:t xml:space="preserve"> and </w:t>
      </w:r>
      <w:r w:rsidR="002A6379">
        <w:t>‘</w:t>
      </w:r>
      <w:r>
        <w:t>pernicious</w:t>
      </w:r>
      <w:r w:rsidR="002A6379">
        <w:t>’</w:t>
      </w:r>
      <w:r>
        <w:t xml:space="preserve"> (</w:t>
      </w:r>
      <w:r w:rsidR="00720A13" w:rsidRPr="00720A13">
        <w:rPr>
          <w:i/>
        </w:rPr>
        <w:t>Accountant</w:t>
      </w:r>
      <w:r w:rsidR="00720A13">
        <w:t xml:space="preserve"> </w:t>
      </w:r>
      <w:r>
        <w:t>1889</w:t>
      </w:r>
      <w:r w:rsidR="00CE3657">
        <w:t>a</w:t>
      </w:r>
      <w:r>
        <w:t>, p.149)</w:t>
      </w:r>
      <w:r w:rsidR="00CE3657">
        <w:t>, though a variety of views was expressed in a debate (</w:t>
      </w:r>
      <w:r w:rsidR="00CE3657" w:rsidRPr="00CE3657">
        <w:rPr>
          <w:i/>
        </w:rPr>
        <w:t>Accountant</w:t>
      </w:r>
      <w:r w:rsidR="00CE3657">
        <w:t xml:space="preserve"> 1</w:t>
      </w:r>
      <w:r w:rsidR="00104E02">
        <w:t>8</w:t>
      </w:r>
      <w:r w:rsidR="00CE3657">
        <w:t>89b)</w:t>
      </w:r>
      <w:r>
        <w:t>.</w:t>
      </w:r>
      <w:r w:rsidR="00A449D0">
        <w:t xml:space="preserve"> </w:t>
      </w:r>
      <w:r w:rsidR="004113FC">
        <w:t xml:space="preserve">Soon afterwards, in the standard work on auditing, </w:t>
      </w:r>
      <w:r w:rsidR="00D30092">
        <w:t>Dicksee (1892, p.126) opine</w:t>
      </w:r>
      <w:r w:rsidR="00542A44">
        <w:t xml:space="preserve">d that </w:t>
      </w:r>
      <w:r w:rsidR="002A6379">
        <w:t>‘</w:t>
      </w:r>
      <w:r w:rsidR="00D30092">
        <w:t>whatever deference or obedience is owing to the Courts they cannot be regarded as indisputable au</w:t>
      </w:r>
      <w:r w:rsidR="00542A44">
        <w:t>thorities on matters of account</w:t>
      </w:r>
    </w:p>
    <w:p w14:paraId="788D33AB" w14:textId="77777777" w:rsidR="00C57094" w:rsidRDefault="00883FDE" w:rsidP="00C57094">
      <w:pPr>
        <w:spacing w:after="120" w:line="480" w:lineRule="auto"/>
        <w:ind w:firstLine="720"/>
      </w:pPr>
      <w:r>
        <w:t>A summary of the</w:t>
      </w:r>
      <w:r w:rsidR="000F49DB">
        <w:t xml:space="preserve"> discussion</w:t>
      </w:r>
      <w:r>
        <w:t xml:space="preserve"> in this sub-section</w:t>
      </w:r>
      <w:r w:rsidR="000F49DB">
        <w:t xml:space="preserve"> is presented as F</w:t>
      </w:r>
      <w:r w:rsidR="005D2406">
        <w:t xml:space="preserve">igure </w:t>
      </w:r>
      <w:r w:rsidR="0045637F">
        <w:t>8</w:t>
      </w:r>
      <w:r w:rsidR="000F49DB">
        <w:t xml:space="preserve">.  Time moves to the right.  In the top half are examples of the idea that income is the increase in capital; in the bottom half are examples of the idea that income and capital are separate forms of wealth.  Incidentally, </w:t>
      </w:r>
      <w:r w:rsidR="002A6379">
        <w:t>‘</w:t>
      </w:r>
      <w:r w:rsidR="000F49DB">
        <w:t>income</w:t>
      </w:r>
      <w:r w:rsidR="002A6379">
        <w:t>’</w:t>
      </w:r>
      <w:r w:rsidR="000F49DB">
        <w:t xml:space="preserve"> as used here is a net concept applying to a whole entity rather than </w:t>
      </w:r>
      <w:r w:rsidR="008F272E">
        <w:t xml:space="preserve">being </w:t>
      </w:r>
      <w:r w:rsidR="000F49DB">
        <w:t>the current technical accounting term which is largely a gross</w:t>
      </w:r>
      <w:r w:rsidR="000F49DB">
        <w:rPr>
          <w:rStyle w:val="FootnoteReference"/>
        </w:rPr>
        <w:footnoteReference w:id="28"/>
      </w:r>
      <w:r w:rsidR="000F49DB">
        <w:t xml:space="preserve"> concept applying event-by-event in an entity.</w:t>
      </w:r>
    </w:p>
    <w:p w14:paraId="5C041544" w14:textId="77777777" w:rsidR="00702EEB" w:rsidRDefault="00702EEB" w:rsidP="00C57094">
      <w:pPr>
        <w:spacing w:after="120" w:line="480" w:lineRule="auto"/>
        <w:ind w:firstLine="720"/>
      </w:pPr>
      <w:r>
        <w:t xml:space="preserve">[Insert Figure </w:t>
      </w:r>
      <w:r w:rsidR="0045637F">
        <w:t>8</w:t>
      </w:r>
      <w:r>
        <w:t xml:space="preserve"> near here.]</w:t>
      </w:r>
    </w:p>
    <w:p w14:paraId="23B0AC25" w14:textId="77777777" w:rsidR="00E87CF9" w:rsidRDefault="003C3991" w:rsidP="00C57094">
      <w:pPr>
        <w:spacing w:after="120" w:line="480" w:lineRule="auto"/>
        <w:ind w:firstLine="720"/>
      </w:pPr>
      <w:r>
        <w:t xml:space="preserve">Accountants were further shocked by cases in the twentieth century. In </w:t>
      </w:r>
      <w:r w:rsidRPr="003C3991">
        <w:rPr>
          <w:i/>
        </w:rPr>
        <w:t>Ammonia Soda Co Ltd v Chamberlain</w:t>
      </w:r>
      <w:r>
        <w:t xml:space="preserve"> (1918),</w:t>
      </w:r>
      <w:r w:rsidR="006D3F10">
        <w:rPr>
          <w:rStyle w:val="FootnoteReference"/>
        </w:rPr>
        <w:footnoteReference w:id="29"/>
      </w:r>
      <w:r>
        <w:t xml:space="preserve"> it was held that past losses did not have to be made up before paying dividends out of current profits. </w:t>
      </w:r>
      <w:r w:rsidR="008178AA">
        <w:t xml:space="preserve">Even in the early 1940s, </w:t>
      </w:r>
      <w:r w:rsidR="00E87CF9">
        <w:t xml:space="preserve">Yamey (1941, p. 289) was </w:t>
      </w:r>
      <w:r w:rsidR="008178AA">
        <w:t xml:space="preserve">still </w:t>
      </w:r>
      <w:r w:rsidR="00E87CF9">
        <w:t xml:space="preserve">referring to the </w:t>
      </w:r>
      <w:r w:rsidR="002A6379">
        <w:t>‘</w:t>
      </w:r>
      <w:r w:rsidR="00E87CF9">
        <w:t>present uncertain state of the law</w:t>
      </w:r>
      <w:r w:rsidR="002A6379">
        <w:t>’</w:t>
      </w:r>
      <w:r w:rsidR="00E87CF9">
        <w:t xml:space="preserve"> on dividends and capital ma</w:t>
      </w:r>
      <w:r w:rsidR="0029365A">
        <w:t xml:space="preserve">intenance. </w:t>
      </w:r>
      <w:r>
        <w:t xml:space="preserve">In 1961, in </w:t>
      </w:r>
      <w:r w:rsidRPr="003C3991">
        <w:rPr>
          <w:i/>
        </w:rPr>
        <w:t>Dimbula Valley (Ceylon) Tea Co. Ltd v Laurie</w:t>
      </w:r>
      <w:r>
        <w:t>,</w:t>
      </w:r>
      <w:r w:rsidR="006D3F10">
        <w:rPr>
          <w:rStyle w:val="FootnoteReference"/>
        </w:rPr>
        <w:footnoteReference w:id="30"/>
      </w:r>
      <w:r>
        <w:t xml:space="preserve"> it was held that dividends could be paid out of unrealised capital profits. </w:t>
      </w:r>
      <w:r w:rsidR="004F7696">
        <w:t>Yamey (</w:t>
      </w:r>
      <w:r w:rsidR="000B185C">
        <w:t>1962</w:t>
      </w:r>
      <w:r w:rsidR="004F7696">
        <w:t>, p.442)</w:t>
      </w:r>
      <w:r w:rsidR="000B185C">
        <w:t xml:space="preserve"> </w:t>
      </w:r>
      <w:r w:rsidR="00CE3657">
        <w:t xml:space="preserve">continued to </w:t>
      </w:r>
      <w:r w:rsidR="004F7696">
        <w:t xml:space="preserve">conclude that ‘the issues have not been </w:t>
      </w:r>
      <w:r w:rsidR="00CE3657">
        <w:t xml:space="preserve">considered </w:t>
      </w:r>
      <w:r w:rsidR="004F7696">
        <w:t xml:space="preserve">systematically by the courts’. </w:t>
      </w:r>
      <w:r w:rsidR="0029365A">
        <w:t>The position for 1980</w:t>
      </w:r>
      <w:r w:rsidR="00E87CF9">
        <w:t xml:space="preserve"> onwards, up to and including the adoption of IFRS, is </w:t>
      </w:r>
      <w:r w:rsidR="0058227D">
        <w:t>discussed in Section 5</w:t>
      </w:r>
      <w:r w:rsidR="00E87CF9">
        <w:t>.</w:t>
      </w:r>
    </w:p>
    <w:p w14:paraId="4BC8C422" w14:textId="77777777" w:rsidR="00374F0E" w:rsidRPr="00A945E1" w:rsidRDefault="00A945E1" w:rsidP="00D30092">
      <w:pPr>
        <w:spacing w:after="120" w:line="480" w:lineRule="auto"/>
        <w:rPr>
          <w:b/>
          <w:i/>
        </w:rPr>
      </w:pPr>
      <w:r w:rsidRPr="00A945E1">
        <w:rPr>
          <w:b/>
          <w:i/>
        </w:rPr>
        <w:t xml:space="preserve">3.2 </w:t>
      </w:r>
      <w:r w:rsidR="00374F0E" w:rsidRPr="00A945E1">
        <w:rPr>
          <w:b/>
          <w:i/>
        </w:rPr>
        <w:t>Economists</w:t>
      </w:r>
    </w:p>
    <w:p w14:paraId="70192B22" w14:textId="77777777" w:rsidR="00EA765C" w:rsidRDefault="00687D48" w:rsidP="00374F0E">
      <w:pPr>
        <w:spacing w:after="120" w:line="480" w:lineRule="auto"/>
      </w:pPr>
      <w:r>
        <w:tab/>
      </w:r>
      <w:r w:rsidR="00AC0BFE">
        <w:t xml:space="preserve">Compared to accountants and lawyers, </w:t>
      </w:r>
      <w:r w:rsidR="00542A44">
        <w:t xml:space="preserve">the </w:t>
      </w:r>
      <w:r w:rsidR="00AC0BFE">
        <w:t>d</w:t>
      </w:r>
      <w:r w:rsidR="00374F0E">
        <w:t xml:space="preserve">ismal scientists are </w:t>
      </w:r>
      <w:r w:rsidR="000F49DB">
        <w:t>parvenus</w:t>
      </w:r>
      <w:r w:rsidR="00374F0E">
        <w:t xml:space="preserve">. </w:t>
      </w:r>
      <w:r w:rsidR="00F17622">
        <w:t>When they did arrive</w:t>
      </w:r>
      <w:r w:rsidR="008845E5">
        <w:t>, they were initially unabl</w:t>
      </w:r>
      <w:r w:rsidR="00037318">
        <w:t>e to assist in clarifying the meaning of capital</w:t>
      </w:r>
      <w:r w:rsidR="00720A13">
        <w:t xml:space="preserve"> or its relationship to income</w:t>
      </w:r>
      <w:r w:rsidR="008845E5">
        <w:t xml:space="preserve">. </w:t>
      </w:r>
      <w:r w:rsidR="00374F0E">
        <w:t xml:space="preserve">Adam </w:t>
      </w:r>
      <w:r w:rsidR="00A4593E">
        <w:t>Smith (1776, Book II, ch. I</w:t>
      </w:r>
      <w:r w:rsidR="002D6665">
        <w:t>, second paragraph</w:t>
      </w:r>
      <w:r w:rsidR="008845E5">
        <w:t xml:space="preserve">) concluded that: </w:t>
      </w:r>
    </w:p>
    <w:p w14:paraId="1098AEF1" w14:textId="77777777" w:rsidR="00EA765C" w:rsidRDefault="008845E5" w:rsidP="002E7185">
      <w:pPr>
        <w:spacing w:after="120" w:line="240" w:lineRule="auto"/>
        <w:ind w:left="720"/>
      </w:pPr>
      <w:r>
        <w:t>[a man’s]</w:t>
      </w:r>
      <w:r w:rsidR="00374F0E">
        <w:t xml:space="preserve"> </w:t>
      </w:r>
      <w:r>
        <w:t>whole stock, therefore, is distinguished into two parts. That part</w:t>
      </w:r>
      <w:r w:rsidR="002D6665">
        <w:t xml:space="preserve"> </w:t>
      </w:r>
      <w:r>
        <w:t>which</w:t>
      </w:r>
      <w:r w:rsidR="002D6665">
        <w:t>,</w:t>
      </w:r>
      <w:r>
        <w:t xml:space="preserve"> he expects</w:t>
      </w:r>
      <w:r w:rsidR="002D6665">
        <w:t>,</w:t>
      </w:r>
      <w:r>
        <w:t xml:space="preserve"> to afford him this revenue</w:t>
      </w:r>
      <w:r w:rsidR="002D6665">
        <w:t>,</w:t>
      </w:r>
      <w:r>
        <w:t xml:space="preserve"> is called his capital</w:t>
      </w:r>
      <w:r w:rsidR="000F49DB">
        <w:t>.</w:t>
      </w:r>
      <w:r w:rsidR="002D6665">
        <w:t xml:space="preserve"> The other is that which supplies his immediate consumption; ...</w:t>
      </w:r>
    </w:p>
    <w:p w14:paraId="4C7C0321" w14:textId="77777777" w:rsidR="00EA765C" w:rsidRDefault="00596D6D" w:rsidP="00EA765C">
      <w:pPr>
        <w:spacing w:after="120" w:line="480" w:lineRule="auto"/>
      </w:pPr>
      <w:r>
        <w:t>Similarly, Ricardo (1821</w:t>
      </w:r>
      <w:r w:rsidR="00A4593E">
        <w:t xml:space="preserve">, </w:t>
      </w:r>
      <w:r w:rsidR="00A4593E">
        <w:rPr>
          <w:rFonts w:cstheme="minorHAnsi"/>
        </w:rPr>
        <w:t>§</w:t>
      </w:r>
      <w:r>
        <w:rPr>
          <w:rFonts w:cstheme="minorHAnsi"/>
        </w:rPr>
        <w:t>5.9</w:t>
      </w:r>
      <w:r w:rsidR="00EA765C">
        <w:t xml:space="preserve">): </w:t>
      </w:r>
    </w:p>
    <w:p w14:paraId="4C90EFF0" w14:textId="77777777" w:rsidR="00A3366B" w:rsidRDefault="00EA765C" w:rsidP="002E7185">
      <w:pPr>
        <w:spacing w:after="120" w:line="240" w:lineRule="auto"/>
        <w:ind w:left="720"/>
      </w:pPr>
      <w:r>
        <w:t>Capital is that part of the wealth of a country which</w:t>
      </w:r>
      <w:r w:rsidR="009E0981">
        <w:t xml:space="preserve"> is employed in production, and consists of food, clothing, tools, raw materials, machinery,</w:t>
      </w:r>
      <w:r w:rsidR="00DD443A">
        <w:t xml:space="preserve"> &amp;c.</w:t>
      </w:r>
      <w:r w:rsidR="009E0981">
        <w:t xml:space="preserve"> necessary to give effect to labour.</w:t>
      </w:r>
    </w:p>
    <w:p w14:paraId="6F51BA0E" w14:textId="77777777" w:rsidR="001D524E" w:rsidRDefault="00EA765C" w:rsidP="00EA765C">
      <w:pPr>
        <w:spacing w:after="120" w:line="480" w:lineRule="auto"/>
      </w:pPr>
      <w:r>
        <w:t>Mill (</w:t>
      </w:r>
      <w:r w:rsidR="00374F0E">
        <w:t>1848</w:t>
      </w:r>
      <w:r w:rsidR="001D524E">
        <w:t xml:space="preserve">, </w:t>
      </w:r>
      <w:r w:rsidR="001D524E">
        <w:rPr>
          <w:rFonts w:cstheme="minorHAnsi"/>
        </w:rPr>
        <w:t>§</w:t>
      </w:r>
      <w:r w:rsidR="001D524E">
        <w:t xml:space="preserve"> 1</w:t>
      </w:r>
      <w:r w:rsidR="00374F0E">
        <w:t>)</w:t>
      </w:r>
      <w:r>
        <w:t>:</w:t>
      </w:r>
      <w:r w:rsidR="001D524E">
        <w:t xml:space="preserve"> </w:t>
      </w:r>
    </w:p>
    <w:p w14:paraId="2D5B8C32" w14:textId="77777777" w:rsidR="00A3366B" w:rsidRDefault="00A4593E" w:rsidP="002E7185">
      <w:pPr>
        <w:spacing w:after="120" w:line="240" w:lineRule="auto"/>
        <w:ind w:left="720"/>
      </w:pPr>
      <w:r>
        <w:t>... a stock, previously accumulated, of the products of labour...is termed Capital... The distinction, the</w:t>
      </w:r>
      <w:r w:rsidR="001D524E">
        <w:t>n</w:t>
      </w:r>
      <w:r w:rsidR="00DD443A">
        <w:t>, between Capital and Not-capital, does not lie in the kind of commodities, but in the mind of the capitalist – in his will to employ them for one purpose rather than another; and all property, however ill adapted in itself for the use of labourers, is a part of capital, so soon as it, or the value to be received from it, is set apart for productive reinvestment.</w:t>
      </w:r>
    </w:p>
    <w:p w14:paraId="2C1E1D3A" w14:textId="77777777" w:rsidR="001D524E" w:rsidRDefault="001D524E" w:rsidP="00A3366B">
      <w:pPr>
        <w:spacing w:after="120" w:line="480" w:lineRule="auto"/>
      </w:pPr>
      <w:r>
        <w:t>Jevons (18</w:t>
      </w:r>
      <w:r w:rsidR="00E446FC">
        <w:t>88</w:t>
      </w:r>
      <w:r>
        <w:t xml:space="preserve">, </w:t>
      </w:r>
      <w:r w:rsidR="00EA0A72">
        <w:t>VII.3</w:t>
      </w:r>
      <w:r w:rsidR="004244F4">
        <w:t>, emphases in the original</w:t>
      </w:r>
      <w:r>
        <w:t xml:space="preserve">): </w:t>
      </w:r>
    </w:p>
    <w:p w14:paraId="1A54035A" w14:textId="77777777" w:rsidR="00374F0E" w:rsidRPr="00DD443A" w:rsidRDefault="00DD443A" w:rsidP="002E7185">
      <w:pPr>
        <w:spacing w:after="120" w:line="240" w:lineRule="auto"/>
        <w:ind w:left="720"/>
      </w:pPr>
      <w:r>
        <w:t xml:space="preserve">Capital, as I regard it, consists merely in the </w:t>
      </w:r>
      <w:r>
        <w:rPr>
          <w:i/>
        </w:rPr>
        <w:t>aggregate of those commodities which are required for sustaining labourers of any kind or class engaged in work</w:t>
      </w:r>
      <w:r>
        <w:t xml:space="preserve">.  A stock of food is the main element of capital;  but supplies of clothes, furniture, and all the other articles in common </w:t>
      </w:r>
      <w:r w:rsidR="00E85282">
        <w:t>daily use are also necessary parts of capital.</w:t>
      </w:r>
    </w:p>
    <w:p w14:paraId="24115FE6" w14:textId="77777777" w:rsidR="0051433A" w:rsidRDefault="00542A44" w:rsidP="0051433A">
      <w:pPr>
        <w:spacing w:after="120" w:line="480" w:lineRule="auto"/>
      </w:pPr>
      <w:r>
        <w:t xml:space="preserve">To economists, then, </w:t>
      </w:r>
      <w:r w:rsidR="00694817">
        <w:t xml:space="preserve">capital was some part of the assets. </w:t>
      </w:r>
      <w:r w:rsidR="00037318">
        <w:t xml:space="preserve">The </w:t>
      </w:r>
      <w:r w:rsidR="00720A13">
        <w:t>concept appears</w:t>
      </w:r>
      <w:r w:rsidR="00037318">
        <w:t xml:space="preserve"> to</w:t>
      </w:r>
      <w:r w:rsidR="00720A13">
        <w:t xml:space="preserve"> have</w:t>
      </w:r>
      <w:r w:rsidR="00037318">
        <w:t xml:space="preserve"> be</w:t>
      </w:r>
      <w:r w:rsidR="00720A13">
        <w:t>en</w:t>
      </w:r>
      <w:r w:rsidR="00486853">
        <w:t xml:space="preserve"> in the bottom half </w:t>
      </w:r>
      <w:r w:rsidR="00037318">
        <w:t>of Figur</w:t>
      </w:r>
      <w:r w:rsidR="005D2406">
        <w:t xml:space="preserve">e </w:t>
      </w:r>
      <w:r w:rsidR="0045637F">
        <w:t>8</w:t>
      </w:r>
      <w:r w:rsidR="00486853">
        <w:t xml:space="preserve"> (capital and income </w:t>
      </w:r>
      <w:r w:rsidR="00055665">
        <w:t xml:space="preserve">as </w:t>
      </w:r>
      <w:r w:rsidR="00486853">
        <w:t>separate concepts)</w:t>
      </w:r>
      <w:r w:rsidR="00037318">
        <w:t xml:space="preserve">. </w:t>
      </w:r>
      <w:r w:rsidR="00E07CB0">
        <w:t xml:space="preserve">Hicks (1974, p. 309) suggests that most classical economists (before 1870), saw capital as a sum of values rather than as the physical goods, though it is hard to see that in the above quotations. </w:t>
      </w:r>
    </w:p>
    <w:p w14:paraId="4998C9FA" w14:textId="77777777" w:rsidR="0027553F" w:rsidRPr="0027553F" w:rsidRDefault="0027553F" w:rsidP="00486853">
      <w:pPr>
        <w:spacing w:after="120" w:line="480" w:lineRule="auto"/>
        <w:ind w:firstLine="720"/>
      </w:pPr>
      <w:r>
        <w:t xml:space="preserve">Perhaps the most confusing of all the nineteenth century writings was that in the book whose title translates as </w:t>
      </w:r>
      <w:r>
        <w:rPr>
          <w:i/>
        </w:rPr>
        <w:t>Capital</w:t>
      </w:r>
      <w:r>
        <w:t>.  Marx (1887) tells us that capital does not include landed property, but appears ‘in the shape of money that by a definite process has to be turned into capital’ (p.145).  In the transformation of commodities into money and back again (‘selling in order to buy’), the money is not capital; but in the transformation of money into commodities and back again (‘buying in order to sell’), money becomes capital (p.146).</w:t>
      </w:r>
      <w:r w:rsidR="00640F34">
        <w:t xml:space="preserve"> </w:t>
      </w:r>
    </w:p>
    <w:p w14:paraId="05896A58" w14:textId="77777777" w:rsidR="00083664" w:rsidRDefault="00F04DF6" w:rsidP="00083664">
      <w:pPr>
        <w:spacing w:after="120" w:line="480" w:lineRule="auto"/>
        <w:ind w:left="360" w:firstLine="360"/>
      </w:pPr>
      <w:r>
        <w:t>Fetter (1937) gives a lively</w:t>
      </w:r>
      <w:r w:rsidR="00083664">
        <w:t xml:space="preserve"> account of the confusion among economists. </w:t>
      </w:r>
      <w:r w:rsidR="00F11717">
        <w:t>However</w:t>
      </w:r>
      <w:r>
        <w:t>,</w:t>
      </w:r>
    </w:p>
    <w:p w14:paraId="03C16260" w14:textId="77777777" w:rsidR="00083664" w:rsidRDefault="00F04DF6" w:rsidP="00083664">
      <w:pPr>
        <w:spacing w:after="120" w:line="480" w:lineRule="auto"/>
      </w:pPr>
      <w:r>
        <w:t xml:space="preserve">he does not mention Fisher, from whom </w:t>
      </w:r>
      <w:r w:rsidR="00687D48">
        <w:t>a clear concept of income a</w:t>
      </w:r>
      <w:r w:rsidR="00037318">
        <w:t xml:space="preserve">nd capital </w:t>
      </w:r>
      <w:r>
        <w:t xml:space="preserve">had </w:t>
      </w:r>
      <w:r w:rsidR="00F11717">
        <w:t xml:space="preserve">eventually </w:t>
      </w:r>
      <w:r w:rsidR="00037318">
        <w:t>emerged</w:t>
      </w:r>
      <w:r>
        <w:t xml:space="preserve">. </w:t>
      </w:r>
      <w:r w:rsidR="00687D48">
        <w:t>Fisher</w:t>
      </w:r>
      <w:r>
        <w:t xml:space="preserve"> </w:t>
      </w:r>
      <w:r w:rsidR="00687D48">
        <w:t>(1896)</w:t>
      </w:r>
      <w:r>
        <w:t xml:space="preserve"> </w:t>
      </w:r>
      <w:r w:rsidR="00687D48">
        <w:t xml:space="preserve">saw </w:t>
      </w:r>
      <w:r w:rsidR="00593A10">
        <w:t xml:space="preserve">capital as all wealth, and </w:t>
      </w:r>
      <w:r w:rsidR="00687D48">
        <w:t xml:space="preserve">income as the </w:t>
      </w:r>
      <w:r w:rsidR="00687D48" w:rsidRPr="00BD6DDD">
        <w:rPr>
          <w:i/>
        </w:rPr>
        <w:t>change</w:t>
      </w:r>
      <w:r w:rsidR="00687D48">
        <w:t xml:space="preserve"> in capital</w:t>
      </w:r>
      <w:r w:rsidR="00593A10">
        <w:t xml:space="preserve"> (p.514)</w:t>
      </w:r>
      <w:r>
        <w:t>.  He</w:t>
      </w:r>
      <w:r w:rsidR="00687D48">
        <w:t xml:space="preserve"> introduced </w:t>
      </w:r>
      <w:r w:rsidR="00883FDE">
        <w:t>the idea of stocks and flows: c</w:t>
      </w:r>
      <w:r w:rsidR="00687D48">
        <w:t>apital</w:t>
      </w:r>
      <w:r w:rsidR="00883FDE">
        <w:t xml:space="preserve"> and income are antithetical; p</w:t>
      </w:r>
      <w:r w:rsidR="00687D48">
        <w:t>resent wealt</w:t>
      </w:r>
      <w:r w:rsidR="00883FDE">
        <w:t>h equals prospective services; t</w:t>
      </w:r>
      <w:r w:rsidR="00687D48">
        <w:t>he perf</w:t>
      </w:r>
      <w:r w:rsidR="005B57C1">
        <w:t>ormance of a company is the rate of flow relative to</w:t>
      </w:r>
      <w:r w:rsidR="00BD6DDD">
        <w:t xml:space="preserve"> the stock of wealth.  </w:t>
      </w:r>
      <w:r w:rsidR="00CD52A4">
        <w:t>Bryer (2013) provides an extended critique of Fisher’s ideas on capital, and shows how Fisher was confused about accounting</w:t>
      </w:r>
      <w:r w:rsidR="00164166">
        <w:t>, thinking that bilateral cash accounts were DEB</w:t>
      </w:r>
      <w:r w:rsidR="00CD52A4">
        <w:t xml:space="preserve"> (pp. 597-603).</w:t>
      </w:r>
      <w:r w:rsidR="00083664">
        <w:t xml:space="preserve"> </w:t>
      </w:r>
    </w:p>
    <w:p w14:paraId="2CE7BD64" w14:textId="77777777" w:rsidR="003A08B1" w:rsidRDefault="008C0CFC" w:rsidP="00C563D6">
      <w:pPr>
        <w:spacing w:after="120" w:line="480" w:lineRule="auto"/>
        <w:ind w:firstLine="720"/>
      </w:pPr>
      <w:r>
        <w:t xml:space="preserve">Hicks </w:t>
      </w:r>
      <w:r w:rsidR="00784871">
        <w:t>(1946)</w:t>
      </w:r>
      <w:r w:rsidR="00E07CB0">
        <w:t xml:space="preserve"> </w:t>
      </w:r>
      <w:r w:rsidR="0078145D">
        <w:t>elaborated on the idea of stocks and flows</w:t>
      </w:r>
      <w:r w:rsidR="00E92673">
        <w:t>. He</w:t>
      </w:r>
      <w:r w:rsidR="00784871">
        <w:t xml:space="preserve"> </w:t>
      </w:r>
      <w:r>
        <w:t>has perhaps had the greatest influence</w:t>
      </w:r>
      <w:r w:rsidR="0078145D">
        <w:t xml:space="preserve"> of any economist</w:t>
      </w:r>
      <w:r w:rsidR="00784871">
        <w:t xml:space="preserve"> on accounting regu</w:t>
      </w:r>
      <w:r w:rsidR="0078145D">
        <w:t>lators, as</w:t>
      </w:r>
      <w:r w:rsidR="0087708E">
        <w:t xml:space="preserve"> mentioned below in Section 7</w:t>
      </w:r>
      <w:r w:rsidR="00784871">
        <w:t>.</w:t>
      </w:r>
      <w:r>
        <w:t xml:space="preserve"> </w:t>
      </w:r>
      <w:r w:rsidR="00083664">
        <w:t xml:space="preserve">Piketty (2014) in </w:t>
      </w:r>
      <w:r w:rsidR="00083664" w:rsidRPr="00676889">
        <w:rPr>
          <w:i/>
        </w:rPr>
        <w:t>Capital in the Twenty-first Century</w:t>
      </w:r>
      <w:r w:rsidR="00083664">
        <w:rPr>
          <w:i/>
        </w:rPr>
        <w:t xml:space="preserve"> </w:t>
      </w:r>
      <w:r w:rsidR="00485E01" w:rsidRPr="000E60F0">
        <w:t>also</w:t>
      </w:r>
      <w:r w:rsidR="00485E01">
        <w:rPr>
          <w:i/>
        </w:rPr>
        <w:t xml:space="preserve"> </w:t>
      </w:r>
      <w:r w:rsidR="006D3083">
        <w:t>follows Fisher. He d</w:t>
      </w:r>
      <w:r w:rsidR="00083664">
        <w:t>efines capital as ‘the sum total of nonhuman assets that can be own</w:t>
      </w:r>
      <w:r w:rsidR="006D3083">
        <w:t>ed or exchanged on some market’ (p.46); he specifically includes all types of land and rejects restricting capital to that used in production (p.48),</w:t>
      </w:r>
      <w:r w:rsidR="006D3083" w:rsidRPr="006D3083">
        <w:t xml:space="preserve"> </w:t>
      </w:r>
      <w:r w:rsidR="006D3083">
        <w:t>and</w:t>
      </w:r>
      <w:r w:rsidR="006D3083" w:rsidRPr="006D3083">
        <w:t xml:space="preserve"> </w:t>
      </w:r>
      <w:r w:rsidR="006D3083">
        <w:t>he specifically accepts the stocks and flows distinction (p.50). Piketty’s ‘financial capital’ is financial assets</w:t>
      </w:r>
      <w:r w:rsidR="00CC7685">
        <w:t xml:space="preserve">. </w:t>
      </w:r>
      <w:r w:rsidR="00C563D6">
        <w:t xml:space="preserve">The reference to ‘nonhuman’ is vital because Piketty (like Marx) is interested in distinguishing returns to capital </w:t>
      </w:r>
      <w:r w:rsidR="0071115E">
        <w:t>from</w:t>
      </w:r>
      <w:r w:rsidR="00C563D6">
        <w:t xml:space="preserve"> returns to labour. </w:t>
      </w:r>
      <w:r w:rsidR="00CC7685">
        <w:t xml:space="preserve">The definitions of  the early economists </w:t>
      </w:r>
      <w:r w:rsidR="00C563D6">
        <w:t xml:space="preserve">do not deal with </w:t>
      </w:r>
      <w:r w:rsidR="00CC7685">
        <w:t>liabilities</w:t>
      </w:r>
      <w:r w:rsidR="00C563D6">
        <w:t xml:space="preserve"> and probably could not do so</w:t>
      </w:r>
      <w:r w:rsidR="003F5A3B" w:rsidRPr="003F5A3B">
        <w:t xml:space="preserve"> </w:t>
      </w:r>
      <w:r w:rsidR="003F5A3B">
        <w:t>because it would presumably be necessary to allocate only some of them against the assets which comprise capital</w:t>
      </w:r>
      <w:r w:rsidR="00C563D6">
        <w:t>, and even Fisher</w:t>
      </w:r>
      <w:r w:rsidR="0012576C">
        <w:t xml:space="preserve"> does not discuss whether</w:t>
      </w:r>
      <w:r w:rsidR="00C563D6">
        <w:t xml:space="preserve"> his capital is net of liabilities. Piketty’s definition (above) appears to be gross, but later we find that it is ‘less the total of financial liabilities’ (p</w:t>
      </w:r>
      <w:r w:rsidR="00284EE6">
        <w:t>p</w:t>
      </w:r>
      <w:r w:rsidR="00C563D6">
        <w:t>.48</w:t>
      </w:r>
      <w:r w:rsidR="00284EE6">
        <w:t xml:space="preserve"> and 123</w:t>
      </w:r>
      <w:r w:rsidR="00C563D6">
        <w:t>).</w:t>
      </w:r>
      <w:r w:rsidR="00CC7685">
        <w:t xml:space="preserve"> </w:t>
      </w:r>
      <w:r w:rsidR="00E3115B">
        <w:t xml:space="preserve">So, </w:t>
      </w:r>
      <w:r w:rsidR="003A08B1">
        <w:t>for economists,</w:t>
      </w:r>
      <w:r w:rsidR="00E9269F">
        <w:rPr>
          <w:rStyle w:val="FootnoteReference"/>
        </w:rPr>
        <w:footnoteReference w:id="31"/>
      </w:r>
      <w:r w:rsidR="003A08B1">
        <w:t xml:space="preserve"> </w:t>
      </w:r>
      <w:r w:rsidR="00830898">
        <w:t xml:space="preserve">the </w:t>
      </w:r>
      <w:r w:rsidR="0012576C">
        <w:t>cap</w:t>
      </w:r>
      <w:r w:rsidR="00E3115B">
        <w:t>it</w:t>
      </w:r>
      <w:r w:rsidR="0012576C">
        <w:t>al</w:t>
      </w:r>
      <w:r w:rsidR="00E3115B">
        <w:t xml:space="preserve"> </w:t>
      </w:r>
      <w:r w:rsidR="00E3115B" w:rsidRPr="0012576C">
        <w:rPr>
          <w:i/>
        </w:rPr>
        <w:t>is</w:t>
      </w:r>
      <w:r w:rsidR="00E3115B">
        <w:t xml:space="preserve"> </w:t>
      </w:r>
      <w:r w:rsidR="000A36B7">
        <w:t xml:space="preserve">the </w:t>
      </w:r>
      <w:r w:rsidR="00830898">
        <w:t xml:space="preserve">assets </w:t>
      </w:r>
      <w:r w:rsidR="0071115E">
        <w:t>(</w:t>
      </w:r>
      <w:r w:rsidR="00830898">
        <w:t xml:space="preserve">or the </w:t>
      </w:r>
      <w:r w:rsidR="00E3115B">
        <w:t>net assets</w:t>
      </w:r>
      <w:r w:rsidR="0071115E">
        <w:t>)</w:t>
      </w:r>
      <w:r w:rsidR="00284EE6">
        <w:t xml:space="preserve"> rather than </w:t>
      </w:r>
      <w:r w:rsidR="003A08B1">
        <w:t xml:space="preserve">being </w:t>
      </w:r>
      <w:r w:rsidR="00284EE6">
        <w:t>the interest in them, but</w:t>
      </w:r>
      <w:r w:rsidR="00E3115B">
        <w:t xml:space="preserve"> the quantum </w:t>
      </w:r>
      <w:r w:rsidR="0071115E">
        <w:t xml:space="preserve">of a modern economist’s ‘capital’ </w:t>
      </w:r>
      <w:r w:rsidR="00E3115B">
        <w:t>might be similar to an accountant’s ‘equity capital’.</w:t>
      </w:r>
    </w:p>
    <w:p w14:paraId="515967DD" w14:textId="6ABF2401" w:rsidR="00C929CB" w:rsidRDefault="003A08B1" w:rsidP="00C563D6">
      <w:pPr>
        <w:spacing w:after="120" w:line="480" w:lineRule="auto"/>
        <w:ind w:firstLine="720"/>
      </w:pPr>
      <w:r>
        <w:t>Given that this paper’s central concern is accounting rather than economics, there is no space to deal with many ot</w:t>
      </w:r>
      <w:r w:rsidR="0088626A">
        <w:t>her interesting issues, such as ‘capital and growth’ (e.g. Kaldor 1961) and ‘the Cambridge controversies in capital theory’</w:t>
      </w:r>
      <w:r w:rsidR="00F8397E">
        <w:t xml:space="preserve"> (e.g. Cohen and Harcourt 2003</w:t>
      </w:r>
      <w:r w:rsidR="0088626A">
        <w:t>).</w:t>
      </w:r>
    </w:p>
    <w:p w14:paraId="6DF26E83" w14:textId="77777777" w:rsidR="005B57C1" w:rsidRPr="0015149D" w:rsidRDefault="00CD52A4" w:rsidP="00C929CB">
      <w:pPr>
        <w:spacing w:after="120" w:line="480" w:lineRule="auto"/>
        <w:rPr>
          <w:b/>
        </w:rPr>
      </w:pPr>
      <w:r>
        <w:t xml:space="preserve"> </w:t>
      </w:r>
      <w:r w:rsidR="00C929CB" w:rsidRPr="00C929CB">
        <w:rPr>
          <w:b/>
        </w:rPr>
        <w:t>4.</w:t>
      </w:r>
      <w:r w:rsidR="00C929CB">
        <w:t xml:space="preserve"> </w:t>
      </w:r>
      <w:r w:rsidR="0029365A" w:rsidRPr="0015149D">
        <w:rPr>
          <w:b/>
        </w:rPr>
        <w:t>D</w:t>
      </w:r>
      <w:r w:rsidR="005B57C1" w:rsidRPr="0015149D">
        <w:rPr>
          <w:b/>
        </w:rPr>
        <w:t>epreciation</w:t>
      </w:r>
      <w:r w:rsidR="0079765D" w:rsidRPr="0015149D">
        <w:rPr>
          <w:b/>
        </w:rPr>
        <w:t xml:space="preserve"> </w:t>
      </w:r>
      <w:r w:rsidR="00AC7EFA" w:rsidRPr="0015149D">
        <w:rPr>
          <w:b/>
        </w:rPr>
        <w:t>of capital assets</w:t>
      </w:r>
      <w:r w:rsidR="0088626A">
        <w:rPr>
          <w:b/>
        </w:rPr>
        <w:t xml:space="preserve"> </w:t>
      </w:r>
    </w:p>
    <w:p w14:paraId="088680A5" w14:textId="41D5236A" w:rsidR="00913CB7" w:rsidRDefault="00BE12AE" w:rsidP="00913CB7">
      <w:pPr>
        <w:spacing w:after="120" w:line="480" w:lineRule="auto"/>
        <w:ind w:firstLine="720"/>
      </w:pPr>
      <w:r>
        <w:t>In the nineteenth century, a</w:t>
      </w:r>
      <w:r w:rsidR="005B57C1">
        <w:t xml:space="preserve"> </w:t>
      </w:r>
      <w:r w:rsidR="0012576C">
        <w:t xml:space="preserve">further </w:t>
      </w:r>
      <w:r w:rsidR="005B57C1">
        <w:t>maj</w:t>
      </w:r>
      <w:r>
        <w:t>or questio</w:t>
      </w:r>
      <w:r w:rsidR="0012576C">
        <w:t>n was linked to the maintenance of capital and the calculation of income</w:t>
      </w:r>
      <w:r w:rsidR="00B237CB">
        <w:t xml:space="preserve">: </w:t>
      </w:r>
      <w:r w:rsidR="005B57C1">
        <w:t>should fixed assets be depreciated?</w:t>
      </w:r>
      <w:r w:rsidR="007E7E99">
        <w:t xml:space="preserve">  </w:t>
      </w:r>
      <w:r w:rsidR="008F272E">
        <w:t>T</w:t>
      </w:r>
      <w:r w:rsidR="00913CB7">
        <w:t>he Peninsula</w:t>
      </w:r>
      <w:r w:rsidR="0070411C">
        <w:t>r</w:t>
      </w:r>
      <w:r w:rsidR="00913CB7">
        <w:t xml:space="preserve"> and Orient</w:t>
      </w:r>
      <w:r w:rsidR="0070411C">
        <w:t>al</w:t>
      </w:r>
      <w:r w:rsidR="00913CB7">
        <w:t xml:space="preserve"> Steam Navigation Company (P&amp;O) </w:t>
      </w:r>
      <w:r w:rsidR="008F272E">
        <w:t>was</w:t>
      </w:r>
      <w:r w:rsidR="00913CB7">
        <w:t xml:space="preserve"> incorporated by royal charter in 1840</w:t>
      </w:r>
      <w:r w:rsidR="00083664">
        <w:t xml:space="preserve">, </w:t>
      </w:r>
      <w:r w:rsidR="008F272E">
        <w:t xml:space="preserve"> just before </w:t>
      </w:r>
      <w:r w:rsidR="00522AD8">
        <w:t xml:space="preserve">simple </w:t>
      </w:r>
      <w:r w:rsidR="008F272E">
        <w:t xml:space="preserve">incorporation </w:t>
      </w:r>
      <w:r w:rsidR="00522AD8">
        <w:t xml:space="preserve">by registration </w:t>
      </w:r>
      <w:r w:rsidR="003D2591">
        <w:t>became possible under</w:t>
      </w:r>
      <w:r w:rsidR="008F272E">
        <w:t xml:space="preserve"> the Companies Act 1844. </w:t>
      </w:r>
      <w:r w:rsidR="00913CB7">
        <w:t xml:space="preserve">Napier (1990) reports that, until 1855, P&amp;O recorded ships at cost, showing depreciation in a reserve called a ‘depreciation fund’. After that, ships were shown at depreciated cost. </w:t>
      </w:r>
      <w:r w:rsidR="003D2591">
        <w:t xml:space="preserve">Shipping companies, like those in most industries, soon took advantage of incorporation by registration. </w:t>
      </w:r>
      <w:r w:rsidR="00913CB7">
        <w:t xml:space="preserve">For </w:t>
      </w:r>
      <w:r w:rsidR="003D2591">
        <w:t>such ‘</w:t>
      </w:r>
      <w:r w:rsidR="00913CB7">
        <w:t>Companies Act companies</w:t>
      </w:r>
      <w:r w:rsidR="003D2591">
        <w:t>’</w:t>
      </w:r>
      <w:r w:rsidR="00913CB7">
        <w:t xml:space="preserve">, depreciation was </w:t>
      </w:r>
      <w:r w:rsidR="006C1F24">
        <w:t>common</w:t>
      </w:r>
      <w:r w:rsidR="00913CB7">
        <w:t xml:space="preserve"> by the 1880s (Brief 1966, p.8). </w:t>
      </w:r>
    </w:p>
    <w:p w14:paraId="2B01E088" w14:textId="4B7ED9C7" w:rsidR="007E7E99" w:rsidRDefault="007E7E99" w:rsidP="005505B9">
      <w:pPr>
        <w:spacing w:after="120" w:line="480" w:lineRule="auto"/>
      </w:pPr>
      <w:r>
        <w:t xml:space="preserve">  </w:t>
      </w:r>
      <w:r w:rsidR="00913CB7">
        <w:tab/>
      </w:r>
      <w:r w:rsidR="008F272E">
        <w:t>Again, it is useful to distinguish between Companies Act companies and parliamentary companies (railways and utilities).</w:t>
      </w:r>
      <w:r w:rsidR="008F272E" w:rsidRPr="00913CB7">
        <w:t xml:space="preserve"> </w:t>
      </w:r>
      <w:r>
        <w:t xml:space="preserve">For </w:t>
      </w:r>
      <w:r w:rsidR="00522AD8">
        <w:t xml:space="preserve">the </w:t>
      </w:r>
      <w:r w:rsidR="003D2591">
        <w:t>latter,</w:t>
      </w:r>
      <w:r>
        <w:t xml:space="preserve"> </w:t>
      </w:r>
      <w:r w:rsidR="00522AD8">
        <w:t>which used</w:t>
      </w:r>
      <w:r>
        <w:t xml:space="preserve"> a d</w:t>
      </w:r>
      <w:r w:rsidR="00DA530C">
        <w:t>ouble-account system, it was norm</w:t>
      </w:r>
      <w:r>
        <w:t xml:space="preserve">al not to charge depreciation but to charge replacements to revenue as they occurred.  </w:t>
      </w:r>
      <w:r w:rsidR="00497D40">
        <w:t>The capital account was a stewardship document which explained what the directors had done with the capital, so depreciation would cause confusion</w:t>
      </w:r>
      <w:r w:rsidR="0029365A">
        <w:t xml:space="preserve"> (Edwards 1989, p.170)</w:t>
      </w:r>
      <w:r w:rsidR="00497D40">
        <w:t xml:space="preserve">. </w:t>
      </w:r>
      <w:r w:rsidR="00CB3486">
        <w:t>One could argue that a more sophisticated version of stewardship would require the directors to take account of the wasting of assets. Further</w:t>
      </w:r>
      <w:r>
        <w:t xml:space="preserve">, in </w:t>
      </w:r>
      <w:r w:rsidR="00720A13">
        <w:t xml:space="preserve">the </w:t>
      </w:r>
      <w:r>
        <w:t xml:space="preserve">early years </w:t>
      </w:r>
      <w:r w:rsidR="00DA530C">
        <w:t xml:space="preserve">of a company, </w:t>
      </w:r>
      <w:r>
        <w:t>before replacements were needed, th</w:t>
      </w:r>
      <w:r w:rsidR="00CB3486">
        <w:t>e lack of depreciation</w:t>
      </w:r>
      <w:r>
        <w:t xml:space="preserve"> could mean that high dividends were paid, leading to liquidity problems later </w:t>
      </w:r>
      <w:r w:rsidR="00720A13">
        <w:t>(Brief 1966, p.4).  To counter this</w:t>
      </w:r>
      <w:r>
        <w:t xml:space="preserve">, some railways had charged depreciation in the 1840s </w:t>
      </w:r>
      <w:r w:rsidR="00497D40">
        <w:t>(</w:t>
      </w:r>
      <w:r w:rsidR="00CB3486">
        <w:t xml:space="preserve">with the </w:t>
      </w:r>
      <w:r w:rsidR="00497D40" w:rsidRPr="00676889">
        <w:rPr>
          <w:i/>
        </w:rPr>
        <w:t>credit</w:t>
      </w:r>
      <w:r w:rsidR="00497D40">
        <w:t xml:space="preserve"> to a </w:t>
      </w:r>
      <w:r w:rsidR="004E17DB">
        <w:t>‘</w:t>
      </w:r>
      <w:r w:rsidR="00497D40">
        <w:t>fund</w:t>
      </w:r>
      <w:r w:rsidR="004E17DB">
        <w:t>’</w:t>
      </w:r>
      <w:r w:rsidR="00CB3486">
        <w:t xml:space="preserve"> on the </w:t>
      </w:r>
      <w:r w:rsidR="00CB3486" w:rsidRPr="00676889">
        <w:rPr>
          <w:i/>
        </w:rPr>
        <w:t>credit</w:t>
      </w:r>
      <w:r w:rsidR="00CB3486">
        <w:t xml:space="preserve"> side of</w:t>
      </w:r>
      <w:r w:rsidR="00497D40">
        <w:t xml:space="preserve"> the general balance sheet) </w:t>
      </w:r>
      <w:r w:rsidR="00720A13">
        <w:t>but this had soon</w:t>
      </w:r>
      <w:r>
        <w:t xml:space="preserve"> largely fallen out of fashion (Pollins</w:t>
      </w:r>
      <w:r w:rsidR="00C61050">
        <w:t xml:space="preserve"> </w:t>
      </w:r>
      <w:r>
        <w:t>1956).</w:t>
      </w:r>
      <w:r w:rsidR="006C1F24">
        <w:t xml:space="preserve"> Edwards (1986</w:t>
      </w:r>
      <w:r w:rsidR="00920124">
        <w:t>, p.257</w:t>
      </w:r>
      <w:r w:rsidR="006C1F24">
        <w:t>) suggests that depreciation became unpopular because it hampered the declaration of dividends.</w:t>
      </w:r>
      <w:r w:rsidR="00DA530C">
        <w:t xml:space="preserve"> </w:t>
      </w:r>
    </w:p>
    <w:p w14:paraId="020F89CB" w14:textId="77777777" w:rsidR="00F475B5" w:rsidRDefault="007E7E99" w:rsidP="00282306">
      <w:pPr>
        <w:spacing w:after="120" w:line="480" w:lineRule="auto"/>
      </w:pPr>
      <w:r>
        <w:tab/>
        <w:t xml:space="preserve">One aspect of the </w:t>
      </w:r>
      <w:r>
        <w:rPr>
          <w:i/>
        </w:rPr>
        <w:t>Lee</w:t>
      </w:r>
      <w:r>
        <w:t xml:space="preserve"> decision of 1889 </w:t>
      </w:r>
      <w:r w:rsidR="00694817">
        <w:t xml:space="preserve">about </w:t>
      </w:r>
      <w:r>
        <w:t>which</w:t>
      </w:r>
      <w:r w:rsidR="00694817">
        <w:t xml:space="preserve"> accountants were worried </w:t>
      </w:r>
      <w:r>
        <w:t xml:space="preserve">was its possible effect on depreciation.  </w:t>
      </w:r>
      <w:r w:rsidR="00C57094">
        <w:t xml:space="preserve">However, the decision seems not to have been as </w:t>
      </w:r>
      <w:r w:rsidR="002A6379">
        <w:t>‘</w:t>
      </w:r>
      <w:r w:rsidR="00C57094">
        <w:t>pernicious</w:t>
      </w:r>
      <w:r w:rsidR="002A6379">
        <w:t>’</w:t>
      </w:r>
      <w:r w:rsidR="00C57094">
        <w:t xml:space="preserve"> as expected. By investigating a large number of UK companies in the period, Morris (1986) found that the practice of depreciation </w:t>
      </w:r>
      <w:r w:rsidR="00C57094" w:rsidRPr="00720A13">
        <w:rPr>
          <w:i/>
        </w:rPr>
        <w:t>increased</w:t>
      </w:r>
      <w:r w:rsidR="00C57094">
        <w:t xml:space="preserve"> after the </w:t>
      </w:r>
      <w:r w:rsidR="00C57094">
        <w:rPr>
          <w:i/>
        </w:rPr>
        <w:t>Lee</w:t>
      </w:r>
      <w:r w:rsidR="00C57094">
        <w:t xml:space="preserve"> decision for non-mining companies and remained the same for mining companies.  The decision might, then, have slowed the adoption of depreciation for mining companies but it did not halt the spread of depreciation more generally.</w:t>
      </w:r>
      <w:r w:rsidR="00284FE9">
        <w:t xml:space="preserve"> Carlon and Morris (2003)</w:t>
      </w:r>
      <w:r w:rsidR="0014109F">
        <w:t>, using a sample of 926 annual reports of the late 19</w:t>
      </w:r>
      <w:r w:rsidR="0014109F" w:rsidRPr="00676889">
        <w:rPr>
          <w:vertAlign w:val="superscript"/>
        </w:rPr>
        <w:t>th</w:t>
      </w:r>
      <w:r w:rsidR="0014109F">
        <w:t xml:space="preserve"> century, show that the amount of depreciation charged was significantly related to the size of profits.</w:t>
      </w:r>
    </w:p>
    <w:p w14:paraId="2925CFB1" w14:textId="77777777" w:rsidR="00856A27" w:rsidRDefault="008D0B08" w:rsidP="00282306">
      <w:pPr>
        <w:spacing w:after="120" w:line="480" w:lineRule="auto"/>
      </w:pPr>
      <w:r>
        <w:tab/>
        <w:t xml:space="preserve">Arnold and Collier (2007, p.95) report that, in the 1930s and 1940s, </w:t>
      </w:r>
      <w:r w:rsidR="001E69F3">
        <w:t xml:space="preserve">UK </w:t>
      </w:r>
      <w:r>
        <w:t xml:space="preserve">companies generally did not reveal the cost of assets or the accumulated depreciation.  That is, they had completely moved away from explaining how capital had been spent.  </w:t>
      </w:r>
      <w:r w:rsidR="005905BA">
        <w:t>However, some balance sheet</w:t>
      </w:r>
      <w:r w:rsidR="00697B19">
        <w:t>s</w:t>
      </w:r>
      <w:r w:rsidR="005905BA">
        <w:t xml:space="preserve"> still </w:t>
      </w:r>
      <w:r w:rsidR="001145F1">
        <w:t>present</w:t>
      </w:r>
      <w:r w:rsidR="005905BA">
        <w:t xml:space="preserve">ed the assets at cost, with the depreciation shown as a </w:t>
      </w:r>
      <w:r w:rsidR="005905BA" w:rsidRPr="005073DC">
        <w:rPr>
          <w:i/>
        </w:rPr>
        <w:t>credit</w:t>
      </w:r>
      <w:r w:rsidR="005905BA">
        <w:t xml:space="preserve"> balance reserve, as in Figure 3 for Marks and Spencer </w:t>
      </w:r>
      <w:r w:rsidR="001145F1">
        <w:t xml:space="preserve">in </w:t>
      </w:r>
      <w:r w:rsidR="005905BA">
        <w:t xml:space="preserve">1934. </w:t>
      </w:r>
      <w:r w:rsidR="00856A27">
        <w:t>Edwards (1981</w:t>
      </w:r>
      <w:r w:rsidR="003F4EB3">
        <w:t>, pp. 21-25</w:t>
      </w:r>
      <w:r w:rsidR="00856A27">
        <w:t>)</w:t>
      </w:r>
      <w:r w:rsidR="003F4EB3">
        <w:t xml:space="preserve"> shows mixed practice among </w:t>
      </w:r>
      <w:r w:rsidR="00856A27">
        <w:t>iron and steel companies in the first 40 years of the twentieth century</w:t>
      </w:r>
      <w:r w:rsidR="003F4EB3">
        <w:t>. Some</w:t>
      </w:r>
      <w:r w:rsidR="00856A27">
        <w:t xml:space="preserve"> </w:t>
      </w:r>
      <w:r w:rsidR="003F4EB3">
        <w:t>wrote assets off immedia</w:t>
      </w:r>
      <w:r w:rsidR="00697B19">
        <w:t>tely</w:t>
      </w:r>
      <w:r w:rsidR="003F4EB3">
        <w:t xml:space="preserve">. Most </w:t>
      </w:r>
      <w:r w:rsidR="00697B19">
        <w:t xml:space="preserve">charged depreciation, but it is difficult to tell whether the </w:t>
      </w:r>
      <w:r w:rsidR="00697B19" w:rsidRPr="00697B19">
        <w:rPr>
          <w:i/>
        </w:rPr>
        <w:t>debit</w:t>
      </w:r>
      <w:r w:rsidR="00697B19">
        <w:t xml:space="preserve"> was treated as an expense or </w:t>
      </w:r>
      <w:r w:rsidR="00856A27">
        <w:t>as an appropriation of profits</w:t>
      </w:r>
      <w:r w:rsidR="00697B19">
        <w:t>. There is also</w:t>
      </w:r>
      <w:r w:rsidR="00856A27">
        <w:t xml:space="preserve"> evidence that the amount </w:t>
      </w:r>
      <w:r w:rsidR="00697B19">
        <w:t xml:space="preserve">of depreciation </w:t>
      </w:r>
      <w:r w:rsidR="00284FE9">
        <w:t xml:space="preserve">continued to </w:t>
      </w:r>
      <w:r w:rsidR="00856A27">
        <w:t>var</w:t>
      </w:r>
      <w:r w:rsidR="00284FE9">
        <w:t>y</w:t>
      </w:r>
      <w:r w:rsidR="0014109F">
        <w:t xml:space="preserve"> </w:t>
      </w:r>
      <w:r w:rsidR="00856A27">
        <w:t xml:space="preserve"> with profit.</w:t>
      </w:r>
    </w:p>
    <w:p w14:paraId="2A9D93D1" w14:textId="5C75810E" w:rsidR="007B1BD3" w:rsidRDefault="000B6427" w:rsidP="00F83579">
      <w:pPr>
        <w:spacing w:after="120" w:line="480" w:lineRule="auto"/>
        <w:ind w:firstLine="720"/>
      </w:pPr>
      <w:r>
        <w:t xml:space="preserve">In 1945, </w:t>
      </w:r>
      <w:r w:rsidR="008E6B1E">
        <w:t xml:space="preserve">the Institute of Chartered Accountants in England and Wales (ICAEW) issued a </w:t>
      </w:r>
      <w:r w:rsidR="00486853">
        <w:t>‘</w:t>
      </w:r>
      <w:r w:rsidR="008E6B1E">
        <w:t>Recommendation</w:t>
      </w:r>
      <w:r w:rsidR="00486853">
        <w:t>’</w:t>
      </w:r>
      <w:r w:rsidR="008E6B1E">
        <w:t xml:space="preserve"> on depreciation, generally endorsing the straight-line method (ICAEW 1945). T</w:t>
      </w:r>
      <w:r w:rsidR="008D0B08">
        <w:t xml:space="preserve">he </w:t>
      </w:r>
      <w:r w:rsidR="008E6B1E">
        <w:t xml:space="preserve">first foray of the </w:t>
      </w:r>
      <w:r w:rsidR="008D0B08">
        <w:t xml:space="preserve">Accounting Standards Committee </w:t>
      </w:r>
      <w:r w:rsidR="00F40218">
        <w:t xml:space="preserve">(ASC) </w:t>
      </w:r>
      <w:r w:rsidR="008E6B1E">
        <w:t xml:space="preserve">into accounting for fixed assets was SSAP 12 of 1977, </w:t>
      </w:r>
      <w:r w:rsidR="00F40218">
        <w:t xml:space="preserve">in </w:t>
      </w:r>
      <w:r w:rsidR="008E6B1E">
        <w:t xml:space="preserve">which </w:t>
      </w:r>
      <w:r w:rsidR="00D900B9">
        <w:t xml:space="preserve">the ASC deemed </w:t>
      </w:r>
      <w:r w:rsidR="00F40218">
        <w:t xml:space="preserve">it necessary </w:t>
      </w:r>
      <w:r w:rsidR="008D0B08">
        <w:t xml:space="preserve">specifically </w:t>
      </w:r>
      <w:r>
        <w:t xml:space="preserve">to </w:t>
      </w:r>
      <w:r w:rsidR="008E6B1E">
        <w:t xml:space="preserve">require </w:t>
      </w:r>
      <w:r w:rsidR="008D0B08">
        <w:t>that buildings should be depreciated because that had never been universal practice.</w:t>
      </w:r>
      <w:r w:rsidR="00F40218">
        <w:t xml:space="preserve"> However, in 1981, the ASC introduced a dramatic requirement for investment property buildings: compulsory annual current valuation, with no depreciation. Much later (in 2000), this formed the basis of the preferred</w:t>
      </w:r>
      <w:r w:rsidR="00F40218">
        <w:rPr>
          <w:rStyle w:val="FootnoteReference"/>
        </w:rPr>
        <w:footnoteReference w:id="32"/>
      </w:r>
      <w:r w:rsidR="00F40218">
        <w:t xml:space="preserve"> treatment of investment properties in IAS 40.</w:t>
      </w:r>
      <w:r w:rsidR="00D900B9">
        <w:t xml:space="preserve"> </w:t>
      </w:r>
      <w:r w:rsidR="000B1B81">
        <w:t xml:space="preserve">This </w:t>
      </w:r>
      <w:r w:rsidR="00F669E2">
        <w:t>implies a new version of</w:t>
      </w:r>
      <w:r w:rsidR="000B1B81">
        <w:t xml:space="preserve"> capital maintenance (see Section 6).</w:t>
      </w:r>
    </w:p>
    <w:p w14:paraId="7A3C9396" w14:textId="77777777" w:rsidR="00AC0BFE" w:rsidRPr="00C929CB" w:rsidRDefault="00AC0BFE" w:rsidP="00C929CB">
      <w:pPr>
        <w:pStyle w:val="ListParagraph"/>
        <w:numPr>
          <w:ilvl w:val="0"/>
          <w:numId w:val="12"/>
        </w:numPr>
        <w:spacing w:after="120" w:line="480" w:lineRule="auto"/>
        <w:rPr>
          <w:b/>
        </w:rPr>
      </w:pPr>
      <w:r w:rsidRPr="00C929CB">
        <w:rPr>
          <w:b/>
        </w:rPr>
        <w:t>Distributable profit</w:t>
      </w:r>
      <w:r w:rsidR="0029365A" w:rsidRPr="00C929CB">
        <w:rPr>
          <w:b/>
        </w:rPr>
        <w:t xml:space="preserve"> from 1980</w:t>
      </w:r>
      <w:r w:rsidR="00013BBE">
        <w:rPr>
          <w:b/>
        </w:rPr>
        <w:t>, and taxable income</w:t>
      </w:r>
    </w:p>
    <w:p w14:paraId="00F6D975" w14:textId="22E4E728" w:rsidR="00AC0BFE" w:rsidRDefault="0058227D" w:rsidP="0058227D">
      <w:pPr>
        <w:spacing w:after="120" w:line="480" w:lineRule="auto"/>
        <w:ind w:firstLine="720"/>
      </w:pPr>
      <w:r>
        <w:t xml:space="preserve">The maintenance of capital </w:t>
      </w:r>
      <w:r w:rsidR="0012576C">
        <w:t>depend</w:t>
      </w:r>
      <w:r>
        <w:t>s</w:t>
      </w:r>
      <w:r w:rsidR="008B3433">
        <w:t xml:space="preserve">, </w:t>
      </w:r>
      <w:r w:rsidR="008B3433" w:rsidRPr="00676889">
        <w:rPr>
          <w:i/>
        </w:rPr>
        <w:t>inter alia</w:t>
      </w:r>
      <w:r w:rsidR="008B3433">
        <w:t>, on limiting distributions</w:t>
      </w:r>
      <w:r>
        <w:t>; and depreciation can affect the quantum of distributable profit</w:t>
      </w:r>
      <w:r w:rsidR="008B3433">
        <w:t xml:space="preserve">. </w:t>
      </w:r>
      <w:r>
        <w:t>However, i</w:t>
      </w:r>
      <w:r w:rsidR="00BD190D" w:rsidRPr="008B3433">
        <w:t>t</w:t>
      </w:r>
      <w:r>
        <w:t xml:space="preserve"> </w:t>
      </w:r>
      <w:r w:rsidR="00BD190D">
        <w:t xml:space="preserve">was noted above </w:t>
      </w:r>
      <w:r w:rsidR="008B3433">
        <w:t xml:space="preserve">(Section 3.1) </w:t>
      </w:r>
      <w:r w:rsidR="00BD190D">
        <w:t>that there was no legal certainty concerning di</w:t>
      </w:r>
      <w:r w:rsidR="00720A13">
        <w:t>stributable profit for most</w:t>
      </w:r>
      <w:r w:rsidR="00BD190D">
        <w:t xml:space="preserve"> of the twentieth century.</w:t>
      </w:r>
      <w:r w:rsidR="00BD190D">
        <w:rPr>
          <w:b/>
        </w:rPr>
        <w:t xml:space="preserve">  </w:t>
      </w:r>
      <w:r w:rsidR="00BD190D">
        <w:t>Some clarification came in the Companies Act 1980 which implemented in the UK the EU’s Second Directive on company law</w:t>
      </w:r>
      <w:r w:rsidR="00C72A87">
        <w:t>, which had drawn</w:t>
      </w:r>
      <w:r w:rsidR="00BD190D">
        <w:t xml:space="preserve"> on a German precedent (Nobes 1983, p.140)</w:t>
      </w:r>
      <w:r w:rsidR="001E69F3">
        <w:t>.</w:t>
      </w:r>
      <w:r w:rsidR="00BD190D">
        <w:t xml:space="preserve"> </w:t>
      </w:r>
      <w:r w:rsidR="00C72A87">
        <w:t>The Act</w:t>
      </w:r>
      <w:r w:rsidR="00BD190D">
        <w:t xml:space="preserve"> requires</w:t>
      </w:r>
      <w:r w:rsidR="00BD190D">
        <w:rPr>
          <w:rStyle w:val="FootnoteReference"/>
        </w:rPr>
        <w:footnoteReference w:id="33"/>
      </w:r>
      <w:r w:rsidR="00BD190D">
        <w:t xml:space="preserve"> that distribution shall not exceed a company’s ‘accumulated, realised profits … less its accumulated, realised losses’.  This reversed several aspects of the earli</w:t>
      </w:r>
      <w:r w:rsidR="00720A13">
        <w:t>er case law (as</w:t>
      </w:r>
      <w:r w:rsidR="003D2591">
        <w:t xml:space="preserve"> in</w:t>
      </w:r>
      <w:r w:rsidR="00720A13">
        <w:t xml:space="preserve"> Section 3.1</w:t>
      </w:r>
      <w:r>
        <w:t xml:space="preserve">): </w:t>
      </w:r>
      <w:r w:rsidR="00BD190D">
        <w:t>depreciation must now be charged (</w:t>
      </w:r>
      <w:r w:rsidR="003D033E">
        <w:t xml:space="preserve">overturning the </w:t>
      </w:r>
      <w:r w:rsidR="00BD190D">
        <w:rPr>
          <w:i/>
        </w:rPr>
        <w:t>Lee</w:t>
      </w:r>
      <w:r w:rsidR="00BD190D">
        <w:t xml:space="preserve"> and </w:t>
      </w:r>
      <w:r w:rsidR="00BD190D">
        <w:rPr>
          <w:i/>
        </w:rPr>
        <w:t>Verner</w:t>
      </w:r>
      <w:r w:rsidR="003D033E">
        <w:t xml:space="preserve"> cases)</w:t>
      </w:r>
      <w:r w:rsidR="00BD190D">
        <w:t>, dividends may not be paid out of unrealised capital profits (</w:t>
      </w:r>
      <w:r w:rsidR="003D033E">
        <w:t xml:space="preserve">overturning </w:t>
      </w:r>
      <w:r w:rsidR="00BD190D">
        <w:rPr>
          <w:i/>
        </w:rPr>
        <w:t>Dimbula Valley</w:t>
      </w:r>
      <w:r w:rsidR="00BD190D">
        <w:t>)</w:t>
      </w:r>
      <w:r w:rsidR="003D2591">
        <w:t>,</w:t>
      </w:r>
      <w:r w:rsidR="00BD190D">
        <w:t xml:space="preserve"> and profit and loss is cumulative (</w:t>
      </w:r>
      <w:r w:rsidR="003D033E">
        <w:t xml:space="preserve">overturning </w:t>
      </w:r>
      <w:r w:rsidR="00BD190D">
        <w:rPr>
          <w:i/>
        </w:rPr>
        <w:t>Ammonia Soda</w:t>
      </w:r>
      <w:r w:rsidR="00BD190D">
        <w:t>).</w:t>
      </w:r>
    </w:p>
    <w:p w14:paraId="190109A4" w14:textId="4284A0AE" w:rsidR="00BD190D" w:rsidRDefault="00BD190D" w:rsidP="00282306">
      <w:pPr>
        <w:spacing w:after="120" w:line="480" w:lineRule="auto"/>
      </w:pPr>
      <w:r>
        <w:tab/>
      </w:r>
      <w:r w:rsidR="003D033E">
        <w:t xml:space="preserve">In Germany at the time, the </w:t>
      </w:r>
      <w:r w:rsidR="00720A13">
        <w:t xml:space="preserve">above </w:t>
      </w:r>
      <w:r w:rsidR="003D033E">
        <w:t xml:space="preserve">rule </w:t>
      </w:r>
      <w:r w:rsidR="00055665">
        <w:t xml:space="preserve">that limited distribution </w:t>
      </w:r>
      <w:r w:rsidR="003D033E">
        <w:t>was</w:t>
      </w:r>
      <w:r w:rsidR="006A7071">
        <w:t xml:space="preserve"> unambiguous because </w:t>
      </w:r>
      <w:r>
        <w:t xml:space="preserve">distributable profit </w:t>
      </w:r>
      <w:r w:rsidRPr="001E69F3">
        <w:rPr>
          <w:i/>
        </w:rPr>
        <w:t>was</w:t>
      </w:r>
      <w:r>
        <w:t xml:space="preserve"> accounting profit after taxation</w:t>
      </w:r>
      <w:r w:rsidR="00055665">
        <w:t>, and</w:t>
      </w:r>
      <w:r w:rsidR="00055665" w:rsidRPr="00055665">
        <w:t xml:space="preserve"> </w:t>
      </w:r>
      <w:r w:rsidR="00055665">
        <w:t xml:space="preserve">taxable profit </w:t>
      </w:r>
      <w:r w:rsidR="00055665" w:rsidRPr="001E69F3">
        <w:rPr>
          <w:i/>
        </w:rPr>
        <w:t>was</w:t>
      </w:r>
      <w:r w:rsidR="00055665">
        <w:t xml:space="preserve"> accounting profit (Haller 1992)</w:t>
      </w:r>
      <w:r>
        <w:t>.</w:t>
      </w:r>
      <w:r w:rsidR="003D033E">
        <w:t xml:space="preserve"> </w:t>
      </w:r>
      <w:r w:rsidR="001C1FB7">
        <w:t>That is, the same accounting numbers were used for the</w:t>
      </w:r>
      <w:r w:rsidR="003D2591">
        <w:t xml:space="preserve"> three</w:t>
      </w:r>
      <w:r w:rsidR="001C1FB7">
        <w:t xml:space="preserve"> purposes</w:t>
      </w:r>
      <w:r w:rsidR="00055665">
        <w:t>:</w:t>
      </w:r>
      <w:r w:rsidR="001C1FB7">
        <w:t xml:space="preserve"> an </w:t>
      </w:r>
      <w:r w:rsidR="001C1FB7" w:rsidRPr="001C1FB7">
        <w:rPr>
          <w:i/>
        </w:rPr>
        <w:t>Einheitsbilanz</w:t>
      </w:r>
      <w:r w:rsidR="001C1FB7">
        <w:t xml:space="preserve">. </w:t>
      </w:r>
      <w:r>
        <w:t>However, in the UK there were complications</w:t>
      </w:r>
      <w:r w:rsidR="003D033E">
        <w:t xml:space="preserve"> with the new rule</w:t>
      </w:r>
      <w:r>
        <w:t>.  Suppose that a company revalued a building upwards (not allowed in Germany), would the increas</w:t>
      </w:r>
      <w:r w:rsidR="00B62AC0">
        <w:t>e in depreciation, which can</w:t>
      </w:r>
      <w:r>
        <w:rPr>
          <w:rStyle w:val="FootnoteReference"/>
        </w:rPr>
        <w:footnoteReference w:id="34"/>
      </w:r>
      <w:r w:rsidR="00B62AC0">
        <w:t xml:space="preserve"> be charged in the profit and loss account, reduce distributable profit?  If development costs were capitalised (not</w:t>
      </w:r>
      <w:r w:rsidR="003D2591">
        <w:t xml:space="preserve"> then</w:t>
      </w:r>
      <w:r w:rsidR="00B62AC0">
        <w:t xml:space="preserve"> allowed in Germany) would that increase distributable profit?  The (negative) answers to those questions were set out in the Companies Act 1981.  Nevertheless, many other questions arose and are addressed by the following splendid definition</w:t>
      </w:r>
      <w:r w:rsidR="006A7071">
        <w:t>, introduced by th</w:t>
      </w:r>
      <w:r w:rsidR="00381284">
        <w:t>e</w:t>
      </w:r>
      <w:r w:rsidR="00284FE9">
        <w:t xml:space="preserve"> </w:t>
      </w:r>
      <w:r w:rsidR="006A7071">
        <w:t>Act</w:t>
      </w:r>
      <w:r w:rsidR="00B62AC0">
        <w:t>:</w:t>
      </w:r>
      <w:r w:rsidR="0013733F">
        <w:rPr>
          <w:rStyle w:val="FootnoteReference"/>
        </w:rPr>
        <w:footnoteReference w:id="35"/>
      </w:r>
    </w:p>
    <w:p w14:paraId="57DB8B88" w14:textId="77777777" w:rsidR="00F669E2" w:rsidRDefault="00B62AC0" w:rsidP="00F83579">
      <w:pPr>
        <w:spacing w:after="120" w:line="240" w:lineRule="auto"/>
        <w:ind w:left="720"/>
      </w:pPr>
      <w:r>
        <w:t xml:space="preserve">References to </w:t>
      </w:r>
      <w:r w:rsidR="002A6379">
        <w:t>‘</w:t>
      </w:r>
      <w:r>
        <w:t>realised profits</w:t>
      </w:r>
      <w:r w:rsidR="002A6379">
        <w:t>’</w:t>
      </w:r>
      <w:r>
        <w:t xml:space="preserve"> and </w:t>
      </w:r>
      <w:r w:rsidR="002A6379">
        <w:t>‘</w:t>
      </w:r>
      <w:r>
        <w:t>realised losses</w:t>
      </w:r>
      <w:r w:rsidR="002A6379">
        <w:t>’</w:t>
      </w:r>
      <w:r>
        <w:t>, in relation to a company’s</w:t>
      </w:r>
    </w:p>
    <w:p w14:paraId="1C84B32B" w14:textId="77777777" w:rsidR="00B62AC0" w:rsidRDefault="00B62AC0" w:rsidP="00F83579">
      <w:pPr>
        <w:spacing w:after="120" w:line="240" w:lineRule="auto"/>
        <w:ind w:left="720"/>
      </w:pPr>
      <w:r>
        <w:t>accounts, are to such profits or losses of the company as fall to be treated as realised in accordance with principles generally accepted at the time when the accounts are prepared, with respect to the determination for accounting purposes of realised profits or losses. (</w:t>
      </w:r>
      <w:r w:rsidR="003D033E">
        <w:t xml:space="preserve">now CA 2006, </w:t>
      </w:r>
      <w:r>
        <w:rPr>
          <w:rFonts w:cstheme="minorHAnsi"/>
        </w:rPr>
        <w:t>§</w:t>
      </w:r>
      <w:r>
        <w:t>853 (4))</w:t>
      </w:r>
    </w:p>
    <w:p w14:paraId="29DA30D2" w14:textId="77777777" w:rsidR="002E7185" w:rsidRDefault="002E7185" w:rsidP="002E7185">
      <w:pPr>
        <w:spacing w:after="120" w:line="240" w:lineRule="auto"/>
        <w:ind w:left="720"/>
      </w:pPr>
    </w:p>
    <w:p w14:paraId="328FA49C" w14:textId="7515010F" w:rsidR="00013BBE" w:rsidRDefault="00B62AC0" w:rsidP="00013BBE">
      <w:pPr>
        <w:spacing w:after="120" w:line="480" w:lineRule="auto"/>
      </w:pPr>
      <w:r>
        <w:tab/>
      </w:r>
      <w:r w:rsidR="00284FE9">
        <w:t xml:space="preserve">So, Dicksee’s dictum of 1892 concerning the proper limits of lawyers (see </w:t>
      </w:r>
      <w:r w:rsidR="001145F1">
        <w:t xml:space="preserve">Section </w:t>
      </w:r>
      <w:r w:rsidR="00284FE9">
        <w:t xml:space="preserve">3.1 above) was given statutory backing. </w:t>
      </w:r>
      <w:r>
        <w:t xml:space="preserve">This leaves it to accountants to determine, for example, whether </w:t>
      </w:r>
      <w:r w:rsidR="0017770B">
        <w:t>realised/</w:t>
      </w:r>
      <w:r>
        <w:t xml:space="preserve">distributable profit is reduced by an actuarial loss charged to other comprehensive income </w:t>
      </w:r>
      <w:r w:rsidR="000469A5">
        <w:t xml:space="preserve">(OCI) </w:t>
      </w:r>
      <w:r>
        <w:t xml:space="preserve">or by an impairment loss on a previously revalued financial asset.  </w:t>
      </w:r>
      <w:r w:rsidR="00284FE9">
        <w:t xml:space="preserve">Morris (1991) traces how the profession </w:t>
      </w:r>
      <w:r w:rsidR="003D5C8C">
        <w:t>attempted to define distributable profit</w:t>
      </w:r>
      <w:r w:rsidR="0086288D" w:rsidRPr="0086288D">
        <w:t xml:space="preserve"> </w:t>
      </w:r>
      <w:r w:rsidR="0086288D">
        <w:t>in the 1980s</w:t>
      </w:r>
      <w:r w:rsidR="00284FE9">
        <w:t xml:space="preserve">, </w:t>
      </w:r>
      <w:r w:rsidR="0086288D">
        <w:t>using</w:t>
      </w:r>
      <w:r w:rsidR="00284FE9">
        <w:t xml:space="preserve"> accounting standards and other guidance. A</w:t>
      </w:r>
      <w:r>
        <w:t xml:space="preserve">ccountants and lawyers </w:t>
      </w:r>
      <w:r w:rsidR="00284FE9">
        <w:t xml:space="preserve">now </w:t>
      </w:r>
      <w:r>
        <w:t>consult a 168-page document (ICAEW 2010) which explains in exquisite d</w:t>
      </w:r>
      <w:r w:rsidR="003D033E">
        <w:t>etail the ways in which</w:t>
      </w:r>
      <w:r>
        <w:t xml:space="preserve"> </w:t>
      </w:r>
      <w:r w:rsidR="006A7071">
        <w:t xml:space="preserve">accounting </w:t>
      </w:r>
      <w:r>
        <w:t>profit is not</w:t>
      </w:r>
      <w:r w:rsidR="006A7071" w:rsidRPr="006A7071">
        <w:t xml:space="preserve"> </w:t>
      </w:r>
      <w:r w:rsidR="00166C69">
        <w:t xml:space="preserve">necessarily </w:t>
      </w:r>
      <w:r w:rsidR="006A7071">
        <w:t>distributable</w:t>
      </w:r>
      <w:r>
        <w:t xml:space="preserve"> profit.</w:t>
      </w:r>
      <w:r w:rsidR="00BB7CA2">
        <w:t xml:space="preserve"> </w:t>
      </w:r>
    </w:p>
    <w:p w14:paraId="4BAAB09D" w14:textId="5FAF36B9" w:rsidR="00B62AC0" w:rsidRPr="00BD190D" w:rsidRDefault="00DB5ACE" w:rsidP="00F83579">
      <w:pPr>
        <w:spacing w:after="120" w:line="480" w:lineRule="auto"/>
        <w:ind w:firstLine="720"/>
      </w:pPr>
      <w:r>
        <w:t>In line with the notion of distributable gains in company law</w:t>
      </w:r>
      <w:r w:rsidR="00B30B48">
        <w:t xml:space="preserve">, ‘capital </w:t>
      </w:r>
      <w:r>
        <w:t>gains</w:t>
      </w:r>
      <w:r w:rsidR="00B30B48">
        <w:t>’</w:t>
      </w:r>
      <w:r>
        <w:t xml:space="preserve"> </w:t>
      </w:r>
      <w:r w:rsidR="00B30B48">
        <w:t>are</w:t>
      </w:r>
      <w:r w:rsidR="0086288D">
        <w:t xml:space="preserve"> only</w:t>
      </w:r>
      <w:r w:rsidR="00B30B48">
        <w:t xml:space="preserve"> assessed for tax </w:t>
      </w:r>
      <w:r w:rsidR="0086288D">
        <w:t>when</w:t>
      </w:r>
      <w:r>
        <w:t xml:space="preserve"> assets</w:t>
      </w:r>
      <w:r w:rsidR="0086288D">
        <w:t xml:space="preserve"> are </w:t>
      </w:r>
      <w:r w:rsidR="0086288D" w:rsidRPr="0086288D">
        <w:rPr>
          <w:i/>
        </w:rPr>
        <w:t>sold</w:t>
      </w:r>
      <w:r>
        <w:t xml:space="preserve">.  </w:t>
      </w:r>
      <w:r w:rsidR="00013BBE">
        <w:t xml:space="preserve">In the measurement of </w:t>
      </w:r>
      <w:r w:rsidR="00B30B48" w:rsidRPr="00166C69">
        <w:rPr>
          <w:i/>
        </w:rPr>
        <w:t>trading</w:t>
      </w:r>
      <w:r w:rsidR="00B30B48">
        <w:t xml:space="preserve"> profit for </w:t>
      </w:r>
      <w:r w:rsidR="00013BBE">
        <w:t>taxation,</w:t>
      </w:r>
      <w:r w:rsidR="00013BBE">
        <w:rPr>
          <w:rStyle w:val="FootnoteReference"/>
        </w:rPr>
        <w:footnoteReference w:id="36"/>
      </w:r>
      <w:r w:rsidR="00013BBE">
        <w:t xml:space="preserve"> the revenue/capital borderline is key.  Long-standing tax procedure is that profit is ‘computed in accordance with generally accepted accounting practice’ (e.g. Finance Act 1998, S.42) except for certain specific tax rules.  As ‘generally accepted accounting practice’ has become more and more precise, so the skirmishes on this battleground between taxpayer and tax authorities have subsided (Freedman 1993).  Nevertheless, old law cases can still be relevant.</w:t>
      </w:r>
      <w:r w:rsidR="00013BBE">
        <w:rPr>
          <w:rStyle w:val="FootnoteReference"/>
        </w:rPr>
        <w:footnoteReference w:id="37"/>
      </w:r>
      <w:r w:rsidR="00013BBE">
        <w:t xml:space="preserve">  </w:t>
      </w:r>
    </w:p>
    <w:p w14:paraId="6E465CDC" w14:textId="77777777" w:rsidR="00BB7CA2" w:rsidRPr="00586154" w:rsidRDefault="00811658" w:rsidP="00586154">
      <w:pPr>
        <w:pStyle w:val="ListParagraph"/>
        <w:numPr>
          <w:ilvl w:val="0"/>
          <w:numId w:val="12"/>
        </w:numPr>
        <w:spacing w:after="120" w:line="480" w:lineRule="auto"/>
        <w:rPr>
          <w:b/>
        </w:rPr>
      </w:pPr>
      <w:r>
        <w:rPr>
          <w:b/>
        </w:rPr>
        <w:t>Accounting r</w:t>
      </w:r>
      <w:r w:rsidR="00F83579">
        <w:rPr>
          <w:b/>
        </w:rPr>
        <w:t>egulators</w:t>
      </w:r>
      <w:r w:rsidR="009D00AC">
        <w:rPr>
          <w:b/>
        </w:rPr>
        <w:t>’ attitude</w:t>
      </w:r>
      <w:r w:rsidR="00F83579">
        <w:rPr>
          <w:b/>
        </w:rPr>
        <w:t>s</w:t>
      </w:r>
      <w:r w:rsidR="009D00AC">
        <w:rPr>
          <w:b/>
        </w:rPr>
        <w:t xml:space="preserve"> to c</w:t>
      </w:r>
      <w:r w:rsidR="00BB7CA2" w:rsidRPr="00586154">
        <w:rPr>
          <w:b/>
        </w:rPr>
        <w:t>a</w:t>
      </w:r>
      <w:r w:rsidR="009D00AC">
        <w:rPr>
          <w:b/>
        </w:rPr>
        <w:t>pital maintenance</w:t>
      </w:r>
    </w:p>
    <w:p w14:paraId="1C655E5B" w14:textId="77777777" w:rsidR="00BB7CA2" w:rsidRDefault="00A71388" w:rsidP="0027553F">
      <w:pPr>
        <w:pStyle w:val="ListParagraph"/>
        <w:spacing w:after="120" w:line="480" w:lineRule="auto"/>
        <w:ind w:left="0" w:firstLine="360"/>
      </w:pPr>
      <w:r>
        <w:t>Sections 3 to 5  have discussed aspects of capital maintenance and the</w:t>
      </w:r>
      <w:r w:rsidR="0027553F">
        <w:t xml:space="preserve"> </w:t>
      </w:r>
      <w:r>
        <w:t xml:space="preserve">measurement of income. </w:t>
      </w:r>
      <w:r w:rsidR="00BB7CA2">
        <w:t>Hundreds of academic papers and dozens of book</w:t>
      </w:r>
      <w:r w:rsidR="0013733F">
        <w:t xml:space="preserve">s have been written on the issue.  Some of those of </w:t>
      </w:r>
      <w:r w:rsidR="00BB7CA2">
        <w:t xml:space="preserve"> the nineteenth century were examined in Section 3. In the twentieth century, there was still little agreement among or between accountants and economists.  For a summary and re-printing of some of this output, see </w:t>
      </w:r>
      <w:r w:rsidR="00451B0B">
        <w:t>Parker, Harcourt,</w:t>
      </w:r>
      <w:r w:rsidR="00BB7CA2">
        <w:t xml:space="preserve"> and Whittington (1986).  The apparent disagreements can be somewhat reduced by noting that the purpose of measuring income is relevant, e.g. is it </w:t>
      </w:r>
      <w:r w:rsidR="005905BA">
        <w:t xml:space="preserve">expected </w:t>
      </w:r>
      <w:r w:rsidR="00BB7CA2">
        <w:t>to identify taxable income, distributable income or business performance?</w:t>
      </w:r>
      <w:r w:rsidR="00DB2138">
        <w:t xml:space="preserve">  In this section, I will concentrate on </w:t>
      </w:r>
      <w:r w:rsidR="00BB7CA2">
        <w:t>the measurement of business</w:t>
      </w:r>
      <w:r w:rsidR="00DB2138">
        <w:t xml:space="preserve"> performance</w:t>
      </w:r>
      <w:r w:rsidR="00BB7CA2">
        <w:t>, especially in the context of the conceptual frameworks of standard</w:t>
      </w:r>
      <w:r w:rsidR="00381284">
        <w:t xml:space="preserve"> </w:t>
      </w:r>
      <w:r w:rsidR="00BB7CA2">
        <w:t>setters</w:t>
      </w:r>
      <w:r w:rsidR="009D00AC">
        <w:t xml:space="preserve"> from the 1980s onwards</w:t>
      </w:r>
      <w:r w:rsidR="00BB7CA2">
        <w:t>.</w:t>
      </w:r>
    </w:p>
    <w:p w14:paraId="77E19B67" w14:textId="29F3656B" w:rsidR="00BB7CA2" w:rsidRDefault="00BB7CA2" w:rsidP="00BB7CA2">
      <w:pPr>
        <w:pStyle w:val="ListParagraph"/>
        <w:spacing w:after="120" w:line="480" w:lineRule="auto"/>
        <w:ind w:left="0"/>
      </w:pPr>
      <w:r>
        <w:tab/>
        <w:t>As noted earlier, income is d</w:t>
      </w:r>
      <w:r w:rsidR="004D1EFF">
        <w:t xml:space="preserve">efined in the conceptual frameworks </w:t>
      </w:r>
      <w:r>
        <w:t xml:space="preserve">as a </w:t>
      </w:r>
      <w:r w:rsidR="0086288D">
        <w:t xml:space="preserve">change </w:t>
      </w:r>
      <w:r>
        <w:t>in equity or net assets,</w:t>
      </w:r>
      <w:r>
        <w:rPr>
          <w:rStyle w:val="FootnoteReference"/>
        </w:rPr>
        <w:footnoteReference w:id="38"/>
      </w:r>
      <w:r>
        <w:t xml:space="preserve"> after eliminating transactions with equity holders.  This reflects a capital maintenance concept.  However, in the context of changing prices, is it </w:t>
      </w:r>
      <w:r>
        <w:rPr>
          <w:i/>
        </w:rPr>
        <w:t>debit</w:t>
      </w:r>
      <w:r>
        <w:t xml:space="preserve"> or </w:t>
      </w:r>
      <w:r>
        <w:rPr>
          <w:i/>
        </w:rPr>
        <w:t>credit</w:t>
      </w:r>
      <w:r>
        <w:t xml:space="preserve"> capital which needs to be maintaine</w:t>
      </w:r>
      <w:r w:rsidR="004D1EFF">
        <w:t xml:space="preserve">d: </w:t>
      </w:r>
      <w:r>
        <w:t xml:space="preserve">the </w:t>
      </w:r>
      <w:r w:rsidR="004D1EFF">
        <w:t xml:space="preserve">stock of </w:t>
      </w:r>
      <w:r>
        <w:t xml:space="preserve">net assets or the value of the equity?  That is, should there be physical or financial capital maintenance?  This question </w:t>
      </w:r>
      <w:r w:rsidR="003D5C8C">
        <w:t>led to a substantial</w:t>
      </w:r>
      <w:r>
        <w:t xml:space="preserve"> sub-branch of the capital/income literature</w:t>
      </w:r>
      <w:r w:rsidR="00824FF8">
        <w:t xml:space="preserve"> (e.g. including early accounting papers by Sweeney 1930</w:t>
      </w:r>
      <w:r w:rsidR="00C50DE6">
        <w:t xml:space="preserve"> and</w:t>
      </w:r>
      <w:r w:rsidR="00824FF8">
        <w:t xml:space="preserve"> 1933)</w:t>
      </w:r>
      <w:r>
        <w:t>.  One</w:t>
      </w:r>
      <w:r w:rsidR="004D1EFF">
        <w:t xml:space="preserve"> theoretical answer is </w:t>
      </w:r>
      <w:r w:rsidR="002A6379">
        <w:t>‘</w:t>
      </w:r>
      <w:r w:rsidR="004D1EFF">
        <w:t>both</w:t>
      </w:r>
      <w:r w:rsidR="002A6379">
        <w:t>’</w:t>
      </w:r>
      <w:r w:rsidR="004D1EFF">
        <w:t xml:space="preserve">: </w:t>
      </w:r>
      <w:r>
        <w:t>the assets should be adjusted for specific price changes, and then the equity should be adjusted for general price changes (Whittington 1983).  In practical terms, in the UK in the 1970s and 1980s, current purchasing power accounting (as set out in P</w:t>
      </w:r>
      <w:r w:rsidR="00151FC8">
        <w:t xml:space="preserve">rovisional </w:t>
      </w:r>
      <w:r>
        <w:t>SSAP 7) focussed on financial capital, whereas current cost accounting</w:t>
      </w:r>
      <w:r w:rsidRPr="004B436E">
        <w:t xml:space="preserve"> </w:t>
      </w:r>
      <w:r>
        <w:t xml:space="preserve">(as required </w:t>
      </w:r>
      <w:r w:rsidR="00151FC8">
        <w:t xml:space="preserve">in the early 1980s </w:t>
      </w:r>
      <w:r>
        <w:t>by SSAP 16 for supplementary reporting) focussed on physical capital.</w:t>
      </w:r>
      <w:r w:rsidR="003F1DE1">
        <w:t xml:space="preserve"> A similar debate had occurred in the previous inflationary period of the 1950s (Mumford 1979).</w:t>
      </w:r>
      <w:r w:rsidR="004D1EFF">
        <w:t xml:space="preserve"> </w:t>
      </w:r>
    </w:p>
    <w:p w14:paraId="2513B029" w14:textId="79867489" w:rsidR="00073B13" w:rsidRDefault="00BB7CA2" w:rsidP="00A30CC2">
      <w:pPr>
        <w:pStyle w:val="FootnoteText"/>
        <w:spacing w:line="480" w:lineRule="auto"/>
        <w:ind w:firstLine="720"/>
        <w:rPr>
          <w:sz w:val="24"/>
          <w:szCs w:val="24"/>
        </w:rPr>
      </w:pPr>
      <w:r w:rsidRPr="00F841A2">
        <w:rPr>
          <w:sz w:val="24"/>
          <w:szCs w:val="24"/>
        </w:rPr>
        <w:t>The IASB’s conceptual framework</w:t>
      </w:r>
      <w:r w:rsidR="008C1CD0" w:rsidRPr="00F841A2">
        <w:rPr>
          <w:sz w:val="24"/>
          <w:szCs w:val="24"/>
        </w:rPr>
        <w:t>, which was being written when the above debates were still fresh,</w:t>
      </w:r>
      <w:r w:rsidRPr="00F841A2">
        <w:rPr>
          <w:sz w:val="24"/>
          <w:szCs w:val="24"/>
        </w:rPr>
        <w:t xml:space="preserve"> briefly discusses the two versions of capital maintenance (</w:t>
      </w:r>
      <w:r w:rsidR="00381284">
        <w:rPr>
          <w:sz w:val="24"/>
          <w:szCs w:val="24"/>
        </w:rPr>
        <w:t xml:space="preserve">now </w:t>
      </w:r>
      <w:r w:rsidRPr="00F841A2">
        <w:rPr>
          <w:sz w:val="24"/>
          <w:szCs w:val="24"/>
        </w:rPr>
        <w:t xml:space="preserve">paras. 4.57 to 4.65).  </w:t>
      </w:r>
      <w:r w:rsidR="009B48CB">
        <w:rPr>
          <w:sz w:val="24"/>
          <w:szCs w:val="24"/>
        </w:rPr>
        <w:t xml:space="preserve">It does not make the </w:t>
      </w:r>
      <w:r w:rsidR="009B48CB" w:rsidRPr="00676889">
        <w:rPr>
          <w:i/>
          <w:sz w:val="24"/>
          <w:szCs w:val="24"/>
        </w:rPr>
        <w:t>debit/credit</w:t>
      </w:r>
      <w:r w:rsidR="009B48CB">
        <w:rPr>
          <w:sz w:val="24"/>
          <w:szCs w:val="24"/>
        </w:rPr>
        <w:t xml:space="preserve"> distinction, and it comes</w:t>
      </w:r>
      <w:r w:rsidR="009B48CB" w:rsidRPr="00F841A2">
        <w:rPr>
          <w:sz w:val="24"/>
          <w:szCs w:val="24"/>
        </w:rPr>
        <w:t xml:space="preserve"> to no conclusion</w:t>
      </w:r>
      <w:r w:rsidR="009B48CB">
        <w:rPr>
          <w:sz w:val="24"/>
          <w:szCs w:val="24"/>
        </w:rPr>
        <w:t xml:space="preserve"> about how the concept should affect Standards.</w:t>
      </w:r>
      <w:r w:rsidR="009B48CB" w:rsidRPr="00F841A2">
        <w:rPr>
          <w:sz w:val="24"/>
          <w:szCs w:val="24"/>
        </w:rPr>
        <w:t xml:space="preserve"> </w:t>
      </w:r>
      <w:r w:rsidR="009B48CB">
        <w:rPr>
          <w:sz w:val="24"/>
          <w:szCs w:val="24"/>
        </w:rPr>
        <w:t>The framework</w:t>
      </w:r>
      <w:r w:rsidRPr="00F841A2">
        <w:rPr>
          <w:sz w:val="24"/>
          <w:szCs w:val="24"/>
        </w:rPr>
        <w:t xml:space="preserve"> appears to offer each entity a choice (para. 4.58).  </w:t>
      </w:r>
      <w:r w:rsidR="00A30CC2">
        <w:rPr>
          <w:sz w:val="24"/>
          <w:szCs w:val="24"/>
        </w:rPr>
        <w:t>However</w:t>
      </w:r>
      <w:r w:rsidR="00A30CC2" w:rsidRPr="00F841A2">
        <w:rPr>
          <w:sz w:val="24"/>
          <w:szCs w:val="24"/>
        </w:rPr>
        <w:t xml:space="preserve">, the framework is not an accounting standard and is </w:t>
      </w:r>
      <w:r w:rsidR="00A30CC2">
        <w:rPr>
          <w:sz w:val="24"/>
          <w:szCs w:val="24"/>
        </w:rPr>
        <w:t xml:space="preserve">thus, fortunately, </w:t>
      </w:r>
      <w:r w:rsidR="00A30CC2" w:rsidRPr="00F841A2">
        <w:rPr>
          <w:sz w:val="24"/>
          <w:szCs w:val="24"/>
        </w:rPr>
        <w:t>in no position to offer choices to entities</w:t>
      </w:r>
      <w:r w:rsidR="00A30CC2" w:rsidRPr="00A30CC2">
        <w:rPr>
          <w:sz w:val="24"/>
          <w:szCs w:val="24"/>
        </w:rPr>
        <w:t xml:space="preserve"> </w:t>
      </w:r>
      <w:r w:rsidR="00A30CC2">
        <w:rPr>
          <w:sz w:val="24"/>
          <w:szCs w:val="24"/>
        </w:rPr>
        <w:t>on this fundamental issue</w:t>
      </w:r>
      <w:r w:rsidR="00A30CC2" w:rsidRPr="00F841A2">
        <w:rPr>
          <w:sz w:val="24"/>
          <w:szCs w:val="24"/>
        </w:rPr>
        <w:t>.</w:t>
      </w:r>
      <w:r w:rsidR="00A30CC2">
        <w:rPr>
          <w:sz w:val="24"/>
          <w:szCs w:val="24"/>
        </w:rPr>
        <w:t xml:space="preserve"> </w:t>
      </w:r>
      <w:r w:rsidR="00F841A2">
        <w:rPr>
          <w:sz w:val="24"/>
          <w:szCs w:val="24"/>
        </w:rPr>
        <w:t>By contrast,</w:t>
      </w:r>
      <w:r w:rsidR="00F841A2" w:rsidRPr="00F841A2">
        <w:rPr>
          <w:sz w:val="24"/>
          <w:szCs w:val="24"/>
        </w:rPr>
        <w:t xml:space="preserve"> the equivalent FASB document (Concepts Statement 5 of 1984</w:t>
      </w:r>
      <w:r w:rsidR="00F841A2">
        <w:rPr>
          <w:sz w:val="24"/>
          <w:szCs w:val="24"/>
        </w:rPr>
        <w:t>) makes</w:t>
      </w:r>
      <w:r w:rsidR="00F841A2" w:rsidRPr="00F841A2">
        <w:rPr>
          <w:sz w:val="24"/>
          <w:szCs w:val="24"/>
        </w:rPr>
        <w:t xml:space="preserve"> clear that </w:t>
      </w:r>
      <w:r w:rsidR="00073B13">
        <w:rPr>
          <w:sz w:val="24"/>
          <w:szCs w:val="24"/>
        </w:rPr>
        <w:t>US</w:t>
      </w:r>
      <w:r w:rsidR="00F841A2" w:rsidRPr="00F841A2">
        <w:rPr>
          <w:sz w:val="24"/>
          <w:szCs w:val="24"/>
        </w:rPr>
        <w:t xml:space="preserve"> accounting standards </w:t>
      </w:r>
      <w:r w:rsidR="00073B13">
        <w:rPr>
          <w:sz w:val="24"/>
          <w:szCs w:val="24"/>
        </w:rPr>
        <w:t>we</w:t>
      </w:r>
      <w:r w:rsidR="00F841A2" w:rsidRPr="00F841A2">
        <w:rPr>
          <w:sz w:val="24"/>
          <w:szCs w:val="24"/>
        </w:rPr>
        <w:t>re based on financial capital maintenance (pars. 45-48)</w:t>
      </w:r>
      <w:r w:rsidR="00073B13">
        <w:rPr>
          <w:sz w:val="24"/>
          <w:szCs w:val="24"/>
        </w:rPr>
        <w:t>, which fitted an accounting system which did</w:t>
      </w:r>
      <w:r w:rsidR="00DB2138">
        <w:rPr>
          <w:rStyle w:val="FootnoteReference"/>
          <w:sz w:val="24"/>
          <w:szCs w:val="24"/>
        </w:rPr>
        <w:footnoteReference w:id="39"/>
      </w:r>
      <w:r w:rsidR="00073B13">
        <w:rPr>
          <w:sz w:val="24"/>
          <w:szCs w:val="24"/>
        </w:rPr>
        <w:t xml:space="preserve"> not allow any assets to be measured above cost</w:t>
      </w:r>
      <w:r w:rsidR="00A25C53">
        <w:rPr>
          <w:sz w:val="24"/>
          <w:szCs w:val="24"/>
        </w:rPr>
        <w:t xml:space="preserve"> (Zeff 2007</w:t>
      </w:r>
      <w:r w:rsidR="00F425EF">
        <w:rPr>
          <w:sz w:val="24"/>
          <w:szCs w:val="24"/>
        </w:rPr>
        <w:t>).</w:t>
      </w:r>
    </w:p>
    <w:p w14:paraId="7F59E48A" w14:textId="77777777" w:rsidR="00BB7CA2" w:rsidRPr="00F841A2" w:rsidRDefault="00BB7CA2" w:rsidP="005F7589">
      <w:pPr>
        <w:pStyle w:val="FootnoteText"/>
        <w:spacing w:line="480" w:lineRule="auto"/>
        <w:ind w:firstLine="720"/>
        <w:rPr>
          <w:sz w:val="24"/>
          <w:szCs w:val="24"/>
        </w:rPr>
      </w:pPr>
      <w:r w:rsidRPr="00F841A2">
        <w:rPr>
          <w:sz w:val="24"/>
          <w:szCs w:val="24"/>
        </w:rPr>
        <w:t xml:space="preserve">The </w:t>
      </w:r>
      <w:r w:rsidR="00F841A2">
        <w:rPr>
          <w:sz w:val="24"/>
          <w:szCs w:val="24"/>
        </w:rPr>
        <w:t xml:space="preserve">IASB’s </w:t>
      </w:r>
      <w:r w:rsidRPr="00F841A2">
        <w:rPr>
          <w:sz w:val="24"/>
          <w:szCs w:val="24"/>
        </w:rPr>
        <w:t xml:space="preserve">Discussion Paper of 2013 states that </w:t>
      </w:r>
      <w:r w:rsidR="002A6379" w:rsidRPr="00F841A2">
        <w:rPr>
          <w:sz w:val="24"/>
          <w:szCs w:val="24"/>
        </w:rPr>
        <w:t>‘</w:t>
      </w:r>
      <w:r w:rsidRPr="00F841A2">
        <w:rPr>
          <w:sz w:val="24"/>
          <w:szCs w:val="24"/>
        </w:rPr>
        <w:t>concepts of capital maintenance are important</w:t>
      </w:r>
      <w:r w:rsidR="002A6379" w:rsidRPr="00F841A2">
        <w:rPr>
          <w:sz w:val="24"/>
          <w:szCs w:val="24"/>
        </w:rPr>
        <w:t>’</w:t>
      </w:r>
      <w:r w:rsidRPr="00F841A2">
        <w:rPr>
          <w:sz w:val="24"/>
          <w:szCs w:val="24"/>
        </w:rPr>
        <w:t xml:space="preserve"> (para. 9.45) but then proposes to adjourn consideration of them </w:t>
      </w:r>
      <w:r w:rsidRPr="00F841A2">
        <w:rPr>
          <w:i/>
          <w:sz w:val="24"/>
          <w:szCs w:val="24"/>
        </w:rPr>
        <w:t>sine die</w:t>
      </w:r>
      <w:r w:rsidRPr="00F841A2">
        <w:rPr>
          <w:sz w:val="24"/>
          <w:szCs w:val="24"/>
        </w:rPr>
        <w:t xml:space="preserve">, until </w:t>
      </w:r>
      <w:r w:rsidR="002A6379" w:rsidRPr="00F841A2">
        <w:rPr>
          <w:sz w:val="24"/>
          <w:szCs w:val="24"/>
        </w:rPr>
        <w:t>‘</w:t>
      </w:r>
      <w:r w:rsidRPr="00F841A2">
        <w:rPr>
          <w:sz w:val="24"/>
          <w:szCs w:val="24"/>
        </w:rPr>
        <w:t>a possible project on accounting for high inflation</w:t>
      </w:r>
      <w:r w:rsidR="002A6379" w:rsidRPr="00F841A2">
        <w:rPr>
          <w:sz w:val="24"/>
          <w:szCs w:val="24"/>
        </w:rPr>
        <w:t>’</w:t>
      </w:r>
      <w:r w:rsidRPr="00F841A2">
        <w:rPr>
          <w:sz w:val="24"/>
          <w:szCs w:val="24"/>
        </w:rPr>
        <w:t xml:space="preserve"> (para. 9.49).  In the meantime, it proposes to </w:t>
      </w:r>
      <w:r w:rsidR="00A30CC2">
        <w:rPr>
          <w:sz w:val="24"/>
          <w:szCs w:val="24"/>
        </w:rPr>
        <w:t>retain the original</w:t>
      </w:r>
      <w:r w:rsidR="00BD22D4">
        <w:rPr>
          <w:sz w:val="24"/>
          <w:szCs w:val="24"/>
        </w:rPr>
        <w:t xml:space="preserve"> discussion ‘largely unchanged’</w:t>
      </w:r>
      <w:r w:rsidR="00166526">
        <w:rPr>
          <w:sz w:val="24"/>
          <w:szCs w:val="24"/>
        </w:rPr>
        <w:t xml:space="preserve"> </w:t>
      </w:r>
      <w:r w:rsidR="00BD22D4" w:rsidRPr="00F841A2">
        <w:rPr>
          <w:sz w:val="24"/>
          <w:szCs w:val="24"/>
        </w:rPr>
        <w:t>(para. 9.50)</w:t>
      </w:r>
      <w:r w:rsidR="00A30CC2">
        <w:rPr>
          <w:sz w:val="24"/>
          <w:szCs w:val="24"/>
        </w:rPr>
        <w:t xml:space="preserve">, </w:t>
      </w:r>
      <w:r w:rsidR="00166526">
        <w:rPr>
          <w:sz w:val="24"/>
          <w:szCs w:val="24"/>
        </w:rPr>
        <w:t xml:space="preserve">which appears to imply </w:t>
      </w:r>
      <w:r w:rsidR="00166C69">
        <w:rPr>
          <w:sz w:val="24"/>
          <w:szCs w:val="24"/>
        </w:rPr>
        <w:t xml:space="preserve">preserving </w:t>
      </w:r>
      <w:r w:rsidR="00166526">
        <w:rPr>
          <w:sz w:val="24"/>
          <w:szCs w:val="24"/>
        </w:rPr>
        <w:t>the apparent</w:t>
      </w:r>
      <w:r w:rsidR="000469A5">
        <w:rPr>
          <w:sz w:val="24"/>
          <w:szCs w:val="24"/>
        </w:rPr>
        <w:t xml:space="preserve"> choice of concepts for </w:t>
      </w:r>
      <w:r w:rsidRPr="00F841A2">
        <w:rPr>
          <w:sz w:val="24"/>
          <w:szCs w:val="24"/>
        </w:rPr>
        <w:t xml:space="preserve">entities.  </w:t>
      </w:r>
    </w:p>
    <w:p w14:paraId="36A1858F" w14:textId="77777777" w:rsidR="00A25C53" w:rsidRDefault="00BB7CA2" w:rsidP="00BB7CA2">
      <w:pPr>
        <w:pStyle w:val="ListParagraph"/>
        <w:spacing w:after="120" w:line="480" w:lineRule="auto"/>
        <w:ind w:left="0"/>
      </w:pPr>
      <w:r>
        <w:tab/>
        <w:t xml:space="preserve">In individual Standards, capital maintenance is reflected in </w:t>
      </w:r>
      <w:r w:rsidR="00073B13">
        <w:t>various ways</w:t>
      </w:r>
      <w:r w:rsidR="00A25C53">
        <w:t>.</w:t>
      </w:r>
      <w:r w:rsidR="000B1B81">
        <w:t xml:space="preserve"> </w:t>
      </w:r>
      <w:r w:rsidR="00A25C53">
        <w:t xml:space="preserve"> </w:t>
      </w:r>
      <w:r w:rsidR="00073B13">
        <w:t>T</w:t>
      </w:r>
      <w:r>
        <w:t xml:space="preserve">he requirements for depreciation and impairment </w:t>
      </w:r>
      <w:r w:rsidR="00A25C53">
        <w:t xml:space="preserve">of tangible and intangible assets </w:t>
      </w:r>
      <w:r>
        <w:t>(in IASs 16 and 38)</w:t>
      </w:r>
      <w:r w:rsidR="00073B13">
        <w:t xml:space="preserve"> are related to capital maintenance</w:t>
      </w:r>
      <w:r>
        <w:t xml:space="preserve">.  </w:t>
      </w:r>
      <w:r w:rsidR="00282374">
        <w:t>D</w:t>
      </w:r>
      <w:r w:rsidR="00872C2F">
        <w:t>epreciation</w:t>
      </w:r>
      <w:r w:rsidR="00A25C53">
        <w:t xml:space="preserve">/impairment reduces both </w:t>
      </w:r>
      <w:r w:rsidR="00A25C53" w:rsidRPr="00676889">
        <w:rPr>
          <w:i/>
        </w:rPr>
        <w:t>debit</w:t>
      </w:r>
      <w:r w:rsidR="00A25C53">
        <w:t xml:space="preserve"> and </w:t>
      </w:r>
      <w:r w:rsidR="00A25C53" w:rsidRPr="00676889">
        <w:rPr>
          <w:i/>
        </w:rPr>
        <w:t>credit</w:t>
      </w:r>
      <w:r w:rsidR="00A25C53">
        <w:t xml:space="preserve"> capital</w:t>
      </w:r>
      <w:r w:rsidR="00166C69">
        <w:t>s</w:t>
      </w:r>
      <w:r w:rsidR="00A25C53">
        <w:t>.</w:t>
      </w:r>
      <w:r w:rsidR="000469A5">
        <w:t xml:space="preserve"> The latter </w:t>
      </w:r>
      <w:r w:rsidR="00166C69">
        <w:t>is caused by the reduction in profit which</w:t>
      </w:r>
      <w:r w:rsidR="004D6CCB">
        <w:t xml:space="preserve"> </w:t>
      </w:r>
      <w:r w:rsidR="000469A5">
        <w:t xml:space="preserve">therefore restricts </w:t>
      </w:r>
      <w:r w:rsidR="00282374">
        <w:t>dividends, thereby</w:t>
      </w:r>
      <w:r w:rsidR="00872C2F">
        <w:t xml:space="preserve"> maintain</w:t>
      </w:r>
      <w:r w:rsidR="00282374">
        <w:t>ing</w:t>
      </w:r>
      <w:r w:rsidR="00872C2F">
        <w:t xml:space="preserve"> original </w:t>
      </w:r>
      <w:r w:rsidR="006870D9">
        <w:t xml:space="preserve">nominal </w:t>
      </w:r>
      <w:r w:rsidR="00872C2F">
        <w:t>financial capital.</w:t>
      </w:r>
      <w:r w:rsidR="006870D9">
        <w:t xml:space="preserve"> </w:t>
      </w:r>
      <w:r>
        <w:t>However, physical capital maintenance is implied</w:t>
      </w:r>
      <w:r>
        <w:rPr>
          <w:rStyle w:val="FootnoteReference"/>
        </w:rPr>
        <w:footnoteReference w:id="40"/>
      </w:r>
      <w:r>
        <w:t xml:space="preserve"> by the re-measurement model of IASs 16 and 38, in which upward revaluation of assets has the following effects: (i) the gain </w:t>
      </w:r>
      <w:r w:rsidR="006870D9">
        <w:t>related to the increase in</w:t>
      </w:r>
      <w:r w:rsidR="008340DC">
        <w:t xml:space="preserve"> the asset</w:t>
      </w:r>
      <w:r w:rsidR="006870D9">
        <w:t xml:space="preserve">  </w:t>
      </w:r>
      <w:r>
        <w:t>is not recorded in profi</w:t>
      </w:r>
      <w:r w:rsidR="004D1EFF">
        <w:t>t or loss, either on re-measurement</w:t>
      </w:r>
      <w:r>
        <w:t xml:space="preserve"> or on realisation, an</w:t>
      </w:r>
      <w:r w:rsidR="009D00AC">
        <w:t>d (ii) depreciation</w:t>
      </w:r>
      <w:r>
        <w:t xml:space="preserve"> rises and </w:t>
      </w:r>
      <w:r w:rsidR="006870D9">
        <w:t xml:space="preserve">will </w:t>
      </w:r>
      <w:r>
        <w:t xml:space="preserve">cumulatively exceed the original </w:t>
      </w:r>
      <w:r w:rsidR="00151FC8">
        <w:t xml:space="preserve">depreciable </w:t>
      </w:r>
      <w:r>
        <w:t>cost</w:t>
      </w:r>
      <w:r w:rsidR="004F6AD6">
        <w:t xml:space="preserve">, so the </w:t>
      </w:r>
      <w:r w:rsidR="004F6AD6" w:rsidRPr="00676889">
        <w:rPr>
          <w:i/>
        </w:rPr>
        <w:t>debit</w:t>
      </w:r>
      <w:r w:rsidR="004F6AD6">
        <w:t xml:space="preserve"> and </w:t>
      </w:r>
      <w:r w:rsidR="004F6AD6" w:rsidRPr="00676889">
        <w:rPr>
          <w:i/>
        </w:rPr>
        <w:t>credit</w:t>
      </w:r>
      <w:r w:rsidR="004F6AD6">
        <w:t xml:space="preserve"> capital</w:t>
      </w:r>
      <w:r w:rsidR="00151FC8">
        <w:t>s</w:t>
      </w:r>
      <w:r w:rsidR="004F6AD6">
        <w:t xml:space="preserve"> are reduced as the current value of physical capacity is worn out</w:t>
      </w:r>
      <w:r>
        <w:t xml:space="preserve">.  Of course, in current IFRS practice, the gain </w:t>
      </w:r>
      <w:r>
        <w:rPr>
          <w:i/>
        </w:rPr>
        <w:t>is</w:t>
      </w:r>
      <w:r>
        <w:t xml:space="preserve"> now </w:t>
      </w:r>
      <w:r w:rsidR="004F6AD6">
        <w:t>present</w:t>
      </w:r>
      <w:r>
        <w:t xml:space="preserve">ed as </w:t>
      </w:r>
      <w:r w:rsidR="002A6379">
        <w:t>‘</w:t>
      </w:r>
      <w:r>
        <w:t xml:space="preserve">other comprehensive </w:t>
      </w:r>
      <w:r w:rsidRPr="00151FC8">
        <w:rPr>
          <w:i/>
        </w:rPr>
        <w:t>income</w:t>
      </w:r>
      <w:r w:rsidR="002A6379">
        <w:t>’</w:t>
      </w:r>
      <w:r>
        <w:t xml:space="preserve"> but IASs 16 and 38 were originally written before that </w:t>
      </w:r>
      <w:r w:rsidR="004D6CCB">
        <w:t xml:space="preserve">concept </w:t>
      </w:r>
      <w:r>
        <w:t>existed.</w:t>
      </w:r>
      <w:r w:rsidR="00A25C53" w:rsidRPr="00A25C53">
        <w:t xml:space="preserve"> </w:t>
      </w:r>
      <w:r w:rsidR="008F07E8">
        <w:t xml:space="preserve">As successive versions of IAS 1 gradually assimilate </w:t>
      </w:r>
      <w:r w:rsidR="000469A5">
        <w:t xml:space="preserve">OCI into </w:t>
      </w:r>
      <w:r w:rsidR="008F07E8">
        <w:t>clean surplus, this obscures</w:t>
      </w:r>
      <w:r w:rsidR="000469A5">
        <w:t xml:space="preserve"> the capital maintenance signals.</w:t>
      </w:r>
    </w:p>
    <w:p w14:paraId="6D8D8980" w14:textId="77777777" w:rsidR="00BB7CA2" w:rsidRDefault="00A25C53" w:rsidP="00676889">
      <w:pPr>
        <w:pStyle w:val="ListParagraph"/>
        <w:spacing w:after="120" w:line="480" w:lineRule="auto"/>
        <w:ind w:left="0" w:firstLine="720"/>
      </w:pPr>
      <w:r>
        <w:t xml:space="preserve">The maintenance of original </w:t>
      </w:r>
      <w:r w:rsidR="004F6AD6">
        <w:t xml:space="preserve">nominal </w:t>
      </w:r>
      <w:r>
        <w:t>financial capital apparentl</w:t>
      </w:r>
      <w:r w:rsidR="004D6CCB">
        <w:t xml:space="preserve">y lies behind </w:t>
      </w:r>
      <w:r>
        <w:t>‘fair value through profit or loss’, as in IASs 39, 40 and 41</w:t>
      </w:r>
      <w:r w:rsidR="00CE2FBA">
        <w:t>. Any depreciation/impairment is subsumed into the fair value measurement, and there is</w:t>
      </w:r>
      <w:r>
        <w:t xml:space="preserve"> the important new twist that </w:t>
      </w:r>
      <w:r w:rsidR="00151FC8">
        <w:t>as-yet unsettled gains are</w:t>
      </w:r>
      <w:r w:rsidR="00552172">
        <w:t xml:space="preserve"> recorded</w:t>
      </w:r>
      <w:r>
        <w:t>.</w:t>
      </w:r>
      <w:r>
        <w:rPr>
          <w:rStyle w:val="FootnoteReference"/>
        </w:rPr>
        <w:footnoteReference w:id="41"/>
      </w:r>
      <w:r w:rsidR="00CE2FBA">
        <w:t xml:space="preserve"> </w:t>
      </w:r>
      <w:r w:rsidR="00595E47">
        <w:rPr>
          <w:i/>
        </w:rPr>
        <w:t>D</w:t>
      </w:r>
      <w:r w:rsidR="00CE2FBA" w:rsidRPr="00676889">
        <w:rPr>
          <w:i/>
        </w:rPr>
        <w:t>ebit</w:t>
      </w:r>
      <w:r w:rsidR="00595E47">
        <w:t xml:space="preserve"> capital rises, but</w:t>
      </w:r>
      <w:r w:rsidR="00CE2FBA">
        <w:t xml:space="preserve"> the</w:t>
      </w:r>
      <w:r w:rsidR="008340DC">
        <w:t xml:space="preserve"> extra</w:t>
      </w:r>
      <w:r w:rsidR="00CE2FBA">
        <w:t xml:space="preserve"> </w:t>
      </w:r>
      <w:r w:rsidR="00CE2FBA" w:rsidRPr="00676889">
        <w:rPr>
          <w:i/>
        </w:rPr>
        <w:t>credit</w:t>
      </w:r>
      <w:r w:rsidR="00CE2FBA">
        <w:t xml:space="preserve"> is treated as a surplus.</w:t>
      </w:r>
    </w:p>
    <w:p w14:paraId="69E0E96F" w14:textId="77777777" w:rsidR="0007403A" w:rsidRDefault="008F07E8" w:rsidP="0007403A">
      <w:pPr>
        <w:spacing w:after="120" w:line="480" w:lineRule="auto"/>
        <w:ind w:firstLine="720"/>
      </w:pPr>
      <w:r>
        <w:t xml:space="preserve">Since each entity can have only one </w:t>
      </w:r>
      <w:r w:rsidRPr="00676889">
        <w:rPr>
          <w:i/>
        </w:rPr>
        <w:t>credit</w:t>
      </w:r>
      <w:r>
        <w:t xml:space="preserve"> ‘capital’, t</w:t>
      </w:r>
      <w:r w:rsidR="00595E47">
        <w:t xml:space="preserve">he application of </w:t>
      </w:r>
      <w:r w:rsidR="00BB7CA2">
        <w:t>different capital maintenance concepts to different assets</w:t>
      </w:r>
      <w:r w:rsidRPr="008F07E8">
        <w:t xml:space="preserve"> </w:t>
      </w:r>
      <w:r>
        <w:t xml:space="preserve">creates a problem: the </w:t>
      </w:r>
      <w:r w:rsidR="00595E47">
        <w:t xml:space="preserve"> </w:t>
      </w:r>
      <w:r>
        <w:t xml:space="preserve">capital and </w:t>
      </w:r>
      <w:r w:rsidR="0086288D">
        <w:t xml:space="preserve">therefore </w:t>
      </w:r>
      <w:r>
        <w:t xml:space="preserve">the period’s change in it are </w:t>
      </w:r>
      <w:r w:rsidR="00595E47">
        <w:t>incoherent</w:t>
      </w:r>
      <w:r w:rsidR="00BB7CA2">
        <w:t xml:space="preserve">.  </w:t>
      </w:r>
      <w:r w:rsidR="005905BA">
        <w:t xml:space="preserve">However, the IASB (2013, para. 6.35) has made a good case for continuing to use a mixed-measurement system. </w:t>
      </w:r>
      <w:r w:rsidR="00595E47">
        <w:t xml:space="preserve">The framework </w:t>
      </w:r>
      <w:r w:rsidR="004D6CCB">
        <w:t xml:space="preserve">should </w:t>
      </w:r>
      <w:r w:rsidR="008340DC">
        <w:t xml:space="preserve">therefore </w:t>
      </w:r>
      <w:r w:rsidR="00595E47">
        <w:t xml:space="preserve">examine the implications of this for the measurement of profit. </w:t>
      </w:r>
      <w:r w:rsidR="00EC28E8">
        <w:t xml:space="preserve">For example, when </w:t>
      </w:r>
      <w:r w:rsidR="004D6CCB">
        <w:t>a rise in the value of an asset is recognised</w:t>
      </w:r>
      <w:r w:rsidR="00EC28E8">
        <w:t>, any</w:t>
      </w:r>
      <w:r w:rsidR="004D6CCB">
        <w:t xml:space="preserve"> part of the related</w:t>
      </w:r>
      <w:r w:rsidR="00EC28E8">
        <w:t xml:space="preserve"> </w:t>
      </w:r>
      <w:r w:rsidR="00EC28E8" w:rsidRPr="00676889">
        <w:rPr>
          <w:i/>
        </w:rPr>
        <w:t>credit</w:t>
      </w:r>
      <w:r w:rsidR="00EC28E8">
        <w:t xml:space="preserve"> which is not to be regarded as a surplus should </w:t>
      </w:r>
      <w:r w:rsidR="008340DC">
        <w:t xml:space="preserve">perhaps </w:t>
      </w:r>
      <w:r w:rsidR="00EC28E8">
        <w:t>be sho</w:t>
      </w:r>
      <w:r w:rsidR="000469A5">
        <w:t>wn as OCI</w:t>
      </w:r>
      <w:r w:rsidR="00EC28E8">
        <w:t>.</w:t>
      </w:r>
      <w:r w:rsidR="0007403A" w:rsidRPr="0007403A">
        <w:t xml:space="preserve"> </w:t>
      </w:r>
    </w:p>
    <w:p w14:paraId="746843ED" w14:textId="77777777" w:rsidR="0007403A" w:rsidRDefault="0007403A" w:rsidP="0007403A">
      <w:pPr>
        <w:spacing w:after="120" w:line="480" w:lineRule="auto"/>
        <w:ind w:firstLine="720"/>
      </w:pPr>
      <w:r>
        <w:t xml:space="preserve">One of the specific tax rules which depart from accounting practice concerns depreciation and impairment, which are not tax deductible in the UK, except for certain intangible assets.  Instead, there is a system of ‘capital allowances’ which are triggered by the purchase of assets.  In some ways, these allowances </w:t>
      </w:r>
      <w:r w:rsidR="00151FC8">
        <w:t>do</w:t>
      </w:r>
      <w:r>
        <w:t xml:space="preserve"> better than historical cost accounting at </w:t>
      </w:r>
      <w:r w:rsidR="00151FC8">
        <w:t>adjusting for</w:t>
      </w:r>
      <w:r>
        <w:t xml:space="preserve"> capital maintenance during periods of changing prices because: (i) commercial buildings (e.g. office blocks), which might be expected to rise in value, receive no capital allowances, and (ii) during rapid inflation, the allowances on many other assets were close to 100% in the first year, so that there </w:t>
      </w:r>
      <w:r w:rsidR="00980B91">
        <w:t>was</w:t>
      </w:r>
      <w:r>
        <w:t xml:space="preserve"> no time for price rises to devalue them (e.g. for plant and machinery, first-year allowances were 60% in 1970/71, 80% in 1971/72 and 100% from 1972/73 to 1983/84).</w:t>
      </w:r>
    </w:p>
    <w:p w14:paraId="5F02DDEC" w14:textId="3631B497" w:rsidR="0007403A" w:rsidRDefault="0007403A" w:rsidP="0007403A">
      <w:pPr>
        <w:spacing w:after="120" w:line="480" w:lineRule="auto"/>
        <w:ind w:firstLine="720"/>
      </w:pPr>
      <w:r>
        <w:t>Stock (i.e. inventory) also had a sort of capital maintenance adjustment in the tax system: from 1974 to 1984, ‘stock appreciation relief’ was designed partly to take out of taxable income that part of profit which was caused by unrealised gains on stocks (James and Nobes 2013, p.285).</w:t>
      </w:r>
    </w:p>
    <w:p w14:paraId="0C088645" w14:textId="77777777" w:rsidR="007A27E7" w:rsidRDefault="0007403A" w:rsidP="0007403A">
      <w:pPr>
        <w:spacing w:after="120" w:line="480" w:lineRule="auto"/>
        <w:ind w:firstLine="720"/>
      </w:pPr>
      <w:r>
        <w:t xml:space="preserve">These major tax adjustments indirectly affected accounting. They removed any tax advantage that management might </w:t>
      </w:r>
      <w:r w:rsidR="00881BAF">
        <w:t xml:space="preserve">have </w:t>
      </w:r>
      <w:r>
        <w:t>hope</w:t>
      </w:r>
      <w:r w:rsidR="00881BAF">
        <w:t>d</w:t>
      </w:r>
      <w:r>
        <w:t xml:space="preserve"> to get from the reduction in profit that would be caused by using replacement costs to calculate depreciation and cost of sales. This removed the most obvious incentive for management to argue for current cost accounting, which might have prolonged its life.</w:t>
      </w:r>
      <w:r>
        <w:rPr>
          <w:rStyle w:val="FootnoteReference"/>
        </w:rPr>
        <w:footnoteReference w:id="42"/>
      </w:r>
    </w:p>
    <w:p w14:paraId="3E13CF3F" w14:textId="77777777" w:rsidR="00D34E91" w:rsidRDefault="00D34E91" w:rsidP="00875831">
      <w:pPr>
        <w:pStyle w:val="ListParagraph"/>
        <w:numPr>
          <w:ilvl w:val="0"/>
          <w:numId w:val="12"/>
        </w:numPr>
        <w:spacing w:after="120" w:line="480" w:lineRule="auto"/>
        <w:rPr>
          <w:b/>
        </w:rPr>
      </w:pPr>
      <w:r w:rsidRPr="00A945E1">
        <w:rPr>
          <w:b/>
        </w:rPr>
        <w:t>Capital, equity and liabilities</w:t>
      </w:r>
      <w:r w:rsidR="005905BA">
        <w:rPr>
          <w:b/>
        </w:rPr>
        <w:t xml:space="preserve"> revisited</w:t>
      </w:r>
    </w:p>
    <w:p w14:paraId="190276FC" w14:textId="77777777" w:rsidR="003F3741" w:rsidRPr="003F3741" w:rsidRDefault="003F3741" w:rsidP="003F3741">
      <w:pPr>
        <w:spacing w:after="120" w:line="480" w:lineRule="auto"/>
        <w:rPr>
          <w:b/>
          <w:i/>
        </w:rPr>
      </w:pPr>
      <w:r w:rsidRPr="003F3741">
        <w:rPr>
          <w:b/>
          <w:i/>
        </w:rPr>
        <w:t xml:space="preserve">7.1 </w:t>
      </w:r>
      <w:r w:rsidR="001D39FC">
        <w:rPr>
          <w:b/>
          <w:i/>
        </w:rPr>
        <w:t>Outline of section</w:t>
      </w:r>
    </w:p>
    <w:p w14:paraId="0E9B65E3" w14:textId="77777777" w:rsidR="00BB7CA2" w:rsidRDefault="00A31F85" w:rsidP="0027553F">
      <w:pPr>
        <w:spacing w:after="120" w:line="480" w:lineRule="auto"/>
        <w:ind w:left="720" w:hanging="360"/>
      </w:pPr>
      <w:r>
        <w:t>Figure 1</w:t>
      </w:r>
      <w:r w:rsidR="00E85282">
        <w:t xml:space="preserve"> showed an old UK bala</w:t>
      </w:r>
      <w:r w:rsidR="008A2767">
        <w:t>nce sheet format, in which the ‘capital’</w:t>
      </w:r>
      <w:r w:rsidR="00E85282">
        <w:t xml:space="preserve"> is</w:t>
      </w:r>
      <w:r w:rsidR="00BC7F2D">
        <w:t xml:space="preserve"> </w:t>
      </w:r>
      <w:r w:rsidR="00E85282">
        <w:t>just the</w:t>
      </w:r>
    </w:p>
    <w:p w14:paraId="7AA05BC0" w14:textId="77777777" w:rsidR="00875831" w:rsidRDefault="00BB7CA2" w:rsidP="00BB7CA2">
      <w:pPr>
        <w:spacing w:after="120" w:line="480" w:lineRule="auto"/>
      </w:pPr>
      <w:r>
        <w:t xml:space="preserve">principal, the </w:t>
      </w:r>
      <w:r w:rsidR="00E85282">
        <w:t xml:space="preserve">original contribution of the </w:t>
      </w:r>
      <w:r w:rsidR="008A2767">
        <w:t>owners.  No total for ‘equity’</w:t>
      </w:r>
      <w:r w:rsidR="00E85282">
        <w:t xml:space="preserve"> is displayed</w:t>
      </w:r>
      <w:r w:rsidR="00BA7937">
        <w:t xml:space="preserve"> because the liabilities appear</w:t>
      </w:r>
      <w:r w:rsidR="00E85282">
        <w:t xml:space="preserve"> between the capital and the reserves.  Further, no provisions are shown, which reveals that there was no clear dividing line between provisions and reserves, which was another barrie</w:t>
      </w:r>
      <w:r w:rsidR="000140B4">
        <w:t>r to calculating the modern concept</w:t>
      </w:r>
      <w:r w:rsidR="00E85282">
        <w:t xml:space="preserve"> of equity.</w:t>
      </w:r>
      <w:r w:rsidR="00AC7EFA" w:rsidRPr="00AC7EFA">
        <w:t xml:space="preserve"> </w:t>
      </w:r>
      <w:r w:rsidR="00875831">
        <w:t>This section</w:t>
      </w:r>
      <w:r w:rsidR="001D39FC">
        <w:t xml:space="preserve"> explores these issues, starting with the lack of legal</w:t>
      </w:r>
      <w:r w:rsidR="001D39FC" w:rsidRPr="001D39FC">
        <w:t xml:space="preserve"> </w:t>
      </w:r>
      <w:r w:rsidR="001D39FC">
        <w:t xml:space="preserve">clarity, going on to the attempts by standard setters to identify equity </w:t>
      </w:r>
      <w:r w:rsidR="000E3F25">
        <w:t xml:space="preserve">capital </w:t>
      </w:r>
      <w:r w:rsidR="001D39FC">
        <w:t xml:space="preserve">(by defining and measuring liabilities), and ending with the related issue of </w:t>
      </w:r>
      <w:r w:rsidR="000E3F25">
        <w:t xml:space="preserve">measuring </w:t>
      </w:r>
      <w:r w:rsidR="001D39FC">
        <w:t xml:space="preserve">revenue. </w:t>
      </w:r>
    </w:p>
    <w:p w14:paraId="74ECCDFB" w14:textId="77777777" w:rsidR="001D39FC" w:rsidRPr="001D39FC" w:rsidRDefault="001D39FC" w:rsidP="00BB7CA2">
      <w:pPr>
        <w:spacing w:after="120" w:line="480" w:lineRule="auto"/>
        <w:rPr>
          <w:b/>
          <w:i/>
        </w:rPr>
      </w:pPr>
      <w:r>
        <w:rPr>
          <w:b/>
          <w:i/>
        </w:rPr>
        <w:t>7.2</w:t>
      </w:r>
      <w:r w:rsidRPr="003F3741">
        <w:rPr>
          <w:b/>
          <w:i/>
        </w:rPr>
        <w:t xml:space="preserve"> </w:t>
      </w:r>
      <w:r>
        <w:rPr>
          <w:b/>
          <w:i/>
        </w:rPr>
        <w:t>Lack of legal clarity</w:t>
      </w:r>
    </w:p>
    <w:p w14:paraId="3BA7127D" w14:textId="2BE9D268" w:rsidR="00E85282" w:rsidRDefault="008A2767" w:rsidP="00875831">
      <w:pPr>
        <w:spacing w:after="120" w:line="480" w:lineRule="auto"/>
        <w:ind w:firstLine="720"/>
      </w:pPr>
      <w:r>
        <w:t>The balanc</w:t>
      </w:r>
      <w:r w:rsidR="00875831">
        <w:t>e sheet equation implied in Figure 1</w:t>
      </w:r>
      <w:r>
        <w:t xml:space="preserve"> </w:t>
      </w:r>
      <w:r w:rsidR="00BC7F2D">
        <w:t>is the ‘entity’ version: AS</w:t>
      </w:r>
      <w:r w:rsidR="004244F4">
        <w:t>S</w:t>
      </w:r>
      <w:r w:rsidR="00BC7F2D">
        <w:t>ETS =</w:t>
      </w:r>
      <w:r>
        <w:t xml:space="preserve"> EQUITY + LIABILITIES; or even Paton’s (1922) ‘enterprise’ model: PROPERTIES = EQUITIES. </w:t>
      </w:r>
      <w:r w:rsidR="00AC7EFA">
        <w:t>However, in order to calculate a gearing ratio or the return on equity, it is necessary to establish a dividing line between equity capital and liabilities</w:t>
      </w:r>
      <w:r>
        <w:t>, which can be pres</w:t>
      </w:r>
      <w:r w:rsidR="00BC7F2D">
        <w:t>ented as the ‘proprietary’ model: ASSETS – LIABILITIES =</w:t>
      </w:r>
      <w:r>
        <w:t xml:space="preserve"> EQUITY</w:t>
      </w:r>
      <w:r w:rsidR="00AC7EFA">
        <w:t xml:space="preserve">.  </w:t>
      </w:r>
      <w:r w:rsidR="00B74F75">
        <w:t>This last version has recently been traced back to a book by John Clark of 1738, in which E</w:t>
      </w:r>
      <w:r w:rsidR="00325947">
        <w:t>FFECTS</w:t>
      </w:r>
      <w:r w:rsidR="00B74F75">
        <w:t xml:space="preserve"> – DEBTS = ESTATE (Edwards 2014).</w:t>
      </w:r>
    </w:p>
    <w:p w14:paraId="137D2C71" w14:textId="3312C381" w:rsidR="00BA7937" w:rsidRDefault="00E85282" w:rsidP="00D34E91">
      <w:pPr>
        <w:spacing w:after="120" w:line="480" w:lineRule="auto"/>
      </w:pPr>
      <w:r>
        <w:tab/>
        <w:t xml:space="preserve">The problem </w:t>
      </w:r>
      <w:r w:rsidR="008A2767">
        <w:t xml:space="preserve">relating to provisions and reserves </w:t>
      </w:r>
      <w:r>
        <w:t>wa</w:t>
      </w:r>
      <w:r w:rsidR="008A2767">
        <w:t>s spectacularly illustrated in ‘The Royal Mail Case’</w:t>
      </w:r>
      <w:r>
        <w:rPr>
          <w:rStyle w:val="FootnoteReference"/>
        </w:rPr>
        <w:footnoteReference w:id="43"/>
      </w:r>
      <w:r w:rsidR="00E20111">
        <w:t xml:space="preserve"> of 1931.  By 1927, The Royal Mail Steam Packet Company was the most titanic shipping group in the world, having taken over </w:t>
      </w:r>
      <w:r w:rsidR="008340DC">
        <w:t xml:space="preserve">both </w:t>
      </w:r>
      <w:r w:rsidR="00E20111">
        <w:t xml:space="preserve">the White Star Line and Harland and Wolff.  It had made large profits in the First World War, but had hidden them by creating secret reserves, i.e. in today’s terms, excessive provisions.  Trading was difficult after the war, and an </w:t>
      </w:r>
      <w:r w:rsidR="000E3F25">
        <w:t>I</w:t>
      </w:r>
      <w:r w:rsidR="00E20111">
        <w:t>nspector later concluded that no trading profits were made after 1925.  However, by reversing secre</w:t>
      </w:r>
      <w:r w:rsidR="006A7071">
        <w:t>t reserves</w:t>
      </w:r>
      <w:r w:rsidR="00BA6D4E">
        <w:t xml:space="preserve"> </w:t>
      </w:r>
      <w:r w:rsidR="0070411C">
        <w:t>and taking account of tax refunds relating to earlier years</w:t>
      </w:r>
      <w:r w:rsidR="006A7071">
        <w:t>,</w:t>
      </w:r>
      <w:r w:rsidR="00BA6D4E">
        <w:rPr>
          <w:rStyle w:val="FootnoteReference"/>
        </w:rPr>
        <w:footnoteReference w:id="44"/>
      </w:r>
      <w:r w:rsidR="006A7071">
        <w:t xml:space="preserve"> profits were shown e</w:t>
      </w:r>
      <w:r w:rsidR="00E20111">
        <w:t>very year, and dividends were paid (Green 1982</w:t>
      </w:r>
      <w:r w:rsidR="00C61050">
        <w:t>,</w:t>
      </w:r>
      <w:r w:rsidR="00E20111">
        <w:t xml:space="preserve">  Edwards 1989</w:t>
      </w:r>
      <w:r w:rsidR="006A7071">
        <w:t>, p</w:t>
      </w:r>
      <w:r w:rsidR="00B2518A">
        <w:t>.151</w:t>
      </w:r>
      <w:r w:rsidR="00E20111">
        <w:t xml:space="preserve">).  For example, </w:t>
      </w:r>
      <w:r w:rsidR="006A7071">
        <w:t xml:space="preserve">in 1926, </w:t>
      </w:r>
      <w:r w:rsidR="00E20111">
        <w:t>after a reserve transfer of £750,000, a profit of £439,000 was declared.  In 1928, a prospectus was published, seeking more capital.  In 1931, the Court of Appeal upheld a conviction of the company chairman (Lord Kylsant) fo</w:t>
      </w:r>
      <w:r w:rsidR="00D947CE">
        <w:t xml:space="preserve">r issuing a false prospectus.  </w:t>
      </w:r>
      <w:r w:rsidR="00272B15">
        <w:t xml:space="preserve">Arnold (1996, p.54) suggests that even greater use of secret reserves </w:t>
      </w:r>
      <w:r w:rsidR="00980B91">
        <w:t xml:space="preserve">was made by P&amp;O </w:t>
      </w:r>
      <w:r w:rsidR="00272B15">
        <w:t>(see, also, Napier 1990).</w:t>
      </w:r>
    </w:p>
    <w:p w14:paraId="441E9529" w14:textId="2BC94E4D" w:rsidR="008C1CD0" w:rsidRDefault="00236FC5" w:rsidP="00B8010C">
      <w:pPr>
        <w:spacing w:after="120" w:line="480" w:lineRule="auto"/>
        <w:ind w:firstLine="720"/>
      </w:pPr>
      <w:r>
        <w:t>The 1933 accounts of the Dunlop</w:t>
      </w:r>
      <w:r w:rsidR="008F4D63">
        <w:t xml:space="preserve"> Rubber Company </w:t>
      </w:r>
      <w:r>
        <w:t>were ‘a joy to its own shareholders and the e</w:t>
      </w:r>
      <w:r w:rsidR="008F4D63">
        <w:t xml:space="preserve">nvy of all others’ (Kitchen and Parker 1980, p. 98, quoting </w:t>
      </w:r>
      <w:r w:rsidR="00D101F5" w:rsidRPr="00D101F5">
        <w:rPr>
          <w:i/>
        </w:rPr>
        <w:t>The Daily Telegraph</w:t>
      </w:r>
      <w:r w:rsidR="008F4D63">
        <w:t xml:space="preserve">), partly because they specified all the reserves and provisions. However, the terminology was confusing: there were ‘Reserves for contingencies’ under ‘Surplus and reserves’ and a ‘Taxation reserve’ under ‘Contingent liabilities and provisions’. </w:t>
      </w:r>
      <w:r w:rsidR="00D947CE">
        <w:t>Partly in response to th</w:t>
      </w:r>
      <w:r w:rsidR="008F4D63">
        <w:t>e Royal Mail</w:t>
      </w:r>
      <w:r w:rsidR="00D947CE">
        <w:t xml:space="preserve"> case, </w:t>
      </w:r>
      <w:r w:rsidR="008E6B1E">
        <w:t xml:space="preserve">the ICAEW (1943) issued a Recommendation proposing better disclosures about reserves and provisions. Then, </w:t>
      </w:r>
      <w:r w:rsidR="00D947CE">
        <w:t>t</w:t>
      </w:r>
      <w:r w:rsidR="00E20111">
        <w:t xml:space="preserve">he Companies Act 1947 distinguished between </w:t>
      </w:r>
      <w:r w:rsidR="00CD32D5">
        <w:t>un</w:t>
      </w:r>
      <w:r w:rsidR="00E20111">
        <w:t xml:space="preserve">distributable reserves, distributable reserves and provisions, and required disclosure of movements on </w:t>
      </w:r>
      <w:r w:rsidR="00D947CE">
        <w:t xml:space="preserve">all of </w:t>
      </w:r>
      <w:r w:rsidR="00E20111">
        <w:t xml:space="preserve">them (Arnold and Collier 2007).  This moved the balance sheet towards a position in which equity could be calculated.  </w:t>
      </w:r>
      <w:r w:rsidR="00F069A9">
        <w:t>Until the Companies Act 1981, the terms ‘capital reserve’ and ‘revenue reserve’ were used to refer to undistributable and distributable reserves, respectively.</w:t>
      </w:r>
      <w:r w:rsidR="00D7472B">
        <w:rPr>
          <w:rStyle w:val="FootnoteReference"/>
        </w:rPr>
        <w:footnoteReference w:id="45"/>
      </w:r>
      <w:r w:rsidR="00B8010C">
        <w:t xml:space="preserve"> Of course, these terms are redundant in consolidated statements, because only individual legal entities can make distributions. </w:t>
      </w:r>
      <w:r w:rsidR="00E20111">
        <w:t>Th</w:t>
      </w:r>
      <w:r w:rsidR="00083745">
        <w:t>e balance sheet formats of the Companies A</w:t>
      </w:r>
      <w:r w:rsidR="00E20111">
        <w:t>cts from 1981 onwar</w:t>
      </w:r>
      <w:r w:rsidR="006A7071">
        <w:t xml:space="preserve">ds (see Figure </w:t>
      </w:r>
      <w:r w:rsidR="0045637F">
        <w:t>5</w:t>
      </w:r>
      <w:r w:rsidR="00083745">
        <w:t>) have a secti</w:t>
      </w:r>
      <w:r w:rsidR="008C1CD0">
        <w:t>on called ‘Capital and Reserves’, although</w:t>
      </w:r>
      <w:r w:rsidR="008178AA">
        <w:t xml:space="preserve"> e</w:t>
      </w:r>
      <w:r w:rsidR="002473A2">
        <w:t xml:space="preserve">xactly what should go into the </w:t>
      </w:r>
      <w:r w:rsidR="008C1CD0">
        <w:t xml:space="preserve">various </w:t>
      </w:r>
      <w:r w:rsidR="00083745">
        <w:t xml:space="preserve">equity </w:t>
      </w:r>
      <w:r w:rsidR="00B8010C">
        <w:t xml:space="preserve">headings </w:t>
      </w:r>
      <w:r w:rsidR="00083745">
        <w:t xml:space="preserve">and </w:t>
      </w:r>
      <w:r w:rsidR="00B8010C">
        <w:t xml:space="preserve">into the </w:t>
      </w:r>
      <w:r w:rsidR="00083745">
        <w:t xml:space="preserve">liability </w:t>
      </w:r>
      <w:r w:rsidR="00B8010C">
        <w:t xml:space="preserve">headings </w:t>
      </w:r>
      <w:r w:rsidR="00BA7937">
        <w:t xml:space="preserve">is not </w:t>
      </w:r>
      <w:r w:rsidR="002473A2">
        <w:t>clear in law</w:t>
      </w:r>
      <w:r w:rsidR="00804E47">
        <w:t>.</w:t>
      </w:r>
      <w:r w:rsidR="00CD32D5">
        <w:t xml:space="preserve"> </w:t>
      </w:r>
    </w:p>
    <w:p w14:paraId="644D22E1" w14:textId="77777777" w:rsidR="009D00AC" w:rsidRDefault="001D39FC" w:rsidP="009D00AC">
      <w:pPr>
        <w:spacing w:after="120" w:line="480" w:lineRule="auto"/>
        <w:rPr>
          <w:b/>
          <w:i/>
        </w:rPr>
      </w:pPr>
      <w:r>
        <w:rPr>
          <w:b/>
          <w:i/>
        </w:rPr>
        <w:t>7.3</w:t>
      </w:r>
      <w:r w:rsidR="008C1CD0" w:rsidRPr="008C1CD0">
        <w:rPr>
          <w:b/>
          <w:i/>
        </w:rPr>
        <w:t xml:space="preserve"> Defining equity in opposition to liabilities</w:t>
      </w:r>
    </w:p>
    <w:p w14:paraId="7E3FFB89" w14:textId="64CD98B1" w:rsidR="003A269A" w:rsidRPr="00985702" w:rsidRDefault="008C1CD0" w:rsidP="00985702">
      <w:pPr>
        <w:spacing w:after="120" w:line="480" w:lineRule="auto"/>
      </w:pPr>
      <w:r>
        <w:t>In</w:t>
      </w:r>
      <w:r w:rsidR="00804E47">
        <w:t xml:space="preserve"> contrast</w:t>
      </w:r>
      <w:r>
        <w:t xml:space="preserve"> to the law</w:t>
      </w:r>
      <w:r w:rsidR="00804E47">
        <w:t>,</w:t>
      </w:r>
      <w:r>
        <w:t xml:space="preserve"> </w:t>
      </w:r>
      <w:r w:rsidR="002473A2">
        <w:t xml:space="preserve">the </w:t>
      </w:r>
      <w:r w:rsidR="00804E47">
        <w:t>standard-setters’</w:t>
      </w:r>
      <w:r w:rsidR="002473A2">
        <w:t xml:space="preserve"> conceptual framework</w:t>
      </w:r>
      <w:r w:rsidR="00BA7937">
        <w:t xml:space="preserve">s </w:t>
      </w:r>
      <w:r w:rsidR="00F069A9">
        <w:t xml:space="preserve">do </w:t>
      </w:r>
      <w:r w:rsidR="003A269A">
        <w:t>establish equity</w:t>
      </w:r>
      <w:r>
        <w:t xml:space="preserve">, </w:t>
      </w:r>
      <w:r w:rsidR="00F069A9">
        <w:t>at least in principle: it is</w:t>
      </w:r>
      <w:r w:rsidR="003A269A">
        <w:t xml:space="preserve"> the residual </w:t>
      </w:r>
      <w:r w:rsidR="000A36B7">
        <w:t xml:space="preserve">interest in the </w:t>
      </w:r>
      <w:r w:rsidR="003A269A">
        <w:t xml:space="preserve">balance </w:t>
      </w:r>
      <w:r w:rsidR="002473A2">
        <w:t xml:space="preserve">of </w:t>
      </w:r>
      <w:r w:rsidR="003A269A">
        <w:t xml:space="preserve">defined </w:t>
      </w:r>
      <w:r w:rsidR="002473A2">
        <w:t>asset and liability</w:t>
      </w:r>
      <w:r w:rsidR="003A269A">
        <w:t xml:space="preserve"> concepts</w:t>
      </w:r>
      <w:r w:rsidR="00F85283">
        <w:t>.  The IASB’s current</w:t>
      </w:r>
      <w:r w:rsidR="00F85283">
        <w:rPr>
          <w:rStyle w:val="FootnoteReference"/>
        </w:rPr>
        <w:footnoteReference w:id="46"/>
      </w:r>
      <w:r w:rsidR="002473A2">
        <w:t xml:space="preserve"> </w:t>
      </w:r>
      <w:r w:rsidR="00F85283">
        <w:t>definition of a liability is (IASB 2010, para. 4.4):</w:t>
      </w:r>
    </w:p>
    <w:p w14:paraId="77A1A2E3" w14:textId="77777777" w:rsidR="00F85283" w:rsidRDefault="00F85283" w:rsidP="00F85283">
      <w:pPr>
        <w:spacing w:after="120" w:line="480" w:lineRule="auto"/>
        <w:ind w:left="720"/>
      </w:pPr>
      <w:r>
        <w:t>a present obligation of the entity arising from past events, the settlement of which is expected to result in an outflow from the entity of resources embodying economic benefits.</w:t>
      </w:r>
    </w:p>
    <w:p w14:paraId="0EF2E2DE" w14:textId="721F6949" w:rsidR="00F85283" w:rsidRPr="00F85283" w:rsidRDefault="00F85283" w:rsidP="00F85283">
      <w:pPr>
        <w:spacing w:after="120" w:line="480" w:lineRule="auto"/>
      </w:pPr>
      <w:r>
        <w:t>This definition is close</w:t>
      </w:r>
      <w:r w:rsidR="00804E47">
        <w:t xml:space="preserve"> to the</w:t>
      </w:r>
      <w:r>
        <w:t xml:space="preserve"> FASB</w:t>
      </w:r>
      <w:r w:rsidR="00804E47">
        <w:t>’s</w:t>
      </w:r>
      <w:r>
        <w:t xml:space="preserve"> (1980, para. 28, and 1985, para. 35) which itself can be traced back to </w:t>
      </w:r>
      <w:r>
        <w:rPr>
          <w:i/>
        </w:rPr>
        <w:t>Accounting Research Study</w:t>
      </w:r>
      <w:r>
        <w:t xml:space="preserve"> (ARS) 1 (AICPA 19</w:t>
      </w:r>
      <w:r w:rsidR="00DE679C">
        <w:t>61, p.40) and ARS 3 (AICPA 1963</w:t>
      </w:r>
      <w:r>
        <w:t>, p.8).</w:t>
      </w:r>
      <w:r w:rsidR="00F837F1">
        <w:t xml:space="preserve"> </w:t>
      </w:r>
      <w:r w:rsidR="0043364A">
        <w:t xml:space="preserve">There has been much controversy about the dividing line between debt and equity (e.g. Clark 1993), and this continues (e.g. IASB 2013, section 5). In the UK, </w:t>
      </w:r>
      <w:r w:rsidR="00E65328">
        <w:t>FRS 4 (ASB 1993</w:t>
      </w:r>
      <w:r w:rsidR="00C737CF">
        <w:t>, para.12</w:t>
      </w:r>
      <w:r w:rsidR="00E65328">
        <w:t xml:space="preserve">) </w:t>
      </w:r>
      <w:r w:rsidR="0043364A">
        <w:t xml:space="preserve">split shareholders’ funds </w:t>
      </w:r>
      <w:r w:rsidR="00E65328">
        <w:t>into equity and non-equity components</w:t>
      </w:r>
      <w:r w:rsidR="0043364A">
        <w:t>, though this was</w:t>
      </w:r>
      <w:r w:rsidR="00C737CF">
        <w:t xml:space="preserve"> because of a legal difficulty with treating preference shares as debt even if they met the definition of liability.</w:t>
      </w:r>
      <w:r w:rsidR="00E65328">
        <w:t xml:space="preserve"> </w:t>
      </w:r>
      <w:r w:rsidR="00BA51CB">
        <w:t>As a result,</w:t>
      </w:r>
      <w:r w:rsidR="0043364A">
        <w:t xml:space="preserve"> the UK’s Stat</w:t>
      </w:r>
      <w:r w:rsidR="00BA51CB">
        <w:t>ement of Principles (ASB 1999</w:t>
      </w:r>
      <w:r w:rsidR="00985702">
        <w:t xml:space="preserve">, </w:t>
      </w:r>
      <w:r w:rsidR="00BA51CB">
        <w:t xml:space="preserve">Chapter 4) </w:t>
      </w:r>
      <w:r w:rsidR="0043364A">
        <w:t>treats the difference as representing ‘ownership interest’</w:t>
      </w:r>
      <w:r w:rsidR="00BA51CB">
        <w:t xml:space="preserve"> rather than equity.</w:t>
      </w:r>
    </w:p>
    <w:p w14:paraId="16F610A1" w14:textId="77777777" w:rsidR="002473A2" w:rsidRDefault="006D61AB" w:rsidP="003A269A">
      <w:pPr>
        <w:spacing w:after="120" w:line="480" w:lineRule="auto"/>
        <w:ind w:firstLine="720"/>
      </w:pPr>
      <w:r>
        <w:t>T</w:t>
      </w:r>
      <w:r w:rsidR="00C02472">
        <w:t xml:space="preserve">he </w:t>
      </w:r>
      <w:r w:rsidR="002473A2">
        <w:t>frameworks are not accounting standards, and the latter frequently depart from the former, as will be explained.  The</w:t>
      </w:r>
      <w:r w:rsidR="00BA51CB">
        <w:t>refore, the</w:t>
      </w:r>
      <w:r w:rsidR="002473A2">
        <w:t xml:space="preserve"> operational concept of equity rests on the amounts </w:t>
      </w:r>
      <w:r w:rsidR="006A7071" w:rsidRPr="00E7447F">
        <w:rPr>
          <w:i/>
        </w:rPr>
        <w:t>treated</w:t>
      </w:r>
      <w:r w:rsidR="006A7071">
        <w:t xml:space="preserve"> a</w:t>
      </w:r>
      <w:r w:rsidR="002473A2">
        <w:t>s assets and liab</w:t>
      </w:r>
      <w:r w:rsidR="00BA7937">
        <w:t xml:space="preserve">ilities under a series of individual </w:t>
      </w:r>
      <w:r w:rsidR="002473A2">
        <w:t>accounting standards.</w:t>
      </w:r>
      <w:r w:rsidR="003A269A">
        <w:t xml:space="preserve"> </w:t>
      </w:r>
      <w:r w:rsidR="002473A2">
        <w:t xml:space="preserve">To take the example of IFRS, the amounts recorded </w:t>
      </w:r>
      <w:r w:rsidR="00980B91">
        <w:t>as</w:t>
      </w:r>
      <w:r w:rsidR="002473A2">
        <w:t xml:space="preserve"> liabilities are regulated, </w:t>
      </w:r>
      <w:r w:rsidR="002473A2">
        <w:rPr>
          <w:i/>
        </w:rPr>
        <w:t>inter alia</w:t>
      </w:r>
      <w:r w:rsidR="00694817">
        <w:t>, by: IAS 32 (financial liabilities</w:t>
      </w:r>
      <w:r w:rsidR="002473A2">
        <w:t xml:space="preserve">), IAS 37 (provisions), IAS 19 (employee benefit obligations), IAS 17 (leases), IAS 12 (deferred tax liabilities) and IAS 20 (government grants).  </w:t>
      </w:r>
      <w:r w:rsidR="002473A2">
        <w:rPr>
          <w:i/>
        </w:rPr>
        <w:t>All</w:t>
      </w:r>
      <w:r w:rsidR="002473A2">
        <w:t xml:space="preserve"> of these standards depart in various ways from the framework’s definit</w:t>
      </w:r>
      <w:r w:rsidR="00BA7937">
        <w:t>ion of a liability</w:t>
      </w:r>
      <w:r w:rsidR="002473A2">
        <w:t>:</w:t>
      </w:r>
    </w:p>
    <w:p w14:paraId="78E8A9E1" w14:textId="77777777" w:rsidR="002473A2" w:rsidRDefault="002473A2" w:rsidP="006A7071">
      <w:pPr>
        <w:pStyle w:val="ListParagraph"/>
        <w:numPr>
          <w:ilvl w:val="0"/>
          <w:numId w:val="5"/>
        </w:numPr>
        <w:tabs>
          <w:tab w:val="left" w:pos="720"/>
        </w:tabs>
        <w:spacing w:after="120" w:line="480" w:lineRule="auto"/>
      </w:pPr>
      <w:r>
        <w:t xml:space="preserve">Under IAS 32 (para. 11), an obligation which an entity can or must fulfil by delivering a variable number of its own equity instruments is treated as a liability even </w:t>
      </w:r>
      <w:r w:rsidR="00980B91">
        <w:t>if</w:t>
      </w:r>
      <w:r>
        <w:t xml:space="preserve"> there is no expected outflow of resources.</w:t>
      </w:r>
    </w:p>
    <w:p w14:paraId="10CA2230" w14:textId="77777777" w:rsidR="006A7071" w:rsidRDefault="006A7071" w:rsidP="006A7071">
      <w:pPr>
        <w:pStyle w:val="ListParagraph"/>
        <w:numPr>
          <w:ilvl w:val="0"/>
          <w:numId w:val="5"/>
        </w:numPr>
        <w:tabs>
          <w:tab w:val="left" w:pos="720"/>
        </w:tabs>
        <w:spacing w:after="120" w:line="480" w:lineRule="auto"/>
      </w:pPr>
      <w:r>
        <w:t>On the other hand, under IAS 32 (para.16A), certain puttable obligations to pay cash are  treated as equity.</w:t>
      </w:r>
    </w:p>
    <w:p w14:paraId="358E523F" w14:textId="3A170B75" w:rsidR="002473A2" w:rsidRDefault="0064099E" w:rsidP="00182D1D">
      <w:pPr>
        <w:pStyle w:val="ListParagraph"/>
        <w:numPr>
          <w:ilvl w:val="0"/>
          <w:numId w:val="5"/>
        </w:numPr>
        <w:tabs>
          <w:tab w:val="left" w:pos="720"/>
        </w:tabs>
        <w:spacing w:after="120" w:line="480" w:lineRule="auto"/>
      </w:pPr>
      <w:r>
        <w:t xml:space="preserve">Under IAS 37 (para. </w:t>
      </w:r>
      <w:r w:rsidR="002473A2">
        <w:t>10</w:t>
      </w:r>
      <w:r>
        <w:t xml:space="preserve">) and IAS 19 (para. </w:t>
      </w:r>
      <w:r w:rsidR="004D1EFF">
        <w:t>61</w:t>
      </w:r>
      <w:r>
        <w:t>)</w:t>
      </w:r>
      <w:r w:rsidR="002473A2">
        <w:t>, an entity account</w:t>
      </w:r>
      <w:r w:rsidR="00980B91">
        <w:t>s</w:t>
      </w:r>
      <w:r w:rsidR="002473A2">
        <w:t xml:space="preserve"> for </w:t>
      </w:r>
      <w:r w:rsidR="002A6379">
        <w:t>‘</w:t>
      </w:r>
      <w:r w:rsidR="002473A2">
        <w:t>constructive obligations</w:t>
      </w:r>
      <w:r w:rsidR="002A6379">
        <w:t>’</w:t>
      </w:r>
      <w:r w:rsidR="002473A2">
        <w:t xml:space="preserve"> which it could avoid</w:t>
      </w:r>
      <w:r w:rsidR="00694817">
        <w:t xml:space="preserve"> (IASB 2013, para. 3.62</w:t>
      </w:r>
      <w:r>
        <w:t>)</w:t>
      </w:r>
      <w:r w:rsidR="002473A2">
        <w:t>.</w:t>
      </w:r>
    </w:p>
    <w:p w14:paraId="2FF60751" w14:textId="77777777" w:rsidR="00182D1D" w:rsidRDefault="00182D1D" w:rsidP="00182D1D">
      <w:pPr>
        <w:pStyle w:val="ListParagraph"/>
        <w:numPr>
          <w:ilvl w:val="0"/>
          <w:numId w:val="5"/>
        </w:numPr>
        <w:tabs>
          <w:tab w:val="left" w:pos="720"/>
        </w:tabs>
        <w:spacing w:after="120" w:line="480" w:lineRule="auto"/>
      </w:pPr>
      <w:r>
        <w:t>Under IAS 19 (para</w:t>
      </w:r>
      <w:r w:rsidR="000B189A">
        <w:t>.72</w:t>
      </w:r>
      <w:r>
        <w:t>), an entity accounts for unvested obligations which it could avoid (e.g. by sacking staff).</w:t>
      </w:r>
    </w:p>
    <w:p w14:paraId="0C836C65" w14:textId="77777777" w:rsidR="002473A2" w:rsidRDefault="00182D1D" w:rsidP="002473A2">
      <w:pPr>
        <w:tabs>
          <w:tab w:val="left" w:pos="720"/>
        </w:tabs>
        <w:spacing w:after="120" w:line="480" w:lineRule="auto"/>
        <w:ind w:left="1260" w:hanging="1260"/>
      </w:pPr>
      <w:r>
        <w:tab/>
        <w:t>(v</w:t>
      </w:r>
      <w:r w:rsidR="002473A2">
        <w:t>)</w:t>
      </w:r>
      <w:r w:rsidR="002473A2">
        <w:tab/>
        <w:t>Under IAS 17</w:t>
      </w:r>
      <w:r w:rsidR="000B189A">
        <w:t xml:space="preserve"> (para. 33)</w:t>
      </w:r>
      <w:r w:rsidR="002473A2">
        <w:t xml:space="preserve">, an entity does not account for </w:t>
      </w:r>
      <w:r w:rsidR="0064099E">
        <w:t xml:space="preserve">its </w:t>
      </w:r>
      <w:r w:rsidR="002473A2">
        <w:t>contractual obligations under operating leases.</w:t>
      </w:r>
    </w:p>
    <w:p w14:paraId="28E21A7C" w14:textId="2DCA1838" w:rsidR="002473A2" w:rsidRDefault="00182D1D" w:rsidP="002473A2">
      <w:pPr>
        <w:tabs>
          <w:tab w:val="left" w:pos="720"/>
        </w:tabs>
        <w:spacing w:after="120" w:line="480" w:lineRule="auto"/>
        <w:ind w:left="1260" w:hanging="1260"/>
      </w:pPr>
      <w:r>
        <w:tab/>
        <w:t>(vi</w:t>
      </w:r>
      <w:r w:rsidR="002473A2">
        <w:t>)</w:t>
      </w:r>
      <w:r w:rsidR="002473A2">
        <w:tab/>
        <w:t xml:space="preserve">Under IAS 12, an entity is required to recognise a deferred tax liability when there is no past event and no current obligation </w:t>
      </w:r>
      <w:r w:rsidR="0064099E">
        <w:t xml:space="preserve">to a third party, </w:t>
      </w:r>
      <w:r w:rsidR="002473A2">
        <w:t>e.g. when it re-measures a building at fair value under IAS 16 or IAS 40</w:t>
      </w:r>
      <w:r w:rsidR="0064099E">
        <w:t xml:space="preserve"> (Weetman 19</w:t>
      </w:r>
      <w:r w:rsidR="00C955CE">
        <w:t>92</w:t>
      </w:r>
      <w:r w:rsidR="00C61050">
        <w:t>,</w:t>
      </w:r>
      <w:r w:rsidR="00C737CF">
        <w:t xml:space="preserve"> EFRAG/ASB 2011</w:t>
      </w:r>
      <w:r w:rsidR="00105369">
        <w:t>, pp</w:t>
      </w:r>
      <w:r w:rsidR="009853E5">
        <w:t>. 39-40</w:t>
      </w:r>
      <w:r w:rsidR="002473A2">
        <w:t>).</w:t>
      </w:r>
    </w:p>
    <w:p w14:paraId="051EDEF1" w14:textId="77777777" w:rsidR="002473A2" w:rsidRDefault="002473A2" w:rsidP="002473A2">
      <w:pPr>
        <w:tabs>
          <w:tab w:val="left" w:pos="720"/>
        </w:tabs>
        <w:spacing w:after="120" w:line="480" w:lineRule="auto"/>
        <w:ind w:left="1260" w:hanging="1260"/>
      </w:pPr>
      <w:r>
        <w:tab/>
        <w:t>(v</w:t>
      </w:r>
      <w:r w:rsidR="00182D1D">
        <w:t>ii</w:t>
      </w:r>
      <w:r>
        <w:t>)</w:t>
      </w:r>
      <w:r>
        <w:tab/>
        <w:t>Under IAS 20 (para. 24), an entity can record a governm</w:t>
      </w:r>
      <w:r w:rsidR="0064099E">
        <w:t xml:space="preserve">ent grant as </w:t>
      </w:r>
      <w:r w:rsidR="002A6379">
        <w:t>‘</w:t>
      </w:r>
      <w:r w:rsidR="0064099E">
        <w:t>deferred income</w:t>
      </w:r>
      <w:r w:rsidR="002A6379">
        <w:t>’</w:t>
      </w:r>
      <w:r w:rsidR="0064099E">
        <w:t xml:space="preserve"> (</w:t>
      </w:r>
      <w:r>
        <w:t>whi</w:t>
      </w:r>
      <w:r w:rsidR="0064099E">
        <w:t xml:space="preserve">ch is presented as a liability) </w:t>
      </w:r>
      <w:r>
        <w:t>even tho</w:t>
      </w:r>
      <w:r w:rsidR="00182D1D">
        <w:t>ugh it has no obligation (and does not expect</w:t>
      </w:r>
      <w:r>
        <w:t>) to re-fund it.</w:t>
      </w:r>
    </w:p>
    <w:p w14:paraId="0C5B7981" w14:textId="77777777" w:rsidR="00C02472" w:rsidRDefault="00E544A1" w:rsidP="00A3366B">
      <w:pPr>
        <w:spacing w:after="120" w:line="480" w:lineRule="auto"/>
      </w:pPr>
      <w:r>
        <w:t>Further</w:t>
      </w:r>
      <w:r w:rsidR="00C02472">
        <w:t>, some liabilities are not recognised because they do not meet the recognition criteria of probable outflows and reliable measurement</w:t>
      </w:r>
      <w:r w:rsidR="00985702">
        <w:t xml:space="preserve"> (e.g. </w:t>
      </w:r>
      <w:r w:rsidR="006A30BB">
        <w:t>IAS 37</w:t>
      </w:r>
      <w:r w:rsidR="00985702">
        <w:t xml:space="preserve">, </w:t>
      </w:r>
      <w:r w:rsidR="006A30BB">
        <w:t>paras. 23 and 26)</w:t>
      </w:r>
      <w:r w:rsidR="00985702">
        <w:t>.</w:t>
      </w:r>
      <w:r w:rsidR="006A30BB">
        <w:t xml:space="preserve"> </w:t>
      </w:r>
    </w:p>
    <w:p w14:paraId="2C50F4F3" w14:textId="77777777" w:rsidR="00A3366B" w:rsidRPr="002473A2" w:rsidRDefault="00A3366B" w:rsidP="00C02472">
      <w:pPr>
        <w:spacing w:after="120" w:line="480" w:lineRule="auto"/>
        <w:ind w:firstLine="720"/>
      </w:pPr>
      <w:r>
        <w:t xml:space="preserve">There are also examples of </w:t>
      </w:r>
      <w:r w:rsidRPr="00E544A1">
        <w:rPr>
          <w:i/>
        </w:rPr>
        <w:t>asset</w:t>
      </w:r>
      <w:r>
        <w:t xml:space="preserve"> standard</w:t>
      </w:r>
      <w:r w:rsidR="0064099E">
        <w:t>s</w:t>
      </w:r>
      <w:r>
        <w:t xml:space="preserve"> which do not comply with the framework</w:t>
      </w:r>
      <w:r w:rsidR="00694817">
        <w:t>, which affects net assets and therefore equity</w:t>
      </w:r>
      <w:r w:rsidR="00C02472">
        <w:t>; t</w:t>
      </w:r>
      <w:r>
        <w:t xml:space="preserve">o name two: (i) IFRS 3 (paras. BC 313-323) explains that an indeterminate amount of </w:t>
      </w:r>
      <w:r w:rsidR="00E544A1">
        <w:t xml:space="preserve">the </w:t>
      </w:r>
      <w:r>
        <w:t xml:space="preserve">goodwill </w:t>
      </w:r>
      <w:r w:rsidR="00E544A1">
        <w:t xml:space="preserve">recorded on a balance sheet </w:t>
      </w:r>
      <w:r>
        <w:t>is not an asset, and (ii) IAS 37 (para. 33) requires an entity not to recognise a c</w:t>
      </w:r>
      <w:r w:rsidR="00182D1D">
        <w:t xml:space="preserve">ontingent asset even if </w:t>
      </w:r>
      <w:r w:rsidR="00E544A1">
        <w:t>the</w:t>
      </w:r>
      <w:r w:rsidR="00182D1D">
        <w:t xml:space="preserve"> entity has a right to</w:t>
      </w:r>
      <w:r>
        <w:t xml:space="preserve"> a highly probable </w:t>
      </w:r>
      <w:r w:rsidR="0064099E">
        <w:t xml:space="preserve">future </w:t>
      </w:r>
      <w:r>
        <w:t>inflow of resources resulting from a past event.</w:t>
      </w:r>
    </w:p>
    <w:p w14:paraId="38D1D2C3" w14:textId="77777777" w:rsidR="00F87EFB" w:rsidRDefault="00A3366B" w:rsidP="00F87EFB">
      <w:pPr>
        <w:spacing w:after="120" w:line="480" w:lineRule="auto"/>
        <w:ind w:left="720"/>
      </w:pPr>
      <w:r>
        <w:t>In con</w:t>
      </w:r>
      <w:r w:rsidR="00DB122A">
        <w:t>clusi</w:t>
      </w:r>
      <w:r w:rsidR="00182D1D">
        <w:t xml:space="preserve">on, </w:t>
      </w:r>
      <w:r w:rsidR="00DB122A">
        <w:t xml:space="preserve">in IFRS </w:t>
      </w:r>
      <w:r w:rsidR="00F87EFB">
        <w:t xml:space="preserve">standards and </w:t>
      </w:r>
      <w:r w:rsidR="00DB122A" w:rsidRPr="00F87EFB">
        <w:t>practice</w:t>
      </w:r>
      <w:r w:rsidR="00F87EFB">
        <w:t xml:space="preserve"> (as opposed to the conceptual</w:t>
      </w:r>
    </w:p>
    <w:p w14:paraId="648F5D6D" w14:textId="23F4CDD5" w:rsidR="00D34E91" w:rsidRDefault="00F87EFB" w:rsidP="00F87EFB">
      <w:pPr>
        <w:spacing w:after="120" w:line="480" w:lineRule="auto"/>
      </w:pPr>
      <w:r>
        <w:t xml:space="preserve"> framework)</w:t>
      </w:r>
      <w:r w:rsidR="00A3366B">
        <w:t>, there is no coherent concept of assets and</w:t>
      </w:r>
      <w:r>
        <w:t xml:space="preserve"> </w:t>
      </w:r>
      <w:r w:rsidR="00A3366B">
        <w:t>liabilities, so there is no coh</w:t>
      </w:r>
      <w:r>
        <w:t xml:space="preserve">erent concept of equity capital (see, also, </w:t>
      </w:r>
      <w:r w:rsidR="00AC7EFA">
        <w:t xml:space="preserve">Pope </w:t>
      </w:r>
      <w:r>
        <w:t xml:space="preserve">and Puxty </w:t>
      </w:r>
      <w:r w:rsidR="00AC7EFA">
        <w:t>1991).</w:t>
      </w:r>
      <w:r w:rsidR="00960A22">
        <w:t xml:space="preserve"> </w:t>
      </w:r>
      <w:r w:rsidR="00FE693E">
        <w:t xml:space="preserve">However, that </w:t>
      </w:r>
      <w:r w:rsidR="008E3FD1">
        <w:t xml:space="preserve">is not the end of the problem: </w:t>
      </w:r>
      <w:r w:rsidR="00FE693E">
        <w:t xml:space="preserve">the </w:t>
      </w:r>
      <w:r w:rsidR="00FE693E" w:rsidRPr="008E3FD1">
        <w:rPr>
          <w:i/>
        </w:rPr>
        <w:t>quantum</w:t>
      </w:r>
      <w:r w:rsidR="00FE693E">
        <w:t xml:space="preserve"> of equity </w:t>
      </w:r>
      <w:r w:rsidR="00AC7EFA">
        <w:t>(even if the concept could be clearly</w:t>
      </w:r>
      <w:r w:rsidR="008E3FD1">
        <w:t xml:space="preserve"> defined) </w:t>
      </w:r>
      <w:r w:rsidR="00FE693E">
        <w:t>will not be meaningful unless all the assets and liabilities are measured in the same</w:t>
      </w:r>
      <w:r w:rsidR="004244F4">
        <w:t xml:space="preserve"> way.  Chambers (e.g. 1966), </w:t>
      </w:r>
      <w:r w:rsidR="00FE693E">
        <w:t>his contemporary</w:t>
      </w:r>
      <w:r w:rsidR="004244F4">
        <w:t xml:space="preserve"> disciples and his current</w:t>
      </w:r>
      <w:r w:rsidR="00FE693E">
        <w:t xml:space="preserve"> apostles have contin</w:t>
      </w:r>
      <w:r w:rsidR="00702EEB">
        <w:t>ual</w:t>
      </w:r>
      <w:r w:rsidR="008E3FD1">
        <w:t xml:space="preserve">ly argued for such </w:t>
      </w:r>
      <w:r w:rsidR="00FE693E">
        <w:t>accounting in order to enable additivity</w:t>
      </w:r>
      <w:r w:rsidR="00182D1D">
        <w:t xml:space="preserve"> on a balance sheet</w:t>
      </w:r>
      <w:r w:rsidR="00FE693E">
        <w:t xml:space="preserve">.  Instead, in IFRS, there is a cornucopia of measurement bases, </w:t>
      </w:r>
      <w:r w:rsidR="00FE693E">
        <w:rPr>
          <w:i/>
        </w:rPr>
        <w:t>inter alia</w:t>
      </w:r>
      <w:r w:rsidR="00FE693E">
        <w:t>: inventories at the lower of cost and net real</w:t>
      </w:r>
      <w:r>
        <w:t xml:space="preserve">isable value (IAS 2, para. 9); </w:t>
      </w:r>
      <w:r w:rsidR="00FE693E">
        <w:t>buildings usually at depreciated cost (Kv</w:t>
      </w:r>
      <w:r w:rsidR="00BB7CA2">
        <w:t xml:space="preserve">aal and Nobes 2010, Table 3); </w:t>
      </w:r>
      <w:r w:rsidR="00FE693E">
        <w:t xml:space="preserve">equity financial assets at </w:t>
      </w:r>
      <w:r w:rsidR="00BB7CA2">
        <w:t xml:space="preserve">fair value (IAS 39, para. 46); </w:t>
      </w:r>
      <w:r w:rsidR="00FE693E">
        <w:t xml:space="preserve">finance lease liabilities </w:t>
      </w:r>
      <w:r w:rsidR="00182D1D">
        <w:t xml:space="preserve">usually </w:t>
      </w:r>
      <w:r w:rsidR="00FE693E">
        <w:t xml:space="preserve">at discounted </w:t>
      </w:r>
      <w:r w:rsidR="008E3FD1">
        <w:t xml:space="preserve">contractual </w:t>
      </w:r>
      <w:r w:rsidR="00FE693E">
        <w:t>cas</w:t>
      </w:r>
      <w:r w:rsidR="00BB7CA2">
        <w:t xml:space="preserve">h outflows (IAS 17, para. 20); </w:t>
      </w:r>
      <w:r w:rsidR="00FE693E">
        <w:t xml:space="preserve">and deferred tax liabilities at undiscounted imagined cash outflows (IAS 12, para. 53).  </w:t>
      </w:r>
      <w:r w:rsidR="00143CEE">
        <w:t>The inconsistency in liability measurement is examined by Barker and McGeachin</w:t>
      </w:r>
      <w:r w:rsidR="00985702">
        <w:t xml:space="preserve"> (</w:t>
      </w:r>
      <w:r w:rsidR="00143CEE">
        <w:t xml:space="preserve">2013). </w:t>
      </w:r>
      <w:r w:rsidR="00FE693E">
        <w:t xml:space="preserve">So, even if the </w:t>
      </w:r>
      <w:r w:rsidR="00FE693E" w:rsidRPr="00676889">
        <w:rPr>
          <w:i/>
        </w:rPr>
        <w:t>concept</w:t>
      </w:r>
      <w:r w:rsidR="00FE693E">
        <w:t xml:space="preserve"> of equity capital had been clear, its quantum would be uninterpretable.</w:t>
      </w:r>
      <w:r w:rsidR="00182D1D" w:rsidRPr="00182D1D">
        <w:t xml:space="preserve"> </w:t>
      </w:r>
      <w:r w:rsidR="00182D1D">
        <w:t xml:space="preserve">The DP proposes to continue this mixed measurement, and justifies it theoretically on the grounds that it reflects the different ways in which various assets and liabilities lead to future cash flows (para. 6.17).  </w:t>
      </w:r>
    </w:p>
    <w:p w14:paraId="6B000F96" w14:textId="719CE550" w:rsidR="00C82DD1" w:rsidRDefault="00F85283" w:rsidP="00282306">
      <w:pPr>
        <w:spacing w:after="120" w:line="480" w:lineRule="auto"/>
      </w:pPr>
      <w:r>
        <w:tab/>
        <w:t xml:space="preserve">In the context of accounting for a </w:t>
      </w:r>
      <w:r w:rsidR="00804E47">
        <w:t xml:space="preserve">group, a further issue arises: </w:t>
      </w:r>
      <w:r>
        <w:t>are non-controlling interests (NCI)</w:t>
      </w:r>
      <w:r>
        <w:rPr>
          <w:rStyle w:val="FootnoteReference"/>
        </w:rPr>
        <w:footnoteReference w:id="47"/>
      </w:r>
      <w:r>
        <w:t xml:space="preserve"> part of equity capital?</w:t>
      </w:r>
      <w:r w:rsidR="00804E47">
        <w:t xml:space="preserve">  Given the above definition of ‘liability’</w:t>
      </w:r>
      <w:r w:rsidR="00D44BE0">
        <w:t>, it is clear that NCI is generally part of equity because there is not usually</w:t>
      </w:r>
      <w:r w:rsidR="00D44BE0">
        <w:rPr>
          <w:rStyle w:val="FootnoteReference"/>
        </w:rPr>
        <w:footnoteReference w:id="48"/>
      </w:r>
      <w:r w:rsidR="00D44BE0">
        <w:t xml:space="preserve"> any obligation to make an outflow.  However, for the whole of the twentieth century,</w:t>
      </w:r>
      <w:r w:rsidR="00D44BE0">
        <w:rPr>
          <w:rStyle w:val="FootnoteReference"/>
        </w:rPr>
        <w:footnoteReference w:id="49"/>
      </w:r>
      <w:r w:rsidR="00D44BE0">
        <w:t xml:space="preserve"> </w:t>
      </w:r>
      <w:r>
        <w:t xml:space="preserve">NCI were shown </w:t>
      </w:r>
      <w:r w:rsidR="00E370FB">
        <w:t>outside of equity</w:t>
      </w:r>
      <w:r w:rsidR="00E370FB">
        <w:rPr>
          <w:rStyle w:val="FootnoteReference"/>
        </w:rPr>
        <w:footnoteReference w:id="50"/>
      </w:r>
      <w:r w:rsidR="00E370FB">
        <w:t xml:space="preserve"> </w:t>
      </w:r>
      <w:r>
        <w:t>in US GAAP (</w:t>
      </w:r>
      <w:r w:rsidR="000F3A0E">
        <w:t>Walker 1978, p.298</w:t>
      </w:r>
      <w:r w:rsidR="00C61050">
        <w:t>,</w:t>
      </w:r>
      <w:r w:rsidR="000F3A0E">
        <w:t xml:space="preserve"> </w:t>
      </w:r>
      <w:r w:rsidR="00FF75E6">
        <w:t xml:space="preserve"> </w:t>
      </w:r>
      <w:r>
        <w:t>Williams 1996, pp. 6-19)</w:t>
      </w:r>
      <w:r w:rsidR="00FF75E6">
        <w:t xml:space="preserve"> and in UK GAAP</w:t>
      </w:r>
      <w:r w:rsidR="00D60C9C">
        <w:t>.</w:t>
      </w:r>
      <w:r w:rsidR="0044188E">
        <w:rPr>
          <w:rStyle w:val="FootnoteReference"/>
        </w:rPr>
        <w:footnoteReference w:id="51"/>
      </w:r>
      <w:r w:rsidR="00D60C9C">
        <w:t xml:space="preserve"> </w:t>
      </w:r>
      <w:r>
        <w:t>IFRS</w:t>
      </w:r>
      <w:r w:rsidR="00D60C9C">
        <w:t xml:space="preserve"> changed </w:t>
      </w:r>
      <w:r w:rsidR="00D44BE0">
        <w:t>to showing NCI as equity</w:t>
      </w:r>
      <w:r w:rsidR="00D60C9C">
        <w:t xml:space="preserve"> in 2003</w:t>
      </w:r>
      <w:r w:rsidR="00D72385">
        <w:t>;</w:t>
      </w:r>
      <w:r w:rsidR="00D44BE0">
        <w:rPr>
          <w:rStyle w:val="FootnoteReference"/>
        </w:rPr>
        <w:footnoteReference w:id="52"/>
      </w:r>
      <w:r w:rsidR="00FF75E6">
        <w:t xml:space="preserve"> </w:t>
      </w:r>
      <w:r w:rsidR="00D72385">
        <w:t>US GAAP changed with</w:t>
      </w:r>
      <w:r w:rsidR="0044188E">
        <w:t xml:space="preserve"> SFAS 160 of 2007</w:t>
      </w:r>
      <w:r w:rsidR="00D72385">
        <w:t xml:space="preserve">; and UK GAAP changed when it became a version of IFRS for SMEs </w:t>
      </w:r>
      <w:r w:rsidR="00827003">
        <w:t xml:space="preserve">(see FRS 102, para. 9.20, issued </w:t>
      </w:r>
      <w:r w:rsidR="00D72385">
        <w:t>in 2013</w:t>
      </w:r>
      <w:r w:rsidR="00827003">
        <w:t>)</w:t>
      </w:r>
      <w:r w:rsidR="00D72385">
        <w:t>.</w:t>
      </w:r>
      <w:r w:rsidR="0044188E">
        <w:t xml:space="preserve">  </w:t>
      </w:r>
    </w:p>
    <w:p w14:paraId="7C62EA65" w14:textId="77777777" w:rsidR="008C1CD0" w:rsidRPr="008C1CD0" w:rsidRDefault="001D39FC" w:rsidP="00282306">
      <w:pPr>
        <w:spacing w:after="120" w:line="480" w:lineRule="auto"/>
        <w:rPr>
          <w:b/>
          <w:i/>
        </w:rPr>
      </w:pPr>
      <w:r>
        <w:rPr>
          <w:b/>
          <w:i/>
        </w:rPr>
        <w:t>7.4</w:t>
      </w:r>
      <w:r w:rsidR="008C1CD0" w:rsidRPr="008C1CD0">
        <w:rPr>
          <w:b/>
          <w:i/>
        </w:rPr>
        <w:t xml:space="preserve"> </w:t>
      </w:r>
      <w:r w:rsidR="006779A8">
        <w:rPr>
          <w:b/>
          <w:i/>
        </w:rPr>
        <w:t>Incom</w:t>
      </w:r>
      <w:r w:rsidR="008C1CD0" w:rsidRPr="008C1CD0">
        <w:rPr>
          <w:b/>
          <w:i/>
        </w:rPr>
        <w:t>e as an increase in equity</w:t>
      </w:r>
    </w:p>
    <w:p w14:paraId="79C71D19" w14:textId="0D87D415" w:rsidR="00F223CA" w:rsidRDefault="00F223CA" w:rsidP="00D038EA">
      <w:pPr>
        <w:spacing w:after="120" w:line="480" w:lineRule="auto"/>
      </w:pPr>
      <w:r>
        <w:tab/>
      </w:r>
      <w:r w:rsidR="00985702">
        <w:t>The</w:t>
      </w:r>
      <w:r w:rsidR="00827003">
        <w:t xml:space="preserve"> long-running idea that income can be calculated as a change in capital</w:t>
      </w:r>
      <w:r w:rsidR="00C00EE2">
        <w:t xml:space="preserve"> finds formal expression</w:t>
      </w:r>
      <w:r w:rsidR="00C00EE2" w:rsidRPr="00C00EE2">
        <w:t xml:space="preserve"> </w:t>
      </w:r>
      <w:r w:rsidR="00C00EE2">
        <w:t xml:space="preserve">in </w:t>
      </w:r>
      <w:r w:rsidR="006779A8">
        <w:t xml:space="preserve">the </w:t>
      </w:r>
      <w:r w:rsidR="00C00EE2">
        <w:t xml:space="preserve">asset/liability view of accounting, as illustrated in the </w:t>
      </w:r>
      <w:r w:rsidR="006779A8">
        <w:t xml:space="preserve">derivative </w:t>
      </w:r>
      <w:r w:rsidR="00C00EE2">
        <w:t xml:space="preserve">definitions of income and expense (see Section 2.4). The </w:t>
      </w:r>
      <w:r w:rsidR="00985702">
        <w:t>standard-setters (FASB/IASB 2005) claim to fin</w:t>
      </w:r>
      <w:r w:rsidR="006779A8">
        <w:t xml:space="preserve">d theoretical support for this in </w:t>
      </w:r>
      <w:r w:rsidR="00985702">
        <w:t>Hicks</w:t>
      </w:r>
      <w:r w:rsidR="006779A8">
        <w:t>’</w:t>
      </w:r>
      <w:r w:rsidR="00985702">
        <w:t xml:space="preserve"> (1946)</w:t>
      </w:r>
      <w:r w:rsidR="006779A8" w:rsidRPr="006779A8">
        <w:t xml:space="preserve"> </w:t>
      </w:r>
      <w:r w:rsidR="006779A8">
        <w:t>definitions of income</w:t>
      </w:r>
      <w:r w:rsidR="00985702">
        <w:t xml:space="preserve">, though Bromwich </w:t>
      </w:r>
      <w:r w:rsidR="00985702" w:rsidRPr="000E60F0">
        <w:rPr>
          <w:i/>
        </w:rPr>
        <w:t>et al.</w:t>
      </w:r>
      <w:r w:rsidR="00985702">
        <w:t xml:space="preserve"> (2010) suggest that Hicks has been misunderstood and cannot be used as a source of a practical measure of </w:t>
      </w:r>
      <w:r w:rsidR="00985702" w:rsidRPr="000E60F0">
        <w:rPr>
          <w:i/>
        </w:rPr>
        <w:t>ex post</w:t>
      </w:r>
      <w:r w:rsidR="00985702">
        <w:t xml:space="preserve"> income.</w:t>
      </w:r>
      <w:r w:rsidR="006779A8">
        <w:t xml:space="preserve"> This suggests a</w:t>
      </w:r>
      <w:r w:rsidR="00D038EA">
        <w:t xml:space="preserve"> </w:t>
      </w:r>
      <w:r>
        <w:t>radic</w:t>
      </w:r>
      <w:r w:rsidR="00467719">
        <w:t xml:space="preserve">al question: </w:t>
      </w:r>
      <w:r>
        <w:t>do the accounts need to balance?</w:t>
      </w:r>
      <w:r w:rsidR="00BB7CA2">
        <w:t xml:space="preserve"> In particular, does the measure of an entity’s performance need to depend on the change in equity</w:t>
      </w:r>
      <w:r w:rsidR="002E38C3">
        <w:t xml:space="preserve"> capital</w:t>
      </w:r>
      <w:r w:rsidR="00BB7CA2">
        <w:t>?</w:t>
      </w:r>
      <w:r>
        <w:t xml:space="preserve">  </w:t>
      </w:r>
      <w:r w:rsidR="00373A17">
        <w:t xml:space="preserve">An old example of the problem came up in Section 4: the absence of a </w:t>
      </w:r>
      <w:r w:rsidR="00373A17" w:rsidRPr="00373A17">
        <w:rPr>
          <w:i/>
        </w:rPr>
        <w:t>debit</w:t>
      </w:r>
      <w:r w:rsidR="00373A17">
        <w:t xml:space="preserve"> for depreciation could overstate performance, but the</w:t>
      </w:r>
      <w:r w:rsidR="00373A17" w:rsidRPr="00373A17">
        <w:rPr>
          <w:i/>
        </w:rPr>
        <w:t xml:space="preserve"> credit</w:t>
      </w:r>
      <w:r w:rsidR="00373A17">
        <w:t xml:space="preserve"> can obfuscate the explanation of what the directors did with the capital. </w:t>
      </w:r>
      <w:r>
        <w:t xml:space="preserve">Some aspects of this </w:t>
      </w:r>
      <w:r w:rsidR="00373A17">
        <w:t>problem</w:t>
      </w:r>
      <w:r>
        <w:t xml:space="preserve"> can be resolved by separating gains into various types, e.g. operating gains, realised holding gains and unrealised hol</w:t>
      </w:r>
      <w:r w:rsidR="001830D5">
        <w:t>ding gains (Edwards and Bell 1961).  For example, the upward revaluation of an asset could be disclosed as an unrealised holding gain.  However, there are other problems, of which I will examine one.</w:t>
      </w:r>
    </w:p>
    <w:p w14:paraId="66B44463" w14:textId="77777777" w:rsidR="001830D5" w:rsidRDefault="001830D5" w:rsidP="00F242F7">
      <w:pPr>
        <w:pStyle w:val="ListParagraph"/>
        <w:spacing w:after="120" w:line="480" w:lineRule="auto"/>
        <w:ind w:left="0"/>
      </w:pPr>
      <w:r>
        <w:tab/>
        <w:t>Suppose that an entity (H</w:t>
      </w:r>
      <w:r w:rsidR="00467719">
        <w:t>&amp;</w:t>
      </w:r>
      <w:r>
        <w:t>W) is in the business of constructing an unsinkable ship for a customer (WSL) wh</w:t>
      </w:r>
      <w:r w:rsidR="003776F4">
        <w:t>ich</w:t>
      </w:r>
      <w:r>
        <w:t xml:space="preserve"> has paid the ful</w:t>
      </w:r>
      <w:r w:rsidR="0012006B">
        <w:t>l contract price of CU 100</w:t>
      </w:r>
      <w:r>
        <w:t xml:space="preserve"> in advance.  Suppose that H</w:t>
      </w:r>
      <w:r w:rsidR="00467719">
        <w:t>&amp;</w:t>
      </w:r>
      <w:r>
        <w:t>W ex</w:t>
      </w:r>
      <w:r w:rsidR="00467719">
        <w:t>pects the contract to cost CU 80</w:t>
      </w:r>
      <w:r>
        <w:t xml:space="preserve"> (</w:t>
      </w:r>
      <w:r w:rsidR="00BB7CA2">
        <w:t xml:space="preserve">measured as </w:t>
      </w:r>
      <w:r>
        <w:t>discounted expected outflows).  Suppose that H</w:t>
      </w:r>
      <w:r w:rsidR="00467719">
        <w:t>&amp;</w:t>
      </w:r>
      <w:r>
        <w:t>W has spare capacity.</w:t>
      </w:r>
      <w:r>
        <w:rPr>
          <w:rStyle w:val="FootnoteReference"/>
        </w:rPr>
        <w:footnoteReference w:id="53"/>
      </w:r>
      <w:r>
        <w:t xml:space="preserve">  What is H</w:t>
      </w:r>
      <w:r w:rsidR="00467719">
        <w:t>&amp;</w:t>
      </w:r>
      <w:r>
        <w:t>W’s position at the beginning of the contract</w:t>
      </w:r>
      <w:r w:rsidR="003F5A3B">
        <w:t xml:space="preserve"> before it has done any work</w:t>
      </w:r>
      <w:r>
        <w:t>?  It has an asset (cash) of CU 1</w:t>
      </w:r>
      <w:r w:rsidR="003776F4">
        <w:t>00</w:t>
      </w:r>
      <w:r>
        <w:t xml:space="preserve"> and it has a </w:t>
      </w:r>
      <w:r w:rsidR="002A6379">
        <w:t>‘</w:t>
      </w:r>
      <w:r>
        <w:t>performance obligation</w:t>
      </w:r>
      <w:r w:rsidR="002A6379">
        <w:t>’</w:t>
      </w:r>
      <w:r>
        <w:t xml:space="preserve"> to construct and deliver a ship.  How should we </w:t>
      </w:r>
      <w:r w:rsidR="002E38C3">
        <w:t>measure</w:t>
      </w:r>
      <w:r>
        <w:t xml:space="preserve"> that obligation?  The</w:t>
      </w:r>
      <w:r w:rsidR="00BB7CA2">
        <w:t>re are at least five theoretical possibilities</w:t>
      </w:r>
      <w:r>
        <w:t>:</w:t>
      </w:r>
    </w:p>
    <w:p w14:paraId="2CB070FE" w14:textId="77777777" w:rsidR="001830D5" w:rsidRDefault="0012006B" w:rsidP="001830D5">
      <w:pPr>
        <w:pStyle w:val="ListParagraph"/>
        <w:tabs>
          <w:tab w:val="left" w:pos="720"/>
        </w:tabs>
        <w:spacing w:after="120" w:line="480" w:lineRule="auto"/>
        <w:ind w:left="1170" w:hanging="1170"/>
      </w:pPr>
      <w:r>
        <w:tab/>
        <w:t>(i)</w:t>
      </w:r>
      <w:r>
        <w:tab/>
        <w:t>The proceeds of CU 100</w:t>
      </w:r>
      <w:r w:rsidR="001830D5">
        <w:t xml:space="preserve"> is the </w:t>
      </w:r>
      <w:r w:rsidR="0074186F">
        <w:t xml:space="preserve">IASB’s </w:t>
      </w:r>
      <w:r w:rsidR="001830D5">
        <w:t xml:space="preserve">conceptually recommended </w:t>
      </w:r>
      <w:r w:rsidR="0074186F">
        <w:t xml:space="preserve">measurement </w:t>
      </w:r>
      <w:r w:rsidR="001830D5">
        <w:t>basis</w:t>
      </w:r>
      <w:r w:rsidR="00676889">
        <w:t xml:space="preserve"> (2013, </w:t>
      </w:r>
      <w:r w:rsidR="00ED3716">
        <w:t xml:space="preserve">para. </w:t>
      </w:r>
      <w:r w:rsidR="00676889">
        <w:t xml:space="preserve">6.108) </w:t>
      </w:r>
      <w:r w:rsidR="000D1EBE">
        <w:t>and is</w:t>
      </w:r>
      <w:r w:rsidR="00676889">
        <w:t xml:space="preserve"> required </w:t>
      </w:r>
      <w:r w:rsidR="001830D5">
        <w:t>under IFRS</w:t>
      </w:r>
      <w:r w:rsidR="00676889">
        <w:t xml:space="preserve"> 15</w:t>
      </w:r>
      <w:r w:rsidR="000D1EBE">
        <w:t xml:space="preserve"> (para.106)</w:t>
      </w:r>
      <w:r w:rsidR="001830D5">
        <w:t>.  However, H</w:t>
      </w:r>
      <w:r w:rsidR="00467719">
        <w:t>&amp;</w:t>
      </w:r>
      <w:r w:rsidR="001830D5">
        <w:t>W has neither a present obligation nor an expectation of returning</w:t>
      </w:r>
      <w:r w:rsidR="00467719">
        <w:t xml:space="preserve"> the proceeds to WSL.  How, then, could</w:t>
      </w:r>
      <w:r w:rsidR="001830D5">
        <w:t xml:space="preserve"> t</w:t>
      </w:r>
      <w:r w:rsidR="00467719">
        <w:t>he proceeds be a relevant measure of the burden</w:t>
      </w:r>
      <w:r w:rsidR="001830D5">
        <w:t>?</w:t>
      </w:r>
    </w:p>
    <w:p w14:paraId="07EB90C0" w14:textId="77777777" w:rsidR="001830D5" w:rsidRDefault="001830D5" w:rsidP="001830D5">
      <w:pPr>
        <w:pStyle w:val="ListParagraph"/>
        <w:tabs>
          <w:tab w:val="left" w:pos="720"/>
        </w:tabs>
        <w:spacing w:after="120" w:line="480" w:lineRule="auto"/>
        <w:ind w:left="1170" w:hanging="1170"/>
      </w:pPr>
      <w:r>
        <w:tab/>
        <w:t>(ii)</w:t>
      </w:r>
      <w:r>
        <w:tab/>
        <w:t>The fair value</w:t>
      </w:r>
      <w:r w:rsidR="00481D71">
        <w:t xml:space="preserve"> </w:t>
      </w:r>
      <w:r w:rsidR="003F5A3B">
        <w:t xml:space="preserve">is </w:t>
      </w:r>
      <w:r w:rsidR="00481D71">
        <w:t>recommended by McGregor</w:t>
      </w:r>
      <w:r w:rsidR="003F5A3B">
        <w:t xml:space="preserve"> (</w:t>
      </w:r>
      <w:r w:rsidR="00481D71">
        <w:t>2013)</w:t>
      </w:r>
      <w:r w:rsidR="003F5A3B">
        <w:t xml:space="preserve">, and </w:t>
      </w:r>
      <w:r>
        <w:t>would be the cost of finding another ship-builder to take over the contract.  That might b</w:t>
      </w:r>
      <w:r w:rsidR="002E38C3">
        <w:t>e</w:t>
      </w:r>
      <w:r>
        <w:t xml:space="preserve"> more than CU </w:t>
      </w:r>
      <w:r w:rsidR="0012006B">
        <w:t>100</w:t>
      </w:r>
      <w:r w:rsidR="00481D71">
        <w:rPr>
          <w:rStyle w:val="FootnoteReference"/>
        </w:rPr>
        <w:footnoteReference w:id="54"/>
      </w:r>
      <w:r w:rsidR="00481D71">
        <w:t xml:space="preserve"> </w:t>
      </w:r>
      <w:r w:rsidR="00467719">
        <w:t xml:space="preserve">and </w:t>
      </w:r>
      <w:r w:rsidR="00E9269F">
        <w:t xml:space="preserve">it </w:t>
      </w:r>
      <w:r w:rsidR="00467719">
        <w:t xml:space="preserve">is not </w:t>
      </w:r>
      <w:r w:rsidR="00BB7CA2">
        <w:t xml:space="preserve">usually </w:t>
      </w:r>
      <w:r w:rsidR="00467719">
        <w:t>expected to happen.</w:t>
      </w:r>
      <w:r w:rsidR="00481D71">
        <w:t xml:space="preserve"> I suggest that this is not </w:t>
      </w:r>
      <w:r w:rsidR="00BB7CA2">
        <w:t xml:space="preserve">generally </w:t>
      </w:r>
      <w:r w:rsidR="00481D71">
        <w:t xml:space="preserve">a relevant </w:t>
      </w:r>
      <w:r w:rsidR="00467719">
        <w:t>measure</w:t>
      </w:r>
      <w:r w:rsidR="00481D71">
        <w:t>.</w:t>
      </w:r>
    </w:p>
    <w:p w14:paraId="731CCC5F" w14:textId="77777777" w:rsidR="00481D71" w:rsidRDefault="00481D71" w:rsidP="001830D5">
      <w:pPr>
        <w:pStyle w:val="ListParagraph"/>
        <w:tabs>
          <w:tab w:val="left" w:pos="720"/>
        </w:tabs>
        <w:spacing w:after="120" w:line="480" w:lineRule="auto"/>
        <w:ind w:left="1170" w:hanging="1170"/>
      </w:pPr>
      <w:r>
        <w:tab/>
        <w:t>(iii)</w:t>
      </w:r>
      <w:r>
        <w:tab/>
      </w:r>
      <w:r w:rsidR="00C81446">
        <w:t>T</w:t>
      </w:r>
      <w:r>
        <w:t>he current equivalent proceeds</w:t>
      </w:r>
      <w:r w:rsidR="00C81446">
        <w:t xml:space="preserve"> is</w:t>
      </w:r>
      <w:r>
        <w:t xml:space="preserve"> recommended by Horton </w:t>
      </w:r>
      <w:r>
        <w:rPr>
          <w:i/>
        </w:rPr>
        <w:t>et al</w:t>
      </w:r>
      <w:r>
        <w:t>. (2011).  However, since H</w:t>
      </w:r>
      <w:r w:rsidR="00467719">
        <w:t>&amp;</w:t>
      </w:r>
      <w:r>
        <w:t xml:space="preserve">W is not constrained in its actions </w:t>
      </w:r>
      <w:r w:rsidR="00D062BF">
        <w:t xml:space="preserve">by </w:t>
      </w:r>
      <w:r>
        <w:t xml:space="preserve">its contract with WSL, the current equivalent proceeds </w:t>
      </w:r>
      <w:r w:rsidR="00D062BF">
        <w:t xml:space="preserve">of a similar contract </w:t>
      </w:r>
      <w:r>
        <w:t>will neither be outlaid no</w:t>
      </w:r>
      <w:r w:rsidR="00467719">
        <w:t>r for</w:t>
      </w:r>
      <w:r>
        <w:t xml:space="preserve">gone.  </w:t>
      </w:r>
      <w:r w:rsidR="00ED3716">
        <w:t>Nevertheless</w:t>
      </w:r>
      <w:r w:rsidR="00C81446">
        <w:t>, we would need to know more about H&amp;W before we could safely conclude</w:t>
      </w:r>
      <w:r w:rsidR="00ED3716">
        <w:t xml:space="preserve"> that this measure is not relevant</w:t>
      </w:r>
      <w:r w:rsidR="00C81446">
        <w:t>.</w:t>
      </w:r>
      <w:r w:rsidR="00C81446">
        <w:rPr>
          <w:rStyle w:val="FootnoteReference"/>
        </w:rPr>
        <w:footnoteReference w:id="55"/>
      </w:r>
    </w:p>
    <w:p w14:paraId="32D94250" w14:textId="77777777" w:rsidR="00481D71" w:rsidRDefault="00481D71" w:rsidP="001830D5">
      <w:pPr>
        <w:pStyle w:val="ListParagraph"/>
        <w:tabs>
          <w:tab w:val="left" w:pos="720"/>
        </w:tabs>
        <w:spacing w:after="120" w:line="480" w:lineRule="auto"/>
        <w:ind w:left="1170" w:hanging="1170"/>
      </w:pPr>
      <w:r>
        <w:tab/>
        <w:t>(iv)</w:t>
      </w:r>
      <w:r>
        <w:tab/>
        <w:t>The settlement cost would be what WSL would have to be paid to rescind the contract.  This is lik</w:t>
      </w:r>
      <w:r w:rsidR="0012006B">
        <w:t>ely to be more than CU 100</w:t>
      </w:r>
      <w:r>
        <w:t xml:space="preserve">, but why would </w:t>
      </w:r>
      <w:r w:rsidR="0074186F">
        <w:t>it</w:t>
      </w:r>
      <w:r>
        <w:t xml:space="preserve"> be relevant normally?</w:t>
      </w:r>
    </w:p>
    <w:p w14:paraId="53D1BCD2" w14:textId="77777777" w:rsidR="00481D71" w:rsidRPr="00CC401C" w:rsidRDefault="00481D71" w:rsidP="00CC401C">
      <w:pPr>
        <w:pStyle w:val="FootnoteText"/>
        <w:numPr>
          <w:ilvl w:val="0"/>
          <w:numId w:val="5"/>
        </w:numPr>
        <w:spacing w:line="480" w:lineRule="auto"/>
        <w:rPr>
          <w:sz w:val="24"/>
          <w:szCs w:val="24"/>
        </w:rPr>
      </w:pPr>
      <w:r w:rsidRPr="00CC401C">
        <w:rPr>
          <w:sz w:val="24"/>
          <w:szCs w:val="24"/>
        </w:rPr>
        <w:t>That leaves us with what H</w:t>
      </w:r>
      <w:r w:rsidR="00467719" w:rsidRPr="00CC401C">
        <w:rPr>
          <w:sz w:val="24"/>
          <w:szCs w:val="24"/>
        </w:rPr>
        <w:t>&amp;</w:t>
      </w:r>
      <w:r w:rsidRPr="00CC401C">
        <w:rPr>
          <w:sz w:val="24"/>
          <w:szCs w:val="24"/>
        </w:rPr>
        <w:t>W actu</w:t>
      </w:r>
      <w:r w:rsidR="00467719" w:rsidRPr="00CC401C">
        <w:rPr>
          <w:sz w:val="24"/>
          <w:szCs w:val="24"/>
        </w:rPr>
        <w:t xml:space="preserve">ally expects to do: </w:t>
      </w:r>
      <w:r w:rsidR="0012006B" w:rsidRPr="00CC401C">
        <w:rPr>
          <w:sz w:val="24"/>
          <w:szCs w:val="24"/>
        </w:rPr>
        <w:t>spend</w:t>
      </w:r>
      <w:r w:rsidR="00CC401C">
        <w:rPr>
          <w:sz w:val="24"/>
          <w:szCs w:val="24"/>
        </w:rPr>
        <w:t xml:space="preserve"> </w:t>
      </w:r>
      <w:r w:rsidR="0012006B" w:rsidRPr="00CC401C">
        <w:rPr>
          <w:sz w:val="24"/>
          <w:szCs w:val="24"/>
        </w:rPr>
        <w:t>CU 80</w:t>
      </w:r>
      <w:r w:rsidRPr="00CC401C">
        <w:rPr>
          <w:sz w:val="24"/>
          <w:szCs w:val="24"/>
        </w:rPr>
        <w:t xml:space="preserve"> on constructing the ship.  If a balance sheet is supposed to be useful for predicting cash flows, why is this not a relevant measure of the obligation?</w:t>
      </w:r>
      <w:r w:rsidR="009853E5" w:rsidRPr="00CC401C">
        <w:rPr>
          <w:sz w:val="24"/>
          <w:szCs w:val="24"/>
        </w:rPr>
        <w:t xml:space="preserve"> </w:t>
      </w:r>
      <w:r w:rsidR="00CC401C">
        <w:rPr>
          <w:sz w:val="24"/>
          <w:szCs w:val="24"/>
        </w:rPr>
        <w:t>Most other types of l</w:t>
      </w:r>
      <w:r w:rsidR="009853E5" w:rsidRPr="00CC401C">
        <w:rPr>
          <w:sz w:val="24"/>
          <w:szCs w:val="24"/>
        </w:rPr>
        <w:t>iabilities are measured at some version of expected outflows, discounted or not.</w:t>
      </w:r>
      <w:r w:rsidR="009853E5" w:rsidRPr="00CC401C">
        <w:rPr>
          <w:rStyle w:val="FootnoteReference"/>
          <w:sz w:val="24"/>
          <w:szCs w:val="24"/>
        </w:rPr>
        <w:footnoteReference w:id="56"/>
      </w:r>
      <w:r w:rsidR="009853E5" w:rsidRPr="00CC401C">
        <w:rPr>
          <w:sz w:val="24"/>
          <w:szCs w:val="24"/>
        </w:rPr>
        <w:t xml:space="preserve">  </w:t>
      </w:r>
    </w:p>
    <w:p w14:paraId="3045A240" w14:textId="5F966AEF" w:rsidR="0074186F" w:rsidRDefault="00481D71" w:rsidP="00481D71">
      <w:pPr>
        <w:pStyle w:val="ListParagraph"/>
        <w:spacing w:after="120" w:line="480" w:lineRule="auto"/>
        <w:ind w:left="0"/>
      </w:pPr>
      <w:r>
        <w:tab/>
        <w:t xml:space="preserve">Of course, </w:t>
      </w:r>
      <w:r w:rsidR="009853E5">
        <w:t>one thing that</w:t>
      </w:r>
      <w:r>
        <w:t xml:space="preserve"> troubles </w:t>
      </w:r>
      <w:r w:rsidR="00D062BF">
        <w:t>the standard</w:t>
      </w:r>
      <w:r w:rsidR="003E6E9D">
        <w:t xml:space="preserve"> </w:t>
      </w:r>
      <w:r w:rsidR="00D062BF">
        <w:t>setters is that this last basis</w:t>
      </w:r>
      <w:r>
        <w:t xml:space="preserve"> leads</w:t>
      </w:r>
      <w:r w:rsidR="00F70B6E">
        <w:t>,</w:t>
      </w:r>
      <w:r w:rsidR="00F70B6E" w:rsidRPr="00F70B6E">
        <w:t xml:space="preserve"> </w:t>
      </w:r>
      <w:r w:rsidR="00F70B6E">
        <w:t>when the contract is signed,</w:t>
      </w:r>
      <w:r>
        <w:t xml:space="preserve"> to an </w:t>
      </w:r>
      <w:r w:rsidR="0012006B">
        <w:t>increase in equity of CU 20</w:t>
      </w:r>
      <w:r w:rsidR="00F70B6E">
        <w:t xml:space="preserve"> which</w:t>
      </w:r>
      <w:r>
        <w:t xml:space="preserve"> therefore meets the definition of income.  Part of the problem is that there is no sensible definition of revenue (Nobes 2</w:t>
      </w:r>
      <w:r w:rsidR="003A2D15">
        <w:t>012</w:t>
      </w:r>
      <w:r>
        <w:t xml:space="preserve">) and no definition at all of </w:t>
      </w:r>
      <w:r w:rsidR="002A6379">
        <w:t>‘</w:t>
      </w:r>
      <w:r>
        <w:t>profit or loss</w:t>
      </w:r>
      <w:r w:rsidR="002A6379">
        <w:t>’</w:t>
      </w:r>
      <w:r w:rsidR="003A2D15">
        <w:t xml:space="preserve"> (IASB 2013, para.</w:t>
      </w:r>
      <w:r w:rsidR="00143C9E">
        <w:t xml:space="preserve"> </w:t>
      </w:r>
      <w:r w:rsidR="003A2D15">
        <w:t>8.28</w:t>
      </w:r>
      <w:r w:rsidR="00F70B6E">
        <w:t>)</w:t>
      </w:r>
      <w:r>
        <w:t>.  One solution might be to measure the liability at</w:t>
      </w:r>
      <w:r w:rsidR="00E435F4">
        <w:t xml:space="preserve"> CU</w:t>
      </w:r>
      <w:r>
        <w:t xml:space="preserve"> </w:t>
      </w:r>
      <w:r w:rsidR="0012006B">
        <w:t>80</w:t>
      </w:r>
      <w:r w:rsidR="00E435F4">
        <w:t xml:space="preserve">, </w:t>
      </w:r>
      <w:r w:rsidR="00D062BF">
        <w:t xml:space="preserve">and </w:t>
      </w:r>
      <w:r w:rsidR="00E435F4">
        <w:t xml:space="preserve">to show the </w:t>
      </w:r>
      <w:r w:rsidR="00E435F4" w:rsidRPr="00F70B6E">
        <w:rPr>
          <w:i/>
        </w:rPr>
        <w:t>credit</w:t>
      </w:r>
      <w:r w:rsidR="0012006B">
        <w:t xml:space="preserve"> of CU 20</w:t>
      </w:r>
      <w:r w:rsidR="00E435F4">
        <w:t xml:space="preserve"> as a sort o</w:t>
      </w:r>
      <w:r w:rsidR="00D062BF">
        <w:t xml:space="preserve">f </w:t>
      </w:r>
      <w:r w:rsidR="00ED3716">
        <w:t>‘</w:t>
      </w:r>
      <w:r w:rsidR="00D062BF">
        <w:t>not yet revenue</w:t>
      </w:r>
      <w:r w:rsidR="00ED3716">
        <w:t>’</w:t>
      </w:r>
      <w:r w:rsidR="00D062BF">
        <w:t>; and revenue could</w:t>
      </w:r>
      <w:r w:rsidR="00E435F4">
        <w:t xml:space="preserve"> be defined in terms of performing work for customers under a contract.</w:t>
      </w:r>
      <w:r w:rsidR="000D1EBE">
        <w:t xml:space="preserve"> This would involve </w:t>
      </w:r>
      <w:r w:rsidR="00E435F4">
        <w:t xml:space="preserve">de-coupling </w:t>
      </w:r>
      <w:r w:rsidR="002A6379">
        <w:t>‘</w:t>
      </w:r>
      <w:r w:rsidR="00E435F4">
        <w:t>revenue</w:t>
      </w:r>
      <w:r w:rsidR="002A6379">
        <w:t>’</w:t>
      </w:r>
      <w:r w:rsidR="00E435F4">
        <w:t xml:space="preserve"> from the change in </w:t>
      </w:r>
      <w:r w:rsidR="002A6379">
        <w:t>‘</w:t>
      </w:r>
      <w:r w:rsidR="00E435F4">
        <w:t>capital</w:t>
      </w:r>
      <w:r w:rsidR="002A6379">
        <w:t>’</w:t>
      </w:r>
      <w:r w:rsidR="00E435F4">
        <w:t>.</w:t>
      </w:r>
      <w:r w:rsidR="003776F4">
        <w:t xml:space="preserve"> </w:t>
      </w:r>
    </w:p>
    <w:p w14:paraId="7A6E428B" w14:textId="289130C9" w:rsidR="00105369" w:rsidRPr="00481D71" w:rsidRDefault="00671892" w:rsidP="0074186F">
      <w:pPr>
        <w:pStyle w:val="ListParagraph"/>
        <w:spacing w:after="120" w:line="480" w:lineRule="auto"/>
        <w:ind w:left="0" w:firstLine="720"/>
      </w:pPr>
      <w:r>
        <w:t>The eventual profit from the contract might not be as much as CU 20, because various expenses, such as depreciating old machines</w:t>
      </w:r>
      <w:r w:rsidR="00C23D1F">
        <w:t>,</w:t>
      </w:r>
      <w:r>
        <w:t xml:space="preserve"> </w:t>
      </w:r>
      <w:r w:rsidR="00143C9E">
        <w:t>a</w:t>
      </w:r>
      <w:r>
        <w:t xml:space="preserve">re not included in the CU 80. </w:t>
      </w:r>
      <w:r w:rsidR="00143C9E">
        <w:t>Further,</w:t>
      </w:r>
      <w:r w:rsidR="00143C9E" w:rsidRPr="00143C9E">
        <w:t xml:space="preserve"> </w:t>
      </w:r>
      <w:r w:rsidR="00143C9E">
        <w:t xml:space="preserve">part of the profit might be explained in terms of H&amp;W using up previously expensed intangibles. </w:t>
      </w:r>
      <w:r w:rsidR="009853E5">
        <w:t xml:space="preserve">This prompts another observation: most liabilities can </w:t>
      </w:r>
      <w:r w:rsidR="00105369">
        <w:t>be identified with a pa</w:t>
      </w:r>
      <w:r w:rsidR="009853E5">
        <w:t>rticular expected</w:t>
      </w:r>
      <w:r w:rsidR="00E77CEC">
        <w:t xml:space="preserve"> recipient of cash</w:t>
      </w:r>
      <w:r w:rsidR="009853E5">
        <w:t xml:space="preserve">, whereas </w:t>
      </w:r>
      <w:r w:rsidR="00105369">
        <w:t xml:space="preserve">the </w:t>
      </w:r>
      <w:r w:rsidR="00E77CEC">
        <w:t xml:space="preserve">expected </w:t>
      </w:r>
      <w:r w:rsidR="00105369">
        <w:t>outflows of cash caused by the construction contract will not go to the vendor but to all sorts of others, e.g. employees. This makes it particularly difficult to estimate the outflows implied in fulfilling the contract. This might</w:t>
      </w:r>
      <w:r w:rsidR="00E77CEC">
        <w:t xml:space="preserve"> mean that, on grounds of verifiab</w:t>
      </w:r>
      <w:r w:rsidR="00105369">
        <w:t>ility and benefit/cost</w:t>
      </w:r>
      <w:r w:rsidR="00E77CEC">
        <w:t xml:space="preserve"> rather than on grounds</w:t>
      </w:r>
      <w:r w:rsidR="004207D7">
        <w:t xml:space="preserve"> of measurement concepts</w:t>
      </w:r>
      <w:r w:rsidR="00105369">
        <w:t>, CU 100 should be used</w:t>
      </w:r>
      <w:r w:rsidR="00E77CEC">
        <w:t xml:space="preserve"> as the initial measure</w:t>
      </w:r>
      <w:r w:rsidR="004207D7">
        <w:t>, unless the contract is onerous</w:t>
      </w:r>
      <w:r w:rsidR="00105369">
        <w:t>.</w:t>
      </w:r>
      <w:r w:rsidR="008B7C11" w:rsidRPr="008B7C11">
        <w:t xml:space="preserve"> </w:t>
      </w:r>
      <w:r w:rsidR="0074186F">
        <w:t xml:space="preserve">This would maintain </w:t>
      </w:r>
      <w:r w:rsidR="001E1553">
        <w:t>a</w:t>
      </w:r>
      <w:r w:rsidR="0074186F">
        <w:t xml:space="preserve"> </w:t>
      </w:r>
      <w:r w:rsidR="001E1553">
        <w:t xml:space="preserve">superficially </w:t>
      </w:r>
      <w:r w:rsidR="0074186F">
        <w:t>re-assuring balance in the accounts.</w:t>
      </w:r>
    </w:p>
    <w:p w14:paraId="72FBD1C5" w14:textId="77777777" w:rsidR="008C1CD0" w:rsidRPr="0007403A" w:rsidRDefault="007F778D" w:rsidP="0007403A">
      <w:pPr>
        <w:pStyle w:val="ListParagraph"/>
        <w:numPr>
          <w:ilvl w:val="0"/>
          <w:numId w:val="12"/>
        </w:numPr>
        <w:spacing w:after="120" w:line="480" w:lineRule="auto"/>
        <w:rPr>
          <w:b/>
        </w:rPr>
      </w:pPr>
      <w:r w:rsidRPr="0007403A">
        <w:rPr>
          <w:b/>
        </w:rPr>
        <w:t>Summary</w:t>
      </w:r>
      <w:r w:rsidR="00A945E1" w:rsidRPr="0007403A">
        <w:rPr>
          <w:b/>
        </w:rPr>
        <w:t xml:space="preserve"> and policy implications</w:t>
      </w:r>
    </w:p>
    <w:p w14:paraId="41AB5566" w14:textId="77777777" w:rsidR="00C73570" w:rsidRDefault="008D0B08" w:rsidP="008D0B08">
      <w:pPr>
        <w:spacing w:after="120" w:line="480" w:lineRule="auto"/>
      </w:pPr>
      <w:r>
        <w:tab/>
      </w:r>
      <w:r w:rsidR="00C73570">
        <w:t>B</w:t>
      </w:r>
      <w:r>
        <w:t xml:space="preserve">oth within and beyond a business context, the word ‘capital’ has </w:t>
      </w:r>
      <w:r w:rsidR="00C73570">
        <w:t xml:space="preserve">taken on </w:t>
      </w:r>
      <w:r>
        <w:t xml:space="preserve">many meanings.  In accounting, it started as a </w:t>
      </w:r>
      <w:r>
        <w:rPr>
          <w:i/>
        </w:rPr>
        <w:t>credit</w:t>
      </w:r>
      <w:r>
        <w:t xml:space="preserve"> concept, although seen in terms of </w:t>
      </w:r>
      <w:r w:rsidR="00CC39EF">
        <w:t xml:space="preserve">the </w:t>
      </w:r>
      <w:r>
        <w:t>assets contributed to a business by its owner.  As a</w:t>
      </w:r>
      <w:r w:rsidR="000255C3">
        <w:t xml:space="preserve"> </w:t>
      </w:r>
      <w:r w:rsidR="000255C3">
        <w:rPr>
          <w:i/>
        </w:rPr>
        <w:t>credit</w:t>
      </w:r>
      <w:r w:rsidR="00250B64">
        <w:t xml:space="preserve"> concept, it can be as narrow</w:t>
      </w:r>
      <w:r w:rsidR="000255C3">
        <w:t xml:space="preserve"> as the originally contributed</w:t>
      </w:r>
      <w:r>
        <w:t xml:space="preserve"> capital or as wide as all </w:t>
      </w:r>
      <w:r>
        <w:rPr>
          <w:i/>
        </w:rPr>
        <w:t>credit</w:t>
      </w:r>
      <w:r>
        <w:t xml:space="preserve"> balances.</w:t>
      </w:r>
      <w:r w:rsidR="000255C3">
        <w:t xml:space="preserve">  How</w:t>
      </w:r>
      <w:r w:rsidR="00250B64">
        <w:t>ever, in accounting</w:t>
      </w:r>
      <w:r w:rsidR="000255C3">
        <w:t xml:space="preserve">, </w:t>
      </w:r>
      <w:r w:rsidR="00250B64">
        <w:t xml:space="preserve">the word </w:t>
      </w:r>
      <w:r w:rsidR="000255C3">
        <w:t xml:space="preserve">‘capital’ </w:t>
      </w:r>
      <w:r w:rsidR="00250B64">
        <w:t xml:space="preserve">is </w:t>
      </w:r>
      <w:r w:rsidR="00B252EA">
        <w:t>often</w:t>
      </w:r>
      <w:r w:rsidR="00250B64">
        <w:t xml:space="preserve"> used in the context of</w:t>
      </w:r>
      <w:r w:rsidR="00EE55C2">
        <w:t xml:space="preserve"> assets</w:t>
      </w:r>
      <w:r w:rsidR="00B252EA">
        <w:t>,</w:t>
      </w:r>
      <w:r w:rsidR="00B252EA" w:rsidRPr="00B252EA">
        <w:t xml:space="preserve"> </w:t>
      </w:r>
      <w:r w:rsidR="00B252EA">
        <w:t xml:space="preserve">and this is </w:t>
      </w:r>
      <w:r w:rsidR="00B252EA">
        <w:rPr>
          <w:i/>
        </w:rPr>
        <w:t>a fortiori</w:t>
      </w:r>
      <w:r w:rsidR="00B252EA">
        <w:t xml:space="preserve"> the case in law, economics and tax</w:t>
      </w:r>
      <w:r w:rsidR="00EE55C2">
        <w:t>.  Other term</w:t>
      </w:r>
      <w:r w:rsidR="000255C3">
        <w:t>s, such as ‘stock’, ‘fund’ and ‘reserve’</w:t>
      </w:r>
      <w:r w:rsidR="00CB53DE">
        <w:t>,</w:t>
      </w:r>
      <w:r w:rsidR="000255C3">
        <w:t xml:space="preserve"> are also ambidextrous.  Words have tended to move from </w:t>
      </w:r>
      <w:r w:rsidR="00EE55C2">
        <w:t xml:space="preserve">a </w:t>
      </w:r>
      <w:r w:rsidR="000255C3">
        <w:rPr>
          <w:i/>
        </w:rPr>
        <w:t>credit</w:t>
      </w:r>
      <w:r w:rsidR="000255C3">
        <w:t xml:space="preserve"> </w:t>
      </w:r>
      <w:r w:rsidR="00EE55C2">
        <w:t xml:space="preserve">meaning </w:t>
      </w:r>
      <w:r w:rsidR="000255C3">
        <w:t>to</w:t>
      </w:r>
      <w:r w:rsidR="00EE55C2">
        <w:t xml:space="preserve"> a</w:t>
      </w:r>
      <w:r w:rsidR="000255C3">
        <w:t xml:space="preserve"> </w:t>
      </w:r>
      <w:r w:rsidR="000255C3">
        <w:rPr>
          <w:i/>
        </w:rPr>
        <w:t>debit</w:t>
      </w:r>
      <w:r w:rsidR="000255C3">
        <w:t xml:space="preserve"> </w:t>
      </w:r>
      <w:r w:rsidR="00EE55C2">
        <w:t xml:space="preserve">one, </w:t>
      </w:r>
      <w:r w:rsidR="000255C3">
        <w:t xml:space="preserve">with new words (such as equity) therefore needed for the </w:t>
      </w:r>
      <w:r w:rsidR="000255C3">
        <w:rPr>
          <w:i/>
        </w:rPr>
        <w:t>credit</w:t>
      </w:r>
      <w:r w:rsidR="000255C3">
        <w:t xml:space="preserve"> meaning.  Particularly in the UK, capital (even as a </w:t>
      </w:r>
      <w:r w:rsidR="000255C3">
        <w:rPr>
          <w:i/>
        </w:rPr>
        <w:t>credit</w:t>
      </w:r>
      <w:r w:rsidR="000255C3">
        <w:t xml:space="preserve">) has changed sides on the balance sheet more than once.  Confusion about capital can still  be seen in </w:t>
      </w:r>
      <w:r w:rsidR="00CC39EF">
        <w:t xml:space="preserve">the </w:t>
      </w:r>
      <w:r w:rsidR="000255C3">
        <w:t>contemporary documents of standard</w:t>
      </w:r>
      <w:r w:rsidR="00CB53DE">
        <w:t xml:space="preserve"> </w:t>
      </w:r>
      <w:r w:rsidR="000255C3">
        <w:t>setters and others.</w:t>
      </w:r>
      <w:r w:rsidR="00C73570">
        <w:t xml:space="preserve"> </w:t>
      </w:r>
    </w:p>
    <w:p w14:paraId="64F7F402" w14:textId="77777777" w:rsidR="00207F67" w:rsidRDefault="002560F3" w:rsidP="008D0B08">
      <w:pPr>
        <w:spacing w:after="120" w:line="480" w:lineRule="auto"/>
      </w:pPr>
      <w:r>
        <w:tab/>
      </w:r>
      <w:r w:rsidR="0016772E">
        <w:t>M</w:t>
      </w:r>
      <w:r>
        <w:t>erch</w:t>
      </w:r>
      <w:r w:rsidR="000255C3">
        <w:t>ants</w:t>
      </w:r>
      <w:r w:rsidR="008B01E3">
        <w:t xml:space="preserve"> (and then registered companies)</w:t>
      </w:r>
      <w:r w:rsidR="0016772E" w:rsidRPr="0016772E">
        <w:t xml:space="preserve"> </w:t>
      </w:r>
      <w:r w:rsidR="0016772E">
        <w:t>using double entry could calculate</w:t>
      </w:r>
      <w:r w:rsidR="000255C3">
        <w:t xml:space="preserve"> profit </w:t>
      </w:r>
      <w:r w:rsidR="00EE55C2">
        <w:t xml:space="preserve"> by reference to </w:t>
      </w:r>
      <w:r w:rsidR="000255C3">
        <w:t xml:space="preserve">capital, and </w:t>
      </w:r>
      <w:r w:rsidR="0016772E">
        <w:t xml:space="preserve">they should only pay </w:t>
      </w:r>
      <w:r w:rsidR="000255C3">
        <w:t>dividends out of profit.  However, an alternative accounting tradition was found in monasteries, then aristocratic estates, and then canal and railway companies.  For them, operating receipts and payments were the focus.  There was no capital account at all (for monasteries) or it was kept separate by running a double-account system (for canals and railways) until it could be closed when the capital had been properly spent (for canals).  Dividends were paid out of revenue without reference to capital.  Economis</w:t>
      </w:r>
      <w:r w:rsidR="00CC39EF">
        <w:t>ts picked up this</w:t>
      </w:r>
      <w:r w:rsidR="0019174E">
        <w:t xml:space="preserve"> fixed/circulating</w:t>
      </w:r>
      <w:r w:rsidR="000255C3">
        <w:t xml:space="preserve"> distinction</w:t>
      </w:r>
      <w:r w:rsidR="001E1553">
        <w:t>. N</w:t>
      </w:r>
      <w:r w:rsidR="000255C3">
        <w:t>o clear concept of capital was found in economics until</w:t>
      </w:r>
      <w:r w:rsidR="00EE55C2">
        <w:t>,</w:t>
      </w:r>
      <w:r w:rsidR="000255C3">
        <w:t xml:space="preserve"> more than a century after Adam Smith, capital was understood to include all assets.</w:t>
      </w:r>
      <w:r w:rsidR="00EE55C2">
        <w:t xml:space="preserve"> The existence of two </w:t>
      </w:r>
      <w:r w:rsidR="00207F67">
        <w:t>tradition</w:t>
      </w:r>
      <w:r w:rsidR="00EE55C2">
        <w:t>s</w:t>
      </w:r>
      <w:r w:rsidR="00F76646">
        <w:t>, and the tendency of everyone but acco</w:t>
      </w:r>
      <w:r w:rsidR="009D3A80">
        <w:t>untants to think that capital means</w:t>
      </w:r>
      <w:r w:rsidR="00F76646">
        <w:t xml:space="preserve"> assets or some part of them,</w:t>
      </w:r>
      <w:r w:rsidR="00207F67">
        <w:t xml:space="preserve"> seems to have affected law cases on distributable profit from 1889</w:t>
      </w:r>
      <w:r w:rsidR="00F76646">
        <w:t>. Th</w:t>
      </w:r>
      <w:r w:rsidR="002E7185">
        <w:t>is was followed by</w:t>
      </w:r>
      <w:r w:rsidR="00207F67">
        <w:t xml:space="preserve"> confusion </w:t>
      </w:r>
      <w:r w:rsidR="001F4E42">
        <w:t xml:space="preserve">about distributable profit </w:t>
      </w:r>
      <w:r w:rsidR="00207F67">
        <w:t xml:space="preserve">for nearly a century until a German rule arrived in UK law via an EU Directive.  However, the rule rests on the meaning of ‘realised profits’ which </w:t>
      </w:r>
      <w:r w:rsidR="00EE55C2">
        <w:t>is so ambiguous a term in the U</w:t>
      </w:r>
      <w:r w:rsidR="00207F67">
        <w:t>K that, with legal back</w:t>
      </w:r>
      <w:r w:rsidR="00EE55C2">
        <w:t>ing, accountants were</w:t>
      </w:r>
      <w:r w:rsidR="00207F67">
        <w:t xml:space="preserve"> </w:t>
      </w:r>
      <w:r w:rsidR="00EE55C2">
        <w:t xml:space="preserve">again put in charge of </w:t>
      </w:r>
      <w:r w:rsidR="001F4E42">
        <w:t xml:space="preserve">determining </w:t>
      </w:r>
      <w:r w:rsidR="00EE55C2">
        <w:t xml:space="preserve">distributable </w:t>
      </w:r>
      <w:r w:rsidR="001F4E42">
        <w:t>profit</w:t>
      </w:r>
      <w:r w:rsidR="00207F67">
        <w:t>.</w:t>
      </w:r>
      <w:r w:rsidR="0007403A" w:rsidRPr="0007403A">
        <w:t xml:space="preserve"> </w:t>
      </w:r>
      <w:r w:rsidR="0007403A">
        <w:t xml:space="preserve">For taxation on profits, the capital/revenue distinction is vital and has been somewhat clarified by more detailed accounting rules.  </w:t>
      </w:r>
    </w:p>
    <w:p w14:paraId="1758D548" w14:textId="77777777" w:rsidR="00207F67" w:rsidRDefault="00207F67" w:rsidP="008D0B08">
      <w:pPr>
        <w:spacing w:after="120" w:line="480" w:lineRule="auto"/>
      </w:pPr>
      <w:r>
        <w:tab/>
      </w:r>
      <w:r w:rsidR="001F4E42">
        <w:t>Depreciation would add confusion i</w:t>
      </w:r>
      <w:r>
        <w:t xml:space="preserve">n the double-account system, because the capital account was supposed to show the money spent compared to </w:t>
      </w:r>
      <w:r w:rsidR="0070411C">
        <w:t>money</w:t>
      </w:r>
      <w:r>
        <w:t xml:space="preserve"> received.  However, </w:t>
      </w:r>
      <w:r w:rsidR="001F4E42">
        <w:t xml:space="preserve">for most </w:t>
      </w:r>
      <w:r w:rsidR="00B252EA">
        <w:t xml:space="preserve">‘registered </w:t>
      </w:r>
      <w:r w:rsidR="001F4E42">
        <w:t>companies</w:t>
      </w:r>
      <w:r w:rsidR="00B252EA">
        <w:t>’</w:t>
      </w:r>
      <w:r w:rsidR="001F4E42">
        <w:t xml:space="preserve">, </w:t>
      </w:r>
      <w:r>
        <w:t xml:space="preserve">depreciation </w:t>
      </w:r>
      <w:r w:rsidR="00EE55C2">
        <w:t xml:space="preserve">of fixed assets </w:t>
      </w:r>
      <w:r>
        <w:t xml:space="preserve">became </w:t>
      </w:r>
      <w:r w:rsidR="008B01E3">
        <w:t>common</w:t>
      </w:r>
      <w:r>
        <w:t xml:space="preserve"> in the nineteenth century</w:t>
      </w:r>
      <w:r w:rsidR="001F4E42" w:rsidRPr="001F4E42">
        <w:t xml:space="preserve"> </w:t>
      </w:r>
      <w:r w:rsidR="001F4E42">
        <w:t>for calculations of profit, especially distributable profit</w:t>
      </w:r>
      <w:r>
        <w:t>.</w:t>
      </w:r>
    </w:p>
    <w:p w14:paraId="45FAFBDB" w14:textId="77777777" w:rsidR="00207F67" w:rsidRDefault="00207F67" w:rsidP="008D0B08">
      <w:pPr>
        <w:spacing w:after="120" w:line="480" w:lineRule="auto"/>
      </w:pPr>
      <w:r>
        <w:tab/>
        <w:t>Capital maintenance involves not returning capital to the owners,</w:t>
      </w:r>
      <w:r w:rsidR="00325947">
        <w:t xml:space="preserve"> making good any erosion of capital,</w:t>
      </w:r>
      <w:r w:rsidR="00325947" w:rsidDel="00325947">
        <w:t xml:space="preserve"> </w:t>
      </w:r>
      <w:r>
        <w:t xml:space="preserve">and not paying dividends until there is a profit calculated by reference to the capital.  However, especially in inflationary periods, there has been no agreement about whether to maintain </w:t>
      </w:r>
      <w:r>
        <w:rPr>
          <w:i/>
        </w:rPr>
        <w:t>debit</w:t>
      </w:r>
      <w:r>
        <w:t xml:space="preserve"> ‘physical’ capital (assets) or </w:t>
      </w:r>
      <w:r>
        <w:rPr>
          <w:i/>
        </w:rPr>
        <w:t>credit</w:t>
      </w:r>
      <w:r>
        <w:t xml:space="preserve"> ‘financial’ capital (equity).  The IASB’s framework appears to allow entities a choice; but the content of IFRS is based on financial capital maintenance except for some re-measurements of non-current assets.</w:t>
      </w:r>
      <w:r w:rsidR="00E90849">
        <w:t xml:space="preserve"> </w:t>
      </w:r>
      <w:r w:rsidR="0007403A">
        <w:t>The tax system ran ahead of accountants with approximate adjustments for capital maintenance during inflationary periods.</w:t>
      </w:r>
    </w:p>
    <w:p w14:paraId="489CCC16" w14:textId="77777777" w:rsidR="009C7909" w:rsidRDefault="00207F67" w:rsidP="008D0B08">
      <w:pPr>
        <w:spacing w:after="120" w:line="480" w:lineRule="auto"/>
      </w:pPr>
      <w:r>
        <w:tab/>
        <w:t>Until the middle of the twentieth century, equity was no</w:t>
      </w:r>
      <w:r w:rsidR="00EE55C2">
        <w:t xml:space="preserve">t displayed on balance sheets: </w:t>
      </w:r>
      <w:r>
        <w:t>retained earnings</w:t>
      </w:r>
      <w:r w:rsidR="00F73F24">
        <w:t xml:space="preserve"> were</w:t>
      </w:r>
      <w:r w:rsidR="004244F4">
        <w:t xml:space="preserve"> not always shown adjacent</w:t>
      </w:r>
      <w:r>
        <w:t xml:space="preserve"> to capital, and reserves were not distinguished from provisions.  Indeed, there was no definition of </w:t>
      </w:r>
      <w:r w:rsidR="00F73F24">
        <w:t xml:space="preserve">equity </w:t>
      </w:r>
      <w:r>
        <w:t xml:space="preserve">until </w:t>
      </w:r>
      <w:r w:rsidR="00F73F24">
        <w:t xml:space="preserve">late in the century when the </w:t>
      </w:r>
      <w:r>
        <w:t>standard</w:t>
      </w:r>
      <w:r w:rsidR="00CB53DE">
        <w:t xml:space="preserve"> </w:t>
      </w:r>
      <w:r>
        <w:t>setters</w:t>
      </w:r>
      <w:r w:rsidR="00F73F24">
        <w:t xml:space="preserve"> defined it by reference to assets and liabilities. </w:t>
      </w:r>
      <w:r w:rsidR="001E1553">
        <w:t>However</w:t>
      </w:r>
      <w:r>
        <w:t xml:space="preserve">, the standards (e.g. IFRS) depart from the definition </w:t>
      </w:r>
      <w:r w:rsidR="00F73F24">
        <w:t xml:space="preserve">of liability, </w:t>
      </w:r>
      <w:r>
        <w:t>and the measurement bases are mixed</w:t>
      </w:r>
      <w:r w:rsidR="00D502B4">
        <w:t xml:space="preserve"> (</w:t>
      </w:r>
      <w:r w:rsidR="001E1553">
        <w:t xml:space="preserve">perhaps </w:t>
      </w:r>
      <w:r w:rsidR="00D502B4">
        <w:t>justifiably)</w:t>
      </w:r>
      <w:r>
        <w:t xml:space="preserve">, </w:t>
      </w:r>
      <w:r w:rsidR="001E1553">
        <w:t xml:space="preserve">and so </w:t>
      </w:r>
      <w:r>
        <w:t>the equity figure is incoherent.  Since the measurement of performance rests, like equity, on the definitions and measurement of</w:t>
      </w:r>
      <w:r w:rsidR="00F73F24">
        <w:t xml:space="preserve"> assets and liabilities, it </w:t>
      </w:r>
      <w:r>
        <w:t xml:space="preserve">is </w:t>
      </w:r>
      <w:r w:rsidR="00F73F24">
        <w:t xml:space="preserve">also </w:t>
      </w:r>
      <w:r>
        <w:t>incoherent.</w:t>
      </w:r>
    </w:p>
    <w:p w14:paraId="424E456E" w14:textId="77777777" w:rsidR="00E71C06" w:rsidRDefault="009C7909" w:rsidP="008D0B08">
      <w:pPr>
        <w:spacing w:after="120" w:line="480" w:lineRule="auto"/>
      </w:pPr>
      <w:r>
        <w:tab/>
        <w:t>Some policy i</w:t>
      </w:r>
      <w:r w:rsidR="00EE55C2">
        <w:t xml:space="preserve">mplications arise, as follows: </w:t>
      </w:r>
      <w:r>
        <w:t>(i) given the remarkable variet</w:t>
      </w:r>
      <w:r w:rsidR="004244F4">
        <w:t>y of meanings for ‘capital’, both</w:t>
      </w:r>
      <w:r w:rsidR="004244F4" w:rsidRPr="004244F4">
        <w:t xml:space="preserve"> </w:t>
      </w:r>
      <w:r w:rsidR="004244F4">
        <w:t xml:space="preserve">as a </w:t>
      </w:r>
      <w:r w:rsidR="004244F4">
        <w:rPr>
          <w:i/>
        </w:rPr>
        <w:t>credit</w:t>
      </w:r>
      <w:r w:rsidR="004244F4">
        <w:t xml:space="preserve"> concept</w:t>
      </w:r>
      <w:r>
        <w:t xml:space="preserve"> </w:t>
      </w:r>
      <w:r w:rsidR="004244F4">
        <w:t xml:space="preserve">and </w:t>
      </w:r>
      <w:r>
        <w:t xml:space="preserve">as a </w:t>
      </w:r>
      <w:r w:rsidR="000B00E0">
        <w:rPr>
          <w:i/>
        </w:rPr>
        <w:t>deb</w:t>
      </w:r>
      <w:r>
        <w:rPr>
          <w:i/>
        </w:rPr>
        <w:t>it</w:t>
      </w:r>
      <w:r>
        <w:t xml:space="preserve"> concept, it might be wise to avoid the word or at least to define </w:t>
      </w:r>
      <w:r w:rsidR="00EE55C2">
        <w:t xml:space="preserve">it </w:t>
      </w:r>
      <w:r>
        <w:t xml:space="preserve">in any document, (ii) similarly, great care is needed with the words ‘reserve’, ‘provision’ and ‘fund’, (iii) </w:t>
      </w:r>
      <w:r w:rsidR="00CB53DE">
        <w:t xml:space="preserve">the IASB should define an expense as a decrease in equity </w:t>
      </w:r>
      <w:r w:rsidR="0031580E">
        <w:t xml:space="preserve">(which is a </w:t>
      </w:r>
      <w:r w:rsidR="0031580E" w:rsidRPr="00676889">
        <w:rPr>
          <w:i/>
        </w:rPr>
        <w:t>debit</w:t>
      </w:r>
      <w:r w:rsidR="0031580E">
        <w:t xml:space="preserve">) </w:t>
      </w:r>
      <w:r w:rsidR="00CB53DE">
        <w:t xml:space="preserve">not as </w:t>
      </w:r>
      <w:r w:rsidR="00973B11">
        <w:t>the related</w:t>
      </w:r>
      <w:r w:rsidR="00CB53DE">
        <w:t xml:space="preserve"> </w:t>
      </w:r>
      <w:r w:rsidR="0031580E">
        <w:t>decrease</w:t>
      </w:r>
      <w:r w:rsidR="00CB53DE">
        <w:t xml:space="preserve"> in net assets</w:t>
      </w:r>
      <w:r w:rsidR="0031580E">
        <w:t xml:space="preserve"> (which is a </w:t>
      </w:r>
      <w:r w:rsidR="0031580E" w:rsidRPr="00676889">
        <w:rPr>
          <w:i/>
        </w:rPr>
        <w:t>credit</w:t>
      </w:r>
      <w:r w:rsidR="0031580E">
        <w:t>)</w:t>
      </w:r>
      <w:r w:rsidR="00CB53DE">
        <w:t xml:space="preserve">, (iv) </w:t>
      </w:r>
      <w:r>
        <w:t>the IIRC should re-write its discussion of ‘financial capital’</w:t>
      </w:r>
      <w:r w:rsidR="00780E9F">
        <w:t xml:space="preserve"> </w:t>
      </w:r>
      <w:r w:rsidR="00DD5A38">
        <w:t xml:space="preserve">to turn it into a </w:t>
      </w:r>
      <w:r w:rsidR="00780E9F">
        <w:t xml:space="preserve"> </w:t>
      </w:r>
      <w:r w:rsidR="00FA36C7" w:rsidRPr="005073DC">
        <w:rPr>
          <w:i/>
        </w:rPr>
        <w:t xml:space="preserve">debit </w:t>
      </w:r>
      <w:r w:rsidR="00780E9F">
        <w:t>concept</w:t>
      </w:r>
      <w:r>
        <w:t xml:space="preserve">, </w:t>
      </w:r>
      <w:r w:rsidR="00DD5A38">
        <w:t xml:space="preserve">and </w:t>
      </w:r>
      <w:r w:rsidR="001E1553">
        <w:t xml:space="preserve">should </w:t>
      </w:r>
      <w:r w:rsidR="00DD5A38">
        <w:t xml:space="preserve">then </w:t>
      </w:r>
      <w:r w:rsidR="00B252EA">
        <w:t>consider re-naming</w:t>
      </w:r>
      <w:r w:rsidR="00DD5A38">
        <w:t xml:space="preserve"> the capitals as resources or capacities, </w:t>
      </w:r>
      <w:r>
        <w:t xml:space="preserve">(v) </w:t>
      </w:r>
      <w:r w:rsidR="00E90849">
        <w:t xml:space="preserve">as part of its current revision of the framework, </w:t>
      </w:r>
      <w:r>
        <w:t xml:space="preserve">the IASB should </w:t>
      </w:r>
      <w:r w:rsidR="00453961">
        <w:t>remove the</w:t>
      </w:r>
      <w:r>
        <w:t xml:space="preserve"> suggest</w:t>
      </w:r>
      <w:r w:rsidR="00453961">
        <w:t>ion</w:t>
      </w:r>
      <w:r>
        <w:t xml:space="preserve"> that entities have a choice between financial and physical capital maintenance, </w:t>
      </w:r>
      <w:r w:rsidR="00453961">
        <w:t>should distinguish between</w:t>
      </w:r>
      <w:r w:rsidR="00453961" w:rsidRPr="00676889">
        <w:rPr>
          <w:i/>
        </w:rPr>
        <w:t xml:space="preserve"> debit</w:t>
      </w:r>
      <w:r w:rsidR="00453961">
        <w:t xml:space="preserve"> and </w:t>
      </w:r>
      <w:r w:rsidR="00453961" w:rsidRPr="00676889">
        <w:rPr>
          <w:i/>
        </w:rPr>
        <w:t>credit</w:t>
      </w:r>
      <w:r w:rsidR="00453961">
        <w:t xml:space="preserve"> capital, </w:t>
      </w:r>
      <w:r>
        <w:t xml:space="preserve">and </w:t>
      </w:r>
      <w:r w:rsidR="00453961">
        <w:t xml:space="preserve">should discuss the implications for profit measurement of its intention to continue with mixed measurements (and, presumably, </w:t>
      </w:r>
      <w:r w:rsidR="009E0218">
        <w:t xml:space="preserve">mixed </w:t>
      </w:r>
      <w:r w:rsidR="00453961">
        <w:t>capital maintenance concepts)</w:t>
      </w:r>
      <w:r>
        <w:t xml:space="preserve">, (vi) given the </w:t>
      </w:r>
      <w:r w:rsidR="00453961">
        <w:t xml:space="preserve">continuing use of </w:t>
      </w:r>
      <w:r>
        <w:t>mixed measurements for assets and liabilities, an analyst needs to interpret the quantum of the residual equity capital with great care, and (vii) consideration should be given to separating the measurement of performance from the change in net assets.</w:t>
      </w:r>
    </w:p>
    <w:p w14:paraId="4FCA53D8" w14:textId="096B2614" w:rsidR="00DB78AC" w:rsidRDefault="00DB78AC" w:rsidP="00DB78AC">
      <w:pPr>
        <w:spacing w:after="120" w:line="480" w:lineRule="auto"/>
        <w:ind w:firstLine="720"/>
      </w:pPr>
      <w:r>
        <w:t>My commissioned title includes the word ‘evolution’. Is that apt? In a pre-Darwinian sense, evolution is a rolling out. Certainly, the word ‘capital’ has done that. And it is tempting to invoke Darwinian analogies: the word has adapted to different habitats; it has speciated; the descent of each new meaning can be traced back to the original; a usage might die out as a fitter word (e.g. equity) appears.</w:t>
      </w:r>
      <w:r w:rsidR="00DB38A7">
        <w:t xml:space="preserve"> However, the issue of evolution in accounting is controversial (e.g. Basu and Waymire 200</w:t>
      </w:r>
      <w:r w:rsidR="00E92673">
        <w:t>6</w:t>
      </w:r>
      <w:r w:rsidR="00C61050">
        <w:t>,</w:t>
      </w:r>
      <w:r w:rsidR="00DB38A7">
        <w:t xml:space="preserve"> Macve 2014, setions 3 and 4) and would need much more space for proper treatment.</w:t>
      </w:r>
    </w:p>
    <w:p w14:paraId="1FFF58DE" w14:textId="77777777" w:rsidR="00D30092" w:rsidRPr="008D0B08" w:rsidRDefault="00D30092" w:rsidP="008D0B08">
      <w:pPr>
        <w:spacing w:after="120" w:line="480" w:lineRule="auto"/>
      </w:pPr>
      <w:r w:rsidRPr="008D0B08">
        <w:br w:type="page"/>
      </w:r>
    </w:p>
    <w:p w14:paraId="2200F67F" w14:textId="77777777" w:rsidR="007A3B83" w:rsidRDefault="00E772B0" w:rsidP="007A3B83">
      <w:pPr>
        <w:tabs>
          <w:tab w:val="left" w:pos="-720"/>
        </w:tabs>
        <w:spacing w:after="120" w:line="240" w:lineRule="auto"/>
        <w:ind w:left="360" w:hanging="360"/>
        <w:rPr>
          <w:b/>
        </w:rPr>
      </w:pPr>
      <w:r w:rsidRPr="00E772B0">
        <w:rPr>
          <w:b/>
        </w:rPr>
        <w:t>References</w:t>
      </w:r>
    </w:p>
    <w:p w14:paraId="19FD224F" w14:textId="6EA070C7" w:rsidR="00630740" w:rsidRDefault="008C1CD0" w:rsidP="007A3B83">
      <w:pPr>
        <w:tabs>
          <w:tab w:val="left" w:pos="-720"/>
        </w:tabs>
        <w:spacing w:after="120" w:line="240" w:lineRule="auto"/>
        <w:ind w:left="360" w:hanging="360"/>
        <w:rPr>
          <w:rFonts w:eastAsia="Times New Roman" w:cs="Times New Roman"/>
        </w:rPr>
      </w:pPr>
      <w:r w:rsidRPr="008C1CD0">
        <w:rPr>
          <w:rFonts w:eastAsia="Times New Roman" w:cs="Times New Roman"/>
          <w:i/>
        </w:rPr>
        <w:t>Accountant</w:t>
      </w:r>
      <w:r w:rsidR="00F77D05">
        <w:rPr>
          <w:rFonts w:eastAsia="Times New Roman" w:cs="Times New Roman"/>
        </w:rPr>
        <w:t>,</w:t>
      </w:r>
      <w:r>
        <w:rPr>
          <w:rFonts w:eastAsia="Times New Roman" w:cs="Times New Roman"/>
        </w:rPr>
        <w:t xml:space="preserve"> 1889</w:t>
      </w:r>
      <w:r w:rsidR="00CE3657">
        <w:rPr>
          <w:rFonts w:eastAsia="Times New Roman" w:cs="Times New Roman"/>
        </w:rPr>
        <w:t>a</w:t>
      </w:r>
      <w:r>
        <w:rPr>
          <w:rFonts w:eastAsia="Times New Roman" w:cs="Times New Roman"/>
        </w:rPr>
        <w:t>.</w:t>
      </w:r>
      <w:r w:rsidR="00CE3657">
        <w:rPr>
          <w:rFonts w:eastAsia="Times New Roman" w:cs="Times New Roman"/>
        </w:rPr>
        <w:t xml:space="preserve"> Weekly notes</w:t>
      </w:r>
      <w:r w:rsidR="00630740">
        <w:rPr>
          <w:rFonts w:eastAsia="Times New Roman" w:cs="Times New Roman"/>
        </w:rPr>
        <w:t xml:space="preserve">. </w:t>
      </w:r>
      <w:r w:rsidR="00630740" w:rsidRPr="00630740">
        <w:rPr>
          <w:rFonts w:eastAsia="Times New Roman" w:cs="Times New Roman"/>
          <w:i/>
        </w:rPr>
        <w:t>The</w:t>
      </w:r>
      <w:r w:rsidR="00630740">
        <w:rPr>
          <w:rFonts w:eastAsia="Times New Roman" w:cs="Times New Roman"/>
          <w:i/>
        </w:rPr>
        <w:t xml:space="preserve"> </w:t>
      </w:r>
      <w:r w:rsidR="001C05AD">
        <w:rPr>
          <w:rFonts w:eastAsia="Times New Roman" w:cs="Times New Roman"/>
          <w:i/>
        </w:rPr>
        <w:t>A</w:t>
      </w:r>
      <w:r w:rsidR="00630740" w:rsidRPr="00630740">
        <w:rPr>
          <w:rFonts w:eastAsia="Times New Roman" w:cs="Times New Roman"/>
          <w:i/>
        </w:rPr>
        <w:t>ccountant</w:t>
      </w:r>
      <w:r w:rsidR="00630740">
        <w:rPr>
          <w:rFonts w:eastAsia="Times New Roman" w:cs="Times New Roman"/>
        </w:rPr>
        <w:t xml:space="preserve">, </w:t>
      </w:r>
      <w:r w:rsidR="00CE3657">
        <w:rPr>
          <w:rFonts w:eastAsia="Times New Roman" w:cs="Times New Roman"/>
        </w:rPr>
        <w:t xml:space="preserve">XV (746), </w:t>
      </w:r>
      <w:r w:rsidR="00630740">
        <w:rPr>
          <w:rFonts w:eastAsia="Times New Roman" w:cs="Times New Roman"/>
        </w:rPr>
        <w:t>23 March</w:t>
      </w:r>
      <w:r w:rsidR="00CE3657">
        <w:rPr>
          <w:rFonts w:eastAsia="Times New Roman" w:cs="Times New Roman"/>
        </w:rPr>
        <w:t>, 148-151</w:t>
      </w:r>
      <w:r w:rsidR="00630740">
        <w:rPr>
          <w:rFonts w:eastAsia="Times New Roman" w:cs="Times New Roman"/>
        </w:rPr>
        <w:t>.</w:t>
      </w:r>
    </w:p>
    <w:p w14:paraId="1F19DEB5" w14:textId="1C13863F" w:rsidR="008C1CD0" w:rsidRDefault="00630740" w:rsidP="00630740">
      <w:pPr>
        <w:tabs>
          <w:tab w:val="left" w:pos="-720"/>
        </w:tabs>
        <w:spacing w:after="120" w:line="240" w:lineRule="auto"/>
        <w:ind w:left="360" w:hanging="360"/>
        <w:rPr>
          <w:rFonts w:eastAsia="Times New Roman" w:cs="Times New Roman"/>
        </w:rPr>
      </w:pPr>
      <w:r w:rsidRPr="008C1CD0">
        <w:rPr>
          <w:rFonts w:eastAsia="Times New Roman" w:cs="Times New Roman"/>
          <w:i/>
        </w:rPr>
        <w:t>Accountant</w:t>
      </w:r>
      <w:r w:rsidR="00F77D05">
        <w:rPr>
          <w:rFonts w:eastAsia="Times New Roman" w:cs="Times New Roman"/>
        </w:rPr>
        <w:t>,</w:t>
      </w:r>
      <w:r>
        <w:rPr>
          <w:rFonts w:eastAsia="Times New Roman" w:cs="Times New Roman"/>
        </w:rPr>
        <w:t xml:space="preserve"> 1889</w:t>
      </w:r>
      <w:r w:rsidR="00CE3657">
        <w:rPr>
          <w:rFonts w:eastAsia="Times New Roman" w:cs="Times New Roman"/>
        </w:rPr>
        <w:t>b</w:t>
      </w:r>
      <w:r>
        <w:rPr>
          <w:rFonts w:eastAsia="Times New Roman" w:cs="Times New Roman"/>
        </w:rPr>
        <w:t>. Obligation of a company to provide f</w:t>
      </w:r>
      <w:r w:rsidR="00F7013C">
        <w:rPr>
          <w:rFonts w:eastAsia="Times New Roman" w:cs="Times New Roman"/>
        </w:rPr>
        <w:t>or depreciation of wasting asse</w:t>
      </w:r>
      <w:r>
        <w:rPr>
          <w:rFonts w:eastAsia="Times New Roman" w:cs="Times New Roman"/>
        </w:rPr>
        <w:t xml:space="preserve">ts before declaring a dividend. </w:t>
      </w:r>
      <w:r w:rsidRPr="00630740">
        <w:rPr>
          <w:rFonts w:eastAsia="Times New Roman" w:cs="Times New Roman"/>
          <w:i/>
        </w:rPr>
        <w:t>The</w:t>
      </w:r>
      <w:r>
        <w:rPr>
          <w:rFonts w:eastAsia="Times New Roman" w:cs="Times New Roman"/>
          <w:i/>
        </w:rPr>
        <w:t xml:space="preserve"> </w:t>
      </w:r>
      <w:r w:rsidR="001C05AD">
        <w:rPr>
          <w:rFonts w:eastAsia="Times New Roman" w:cs="Times New Roman"/>
          <w:i/>
        </w:rPr>
        <w:t>A</w:t>
      </w:r>
      <w:r w:rsidRPr="00630740">
        <w:rPr>
          <w:rFonts w:eastAsia="Times New Roman" w:cs="Times New Roman"/>
          <w:i/>
        </w:rPr>
        <w:t>ccountant</w:t>
      </w:r>
      <w:r>
        <w:rPr>
          <w:rFonts w:eastAsia="Times New Roman" w:cs="Times New Roman"/>
        </w:rPr>
        <w:t xml:space="preserve">, </w:t>
      </w:r>
      <w:r w:rsidR="00CE3657">
        <w:rPr>
          <w:rFonts w:eastAsia="Times New Roman" w:cs="Times New Roman"/>
        </w:rPr>
        <w:t xml:space="preserve">XV (784), </w:t>
      </w:r>
      <w:r>
        <w:rPr>
          <w:rFonts w:eastAsia="Times New Roman" w:cs="Times New Roman"/>
        </w:rPr>
        <w:t>14 December, 676-682.</w:t>
      </w:r>
    </w:p>
    <w:p w14:paraId="3E818D76" w14:textId="365D141C" w:rsidR="007A3B83" w:rsidRPr="007A3B83" w:rsidRDefault="003F3741" w:rsidP="007A3B83">
      <w:pPr>
        <w:tabs>
          <w:tab w:val="left" w:pos="-720"/>
        </w:tabs>
        <w:spacing w:after="120" w:line="240" w:lineRule="auto"/>
        <w:ind w:left="360" w:hanging="360"/>
        <w:rPr>
          <w:rFonts w:eastAsia="Times New Roman" w:cs="Times New Roman"/>
        </w:rPr>
      </w:pPr>
      <w:r>
        <w:rPr>
          <w:rFonts w:eastAsia="Times New Roman" w:cs="Times New Roman"/>
        </w:rPr>
        <w:t xml:space="preserve">AICPA, 1961. </w:t>
      </w:r>
      <w:r w:rsidR="007A3B83" w:rsidRPr="007A3B83">
        <w:rPr>
          <w:rFonts w:eastAsia="Times New Roman" w:cs="Times New Roman"/>
          <w:i/>
        </w:rPr>
        <w:t xml:space="preserve">Accounting Research Study No. 1, The </w:t>
      </w:r>
      <w:r w:rsidR="001C05AD">
        <w:rPr>
          <w:rFonts w:eastAsia="Times New Roman" w:cs="Times New Roman"/>
          <w:i/>
        </w:rPr>
        <w:t>B</w:t>
      </w:r>
      <w:r w:rsidR="007A3B83" w:rsidRPr="007A3B83">
        <w:rPr>
          <w:rFonts w:eastAsia="Times New Roman" w:cs="Times New Roman"/>
          <w:i/>
        </w:rPr>
        <w:t xml:space="preserve">asic </w:t>
      </w:r>
      <w:r w:rsidR="001C05AD">
        <w:rPr>
          <w:rFonts w:eastAsia="Times New Roman" w:cs="Times New Roman"/>
          <w:i/>
        </w:rPr>
        <w:t>P</w:t>
      </w:r>
      <w:r w:rsidR="007A3B83" w:rsidRPr="007A3B83">
        <w:rPr>
          <w:rFonts w:eastAsia="Times New Roman" w:cs="Times New Roman"/>
          <w:i/>
        </w:rPr>
        <w:t xml:space="preserve">ostulates of </w:t>
      </w:r>
      <w:r w:rsidR="001C05AD">
        <w:rPr>
          <w:rFonts w:eastAsia="Times New Roman" w:cs="Times New Roman"/>
          <w:i/>
        </w:rPr>
        <w:t>A</w:t>
      </w:r>
      <w:r w:rsidR="007A3B83" w:rsidRPr="007A3B83">
        <w:rPr>
          <w:rFonts w:eastAsia="Times New Roman" w:cs="Times New Roman"/>
          <w:i/>
        </w:rPr>
        <w:t>ccounting</w:t>
      </w:r>
      <w:r w:rsidR="007A3B83" w:rsidRPr="007A3B83">
        <w:rPr>
          <w:rFonts w:eastAsia="Times New Roman" w:cs="Times New Roman"/>
        </w:rPr>
        <w:t>. New York: American Institute of Certified Public Accountants.</w:t>
      </w:r>
    </w:p>
    <w:p w14:paraId="0B1CBB31" w14:textId="75CD8CB5" w:rsidR="007A3B83" w:rsidRPr="007A3B83" w:rsidRDefault="003F3741" w:rsidP="007A3B83">
      <w:pPr>
        <w:tabs>
          <w:tab w:val="left" w:pos="-720"/>
        </w:tabs>
        <w:spacing w:after="120" w:line="240" w:lineRule="auto"/>
        <w:ind w:left="360" w:hanging="360"/>
        <w:rPr>
          <w:rFonts w:eastAsia="Times New Roman" w:cs="Times New Roman"/>
        </w:rPr>
      </w:pPr>
      <w:r>
        <w:rPr>
          <w:rFonts w:eastAsia="Times New Roman" w:cs="Times New Roman"/>
        </w:rPr>
        <w:t xml:space="preserve">AICPA, 1963. </w:t>
      </w:r>
      <w:r w:rsidR="007A3B83" w:rsidRPr="007A3B83">
        <w:rPr>
          <w:rFonts w:eastAsia="Times New Roman" w:cs="Times New Roman"/>
          <w:i/>
        </w:rPr>
        <w:t xml:space="preserve">Accounting Research Study No. 3, A </w:t>
      </w:r>
      <w:r w:rsidR="001C05AD">
        <w:rPr>
          <w:rFonts w:eastAsia="Times New Roman" w:cs="Times New Roman"/>
          <w:i/>
        </w:rPr>
        <w:t>T</w:t>
      </w:r>
      <w:r w:rsidR="007A3B83" w:rsidRPr="007A3B83">
        <w:rPr>
          <w:rFonts w:eastAsia="Times New Roman" w:cs="Times New Roman"/>
          <w:i/>
        </w:rPr>
        <w:t xml:space="preserve">entative </w:t>
      </w:r>
      <w:r w:rsidR="001C05AD">
        <w:rPr>
          <w:rFonts w:eastAsia="Times New Roman" w:cs="Times New Roman"/>
          <w:i/>
        </w:rPr>
        <w:t>S</w:t>
      </w:r>
      <w:r w:rsidR="007A3B83" w:rsidRPr="007A3B83">
        <w:rPr>
          <w:rFonts w:eastAsia="Times New Roman" w:cs="Times New Roman"/>
          <w:i/>
        </w:rPr>
        <w:t xml:space="preserve">et of </w:t>
      </w:r>
      <w:r w:rsidR="001C05AD">
        <w:rPr>
          <w:rFonts w:eastAsia="Times New Roman" w:cs="Times New Roman"/>
          <w:i/>
        </w:rPr>
        <w:t>B</w:t>
      </w:r>
      <w:r w:rsidR="007A3B83" w:rsidRPr="007A3B83">
        <w:rPr>
          <w:rFonts w:eastAsia="Times New Roman" w:cs="Times New Roman"/>
          <w:i/>
        </w:rPr>
        <w:t xml:space="preserve">road </w:t>
      </w:r>
      <w:r w:rsidR="001C05AD">
        <w:rPr>
          <w:rFonts w:eastAsia="Times New Roman" w:cs="Times New Roman"/>
          <w:i/>
        </w:rPr>
        <w:t>A</w:t>
      </w:r>
      <w:r w:rsidR="007A3B83" w:rsidRPr="007A3B83">
        <w:rPr>
          <w:rFonts w:eastAsia="Times New Roman" w:cs="Times New Roman"/>
          <w:i/>
        </w:rPr>
        <w:t xml:space="preserve">ccounting </w:t>
      </w:r>
      <w:r w:rsidR="001C05AD">
        <w:rPr>
          <w:rFonts w:eastAsia="Times New Roman" w:cs="Times New Roman"/>
          <w:i/>
        </w:rPr>
        <w:t>P</w:t>
      </w:r>
      <w:r w:rsidR="007A3B83" w:rsidRPr="007A3B83">
        <w:rPr>
          <w:rFonts w:eastAsia="Times New Roman" w:cs="Times New Roman"/>
          <w:i/>
        </w:rPr>
        <w:t xml:space="preserve">rinciples for </w:t>
      </w:r>
      <w:r w:rsidR="001C05AD">
        <w:rPr>
          <w:rFonts w:eastAsia="Times New Roman" w:cs="Times New Roman"/>
          <w:i/>
        </w:rPr>
        <w:t>B</w:t>
      </w:r>
      <w:r w:rsidR="007A3B83" w:rsidRPr="007A3B83">
        <w:rPr>
          <w:rFonts w:eastAsia="Times New Roman" w:cs="Times New Roman"/>
          <w:i/>
        </w:rPr>
        <w:t xml:space="preserve">usiness </w:t>
      </w:r>
      <w:r w:rsidR="001C05AD">
        <w:rPr>
          <w:rFonts w:eastAsia="Times New Roman" w:cs="Times New Roman"/>
          <w:i/>
        </w:rPr>
        <w:t>E</w:t>
      </w:r>
      <w:r w:rsidR="007A3B83" w:rsidRPr="007A3B83">
        <w:rPr>
          <w:rFonts w:eastAsia="Times New Roman" w:cs="Times New Roman"/>
          <w:i/>
        </w:rPr>
        <w:t>nterprises</w:t>
      </w:r>
      <w:r w:rsidR="007A3B83" w:rsidRPr="007A3B83">
        <w:rPr>
          <w:rFonts w:eastAsia="Times New Roman" w:cs="Times New Roman"/>
        </w:rPr>
        <w:t>. New York: American Institute of Certified Public Accountants.</w:t>
      </w:r>
    </w:p>
    <w:p w14:paraId="6845F9AD" w14:textId="044E9EDA" w:rsidR="00272B15" w:rsidRDefault="00272B15" w:rsidP="007A3B83">
      <w:pPr>
        <w:tabs>
          <w:tab w:val="left" w:pos="-720"/>
        </w:tabs>
        <w:spacing w:after="120" w:line="240" w:lineRule="auto"/>
        <w:ind w:left="360" w:hanging="360"/>
        <w:rPr>
          <w:rFonts w:eastAsia="Times New Roman" w:cs="Times New Roman"/>
        </w:rPr>
      </w:pPr>
      <w:r>
        <w:rPr>
          <w:rFonts w:eastAsia="Times New Roman" w:cs="Times New Roman"/>
        </w:rPr>
        <w:t>Arnold, A. J.</w:t>
      </w:r>
      <w:r w:rsidR="00F77D05">
        <w:rPr>
          <w:rFonts w:eastAsia="Times New Roman" w:cs="Times New Roman"/>
        </w:rPr>
        <w:t>,</w:t>
      </w:r>
      <w:r>
        <w:rPr>
          <w:rFonts w:eastAsia="Times New Roman" w:cs="Times New Roman"/>
        </w:rPr>
        <w:t xml:space="preserve"> 1996. Privacy or concealment? The accounting practices of liner shipping companies, 1914-1924. </w:t>
      </w:r>
      <w:r w:rsidR="00256F79" w:rsidRPr="005F7589">
        <w:rPr>
          <w:rFonts w:eastAsia="Times New Roman" w:cs="Times New Roman"/>
          <w:i/>
        </w:rPr>
        <w:t xml:space="preserve">International </w:t>
      </w:r>
      <w:r w:rsidR="001C05AD">
        <w:rPr>
          <w:rFonts w:eastAsia="Times New Roman" w:cs="Times New Roman"/>
          <w:i/>
        </w:rPr>
        <w:t>J</w:t>
      </w:r>
      <w:r w:rsidR="00256F79" w:rsidRPr="005F7589">
        <w:rPr>
          <w:rFonts w:eastAsia="Times New Roman" w:cs="Times New Roman"/>
          <w:i/>
        </w:rPr>
        <w:t xml:space="preserve">ournal of </w:t>
      </w:r>
      <w:r w:rsidR="001C05AD">
        <w:rPr>
          <w:rFonts w:eastAsia="Times New Roman" w:cs="Times New Roman"/>
          <w:i/>
        </w:rPr>
        <w:t>M</w:t>
      </w:r>
      <w:r w:rsidR="00256F79" w:rsidRPr="005F7589">
        <w:rPr>
          <w:rFonts w:eastAsia="Times New Roman" w:cs="Times New Roman"/>
          <w:i/>
        </w:rPr>
        <w:t xml:space="preserve">aritime </w:t>
      </w:r>
      <w:r w:rsidR="001C05AD">
        <w:rPr>
          <w:rFonts w:eastAsia="Times New Roman" w:cs="Times New Roman"/>
          <w:i/>
        </w:rPr>
        <w:t>H</w:t>
      </w:r>
      <w:r w:rsidR="00256F79" w:rsidRPr="005F7589">
        <w:rPr>
          <w:rFonts w:eastAsia="Times New Roman" w:cs="Times New Roman"/>
          <w:i/>
        </w:rPr>
        <w:t>istory</w:t>
      </w:r>
      <w:r>
        <w:rPr>
          <w:rFonts w:eastAsia="Times New Roman" w:cs="Times New Roman"/>
        </w:rPr>
        <w:t>, 8</w:t>
      </w:r>
      <w:r w:rsidR="001C05AD">
        <w:rPr>
          <w:rFonts w:eastAsia="Times New Roman" w:cs="Times New Roman"/>
        </w:rPr>
        <w:t xml:space="preserve"> </w:t>
      </w:r>
      <w:r>
        <w:rPr>
          <w:rFonts w:eastAsia="Times New Roman" w:cs="Times New Roman"/>
        </w:rPr>
        <w:t>(1), 43-57.</w:t>
      </w:r>
    </w:p>
    <w:p w14:paraId="5F88487F" w14:textId="5D68CC10" w:rsidR="007A3B83" w:rsidRDefault="007A3B83" w:rsidP="007A3B83">
      <w:pPr>
        <w:tabs>
          <w:tab w:val="left" w:pos="-720"/>
        </w:tabs>
        <w:spacing w:after="120" w:line="240" w:lineRule="auto"/>
        <w:ind w:left="360" w:hanging="360"/>
        <w:rPr>
          <w:rFonts w:eastAsia="Times New Roman" w:cs="Times New Roman"/>
        </w:rPr>
      </w:pPr>
      <w:r w:rsidRPr="007A3B83">
        <w:rPr>
          <w:rFonts w:eastAsia="Times New Roman" w:cs="Times New Roman"/>
        </w:rPr>
        <w:t>Arn</w:t>
      </w:r>
      <w:r w:rsidR="003F3741">
        <w:rPr>
          <w:rFonts w:eastAsia="Times New Roman" w:cs="Times New Roman"/>
        </w:rPr>
        <w:t xml:space="preserve">old, T. and Collier, P., 2007. </w:t>
      </w:r>
      <w:r w:rsidRPr="007A3B83">
        <w:rPr>
          <w:rFonts w:eastAsia="Times New Roman" w:cs="Times New Roman"/>
          <w:i/>
        </w:rPr>
        <w:t xml:space="preserve">The </w:t>
      </w:r>
      <w:r w:rsidR="001C05AD">
        <w:rPr>
          <w:rFonts w:eastAsia="Times New Roman" w:cs="Times New Roman"/>
          <w:i/>
        </w:rPr>
        <w:t>E</w:t>
      </w:r>
      <w:r w:rsidRPr="007A3B83">
        <w:rPr>
          <w:rFonts w:eastAsia="Times New Roman" w:cs="Times New Roman"/>
          <w:i/>
        </w:rPr>
        <w:t xml:space="preserve">volution of </w:t>
      </w:r>
      <w:r w:rsidR="001C05AD">
        <w:rPr>
          <w:rFonts w:eastAsia="Times New Roman" w:cs="Times New Roman"/>
          <w:i/>
        </w:rPr>
        <w:t>R</w:t>
      </w:r>
      <w:r w:rsidRPr="007A3B83">
        <w:rPr>
          <w:rFonts w:eastAsia="Times New Roman" w:cs="Times New Roman"/>
          <w:i/>
        </w:rPr>
        <w:t xml:space="preserve">eserve and </w:t>
      </w:r>
      <w:r w:rsidR="001C05AD">
        <w:rPr>
          <w:rFonts w:eastAsia="Times New Roman" w:cs="Times New Roman"/>
          <w:i/>
        </w:rPr>
        <w:t>P</w:t>
      </w:r>
      <w:r w:rsidRPr="007A3B83">
        <w:rPr>
          <w:rFonts w:eastAsia="Times New Roman" w:cs="Times New Roman"/>
          <w:i/>
        </w:rPr>
        <w:t xml:space="preserve">rovision </w:t>
      </w:r>
      <w:r w:rsidR="001C05AD">
        <w:rPr>
          <w:rFonts w:eastAsia="Times New Roman" w:cs="Times New Roman"/>
          <w:i/>
        </w:rPr>
        <w:t>A</w:t>
      </w:r>
      <w:r w:rsidRPr="007A3B83">
        <w:rPr>
          <w:rFonts w:eastAsia="Times New Roman" w:cs="Times New Roman"/>
          <w:i/>
        </w:rPr>
        <w:t>ccounting in the UK, 1938-1950</w:t>
      </w:r>
      <w:r w:rsidRPr="007A3B83">
        <w:rPr>
          <w:rFonts w:eastAsia="Times New Roman" w:cs="Times New Roman"/>
        </w:rPr>
        <w:t>. Edinburgh: Institute of Chartered Accountants of Scotland.</w:t>
      </w:r>
    </w:p>
    <w:p w14:paraId="0A522A80" w14:textId="18697894" w:rsidR="00C737CF" w:rsidRDefault="00C737CF" w:rsidP="007A3B83">
      <w:pPr>
        <w:tabs>
          <w:tab w:val="left" w:pos="-720"/>
        </w:tabs>
        <w:spacing w:after="120" w:line="240" w:lineRule="auto"/>
        <w:ind w:left="360" w:hanging="360"/>
        <w:rPr>
          <w:rFonts w:eastAsia="Times New Roman" w:cs="Times New Roman"/>
        </w:rPr>
      </w:pPr>
      <w:r>
        <w:rPr>
          <w:rFonts w:eastAsia="Times New Roman" w:cs="Times New Roman"/>
        </w:rPr>
        <w:t>ASB, 1993.</w:t>
      </w:r>
      <w:r w:rsidR="00A7639F">
        <w:rPr>
          <w:rFonts w:eastAsia="Times New Roman" w:cs="Times New Roman"/>
        </w:rPr>
        <w:t xml:space="preserve"> </w:t>
      </w:r>
      <w:r w:rsidR="00A7639F" w:rsidRPr="00A7639F">
        <w:rPr>
          <w:rFonts w:eastAsia="Times New Roman" w:cs="Times New Roman"/>
          <w:i/>
        </w:rPr>
        <w:t xml:space="preserve">FRS 4 Capital </w:t>
      </w:r>
      <w:r w:rsidR="001C05AD">
        <w:rPr>
          <w:rFonts w:eastAsia="Times New Roman" w:cs="Times New Roman"/>
          <w:i/>
        </w:rPr>
        <w:t>I</w:t>
      </w:r>
      <w:r w:rsidR="00A7639F" w:rsidRPr="00A7639F">
        <w:rPr>
          <w:rFonts w:eastAsia="Times New Roman" w:cs="Times New Roman"/>
          <w:i/>
        </w:rPr>
        <w:t>nstruments</w:t>
      </w:r>
      <w:r w:rsidR="00A7639F">
        <w:rPr>
          <w:rFonts w:eastAsia="Times New Roman" w:cs="Times New Roman"/>
        </w:rPr>
        <w:t>. London: Accounting Standards Board.</w:t>
      </w:r>
    </w:p>
    <w:p w14:paraId="0D35155E" w14:textId="778C6C20" w:rsidR="00C737CF" w:rsidRPr="007A3B83" w:rsidRDefault="00C737CF" w:rsidP="00A7639F">
      <w:pPr>
        <w:tabs>
          <w:tab w:val="left" w:pos="-720"/>
        </w:tabs>
        <w:spacing w:after="120" w:line="240" w:lineRule="auto"/>
        <w:ind w:left="360" w:hanging="360"/>
        <w:rPr>
          <w:rFonts w:eastAsia="Times New Roman" w:cs="Times New Roman"/>
        </w:rPr>
      </w:pPr>
      <w:r>
        <w:rPr>
          <w:rFonts w:eastAsia="Times New Roman" w:cs="Times New Roman"/>
        </w:rPr>
        <w:t>ASB, 199</w:t>
      </w:r>
      <w:r w:rsidR="00A7639F">
        <w:rPr>
          <w:rFonts w:eastAsia="Times New Roman" w:cs="Times New Roman"/>
        </w:rPr>
        <w:t>9</w:t>
      </w:r>
      <w:r>
        <w:rPr>
          <w:rFonts w:eastAsia="Times New Roman" w:cs="Times New Roman"/>
        </w:rPr>
        <w:t>.</w:t>
      </w:r>
      <w:r w:rsidR="00A7639F" w:rsidRPr="00A7639F">
        <w:rPr>
          <w:rFonts w:eastAsia="Times New Roman" w:cs="Times New Roman"/>
        </w:rPr>
        <w:t xml:space="preserve"> </w:t>
      </w:r>
      <w:r w:rsidR="00A7639F" w:rsidRPr="00A7639F">
        <w:rPr>
          <w:rFonts w:eastAsia="Times New Roman" w:cs="Times New Roman"/>
          <w:i/>
        </w:rPr>
        <w:t xml:space="preserve">Statement of </w:t>
      </w:r>
      <w:r w:rsidR="001C05AD">
        <w:rPr>
          <w:rFonts w:eastAsia="Times New Roman" w:cs="Times New Roman"/>
          <w:i/>
        </w:rPr>
        <w:t>P</w:t>
      </w:r>
      <w:r w:rsidR="00A7639F" w:rsidRPr="00A7639F">
        <w:rPr>
          <w:rFonts w:eastAsia="Times New Roman" w:cs="Times New Roman"/>
          <w:i/>
        </w:rPr>
        <w:t xml:space="preserve">rinciples for </w:t>
      </w:r>
      <w:r w:rsidR="001C05AD">
        <w:rPr>
          <w:rFonts w:eastAsia="Times New Roman" w:cs="Times New Roman"/>
          <w:i/>
        </w:rPr>
        <w:t>F</w:t>
      </w:r>
      <w:r w:rsidR="00A7639F" w:rsidRPr="00A7639F">
        <w:rPr>
          <w:rFonts w:eastAsia="Times New Roman" w:cs="Times New Roman"/>
          <w:i/>
        </w:rPr>
        <w:t xml:space="preserve">inancial </w:t>
      </w:r>
      <w:r w:rsidR="001C05AD">
        <w:rPr>
          <w:rFonts w:eastAsia="Times New Roman" w:cs="Times New Roman"/>
          <w:i/>
        </w:rPr>
        <w:t>R</w:t>
      </w:r>
      <w:r w:rsidR="00A7639F" w:rsidRPr="00A7639F">
        <w:rPr>
          <w:rFonts w:eastAsia="Times New Roman" w:cs="Times New Roman"/>
          <w:i/>
        </w:rPr>
        <w:t>eporting</w:t>
      </w:r>
      <w:r w:rsidR="00A7639F">
        <w:rPr>
          <w:rFonts w:eastAsia="Times New Roman" w:cs="Times New Roman"/>
        </w:rPr>
        <w:t>. London: Accounting Standards Board.</w:t>
      </w:r>
    </w:p>
    <w:p w14:paraId="488178B6" w14:textId="77777777" w:rsidR="007A3B83" w:rsidRDefault="007A3B83" w:rsidP="007A3B83">
      <w:pPr>
        <w:tabs>
          <w:tab w:val="left" w:pos="-720"/>
        </w:tabs>
        <w:spacing w:after="120" w:line="240" w:lineRule="auto"/>
        <w:ind w:left="360" w:hanging="360"/>
        <w:rPr>
          <w:rFonts w:eastAsia="Times New Roman" w:cs="Calibri"/>
        </w:rPr>
      </w:pPr>
      <w:r w:rsidRPr="007A3B83">
        <w:rPr>
          <w:rFonts w:eastAsia="Times New Roman" w:cs="Calibri"/>
        </w:rPr>
        <w:t>Barker, R., 2010. On the definitions of inco</w:t>
      </w:r>
      <w:r w:rsidR="00630740">
        <w:rPr>
          <w:rFonts w:eastAsia="Times New Roman" w:cs="Calibri"/>
        </w:rPr>
        <w:t>me, expenses and profit in IFRS</w:t>
      </w:r>
      <w:r w:rsidRPr="007A3B83">
        <w:rPr>
          <w:rFonts w:eastAsia="Times New Roman" w:cs="Calibri"/>
        </w:rPr>
        <w:t xml:space="preserve">.           </w:t>
      </w:r>
      <w:r w:rsidRPr="007A3B83">
        <w:rPr>
          <w:rFonts w:eastAsia="Times New Roman" w:cs="Calibri"/>
          <w:i/>
        </w:rPr>
        <w:t>Accounting in Europe</w:t>
      </w:r>
      <w:r w:rsidRPr="007A3B83">
        <w:rPr>
          <w:rFonts w:eastAsia="Times New Roman" w:cs="Calibri"/>
        </w:rPr>
        <w:t>, 7 (2), 147-158.</w:t>
      </w:r>
    </w:p>
    <w:p w14:paraId="2A00B57C" w14:textId="32E75493" w:rsidR="00143CEE" w:rsidRDefault="00143CEE" w:rsidP="007A3B83">
      <w:pPr>
        <w:tabs>
          <w:tab w:val="left" w:pos="-720"/>
        </w:tabs>
        <w:spacing w:after="120" w:line="240" w:lineRule="auto"/>
        <w:ind w:left="360" w:hanging="360"/>
        <w:rPr>
          <w:rFonts w:eastAsia="Times New Roman" w:cs="Calibri"/>
          <w:iCs/>
        </w:rPr>
      </w:pPr>
      <w:r>
        <w:rPr>
          <w:rFonts w:eastAsia="Times New Roman" w:cs="Calibri"/>
        </w:rPr>
        <w:t xml:space="preserve">Barker, R. and McGeachin, A. 2013. Why is there inconsistency in accounting for liabilities in IFRS? An analysis of recognition, measurement, estimation and conservatism. </w:t>
      </w:r>
      <w:r w:rsidRPr="007A3B83">
        <w:rPr>
          <w:rFonts w:eastAsia="Times New Roman" w:cs="Calibri"/>
          <w:i/>
          <w:iCs/>
        </w:rPr>
        <w:t xml:space="preserve">Accounting and </w:t>
      </w:r>
      <w:r w:rsidR="001C05AD">
        <w:rPr>
          <w:rFonts w:eastAsia="Times New Roman" w:cs="Calibri"/>
          <w:i/>
          <w:iCs/>
        </w:rPr>
        <w:t>B</w:t>
      </w:r>
      <w:r w:rsidRPr="007A3B83">
        <w:rPr>
          <w:rFonts w:eastAsia="Times New Roman" w:cs="Calibri"/>
          <w:i/>
          <w:iCs/>
        </w:rPr>
        <w:t xml:space="preserve">usiness </w:t>
      </w:r>
      <w:r w:rsidR="001C05AD">
        <w:rPr>
          <w:rFonts w:eastAsia="Times New Roman" w:cs="Calibri"/>
          <w:i/>
          <w:iCs/>
        </w:rPr>
        <w:t>R</w:t>
      </w:r>
      <w:r w:rsidRPr="007A3B83">
        <w:rPr>
          <w:rFonts w:eastAsia="Times New Roman" w:cs="Calibri"/>
          <w:i/>
          <w:iCs/>
        </w:rPr>
        <w:t>esearch</w:t>
      </w:r>
      <w:r>
        <w:rPr>
          <w:rFonts w:eastAsia="Times New Roman" w:cs="Calibri"/>
          <w:i/>
          <w:iCs/>
        </w:rPr>
        <w:t xml:space="preserve">, </w:t>
      </w:r>
      <w:r w:rsidRPr="00143CEE">
        <w:rPr>
          <w:rFonts w:eastAsia="Times New Roman" w:cs="Calibri"/>
          <w:iCs/>
        </w:rPr>
        <w:t>43</w:t>
      </w:r>
      <w:r w:rsidR="001C05AD">
        <w:rPr>
          <w:rFonts w:eastAsia="Times New Roman" w:cs="Calibri"/>
          <w:iCs/>
        </w:rPr>
        <w:t xml:space="preserve"> </w:t>
      </w:r>
      <w:r w:rsidRPr="00143CEE">
        <w:rPr>
          <w:rFonts w:eastAsia="Times New Roman" w:cs="Calibri"/>
          <w:iCs/>
        </w:rPr>
        <w:t>(6), 579-604.</w:t>
      </w:r>
    </w:p>
    <w:p w14:paraId="783F27F1" w14:textId="6FA4470B" w:rsidR="00DB38A7" w:rsidRDefault="00DB38A7" w:rsidP="007A3B83">
      <w:pPr>
        <w:tabs>
          <w:tab w:val="left" w:pos="-720"/>
        </w:tabs>
        <w:spacing w:after="120" w:line="240" w:lineRule="auto"/>
        <w:ind w:left="360" w:hanging="360"/>
        <w:rPr>
          <w:rFonts w:eastAsia="Times New Roman" w:cs="Calibri"/>
          <w:iCs/>
        </w:rPr>
      </w:pPr>
      <w:r>
        <w:rPr>
          <w:rFonts w:eastAsia="Times New Roman" w:cs="Calibri"/>
          <w:iCs/>
        </w:rPr>
        <w:t>Basu</w:t>
      </w:r>
      <w:r w:rsidR="00E92673">
        <w:rPr>
          <w:rFonts w:eastAsia="Times New Roman" w:cs="Calibri"/>
          <w:iCs/>
        </w:rPr>
        <w:t>, S.</w:t>
      </w:r>
      <w:r>
        <w:rPr>
          <w:rFonts w:eastAsia="Times New Roman" w:cs="Calibri"/>
          <w:iCs/>
        </w:rPr>
        <w:t xml:space="preserve"> and Waymire</w:t>
      </w:r>
      <w:r w:rsidR="00E92673">
        <w:rPr>
          <w:rFonts w:eastAsia="Times New Roman" w:cs="Calibri"/>
          <w:iCs/>
        </w:rPr>
        <w:t>, G</w:t>
      </w:r>
      <w:r>
        <w:rPr>
          <w:rFonts w:eastAsia="Times New Roman" w:cs="Calibri"/>
          <w:iCs/>
        </w:rPr>
        <w:t>.</w:t>
      </w:r>
      <w:r w:rsidR="00E92673">
        <w:rPr>
          <w:rFonts w:eastAsia="Times New Roman" w:cs="Calibri"/>
          <w:iCs/>
        </w:rPr>
        <w:t>,</w:t>
      </w:r>
      <w:r>
        <w:rPr>
          <w:rFonts w:eastAsia="Times New Roman" w:cs="Calibri"/>
          <w:iCs/>
        </w:rPr>
        <w:t xml:space="preserve"> 200</w:t>
      </w:r>
      <w:r w:rsidR="00E92673">
        <w:rPr>
          <w:rFonts w:eastAsia="Times New Roman" w:cs="Calibri"/>
          <w:iCs/>
        </w:rPr>
        <w:t xml:space="preserve">6. Recordkeeping and human evolution. </w:t>
      </w:r>
      <w:r w:rsidR="00E92673" w:rsidRPr="000E60F0">
        <w:rPr>
          <w:rFonts w:eastAsia="Times New Roman" w:cs="Calibri"/>
          <w:i/>
          <w:iCs/>
        </w:rPr>
        <w:t xml:space="preserve">Accounting </w:t>
      </w:r>
      <w:r w:rsidR="001C05AD">
        <w:rPr>
          <w:rFonts w:eastAsia="Times New Roman" w:cs="Calibri"/>
          <w:i/>
          <w:iCs/>
        </w:rPr>
        <w:t>H</w:t>
      </w:r>
      <w:r w:rsidR="00E92673" w:rsidRPr="000E60F0">
        <w:rPr>
          <w:rFonts w:eastAsia="Times New Roman" w:cs="Calibri"/>
          <w:i/>
          <w:iCs/>
        </w:rPr>
        <w:t>orizons</w:t>
      </w:r>
      <w:r w:rsidR="00E92673">
        <w:rPr>
          <w:rFonts w:eastAsia="Times New Roman" w:cs="Calibri"/>
          <w:iCs/>
        </w:rPr>
        <w:t>, 20 (3), 1-29.</w:t>
      </w:r>
    </w:p>
    <w:p w14:paraId="29EC36D9" w14:textId="001A4882" w:rsidR="00374145" w:rsidRPr="007A3B83" w:rsidRDefault="00374145" w:rsidP="007A3B83">
      <w:pPr>
        <w:tabs>
          <w:tab w:val="left" w:pos="-720"/>
        </w:tabs>
        <w:spacing w:after="120" w:line="240" w:lineRule="auto"/>
        <w:ind w:left="360" w:hanging="360"/>
        <w:rPr>
          <w:rFonts w:eastAsia="Times New Roman" w:cs="Calibri"/>
        </w:rPr>
      </w:pPr>
      <w:r>
        <w:rPr>
          <w:rFonts w:eastAsia="Times New Roman" w:cs="Calibri"/>
          <w:iCs/>
        </w:rPr>
        <w:t xml:space="preserve">Bourdieu, P. 1986. </w:t>
      </w:r>
      <w:r>
        <w:t xml:space="preserve">The forms of capital. In J. Richardson (Ed.) </w:t>
      </w:r>
      <w:r>
        <w:rPr>
          <w:i/>
        </w:rPr>
        <w:t xml:space="preserve">Handbook of </w:t>
      </w:r>
      <w:r w:rsidR="001C05AD">
        <w:rPr>
          <w:i/>
        </w:rPr>
        <w:t>T</w:t>
      </w:r>
      <w:r>
        <w:rPr>
          <w:i/>
        </w:rPr>
        <w:t xml:space="preserve">heory and </w:t>
      </w:r>
      <w:r w:rsidR="001C05AD">
        <w:rPr>
          <w:i/>
        </w:rPr>
        <w:t>R</w:t>
      </w:r>
      <w:r>
        <w:rPr>
          <w:i/>
        </w:rPr>
        <w:t xml:space="preserve">esearch for the </w:t>
      </w:r>
      <w:r w:rsidR="001C05AD">
        <w:rPr>
          <w:i/>
        </w:rPr>
        <w:t>S</w:t>
      </w:r>
      <w:r>
        <w:rPr>
          <w:i/>
        </w:rPr>
        <w:t xml:space="preserve">ociology of </w:t>
      </w:r>
      <w:r w:rsidR="001C05AD">
        <w:rPr>
          <w:i/>
        </w:rPr>
        <w:t>E</w:t>
      </w:r>
      <w:r w:rsidRPr="00374145">
        <w:rPr>
          <w:i/>
        </w:rPr>
        <w:t>ducation.</w:t>
      </w:r>
      <w:r>
        <w:t xml:space="preserve"> New York: Greenwood, 241-258.</w:t>
      </w:r>
    </w:p>
    <w:p w14:paraId="6600E4B1" w14:textId="6EC21CB8" w:rsidR="007A3B83" w:rsidRDefault="007A3B83" w:rsidP="007A3B83">
      <w:pPr>
        <w:tabs>
          <w:tab w:val="left" w:pos="-720"/>
        </w:tabs>
        <w:spacing w:after="120" w:line="240" w:lineRule="auto"/>
        <w:ind w:left="360" w:hanging="360"/>
        <w:rPr>
          <w:rFonts w:eastAsia="Times New Roman" w:cs="Times New Roman"/>
        </w:rPr>
      </w:pPr>
      <w:r w:rsidRPr="007A3B83">
        <w:rPr>
          <w:rFonts w:eastAsia="Times New Roman" w:cs="Times New Roman"/>
        </w:rPr>
        <w:t xml:space="preserve">Brief, R.P., 1966. The origin and evolution of nineteenth-century asset accounting. </w:t>
      </w:r>
      <w:r w:rsidRPr="007A3B83">
        <w:rPr>
          <w:rFonts w:eastAsia="Times New Roman" w:cs="Times New Roman"/>
          <w:i/>
        </w:rPr>
        <w:t xml:space="preserve">Business </w:t>
      </w:r>
      <w:r w:rsidR="001C05AD">
        <w:rPr>
          <w:rFonts w:eastAsia="Times New Roman" w:cs="Times New Roman"/>
          <w:i/>
        </w:rPr>
        <w:t>H</w:t>
      </w:r>
      <w:r w:rsidRPr="007A3B83">
        <w:rPr>
          <w:rFonts w:eastAsia="Times New Roman" w:cs="Times New Roman"/>
          <w:i/>
        </w:rPr>
        <w:t xml:space="preserve">istory </w:t>
      </w:r>
      <w:r w:rsidR="001C05AD">
        <w:rPr>
          <w:rFonts w:eastAsia="Times New Roman" w:cs="Times New Roman"/>
          <w:i/>
        </w:rPr>
        <w:t>R</w:t>
      </w:r>
      <w:r w:rsidRPr="007A3B83">
        <w:rPr>
          <w:rFonts w:eastAsia="Times New Roman" w:cs="Times New Roman"/>
          <w:i/>
        </w:rPr>
        <w:t>eview</w:t>
      </w:r>
      <w:r w:rsidRPr="007A3B83">
        <w:rPr>
          <w:rFonts w:eastAsia="Times New Roman" w:cs="Times New Roman"/>
        </w:rPr>
        <w:t>, 40 (1), 1-23.</w:t>
      </w:r>
    </w:p>
    <w:p w14:paraId="4B524D8A" w14:textId="297C95FB" w:rsidR="00784871" w:rsidRDefault="00784871" w:rsidP="007A3B83">
      <w:pPr>
        <w:tabs>
          <w:tab w:val="left" w:pos="-720"/>
        </w:tabs>
        <w:spacing w:after="120" w:line="240" w:lineRule="auto"/>
        <w:ind w:left="360" w:hanging="360"/>
        <w:rPr>
          <w:rFonts w:eastAsia="Times New Roman" w:cs="Times New Roman"/>
        </w:rPr>
      </w:pPr>
      <w:r>
        <w:rPr>
          <w:rFonts w:eastAsia="Times New Roman" w:cs="Times New Roman"/>
        </w:rPr>
        <w:t>Bromwich, M., Macve, R. and Sunder, S.</w:t>
      </w:r>
      <w:r w:rsidR="003C4897">
        <w:rPr>
          <w:rFonts w:eastAsia="Times New Roman" w:cs="Times New Roman"/>
        </w:rPr>
        <w:t>,</w:t>
      </w:r>
      <w:r>
        <w:rPr>
          <w:rFonts w:eastAsia="Times New Roman" w:cs="Times New Roman"/>
        </w:rPr>
        <w:t xml:space="preserve"> 2010.  Hicksian inco</w:t>
      </w:r>
      <w:r w:rsidR="006C3380">
        <w:rPr>
          <w:rFonts w:eastAsia="Times New Roman" w:cs="Times New Roman"/>
        </w:rPr>
        <w:t>me and the conceptual framework.</w:t>
      </w:r>
      <w:r>
        <w:rPr>
          <w:rFonts w:eastAsia="Times New Roman" w:cs="Times New Roman"/>
        </w:rPr>
        <w:t xml:space="preserve"> </w:t>
      </w:r>
      <w:r w:rsidRPr="000E60F0">
        <w:rPr>
          <w:rFonts w:eastAsia="Times New Roman" w:cs="Times New Roman"/>
          <w:i/>
        </w:rPr>
        <w:t>Abacus</w:t>
      </w:r>
      <w:r>
        <w:rPr>
          <w:rFonts w:eastAsia="Times New Roman" w:cs="Times New Roman"/>
        </w:rPr>
        <w:t xml:space="preserve">, 46 (3), 348-376. </w:t>
      </w:r>
    </w:p>
    <w:p w14:paraId="2F758EE9" w14:textId="27D4B333" w:rsidR="007F778D" w:rsidRPr="007A3B83" w:rsidRDefault="007F778D" w:rsidP="007A3B83">
      <w:pPr>
        <w:tabs>
          <w:tab w:val="left" w:pos="-720"/>
        </w:tabs>
        <w:spacing w:after="120" w:line="240" w:lineRule="auto"/>
        <w:ind w:left="360" w:hanging="360"/>
        <w:rPr>
          <w:rFonts w:eastAsia="Times New Roman" w:cs="Times New Roman"/>
        </w:rPr>
      </w:pPr>
      <w:r>
        <w:rPr>
          <w:rFonts w:eastAsia="Times New Roman" w:cs="Times New Roman"/>
        </w:rPr>
        <w:t xml:space="preserve">Brooks, </w:t>
      </w:r>
      <w:r w:rsidR="00F7013C">
        <w:rPr>
          <w:rFonts w:eastAsia="Times New Roman" w:cs="Times New Roman"/>
        </w:rPr>
        <w:t>W.</w:t>
      </w:r>
      <w:r>
        <w:rPr>
          <w:rFonts w:eastAsia="Times New Roman" w:cs="Times New Roman"/>
        </w:rPr>
        <w:t>C.</w:t>
      </w:r>
      <w:r w:rsidR="006E448D">
        <w:rPr>
          <w:rFonts w:eastAsia="Times New Roman" w:cs="Times New Roman"/>
        </w:rPr>
        <w:t xml:space="preserve">, </w:t>
      </w:r>
      <w:r w:rsidR="00BA6D4E">
        <w:rPr>
          <w:rFonts w:eastAsia="Times New Roman" w:cs="Times New Roman"/>
        </w:rPr>
        <w:t>1933.</w:t>
      </w:r>
      <w:r w:rsidR="006E448D">
        <w:rPr>
          <w:rFonts w:eastAsia="Times New Roman" w:cs="Times New Roman"/>
        </w:rPr>
        <w:t xml:space="preserve"> Introduction, pages xiii-xliii in W.C. Brooks (ed.)</w:t>
      </w:r>
      <w:r w:rsidR="00BA6D4E">
        <w:rPr>
          <w:rFonts w:eastAsia="Times New Roman" w:cs="Times New Roman"/>
        </w:rPr>
        <w:t xml:space="preserve"> </w:t>
      </w:r>
      <w:r w:rsidR="00256F79" w:rsidRPr="005F7589">
        <w:rPr>
          <w:rFonts w:eastAsia="Times New Roman" w:cs="Times New Roman"/>
          <w:i/>
        </w:rPr>
        <w:t xml:space="preserve">The Royal Mail </w:t>
      </w:r>
      <w:r w:rsidR="001C05AD">
        <w:rPr>
          <w:rFonts w:eastAsia="Times New Roman" w:cs="Times New Roman"/>
          <w:i/>
        </w:rPr>
        <w:t>C</w:t>
      </w:r>
      <w:r w:rsidR="00256F79" w:rsidRPr="005F7589">
        <w:rPr>
          <w:rFonts w:eastAsia="Times New Roman" w:cs="Times New Roman"/>
          <w:i/>
        </w:rPr>
        <w:t>ase: Rex v. Lord Kylsant, and Another</w:t>
      </w:r>
      <w:r w:rsidR="00BA6D4E">
        <w:rPr>
          <w:rFonts w:eastAsia="Times New Roman" w:cs="Times New Roman"/>
        </w:rPr>
        <w:t>. Edinburgh:</w:t>
      </w:r>
      <w:r w:rsidR="006E448D">
        <w:rPr>
          <w:rFonts w:eastAsia="Times New Roman" w:cs="Times New Roman"/>
        </w:rPr>
        <w:t xml:space="preserve"> William Hodge and Co.</w:t>
      </w:r>
      <w:r w:rsidR="00BA6D4E">
        <w:rPr>
          <w:rFonts w:eastAsia="Times New Roman" w:cs="Times New Roman"/>
        </w:rPr>
        <w:t>; reprinted in New York: Arno Press, 1980.</w:t>
      </w:r>
    </w:p>
    <w:p w14:paraId="4BF84A13" w14:textId="55A20D41" w:rsidR="007A3B83" w:rsidRDefault="007A3B83" w:rsidP="007A3B83">
      <w:pPr>
        <w:tabs>
          <w:tab w:val="left" w:pos="-720"/>
        </w:tabs>
        <w:spacing w:after="120" w:line="240" w:lineRule="auto"/>
        <w:ind w:left="360" w:hanging="360"/>
        <w:rPr>
          <w:rFonts w:eastAsia="Times New Roman" w:cs="Times New Roman"/>
          <w:lang w:val="en-US"/>
        </w:rPr>
      </w:pPr>
      <w:r w:rsidRPr="007A3B83">
        <w:rPr>
          <w:rFonts w:eastAsia="Times New Roman" w:cs="Times New Roman"/>
          <w:lang w:val="en-US"/>
        </w:rPr>
        <w:t xml:space="preserve">Bryer, R.A., 1993. The late nineteenth-century revolution in financial reporting: accounting for the rise of investor or managerial capitalism. </w:t>
      </w:r>
      <w:r w:rsidRPr="007A3B83">
        <w:rPr>
          <w:rFonts w:eastAsia="Times New Roman" w:cs="Times New Roman"/>
          <w:i/>
          <w:lang w:val="en-US"/>
        </w:rPr>
        <w:t xml:space="preserve">Accounting, </w:t>
      </w:r>
      <w:r w:rsidR="001C05AD">
        <w:rPr>
          <w:rFonts w:eastAsia="Times New Roman" w:cs="Times New Roman"/>
          <w:i/>
          <w:lang w:val="en-US"/>
        </w:rPr>
        <w:t>O</w:t>
      </w:r>
      <w:r w:rsidRPr="007A3B83">
        <w:rPr>
          <w:rFonts w:eastAsia="Times New Roman" w:cs="Times New Roman"/>
          <w:i/>
          <w:lang w:val="en-US"/>
        </w:rPr>
        <w:t xml:space="preserve">rganizations and </w:t>
      </w:r>
      <w:r w:rsidR="001C05AD">
        <w:rPr>
          <w:rFonts w:eastAsia="Times New Roman" w:cs="Times New Roman"/>
          <w:i/>
          <w:lang w:val="en-US"/>
        </w:rPr>
        <w:t>S</w:t>
      </w:r>
      <w:r w:rsidRPr="007A3B83">
        <w:rPr>
          <w:rFonts w:eastAsia="Times New Roman" w:cs="Times New Roman"/>
          <w:i/>
          <w:lang w:val="en-US"/>
        </w:rPr>
        <w:t>ociety</w:t>
      </w:r>
      <w:r w:rsidRPr="007A3B83">
        <w:rPr>
          <w:rFonts w:eastAsia="Times New Roman" w:cs="Times New Roman"/>
          <w:lang w:val="en-US"/>
        </w:rPr>
        <w:t>, 18 (7/8), 649-690.</w:t>
      </w:r>
    </w:p>
    <w:p w14:paraId="0F3E950B" w14:textId="2C97ECA3" w:rsidR="007F778D" w:rsidRDefault="007F778D" w:rsidP="007A3B83">
      <w:pPr>
        <w:tabs>
          <w:tab w:val="left" w:pos="-720"/>
        </w:tabs>
        <w:spacing w:after="120" w:line="240" w:lineRule="auto"/>
        <w:ind w:left="360" w:hanging="360"/>
        <w:rPr>
          <w:rFonts w:eastAsia="Times New Roman" w:cs="Times New Roman"/>
          <w:lang w:val="en-US"/>
        </w:rPr>
      </w:pPr>
      <w:r>
        <w:rPr>
          <w:rFonts w:eastAsia="Times New Roman" w:cs="Times New Roman"/>
          <w:lang w:val="en-US"/>
        </w:rPr>
        <w:t>Bryer, R.A.</w:t>
      </w:r>
      <w:r w:rsidR="003C4897">
        <w:rPr>
          <w:rFonts w:eastAsia="Times New Roman" w:cs="Times New Roman"/>
          <w:lang w:val="en-US"/>
        </w:rPr>
        <w:t>,</w:t>
      </w:r>
      <w:r>
        <w:rPr>
          <w:rFonts w:eastAsia="Times New Roman" w:cs="Times New Roman"/>
          <w:lang w:val="en-US"/>
        </w:rPr>
        <w:t xml:space="preserve"> 2000. The history of accounting and the transition to capitalism</w:t>
      </w:r>
      <w:r w:rsidR="006C3380">
        <w:rPr>
          <w:rFonts w:eastAsia="Times New Roman" w:cs="Times New Roman"/>
          <w:lang w:val="en-US"/>
        </w:rPr>
        <w:t xml:space="preserve"> in England. Part two: evidence.</w:t>
      </w:r>
      <w:r>
        <w:rPr>
          <w:rFonts w:eastAsia="Times New Roman" w:cs="Times New Roman"/>
          <w:lang w:val="en-US"/>
        </w:rPr>
        <w:t xml:space="preserve"> </w:t>
      </w:r>
      <w:r w:rsidRPr="007A3B83">
        <w:rPr>
          <w:rFonts w:eastAsia="Times New Roman" w:cs="Times New Roman"/>
          <w:i/>
          <w:lang w:val="en-US"/>
        </w:rPr>
        <w:t xml:space="preserve">Accounting, </w:t>
      </w:r>
      <w:r w:rsidR="001C05AD">
        <w:rPr>
          <w:rFonts w:eastAsia="Times New Roman" w:cs="Times New Roman"/>
          <w:i/>
          <w:lang w:val="en-US"/>
        </w:rPr>
        <w:t>O</w:t>
      </w:r>
      <w:r w:rsidRPr="007A3B83">
        <w:rPr>
          <w:rFonts w:eastAsia="Times New Roman" w:cs="Times New Roman"/>
          <w:i/>
          <w:lang w:val="en-US"/>
        </w:rPr>
        <w:t xml:space="preserve">rganizations and </w:t>
      </w:r>
      <w:r w:rsidR="001C05AD">
        <w:rPr>
          <w:rFonts w:eastAsia="Times New Roman" w:cs="Times New Roman"/>
          <w:i/>
          <w:lang w:val="en-US"/>
        </w:rPr>
        <w:t>S</w:t>
      </w:r>
      <w:r w:rsidRPr="007A3B83">
        <w:rPr>
          <w:rFonts w:eastAsia="Times New Roman" w:cs="Times New Roman"/>
          <w:i/>
          <w:lang w:val="en-US"/>
        </w:rPr>
        <w:t>ociety</w:t>
      </w:r>
      <w:r w:rsidR="0028069B">
        <w:rPr>
          <w:rFonts w:eastAsia="Times New Roman" w:cs="Times New Roman"/>
          <w:lang w:val="en-US"/>
        </w:rPr>
        <w:t>,</w:t>
      </w:r>
      <w:r>
        <w:rPr>
          <w:rFonts w:eastAsia="Times New Roman" w:cs="Times New Roman"/>
          <w:lang w:val="en-US"/>
        </w:rPr>
        <w:t xml:space="preserve"> 25 (4/5</w:t>
      </w:r>
      <w:r w:rsidRPr="007A3B83">
        <w:rPr>
          <w:rFonts w:eastAsia="Times New Roman" w:cs="Times New Roman"/>
          <w:lang w:val="en-US"/>
        </w:rPr>
        <w:t>)</w:t>
      </w:r>
      <w:r>
        <w:rPr>
          <w:rFonts w:eastAsia="Times New Roman" w:cs="Times New Roman"/>
          <w:lang w:val="en-US"/>
        </w:rPr>
        <w:t>, 327-381.</w:t>
      </w:r>
    </w:p>
    <w:p w14:paraId="6EE88E2D" w14:textId="431E29D0" w:rsidR="00CD52A4" w:rsidRDefault="00CD52A4" w:rsidP="00CD52A4">
      <w:pPr>
        <w:tabs>
          <w:tab w:val="left" w:pos="-720"/>
        </w:tabs>
        <w:spacing w:after="120" w:line="240" w:lineRule="auto"/>
        <w:ind w:left="360" w:hanging="360"/>
        <w:rPr>
          <w:rFonts w:eastAsia="Times New Roman" w:cs="Times New Roman"/>
          <w:lang w:val="en-US"/>
        </w:rPr>
      </w:pPr>
      <w:r>
        <w:rPr>
          <w:rFonts w:eastAsia="Times New Roman" w:cs="Times New Roman"/>
          <w:lang w:val="en-US"/>
        </w:rPr>
        <w:t>Bryer, R.A., 201</w:t>
      </w:r>
      <w:r w:rsidRPr="007A3B83">
        <w:rPr>
          <w:rFonts w:eastAsia="Times New Roman" w:cs="Times New Roman"/>
          <w:lang w:val="en-US"/>
        </w:rPr>
        <w:t xml:space="preserve">3. </w:t>
      </w:r>
      <w:r>
        <w:rPr>
          <w:rFonts w:eastAsia="Times New Roman" w:cs="Times New Roman"/>
          <w:lang w:val="en-US"/>
        </w:rPr>
        <w:t>Americanism and financial accounting theory - Part 3: Adam Smith, the rise and fall of socialism and Irving Fisher’s theory of accounting</w:t>
      </w:r>
      <w:r w:rsidRPr="007A3B83">
        <w:rPr>
          <w:rFonts w:eastAsia="Times New Roman" w:cs="Times New Roman"/>
          <w:lang w:val="en-US"/>
        </w:rPr>
        <w:t xml:space="preserve">. </w:t>
      </w:r>
      <w:r>
        <w:rPr>
          <w:rFonts w:eastAsia="Times New Roman" w:cs="Times New Roman"/>
          <w:i/>
          <w:lang w:val="en-US"/>
        </w:rPr>
        <w:t xml:space="preserve">Critical </w:t>
      </w:r>
      <w:r w:rsidR="001C05AD">
        <w:rPr>
          <w:rFonts w:eastAsia="Times New Roman" w:cs="Times New Roman"/>
          <w:i/>
          <w:lang w:val="en-US"/>
        </w:rPr>
        <w:t>P</w:t>
      </w:r>
      <w:r>
        <w:rPr>
          <w:rFonts w:eastAsia="Times New Roman" w:cs="Times New Roman"/>
          <w:i/>
          <w:lang w:val="en-US"/>
        </w:rPr>
        <w:t xml:space="preserve">erspectives on </w:t>
      </w:r>
      <w:r w:rsidR="001C05AD">
        <w:rPr>
          <w:rFonts w:eastAsia="Times New Roman" w:cs="Times New Roman"/>
          <w:i/>
          <w:lang w:val="en-US"/>
        </w:rPr>
        <w:t>A</w:t>
      </w:r>
      <w:r w:rsidRPr="007A3B83">
        <w:rPr>
          <w:rFonts w:eastAsia="Times New Roman" w:cs="Times New Roman"/>
          <w:i/>
          <w:lang w:val="en-US"/>
        </w:rPr>
        <w:t>ccou</w:t>
      </w:r>
      <w:r>
        <w:rPr>
          <w:rFonts w:eastAsia="Times New Roman" w:cs="Times New Roman"/>
          <w:i/>
          <w:lang w:val="en-US"/>
        </w:rPr>
        <w:t>nting</w:t>
      </w:r>
      <w:r>
        <w:rPr>
          <w:rFonts w:eastAsia="Times New Roman" w:cs="Times New Roman"/>
          <w:lang w:val="en-US"/>
        </w:rPr>
        <w:t>, 24 (7/8), 572-615.</w:t>
      </w:r>
    </w:p>
    <w:p w14:paraId="6AA3439D" w14:textId="0DBD6645" w:rsidR="00C14381" w:rsidRDefault="00C14381" w:rsidP="005073DC">
      <w:pPr>
        <w:spacing w:after="120" w:line="240" w:lineRule="auto"/>
        <w:ind w:left="360" w:hanging="360"/>
        <w:rPr>
          <w:rFonts w:eastAsia="Times New Roman" w:cs="Times New Roman"/>
        </w:rPr>
      </w:pPr>
      <w:r>
        <w:rPr>
          <w:rFonts w:eastAsia="Times New Roman" w:cs="Times New Roman"/>
        </w:rPr>
        <w:t xml:space="preserve">Cannan, E., 1921.  Early history of the term capital. </w:t>
      </w:r>
      <w:r>
        <w:rPr>
          <w:rFonts w:eastAsia="Times New Roman" w:cs="Times New Roman"/>
          <w:i/>
        </w:rPr>
        <w:t xml:space="preserve">Quarterly </w:t>
      </w:r>
      <w:r w:rsidR="001C05AD">
        <w:rPr>
          <w:rFonts w:eastAsia="Times New Roman" w:cs="Times New Roman"/>
          <w:i/>
        </w:rPr>
        <w:t>J</w:t>
      </w:r>
      <w:r>
        <w:rPr>
          <w:rFonts w:eastAsia="Times New Roman" w:cs="Times New Roman"/>
          <w:i/>
        </w:rPr>
        <w:t xml:space="preserve">ournal of </w:t>
      </w:r>
      <w:r w:rsidR="001C05AD">
        <w:rPr>
          <w:rFonts w:eastAsia="Times New Roman" w:cs="Times New Roman"/>
          <w:i/>
        </w:rPr>
        <w:t>E</w:t>
      </w:r>
      <w:r>
        <w:rPr>
          <w:rFonts w:eastAsia="Times New Roman" w:cs="Times New Roman"/>
          <w:i/>
        </w:rPr>
        <w:t>conomics</w:t>
      </w:r>
      <w:r>
        <w:rPr>
          <w:rFonts w:eastAsia="Times New Roman" w:cs="Times New Roman"/>
        </w:rPr>
        <w:t>, 35</w:t>
      </w:r>
      <w:r w:rsidR="001C05AD">
        <w:rPr>
          <w:rFonts w:eastAsia="Times New Roman" w:cs="Times New Roman"/>
        </w:rPr>
        <w:t xml:space="preserve"> </w:t>
      </w:r>
      <w:r>
        <w:rPr>
          <w:rFonts w:eastAsia="Times New Roman" w:cs="Times New Roman"/>
        </w:rPr>
        <w:t>(3), 469-481.</w:t>
      </w:r>
    </w:p>
    <w:p w14:paraId="1465D433" w14:textId="3DA5A46B" w:rsidR="0014109F" w:rsidRPr="005073DC" w:rsidRDefault="0014109F" w:rsidP="005073DC">
      <w:pPr>
        <w:spacing w:after="120" w:line="240" w:lineRule="auto"/>
        <w:ind w:left="360" w:hanging="360"/>
        <w:rPr>
          <w:rFonts w:eastAsia="Times New Roman" w:cs="Times New Roman"/>
        </w:rPr>
      </w:pPr>
      <w:r>
        <w:rPr>
          <w:rFonts w:eastAsia="Times New Roman" w:cs="Times New Roman"/>
        </w:rPr>
        <w:t xml:space="preserve">Carlon, </w:t>
      </w:r>
      <w:r w:rsidR="00F6297F">
        <w:rPr>
          <w:rFonts w:eastAsia="Times New Roman" w:cs="Times New Roman"/>
        </w:rPr>
        <w:t xml:space="preserve">S.A. and Morris, R.D., 2003. The economic determinants of depreciation accounting in </w:t>
      </w:r>
      <w:r w:rsidR="006C3380">
        <w:rPr>
          <w:rFonts w:eastAsia="Times New Roman" w:cs="Times New Roman"/>
        </w:rPr>
        <w:t>late nineteenth century Britain.</w:t>
      </w:r>
      <w:r w:rsidR="00F6297F">
        <w:rPr>
          <w:rFonts w:eastAsia="Times New Roman" w:cs="Times New Roman"/>
        </w:rPr>
        <w:t xml:space="preserve"> </w:t>
      </w:r>
      <w:r w:rsidR="00F6297F" w:rsidRPr="00143CEE">
        <w:rPr>
          <w:rFonts w:eastAsia="Times New Roman" w:cs="Times New Roman"/>
          <w:i/>
        </w:rPr>
        <w:t>Accounting, Business and Financial History</w:t>
      </w:r>
      <w:r w:rsidR="00F6297F">
        <w:rPr>
          <w:rFonts w:eastAsia="Times New Roman" w:cs="Times New Roman"/>
        </w:rPr>
        <w:t>, 13</w:t>
      </w:r>
      <w:r w:rsidR="001C05AD">
        <w:rPr>
          <w:rFonts w:eastAsia="Times New Roman" w:cs="Times New Roman"/>
        </w:rPr>
        <w:t xml:space="preserve"> </w:t>
      </w:r>
      <w:r w:rsidR="00F6297F">
        <w:rPr>
          <w:rFonts w:eastAsia="Times New Roman" w:cs="Times New Roman"/>
        </w:rPr>
        <w:t>(3), 275-303.</w:t>
      </w:r>
    </w:p>
    <w:p w14:paraId="218A6D2A" w14:textId="224A2437" w:rsidR="007A3B83" w:rsidRPr="007A3B83" w:rsidRDefault="003F3741" w:rsidP="007A3B83">
      <w:pPr>
        <w:spacing w:after="120" w:line="240" w:lineRule="auto"/>
        <w:ind w:left="360" w:right="29" w:hanging="360"/>
        <w:rPr>
          <w:rFonts w:eastAsia="Times New Roman" w:cs="Times New Roman"/>
          <w:position w:val="6"/>
          <w:sz w:val="16"/>
        </w:rPr>
      </w:pPr>
      <w:r>
        <w:rPr>
          <w:rFonts w:eastAsia="Times New Roman" w:cs="Times New Roman"/>
        </w:rPr>
        <w:t xml:space="preserve">Chambers, R.J., 1966. </w:t>
      </w:r>
      <w:r w:rsidR="007A3B83" w:rsidRPr="007A3B83">
        <w:rPr>
          <w:rFonts w:eastAsia="Times New Roman" w:cs="Times New Roman"/>
          <w:i/>
        </w:rPr>
        <w:t xml:space="preserve">Accounting, </w:t>
      </w:r>
      <w:r w:rsidR="001C05AD">
        <w:rPr>
          <w:rFonts w:eastAsia="Times New Roman" w:cs="Times New Roman"/>
          <w:i/>
        </w:rPr>
        <w:t>E</w:t>
      </w:r>
      <w:r w:rsidR="007A3B83" w:rsidRPr="007A3B83">
        <w:rPr>
          <w:rFonts w:eastAsia="Times New Roman" w:cs="Times New Roman"/>
          <w:i/>
        </w:rPr>
        <w:t xml:space="preserve">valuation and </w:t>
      </w:r>
      <w:r w:rsidR="001C05AD">
        <w:rPr>
          <w:rFonts w:eastAsia="Times New Roman" w:cs="Times New Roman"/>
          <w:i/>
        </w:rPr>
        <w:t>E</w:t>
      </w:r>
      <w:r w:rsidR="007A3B83" w:rsidRPr="007A3B83">
        <w:rPr>
          <w:rFonts w:eastAsia="Times New Roman" w:cs="Times New Roman"/>
          <w:i/>
        </w:rPr>
        <w:t xml:space="preserve">conomic </w:t>
      </w:r>
      <w:r w:rsidR="001C05AD">
        <w:rPr>
          <w:rFonts w:eastAsia="Times New Roman" w:cs="Times New Roman"/>
          <w:i/>
        </w:rPr>
        <w:t>B</w:t>
      </w:r>
      <w:r w:rsidR="007A3B83" w:rsidRPr="007A3B83">
        <w:rPr>
          <w:rFonts w:eastAsia="Times New Roman" w:cs="Times New Roman"/>
          <w:i/>
        </w:rPr>
        <w:t>ehavior</w:t>
      </w:r>
      <w:r w:rsidR="007A3B83" w:rsidRPr="007A3B83">
        <w:rPr>
          <w:rFonts w:eastAsia="Times New Roman" w:cs="Times New Roman"/>
        </w:rPr>
        <w:t>. Englewood Cliffs, N.J.: Prentice-Hall.</w:t>
      </w:r>
    </w:p>
    <w:p w14:paraId="568AA66B" w14:textId="115C2108" w:rsidR="007A3B83" w:rsidRPr="007A3B83" w:rsidRDefault="007A3B83" w:rsidP="007A3B83">
      <w:pPr>
        <w:spacing w:after="120" w:line="240" w:lineRule="auto"/>
        <w:ind w:left="360" w:hanging="360"/>
        <w:rPr>
          <w:rFonts w:eastAsia="Times New Roman" w:cs="Times New Roman"/>
        </w:rPr>
      </w:pPr>
      <w:r w:rsidRPr="007A3B83">
        <w:rPr>
          <w:rFonts w:eastAsia="Times New Roman" w:cs="Times New Roman"/>
        </w:rPr>
        <w:t>Claire, R.S.,</w:t>
      </w:r>
      <w:r w:rsidR="003C4897">
        <w:rPr>
          <w:rFonts w:eastAsia="Times New Roman" w:cs="Times New Roman"/>
        </w:rPr>
        <w:t xml:space="preserve"> 1</w:t>
      </w:r>
      <w:r w:rsidRPr="007A3B83">
        <w:rPr>
          <w:rFonts w:eastAsia="Times New Roman" w:cs="Times New Roman"/>
        </w:rPr>
        <w:t xml:space="preserve">945. Evolution of corporate reports: observations on the annual report of United States Steel Corporation. </w:t>
      </w:r>
      <w:r w:rsidRPr="007A3B83">
        <w:rPr>
          <w:rFonts w:eastAsia="Times New Roman" w:cs="Times New Roman"/>
          <w:i/>
        </w:rPr>
        <w:t xml:space="preserve">Journal of </w:t>
      </w:r>
      <w:r w:rsidR="001C05AD">
        <w:rPr>
          <w:rFonts w:eastAsia="Times New Roman" w:cs="Times New Roman"/>
          <w:i/>
        </w:rPr>
        <w:t>A</w:t>
      </w:r>
      <w:r w:rsidRPr="007A3B83">
        <w:rPr>
          <w:rFonts w:eastAsia="Times New Roman" w:cs="Times New Roman"/>
          <w:i/>
        </w:rPr>
        <w:t>ccountancy</w:t>
      </w:r>
      <w:r w:rsidRPr="007A3B83">
        <w:rPr>
          <w:rFonts w:eastAsia="Times New Roman" w:cs="Times New Roman"/>
        </w:rPr>
        <w:t>, LXXIX, 39-51.</w:t>
      </w:r>
      <w:r w:rsidR="007560CA" w:rsidRPr="007560CA">
        <w:rPr>
          <w:rFonts w:eastAsia="Times New Roman" w:cs="Times New Roman"/>
        </w:rPr>
        <w:t xml:space="preserve"> </w:t>
      </w:r>
      <w:r w:rsidR="007560CA">
        <w:rPr>
          <w:rFonts w:eastAsia="Times New Roman" w:cs="Times New Roman"/>
        </w:rPr>
        <w:t>Reprinted in Lee and Parker (1979).</w:t>
      </w:r>
    </w:p>
    <w:p w14:paraId="201F3FA0" w14:textId="166BFB96" w:rsidR="0028069B" w:rsidRDefault="0028069B" w:rsidP="007A3B83">
      <w:pPr>
        <w:spacing w:after="120" w:line="240" w:lineRule="auto"/>
        <w:ind w:left="360" w:hanging="360"/>
        <w:rPr>
          <w:rFonts w:eastAsia="Times New Roman" w:cs="Times New Roman"/>
        </w:rPr>
      </w:pPr>
      <w:r>
        <w:rPr>
          <w:rFonts w:eastAsia="Times New Roman" w:cs="Times New Roman"/>
        </w:rPr>
        <w:t xml:space="preserve">Clark, M.W., 1993. Entity theory, modern capital structure theory, and the distinction between debt and equity. </w:t>
      </w:r>
      <w:r w:rsidRPr="0028069B">
        <w:rPr>
          <w:rFonts w:eastAsia="Times New Roman" w:cs="Times New Roman"/>
          <w:i/>
        </w:rPr>
        <w:t xml:space="preserve">Accounting </w:t>
      </w:r>
      <w:r w:rsidR="001C05AD">
        <w:rPr>
          <w:rFonts w:eastAsia="Times New Roman" w:cs="Times New Roman"/>
          <w:i/>
        </w:rPr>
        <w:t>H</w:t>
      </w:r>
      <w:r w:rsidRPr="0028069B">
        <w:rPr>
          <w:rFonts w:eastAsia="Times New Roman" w:cs="Times New Roman"/>
          <w:i/>
        </w:rPr>
        <w:t>orizons</w:t>
      </w:r>
      <w:r>
        <w:rPr>
          <w:rFonts w:eastAsia="Times New Roman" w:cs="Times New Roman"/>
        </w:rPr>
        <w:t>, 7</w:t>
      </w:r>
      <w:r w:rsidR="001C05AD">
        <w:rPr>
          <w:rFonts w:eastAsia="Times New Roman" w:cs="Times New Roman"/>
        </w:rPr>
        <w:t xml:space="preserve"> </w:t>
      </w:r>
      <w:r>
        <w:rPr>
          <w:rFonts w:eastAsia="Times New Roman" w:cs="Times New Roman"/>
        </w:rPr>
        <w:t>(3), 14-31.</w:t>
      </w:r>
    </w:p>
    <w:p w14:paraId="69D88E0D" w14:textId="4FB9E7D8" w:rsidR="00F8397E" w:rsidRDefault="00F8397E" w:rsidP="00F8397E">
      <w:pPr>
        <w:spacing w:after="120" w:line="240" w:lineRule="auto"/>
        <w:ind w:left="360" w:hanging="360"/>
        <w:rPr>
          <w:rFonts w:eastAsia="Times New Roman" w:cs="Times New Roman"/>
        </w:rPr>
      </w:pPr>
      <w:r>
        <w:rPr>
          <w:rFonts w:eastAsia="Times New Roman" w:cs="Times New Roman"/>
        </w:rPr>
        <w:t xml:space="preserve">Cohen, A.J. and Harcourt, G.C., 2003. Whatever happened to the Cambridge capital theory controversies? </w:t>
      </w:r>
      <w:r w:rsidR="005C3894">
        <w:rPr>
          <w:rFonts w:eastAsia="Times New Roman" w:cs="Times New Roman"/>
          <w:i/>
        </w:rPr>
        <w:t>Journ</w:t>
      </w:r>
      <w:r w:rsidR="00CC25D3">
        <w:rPr>
          <w:rFonts w:eastAsia="Times New Roman" w:cs="Times New Roman"/>
          <w:i/>
        </w:rPr>
        <w:t>al of Economic P</w:t>
      </w:r>
      <w:r w:rsidRPr="008D79D4">
        <w:rPr>
          <w:rFonts w:eastAsia="Times New Roman" w:cs="Times New Roman"/>
          <w:i/>
        </w:rPr>
        <w:t>erspectives</w:t>
      </w:r>
      <w:r>
        <w:rPr>
          <w:rFonts w:eastAsia="Times New Roman" w:cs="Times New Roman"/>
        </w:rPr>
        <w:t>, 17 (1), 199-214.</w:t>
      </w:r>
    </w:p>
    <w:p w14:paraId="33CE7A04" w14:textId="479F6E80" w:rsidR="007A3B83" w:rsidRDefault="007A3B83" w:rsidP="007A3B83">
      <w:pPr>
        <w:spacing w:after="120" w:line="240" w:lineRule="auto"/>
        <w:ind w:left="360" w:hanging="360"/>
        <w:rPr>
          <w:rFonts w:eastAsia="Times New Roman" w:cs="Times New Roman"/>
        </w:rPr>
      </w:pPr>
      <w:r w:rsidRPr="007A3B83">
        <w:rPr>
          <w:rFonts w:eastAsia="Times New Roman" w:cs="Times New Roman"/>
        </w:rPr>
        <w:t xml:space="preserve">Cooper, E., 1894. Chartered accountants and the profit question. </w:t>
      </w:r>
      <w:r w:rsidR="00CE3657" w:rsidRPr="00CE3657">
        <w:rPr>
          <w:rFonts w:eastAsia="Times New Roman" w:cs="Times New Roman"/>
          <w:i/>
        </w:rPr>
        <w:t>The</w:t>
      </w:r>
      <w:r w:rsidR="00CE3657">
        <w:rPr>
          <w:rFonts w:eastAsia="Times New Roman" w:cs="Times New Roman"/>
        </w:rPr>
        <w:t xml:space="preserve"> </w:t>
      </w:r>
      <w:r w:rsidR="001C05AD">
        <w:rPr>
          <w:rFonts w:eastAsia="Times New Roman" w:cs="Times New Roman"/>
          <w:i/>
        </w:rPr>
        <w:t>A</w:t>
      </w:r>
      <w:r w:rsidRPr="007A3B83">
        <w:rPr>
          <w:rFonts w:eastAsia="Times New Roman" w:cs="Times New Roman"/>
          <w:i/>
        </w:rPr>
        <w:t>ccountant</w:t>
      </w:r>
      <w:r w:rsidRPr="007A3B83">
        <w:rPr>
          <w:rFonts w:eastAsia="Times New Roman" w:cs="Times New Roman"/>
        </w:rPr>
        <w:t xml:space="preserve">, </w:t>
      </w:r>
      <w:r w:rsidR="00CE3657">
        <w:rPr>
          <w:rFonts w:eastAsia="Times New Roman" w:cs="Times New Roman"/>
        </w:rPr>
        <w:t xml:space="preserve">XXX (1042), </w:t>
      </w:r>
      <w:r w:rsidRPr="007A3B83">
        <w:rPr>
          <w:rFonts w:eastAsia="Times New Roman" w:cs="Times New Roman"/>
        </w:rPr>
        <w:t>24 November, 1033-1043.</w:t>
      </w:r>
    </w:p>
    <w:p w14:paraId="132BB782" w14:textId="01151BE5" w:rsidR="004F7696" w:rsidRPr="007A3B83" w:rsidRDefault="004F7696" w:rsidP="007A3B83">
      <w:pPr>
        <w:spacing w:after="120" w:line="240" w:lineRule="auto"/>
        <w:ind w:left="360" w:hanging="360"/>
        <w:rPr>
          <w:rFonts w:eastAsia="Times New Roman" w:cs="Times New Roman"/>
        </w:rPr>
      </w:pPr>
      <w:r>
        <w:rPr>
          <w:rFonts w:eastAsia="Times New Roman" w:cs="Times New Roman"/>
        </w:rPr>
        <w:t xml:space="preserve">Davies, P. and Worthington, S., 2012. </w:t>
      </w:r>
      <w:r w:rsidRPr="004F7696">
        <w:rPr>
          <w:rFonts w:eastAsia="Times New Roman" w:cs="Times New Roman"/>
          <w:i/>
        </w:rPr>
        <w:t xml:space="preserve">Principles of </w:t>
      </w:r>
      <w:r w:rsidR="001C05AD">
        <w:rPr>
          <w:rFonts w:eastAsia="Times New Roman" w:cs="Times New Roman"/>
          <w:i/>
        </w:rPr>
        <w:t>M</w:t>
      </w:r>
      <w:r w:rsidRPr="004F7696">
        <w:rPr>
          <w:rFonts w:eastAsia="Times New Roman" w:cs="Times New Roman"/>
          <w:i/>
        </w:rPr>
        <w:t xml:space="preserve">odern </w:t>
      </w:r>
      <w:r w:rsidR="001C05AD">
        <w:rPr>
          <w:rFonts w:eastAsia="Times New Roman" w:cs="Times New Roman"/>
          <w:i/>
        </w:rPr>
        <w:t>C</w:t>
      </w:r>
      <w:r w:rsidRPr="004F7696">
        <w:rPr>
          <w:rFonts w:eastAsia="Times New Roman" w:cs="Times New Roman"/>
          <w:i/>
        </w:rPr>
        <w:t xml:space="preserve">ompany </w:t>
      </w:r>
      <w:r w:rsidR="001C05AD">
        <w:rPr>
          <w:rFonts w:eastAsia="Times New Roman" w:cs="Times New Roman"/>
          <w:i/>
        </w:rPr>
        <w:t>L</w:t>
      </w:r>
      <w:r w:rsidRPr="004F7696">
        <w:rPr>
          <w:rFonts w:eastAsia="Times New Roman" w:cs="Times New Roman"/>
          <w:i/>
        </w:rPr>
        <w:t>aw</w:t>
      </w:r>
      <w:r>
        <w:rPr>
          <w:rFonts w:eastAsia="Times New Roman" w:cs="Times New Roman"/>
        </w:rPr>
        <w:t>. London: Sweet and Maxwell.</w:t>
      </w:r>
    </w:p>
    <w:p w14:paraId="0F2BB7B8" w14:textId="77777777" w:rsidR="007A3B83" w:rsidRDefault="007A3B83" w:rsidP="007A3B83">
      <w:pPr>
        <w:spacing w:after="120" w:line="240" w:lineRule="auto"/>
        <w:ind w:left="360" w:hanging="360"/>
        <w:rPr>
          <w:rFonts w:eastAsia="Times New Roman" w:cs="Times New Roman"/>
        </w:rPr>
      </w:pPr>
      <w:r w:rsidRPr="007A3B83">
        <w:rPr>
          <w:rFonts w:eastAsia="Times New Roman" w:cs="Times New Roman"/>
        </w:rPr>
        <w:t xml:space="preserve">Dicksee, L.R., 1892. </w:t>
      </w:r>
      <w:r w:rsidRPr="007A3B83">
        <w:rPr>
          <w:rFonts w:eastAsia="Times New Roman" w:cs="Times New Roman"/>
          <w:i/>
        </w:rPr>
        <w:t>Auditing</w:t>
      </w:r>
      <w:r>
        <w:rPr>
          <w:rFonts w:eastAsia="Times New Roman" w:cs="Times New Roman"/>
        </w:rPr>
        <w:t xml:space="preserve">. London: </w:t>
      </w:r>
      <w:r w:rsidRPr="007A3B83">
        <w:rPr>
          <w:rFonts w:eastAsia="Times New Roman" w:cs="Times New Roman"/>
        </w:rPr>
        <w:t>Gee &amp; Co.</w:t>
      </w:r>
    </w:p>
    <w:p w14:paraId="1B33B7E2" w14:textId="39C0A1E8" w:rsidR="00036EBF" w:rsidRDefault="00036EBF" w:rsidP="00036EBF">
      <w:pPr>
        <w:spacing w:after="120" w:line="240" w:lineRule="auto"/>
        <w:ind w:left="360" w:right="29" w:hanging="360"/>
        <w:rPr>
          <w:rFonts w:eastAsia="Times New Roman" w:cs="Times New Roman"/>
        </w:rPr>
      </w:pPr>
      <w:r w:rsidRPr="007A3B83">
        <w:rPr>
          <w:rFonts w:eastAsia="Times New Roman" w:cs="Times New Roman"/>
        </w:rPr>
        <w:t xml:space="preserve">Edwards, E.O. and Bell, P.W., 1961. </w:t>
      </w:r>
      <w:r w:rsidRPr="007A3B83">
        <w:rPr>
          <w:rFonts w:eastAsia="Times New Roman" w:cs="Times New Roman"/>
          <w:i/>
        </w:rPr>
        <w:t xml:space="preserve">The </w:t>
      </w:r>
      <w:r w:rsidR="001C05AD">
        <w:rPr>
          <w:rFonts w:eastAsia="Times New Roman" w:cs="Times New Roman"/>
          <w:i/>
        </w:rPr>
        <w:t>T</w:t>
      </w:r>
      <w:r w:rsidRPr="007A3B83">
        <w:rPr>
          <w:rFonts w:eastAsia="Times New Roman" w:cs="Times New Roman"/>
          <w:i/>
        </w:rPr>
        <w:t xml:space="preserve">heory and </w:t>
      </w:r>
      <w:r w:rsidR="001C05AD">
        <w:rPr>
          <w:rFonts w:eastAsia="Times New Roman" w:cs="Times New Roman"/>
          <w:i/>
        </w:rPr>
        <w:t>M</w:t>
      </w:r>
      <w:r w:rsidRPr="007A3B83">
        <w:rPr>
          <w:rFonts w:eastAsia="Times New Roman" w:cs="Times New Roman"/>
          <w:i/>
        </w:rPr>
        <w:t xml:space="preserve">easurement of </w:t>
      </w:r>
      <w:r w:rsidR="001C05AD">
        <w:rPr>
          <w:rFonts w:eastAsia="Times New Roman" w:cs="Times New Roman"/>
          <w:i/>
        </w:rPr>
        <w:t>B</w:t>
      </w:r>
      <w:r w:rsidRPr="007A3B83">
        <w:rPr>
          <w:rFonts w:eastAsia="Times New Roman" w:cs="Times New Roman"/>
          <w:i/>
        </w:rPr>
        <w:t xml:space="preserve">usiness </w:t>
      </w:r>
      <w:r w:rsidR="001C05AD">
        <w:rPr>
          <w:rFonts w:eastAsia="Times New Roman" w:cs="Times New Roman"/>
          <w:i/>
        </w:rPr>
        <w:t>I</w:t>
      </w:r>
      <w:r w:rsidRPr="007A3B83">
        <w:rPr>
          <w:rFonts w:eastAsia="Times New Roman" w:cs="Times New Roman"/>
          <w:i/>
        </w:rPr>
        <w:t>ncome</w:t>
      </w:r>
      <w:r w:rsidRPr="007A3B83">
        <w:rPr>
          <w:rFonts w:eastAsia="Times New Roman" w:cs="Times New Roman"/>
        </w:rPr>
        <w:t>. Berkeley, CA.: University of California Press.</w:t>
      </w:r>
    </w:p>
    <w:p w14:paraId="2A2208C2" w14:textId="4A0C4488" w:rsidR="007B1BD3" w:rsidRPr="00F77D05" w:rsidRDefault="00AF49BE" w:rsidP="00F77D05">
      <w:pPr>
        <w:pStyle w:val="CommentText"/>
        <w:rPr>
          <w:i/>
          <w:sz w:val="24"/>
          <w:szCs w:val="24"/>
        </w:rPr>
      </w:pPr>
      <w:r>
        <w:rPr>
          <w:rFonts w:eastAsia="Times New Roman" w:cs="Times New Roman"/>
          <w:sz w:val="24"/>
          <w:szCs w:val="24"/>
        </w:rPr>
        <w:t xml:space="preserve">Edwards, J.R., 1981. </w:t>
      </w:r>
      <w:r>
        <w:rPr>
          <w:i/>
          <w:sz w:val="24"/>
          <w:szCs w:val="24"/>
        </w:rPr>
        <w:t xml:space="preserve">Company </w:t>
      </w:r>
      <w:r w:rsidR="001C05AD">
        <w:rPr>
          <w:i/>
          <w:sz w:val="24"/>
          <w:szCs w:val="24"/>
        </w:rPr>
        <w:t>L</w:t>
      </w:r>
      <w:r>
        <w:rPr>
          <w:i/>
          <w:sz w:val="24"/>
          <w:szCs w:val="24"/>
        </w:rPr>
        <w:t xml:space="preserve">egislation and </w:t>
      </w:r>
      <w:r w:rsidR="001C05AD">
        <w:rPr>
          <w:i/>
          <w:sz w:val="24"/>
          <w:szCs w:val="24"/>
        </w:rPr>
        <w:t>C</w:t>
      </w:r>
      <w:r>
        <w:rPr>
          <w:i/>
          <w:sz w:val="24"/>
          <w:szCs w:val="24"/>
        </w:rPr>
        <w:t xml:space="preserve">hanging </w:t>
      </w:r>
      <w:r w:rsidR="001C05AD">
        <w:rPr>
          <w:i/>
          <w:sz w:val="24"/>
          <w:szCs w:val="24"/>
        </w:rPr>
        <w:t>P</w:t>
      </w:r>
      <w:r>
        <w:rPr>
          <w:i/>
          <w:sz w:val="24"/>
          <w:szCs w:val="24"/>
        </w:rPr>
        <w:t xml:space="preserve">atterns of </w:t>
      </w:r>
      <w:r w:rsidR="001C05AD">
        <w:rPr>
          <w:i/>
          <w:sz w:val="24"/>
          <w:szCs w:val="24"/>
        </w:rPr>
        <w:t>D</w:t>
      </w:r>
      <w:r>
        <w:rPr>
          <w:i/>
          <w:sz w:val="24"/>
          <w:szCs w:val="24"/>
        </w:rPr>
        <w:t xml:space="preserve">isclosure in British </w:t>
      </w:r>
      <w:r w:rsidR="001C05AD">
        <w:rPr>
          <w:i/>
          <w:sz w:val="24"/>
          <w:szCs w:val="24"/>
        </w:rPr>
        <w:t>C</w:t>
      </w:r>
      <w:r>
        <w:rPr>
          <w:i/>
          <w:sz w:val="24"/>
          <w:szCs w:val="24"/>
        </w:rPr>
        <w:t xml:space="preserve">ompany </w:t>
      </w:r>
      <w:r w:rsidR="001C05AD">
        <w:rPr>
          <w:i/>
          <w:sz w:val="24"/>
          <w:szCs w:val="24"/>
        </w:rPr>
        <w:t>A</w:t>
      </w:r>
      <w:r>
        <w:rPr>
          <w:i/>
          <w:sz w:val="24"/>
          <w:szCs w:val="24"/>
        </w:rPr>
        <w:t>ccounts, 1900-1940</w:t>
      </w:r>
      <w:r w:rsidR="006C3380">
        <w:rPr>
          <w:sz w:val="24"/>
          <w:szCs w:val="24"/>
        </w:rPr>
        <w:t>.</w:t>
      </w:r>
      <w:r>
        <w:rPr>
          <w:sz w:val="24"/>
          <w:szCs w:val="24"/>
        </w:rPr>
        <w:t xml:space="preserve"> London: The Institute of Chartered</w:t>
      </w:r>
      <w:r>
        <w:rPr>
          <w:b/>
          <w:sz w:val="24"/>
          <w:szCs w:val="24"/>
        </w:rPr>
        <w:t xml:space="preserve"> </w:t>
      </w:r>
      <w:r>
        <w:rPr>
          <w:sz w:val="24"/>
          <w:szCs w:val="24"/>
        </w:rPr>
        <w:t>Accountants in England and Wales.</w:t>
      </w:r>
    </w:p>
    <w:p w14:paraId="76B6C208" w14:textId="77777777" w:rsidR="007A3B83" w:rsidRDefault="007A3B83" w:rsidP="007A3B83">
      <w:pPr>
        <w:spacing w:after="120" w:line="240" w:lineRule="auto"/>
        <w:ind w:left="360" w:hanging="360"/>
        <w:rPr>
          <w:rFonts w:eastAsia="Times New Roman" w:cs="Times New Roman"/>
        </w:rPr>
      </w:pPr>
      <w:r w:rsidRPr="007A3B83">
        <w:rPr>
          <w:rFonts w:eastAsia="Times New Roman" w:cs="Times New Roman"/>
        </w:rPr>
        <w:t xml:space="preserve">Edwards, J.R., 1985. The origins and evolution of the double account system: an example of accounting innovation. </w:t>
      </w:r>
      <w:r w:rsidRPr="007A3B83">
        <w:rPr>
          <w:rFonts w:eastAsia="Times New Roman" w:cs="Times New Roman"/>
          <w:i/>
        </w:rPr>
        <w:t>Abacus</w:t>
      </w:r>
      <w:r w:rsidRPr="007A3B83">
        <w:rPr>
          <w:rFonts w:eastAsia="Times New Roman" w:cs="Times New Roman"/>
        </w:rPr>
        <w:t>, 12 (1), 19-43.</w:t>
      </w:r>
    </w:p>
    <w:p w14:paraId="5C3E98A7" w14:textId="0FF92DDE" w:rsidR="00920124" w:rsidRPr="007A3B83" w:rsidRDefault="00920124" w:rsidP="007A3B83">
      <w:pPr>
        <w:spacing w:after="120" w:line="240" w:lineRule="auto"/>
        <w:ind w:left="360" w:hanging="360"/>
        <w:rPr>
          <w:rFonts w:eastAsia="Times New Roman" w:cs="Times New Roman"/>
        </w:rPr>
      </w:pPr>
      <w:r>
        <w:rPr>
          <w:rFonts w:eastAsia="Times New Roman" w:cs="Times New Roman"/>
        </w:rPr>
        <w:t>Edwards, J.R.</w:t>
      </w:r>
      <w:r w:rsidR="003C4897">
        <w:rPr>
          <w:rFonts w:eastAsia="Times New Roman" w:cs="Times New Roman"/>
        </w:rPr>
        <w:t>,</w:t>
      </w:r>
      <w:r>
        <w:rPr>
          <w:rFonts w:eastAsia="Times New Roman" w:cs="Times New Roman"/>
        </w:rPr>
        <w:t xml:space="preserve"> 1986. Depreciation and fixed asset valuation in British railway company accounts to 1911. </w:t>
      </w:r>
      <w:r w:rsidRPr="007A3B83">
        <w:rPr>
          <w:rFonts w:eastAsia="Times New Roman" w:cs="Times New Roman"/>
          <w:i/>
        </w:rPr>
        <w:t xml:space="preserve">Accounting and </w:t>
      </w:r>
      <w:r w:rsidR="00C12D51">
        <w:rPr>
          <w:rFonts w:eastAsia="Times New Roman" w:cs="Times New Roman"/>
          <w:i/>
        </w:rPr>
        <w:t>B</w:t>
      </w:r>
      <w:r w:rsidRPr="007A3B83">
        <w:rPr>
          <w:rFonts w:eastAsia="Times New Roman" w:cs="Times New Roman"/>
          <w:i/>
        </w:rPr>
        <w:t xml:space="preserve">usiness </w:t>
      </w:r>
      <w:r w:rsidR="00C12D51">
        <w:rPr>
          <w:rFonts w:eastAsia="Times New Roman" w:cs="Times New Roman"/>
          <w:i/>
        </w:rPr>
        <w:t>R</w:t>
      </w:r>
      <w:r w:rsidRPr="007A3B83">
        <w:rPr>
          <w:rFonts w:eastAsia="Times New Roman" w:cs="Times New Roman"/>
          <w:i/>
        </w:rPr>
        <w:t>esearch</w:t>
      </w:r>
      <w:r>
        <w:rPr>
          <w:rFonts w:eastAsia="Times New Roman" w:cs="Times New Roman"/>
        </w:rPr>
        <w:t>, 16 (63</w:t>
      </w:r>
      <w:r w:rsidRPr="007A3B83">
        <w:rPr>
          <w:rFonts w:eastAsia="Times New Roman" w:cs="Times New Roman"/>
        </w:rPr>
        <w:t>),</w:t>
      </w:r>
      <w:r>
        <w:rPr>
          <w:rFonts w:eastAsia="Times New Roman" w:cs="Times New Roman"/>
        </w:rPr>
        <w:t xml:space="preserve"> 251-263.</w:t>
      </w:r>
    </w:p>
    <w:p w14:paraId="6873204C" w14:textId="1FC547AB" w:rsidR="007A3B83" w:rsidRDefault="003F3741" w:rsidP="007A3B83">
      <w:pPr>
        <w:spacing w:after="120" w:line="240" w:lineRule="auto"/>
        <w:ind w:left="360" w:hanging="360"/>
        <w:rPr>
          <w:rFonts w:eastAsia="Times New Roman" w:cs="Times New Roman"/>
        </w:rPr>
      </w:pPr>
      <w:r>
        <w:rPr>
          <w:rFonts w:eastAsia="Times New Roman" w:cs="Times New Roman"/>
        </w:rPr>
        <w:t xml:space="preserve">Edwards, J.R., 1989. </w:t>
      </w:r>
      <w:r w:rsidR="007A3B83" w:rsidRPr="007A3B83">
        <w:rPr>
          <w:rFonts w:eastAsia="Times New Roman" w:cs="Times New Roman"/>
          <w:i/>
        </w:rPr>
        <w:t xml:space="preserve">A </w:t>
      </w:r>
      <w:r w:rsidR="00C12D51">
        <w:rPr>
          <w:rFonts w:eastAsia="Times New Roman" w:cs="Times New Roman"/>
          <w:i/>
        </w:rPr>
        <w:t>H</w:t>
      </w:r>
      <w:r w:rsidR="007A3B83" w:rsidRPr="007A3B83">
        <w:rPr>
          <w:rFonts w:eastAsia="Times New Roman" w:cs="Times New Roman"/>
          <w:i/>
        </w:rPr>
        <w:t xml:space="preserve">istory of </w:t>
      </w:r>
      <w:r w:rsidR="00C12D51">
        <w:rPr>
          <w:rFonts w:eastAsia="Times New Roman" w:cs="Times New Roman"/>
          <w:i/>
        </w:rPr>
        <w:t>F</w:t>
      </w:r>
      <w:r w:rsidR="007A3B83" w:rsidRPr="007A3B83">
        <w:rPr>
          <w:rFonts w:eastAsia="Times New Roman" w:cs="Times New Roman"/>
          <w:i/>
        </w:rPr>
        <w:t xml:space="preserve">inancial </w:t>
      </w:r>
      <w:r w:rsidR="00C12D51">
        <w:rPr>
          <w:rFonts w:eastAsia="Times New Roman" w:cs="Times New Roman"/>
          <w:i/>
        </w:rPr>
        <w:t>A</w:t>
      </w:r>
      <w:r w:rsidR="007A3B83" w:rsidRPr="007A3B83">
        <w:rPr>
          <w:rFonts w:eastAsia="Times New Roman" w:cs="Times New Roman"/>
          <w:i/>
        </w:rPr>
        <w:t>ccounting</w:t>
      </w:r>
      <w:r w:rsidR="007A3B83" w:rsidRPr="007A3B83">
        <w:rPr>
          <w:rFonts w:eastAsia="Times New Roman" w:cs="Times New Roman"/>
        </w:rPr>
        <w:t>. London: Routledge.</w:t>
      </w:r>
    </w:p>
    <w:p w14:paraId="23AAF773" w14:textId="5419060A" w:rsidR="00092CE5" w:rsidRPr="007A3B83" w:rsidRDefault="00092CE5" w:rsidP="007A3B83">
      <w:pPr>
        <w:spacing w:after="120" w:line="240" w:lineRule="auto"/>
        <w:ind w:left="360" w:hanging="360"/>
        <w:rPr>
          <w:rFonts w:eastAsia="Times New Roman" w:cs="Times New Roman"/>
        </w:rPr>
      </w:pPr>
      <w:r>
        <w:rPr>
          <w:rFonts w:eastAsia="Times New Roman" w:cs="Times New Roman"/>
        </w:rPr>
        <w:t>Edwards, J.R., 2014. ‘Different from what has hitherto appeared on this Subject’: John Clark</w:t>
      </w:r>
      <w:r w:rsidR="006C3380">
        <w:rPr>
          <w:rFonts w:eastAsia="Times New Roman" w:cs="Times New Roman"/>
        </w:rPr>
        <w:t>, writing master and accomptant.</w:t>
      </w:r>
      <w:r>
        <w:rPr>
          <w:rFonts w:eastAsia="Times New Roman" w:cs="Times New Roman"/>
        </w:rPr>
        <w:t xml:space="preserve"> 1738. </w:t>
      </w:r>
      <w:r w:rsidR="00D101F5" w:rsidRPr="00D101F5">
        <w:rPr>
          <w:rFonts w:eastAsia="Times New Roman" w:cs="Times New Roman"/>
          <w:i/>
        </w:rPr>
        <w:t>Abacus</w:t>
      </w:r>
      <w:r w:rsidR="00C16948">
        <w:rPr>
          <w:rFonts w:eastAsia="Times New Roman" w:cs="Times New Roman"/>
        </w:rPr>
        <w:t>, 50</w:t>
      </w:r>
      <w:r w:rsidR="00BF58F3">
        <w:rPr>
          <w:rFonts w:eastAsia="Times New Roman" w:cs="Times New Roman"/>
        </w:rPr>
        <w:t xml:space="preserve"> </w:t>
      </w:r>
      <w:r w:rsidR="00C16948">
        <w:rPr>
          <w:rFonts w:eastAsia="Times New Roman" w:cs="Times New Roman"/>
        </w:rPr>
        <w:t>(2), 227-244</w:t>
      </w:r>
      <w:r>
        <w:rPr>
          <w:rFonts w:eastAsia="Times New Roman" w:cs="Times New Roman"/>
        </w:rPr>
        <w:t>.</w:t>
      </w:r>
    </w:p>
    <w:p w14:paraId="70E3C992" w14:textId="7C247ADA" w:rsidR="00C737CF" w:rsidRDefault="00C737CF" w:rsidP="007A3B83">
      <w:pPr>
        <w:spacing w:after="120" w:line="240" w:lineRule="auto"/>
        <w:ind w:left="360" w:right="29" w:hanging="360"/>
        <w:rPr>
          <w:rFonts w:eastAsia="Times New Roman" w:cs="Times New Roman"/>
        </w:rPr>
      </w:pPr>
      <w:r>
        <w:rPr>
          <w:rFonts w:eastAsia="Times New Roman" w:cs="Times New Roman"/>
        </w:rPr>
        <w:t xml:space="preserve">EFRAG/ASB. 2011. </w:t>
      </w:r>
      <w:r w:rsidRPr="00A7639F">
        <w:rPr>
          <w:rFonts w:eastAsia="Times New Roman" w:cs="Times New Roman"/>
          <w:i/>
        </w:rPr>
        <w:t xml:space="preserve">Improving the </w:t>
      </w:r>
      <w:r w:rsidR="00C12D51">
        <w:rPr>
          <w:rFonts w:eastAsia="Times New Roman" w:cs="Times New Roman"/>
          <w:i/>
        </w:rPr>
        <w:t>F</w:t>
      </w:r>
      <w:r w:rsidRPr="00A7639F">
        <w:rPr>
          <w:rFonts w:eastAsia="Times New Roman" w:cs="Times New Roman"/>
          <w:i/>
        </w:rPr>
        <w:t xml:space="preserve">inancial </w:t>
      </w:r>
      <w:r w:rsidR="00C12D51">
        <w:rPr>
          <w:rFonts w:eastAsia="Times New Roman" w:cs="Times New Roman"/>
          <w:i/>
        </w:rPr>
        <w:t>R</w:t>
      </w:r>
      <w:r w:rsidRPr="00A7639F">
        <w:rPr>
          <w:rFonts w:eastAsia="Times New Roman" w:cs="Times New Roman"/>
          <w:i/>
        </w:rPr>
        <w:t xml:space="preserve">eporting of </w:t>
      </w:r>
      <w:r w:rsidR="00C12D51">
        <w:rPr>
          <w:rFonts w:eastAsia="Times New Roman" w:cs="Times New Roman"/>
          <w:i/>
        </w:rPr>
        <w:t>I</w:t>
      </w:r>
      <w:r w:rsidRPr="00A7639F">
        <w:rPr>
          <w:rFonts w:eastAsia="Times New Roman" w:cs="Times New Roman"/>
          <w:i/>
        </w:rPr>
        <w:t xml:space="preserve">ncome </w:t>
      </w:r>
      <w:r w:rsidR="00C12D51">
        <w:rPr>
          <w:rFonts w:eastAsia="Times New Roman" w:cs="Times New Roman"/>
          <w:i/>
        </w:rPr>
        <w:t>T</w:t>
      </w:r>
      <w:r w:rsidRPr="00A7639F">
        <w:rPr>
          <w:rFonts w:eastAsia="Times New Roman" w:cs="Times New Roman"/>
          <w:i/>
        </w:rPr>
        <w:t>ax</w:t>
      </w:r>
      <w:r w:rsidR="00A7639F">
        <w:rPr>
          <w:rFonts w:eastAsia="Times New Roman" w:cs="Times New Roman"/>
        </w:rPr>
        <w:t>.</w:t>
      </w:r>
      <w:r>
        <w:rPr>
          <w:rFonts w:eastAsia="Times New Roman" w:cs="Times New Roman"/>
        </w:rPr>
        <w:t xml:space="preserve"> Brussels and London: European Financial Reporting Advisory Group and Accounting Standards Board.</w:t>
      </w:r>
    </w:p>
    <w:p w14:paraId="6DB8DB39" w14:textId="1E89FDB3" w:rsidR="00D80BF9" w:rsidRPr="007A3B83" w:rsidRDefault="00D80BF9" w:rsidP="007A3B83">
      <w:pPr>
        <w:spacing w:after="120" w:line="240" w:lineRule="auto"/>
        <w:ind w:left="360" w:right="29" w:hanging="360"/>
        <w:rPr>
          <w:rFonts w:eastAsia="Times New Roman" w:cs="Times New Roman"/>
        </w:rPr>
      </w:pPr>
      <w:r>
        <w:rPr>
          <w:rFonts w:eastAsia="Times New Roman" w:cs="Times New Roman"/>
        </w:rPr>
        <w:t>Evans, L.</w:t>
      </w:r>
      <w:r w:rsidR="0087708E">
        <w:rPr>
          <w:rFonts w:eastAsia="Times New Roman" w:cs="Times New Roman"/>
        </w:rPr>
        <w:t>,</w:t>
      </w:r>
      <w:r>
        <w:rPr>
          <w:rFonts w:eastAsia="Times New Roman" w:cs="Times New Roman"/>
        </w:rPr>
        <w:t xml:space="preserve"> 2010. Observations on the changing language of accounting. </w:t>
      </w:r>
      <w:r w:rsidRPr="00D80BF9">
        <w:rPr>
          <w:rFonts w:eastAsia="Times New Roman" w:cs="Times New Roman"/>
          <w:i/>
        </w:rPr>
        <w:t xml:space="preserve">Accounting </w:t>
      </w:r>
      <w:r w:rsidR="00C12D51">
        <w:rPr>
          <w:rFonts w:eastAsia="Times New Roman" w:cs="Times New Roman"/>
          <w:i/>
        </w:rPr>
        <w:t>H</w:t>
      </w:r>
      <w:r w:rsidRPr="00D80BF9">
        <w:rPr>
          <w:rFonts w:eastAsia="Times New Roman" w:cs="Times New Roman"/>
          <w:i/>
        </w:rPr>
        <w:t>istory</w:t>
      </w:r>
      <w:r w:rsidR="00BF58F3">
        <w:rPr>
          <w:rFonts w:eastAsia="Times New Roman" w:cs="Times New Roman"/>
        </w:rPr>
        <w:t xml:space="preserve">, 15 </w:t>
      </w:r>
      <w:r>
        <w:rPr>
          <w:rFonts w:eastAsia="Times New Roman" w:cs="Times New Roman"/>
        </w:rPr>
        <w:t>(4), 439-462.</w:t>
      </w:r>
    </w:p>
    <w:p w14:paraId="67BF1D34" w14:textId="217FE6BA" w:rsidR="007A3B83" w:rsidRPr="007A3B83" w:rsidRDefault="003F3741" w:rsidP="007A3B83">
      <w:pPr>
        <w:spacing w:after="120" w:line="240" w:lineRule="auto"/>
        <w:ind w:left="360" w:right="29" w:hanging="360"/>
        <w:rPr>
          <w:rFonts w:eastAsia="Times New Roman" w:cs="Times New Roman"/>
        </w:rPr>
      </w:pPr>
      <w:r>
        <w:rPr>
          <w:rFonts w:eastAsia="Times New Roman" w:cs="Times New Roman"/>
        </w:rPr>
        <w:t xml:space="preserve">FASB, 1980. </w:t>
      </w:r>
      <w:r w:rsidR="007A3B83" w:rsidRPr="007A3B83">
        <w:rPr>
          <w:rFonts w:eastAsia="Times New Roman" w:cs="Times New Roman"/>
          <w:i/>
        </w:rPr>
        <w:t xml:space="preserve">Statement of Financial Accounting Concepts No. 3, Elements of </w:t>
      </w:r>
      <w:r w:rsidR="00C12D51">
        <w:rPr>
          <w:rFonts w:eastAsia="Times New Roman" w:cs="Times New Roman"/>
          <w:i/>
        </w:rPr>
        <w:t>F</w:t>
      </w:r>
      <w:r w:rsidR="007A3B83" w:rsidRPr="007A3B83">
        <w:rPr>
          <w:rFonts w:eastAsia="Times New Roman" w:cs="Times New Roman"/>
          <w:i/>
        </w:rPr>
        <w:t xml:space="preserve">inancial </w:t>
      </w:r>
      <w:r w:rsidR="00C12D51">
        <w:rPr>
          <w:rFonts w:eastAsia="Times New Roman" w:cs="Times New Roman"/>
          <w:i/>
        </w:rPr>
        <w:t>S</w:t>
      </w:r>
      <w:r w:rsidR="007A3B83" w:rsidRPr="007A3B83">
        <w:rPr>
          <w:rFonts w:eastAsia="Times New Roman" w:cs="Times New Roman"/>
          <w:i/>
        </w:rPr>
        <w:t xml:space="preserve">tatements of </w:t>
      </w:r>
      <w:r w:rsidR="00C12D51">
        <w:rPr>
          <w:rFonts w:eastAsia="Times New Roman" w:cs="Times New Roman"/>
          <w:i/>
        </w:rPr>
        <w:t>B</w:t>
      </w:r>
      <w:r w:rsidR="007A3B83" w:rsidRPr="007A3B83">
        <w:rPr>
          <w:rFonts w:eastAsia="Times New Roman" w:cs="Times New Roman"/>
          <w:i/>
        </w:rPr>
        <w:t xml:space="preserve">usiness </w:t>
      </w:r>
      <w:r w:rsidR="00C12D51">
        <w:rPr>
          <w:rFonts w:eastAsia="Times New Roman" w:cs="Times New Roman"/>
          <w:i/>
        </w:rPr>
        <w:t>E</w:t>
      </w:r>
      <w:r w:rsidR="007A3B83" w:rsidRPr="007A3B83">
        <w:rPr>
          <w:rFonts w:eastAsia="Times New Roman" w:cs="Times New Roman"/>
          <w:i/>
        </w:rPr>
        <w:t>nterprises</w:t>
      </w:r>
      <w:r w:rsidR="007A3B83" w:rsidRPr="007A3B83">
        <w:rPr>
          <w:rFonts w:eastAsia="Times New Roman" w:cs="Times New Roman"/>
        </w:rPr>
        <w:t>. Norwalk, CT</w:t>
      </w:r>
      <w:r w:rsidR="007A3B83">
        <w:rPr>
          <w:rFonts w:eastAsia="Times New Roman" w:cs="Times New Roman"/>
        </w:rPr>
        <w:t>.</w:t>
      </w:r>
      <w:r w:rsidR="007A3B83" w:rsidRPr="007A3B83">
        <w:rPr>
          <w:rFonts w:eastAsia="Times New Roman" w:cs="Times New Roman"/>
        </w:rPr>
        <w:t>: Financial Accounting Standards Board.</w:t>
      </w:r>
    </w:p>
    <w:p w14:paraId="29D04BB4" w14:textId="562D549F" w:rsidR="007A3B83" w:rsidRDefault="003F3741" w:rsidP="007A3B83">
      <w:pPr>
        <w:spacing w:after="120" w:line="240" w:lineRule="auto"/>
        <w:ind w:left="360" w:right="29" w:hanging="360"/>
        <w:rPr>
          <w:rFonts w:eastAsia="Times New Roman" w:cs="Times New Roman"/>
        </w:rPr>
      </w:pPr>
      <w:r>
        <w:rPr>
          <w:rFonts w:eastAsia="Times New Roman" w:cs="Times New Roman"/>
        </w:rPr>
        <w:t xml:space="preserve">FASB, 1985. </w:t>
      </w:r>
      <w:r w:rsidR="007A3B83" w:rsidRPr="007A3B83">
        <w:rPr>
          <w:rFonts w:eastAsia="Times New Roman" w:cs="Times New Roman"/>
          <w:i/>
        </w:rPr>
        <w:t xml:space="preserve">Statement of Financial Accounting Concepts No. 6, Elements of </w:t>
      </w:r>
      <w:r w:rsidR="00C12D51">
        <w:rPr>
          <w:rFonts w:eastAsia="Times New Roman" w:cs="Times New Roman"/>
          <w:i/>
        </w:rPr>
        <w:t>F</w:t>
      </w:r>
      <w:r w:rsidR="007A3B83" w:rsidRPr="007A3B83">
        <w:rPr>
          <w:rFonts w:eastAsia="Times New Roman" w:cs="Times New Roman"/>
          <w:i/>
        </w:rPr>
        <w:t xml:space="preserve">inancial </w:t>
      </w:r>
      <w:r w:rsidR="00C12D51">
        <w:rPr>
          <w:rFonts w:eastAsia="Times New Roman" w:cs="Times New Roman"/>
          <w:i/>
        </w:rPr>
        <w:t>S</w:t>
      </w:r>
      <w:r w:rsidR="007A3B83" w:rsidRPr="007A3B83">
        <w:rPr>
          <w:rFonts w:eastAsia="Times New Roman" w:cs="Times New Roman"/>
          <w:i/>
        </w:rPr>
        <w:t>tatements</w:t>
      </w:r>
      <w:r w:rsidR="007A3B83" w:rsidRPr="007A3B83">
        <w:rPr>
          <w:rFonts w:eastAsia="Times New Roman" w:cs="Times New Roman"/>
        </w:rPr>
        <w:t>. Norwalk, CT</w:t>
      </w:r>
      <w:r w:rsidR="007A3B83">
        <w:rPr>
          <w:rFonts w:eastAsia="Times New Roman" w:cs="Times New Roman"/>
        </w:rPr>
        <w:t>.</w:t>
      </w:r>
      <w:r w:rsidR="007A3B83" w:rsidRPr="007A3B83">
        <w:rPr>
          <w:rFonts w:eastAsia="Times New Roman" w:cs="Times New Roman"/>
        </w:rPr>
        <w:t>: Financial Accounting Standards Board.</w:t>
      </w:r>
    </w:p>
    <w:p w14:paraId="36F4FCE0" w14:textId="241434D3" w:rsidR="003C4897" w:rsidRDefault="003C4897" w:rsidP="007A3B83">
      <w:pPr>
        <w:spacing w:after="120" w:line="240" w:lineRule="auto"/>
        <w:ind w:left="360" w:right="29" w:hanging="360"/>
        <w:rPr>
          <w:rFonts w:eastAsia="Times New Roman" w:cs="Times New Roman"/>
        </w:rPr>
      </w:pPr>
      <w:r>
        <w:rPr>
          <w:rFonts w:eastAsia="Times New Roman" w:cs="Times New Roman"/>
        </w:rPr>
        <w:t>FASB/IASB, 2005</w:t>
      </w:r>
      <w:r w:rsidR="0087708E">
        <w:rPr>
          <w:rFonts w:eastAsia="Times New Roman" w:cs="Times New Roman"/>
        </w:rPr>
        <w:t>.</w:t>
      </w:r>
      <w:r>
        <w:rPr>
          <w:rFonts w:eastAsia="Times New Roman" w:cs="Times New Roman"/>
        </w:rPr>
        <w:t xml:space="preserve"> </w:t>
      </w:r>
      <w:r w:rsidR="006F038D" w:rsidRPr="000E60F0">
        <w:rPr>
          <w:rFonts w:eastAsia="Times New Roman" w:cs="Times New Roman"/>
          <w:i/>
        </w:rPr>
        <w:t xml:space="preserve">Revisiting the </w:t>
      </w:r>
      <w:r w:rsidR="00C12D51">
        <w:rPr>
          <w:rFonts w:eastAsia="Times New Roman" w:cs="Times New Roman"/>
          <w:i/>
        </w:rPr>
        <w:t>C</w:t>
      </w:r>
      <w:r w:rsidR="006F038D" w:rsidRPr="000E60F0">
        <w:rPr>
          <w:rFonts w:eastAsia="Times New Roman" w:cs="Times New Roman"/>
          <w:i/>
        </w:rPr>
        <w:t>oncepts</w:t>
      </w:r>
      <w:r>
        <w:rPr>
          <w:rFonts w:eastAsia="Times New Roman" w:cs="Times New Roman"/>
        </w:rPr>
        <w:t xml:space="preserve">, </w:t>
      </w:r>
      <w:r w:rsidR="00A1016E">
        <w:rPr>
          <w:rFonts w:eastAsia="Times New Roman" w:cs="Times New Roman"/>
        </w:rPr>
        <w:t>at: http://www. fasb.org/project/communications_paper.pdf (accessed 11.11.2014).</w:t>
      </w:r>
    </w:p>
    <w:p w14:paraId="6F95F7F6" w14:textId="363B4D0F" w:rsidR="00F04DF6" w:rsidRPr="007A3B83" w:rsidRDefault="00F04DF6" w:rsidP="00215FCB">
      <w:pPr>
        <w:spacing w:after="120" w:line="240" w:lineRule="auto"/>
        <w:ind w:left="360" w:right="26" w:hanging="360"/>
        <w:rPr>
          <w:rFonts w:eastAsia="Times New Roman" w:cs="Times New Roman"/>
        </w:rPr>
      </w:pPr>
      <w:r>
        <w:rPr>
          <w:rFonts w:eastAsia="Times New Roman" w:cs="Times New Roman"/>
        </w:rPr>
        <w:t>Fetter, F.A.</w:t>
      </w:r>
      <w:r w:rsidR="0087708E">
        <w:rPr>
          <w:rFonts w:eastAsia="Times New Roman" w:cs="Times New Roman"/>
        </w:rPr>
        <w:t>,</w:t>
      </w:r>
      <w:r>
        <w:rPr>
          <w:rFonts w:eastAsia="Times New Roman" w:cs="Times New Roman"/>
        </w:rPr>
        <w:t xml:space="preserve"> 1937. Reformulation of the concepts of capital and income in economics and accounting. </w:t>
      </w:r>
      <w:r w:rsidR="00215FCB" w:rsidRPr="005A3EB4">
        <w:rPr>
          <w:rFonts w:eastAsia="Times New Roman" w:cs="Times New Roman"/>
          <w:i/>
        </w:rPr>
        <w:t xml:space="preserve">Accounting </w:t>
      </w:r>
      <w:r w:rsidR="00C12D51">
        <w:rPr>
          <w:rFonts w:eastAsia="Times New Roman" w:cs="Times New Roman"/>
          <w:i/>
        </w:rPr>
        <w:t>R</w:t>
      </w:r>
      <w:r w:rsidR="00215FCB" w:rsidRPr="005A3EB4">
        <w:rPr>
          <w:rFonts w:eastAsia="Times New Roman" w:cs="Times New Roman"/>
          <w:i/>
        </w:rPr>
        <w:t>eview</w:t>
      </w:r>
      <w:r w:rsidR="00215FCB">
        <w:rPr>
          <w:rFonts w:eastAsia="Times New Roman" w:cs="Times New Roman"/>
        </w:rPr>
        <w:t>, 12</w:t>
      </w:r>
      <w:r w:rsidR="00C12D51">
        <w:rPr>
          <w:rFonts w:eastAsia="Times New Roman" w:cs="Times New Roman"/>
        </w:rPr>
        <w:t xml:space="preserve"> </w:t>
      </w:r>
      <w:r w:rsidR="00215FCB">
        <w:rPr>
          <w:rFonts w:eastAsia="Times New Roman" w:cs="Times New Roman"/>
        </w:rPr>
        <w:t>(1), 3-12.</w:t>
      </w:r>
    </w:p>
    <w:p w14:paraId="6756895B" w14:textId="6345F4A3" w:rsidR="007A3B83" w:rsidRDefault="007A3B83" w:rsidP="007A3B83">
      <w:pPr>
        <w:spacing w:after="120" w:line="240" w:lineRule="auto"/>
        <w:ind w:left="360" w:hanging="360"/>
        <w:rPr>
          <w:rFonts w:eastAsia="Times New Roman" w:cs="Times New Roman"/>
        </w:rPr>
      </w:pPr>
      <w:r w:rsidRPr="007A3B83">
        <w:rPr>
          <w:rFonts w:eastAsia="Times New Roman" w:cs="Times New Roman"/>
        </w:rPr>
        <w:t>Fis</w:t>
      </w:r>
      <w:r w:rsidR="00CC25D3">
        <w:rPr>
          <w:rFonts w:eastAsia="Times New Roman" w:cs="Times New Roman"/>
        </w:rPr>
        <w:t>her, I., 1896. What is capital?</w:t>
      </w:r>
      <w:r w:rsidRPr="007A3B83">
        <w:rPr>
          <w:rFonts w:eastAsia="Times New Roman" w:cs="Times New Roman"/>
        </w:rPr>
        <w:t xml:space="preserve"> </w:t>
      </w:r>
      <w:r w:rsidRPr="007A3B83">
        <w:rPr>
          <w:rFonts w:eastAsia="Times New Roman" w:cs="Times New Roman"/>
          <w:i/>
        </w:rPr>
        <w:t xml:space="preserve">Economic </w:t>
      </w:r>
      <w:r w:rsidR="00C12D51">
        <w:rPr>
          <w:rFonts w:eastAsia="Times New Roman" w:cs="Times New Roman"/>
          <w:i/>
        </w:rPr>
        <w:t>J</w:t>
      </w:r>
      <w:r w:rsidRPr="007A3B83">
        <w:rPr>
          <w:rFonts w:eastAsia="Times New Roman" w:cs="Times New Roman"/>
          <w:i/>
        </w:rPr>
        <w:t>ournal</w:t>
      </w:r>
      <w:r w:rsidRPr="007A3B83">
        <w:rPr>
          <w:rFonts w:eastAsia="Times New Roman" w:cs="Times New Roman"/>
        </w:rPr>
        <w:t>, 6 (24), 509-534.</w:t>
      </w:r>
    </w:p>
    <w:p w14:paraId="7DE064F6" w14:textId="4209F04B" w:rsidR="007F778D" w:rsidRDefault="007F778D" w:rsidP="007A3B83">
      <w:pPr>
        <w:spacing w:after="120" w:line="240" w:lineRule="auto"/>
        <w:ind w:left="360" w:hanging="360"/>
        <w:rPr>
          <w:rFonts w:eastAsia="Times New Roman" w:cs="Times New Roman"/>
        </w:rPr>
      </w:pPr>
      <w:r>
        <w:rPr>
          <w:rFonts w:eastAsia="Times New Roman" w:cs="Times New Roman"/>
        </w:rPr>
        <w:t>Freedman, J.</w:t>
      </w:r>
      <w:r w:rsidR="0087708E">
        <w:rPr>
          <w:rFonts w:eastAsia="Times New Roman" w:cs="Times New Roman"/>
        </w:rPr>
        <w:t>,</w:t>
      </w:r>
      <w:r>
        <w:rPr>
          <w:rFonts w:eastAsia="Times New Roman" w:cs="Times New Roman"/>
        </w:rPr>
        <w:t xml:space="preserve"> 19</w:t>
      </w:r>
      <w:r w:rsidR="00276DF5">
        <w:rPr>
          <w:rFonts w:eastAsia="Times New Roman" w:cs="Times New Roman"/>
        </w:rPr>
        <w:t>93. Defining taxable profit in a changing environment.</w:t>
      </w:r>
      <w:r w:rsidR="000966D4">
        <w:rPr>
          <w:rFonts w:eastAsia="Times New Roman" w:cs="Times New Roman"/>
        </w:rPr>
        <w:t xml:space="preserve"> </w:t>
      </w:r>
      <w:r w:rsidR="00256F79" w:rsidRPr="005F7589">
        <w:rPr>
          <w:rFonts w:eastAsia="Times New Roman" w:cs="Times New Roman"/>
          <w:i/>
        </w:rPr>
        <w:t xml:space="preserve">British </w:t>
      </w:r>
      <w:r w:rsidR="00C12D51">
        <w:rPr>
          <w:rFonts w:eastAsia="Times New Roman" w:cs="Times New Roman"/>
          <w:i/>
        </w:rPr>
        <w:t>T</w:t>
      </w:r>
      <w:r w:rsidR="00256F79" w:rsidRPr="005F7589">
        <w:rPr>
          <w:rFonts w:eastAsia="Times New Roman" w:cs="Times New Roman"/>
          <w:i/>
        </w:rPr>
        <w:t xml:space="preserve">ax </w:t>
      </w:r>
      <w:r w:rsidR="00C12D51">
        <w:rPr>
          <w:rFonts w:eastAsia="Times New Roman" w:cs="Times New Roman"/>
          <w:i/>
        </w:rPr>
        <w:t>R</w:t>
      </w:r>
      <w:r w:rsidR="00256F79" w:rsidRPr="005F7589">
        <w:rPr>
          <w:rFonts w:eastAsia="Times New Roman" w:cs="Times New Roman"/>
          <w:i/>
        </w:rPr>
        <w:t>eview</w:t>
      </w:r>
      <w:r w:rsidR="000966D4">
        <w:rPr>
          <w:rFonts w:eastAsia="Times New Roman" w:cs="Times New Roman"/>
        </w:rPr>
        <w:t xml:space="preserve">, </w:t>
      </w:r>
      <w:r w:rsidR="00897CDC">
        <w:rPr>
          <w:rFonts w:eastAsia="Times New Roman" w:cs="Times New Roman"/>
        </w:rPr>
        <w:t xml:space="preserve">5, </w:t>
      </w:r>
      <w:r w:rsidR="00276DF5">
        <w:rPr>
          <w:rFonts w:eastAsia="Times New Roman" w:cs="Times New Roman"/>
        </w:rPr>
        <w:t>434-444</w:t>
      </w:r>
      <w:r w:rsidR="000966D4">
        <w:rPr>
          <w:rFonts w:eastAsia="Times New Roman" w:cs="Times New Roman"/>
        </w:rPr>
        <w:t>.</w:t>
      </w:r>
    </w:p>
    <w:p w14:paraId="248E29B4" w14:textId="125435B4" w:rsidR="00CF06F3" w:rsidRPr="007A3B83" w:rsidRDefault="00CF06F3" w:rsidP="007A3B83">
      <w:pPr>
        <w:spacing w:after="120" w:line="240" w:lineRule="auto"/>
        <w:ind w:left="360" w:hanging="360"/>
        <w:rPr>
          <w:rFonts w:eastAsia="Times New Roman" w:cs="Times New Roman"/>
        </w:rPr>
      </w:pPr>
      <w:r>
        <w:rPr>
          <w:rFonts w:eastAsia="Times New Roman" w:cs="Times New Roman"/>
        </w:rPr>
        <w:t xml:space="preserve">French, E.A., 1977. The evolution of the dividend law of England. </w:t>
      </w:r>
      <w:r w:rsidR="00D101F5" w:rsidRPr="00D101F5">
        <w:rPr>
          <w:rFonts w:eastAsia="Times New Roman" w:cs="Times New Roman"/>
          <w:i/>
        </w:rPr>
        <w:t xml:space="preserve">Studies in </w:t>
      </w:r>
      <w:r w:rsidR="00C12D51">
        <w:rPr>
          <w:rFonts w:eastAsia="Times New Roman" w:cs="Times New Roman"/>
          <w:i/>
        </w:rPr>
        <w:t>A</w:t>
      </w:r>
      <w:r w:rsidR="00D101F5" w:rsidRPr="00D101F5">
        <w:rPr>
          <w:rFonts w:eastAsia="Times New Roman" w:cs="Times New Roman"/>
          <w:i/>
        </w:rPr>
        <w:t>ccounting</w:t>
      </w:r>
      <w:r>
        <w:rPr>
          <w:rFonts w:eastAsia="Times New Roman" w:cs="Times New Roman"/>
        </w:rPr>
        <w:t xml:space="preserve"> (W.T. Baxter and S. Davidson, eds), London: Institute of Chartered Accountants in England and Wales.</w:t>
      </w:r>
    </w:p>
    <w:p w14:paraId="7CE2AD70" w14:textId="7A15A483" w:rsidR="007A3B83" w:rsidRPr="007A3B83" w:rsidRDefault="003F3741" w:rsidP="009A53B6">
      <w:pPr>
        <w:spacing w:after="120" w:line="240" w:lineRule="auto"/>
        <w:ind w:left="360" w:hanging="360"/>
        <w:rPr>
          <w:rFonts w:eastAsia="Times New Roman" w:cs="Times New Roman"/>
        </w:rPr>
      </w:pPr>
      <w:r>
        <w:rPr>
          <w:rFonts w:eastAsia="Times New Roman" w:cs="Times New Roman"/>
        </w:rPr>
        <w:t xml:space="preserve">Glynn, J.J., 1984. </w:t>
      </w:r>
      <w:r w:rsidR="007A3B83" w:rsidRPr="007A3B83">
        <w:rPr>
          <w:rFonts w:eastAsia="Times New Roman" w:cs="Times New Roman"/>
        </w:rPr>
        <w:t>The development</w:t>
      </w:r>
      <w:r w:rsidR="007A3B83">
        <w:rPr>
          <w:rFonts w:eastAsia="Times New Roman" w:cs="Times New Roman"/>
        </w:rPr>
        <w:t xml:space="preserve"> of British railway accounting: </w:t>
      </w:r>
      <w:r w:rsidR="007A3B83" w:rsidRPr="007A3B83">
        <w:rPr>
          <w:rFonts w:eastAsia="Times New Roman" w:cs="Times New Roman"/>
        </w:rPr>
        <w:t xml:space="preserve">1800-1911. </w:t>
      </w:r>
      <w:r w:rsidR="007A3B83" w:rsidRPr="007A3B83">
        <w:rPr>
          <w:rFonts w:eastAsia="Times New Roman" w:cs="Times New Roman"/>
          <w:i/>
        </w:rPr>
        <w:t xml:space="preserve">Accounting </w:t>
      </w:r>
      <w:r w:rsidR="00C12D51">
        <w:rPr>
          <w:rFonts w:eastAsia="Times New Roman" w:cs="Times New Roman"/>
          <w:i/>
        </w:rPr>
        <w:t>H</w:t>
      </w:r>
      <w:r w:rsidR="007A3B83" w:rsidRPr="007A3B83">
        <w:rPr>
          <w:rFonts w:eastAsia="Times New Roman" w:cs="Times New Roman"/>
          <w:i/>
        </w:rPr>
        <w:t xml:space="preserve">istorians </w:t>
      </w:r>
      <w:r w:rsidR="00C12D51">
        <w:rPr>
          <w:rFonts w:eastAsia="Times New Roman" w:cs="Times New Roman"/>
          <w:i/>
        </w:rPr>
        <w:t>J</w:t>
      </w:r>
      <w:r w:rsidR="007A3B83" w:rsidRPr="007A3B83">
        <w:rPr>
          <w:rFonts w:eastAsia="Times New Roman" w:cs="Times New Roman"/>
          <w:i/>
        </w:rPr>
        <w:t>ournal</w:t>
      </w:r>
      <w:r w:rsidR="009A53B6">
        <w:rPr>
          <w:rFonts w:eastAsia="Times New Roman" w:cs="Times New Roman"/>
        </w:rPr>
        <w:t>, 11 (1), 103-117.</w:t>
      </w:r>
    </w:p>
    <w:p w14:paraId="1F2493BB" w14:textId="5B6FB5B5" w:rsidR="007A3B83" w:rsidRPr="007A3B83" w:rsidRDefault="003F3741" w:rsidP="007A3B83">
      <w:pPr>
        <w:spacing w:after="120" w:line="240" w:lineRule="auto"/>
        <w:ind w:left="360" w:hanging="360"/>
        <w:rPr>
          <w:rFonts w:eastAsia="Times New Roman" w:cs="Times New Roman"/>
        </w:rPr>
      </w:pPr>
      <w:r>
        <w:rPr>
          <w:rFonts w:eastAsia="Times New Roman" w:cs="Times New Roman"/>
        </w:rPr>
        <w:t xml:space="preserve">Green, E., 1982. </w:t>
      </w:r>
      <w:r w:rsidR="007A3B83" w:rsidRPr="007A3B83">
        <w:rPr>
          <w:rFonts w:eastAsia="Times New Roman" w:cs="Times New Roman"/>
          <w:i/>
        </w:rPr>
        <w:t xml:space="preserve">A </w:t>
      </w:r>
      <w:r w:rsidR="00C12D51">
        <w:rPr>
          <w:rFonts w:eastAsia="Times New Roman" w:cs="Times New Roman"/>
          <w:i/>
        </w:rPr>
        <w:t>B</w:t>
      </w:r>
      <w:r w:rsidR="007A3B83" w:rsidRPr="007A3B83">
        <w:rPr>
          <w:rFonts w:eastAsia="Times New Roman" w:cs="Times New Roman"/>
          <w:i/>
        </w:rPr>
        <w:t xml:space="preserve">usiness of </w:t>
      </w:r>
      <w:r w:rsidR="00C12D51">
        <w:rPr>
          <w:rFonts w:eastAsia="Times New Roman" w:cs="Times New Roman"/>
          <w:i/>
        </w:rPr>
        <w:t>N</w:t>
      </w:r>
      <w:r w:rsidR="007A3B83" w:rsidRPr="007A3B83">
        <w:rPr>
          <w:rFonts w:eastAsia="Times New Roman" w:cs="Times New Roman"/>
          <w:i/>
        </w:rPr>
        <w:t xml:space="preserve">ational </w:t>
      </w:r>
      <w:r w:rsidR="00C12D51">
        <w:rPr>
          <w:rFonts w:eastAsia="Times New Roman" w:cs="Times New Roman"/>
          <w:i/>
        </w:rPr>
        <w:t>I</w:t>
      </w:r>
      <w:r w:rsidR="007A3B83" w:rsidRPr="007A3B83">
        <w:rPr>
          <w:rFonts w:eastAsia="Times New Roman" w:cs="Times New Roman"/>
          <w:i/>
        </w:rPr>
        <w:t xml:space="preserve">mportance: </w:t>
      </w:r>
      <w:r w:rsidR="00C12D51">
        <w:rPr>
          <w:rFonts w:eastAsia="Times New Roman" w:cs="Times New Roman"/>
          <w:i/>
        </w:rPr>
        <w:t>T</w:t>
      </w:r>
      <w:r w:rsidR="007A3B83" w:rsidRPr="007A3B83">
        <w:rPr>
          <w:rFonts w:eastAsia="Times New Roman" w:cs="Times New Roman"/>
          <w:i/>
        </w:rPr>
        <w:t>he Royal Mail Shipping Group, 1902-1937</w:t>
      </w:r>
      <w:r w:rsidR="007A3B83" w:rsidRPr="007A3B83">
        <w:rPr>
          <w:rFonts w:eastAsia="Times New Roman" w:cs="Times New Roman"/>
        </w:rPr>
        <w:t>. London: Taylor and Francis.</w:t>
      </w:r>
    </w:p>
    <w:p w14:paraId="460280ED" w14:textId="3A089BF2" w:rsidR="00C12D51" w:rsidRDefault="003F3741" w:rsidP="007A3B83">
      <w:pPr>
        <w:spacing w:after="120" w:line="240" w:lineRule="auto"/>
        <w:ind w:left="360" w:hanging="360"/>
        <w:rPr>
          <w:rFonts w:eastAsia="Times New Roman" w:cs="Times New Roman"/>
        </w:rPr>
      </w:pPr>
      <w:r>
        <w:rPr>
          <w:rFonts w:eastAsia="Times New Roman" w:cs="Times New Roman"/>
        </w:rPr>
        <w:t xml:space="preserve">Haller, A., 1992. </w:t>
      </w:r>
      <w:r w:rsidR="007A3B83" w:rsidRPr="007A3B83">
        <w:rPr>
          <w:rFonts w:eastAsia="Times New Roman" w:cs="Times New Roman"/>
        </w:rPr>
        <w:t xml:space="preserve">The relationship of financial and tax accounting in Germany: a major reason for accounting disharmony in Europe. </w:t>
      </w:r>
      <w:r w:rsidR="007A3B83" w:rsidRPr="007A3B83">
        <w:rPr>
          <w:rFonts w:eastAsia="Times New Roman" w:cs="Times New Roman"/>
          <w:i/>
        </w:rPr>
        <w:t xml:space="preserve">International </w:t>
      </w:r>
      <w:r w:rsidR="00C12D51">
        <w:rPr>
          <w:rFonts w:eastAsia="Times New Roman" w:cs="Times New Roman"/>
          <w:i/>
        </w:rPr>
        <w:t>J</w:t>
      </w:r>
      <w:r w:rsidR="007A3B83" w:rsidRPr="007A3B83">
        <w:rPr>
          <w:rFonts w:eastAsia="Times New Roman" w:cs="Times New Roman"/>
          <w:i/>
        </w:rPr>
        <w:t xml:space="preserve">ournal of </w:t>
      </w:r>
      <w:r w:rsidR="00C12D51">
        <w:rPr>
          <w:rFonts w:eastAsia="Times New Roman" w:cs="Times New Roman"/>
          <w:i/>
        </w:rPr>
        <w:t>A</w:t>
      </w:r>
      <w:r w:rsidR="007A3B83" w:rsidRPr="007A3B83">
        <w:rPr>
          <w:rFonts w:eastAsia="Times New Roman" w:cs="Times New Roman"/>
          <w:i/>
        </w:rPr>
        <w:t>ccounting</w:t>
      </w:r>
      <w:r w:rsidR="007A3B83" w:rsidRPr="007A3B83">
        <w:rPr>
          <w:rFonts w:eastAsia="Times New Roman" w:cs="Times New Roman"/>
        </w:rPr>
        <w:t>, 27</w:t>
      </w:r>
      <w:r w:rsidR="00C12D51">
        <w:rPr>
          <w:rFonts w:eastAsia="Times New Roman" w:cs="Times New Roman"/>
        </w:rPr>
        <w:t xml:space="preserve"> </w:t>
      </w:r>
      <w:r w:rsidR="00717F26">
        <w:rPr>
          <w:rFonts w:eastAsia="Times New Roman" w:cs="Times New Roman"/>
        </w:rPr>
        <w:t>(4)</w:t>
      </w:r>
      <w:r w:rsidR="007A3B83" w:rsidRPr="007A3B83">
        <w:rPr>
          <w:rFonts w:eastAsia="Times New Roman" w:cs="Times New Roman"/>
        </w:rPr>
        <w:t>, 310-323.</w:t>
      </w:r>
    </w:p>
    <w:p w14:paraId="59443217" w14:textId="56775A2C" w:rsidR="00D922F3" w:rsidRDefault="00D922F3" w:rsidP="007A3B83">
      <w:pPr>
        <w:spacing w:after="120" w:line="240" w:lineRule="auto"/>
        <w:ind w:left="360" w:hanging="360"/>
        <w:rPr>
          <w:rFonts w:eastAsia="Times New Roman" w:cs="Times New Roman"/>
        </w:rPr>
      </w:pPr>
      <w:r>
        <w:rPr>
          <w:rFonts w:eastAsia="Times New Roman" w:cs="Times New Roman"/>
        </w:rPr>
        <w:t xml:space="preserve">Hatfield, H.R., 1926.  The earliest use in English of the term capital. </w:t>
      </w:r>
      <w:r>
        <w:rPr>
          <w:rFonts w:eastAsia="Times New Roman" w:cs="Times New Roman"/>
          <w:i/>
        </w:rPr>
        <w:t xml:space="preserve">Quarterly </w:t>
      </w:r>
      <w:r w:rsidR="00C12D51">
        <w:rPr>
          <w:rFonts w:eastAsia="Times New Roman" w:cs="Times New Roman"/>
          <w:i/>
        </w:rPr>
        <w:t>J</w:t>
      </w:r>
      <w:r>
        <w:rPr>
          <w:rFonts w:eastAsia="Times New Roman" w:cs="Times New Roman"/>
          <w:i/>
        </w:rPr>
        <w:t xml:space="preserve">ournal of </w:t>
      </w:r>
      <w:r w:rsidR="00C12D51">
        <w:rPr>
          <w:rFonts w:eastAsia="Times New Roman" w:cs="Times New Roman"/>
          <w:i/>
        </w:rPr>
        <w:t>E</w:t>
      </w:r>
      <w:r>
        <w:rPr>
          <w:rFonts w:eastAsia="Times New Roman" w:cs="Times New Roman"/>
          <w:i/>
        </w:rPr>
        <w:t>conomics</w:t>
      </w:r>
      <w:r>
        <w:rPr>
          <w:rFonts w:eastAsia="Times New Roman" w:cs="Times New Roman"/>
        </w:rPr>
        <w:t>, 40</w:t>
      </w:r>
      <w:r w:rsidR="00C12D51">
        <w:rPr>
          <w:rFonts w:eastAsia="Times New Roman" w:cs="Times New Roman"/>
        </w:rPr>
        <w:t xml:space="preserve"> </w:t>
      </w:r>
      <w:r>
        <w:rPr>
          <w:rFonts w:eastAsia="Times New Roman" w:cs="Times New Roman"/>
        </w:rPr>
        <w:t>(3), 547-548.</w:t>
      </w:r>
    </w:p>
    <w:p w14:paraId="13FE9956" w14:textId="7CF612A1" w:rsidR="00B36868" w:rsidRDefault="00B36868" w:rsidP="007A3B83">
      <w:pPr>
        <w:spacing w:after="120" w:line="240" w:lineRule="auto"/>
        <w:ind w:left="360" w:hanging="360"/>
        <w:rPr>
          <w:rFonts w:eastAsia="Times New Roman" w:cs="Times New Roman"/>
        </w:rPr>
      </w:pPr>
      <w:r>
        <w:rPr>
          <w:rFonts w:eastAsia="Times New Roman" w:cs="Times New Roman"/>
        </w:rPr>
        <w:t xml:space="preserve">Haswell, S. and Langfield-Smith, I., 2008. Fifty-seven serious defects in ‘Australian’ IFRS. </w:t>
      </w:r>
      <w:r w:rsidRPr="00B36868">
        <w:rPr>
          <w:rFonts w:eastAsia="Times New Roman" w:cs="Times New Roman"/>
          <w:i/>
        </w:rPr>
        <w:t xml:space="preserve">Australian </w:t>
      </w:r>
      <w:r w:rsidR="00C12D51">
        <w:rPr>
          <w:rFonts w:eastAsia="Times New Roman" w:cs="Times New Roman"/>
          <w:i/>
        </w:rPr>
        <w:t>A</w:t>
      </w:r>
      <w:r w:rsidRPr="00B36868">
        <w:rPr>
          <w:rFonts w:eastAsia="Times New Roman" w:cs="Times New Roman"/>
          <w:i/>
        </w:rPr>
        <w:t xml:space="preserve">ccounting </w:t>
      </w:r>
      <w:r w:rsidR="00C12D51">
        <w:rPr>
          <w:rFonts w:eastAsia="Times New Roman" w:cs="Times New Roman"/>
          <w:i/>
        </w:rPr>
        <w:t>R</w:t>
      </w:r>
      <w:r w:rsidRPr="00B36868">
        <w:rPr>
          <w:rFonts w:eastAsia="Times New Roman" w:cs="Times New Roman"/>
          <w:i/>
        </w:rPr>
        <w:t>eview</w:t>
      </w:r>
      <w:r>
        <w:rPr>
          <w:rFonts w:eastAsia="Times New Roman" w:cs="Times New Roman"/>
        </w:rPr>
        <w:t>, 18</w:t>
      </w:r>
      <w:r w:rsidR="00C12D51">
        <w:rPr>
          <w:rFonts w:eastAsia="Times New Roman" w:cs="Times New Roman"/>
        </w:rPr>
        <w:t xml:space="preserve"> </w:t>
      </w:r>
      <w:r>
        <w:rPr>
          <w:rFonts w:eastAsia="Times New Roman" w:cs="Times New Roman"/>
        </w:rPr>
        <w:t>(1), 46-62.</w:t>
      </w:r>
    </w:p>
    <w:p w14:paraId="28428F4C" w14:textId="0C2EB82B" w:rsidR="00D922F3" w:rsidRDefault="006C3380" w:rsidP="007A3B83">
      <w:pPr>
        <w:spacing w:after="120" w:line="240" w:lineRule="auto"/>
        <w:ind w:left="360" w:hanging="360"/>
        <w:rPr>
          <w:rFonts w:eastAsia="Times New Roman" w:cs="Times New Roman"/>
        </w:rPr>
      </w:pPr>
      <w:r>
        <w:rPr>
          <w:rFonts w:eastAsia="Times New Roman" w:cs="Times New Roman"/>
        </w:rPr>
        <w:t xml:space="preserve">Hatfield, H.R., 1934. </w:t>
      </w:r>
      <w:r w:rsidR="00D922F3">
        <w:rPr>
          <w:rFonts w:eastAsia="Times New Roman" w:cs="Times New Roman"/>
        </w:rPr>
        <w:t xml:space="preserve">The early use of “capital”.  </w:t>
      </w:r>
      <w:r w:rsidR="00D922F3">
        <w:rPr>
          <w:rFonts w:eastAsia="Times New Roman" w:cs="Times New Roman"/>
          <w:i/>
        </w:rPr>
        <w:t xml:space="preserve">Quarterly </w:t>
      </w:r>
      <w:r w:rsidR="00C12D51">
        <w:rPr>
          <w:rFonts w:eastAsia="Times New Roman" w:cs="Times New Roman"/>
          <w:i/>
        </w:rPr>
        <w:t>J</w:t>
      </w:r>
      <w:r w:rsidR="00D922F3">
        <w:rPr>
          <w:rFonts w:eastAsia="Times New Roman" w:cs="Times New Roman"/>
          <w:i/>
        </w:rPr>
        <w:t xml:space="preserve">ournal of </w:t>
      </w:r>
      <w:r w:rsidR="00C12D51">
        <w:rPr>
          <w:rFonts w:eastAsia="Times New Roman" w:cs="Times New Roman"/>
          <w:i/>
        </w:rPr>
        <w:t>E</w:t>
      </w:r>
      <w:r w:rsidR="00D922F3">
        <w:rPr>
          <w:rFonts w:eastAsia="Times New Roman" w:cs="Times New Roman"/>
          <w:i/>
        </w:rPr>
        <w:t>conomics</w:t>
      </w:r>
      <w:r w:rsidR="00D922F3">
        <w:rPr>
          <w:rFonts w:eastAsia="Times New Roman" w:cs="Times New Roman"/>
        </w:rPr>
        <w:t>, 49</w:t>
      </w:r>
      <w:r w:rsidR="00C12D51">
        <w:rPr>
          <w:rFonts w:eastAsia="Times New Roman" w:cs="Times New Roman"/>
        </w:rPr>
        <w:t xml:space="preserve"> </w:t>
      </w:r>
      <w:r w:rsidR="00D922F3">
        <w:rPr>
          <w:rFonts w:eastAsia="Times New Roman" w:cs="Times New Roman"/>
        </w:rPr>
        <w:t xml:space="preserve">(1), 162-163. </w:t>
      </w:r>
    </w:p>
    <w:p w14:paraId="1C802284" w14:textId="7CFFEDDE" w:rsidR="00784871" w:rsidRDefault="00784871" w:rsidP="007A3B83">
      <w:pPr>
        <w:spacing w:after="120" w:line="240" w:lineRule="auto"/>
        <w:ind w:left="360" w:hanging="360"/>
        <w:rPr>
          <w:rFonts w:eastAsia="Times New Roman" w:cs="Times New Roman"/>
        </w:rPr>
      </w:pPr>
      <w:r>
        <w:rPr>
          <w:rFonts w:eastAsia="Times New Roman" w:cs="Times New Roman"/>
        </w:rPr>
        <w:t>Hicks, J.R.</w:t>
      </w:r>
      <w:r w:rsidR="0087708E">
        <w:rPr>
          <w:rFonts w:eastAsia="Times New Roman" w:cs="Times New Roman"/>
        </w:rPr>
        <w:t>,</w:t>
      </w:r>
      <w:r>
        <w:rPr>
          <w:rFonts w:eastAsia="Times New Roman" w:cs="Times New Roman"/>
        </w:rPr>
        <w:t xml:space="preserve"> 1946. </w:t>
      </w:r>
      <w:r w:rsidR="006F038D" w:rsidRPr="000E60F0">
        <w:rPr>
          <w:rFonts w:eastAsia="Times New Roman" w:cs="Times New Roman"/>
          <w:i/>
        </w:rPr>
        <w:t xml:space="preserve">Value and </w:t>
      </w:r>
      <w:r w:rsidR="00C12D51">
        <w:rPr>
          <w:rFonts w:eastAsia="Times New Roman" w:cs="Times New Roman"/>
          <w:i/>
        </w:rPr>
        <w:t>C</w:t>
      </w:r>
      <w:r w:rsidR="006F038D" w:rsidRPr="000E60F0">
        <w:rPr>
          <w:rFonts w:eastAsia="Times New Roman" w:cs="Times New Roman"/>
          <w:i/>
        </w:rPr>
        <w:t>apital</w:t>
      </w:r>
      <w:r>
        <w:rPr>
          <w:rFonts w:eastAsia="Times New Roman" w:cs="Times New Roman"/>
        </w:rPr>
        <w:t>. Oxford: Clarendon Press.</w:t>
      </w:r>
    </w:p>
    <w:p w14:paraId="7AB8D580" w14:textId="1CD6131B" w:rsidR="00E9269F" w:rsidRPr="00D922F3" w:rsidRDefault="00E9269F" w:rsidP="007A3B83">
      <w:pPr>
        <w:spacing w:after="120" w:line="240" w:lineRule="auto"/>
        <w:ind w:left="360" w:hanging="360"/>
        <w:rPr>
          <w:rFonts w:eastAsia="Times New Roman" w:cs="Times New Roman"/>
        </w:rPr>
      </w:pPr>
      <w:r>
        <w:rPr>
          <w:rFonts w:eastAsia="Times New Roman" w:cs="Times New Roman"/>
        </w:rPr>
        <w:t>Hicks, J.R., 1974. Capital co</w:t>
      </w:r>
      <w:r w:rsidR="006C3380">
        <w:rPr>
          <w:rFonts w:eastAsia="Times New Roman" w:cs="Times New Roman"/>
        </w:rPr>
        <w:t>ntroversies: ancient and modern.</w:t>
      </w:r>
      <w:r>
        <w:rPr>
          <w:rFonts w:eastAsia="Times New Roman" w:cs="Times New Roman"/>
        </w:rPr>
        <w:t xml:space="preserve"> </w:t>
      </w:r>
      <w:r w:rsidR="006F038D" w:rsidRPr="000E60F0">
        <w:rPr>
          <w:rFonts w:eastAsia="Times New Roman" w:cs="Times New Roman"/>
          <w:i/>
        </w:rPr>
        <w:t xml:space="preserve">American </w:t>
      </w:r>
      <w:r w:rsidR="00C12D51">
        <w:rPr>
          <w:rFonts w:eastAsia="Times New Roman" w:cs="Times New Roman"/>
          <w:i/>
        </w:rPr>
        <w:t>E</w:t>
      </w:r>
      <w:r w:rsidR="006F038D" w:rsidRPr="000E60F0">
        <w:rPr>
          <w:rFonts w:eastAsia="Times New Roman" w:cs="Times New Roman"/>
          <w:i/>
        </w:rPr>
        <w:t xml:space="preserve">conomic </w:t>
      </w:r>
      <w:r w:rsidR="00C12D51">
        <w:rPr>
          <w:rFonts w:eastAsia="Times New Roman" w:cs="Times New Roman"/>
          <w:i/>
        </w:rPr>
        <w:t>R</w:t>
      </w:r>
      <w:r w:rsidR="006F038D" w:rsidRPr="000E60F0">
        <w:rPr>
          <w:rFonts w:eastAsia="Times New Roman" w:cs="Times New Roman"/>
          <w:i/>
        </w:rPr>
        <w:t>eview</w:t>
      </w:r>
      <w:r>
        <w:rPr>
          <w:rFonts w:eastAsia="Times New Roman" w:cs="Times New Roman"/>
        </w:rPr>
        <w:t>, 64 (2)</w:t>
      </w:r>
      <w:r w:rsidR="00830898">
        <w:rPr>
          <w:rFonts w:eastAsia="Times New Roman" w:cs="Times New Roman"/>
        </w:rPr>
        <w:t>, 307-316</w:t>
      </w:r>
      <w:r>
        <w:rPr>
          <w:rFonts w:eastAsia="Times New Roman" w:cs="Times New Roman"/>
        </w:rPr>
        <w:t xml:space="preserve">, </w:t>
      </w:r>
    </w:p>
    <w:p w14:paraId="1FE38E81" w14:textId="169805A8" w:rsidR="007A3B83" w:rsidRPr="007A3B83" w:rsidRDefault="003F3741" w:rsidP="007A3B83">
      <w:pPr>
        <w:spacing w:after="120" w:line="240" w:lineRule="auto"/>
        <w:ind w:left="360" w:hanging="360"/>
        <w:rPr>
          <w:rFonts w:eastAsia="Times New Roman" w:cs="Times New Roman"/>
        </w:rPr>
      </w:pPr>
      <w:r>
        <w:rPr>
          <w:rFonts w:eastAsia="Times New Roman" w:cs="Times New Roman"/>
        </w:rPr>
        <w:t xml:space="preserve">Hill, N.K., 1955. </w:t>
      </w:r>
      <w:r w:rsidR="007A3B83" w:rsidRPr="007A3B83">
        <w:rPr>
          <w:rFonts w:eastAsia="Times New Roman" w:cs="Times New Roman"/>
        </w:rPr>
        <w:t xml:space="preserve">Accountancy developments in a public utility company in the nineteenth century. </w:t>
      </w:r>
      <w:r w:rsidR="007A3B83" w:rsidRPr="007A3B83">
        <w:rPr>
          <w:rFonts w:eastAsia="Times New Roman" w:cs="Times New Roman"/>
          <w:i/>
        </w:rPr>
        <w:t xml:space="preserve">Accounting </w:t>
      </w:r>
      <w:r w:rsidR="00C12D51">
        <w:rPr>
          <w:rFonts w:eastAsia="Times New Roman" w:cs="Times New Roman"/>
          <w:i/>
        </w:rPr>
        <w:t>R</w:t>
      </w:r>
      <w:r w:rsidR="007A3B83" w:rsidRPr="007A3B83">
        <w:rPr>
          <w:rFonts w:eastAsia="Times New Roman" w:cs="Times New Roman"/>
          <w:i/>
        </w:rPr>
        <w:t>esearch</w:t>
      </w:r>
      <w:r w:rsidR="007A3B83" w:rsidRPr="007A3B83">
        <w:rPr>
          <w:rFonts w:eastAsia="Times New Roman" w:cs="Times New Roman"/>
        </w:rPr>
        <w:t>, VI, 382-390.</w:t>
      </w:r>
      <w:r w:rsidR="007560CA">
        <w:rPr>
          <w:rFonts w:eastAsia="Times New Roman" w:cs="Times New Roman"/>
        </w:rPr>
        <w:t xml:space="preserve"> Reprinted in Lee and Parker (1979).</w:t>
      </w:r>
    </w:p>
    <w:p w14:paraId="77DEC034" w14:textId="4A5DC357" w:rsidR="007A3B83" w:rsidRPr="007A3B83" w:rsidRDefault="007A3B83" w:rsidP="007A3B83">
      <w:pPr>
        <w:spacing w:after="120" w:line="240" w:lineRule="auto"/>
        <w:ind w:left="360" w:right="26" w:hanging="360"/>
        <w:rPr>
          <w:rFonts w:eastAsia="Times New Roman" w:cs="Calibri"/>
        </w:rPr>
      </w:pPr>
      <w:r w:rsidRPr="007A3B83">
        <w:rPr>
          <w:rFonts w:eastAsia="Times New Roman" w:cs="Calibri"/>
        </w:rPr>
        <w:t>Horton, J., Mac</w:t>
      </w:r>
      <w:r w:rsidR="003F3741">
        <w:rPr>
          <w:rFonts w:eastAsia="Times New Roman" w:cs="Calibri"/>
        </w:rPr>
        <w:t xml:space="preserve">ve, R. and Serafeim, G., 2011. </w:t>
      </w:r>
      <w:r w:rsidRPr="007A3B83">
        <w:rPr>
          <w:rFonts w:eastAsia="Times New Roman" w:cs="Calibri"/>
        </w:rPr>
        <w:t>‘Deprival value’ vs ‘fair value’ measurement for contract liabilities: how to resolve the ‘</w:t>
      </w:r>
      <w:r>
        <w:rPr>
          <w:rFonts w:eastAsia="Times New Roman" w:cs="Calibri"/>
        </w:rPr>
        <w:t>revenue recognition’ conundrum?</w:t>
      </w:r>
      <w:r w:rsidRPr="007A3B83">
        <w:rPr>
          <w:rFonts w:eastAsia="Times New Roman" w:cs="Calibri"/>
        </w:rPr>
        <w:t xml:space="preserve"> </w:t>
      </w:r>
      <w:r w:rsidRPr="007A3B83">
        <w:rPr>
          <w:rFonts w:eastAsia="Times New Roman" w:cs="Calibri"/>
          <w:i/>
          <w:iCs/>
        </w:rPr>
        <w:t xml:space="preserve">Accounting and </w:t>
      </w:r>
      <w:r w:rsidR="00662903">
        <w:rPr>
          <w:rFonts w:eastAsia="Times New Roman" w:cs="Calibri"/>
          <w:i/>
          <w:iCs/>
        </w:rPr>
        <w:t>B</w:t>
      </w:r>
      <w:r w:rsidRPr="007A3B83">
        <w:rPr>
          <w:rFonts w:eastAsia="Times New Roman" w:cs="Calibri"/>
          <w:i/>
          <w:iCs/>
        </w:rPr>
        <w:t xml:space="preserve">usiness </w:t>
      </w:r>
      <w:r w:rsidR="00662903">
        <w:rPr>
          <w:rFonts w:eastAsia="Times New Roman" w:cs="Calibri"/>
          <w:i/>
          <w:iCs/>
        </w:rPr>
        <w:t>R</w:t>
      </w:r>
      <w:r w:rsidRPr="007A3B83">
        <w:rPr>
          <w:rFonts w:eastAsia="Times New Roman" w:cs="Calibri"/>
          <w:i/>
          <w:iCs/>
        </w:rPr>
        <w:t>esearch</w:t>
      </w:r>
      <w:r w:rsidRPr="007A3B83">
        <w:rPr>
          <w:rFonts w:eastAsia="Times New Roman" w:cs="Calibri"/>
        </w:rPr>
        <w:t>, 41 (5), 491-514.</w:t>
      </w:r>
    </w:p>
    <w:p w14:paraId="378086D3" w14:textId="26AE8BAF" w:rsidR="006F496C" w:rsidRPr="007A3B83" w:rsidRDefault="006F496C" w:rsidP="006F496C">
      <w:pPr>
        <w:spacing w:after="120" w:line="240" w:lineRule="auto"/>
        <w:ind w:left="567" w:hanging="567"/>
        <w:rPr>
          <w:rFonts w:ascii="Times New Roman" w:eastAsia="SimSun" w:hAnsi="Times New Roman" w:cs="Times New Roman"/>
          <w:lang w:val="en-US" w:eastAsia="de-DE"/>
        </w:rPr>
      </w:pPr>
      <w:r>
        <w:rPr>
          <w:rFonts w:ascii="Times New Roman" w:eastAsia="SimSun" w:hAnsi="Times New Roman" w:cs="Times New Roman"/>
          <w:lang w:val="en-US" w:eastAsia="de-DE"/>
        </w:rPr>
        <w:t>IASB, 2008</w:t>
      </w:r>
      <w:r w:rsidRPr="007A3B83">
        <w:rPr>
          <w:rFonts w:ascii="Times New Roman" w:eastAsia="SimSun" w:hAnsi="Times New Roman" w:cs="Times New Roman"/>
          <w:lang w:val="en-US" w:eastAsia="de-DE"/>
        </w:rPr>
        <w:t xml:space="preserve">. </w:t>
      </w:r>
      <w:r>
        <w:rPr>
          <w:rFonts w:ascii="Times New Roman" w:eastAsia="SimSun" w:hAnsi="Times New Roman" w:cs="Times New Roman"/>
          <w:i/>
          <w:lang w:val="en-US" w:eastAsia="de-DE"/>
        </w:rPr>
        <w:t xml:space="preserve">Exposure </w:t>
      </w:r>
      <w:r w:rsidR="00662903">
        <w:rPr>
          <w:rFonts w:ascii="Times New Roman" w:eastAsia="SimSun" w:hAnsi="Times New Roman" w:cs="Times New Roman"/>
          <w:i/>
          <w:lang w:val="en-US" w:eastAsia="de-DE"/>
        </w:rPr>
        <w:t>D</w:t>
      </w:r>
      <w:r>
        <w:rPr>
          <w:rFonts w:ascii="Times New Roman" w:eastAsia="SimSun" w:hAnsi="Times New Roman" w:cs="Times New Roman"/>
          <w:i/>
          <w:lang w:val="en-US" w:eastAsia="de-DE"/>
        </w:rPr>
        <w:t xml:space="preserve">raft of an </w:t>
      </w:r>
      <w:r w:rsidR="00662903">
        <w:rPr>
          <w:rFonts w:ascii="Times New Roman" w:eastAsia="SimSun" w:hAnsi="Times New Roman" w:cs="Times New Roman"/>
          <w:i/>
          <w:lang w:val="en-US" w:eastAsia="de-DE"/>
        </w:rPr>
        <w:t>I</w:t>
      </w:r>
      <w:r>
        <w:rPr>
          <w:rFonts w:ascii="Times New Roman" w:eastAsia="SimSun" w:hAnsi="Times New Roman" w:cs="Times New Roman"/>
          <w:i/>
          <w:lang w:val="en-US" w:eastAsia="de-DE"/>
        </w:rPr>
        <w:t xml:space="preserve">mproved </w:t>
      </w:r>
      <w:r w:rsidR="00662903">
        <w:rPr>
          <w:rFonts w:ascii="Times New Roman" w:eastAsia="SimSun" w:hAnsi="Times New Roman" w:cs="Times New Roman"/>
          <w:i/>
          <w:lang w:val="en-US" w:eastAsia="de-DE"/>
        </w:rPr>
        <w:t>C</w:t>
      </w:r>
      <w:r w:rsidRPr="007A3B83">
        <w:rPr>
          <w:rFonts w:ascii="Times New Roman" w:eastAsia="SimSun" w:hAnsi="Times New Roman" w:cs="Times New Roman"/>
          <w:i/>
          <w:lang w:val="en-US" w:eastAsia="de-DE"/>
        </w:rPr>
        <w:t xml:space="preserve">onceptual </w:t>
      </w:r>
      <w:r w:rsidR="00662903">
        <w:rPr>
          <w:rFonts w:ascii="Times New Roman" w:eastAsia="SimSun" w:hAnsi="Times New Roman" w:cs="Times New Roman"/>
          <w:i/>
          <w:lang w:val="en-US" w:eastAsia="de-DE"/>
        </w:rPr>
        <w:t>F</w:t>
      </w:r>
      <w:r w:rsidRPr="007A3B83">
        <w:rPr>
          <w:rFonts w:ascii="Times New Roman" w:eastAsia="SimSun" w:hAnsi="Times New Roman" w:cs="Times New Roman"/>
          <w:i/>
          <w:lang w:val="en-US" w:eastAsia="de-DE"/>
        </w:rPr>
        <w:t xml:space="preserve">ramework for </w:t>
      </w:r>
      <w:r w:rsidR="00662903">
        <w:rPr>
          <w:rFonts w:ascii="Times New Roman" w:eastAsia="SimSun" w:hAnsi="Times New Roman" w:cs="Times New Roman"/>
          <w:i/>
          <w:lang w:val="en-US" w:eastAsia="de-DE"/>
        </w:rPr>
        <w:t>F</w:t>
      </w:r>
      <w:r w:rsidRPr="007A3B83">
        <w:rPr>
          <w:rFonts w:ascii="Times New Roman" w:eastAsia="SimSun" w:hAnsi="Times New Roman" w:cs="Times New Roman"/>
          <w:i/>
          <w:lang w:val="en-US" w:eastAsia="de-DE"/>
        </w:rPr>
        <w:t xml:space="preserve">inancial </w:t>
      </w:r>
      <w:r w:rsidR="00662903">
        <w:rPr>
          <w:rFonts w:ascii="Times New Roman" w:eastAsia="SimSun" w:hAnsi="Times New Roman" w:cs="Times New Roman"/>
          <w:i/>
          <w:lang w:val="en-US" w:eastAsia="de-DE"/>
        </w:rPr>
        <w:t>R</w:t>
      </w:r>
      <w:r w:rsidRPr="007A3B83">
        <w:rPr>
          <w:rFonts w:ascii="Times New Roman" w:eastAsia="SimSun" w:hAnsi="Times New Roman" w:cs="Times New Roman"/>
          <w:i/>
          <w:lang w:val="en-US" w:eastAsia="de-DE"/>
        </w:rPr>
        <w:t>eporting</w:t>
      </w:r>
      <w:r w:rsidRPr="007A3B83">
        <w:rPr>
          <w:rFonts w:ascii="Times New Roman" w:eastAsia="SimSun" w:hAnsi="Times New Roman" w:cs="Times New Roman"/>
          <w:lang w:val="en-US" w:eastAsia="de-DE"/>
        </w:rPr>
        <w:t>. London: International Accounting Standards Board.</w:t>
      </w:r>
    </w:p>
    <w:p w14:paraId="58C110E9" w14:textId="225BE12F" w:rsidR="007A3B83" w:rsidRPr="007A3B83" w:rsidRDefault="007A3B83" w:rsidP="007A3B83">
      <w:pPr>
        <w:spacing w:after="120" w:line="240" w:lineRule="auto"/>
        <w:ind w:left="567" w:hanging="567"/>
        <w:rPr>
          <w:rFonts w:ascii="Times New Roman" w:eastAsia="SimSun" w:hAnsi="Times New Roman" w:cs="Times New Roman"/>
          <w:lang w:val="en-US" w:eastAsia="de-DE"/>
        </w:rPr>
      </w:pPr>
      <w:r w:rsidRPr="007A3B83">
        <w:rPr>
          <w:rFonts w:ascii="Times New Roman" w:eastAsia="SimSun" w:hAnsi="Times New Roman" w:cs="Times New Roman"/>
          <w:lang w:val="en-US" w:eastAsia="de-DE"/>
        </w:rPr>
        <w:t xml:space="preserve">IASB, 2010. </w:t>
      </w:r>
      <w:r w:rsidRPr="007A3B83">
        <w:rPr>
          <w:rFonts w:ascii="Times New Roman" w:eastAsia="SimSun" w:hAnsi="Times New Roman" w:cs="Times New Roman"/>
          <w:i/>
          <w:lang w:val="en-US" w:eastAsia="de-DE"/>
        </w:rPr>
        <w:t xml:space="preserve">The </w:t>
      </w:r>
      <w:r w:rsidR="00662903">
        <w:rPr>
          <w:rFonts w:ascii="Times New Roman" w:eastAsia="SimSun" w:hAnsi="Times New Roman" w:cs="Times New Roman"/>
          <w:i/>
          <w:lang w:val="en-US" w:eastAsia="de-DE"/>
        </w:rPr>
        <w:t>C</w:t>
      </w:r>
      <w:r w:rsidRPr="007A3B83">
        <w:rPr>
          <w:rFonts w:ascii="Times New Roman" w:eastAsia="SimSun" w:hAnsi="Times New Roman" w:cs="Times New Roman"/>
          <w:i/>
          <w:lang w:val="en-US" w:eastAsia="de-DE"/>
        </w:rPr>
        <w:t xml:space="preserve">onceptual </w:t>
      </w:r>
      <w:r w:rsidR="00662903">
        <w:rPr>
          <w:rFonts w:ascii="Times New Roman" w:eastAsia="SimSun" w:hAnsi="Times New Roman" w:cs="Times New Roman"/>
          <w:i/>
          <w:lang w:val="en-US" w:eastAsia="de-DE"/>
        </w:rPr>
        <w:t>F</w:t>
      </w:r>
      <w:r w:rsidRPr="007A3B83">
        <w:rPr>
          <w:rFonts w:ascii="Times New Roman" w:eastAsia="SimSun" w:hAnsi="Times New Roman" w:cs="Times New Roman"/>
          <w:i/>
          <w:lang w:val="en-US" w:eastAsia="de-DE"/>
        </w:rPr>
        <w:t xml:space="preserve">ramework for </w:t>
      </w:r>
      <w:r w:rsidR="00662903">
        <w:rPr>
          <w:rFonts w:ascii="Times New Roman" w:eastAsia="SimSun" w:hAnsi="Times New Roman" w:cs="Times New Roman"/>
          <w:i/>
          <w:lang w:val="en-US" w:eastAsia="de-DE"/>
        </w:rPr>
        <w:t>F</w:t>
      </w:r>
      <w:r w:rsidRPr="007A3B83">
        <w:rPr>
          <w:rFonts w:ascii="Times New Roman" w:eastAsia="SimSun" w:hAnsi="Times New Roman" w:cs="Times New Roman"/>
          <w:i/>
          <w:lang w:val="en-US" w:eastAsia="de-DE"/>
        </w:rPr>
        <w:t xml:space="preserve">inancial </w:t>
      </w:r>
      <w:r w:rsidR="00662903">
        <w:rPr>
          <w:rFonts w:ascii="Times New Roman" w:eastAsia="SimSun" w:hAnsi="Times New Roman" w:cs="Times New Roman"/>
          <w:i/>
          <w:lang w:val="en-US" w:eastAsia="de-DE"/>
        </w:rPr>
        <w:t>R</w:t>
      </w:r>
      <w:r w:rsidRPr="007A3B83">
        <w:rPr>
          <w:rFonts w:ascii="Times New Roman" w:eastAsia="SimSun" w:hAnsi="Times New Roman" w:cs="Times New Roman"/>
          <w:i/>
          <w:lang w:val="en-US" w:eastAsia="de-DE"/>
        </w:rPr>
        <w:t>eporting</w:t>
      </w:r>
      <w:r w:rsidRPr="007A3B83">
        <w:rPr>
          <w:rFonts w:ascii="Times New Roman" w:eastAsia="SimSun" w:hAnsi="Times New Roman" w:cs="Times New Roman"/>
          <w:lang w:val="en-US" w:eastAsia="de-DE"/>
        </w:rPr>
        <w:t>. London: International Accounting Standards Board.</w:t>
      </w:r>
    </w:p>
    <w:p w14:paraId="01B2A6B2" w14:textId="42FE8F8F" w:rsidR="007A3B83" w:rsidRPr="007A3B83" w:rsidRDefault="007A3B83" w:rsidP="007A3B83">
      <w:pPr>
        <w:spacing w:after="120" w:line="240" w:lineRule="auto"/>
        <w:ind w:left="567" w:hanging="567"/>
        <w:rPr>
          <w:rFonts w:ascii="Times New Roman" w:eastAsia="SimSun" w:hAnsi="Times New Roman" w:cs="Times New Roman"/>
          <w:lang w:val="en-US" w:eastAsia="de-DE"/>
        </w:rPr>
      </w:pPr>
      <w:r w:rsidRPr="007A3B83">
        <w:rPr>
          <w:rFonts w:ascii="Times New Roman" w:eastAsia="SimSun" w:hAnsi="Times New Roman" w:cs="Times New Roman"/>
          <w:lang w:val="en-US" w:eastAsia="de-DE"/>
        </w:rPr>
        <w:t xml:space="preserve">IASB, 2013. </w:t>
      </w:r>
      <w:r w:rsidRPr="007A3B83">
        <w:rPr>
          <w:rFonts w:ascii="Times New Roman" w:eastAsia="SimSun" w:hAnsi="Times New Roman" w:cs="Times New Roman"/>
          <w:i/>
          <w:lang w:val="en-US" w:eastAsia="de-DE"/>
        </w:rPr>
        <w:t xml:space="preserve">A </w:t>
      </w:r>
      <w:r w:rsidR="00662903">
        <w:rPr>
          <w:rFonts w:ascii="Times New Roman" w:eastAsia="SimSun" w:hAnsi="Times New Roman" w:cs="Times New Roman"/>
          <w:i/>
          <w:lang w:val="en-US" w:eastAsia="de-DE"/>
        </w:rPr>
        <w:t>R</w:t>
      </w:r>
      <w:r w:rsidRPr="007A3B83">
        <w:rPr>
          <w:rFonts w:ascii="Times New Roman" w:eastAsia="SimSun" w:hAnsi="Times New Roman" w:cs="Times New Roman"/>
          <w:i/>
          <w:lang w:val="en-US" w:eastAsia="de-DE"/>
        </w:rPr>
        <w:t xml:space="preserve">eview of the </w:t>
      </w:r>
      <w:r w:rsidR="00662903">
        <w:rPr>
          <w:rFonts w:ascii="Times New Roman" w:eastAsia="SimSun" w:hAnsi="Times New Roman" w:cs="Times New Roman"/>
          <w:i/>
          <w:lang w:val="en-US" w:eastAsia="de-DE"/>
        </w:rPr>
        <w:t>C</w:t>
      </w:r>
      <w:r w:rsidRPr="007A3B83">
        <w:rPr>
          <w:rFonts w:ascii="Times New Roman" w:eastAsia="SimSun" w:hAnsi="Times New Roman" w:cs="Times New Roman"/>
          <w:i/>
          <w:lang w:val="en-US" w:eastAsia="de-DE"/>
        </w:rPr>
        <w:t xml:space="preserve">onceptual </w:t>
      </w:r>
      <w:r w:rsidR="00662903">
        <w:rPr>
          <w:rFonts w:ascii="Times New Roman" w:eastAsia="SimSun" w:hAnsi="Times New Roman" w:cs="Times New Roman"/>
          <w:i/>
          <w:lang w:val="en-US" w:eastAsia="de-DE"/>
        </w:rPr>
        <w:t>F</w:t>
      </w:r>
      <w:r w:rsidRPr="007A3B83">
        <w:rPr>
          <w:rFonts w:ascii="Times New Roman" w:eastAsia="SimSun" w:hAnsi="Times New Roman" w:cs="Times New Roman"/>
          <w:i/>
          <w:lang w:val="en-US" w:eastAsia="de-DE"/>
        </w:rPr>
        <w:t xml:space="preserve">ramework for </w:t>
      </w:r>
      <w:r w:rsidR="00662903">
        <w:rPr>
          <w:rFonts w:ascii="Times New Roman" w:eastAsia="SimSun" w:hAnsi="Times New Roman" w:cs="Times New Roman"/>
          <w:i/>
          <w:lang w:val="en-US" w:eastAsia="de-DE"/>
        </w:rPr>
        <w:t>F</w:t>
      </w:r>
      <w:r w:rsidRPr="007A3B83">
        <w:rPr>
          <w:rFonts w:ascii="Times New Roman" w:eastAsia="SimSun" w:hAnsi="Times New Roman" w:cs="Times New Roman"/>
          <w:i/>
          <w:lang w:val="en-US" w:eastAsia="de-DE"/>
        </w:rPr>
        <w:t xml:space="preserve">inancial </w:t>
      </w:r>
      <w:r w:rsidR="00662903">
        <w:rPr>
          <w:rFonts w:ascii="Times New Roman" w:eastAsia="SimSun" w:hAnsi="Times New Roman" w:cs="Times New Roman"/>
          <w:i/>
          <w:lang w:val="en-US" w:eastAsia="de-DE"/>
        </w:rPr>
        <w:t>R</w:t>
      </w:r>
      <w:r w:rsidRPr="007A3B83">
        <w:rPr>
          <w:rFonts w:ascii="Times New Roman" w:eastAsia="SimSun" w:hAnsi="Times New Roman" w:cs="Times New Roman"/>
          <w:i/>
          <w:lang w:val="en-US" w:eastAsia="de-DE"/>
        </w:rPr>
        <w:t>eporting</w:t>
      </w:r>
      <w:r w:rsidRPr="007A3B83">
        <w:rPr>
          <w:rFonts w:ascii="Times New Roman" w:eastAsia="SimSun" w:hAnsi="Times New Roman" w:cs="Times New Roman"/>
          <w:lang w:val="en-US" w:eastAsia="de-DE"/>
        </w:rPr>
        <w:t>. London: International Accounting Standards Board.</w:t>
      </w:r>
    </w:p>
    <w:p w14:paraId="3DB1AB4B" w14:textId="79AC8D10" w:rsidR="008E6B1E" w:rsidRDefault="007A3B83" w:rsidP="007A3B83">
      <w:pPr>
        <w:spacing w:after="120" w:line="240" w:lineRule="auto"/>
        <w:ind w:left="567" w:hanging="567"/>
        <w:rPr>
          <w:rFonts w:ascii="Times New Roman" w:eastAsia="SimSun" w:hAnsi="Times New Roman" w:cs="Times New Roman"/>
          <w:lang w:val="en-US" w:eastAsia="de-DE"/>
        </w:rPr>
      </w:pPr>
      <w:r w:rsidRPr="007A3B83">
        <w:rPr>
          <w:rFonts w:ascii="Times New Roman" w:eastAsia="SimSun" w:hAnsi="Times New Roman" w:cs="Times New Roman"/>
          <w:lang w:val="en-US" w:eastAsia="de-DE"/>
        </w:rPr>
        <w:t xml:space="preserve">IASC, 1989. </w:t>
      </w:r>
      <w:r w:rsidRPr="007A3B83">
        <w:rPr>
          <w:rFonts w:ascii="Times New Roman" w:eastAsia="SimSun" w:hAnsi="Times New Roman" w:cs="Times New Roman"/>
          <w:i/>
          <w:lang w:val="en-US" w:eastAsia="de-DE"/>
        </w:rPr>
        <w:t xml:space="preserve">Framework for the </w:t>
      </w:r>
      <w:r w:rsidR="00662903">
        <w:rPr>
          <w:rFonts w:ascii="Times New Roman" w:eastAsia="SimSun" w:hAnsi="Times New Roman" w:cs="Times New Roman"/>
          <w:i/>
          <w:lang w:val="en-US" w:eastAsia="de-DE"/>
        </w:rPr>
        <w:t>P</w:t>
      </w:r>
      <w:r w:rsidRPr="007A3B83">
        <w:rPr>
          <w:rFonts w:ascii="Times New Roman" w:eastAsia="SimSun" w:hAnsi="Times New Roman" w:cs="Times New Roman"/>
          <w:i/>
          <w:lang w:val="en-US" w:eastAsia="de-DE"/>
        </w:rPr>
        <w:t xml:space="preserve">reparation and </w:t>
      </w:r>
      <w:r w:rsidR="00662903">
        <w:rPr>
          <w:rFonts w:ascii="Times New Roman" w:eastAsia="SimSun" w:hAnsi="Times New Roman" w:cs="Times New Roman"/>
          <w:i/>
          <w:lang w:val="en-US" w:eastAsia="de-DE"/>
        </w:rPr>
        <w:t>P</w:t>
      </w:r>
      <w:r w:rsidRPr="007A3B83">
        <w:rPr>
          <w:rFonts w:ascii="Times New Roman" w:eastAsia="SimSun" w:hAnsi="Times New Roman" w:cs="Times New Roman"/>
          <w:i/>
          <w:lang w:val="en-US" w:eastAsia="de-DE"/>
        </w:rPr>
        <w:t xml:space="preserve">resentation of </w:t>
      </w:r>
      <w:r w:rsidR="00662903">
        <w:rPr>
          <w:rFonts w:ascii="Times New Roman" w:eastAsia="SimSun" w:hAnsi="Times New Roman" w:cs="Times New Roman"/>
          <w:i/>
          <w:lang w:val="en-US" w:eastAsia="de-DE"/>
        </w:rPr>
        <w:t>F</w:t>
      </w:r>
      <w:r w:rsidRPr="007A3B83">
        <w:rPr>
          <w:rFonts w:ascii="Times New Roman" w:eastAsia="SimSun" w:hAnsi="Times New Roman" w:cs="Times New Roman"/>
          <w:i/>
          <w:lang w:val="en-US" w:eastAsia="de-DE"/>
        </w:rPr>
        <w:t xml:space="preserve">inancial </w:t>
      </w:r>
      <w:r w:rsidR="00662903">
        <w:rPr>
          <w:rFonts w:ascii="Times New Roman" w:eastAsia="SimSun" w:hAnsi="Times New Roman" w:cs="Times New Roman"/>
          <w:i/>
          <w:lang w:val="en-US" w:eastAsia="de-DE"/>
        </w:rPr>
        <w:t>S</w:t>
      </w:r>
      <w:r w:rsidRPr="007A3B83">
        <w:rPr>
          <w:rFonts w:ascii="Times New Roman" w:eastAsia="SimSun" w:hAnsi="Times New Roman" w:cs="Times New Roman"/>
          <w:i/>
          <w:lang w:val="en-US" w:eastAsia="de-DE"/>
        </w:rPr>
        <w:t>tatements</w:t>
      </w:r>
      <w:r w:rsidRPr="007A3B83">
        <w:rPr>
          <w:rFonts w:ascii="Times New Roman" w:eastAsia="SimSun" w:hAnsi="Times New Roman" w:cs="Times New Roman"/>
          <w:lang w:val="en-US" w:eastAsia="de-DE"/>
        </w:rPr>
        <w:t>. London: International Accounting Standards Committee.</w:t>
      </w:r>
    </w:p>
    <w:p w14:paraId="640531AA" w14:textId="77777777" w:rsidR="007A3B83" w:rsidRDefault="008E6B1E" w:rsidP="00F40218">
      <w:pPr>
        <w:spacing w:after="120" w:line="240" w:lineRule="auto"/>
        <w:ind w:left="567" w:hanging="567"/>
        <w:rPr>
          <w:rFonts w:ascii="Times New Roman" w:eastAsia="SimSun" w:hAnsi="Times New Roman" w:cs="Times New Roman"/>
          <w:lang w:val="en-US" w:eastAsia="de-DE"/>
        </w:rPr>
      </w:pPr>
      <w:r>
        <w:rPr>
          <w:rFonts w:ascii="Times New Roman" w:eastAsia="SimSun" w:hAnsi="Times New Roman" w:cs="Times New Roman"/>
          <w:lang w:val="en-US" w:eastAsia="de-DE"/>
        </w:rPr>
        <w:t>ICAEW, 1943.</w:t>
      </w:r>
      <w:r w:rsidR="007A3B83" w:rsidRPr="007A3B83">
        <w:rPr>
          <w:rFonts w:ascii="Times New Roman" w:eastAsia="SimSun" w:hAnsi="Times New Roman" w:cs="Times New Roman"/>
          <w:lang w:val="en-US" w:eastAsia="de-DE"/>
        </w:rPr>
        <w:t xml:space="preserve"> </w:t>
      </w:r>
      <w:r w:rsidR="00F40218">
        <w:rPr>
          <w:rFonts w:ascii="Times New Roman" w:eastAsia="SimSun" w:hAnsi="Times New Roman" w:cs="Times New Roman"/>
          <w:i/>
          <w:lang w:val="en-US" w:eastAsia="de-DE"/>
        </w:rPr>
        <w:t>Reserves and Provisions</w:t>
      </w:r>
      <w:r w:rsidR="00F40218">
        <w:rPr>
          <w:rFonts w:ascii="Times New Roman" w:eastAsia="SimSun" w:hAnsi="Times New Roman" w:cs="Times New Roman"/>
          <w:lang w:val="en-US" w:eastAsia="de-DE"/>
        </w:rPr>
        <w:t>. Recommendation No. 6. London: Institute of Chartered Accountants in England and Wales</w:t>
      </w:r>
      <w:r w:rsidR="00104E02">
        <w:rPr>
          <w:rFonts w:ascii="Times New Roman" w:eastAsia="SimSun" w:hAnsi="Times New Roman" w:cs="Times New Roman"/>
          <w:lang w:val="en-US" w:eastAsia="de-DE"/>
        </w:rPr>
        <w:t xml:space="preserve"> (reprinted in Zeff (2009))</w:t>
      </w:r>
      <w:r w:rsidR="00F40218">
        <w:rPr>
          <w:rFonts w:ascii="Times New Roman" w:eastAsia="SimSun" w:hAnsi="Times New Roman" w:cs="Times New Roman"/>
          <w:lang w:val="en-US" w:eastAsia="de-DE"/>
        </w:rPr>
        <w:t>.</w:t>
      </w:r>
    </w:p>
    <w:p w14:paraId="364F3A4C" w14:textId="77777777" w:rsidR="008E6B1E" w:rsidRPr="007A3B83" w:rsidRDefault="00F40218" w:rsidP="008E6B1E">
      <w:pPr>
        <w:spacing w:after="120" w:line="240" w:lineRule="auto"/>
        <w:ind w:left="567" w:hanging="567"/>
        <w:rPr>
          <w:rFonts w:ascii="Times New Roman" w:eastAsia="SimSun" w:hAnsi="Times New Roman" w:cs="Times New Roman"/>
          <w:lang w:val="en-US" w:eastAsia="de-DE"/>
        </w:rPr>
      </w:pPr>
      <w:r>
        <w:rPr>
          <w:rFonts w:ascii="Times New Roman" w:eastAsia="SimSun" w:hAnsi="Times New Roman" w:cs="Times New Roman"/>
          <w:lang w:val="en-US" w:eastAsia="de-DE"/>
        </w:rPr>
        <w:t>ICAEW, 1945</w:t>
      </w:r>
      <w:r w:rsidR="008E6B1E">
        <w:rPr>
          <w:rFonts w:ascii="Times New Roman" w:eastAsia="SimSun" w:hAnsi="Times New Roman" w:cs="Times New Roman"/>
          <w:lang w:val="en-US" w:eastAsia="de-DE"/>
        </w:rPr>
        <w:t xml:space="preserve">. </w:t>
      </w:r>
      <w:r w:rsidRPr="00F40218">
        <w:rPr>
          <w:rFonts w:ascii="Times New Roman" w:eastAsia="SimSun" w:hAnsi="Times New Roman" w:cs="Times New Roman"/>
          <w:i/>
          <w:lang w:val="en-US" w:eastAsia="de-DE"/>
        </w:rPr>
        <w:t>Depreciation of Fixed Assets</w:t>
      </w:r>
      <w:r>
        <w:rPr>
          <w:rFonts w:ascii="Times New Roman" w:eastAsia="SimSun" w:hAnsi="Times New Roman" w:cs="Times New Roman"/>
          <w:lang w:val="en-US" w:eastAsia="de-DE"/>
        </w:rPr>
        <w:t>. Recommendation No. 9. London: Institute of Chartered Accountants in England and Wales</w:t>
      </w:r>
      <w:r w:rsidR="00104E02">
        <w:rPr>
          <w:rFonts w:ascii="Times New Roman" w:eastAsia="SimSun" w:hAnsi="Times New Roman" w:cs="Times New Roman"/>
          <w:lang w:val="en-US" w:eastAsia="de-DE"/>
        </w:rPr>
        <w:t xml:space="preserve"> (reprinted in Zeff (2009))</w:t>
      </w:r>
      <w:r>
        <w:rPr>
          <w:rFonts w:ascii="Times New Roman" w:eastAsia="SimSun" w:hAnsi="Times New Roman" w:cs="Times New Roman"/>
          <w:lang w:val="en-US" w:eastAsia="de-DE"/>
        </w:rPr>
        <w:t>.</w:t>
      </w:r>
    </w:p>
    <w:p w14:paraId="187C52E6" w14:textId="72271558" w:rsidR="007A3B83" w:rsidRPr="007A3B83" w:rsidRDefault="007A3B83" w:rsidP="007A3B83">
      <w:pPr>
        <w:spacing w:after="120" w:line="240" w:lineRule="auto"/>
        <w:ind w:left="360" w:hanging="360"/>
        <w:rPr>
          <w:rFonts w:eastAsia="Times New Roman" w:cs="Times New Roman"/>
        </w:rPr>
      </w:pPr>
      <w:r w:rsidRPr="007A3B83">
        <w:rPr>
          <w:rFonts w:eastAsia="Times New Roman" w:cs="Times New Roman"/>
        </w:rPr>
        <w:t xml:space="preserve">ICAEW, 2010. </w:t>
      </w:r>
      <w:r w:rsidRPr="007A3B83">
        <w:rPr>
          <w:rFonts w:eastAsia="Times New Roman" w:cs="Times New Roman"/>
          <w:i/>
        </w:rPr>
        <w:t xml:space="preserve">Guidance on the </w:t>
      </w:r>
      <w:r w:rsidR="00662903">
        <w:rPr>
          <w:rFonts w:eastAsia="Times New Roman" w:cs="Times New Roman"/>
          <w:i/>
        </w:rPr>
        <w:t>D</w:t>
      </w:r>
      <w:r w:rsidRPr="007A3B83">
        <w:rPr>
          <w:rFonts w:eastAsia="Times New Roman" w:cs="Times New Roman"/>
          <w:i/>
        </w:rPr>
        <w:t xml:space="preserve">etermination of </w:t>
      </w:r>
      <w:r w:rsidR="00662903">
        <w:rPr>
          <w:rFonts w:eastAsia="Times New Roman" w:cs="Times New Roman"/>
          <w:i/>
        </w:rPr>
        <w:t>R</w:t>
      </w:r>
      <w:r w:rsidRPr="007A3B83">
        <w:rPr>
          <w:rFonts w:eastAsia="Times New Roman" w:cs="Times New Roman"/>
          <w:i/>
        </w:rPr>
        <w:t xml:space="preserve">ealised profits and </w:t>
      </w:r>
      <w:r w:rsidR="00662903">
        <w:rPr>
          <w:rFonts w:eastAsia="Times New Roman" w:cs="Times New Roman"/>
          <w:i/>
        </w:rPr>
        <w:t>L</w:t>
      </w:r>
      <w:r w:rsidRPr="007A3B83">
        <w:rPr>
          <w:rFonts w:eastAsia="Times New Roman" w:cs="Times New Roman"/>
          <w:i/>
        </w:rPr>
        <w:t xml:space="preserve">osses in the </w:t>
      </w:r>
      <w:r w:rsidR="00662903">
        <w:rPr>
          <w:rFonts w:eastAsia="Times New Roman" w:cs="Times New Roman"/>
          <w:i/>
        </w:rPr>
        <w:t>C</w:t>
      </w:r>
      <w:r w:rsidRPr="007A3B83">
        <w:rPr>
          <w:rFonts w:eastAsia="Times New Roman" w:cs="Times New Roman"/>
          <w:i/>
        </w:rPr>
        <w:t xml:space="preserve">ontext of </w:t>
      </w:r>
      <w:r w:rsidR="00662903">
        <w:rPr>
          <w:rFonts w:eastAsia="Times New Roman" w:cs="Times New Roman"/>
          <w:i/>
        </w:rPr>
        <w:t>D</w:t>
      </w:r>
      <w:r w:rsidRPr="007A3B83">
        <w:rPr>
          <w:rFonts w:eastAsia="Times New Roman" w:cs="Times New Roman"/>
          <w:i/>
        </w:rPr>
        <w:t>istributions under the Companies Act 2006, Tech 02/10</w:t>
      </w:r>
      <w:r w:rsidRPr="007A3B83">
        <w:rPr>
          <w:rFonts w:eastAsia="Times New Roman" w:cs="Times New Roman"/>
        </w:rPr>
        <w:t>. London: Institute of Chartered Accountants in England and Wales; and Edinburgh: Institute of Chartered Accountants of Scotland.</w:t>
      </w:r>
    </w:p>
    <w:p w14:paraId="7484FA7F" w14:textId="7918E27F" w:rsidR="005505B9" w:rsidRDefault="005505B9" w:rsidP="007A3B83">
      <w:pPr>
        <w:spacing w:after="120" w:line="240" w:lineRule="auto"/>
        <w:ind w:left="360" w:hanging="360"/>
        <w:rPr>
          <w:rFonts w:eastAsia="Times New Roman" w:cs="Times New Roman"/>
        </w:rPr>
      </w:pPr>
      <w:r>
        <w:rPr>
          <w:rFonts w:eastAsia="Times New Roman" w:cs="Times New Roman"/>
        </w:rPr>
        <w:t>IIRC</w:t>
      </w:r>
      <w:r w:rsidR="007A3B83" w:rsidRPr="007A3B83">
        <w:rPr>
          <w:rFonts w:eastAsia="Times New Roman" w:cs="Times New Roman"/>
        </w:rPr>
        <w:t xml:space="preserve">, 2013. </w:t>
      </w:r>
      <w:r w:rsidR="00AB6BFD">
        <w:rPr>
          <w:rFonts w:eastAsia="Times New Roman" w:cs="Times New Roman"/>
          <w:i/>
        </w:rPr>
        <w:t>T</w:t>
      </w:r>
      <w:r w:rsidR="007A3B83" w:rsidRPr="007A3B83">
        <w:rPr>
          <w:rFonts w:eastAsia="Times New Roman" w:cs="Times New Roman"/>
          <w:i/>
        </w:rPr>
        <w:t xml:space="preserve">he </w:t>
      </w:r>
      <w:r w:rsidR="00662903">
        <w:rPr>
          <w:rFonts w:eastAsia="Times New Roman" w:cs="Times New Roman"/>
          <w:i/>
        </w:rPr>
        <w:t>I</w:t>
      </w:r>
      <w:r w:rsidR="007A3B83" w:rsidRPr="007A3B83">
        <w:rPr>
          <w:rFonts w:eastAsia="Times New Roman" w:cs="Times New Roman"/>
          <w:i/>
        </w:rPr>
        <w:t xml:space="preserve">nternational &lt;IR&gt; </w:t>
      </w:r>
      <w:r w:rsidR="00662903">
        <w:rPr>
          <w:rFonts w:eastAsia="Times New Roman" w:cs="Times New Roman"/>
          <w:i/>
        </w:rPr>
        <w:t>F</w:t>
      </w:r>
      <w:r w:rsidR="007A3B83" w:rsidRPr="007A3B83">
        <w:rPr>
          <w:rFonts w:eastAsia="Times New Roman" w:cs="Times New Roman"/>
          <w:i/>
        </w:rPr>
        <w:t>ramework</w:t>
      </w:r>
      <w:r w:rsidR="007A3B83" w:rsidRPr="007A3B83">
        <w:rPr>
          <w:rFonts w:eastAsia="Times New Roman" w:cs="Times New Roman"/>
        </w:rPr>
        <w:t xml:space="preserve">. </w:t>
      </w:r>
      <w:r>
        <w:rPr>
          <w:rFonts w:eastAsia="Times New Roman" w:cs="Times New Roman"/>
        </w:rPr>
        <w:t xml:space="preserve">London: International </w:t>
      </w:r>
      <w:r w:rsidRPr="007A3B83">
        <w:rPr>
          <w:rFonts w:eastAsia="Times New Roman" w:cs="Times New Roman"/>
        </w:rPr>
        <w:t>Integrated Reporting Council</w:t>
      </w:r>
      <w:r>
        <w:rPr>
          <w:rFonts w:eastAsia="Times New Roman" w:cs="Times New Roman"/>
        </w:rPr>
        <w:t>.</w:t>
      </w:r>
      <w:r w:rsidRPr="007A3B83">
        <w:rPr>
          <w:rFonts w:eastAsia="Times New Roman" w:cs="Times New Roman"/>
        </w:rPr>
        <w:t xml:space="preserve"> </w:t>
      </w:r>
      <w:r w:rsidR="007A3B83" w:rsidRPr="007A3B83">
        <w:rPr>
          <w:rFonts w:eastAsia="Times New Roman" w:cs="Times New Roman"/>
        </w:rPr>
        <w:t xml:space="preserve">Available from: </w:t>
      </w:r>
      <w:hyperlink r:id="rId8" w:history="1">
        <w:r w:rsidRPr="00E137D7">
          <w:rPr>
            <w:rStyle w:val="Hyperlink"/>
            <w:rFonts w:eastAsia="Times New Roman" w:cs="Times New Roman"/>
          </w:rPr>
          <w:t>http://www.theiirc.org/wp-content/uploads/2013/12/13-12-08-THE-INTERNATIONAL-IR-FRAMEWORK-2-1.pdf</w:t>
        </w:r>
      </w:hyperlink>
    </w:p>
    <w:p w14:paraId="2C8ADC24" w14:textId="44E37CDF" w:rsidR="007A3B83" w:rsidRPr="007A3B83" w:rsidRDefault="007A3B83" w:rsidP="007A3B83">
      <w:pPr>
        <w:spacing w:after="120" w:line="240" w:lineRule="auto"/>
        <w:ind w:left="360" w:hanging="360"/>
        <w:rPr>
          <w:rFonts w:eastAsia="Times New Roman" w:cs="Times New Roman"/>
        </w:rPr>
      </w:pPr>
      <w:r w:rsidRPr="007A3B83">
        <w:rPr>
          <w:rFonts w:eastAsia="Times New Roman" w:cs="Times New Roman"/>
        </w:rPr>
        <w:t xml:space="preserve">James, S.R. and Nobes, C.W., 2013. </w:t>
      </w:r>
      <w:r w:rsidRPr="007A3B83">
        <w:rPr>
          <w:rFonts w:eastAsia="Times New Roman" w:cs="Times New Roman"/>
          <w:i/>
        </w:rPr>
        <w:t xml:space="preserve">The </w:t>
      </w:r>
      <w:r w:rsidR="00662903">
        <w:rPr>
          <w:rFonts w:eastAsia="Times New Roman" w:cs="Times New Roman"/>
          <w:i/>
        </w:rPr>
        <w:t>E</w:t>
      </w:r>
      <w:r w:rsidRPr="007A3B83">
        <w:rPr>
          <w:rFonts w:eastAsia="Times New Roman" w:cs="Times New Roman"/>
          <w:i/>
        </w:rPr>
        <w:t xml:space="preserve">conomics of </w:t>
      </w:r>
      <w:r w:rsidR="00662903">
        <w:rPr>
          <w:rFonts w:eastAsia="Times New Roman" w:cs="Times New Roman"/>
          <w:i/>
        </w:rPr>
        <w:t>T</w:t>
      </w:r>
      <w:r w:rsidRPr="007A3B83">
        <w:rPr>
          <w:rFonts w:eastAsia="Times New Roman" w:cs="Times New Roman"/>
          <w:i/>
        </w:rPr>
        <w:t>axation</w:t>
      </w:r>
      <w:r w:rsidRPr="007A3B83">
        <w:rPr>
          <w:rFonts w:eastAsia="Times New Roman" w:cs="Times New Roman"/>
        </w:rPr>
        <w:t>. Birmingham: Fiscal Publications.</w:t>
      </w:r>
    </w:p>
    <w:p w14:paraId="662C0A3F" w14:textId="49E80D16" w:rsidR="007A3B83" w:rsidRDefault="007A3B83" w:rsidP="007A3B83">
      <w:pPr>
        <w:spacing w:after="120" w:line="240" w:lineRule="auto"/>
        <w:ind w:left="360" w:hanging="360"/>
        <w:rPr>
          <w:rFonts w:eastAsia="Times New Roman" w:cs="Times New Roman"/>
        </w:rPr>
      </w:pPr>
      <w:r w:rsidRPr="007A3B83">
        <w:rPr>
          <w:rFonts w:eastAsia="Times New Roman" w:cs="Times New Roman"/>
        </w:rPr>
        <w:t>Jevons, W.S</w:t>
      </w:r>
      <w:r w:rsidR="003F3741">
        <w:rPr>
          <w:rFonts w:eastAsia="Times New Roman" w:cs="Times New Roman"/>
        </w:rPr>
        <w:t xml:space="preserve">., 1888. </w:t>
      </w:r>
      <w:r w:rsidRPr="007A3B83">
        <w:rPr>
          <w:rFonts w:eastAsia="Times New Roman" w:cs="Times New Roman"/>
          <w:i/>
        </w:rPr>
        <w:t xml:space="preserve">The </w:t>
      </w:r>
      <w:r w:rsidR="00662903">
        <w:rPr>
          <w:rFonts w:eastAsia="Times New Roman" w:cs="Times New Roman"/>
          <w:i/>
        </w:rPr>
        <w:t>T</w:t>
      </w:r>
      <w:r w:rsidRPr="007A3B83">
        <w:rPr>
          <w:rFonts w:eastAsia="Times New Roman" w:cs="Times New Roman"/>
          <w:i/>
        </w:rPr>
        <w:t xml:space="preserve">heory of </w:t>
      </w:r>
      <w:r w:rsidR="00662903">
        <w:rPr>
          <w:rFonts w:eastAsia="Times New Roman" w:cs="Times New Roman"/>
          <w:i/>
        </w:rPr>
        <w:t>P</w:t>
      </w:r>
      <w:r w:rsidRPr="007A3B83">
        <w:rPr>
          <w:rFonts w:eastAsia="Times New Roman" w:cs="Times New Roman"/>
          <w:i/>
        </w:rPr>
        <w:t xml:space="preserve">olitical </w:t>
      </w:r>
      <w:r w:rsidR="00662903">
        <w:rPr>
          <w:rFonts w:eastAsia="Times New Roman" w:cs="Times New Roman"/>
          <w:i/>
        </w:rPr>
        <w:t>E</w:t>
      </w:r>
      <w:r w:rsidRPr="007A3B83">
        <w:rPr>
          <w:rFonts w:eastAsia="Times New Roman" w:cs="Times New Roman"/>
          <w:i/>
        </w:rPr>
        <w:t>conomy</w:t>
      </w:r>
      <w:r w:rsidR="006C3380">
        <w:rPr>
          <w:rFonts w:eastAsia="Times New Roman" w:cs="Times New Roman"/>
        </w:rPr>
        <w:t>.</w:t>
      </w:r>
      <w:r w:rsidRPr="007A3B83">
        <w:rPr>
          <w:rFonts w:eastAsia="Times New Roman" w:cs="Times New Roman"/>
        </w:rPr>
        <w:t xml:space="preserve"> London: Macmillan.</w:t>
      </w:r>
    </w:p>
    <w:p w14:paraId="4292036E" w14:textId="0BC9A973" w:rsidR="0088626A" w:rsidRPr="007A3B83" w:rsidRDefault="0088626A" w:rsidP="007A3B83">
      <w:pPr>
        <w:spacing w:after="120" w:line="240" w:lineRule="auto"/>
        <w:ind w:left="360" w:hanging="360"/>
        <w:rPr>
          <w:rFonts w:eastAsia="Times New Roman" w:cs="Times New Roman"/>
        </w:rPr>
      </w:pPr>
      <w:r>
        <w:rPr>
          <w:rFonts w:eastAsia="Times New Roman" w:cs="Times New Roman"/>
        </w:rPr>
        <w:t>Kaldor, N,, 1961. Capital accumulation and economic growth. Chapter 10 in</w:t>
      </w:r>
      <w:r w:rsidR="00F8397E">
        <w:rPr>
          <w:rFonts w:eastAsia="Times New Roman" w:cs="Times New Roman"/>
        </w:rPr>
        <w:t xml:space="preserve"> </w:t>
      </w:r>
      <w:r w:rsidR="005C3894" w:rsidRPr="005C3894">
        <w:rPr>
          <w:rFonts w:eastAsia="Times New Roman" w:cs="Times New Roman"/>
          <w:i/>
        </w:rPr>
        <w:t xml:space="preserve">The </w:t>
      </w:r>
      <w:r w:rsidR="00662903">
        <w:rPr>
          <w:rFonts w:eastAsia="Times New Roman" w:cs="Times New Roman"/>
          <w:i/>
        </w:rPr>
        <w:t>T</w:t>
      </w:r>
      <w:r w:rsidR="006F038D" w:rsidRPr="000E60F0">
        <w:rPr>
          <w:rFonts w:eastAsia="Times New Roman" w:cs="Times New Roman"/>
          <w:i/>
        </w:rPr>
        <w:t>heory of</w:t>
      </w:r>
      <w:r w:rsidR="005C3894" w:rsidRPr="005C3894">
        <w:rPr>
          <w:rFonts w:eastAsia="Times New Roman" w:cs="Times New Roman"/>
          <w:i/>
        </w:rPr>
        <w:t xml:space="preserve"> </w:t>
      </w:r>
      <w:r w:rsidR="00662903">
        <w:rPr>
          <w:rFonts w:eastAsia="Times New Roman" w:cs="Times New Roman"/>
          <w:i/>
        </w:rPr>
        <w:t>C</w:t>
      </w:r>
      <w:r w:rsidR="006F038D" w:rsidRPr="000E60F0">
        <w:rPr>
          <w:rFonts w:eastAsia="Times New Roman" w:cs="Times New Roman"/>
          <w:i/>
        </w:rPr>
        <w:t>apital</w:t>
      </w:r>
      <w:r w:rsidR="00F8397E">
        <w:rPr>
          <w:rFonts w:eastAsia="Times New Roman" w:cs="Times New Roman"/>
        </w:rPr>
        <w:t xml:space="preserve">, </w:t>
      </w:r>
      <w:r w:rsidR="00350E86">
        <w:rPr>
          <w:rFonts w:eastAsia="Times New Roman" w:cs="Times New Roman"/>
        </w:rPr>
        <w:t xml:space="preserve">F,A, Lutz and D.C. Hague, </w:t>
      </w:r>
      <w:r w:rsidR="00F8397E">
        <w:rPr>
          <w:rFonts w:eastAsia="Times New Roman" w:cs="Times New Roman"/>
        </w:rPr>
        <w:t>London: Macmillan</w:t>
      </w:r>
      <w:r w:rsidR="00350E86">
        <w:rPr>
          <w:rFonts w:eastAsia="Times New Roman" w:cs="Times New Roman"/>
        </w:rPr>
        <w:t>, 177-222.</w:t>
      </w:r>
    </w:p>
    <w:p w14:paraId="769A660E" w14:textId="62BB0C09" w:rsidR="007A3B83" w:rsidRDefault="003F3741" w:rsidP="007A3B83">
      <w:pPr>
        <w:spacing w:after="120" w:line="240" w:lineRule="auto"/>
        <w:ind w:left="360" w:hanging="360"/>
        <w:rPr>
          <w:rFonts w:eastAsia="Times New Roman" w:cs="Times New Roman"/>
        </w:rPr>
      </w:pPr>
      <w:r>
        <w:rPr>
          <w:rFonts w:eastAsia="Times New Roman" w:cs="Times New Roman"/>
        </w:rPr>
        <w:t>Kitchen, J., 1974. Law</w:t>
      </w:r>
      <w:r w:rsidR="007A3B83" w:rsidRPr="007A3B83">
        <w:rPr>
          <w:rFonts w:eastAsia="Times New Roman" w:cs="Times New Roman"/>
        </w:rPr>
        <w:t xml:space="preserve">rence Dicksee, depreciation and the double-account system. </w:t>
      </w:r>
      <w:r w:rsidR="007A3B83" w:rsidRPr="007A3B83">
        <w:rPr>
          <w:rFonts w:eastAsia="Times New Roman" w:cs="Times New Roman"/>
          <w:i/>
        </w:rPr>
        <w:t xml:space="preserve">Debits, </w:t>
      </w:r>
      <w:r w:rsidR="00662903">
        <w:rPr>
          <w:rFonts w:eastAsia="Times New Roman" w:cs="Times New Roman"/>
          <w:i/>
        </w:rPr>
        <w:t>C</w:t>
      </w:r>
      <w:r w:rsidR="007A3B83" w:rsidRPr="007A3B83">
        <w:rPr>
          <w:rFonts w:eastAsia="Times New Roman" w:cs="Times New Roman"/>
          <w:i/>
        </w:rPr>
        <w:t xml:space="preserve">redits, </w:t>
      </w:r>
      <w:r w:rsidR="00662903">
        <w:rPr>
          <w:rFonts w:eastAsia="Times New Roman" w:cs="Times New Roman"/>
          <w:i/>
        </w:rPr>
        <w:t>F</w:t>
      </w:r>
      <w:r w:rsidR="007A3B83" w:rsidRPr="007A3B83">
        <w:rPr>
          <w:rFonts w:eastAsia="Times New Roman" w:cs="Times New Roman"/>
          <w:i/>
        </w:rPr>
        <w:t xml:space="preserve">inance and </w:t>
      </w:r>
      <w:r w:rsidR="00662903">
        <w:rPr>
          <w:rFonts w:eastAsia="Times New Roman" w:cs="Times New Roman"/>
          <w:i/>
        </w:rPr>
        <w:t>P</w:t>
      </w:r>
      <w:r w:rsidR="007A3B83" w:rsidRPr="007A3B83">
        <w:rPr>
          <w:rFonts w:eastAsia="Times New Roman" w:cs="Times New Roman"/>
          <w:i/>
        </w:rPr>
        <w:t>rofits</w:t>
      </w:r>
      <w:r w:rsidR="007A3B83" w:rsidRPr="007A3B83">
        <w:rPr>
          <w:rFonts w:eastAsia="Times New Roman" w:cs="Times New Roman"/>
        </w:rPr>
        <w:t>. H.C. Edey and B.S. Yamey (eds). London: Sweet and Maxwell</w:t>
      </w:r>
      <w:r w:rsidR="00350E86">
        <w:rPr>
          <w:rFonts w:eastAsia="Times New Roman" w:cs="Times New Roman"/>
        </w:rPr>
        <w:t>, 109-130.</w:t>
      </w:r>
      <w:r w:rsidR="007A3B83" w:rsidRPr="007A3B83">
        <w:rPr>
          <w:rFonts w:eastAsia="Times New Roman" w:cs="Times New Roman"/>
        </w:rPr>
        <w:t>.</w:t>
      </w:r>
    </w:p>
    <w:p w14:paraId="1C4A11C9" w14:textId="7698B1BA" w:rsidR="00CF06F3" w:rsidRPr="007A3B83" w:rsidRDefault="00CF06F3" w:rsidP="007A3B83">
      <w:pPr>
        <w:spacing w:after="120" w:line="240" w:lineRule="auto"/>
        <w:ind w:left="360" w:hanging="360"/>
        <w:rPr>
          <w:rFonts w:eastAsia="Times New Roman" w:cs="Times New Roman"/>
        </w:rPr>
      </w:pPr>
      <w:r>
        <w:rPr>
          <w:rFonts w:eastAsia="Times New Roman" w:cs="Times New Roman"/>
        </w:rPr>
        <w:t xml:space="preserve">Kitchen, J. And Parker, R.H., 1980. </w:t>
      </w:r>
      <w:r w:rsidR="00D101F5" w:rsidRPr="00D101F5">
        <w:rPr>
          <w:rFonts w:eastAsia="Times New Roman" w:cs="Times New Roman"/>
          <w:i/>
        </w:rPr>
        <w:t xml:space="preserve">Accounting </w:t>
      </w:r>
      <w:r w:rsidR="00662903">
        <w:rPr>
          <w:rFonts w:eastAsia="Times New Roman" w:cs="Times New Roman"/>
          <w:i/>
        </w:rPr>
        <w:t>T</w:t>
      </w:r>
      <w:r w:rsidR="00D101F5" w:rsidRPr="00D101F5">
        <w:rPr>
          <w:rFonts w:eastAsia="Times New Roman" w:cs="Times New Roman"/>
          <w:i/>
        </w:rPr>
        <w:t xml:space="preserve">hought and </w:t>
      </w:r>
      <w:r w:rsidR="00662903">
        <w:rPr>
          <w:rFonts w:eastAsia="Times New Roman" w:cs="Times New Roman"/>
          <w:i/>
        </w:rPr>
        <w:t>E</w:t>
      </w:r>
      <w:r w:rsidR="00D101F5" w:rsidRPr="00D101F5">
        <w:rPr>
          <w:rFonts w:eastAsia="Times New Roman" w:cs="Times New Roman"/>
          <w:i/>
        </w:rPr>
        <w:t xml:space="preserve">ducation: </w:t>
      </w:r>
      <w:r w:rsidR="00662903">
        <w:rPr>
          <w:rFonts w:eastAsia="Times New Roman" w:cs="Times New Roman"/>
          <w:i/>
        </w:rPr>
        <w:t>S</w:t>
      </w:r>
      <w:r w:rsidR="00D101F5" w:rsidRPr="00D101F5">
        <w:rPr>
          <w:rFonts w:eastAsia="Times New Roman" w:cs="Times New Roman"/>
          <w:i/>
        </w:rPr>
        <w:t xml:space="preserve">ix English </w:t>
      </w:r>
      <w:r w:rsidR="00662903">
        <w:rPr>
          <w:rFonts w:eastAsia="Times New Roman" w:cs="Times New Roman"/>
          <w:i/>
        </w:rPr>
        <w:t>P</w:t>
      </w:r>
      <w:r w:rsidR="00D101F5" w:rsidRPr="00D101F5">
        <w:rPr>
          <w:rFonts w:eastAsia="Times New Roman" w:cs="Times New Roman"/>
          <w:i/>
        </w:rPr>
        <w:t>ioneers.</w:t>
      </w:r>
      <w:r>
        <w:rPr>
          <w:rFonts w:eastAsia="Times New Roman" w:cs="Times New Roman"/>
        </w:rPr>
        <w:t xml:space="preserve"> London: Institute of Chartered Accountants in England and Wales.</w:t>
      </w:r>
    </w:p>
    <w:p w14:paraId="609918AB" w14:textId="6DF8E45A" w:rsidR="007A3B83" w:rsidRPr="007A3B83" w:rsidRDefault="007A3B83" w:rsidP="007A3B83">
      <w:pPr>
        <w:spacing w:after="120" w:line="240" w:lineRule="auto"/>
        <w:ind w:left="360" w:hanging="360"/>
        <w:rPr>
          <w:rFonts w:eastAsia="Times New Roman" w:cs="Times New Roman"/>
        </w:rPr>
      </w:pPr>
      <w:r w:rsidRPr="007A3B83">
        <w:rPr>
          <w:rFonts w:eastAsia="Times New Roman" w:cs="Times New Roman"/>
        </w:rPr>
        <w:t xml:space="preserve">Kvaal, E. and Nobes, C.W., 2010. International differences in IFRS policy choice: a research note. </w:t>
      </w:r>
      <w:r w:rsidRPr="007A3B83">
        <w:rPr>
          <w:rFonts w:eastAsia="Times New Roman" w:cs="Times New Roman"/>
          <w:i/>
        </w:rPr>
        <w:t xml:space="preserve">Accounting and </w:t>
      </w:r>
      <w:r w:rsidR="00662903">
        <w:rPr>
          <w:rFonts w:eastAsia="Times New Roman" w:cs="Times New Roman"/>
          <w:i/>
        </w:rPr>
        <w:t>B</w:t>
      </w:r>
      <w:r w:rsidRPr="007A3B83">
        <w:rPr>
          <w:rFonts w:eastAsia="Times New Roman" w:cs="Times New Roman"/>
          <w:i/>
        </w:rPr>
        <w:t xml:space="preserve">usiness </w:t>
      </w:r>
      <w:r w:rsidR="00662903">
        <w:rPr>
          <w:rFonts w:eastAsia="Times New Roman" w:cs="Times New Roman"/>
          <w:i/>
        </w:rPr>
        <w:t>R</w:t>
      </w:r>
      <w:r w:rsidRPr="007A3B83">
        <w:rPr>
          <w:rFonts w:eastAsia="Times New Roman" w:cs="Times New Roman"/>
          <w:i/>
        </w:rPr>
        <w:t>esearch</w:t>
      </w:r>
      <w:r w:rsidRPr="007A3B83">
        <w:rPr>
          <w:rFonts w:eastAsia="Times New Roman" w:cs="Times New Roman"/>
        </w:rPr>
        <w:t>, 40 (2), 173-187.</w:t>
      </w:r>
    </w:p>
    <w:p w14:paraId="6C54515A" w14:textId="14C4D273" w:rsidR="007A3B83" w:rsidRPr="007A3B83" w:rsidRDefault="007A3B83" w:rsidP="007A3B83">
      <w:pPr>
        <w:spacing w:after="120" w:line="240" w:lineRule="auto"/>
        <w:ind w:left="360" w:hanging="360"/>
        <w:rPr>
          <w:rFonts w:eastAsia="Times New Roman" w:cs="Times New Roman"/>
        </w:rPr>
      </w:pPr>
      <w:r w:rsidRPr="007A3B83">
        <w:rPr>
          <w:rFonts w:eastAsia="Times New Roman" w:cs="Times New Roman"/>
        </w:rPr>
        <w:t xml:space="preserve">Lee, G.A., 1973. The Florentine bank ledger fragments of 1211: some new insights. </w:t>
      </w:r>
      <w:r w:rsidRPr="007A3B83">
        <w:rPr>
          <w:rFonts w:eastAsia="Times New Roman" w:cs="Times New Roman"/>
          <w:i/>
        </w:rPr>
        <w:t xml:space="preserve">Journal of </w:t>
      </w:r>
      <w:r w:rsidR="00662903">
        <w:rPr>
          <w:rFonts w:eastAsia="Times New Roman" w:cs="Times New Roman"/>
          <w:i/>
        </w:rPr>
        <w:t>A</w:t>
      </w:r>
      <w:r w:rsidRPr="007A3B83">
        <w:rPr>
          <w:rFonts w:eastAsia="Times New Roman" w:cs="Times New Roman"/>
          <w:i/>
        </w:rPr>
        <w:t xml:space="preserve">ccounting </w:t>
      </w:r>
      <w:r w:rsidR="00662903">
        <w:rPr>
          <w:rFonts w:eastAsia="Times New Roman" w:cs="Times New Roman"/>
          <w:i/>
        </w:rPr>
        <w:t>R</w:t>
      </w:r>
      <w:r w:rsidRPr="007A3B83">
        <w:rPr>
          <w:rFonts w:eastAsia="Times New Roman" w:cs="Times New Roman"/>
          <w:i/>
        </w:rPr>
        <w:t>esearch</w:t>
      </w:r>
      <w:r w:rsidRPr="007A3B83">
        <w:rPr>
          <w:rFonts w:eastAsia="Times New Roman" w:cs="Times New Roman"/>
        </w:rPr>
        <w:t>, 11 (1), 47-61.</w:t>
      </w:r>
    </w:p>
    <w:p w14:paraId="79C1E5D9" w14:textId="31A476EC" w:rsidR="007A3B83" w:rsidRDefault="007A3B83" w:rsidP="007A3B83">
      <w:pPr>
        <w:spacing w:after="120" w:line="240" w:lineRule="auto"/>
        <w:ind w:left="360" w:hanging="360"/>
        <w:rPr>
          <w:rFonts w:eastAsia="Times New Roman" w:cs="Times New Roman"/>
        </w:rPr>
      </w:pPr>
      <w:r w:rsidRPr="007A3B83">
        <w:rPr>
          <w:rFonts w:eastAsia="Times New Roman" w:cs="Times New Roman"/>
        </w:rPr>
        <w:t xml:space="preserve">Lee, G.A., 1977. The coming of age of double entry: the Giovanni Farolfi ledger of 1299-1300. </w:t>
      </w:r>
      <w:r w:rsidRPr="007A3B83">
        <w:rPr>
          <w:rFonts w:eastAsia="Times New Roman" w:cs="Times New Roman"/>
          <w:i/>
        </w:rPr>
        <w:t xml:space="preserve">Accounting </w:t>
      </w:r>
      <w:r w:rsidR="00662903">
        <w:rPr>
          <w:rFonts w:eastAsia="Times New Roman" w:cs="Times New Roman"/>
          <w:i/>
        </w:rPr>
        <w:t>H</w:t>
      </w:r>
      <w:r w:rsidRPr="007A3B83">
        <w:rPr>
          <w:rFonts w:eastAsia="Times New Roman" w:cs="Times New Roman"/>
          <w:i/>
        </w:rPr>
        <w:t xml:space="preserve">istorians </w:t>
      </w:r>
      <w:r w:rsidR="00662903">
        <w:rPr>
          <w:rFonts w:eastAsia="Times New Roman" w:cs="Times New Roman"/>
          <w:i/>
        </w:rPr>
        <w:t>J</w:t>
      </w:r>
      <w:r w:rsidRPr="007A3B83">
        <w:rPr>
          <w:rFonts w:eastAsia="Times New Roman" w:cs="Times New Roman"/>
          <w:i/>
        </w:rPr>
        <w:t>ournal</w:t>
      </w:r>
      <w:r w:rsidRPr="007A3B83">
        <w:rPr>
          <w:rFonts w:eastAsia="Times New Roman" w:cs="Times New Roman"/>
        </w:rPr>
        <w:t>, 4 (2), 79-95.</w:t>
      </w:r>
    </w:p>
    <w:p w14:paraId="1E9BB54A" w14:textId="216A7753" w:rsidR="007560CA" w:rsidRDefault="007560CA" w:rsidP="007A3B83">
      <w:pPr>
        <w:spacing w:after="120" w:line="240" w:lineRule="auto"/>
        <w:ind w:left="360" w:hanging="360"/>
        <w:rPr>
          <w:rFonts w:eastAsia="Times New Roman" w:cs="Times New Roman"/>
        </w:rPr>
      </w:pPr>
      <w:r>
        <w:rPr>
          <w:rFonts w:eastAsia="Times New Roman" w:cs="Times New Roman"/>
        </w:rPr>
        <w:t xml:space="preserve">Lee, T.A. and Parker, R.H. 1979. </w:t>
      </w:r>
      <w:r w:rsidR="00FA36C7" w:rsidRPr="005073DC">
        <w:rPr>
          <w:rFonts w:eastAsia="Times New Roman" w:cs="Times New Roman"/>
          <w:i/>
        </w:rPr>
        <w:t xml:space="preserve">The </w:t>
      </w:r>
      <w:r w:rsidR="00662903">
        <w:rPr>
          <w:rFonts w:eastAsia="Times New Roman" w:cs="Times New Roman"/>
          <w:i/>
        </w:rPr>
        <w:t>E</w:t>
      </w:r>
      <w:r w:rsidR="00FA36C7" w:rsidRPr="005073DC">
        <w:rPr>
          <w:rFonts w:eastAsia="Times New Roman" w:cs="Times New Roman"/>
          <w:i/>
        </w:rPr>
        <w:t xml:space="preserve">volution of </w:t>
      </w:r>
      <w:r w:rsidR="00662903">
        <w:rPr>
          <w:rFonts w:eastAsia="Times New Roman" w:cs="Times New Roman"/>
          <w:i/>
        </w:rPr>
        <w:t>C</w:t>
      </w:r>
      <w:r w:rsidR="00FA36C7" w:rsidRPr="005073DC">
        <w:rPr>
          <w:rFonts w:eastAsia="Times New Roman" w:cs="Times New Roman"/>
          <w:i/>
        </w:rPr>
        <w:t xml:space="preserve">orporate </w:t>
      </w:r>
      <w:r w:rsidR="00662903">
        <w:rPr>
          <w:rFonts w:eastAsia="Times New Roman" w:cs="Times New Roman"/>
          <w:i/>
        </w:rPr>
        <w:t>F</w:t>
      </w:r>
      <w:r w:rsidR="00FA36C7" w:rsidRPr="005073DC">
        <w:rPr>
          <w:rFonts w:eastAsia="Times New Roman" w:cs="Times New Roman"/>
          <w:i/>
        </w:rPr>
        <w:t xml:space="preserve">inancial </w:t>
      </w:r>
      <w:r w:rsidR="00662903">
        <w:rPr>
          <w:rFonts w:eastAsia="Times New Roman" w:cs="Times New Roman"/>
          <w:i/>
        </w:rPr>
        <w:t>R</w:t>
      </w:r>
      <w:r w:rsidR="00FA36C7" w:rsidRPr="005073DC">
        <w:rPr>
          <w:rFonts w:eastAsia="Times New Roman" w:cs="Times New Roman"/>
          <w:i/>
        </w:rPr>
        <w:t>eporting</w:t>
      </w:r>
      <w:r>
        <w:rPr>
          <w:rFonts w:eastAsia="Times New Roman" w:cs="Times New Roman"/>
        </w:rPr>
        <w:t xml:space="preserve">. </w:t>
      </w:r>
      <w:r w:rsidR="00D63177">
        <w:rPr>
          <w:rFonts w:eastAsia="Times New Roman" w:cs="Times New Roman"/>
        </w:rPr>
        <w:t xml:space="preserve">Sunbury-on-Thames: Nelson </w:t>
      </w:r>
      <w:r>
        <w:rPr>
          <w:rFonts w:eastAsia="Times New Roman" w:cs="Times New Roman"/>
        </w:rPr>
        <w:t>(reprinted in 2013, London: Routledge).</w:t>
      </w:r>
    </w:p>
    <w:p w14:paraId="56868A4F" w14:textId="77777777" w:rsidR="00DB38A7" w:rsidRDefault="00DB38A7" w:rsidP="007A3B83">
      <w:pPr>
        <w:spacing w:after="120" w:line="240" w:lineRule="auto"/>
        <w:ind w:left="360" w:hanging="360"/>
        <w:rPr>
          <w:rFonts w:eastAsia="Times New Roman" w:cs="Times New Roman"/>
        </w:rPr>
      </w:pPr>
      <w:r>
        <w:rPr>
          <w:rFonts w:eastAsia="Times New Roman" w:cs="Times New Roman"/>
        </w:rPr>
        <w:t xml:space="preserve">Macve. R. 2014. Fair value vs conservatism? Aspects of the history of accounting, auditing, business and finance from ancient Mesopotamia to modern China. </w:t>
      </w:r>
      <w:r w:rsidR="006F038D" w:rsidRPr="000E60F0">
        <w:rPr>
          <w:rFonts w:eastAsia="Times New Roman" w:cs="Times New Roman"/>
          <w:i/>
        </w:rPr>
        <w:t>British Accounting Review</w:t>
      </w:r>
      <w:r>
        <w:rPr>
          <w:rFonts w:eastAsia="Times New Roman" w:cs="Times New Roman"/>
        </w:rPr>
        <w:t xml:space="preserve">, </w:t>
      </w:r>
      <w:r w:rsidR="00A1016E">
        <w:rPr>
          <w:rFonts w:eastAsia="Times New Roman" w:cs="Times New Roman"/>
        </w:rPr>
        <w:t>forthcoming (available online).</w:t>
      </w:r>
    </w:p>
    <w:p w14:paraId="0274DBE9" w14:textId="3E6990B1" w:rsidR="0002669C" w:rsidRDefault="0002669C" w:rsidP="007A3B83">
      <w:pPr>
        <w:spacing w:after="120" w:line="240" w:lineRule="auto"/>
        <w:ind w:left="360" w:hanging="360"/>
        <w:rPr>
          <w:rFonts w:eastAsia="Times New Roman" w:cs="Times New Roman"/>
        </w:rPr>
      </w:pPr>
      <w:r>
        <w:rPr>
          <w:rFonts w:eastAsia="Times New Roman" w:cs="Times New Roman"/>
        </w:rPr>
        <w:t xml:space="preserve">Marx, K., 1887. </w:t>
      </w:r>
      <w:r w:rsidRPr="0002669C">
        <w:rPr>
          <w:rFonts w:eastAsia="Times New Roman" w:cs="Times New Roman"/>
          <w:i/>
        </w:rPr>
        <w:t xml:space="preserve">Capital. A </w:t>
      </w:r>
      <w:r w:rsidR="00662903">
        <w:rPr>
          <w:rFonts w:eastAsia="Times New Roman" w:cs="Times New Roman"/>
          <w:i/>
        </w:rPr>
        <w:t>C</w:t>
      </w:r>
      <w:r w:rsidRPr="0002669C">
        <w:rPr>
          <w:rFonts w:eastAsia="Times New Roman" w:cs="Times New Roman"/>
          <w:i/>
        </w:rPr>
        <w:t xml:space="preserve">ritical </w:t>
      </w:r>
      <w:r w:rsidR="00662903">
        <w:rPr>
          <w:rFonts w:eastAsia="Times New Roman" w:cs="Times New Roman"/>
          <w:i/>
        </w:rPr>
        <w:t>A</w:t>
      </w:r>
      <w:r w:rsidRPr="0002669C">
        <w:rPr>
          <w:rFonts w:eastAsia="Times New Roman" w:cs="Times New Roman"/>
          <w:i/>
        </w:rPr>
        <w:t xml:space="preserve">nalysis of </w:t>
      </w:r>
      <w:r w:rsidR="00662903">
        <w:rPr>
          <w:rFonts w:eastAsia="Times New Roman" w:cs="Times New Roman"/>
          <w:i/>
        </w:rPr>
        <w:t>C</w:t>
      </w:r>
      <w:r w:rsidRPr="0002669C">
        <w:rPr>
          <w:rFonts w:eastAsia="Times New Roman" w:cs="Times New Roman"/>
          <w:i/>
        </w:rPr>
        <w:t xml:space="preserve">apitalist </w:t>
      </w:r>
      <w:r w:rsidR="00662903">
        <w:rPr>
          <w:rFonts w:eastAsia="Times New Roman" w:cs="Times New Roman"/>
          <w:i/>
        </w:rPr>
        <w:t>P</w:t>
      </w:r>
      <w:r w:rsidRPr="0002669C">
        <w:rPr>
          <w:rFonts w:eastAsia="Times New Roman" w:cs="Times New Roman"/>
          <w:i/>
        </w:rPr>
        <w:t>roduction</w:t>
      </w:r>
      <w:r>
        <w:rPr>
          <w:rFonts w:eastAsia="Times New Roman" w:cs="Times New Roman"/>
        </w:rPr>
        <w:t>. Edited by F. Engels, Moscow: Progress Publishers, as reprinted in 1974, London: Lawrence and Wishart.</w:t>
      </w:r>
    </w:p>
    <w:p w14:paraId="582519A3" w14:textId="63AF07E4" w:rsidR="006700CB" w:rsidRPr="007A3B83" w:rsidRDefault="00F77D05" w:rsidP="007A3B83">
      <w:pPr>
        <w:spacing w:after="120" w:line="240" w:lineRule="auto"/>
        <w:ind w:left="360" w:hanging="360"/>
        <w:rPr>
          <w:rFonts w:eastAsia="Times New Roman" w:cs="Times New Roman"/>
        </w:rPr>
      </w:pPr>
      <w:r>
        <w:rPr>
          <w:rFonts w:eastAsia="Times New Roman" w:cs="Times New Roman"/>
        </w:rPr>
        <w:t>McCartney, S. a</w:t>
      </w:r>
      <w:r w:rsidR="006700CB">
        <w:rPr>
          <w:rFonts w:eastAsia="Times New Roman" w:cs="Times New Roman"/>
        </w:rPr>
        <w:t xml:space="preserve">nd Arnold, A.J. 2012. Financial capitalism, incorporation and the emergence of </w:t>
      </w:r>
      <w:r w:rsidR="006C3380">
        <w:rPr>
          <w:rFonts w:eastAsia="Times New Roman" w:cs="Times New Roman"/>
        </w:rPr>
        <w:t>financial reporting information.</w:t>
      </w:r>
      <w:r w:rsidR="006700CB">
        <w:rPr>
          <w:rFonts w:eastAsia="Times New Roman" w:cs="Times New Roman"/>
        </w:rPr>
        <w:t xml:space="preserve"> </w:t>
      </w:r>
      <w:r w:rsidR="00D101F5" w:rsidRPr="00D101F5">
        <w:rPr>
          <w:rFonts w:eastAsia="Times New Roman" w:cs="Times New Roman"/>
          <w:i/>
        </w:rPr>
        <w:t xml:space="preserve">Accounting, </w:t>
      </w:r>
      <w:r w:rsidR="00662903">
        <w:rPr>
          <w:rFonts w:eastAsia="Times New Roman" w:cs="Times New Roman"/>
          <w:i/>
        </w:rPr>
        <w:t>A</w:t>
      </w:r>
      <w:r w:rsidR="00CC25D3">
        <w:rPr>
          <w:rFonts w:eastAsia="Times New Roman" w:cs="Times New Roman"/>
          <w:i/>
        </w:rPr>
        <w:t>uditing &amp;</w:t>
      </w:r>
      <w:r w:rsidR="00D101F5" w:rsidRPr="00D101F5">
        <w:rPr>
          <w:rFonts w:eastAsia="Times New Roman" w:cs="Times New Roman"/>
          <w:i/>
        </w:rPr>
        <w:t xml:space="preserve"> </w:t>
      </w:r>
      <w:r w:rsidR="00662903">
        <w:rPr>
          <w:rFonts w:eastAsia="Times New Roman" w:cs="Times New Roman"/>
          <w:i/>
        </w:rPr>
        <w:t>A</w:t>
      </w:r>
      <w:r w:rsidR="00D101F5" w:rsidRPr="00D101F5">
        <w:rPr>
          <w:rFonts w:eastAsia="Times New Roman" w:cs="Times New Roman"/>
          <w:i/>
        </w:rPr>
        <w:t xml:space="preserve">ccountability </w:t>
      </w:r>
      <w:r w:rsidR="00662903">
        <w:rPr>
          <w:rFonts w:eastAsia="Times New Roman" w:cs="Times New Roman"/>
          <w:i/>
        </w:rPr>
        <w:t>J</w:t>
      </w:r>
      <w:r w:rsidR="00D101F5" w:rsidRPr="00D101F5">
        <w:rPr>
          <w:rFonts w:eastAsia="Times New Roman" w:cs="Times New Roman"/>
          <w:i/>
        </w:rPr>
        <w:t>ournal</w:t>
      </w:r>
      <w:r w:rsidR="006700CB">
        <w:rPr>
          <w:rFonts w:eastAsia="Times New Roman" w:cs="Times New Roman"/>
        </w:rPr>
        <w:t>, 25</w:t>
      </w:r>
      <w:r w:rsidR="00946C93">
        <w:rPr>
          <w:rFonts w:eastAsia="Times New Roman" w:cs="Times New Roman"/>
        </w:rPr>
        <w:t xml:space="preserve"> </w:t>
      </w:r>
      <w:r w:rsidR="006700CB">
        <w:rPr>
          <w:rFonts w:eastAsia="Times New Roman" w:cs="Times New Roman"/>
        </w:rPr>
        <w:t>(8), 1290-1316.</w:t>
      </w:r>
    </w:p>
    <w:p w14:paraId="22557190" w14:textId="209ADA46" w:rsidR="007A3B83" w:rsidRPr="007A3B83" w:rsidRDefault="003F3741" w:rsidP="007A3B83">
      <w:pPr>
        <w:spacing w:after="120" w:line="240" w:lineRule="auto"/>
        <w:ind w:left="360" w:hanging="360"/>
        <w:rPr>
          <w:rFonts w:eastAsia="Times New Roman" w:cs="Times New Roman"/>
        </w:rPr>
      </w:pPr>
      <w:r>
        <w:rPr>
          <w:rFonts w:eastAsia="Times New Roman" w:cs="Times New Roman"/>
        </w:rPr>
        <w:t xml:space="preserve">McGregor, W., 2013. </w:t>
      </w:r>
      <w:r w:rsidR="007A3B83" w:rsidRPr="007A3B83">
        <w:rPr>
          <w:rFonts w:eastAsia="Times New Roman" w:cs="Times New Roman"/>
          <w:i/>
        </w:rPr>
        <w:t xml:space="preserve">Liabilities – </w:t>
      </w:r>
      <w:r w:rsidR="00662903">
        <w:rPr>
          <w:rFonts w:eastAsia="Times New Roman" w:cs="Times New Roman"/>
          <w:i/>
        </w:rPr>
        <w:t>T</w:t>
      </w:r>
      <w:r w:rsidR="007A3B83" w:rsidRPr="007A3B83">
        <w:rPr>
          <w:rFonts w:eastAsia="Times New Roman" w:cs="Times New Roman"/>
          <w:i/>
        </w:rPr>
        <w:t xml:space="preserve">he </w:t>
      </w:r>
      <w:r w:rsidR="00662903">
        <w:rPr>
          <w:rFonts w:eastAsia="Times New Roman" w:cs="Times New Roman"/>
          <w:i/>
        </w:rPr>
        <w:t>N</w:t>
      </w:r>
      <w:r w:rsidR="007A3B83" w:rsidRPr="007A3B83">
        <w:rPr>
          <w:rFonts w:eastAsia="Times New Roman" w:cs="Times New Roman"/>
          <w:i/>
        </w:rPr>
        <w:t xml:space="preserve">eglected </w:t>
      </w:r>
      <w:r w:rsidR="00662903">
        <w:rPr>
          <w:rFonts w:eastAsia="Times New Roman" w:cs="Times New Roman"/>
          <w:i/>
        </w:rPr>
        <w:t>E</w:t>
      </w:r>
      <w:r w:rsidR="007A3B83" w:rsidRPr="007A3B83">
        <w:rPr>
          <w:rFonts w:eastAsia="Times New Roman" w:cs="Times New Roman"/>
          <w:i/>
        </w:rPr>
        <w:t xml:space="preserve">lement: </w:t>
      </w:r>
      <w:r w:rsidR="00662903">
        <w:rPr>
          <w:rFonts w:eastAsia="Times New Roman" w:cs="Times New Roman"/>
          <w:i/>
        </w:rPr>
        <w:t>A</w:t>
      </w:r>
      <w:r w:rsidR="007A3B83" w:rsidRPr="007A3B83">
        <w:rPr>
          <w:rFonts w:eastAsia="Times New Roman" w:cs="Times New Roman"/>
          <w:i/>
        </w:rPr>
        <w:t xml:space="preserve"> </w:t>
      </w:r>
      <w:r w:rsidR="00662903">
        <w:rPr>
          <w:rFonts w:eastAsia="Times New Roman" w:cs="Times New Roman"/>
          <w:i/>
        </w:rPr>
        <w:t>C</w:t>
      </w:r>
      <w:r w:rsidR="007A3B83" w:rsidRPr="007A3B83">
        <w:rPr>
          <w:rFonts w:eastAsia="Times New Roman" w:cs="Times New Roman"/>
          <w:i/>
        </w:rPr>
        <w:t xml:space="preserve">onceptual </w:t>
      </w:r>
      <w:r w:rsidR="00662903">
        <w:rPr>
          <w:rFonts w:eastAsia="Times New Roman" w:cs="Times New Roman"/>
          <w:i/>
        </w:rPr>
        <w:t>A</w:t>
      </w:r>
      <w:r w:rsidR="007A3B83" w:rsidRPr="007A3B83">
        <w:rPr>
          <w:rFonts w:eastAsia="Times New Roman" w:cs="Times New Roman"/>
          <w:i/>
        </w:rPr>
        <w:t xml:space="preserve">nalysis of the </w:t>
      </w:r>
      <w:r w:rsidR="00662903">
        <w:rPr>
          <w:rFonts w:eastAsia="Times New Roman" w:cs="Times New Roman"/>
          <w:i/>
        </w:rPr>
        <w:t>F</w:t>
      </w:r>
      <w:r w:rsidR="007A3B83" w:rsidRPr="007A3B83">
        <w:rPr>
          <w:rFonts w:eastAsia="Times New Roman" w:cs="Times New Roman"/>
          <w:i/>
        </w:rPr>
        <w:t xml:space="preserve">inancial </w:t>
      </w:r>
      <w:r w:rsidR="00662903">
        <w:rPr>
          <w:rFonts w:eastAsia="Times New Roman" w:cs="Times New Roman"/>
          <w:i/>
        </w:rPr>
        <w:t>R</w:t>
      </w:r>
      <w:r w:rsidR="007A3B83" w:rsidRPr="007A3B83">
        <w:rPr>
          <w:rFonts w:eastAsia="Times New Roman" w:cs="Times New Roman"/>
          <w:i/>
        </w:rPr>
        <w:t xml:space="preserve">eporting of </w:t>
      </w:r>
      <w:r w:rsidR="00662903">
        <w:rPr>
          <w:rFonts w:eastAsia="Times New Roman" w:cs="Times New Roman"/>
          <w:i/>
        </w:rPr>
        <w:t>L</w:t>
      </w:r>
      <w:r w:rsidR="007A3B83" w:rsidRPr="007A3B83">
        <w:rPr>
          <w:rFonts w:eastAsia="Times New Roman" w:cs="Times New Roman"/>
          <w:i/>
        </w:rPr>
        <w:t>iabilities</w:t>
      </w:r>
      <w:r w:rsidR="007A3B83" w:rsidRPr="007A3B83">
        <w:rPr>
          <w:rFonts w:eastAsia="Times New Roman" w:cs="Times New Roman"/>
        </w:rPr>
        <w:t>. Occasional paper no. 1, Melbourne: Australian Accounting Standards Board.</w:t>
      </w:r>
    </w:p>
    <w:p w14:paraId="42F268A5" w14:textId="2AE77292" w:rsidR="007A3B83" w:rsidRPr="007A3B83" w:rsidRDefault="007A3B83" w:rsidP="007A3B83">
      <w:pPr>
        <w:spacing w:after="120" w:line="240" w:lineRule="auto"/>
        <w:ind w:left="360" w:hanging="360"/>
        <w:rPr>
          <w:rFonts w:eastAsia="Times New Roman" w:cs="Times New Roman"/>
        </w:rPr>
      </w:pPr>
      <w:r w:rsidRPr="007A3B83">
        <w:rPr>
          <w:rFonts w:eastAsia="Times New Roman" w:cs="Times New Roman"/>
        </w:rPr>
        <w:t xml:space="preserve">Mellis, J., 1588. </w:t>
      </w:r>
      <w:r w:rsidR="0002669C">
        <w:rPr>
          <w:rFonts w:eastAsia="Times New Roman" w:cs="Times New Roman"/>
          <w:i/>
        </w:rPr>
        <w:t xml:space="preserve">A </w:t>
      </w:r>
      <w:r w:rsidR="00662903">
        <w:rPr>
          <w:rFonts w:eastAsia="Times New Roman" w:cs="Times New Roman"/>
          <w:i/>
        </w:rPr>
        <w:t>B</w:t>
      </w:r>
      <w:r w:rsidR="0002669C">
        <w:rPr>
          <w:rFonts w:eastAsia="Times New Roman" w:cs="Times New Roman"/>
          <w:i/>
        </w:rPr>
        <w:t xml:space="preserve">riefe </w:t>
      </w:r>
      <w:r w:rsidR="00662903">
        <w:rPr>
          <w:rFonts w:eastAsia="Times New Roman" w:cs="Times New Roman"/>
          <w:i/>
        </w:rPr>
        <w:t>I</w:t>
      </w:r>
      <w:r w:rsidR="0002669C">
        <w:rPr>
          <w:rFonts w:eastAsia="Times New Roman" w:cs="Times New Roman"/>
          <w:i/>
        </w:rPr>
        <w:t>nstruction</w:t>
      </w:r>
      <w:r w:rsidR="00717F26">
        <w:rPr>
          <w:rFonts w:eastAsia="Times New Roman" w:cs="Times New Roman"/>
          <w:i/>
        </w:rPr>
        <w:t>,</w:t>
      </w:r>
      <w:r w:rsidR="0002669C">
        <w:rPr>
          <w:rFonts w:eastAsia="Times New Roman" w:cs="Times New Roman"/>
          <w:i/>
        </w:rPr>
        <w:t xml:space="preserve"> and </w:t>
      </w:r>
      <w:r w:rsidR="00662903">
        <w:rPr>
          <w:rFonts w:eastAsia="Times New Roman" w:cs="Times New Roman"/>
          <w:i/>
        </w:rPr>
        <w:t>M</w:t>
      </w:r>
      <w:r w:rsidR="0002669C">
        <w:rPr>
          <w:rFonts w:eastAsia="Times New Roman" w:cs="Times New Roman"/>
          <w:i/>
        </w:rPr>
        <w:t>aner</w:t>
      </w:r>
      <w:r w:rsidR="00717F26">
        <w:rPr>
          <w:rFonts w:eastAsia="Times New Roman" w:cs="Times New Roman"/>
          <w:i/>
        </w:rPr>
        <w:t>,</w:t>
      </w:r>
      <w:r w:rsidR="0002669C">
        <w:rPr>
          <w:rFonts w:eastAsia="Times New Roman" w:cs="Times New Roman"/>
          <w:i/>
        </w:rPr>
        <w:t xml:space="preserve"> </w:t>
      </w:r>
      <w:r w:rsidR="00662903">
        <w:rPr>
          <w:rFonts w:eastAsia="Times New Roman" w:cs="Times New Roman"/>
          <w:i/>
        </w:rPr>
        <w:t>H</w:t>
      </w:r>
      <w:r w:rsidR="0002669C">
        <w:rPr>
          <w:rFonts w:eastAsia="Times New Roman" w:cs="Times New Roman"/>
          <w:i/>
        </w:rPr>
        <w:t xml:space="preserve">ow to </w:t>
      </w:r>
      <w:r w:rsidR="00662903">
        <w:rPr>
          <w:rFonts w:eastAsia="Times New Roman" w:cs="Times New Roman"/>
          <w:i/>
        </w:rPr>
        <w:t>K</w:t>
      </w:r>
      <w:r w:rsidR="0002669C">
        <w:rPr>
          <w:rFonts w:eastAsia="Times New Roman" w:cs="Times New Roman"/>
          <w:i/>
        </w:rPr>
        <w:t xml:space="preserve">eepe </w:t>
      </w:r>
      <w:r w:rsidR="00946C93">
        <w:rPr>
          <w:rFonts w:eastAsia="Times New Roman" w:cs="Times New Roman"/>
          <w:i/>
        </w:rPr>
        <w:t>B</w:t>
      </w:r>
      <w:r w:rsidR="0002669C">
        <w:rPr>
          <w:rFonts w:eastAsia="Times New Roman" w:cs="Times New Roman"/>
          <w:i/>
        </w:rPr>
        <w:t xml:space="preserve">ookes of </w:t>
      </w:r>
      <w:r w:rsidR="00946C93">
        <w:rPr>
          <w:rFonts w:eastAsia="Times New Roman" w:cs="Times New Roman"/>
          <w:i/>
        </w:rPr>
        <w:t>A</w:t>
      </w:r>
      <w:r w:rsidR="0002669C">
        <w:rPr>
          <w:rFonts w:eastAsia="Times New Roman" w:cs="Times New Roman"/>
          <w:i/>
        </w:rPr>
        <w:t>cc</w:t>
      </w:r>
      <w:r w:rsidR="005F1AA2">
        <w:rPr>
          <w:rFonts w:eastAsia="Times New Roman" w:cs="Times New Roman"/>
          <w:i/>
        </w:rPr>
        <w:t>ompts</w:t>
      </w:r>
      <w:r w:rsidR="0002669C">
        <w:rPr>
          <w:rFonts w:eastAsia="Times New Roman" w:cs="Times New Roman"/>
          <w:i/>
        </w:rPr>
        <w:t xml:space="preserve">. </w:t>
      </w:r>
      <w:r w:rsidR="003F3741">
        <w:rPr>
          <w:rFonts w:eastAsia="Times New Roman" w:cs="Times New Roman"/>
        </w:rPr>
        <w:t xml:space="preserve">London: </w:t>
      </w:r>
      <w:r w:rsidRPr="007A3B83">
        <w:rPr>
          <w:rFonts w:eastAsia="Times New Roman" w:cs="Times New Roman"/>
        </w:rPr>
        <w:t>John Windet.</w:t>
      </w:r>
    </w:p>
    <w:p w14:paraId="68A558C8" w14:textId="37EC5B36" w:rsidR="007A3B83" w:rsidRPr="007A3B83" w:rsidRDefault="003F3741" w:rsidP="007A3B83">
      <w:pPr>
        <w:spacing w:after="120" w:line="240" w:lineRule="auto"/>
        <w:ind w:left="360" w:hanging="360"/>
        <w:rPr>
          <w:rFonts w:eastAsia="Times New Roman" w:cs="Times New Roman"/>
        </w:rPr>
      </w:pPr>
      <w:r>
        <w:rPr>
          <w:rFonts w:eastAsia="Times New Roman" w:cs="Times New Roman"/>
        </w:rPr>
        <w:t xml:space="preserve">Mill, J.S., 1848. </w:t>
      </w:r>
      <w:r w:rsidR="007A3B83" w:rsidRPr="007A3B83">
        <w:rPr>
          <w:rFonts w:eastAsia="Times New Roman" w:cs="Times New Roman"/>
          <w:i/>
        </w:rPr>
        <w:t xml:space="preserve">Principles of </w:t>
      </w:r>
      <w:r w:rsidR="00946C93">
        <w:rPr>
          <w:rFonts w:eastAsia="Times New Roman" w:cs="Times New Roman"/>
          <w:i/>
        </w:rPr>
        <w:t>P</w:t>
      </w:r>
      <w:r w:rsidR="007A3B83" w:rsidRPr="007A3B83">
        <w:rPr>
          <w:rFonts w:eastAsia="Times New Roman" w:cs="Times New Roman"/>
          <w:i/>
        </w:rPr>
        <w:t xml:space="preserve">olitical </w:t>
      </w:r>
      <w:r w:rsidR="00946C93">
        <w:rPr>
          <w:rFonts w:eastAsia="Times New Roman" w:cs="Times New Roman"/>
          <w:i/>
        </w:rPr>
        <w:t>E</w:t>
      </w:r>
      <w:r w:rsidR="007A3B83" w:rsidRPr="007A3B83">
        <w:rPr>
          <w:rFonts w:eastAsia="Times New Roman" w:cs="Times New Roman"/>
          <w:i/>
        </w:rPr>
        <w:t>conomy</w:t>
      </w:r>
      <w:r w:rsidR="007A3B83" w:rsidRPr="007A3B83">
        <w:rPr>
          <w:rFonts w:eastAsia="Times New Roman" w:cs="Times New Roman"/>
        </w:rPr>
        <w:t>. London: Longmans, Green and Co.</w:t>
      </w:r>
    </w:p>
    <w:p w14:paraId="2A4BDE81" w14:textId="5A22BB99" w:rsidR="007A3B83" w:rsidRDefault="007A3B83" w:rsidP="007A3B83">
      <w:pPr>
        <w:spacing w:after="120" w:line="240" w:lineRule="auto"/>
        <w:ind w:left="360" w:hanging="360"/>
        <w:rPr>
          <w:rFonts w:eastAsia="Times New Roman" w:cs="Times New Roman"/>
        </w:rPr>
      </w:pPr>
      <w:r w:rsidRPr="007A3B83">
        <w:rPr>
          <w:rFonts w:eastAsia="Times New Roman" w:cs="Times New Roman"/>
        </w:rPr>
        <w:t>Morris, R.D., 198</w:t>
      </w:r>
      <w:r w:rsidR="003F3741">
        <w:rPr>
          <w:rFonts w:eastAsia="Times New Roman" w:cs="Times New Roman"/>
        </w:rPr>
        <w:t xml:space="preserve">6. </w:t>
      </w:r>
      <w:r w:rsidRPr="007A3B83">
        <w:rPr>
          <w:rFonts w:eastAsia="Times New Roman" w:cs="Times New Roman"/>
        </w:rPr>
        <w:t xml:space="preserve">Lee v. Neuchatel Asphalte Company (1989) and depreciation accounting: two empirical studies.  </w:t>
      </w:r>
      <w:r w:rsidRPr="007A3B83">
        <w:rPr>
          <w:rFonts w:eastAsia="Times New Roman" w:cs="Times New Roman"/>
          <w:i/>
        </w:rPr>
        <w:t xml:space="preserve">Accounting and </w:t>
      </w:r>
      <w:r w:rsidR="00946C93">
        <w:rPr>
          <w:rFonts w:eastAsia="Times New Roman" w:cs="Times New Roman"/>
          <w:i/>
        </w:rPr>
        <w:t>B</w:t>
      </w:r>
      <w:r w:rsidRPr="007A3B83">
        <w:rPr>
          <w:rFonts w:eastAsia="Times New Roman" w:cs="Times New Roman"/>
          <w:i/>
        </w:rPr>
        <w:t xml:space="preserve">usiness </w:t>
      </w:r>
      <w:r w:rsidR="00946C93">
        <w:rPr>
          <w:rFonts w:eastAsia="Times New Roman" w:cs="Times New Roman"/>
          <w:i/>
        </w:rPr>
        <w:t>R</w:t>
      </w:r>
      <w:r w:rsidRPr="007A3B83">
        <w:rPr>
          <w:rFonts w:eastAsia="Times New Roman" w:cs="Times New Roman"/>
          <w:i/>
        </w:rPr>
        <w:t>esearch</w:t>
      </w:r>
      <w:r w:rsidRPr="007A3B83">
        <w:rPr>
          <w:rFonts w:eastAsia="Times New Roman" w:cs="Times New Roman"/>
        </w:rPr>
        <w:t>, 17 (65), 71-81.</w:t>
      </w:r>
    </w:p>
    <w:p w14:paraId="3BA3B947" w14:textId="0C2EF186" w:rsidR="00A87ED9" w:rsidRDefault="00A87ED9" w:rsidP="007A3B83">
      <w:pPr>
        <w:spacing w:after="120" w:line="240" w:lineRule="auto"/>
        <w:ind w:left="360" w:hanging="360"/>
        <w:rPr>
          <w:rFonts w:eastAsia="Times New Roman" w:cs="Times New Roman"/>
        </w:rPr>
      </w:pPr>
      <w:r w:rsidRPr="007A3B83">
        <w:rPr>
          <w:rFonts w:eastAsia="Times New Roman" w:cs="Times New Roman"/>
        </w:rPr>
        <w:t>Morris, R.D., 19</w:t>
      </w:r>
      <w:r>
        <w:rPr>
          <w:rFonts w:eastAsia="Times New Roman" w:cs="Times New Roman"/>
        </w:rPr>
        <w:t xml:space="preserve">91. Distributable profit in Britain since 1980: a critical appraisal. </w:t>
      </w:r>
      <w:r w:rsidRPr="00F77D05">
        <w:rPr>
          <w:rFonts w:eastAsia="Times New Roman" w:cs="Times New Roman"/>
          <w:i/>
        </w:rPr>
        <w:t>Abacus</w:t>
      </w:r>
      <w:r>
        <w:rPr>
          <w:rFonts w:eastAsia="Times New Roman" w:cs="Times New Roman"/>
        </w:rPr>
        <w:t>, 27</w:t>
      </w:r>
      <w:r w:rsidR="00946C93">
        <w:rPr>
          <w:rFonts w:eastAsia="Times New Roman" w:cs="Times New Roman"/>
        </w:rPr>
        <w:t xml:space="preserve"> </w:t>
      </w:r>
      <w:r>
        <w:rPr>
          <w:rFonts w:eastAsia="Times New Roman" w:cs="Times New Roman"/>
        </w:rPr>
        <w:t>(1), 15-31.</w:t>
      </w:r>
    </w:p>
    <w:p w14:paraId="1307BE66" w14:textId="35F43F1F" w:rsidR="004E17DB" w:rsidRDefault="003F1DE1" w:rsidP="004E17DB">
      <w:pPr>
        <w:spacing w:after="120" w:line="240" w:lineRule="auto"/>
        <w:ind w:left="360" w:hanging="360"/>
        <w:rPr>
          <w:rFonts w:eastAsia="Times New Roman" w:cs="Times New Roman"/>
        </w:rPr>
      </w:pPr>
      <w:r>
        <w:rPr>
          <w:rFonts w:eastAsia="Times New Roman" w:cs="Times New Roman"/>
        </w:rPr>
        <w:t xml:space="preserve">Mumford, M., </w:t>
      </w:r>
      <w:r>
        <w:t xml:space="preserve">1979. The end of a familiar inflation accounting cycle. </w:t>
      </w:r>
      <w:r w:rsidRPr="007A3B83">
        <w:rPr>
          <w:rFonts w:eastAsia="Times New Roman" w:cs="Times New Roman"/>
          <w:i/>
        </w:rPr>
        <w:t xml:space="preserve">Accounting and </w:t>
      </w:r>
      <w:r w:rsidR="00946C93">
        <w:rPr>
          <w:rFonts w:eastAsia="Times New Roman" w:cs="Times New Roman"/>
          <w:i/>
        </w:rPr>
        <w:t>B</w:t>
      </w:r>
      <w:r w:rsidRPr="007A3B83">
        <w:rPr>
          <w:rFonts w:eastAsia="Times New Roman" w:cs="Times New Roman"/>
          <w:i/>
        </w:rPr>
        <w:t xml:space="preserve">usiness </w:t>
      </w:r>
      <w:r w:rsidR="00946C93">
        <w:rPr>
          <w:rFonts w:eastAsia="Times New Roman" w:cs="Times New Roman"/>
          <w:i/>
        </w:rPr>
        <w:t>R</w:t>
      </w:r>
      <w:r w:rsidRPr="007A3B83">
        <w:rPr>
          <w:rFonts w:eastAsia="Times New Roman" w:cs="Times New Roman"/>
          <w:i/>
        </w:rPr>
        <w:t>esearch</w:t>
      </w:r>
      <w:r>
        <w:rPr>
          <w:rFonts w:eastAsia="Times New Roman" w:cs="Times New Roman"/>
          <w:i/>
        </w:rPr>
        <w:t xml:space="preserve">, </w:t>
      </w:r>
      <w:r w:rsidRPr="003F1DE1">
        <w:rPr>
          <w:rFonts w:eastAsia="Times New Roman" w:cs="Times New Roman"/>
        </w:rPr>
        <w:t>9 (34), 98-104.</w:t>
      </w:r>
    </w:p>
    <w:p w14:paraId="2B200E39" w14:textId="6ABB75EF" w:rsidR="003F1DE1" w:rsidRPr="007A3B83" w:rsidRDefault="004E17DB" w:rsidP="004E17DB">
      <w:pPr>
        <w:spacing w:after="120" w:line="240" w:lineRule="auto"/>
        <w:ind w:left="360" w:hanging="360"/>
        <w:rPr>
          <w:rFonts w:eastAsia="Times New Roman" w:cs="Times New Roman"/>
        </w:rPr>
      </w:pPr>
      <w:r>
        <w:rPr>
          <w:rFonts w:eastAsia="Times New Roman" w:cs="Times New Roman"/>
        </w:rPr>
        <w:t>Napier, C., 1990. Fixed asset accounting in the shipping industry: P&amp;O 1840-1914</w:t>
      </w:r>
      <w:r w:rsidR="00D63177">
        <w:rPr>
          <w:rFonts w:eastAsia="Times New Roman" w:cs="Times New Roman"/>
        </w:rPr>
        <w:t xml:space="preserve">. </w:t>
      </w:r>
      <w:r w:rsidRPr="005073DC">
        <w:rPr>
          <w:rFonts w:eastAsia="Times New Roman" w:cs="Times New Roman"/>
          <w:i/>
        </w:rPr>
        <w:t>Accounting, Business and Financial History</w:t>
      </w:r>
      <w:r w:rsidR="00D63177">
        <w:rPr>
          <w:rFonts w:eastAsia="Times New Roman" w:cs="Times New Roman"/>
          <w:i/>
        </w:rPr>
        <w:t xml:space="preserve">, </w:t>
      </w:r>
      <w:r w:rsidR="00D63177" w:rsidRPr="005073DC">
        <w:rPr>
          <w:rFonts w:eastAsia="Times New Roman" w:cs="Times New Roman"/>
        </w:rPr>
        <w:t>1</w:t>
      </w:r>
      <w:r w:rsidR="00946C93">
        <w:rPr>
          <w:rFonts w:eastAsia="Times New Roman" w:cs="Times New Roman"/>
        </w:rPr>
        <w:t xml:space="preserve"> </w:t>
      </w:r>
      <w:r w:rsidR="00D63177" w:rsidRPr="005073DC">
        <w:rPr>
          <w:rFonts w:eastAsia="Times New Roman" w:cs="Times New Roman"/>
        </w:rPr>
        <w:t>(1), 23-50</w:t>
      </w:r>
      <w:r w:rsidRPr="007A3B83">
        <w:rPr>
          <w:rFonts w:eastAsia="Times New Roman" w:cs="Times New Roman"/>
        </w:rPr>
        <w:t>.</w:t>
      </w:r>
    </w:p>
    <w:p w14:paraId="07CE58E8" w14:textId="77777777" w:rsidR="007A3B83" w:rsidRPr="007A3B83" w:rsidRDefault="00906D22" w:rsidP="007A3B83">
      <w:pPr>
        <w:spacing w:after="120" w:line="240" w:lineRule="auto"/>
        <w:ind w:left="360" w:hanging="360"/>
        <w:rPr>
          <w:rFonts w:eastAsia="Times New Roman" w:cs="Times New Roman"/>
        </w:rPr>
      </w:pPr>
      <w:r>
        <w:rPr>
          <w:rFonts w:eastAsia="Times New Roman" w:cs="Times New Roman"/>
        </w:rPr>
        <w:t>Napier, C., 199</w:t>
      </w:r>
      <w:r w:rsidR="003F3741">
        <w:rPr>
          <w:rFonts w:eastAsia="Times New Roman" w:cs="Times New Roman"/>
        </w:rPr>
        <w:t xml:space="preserve">7. </w:t>
      </w:r>
      <w:r w:rsidR="007A3B83" w:rsidRPr="007A3B83">
        <w:rPr>
          <w:rFonts w:eastAsia="Times New Roman" w:cs="Times New Roman"/>
        </w:rPr>
        <w:t xml:space="preserve">The British aristocracy, capital and income, and nineteenth century company accounting. Paper presented at the </w:t>
      </w:r>
      <w:r w:rsidR="007A3B83" w:rsidRPr="005073DC">
        <w:rPr>
          <w:rFonts w:eastAsia="Times New Roman" w:cs="Times New Roman"/>
          <w:i/>
        </w:rPr>
        <w:t>Accounting, Business and Financial History</w:t>
      </w:r>
      <w:r w:rsidR="007A3B83" w:rsidRPr="007A3B83">
        <w:rPr>
          <w:rFonts w:eastAsia="Times New Roman" w:cs="Times New Roman"/>
        </w:rPr>
        <w:t xml:space="preserve"> confere</w:t>
      </w:r>
      <w:r>
        <w:rPr>
          <w:rFonts w:eastAsia="Times New Roman" w:cs="Times New Roman"/>
        </w:rPr>
        <w:t>nce, Cardiff, 17 September</w:t>
      </w:r>
      <w:r w:rsidR="007A3B83" w:rsidRPr="007A3B83">
        <w:rPr>
          <w:rFonts w:eastAsia="Times New Roman" w:cs="Times New Roman"/>
        </w:rPr>
        <w:t>.</w:t>
      </w:r>
    </w:p>
    <w:p w14:paraId="1235789A" w14:textId="76264C5F" w:rsidR="007A3B83" w:rsidRPr="007A3B83" w:rsidRDefault="007A3B83" w:rsidP="007A3B83">
      <w:pPr>
        <w:spacing w:line="240" w:lineRule="auto"/>
        <w:ind w:left="540" w:hanging="540"/>
        <w:rPr>
          <w:rFonts w:ascii="Times New Roman" w:eastAsia="Times New Roman" w:hAnsi="Times New Roman" w:cs="Times New Roman"/>
        </w:rPr>
      </w:pPr>
      <w:r w:rsidRPr="007A3B83">
        <w:rPr>
          <w:rFonts w:eastAsia="Times New Roman" w:cs="Times New Roman"/>
        </w:rPr>
        <w:t>Nobes, C.W., 1982.</w:t>
      </w:r>
      <w:r w:rsidRPr="007A3B83">
        <w:rPr>
          <w:rFonts w:ascii="Times New Roman" w:eastAsia="Times New Roman" w:hAnsi="Times New Roman" w:cs="Times New Roman"/>
          <w:i/>
        </w:rPr>
        <w:t xml:space="preserve"> </w:t>
      </w:r>
      <w:r w:rsidRPr="007A3B83">
        <w:rPr>
          <w:rFonts w:ascii="Times New Roman" w:eastAsia="Times New Roman" w:hAnsi="Times New Roman" w:cs="Times New Roman"/>
        </w:rPr>
        <w:t xml:space="preserve">The Gallerani account book of 1305-1308. </w:t>
      </w:r>
      <w:r w:rsidRPr="007A3B83">
        <w:rPr>
          <w:rFonts w:ascii="Times New Roman" w:eastAsia="Times New Roman" w:hAnsi="Times New Roman" w:cs="Times New Roman"/>
          <w:i/>
        </w:rPr>
        <w:t xml:space="preserve">Accounting </w:t>
      </w:r>
      <w:r w:rsidR="00946C93">
        <w:rPr>
          <w:rFonts w:ascii="Times New Roman" w:eastAsia="Times New Roman" w:hAnsi="Times New Roman" w:cs="Times New Roman"/>
          <w:i/>
        </w:rPr>
        <w:t>R</w:t>
      </w:r>
      <w:r w:rsidRPr="007A3B83">
        <w:rPr>
          <w:rFonts w:ascii="Times New Roman" w:eastAsia="Times New Roman" w:hAnsi="Times New Roman" w:cs="Times New Roman"/>
          <w:i/>
        </w:rPr>
        <w:t>eview</w:t>
      </w:r>
      <w:r w:rsidRPr="007A3B83">
        <w:rPr>
          <w:rFonts w:ascii="Times New Roman" w:eastAsia="Times New Roman" w:hAnsi="Times New Roman" w:cs="Times New Roman"/>
        </w:rPr>
        <w:t>, 57 (2), 303-10.</w:t>
      </w:r>
    </w:p>
    <w:p w14:paraId="286067E4" w14:textId="33D6A57E" w:rsidR="007A3B83" w:rsidRPr="007A3B83" w:rsidRDefault="007A3B83" w:rsidP="007A3B83">
      <w:pPr>
        <w:spacing w:after="120" w:line="240" w:lineRule="auto"/>
        <w:ind w:left="360" w:hanging="360"/>
        <w:jc w:val="both"/>
        <w:rPr>
          <w:rFonts w:eastAsia="Times New Roman" w:cs="Times New Roman"/>
        </w:rPr>
      </w:pPr>
      <w:r w:rsidRPr="007A3B83">
        <w:rPr>
          <w:rFonts w:eastAsia="Times New Roman" w:cs="Times New Roman"/>
        </w:rPr>
        <w:t>Nobes, C.W., 1983. The evolution of the harmonising provisions of the 198</w:t>
      </w:r>
      <w:r w:rsidR="006C3380">
        <w:rPr>
          <w:rFonts w:eastAsia="Times New Roman" w:cs="Times New Roman"/>
        </w:rPr>
        <w:t xml:space="preserve">0 and 1981 Companies Acts. </w:t>
      </w:r>
      <w:r w:rsidRPr="007A3B83">
        <w:rPr>
          <w:rFonts w:eastAsia="Times New Roman" w:cs="Times New Roman"/>
          <w:i/>
        </w:rPr>
        <w:t xml:space="preserve">Accounting and </w:t>
      </w:r>
      <w:r w:rsidR="00946C93">
        <w:rPr>
          <w:rFonts w:eastAsia="Times New Roman" w:cs="Times New Roman"/>
          <w:i/>
        </w:rPr>
        <w:t>B</w:t>
      </w:r>
      <w:r w:rsidRPr="007A3B83">
        <w:rPr>
          <w:rFonts w:eastAsia="Times New Roman" w:cs="Times New Roman"/>
          <w:i/>
        </w:rPr>
        <w:t xml:space="preserve">usiness </w:t>
      </w:r>
      <w:r w:rsidR="00946C93">
        <w:rPr>
          <w:rFonts w:eastAsia="Times New Roman" w:cs="Times New Roman"/>
          <w:i/>
        </w:rPr>
        <w:t>R</w:t>
      </w:r>
      <w:r w:rsidRPr="007A3B83">
        <w:rPr>
          <w:rFonts w:eastAsia="Times New Roman" w:cs="Times New Roman"/>
          <w:i/>
        </w:rPr>
        <w:t>esearch</w:t>
      </w:r>
      <w:r w:rsidR="00946C93">
        <w:rPr>
          <w:rFonts w:eastAsia="Times New Roman" w:cs="Times New Roman"/>
          <w:i/>
        </w:rPr>
        <w:t xml:space="preserve">, </w:t>
      </w:r>
      <w:r w:rsidR="00946C93" w:rsidRPr="00946C93">
        <w:rPr>
          <w:rFonts w:eastAsia="Times New Roman" w:cs="Times New Roman"/>
        </w:rPr>
        <w:t>14</w:t>
      </w:r>
      <w:r w:rsidRPr="007A3B83">
        <w:rPr>
          <w:rFonts w:eastAsia="Times New Roman" w:cs="Times New Roman"/>
        </w:rPr>
        <w:t xml:space="preserve"> (</w:t>
      </w:r>
      <w:r w:rsidR="00946C93">
        <w:rPr>
          <w:rFonts w:eastAsia="Times New Roman" w:cs="Times New Roman"/>
        </w:rPr>
        <w:t>53</w:t>
      </w:r>
      <w:r w:rsidRPr="007A3B83">
        <w:rPr>
          <w:rFonts w:eastAsia="Times New Roman" w:cs="Times New Roman"/>
        </w:rPr>
        <w:t>), 43-53.</w:t>
      </w:r>
    </w:p>
    <w:p w14:paraId="157E554C" w14:textId="6D8A2576" w:rsidR="007A3B83" w:rsidRPr="007A3B83" w:rsidRDefault="007A3B83" w:rsidP="007A3B83">
      <w:pPr>
        <w:keepNext/>
        <w:keepLines/>
        <w:tabs>
          <w:tab w:val="left" w:pos="1080"/>
        </w:tabs>
        <w:spacing w:line="240" w:lineRule="auto"/>
        <w:ind w:left="540" w:hanging="540"/>
        <w:rPr>
          <w:rFonts w:ascii="Times New Roman" w:eastAsia="Times New Roman" w:hAnsi="Times New Roman" w:cs="Times New Roman"/>
        </w:rPr>
      </w:pPr>
      <w:r w:rsidRPr="007A3B83">
        <w:rPr>
          <w:rFonts w:ascii="Times New Roman" w:eastAsia="Times New Roman" w:hAnsi="Times New Roman" w:cs="Times New Roman"/>
        </w:rPr>
        <w:t xml:space="preserve">Nobes, C.W., 2011. On relief value versus fair value for </w:t>
      </w:r>
      <w:r w:rsidR="006C3380">
        <w:rPr>
          <w:rFonts w:ascii="Times New Roman" w:eastAsia="Times New Roman" w:hAnsi="Times New Roman" w:cs="Times New Roman"/>
        </w:rPr>
        <w:t xml:space="preserve">the measurement of liabilities. </w:t>
      </w:r>
      <w:r w:rsidRPr="007A3B83">
        <w:rPr>
          <w:rFonts w:ascii="Times New Roman" w:eastAsia="Times New Roman" w:hAnsi="Times New Roman" w:cs="Times New Roman"/>
          <w:i/>
        </w:rPr>
        <w:t xml:space="preserve">Accounting and </w:t>
      </w:r>
      <w:r w:rsidR="00946C93">
        <w:rPr>
          <w:rFonts w:ascii="Times New Roman" w:eastAsia="Times New Roman" w:hAnsi="Times New Roman" w:cs="Times New Roman"/>
          <w:i/>
        </w:rPr>
        <w:t>B</w:t>
      </w:r>
      <w:r w:rsidRPr="007A3B83">
        <w:rPr>
          <w:rFonts w:ascii="Times New Roman" w:eastAsia="Times New Roman" w:hAnsi="Times New Roman" w:cs="Times New Roman"/>
          <w:i/>
        </w:rPr>
        <w:t xml:space="preserve">usiness </w:t>
      </w:r>
      <w:r w:rsidR="00946C93">
        <w:rPr>
          <w:rFonts w:ascii="Times New Roman" w:eastAsia="Times New Roman" w:hAnsi="Times New Roman" w:cs="Times New Roman"/>
          <w:i/>
        </w:rPr>
        <w:t>R</w:t>
      </w:r>
      <w:r w:rsidRPr="007A3B83">
        <w:rPr>
          <w:rFonts w:ascii="Times New Roman" w:eastAsia="Times New Roman" w:hAnsi="Times New Roman" w:cs="Times New Roman"/>
          <w:i/>
        </w:rPr>
        <w:t>esearch</w:t>
      </w:r>
      <w:r w:rsidRPr="007A3B83">
        <w:rPr>
          <w:rFonts w:ascii="Times New Roman" w:eastAsia="Times New Roman" w:hAnsi="Times New Roman" w:cs="Times New Roman"/>
        </w:rPr>
        <w:t>, 41 (5), 515-524.</w:t>
      </w:r>
    </w:p>
    <w:p w14:paraId="2A9AF251" w14:textId="09669E26" w:rsidR="007A3B83" w:rsidRPr="007A3B83" w:rsidRDefault="007A3B83" w:rsidP="007A3B83">
      <w:pPr>
        <w:keepNext/>
        <w:keepLines/>
        <w:tabs>
          <w:tab w:val="left" w:pos="1080"/>
        </w:tabs>
        <w:spacing w:line="240" w:lineRule="auto"/>
        <w:ind w:left="540" w:hanging="540"/>
        <w:rPr>
          <w:rFonts w:ascii="Times New Roman" w:eastAsia="Times New Roman" w:hAnsi="Times New Roman" w:cs="Times New Roman"/>
        </w:rPr>
      </w:pPr>
      <w:r w:rsidRPr="007A3B83">
        <w:rPr>
          <w:rFonts w:ascii="Times New Roman" w:eastAsia="Times New Roman" w:hAnsi="Times New Roman" w:cs="Times New Roman"/>
        </w:rPr>
        <w:t xml:space="preserve">Nobes, C.W., 2012. On the definitions </w:t>
      </w:r>
      <w:r w:rsidR="006C3380">
        <w:rPr>
          <w:rFonts w:ascii="Times New Roman" w:eastAsia="Times New Roman" w:hAnsi="Times New Roman" w:cs="Times New Roman"/>
        </w:rPr>
        <w:t xml:space="preserve">of income and revenue in IFRS. </w:t>
      </w:r>
      <w:r w:rsidRPr="007A3B83">
        <w:rPr>
          <w:rFonts w:ascii="Times New Roman" w:eastAsia="Times New Roman" w:hAnsi="Times New Roman" w:cs="Times New Roman"/>
          <w:i/>
        </w:rPr>
        <w:t>Accounting in Europe</w:t>
      </w:r>
      <w:r w:rsidRPr="007A3B83">
        <w:rPr>
          <w:rFonts w:ascii="Times New Roman" w:eastAsia="Times New Roman" w:hAnsi="Times New Roman" w:cs="Times New Roman"/>
        </w:rPr>
        <w:t>, 9 (2), 85-94.</w:t>
      </w:r>
    </w:p>
    <w:p w14:paraId="154EDFA0" w14:textId="6A677660" w:rsidR="007A3B83" w:rsidRPr="007A3B83" w:rsidRDefault="007A3B83" w:rsidP="007A3B83">
      <w:pPr>
        <w:spacing w:after="120" w:line="240" w:lineRule="auto"/>
        <w:ind w:left="360" w:hanging="360"/>
        <w:rPr>
          <w:rFonts w:eastAsia="Times New Roman" w:cs="Times New Roman"/>
        </w:rPr>
      </w:pPr>
      <w:r w:rsidRPr="007A3B83">
        <w:rPr>
          <w:rFonts w:eastAsia="Times New Roman" w:cs="Times New Roman"/>
        </w:rPr>
        <w:t>Nobes</w:t>
      </w:r>
      <w:r w:rsidR="003F3741">
        <w:rPr>
          <w:rFonts w:eastAsia="Times New Roman" w:cs="Times New Roman"/>
        </w:rPr>
        <w:t xml:space="preserve">, C.W. and Parker, R.H., 2012. </w:t>
      </w:r>
      <w:r w:rsidRPr="007A3B83">
        <w:rPr>
          <w:rFonts w:eastAsia="Times New Roman" w:cs="Times New Roman"/>
          <w:i/>
        </w:rPr>
        <w:t xml:space="preserve">Comparative </w:t>
      </w:r>
      <w:r w:rsidR="00946C93">
        <w:rPr>
          <w:rFonts w:eastAsia="Times New Roman" w:cs="Times New Roman"/>
          <w:i/>
        </w:rPr>
        <w:t>I</w:t>
      </w:r>
      <w:r w:rsidRPr="007A3B83">
        <w:rPr>
          <w:rFonts w:eastAsia="Times New Roman" w:cs="Times New Roman"/>
          <w:i/>
        </w:rPr>
        <w:t xml:space="preserve">nternational </w:t>
      </w:r>
      <w:r w:rsidR="00946C93">
        <w:rPr>
          <w:rFonts w:eastAsia="Times New Roman" w:cs="Times New Roman"/>
          <w:i/>
        </w:rPr>
        <w:t>A</w:t>
      </w:r>
      <w:r w:rsidRPr="007A3B83">
        <w:rPr>
          <w:rFonts w:eastAsia="Times New Roman" w:cs="Times New Roman"/>
          <w:i/>
        </w:rPr>
        <w:t>ccounting</w:t>
      </w:r>
      <w:r w:rsidRPr="007A3B83">
        <w:rPr>
          <w:rFonts w:eastAsia="Times New Roman" w:cs="Times New Roman"/>
        </w:rPr>
        <w:t>, Harlow: Prentice-Hall.</w:t>
      </w:r>
    </w:p>
    <w:p w14:paraId="0DE5BA92" w14:textId="68689968" w:rsidR="007A3B83" w:rsidRPr="007A3B83" w:rsidRDefault="003F3741" w:rsidP="007A3B83">
      <w:pPr>
        <w:spacing w:after="120" w:line="240" w:lineRule="auto"/>
        <w:ind w:left="360" w:hanging="360"/>
        <w:rPr>
          <w:rFonts w:eastAsia="Times New Roman" w:cs="Times New Roman"/>
        </w:rPr>
      </w:pPr>
      <w:r>
        <w:rPr>
          <w:rFonts w:eastAsia="Times New Roman" w:cs="Times New Roman"/>
        </w:rPr>
        <w:t xml:space="preserve">Noke, C.W., 1981. </w:t>
      </w:r>
      <w:r w:rsidR="007A3B83" w:rsidRPr="007A3B83">
        <w:rPr>
          <w:rFonts w:eastAsia="Times New Roman" w:cs="Times New Roman"/>
        </w:rPr>
        <w:t xml:space="preserve">Accounting for bailiffship </w:t>
      </w:r>
      <w:r w:rsidR="006C3380">
        <w:rPr>
          <w:rFonts w:eastAsia="Times New Roman" w:cs="Times New Roman"/>
        </w:rPr>
        <w:t xml:space="preserve">in thirteenth century England. </w:t>
      </w:r>
      <w:r w:rsidR="007A3B83" w:rsidRPr="007A3B83">
        <w:rPr>
          <w:rFonts w:eastAsia="Times New Roman" w:cs="Times New Roman"/>
          <w:i/>
        </w:rPr>
        <w:t xml:space="preserve">Accounting and </w:t>
      </w:r>
      <w:r w:rsidR="00946C93">
        <w:rPr>
          <w:rFonts w:eastAsia="Times New Roman" w:cs="Times New Roman"/>
          <w:i/>
        </w:rPr>
        <w:t>B</w:t>
      </w:r>
      <w:r w:rsidR="007A3B83" w:rsidRPr="007A3B83">
        <w:rPr>
          <w:rFonts w:eastAsia="Times New Roman" w:cs="Times New Roman"/>
          <w:i/>
        </w:rPr>
        <w:t xml:space="preserve">usiness </w:t>
      </w:r>
      <w:r w:rsidR="00946C93">
        <w:rPr>
          <w:rFonts w:eastAsia="Times New Roman" w:cs="Times New Roman"/>
          <w:i/>
        </w:rPr>
        <w:t>R</w:t>
      </w:r>
      <w:r w:rsidR="007A3B83" w:rsidRPr="007A3B83">
        <w:rPr>
          <w:rFonts w:eastAsia="Times New Roman" w:cs="Times New Roman"/>
          <w:i/>
        </w:rPr>
        <w:t xml:space="preserve">esearch, </w:t>
      </w:r>
      <w:r w:rsidR="007A3B83" w:rsidRPr="007A3B83">
        <w:rPr>
          <w:rFonts w:eastAsia="Times New Roman" w:cs="Times New Roman"/>
        </w:rPr>
        <w:t>11 (42), 137-151.</w:t>
      </w:r>
    </w:p>
    <w:p w14:paraId="4133246B" w14:textId="2CDA893E" w:rsidR="007A3B83" w:rsidRPr="007A3B83" w:rsidRDefault="003F3741" w:rsidP="007A3B83">
      <w:pPr>
        <w:spacing w:after="120" w:line="240" w:lineRule="auto"/>
        <w:ind w:left="360" w:hanging="360"/>
        <w:rPr>
          <w:rFonts w:eastAsia="Times New Roman" w:cs="Times New Roman"/>
        </w:rPr>
      </w:pPr>
      <w:r>
        <w:rPr>
          <w:rFonts w:eastAsia="Times New Roman" w:cs="Times New Roman"/>
        </w:rPr>
        <w:t xml:space="preserve">Pacioli, L., 1523. </w:t>
      </w:r>
      <w:r w:rsidR="007A3B83" w:rsidRPr="007A3B83">
        <w:rPr>
          <w:rFonts w:eastAsia="Times New Roman" w:cs="Times New Roman"/>
          <w:i/>
        </w:rPr>
        <w:t xml:space="preserve">Summa de </w:t>
      </w:r>
      <w:r w:rsidR="00946C93">
        <w:rPr>
          <w:rFonts w:eastAsia="Times New Roman" w:cs="Times New Roman"/>
          <w:i/>
        </w:rPr>
        <w:t>A</w:t>
      </w:r>
      <w:r w:rsidR="007A3B83" w:rsidRPr="007A3B83">
        <w:rPr>
          <w:rFonts w:eastAsia="Times New Roman" w:cs="Times New Roman"/>
          <w:i/>
        </w:rPr>
        <w:t xml:space="preserve">rithmetica </w:t>
      </w:r>
      <w:r w:rsidR="00946C93">
        <w:rPr>
          <w:rFonts w:eastAsia="Times New Roman" w:cs="Times New Roman"/>
          <w:i/>
        </w:rPr>
        <w:t>G</w:t>
      </w:r>
      <w:r w:rsidR="007A3B83" w:rsidRPr="007A3B83">
        <w:rPr>
          <w:rFonts w:eastAsia="Times New Roman" w:cs="Times New Roman"/>
          <w:i/>
        </w:rPr>
        <w:t xml:space="preserve">eometria.  </w:t>
      </w:r>
      <w:r w:rsidR="00946C93">
        <w:rPr>
          <w:rFonts w:eastAsia="Times New Roman" w:cs="Times New Roman"/>
          <w:i/>
        </w:rPr>
        <w:t>P</w:t>
      </w:r>
      <w:r w:rsidR="007A3B83" w:rsidRPr="007A3B83">
        <w:rPr>
          <w:rFonts w:eastAsia="Times New Roman" w:cs="Times New Roman"/>
          <w:i/>
        </w:rPr>
        <w:t xml:space="preserve">roportioni: et </w:t>
      </w:r>
      <w:r w:rsidR="00946C93">
        <w:rPr>
          <w:rFonts w:eastAsia="Times New Roman" w:cs="Times New Roman"/>
          <w:i/>
        </w:rPr>
        <w:t>P</w:t>
      </w:r>
      <w:r w:rsidR="007A3B83" w:rsidRPr="007A3B83">
        <w:rPr>
          <w:rFonts w:eastAsia="Times New Roman" w:cs="Times New Roman"/>
          <w:i/>
        </w:rPr>
        <w:t>roportionalita</w:t>
      </w:r>
      <w:r w:rsidR="007A3B83" w:rsidRPr="007A3B83">
        <w:rPr>
          <w:rFonts w:eastAsia="Times New Roman" w:cs="Times New Roman"/>
        </w:rPr>
        <w:t>.</w:t>
      </w:r>
      <w:r w:rsidR="009A53B6">
        <w:rPr>
          <w:rStyle w:val="FootnoteReference"/>
          <w:rFonts w:eastAsia="Times New Roman" w:cs="Times New Roman"/>
        </w:rPr>
        <w:footnoteReference w:id="57"/>
      </w:r>
      <w:r w:rsidR="007A3B83" w:rsidRPr="007A3B83">
        <w:rPr>
          <w:rFonts w:eastAsia="Times New Roman" w:cs="Times New Roman"/>
        </w:rPr>
        <w:t xml:space="preserve"> Venice: Paganini; as reprinted in Toscolano in 1523.</w:t>
      </w:r>
    </w:p>
    <w:p w14:paraId="6208EB3F" w14:textId="66873821" w:rsidR="00906D22" w:rsidRDefault="007A3B83" w:rsidP="00906D22">
      <w:pPr>
        <w:spacing w:after="120" w:line="240" w:lineRule="auto"/>
        <w:ind w:left="360" w:hanging="360"/>
        <w:rPr>
          <w:rFonts w:eastAsia="Times New Roman" w:cs="Times New Roman"/>
        </w:rPr>
      </w:pPr>
      <w:r w:rsidRPr="007A3B83">
        <w:rPr>
          <w:rFonts w:eastAsia="Times New Roman" w:cs="Times New Roman"/>
        </w:rPr>
        <w:t xml:space="preserve">Parker, R.H., 1994. Finding English words to talk about accounting concepts.  </w:t>
      </w:r>
      <w:r w:rsidRPr="007A3B83">
        <w:rPr>
          <w:rFonts w:eastAsia="Times New Roman" w:cs="Times New Roman"/>
          <w:i/>
        </w:rPr>
        <w:t xml:space="preserve">Accounting, </w:t>
      </w:r>
      <w:r w:rsidR="00946C93">
        <w:rPr>
          <w:rFonts w:eastAsia="Times New Roman" w:cs="Times New Roman"/>
          <w:i/>
        </w:rPr>
        <w:t>A</w:t>
      </w:r>
      <w:r w:rsidRPr="007A3B83">
        <w:rPr>
          <w:rFonts w:eastAsia="Times New Roman" w:cs="Times New Roman"/>
          <w:i/>
        </w:rPr>
        <w:t xml:space="preserve">uditing &amp; </w:t>
      </w:r>
      <w:r w:rsidR="00946C93">
        <w:rPr>
          <w:rFonts w:eastAsia="Times New Roman" w:cs="Times New Roman"/>
          <w:i/>
        </w:rPr>
        <w:t>A</w:t>
      </w:r>
      <w:r w:rsidRPr="007A3B83">
        <w:rPr>
          <w:rFonts w:eastAsia="Times New Roman" w:cs="Times New Roman"/>
          <w:i/>
        </w:rPr>
        <w:t xml:space="preserve">ccountability </w:t>
      </w:r>
      <w:r w:rsidR="00946C93">
        <w:rPr>
          <w:rFonts w:eastAsia="Times New Roman" w:cs="Times New Roman"/>
          <w:i/>
        </w:rPr>
        <w:t>J</w:t>
      </w:r>
      <w:r w:rsidRPr="007A3B83">
        <w:rPr>
          <w:rFonts w:eastAsia="Times New Roman" w:cs="Times New Roman"/>
          <w:i/>
        </w:rPr>
        <w:t>ournal</w:t>
      </w:r>
      <w:r w:rsidRPr="007A3B83">
        <w:rPr>
          <w:rFonts w:eastAsia="Times New Roman" w:cs="Times New Roman"/>
        </w:rPr>
        <w:t>, 7 (2), 70-85.</w:t>
      </w:r>
      <w:r w:rsidR="00906D22" w:rsidRPr="00906D22">
        <w:rPr>
          <w:rFonts w:eastAsia="Times New Roman" w:cs="Times New Roman"/>
        </w:rPr>
        <w:t xml:space="preserve"> </w:t>
      </w:r>
    </w:p>
    <w:p w14:paraId="0B35A994" w14:textId="00B3886D" w:rsidR="007A3B83" w:rsidRPr="007A3B83" w:rsidRDefault="00906D22" w:rsidP="00906D22">
      <w:pPr>
        <w:spacing w:after="120" w:line="240" w:lineRule="auto"/>
        <w:ind w:left="360" w:hanging="360"/>
        <w:rPr>
          <w:rFonts w:eastAsia="Times New Roman" w:cs="Times New Roman"/>
        </w:rPr>
      </w:pPr>
      <w:r w:rsidRPr="007A3B83">
        <w:rPr>
          <w:rFonts w:eastAsia="Times New Roman" w:cs="Times New Roman"/>
        </w:rPr>
        <w:t xml:space="preserve">Parker, R.H., </w:t>
      </w:r>
      <w:r>
        <w:rPr>
          <w:rFonts w:eastAsia="Times New Roman" w:cs="Times New Roman"/>
        </w:rPr>
        <w:t>Harcourt, G.C.</w:t>
      </w:r>
      <w:r w:rsidRPr="007A3B83">
        <w:rPr>
          <w:rFonts w:eastAsia="Times New Roman" w:cs="Times New Roman"/>
        </w:rPr>
        <w:t xml:space="preserve"> and Whittington, G., (eds.) 1986. </w:t>
      </w:r>
      <w:r w:rsidRPr="007A3B83">
        <w:rPr>
          <w:rFonts w:eastAsia="Times New Roman" w:cs="Times New Roman"/>
          <w:i/>
          <w:iCs/>
        </w:rPr>
        <w:t xml:space="preserve">Readings in the </w:t>
      </w:r>
      <w:r w:rsidR="00946C93">
        <w:rPr>
          <w:rFonts w:eastAsia="Times New Roman" w:cs="Times New Roman"/>
          <w:i/>
          <w:iCs/>
        </w:rPr>
        <w:t>C</w:t>
      </w:r>
      <w:r w:rsidRPr="007A3B83">
        <w:rPr>
          <w:rFonts w:eastAsia="Times New Roman" w:cs="Times New Roman"/>
          <w:i/>
          <w:iCs/>
        </w:rPr>
        <w:t xml:space="preserve">oncept and </w:t>
      </w:r>
      <w:r w:rsidR="00946C93">
        <w:rPr>
          <w:rFonts w:eastAsia="Times New Roman" w:cs="Times New Roman"/>
          <w:i/>
          <w:iCs/>
        </w:rPr>
        <w:t>M</w:t>
      </w:r>
      <w:r w:rsidRPr="007A3B83">
        <w:rPr>
          <w:rFonts w:eastAsia="Times New Roman" w:cs="Times New Roman"/>
          <w:i/>
          <w:iCs/>
        </w:rPr>
        <w:t xml:space="preserve">easurement of </w:t>
      </w:r>
      <w:r w:rsidR="00946C93">
        <w:rPr>
          <w:rFonts w:eastAsia="Times New Roman" w:cs="Times New Roman"/>
          <w:i/>
          <w:iCs/>
        </w:rPr>
        <w:t>I</w:t>
      </w:r>
      <w:r w:rsidRPr="007A3B83">
        <w:rPr>
          <w:rFonts w:eastAsia="Times New Roman" w:cs="Times New Roman"/>
          <w:i/>
          <w:iCs/>
        </w:rPr>
        <w:t>ncome.</w:t>
      </w:r>
      <w:r>
        <w:rPr>
          <w:rFonts w:eastAsia="Times New Roman" w:cs="Times New Roman"/>
        </w:rPr>
        <w:t xml:space="preserve"> Deddington: Philip Allan.</w:t>
      </w:r>
    </w:p>
    <w:p w14:paraId="24B75681" w14:textId="028579B2" w:rsidR="007A3B83" w:rsidRDefault="003F3741" w:rsidP="007A3B83">
      <w:pPr>
        <w:spacing w:after="120" w:line="240" w:lineRule="auto"/>
        <w:ind w:left="360" w:hanging="360"/>
        <w:rPr>
          <w:rFonts w:eastAsia="Times New Roman" w:cs="Times New Roman"/>
        </w:rPr>
      </w:pPr>
      <w:r>
        <w:rPr>
          <w:rFonts w:eastAsia="Times New Roman" w:cs="Times New Roman"/>
        </w:rPr>
        <w:t xml:space="preserve">Paton, W., 1922. </w:t>
      </w:r>
      <w:r w:rsidR="007A3B83" w:rsidRPr="007A3B83">
        <w:rPr>
          <w:rFonts w:eastAsia="Times New Roman" w:cs="Times New Roman"/>
          <w:i/>
        </w:rPr>
        <w:t xml:space="preserve">Accounting </w:t>
      </w:r>
      <w:r w:rsidR="00946C93">
        <w:rPr>
          <w:rFonts w:eastAsia="Times New Roman" w:cs="Times New Roman"/>
          <w:i/>
        </w:rPr>
        <w:t>T</w:t>
      </w:r>
      <w:r w:rsidR="007A3B83" w:rsidRPr="007A3B83">
        <w:rPr>
          <w:rFonts w:eastAsia="Times New Roman" w:cs="Times New Roman"/>
          <w:i/>
        </w:rPr>
        <w:t>heory</w:t>
      </w:r>
      <w:r>
        <w:rPr>
          <w:rFonts w:eastAsia="Times New Roman" w:cs="Times New Roman"/>
        </w:rPr>
        <w:t xml:space="preserve">. </w:t>
      </w:r>
      <w:r w:rsidR="007A3B83" w:rsidRPr="007A3B83">
        <w:rPr>
          <w:rFonts w:eastAsia="Times New Roman" w:cs="Times New Roman"/>
        </w:rPr>
        <w:t>As reprinted, Houston: Scholars Book Co., 1973.</w:t>
      </w:r>
    </w:p>
    <w:p w14:paraId="287E4E22" w14:textId="1AE3F8B8" w:rsidR="00036EBF" w:rsidRPr="007A3B83" w:rsidRDefault="00036EBF" w:rsidP="007A3B83">
      <w:pPr>
        <w:spacing w:after="120" w:line="240" w:lineRule="auto"/>
        <w:ind w:left="360" w:hanging="360"/>
        <w:rPr>
          <w:rFonts w:eastAsia="Times New Roman" w:cs="Times New Roman"/>
        </w:rPr>
      </w:pPr>
      <w:r>
        <w:rPr>
          <w:rFonts w:eastAsia="Times New Roman" w:cs="Times New Roman"/>
        </w:rPr>
        <w:t xml:space="preserve">Piketty, T. </w:t>
      </w:r>
      <w:r w:rsidRPr="00676889">
        <w:rPr>
          <w:rFonts w:eastAsia="Times New Roman" w:cs="Times New Roman"/>
          <w:i/>
        </w:rPr>
        <w:t xml:space="preserve">Capital in the </w:t>
      </w:r>
      <w:r w:rsidR="00946C93">
        <w:rPr>
          <w:rFonts w:eastAsia="Times New Roman" w:cs="Times New Roman"/>
          <w:i/>
        </w:rPr>
        <w:t>T</w:t>
      </w:r>
      <w:r w:rsidRPr="00676889">
        <w:rPr>
          <w:rFonts w:eastAsia="Times New Roman" w:cs="Times New Roman"/>
          <w:i/>
        </w:rPr>
        <w:t xml:space="preserve">wenty-first </w:t>
      </w:r>
      <w:r w:rsidR="00946C93">
        <w:rPr>
          <w:rFonts w:eastAsia="Times New Roman" w:cs="Times New Roman"/>
          <w:i/>
        </w:rPr>
        <w:t>C</w:t>
      </w:r>
      <w:r w:rsidRPr="00676889">
        <w:rPr>
          <w:rFonts w:eastAsia="Times New Roman" w:cs="Times New Roman"/>
          <w:i/>
        </w:rPr>
        <w:t>entury</w:t>
      </w:r>
      <w:r>
        <w:rPr>
          <w:rFonts w:eastAsia="Times New Roman" w:cs="Times New Roman"/>
        </w:rPr>
        <w:t xml:space="preserve"> (tr. A. Goldhammer). Cambridge, Mass.: Belknap Press.</w:t>
      </w:r>
    </w:p>
    <w:p w14:paraId="10883BD5" w14:textId="77777777" w:rsidR="007A3B83" w:rsidRPr="007A3B83" w:rsidRDefault="003F3741" w:rsidP="007A3B83">
      <w:pPr>
        <w:spacing w:after="120" w:line="240" w:lineRule="auto"/>
        <w:ind w:left="360" w:hanging="360"/>
        <w:rPr>
          <w:rFonts w:eastAsia="Times New Roman" w:cs="Times New Roman"/>
        </w:rPr>
      </w:pPr>
      <w:r>
        <w:rPr>
          <w:rFonts w:eastAsia="Times New Roman" w:cs="Times New Roman"/>
        </w:rPr>
        <w:t xml:space="preserve">Pollins, H., 1956. </w:t>
      </w:r>
      <w:r w:rsidR="007A3B83" w:rsidRPr="007A3B83">
        <w:rPr>
          <w:rFonts w:eastAsia="Times New Roman" w:cs="Times New Roman"/>
        </w:rPr>
        <w:t>Aspects of r</w:t>
      </w:r>
      <w:r>
        <w:rPr>
          <w:rFonts w:eastAsia="Times New Roman" w:cs="Times New Roman"/>
        </w:rPr>
        <w:t xml:space="preserve">ailway accounting before 1868. </w:t>
      </w:r>
      <w:r w:rsidR="007A3B83" w:rsidRPr="007A3B83">
        <w:rPr>
          <w:rFonts w:eastAsia="Times New Roman" w:cs="Times New Roman"/>
        </w:rPr>
        <w:t xml:space="preserve">In A.C. Littleton and B.S. Yamey (eds), </w:t>
      </w:r>
      <w:r w:rsidR="007A3B83" w:rsidRPr="007A3B83">
        <w:rPr>
          <w:rFonts w:eastAsia="Times New Roman" w:cs="Times New Roman"/>
          <w:i/>
        </w:rPr>
        <w:t>Studies in the History of Accounting</w:t>
      </w:r>
      <w:r w:rsidR="007A3B83" w:rsidRPr="007A3B83">
        <w:rPr>
          <w:rFonts w:eastAsia="Times New Roman" w:cs="Times New Roman"/>
        </w:rPr>
        <w:t>, London: Sweet and Maxwell.</w:t>
      </w:r>
    </w:p>
    <w:p w14:paraId="556C06CF" w14:textId="69AC797F" w:rsidR="007A3B83" w:rsidRDefault="003F3741" w:rsidP="007A3B83">
      <w:pPr>
        <w:spacing w:after="120" w:line="240" w:lineRule="auto"/>
        <w:ind w:left="360" w:hanging="360"/>
        <w:rPr>
          <w:rFonts w:eastAsia="Times New Roman" w:cs="Times New Roman"/>
        </w:rPr>
      </w:pPr>
      <w:r>
        <w:rPr>
          <w:rFonts w:eastAsia="Times New Roman" w:cs="Times New Roman"/>
        </w:rPr>
        <w:t xml:space="preserve">Pope, P. and Puxty, A., 1991. What is equity? </w:t>
      </w:r>
      <w:r w:rsidR="007A3B83" w:rsidRPr="007A3B83">
        <w:rPr>
          <w:rFonts w:eastAsia="Times New Roman" w:cs="Times New Roman"/>
        </w:rPr>
        <w:t xml:space="preserve">New financial instruments in the interstices between the law, accounting and economics. </w:t>
      </w:r>
      <w:r w:rsidR="007A3B83" w:rsidRPr="007A3B83">
        <w:rPr>
          <w:rFonts w:eastAsia="Times New Roman" w:cs="Times New Roman"/>
          <w:i/>
        </w:rPr>
        <w:t xml:space="preserve">Modern </w:t>
      </w:r>
      <w:r w:rsidR="00946C93">
        <w:rPr>
          <w:rFonts w:eastAsia="Times New Roman" w:cs="Times New Roman"/>
          <w:i/>
        </w:rPr>
        <w:t>L</w:t>
      </w:r>
      <w:r w:rsidR="007A3B83" w:rsidRPr="007A3B83">
        <w:rPr>
          <w:rFonts w:eastAsia="Times New Roman" w:cs="Times New Roman"/>
          <w:i/>
        </w:rPr>
        <w:t xml:space="preserve">aw </w:t>
      </w:r>
      <w:r w:rsidR="00946C93">
        <w:rPr>
          <w:rFonts w:eastAsia="Times New Roman" w:cs="Times New Roman"/>
          <w:i/>
        </w:rPr>
        <w:t>R</w:t>
      </w:r>
      <w:r w:rsidR="007A3B83" w:rsidRPr="007A3B83">
        <w:rPr>
          <w:rFonts w:eastAsia="Times New Roman" w:cs="Times New Roman"/>
          <w:i/>
        </w:rPr>
        <w:t>eview</w:t>
      </w:r>
      <w:r w:rsidR="007A3B83" w:rsidRPr="007A3B83">
        <w:rPr>
          <w:rFonts w:eastAsia="Times New Roman" w:cs="Times New Roman"/>
        </w:rPr>
        <w:t>, 54 (6), 889-911.</w:t>
      </w:r>
    </w:p>
    <w:p w14:paraId="2C4E2863" w14:textId="18BDF579" w:rsidR="00D72385" w:rsidRDefault="00D72385" w:rsidP="007A3B83">
      <w:pPr>
        <w:spacing w:after="120" w:line="240" w:lineRule="auto"/>
        <w:ind w:left="360" w:hanging="360"/>
        <w:rPr>
          <w:rFonts w:eastAsia="Times New Roman" w:cs="Times New Roman"/>
        </w:rPr>
      </w:pPr>
      <w:r>
        <w:rPr>
          <w:rFonts w:eastAsia="Times New Roman" w:cs="Times New Roman"/>
        </w:rPr>
        <w:t xml:space="preserve">PwC, 2007. </w:t>
      </w:r>
      <w:r w:rsidRPr="00D72385">
        <w:rPr>
          <w:rFonts w:eastAsia="Times New Roman" w:cs="Times New Roman"/>
          <w:i/>
        </w:rPr>
        <w:t xml:space="preserve">Manual of </w:t>
      </w:r>
      <w:r w:rsidR="00946C93">
        <w:rPr>
          <w:rFonts w:eastAsia="Times New Roman" w:cs="Times New Roman"/>
          <w:i/>
        </w:rPr>
        <w:t>A</w:t>
      </w:r>
      <w:r w:rsidRPr="00D72385">
        <w:rPr>
          <w:rFonts w:eastAsia="Times New Roman" w:cs="Times New Roman"/>
          <w:i/>
        </w:rPr>
        <w:t>ccounting. UK GAAP. 2008</w:t>
      </w:r>
      <w:r>
        <w:rPr>
          <w:rFonts w:eastAsia="Times New Roman" w:cs="Times New Roman"/>
        </w:rPr>
        <w:t>. London: PricewaterhouseCoopers.</w:t>
      </w:r>
    </w:p>
    <w:p w14:paraId="4D703B1A" w14:textId="031142AB" w:rsidR="002A6379" w:rsidRPr="002A6379" w:rsidRDefault="002A6379" w:rsidP="007A3B83">
      <w:pPr>
        <w:spacing w:after="120" w:line="240" w:lineRule="auto"/>
        <w:ind w:left="360" w:hanging="360"/>
        <w:rPr>
          <w:rFonts w:eastAsia="Times New Roman" w:cs="Times New Roman"/>
        </w:rPr>
      </w:pPr>
      <w:r>
        <w:rPr>
          <w:rFonts w:eastAsia="Times New Roman" w:cs="Times New Roman"/>
        </w:rPr>
        <w:t xml:space="preserve">Reid, J.M., 1987. Judicial views on accounting in Britain before 1889. </w:t>
      </w:r>
      <w:r>
        <w:rPr>
          <w:rFonts w:eastAsia="Times New Roman" w:cs="Times New Roman"/>
          <w:i/>
        </w:rPr>
        <w:t xml:space="preserve">Accounting and </w:t>
      </w:r>
      <w:r w:rsidR="00946C93">
        <w:rPr>
          <w:rFonts w:eastAsia="Times New Roman" w:cs="Times New Roman"/>
          <w:i/>
        </w:rPr>
        <w:t>B</w:t>
      </w:r>
      <w:r>
        <w:rPr>
          <w:rFonts w:eastAsia="Times New Roman" w:cs="Times New Roman"/>
          <w:i/>
        </w:rPr>
        <w:t xml:space="preserve">usiness </w:t>
      </w:r>
      <w:r w:rsidR="00946C93">
        <w:rPr>
          <w:rFonts w:eastAsia="Times New Roman" w:cs="Times New Roman"/>
          <w:i/>
        </w:rPr>
        <w:t>R</w:t>
      </w:r>
      <w:r>
        <w:rPr>
          <w:rFonts w:eastAsia="Times New Roman" w:cs="Times New Roman"/>
          <w:i/>
        </w:rPr>
        <w:t>esearch</w:t>
      </w:r>
      <w:r>
        <w:rPr>
          <w:rFonts w:eastAsia="Times New Roman" w:cs="Times New Roman"/>
        </w:rPr>
        <w:t>, 17 (67), 247-258.</w:t>
      </w:r>
    </w:p>
    <w:p w14:paraId="659825D1" w14:textId="6E5A1DD1" w:rsidR="00C14381" w:rsidRDefault="007A3B83" w:rsidP="00C14381">
      <w:pPr>
        <w:spacing w:after="120" w:line="240" w:lineRule="auto"/>
        <w:ind w:left="360" w:hanging="360"/>
        <w:rPr>
          <w:rFonts w:eastAsia="Times New Roman" w:cs="Times New Roman"/>
        </w:rPr>
      </w:pPr>
      <w:r w:rsidRPr="007A3B83">
        <w:rPr>
          <w:rFonts w:eastAsia="Times New Roman" w:cs="Times New Roman"/>
        </w:rPr>
        <w:t>Ricar</w:t>
      </w:r>
      <w:r w:rsidR="003F3741">
        <w:rPr>
          <w:rFonts w:eastAsia="Times New Roman" w:cs="Times New Roman"/>
        </w:rPr>
        <w:t xml:space="preserve">do, D., 1821. </w:t>
      </w:r>
      <w:r w:rsidRPr="007A3B83">
        <w:rPr>
          <w:rFonts w:eastAsia="Times New Roman" w:cs="Times New Roman"/>
          <w:i/>
        </w:rPr>
        <w:t xml:space="preserve">On the </w:t>
      </w:r>
      <w:r w:rsidR="00946C93">
        <w:rPr>
          <w:rFonts w:eastAsia="Times New Roman" w:cs="Times New Roman"/>
          <w:i/>
        </w:rPr>
        <w:t>P</w:t>
      </w:r>
      <w:r w:rsidRPr="007A3B83">
        <w:rPr>
          <w:rFonts w:eastAsia="Times New Roman" w:cs="Times New Roman"/>
          <w:i/>
        </w:rPr>
        <w:t xml:space="preserve">rinciples of </w:t>
      </w:r>
      <w:r w:rsidR="00946C93">
        <w:rPr>
          <w:rFonts w:eastAsia="Times New Roman" w:cs="Times New Roman"/>
          <w:i/>
        </w:rPr>
        <w:t>P</w:t>
      </w:r>
      <w:r w:rsidRPr="007A3B83">
        <w:rPr>
          <w:rFonts w:eastAsia="Times New Roman" w:cs="Times New Roman"/>
          <w:i/>
        </w:rPr>
        <w:t xml:space="preserve">olitical </w:t>
      </w:r>
      <w:r w:rsidR="00946C93">
        <w:rPr>
          <w:rFonts w:eastAsia="Times New Roman" w:cs="Times New Roman"/>
          <w:i/>
        </w:rPr>
        <w:t>E</w:t>
      </w:r>
      <w:r w:rsidRPr="007A3B83">
        <w:rPr>
          <w:rFonts w:eastAsia="Times New Roman" w:cs="Times New Roman"/>
          <w:i/>
        </w:rPr>
        <w:t xml:space="preserve">conomy and </w:t>
      </w:r>
      <w:r w:rsidR="00946C93">
        <w:rPr>
          <w:rFonts w:eastAsia="Times New Roman" w:cs="Times New Roman"/>
          <w:i/>
        </w:rPr>
        <w:t>T</w:t>
      </w:r>
      <w:r w:rsidRPr="007A3B83">
        <w:rPr>
          <w:rFonts w:eastAsia="Times New Roman" w:cs="Times New Roman"/>
          <w:i/>
        </w:rPr>
        <w:t>axation</w:t>
      </w:r>
      <w:r w:rsidRPr="007A3B83">
        <w:rPr>
          <w:rFonts w:eastAsia="Times New Roman" w:cs="Times New Roman"/>
        </w:rPr>
        <w:t>, 3</w:t>
      </w:r>
      <w:r w:rsidRPr="007A3B83">
        <w:rPr>
          <w:rFonts w:eastAsia="Times New Roman" w:cs="Times New Roman"/>
          <w:vertAlign w:val="superscript"/>
        </w:rPr>
        <w:t>rd</w:t>
      </w:r>
      <w:r w:rsidRPr="007A3B83">
        <w:rPr>
          <w:rFonts w:eastAsia="Times New Roman" w:cs="Times New Roman"/>
        </w:rPr>
        <w:t xml:space="preserve"> edition. London: John Murray.</w:t>
      </w:r>
    </w:p>
    <w:p w14:paraId="18EFA6CF" w14:textId="5DF16DC4" w:rsidR="007A3B83" w:rsidRDefault="00C14381" w:rsidP="00C14381">
      <w:pPr>
        <w:spacing w:after="120" w:line="240" w:lineRule="auto"/>
        <w:ind w:left="360" w:hanging="360"/>
        <w:rPr>
          <w:rFonts w:eastAsia="Times New Roman" w:cs="Times New Roman"/>
        </w:rPr>
      </w:pPr>
      <w:r>
        <w:rPr>
          <w:rFonts w:eastAsia="Times New Roman" w:cs="Times New Roman"/>
        </w:rPr>
        <w:t xml:space="preserve">Richards, R.D., 1926.  Early history of the term capital. </w:t>
      </w:r>
      <w:r>
        <w:rPr>
          <w:rFonts w:eastAsia="Times New Roman" w:cs="Times New Roman"/>
          <w:i/>
        </w:rPr>
        <w:t xml:space="preserve">Quarterly </w:t>
      </w:r>
      <w:r w:rsidR="00946C93">
        <w:rPr>
          <w:rFonts w:eastAsia="Times New Roman" w:cs="Times New Roman"/>
          <w:i/>
        </w:rPr>
        <w:t>J</w:t>
      </w:r>
      <w:r>
        <w:rPr>
          <w:rFonts w:eastAsia="Times New Roman" w:cs="Times New Roman"/>
          <w:i/>
        </w:rPr>
        <w:t xml:space="preserve">ournal of </w:t>
      </w:r>
      <w:r w:rsidR="00946C93">
        <w:rPr>
          <w:rFonts w:eastAsia="Times New Roman" w:cs="Times New Roman"/>
          <w:i/>
        </w:rPr>
        <w:t>E</w:t>
      </w:r>
      <w:r>
        <w:rPr>
          <w:rFonts w:eastAsia="Times New Roman" w:cs="Times New Roman"/>
          <w:i/>
        </w:rPr>
        <w:t>conomics</w:t>
      </w:r>
      <w:r>
        <w:rPr>
          <w:rFonts w:eastAsia="Times New Roman" w:cs="Times New Roman"/>
        </w:rPr>
        <w:t>, 40</w:t>
      </w:r>
      <w:r w:rsidR="00946C93">
        <w:rPr>
          <w:rFonts w:eastAsia="Times New Roman" w:cs="Times New Roman"/>
        </w:rPr>
        <w:t xml:space="preserve"> </w:t>
      </w:r>
      <w:r>
        <w:rPr>
          <w:rFonts w:eastAsia="Times New Roman" w:cs="Times New Roman"/>
        </w:rPr>
        <w:t>(2), 329-338.</w:t>
      </w:r>
    </w:p>
    <w:p w14:paraId="3CDF0B8C" w14:textId="11D156F0" w:rsidR="00811658" w:rsidRPr="007A3B83" w:rsidRDefault="00811658" w:rsidP="00C14381">
      <w:pPr>
        <w:spacing w:after="120" w:line="240" w:lineRule="auto"/>
        <w:ind w:left="360" w:hanging="360"/>
        <w:rPr>
          <w:rFonts w:eastAsia="Times New Roman" w:cs="Times New Roman"/>
        </w:rPr>
      </w:pPr>
      <w:r>
        <w:rPr>
          <w:rFonts w:eastAsia="Times New Roman" w:cs="Times New Roman"/>
        </w:rPr>
        <w:t>Schoen</w:t>
      </w:r>
      <w:r w:rsidR="00D578CB">
        <w:rPr>
          <w:rFonts w:eastAsia="Times New Roman" w:cs="Times New Roman"/>
        </w:rPr>
        <w:t>maker</w:t>
      </w:r>
      <w:r>
        <w:rPr>
          <w:rFonts w:eastAsia="Times New Roman" w:cs="Times New Roman"/>
        </w:rPr>
        <w:t xml:space="preserve">, D., 2015. Regulatory capital: why is it different? </w:t>
      </w:r>
      <w:r>
        <w:rPr>
          <w:rFonts w:eastAsia="Times New Roman" w:cs="Times New Roman"/>
          <w:i/>
        </w:rPr>
        <w:t xml:space="preserve">Accounting and </w:t>
      </w:r>
      <w:r w:rsidR="00946C93">
        <w:rPr>
          <w:rFonts w:eastAsia="Times New Roman" w:cs="Times New Roman"/>
          <w:i/>
        </w:rPr>
        <w:t>B</w:t>
      </w:r>
      <w:r>
        <w:rPr>
          <w:rFonts w:eastAsia="Times New Roman" w:cs="Times New Roman"/>
          <w:i/>
        </w:rPr>
        <w:t xml:space="preserve">usiness </w:t>
      </w:r>
      <w:r w:rsidR="00946C93">
        <w:rPr>
          <w:rFonts w:eastAsia="Times New Roman" w:cs="Times New Roman"/>
          <w:i/>
        </w:rPr>
        <w:t>R</w:t>
      </w:r>
      <w:r>
        <w:rPr>
          <w:rFonts w:eastAsia="Times New Roman" w:cs="Times New Roman"/>
          <w:i/>
        </w:rPr>
        <w:t xml:space="preserve">esearch, </w:t>
      </w:r>
      <w:r w:rsidRPr="00811658">
        <w:rPr>
          <w:rFonts w:eastAsia="Times New Roman" w:cs="Times New Roman"/>
        </w:rPr>
        <w:t>45</w:t>
      </w:r>
      <w:r w:rsidR="00946C93">
        <w:rPr>
          <w:rFonts w:eastAsia="Times New Roman" w:cs="Times New Roman"/>
        </w:rPr>
        <w:t xml:space="preserve"> </w:t>
      </w:r>
      <w:r w:rsidRPr="00811658">
        <w:rPr>
          <w:rFonts w:eastAsia="Times New Roman" w:cs="Times New Roman"/>
        </w:rPr>
        <w:t>(4), ???-???.</w:t>
      </w:r>
    </w:p>
    <w:p w14:paraId="53CAC41D" w14:textId="051C2E6D" w:rsidR="007A3B83" w:rsidRPr="0027553F" w:rsidRDefault="007A3B83" w:rsidP="007A3B83">
      <w:pPr>
        <w:spacing w:after="120" w:line="240" w:lineRule="auto"/>
        <w:ind w:left="360" w:hanging="360"/>
        <w:rPr>
          <w:rFonts w:eastAsia="Times New Roman" w:cs="Times New Roman"/>
        </w:rPr>
      </w:pPr>
      <w:r w:rsidRPr="007A3B83">
        <w:rPr>
          <w:rFonts w:eastAsia="Times New Roman" w:cs="Times New Roman"/>
        </w:rPr>
        <w:t xml:space="preserve">Scott, </w:t>
      </w:r>
      <w:r w:rsidR="0027553F">
        <w:rPr>
          <w:rFonts w:eastAsia="Times New Roman" w:cs="Times New Roman"/>
        </w:rPr>
        <w:t xml:space="preserve">W.R., </w:t>
      </w:r>
      <w:r w:rsidRPr="007A3B83">
        <w:rPr>
          <w:rFonts w:eastAsia="Times New Roman" w:cs="Times New Roman"/>
        </w:rPr>
        <w:t>1912.</w:t>
      </w:r>
      <w:r w:rsidR="0027553F">
        <w:rPr>
          <w:rFonts w:eastAsia="Times New Roman" w:cs="Times New Roman"/>
        </w:rPr>
        <w:t xml:space="preserve"> </w:t>
      </w:r>
      <w:r w:rsidR="0027553F">
        <w:rPr>
          <w:rFonts w:eastAsia="Times New Roman" w:cs="Times New Roman"/>
          <w:i/>
        </w:rPr>
        <w:t xml:space="preserve">The </w:t>
      </w:r>
      <w:r w:rsidR="00946C93">
        <w:rPr>
          <w:rFonts w:eastAsia="Times New Roman" w:cs="Times New Roman"/>
          <w:i/>
        </w:rPr>
        <w:t>C</w:t>
      </w:r>
      <w:r w:rsidR="0027553F">
        <w:rPr>
          <w:rFonts w:eastAsia="Times New Roman" w:cs="Times New Roman"/>
          <w:i/>
        </w:rPr>
        <w:t xml:space="preserve">onstitution and </w:t>
      </w:r>
      <w:r w:rsidR="00946C93">
        <w:rPr>
          <w:rFonts w:eastAsia="Times New Roman" w:cs="Times New Roman"/>
          <w:i/>
        </w:rPr>
        <w:t>F</w:t>
      </w:r>
      <w:r w:rsidR="0027553F">
        <w:rPr>
          <w:rFonts w:eastAsia="Times New Roman" w:cs="Times New Roman"/>
          <w:i/>
        </w:rPr>
        <w:t xml:space="preserve">inance of English, Scottish and Irish </w:t>
      </w:r>
      <w:r w:rsidR="00946C93">
        <w:rPr>
          <w:rFonts w:eastAsia="Times New Roman" w:cs="Times New Roman"/>
          <w:i/>
        </w:rPr>
        <w:t>J</w:t>
      </w:r>
      <w:r w:rsidR="0027553F">
        <w:rPr>
          <w:rFonts w:eastAsia="Times New Roman" w:cs="Times New Roman"/>
          <w:i/>
        </w:rPr>
        <w:t xml:space="preserve">oint-stock </w:t>
      </w:r>
      <w:r w:rsidR="00946C93">
        <w:rPr>
          <w:rFonts w:eastAsia="Times New Roman" w:cs="Times New Roman"/>
          <w:i/>
        </w:rPr>
        <w:t>C</w:t>
      </w:r>
      <w:r w:rsidR="0027553F">
        <w:rPr>
          <w:rFonts w:eastAsia="Times New Roman" w:cs="Times New Roman"/>
          <w:i/>
        </w:rPr>
        <w:t>ompanies to 1720, Vol. 1</w:t>
      </w:r>
      <w:r w:rsidR="00730C2D">
        <w:rPr>
          <w:rFonts w:eastAsia="Times New Roman" w:cs="Times New Roman"/>
        </w:rPr>
        <w:t xml:space="preserve">. </w:t>
      </w:r>
      <w:r w:rsidR="0027553F">
        <w:rPr>
          <w:rFonts w:eastAsia="Times New Roman" w:cs="Times New Roman"/>
        </w:rPr>
        <w:t>Cambridge: Cambridge University Press.</w:t>
      </w:r>
    </w:p>
    <w:p w14:paraId="24D2669A" w14:textId="1A03263A" w:rsidR="007A3B83" w:rsidRPr="007A3B83" w:rsidRDefault="006C3380" w:rsidP="007A3B83">
      <w:pPr>
        <w:spacing w:after="120" w:line="240" w:lineRule="auto"/>
        <w:ind w:left="360" w:hanging="360"/>
        <w:rPr>
          <w:rFonts w:eastAsia="Times New Roman" w:cs="Times New Roman"/>
        </w:rPr>
      </w:pPr>
      <w:r>
        <w:rPr>
          <w:rFonts w:eastAsia="Times New Roman" w:cs="Times New Roman"/>
        </w:rPr>
        <w:t xml:space="preserve">Smith, A., 1776. </w:t>
      </w:r>
      <w:r w:rsidR="007A3B83" w:rsidRPr="007A3B83">
        <w:rPr>
          <w:rFonts w:eastAsia="Times New Roman" w:cs="Times New Roman"/>
          <w:i/>
        </w:rPr>
        <w:t xml:space="preserve">An </w:t>
      </w:r>
      <w:r w:rsidR="00946C93">
        <w:rPr>
          <w:rFonts w:eastAsia="Times New Roman" w:cs="Times New Roman"/>
          <w:i/>
        </w:rPr>
        <w:t>I</w:t>
      </w:r>
      <w:r w:rsidR="007A3B83" w:rsidRPr="007A3B83">
        <w:rPr>
          <w:rFonts w:eastAsia="Times New Roman" w:cs="Times New Roman"/>
          <w:i/>
        </w:rPr>
        <w:t xml:space="preserve">nquiry into the </w:t>
      </w:r>
      <w:r w:rsidR="00946C93">
        <w:rPr>
          <w:rFonts w:eastAsia="Times New Roman" w:cs="Times New Roman"/>
          <w:i/>
        </w:rPr>
        <w:t>N</w:t>
      </w:r>
      <w:r w:rsidR="007A3B83" w:rsidRPr="007A3B83">
        <w:rPr>
          <w:rFonts w:eastAsia="Times New Roman" w:cs="Times New Roman"/>
          <w:i/>
        </w:rPr>
        <w:t xml:space="preserve">ature and </w:t>
      </w:r>
      <w:r w:rsidR="00946C93">
        <w:rPr>
          <w:rFonts w:eastAsia="Times New Roman" w:cs="Times New Roman"/>
          <w:i/>
        </w:rPr>
        <w:t>C</w:t>
      </w:r>
      <w:r w:rsidR="007A3B83" w:rsidRPr="007A3B83">
        <w:rPr>
          <w:rFonts w:eastAsia="Times New Roman" w:cs="Times New Roman"/>
          <w:i/>
        </w:rPr>
        <w:t xml:space="preserve">auses of the </w:t>
      </w:r>
      <w:r w:rsidR="00946C93">
        <w:rPr>
          <w:rFonts w:eastAsia="Times New Roman" w:cs="Times New Roman"/>
          <w:i/>
        </w:rPr>
        <w:t>W</w:t>
      </w:r>
      <w:r w:rsidR="007A3B83" w:rsidRPr="007A3B83">
        <w:rPr>
          <w:rFonts w:eastAsia="Times New Roman" w:cs="Times New Roman"/>
          <w:i/>
        </w:rPr>
        <w:t xml:space="preserve">ealth of </w:t>
      </w:r>
      <w:r w:rsidR="00946C93">
        <w:rPr>
          <w:rFonts w:eastAsia="Times New Roman" w:cs="Times New Roman"/>
          <w:i/>
        </w:rPr>
        <w:t>N</w:t>
      </w:r>
      <w:r w:rsidR="007A3B83" w:rsidRPr="007A3B83">
        <w:rPr>
          <w:rFonts w:eastAsia="Times New Roman" w:cs="Times New Roman"/>
          <w:i/>
        </w:rPr>
        <w:t>ations</w:t>
      </w:r>
      <w:r w:rsidR="007A3B83" w:rsidRPr="007A3B83">
        <w:rPr>
          <w:rFonts w:eastAsia="Times New Roman" w:cs="Times New Roman"/>
        </w:rPr>
        <w:t>. London: Strahan and Cadell.</w:t>
      </w:r>
    </w:p>
    <w:p w14:paraId="36B6E229" w14:textId="13ADB02F" w:rsidR="007A3B83" w:rsidRDefault="007A3B83" w:rsidP="007A3B83">
      <w:pPr>
        <w:spacing w:after="120" w:line="240" w:lineRule="auto"/>
        <w:ind w:left="360" w:right="26" w:hanging="360"/>
        <w:rPr>
          <w:rFonts w:eastAsia="Times New Roman" w:cs="Times New Roman"/>
        </w:rPr>
      </w:pPr>
      <w:r w:rsidRPr="007A3B83">
        <w:rPr>
          <w:rFonts w:eastAsia="Times New Roman" w:cs="Times New Roman"/>
        </w:rPr>
        <w:t xml:space="preserve">Sombart, W., 1924. </w:t>
      </w:r>
      <w:r>
        <w:rPr>
          <w:rFonts w:eastAsia="Times New Roman" w:cs="Times New Roman"/>
          <w:i/>
        </w:rPr>
        <w:t xml:space="preserve">Der </w:t>
      </w:r>
      <w:r w:rsidR="00946C93">
        <w:rPr>
          <w:rFonts w:eastAsia="Times New Roman" w:cs="Times New Roman"/>
          <w:i/>
        </w:rPr>
        <w:t>M</w:t>
      </w:r>
      <w:r>
        <w:rPr>
          <w:rFonts w:eastAsia="Times New Roman" w:cs="Times New Roman"/>
          <w:i/>
        </w:rPr>
        <w:t>oderne K</w:t>
      </w:r>
      <w:r w:rsidRPr="007A3B83">
        <w:rPr>
          <w:rFonts w:eastAsia="Times New Roman" w:cs="Times New Roman"/>
          <w:i/>
        </w:rPr>
        <w:t>apitalismus</w:t>
      </w:r>
      <w:r w:rsidRPr="007A3B83">
        <w:rPr>
          <w:rFonts w:eastAsia="Times New Roman" w:cs="Times New Roman"/>
        </w:rPr>
        <w:t>, 6</w:t>
      </w:r>
      <w:r w:rsidRPr="007A3B83">
        <w:rPr>
          <w:rFonts w:eastAsia="Times New Roman" w:cs="Times New Roman"/>
          <w:vertAlign w:val="superscript"/>
        </w:rPr>
        <w:t>th</w:t>
      </w:r>
      <w:r>
        <w:rPr>
          <w:rFonts w:eastAsia="Times New Roman" w:cs="Times New Roman"/>
        </w:rPr>
        <w:t xml:space="preserve"> edition. </w:t>
      </w:r>
      <w:r w:rsidRPr="007A3B83">
        <w:rPr>
          <w:rFonts w:eastAsia="Times New Roman" w:cs="Times New Roman"/>
        </w:rPr>
        <w:t>Duncker &amp; Humbolt.</w:t>
      </w:r>
    </w:p>
    <w:p w14:paraId="210F0BEC" w14:textId="094CB3F3" w:rsidR="005A3EB4" w:rsidRDefault="005A3EB4" w:rsidP="007A3B83">
      <w:pPr>
        <w:spacing w:after="120" w:line="240" w:lineRule="auto"/>
        <w:ind w:left="360" w:right="26" w:hanging="360"/>
        <w:rPr>
          <w:rFonts w:eastAsia="Times New Roman" w:cs="Times New Roman"/>
        </w:rPr>
      </w:pPr>
      <w:r>
        <w:rPr>
          <w:rFonts w:eastAsia="Times New Roman" w:cs="Times New Roman"/>
        </w:rPr>
        <w:t xml:space="preserve">Sweeney, H. </w:t>
      </w:r>
      <w:r w:rsidR="009464A9">
        <w:rPr>
          <w:rFonts w:eastAsia="Times New Roman" w:cs="Times New Roman"/>
        </w:rPr>
        <w:t xml:space="preserve">W. </w:t>
      </w:r>
      <w:r>
        <w:rPr>
          <w:rFonts w:eastAsia="Times New Roman" w:cs="Times New Roman"/>
        </w:rPr>
        <w:t xml:space="preserve">1930. Maintenance of capital. </w:t>
      </w:r>
      <w:r w:rsidRPr="005A3EB4">
        <w:rPr>
          <w:rFonts w:eastAsia="Times New Roman" w:cs="Times New Roman"/>
          <w:i/>
        </w:rPr>
        <w:t xml:space="preserve">Accounting </w:t>
      </w:r>
      <w:r w:rsidR="00946C93">
        <w:rPr>
          <w:rFonts w:eastAsia="Times New Roman" w:cs="Times New Roman"/>
          <w:i/>
        </w:rPr>
        <w:t>R</w:t>
      </w:r>
      <w:r w:rsidRPr="005A3EB4">
        <w:rPr>
          <w:rFonts w:eastAsia="Times New Roman" w:cs="Times New Roman"/>
          <w:i/>
        </w:rPr>
        <w:t>eview</w:t>
      </w:r>
      <w:r>
        <w:rPr>
          <w:rFonts w:eastAsia="Times New Roman" w:cs="Times New Roman"/>
        </w:rPr>
        <w:t>, 5</w:t>
      </w:r>
      <w:r w:rsidR="00946C93">
        <w:rPr>
          <w:rFonts w:eastAsia="Times New Roman" w:cs="Times New Roman"/>
        </w:rPr>
        <w:t xml:space="preserve"> </w:t>
      </w:r>
      <w:r>
        <w:rPr>
          <w:rFonts w:eastAsia="Times New Roman" w:cs="Times New Roman"/>
        </w:rPr>
        <w:t>(4), 277-287.</w:t>
      </w:r>
    </w:p>
    <w:p w14:paraId="59492C15" w14:textId="5EA01F95" w:rsidR="005A3EB4" w:rsidRPr="007A3B83" w:rsidRDefault="005A3EB4" w:rsidP="005A3EB4">
      <w:pPr>
        <w:spacing w:after="120" w:line="240" w:lineRule="auto"/>
        <w:ind w:left="360" w:right="26" w:hanging="360"/>
        <w:rPr>
          <w:rFonts w:eastAsia="Times New Roman" w:cs="Times New Roman"/>
        </w:rPr>
      </w:pPr>
      <w:r>
        <w:rPr>
          <w:rFonts w:eastAsia="Times New Roman" w:cs="Times New Roman"/>
        </w:rPr>
        <w:t xml:space="preserve">Sweeney, H. </w:t>
      </w:r>
      <w:r w:rsidR="009464A9">
        <w:rPr>
          <w:rFonts w:eastAsia="Times New Roman" w:cs="Times New Roman"/>
        </w:rPr>
        <w:t xml:space="preserve">W. </w:t>
      </w:r>
      <w:r>
        <w:rPr>
          <w:rFonts w:eastAsia="Times New Roman" w:cs="Times New Roman"/>
        </w:rPr>
        <w:t xml:space="preserve">1933. Capital. </w:t>
      </w:r>
      <w:r w:rsidRPr="005A3EB4">
        <w:rPr>
          <w:rFonts w:eastAsia="Times New Roman" w:cs="Times New Roman"/>
          <w:i/>
        </w:rPr>
        <w:t xml:space="preserve">Accounting </w:t>
      </w:r>
      <w:r w:rsidR="00946C93">
        <w:rPr>
          <w:rFonts w:eastAsia="Times New Roman" w:cs="Times New Roman"/>
          <w:i/>
        </w:rPr>
        <w:t>R</w:t>
      </w:r>
      <w:r w:rsidRPr="005A3EB4">
        <w:rPr>
          <w:rFonts w:eastAsia="Times New Roman" w:cs="Times New Roman"/>
          <w:i/>
        </w:rPr>
        <w:t>eview</w:t>
      </w:r>
      <w:r>
        <w:rPr>
          <w:rFonts w:eastAsia="Times New Roman" w:cs="Times New Roman"/>
        </w:rPr>
        <w:t>, 8</w:t>
      </w:r>
      <w:r w:rsidR="00946C93">
        <w:rPr>
          <w:rFonts w:eastAsia="Times New Roman" w:cs="Times New Roman"/>
        </w:rPr>
        <w:t xml:space="preserve"> </w:t>
      </w:r>
      <w:r>
        <w:rPr>
          <w:rFonts w:eastAsia="Times New Roman" w:cs="Times New Roman"/>
        </w:rPr>
        <w:t>(3), 185-199.</w:t>
      </w:r>
    </w:p>
    <w:p w14:paraId="672D092E" w14:textId="1721EACE" w:rsidR="007A3B83" w:rsidRDefault="007A3B83" w:rsidP="007A3B83">
      <w:pPr>
        <w:spacing w:after="120" w:line="240" w:lineRule="auto"/>
        <w:ind w:left="360" w:hanging="360"/>
        <w:rPr>
          <w:rFonts w:eastAsia="Times New Roman" w:cs="Times New Roman"/>
        </w:rPr>
      </w:pPr>
      <w:r w:rsidRPr="007A3B83">
        <w:rPr>
          <w:rFonts w:eastAsia="Times New Roman" w:cs="Times New Roman"/>
        </w:rPr>
        <w:t xml:space="preserve">Taylor, R.E., 1980. </w:t>
      </w:r>
      <w:r w:rsidRPr="007A3B83">
        <w:rPr>
          <w:rFonts w:eastAsia="Times New Roman" w:cs="Times New Roman"/>
          <w:i/>
        </w:rPr>
        <w:t xml:space="preserve">No </w:t>
      </w:r>
      <w:r w:rsidR="00946C93">
        <w:rPr>
          <w:rFonts w:eastAsia="Times New Roman" w:cs="Times New Roman"/>
          <w:i/>
        </w:rPr>
        <w:t>R</w:t>
      </w:r>
      <w:r w:rsidRPr="007A3B83">
        <w:rPr>
          <w:rFonts w:eastAsia="Times New Roman" w:cs="Times New Roman"/>
          <w:i/>
        </w:rPr>
        <w:t xml:space="preserve">oyal </w:t>
      </w:r>
      <w:r w:rsidR="00946C93">
        <w:rPr>
          <w:rFonts w:eastAsia="Times New Roman" w:cs="Times New Roman"/>
          <w:i/>
        </w:rPr>
        <w:t>R</w:t>
      </w:r>
      <w:r w:rsidRPr="007A3B83">
        <w:rPr>
          <w:rFonts w:eastAsia="Times New Roman" w:cs="Times New Roman"/>
          <w:i/>
        </w:rPr>
        <w:t xml:space="preserve">oad; Luca Pacioli and </w:t>
      </w:r>
      <w:r w:rsidR="00946C93">
        <w:rPr>
          <w:rFonts w:eastAsia="Times New Roman" w:cs="Times New Roman"/>
          <w:i/>
        </w:rPr>
        <w:t>H</w:t>
      </w:r>
      <w:r w:rsidRPr="007A3B83">
        <w:rPr>
          <w:rFonts w:eastAsia="Times New Roman" w:cs="Times New Roman"/>
          <w:i/>
        </w:rPr>
        <w:t xml:space="preserve">is </w:t>
      </w:r>
      <w:r w:rsidR="00946C93">
        <w:rPr>
          <w:rFonts w:eastAsia="Times New Roman" w:cs="Times New Roman"/>
          <w:i/>
        </w:rPr>
        <w:t>T</w:t>
      </w:r>
      <w:r w:rsidRPr="007A3B83">
        <w:rPr>
          <w:rFonts w:eastAsia="Times New Roman" w:cs="Times New Roman"/>
          <w:i/>
        </w:rPr>
        <w:t>imes</w:t>
      </w:r>
      <w:r w:rsidRPr="007A3B83">
        <w:rPr>
          <w:rFonts w:eastAsia="Times New Roman" w:cs="Times New Roman"/>
        </w:rPr>
        <w:t>. New York: Arno Press.</w:t>
      </w:r>
    </w:p>
    <w:p w14:paraId="45C60499" w14:textId="3F00A470" w:rsidR="004F7696" w:rsidRDefault="004F7696" w:rsidP="004F7696">
      <w:pPr>
        <w:spacing w:after="120" w:line="240" w:lineRule="auto"/>
        <w:ind w:left="360" w:right="26" w:hanging="360"/>
        <w:rPr>
          <w:rFonts w:eastAsia="Times New Roman" w:cs="Times New Roman"/>
        </w:rPr>
      </w:pPr>
      <w:r>
        <w:rPr>
          <w:rFonts w:eastAsia="Times New Roman" w:cs="Times New Roman"/>
        </w:rPr>
        <w:t>ten Have, O., 1956.</w:t>
      </w:r>
      <w:r w:rsidRPr="004F7696">
        <w:rPr>
          <w:rFonts w:eastAsia="Times New Roman" w:cs="Times New Roman"/>
        </w:rPr>
        <w:t xml:space="preserve"> </w:t>
      </w:r>
      <w:r>
        <w:rPr>
          <w:rFonts w:eastAsia="Times New Roman" w:cs="Times New Roman"/>
        </w:rPr>
        <w:t xml:space="preserve">Simon Stevin of Bruges. In A.C. Littleton and B.S. Yamey, </w:t>
      </w:r>
      <w:r>
        <w:rPr>
          <w:rFonts w:eastAsia="Times New Roman" w:cs="Times New Roman"/>
          <w:i/>
        </w:rPr>
        <w:t xml:space="preserve">Studies in the </w:t>
      </w:r>
      <w:r w:rsidR="00946C93">
        <w:rPr>
          <w:rFonts w:eastAsia="Times New Roman" w:cs="Times New Roman"/>
          <w:i/>
        </w:rPr>
        <w:t>H</w:t>
      </w:r>
      <w:r>
        <w:rPr>
          <w:rFonts w:eastAsia="Times New Roman" w:cs="Times New Roman"/>
          <w:i/>
        </w:rPr>
        <w:t xml:space="preserve">istory of </w:t>
      </w:r>
      <w:r w:rsidR="00946C93">
        <w:rPr>
          <w:rFonts w:eastAsia="Times New Roman" w:cs="Times New Roman"/>
          <w:i/>
        </w:rPr>
        <w:t>A</w:t>
      </w:r>
      <w:r>
        <w:rPr>
          <w:rFonts w:eastAsia="Times New Roman" w:cs="Times New Roman"/>
          <w:i/>
        </w:rPr>
        <w:t>ccounting</w:t>
      </w:r>
      <w:r>
        <w:rPr>
          <w:rFonts w:eastAsia="Times New Roman" w:cs="Times New Roman"/>
        </w:rPr>
        <w:t>. London: Sweet and Maxwell, 236-246.</w:t>
      </w:r>
    </w:p>
    <w:p w14:paraId="58AB4815" w14:textId="67F69392" w:rsidR="00C8732C" w:rsidRPr="007A3B83" w:rsidRDefault="00C8732C" w:rsidP="00C8732C">
      <w:pPr>
        <w:spacing w:line="240" w:lineRule="auto"/>
        <w:ind w:left="360" w:hanging="360"/>
        <w:rPr>
          <w:rFonts w:eastAsia="Times New Roman" w:cs="Times New Roman"/>
        </w:rPr>
      </w:pPr>
      <w:r w:rsidRPr="007A3B83">
        <w:rPr>
          <w:rFonts w:eastAsia="Times New Roman" w:cs="Times New Roman"/>
        </w:rPr>
        <w:t>Tweedie, D</w:t>
      </w:r>
      <w:r>
        <w:rPr>
          <w:rFonts w:eastAsia="Times New Roman" w:cs="Times New Roman"/>
        </w:rPr>
        <w:t xml:space="preserve">.P. and Whittington, G., 1997. </w:t>
      </w:r>
      <w:r w:rsidRPr="007A3B83">
        <w:rPr>
          <w:rFonts w:eastAsia="Times New Roman" w:cs="Times New Roman"/>
        </w:rPr>
        <w:t xml:space="preserve">The end of the current cost revolution.  In T. E. Cooke and C.W. Nobes, </w:t>
      </w:r>
      <w:r w:rsidRPr="007A3B83">
        <w:rPr>
          <w:rFonts w:eastAsia="Times New Roman" w:cs="Times New Roman"/>
          <w:i/>
        </w:rPr>
        <w:t xml:space="preserve">The </w:t>
      </w:r>
      <w:r w:rsidR="00946C93">
        <w:rPr>
          <w:rFonts w:eastAsia="Times New Roman" w:cs="Times New Roman"/>
          <w:i/>
        </w:rPr>
        <w:t>D</w:t>
      </w:r>
      <w:r w:rsidRPr="007A3B83">
        <w:rPr>
          <w:rFonts w:eastAsia="Times New Roman" w:cs="Times New Roman"/>
          <w:i/>
        </w:rPr>
        <w:t xml:space="preserve">evelopment of </w:t>
      </w:r>
      <w:r w:rsidR="00946C93">
        <w:rPr>
          <w:rFonts w:eastAsia="Times New Roman" w:cs="Times New Roman"/>
          <w:i/>
        </w:rPr>
        <w:t>A</w:t>
      </w:r>
      <w:r w:rsidRPr="007A3B83">
        <w:rPr>
          <w:rFonts w:eastAsia="Times New Roman" w:cs="Times New Roman"/>
          <w:i/>
        </w:rPr>
        <w:t xml:space="preserve">ccounting in an </w:t>
      </w:r>
      <w:r w:rsidR="00946C93">
        <w:rPr>
          <w:rFonts w:eastAsia="Times New Roman" w:cs="Times New Roman"/>
          <w:i/>
        </w:rPr>
        <w:t>I</w:t>
      </w:r>
      <w:r w:rsidRPr="007A3B83">
        <w:rPr>
          <w:rFonts w:eastAsia="Times New Roman" w:cs="Times New Roman"/>
          <w:i/>
        </w:rPr>
        <w:t xml:space="preserve">nternational </w:t>
      </w:r>
      <w:r w:rsidR="00946C93">
        <w:rPr>
          <w:rFonts w:eastAsia="Times New Roman" w:cs="Times New Roman"/>
          <w:i/>
        </w:rPr>
        <w:t>C</w:t>
      </w:r>
      <w:r w:rsidRPr="007A3B83">
        <w:rPr>
          <w:rFonts w:eastAsia="Times New Roman" w:cs="Times New Roman"/>
          <w:i/>
        </w:rPr>
        <w:t>ontext</w:t>
      </w:r>
      <w:r w:rsidRPr="007A3B83">
        <w:rPr>
          <w:rFonts w:eastAsia="Times New Roman" w:cs="Times New Roman"/>
        </w:rPr>
        <w:t>, London: Routledge</w:t>
      </w:r>
      <w:r>
        <w:rPr>
          <w:rFonts w:eastAsia="Times New Roman" w:cs="Times New Roman"/>
        </w:rPr>
        <w:t>, 149-176 (issued in paperback in 2014)</w:t>
      </w:r>
      <w:r w:rsidRPr="007A3B83">
        <w:rPr>
          <w:rFonts w:eastAsia="Times New Roman" w:cs="Times New Roman"/>
        </w:rPr>
        <w:t>.</w:t>
      </w:r>
    </w:p>
    <w:p w14:paraId="3DF93A0D" w14:textId="182BBED3" w:rsidR="007A3B83" w:rsidRPr="007A3B83" w:rsidRDefault="003F3741" w:rsidP="007A3B83">
      <w:pPr>
        <w:spacing w:line="240" w:lineRule="auto"/>
        <w:ind w:left="360" w:hanging="360"/>
        <w:rPr>
          <w:rFonts w:eastAsia="Times New Roman" w:cs="Times New Roman"/>
        </w:rPr>
      </w:pPr>
      <w:r>
        <w:rPr>
          <w:rFonts w:eastAsia="Times New Roman" w:cs="Times New Roman"/>
        </w:rPr>
        <w:t xml:space="preserve">Vanes, J., 1967. </w:t>
      </w:r>
      <w:r w:rsidR="007A3B83" w:rsidRPr="007A3B83">
        <w:rPr>
          <w:rFonts w:eastAsia="Times New Roman" w:cs="Times New Roman"/>
        </w:rPr>
        <w:t xml:space="preserve">The ledger of John Smythe, merchant of Bristol. </w:t>
      </w:r>
      <w:r w:rsidR="00CC25D3" w:rsidRPr="00CC25D3">
        <w:rPr>
          <w:rFonts w:eastAsia="Times New Roman" w:cs="Times New Roman"/>
          <w:i/>
        </w:rPr>
        <w:t xml:space="preserve">The </w:t>
      </w:r>
      <w:r w:rsidR="007A3B83" w:rsidRPr="007A3B83">
        <w:rPr>
          <w:rFonts w:eastAsia="Times New Roman" w:cs="Times New Roman"/>
          <w:i/>
        </w:rPr>
        <w:t>Accountant</w:t>
      </w:r>
      <w:r w:rsidR="007A3B83" w:rsidRPr="007A3B83">
        <w:rPr>
          <w:rFonts w:eastAsia="Times New Roman" w:cs="Times New Roman"/>
        </w:rPr>
        <w:t>, 16 September, 357-361.</w:t>
      </w:r>
    </w:p>
    <w:p w14:paraId="1D34D832" w14:textId="77777777" w:rsidR="007A3B83" w:rsidRPr="007A3B83" w:rsidRDefault="007A3B83" w:rsidP="007A3B83">
      <w:pPr>
        <w:spacing w:line="240" w:lineRule="auto"/>
        <w:ind w:left="360" w:hanging="360"/>
        <w:rPr>
          <w:rFonts w:eastAsia="Times New Roman" w:cs="Times New Roman"/>
        </w:rPr>
      </w:pPr>
      <w:r w:rsidRPr="007A3B83">
        <w:rPr>
          <w:rFonts w:eastAsia="Times New Roman" w:cs="Times New Roman"/>
        </w:rPr>
        <w:t>van Mourik, C.,</w:t>
      </w:r>
      <w:r w:rsidR="003F3741">
        <w:rPr>
          <w:rFonts w:eastAsia="Times New Roman" w:cs="Times New Roman"/>
        </w:rPr>
        <w:t xml:space="preserve"> 2010. </w:t>
      </w:r>
      <w:r w:rsidRPr="007A3B83">
        <w:rPr>
          <w:rFonts w:eastAsia="Times New Roman" w:cs="Times New Roman"/>
        </w:rPr>
        <w:t xml:space="preserve">The equity theories and financial reporting: an analysis. </w:t>
      </w:r>
      <w:r w:rsidRPr="007A3B83">
        <w:rPr>
          <w:rFonts w:eastAsia="Times New Roman" w:cs="Times New Roman"/>
          <w:i/>
        </w:rPr>
        <w:t>Accounting in Europe</w:t>
      </w:r>
      <w:r w:rsidRPr="007A3B83">
        <w:rPr>
          <w:rFonts w:eastAsia="Times New Roman" w:cs="Times New Roman"/>
        </w:rPr>
        <w:t>, 7 (2), 191-211.</w:t>
      </w:r>
    </w:p>
    <w:p w14:paraId="0F56B6FB" w14:textId="641DE682" w:rsidR="007A3B83" w:rsidRDefault="007A3B83" w:rsidP="007A3B83">
      <w:pPr>
        <w:spacing w:after="120" w:line="240" w:lineRule="auto"/>
        <w:ind w:left="360" w:hanging="360"/>
        <w:rPr>
          <w:rFonts w:eastAsia="Times New Roman" w:cs="Times New Roman"/>
        </w:rPr>
      </w:pPr>
      <w:r w:rsidRPr="007A3B83">
        <w:rPr>
          <w:rFonts w:eastAsia="Times New Roman" w:cs="Times New Roman"/>
        </w:rPr>
        <w:t xml:space="preserve">von Gebsattel, A., 1994. </w:t>
      </w:r>
      <w:r w:rsidRPr="007A3B83">
        <w:rPr>
          <w:rFonts w:eastAsia="Times New Roman" w:cs="Times New Roman"/>
          <w:i/>
        </w:rPr>
        <w:t xml:space="preserve">Exposition of </w:t>
      </w:r>
      <w:r w:rsidR="00946C93">
        <w:rPr>
          <w:rFonts w:eastAsia="Times New Roman" w:cs="Times New Roman"/>
          <w:i/>
        </w:rPr>
        <w:t>D</w:t>
      </w:r>
      <w:r w:rsidRPr="007A3B83">
        <w:rPr>
          <w:rFonts w:eastAsia="Times New Roman" w:cs="Times New Roman"/>
          <w:i/>
        </w:rPr>
        <w:t xml:space="preserve">ouble </w:t>
      </w:r>
      <w:r w:rsidR="00946C93">
        <w:rPr>
          <w:rFonts w:eastAsia="Times New Roman" w:cs="Times New Roman"/>
          <w:i/>
        </w:rPr>
        <w:t>E</w:t>
      </w:r>
      <w:r w:rsidRPr="007A3B83">
        <w:rPr>
          <w:rFonts w:eastAsia="Times New Roman" w:cs="Times New Roman"/>
          <w:i/>
        </w:rPr>
        <w:t xml:space="preserve">ntry </w:t>
      </w:r>
      <w:r w:rsidR="00946C93">
        <w:rPr>
          <w:rFonts w:eastAsia="Times New Roman" w:cs="Times New Roman"/>
          <w:i/>
        </w:rPr>
        <w:t>B</w:t>
      </w:r>
      <w:r w:rsidRPr="007A3B83">
        <w:rPr>
          <w:rFonts w:eastAsia="Times New Roman" w:cs="Times New Roman"/>
          <w:i/>
        </w:rPr>
        <w:t>ookkeeping</w:t>
      </w:r>
      <w:r w:rsidRPr="007A3B83">
        <w:rPr>
          <w:rFonts w:eastAsia="Times New Roman" w:cs="Times New Roman"/>
        </w:rPr>
        <w:t>. Venice: Albrizzi Editore.</w:t>
      </w:r>
    </w:p>
    <w:p w14:paraId="0CB6733C" w14:textId="6A20F1C0" w:rsidR="00104E02" w:rsidRPr="007A3B83" w:rsidRDefault="00104E02" w:rsidP="007A3B83">
      <w:pPr>
        <w:spacing w:after="120" w:line="240" w:lineRule="auto"/>
        <w:ind w:left="360" w:hanging="360"/>
        <w:rPr>
          <w:rFonts w:eastAsia="Times New Roman" w:cs="Times New Roman"/>
        </w:rPr>
      </w:pPr>
      <w:r>
        <w:rPr>
          <w:rFonts w:eastAsia="Times New Roman" w:cs="Times New Roman"/>
        </w:rPr>
        <w:t>Walker, R.G.</w:t>
      </w:r>
      <w:r w:rsidR="00D502B4">
        <w:rPr>
          <w:rFonts w:eastAsia="Times New Roman" w:cs="Times New Roman"/>
        </w:rPr>
        <w:t>,</w:t>
      </w:r>
      <w:r>
        <w:rPr>
          <w:rFonts w:eastAsia="Times New Roman" w:cs="Times New Roman"/>
        </w:rPr>
        <w:t xml:space="preserve"> 1978.</w:t>
      </w:r>
      <w:r w:rsidR="00D502B4" w:rsidRPr="00D502B4">
        <w:rPr>
          <w:i/>
        </w:rPr>
        <w:t xml:space="preserve"> </w:t>
      </w:r>
      <w:r w:rsidR="00D502B4">
        <w:rPr>
          <w:i/>
        </w:rPr>
        <w:t xml:space="preserve">Consolidated </w:t>
      </w:r>
      <w:r w:rsidR="00946C93">
        <w:rPr>
          <w:i/>
        </w:rPr>
        <w:t>S</w:t>
      </w:r>
      <w:r w:rsidR="00D502B4" w:rsidRPr="00DC65CC">
        <w:rPr>
          <w:i/>
        </w:rPr>
        <w:t>tatements</w:t>
      </w:r>
      <w:r w:rsidR="00D502B4">
        <w:t>.</w:t>
      </w:r>
      <w:r w:rsidR="00D502B4" w:rsidRPr="00DC65CC">
        <w:t xml:space="preserve"> Arno Press</w:t>
      </w:r>
      <w:r w:rsidR="00D502B4">
        <w:t>, New York</w:t>
      </w:r>
      <w:r w:rsidR="00D502B4" w:rsidRPr="00DC65CC">
        <w:t>.</w:t>
      </w:r>
    </w:p>
    <w:p w14:paraId="4E6F732D" w14:textId="1DE274CB" w:rsidR="007A3B83" w:rsidRPr="007A3B83" w:rsidRDefault="003F3741" w:rsidP="007A3B83">
      <w:pPr>
        <w:spacing w:after="120" w:line="240" w:lineRule="auto"/>
        <w:ind w:left="360" w:hanging="360"/>
        <w:rPr>
          <w:rFonts w:eastAsia="Times New Roman" w:cs="Times New Roman"/>
        </w:rPr>
      </w:pPr>
      <w:r>
        <w:rPr>
          <w:rFonts w:eastAsia="Times New Roman" w:cs="Times New Roman"/>
        </w:rPr>
        <w:t xml:space="preserve">Weber, M., 1927. </w:t>
      </w:r>
      <w:r w:rsidR="007A3B83" w:rsidRPr="007A3B83">
        <w:rPr>
          <w:rFonts w:eastAsia="Times New Roman" w:cs="Times New Roman"/>
          <w:i/>
        </w:rPr>
        <w:t xml:space="preserve">General </w:t>
      </w:r>
      <w:r w:rsidR="00946C93">
        <w:rPr>
          <w:rFonts w:eastAsia="Times New Roman" w:cs="Times New Roman"/>
          <w:i/>
        </w:rPr>
        <w:t>E</w:t>
      </w:r>
      <w:r w:rsidR="007A3B83" w:rsidRPr="007A3B83">
        <w:rPr>
          <w:rFonts w:eastAsia="Times New Roman" w:cs="Times New Roman"/>
          <w:i/>
        </w:rPr>
        <w:t xml:space="preserve">conomic </w:t>
      </w:r>
      <w:r w:rsidR="00946C93">
        <w:rPr>
          <w:rFonts w:eastAsia="Times New Roman" w:cs="Times New Roman"/>
          <w:i/>
        </w:rPr>
        <w:t>H</w:t>
      </w:r>
      <w:r w:rsidR="007A3B83" w:rsidRPr="007A3B83">
        <w:rPr>
          <w:rFonts w:eastAsia="Times New Roman" w:cs="Times New Roman"/>
          <w:i/>
        </w:rPr>
        <w:t>istory</w:t>
      </w:r>
      <w:r w:rsidR="007A3B83">
        <w:rPr>
          <w:rFonts w:eastAsia="Times New Roman" w:cs="Times New Roman"/>
        </w:rPr>
        <w:t xml:space="preserve"> (Tr. F.H. Knight).</w:t>
      </w:r>
      <w:r>
        <w:rPr>
          <w:rFonts w:eastAsia="Times New Roman" w:cs="Times New Roman"/>
        </w:rPr>
        <w:t xml:space="preserve"> Glencoe, ILL</w:t>
      </w:r>
      <w:r w:rsidR="007A3B83">
        <w:rPr>
          <w:rFonts w:eastAsia="Times New Roman" w:cs="Times New Roman"/>
        </w:rPr>
        <w:t>.</w:t>
      </w:r>
      <w:r w:rsidR="007A3B83" w:rsidRPr="007A3B83">
        <w:rPr>
          <w:rFonts w:eastAsia="Times New Roman" w:cs="Times New Roman"/>
        </w:rPr>
        <w:t>: Free Press.</w:t>
      </w:r>
    </w:p>
    <w:p w14:paraId="24A26FE6" w14:textId="5967E167" w:rsidR="007A3B83" w:rsidRPr="007A3B83" w:rsidRDefault="007A3B83" w:rsidP="007A3B83">
      <w:pPr>
        <w:spacing w:line="240" w:lineRule="auto"/>
        <w:ind w:left="360" w:hanging="360"/>
        <w:rPr>
          <w:rFonts w:eastAsia="Times New Roman" w:cs="Times New Roman"/>
        </w:rPr>
      </w:pPr>
      <w:r w:rsidRPr="007A3B83">
        <w:rPr>
          <w:rFonts w:eastAsia="Times New Roman" w:cs="Times New Roman"/>
        </w:rPr>
        <w:t xml:space="preserve">Weetman, P., 1992. </w:t>
      </w:r>
      <w:r w:rsidRPr="007A3B83">
        <w:rPr>
          <w:rFonts w:eastAsia="Times New Roman" w:cs="Times New Roman"/>
          <w:i/>
        </w:rPr>
        <w:t xml:space="preserve">SSAP 15: </w:t>
      </w:r>
      <w:r w:rsidR="00946C93">
        <w:rPr>
          <w:rFonts w:eastAsia="Times New Roman" w:cs="Times New Roman"/>
          <w:i/>
        </w:rPr>
        <w:t>A</w:t>
      </w:r>
      <w:r w:rsidRPr="007A3B83">
        <w:rPr>
          <w:rFonts w:eastAsia="Times New Roman" w:cs="Times New Roman"/>
          <w:i/>
        </w:rPr>
        <w:t xml:space="preserve">ccounting for </w:t>
      </w:r>
      <w:r w:rsidR="00946C93">
        <w:rPr>
          <w:rFonts w:eastAsia="Times New Roman" w:cs="Times New Roman"/>
          <w:i/>
        </w:rPr>
        <w:t>D</w:t>
      </w:r>
      <w:r w:rsidRPr="007A3B83">
        <w:rPr>
          <w:rFonts w:eastAsia="Times New Roman" w:cs="Times New Roman"/>
          <w:i/>
        </w:rPr>
        <w:t xml:space="preserve">eferred </w:t>
      </w:r>
      <w:r w:rsidR="00946C93">
        <w:rPr>
          <w:rFonts w:eastAsia="Times New Roman" w:cs="Times New Roman"/>
          <w:i/>
        </w:rPr>
        <w:t>T</w:t>
      </w:r>
      <w:r w:rsidRPr="007A3B83">
        <w:rPr>
          <w:rFonts w:eastAsia="Times New Roman" w:cs="Times New Roman"/>
          <w:i/>
        </w:rPr>
        <w:t xml:space="preserve">axation. </w:t>
      </w:r>
      <w:r w:rsidRPr="007A3B83">
        <w:rPr>
          <w:rFonts w:eastAsia="Times New Roman" w:cs="Times New Roman"/>
        </w:rPr>
        <w:t>Edinburgh: Institute of Chartered Accountants of Scotland.</w:t>
      </w:r>
    </w:p>
    <w:p w14:paraId="06AB8946" w14:textId="52C2E4C5" w:rsidR="007A3B83" w:rsidRPr="007A3B83" w:rsidRDefault="007A3B83" w:rsidP="007A3B83">
      <w:pPr>
        <w:spacing w:line="240" w:lineRule="auto"/>
        <w:ind w:left="360" w:hanging="360"/>
        <w:rPr>
          <w:rFonts w:eastAsia="Times New Roman" w:cs="Times New Roman"/>
        </w:rPr>
      </w:pPr>
      <w:r w:rsidRPr="007A3B83">
        <w:rPr>
          <w:rFonts w:eastAsia="Times New Roman" w:cs="Times New Roman"/>
        </w:rPr>
        <w:t xml:space="preserve">Whittington, G., 1983.  </w:t>
      </w:r>
      <w:r w:rsidRPr="007A3B83">
        <w:rPr>
          <w:rFonts w:eastAsia="Times New Roman" w:cs="Times New Roman"/>
          <w:i/>
        </w:rPr>
        <w:t xml:space="preserve">Inflation </w:t>
      </w:r>
      <w:r w:rsidR="00946C93">
        <w:rPr>
          <w:rFonts w:eastAsia="Times New Roman" w:cs="Times New Roman"/>
          <w:i/>
        </w:rPr>
        <w:t>A</w:t>
      </w:r>
      <w:r w:rsidRPr="007A3B83">
        <w:rPr>
          <w:rFonts w:eastAsia="Times New Roman" w:cs="Times New Roman"/>
          <w:i/>
        </w:rPr>
        <w:t xml:space="preserve">ccounting: </w:t>
      </w:r>
      <w:r w:rsidR="00946C93">
        <w:rPr>
          <w:rFonts w:eastAsia="Times New Roman" w:cs="Times New Roman"/>
          <w:i/>
        </w:rPr>
        <w:t>A</w:t>
      </w:r>
      <w:r w:rsidRPr="007A3B83">
        <w:rPr>
          <w:rFonts w:eastAsia="Times New Roman" w:cs="Times New Roman"/>
          <w:i/>
        </w:rPr>
        <w:t xml:space="preserve">n </w:t>
      </w:r>
      <w:r w:rsidR="00946C93">
        <w:rPr>
          <w:rFonts w:eastAsia="Times New Roman" w:cs="Times New Roman"/>
          <w:i/>
        </w:rPr>
        <w:t>I</w:t>
      </w:r>
      <w:r w:rsidRPr="007A3B83">
        <w:rPr>
          <w:rFonts w:eastAsia="Times New Roman" w:cs="Times New Roman"/>
          <w:i/>
        </w:rPr>
        <w:t xml:space="preserve">ntroduction to the </w:t>
      </w:r>
      <w:r w:rsidR="00946C93">
        <w:rPr>
          <w:rFonts w:eastAsia="Times New Roman" w:cs="Times New Roman"/>
          <w:i/>
        </w:rPr>
        <w:t>D</w:t>
      </w:r>
      <w:r w:rsidRPr="007A3B83">
        <w:rPr>
          <w:rFonts w:eastAsia="Times New Roman" w:cs="Times New Roman"/>
          <w:i/>
        </w:rPr>
        <w:t>ebate</w:t>
      </w:r>
      <w:r w:rsidRPr="007A3B83">
        <w:rPr>
          <w:rFonts w:eastAsia="Times New Roman" w:cs="Times New Roman"/>
        </w:rPr>
        <w:t>. Cambridge: Cambridge University Press.</w:t>
      </w:r>
    </w:p>
    <w:p w14:paraId="7DBDF72D" w14:textId="19CF40F8" w:rsidR="007A3B83" w:rsidRPr="007A3B83" w:rsidRDefault="007A3B83" w:rsidP="007A3B83">
      <w:pPr>
        <w:spacing w:line="240" w:lineRule="auto"/>
        <w:ind w:left="360" w:hanging="360"/>
        <w:rPr>
          <w:rFonts w:eastAsia="Times New Roman" w:cs="Times New Roman"/>
        </w:rPr>
      </w:pPr>
      <w:r w:rsidRPr="007A3B83">
        <w:rPr>
          <w:rFonts w:eastAsia="Times New Roman" w:cs="Times New Roman"/>
        </w:rPr>
        <w:t xml:space="preserve">Williams, J., 1996.  </w:t>
      </w:r>
      <w:r w:rsidRPr="007A3B83">
        <w:rPr>
          <w:rFonts w:eastAsia="Times New Roman" w:cs="Times New Roman"/>
          <w:i/>
        </w:rPr>
        <w:t xml:space="preserve">GAAP </w:t>
      </w:r>
      <w:r w:rsidR="00946C93">
        <w:rPr>
          <w:rFonts w:eastAsia="Times New Roman" w:cs="Times New Roman"/>
          <w:i/>
        </w:rPr>
        <w:t>G</w:t>
      </w:r>
      <w:r w:rsidRPr="007A3B83">
        <w:rPr>
          <w:rFonts w:eastAsia="Times New Roman" w:cs="Times New Roman"/>
          <w:i/>
        </w:rPr>
        <w:t>uide</w:t>
      </w:r>
      <w:r w:rsidRPr="007A3B83">
        <w:rPr>
          <w:rFonts w:eastAsia="Times New Roman" w:cs="Times New Roman"/>
        </w:rPr>
        <w:t xml:space="preserve">. San Diego: Harcourt Brace. </w:t>
      </w:r>
    </w:p>
    <w:p w14:paraId="7BC074C0" w14:textId="6CD88FBD" w:rsidR="007A3B83" w:rsidRPr="007A3B83" w:rsidRDefault="003F3741" w:rsidP="007A3B83">
      <w:pPr>
        <w:spacing w:after="120" w:line="240" w:lineRule="auto"/>
        <w:ind w:left="360" w:right="26" w:hanging="360"/>
        <w:rPr>
          <w:rFonts w:eastAsia="Times New Roman" w:cs="Times New Roman"/>
        </w:rPr>
      </w:pPr>
      <w:r>
        <w:rPr>
          <w:rFonts w:eastAsia="Times New Roman" w:cs="Times New Roman"/>
        </w:rPr>
        <w:t>Yamey, B.S., 1941.</w:t>
      </w:r>
      <w:r w:rsidR="007A3B83" w:rsidRPr="007A3B83">
        <w:rPr>
          <w:rFonts w:eastAsia="Times New Roman" w:cs="Times New Roman"/>
        </w:rPr>
        <w:t xml:space="preserve"> Aspects of the law relating to company dividends.  </w:t>
      </w:r>
      <w:r w:rsidR="007A3B83" w:rsidRPr="007A3B83">
        <w:rPr>
          <w:rFonts w:eastAsia="Times New Roman" w:cs="Times New Roman"/>
          <w:i/>
        </w:rPr>
        <w:t xml:space="preserve">Modern </w:t>
      </w:r>
      <w:r w:rsidR="00946C93">
        <w:rPr>
          <w:rFonts w:eastAsia="Times New Roman" w:cs="Times New Roman"/>
          <w:i/>
        </w:rPr>
        <w:t>L</w:t>
      </w:r>
      <w:r w:rsidR="007A3B83" w:rsidRPr="007A3B83">
        <w:rPr>
          <w:rFonts w:eastAsia="Times New Roman" w:cs="Times New Roman"/>
          <w:i/>
        </w:rPr>
        <w:t xml:space="preserve">aw </w:t>
      </w:r>
      <w:r w:rsidR="00946C93">
        <w:rPr>
          <w:rFonts w:eastAsia="Times New Roman" w:cs="Times New Roman"/>
          <w:i/>
        </w:rPr>
        <w:t>R</w:t>
      </w:r>
      <w:r w:rsidR="007A3B83" w:rsidRPr="007A3B83">
        <w:rPr>
          <w:rFonts w:eastAsia="Times New Roman" w:cs="Times New Roman"/>
          <w:i/>
        </w:rPr>
        <w:t xml:space="preserve">eview, </w:t>
      </w:r>
      <w:r w:rsidR="007A3B83" w:rsidRPr="007A3B83">
        <w:rPr>
          <w:rFonts w:eastAsia="Times New Roman" w:cs="Times New Roman"/>
        </w:rPr>
        <w:t>4, 273-298.</w:t>
      </w:r>
    </w:p>
    <w:p w14:paraId="214BF040" w14:textId="164BF7C9" w:rsidR="007A3B83" w:rsidRPr="007A3B83" w:rsidRDefault="003F3741" w:rsidP="007A3B83">
      <w:pPr>
        <w:spacing w:after="120" w:line="240" w:lineRule="auto"/>
        <w:ind w:left="360" w:right="26" w:hanging="360"/>
        <w:rPr>
          <w:rFonts w:eastAsia="Times New Roman" w:cs="Times New Roman"/>
        </w:rPr>
      </w:pPr>
      <w:r>
        <w:rPr>
          <w:rFonts w:eastAsia="Times New Roman" w:cs="Times New Roman"/>
        </w:rPr>
        <w:t xml:space="preserve">Yamey, B.S., 1949. </w:t>
      </w:r>
      <w:r w:rsidR="007A3B83" w:rsidRPr="007A3B83">
        <w:rPr>
          <w:rFonts w:eastAsia="Times New Roman" w:cs="Times New Roman"/>
        </w:rPr>
        <w:t xml:space="preserve">Scientific bookkeeping and the rise of capitalism. </w:t>
      </w:r>
      <w:r w:rsidR="007A3B83" w:rsidRPr="007A3B83">
        <w:rPr>
          <w:rFonts w:eastAsia="Times New Roman" w:cs="Times New Roman"/>
          <w:i/>
        </w:rPr>
        <w:t xml:space="preserve">Economic </w:t>
      </w:r>
      <w:r w:rsidR="00946C93">
        <w:rPr>
          <w:rFonts w:eastAsia="Times New Roman" w:cs="Times New Roman"/>
          <w:i/>
        </w:rPr>
        <w:t>H</w:t>
      </w:r>
      <w:r w:rsidR="00CC25D3">
        <w:rPr>
          <w:rFonts w:eastAsia="Times New Roman" w:cs="Times New Roman"/>
          <w:i/>
        </w:rPr>
        <w:t>istory R</w:t>
      </w:r>
      <w:r w:rsidR="007A3B83" w:rsidRPr="007A3B83">
        <w:rPr>
          <w:rFonts w:eastAsia="Times New Roman" w:cs="Times New Roman"/>
          <w:i/>
        </w:rPr>
        <w:t>eview</w:t>
      </w:r>
      <w:r w:rsidR="007A3B83" w:rsidRPr="007A3B83">
        <w:rPr>
          <w:rFonts w:eastAsia="Times New Roman" w:cs="Times New Roman"/>
        </w:rPr>
        <w:t>, 1 (2/3), 99-113.</w:t>
      </w:r>
    </w:p>
    <w:p w14:paraId="794C7C85" w14:textId="74EF1A38" w:rsidR="007A3B83" w:rsidRPr="007A3B83" w:rsidRDefault="003F3741" w:rsidP="007A3B83">
      <w:pPr>
        <w:spacing w:after="120" w:line="240" w:lineRule="auto"/>
        <w:ind w:left="360" w:right="26" w:hanging="360"/>
        <w:rPr>
          <w:rFonts w:eastAsia="Times New Roman" w:cs="Times New Roman"/>
        </w:rPr>
      </w:pPr>
      <w:r>
        <w:rPr>
          <w:rFonts w:eastAsia="Times New Roman" w:cs="Times New Roman"/>
        </w:rPr>
        <w:t xml:space="preserve">Yamey, B.S., 1962. </w:t>
      </w:r>
      <w:r w:rsidR="007A3B83" w:rsidRPr="007A3B83">
        <w:rPr>
          <w:rFonts w:eastAsia="Times New Roman" w:cs="Times New Roman"/>
        </w:rPr>
        <w:t xml:space="preserve">The case law relating to company dividends.  In W.T. Baxter and S. Davidson (eds.), </w:t>
      </w:r>
      <w:r w:rsidR="007A3B83" w:rsidRPr="007A3B83">
        <w:rPr>
          <w:rFonts w:eastAsia="Times New Roman" w:cs="Times New Roman"/>
          <w:i/>
        </w:rPr>
        <w:t xml:space="preserve">Studies in </w:t>
      </w:r>
      <w:r w:rsidR="00946C93">
        <w:rPr>
          <w:rFonts w:eastAsia="Times New Roman" w:cs="Times New Roman"/>
          <w:i/>
        </w:rPr>
        <w:t>A</w:t>
      </w:r>
      <w:r w:rsidR="007A3B83" w:rsidRPr="007A3B83">
        <w:rPr>
          <w:rFonts w:eastAsia="Times New Roman" w:cs="Times New Roman"/>
          <w:i/>
        </w:rPr>
        <w:t xml:space="preserve">ccounting </w:t>
      </w:r>
      <w:r w:rsidR="00946C93">
        <w:rPr>
          <w:rFonts w:eastAsia="Times New Roman" w:cs="Times New Roman"/>
          <w:i/>
        </w:rPr>
        <w:t>T</w:t>
      </w:r>
      <w:r w:rsidR="007A3B83" w:rsidRPr="007A3B83">
        <w:rPr>
          <w:rFonts w:eastAsia="Times New Roman" w:cs="Times New Roman"/>
          <w:i/>
        </w:rPr>
        <w:t>heory</w:t>
      </w:r>
      <w:r w:rsidR="007A3B83" w:rsidRPr="007A3B83">
        <w:rPr>
          <w:rFonts w:eastAsia="Times New Roman" w:cs="Times New Roman"/>
        </w:rPr>
        <w:t>, 2</w:t>
      </w:r>
      <w:r w:rsidR="007A3B83" w:rsidRPr="007A3B83">
        <w:rPr>
          <w:rFonts w:eastAsia="Times New Roman" w:cs="Times New Roman"/>
          <w:vertAlign w:val="superscript"/>
        </w:rPr>
        <w:t>nd</w:t>
      </w:r>
      <w:r w:rsidR="007A3B83" w:rsidRPr="007A3B83">
        <w:rPr>
          <w:rFonts w:eastAsia="Times New Roman" w:cs="Times New Roman"/>
        </w:rPr>
        <w:t xml:space="preserve"> ed., London: Sweet and Maxwell</w:t>
      </w:r>
      <w:r w:rsidR="00730C2D">
        <w:rPr>
          <w:rFonts w:eastAsia="Times New Roman" w:cs="Times New Roman"/>
        </w:rPr>
        <w:t>, 428-442</w:t>
      </w:r>
      <w:r w:rsidR="007A3B83" w:rsidRPr="007A3B83">
        <w:rPr>
          <w:rFonts w:eastAsia="Times New Roman" w:cs="Times New Roman"/>
        </w:rPr>
        <w:t>.</w:t>
      </w:r>
    </w:p>
    <w:p w14:paraId="06520024" w14:textId="39A786A0" w:rsidR="007A3B83" w:rsidRPr="007A3B83" w:rsidRDefault="007A3B83" w:rsidP="007A3B83">
      <w:pPr>
        <w:spacing w:after="120" w:line="240" w:lineRule="auto"/>
        <w:ind w:left="360" w:right="26" w:hanging="360"/>
        <w:rPr>
          <w:rFonts w:eastAsia="Times New Roman" w:cs="Times New Roman"/>
        </w:rPr>
      </w:pPr>
      <w:r w:rsidRPr="007A3B83">
        <w:rPr>
          <w:rFonts w:eastAsia="Times New Roman" w:cs="Times New Roman"/>
        </w:rPr>
        <w:t>Yamey, B.S., 1964. Accounting and the rise of capitalism: some furth</w:t>
      </w:r>
      <w:r w:rsidR="006C3380">
        <w:rPr>
          <w:rFonts w:eastAsia="Times New Roman" w:cs="Times New Roman"/>
        </w:rPr>
        <w:t>er notes on a theme by Sombart.</w:t>
      </w:r>
      <w:r w:rsidRPr="007A3B83">
        <w:rPr>
          <w:rFonts w:eastAsia="Times New Roman" w:cs="Times New Roman"/>
        </w:rPr>
        <w:t xml:space="preserve"> </w:t>
      </w:r>
      <w:r w:rsidRPr="007A3B83">
        <w:rPr>
          <w:rFonts w:eastAsia="Times New Roman" w:cs="Times New Roman"/>
          <w:i/>
        </w:rPr>
        <w:t xml:space="preserve">Journal of </w:t>
      </w:r>
      <w:r w:rsidR="00946C93">
        <w:rPr>
          <w:rFonts w:eastAsia="Times New Roman" w:cs="Times New Roman"/>
          <w:i/>
        </w:rPr>
        <w:t>A</w:t>
      </w:r>
      <w:r w:rsidRPr="007A3B83">
        <w:rPr>
          <w:rFonts w:eastAsia="Times New Roman" w:cs="Times New Roman"/>
          <w:i/>
        </w:rPr>
        <w:t xml:space="preserve">ccounting </w:t>
      </w:r>
      <w:r w:rsidR="00946C93">
        <w:rPr>
          <w:rFonts w:eastAsia="Times New Roman" w:cs="Times New Roman"/>
          <w:i/>
        </w:rPr>
        <w:t>R</w:t>
      </w:r>
      <w:r w:rsidRPr="007A3B83">
        <w:rPr>
          <w:rFonts w:eastAsia="Times New Roman" w:cs="Times New Roman"/>
          <w:i/>
        </w:rPr>
        <w:t>esearch</w:t>
      </w:r>
      <w:r w:rsidRPr="007A3B83">
        <w:rPr>
          <w:rFonts w:eastAsia="Times New Roman" w:cs="Times New Roman"/>
        </w:rPr>
        <w:t>, 2 (2), 117-136.</w:t>
      </w:r>
    </w:p>
    <w:p w14:paraId="12DC2871" w14:textId="5DC95E7D" w:rsidR="007A3B83" w:rsidRPr="007A3B83" w:rsidRDefault="007A3B83" w:rsidP="007A3B83">
      <w:pPr>
        <w:spacing w:after="120" w:line="240" w:lineRule="auto"/>
        <w:ind w:left="360" w:right="26" w:hanging="360"/>
        <w:rPr>
          <w:rFonts w:eastAsia="Times New Roman" w:cs="Times New Roman"/>
        </w:rPr>
      </w:pPr>
      <w:r w:rsidRPr="007A3B83">
        <w:rPr>
          <w:rFonts w:eastAsia="Times New Roman" w:cs="Times New Roman"/>
        </w:rPr>
        <w:t>Yamey, B</w:t>
      </w:r>
      <w:r w:rsidR="006C3380">
        <w:rPr>
          <w:rFonts w:eastAsia="Times New Roman" w:cs="Times New Roman"/>
        </w:rPr>
        <w:t xml:space="preserve">.S., 1970. Closing the ledger. </w:t>
      </w:r>
      <w:r w:rsidRPr="007A3B83">
        <w:rPr>
          <w:rFonts w:eastAsia="Times New Roman" w:cs="Times New Roman"/>
          <w:i/>
        </w:rPr>
        <w:t xml:space="preserve">Accounting and </w:t>
      </w:r>
      <w:r w:rsidR="00946C93">
        <w:rPr>
          <w:rFonts w:eastAsia="Times New Roman" w:cs="Times New Roman"/>
          <w:i/>
        </w:rPr>
        <w:t>B</w:t>
      </w:r>
      <w:r w:rsidRPr="007A3B83">
        <w:rPr>
          <w:rFonts w:eastAsia="Times New Roman" w:cs="Times New Roman"/>
          <w:i/>
        </w:rPr>
        <w:t xml:space="preserve">usiness </w:t>
      </w:r>
      <w:r w:rsidR="00946C93">
        <w:rPr>
          <w:rFonts w:eastAsia="Times New Roman" w:cs="Times New Roman"/>
          <w:i/>
        </w:rPr>
        <w:t>R</w:t>
      </w:r>
      <w:r w:rsidRPr="007A3B83">
        <w:rPr>
          <w:rFonts w:eastAsia="Times New Roman" w:cs="Times New Roman"/>
          <w:i/>
        </w:rPr>
        <w:t>esearch</w:t>
      </w:r>
      <w:r w:rsidR="00332690">
        <w:rPr>
          <w:rFonts w:eastAsia="Times New Roman" w:cs="Times New Roman"/>
          <w:i/>
        </w:rPr>
        <w:t>,</w:t>
      </w:r>
      <w:r w:rsidR="002A0B03">
        <w:rPr>
          <w:rFonts w:eastAsia="Times New Roman" w:cs="Times New Roman"/>
          <w:i/>
        </w:rPr>
        <w:t xml:space="preserve"> </w:t>
      </w:r>
      <w:r w:rsidR="00332690">
        <w:rPr>
          <w:rFonts w:eastAsia="Times New Roman" w:cs="Times New Roman"/>
        </w:rPr>
        <w:t xml:space="preserve"> 1</w:t>
      </w:r>
      <w:r w:rsidR="00946C93">
        <w:rPr>
          <w:rFonts w:eastAsia="Times New Roman" w:cs="Times New Roman"/>
        </w:rPr>
        <w:t xml:space="preserve"> </w:t>
      </w:r>
      <w:r w:rsidR="00332690">
        <w:rPr>
          <w:rFonts w:eastAsia="Times New Roman" w:cs="Times New Roman"/>
        </w:rPr>
        <w:t>(1), 71-77</w:t>
      </w:r>
      <w:r w:rsidRPr="007A3B83">
        <w:rPr>
          <w:rFonts w:eastAsia="Times New Roman" w:cs="Times New Roman"/>
        </w:rPr>
        <w:t>.</w:t>
      </w:r>
    </w:p>
    <w:p w14:paraId="230835D8" w14:textId="00CFF808" w:rsidR="007A3B83" w:rsidRPr="007A3B83" w:rsidRDefault="007A3B83" w:rsidP="007A3B83">
      <w:pPr>
        <w:spacing w:after="120" w:line="240" w:lineRule="auto"/>
        <w:ind w:left="360" w:hanging="360"/>
        <w:rPr>
          <w:rFonts w:eastAsia="Times New Roman" w:cs="Times New Roman"/>
        </w:rPr>
      </w:pPr>
      <w:r w:rsidRPr="007A3B83">
        <w:rPr>
          <w:rFonts w:eastAsia="Times New Roman" w:cs="Times New Roman"/>
        </w:rPr>
        <w:t>Yamey, B.S., 2005.  The historical significance of double entry bookkeepin</w:t>
      </w:r>
      <w:r w:rsidR="003F3741">
        <w:rPr>
          <w:rFonts w:eastAsia="Times New Roman" w:cs="Times New Roman"/>
        </w:rPr>
        <w:t xml:space="preserve">g: some non-Sombartian claims. </w:t>
      </w:r>
      <w:r w:rsidRPr="007A3B83">
        <w:rPr>
          <w:rFonts w:eastAsia="Times New Roman" w:cs="Times New Roman"/>
          <w:i/>
        </w:rPr>
        <w:t xml:space="preserve">Accounting, </w:t>
      </w:r>
      <w:r w:rsidR="00946C93">
        <w:rPr>
          <w:rFonts w:eastAsia="Times New Roman" w:cs="Times New Roman"/>
          <w:i/>
        </w:rPr>
        <w:t>B</w:t>
      </w:r>
      <w:r w:rsidRPr="007A3B83">
        <w:rPr>
          <w:rFonts w:eastAsia="Times New Roman" w:cs="Times New Roman"/>
          <w:i/>
        </w:rPr>
        <w:t xml:space="preserve">usiness and </w:t>
      </w:r>
      <w:r w:rsidR="00946C93">
        <w:rPr>
          <w:rFonts w:eastAsia="Times New Roman" w:cs="Times New Roman"/>
          <w:i/>
        </w:rPr>
        <w:t>F</w:t>
      </w:r>
      <w:r w:rsidRPr="007A3B83">
        <w:rPr>
          <w:rFonts w:eastAsia="Times New Roman" w:cs="Times New Roman"/>
          <w:i/>
        </w:rPr>
        <w:t xml:space="preserve">inancial </w:t>
      </w:r>
      <w:r w:rsidR="00946C93">
        <w:rPr>
          <w:rFonts w:eastAsia="Times New Roman" w:cs="Times New Roman"/>
          <w:i/>
        </w:rPr>
        <w:t>H</w:t>
      </w:r>
      <w:r w:rsidRPr="007A3B83">
        <w:rPr>
          <w:rFonts w:eastAsia="Times New Roman" w:cs="Times New Roman"/>
          <w:i/>
        </w:rPr>
        <w:t>istory</w:t>
      </w:r>
      <w:r w:rsidRPr="007A3B83">
        <w:rPr>
          <w:rFonts w:eastAsia="Times New Roman" w:cs="Times New Roman"/>
        </w:rPr>
        <w:t>, 15 (1), 77-88.</w:t>
      </w:r>
    </w:p>
    <w:p w14:paraId="0D065B31" w14:textId="5A102146" w:rsidR="007A3B83" w:rsidRDefault="007A3B83" w:rsidP="007A3B83">
      <w:pPr>
        <w:spacing w:after="120" w:line="240" w:lineRule="auto"/>
        <w:ind w:left="360" w:hanging="360"/>
        <w:rPr>
          <w:rFonts w:eastAsia="Times New Roman" w:cs="Times New Roman"/>
        </w:rPr>
      </w:pPr>
      <w:r w:rsidRPr="007A3B83">
        <w:rPr>
          <w:rFonts w:eastAsia="Times New Roman" w:cs="Times New Roman"/>
        </w:rPr>
        <w:t xml:space="preserve">Ympyn, J., 1547. </w:t>
      </w:r>
      <w:r w:rsidRPr="007A3B83">
        <w:rPr>
          <w:rFonts w:eastAsia="Times New Roman" w:cs="Times New Roman"/>
          <w:i/>
        </w:rPr>
        <w:t xml:space="preserve">A </w:t>
      </w:r>
      <w:r w:rsidR="00946C93">
        <w:rPr>
          <w:rFonts w:eastAsia="Times New Roman" w:cs="Times New Roman"/>
          <w:i/>
        </w:rPr>
        <w:t>N</w:t>
      </w:r>
      <w:r w:rsidRPr="007A3B83">
        <w:rPr>
          <w:rFonts w:eastAsia="Times New Roman" w:cs="Times New Roman"/>
          <w:i/>
        </w:rPr>
        <w:t>ot</w:t>
      </w:r>
      <w:r w:rsidR="00717F26">
        <w:rPr>
          <w:rFonts w:eastAsia="Times New Roman" w:cs="Times New Roman"/>
          <w:i/>
        </w:rPr>
        <w:t xml:space="preserve">able and </w:t>
      </w:r>
      <w:r w:rsidR="00946C93">
        <w:rPr>
          <w:rFonts w:eastAsia="Times New Roman" w:cs="Times New Roman"/>
          <w:i/>
        </w:rPr>
        <w:t>V</w:t>
      </w:r>
      <w:r w:rsidR="00717F26">
        <w:rPr>
          <w:rFonts w:eastAsia="Times New Roman" w:cs="Times New Roman"/>
          <w:i/>
        </w:rPr>
        <w:t xml:space="preserve">ery </w:t>
      </w:r>
      <w:r w:rsidR="00946C93">
        <w:rPr>
          <w:rFonts w:eastAsia="Times New Roman" w:cs="Times New Roman"/>
          <w:i/>
        </w:rPr>
        <w:t>E</w:t>
      </w:r>
      <w:r w:rsidR="00717F26">
        <w:rPr>
          <w:rFonts w:eastAsia="Times New Roman" w:cs="Times New Roman"/>
          <w:i/>
        </w:rPr>
        <w:t xml:space="preserve">xcellente </w:t>
      </w:r>
      <w:r w:rsidR="00946C93">
        <w:rPr>
          <w:rFonts w:eastAsia="Times New Roman" w:cs="Times New Roman"/>
          <w:i/>
        </w:rPr>
        <w:t>W</w:t>
      </w:r>
      <w:r w:rsidR="00717F26">
        <w:rPr>
          <w:rFonts w:eastAsia="Times New Roman" w:cs="Times New Roman"/>
          <w:i/>
        </w:rPr>
        <w:t>oorke</w:t>
      </w:r>
      <w:r w:rsidR="006C3380">
        <w:rPr>
          <w:rFonts w:eastAsia="Times New Roman" w:cs="Times New Roman"/>
        </w:rPr>
        <w:t xml:space="preserve">. London: </w:t>
      </w:r>
      <w:r w:rsidRPr="007A3B83">
        <w:rPr>
          <w:rFonts w:eastAsia="Times New Roman" w:cs="Times New Roman"/>
        </w:rPr>
        <w:t>Richard Grafton.</w:t>
      </w:r>
    </w:p>
    <w:p w14:paraId="47E5115C" w14:textId="5E08C0C5" w:rsidR="00F425EF" w:rsidRDefault="00F425EF" w:rsidP="007A3B83">
      <w:pPr>
        <w:spacing w:after="120" w:line="240" w:lineRule="auto"/>
        <w:ind w:left="360" w:hanging="360"/>
        <w:rPr>
          <w:rFonts w:eastAsia="Times New Roman" w:cs="Times New Roman"/>
        </w:rPr>
      </w:pPr>
      <w:r>
        <w:rPr>
          <w:rFonts w:eastAsia="Times New Roman" w:cs="Times New Roman"/>
        </w:rPr>
        <w:t xml:space="preserve">Zeff, S.A., 2007. The SEC rules historical cost accounting: 1934 to the 1970s. </w:t>
      </w:r>
      <w:r>
        <w:rPr>
          <w:rFonts w:eastAsia="Times New Roman" w:cs="Times New Roman"/>
          <w:i/>
        </w:rPr>
        <w:t xml:space="preserve">Accounting and </w:t>
      </w:r>
      <w:r w:rsidR="00946C93">
        <w:rPr>
          <w:rFonts w:eastAsia="Times New Roman" w:cs="Times New Roman"/>
          <w:i/>
        </w:rPr>
        <w:t>B</w:t>
      </w:r>
      <w:r>
        <w:rPr>
          <w:rFonts w:eastAsia="Times New Roman" w:cs="Times New Roman"/>
          <w:i/>
        </w:rPr>
        <w:t xml:space="preserve">usiness </w:t>
      </w:r>
      <w:r w:rsidR="00946C93">
        <w:rPr>
          <w:rFonts w:eastAsia="Times New Roman" w:cs="Times New Roman"/>
          <w:i/>
        </w:rPr>
        <w:t>R</w:t>
      </w:r>
      <w:r>
        <w:rPr>
          <w:rFonts w:eastAsia="Times New Roman" w:cs="Times New Roman"/>
          <w:i/>
        </w:rPr>
        <w:t>esearch</w:t>
      </w:r>
      <w:r>
        <w:rPr>
          <w:rFonts w:eastAsia="Times New Roman" w:cs="Times New Roman"/>
        </w:rPr>
        <w:t xml:space="preserve">, </w:t>
      </w:r>
      <w:r w:rsidR="004207D7">
        <w:rPr>
          <w:rFonts w:eastAsia="Times New Roman" w:cs="Times New Roman"/>
        </w:rPr>
        <w:t>37, Supplement 1</w:t>
      </w:r>
      <w:r>
        <w:rPr>
          <w:rFonts w:eastAsia="Times New Roman" w:cs="Times New Roman"/>
        </w:rPr>
        <w:t>, 49-62.</w:t>
      </w:r>
    </w:p>
    <w:p w14:paraId="39D7D6DB" w14:textId="3A2A9963" w:rsidR="00104E02" w:rsidRPr="007A3B83" w:rsidRDefault="00104E02" w:rsidP="007A3B83">
      <w:pPr>
        <w:spacing w:after="120" w:line="240" w:lineRule="auto"/>
        <w:ind w:left="360" w:hanging="360"/>
        <w:rPr>
          <w:rFonts w:eastAsia="Times New Roman" w:cs="Times New Roman"/>
        </w:rPr>
      </w:pPr>
      <w:r>
        <w:rPr>
          <w:rFonts w:eastAsia="Times New Roman" w:cs="Times New Roman"/>
        </w:rPr>
        <w:t>Zeff, S.A.</w:t>
      </w:r>
      <w:r w:rsidR="00D502B4">
        <w:rPr>
          <w:rFonts w:eastAsia="Times New Roman" w:cs="Times New Roman"/>
        </w:rPr>
        <w:t>,</w:t>
      </w:r>
      <w:r>
        <w:rPr>
          <w:rFonts w:eastAsia="Times New Roman" w:cs="Times New Roman"/>
        </w:rPr>
        <w:t xml:space="preserve"> 2009. </w:t>
      </w:r>
      <w:r w:rsidR="001066AA" w:rsidRPr="001066AA">
        <w:rPr>
          <w:rFonts w:eastAsia="Times New Roman" w:cs="Times New Roman"/>
          <w:i/>
        </w:rPr>
        <w:t xml:space="preserve">Principles before </w:t>
      </w:r>
      <w:r w:rsidR="00946C93">
        <w:rPr>
          <w:rFonts w:eastAsia="Times New Roman" w:cs="Times New Roman"/>
          <w:i/>
        </w:rPr>
        <w:t>S</w:t>
      </w:r>
      <w:r w:rsidR="001066AA" w:rsidRPr="001066AA">
        <w:rPr>
          <w:rFonts w:eastAsia="Times New Roman" w:cs="Times New Roman"/>
          <w:i/>
        </w:rPr>
        <w:t>tandards</w:t>
      </w:r>
      <w:r>
        <w:rPr>
          <w:rFonts w:eastAsia="Times New Roman" w:cs="Times New Roman"/>
        </w:rPr>
        <w:t xml:space="preserve">: </w:t>
      </w:r>
      <w:r w:rsidR="001066AA" w:rsidRPr="001066AA">
        <w:rPr>
          <w:rFonts w:eastAsia="Times New Roman" w:cs="Times New Roman"/>
          <w:i/>
        </w:rPr>
        <w:t xml:space="preserve">the ICAEW’s ‘N Series’ </w:t>
      </w:r>
      <w:r w:rsidR="00D502B4">
        <w:rPr>
          <w:rFonts w:eastAsia="Times New Roman" w:cs="Times New Roman"/>
          <w:i/>
        </w:rPr>
        <w:t xml:space="preserve">of Recommendations </w:t>
      </w:r>
      <w:r w:rsidR="001066AA" w:rsidRPr="001066AA">
        <w:rPr>
          <w:rFonts w:eastAsia="Times New Roman" w:cs="Times New Roman"/>
          <w:i/>
        </w:rPr>
        <w:t xml:space="preserve">on </w:t>
      </w:r>
      <w:r w:rsidR="00946C93">
        <w:rPr>
          <w:rFonts w:eastAsia="Times New Roman" w:cs="Times New Roman"/>
          <w:i/>
        </w:rPr>
        <w:t>A</w:t>
      </w:r>
      <w:r w:rsidR="001066AA" w:rsidRPr="001066AA">
        <w:rPr>
          <w:rFonts w:eastAsia="Times New Roman" w:cs="Times New Roman"/>
          <w:i/>
        </w:rPr>
        <w:t xml:space="preserve">ccounting </w:t>
      </w:r>
      <w:r w:rsidR="00946C93">
        <w:rPr>
          <w:rFonts w:eastAsia="Times New Roman" w:cs="Times New Roman"/>
          <w:i/>
        </w:rPr>
        <w:t>P</w:t>
      </w:r>
      <w:r w:rsidR="001066AA" w:rsidRPr="001066AA">
        <w:rPr>
          <w:rFonts w:eastAsia="Times New Roman" w:cs="Times New Roman"/>
          <w:i/>
        </w:rPr>
        <w:t>rinciples 1942-1969</w:t>
      </w:r>
      <w:r w:rsidR="00D502B4">
        <w:rPr>
          <w:rFonts w:eastAsia="Times New Roman" w:cs="Times New Roman"/>
        </w:rPr>
        <w:t>.</w:t>
      </w:r>
      <w:r>
        <w:rPr>
          <w:rFonts w:eastAsia="Times New Roman" w:cs="Times New Roman"/>
        </w:rPr>
        <w:t xml:space="preserve"> </w:t>
      </w:r>
      <w:r w:rsidRPr="007A3B83">
        <w:rPr>
          <w:rFonts w:eastAsia="Times New Roman" w:cs="Times New Roman"/>
        </w:rPr>
        <w:t>London: Institute of Chartered Accountants in England and Wales</w:t>
      </w:r>
      <w:r>
        <w:rPr>
          <w:rFonts w:eastAsia="Times New Roman" w:cs="Times New Roman"/>
        </w:rPr>
        <w:t>.</w:t>
      </w:r>
    </w:p>
    <w:p w14:paraId="285A60A2" w14:textId="77777777" w:rsidR="00E772B0" w:rsidRDefault="007A3B83" w:rsidP="007A3B83">
      <w:pPr>
        <w:rPr>
          <w:b/>
        </w:rPr>
      </w:pPr>
      <w:r w:rsidRPr="007A3B83">
        <w:rPr>
          <w:rFonts w:eastAsia="Times New Roman" w:cs="Times New Roman"/>
        </w:rPr>
        <w:br w:type="page"/>
      </w:r>
    </w:p>
    <w:p w14:paraId="2E39EEDC" w14:textId="77777777" w:rsidR="007A3B83" w:rsidRPr="00E772B0" w:rsidRDefault="007A3B83" w:rsidP="00D30092">
      <w:pPr>
        <w:rPr>
          <w:b/>
        </w:rPr>
      </w:pPr>
    </w:p>
    <w:p w14:paraId="7F8D36C0" w14:textId="77777777" w:rsidR="00487DE1" w:rsidRDefault="00487DE1" w:rsidP="009A12C1">
      <w:pPr>
        <w:spacing w:line="240" w:lineRule="auto"/>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3506"/>
        <w:gridCol w:w="525"/>
        <w:gridCol w:w="3631"/>
      </w:tblGrid>
      <w:tr w:rsidR="00487DE1" w14:paraId="1110BC41" w14:textId="77777777" w:rsidTr="00883FDE">
        <w:tc>
          <w:tcPr>
            <w:tcW w:w="4260" w:type="dxa"/>
            <w:gridSpan w:val="2"/>
          </w:tcPr>
          <w:p w14:paraId="677A52DE" w14:textId="77777777" w:rsidR="00487DE1" w:rsidRPr="00487DE1" w:rsidRDefault="00104E02" w:rsidP="00DC02E0">
            <w:pPr>
              <w:spacing w:after="120" w:line="360" w:lineRule="auto"/>
              <w:rPr>
                <w:i/>
              </w:rPr>
            </w:pPr>
            <w:r>
              <w:rPr>
                <w:i/>
              </w:rPr>
              <w:t>C</w:t>
            </w:r>
            <w:r w:rsidR="00487DE1">
              <w:rPr>
                <w:i/>
              </w:rPr>
              <w:t>apital and Liabilities</w:t>
            </w:r>
          </w:p>
        </w:tc>
        <w:tc>
          <w:tcPr>
            <w:tcW w:w="4262" w:type="dxa"/>
            <w:gridSpan w:val="2"/>
          </w:tcPr>
          <w:p w14:paraId="5AC9F6DF" w14:textId="77777777" w:rsidR="00487DE1" w:rsidRPr="00487DE1" w:rsidRDefault="00DC02E0" w:rsidP="00DC02E0">
            <w:pPr>
              <w:spacing w:after="120" w:line="360" w:lineRule="auto"/>
              <w:rPr>
                <w:i/>
              </w:rPr>
            </w:pPr>
            <w:r>
              <w:rPr>
                <w:i/>
              </w:rPr>
              <w:t xml:space="preserve">Property and Assets      </w:t>
            </w:r>
          </w:p>
        </w:tc>
      </w:tr>
      <w:tr w:rsidR="00487DE1" w14:paraId="4AF16A42" w14:textId="77777777" w:rsidTr="00BD21B7">
        <w:tc>
          <w:tcPr>
            <w:tcW w:w="648" w:type="dxa"/>
          </w:tcPr>
          <w:p w14:paraId="4A12CB07" w14:textId="77777777" w:rsidR="00487DE1" w:rsidRDefault="00487DE1" w:rsidP="00487DE1">
            <w:pPr>
              <w:spacing w:after="120" w:line="360" w:lineRule="auto"/>
            </w:pPr>
            <w:r>
              <w:t>I</w:t>
            </w:r>
          </w:p>
        </w:tc>
        <w:tc>
          <w:tcPr>
            <w:tcW w:w="3612" w:type="dxa"/>
          </w:tcPr>
          <w:p w14:paraId="4E0394F9" w14:textId="77777777" w:rsidR="00487DE1" w:rsidRDefault="00487DE1" w:rsidP="00487DE1">
            <w:pPr>
              <w:spacing w:after="120" w:line="360" w:lineRule="auto"/>
            </w:pPr>
            <w:r>
              <w:t>Capital</w:t>
            </w:r>
          </w:p>
        </w:tc>
        <w:tc>
          <w:tcPr>
            <w:tcW w:w="528" w:type="dxa"/>
          </w:tcPr>
          <w:p w14:paraId="7A76EE98" w14:textId="77777777" w:rsidR="00487DE1" w:rsidRDefault="00BD21B7" w:rsidP="00487DE1">
            <w:pPr>
              <w:spacing w:after="120" w:line="360" w:lineRule="auto"/>
            </w:pPr>
            <w:r>
              <w:t>III</w:t>
            </w:r>
          </w:p>
        </w:tc>
        <w:tc>
          <w:tcPr>
            <w:tcW w:w="3734" w:type="dxa"/>
          </w:tcPr>
          <w:p w14:paraId="3FAC2AC4" w14:textId="77777777" w:rsidR="00487DE1" w:rsidRDefault="00BD21B7" w:rsidP="00487DE1">
            <w:pPr>
              <w:spacing w:after="120" w:line="360" w:lineRule="auto"/>
            </w:pPr>
            <w:r>
              <w:t>Property</w:t>
            </w:r>
          </w:p>
        </w:tc>
      </w:tr>
      <w:tr w:rsidR="00487DE1" w14:paraId="28466726" w14:textId="77777777" w:rsidTr="00BD21B7">
        <w:tc>
          <w:tcPr>
            <w:tcW w:w="648" w:type="dxa"/>
          </w:tcPr>
          <w:p w14:paraId="2A8643A3" w14:textId="77777777" w:rsidR="00487DE1" w:rsidRDefault="00487DE1" w:rsidP="00487DE1">
            <w:pPr>
              <w:spacing w:after="120" w:line="360" w:lineRule="auto"/>
            </w:pPr>
            <w:r>
              <w:t>II</w:t>
            </w:r>
          </w:p>
        </w:tc>
        <w:tc>
          <w:tcPr>
            <w:tcW w:w="3612" w:type="dxa"/>
          </w:tcPr>
          <w:p w14:paraId="7BDDA000" w14:textId="77777777" w:rsidR="00487DE1" w:rsidRDefault="00487DE1" w:rsidP="00487DE1">
            <w:pPr>
              <w:spacing w:after="120" w:line="360" w:lineRule="auto"/>
            </w:pPr>
            <w:r>
              <w:t>Debts and Liabilities</w:t>
            </w:r>
          </w:p>
        </w:tc>
        <w:tc>
          <w:tcPr>
            <w:tcW w:w="528" w:type="dxa"/>
          </w:tcPr>
          <w:p w14:paraId="00500D66" w14:textId="77777777" w:rsidR="00487DE1" w:rsidRDefault="00BD21B7" w:rsidP="00487DE1">
            <w:pPr>
              <w:spacing w:after="120" w:line="360" w:lineRule="auto"/>
            </w:pPr>
            <w:r>
              <w:t>IV</w:t>
            </w:r>
          </w:p>
        </w:tc>
        <w:tc>
          <w:tcPr>
            <w:tcW w:w="3734" w:type="dxa"/>
          </w:tcPr>
          <w:p w14:paraId="1A1EBD07" w14:textId="77777777" w:rsidR="00487DE1" w:rsidRDefault="00BD21B7" w:rsidP="00487DE1">
            <w:pPr>
              <w:spacing w:after="120" w:line="360" w:lineRule="auto"/>
            </w:pPr>
            <w:r>
              <w:t>Debts</w:t>
            </w:r>
          </w:p>
        </w:tc>
      </w:tr>
      <w:tr w:rsidR="00487DE1" w14:paraId="47E0B707" w14:textId="77777777" w:rsidTr="00BD21B7">
        <w:tc>
          <w:tcPr>
            <w:tcW w:w="648" w:type="dxa"/>
          </w:tcPr>
          <w:p w14:paraId="2FEFE817" w14:textId="77777777" w:rsidR="00487DE1" w:rsidRDefault="00487DE1" w:rsidP="00487DE1">
            <w:pPr>
              <w:spacing w:after="120" w:line="360" w:lineRule="auto"/>
            </w:pPr>
            <w:r>
              <w:t>VI</w:t>
            </w:r>
          </w:p>
        </w:tc>
        <w:tc>
          <w:tcPr>
            <w:tcW w:w="3612" w:type="dxa"/>
          </w:tcPr>
          <w:p w14:paraId="21A78AC1" w14:textId="77777777" w:rsidR="00487DE1" w:rsidRDefault="00487DE1" w:rsidP="00487DE1">
            <w:pPr>
              <w:spacing w:after="120" w:line="360" w:lineRule="auto"/>
            </w:pPr>
            <w:r>
              <w:t>Reserve Fund</w:t>
            </w:r>
          </w:p>
        </w:tc>
        <w:tc>
          <w:tcPr>
            <w:tcW w:w="528" w:type="dxa"/>
          </w:tcPr>
          <w:p w14:paraId="3382E422" w14:textId="77777777" w:rsidR="00487DE1" w:rsidRDefault="00BD21B7" w:rsidP="00487DE1">
            <w:pPr>
              <w:spacing w:after="120" w:line="360" w:lineRule="auto"/>
            </w:pPr>
            <w:r>
              <w:t>V</w:t>
            </w:r>
          </w:p>
        </w:tc>
        <w:tc>
          <w:tcPr>
            <w:tcW w:w="3734" w:type="dxa"/>
          </w:tcPr>
          <w:p w14:paraId="3F76B3E9" w14:textId="77777777" w:rsidR="00487DE1" w:rsidRDefault="00BD21B7" w:rsidP="00487DE1">
            <w:pPr>
              <w:spacing w:after="120" w:line="360" w:lineRule="auto"/>
            </w:pPr>
            <w:r>
              <w:t>Cash and Investments</w:t>
            </w:r>
          </w:p>
        </w:tc>
      </w:tr>
      <w:tr w:rsidR="00487DE1" w14:paraId="13220D59" w14:textId="77777777" w:rsidTr="00BD21B7">
        <w:tc>
          <w:tcPr>
            <w:tcW w:w="648" w:type="dxa"/>
          </w:tcPr>
          <w:p w14:paraId="12DA6907" w14:textId="77777777" w:rsidR="00487DE1" w:rsidRDefault="00487DE1" w:rsidP="00487DE1">
            <w:pPr>
              <w:spacing w:after="120" w:line="360" w:lineRule="auto"/>
            </w:pPr>
            <w:r>
              <w:t>VII</w:t>
            </w:r>
          </w:p>
        </w:tc>
        <w:tc>
          <w:tcPr>
            <w:tcW w:w="3612" w:type="dxa"/>
          </w:tcPr>
          <w:p w14:paraId="5FFBF115" w14:textId="77777777" w:rsidR="00487DE1" w:rsidRDefault="00487DE1" w:rsidP="00487DE1">
            <w:pPr>
              <w:spacing w:after="120" w:line="360" w:lineRule="auto"/>
            </w:pPr>
            <w:r>
              <w:t>Profit and Loss</w:t>
            </w:r>
          </w:p>
        </w:tc>
        <w:tc>
          <w:tcPr>
            <w:tcW w:w="528" w:type="dxa"/>
          </w:tcPr>
          <w:p w14:paraId="5F5C8DAA" w14:textId="77777777" w:rsidR="00487DE1" w:rsidRDefault="00487DE1" w:rsidP="00487DE1">
            <w:pPr>
              <w:spacing w:after="120" w:line="360" w:lineRule="auto"/>
            </w:pPr>
          </w:p>
        </w:tc>
        <w:tc>
          <w:tcPr>
            <w:tcW w:w="3734" w:type="dxa"/>
          </w:tcPr>
          <w:p w14:paraId="7CB3A731" w14:textId="77777777" w:rsidR="00487DE1" w:rsidRDefault="00487DE1" w:rsidP="00487DE1">
            <w:pPr>
              <w:spacing w:after="120" w:line="360" w:lineRule="auto"/>
            </w:pPr>
          </w:p>
        </w:tc>
      </w:tr>
    </w:tbl>
    <w:p w14:paraId="1C66BD44" w14:textId="77777777" w:rsidR="008339DA" w:rsidRPr="00E9722E" w:rsidRDefault="008339DA" w:rsidP="00E9722E">
      <w:pPr>
        <w:spacing w:after="120" w:line="480" w:lineRule="auto"/>
        <w:ind w:left="360" w:hanging="360"/>
      </w:pPr>
    </w:p>
    <w:p w14:paraId="2C779A71" w14:textId="17B23AF5" w:rsidR="00D30092" w:rsidRDefault="00DC02E0" w:rsidP="00B511CC">
      <w:pPr>
        <w:spacing w:after="120" w:line="240" w:lineRule="auto"/>
      </w:pPr>
      <w:r w:rsidRPr="006C3380">
        <w:t>Figure 1</w:t>
      </w:r>
      <w:r w:rsidR="009E56F5" w:rsidRPr="006C3380">
        <w:t>.</w:t>
      </w:r>
      <w:r w:rsidR="00BD21B7">
        <w:t xml:space="preserve">  Ba</w:t>
      </w:r>
      <w:r w:rsidR="00CD2717">
        <w:t>lance sheet fo</w:t>
      </w:r>
      <w:r w:rsidR="00694817">
        <w:t>rm</w:t>
      </w:r>
      <w:r w:rsidR="00593A10">
        <w:t xml:space="preserve">at from the Companies Act 1856 (Schedule, </w:t>
      </w:r>
      <w:r w:rsidR="00694817">
        <w:t>Table B</w:t>
      </w:r>
      <w:r w:rsidR="00593A10">
        <w:t>, para.72)</w:t>
      </w:r>
      <w:r w:rsidR="006C3380">
        <w:t>.</w:t>
      </w:r>
    </w:p>
    <w:p w14:paraId="036CB87F" w14:textId="77777777" w:rsidR="00FD1F82" w:rsidRDefault="00FD1F82" w:rsidP="007A4805">
      <w:pPr>
        <w:spacing w:after="120" w:line="480" w:lineRule="auto"/>
        <w:sectPr w:rsidR="00FD1F82" w:rsidSect="001446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440" w:header="706" w:footer="706" w:gutter="0"/>
          <w:cols w:space="708"/>
          <w:titlePg/>
          <w:docGrid w:linePitch="360"/>
        </w:sectPr>
      </w:pPr>
    </w:p>
    <w:p w14:paraId="7CEE92A3" w14:textId="77777777" w:rsidR="00FD1F82" w:rsidRDefault="00FD1F82" w:rsidP="00423618">
      <w:pPr>
        <w:spacing w:after="0" w:line="240" w:lineRule="auto"/>
        <w:rPr>
          <w:b/>
        </w:rPr>
      </w:pPr>
    </w:p>
    <w:tbl>
      <w:tblPr>
        <w:tblStyle w:val="TableGrid"/>
        <w:tblW w:w="14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90"/>
        <w:gridCol w:w="1620"/>
        <w:gridCol w:w="1758"/>
        <w:gridCol w:w="3732"/>
        <w:gridCol w:w="90"/>
        <w:gridCol w:w="1530"/>
        <w:gridCol w:w="1980"/>
      </w:tblGrid>
      <w:tr w:rsidR="00FB00C8" w14:paraId="252A3731" w14:textId="77777777" w:rsidTr="00D84E15">
        <w:tc>
          <w:tcPr>
            <w:tcW w:w="3618" w:type="dxa"/>
          </w:tcPr>
          <w:p w14:paraId="677C6163" w14:textId="77777777" w:rsidR="00FD1F82" w:rsidRPr="00423618" w:rsidRDefault="00FD1F82" w:rsidP="00FD1F82">
            <w:pPr>
              <w:spacing w:after="120"/>
              <w:rPr>
                <w:sz w:val="22"/>
                <w:szCs w:val="22"/>
              </w:rPr>
            </w:pPr>
          </w:p>
        </w:tc>
        <w:tc>
          <w:tcPr>
            <w:tcW w:w="1710" w:type="dxa"/>
            <w:gridSpan w:val="2"/>
          </w:tcPr>
          <w:p w14:paraId="29B0FBA4" w14:textId="77777777" w:rsidR="00FD1F82" w:rsidRPr="00423618" w:rsidRDefault="00FD1F82" w:rsidP="00FD1F82">
            <w:pPr>
              <w:spacing w:after="120"/>
              <w:rPr>
                <w:sz w:val="22"/>
                <w:szCs w:val="22"/>
              </w:rPr>
            </w:pPr>
          </w:p>
        </w:tc>
        <w:tc>
          <w:tcPr>
            <w:tcW w:w="1758" w:type="dxa"/>
          </w:tcPr>
          <w:p w14:paraId="05B292E8" w14:textId="77777777" w:rsidR="00FD1F82" w:rsidRPr="00423618" w:rsidRDefault="00DA0EFA" w:rsidP="00D84E15">
            <w:pPr>
              <w:tabs>
                <w:tab w:val="left" w:pos="417"/>
                <w:tab w:val="right" w:pos="1152"/>
                <w:tab w:val="right" w:pos="1422"/>
              </w:tabs>
              <w:spacing w:after="120"/>
              <w:rPr>
                <w:sz w:val="22"/>
                <w:szCs w:val="22"/>
              </w:rPr>
            </w:pPr>
            <w:r w:rsidRPr="00423618">
              <w:rPr>
                <w:sz w:val="22"/>
                <w:szCs w:val="22"/>
              </w:rPr>
              <w:tab/>
            </w:r>
            <w:r w:rsidR="00FD1F82" w:rsidRPr="00423618">
              <w:rPr>
                <w:sz w:val="22"/>
                <w:szCs w:val="22"/>
              </w:rPr>
              <w:t>£</w:t>
            </w:r>
            <w:r w:rsidR="00FD1F82" w:rsidRPr="00423618">
              <w:rPr>
                <w:sz w:val="22"/>
                <w:szCs w:val="22"/>
              </w:rPr>
              <w:tab/>
              <w:t>s.</w:t>
            </w:r>
            <w:r w:rsidR="00FD1F82" w:rsidRPr="00423618">
              <w:rPr>
                <w:sz w:val="22"/>
                <w:szCs w:val="22"/>
              </w:rPr>
              <w:tab/>
              <w:t>d.</w:t>
            </w:r>
          </w:p>
        </w:tc>
        <w:tc>
          <w:tcPr>
            <w:tcW w:w="3732" w:type="dxa"/>
          </w:tcPr>
          <w:p w14:paraId="2EBA76F8" w14:textId="77777777" w:rsidR="00FD1F82" w:rsidRPr="00423618" w:rsidRDefault="00FD1F82" w:rsidP="00FD1F82">
            <w:pPr>
              <w:spacing w:after="120"/>
              <w:rPr>
                <w:rFonts w:cstheme="minorHAnsi"/>
                <w:sz w:val="22"/>
                <w:szCs w:val="22"/>
              </w:rPr>
            </w:pPr>
          </w:p>
        </w:tc>
        <w:tc>
          <w:tcPr>
            <w:tcW w:w="1620" w:type="dxa"/>
            <w:gridSpan w:val="2"/>
          </w:tcPr>
          <w:p w14:paraId="4272D3C6" w14:textId="77777777" w:rsidR="00FD1F82" w:rsidRPr="00423618" w:rsidRDefault="00FD1F82" w:rsidP="00FD1F82">
            <w:pPr>
              <w:spacing w:after="120"/>
              <w:rPr>
                <w:rFonts w:cstheme="minorHAnsi"/>
                <w:sz w:val="22"/>
                <w:szCs w:val="22"/>
              </w:rPr>
            </w:pPr>
          </w:p>
        </w:tc>
        <w:tc>
          <w:tcPr>
            <w:tcW w:w="1980" w:type="dxa"/>
          </w:tcPr>
          <w:p w14:paraId="4A3317F0" w14:textId="77777777" w:rsidR="00FD1F82" w:rsidRPr="00423618" w:rsidRDefault="00DA0EFA" w:rsidP="00D84E15">
            <w:pPr>
              <w:tabs>
                <w:tab w:val="left" w:pos="522"/>
                <w:tab w:val="right" w:pos="1332"/>
                <w:tab w:val="right" w:pos="1602"/>
              </w:tabs>
              <w:spacing w:after="120"/>
              <w:rPr>
                <w:rFonts w:cstheme="minorHAnsi"/>
                <w:sz w:val="22"/>
                <w:szCs w:val="22"/>
              </w:rPr>
            </w:pPr>
            <w:r w:rsidRPr="00423618">
              <w:rPr>
                <w:rFonts w:cstheme="minorHAnsi"/>
                <w:sz w:val="22"/>
                <w:szCs w:val="22"/>
              </w:rPr>
              <w:tab/>
            </w:r>
            <w:r w:rsidR="00FD1F82" w:rsidRPr="00423618">
              <w:rPr>
                <w:rFonts w:cstheme="minorHAnsi"/>
                <w:sz w:val="22"/>
                <w:szCs w:val="22"/>
              </w:rPr>
              <w:t>£</w:t>
            </w:r>
            <w:r w:rsidR="00FD1F82" w:rsidRPr="00423618">
              <w:rPr>
                <w:rFonts w:cstheme="minorHAnsi"/>
                <w:sz w:val="22"/>
                <w:szCs w:val="22"/>
              </w:rPr>
              <w:tab/>
              <w:t>s.</w:t>
            </w:r>
            <w:r w:rsidR="00FD1F82" w:rsidRPr="00423618">
              <w:rPr>
                <w:rFonts w:cstheme="minorHAnsi"/>
                <w:sz w:val="22"/>
                <w:szCs w:val="22"/>
              </w:rPr>
              <w:tab/>
              <w:t>d.</w:t>
            </w:r>
          </w:p>
        </w:tc>
      </w:tr>
      <w:tr w:rsidR="00FB00C8" w14:paraId="3C9E7865" w14:textId="77777777" w:rsidTr="00D84E15">
        <w:tc>
          <w:tcPr>
            <w:tcW w:w="3618" w:type="dxa"/>
          </w:tcPr>
          <w:p w14:paraId="5F9426F2" w14:textId="77777777" w:rsidR="00FD1F82" w:rsidRPr="00423618" w:rsidRDefault="00FD1F82" w:rsidP="00FD1F82">
            <w:pPr>
              <w:spacing w:after="120"/>
              <w:rPr>
                <w:sz w:val="22"/>
                <w:szCs w:val="22"/>
              </w:rPr>
            </w:pPr>
            <w:r w:rsidRPr="00423618">
              <w:rPr>
                <w:sz w:val="22"/>
                <w:szCs w:val="22"/>
              </w:rPr>
              <w:t>Capital</w:t>
            </w:r>
          </w:p>
        </w:tc>
        <w:tc>
          <w:tcPr>
            <w:tcW w:w="1710" w:type="dxa"/>
            <w:gridSpan w:val="2"/>
          </w:tcPr>
          <w:p w14:paraId="51A6EB14" w14:textId="77777777" w:rsidR="00FD1F82" w:rsidRPr="00423618" w:rsidRDefault="00FD1F82" w:rsidP="00FD1F82">
            <w:pPr>
              <w:spacing w:after="120"/>
              <w:rPr>
                <w:sz w:val="22"/>
                <w:szCs w:val="22"/>
              </w:rPr>
            </w:pPr>
          </w:p>
        </w:tc>
        <w:tc>
          <w:tcPr>
            <w:tcW w:w="1758" w:type="dxa"/>
            <w:tcBorders>
              <w:right w:val="single" w:sz="4" w:space="0" w:color="auto"/>
            </w:tcBorders>
          </w:tcPr>
          <w:p w14:paraId="0B953DF4" w14:textId="77777777" w:rsidR="00FD1F82" w:rsidRPr="00423618" w:rsidRDefault="00E76E77" w:rsidP="000A0D25">
            <w:pPr>
              <w:tabs>
                <w:tab w:val="right" w:pos="882"/>
                <w:tab w:val="right" w:pos="1152"/>
                <w:tab w:val="right" w:pos="1422"/>
              </w:tabs>
              <w:spacing w:after="120"/>
              <w:rPr>
                <w:sz w:val="22"/>
                <w:szCs w:val="22"/>
              </w:rPr>
            </w:pPr>
            <w:r w:rsidRPr="00423618">
              <w:rPr>
                <w:sz w:val="22"/>
                <w:szCs w:val="22"/>
              </w:rPr>
              <w:tab/>
            </w:r>
            <w:r w:rsidR="00FD1F82" w:rsidRPr="00423618">
              <w:rPr>
                <w:sz w:val="22"/>
                <w:szCs w:val="22"/>
              </w:rPr>
              <w:t>3,800,000</w:t>
            </w:r>
            <w:r w:rsidR="00FD1F82" w:rsidRPr="00423618">
              <w:rPr>
                <w:sz w:val="22"/>
                <w:szCs w:val="22"/>
              </w:rPr>
              <w:tab/>
              <w:t>0</w:t>
            </w:r>
            <w:r w:rsidR="00FD1F82" w:rsidRPr="00423618">
              <w:rPr>
                <w:sz w:val="22"/>
                <w:szCs w:val="22"/>
              </w:rPr>
              <w:tab/>
              <w:t>0</w:t>
            </w:r>
          </w:p>
        </w:tc>
        <w:tc>
          <w:tcPr>
            <w:tcW w:w="3732" w:type="dxa"/>
            <w:tcBorders>
              <w:left w:val="single" w:sz="4" w:space="0" w:color="auto"/>
            </w:tcBorders>
          </w:tcPr>
          <w:p w14:paraId="77766B64" w14:textId="77777777" w:rsidR="00FD1F82" w:rsidRPr="00423618" w:rsidRDefault="00FD1F82" w:rsidP="00FD1F82">
            <w:pPr>
              <w:spacing w:after="120"/>
              <w:rPr>
                <w:rFonts w:cstheme="minorHAnsi"/>
                <w:sz w:val="22"/>
                <w:szCs w:val="22"/>
              </w:rPr>
            </w:pPr>
            <w:r w:rsidRPr="00423618">
              <w:rPr>
                <w:rFonts w:cstheme="minorHAnsi"/>
                <w:sz w:val="22"/>
                <w:szCs w:val="22"/>
              </w:rPr>
              <w:t>Plant at Stations</w:t>
            </w:r>
          </w:p>
        </w:tc>
        <w:tc>
          <w:tcPr>
            <w:tcW w:w="1620" w:type="dxa"/>
            <w:gridSpan w:val="2"/>
          </w:tcPr>
          <w:p w14:paraId="1502CC8C" w14:textId="77777777" w:rsidR="00FD1F82" w:rsidRPr="00423618" w:rsidRDefault="00FD1F82" w:rsidP="00FD1F82">
            <w:pPr>
              <w:spacing w:after="120"/>
              <w:rPr>
                <w:rFonts w:cstheme="minorHAnsi"/>
                <w:sz w:val="22"/>
                <w:szCs w:val="22"/>
              </w:rPr>
            </w:pPr>
          </w:p>
        </w:tc>
        <w:tc>
          <w:tcPr>
            <w:tcW w:w="1980" w:type="dxa"/>
          </w:tcPr>
          <w:p w14:paraId="276DDC05" w14:textId="77777777" w:rsidR="00FD1F82" w:rsidRPr="00423618" w:rsidRDefault="000A0D25" w:rsidP="00D84E15">
            <w:pPr>
              <w:tabs>
                <w:tab w:val="right" w:pos="972"/>
                <w:tab w:val="right" w:pos="1332"/>
                <w:tab w:val="right" w:pos="1647"/>
              </w:tabs>
              <w:spacing w:after="120"/>
              <w:rPr>
                <w:rFonts w:cstheme="minorHAnsi"/>
                <w:sz w:val="22"/>
                <w:szCs w:val="22"/>
              </w:rPr>
            </w:pPr>
            <w:r w:rsidRPr="00423618">
              <w:rPr>
                <w:rFonts w:cstheme="minorHAnsi"/>
                <w:sz w:val="22"/>
                <w:szCs w:val="22"/>
              </w:rPr>
              <w:tab/>
              <w:t>4,063,499</w:t>
            </w:r>
            <w:r w:rsidR="00E76E77" w:rsidRPr="00423618">
              <w:rPr>
                <w:rFonts w:cstheme="minorHAnsi"/>
                <w:sz w:val="22"/>
                <w:szCs w:val="22"/>
              </w:rPr>
              <w:tab/>
            </w:r>
            <w:r w:rsidR="00FD1F82" w:rsidRPr="00423618">
              <w:rPr>
                <w:rFonts w:cstheme="minorHAnsi"/>
                <w:sz w:val="22"/>
                <w:szCs w:val="22"/>
              </w:rPr>
              <w:t>16</w:t>
            </w:r>
            <w:r w:rsidR="00FD1F82" w:rsidRPr="00423618">
              <w:rPr>
                <w:rFonts w:cstheme="minorHAnsi"/>
                <w:sz w:val="22"/>
                <w:szCs w:val="22"/>
              </w:rPr>
              <w:tab/>
              <w:t>2</w:t>
            </w:r>
          </w:p>
        </w:tc>
      </w:tr>
      <w:tr w:rsidR="00FB00C8" w14:paraId="14596CCD" w14:textId="77777777" w:rsidTr="00D84E15">
        <w:tc>
          <w:tcPr>
            <w:tcW w:w="3618" w:type="dxa"/>
          </w:tcPr>
          <w:p w14:paraId="267D8698" w14:textId="77777777" w:rsidR="00FD1F82" w:rsidRPr="00423618" w:rsidRDefault="00E76E77" w:rsidP="00FD1F82">
            <w:pPr>
              <w:spacing w:after="120"/>
              <w:rPr>
                <w:sz w:val="22"/>
                <w:szCs w:val="22"/>
              </w:rPr>
            </w:pPr>
            <w:r w:rsidRPr="00423618">
              <w:rPr>
                <w:sz w:val="22"/>
                <w:szCs w:val="22"/>
              </w:rPr>
              <w:t>Premiums on Stocks</w:t>
            </w:r>
          </w:p>
        </w:tc>
        <w:tc>
          <w:tcPr>
            <w:tcW w:w="1710" w:type="dxa"/>
            <w:gridSpan w:val="2"/>
          </w:tcPr>
          <w:p w14:paraId="38A14F22" w14:textId="77777777" w:rsidR="00FD1F82" w:rsidRPr="00423618" w:rsidRDefault="00FD1F82" w:rsidP="00FD1F82">
            <w:pPr>
              <w:spacing w:after="120"/>
              <w:rPr>
                <w:sz w:val="22"/>
                <w:szCs w:val="22"/>
              </w:rPr>
            </w:pPr>
          </w:p>
        </w:tc>
        <w:tc>
          <w:tcPr>
            <w:tcW w:w="1758" w:type="dxa"/>
            <w:tcBorders>
              <w:right w:val="single" w:sz="4" w:space="0" w:color="auto"/>
            </w:tcBorders>
          </w:tcPr>
          <w:p w14:paraId="1F65A3FE" w14:textId="77777777" w:rsidR="00FD1F82" w:rsidRPr="00423618" w:rsidRDefault="00E76E77" w:rsidP="000A0D25">
            <w:pPr>
              <w:tabs>
                <w:tab w:val="right" w:pos="882"/>
                <w:tab w:val="right" w:pos="1152"/>
                <w:tab w:val="right" w:pos="1422"/>
              </w:tabs>
              <w:spacing w:after="120"/>
              <w:rPr>
                <w:sz w:val="22"/>
                <w:szCs w:val="22"/>
              </w:rPr>
            </w:pPr>
            <w:r w:rsidRPr="00423618">
              <w:rPr>
                <w:sz w:val="22"/>
                <w:szCs w:val="22"/>
              </w:rPr>
              <w:tab/>
              <w:t>327,345</w:t>
            </w:r>
            <w:r w:rsidRPr="00423618">
              <w:rPr>
                <w:sz w:val="22"/>
                <w:szCs w:val="22"/>
              </w:rPr>
              <w:tab/>
              <w:t>13</w:t>
            </w:r>
            <w:r w:rsidRPr="00423618">
              <w:rPr>
                <w:sz w:val="22"/>
                <w:szCs w:val="22"/>
              </w:rPr>
              <w:tab/>
              <w:t>0</w:t>
            </w:r>
          </w:p>
        </w:tc>
        <w:tc>
          <w:tcPr>
            <w:tcW w:w="3732" w:type="dxa"/>
            <w:tcBorders>
              <w:left w:val="single" w:sz="4" w:space="0" w:color="auto"/>
            </w:tcBorders>
          </w:tcPr>
          <w:p w14:paraId="19511C8B" w14:textId="77777777" w:rsidR="00FD1F82" w:rsidRPr="00423618" w:rsidRDefault="00E76E77" w:rsidP="00FD1F82">
            <w:pPr>
              <w:spacing w:after="120"/>
              <w:rPr>
                <w:rFonts w:cstheme="minorHAnsi"/>
                <w:sz w:val="22"/>
                <w:szCs w:val="22"/>
              </w:rPr>
            </w:pPr>
            <w:r w:rsidRPr="00423618">
              <w:rPr>
                <w:rFonts w:cstheme="minorHAnsi"/>
                <w:sz w:val="22"/>
                <w:szCs w:val="22"/>
              </w:rPr>
              <w:t>Stocks at Stations</w:t>
            </w:r>
          </w:p>
        </w:tc>
        <w:tc>
          <w:tcPr>
            <w:tcW w:w="1620" w:type="dxa"/>
            <w:gridSpan w:val="2"/>
          </w:tcPr>
          <w:p w14:paraId="57C0CF18" w14:textId="77777777" w:rsidR="00FD1F82" w:rsidRPr="00423618" w:rsidRDefault="00FD1F82" w:rsidP="00FD1F82">
            <w:pPr>
              <w:spacing w:after="120"/>
              <w:rPr>
                <w:rFonts w:cstheme="minorHAnsi"/>
                <w:sz w:val="22"/>
                <w:szCs w:val="22"/>
              </w:rPr>
            </w:pPr>
          </w:p>
        </w:tc>
        <w:tc>
          <w:tcPr>
            <w:tcW w:w="1980" w:type="dxa"/>
          </w:tcPr>
          <w:p w14:paraId="1AD5BA51" w14:textId="77777777" w:rsidR="00FD1F82" w:rsidRPr="00423618" w:rsidRDefault="00E76E77" w:rsidP="00D84E15">
            <w:pPr>
              <w:tabs>
                <w:tab w:val="right" w:pos="972"/>
                <w:tab w:val="right" w:pos="1332"/>
                <w:tab w:val="right" w:pos="1647"/>
              </w:tabs>
              <w:spacing w:after="120"/>
              <w:ind w:hanging="18"/>
              <w:rPr>
                <w:rFonts w:cstheme="minorHAnsi"/>
                <w:sz w:val="22"/>
                <w:szCs w:val="22"/>
              </w:rPr>
            </w:pPr>
            <w:r w:rsidRPr="00423618">
              <w:rPr>
                <w:rFonts w:cstheme="minorHAnsi"/>
                <w:sz w:val="22"/>
                <w:szCs w:val="22"/>
              </w:rPr>
              <w:tab/>
            </w:r>
            <w:r w:rsidR="00D84E15">
              <w:rPr>
                <w:rFonts w:cstheme="minorHAnsi"/>
                <w:sz w:val="22"/>
                <w:szCs w:val="22"/>
              </w:rPr>
              <w:tab/>
            </w:r>
            <w:r w:rsidRPr="00423618">
              <w:rPr>
                <w:rFonts w:cstheme="minorHAnsi"/>
                <w:sz w:val="22"/>
                <w:szCs w:val="22"/>
              </w:rPr>
              <w:t>595,349</w:t>
            </w:r>
            <w:r w:rsidRPr="00423618">
              <w:rPr>
                <w:rFonts w:cstheme="minorHAnsi"/>
                <w:sz w:val="22"/>
                <w:szCs w:val="22"/>
              </w:rPr>
              <w:tab/>
              <w:t>4</w:t>
            </w:r>
            <w:r w:rsidRPr="00423618">
              <w:rPr>
                <w:rFonts w:cstheme="minorHAnsi"/>
                <w:sz w:val="22"/>
                <w:szCs w:val="22"/>
              </w:rPr>
              <w:tab/>
              <w:t>6</w:t>
            </w:r>
          </w:p>
        </w:tc>
      </w:tr>
      <w:tr w:rsidR="00FB00C8" w14:paraId="7559BB2C" w14:textId="77777777" w:rsidTr="00D84E15">
        <w:tc>
          <w:tcPr>
            <w:tcW w:w="3618" w:type="dxa"/>
          </w:tcPr>
          <w:p w14:paraId="45AFB0DD" w14:textId="77777777" w:rsidR="00FD1F82" w:rsidRPr="00423618" w:rsidRDefault="00E76E77" w:rsidP="00FD1F82">
            <w:pPr>
              <w:spacing w:after="120"/>
              <w:rPr>
                <w:sz w:val="22"/>
                <w:szCs w:val="22"/>
              </w:rPr>
            </w:pPr>
            <w:r w:rsidRPr="00423618">
              <w:rPr>
                <w:sz w:val="22"/>
                <w:szCs w:val="22"/>
              </w:rPr>
              <w:t>Debenture Stock - 3</w:t>
            </w:r>
            <w:r w:rsidRPr="00423618">
              <w:rPr>
                <w:rFonts w:cstheme="minorHAnsi"/>
                <w:sz w:val="22"/>
                <w:szCs w:val="22"/>
              </w:rPr>
              <w:t>½</w:t>
            </w:r>
            <w:r w:rsidRPr="00423618">
              <w:rPr>
                <w:sz w:val="22"/>
                <w:szCs w:val="22"/>
              </w:rPr>
              <w:t xml:space="preserve"> per cent</w:t>
            </w:r>
          </w:p>
        </w:tc>
        <w:tc>
          <w:tcPr>
            <w:tcW w:w="1710" w:type="dxa"/>
            <w:gridSpan w:val="2"/>
          </w:tcPr>
          <w:p w14:paraId="0020F790" w14:textId="77777777" w:rsidR="00FD1F82" w:rsidRPr="00423618" w:rsidRDefault="00FD1F82" w:rsidP="00FD1F82">
            <w:pPr>
              <w:spacing w:after="120"/>
              <w:rPr>
                <w:sz w:val="22"/>
                <w:szCs w:val="22"/>
              </w:rPr>
            </w:pPr>
          </w:p>
        </w:tc>
        <w:tc>
          <w:tcPr>
            <w:tcW w:w="1758" w:type="dxa"/>
            <w:tcBorders>
              <w:right w:val="single" w:sz="4" w:space="0" w:color="auto"/>
            </w:tcBorders>
          </w:tcPr>
          <w:p w14:paraId="0BC60AA9" w14:textId="77777777" w:rsidR="00FD1F82" w:rsidRPr="00423618" w:rsidRDefault="00E76E77" w:rsidP="000A0D25">
            <w:pPr>
              <w:tabs>
                <w:tab w:val="right" w:pos="882"/>
                <w:tab w:val="right" w:pos="1152"/>
                <w:tab w:val="right" w:pos="1422"/>
              </w:tabs>
              <w:spacing w:after="120"/>
              <w:rPr>
                <w:sz w:val="22"/>
                <w:szCs w:val="22"/>
              </w:rPr>
            </w:pPr>
            <w:r w:rsidRPr="00423618">
              <w:rPr>
                <w:sz w:val="22"/>
                <w:szCs w:val="22"/>
              </w:rPr>
              <w:tab/>
              <w:t>473,600</w:t>
            </w:r>
            <w:r w:rsidRPr="00423618">
              <w:rPr>
                <w:sz w:val="22"/>
                <w:szCs w:val="22"/>
              </w:rPr>
              <w:tab/>
              <w:t>0</w:t>
            </w:r>
            <w:r w:rsidRPr="00423618">
              <w:rPr>
                <w:sz w:val="22"/>
                <w:szCs w:val="22"/>
              </w:rPr>
              <w:tab/>
              <w:t>0</w:t>
            </w:r>
          </w:p>
        </w:tc>
        <w:tc>
          <w:tcPr>
            <w:tcW w:w="3732" w:type="dxa"/>
            <w:tcBorders>
              <w:left w:val="single" w:sz="4" w:space="0" w:color="auto"/>
            </w:tcBorders>
          </w:tcPr>
          <w:p w14:paraId="4793A37A" w14:textId="77777777" w:rsidR="00FD1F82" w:rsidRPr="00423618" w:rsidRDefault="00E76E77" w:rsidP="00FD1F82">
            <w:pPr>
              <w:spacing w:after="120"/>
              <w:rPr>
                <w:rFonts w:cstheme="minorHAnsi"/>
                <w:sz w:val="22"/>
                <w:szCs w:val="22"/>
              </w:rPr>
            </w:pPr>
            <w:r w:rsidRPr="00423618">
              <w:rPr>
                <w:rFonts w:cstheme="minorHAnsi"/>
                <w:sz w:val="22"/>
                <w:szCs w:val="22"/>
              </w:rPr>
              <w:t>Cash at Stations</w:t>
            </w:r>
          </w:p>
        </w:tc>
        <w:tc>
          <w:tcPr>
            <w:tcW w:w="1620" w:type="dxa"/>
            <w:gridSpan w:val="2"/>
          </w:tcPr>
          <w:p w14:paraId="05F35C60" w14:textId="77777777" w:rsidR="00FD1F82" w:rsidRPr="00423618" w:rsidRDefault="00FD1F82" w:rsidP="00FD1F82">
            <w:pPr>
              <w:spacing w:after="120"/>
              <w:rPr>
                <w:rFonts w:cstheme="minorHAnsi"/>
                <w:sz w:val="22"/>
                <w:szCs w:val="22"/>
              </w:rPr>
            </w:pPr>
          </w:p>
        </w:tc>
        <w:tc>
          <w:tcPr>
            <w:tcW w:w="1980" w:type="dxa"/>
          </w:tcPr>
          <w:p w14:paraId="642B89FE" w14:textId="77777777" w:rsidR="00FD1F82" w:rsidRPr="00423618" w:rsidRDefault="00E76E77" w:rsidP="00D84E15">
            <w:pPr>
              <w:tabs>
                <w:tab w:val="right" w:pos="972"/>
                <w:tab w:val="right" w:pos="1332"/>
                <w:tab w:val="right" w:pos="1647"/>
              </w:tabs>
              <w:spacing w:after="120"/>
              <w:rPr>
                <w:rFonts w:cstheme="minorHAnsi"/>
                <w:sz w:val="22"/>
                <w:szCs w:val="22"/>
              </w:rPr>
            </w:pPr>
            <w:r w:rsidRPr="00423618">
              <w:rPr>
                <w:rFonts w:cstheme="minorHAnsi"/>
                <w:sz w:val="22"/>
                <w:szCs w:val="22"/>
              </w:rPr>
              <w:tab/>
              <w:t>49,962</w:t>
            </w:r>
            <w:r w:rsidRPr="00423618">
              <w:rPr>
                <w:rFonts w:cstheme="minorHAnsi"/>
                <w:sz w:val="22"/>
                <w:szCs w:val="22"/>
              </w:rPr>
              <w:tab/>
              <w:t>12</w:t>
            </w:r>
            <w:r w:rsidRPr="00423618">
              <w:rPr>
                <w:rFonts w:cstheme="minorHAnsi"/>
                <w:sz w:val="22"/>
                <w:szCs w:val="22"/>
              </w:rPr>
              <w:tab/>
              <w:t>4</w:t>
            </w:r>
          </w:p>
        </w:tc>
      </w:tr>
      <w:tr w:rsidR="00FB00C8" w14:paraId="465DEB34" w14:textId="77777777" w:rsidTr="00D84E15">
        <w:tc>
          <w:tcPr>
            <w:tcW w:w="3618" w:type="dxa"/>
          </w:tcPr>
          <w:p w14:paraId="0E6E8864" w14:textId="77777777" w:rsidR="00FD1F82" w:rsidRPr="00423618" w:rsidRDefault="00E76E77" w:rsidP="00FD1F82">
            <w:pPr>
              <w:spacing w:after="120"/>
              <w:rPr>
                <w:sz w:val="22"/>
                <w:szCs w:val="22"/>
              </w:rPr>
            </w:pPr>
            <w:r w:rsidRPr="00423618">
              <w:rPr>
                <w:sz w:val="22"/>
                <w:szCs w:val="22"/>
              </w:rPr>
              <w:t>Dividends unpaid</w:t>
            </w:r>
          </w:p>
        </w:tc>
        <w:tc>
          <w:tcPr>
            <w:tcW w:w="1710" w:type="dxa"/>
            <w:gridSpan w:val="2"/>
          </w:tcPr>
          <w:p w14:paraId="41730C1E" w14:textId="77777777" w:rsidR="00FD1F82" w:rsidRPr="00423618" w:rsidRDefault="00FD1F82" w:rsidP="00FD1F82">
            <w:pPr>
              <w:spacing w:after="120"/>
              <w:rPr>
                <w:sz w:val="22"/>
                <w:szCs w:val="22"/>
              </w:rPr>
            </w:pPr>
          </w:p>
        </w:tc>
        <w:tc>
          <w:tcPr>
            <w:tcW w:w="1758" w:type="dxa"/>
            <w:tcBorders>
              <w:right w:val="single" w:sz="4" w:space="0" w:color="auto"/>
            </w:tcBorders>
          </w:tcPr>
          <w:p w14:paraId="75A49FAE" w14:textId="77777777" w:rsidR="00FD1F82" w:rsidRPr="00423618" w:rsidRDefault="00E76E77" w:rsidP="000A0D25">
            <w:pPr>
              <w:tabs>
                <w:tab w:val="right" w:pos="882"/>
                <w:tab w:val="right" w:pos="1152"/>
                <w:tab w:val="right" w:pos="1422"/>
              </w:tabs>
              <w:spacing w:after="120"/>
              <w:rPr>
                <w:sz w:val="22"/>
                <w:szCs w:val="22"/>
              </w:rPr>
            </w:pPr>
            <w:r w:rsidRPr="00423618">
              <w:rPr>
                <w:sz w:val="22"/>
                <w:szCs w:val="22"/>
              </w:rPr>
              <w:tab/>
              <w:t>2,468</w:t>
            </w:r>
            <w:r w:rsidRPr="00423618">
              <w:rPr>
                <w:sz w:val="22"/>
                <w:szCs w:val="22"/>
              </w:rPr>
              <w:tab/>
              <w:t>4</w:t>
            </w:r>
            <w:r w:rsidRPr="00423618">
              <w:rPr>
                <w:sz w:val="22"/>
                <w:szCs w:val="22"/>
              </w:rPr>
              <w:tab/>
              <w:t>0</w:t>
            </w:r>
          </w:p>
        </w:tc>
        <w:tc>
          <w:tcPr>
            <w:tcW w:w="3732" w:type="dxa"/>
            <w:tcBorders>
              <w:left w:val="single" w:sz="4" w:space="0" w:color="auto"/>
            </w:tcBorders>
          </w:tcPr>
          <w:p w14:paraId="478ECCAC" w14:textId="77777777" w:rsidR="00FD1F82" w:rsidRPr="00423618" w:rsidRDefault="00E76E77" w:rsidP="00FD1F82">
            <w:pPr>
              <w:spacing w:after="120"/>
              <w:rPr>
                <w:rFonts w:cstheme="minorHAnsi"/>
                <w:sz w:val="22"/>
                <w:szCs w:val="22"/>
              </w:rPr>
            </w:pPr>
            <w:r w:rsidRPr="00423618">
              <w:rPr>
                <w:rFonts w:cstheme="minorHAnsi"/>
                <w:sz w:val="22"/>
                <w:szCs w:val="22"/>
              </w:rPr>
              <w:t>Sundry Debtors</w:t>
            </w:r>
          </w:p>
        </w:tc>
        <w:tc>
          <w:tcPr>
            <w:tcW w:w="1620" w:type="dxa"/>
            <w:gridSpan w:val="2"/>
          </w:tcPr>
          <w:p w14:paraId="4C4EC311" w14:textId="77777777" w:rsidR="00FD1F82" w:rsidRPr="00423618" w:rsidRDefault="00FD1F82" w:rsidP="00FD1F82">
            <w:pPr>
              <w:spacing w:after="120"/>
              <w:rPr>
                <w:rFonts w:cstheme="minorHAnsi"/>
                <w:sz w:val="22"/>
                <w:szCs w:val="22"/>
              </w:rPr>
            </w:pPr>
          </w:p>
        </w:tc>
        <w:tc>
          <w:tcPr>
            <w:tcW w:w="1980" w:type="dxa"/>
          </w:tcPr>
          <w:p w14:paraId="049E4230" w14:textId="77777777" w:rsidR="00FD1F82" w:rsidRPr="00423618" w:rsidRDefault="00FD1F82" w:rsidP="00D84E15">
            <w:pPr>
              <w:tabs>
                <w:tab w:val="right" w:pos="972"/>
                <w:tab w:val="right" w:pos="1332"/>
                <w:tab w:val="right" w:pos="1647"/>
              </w:tabs>
              <w:spacing w:after="120"/>
              <w:rPr>
                <w:rFonts w:cstheme="minorHAnsi"/>
                <w:sz w:val="22"/>
                <w:szCs w:val="22"/>
              </w:rPr>
            </w:pPr>
          </w:p>
        </w:tc>
      </w:tr>
      <w:tr w:rsidR="00FB00C8" w14:paraId="1C7873FE" w14:textId="77777777" w:rsidTr="00D84E15">
        <w:tc>
          <w:tcPr>
            <w:tcW w:w="3618" w:type="dxa"/>
          </w:tcPr>
          <w:p w14:paraId="1C14F379" w14:textId="77777777" w:rsidR="00FD1F82" w:rsidRPr="00423618" w:rsidRDefault="00E76E77" w:rsidP="00FD1F82">
            <w:pPr>
              <w:spacing w:after="120"/>
              <w:rPr>
                <w:sz w:val="22"/>
                <w:szCs w:val="22"/>
              </w:rPr>
            </w:pPr>
            <w:r w:rsidRPr="00423618">
              <w:rPr>
                <w:sz w:val="22"/>
                <w:szCs w:val="22"/>
              </w:rPr>
              <w:t>Interest on Debenture Stock</w:t>
            </w:r>
          </w:p>
        </w:tc>
        <w:tc>
          <w:tcPr>
            <w:tcW w:w="1710" w:type="dxa"/>
            <w:gridSpan w:val="2"/>
          </w:tcPr>
          <w:p w14:paraId="6ACD2AAB" w14:textId="77777777" w:rsidR="00FD1F82" w:rsidRPr="00423618" w:rsidRDefault="00FD1F82" w:rsidP="00FD1F82">
            <w:pPr>
              <w:spacing w:after="120"/>
              <w:rPr>
                <w:sz w:val="22"/>
                <w:szCs w:val="22"/>
              </w:rPr>
            </w:pPr>
          </w:p>
        </w:tc>
        <w:tc>
          <w:tcPr>
            <w:tcW w:w="1758" w:type="dxa"/>
            <w:tcBorders>
              <w:right w:val="single" w:sz="4" w:space="0" w:color="auto"/>
            </w:tcBorders>
          </w:tcPr>
          <w:p w14:paraId="5BEAC76C" w14:textId="77777777" w:rsidR="00FD1F82" w:rsidRPr="00423618" w:rsidRDefault="00E76E77" w:rsidP="000A0D25">
            <w:pPr>
              <w:tabs>
                <w:tab w:val="right" w:pos="882"/>
                <w:tab w:val="right" w:pos="1152"/>
                <w:tab w:val="right" w:pos="1422"/>
              </w:tabs>
              <w:spacing w:after="120"/>
              <w:rPr>
                <w:sz w:val="22"/>
                <w:szCs w:val="22"/>
              </w:rPr>
            </w:pPr>
            <w:r w:rsidRPr="00423618">
              <w:rPr>
                <w:sz w:val="22"/>
                <w:szCs w:val="22"/>
              </w:rPr>
              <w:tab/>
              <w:t>6,906</w:t>
            </w:r>
            <w:r w:rsidRPr="00423618">
              <w:rPr>
                <w:sz w:val="22"/>
                <w:szCs w:val="22"/>
              </w:rPr>
              <w:tab/>
              <w:t>13</w:t>
            </w:r>
            <w:r w:rsidRPr="00423618">
              <w:rPr>
                <w:sz w:val="22"/>
                <w:szCs w:val="22"/>
              </w:rPr>
              <w:tab/>
              <w:t>4</w:t>
            </w:r>
          </w:p>
        </w:tc>
        <w:tc>
          <w:tcPr>
            <w:tcW w:w="3732" w:type="dxa"/>
            <w:tcBorders>
              <w:left w:val="single" w:sz="4" w:space="0" w:color="auto"/>
            </w:tcBorders>
          </w:tcPr>
          <w:p w14:paraId="58F16A40" w14:textId="77777777" w:rsidR="00FD1F82" w:rsidRPr="00423618" w:rsidRDefault="00E76E77" w:rsidP="00E76E77">
            <w:pPr>
              <w:tabs>
                <w:tab w:val="left" w:pos="279"/>
              </w:tabs>
              <w:spacing w:after="120"/>
              <w:rPr>
                <w:rFonts w:cstheme="minorHAnsi"/>
                <w:sz w:val="22"/>
                <w:szCs w:val="22"/>
              </w:rPr>
            </w:pPr>
            <w:r w:rsidRPr="00423618">
              <w:rPr>
                <w:rFonts w:cstheme="minorHAnsi"/>
                <w:sz w:val="22"/>
                <w:szCs w:val="22"/>
              </w:rPr>
              <w:tab/>
              <w:t>at Stations</w:t>
            </w:r>
          </w:p>
        </w:tc>
        <w:tc>
          <w:tcPr>
            <w:tcW w:w="1620" w:type="dxa"/>
            <w:gridSpan w:val="2"/>
          </w:tcPr>
          <w:p w14:paraId="4086084B" w14:textId="77777777" w:rsidR="00FD1F82" w:rsidRPr="00423618" w:rsidRDefault="005A258E" w:rsidP="00D84E15">
            <w:pPr>
              <w:tabs>
                <w:tab w:val="right" w:pos="792"/>
                <w:tab w:val="right" w:pos="1062"/>
                <w:tab w:val="right" w:pos="1332"/>
              </w:tabs>
              <w:spacing w:after="120"/>
              <w:rPr>
                <w:rFonts w:cstheme="minorHAnsi"/>
                <w:sz w:val="22"/>
                <w:szCs w:val="22"/>
              </w:rPr>
            </w:pPr>
            <w:r w:rsidRPr="00423618">
              <w:rPr>
                <w:rFonts w:cstheme="minorHAnsi"/>
                <w:sz w:val="22"/>
                <w:szCs w:val="22"/>
              </w:rPr>
              <w:tab/>
              <w:t>£466,687</w:t>
            </w:r>
            <w:r w:rsidRPr="00423618">
              <w:rPr>
                <w:rFonts w:cstheme="minorHAnsi"/>
                <w:sz w:val="22"/>
                <w:szCs w:val="22"/>
              </w:rPr>
              <w:tab/>
              <w:t>8</w:t>
            </w:r>
            <w:r w:rsidRPr="00423618">
              <w:rPr>
                <w:rFonts w:cstheme="minorHAnsi"/>
                <w:sz w:val="22"/>
                <w:szCs w:val="22"/>
              </w:rPr>
              <w:tab/>
              <w:t>7</w:t>
            </w:r>
          </w:p>
        </w:tc>
        <w:tc>
          <w:tcPr>
            <w:tcW w:w="1980" w:type="dxa"/>
          </w:tcPr>
          <w:p w14:paraId="70F9066D" w14:textId="77777777" w:rsidR="00FD1F82" w:rsidRPr="00423618" w:rsidRDefault="00FD1F82" w:rsidP="00D84E15">
            <w:pPr>
              <w:tabs>
                <w:tab w:val="right" w:pos="972"/>
                <w:tab w:val="right" w:pos="1332"/>
                <w:tab w:val="right" w:pos="1647"/>
              </w:tabs>
              <w:spacing w:after="120"/>
              <w:rPr>
                <w:rFonts w:cstheme="minorHAnsi"/>
                <w:sz w:val="22"/>
                <w:szCs w:val="22"/>
              </w:rPr>
            </w:pPr>
          </w:p>
        </w:tc>
      </w:tr>
      <w:tr w:rsidR="00FB00C8" w14:paraId="3E169952" w14:textId="77777777" w:rsidTr="00D84E15">
        <w:tc>
          <w:tcPr>
            <w:tcW w:w="3618" w:type="dxa"/>
          </w:tcPr>
          <w:p w14:paraId="54069C6E" w14:textId="77777777" w:rsidR="00FD1F82" w:rsidRPr="00423618" w:rsidRDefault="005A258E" w:rsidP="00FD1F82">
            <w:pPr>
              <w:spacing w:after="120"/>
              <w:rPr>
                <w:sz w:val="22"/>
                <w:szCs w:val="22"/>
              </w:rPr>
            </w:pPr>
            <w:r w:rsidRPr="00423618">
              <w:rPr>
                <w:sz w:val="22"/>
                <w:szCs w:val="22"/>
              </w:rPr>
              <w:t>Sundry Creditors</w:t>
            </w:r>
          </w:p>
        </w:tc>
        <w:tc>
          <w:tcPr>
            <w:tcW w:w="1710" w:type="dxa"/>
            <w:gridSpan w:val="2"/>
          </w:tcPr>
          <w:p w14:paraId="1CAC1AE7" w14:textId="77777777" w:rsidR="00FD1F82" w:rsidRPr="00423618" w:rsidRDefault="00FD1F82" w:rsidP="005A258E">
            <w:pPr>
              <w:tabs>
                <w:tab w:val="right" w:pos="702"/>
                <w:tab w:val="right" w:pos="1047"/>
                <w:tab w:val="right" w:pos="1437"/>
              </w:tabs>
              <w:spacing w:after="120"/>
              <w:rPr>
                <w:sz w:val="22"/>
                <w:szCs w:val="22"/>
              </w:rPr>
            </w:pPr>
          </w:p>
        </w:tc>
        <w:tc>
          <w:tcPr>
            <w:tcW w:w="1758" w:type="dxa"/>
            <w:tcBorders>
              <w:right w:val="single" w:sz="4" w:space="0" w:color="auto"/>
            </w:tcBorders>
          </w:tcPr>
          <w:p w14:paraId="1190DBD3" w14:textId="77777777" w:rsidR="00FD1F82" w:rsidRPr="00423618" w:rsidRDefault="00FD1F82" w:rsidP="000A0D25">
            <w:pPr>
              <w:tabs>
                <w:tab w:val="right" w:pos="882"/>
                <w:tab w:val="right" w:pos="1152"/>
                <w:tab w:val="right" w:pos="1422"/>
              </w:tabs>
              <w:spacing w:after="120"/>
              <w:rPr>
                <w:sz w:val="22"/>
                <w:szCs w:val="22"/>
              </w:rPr>
            </w:pPr>
          </w:p>
        </w:tc>
        <w:tc>
          <w:tcPr>
            <w:tcW w:w="3732" w:type="dxa"/>
            <w:tcBorders>
              <w:left w:val="single" w:sz="4" w:space="0" w:color="auto"/>
            </w:tcBorders>
          </w:tcPr>
          <w:p w14:paraId="7D4DE133" w14:textId="77777777" w:rsidR="00FD1F82" w:rsidRPr="00423618" w:rsidRDefault="005A258E" w:rsidP="00E76E77">
            <w:pPr>
              <w:tabs>
                <w:tab w:val="left" w:pos="294"/>
              </w:tabs>
              <w:spacing w:after="120"/>
              <w:rPr>
                <w:rFonts w:cstheme="minorHAnsi"/>
                <w:sz w:val="22"/>
                <w:szCs w:val="22"/>
              </w:rPr>
            </w:pPr>
            <w:r w:rsidRPr="00423618">
              <w:rPr>
                <w:rFonts w:cstheme="minorHAnsi"/>
                <w:sz w:val="22"/>
                <w:szCs w:val="22"/>
              </w:rPr>
              <w:tab/>
              <w:t>in London</w:t>
            </w:r>
          </w:p>
        </w:tc>
        <w:tc>
          <w:tcPr>
            <w:tcW w:w="1620" w:type="dxa"/>
            <w:gridSpan w:val="2"/>
            <w:tcBorders>
              <w:bottom w:val="single" w:sz="4" w:space="0" w:color="auto"/>
            </w:tcBorders>
          </w:tcPr>
          <w:p w14:paraId="2FC56088" w14:textId="77777777" w:rsidR="00FD1F82" w:rsidRPr="00423618" w:rsidRDefault="005A258E" w:rsidP="00D84E15">
            <w:pPr>
              <w:tabs>
                <w:tab w:val="right" w:pos="792"/>
                <w:tab w:val="right" w:pos="1062"/>
                <w:tab w:val="right" w:pos="1332"/>
              </w:tabs>
              <w:spacing w:after="120"/>
              <w:rPr>
                <w:rFonts w:cstheme="minorHAnsi"/>
                <w:sz w:val="22"/>
                <w:szCs w:val="22"/>
              </w:rPr>
            </w:pPr>
            <w:r w:rsidRPr="00423618">
              <w:rPr>
                <w:rFonts w:cstheme="minorHAnsi"/>
                <w:sz w:val="22"/>
                <w:szCs w:val="22"/>
              </w:rPr>
              <w:tab/>
              <w:t>12,027</w:t>
            </w:r>
            <w:r w:rsidRPr="00423618">
              <w:rPr>
                <w:rFonts w:cstheme="minorHAnsi"/>
                <w:sz w:val="22"/>
                <w:szCs w:val="22"/>
              </w:rPr>
              <w:tab/>
              <w:t>16</w:t>
            </w:r>
            <w:r w:rsidRPr="00423618">
              <w:rPr>
                <w:rFonts w:cstheme="minorHAnsi"/>
                <w:sz w:val="22"/>
                <w:szCs w:val="22"/>
              </w:rPr>
              <w:tab/>
              <w:t>5</w:t>
            </w:r>
          </w:p>
        </w:tc>
        <w:tc>
          <w:tcPr>
            <w:tcW w:w="1980" w:type="dxa"/>
          </w:tcPr>
          <w:p w14:paraId="421516C0" w14:textId="77777777" w:rsidR="00FD1F82" w:rsidRPr="00423618" w:rsidRDefault="00FD1F82" w:rsidP="00D84E15">
            <w:pPr>
              <w:tabs>
                <w:tab w:val="right" w:pos="972"/>
                <w:tab w:val="right" w:pos="1332"/>
                <w:tab w:val="right" w:pos="1647"/>
              </w:tabs>
              <w:spacing w:after="120"/>
              <w:rPr>
                <w:rFonts w:cstheme="minorHAnsi"/>
                <w:sz w:val="22"/>
                <w:szCs w:val="22"/>
              </w:rPr>
            </w:pPr>
          </w:p>
        </w:tc>
      </w:tr>
      <w:tr w:rsidR="00FB00C8" w14:paraId="0CFC06F6" w14:textId="77777777" w:rsidTr="00D84E15">
        <w:tc>
          <w:tcPr>
            <w:tcW w:w="3618" w:type="dxa"/>
          </w:tcPr>
          <w:p w14:paraId="0404A2E7" w14:textId="77777777" w:rsidR="00FD1F82" w:rsidRPr="00423618" w:rsidRDefault="005A258E" w:rsidP="005A258E">
            <w:pPr>
              <w:tabs>
                <w:tab w:val="left" w:pos="285"/>
              </w:tabs>
              <w:spacing w:after="120"/>
              <w:rPr>
                <w:sz w:val="22"/>
                <w:szCs w:val="22"/>
              </w:rPr>
            </w:pPr>
            <w:r w:rsidRPr="00423618">
              <w:rPr>
                <w:sz w:val="22"/>
                <w:szCs w:val="22"/>
              </w:rPr>
              <w:tab/>
              <w:t>at Stations</w:t>
            </w:r>
          </w:p>
        </w:tc>
        <w:tc>
          <w:tcPr>
            <w:tcW w:w="1710" w:type="dxa"/>
            <w:gridSpan w:val="2"/>
          </w:tcPr>
          <w:p w14:paraId="40EA2FAA" w14:textId="77777777" w:rsidR="00FD1F82" w:rsidRPr="00423618" w:rsidRDefault="00B85332" w:rsidP="00D84E15">
            <w:pPr>
              <w:tabs>
                <w:tab w:val="right" w:pos="792"/>
                <w:tab w:val="right" w:pos="1152"/>
                <w:tab w:val="right" w:pos="1422"/>
              </w:tabs>
              <w:spacing w:after="120"/>
              <w:rPr>
                <w:sz w:val="22"/>
                <w:szCs w:val="22"/>
              </w:rPr>
            </w:pPr>
            <w:r w:rsidRPr="00423618">
              <w:rPr>
                <w:sz w:val="22"/>
                <w:szCs w:val="22"/>
              </w:rPr>
              <w:tab/>
            </w:r>
            <w:r w:rsidR="00DA0EFA" w:rsidRPr="00423618">
              <w:rPr>
                <w:sz w:val="22"/>
                <w:szCs w:val="22"/>
              </w:rPr>
              <w:t>£2</w:t>
            </w:r>
            <w:r w:rsidRPr="00423618">
              <w:rPr>
                <w:sz w:val="22"/>
                <w:szCs w:val="22"/>
              </w:rPr>
              <w:t>43,625</w:t>
            </w:r>
            <w:r w:rsidRPr="00423618">
              <w:rPr>
                <w:sz w:val="22"/>
                <w:szCs w:val="22"/>
              </w:rPr>
              <w:tab/>
              <w:t>15</w:t>
            </w:r>
            <w:r w:rsidRPr="00423618">
              <w:rPr>
                <w:sz w:val="22"/>
                <w:szCs w:val="22"/>
              </w:rPr>
              <w:tab/>
              <w:t>5</w:t>
            </w:r>
          </w:p>
        </w:tc>
        <w:tc>
          <w:tcPr>
            <w:tcW w:w="1758" w:type="dxa"/>
            <w:tcBorders>
              <w:right w:val="single" w:sz="4" w:space="0" w:color="auto"/>
            </w:tcBorders>
          </w:tcPr>
          <w:p w14:paraId="73336BFD" w14:textId="77777777" w:rsidR="00FD1F82" w:rsidRPr="00423618" w:rsidRDefault="00FD1F82" w:rsidP="000A0D25">
            <w:pPr>
              <w:tabs>
                <w:tab w:val="right" w:pos="882"/>
                <w:tab w:val="right" w:pos="1152"/>
                <w:tab w:val="right" w:pos="1422"/>
              </w:tabs>
              <w:spacing w:after="120"/>
              <w:rPr>
                <w:sz w:val="22"/>
                <w:szCs w:val="22"/>
              </w:rPr>
            </w:pPr>
          </w:p>
        </w:tc>
        <w:tc>
          <w:tcPr>
            <w:tcW w:w="3732" w:type="dxa"/>
            <w:tcBorders>
              <w:left w:val="single" w:sz="4" w:space="0" w:color="auto"/>
            </w:tcBorders>
          </w:tcPr>
          <w:p w14:paraId="16C2C3F2" w14:textId="77777777" w:rsidR="00FD1F82" w:rsidRPr="00423618" w:rsidRDefault="00FD1F82" w:rsidP="00FD1F82">
            <w:pPr>
              <w:spacing w:after="120"/>
              <w:rPr>
                <w:rFonts w:cstheme="minorHAnsi"/>
                <w:sz w:val="22"/>
                <w:szCs w:val="22"/>
              </w:rPr>
            </w:pPr>
          </w:p>
        </w:tc>
        <w:tc>
          <w:tcPr>
            <w:tcW w:w="1620" w:type="dxa"/>
            <w:gridSpan w:val="2"/>
            <w:tcBorders>
              <w:top w:val="single" w:sz="4" w:space="0" w:color="auto"/>
            </w:tcBorders>
          </w:tcPr>
          <w:p w14:paraId="48E3D848" w14:textId="77777777" w:rsidR="00FD1F82" w:rsidRPr="00423618" w:rsidRDefault="00FD1F82" w:rsidP="00FB00C8">
            <w:pPr>
              <w:tabs>
                <w:tab w:val="right" w:pos="792"/>
                <w:tab w:val="right" w:pos="1062"/>
                <w:tab w:val="right" w:pos="1224"/>
              </w:tabs>
              <w:spacing w:after="120"/>
              <w:rPr>
                <w:rFonts w:cstheme="minorHAnsi"/>
                <w:sz w:val="22"/>
                <w:szCs w:val="22"/>
              </w:rPr>
            </w:pPr>
          </w:p>
        </w:tc>
        <w:tc>
          <w:tcPr>
            <w:tcW w:w="1980" w:type="dxa"/>
          </w:tcPr>
          <w:p w14:paraId="67ED12ED" w14:textId="77777777" w:rsidR="00FD1F82" w:rsidRPr="00423618" w:rsidRDefault="00B85332" w:rsidP="00D84E15">
            <w:pPr>
              <w:tabs>
                <w:tab w:val="right" w:pos="972"/>
                <w:tab w:val="right" w:pos="1332"/>
                <w:tab w:val="right" w:pos="1647"/>
              </w:tabs>
              <w:spacing w:after="120"/>
              <w:rPr>
                <w:rFonts w:cstheme="minorHAnsi"/>
                <w:sz w:val="22"/>
                <w:szCs w:val="22"/>
              </w:rPr>
            </w:pPr>
            <w:r w:rsidRPr="00423618">
              <w:rPr>
                <w:rFonts w:cstheme="minorHAnsi"/>
                <w:sz w:val="22"/>
                <w:szCs w:val="22"/>
              </w:rPr>
              <w:tab/>
              <w:t>478,715</w:t>
            </w:r>
            <w:r w:rsidR="000A0D25" w:rsidRPr="00423618">
              <w:rPr>
                <w:rFonts w:cstheme="minorHAnsi"/>
                <w:sz w:val="22"/>
                <w:szCs w:val="22"/>
              </w:rPr>
              <w:tab/>
            </w:r>
            <w:r w:rsidRPr="00423618">
              <w:rPr>
                <w:rFonts w:cstheme="minorHAnsi"/>
                <w:sz w:val="22"/>
                <w:szCs w:val="22"/>
              </w:rPr>
              <w:t>5</w:t>
            </w:r>
            <w:r w:rsidRPr="00423618">
              <w:rPr>
                <w:rFonts w:cstheme="minorHAnsi"/>
                <w:sz w:val="22"/>
                <w:szCs w:val="22"/>
              </w:rPr>
              <w:tab/>
              <w:t>0</w:t>
            </w:r>
          </w:p>
        </w:tc>
      </w:tr>
      <w:tr w:rsidR="00B85332" w14:paraId="7286EA41" w14:textId="77777777" w:rsidTr="00D84E15">
        <w:tc>
          <w:tcPr>
            <w:tcW w:w="3618" w:type="dxa"/>
          </w:tcPr>
          <w:p w14:paraId="3BA3BE52" w14:textId="77777777" w:rsidR="00B85332" w:rsidRPr="00423618" w:rsidRDefault="00B85332" w:rsidP="005A258E">
            <w:pPr>
              <w:tabs>
                <w:tab w:val="left" w:pos="285"/>
              </w:tabs>
              <w:spacing w:after="120"/>
              <w:rPr>
                <w:sz w:val="22"/>
                <w:szCs w:val="22"/>
              </w:rPr>
            </w:pPr>
            <w:r w:rsidRPr="00423618">
              <w:rPr>
                <w:sz w:val="22"/>
                <w:szCs w:val="22"/>
              </w:rPr>
              <w:tab/>
              <w:t>in London</w:t>
            </w:r>
          </w:p>
        </w:tc>
        <w:tc>
          <w:tcPr>
            <w:tcW w:w="1710" w:type="dxa"/>
            <w:gridSpan w:val="2"/>
            <w:tcBorders>
              <w:bottom w:val="single" w:sz="4" w:space="0" w:color="auto"/>
            </w:tcBorders>
          </w:tcPr>
          <w:p w14:paraId="13C9170D" w14:textId="77777777" w:rsidR="00B85332" w:rsidRPr="00423618" w:rsidRDefault="00B85332" w:rsidP="00D84E15">
            <w:pPr>
              <w:tabs>
                <w:tab w:val="right" w:pos="792"/>
                <w:tab w:val="right" w:pos="1152"/>
                <w:tab w:val="right" w:pos="1422"/>
              </w:tabs>
              <w:spacing w:after="120"/>
              <w:rPr>
                <w:sz w:val="22"/>
                <w:szCs w:val="22"/>
              </w:rPr>
            </w:pPr>
            <w:r w:rsidRPr="00423618">
              <w:rPr>
                <w:sz w:val="22"/>
                <w:szCs w:val="22"/>
              </w:rPr>
              <w:tab/>
              <w:t>28,923</w:t>
            </w:r>
            <w:r w:rsidRPr="00423618">
              <w:rPr>
                <w:sz w:val="22"/>
                <w:szCs w:val="22"/>
              </w:rPr>
              <w:tab/>
              <w:t>4</w:t>
            </w:r>
            <w:r w:rsidRPr="00423618">
              <w:rPr>
                <w:sz w:val="22"/>
                <w:szCs w:val="22"/>
              </w:rPr>
              <w:tab/>
              <w:t>0</w:t>
            </w:r>
          </w:p>
        </w:tc>
        <w:tc>
          <w:tcPr>
            <w:tcW w:w="1758" w:type="dxa"/>
            <w:tcBorders>
              <w:right w:val="single" w:sz="4" w:space="0" w:color="auto"/>
            </w:tcBorders>
          </w:tcPr>
          <w:p w14:paraId="2485F73C" w14:textId="77777777" w:rsidR="00B85332" w:rsidRPr="00423618" w:rsidRDefault="00B85332" w:rsidP="000A0D25">
            <w:pPr>
              <w:tabs>
                <w:tab w:val="right" w:pos="882"/>
                <w:tab w:val="right" w:pos="1152"/>
                <w:tab w:val="right" w:pos="1422"/>
              </w:tabs>
              <w:spacing w:after="120"/>
              <w:rPr>
                <w:sz w:val="22"/>
                <w:szCs w:val="22"/>
              </w:rPr>
            </w:pPr>
          </w:p>
        </w:tc>
        <w:tc>
          <w:tcPr>
            <w:tcW w:w="3732" w:type="dxa"/>
            <w:tcBorders>
              <w:left w:val="single" w:sz="4" w:space="0" w:color="auto"/>
            </w:tcBorders>
          </w:tcPr>
          <w:p w14:paraId="426A8466" w14:textId="77777777" w:rsidR="00B85332" w:rsidRPr="00423618" w:rsidRDefault="00B85332" w:rsidP="00FD1F82">
            <w:pPr>
              <w:spacing w:after="120"/>
              <w:rPr>
                <w:rFonts w:cstheme="minorHAnsi"/>
                <w:sz w:val="22"/>
                <w:szCs w:val="22"/>
              </w:rPr>
            </w:pPr>
            <w:r w:rsidRPr="00423618">
              <w:rPr>
                <w:rFonts w:cstheme="minorHAnsi"/>
                <w:sz w:val="22"/>
                <w:szCs w:val="22"/>
              </w:rPr>
              <w:t>Cash at Bankers in London</w:t>
            </w:r>
          </w:p>
        </w:tc>
        <w:tc>
          <w:tcPr>
            <w:tcW w:w="1620" w:type="dxa"/>
            <w:gridSpan w:val="2"/>
          </w:tcPr>
          <w:p w14:paraId="0B662176" w14:textId="77777777" w:rsidR="00B85332" w:rsidRPr="00423618" w:rsidRDefault="00B85332" w:rsidP="00FB00C8">
            <w:pPr>
              <w:tabs>
                <w:tab w:val="right" w:pos="792"/>
                <w:tab w:val="right" w:pos="1062"/>
                <w:tab w:val="right" w:pos="1224"/>
              </w:tabs>
              <w:spacing w:after="120"/>
              <w:rPr>
                <w:rFonts w:cstheme="minorHAnsi"/>
                <w:sz w:val="22"/>
                <w:szCs w:val="22"/>
              </w:rPr>
            </w:pPr>
          </w:p>
        </w:tc>
        <w:tc>
          <w:tcPr>
            <w:tcW w:w="1980" w:type="dxa"/>
          </w:tcPr>
          <w:p w14:paraId="681E6EA0" w14:textId="77777777" w:rsidR="00B85332" w:rsidRPr="00423618" w:rsidRDefault="00B85332" w:rsidP="00D84E15">
            <w:pPr>
              <w:tabs>
                <w:tab w:val="right" w:pos="972"/>
                <w:tab w:val="right" w:pos="1332"/>
                <w:tab w:val="right" w:pos="1647"/>
              </w:tabs>
              <w:spacing w:after="120"/>
              <w:rPr>
                <w:rFonts w:cstheme="minorHAnsi"/>
                <w:sz w:val="22"/>
                <w:szCs w:val="22"/>
              </w:rPr>
            </w:pPr>
          </w:p>
        </w:tc>
      </w:tr>
      <w:tr w:rsidR="00B85332" w14:paraId="77E2C652" w14:textId="77777777" w:rsidTr="00D84E15">
        <w:tc>
          <w:tcPr>
            <w:tcW w:w="3618" w:type="dxa"/>
          </w:tcPr>
          <w:p w14:paraId="3CD5C2AA" w14:textId="77777777" w:rsidR="00B85332" w:rsidRPr="00423618" w:rsidRDefault="00B85332" w:rsidP="005A258E">
            <w:pPr>
              <w:tabs>
                <w:tab w:val="left" w:pos="285"/>
              </w:tabs>
              <w:spacing w:after="120"/>
              <w:rPr>
                <w:sz w:val="22"/>
                <w:szCs w:val="22"/>
              </w:rPr>
            </w:pPr>
          </w:p>
        </w:tc>
        <w:tc>
          <w:tcPr>
            <w:tcW w:w="1710" w:type="dxa"/>
            <w:gridSpan w:val="2"/>
            <w:tcBorders>
              <w:top w:val="single" w:sz="4" w:space="0" w:color="auto"/>
            </w:tcBorders>
          </w:tcPr>
          <w:p w14:paraId="6F99C1C1" w14:textId="77777777" w:rsidR="00B85332" w:rsidRPr="00423618" w:rsidRDefault="00B85332" w:rsidP="00DA0EFA">
            <w:pPr>
              <w:tabs>
                <w:tab w:val="right" w:pos="882"/>
                <w:tab w:val="right" w:pos="1332"/>
                <w:tab w:val="right" w:pos="1602"/>
              </w:tabs>
              <w:spacing w:after="120"/>
              <w:rPr>
                <w:sz w:val="22"/>
                <w:szCs w:val="22"/>
              </w:rPr>
            </w:pPr>
          </w:p>
        </w:tc>
        <w:tc>
          <w:tcPr>
            <w:tcW w:w="1758" w:type="dxa"/>
            <w:tcBorders>
              <w:right w:val="single" w:sz="4" w:space="0" w:color="auto"/>
            </w:tcBorders>
          </w:tcPr>
          <w:p w14:paraId="78AB0CAF" w14:textId="77777777" w:rsidR="00B85332" w:rsidRPr="00423618" w:rsidRDefault="00B85332" w:rsidP="000A0D25">
            <w:pPr>
              <w:tabs>
                <w:tab w:val="right" w:pos="882"/>
                <w:tab w:val="right" w:pos="1152"/>
                <w:tab w:val="right" w:pos="1422"/>
              </w:tabs>
              <w:spacing w:after="120"/>
              <w:rPr>
                <w:sz w:val="22"/>
                <w:szCs w:val="22"/>
              </w:rPr>
            </w:pPr>
            <w:r w:rsidRPr="00423618">
              <w:rPr>
                <w:sz w:val="22"/>
                <w:szCs w:val="22"/>
              </w:rPr>
              <w:tab/>
              <w:t>272,548</w:t>
            </w:r>
            <w:r w:rsidRPr="00423618">
              <w:rPr>
                <w:sz w:val="22"/>
                <w:szCs w:val="22"/>
              </w:rPr>
              <w:tab/>
              <w:t>19</w:t>
            </w:r>
            <w:r w:rsidRPr="00423618">
              <w:rPr>
                <w:sz w:val="22"/>
                <w:szCs w:val="22"/>
              </w:rPr>
              <w:tab/>
              <w:t>5</w:t>
            </w:r>
          </w:p>
        </w:tc>
        <w:tc>
          <w:tcPr>
            <w:tcW w:w="3732" w:type="dxa"/>
            <w:tcBorders>
              <w:left w:val="single" w:sz="4" w:space="0" w:color="auto"/>
            </w:tcBorders>
          </w:tcPr>
          <w:p w14:paraId="55129447" w14:textId="77777777" w:rsidR="00B85332" w:rsidRPr="00423618" w:rsidRDefault="00B85332" w:rsidP="00B85332">
            <w:pPr>
              <w:tabs>
                <w:tab w:val="left" w:pos="294"/>
              </w:tabs>
              <w:spacing w:after="120"/>
              <w:rPr>
                <w:rFonts w:cstheme="minorHAnsi"/>
                <w:sz w:val="22"/>
                <w:szCs w:val="22"/>
              </w:rPr>
            </w:pPr>
            <w:r w:rsidRPr="00423618">
              <w:rPr>
                <w:rFonts w:cstheme="minorHAnsi"/>
                <w:sz w:val="22"/>
                <w:szCs w:val="22"/>
              </w:rPr>
              <w:tab/>
              <w:t>General Account</w:t>
            </w:r>
          </w:p>
        </w:tc>
        <w:tc>
          <w:tcPr>
            <w:tcW w:w="1620" w:type="dxa"/>
            <w:gridSpan w:val="2"/>
          </w:tcPr>
          <w:p w14:paraId="44CF47A0" w14:textId="77777777" w:rsidR="00B85332" w:rsidRPr="00423618" w:rsidRDefault="00B85332" w:rsidP="00D84E15">
            <w:pPr>
              <w:tabs>
                <w:tab w:val="right" w:pos="792"/>
                <w:tab w:val="right" w:pos="1062"/>
                <w:tab w:val="right" w:pos="1332"/>
              </w:tabs>
              <w:spacing w:after="120"/>
              <w:rPr>
                <w:rFonts w:cstheme="minorHAnsi"/>
                <w:sz w:val="22"/>
                <w:szCs w:val="22"/>
              </w:rPr>
            </w:pPr>
            <w:r w:rsidRPr="00423618">
              <w:rPr>
                <w:rFonts w:cstheme="minorHAnsi"/>
                <w:sz w:val="22"/>
                <w:szCs w:val="22"/>
              </w:rPr>
              <w:tab/>
              <w:t>£14,553</w:t>
            </w:r>
            <w:r w:rsidRPr="00423618">
              <w:rPr>
                <w:rFonts w:cstheme="minorHAnsi"/>
                <w:sz w:val="22"/>
                <w:szCs w:val="22"/>
              </w:rPr>
              <w:tab/>
              <w:t>19</w:t>
            </w:r>
            <w:r w:rsidRPr="00423618">
              <w:rPr>
                <w:rFonts w:cstheme="minorHAnsi"/>
                <w:sz w:val="22"/>
                <w:szCs w:val="22"/>
              </w:rPr>
              <w:tab/>
              <w:t>1</w:t>
            </w:r>
          </w:p>
        </w:tc>
        <w:tc>
          <w:tcPr>
            <w:tcW w:w="1980" w:type="dxa"/>
          </w:tcPr>
          <w:p w14:paraId="5EFBAB2D" w14:textId="77777777" w:rsidR="00B85332" w:rsidRPr="00423618" w:rsidRDefault="00B85332" w:rsidP="00D84E15">
            <w:pPr>
              <w:tabs>
                <w:tab w:val="right" w:pos="972"/>
                <w:tab w:val="right" w:pos="1332"/>
                <w:tab w:val="right" w:pos="1647"/>
              </w:tabs>
              <w:spacing w:after="120"/>
              <w:rPr>
                <w:rFonts w:cstheme="minorHAnsi"/>
                <w:sz w:val="22"/>
                <w:szCs w:val="22"/>
              </w:rPr>
            </w:pPr>
          </w:p>
        </w:tc>
      </w:tr>
      <w:tr w:rsidR="00423618" w14:paraId="7CAA5F10" w14:textId="77777777" w:rsidTr="00D84E15">
        <w:tc>
          <w:tcPr>
            <w:tcW w:w="5328" w:type="dxa"/>
            <w:gridSpan w:val="3"/>
          </w:tcPr>
          <w:p w14:paraId="51DF23FC" w14:textId="77777777" w:rsidR="00423618" w:rsidRPr="00423618" w:rsidRDefault="00423618" w:rsidP="00DA0EFA">
            <w:pPr>
              <w:tabs>
                <w:tab w:val="right" w:pos="882"/>
                <w:tab w:val="right" w:pos="1332"/>
                <w:tab w:val="right" w:pos="1602"/>
              </w:tabs>
              <w:spacing w:after="120"/>
              <w:rPr>
                <w:sz w:val="22"/>
                <w:szCs w:val="22"/>
              </w:rPr>
            </w:pPr>
            <w:r w:rsidRPr="00423618">
              <w:rPr>
                <w:sz w:val="22"/>
                <w:szCs w:val="22"/>
              </w:rPr>
              <w:t>Dividend Equalisation Account</w:t>
            </w:r>
          </w:p>
        </w:tc>
        <w:tc>
          <w:tcPr>
            <w:tcW w:w="1758" w:type="dxa"/>
            <w:tcBorders>
              <w:right w:val="single" w:sz="4" w:space="0" w:color="auto"/>
            </w:tcBorders>
          </w:tcPr>
          <w:p w14:paraId="78745F79" w14:textId="77777777" w:rsidR="00423618" w:rsidRPr="00423618" w:rsidRDefault="00423618" w:rsidP="000A0D25">
            <w:pPr>
              <w:tabs>
                <w:tab w:val="right" w:pos="882"/>
                <w:tab w:val="right" w:pos="1152"/>
                <w:tab w:val="right" w:pos="1422"/>
              </w:tabs>
              <w:spacing w:after="120"/>
              <w:rPr>
                <w:sz w:val="22"/>
                <w:szCs w:val="22"/>
              </w:rPr>
            </w:pPr>
            <w:r w:rsidRPr="00423618">
              <w:rPr>
                <w:sz w:val="22"/>
                <w:szCs w:val="22"/>
              </w:rPr>
              <w:tab/>
              <w:t>369,353</w:t>
            </w:r>
            <w:r w:rsidRPr="00423618">
              <w:rPr>
                <w:sz w:val="22"/>
                <w:szCs w:val="22"/>
              </w:rPr>
              <w:tab/>
              <w:t>18</w:t>
            </w:r>
            <w:r w:rsidRPr="00423618">
              <w:rPr>
                <w:sz w:val="22"/>
                <w:szCs w:val="22"/>
              </w:rPr>
              <w:tab/>
              <w:t>8</w:t>
            </w:r>
          </w:p>
        </w:tc>
        <w:tc>
          <w:tcPr>
            <w:tcW w:w="3732" w:type="dxa"/>
            <w:tcBorders>
              <w:left w:val="single" w:sz="4" w:space="0" w:color="auto"/>
            </w:tcBorders>
          </w:tcPr>
          <w:p w14:paraId="237F9880" w14:textId="77777777" w:rsidR="00423618" w:rsidRPr="00423618" w:rsidRDefault="00423618" w:rsidP="00B85332">
            <w:pPr>
              <w:tabs>
                <w:tab w:val="left" w:pos="294"/>
              </w:tabs>
              <w:spacing w:after="120"/>
              <w:rPr>
                <w:rFonts w:cstheme="minorHAnsi"/>
                <w:sz w:val="22"/>
                <w:szCs w:val="22"/>
              </w:rPr>
            </w:pPr>
            <w:r w:rsidRPr="00423618">
              <w:rPr>
                <w:rFonts w:cstheme="minorHAnsi"/>
                <w:sz w:val="22"/>
                <w:szCs w:val="22"/>
              </w:rPr>
              <w:tab/>
              <w:t>Dividend Account</w:t>
            </w:r>
          </w:p>
        </w:tc>
        <w:tc>
          <w:tcPr>
            <w:tcW w:w="1620" w:type="dxa"/>
            <w:gridSpan w:val="2"/>
          </w:tcPr>
          <w:p w14:paraId="710A1D92" w14:textId="77777777" w:rsidR="00423618" w:rsidRPr="00423618" w:rsidRDefault="00423618" w:rsidP="00D84E15">
            <w:pPr>
              <w:tabs>
                <w:tab w:val="right" w:pos="792"/>
                <w:tab w:val="right" w:pos="1062"/>
                <w:tab w:val="right" w:pos="1332"/>
              </w:tabs>
              <w:spacing w:after="120"/>
              <w:rPr>
                <w:rFonts w:cstheme="minorHAnsi"/>
                <w:sz w:val="22"/>
                <w:szCs w:val="22"/>
              </w:rPr>
            </w:pPr>
            <w:r w:rsidRPr="00423618">
              <w:rPr>
                <w:rFonts w:cstheme="minorHAnsi"/>
                <w:sz w:val="22"/>
                <w:szCs w:val="22"/>
              </w:rPr>
              <w:tab/>
              <w:t>1,200</w:t>
            </w:r>
            <w:r w:rsidRPr="00423618">
              <w:rPr>
                <w:rFonts w:cstheme="minorHAnsi"/>
                <w:sz w:val="22"/>
                <w:szCs w:val="22"/>
              </w:rPr>
              <w:tab/>
              <w:t>16</w:t>
            </w:r>
            <w:r w:rsidRPr="00423618">
              <w:rPr>
                <w:rFonts w:cstheme="minorHAnsi"/>
                <w:sz w:val="22"/>
                <w:szCs w:val="22"/>
              </w:rPr>
              <w:tab/>
              <w:t>0</w:t>
            </w:r>
          </w:p>
        </w:tc>
        <w:tc>
          <w:tcPr>
            <w:tcW w:w="1980" w:type="dxa"/>
          </w:tcPr>
          <w:p w14:paraId="2C1D5749" w14:textId="77777777" w:rsidR="00423618" w:rsidRPr="00423618" w:rsidRDefault="00423618" w:rsidP="00D84E15">
            <w:pPr>
              <w:tabs>
                <w:tab w:val="right" w:pos="972"/>
                <w:tab w:val="right" w:pos="1332"/>
                <w:tab w:val="right" w:pos="1647"/>
              </w:tabs>
              <w:spacing w:after="120"/>
              <w:rPr>
                <w:rFonts w:cstheme="minorHAnsi"/>
                <w:sz w:val="22"/>
                <w:szCs w:val="22"/>
              </w:rPr>
            </w:pPr>
          </w:p>
        </w:tc>
      </w:tr>
      <w:tr w:rsidR="00423618" w14:paraId="6E104FFE" w14:textId="77777777" w:rsidTr="00D84E15">
        <w:tc>
          <w:tcPr>
            <w:tcW w:w="5328" w:type="dxa"/>
            <w:gridSpan w:val="3"/>
          </w:tcPr>
          <w:p w14:paraId="2F0DD6F5" w14:textId="77777777" w:rsidR="00423618" w:rsidRPr="00423618" w:rsidRDefault="00423618" w:rsidP="00DA0EFA">
            <w:pPr>
              <w:tabs>
                <w:tab w:val="right" w:pos="882"/>
                <w:tab w:val="right" w:pos="1332"/>
                <w:tab w:val="right" w:pos="1602"/>
              </w:tabs>
              <w:spacing w:after="120"/>
              <w:rPr>
                <w:sz w:val="22"/>
                <w:szCs w:val="22"/>
              </w:rPr>
            </w:pPr>
            <w:r w:rsidRPr="00423618">
              <w:rPr>
                <w:sz w:val="22"/>
                <w:szCs w:val="22"/>
              </w:rPr>
              <w:t xml:space="preserve">Barclay &amp; Co. Ltd. Temporary Loan </w:t>
            </w:r>
          </w:p>
        </w:tc>
        <w:tc>
          <w:tcPr>
            <w:tcW w:w="1758" w:type="dxa"/>
            <w:tcBorders>
              <w:right w:val="single" w:sz="4" w:space="0" w:color="auto"/>
            </w:tcBorders>
          </w:tcPr>
          <w:p w14:paraId="40FC4F71" w14:textId="77777777" w:rsidR="00423618" w:rsidRPr="00423618" w:rsidRDefault="00423618" w:rsidP="000A0D25">
            <w:pPr>
              <w:tabs>
                <w:tab w:val="right" w:pos="882"/>
                <w:tab w:val="right" w:pos="1152"/>
                <w:tab w:val="right" w:pos="1422"/>
              </w:tabs>
              <w:spacing w:after="120"/>
              <w:rPr>
                <w:sz w:val="22"/>
                <w:szCs w:val="22"/>
              </w:rPr>
            </w:pPr>
            <w:r w:rsidRPr="00423618">
              <w:rPr>
                <w:sz w:val="22"/>
                <w:szCs w:val="22"/>
              </w:rPr>
              <w:tab/>
              <w:t>100,000</w:t>
            </w:r>
            <w:r w:rsidRPr="00423618">
              <w:rPr>
                <w:sz w:val="22"/>
                <w:szCs w:val="22"/>
              </w:rPr>
              <w:tab/>
              <w:t>0</w:t>
            </w:r>
            <w:r w:rsidRPr="00423618">
              <w:rPr>
                <w:sz w:val="22"/>
                <w:szCs w:val="22"/>
              </w:rPr>
              <w:tab/>
              <w:t>0</w:t>
            </w:r>
          </w:p>
        </w:tc>
        <w:tc>
          <w:tcPr>
            <w:tcW w:w="3732" w:type="dxa"/>
            <w:tcBorders>
              <w:left w:val="single" w:sz="4" w:space="0" w:color="auto"/>
            </w:tcBorders>
          </w:tcPr>
          <w:p w14:paraId="2A80851C" w14:textId="77777777" w:rsidR="00423618" w:rsidRPr="00423618" w:rsidRDefault="00423618" w:rsidP="006B55DD">
            <w:pPr>
              <w:spacing w:after="120"/>
              <w:rPr>
                <w:rFonts w:cstheme="minorHAnsi"/>
                <w:sz w:val="22"/>
                <w:szCs w:val="22"/>
              </w:rPr>
            </w:pPr>
            <w:r w:rsidRPr="00423618">
              <w:rPr>
                <w:rFonts w:cstheme="minorHAnsi"/>
                <w:sz w:val="22"/>
                <w:szCs w:val="22"/>
              </w:rPr>
              <w:t>Cash at London Office</w:t>
            </w:r>
          </w:p>
        </w:tc>
        <w:tc>
          <w:tcPr>
            <w:tcW w:w="1620" w:type="dxa"/>
            <w:gridSpan w:val="2"/>
            <w:tcBorders>
              <w:bottom w:val="single" w:sz="4" w:space="0" w:color="auto"/>
            </w:tcBorders>
          </w:tcPr>
          <w:p w14:paraId="1F7F3B98" w14:textId="77777777" w:rsidR="00423618" w:rsidRPr="00423618" w:rsidRDefault="00423618" w:rsidP="00D84E15">
            <w:pPr>
              <w:tabs>
                <w:tab w:val="right" w:pos="792"/>
                <w:tab w:val="right" w:pos="1062"/>
                <w:tab w:val="right" w:pos="1332"/>
              </w:tabs>
              <w:spacing w:after="120"/>
              <w:rPr>
                <w:rFonts w:cstheme="minorHAnsi"/>
                <w:sz w:val="22"/>
                <w:szCs w:val="22"/>
              </w:rPr>
            </w:pPr>
            <w:r w:rsidRPr="00423618">
              <w:rPr>
                <w:rFonts w:cstheme="minorHAnsi"/>
                <w:sz w:val="22"/>
                <w:szCs w:val="22"/>
              </w:rPr>
              <w:tab/>
              <w:t>166</w:t>
            </w:r>
            <w:r w:rsidRPr="00423618">
              <w:rPr>
                <w:rFonts w:cstheme="minorHAnsi"/>
                <w:sz w:val="22"/>
                <w:szCs w:val="22"/>
              </w:rPr>
              <w:tab/>
              <w:t>15</w:t>
            </w:r>
            <w:r w:rsidRPr="00423618">
              <w:rPr>
                <w:rFonts w:cstheme="minorHAnsi"/>
                <w:sz w:val="22"/>
                <w:szCs w:val="22"/>
              </w:rPr>
              <w:tab/>
              <w:t>8</w:t>
            </w:r>
          </w:p>
        </w:tc>
        <w:tc>
          <w:tcPr>
            <w:tcW w:w="1980" w:type="dxa"/>
          </w:tcPr>
          <w:p w14:paraId="6F1E0770" w14:textId="77777777" w:rsidR="00423618" w:rsidRPr="00423618" w:rsidRDefault="00423618" w:rsidP="00D84E15">
            <w:pPr>
              <w:tabs>
                <w:tab w:val="right" w:pos="972"/>
                <w:tab w:val="right" w:pos="1332"/>
                <w:tab w:val="right" w:pos="1647"/>
              </w:tabs>
              <w:spacing w:after="120"/>
              <w:rPr>
                <w:rFonts w:cstheme="minorHAnsi"/>
                <w:sz w:val="22"/>
                <w:szCs w:val="22"/>
              </w:rPr>
            </w:pPr>
          </w:p>
        </w:tc>
      </w:tr>
      <w:tr w:rsidR="00423618" w14:paraId="708FF214" w14:textId="77777777" w:rsidTr="00D84E15">
        <w:tc>
          <w:tcPr>
            <w:tcW w:w="5328" w:type="dxa"/>
            <w:gridSpan w:val="3"/>
          </w:tcPr>
          <w:p w14:paraId="02D9AA4E" w14:textId="77777777" w:rsidR="00423618" w:rsidRPr="00423618" w:rsidRDefault="00423618" w:rsidP="00DA0EFA">
            <w:pPr>
              <w:tabs>
                <w:tab w:val="right" w:pos="882"/>
                <w:tab w:val="right" w:pos="1332"/>
                <w:tab w:val="right" w:pos="1602"/>
              </w:tabs>
              <w:spacing w:after="120"/>
              <w:rPr>
                <w:sz w:val="22"/>
                <w:szCs w:val="22"/>
              </w:rPr>
            </w:pPr>
            <w:r w:rsidRPr="00423618">
              <w:rPr>
                <w:sz w:val="22"/>
                <w:szCs w:val="22"/>
              </w:rPr>
              <w:t>Appropriated to meet contingencies or for</w:t>
            </w:r>
          </w:p>
        </w:tc>
        <w:tc>
          <w:tcPr>
            <w:tcW w:w="1758" w:type="dxa"/>
            <w:tcBorders>
              <w:right w:val="single" w:sz="4" w:space="0" w:color="auto"/>
            </w:tcBorders>
          </w:tcPr>
          <w:p w14:paraId="73671C85" w14:textId="77777777" w:rsidR="00423618" w:rsidRPr="00423618" w:rsidRDefault="00423618" w:rsidP="000A0D25">
            <w:pPr>
              <w:tabs>
                <w:tab w:val="right" w:pos="882"/>
                <w:tab w:val="right" w:pos="1152"/>
                <w:tab w:val="right" w:pos="1422"/>
              </w:tabs>
              <w:spacing w:after="120"/>
              <w:rPr>
                <w:sz w:val="22"/>
                <w:szCs w:val="22"/>
              </w:rPr>
            </w:pPr>
            <w:r w:rsidRPr="00423618">
              <w:rPr>
                <w:sz w:val="22"/>
                <w:szCs w:val="22"/>
              </w:rPr>
              <w:tab/>
            </w:r>
          </w:p>
        </w:tc>
        <w:tc>
          <w:tcPr>
            <w:tcW w:w="3732" w:type="dxa"/>
            <w:tcBorders>
              <w:left w:val="single" w:sz="4" w:space="0" w:color="auto"/>
            </w:tcBorders>
          </w:tcPr>
          <w:p w14:paraId="55BDFE46" w14:textId="77777777" w:rsidR="00423618" w:rsidRPr="00423618" w:rsidRDefault="00423618" w:rsidP="006B55DD">
            <w:pPr>
              <w:spacing w:after="120"/>
              <w:rPr>
                <w:rFonts w:cstheme="minorHAnsi"/>
                <w:sz w:val="22"/>
                <w:szCs w:val="22"/>
              </w:rPr>
            </w:pPr>
            <w:r w:rsidRPr="00423618">
              <w:rPr>
                <w:rFonts w:cstheme="minorHAnsi"/>
                <w:sz w:val="22"/>
                <w:szCs w:val="22"/>
              </w:rPr>
              <w:tab/>
            </w:r>
          </w:p>
        </w:tc>
        <w:tc>
          <w:tcPr>
            <w:tcW w:w="1620" w:type="dxa"/>
            <w:gridSpan w:val="2"/>
            <w:tcBorders>
              <w:top w:val="single" w:sz="4" w:space="0" w:color="auto"/>
            </w:tcBorders>
          </w:tcPr>
          <w:p w14:paraId="74D099D2" w14:textId="77777777" w:rsidR="00423618" w:rsidRPr="00423618" w:rsidRDefault="00423618" w:rsidP="00FB00C8">
            <w:pPr>
              <w:tabs>
                <w:tab w:val="right" w:pos="792"/>
                <w:tab w:val="right" w:pos="1062"/>
                <w:tab w:val="right" w:pos="1224"/>
              </w:tabs>
              <w:spacing w:after="120"/>
              <w:rPr>
                <w:rFonts w:cstheme="minorHAnsi"/>
                <w:sz w:val="22"/>
                <w:szCs w:val="22"/>
              </w:rPr>
            </w:pPr>
          </w:p>
        </w:tc>
        <w:tc>
          <w:tcPr>
            <w:tcW w:w="1980" w:type="dxa"/>
          </w:tcPr>
          <w:p w14:paraId="01A9F7B1" w14:textId="77777777" w:rsidR="00423618" w:rsidRPr="00423618" w:rsidRDefault="00423618" w:rsidP="00D84E15">
            <w:pPr>
              <w:tabs>
                <w:tab w:val="right" w:pos="972"/>
                <w:tab w:val="right" w:pos="1332"/>
                <w:tab w:val="right" w:pos="1647"/>
              </w:tabs>
              <w:spacing w:after="120"/>
              <w:rPr>
                <w:rFonts w:cstheme="minorHAnsi"/>
                <w:sz w:val="22"/>
                <w:szCs w:val="22"/>
              </w:rPr>
            </w:pPr>
            <w:r w:rsidRPr="00423618">
              <w:rPr>
                <w:rFonts w:cstheme="minorHAnsi"/>
                <w:sz w:val="22"/>
                <w:szCs w:val="22"/>
              </w:rPr>
              <w:tab/>
              <w:t>15,921</w:t>
            </w:r>
            <w:r w:rsidRPr="00423618">
              <w:rPr>
                <w:rFonts w:cstheme="minorHAnsi"/>
                <w:sz w:val="22"/>
                <w:szCs w:val="22"/>
              </w:rPr>
              <w:tab/>
              <w:t>10</w:t>
            </w:r>
            <w:r w:rsidRPr="00423618">
              <w:rPr>
                <w:rFonts w:cstheme="minorHAnsi"/>
                <w:sz w:val="22"/>
                <w:szCs w:val="22"/>
              </w:rPr>
              <w:tab/>
              <w:t>9</w:t>
            </w:r>
          </w:p>
        </w:tc>
      </w:tr>
      <w:tr w:rsidR="00423618" w14:paraId="1025101E" w14:textId="77777777" w:rsidTr="00D84E15">
        <w:tc>
          <w:tcPr>
            <w:tcW w:w="5328" w:type="dxa"/>
            <w:gridSpan w:val="3"/>
          </w:tcPr>
          <w:p w14:paraId="5D46CC9F" w14:textId="77777777" w:rsidR="00423618" w:rsidRPr="00423618" w:rsidRDefault="00423618" w:rsidP="00DA0EFA">
            <w:pPr>
              <w:tabs>
                <w:tab w:val="right" w:pos="882"/>
                <w:tab w:val="right" w:pos="1332"/>
                <w:tab w:val="right" w:pos="1602"/>
              </w:tabs>
              <w:spacing w:after="120"/>
              <w:rPr>
                <w:sz w:val="22"/>
                <w:szCs w:val="22"/>
              </w:rPr>
            </w:pPr>
            <w:r w:rsidRPr="00423618">
              <w:rPr>
                <w:sz w:val="22"/>
                <w:szCs w:val="22"/>
              </w:rPr>
              <w:tab/>
              <w:t>enlarging, repairing, or improving the</w:t>
            </w:r>
            <w:r>
              <w:rPr>
                <w:sz w:val="22"/>
                <w:szCs w:val="22"/>
              </w:rPr>
              <w:t xml:space="preserve"> Works</w:t>
            </w:r>
          </w:p>
        </w:tc>
        <w:tc>
          <w:tcPr>
            <w:tcW w:w="1758" w:type="dxa"/>
            <w:tcBorders>
              <w:bottom w:val="single" w:sz="4" w:space="0" w:color="auto"/>
              <w:right w:val="single" w:sz="4" w:space="0" w:color="auto"/>
            </w:tcBorders>
          </w:tcPr>
          <w:p w14:paraId="0024CF99" w14:textId="77777777" w:rsidR="00423618" w:rsidRPr="00423618" w:rsidRDefault="00423618" w:rsidP="000A0D25">
            <w:pPr>
              <w:tabs>
                <w:tab w:val="right" w:pos="882"/>
                <w:tab w:val="right" w:pos="1152"/>
                <w:tab w:val="right" w:pos="1422"/>
              </w:tabs>
              <w:spacing w:after="120"/>
              <w:rPr>
                <w:sz w:val="22"/>
                <w:szCs w:val="22"/>
              </w:rPr>
            </w:pPr>
            <w:r>
              <w:rPr>
                <w:sz w:val="22"/>
                <w:szCs w:val="22"/>
              </w:rPr>
              <w:tab/>
            </w:r>
            <w:r w:rsidRPr="00423618">
              <w:rPr>
                <w:sz w:val="22"/>
                <w:szCs w:val="22"/>
              </w:rPr>
              <w:t>1,022,785</w:t>
            </w:r>
            <w:r w:rsidRPr="00423618">
              <w:rPr>
                <w:sz w:val="22"/>
                <w:szCs w:val="22"/>
              </w:rPr>
              <w:tab/>
              <w:t>4</w:t>
            </w:r>
            <w:r w:rsidRPr="00423618">
              <w:rPr>
                <w:sz w:val="22"/>
                <w:szCs w:val="22"/>
              </w:rPr>
              <w:tab/>
              <w:t>9</w:t>
            </w:r>
          </w:p>
        </w:tc>
        <w:tc>
          <w:tcPr>
            <w:tcW w:w="3732" w:type="dxa"/>
            <w:tcBorders>
              <w:left w:val="single" w:sz="4" w:space="0" w:color="auto"/>
            </w:tcBorders>
          </w:tcPr>
          <w:p w14:paraId="1F3CE046" w14:textId="77777777" w:rsidR="00423618" w:rsidRPr="00423618" w:rsidRDefault="00423618" w:rsidP="00B85332">
            <w:pPr>
              <w:tabs>
                <w:tab w:val="left" w:pos="294"/>
              </w:tabs>
              <w:spacing w:after="120"/>
              <w:rPr>
                <w:rFonts w:cstheme="minorHAnsi"/>
                <w:sz w:val="22"/>
                <w:szCs w:val="22"/>
              </w:rPr>
            </w:pPr>
            <w:r w:rsidRPr="00423618">
              <w:rPr>
                <w:rFonts w:cstheme="minorHAnsi"/>
                <w:sz w:val="22"/>
                <w:szCs w:val="22"/>
              </w:rPr>
              <w:t>Loans on Security of Bills</w:t>
            </w:r>
          </w:p>
        </w:tc>
        <w:tc>
          <w:tcPr>
            <w:tcW w:w="1620" w:type="dxa"/>
            <w:gridSpan w:val="2"/>
          </w:tcPr>
          <w:p w14:paraId="7D74A00A" w14:textId="77777777" w:rsidR="00423618" w:rsidRPr="00423618" w:rsidRDefault="00423618" w:rsidP="00FB00C8">
            <w:pPr>
              <w:tabs>
                <w:tab w:val="right" w:pos="792"/>
                <w:tab w:val="right" w:pos="1062"/>
                <w:tab w:val="right" w:pos="1224"/>
              </w:tabs>
              <w:spacing w:after="120"/>
              <w:rPr>
                <w:rFonts w:cstheme="minorHAnsi"/>
                <w:sz w:val="22"/>
                <w:szCs w:val="22"/>
              </w:rPr>
            </w:pPr>
          </w:p>
        </w:tc>
        <w:tc>
          <w:tcPr>
            <w:tcW w:w="1980" w:type="dxa"/>
          </w:tcPr>
          <w:p w14:paraId="7E2C9A36" w14:textId="77777777" w:rsidR="00423618" w:rsidRPr="00423618" w:rsidRDefault="00423618" w:rsidP="00D84E15">
            <w:pPr>
              <w:tabs>
                <w:tab w:val="right" w:pos="972"/>
                <w:tab w:val="right" w:pos="1332"/>
                <w:tab w:val="right" w:pos="1647"/>
              </w:tabs>
              <w:spacing w:after="120"/>
              <w:rPr>
                <w:rFonts w:cstheme="minorHAnsi"/>
                <w:sz w:val="22"/>
                <w:szCs w:val="22"/>
              </w:rPr>
            </w:pPr>
            <w:r w:rsidRPr="00423618">
              <w:rPr>
                <w:rFonts w:cstheme="minorHAnsi"/>
                <w:sz w:val="22"/>
                <w:szCs w:val="22"/>
              </w:rPr>
              <w:tab/>
              <w:t>25,000</w:t>
            </w:r>
            <w:r w:rsidRPr="00423618">
              <w:rPr>
                <w:rFonts w:cstheme="minorHAnsi"/>
                <w:sz w:val="22"/>
                <w:szCs w:val="22"/>
              </w:rPr>
              <w:tab/>
              <w:t>0</w:t>
            </w:r>
            <w:r w:rsidRPr="00423618">
              <w:rPr>
                <w:rFonts w:cstheme="minorHAnsi"/>
                <w:sz w:val="22"/>
                <w:szCs w:val="22"/>
              </w:rPr>
              <w:tab/>
              <w:t>0</w:t>
            </w:r>
          </w:p>
        </w:tc>
      </w:tr>
      <w:tr w:rsidR="00423618" w14:paraId="2656C395" w14:textId="77777777" w:rsidTr="00D84E15">
        <w:tc>
          <w:tcPr>
            <w:tcW w:w="5328" w:type="dxa"/>
            <w:gridSpan w:val="3"/>
          </w:tcPr>
          <w:p w14:paraId="78E8042B" w14:textId="77777777" w:rsidR="00423618" w:rsidRPr="00423618" w:rsidRDefault="00423618" w:rsidP="00DA0EFA">
            <w:pPr>
              <w:tabs>
                <w:tab w:val="right" w:pos="882"/>
                <w:tab w:val="right" w:pos="1332"/>
                <w:tab w:val="right" w:pos="1602"/>
              </w:tabs>
              <w:spacing w:after="120"/>
              <w:rPr>
                <w:sz w:val="22"/>
                <w:szCs w:val="22"/>
              </w:rPr>
            </w:pPr>
          </w:p>
        </w:tc>
        <w:tc>
          <w:tcPr>
            <w:tcW w:w="1758" w:type="dxa"/>
            <w:tcBorders>
              <w:top w:val="single" w:sz="4" w:space="0" w:color="auto"/>
              <w:right w:val="single" w:sz="4" w:space="0" w:color="auto"/>
            </w:tcBorders>
          </w:tcPr>
          <w:p w14:paraId="77F4EB71" w14:textId="77777777" w:rsidR="00423618" w:rsidRPr="00423618" w:rsidRDefault="00423618" w:rsidP="00423618">
            <w:pPr>
              <w:tabs>
                <w:tab w:val="right" w:pos="882"/>
                <w:tab w:val="right" w:pos="1152"/>
                <w:tab w:val="right" w:pos="1422"/>
              </w:tabs>
              <w:spacing w:after="120"/>
              <w:rPr>
                <w:sz w:val="22"/>
                <w:szCs w:val="22"/>
              </w:rPr>
            </w:pPr>
            <w:r w:rsidRPr="00423618">
              <w:rPr>
                <w:sz w:val="22"/>
                <w:szCs w:val="22"/>
              </w:rPr>
              <w:tab/>
            </w:r>
          </w:p>
        </w:tc>
        <w:tc>
          <w:tcPr>
            <w:tcW w:w="5352" w:type="dxa"/>
            <w:gridSpan w:val="3"/>
            <w:tcBorders>
              <w:left w:val="single" w:sz="4" w:space="0" w:color="auto"/>
            </w:tcBorders>
          </w:tcPr>
          <w:p w14:paraId="09F937C7" w14:textId="77777777" w:rsidR="00423618" w:rsidRPr="00423618" w:rsidRDefault="00423618" w:rsidP="00423618">
            <w:pPr>
              <w:tabs>
                <w:tab w:val="left" w:pos="294"/>
              </w:tabs>
              <w:spacing w:after="120"/>
              <w:rPr>
                <w:rFonts w:cstheme="minorHAnsi"/>
                <w:sz w:val="22"/>
                <w:szCs w:val="22"/>
              </w:rPr>
            </w:pPr>
            <w:r w:rsidRPr="00423618">
              <w:rPr>
                <w:rFonts w:cstheme="minorHAnsi"/>
                <w:sz w:val="22"/>
                <w:szCs w:val="22"/>
              </w:rPr>
              <w:t>Loans to Foreign Gas &amp; Electric Light Cos.</w:t>
            </w:r>
          </w:p>
        </w:tc>
        <w:tc>
          <w:tcPr>
            <w:tcW w:w="1980" w:type="dxa"/>
          </w:tcPr>
          <w:p w14:paraId="38DD8C29" w14:textId="77777777" w:rsidR="00423618" w:rsidRPr="00423618" w:rsidRDefault="00423618" w:rsidP="00D84E15">
            <w:pPr>
              <w:tabs>
                <w:tab w:val="right" w:pos="972"/>
                <w:tab w:val="right" w:pos="1332"/>
                <w:tab w:val="right" w:pos="1647"/>
              </w:tabs>
              <w:spacing w:after="120"/>
              <w:rPr>
                <w:rFonts w:cstheme="minorHAnsi"/>
                <w:sz w:val="22"/>
                <w:szCs w:val="22"/>
              </w:rPr>
            </w:pPr>
            <w:r w:rsidRPr="00423618">
              <w:rPr>
                <w:rFonts w:cstheme="minorHAnsi"/>
                <w:sz w:val="22"/>
                <w:szCs w:val="22"/>
              </w:rPr>
              <w:tab/>
              <w:t>225,463</w:t>
            </w:r>
            <w:r w:rsidRPr="00423618">
              <w:rPr>
                <w:rFonts w:cstheme="minorHAnsi"/>
                <w:sz w:val="22"/>
                <w:szCs w:val="22"/>
              </w:rPr>
              <w:tab/>
              <w:t>6</w:t>
            </w:r>
            <w:r w:rsidRPr="00423618">
              <w:rPr>
                <w:rFonts w:cstheme="minorHAnsi"/>
                <w:sz w:val="22"/>
                <w:szCs w:val="22"/>
              </w:rPr>
              <w:tab/>
              <w:t>3</w:t>
            </w:r>
          </w:p>
        </w:tc>
      </w:tr>
      <w:tr w:rsidR="00423618" w14:paraId="5FA734E0" w14:textId="77777777" w:rsidTr="00D84E15">
        <w:tc>
          <w:tcPr>
            <w:tcW w:w="3708" w:type="dxa"/>
            <w:gridSpan w:val="2"/>
          </w:tcPr>
          <w:p w14:paraId="6999F7EE" w14:textId="77777777" w:rsidR="00423618" w:rsidRPr="00423618" w:rsidRDefault="00423618" w:rsidP="006B55DD">
            <w:pPr>
              <w:tabs>
                <w:tab w:val="left" w:pos="180"/>
              </w:tabs>
              <w:spacing w:after="120"/>
              <w:rPr>
                <w:sz w:val="22"/>
                <w:szCs w:val="22"/>
              </w:rPr>
            </w:pPr>
          </w:p>
        </w:tc>
        <w:tc>
          <w:tcPr>
            <w:tcW w:w="1620" w:type="dxa"/>
          </w:tcPr>
          <w:p w14:paraId="52C94644" w14:textId="77777777" w:rsidR="00423618" w:rsidRPr="00423618" w:rsidRDefault="00423618" w:rsidP="00DA0EFA">
            <w:pPr>
              <w:tabs>
                <w:tab w:val="right" w:pos="882"/>
                <w:tab w:val="right" w:pos="1332"/>
                <w:tab w:val="right" w:pos="1602"/>
              </w:tabs>
              <w:spacing w:after="120"/>
              <w:rPr>
                <w:sz w:val="22"/>
                <w:szCs w:val="22"/>
              </w:rPr>
            </w:pPr>
          </w:p>
        </w:tc>
        <w:tc>
          <w:tcPr>
            <w:tcW w:w="1758" w:type="dxa"/>
            <w:tcBorders>
              <w:right w:val="single" w:sz="4" w:space="0" w:color="auto"/>
            </w:tcBorders>
          </w:tcPr>
          <w:p w14:paraId="0E99929F" w14:textId="77777777" w:rsidR="00423618" w:rsidRPr="00423618" w:rsidRDefault="00A05957" w:rsidP="000A0D25">
            <w:pPr>
              <w:tabs>
                <w:tab w:val="right" w:pos="882"/>
                <w:tab w:val="right" w:pos="1152"/>
                <w:tab w:val="right" w:pos="1422"/>
              </w:tabs>
              <w:spacing w:after="120"/>
              <w:rPr>
                <w:sz w:val="22"/>
                <w:szCs w:val="22"/>
              </w:rPr>
            </w:pPr>
            <w:r>
              <w:rPr>
                <w:sz w:val="22"/>
                <w:szCs w:val="22"/>
              </w:rPr>
              <w:tab/>
            </w:r>
            <w:r w:rsidRPr="00423618">
              <w:rPr>
                <w:sz w:val="22"/>
                <w:szCs w:val="22"/>
              </w:rPr>
              <w:t>6,375,008</w:t>
            </w:r>
            <w:r w:rsidRPr="00423618">
              <w:rPr>
                <w:sz w:val="22"/>
                <w:szCs w:val="22"/>
              </w:rPr>
              <w:tab/>
              <w:t>13</w:t>
            </w:r>
            <w:r w:rsidRPr="00423618">
              <w:rPr>
                <w:sz w:val="22"/>
                <w:szCs w:val="22"/>
              </w:rPr>
              <w:tab/>
              <w:t>2</w:t>
            </w:r>
          </w:p>
        </w:tc>
        <w:tc>
          <w:tcPr>
            <w:tcW w:w="5352" w:type="dxa"/>
            <w:gridSpan w:val="3"/>
            <w:tcBorders>
              <w:left w:val="single" w:sz="4" w:space="0" w:color="auto"/>
            </w:tcBorders>
          </w:tcPr>
          <w:p w14:paraId="349A912A" w14:textId="77777777" w:rsidR="00423618" w:rsidRPr="00423618" w:rsidRDefault="00423618" w:rsidP="00FB00C8">
            <w:pPr>
              <w:tabs>
                <w:tab w:val="right" w:pos="792"/>
                <w:tab w:val="right" w:pos="1062"/>
                <w:tab w:val="right" w:pos="1224"/>
              </w:tabs>
              <w:spacing w:after="120"/>
              <w:rPr>
                <w:rFonts w:cstheme="minorHAnsi"/>
                <w:sz w:val="22"/>
                <w:szCs w:val="22"/>
              </w:rPr>
            </w:pPr>
            <w:r w:rsidRPr="00423618">
              <w:rPr>
                <w:rFonts w:cstheme="minorHAnsi"/>
                <w:sz w:val="22"/>
                <w:szCs w:val="22"/>
              </w:rPr>
              <w:t xml:space="preserve">Investments in English, Indian &amp; Colonial </w:t>
            </w:r>
            <w:r w:rsidR="00A05957">
              <w:rPr>
                <w:rFonts w:cstheme="minorHAnsi"/>
                <w:sz w:val="22"/>
                <w:szCs w:val="22"/>
              </w:rPr>
              <w:t>Securities</w:t>
            </w:r>
          </w:p>
        </w:tc>
        <w:tc>
          <w:tcPr>
            <w:tcW w:w="1980" w:type="dxa"/>
          </w:tcPr>
          <w:p w14:paraId="28BFC2F7" w14:textId="77777777" w:rsidR="00423618" w:rsidRPr="00423618" w:rsidRDefault="00A05957" w:rsidP="00D84E15">
            <w:pPr>
              <w:tabs>
                <w:tab w:val="right" w:pos="972"/>
                <w:tab w:val="right" w:pos="1332"/>
                <w:tab w:val="right" w:pos="1647"/>
              </w:tabs>
              <w:spacing w:after="120"/>
              <w:rPr>
                <w:rFonts w:cstheme="minorHAnsi"/>
                <w:sz w:val="22"/>
                <w:szCs w:val="22"/>
              </w:rPr>
            </w:pPr>
            <w:r>
              <w:rPr>
                <w:rFonts w:cstheme="minorHAnsi"/>
                <w:sz w:val="22"/>
                <w:szCs w:val="22"/>
              </w:rPr>
              <w:tab/>
              <w:t>908,261</w:t>
            </w:r>
            <w:r>
              <w:rPr>
                <w:rFonts w:cstheme="minorHAnsi"/>
                <w:sz w:val="22"/>
                <w:szCs w:val="22"/>
              </w:rPr>
              <w:tab/>
              <w:t>9</w:t>
            </w:r>
            <w:r>
              <w:rPr>
                <w:rFonts w:cstheme="minorHAnsi"/>
                <w:sz w:val="22"/>
                <w:szCs w:val="22"/>
              </w:rPr>
              <w:tab/>
              <w:t>8</w:t>
            </w:r>
          </w:p>
        </w:tc>
      </w:tr>
      <w:tr w:rsidR="00423618" w14:paraId="36A3AE11" w14:textId="77777777" w:rsidTr="00D84E15">
        <w:tc>
          <w:tcPr>
            <w:tcW w:w="3708" w:type="dxa"/>
            <w:gridSpan w:val="2"/>
          </w:tcPr>
          <w:p w14:paraId="2CA46997" w14:textId="77777777" w:rsidR="00423618" w:rsidRPr="00423618" w:rsidRDefault="00423618" w:rsidP="006B55DD">
            <w:pPr>
              <w:tabs>
                <w:tab w:val="left" w:pos="180"/>
              </w:tabs>
              <w:spacing w:after="120"/>
              <w:rPr>
                <w:sz w:val="22"/>
                <w:szCs w:val="22"/>
              </w:rPr>
            </w:pPr>
            <w:r w:rsidRPr="00423618">
              <w:rPr>
                <w:sz w:val="22"/>
                <w:szCs w:val="22"/>
              </w:rPr>
              <w:t>Profit for six months to</w:t>
            </w:r>
          </w:p>
        </w:tc>
        <w:tc>
          <w:tcPr>
            <w:tcW w:w="1620" w:type="dxa"/>
          </w:tcPr>
          <w:p w14:paraId="3A739521" w14:textId="77777777" w:rsidR="00423618" w:rsidRPr="00423618" w:rsidRDefault="00423618" w:rsidP="00DA0EFA">
            <w:pPr>
              <w:tabs>
                <w:tab w:val="right" w:pos="882"/>
                <w:tab w:val="right" w:pos="1332"/>
                <w:tab w:val="right" w:pos="1602"/>
              </w:tabs>
              <w:spacing w:after="120"/>
              <w:rPr>
                <w:sz w:val="22"/>
                <w:szCs w:val="22"/>
              </w:rPr>
            </w:pPr>
          </w:p>
        </w:tc>
        <w:tc>
          <w:tcPr>
            <w:tcW w:w="1758" w:type="dxa"/>
            <w:tcBorders>
              <w:right w:val="single" w:sz="4" w:space="0" w:color="auto"/>
            </w:tcBorders>
          </w:tcPr>
          <w:p w14:paraId="7F2CF391" w14:textId="77777777" w:rsidR="00423618" w:rsidRPr="00423618" w:rsidRDefault="00423618" w:rsidP="000A0D25">
            <w:pPr>
              <w:tabs>
                <w:tab w:val="right" w:pos="882"/>
                <w:tab w:val="right" w:pos="1152"/>
                <w:tab w:val="right" w:pos="1422"/>
              </w:tabs>
              <w:spacing w:after="120"/>
              <w:rPr>
                <w:sz w:val="22"/>
                <w:szCs w:val="22"/>
              </w:rPr>
            </w:pPr>
          </w:p>
        </w:tc>
        <w:tc>
          <w:tcPr>
            <w:tcW w:w="5352" w:type="dxa"/>
            <w:gridSpan w:val="3"/>
            <w:tcBorders>
              <w:left w:val="single" w:sz="4" w:space="0" w:color="auto"/>
            </w:tcBorders>
          </w:tcPr>
          <w:p w14:paraId="7A89070B" w14:textId="77777777" w:rsidR="00423618" w:rsidRPr="00423618" w:rsidRDefault="00423618" w:rsidP="00FB00C8">
            <w:pPr>
              <w:tabs>
                <w:tab w:val="right" w:pos="792"/>
                <w:tab w:val="right" w:pos="1062"/>
                <w:tab w:val="right" w:pos="1224"/>
              </w:tabs>
              <w:spacing w:after="120"/>
              <w:rPr>
                <w:rFonts w:cstheme="minorHAnsi"/>
                <w:sz w:val="22"/>
                <w:szCs w:val="22"/>
              </w:rPr>
            </w:pPr>
            <w:r w:rsidRPr="00423618">
              <w:rPr>
                <w:rFonts w:cstheme="minorHAnsi"/>
                <w:sz w:val="22"/>
                <w:szCs w:val="22"/>
              </w:rPr>
              <w:t>Investments in Foreign Bonds &amp; Shares</w:t>
            </w:r>
          </w:p>
        </w:tc>
        <w:tc>
          <w:tcPr>
            <w:tcW w:w="1980" w:type="dxa"/>
          </w:tcPr>
          <w:p w14:paraId="75E03D7C" w14:textId="77777777" w:rsidR="00423618" w:rsidRPr="00423618" w:rsidRDefault="00423618" w:rsidP="00D84E15">
            <w:pPr>
              <w:tabs>
                <w:tab w:val="right" w:pos="972"/>
                <w:tab w:val="right" w:pos="1332"/>
                <w:tab w:val="right" w:pos="1647"/>
              </w:tabs>
              <w:spacing w:after="120"/>
              <w:rPr>
                <w:rFonts w:cstheme="minorHAnsi"/>
                <w:sz w:val="22"/>
                <w:szCs w:val="22"/>
              </w:rPr>
            </w:pPr>
            <w:r w:rsidRPr="00423618">
              <w:rPr>
                <w:rFonts w:cstheme="minorHAnsi"/>
                <w:sz w:val="22"/>
                <w:szCs w:val="22"/>
              </w:rPr>
              <w:tab/>
              <w:t>134,841</w:t>
            </w:r>
            <w:r w:rsidRPr="00423618">
              <w:rPr>
                <w:rFonts w:cstheme="minorHAnsi"/>
                <w:sz w:val="22"/>
                <w:szCs w:val="22"/>
              </w:rPr>
              <w:tab/>
              <w:t>6</w:t>
            </w:r>
            <w:r w:rsidRPr="00423618">
              <w:rPr>
                <w:rFonts w:cstheme="minorHAnsi"/>
                <w:sz w:val="22"/>
                <w:szCs w:val="22"/>
              </w:rPr>
              <w:tab/>
              <w:t>1</w:t>
            </w:r>
          </w:p>
        </w:tc>
      </w:tr>
      <w:tr w:rsidR="00423618" w14:paraId="5288BE1D" w14:textId="77777777" w:rsidTr="00D84E15">
        <w:tc>
          <w:tcPr>
            <w:tcW w:w="3708" w:type="dxa"/>
            <w:gridSpan w:val="2"/>
          </w:tcPr>
          <w:p w14:paraId="40598AEE" w14:textId="77777777" w:rsidR="00423618" w:rsidRPr="00423618" w:rsidRDefault="00423618" w:rsidP="006B55DD">
            <w:pPr>
              <w:tabs>
                <w:tab w:val="left" w:pos="180"/>
              </w:tabs>
              <w:spacing w:after="120"/>
              <w:rPr>
                <w:sz w:val="22"/>
                <w:szCs w:val="22"/>
              </w:rPr>
            </w:pPr>
            <w:r w:rsidRPr="00423618">
              <w:rPr>
                <w:sz w:val="22"/>
                <w:szCs w:val="22"/>
              </w:rPr>
              <w:t>December 31, 1900</w:t>
            </w:r>
          </w:p>
        </w:tc>
        <w:tc>
          <w:tcPr>
            <w:tcW w:w="1620" w:type="dxa"/>
          </w:tcPr>
          <w:p w14:paraId="4633B49C" w14:textId="77777777" w:rsidR="00423618" w:rsidRPr="00423618" w:rsidRDefault="00423618" w:rsidP="00DA0EFA">
            <w:pPr>
              <w:tabs>
                <w:tab w:val="right" w:pos="882"/>
                <w:tab w:val="right" w:pos="1332"/>
                <w:tab w:val="right" w:pos="1602"/>
              </w:tabs>
              <w:spacing w:after="120"/>
              <w:rPr>
                <w:sz w:val="22"/>
                <w:szCs w:val="22"/>
              </w:rPr>
            </w:pPr>
          </w:p>
        </w:tc>
        <w:tc>
          <w:tcPr>
            <w:tcW w:w="1758" w:type="dxa"/>
            <w:tcBorders>
              <w:bottom w:val="single" w:sz="4" w:space="0" w:color="auto"/>
              <w:right w:val="single" w:sz="4" w:space="0" w:color="auto"/>
            </w:tcBorders>
          </w:tcPr>
          <w:p w14:paraId="48A4B0F1" w14:textId="77777777" w:rsidR="00423618" w:rsidRPr="00423618" w:rsidRDefault="00423618" w:rsidP="000A0D25">
            <w:pPr>
              <w:tabs>
                <w:tab w:val="right" w:pos="882"/>
                <w:tab w:val="right" w:pos="1152"/>
                <w:tab w:val="right" w:pos="1422"/>
              </w:tabs>
              <w:spacing w:after="120"/>
              <w:rPr>
                <w:sz w:val="22"/>
                <w:szCs w:val="22"/>
              </w:rPr>
            </w:pPr>
            <w:r w:rsidRPr="00423618">
              <w:rPr>
                <w:sz w:val="22"/>
                <w:szCs w:val="22"/>
              </w:rPr>
              <w:tab/>
              <w:t>192,005</w:t>
            </w:r>
            <w:r w:rsidRPr="00423618">
              <w:rPr>
                <w:sz w:val="22"/>
                <w:szCs w:val="22"/>
              </w:rPr>
              <w:tab/>
              <w:t>17</w:t>
            </w:r>
            <w:r w:rsidRPr="00423618">
              <w:rPr>
                <w:sz w:val="22"/>
                <w:szCs w:val="22"/>
              </w:rPr>
              <w:tab/>
              <w:t>7</w:t>
            </w:r>
          </w:p>
        </w:tc>
        <w:tc>
          <w:tcPr>
            <w:tcW w:w="5352" w:type="dxa"/>
            <w:gridSpan w:val="3"/>
            <w:tcBorders>
              <w:left w:val="single" w:sz="4" w:space="0" w:color="auto"/>
            </w:tcBorders>
          </w:tcPr>
          <w:p w14:paraId="7124F972" w14:textId="77777777" w:rsidR="00423618" w:rsidRPr="00423618" w:rsidRDefault="00423618" w:rsidP="00FB00C8">
            <w:pPr>
              <w:tabs>
                <w:tab w:val="right" w:pos="792"/>
                <w:tab w:val="right" w:pos="1062"/>
                <w:tab w:val="right" w:pos="1224"/>
              </w:tabs>
              <w:spacing w:after="120"/>
              <w:rPr>
                <w:rFonts w:cstheme="minorHAnsi"/>
                <w:sz w:val="22"/>
                <w:szCs w:val="22"/>
              </w:rPr>
            </w:pPr>
            <w:r w:rsidRPr="00423618">
              <w:rPr>
                <w:rFonts w:cstheme="minorHAnsi"/>
                <w:sz w:val="22"/>
                <w:szCs w:val="22"/>
              </w:rPr>
              <w:t>Freehold Property in London</w:t>
            </w:r>
          </w:p>
        </w:tc>
        <w:tc>
          <w:tcPr>
            <w:tcW w:w="1980" w:type="dxa"/>
            <w:tcBorders>
              <w:bottom w:val="single" w:sz="4" w:space="0" w:color="auto"/>
            </w:tcBorders>
          </w:tcPr>
          <w:p w14:paraId="328279D5" w14:textId="77777777" w:rsidR="00423618" w:rsidRPr="00423618" w:rsidRDefault="00423618" w:rsidP="00D84E15">
            <w:pPr>
              <w:tabs>
                <w:tab w:val="right" w:pos="972"/>
                <w:tab w:val="right" w:pos="1332"/>
                <w:tab w:val="right" w:pos="1647"/>
              </w:tabs>
              <w:spacing w:after="120"/>
              <w:rPr>
                <w:rFonts w:cstheme="minorHAnsi"/>
                <w:sz w:val="22"/>
                <w:szCs w:val="22"/>
              </w:rPr>
            </w:pPr>
            <w:r w:rsidRPr="00423618">
              <w:rPr>
                <w:rFonts w:cstheme="minorHAnsi"/>
                <w:sz w:val="22"/>
                <w:szCs w:val="22"/>
              </w:rPr>
              <w:tab/>
              <w:t>70,000</w:t>
            </w:r>
            <w:r w:rsidRPr="00423618">
              <w:rPr>
                <w:rFonts w:cstheme="minorHAnsi"/>
                <w:sz w:val="22"/>
                <w:szCs w:val="22"/>
              </w:rPr>
              <w:tab/>
              <w:t>0</w:t>
            </w:r>
            <w:r w:rsidRPr="00423618">
              <w:rPr>
                <w:rFonts w:cstheme="minorHAnsi"/>
                <w:sz w:val="22"/>
                <w:szCs w:val="22"/>
              </w:rPr>
              <w:tab/>
              <w:t>0</w:t>
            </w:r>
          </w:p>
        </w:tc>
      </w:tr>
      <w:tr w:rsidR="00FB00C8" w14:paraId="547616B5" w14:textId="77777777" w:rsidTr="00D84E15">
        <w:tc>
          <w:tcPr>
            <w:tcW w:w="3708" w:type="dxa"/>
            <w:gridSpan w:val="2"/>
          </w:tcPr>
          <w:p w14:paraId="62F2414A" w14:textId="77777777" w:rsidR="00FB00C8" w:rsidRPr="00423618" w:rsidRDefault="00FB00C8" w:rsidP="006B55DD">
            <w:pPr>
              <w:tabs>
                <w:tab w:val="left" w:pos="180"/>
              </w:tabs>
              <w:spacing w:after="120"/>
              <w:rPr>
                <w:sz w:val="22"/>
                <w:szCs w:val="22"/>
              </w:rPr>
            </w:pPr>
          </w:p>
        </w:tc>
        <w:tc>
          <w:tcPr>
            <w:tcW w:w="1620" w:type="dxa"/>
          </w:tcPr>
          <w:p w14:paraId="02BF9D29" w14:textId="77777777" w:rsidR="00FB00C8" w:rsidRPr="00423618" w:rsidRDefault="00FB00C8" w:rsidP="00DA0EFA">
            <w:pPr>
              <w:tabs>
                <w:tab w:val="right" w:pos="882"/>
                <w:tab w:val="right" w:pos="1332"/>
                <w:tab w:val="right" w:pos="1602"/>
              </w:tabs>
              <w:spacing w:after="120"/>
              <w:rPr>
                <w:sz w:val="22"/>
                <w:szCs w:val="22"/>
              </w:rPr>
            </w:pPr>
          </w:p>
        </w:tc>
        <w:tc>
          <w:tcPr>
            <w:tcW w:w="1758" w:type="dxa"/>
            <w:tcBorders>
              <w:top w:val="single" w:sz="4" w:space="0" w:color="auto"/>
              <w:bottom w:val="double" w:sz="4" w:space="0" w:color="auto"/>
              <w:right w:val="single" w:sz="4" w:space="0" w:color="auto"/>
            </w:tcBorders>
          </w:tcPr>
          <w:p w14:paraId="0BFCE93E" w14:textId="77777777" w:rsidR="00FB00C8" w:rsidRPr="00423618" w:rsidRDefault="00423618" w:rsidP="000A0D25">
            <w:pPr>
              <w:tabs>
                <w:tab w:val="right" w:pos="882"/>
                <w:tab w:val="right" w:pos="1152"/>
                <w:tab w:val="right" w:pos="1422"/>
              </w:tabs>
              <w:spacing w:after="120"/>
              <w:rPr>
                <w:sz w:val="22"/>
                <w:szCs w:val="22"/>
              </w:rPr>
            </w:pPr>
            <w:r w:rsidRPr="00423618">
              <w:rPr>
                <w:sz w:val="22"/>
                <w:szCs w:val="22"/>
              </w:rPr>
              <w:tab/>
              <w:t>6,567,014</w:t>
            </w:r>
            <w:r w:rsidRPr="00423618">
              <w:rPr>
                <w:sz w:val="22"/>
                <w:szCs w:val="22"/>
              </w:rPr>
              <w:tab/>
              <w:t>10</w:t>
            </w:r>
            <w:r w:rsidRPr="00423618">
              <w:rPr>
                <w:sz w:val="22"/>
                <w:szCs w:val="22"/>
              </w:rPr>
              <w:tab/>
              <w:t>9</w:t>
            </w:r>
          </w:p>
        </w:tc>
        <w:tc>
          <w:tcPr>
            <w:tcW w:w="3822" w:type="dxa"/>
            <w:gridSpan w:val="2"/>
            <w:tcBorders>
              <w:left w:val="single" w:sz="4" w:space="0" w:color="auto"/>
            </w:tcBorders>
          </w:tcPr>
          <w:p w14:paraId="008C9D9C" w14:textId="77777777" w:rsidR="00FB00C8" w:rsidRPr="00423618" w:rsidRDefault="00FB00C8" w:rsidP="006B55DD">
            <w:pPr>
              <w:tabs>
                <w:tab w:val="left" w:pos="204"/>
              </w:tabs>
              <w:spacing w:after="120"/>
              <w:rPr>
                <w:rFonts w:cstheme="minorHAnsi"/>
                <w:sz w:val="22"/>
                <w:szCs w:val="22"/>
              </w:rPr>
            </w:pPr>
          </w:p>
        </w:tc>
        <w:tc>
          <w:tcPr>
            <w:tcW w:w="1530" w:type="dxa"/>
          </w:tcPr>
          <w:p w14:paraId="2D8728FA" w14:textId="77777777" w:rsidR="00FB00C8" w:rsidRPr="00423618" w:rsidRDefault="00FB00C8" w:rsidP="00FB00C8">
            <w:pPr>
              <w:tabs>
                <w:tab w:val="right" w:pos="792"/>
                <w:tab w:val="right" w:pos="1062"/>
                <w:tab w:val="right" w:pos="1224"/>
              </w:tabs>
              <w:spacing w:after="120"/>
              <w:rPr>
                <w:rFonts w:cstheme="minorHAnsi"/>
                <w:sz w:val="22"/>
                <w:szCs w:val="22"/>
              </w:rPr>
            </w:pPr>
          </w:p>
        </w:tc>
        <w:tc>
          <w:tcPr>
            <w:tcW w:w="1980" w:type="dxa"/>
            <w:tcBorders>
              <w:top w:val="single" w:sz="4" w:space="0" w:color="auto"/>
              <w:bottom w:val="double" w:sz="4" w:space="0" w:color="auto"/>
            </w:tcBorders>
          </w:tcPr>
          <w:p w14:paraId="353BDC10" w14:textId="77777777" w:rsidR="00FB00C8" w:rsidRPr="00423618" w:rsidRDefault="00423618" w:rsidP="00D84E15">
            <w:pPr>
              <w:tabs>
                <w:tab w:val="right" w:pos="972"/>
                <w:tab w:val="right" w:pos="1332"/>
                <w:tab w:val="right" w:pos="1647"/>
              </w:tabs>
              <w:spacing w:after="120"/>
              <w:rPr>
                <w:rFonts w:cstheme="minorHAnsi"/>
                <w:sz w:val="22"/>
                <w:szCs w:val="22"/>
              </w:rPr>
            </w:pPr>
            <w:r w:rsidRPr="00423618">
              <w:rPr>
                <w:rFonts w:cstheme="minorHAnsi"/>
                <w:sz w:val="22"/>
                <w:szCs w:val="22"/>
              </w:rPr>
              <w:tab/>
              <w:t>6,567,014</w:t>
            </w:r>
            <w:r w:rsidRPr="00423618">
              <w:rPr>
                <w:rFonts w:cstheme="minorHAnsi"/>
                <w:sz w:val="22"/>
                <w:szCs w:val="22"/>
              </w:rPr>
              <w:tab/>
              <w:t>10</w:t>
            </w:r>
            <w:r w:rsidRPr="00423618">
              <w:rPr>
                <w:rFonts w:cstheme="minorHAnsi"/>
                <w:sz w:val="22"/>
                <w:szCs w:val="22"/>
              </w:rPr>
              <w:tab/>
              <w:t>9</w:t>
            </w:r>
          </w:p>
        </w:tc>
      </w:tr>
    </w:tbl>
    <w:p w14:paraId="51520B7C" w14:textId="77777777" w:rsidR="00FD1F82" w:rsidRPr="00FD1F82" w:rsidRDefault="00FD1F82" w:rsidP="00FD1F82">
      <w:pPr>
        <w:spacing w:after="120" w:line="240" w:lineRule="auto"/>
      </w:pPr>
    </w:p>
    <w:p w14:paraId="538F8197" w14:textId="113ACC09" w:rsidR="00A05957" w:rsidRDefault="00423618" w:rsidP="00A05957">
      <w:pPr>
        <w:spacing w:after="120" w:line="240" w:lineRule="auto"/>
      </w:pPr>
      <w:r w:rsidRPr="006C3380">
        <w:t>Figure 2.</w:t>
      </w:r>
      <w:r w:rsidRPr="00423618">
        <w:t xml:space="preserve">  Imperial Continental Gas Association – Balance </w:t>
      </w:r>
      <w:r w:rsidR="00A05957">
        <w:t>Sheet, December 31, 1900</w:t>
      </w:r>
      <w:r w:rsidR="006C3380">
        <w:t>.</w:t>
      </w:r>
    </w:p>
    <w:p w14:paraId="436B6D20" w14:textId="77777777" w:rsidR="00A05957" w:rsidRDefault="00A05957" w:rsidP="00A05957">
      <w:pPr>
        <w:spacing w:after="120" w:line="240" w:lineRule="auto"/>
      </w:pPr>
    </w:p>
    <w:p w14:paraId="0B46345A" w14:textId="77777777" w:rsidR="00A05957" w:rsidRDefault="00A05957" w:rsidP="00A05957">
      <w:pPr>
        <w:spacing w:after="120" w:line="240" w:lineRule="auto"/>
        <w:sectPr w:rsidR="00A05957" w:rsidSect="00524229">
          <w:pgSz w:w="16838" w:h="11906" w:orient="landscape"/>
          <w:pgMar w:top="1440" w:right="1440" w:bottom="1800" w:left="1440" w:header="706" w:footer="706" w:gutter="0"/>
          <w:cols w:space="708"/>
          <w:docGrid w:linePitch="360"/>
        </w:sectPr>
      </w:pPr>
    </w:p>
    <w:tbl>
      <w:tblPr>
        <w:tblStyle w:val="TableGrid"/>
        <w:tblW w:w="10868"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2"/>
        <w:gridCol w:w="850"/>
        <w:gridCol w:w="1134"/>
        <w:gridCol w:w="3686"/>
        <w:gridCol w:w="1086"/>
      </w:tblGrid>
      <w:tr w:rsidR="00212057" w14:paraId="6137E4CD" w14:textId="77777777" w:rsidTr="005505B9">
        <w:tc>
          <w:tcPr>
            <w:tcW w:w="4112" w:type="dxa"/>
            <w:tcBorders>
              <w:bottom w:val="single" w:sz="4" w:space="0" w:color="auto"/>
            </w:tcBorders>
          </w:tcPr>
          <w:p w14:paraId="1F531E5D" w14:textId="77777777" w:rsidR="00212057" w:rsidRPr="00B774E4" w:rsidRDefault="00212057" w:rsidP="005505B9">
            <w:pPr>
              <w:spacing w:after="240"/>
              <w:jc w:val="center"/>
              <w:rPr>
                <w:b/>
                <w:sz w:val="20"/>
                <w:szCs w:val="20"/>
              </w:rPr>
            </w:pPr>
            <w:r w:rsidRPr="00B774E4">
              <w:rPr>
                <w:b/>
                <w:sz w:val="20"/>
                <w:szCs w:val="20"/>
              </w:rPr>
              <w:t>LIABILITIES</w:t>
            </w:r>
            <w:r>
              <w:rPr>
                <w:b/>
                <w:sz w:val="20"/>
                <w:szCs w:val="20"/>
              </w:rPr>
              <w:t>.</w:t>
            </w:r>
          </w:p>
        </w:tc>
        <w:tc>
          <w:tcPr>
            <w:tcW w:w="1984" w:type="dxa"/>
            <w:gridSpan w:val="2"/>
            <w:tcBorders>
              <w:bottom w:val="single" w:sz="4" w:space="0" w:color="auto"/>
            </w:tcBorders>
          </w:tcPr>
          <w:p w14:paraId="52C09C11" w14:textId="77777777" w:rsidR="00212057" w:rsidRPr="00CC5270" w:rsidRDefault="00212057" w:rsidP="005505B9">
            <w:pPr>
              <w:jc w:val="center"/>
              <w:rPr>
                <w:sz w:val="20"/>
                <w:szCs w:val="20"/>
              </w:rPr>
            </w:pPr>
            <w:r w:rsidRPr="00CC5270">
              <w:rPr>
                <w:sz w:val="20"/>
                <w:szCs w:val="20"/>
              </w:rPr>
              <w:t>£</w:t>
            </w:r>
          </w:p>
        </w:tc>
        <w:tc>
          <w:tcPr>
            <w:tcW w:w="3686" w:type="dxa"/>
            <w:tcBorders>
              <w:bottom w:val="single" w:sz="4" w:space="0" w:color="auto"/>
            </w:tcBorders>
          </w:tcPr>
          <w:p w14:paraId="4230208D" w14:textId="77777777" w:rsidR="00212057" w:rsidRPr="00B774E4" w:rsidRDefault="00212057" w:rsidP="005505B9">
            <w:pPr>
              <w:jc w:val="center"/>
              <w:rPr>
                <w:b/>
                <w:sz w:val="20"/>
                <w:szCs w:val="20"/>
              </w:rPr>
            </w:pPr>
            <w:r w:rsidRPr="00B774E4">
              <w:rPr>
                <w:b/>
                <w:sz w:val="20"/>
                <w:szCs w:val="20"/>
              </w:rPr>
              <w:t>ASSETS</w:t>
            </w:r>
            <w:r>
              <w:rPr>
                <w:b/>
                <w:sz w:val="20"/>
                <w:szCs w:val="20"/>
              </w:rPr>
              <w:t>.</w:t>
            </w:r>
          </w:p>
        </w:tc>
        <w:tc>
          <w:tcPr>
            <w:tcW w:w="1086" w:type="dxa"/>
            <w:tcBorders>
              <w:left w:val="nil"/>
              <w:bottom w:val="single" w:sz="4" w:space="0" w:color="auto"/>
            </w:tcBorders>
          </w:tcPr>
          <w:p w14:paraId="4B5D9C09" w14:textId="77777777" w:rsidR="00212057" w:rsidRPr="00CC5270" w:rsidRDefault="00212057" w:rsidP="005505B9">
            <w:pPr>
              <w:jc w:val="center"/>
              <w:rPr>
                <w:sz w:val="20"/>
                <w:szCs w:val="20"/>
              </w:rPr>
            </w:pPr>
            <w:r>
              <w:rPr>
                <w:sz w:val="20"/>
                <w:szCs w:val="20"/>
              </w:rPr>
              <w:t>£</w:t>
            </w:r>
          </w:p>
        </w:tc>
      </w:tr>
      <w:tr w:rsidR="00212057" w14:paraId="53439DB8" w14:textId="77777777" w:rsidTr="005505B9">
        <w:tc>
          <w:tcPr>
            <w:tcW w:w="4112" w:type="dxa"/>
            <w:tcBorders>
              <w:top w:val="single" w:sz="4" w:space="0" w:color="auto"/>
            </w:tcBorders>
          </w:tcPr>
          <w:p w14:paraId="38517D04" w14:textId="77777777" w:rsidR="00212057" w:rsidRPr="00CC5270" w:rsidRDefault="00212057" w:rsidP="005505B9">
            <w:pPr>
              <w:spacing w:before="60" w:after="60"/>
              <w:rPr>
                <w:i/>
                <w:sz w:val="20"/>
                <w:szCs w:val="20"/>
              </w:rPr>
            </w:pPr>
            <w:r w:rsidRPr="00CC5270">
              <w:rPr>
                <w:sz w:val="20"/>
                <w:szCs w:val="20"/>
              </w:rPr>
              <w:t xml:space="preserve">SHARE CAPITAL </w:t>
            </w:r>
            <w:r w:rsidRPr="00CC5270">
              <w:rPr>
                <w:i/>
                <w:sz w:val="20"/>
                <w:szCs w:val="20"/>
              </w:rPr>
              <w:t>Issued</w:t>
            </w:r>
          </w:p>
        </w:tc>
        <w:tc>
          <w:tcPr>
            <w:tcW w:w="850" w:type="dxa"/>
            <w:tcBorders>
              <w:top w:val="single" w:sz="4" w:space="0" w:color="auto"/>
            </w:tcBorders>
          </w:tcPr>
          <w:p w14:paraId="2935D58D" w14:textId="77777777" w:rsidR="00212057" w:rsidRPr="00CC5270" w:rsidRDefault="00212057" w:rsidP="005505B9">
            <w:pPr>
              <w:tabs>
                <w:tab w:val="right" w:pos="1062"/>
              </w:tabs>
              <w:spacing w:after="60"/>
              <w:rPr>
                <w:sz w:val="20"/>
                <w:szCs w:val="20"/>
              </w:rPr>
            </w:pPr>
            <w:r w:rsidRPr="00CC5270">
              <w:rPr>
                <w:sz w:val="20"/>
                <w:szCs w:val="20"/>
              </w:rPr>
              <w:tab/>
            </w:r>
          </w:p>
        </w:tc>
        <w:tc>
          <w:tcPr>
            <w:tcW w:w="1134" w:type="dxa"/>
            <w:tcBorders>
              <w:top w:val="single" w:sz="4" w:space="0" w:color="auto"/>
              <w:right w:val="single" w:sz="4" w:space="0" w:color="auto"/>
            </w:tcBorders>
          </w:tcPr>
          <w:p w14:paraId="114E468F" w14:textId="77777777" w:rsidR="00212057" w:rsidRPr="00CC5270" w:rsidRDefault="00212057" w:rsidP="005505B9">
            <w:pPr>
              <w:tabs>
                <w:tab w:val="right" w:pos="882"/>
              </w:tabs>
              <w:spacing w:after="60"/>
              <w:rPr>
                <w:sz w:val="20"/>
                <w:szCs w:val="20"/>
              </w:rPr>
            </w:pPr>
            <w:r>
              <w:rPr>
                <w:sz w:val="20"/>
                <w:szCs w:val="20"/>
              </w:rPr>
              <w:tab/>
            </w:r>
            <w:r w:rsidRPr="00CC5270">
              <w:rPr>
                <w:sz w:val="20"/>
                <w:szCs w:val="20"/>
              </w:rPr>
              <w:t>2,316,306</w:t>
            </w:r>
          </w:p>
        </w:tc>
        <w:tc>
          <w:tcPr>
            <w:tcW w:w="3686" w:type="dxa"/>
            <w:tcBorders>
              <w:top w:val="single" w:sz="4" w:space="0" w:color="auto"/>
              <w:left w:val="single" w:sz="4" w:space="0" w:color="auto"/>
            </w:tcBorders>
          </w:tcPr>
          <w:p w14:paraId="02F5A89B" w14:textId="77777777" w:rsidR="00212057" w:rsidRPr="00CC5270" w:rsidRDefault="00212057" w:rsidP="005505B9">
            <w:pPr>
              <w:tabs>
                <w:tab w:val="right" w:pos="1062"/>
              </w:tabs>
              <w:spacing w:after="60"/>
              <w:rPr>
                <w:sz w:val="20"/>
                <w:szCs w:val="20"/>
              </w:rPr>
            </w:pPr>
            <w:r>
              <w:rPr>
                <w:sz w:val="20"/>
                <w:szCs w:val="20"/>
              </w:rPr>
              <w:t>PROPERTIES</w:t>
            </w:r>
          </w:p>
        </w:tc>
        <w:tc>
          <w:tcPr>
            <w:tcW w:w="1086" w:type="dxa"/>
            <w:tcBorders>
              <w:top w:val="single" w:sz="4" w:space="0" w:color="auto"/>
            </w:tcBorders>
          </w:tcPr>
          <w:p w14:paraId="2551EED1" w14:textId="77777777" w:rsidR="00212057" w:rsidRPr="00CC5270" w:rsidRDefault="00212057" w:rsidP="005505B9">
            <w:pPr>
              <w:tabs>
                <w:tab w:val="right" w:pos="972"/>
              </w:tabs>
              <w:spacing w:after="60"/>
              <w:rPr>
                <w:sz w:val="20"/>
                <w:szCs w:val="20"/>
              </w:rPr>
            </w:pPr>
            <w:r>
              <w:rPr>
                <w:sz w:val="20"/>
                <w:szCs w:val="20"/>
              </w:rPr>
              <w:tab/>
              <w:t>4,650,113</w:t>
            </w:r>
          </w:p>
        </w:tc>
      </w:tr>
      <w:tr w:rsidR="00212057" w14:paraId="57F2C852" w14:textId="77777777" w:rsidTr="005505B9">
        <w:tc>
          <w:tcPr>
            <w:tcW w:w="4112" w:type="dxa"/>
          </w:tcPr>
          <w:p w14:paraId="64068BDC" w14:textId="77777777" w:rsidR="00212057" w:rsidRPr="00CC5270" w:rsidRDefault="00212057" w:rsidP="005505B9">
            <w:pPr>
              <w:spacing w:after="60"/>
              <w:rPr>
                <w:sz w:val="20"/>
                <w:szCs w:val="20"/>
              </w:rPr>
            </w:pPr>
            <w:r w:rsidRPr="00CC5270">
              <w:rPr>
                <w:sz w:val="20"/>
                <w:szCs w:val="20"/>
              </w:rPr>
              <w:t>MORTGAGE DEBENTURE STOCK</w:t>
            </w:r>
          </w:p>
        </w:tc>
        <w:tc>
          <w:tcPr>
            <w:tcW w:w="850" w:type="dxa"/>
          </w:tcPr>
          <w:p w14:paraId="6A3065F7" w14:textId="77777777" w:rsidR="00212057" w:rsidRPr="00CC5270" w:rsidRDefault="00212057" w:rsidP="005505B9">
            <w:pPr>
              <w:tabs>
                <w:tab w:val="right" w:pos="1062"/>
              </w:tabs>
              <w:spacing w:after="60"/>
              <w:rPr>
                <w:sz w:val="20"/>
                <w:szCs w:val="20"/>
              </w:rPr>
            </w:pPr>
            <w:r w:rsidRPr="00CC5270">
              <w:rPr>
                <w:sz w:val="20"/>
                <w:szCs w:val="20"/>
              </w:rPr>
              <w:tab/>
            </w:r>
          </w:p>
        </w:tc>
        <w:tc>
          <w:tcPr>
            <w:tcW w:w="1134" w:type="dxa"/>
            <w:tcBorders>
              <w:right w:val="single" w:sz="4" w:space="0" w:color="auto"/>
            </w:tcBorders>
          </w:tcPr>
          <w:p w14:paraId="5DC495E9" w14:textId="77777777" w:rsidR="00212057" w:rsidRPr="00CC5270" w:rsidRDefault="00212057" w:rsidP="005505B9">
            <w:pPr>
              <w:tabs>
                <w:tab w:val="right" w:pos="882"/>
              </w:tabs>
              <w:spacing w:after="60"/>
              <w:rPr>
                <w:sz w:val="20"/>
                <w:szCs w:val="20"/>
              </w:rPr>
            </w:pPr>
            <w:r>
              <w:rPr>
                <w:sz w:val="20"/>
                <w:szCs w:val="20"/>
              </w:rPr>
              <w:tab/>
            </w:r>
            <w:r w:rsidRPr="00CC5270">
              <w:rPr>
                <w:sz w:val="20"/>
                <w:szCs w:val="20"/>
              </w:rPr>
              <w:t>1,010,000</w:t>
            </w:r>
          </w:p>
        </w:tc>
        <w:tc>
          <w:tcPr>
            <w:tcW w:w="3686" w:type="dxa"/>
            <w:tcBorders>
              <w:left w:val="single" w:sz="4" w:space="0" w:color="auto"/>
            </w:tcBorders>
          </w:tcPr>
          <w:p w14:paraId="59B7FC09" w14:textId="77777777" w:rsidR="00212057" w:rsidRPr="00CC5270" w:rsidRDefault="00212057" w:rsidP="005505B9">
            <w:pPr>
              <w:tabs>
                <w:tab w:val="right" w:pos="1062"/>
              </w:tabs>
              <w:spacing w:after="60"/>
              <w:rPr>
                <w:sz w:val="20"/>
                <w:szCs w:val="20"/>
              </w:rPr>
            </w:pPr>
            <w:r>
              <w:rPr>
                <w:sz w:val="20"/>
                <w:szCs w:val="20"/>
              </w:rPr>
              <w:t>FURNITURE, FIXTURES AND MOTOR VEHICLES</w:t>
            </w:r>
          </w:p>
        </w:tc>
        <w:tc>
          <w:tcPr>
            <w:tcW w:w="1086" w:type="dxa"/>
          </w:tcPr>
          <w:p w14:paraId="024CD0CC" w14:textId="77777777" w:rsidR="00212057" w:rsidRPr="00CC5270" w:rsidRDefault="00212057" w:rsidP="005505B9">
            <w:pPr>
              <w:tabs>
                <w:tab w:val="right" w:pos="972"/>
              </w:tabs>
              <w:spacing w:after="60"/>
              <w:rPr>
                <w:sz w:val="20"/>
                <w:szCs w:val="20"/>
              </w:rPr>
            </w:pPr>
            <w:r>
              <w:rPr>
                <w:sz w:val="20"/>
                <w:szCs w:val="20"/>
              </w:rPr>
              <w:tab/>
              <w:t>490,395</w:t>
            </w:r>
          </w:p>
        </w:tc>
      </w:tr>
      <w:tr w:rsidR="00212057" w14:paraId="688B2ED6" w14:textId="77777777" w:rsidTr="005505B9">
        <w:tc>
          <w:tcPr>
            <w:tcW w:w="4112" w:type="dxa"/>
          </w:tcPr>
          <w:p w14:paraId="17FBE40F" w14:textId="77777777" w:rsidR="00212057" w:rsidRPr="00CC5270" w:rsidRDefault="00212057" w:rsidP="005505B9">
            <w:pPr>
              <w:spacing w:after="60"/>
              <w:rPr>
                <w:sz w:val="20"/>
                <w:szCs w:val="20"/>
              </w:rPr>
            </w:pPr>
            <w:r w:rsidRPr="00CC5270">
              <w:rPr>
                <w:sz w:val="20"/>
                <w:szCs w:val="20"/>
              </w:rPr>
              <w:t>LOAN AT 4</w:t>
            </w:r>
            <w:r w:rsidRPr="00CC5270">
              <w:rPr>
                <w:rFonts w:cstheme="minorHAnsi"/>
                <w:sz w:val="20"/>
                <w:szCs w:val="20"/>
              </w:rPr>
              <w:t>½</w:t>
            </w:r>
            <w:r w:rsidRPr="00CC5270">
              <w:rPr>
                <w:sz w:val="20"/>
                <w:szCs w:val="20"/>
              </w:rPr>
              <w:t xml:space="preserve"> per cent</w:t>
            </w:r>
          </w:p>
        </w:tc>
        <w:tc>
          <w:tcPr>
            <w:tcW w:w="850" w:type="dxa"/>
          </w:tcPr>
          <w:p w14:paraId="3568DE01" w14:textId="77777777" w:rsidR="00212057" w:rsidRPr="00CC5270" w:rsidRDefault="00212057" w:rsidP="005505B9">
            <w:pPr>
              <w:tabs>
                <w:tab w:val="right" w:pos="1062"/>
              </w:tabs>
              <w:spacing w:after="60"/>
              <w:rPr>
                <w:sz w:val="20"/>
                <w:szCs w:val="20"/>
              </w:rPr>
            </w:pPr>
            <w:r w:rsidRPr="00CC5270">
              <w:rPr>
                <w:sz w:val="20"/>
                <w:szCs w:val="20"/>
              </w:rPr>
              <w:tab/>
            </w:r>
          </w:p>
        </w:tc>
        <w:tc>
          <w:tcPr>
            <w:tcW w:w="1134" w:type="dxa"/>
            <w:tcBorders>
              <w:right w:val="single" w:sz="4" w:space="0" w:color="auto"/>
            </w:tcBorders>
          </w:tcPr>
          <w:p w14:paraId="13199BF1" w14:textId="77777777" w:rsidR="00212057" w:rsidRPr="00CC5270" w:rsidRDefault="00212057" w:rsidP="005505B9">
            <w:pPr>
              <w:tabs>
                <w:tab w:val="right" w:pos="882"/>
              </w:tabs>
              <w:spacing w:after="60"/>
              <w:rPr>
                <w:sz w:val="20"/>
                <w:szCs w:val="20"/>
              </w:rPr>
            </w:pPr>
            <w:r w:rsidRPr="00CC5270">
              <w:rPr>
                <w:sz w:val="20"/>
                <w:szCs w:val="20"/>
              </w:rPr>
              <w:t xml:space="preserve">   </w:t>
            </w:r>
            <w:r>
              <w:rPr>
                <w:sz w:val="20"/>
                <w:szCs w:val="20"/>
              </w:rPr>
              <w:tab/>
            </w:r>
            <w:r w:rsidRPr="00CC5270">
              <w:rPr>
                <w:sz w:val="20"/>
                <w:szCs w:val="20"/>
              </w:rPr>
              <w:t>251,875</w:t>
            </w:r>
          </w:p>
        </w:tc>
        <w:tc>
          <w:tcPr>
            <w:tcW w:w="3686" w:type="dxa"/>
            <w:tcBorders>
              <w:left w:val="single" w:sz="4" w:space="0" w:color="auto"/>
            </w:tcBorders>
          </w:tcPr>
          <w:p w14:paraId="58801C47" w14:textId="77777777" w:rsidR="00212057" w:rsidRPr="00CC5270" w:rsidRDefault="00212057" w:rsidP="005505B9">
            <w:pPr>
              <w:tabs>
                <w:tab w:val="right" w:pos="1062"/>
              </w:tabs>
              <w:spacing w:after="60"/>
              <w:rPr>
                <w:sz w:val="20"/>
                <w:szCs w:val="20"/>
              </w:rPr>
            </w:pPr>
            <w:r>
              <w:rPr>
                <w:sz w:val="20"/>
                <w:szCs w:val="20"/>
              </w:rPr>
              <w:t>STOCK IN TRADE</w:t>
            </w:r>
          </w:p>
        </w:tc>
        <w:tc>
          <w:tcPr>
            <w:tcW w:w="1086" w:type="dxa"/>
          </w:tcPr>
          <w:p w14:paraId="45C9C4AE" w14:textId="77777777" w:rsidR="00212057" w:rsidRPr="00CC5270" w:rsidRDefault="00212057" w:rsidP="005505B9">
            <w:pPr>
              <w:tabs>
                <w:tab w:val="right" w:pos="972"/>
              </w:tabs>
              <w:spacing w:after="60"/>
              <w:rPr>
                <w:sz w:val="20"/>
                <w:szCs w:val="20"/>
              </w:rPr>
            </w:pPr>
            <w:r>
              <w:rPr>
                <w:sz w:val="20"/>
                <w:szCs w:val="20"/>
              </w:rPr>
              <w:tab/>
              <w:t>588,602</w:t>
            </w:r>
          </w:p>
        </w:tc>
      </w:tr>
      <w:tr w:rsidR="00212057" w14:paraId="6AEEEEEF" w14:textId="77777777" w:rsidTr="005505B9">
        <w:tc>
          <w:tcPr>
            <w:tcW w:w="4112" w:type="dxa"/>
          </w:tcPr>
          <w:p w14:paraId="3E90A999" w14:textId="77777777" w:rsidR="00212057" w:rsidRPr="00CC5270" w:rsidRDefault="00212057" w:rsidP="005505B9">
            <w:pPr>
              <w:spacing w:after="60"/>
              <w:rPr>
                <w:sz w:val="20"/>
                <w:szCs w:val="20"/>
              </w:rPr>
            </w:pPr>
            <w:r w:rsidRPr="00CC5270">
              <w:rPr>
                <w:sz w:val="20"/>
                <w:szCs w:val="20"/>
              </w:rPr>
              <w:t>LOAN AT 4 per cent</w:t>
            </w:r>
          </w:p>
        </w:tc>
        <w:tc>
          <w:tcPr>
            <w:tcW w:w="850" w:type="dxa"/>
          </w:tcPr>
          <w:p w14:paraId="4EC734F6" w14:textId="77777777" w:rsidR="00212057" w:rsidRPr="00CC5270" w:rsidRDefault="00212057" w:rsidP="005505B9">
            <w:pPr>
              <w:tabs>
                <w:tab w:val="right" w:pos="1062"/>
              </w:tabs>
              <w:spacing w:after="60"/>
              <w:rPr>
                <w:sz w:val="20"/>
                <w:szCs w:val="20"/>
              </w:rPr>
            </w:pPr>
            <w:r w:rsidRPr="00CC5270">
              <w:rPr>
                <w:sz w:val="20"/>
                <w:szCs w:val="20"/>
              </w:rPr>
              <w:tab/>
            </w:r>
          </w:p>
        </w:tc>
        <w:tc>
          <w:tcPr>
            <w:tcW w:w="1134" w:type="dxa"/>
            <w:tcBorders>
              <w:right w:val="single" w:sz="4" w:space="0" w:color="auto"/>
            </w:tcBorders>
          </w:tcPr>
          <w:p w14:paraId="4B47AE2A" w14:textId="77777777" w:rsidR="00212057" w:rsidRPr="00CC5270" w:rsidRDefault="00212057" w:rsidP="005505B9">
            <w:pPr>
              <w:tabs>
                <w:tab w:val="right" w:pos="882"/>
              </w:tabs>
              <w:spacing w:after="60"/>
              <w:rPr>
                <w:sz w:val="20"/>
                <w:szCs w:val="20"/>
              </w:rPr>
            </w:pPr>
            <w:r w:rsidRPr="00CC5270">
              <w:rPr>
                <w:sz w:val="20"/>
                <w:szCs w:val="20"/>
              </w:rPr>
              <w:t xml:space="preserve">   </w:t>
            </w:r>
            <w:r>
              <w:rPr>
                <w:sz w:val="20"/>
                <w:szCs w:val="20"/>
              </w:rPr>
              <w:tab/>
            </w:r>
            <w:r w:rsidRPr="00CC5270">
              <w:rPr>
                <w:sz w:val="20"/>
                <w:szCs w:val="20"/>
              </w:rPr>
              <w:t>500,877</w:t>
            </w:r>
          </w:p>
        </w:tc>
        <w:tc>
          <w:tcPr>
            <w:tcW w:w="3686" w:type="dxa"/>
            <w:tcBorders>
              <w:left w:val="single" w:sz="4" w:space="0" w:color="auto"/>
            </w:tcBorders>
          </w:tcPr>
          <w:p w14:paraId="17F15136" w14:textId="77777777" w:rsidR="00212057" w:rsidRPr="00CC5270" w:rsidRDefault="00212057" w:rsidP="005505B9">
            <w:pPr>
              <w:tabs>
                <w:tab w:val="right" w:pos="1062"/>
              </w:tabs>
              <w:spacing w:after="60"/>
              <w:rPr>
                <w:sz w:val="20"/>
                <w:szCs w:val="20"/>
              </w:rPr>
            </w:pPr>
            <w:r>
              <w:rPr>
                <w:sz w:val="20"/>
                <w:szCs w:val="20"/>
              </w:rPr>
              <w:t>TRADE INVESTMENTS</w:t>
            </w:r>
          </w:p>
        </w:tc>
        <w:tc>
          <w:tcPr>
            <w:tcW w:w="1086" w:type="dxa"/>
          </w:tcPr>
          <w:p w14:paraId="1FC530D4" w14:textId="77777777" w:rsidR="00212057" w:rsidRPr="00CC5270" w:rsidRDefault="00212057" w:rsidP="005505B9">
            <w:pPr>
              <w:tabs>
                <w:tab w:val="right" w:pos="972"/>
              </w:tabs>
              <w:spacing w:after="60"/>
              <w:rPr>
                <w:sz w:val="20"/>
                <w:szCs w:val="20"/>
              </w:rPr>
            </w:pPr>
            <w:r>
              <w:rPr>
                <w:sz w:val="20"/>
                <w:szCs w:val="20"/>
              </w:rPr>
              <w:tab/>
              <w:t>7,875</w:t>
            </w:r>
          </w:p>
        </w:tc>
      </w:tr>
      <w:tr w:rsidR="00212057" w14:paraId="47C8FA09" w14:textId="77777777" w:rsidTr="005505B9">
        <w:tc>
          <w:tcPr>
            <w:tcW w:w="4112" w:type="dxa"/>
          </w:tcPr>
          <w:p w14:paraId="6B513052" w14:textId="77777777" w:rsidR="00212057" w:rsidRPr="00CC5270" w:rsidRDefault="00212057" w:rsidP="005505B9">
            <w:pPr>
              <w:spacing w:after="60"/>
              <w:rPr>
                <w:sz w:val="20"/>
                <w:szCs w:val="20"/>
              </w:rPr>
            </w:pPr>
            <w:r w:rsidRPr="00CC5270">
              <w:rPr>
                <w:sz w:val="20"/>
                <w:szCs w:val="20"/>
              </w:rPr>
              <w:t>LOAN (SECURED ON PROPERTIES)</w:t>
            </w:r>
          </w:p>
        </w:tc>
        <w:tc>
          <w:tcPr>
            <w:tcW w:w="850" w:type="dxa"/>
          </w:tcPr>
          <w:p w14:paraId="24B7B067" w14:textId="77777777" w:rsidR="00212057" w:rsidRPr="00CC5270" w:rsidRDefault="00212057" w:rsidP="005505B9">
            <w:pPr>
              <w:tabs>
                <w:tab w:val="right" w:pos="1062"/>
              </w:tabs>
              <w:spacing w:after="60"/>
              <w:rPr>
                <w:sz w:val="20"/>
                <w:szCs w:val="20"/>
              </w:rPr>
            </w:pPr>
            <w:r w:rsidRPr="00CC5270">
              <w:rPr>
                <w:sz w:val="20"/>
                <w:szCs w:val="20"/>
              </w:rPr>
              <w:tab/>
            </w:r>
          </w:p>
        </w:tc>
        <w:tc>
          <w:tcPr>
            <w:tcW w:w="1134" w:type="dxa"/>
            <w:tcBorders>
              <w:right w:val="single" w:sz="4" w:space="0" w:color="auto"/>
            </w:tcBorders>
          </w:tcPr>
          <w:p w14:paraId="35F72793" w14:textId="77777777" w:rsidR="00212057" w:rsidRPr="00CC5270" w:rsidRDefault="00212057" w:rsidP="005505B9">
            <w:pPr>
              <w:tabs>
                <w:tab w:val="right" w:pos="882"/>
              </w:tabs>
              <w:spacing w:after="60"/>
              <w:rPr>
                <w:sz w:val="20"/>
                <w:szCs w:val="20"/>
              </w:rPr>
            </w:pPr>
            <w:r w:rsidRPr="00CC5270">
              <w:rPr>
                <w:sz w:val="20"/>
                <w:szCs w:val="20"/>
              </w:rPr>
              <w:t xml:space="preserve">   </w:t>
            </w:r>
            <w:r>
              <w:rPr>
                <w:sz w:val="20"/>
                <w:szCs w:val="20"/>
              </w:rPr>
              <w:tab/>
            </w:r>
            <w:r w:rsidRPr="00CC5270">
              <w:rPr>
                <w:sz w:val="20"/>
                <w:szCs w:val="20"/>
              </w:rPr>
              <w:t>101,356</w:t>
            </w:r>
          </w:p>
        </w:tc>
        <w:tc>
          <w:tcPr>
            <w:tcW w:w="3686" w:type="dxa"/>
            <w:tcBorders>
              <w:left w:val="single" w:sz="4" w:space="0" w:color="auto"/>
            </w:tcBorders>
          </w:tcPr>
          <w:p w14:paraId="65B6092B" w14:textId="77777777" w:rsidR="00212057" w:rsidRPr="00CC5270" w:rsidRDefault="00212057" w:rsidP="005505B9">
            <w:pPr>
              <w:tabs>
                <w:tab w:val="right" w:pos="1062"/>
              </w:tabs>
              <w:spacing w:after="60"/>
              <w:rPr>
                <w:sz w:val="20"/>
                <w:szCs w:val="20"/>
              </w:rPr>
            </w:pPr>
            <w:r>
              <w:rPr>
                <w:sz w:val="20"/>
                <w:szCs w:val="20"/>
              </w:rPr>
              <w:t>SUNDRY DEBTORS</w:t>
            </w:r>
          </w:p>
        </w:tc>
        <w:tc>
          <w:tcPr>
            <w:tcW w:w="1086" w:type="dxa"/>
          </w:tcPr>
          <w:p w14:paraId="138A9D80" w14:textId="77777777" w:rsidR="00212057" w:rsidRPr="00CC5270" w:rsidRDefault="00212057" w:rsidP="005505B9">
            <w:pPr>
              <w:tabs>
                <w:tab w:val="right" w:pos="972"/>
              </w:tabs>
              <w:spacing w:after="60"/>
              <w:rPr>
                <w:sz w:val="20"/>
                <w:szCs w:val="20"/>
              </w:rPr>
            </w:pPr>
            <w:r>
              <w:rPr>
                <w:sz w:val="20"/>
                <w:szCs w:val="20"/>
              </w:rPr>
              <w:tab/>
              <w:t>32,336</w:t>
            </w:r>
          </w:p>
        </w:tc>
      </w:tr>
      <w:tr w:rsidR="00212057" w14:paraId="5C89F9B4" w14:textId="77777777" w:rsidTr="005505B9">
        <w:tc>
          <w:tcPr>
            <w:tcW w:w="4112" w:type="dxa"/>
          </w:tcPr>
          <w:p w14:paraId="042D1080" w14:textId="77777777" w:rsidR="00212057" w:rsidRPr="00CC5270" w:rsidRDefault="00212057" w:rsidP="005505B9">
            <w:pPr>
              <w:spacing w:after="60"/>
              <w:rPr>
                <w:sz w:val="20"/>
                <w:szCs w:val="20"/>
              </w:rPr>
            </w:pPr>
            <w:r w:rsidRPr="00CC5270">
              <w:rPr>
                <w:sz w:val="20"/>
                <w:szCs w:val="20"/>
              </w:rPr>
              <w:t>TRADE AND SUNDRY CREDITORS</w:t>
            </w:r>
          </w:p>
        </w:tc>
        <w:tc>
          <w:tcPr>
            <w:tcW w:w="850" w:type="dxa"/>
          </w:tcPr>
          <w:p w14:paraId="4FDEC12F" w14:textId="77777777" w:rsidR="00212057" w:rsidRPr="00CC5270" w:rsidRDefault="00212057" w:rsidP="005505B9">
            <w:pPr>
              <w:tabs>
                <w:tab w:val="right" w:pos="1062"/>
              </w:tabs>
              <w:spacing w:after="60"/>
              <w:rPr>
                <w:sz w:val="20"/>
                <w:szCs w:val="20"/>
              </w:rPr>
            </w:pPr>
            <w:r w:rsidRPr="00CC5270">
              <w:rPr>
                <w:sz w:val="20"/>
                <w:szCs w:val="20"/>
              </w:rPr>
              <w:tab/>
            </w:r>
          </w:p>
        </w:tc>
        <w:tc>
          <w:tcPr>
            <w:tcW w:w="1134" w:type="dxa"/>
            <w:tcBorders>
              <w:right w:val="single" w:sz="4" w:space="0" w:color="auto"/>
            </w:tcBorders>
          </w:tcPr>
          <w:p w14:paraId="2FA61B3E" w14:textId="77777777" w:rsidR="00212057" w:rsidRPr="00CC5270" w:rsidRDefault="00212057" w:rsidP="005505B9">
            <w:pPr>
              <w:tabs>
                <w:tab w:val="right" w:pos="882"/>
              </w:tabs>
              <w:spacing w:after="60"/>
              <w:rPr>
                <w:sz w:val="20"/>
                <w:szCs w:val="20"/>
              </w:rPr>
            </w:pPr>
            <w:r w:rsidRPr="00CC5270">
              <w:rPr>
                <w:sz w:val="20"/>
                <w:szCs w:val="20"/>
              </w:rPr>
              <w:t xml:space="preserve">   </w:t>
            </w:r>
            <w:r>
              <w:rPr>
                <w:sz w:val="20"/>
                <w:szCs w:val="20"/>
              </w:rPr>
              <w:tab/>
            </w:r>
            <w:r w:rsidRPr="00CC5270">
              <w:rPr>
                <w:sz w:val="20"/>
                <w:szCs w:val="20"/>
              </w:rPr>
              <w:t>585,756</w:t>
            </w:r>
          </w:p>
        </w:tc>
        <w:tc>
          <w:tcPr>
            <w:tcW w:w="3686" w:type="dxa"/>
            <w:tcBorders>
              <w:left w:val="single" w:sz="4" w:space="0" w:color="auto"/>
            </w:tcBorders>
          </w:tcPr>
          <w:p w14:paraId="126FD3F8" w14:textId="77777777" w:rsidR="00212057" w:rsidRPr="00CC5270" w:rsidRDefault="00212057" w:rsidP="005505B9">
            <w:pPr>
              <w:tabs>
                <w:tab w:val="right" w:pos="1062"/>
              </w:tabs>
              <w:spacing w:after="60"/>
              <w:rPr>
                <w:sz w:val="20"/>
                <w:szCs w:val="20"/>
              </w:rPr>
            </w:pPr>
            <w:r>
              <w:rPr>
                <w:sz w:val="20"/>
                <w:szCs w:val="20"/>
              </w:rPr>
              <w:t>CASH AT BANKERS AND IN HAND</w:t>
            </w:r>
          </w:p>
        </w:tc>
        <w:tc>
          <w:tcPr>
            <w:tcW w:w="1086" w:type="dxa"/>
          </w:tcPr>
          <w:p w14:paraId="67239EA4" w14:textId="77777777" w:rsidR="00212057" w:rsidRPr="00CC5270" w:rsidRDefault="00212057" w:rsidP="005505B9">
            <w:pPr>
              <w:tabs>
                <w:tab w:val="right" w:pos="972"/>
              </w:tabs>
              <w:spacing w:after="60"/>
              <w:rPr>
                <w:sz w:val="20"/>
                <w:szCs w:val="20"/>
              </w:rPr>
            </w:pPr>
            <w:r>
              <w:rPr>
                <w:sz w:val="20"/>
                <w:szCs w:val="20"/>
              </w:rPr>
              <w:tab/>
              <w:t>497,844</w:t>
            </w:r>
          </w:p>
        </w:tc>
      </w:tr>
      <w:tr w:rsidR="00212057" w14:paraId="7A122C9E" w14:textId="77777777" w:rsidTr="005505B9">
        <w:tc>
          <w:tcPr>
            <w:tcW w:w="4112" w:type="dxa"/>
          </w:tcPr>
          <w:p w14:paraId="343D5F75" w14:textId="77777777" w:rsidR="00212057" w:rsidRPr="00CC5270" w:rsidRDefault="00212057" w:rsidP="005505B9">
            <w:pPr>
              <w:spacing w:after="60"/>
              <w:rPr>
                <w:sz w:val="20"/>
                <w:szCs w:val="20"/>
              </w:rPr>
            </w:pPr>
            <w:r w:rsidRPr="00CC5270">
              <w:rPr>
                <w:sz w:val="20"/>
                <w:szCs w:val="20"/>
              </w:rPr>
              <w:t>CREDITORS for Expenditure on Properties</w:t>
            </w:r>
          </w:p>
        </w:tc>
        <w:tc>
          <w:tcPr>
            <w:tcW w:w="850" w:type="dxa"/>
          </w:tcPr>
          <w:p w14:paraId="3183E904" w14:textId="77777777" w:rsidR="00212057" w:rsidRPr="00CC5270" w:rsidRDefault="00212057" w:rsidP="005505B9">
            <w:pPr>
              <w:tabs>
                <w:tab w:val="right" w:pos="1062"/>
              </w:tabs>
              <w:spacing w:after="60"/>
              <w:rPr>
                <w:sz w:val="20"/>
                <w:szCs w:val="20"/>
              </w:rPr>
            </w:pPr>
            <w:r w:rsidRPr="00CC5270">
              <w:rPr>
                <w:sz w:val="20"/>
                <w:szCs w:val="20"/>
              </w:rPr>
              <w:tab/>
            </w:r>
          </w:p>
        </w:tc>
        <w:tc>
          <w:tcPr>
            <w:tcW w:w="1134" w:type="dxa"/>
            <w:tcBorders>
              <w:right w:val="single" w:sz="4" w:space="0" w:color="auto"/>
            </w:tcBorders>
          </w:tcPr>
          <w:p w14:paraId="2C8F0C4E" w14:textId="77777777" w:rsidR="00212057" w:rsidRPr="00CC5270" w:rsidRDefault="00212057" w:rsidP="005505B9">
            <w:pPr>
              <w:tabs>
                <w:tab w:val="right" w:pos="882"/>
              </w:tabs>
              <w:spacing w:after="60"/>
              <w:rPr>
                <w:sz w:val="20"/>
                <w:szCs w:val="20"/>
              </w:rPr>
            </w:pPr>
            <w:r w:rsidRPr="00CC5270">
              <w:rPr>
                <w:sz w:val="20"/>
                <w:szCs w:val="20"/>
              </w:rPr>
              <w:t xml:space="preserve">   </w:t>
            </w:r>
            <w:r>
              <w:rPr>
                <w:sz w:val="20"/>
                <w:szCs w:val="20"/>
              </w:rPr>
              <w:tab/>
            </w:r>
            <w:r w:rsidRPr="00CC5270">
              <w:rPr>
                <w:sz w:val="20"/>
                <w:szCs w:val="20"/>
              </w:rPr>
              <w:t>138,274</w:t>
            </w:r>
          </w:p>
        </w:tc>
        <w:tc>
          <w:tcPr>
            <w:tcW w:w="3686" w:type="dxa"/>
            <w:tcBorders>
              <w:left w:val="single" w:sz="4" w:space="0" w:color="auto"/>
            </w:tcBorders>
          </w:tcPr>
          <w:p w14:paraId="06D7DB9D" w14:textId="77777777" w:rsidR="00212057" w:rsidRPr="00CC5270" w:rsidRDefault="00212057" w:rsidP="005505B9">
            <w:pPr>
              <w:tabs>
                <w:tab w:val="right" w:pos="1062"/>
              </w:tabs>
              <w:spacing w:after="60"/>
              <w:rPr>
                <w:sz w:val="20"/>
                <w:szCs w:val="20"/>
              </w:rPr>
            </w:pPr>
          </w:p>
        </w:tc>
        <w:tc>
          <w:tcPr>
            <w:tcW w:w="1086" w:type="dxa"/>
          </w:tcPr>
          <w:p w14:paraId="2210D042" w14:textId="77777777" w:rsidR="00212057" w:rsidRPr="00CC5270" w:rsidRDefault="00212057" w:rsidP="005505B9">
            <w:pPr>
              <w:tabs>
                <w:tab w:val="right" w:pos="972"/>
              </w:tabs>
              <w:spacing w:after="60"/>
              <w:rPr>
                <w:sz w:val="20"/>
                <w:szCs w:val="20"/>
              </w:rPr>
            </w:pPr>
          </w:p>
        </w:tc>
      </w:tr>
      <w:tr w:rsidR="00212057" w14:paraId="7D963CE5" w14:textId="77777777" w:rsidTr="005505B9">
        <w:tc>
          <w:tcPr>
            <w:tcW w:w="4112" w:type="dxa"/>
          </w:tcPr>
          <w:p w14:paraId="2646B5E4" w14:textId="77777777" w:rsidR="00212057" w:rsidRPr="00CC5270" w:rsidRDefault="00212057" w:rsidP="005505B9">
            <w:pPr>
              <w:spacing w:after="60"/>
              <w:rPr>
                <w:sz w:val="20"/>
                <w:szCs w:val="20"/>
              </w:rPr>
            </w:pPr>
            <w:r w:rsidRPr="00CC5270">
              <w:rPr>
                <w:sz w:val="20"/>
                <w:szCs w:val="20"/>
              </w:rPr>
              <w:t>GENERAL RESERVE ACCOUNT</w:t>
            </w:r>
          </w:p>
        </w:tc>
        <w:tc>
          <w:tcPr>
            <w:tcW w:w="850" w:type="dxa"/>
          </w:tcPr>
          <w:p w14:paraId="01BCB57D" w14:textId="77777777" w:rsidR="00212057" w:rsidRPr="00CC5270" w:rsidRDefault="00212057" w:rsidP="005505B9">
            <w:pPr>
              <w:tabs>
                <w:tab w:val="right" w:pos="1062"/>
              </w:tabs>
              <w:spacing w:after="60"/>
              <w:rPr>
                <w:sz w:val="20"/>
                <w:szCs w:val="20"/>
              </w:rPr>
            </w:pPr>
            <w:r w:rsidRPr="00CC5270">
              <w:rPr>
                <w:sz w:val="20"/>
                <w:szCs w:val="20"/>
              </w:rPr>
              <w:tab/>
            </w:r>
          </w:p>
        </w:tc>
        <w:tc>
          <w:tcPr>
            <w:tcW w:w="1134" w:type="dxa"/>
            <w:tcBorders>
              <w:right w:val="single" w:sz="4" w:space="0" w:color="auto"/>
            </w:tcBorders>
          </w:tcPr>
          <w:p w14:paraId="3F8B1EBA" w14:textId="77777777" w:rsidR="00212057" w:rsidRPr="00CC5270" w:rsidRDefault="00212057" w:rsidP="005505B9">
            <w:pPr>
              <w:tabs>
                <w:tab w:val="right" w:pos="882"/>
              </w:tabs>
              <w:spacing w:after="60"/>
              <w:rPr>
                <w:sz w:val="20"/>
                <w:szCs w:val="20"/>
              </w:rPr>
            </w:pPr>
            <w:r w:rsidRPr="00CC5270">
              <w:rPr>
                <w:sz w:val="20"/>
                <w:szCs w:val="20"/>
              </w:rPr>
              <w:t xml:space="preserve">   </w:t>
            </w:r>
            <w:r>
              <w:rPr>
                <w:sz w:val="20"/>
                <w:szCs w:val="20"/>
              </w:rPr>
              <w:tab/>
            </w:r>
            <w:r w:rsidRPr="00CC5270">
              <w:rPr>
                <w:sz w:val="20"/>
                <w:szCs w:val="20"/>
              </w:rPr>
              <w:t>570,000</w:t>
            </w:r>
          </w:p>
        </w:tc>
        <w:tc>
          <w:tcPr>
            <w:tcW w:w="3686" w:type="dxa"/>
            <w:tcBorders>
              <w:left w:val="single" w:sz="4" w:space="0" w:color="auto"/>
            </w:tcBorders>
          </w:tcPr>
          <w:p w14:paraId="5726A6C1" w14:textId="77777777" w:rsidR="00212057" w:rsidRPr="00CC5270" w:rsidRDefault="00212057" w:rsidP="005505B9">
            <w:pPr>
              <w:tabs>
                <w:tab w:val="right" w:pos="1062"/>
              </w:tabs>
              <w:spacing w:after="60"/>
              <w:rPr>
                <w:sz w:val="20"/>
                <w:szCs w:val="20"/>
              </w:rPr>
            </w:pPr>
          </w:p>
        </w:tc>
        <w:tc>
          <w:tcPr>
            <w:tcW w:w="1086" w:type="dxa"/>
          </w:tcPr>
          <w:p w14:paraId="00D81B26" w14:textId="77777777" w:rsidR="00212057" w:rsidRPr="00CC5270" w:rsidRDefault="00212057" w:rsidP="005505B9">
            <w:pPr>
              <w:tabs>
                <w:tab w:val="right" w:pos="972"/>
              </w:tabs>
              <w:spacing w:after="60"/>
              <w:rPr>
                <w:sz w:val="20"/>
                <w:szCs w:val="20"/>
              </w:rPr>
            </w:pPr>
          </w:p>
        </w:tc>
      </w:tr>
      <w:tr w:rsidR="00212057" w14:paraId="51155B3C" w14:textId="77777777" w:rsidTr="005505B9">
        <w:tc>
          <w:tcPr>
            <w:tcW w:w="4112" w:type="dxa"/>
          </w:tcPr>
          <w:p w14:paraId="07AB10F6" w14:textId="77777777" w:rsidR="00212057" w:rsidRPr="00CC5270" w:rsidRDefault="00212057" w:rsidP="005505B9">
            <w:pPr>
              <w:spacing w:after="60"/>
              <w:rPr>
                <w:sz w:val="20"/>
                <w:szCs w:val="20"/>
              </w:rPr>
            </w:pPr>
            <w:r w:rsidRPr="00CC5270">
              <w:rPr>
                <w:sz w:val="20"/>
                <w:szCs w:val="20"/>
              </w:rPr>
              <w:t>FREEHOLD PROPERTIES DEPRECIATION RESERVE</w:t>
            </w:r>
          </w:p>
        </w:tc>
        <w:tc>
          <w:tcPr>
            <w:tcW w:w="850" w:type="dxa"/>
          </w:tcPr>
          <w:p w14:paraId="48B65E72" w14:textId="77777777" w:rsidR="00212057" w:rsidRPr="00CC5270" w:rsidRDefault="00212057" w:rsidP="005505B9">
            <w:pPr>
              <w:tabs>
                <w:tab w:val="right" w:pos="1062"/>
              </w:tabs>
              <w:spacing w:after="60"/>
              <w:rPr>
                <w:sz w:val="20"/>
                <w:szCs w:val="20"/>
              </w:rPr>
            </w:pPr>
            <w:r w:rsidRPr="00CC5270">
              <w:rPr>
                <w:sz w:val="20"/>
                <w:szCs w:val="20"/>
              </w:rPr>
              <w:tab/>
            </w:r>
          </w:p>
        </w:tc>
        <w:tc>
          <w:tcPr>
            <w:tcW w:w="1134" w:type="dxa"/>
            <w:tcBorders>
              <w:right w:val="single" w:sz="4" w:space="0" w:color="auto"/>
            </w:tcBorders>
          </w:tcPr>
          <w:p w14:paraId="17521448" w14:textId="77777777" w:rsidR="00212057" w:rsidRPr="00CC5270" w:rsidRDefault="00212057" w:rsidP="005505B9">
            <w:pPr>
              <w:tabs>
                <w:tab w:val="right" w:pos="882"/>
              </w:tabs>
              <w:spacing w:after="60"/>
              <w:rPr>
                <w:sz w:val="20"/>
                <w:szCs w:val="20"/>
              </w:rPr>
            </w:pPr>
            <w:r w:rsidRPr="00CC5270">
              <w:rPr>
                <w:sz w:val="20"/>
                <w:szCs w:val="20"/>
              </w:rPr>
              <w:t xml:space="preserve">     </w:t>
            </w:r>
            <w:r>
              <w:rPr>
                <w:sz w:val="20"/>
                <w:szCs w:val="20"/>
              </w:rPr>
              <w:tab/>
            </w:r>
            <w:r w:rsidRPr="00CC5270">
              <w:rPr>
                <w:sz w:val="20"/>
                <w:szCs w:val="20"/>
              </w:rPr>
              <w:t>90,303</w:t>
            </w:r>
          </w:p>
        </w:tc>
        <w:tc>
          <w:tcPr>
            <w:tcW w:w="3686" w:type="dxa"/>
            <w:tcBorders>
              <w:left w:val="single" w:sz="4" w:space="0" w:color="auto"/>
            </w:tcBorders>
          </w:tcPr>
          <w:p w14:paraId="42E0D1F7" w14:textId="77777777" w:rsidR="00212057" w:rsidRPr="00CC5270" w:rsidRDefault="00212057" w:rsidP="005505B9">
            <w:pPr>
              <w:tabs>
                <w:tab w:val="right" w:pos="1062"/>
              </w:tabs>
              <w:spacing w:after="60"/>
              <w:rPr>
                <w:sz w:val="20"/>
                <w:szCs w:val="20"/>
              </w:rPr>
            </w:pPr>
          </w:p>
        </w:tc>
        <w:tc>
          <w:tcPr>
            <w:tcW w:w="1086" w:type="dxa"/>
          </w:tcPr>
          <w:p w14:paraId="45E3D955" w14:textId="77777777" w:rsidR="00212057" w:rsidRPr="00CC5270" w:rsidRDefault="00212057" w:rsidP="005505B9">
            <w:pPr>
              <w:tabs>
                <w:tab w:val="right" w:pos="972"/>
              </w:tabs>
              <w:spacing w:after="60"/>
              <w:rPr>
                <w:sz w:val="20"/>
                <w:szCs w:val="20"/>
              </w:rPr>
            </w:pPr>
          </w:p>
        </w:tc>
      </w:tr>
      <w:tr w:rsidR="00212057" w14:paraId="52A56388" w14:textId="77777777" w:rsidTr="005505B9">
        <w:tc>
          <w:tcPr>
            <w:tcW w:w="4112" w:type="dxa"/>
          </w:tcPr>
          <w:p w14:paraId="3B59DFF8" w14:textId="77777777" w:rsidR="00212057" w:rsidRPr="00CC5270" w:rsidRDefault="00212057" w:rsidP="005505B9">
            <w:pPr>
              <w:spacing w:after="60"/>
              <w:rPr>
                <w:sz w:val="20"/>
                <w:szCs w:val="20"/>
              </w:rPr>
            </w:pPr>
            <w:r w:rsidRPr="00CC5270">
              <w:rPr>
                <w:sz w:val="20"/>
                <w:szCs w:val="20"/>
              </w:rPr>
              <w:t>PROPERTIES CONTINGENCY RESERVE</w:t>
            </w:r>
          </w:p>
        </w:tc>
        <w:tc>
          <w:tcPr>
            <w:tcW w:w="850" w:type="dxa"/>
          </w:tcPr>
          <w:p w14:paraId="01F1F867" w14:textId="77777777" w:rsidR="00212057" w:rsidRPr="00CC5270" w:rsidRDefault="00212057" w:rsidP="005505B9">
            <w:pPr>
              <w:tabs>
                <w:tab w:val="right" w:pos="1062"/>
              </w:tabs>
              <w:spacing w:after="60"/>
              <w:rPr>
                <w:sz w:val="20"/>
                <w:szCs w:val="20"/>
              </w:rPr>
            </w:pPr>
            <w:r w:rsidRPr="00CC5270">
              <w:rPr>
                <w:sz w:val="20"/>
                <w:szCs w:val="20"/>
              </w:rPr>
              <w:tab/>
            </w:r>
          </w:p>
        </w:tc>
        <w:tc>
          <w:tcPr>
            <w:tcW w:w="1134" w:type="dxa"/>
            <w:tcBorders>
              <w:right w:val="single" w:sz="4" w:space="0" w:color="auto"/>
            </w:tcBorders>
          </w:tcPr>
          <w:p w14:paraId="3AD32996" w14:textId="77777777" w:rsidR="00212057" w:rsidRPr="00CC5270" w:rsidRDefault="00212057" w:rsidP="005505B9">
            <w:pPr>
              <w:tabs>
                <w:tab w:val="right" w:pos="882"/>
              </w:tabs>
              <w:spacing w:after="60"/>
              <w:rPr>
                <w:sz w:val="20"/>
                <w:szCs w:val="20"/>
              </w:rPr>
            </w:pPr>
            <w:r w:rsidRPr="00CC5270">
              <w:rPr>
                <w:sz w:val="20"/>
                <w:szCs w:val="20"/>
              </w:rPr>
              <w:t xml:space="preserve">     </w:t>
            </w:r>
            <w:r>
              <w:rPr>
                <w:sz w:val="20"/>
                <w:szCs w:val="20"/>
              </w:rPr>
              <w:tab/>
            </w:r>
            <w:r w:rsidRPr="00CC5270">
              <w:rPr>
                <w:sz w:val="20"/>
                <w:szCs w:val="20"/>
              </w:rPr>
              <w:t>38,670</w:t>
            </w:r>
          </w:p>
        </w:tc>
        <w:tc>
          <w:tcPr>
            <w:tcW w:w="3686" w:type="dxa"/>
            <w:tcBorders>
              <w:left w:val="single" w:sz="4" w:space="0" w:color="auto"/>
            </w:tcBorders>
          </w:tcPr>
          <w:p w14:paraId="51EF32BD" w14:textId="77777777" w:rsidR="00212057" w:rsidRPr="00CC5270" w:rsidRDefault="00212057" w:rsidP="005505B9">
            <w:pPr>
              <w:tabs>
                <w:tab w:val="right" w:pos="1062"/>
              </w:tabs>
              <w:spacing w:after="60"/>
              <w:rPr>
                <w:sz w:val="20"/>
                <w:szCs w:val="20"/>
              </w:rPr>
            </w:pPr>
          </w:p>
        </w:tc>
        <w:tc>
          <w:tcPr>
            <w:tcW w:w="1086" w:type="dxa"/>
          </w:tcPr>
          <w:p w14:paraId="607A65EF" w14:textId="77777777" w:rsidR="00212057" w:rsidRPr="00CC5270" w:rsidRDefault="00212057" w:rsidP="005505B9">
            <w:pPr>
              <w:tabs>
                <w:tab w:val="right" w:pos="972"/>
              </w:tabs>
              <w:spacing w:after="60"/>
              <w:rPr>
                <w:sz w:val="20"/>
                <w:szCs w:val="20"/>
              </w:rPr>
            </w:pPr>
          </w:p>
        </w:tc>
      </w:tr>
      <w:tr w:rsidR="00212057" w14:paraId="2B480312" w14:textId="77777777" w:rsidTr="005505B9">
        <w:tc>
          <w:tcPr>
            <w:tcW w:w="4112" w:type="dxa"/>
          </w:tcPr>
          <w:p w14:paraId="2DE82CDA" w14:textId="77777777" w:rsidR="00212057" w:rsidRPr="00CC5270" w:rsidRDefault="00212057" w:rsidP="005505B9">
            <w:pPr>
              <w:spacing w:after="60"/>
              <w:rPr>
                <w:sz w:val="20"/>
                <w:szCs w:val="20"/>
              </w:rPr>
            </w:pPr>
            <w:r w:rsidRPr="00CC5270">
              <w:rPr>
                <w:sz w:val="20"/>
                <w:szCs w:val="20"/>
              </w:rPr>
              <w:t>PROFIT AND LOSS ACCOUNT</w:t>
            </w:r>
          </w:p>
        </w:tc>
        <w:tc>
          <w:tcPr>
            <w:tcW w:w="850" w:type="dxa"/>
          </w:tcPr>
          <w:p w14:paraId="3F0D75DF" w14:textId="77777777" w:rsidR="00212057" w:rsidRPr="00CC5270" w:rsidRDefault="00212057" w:rsidP="005505B9">
            <w:pPr>
              <w:tabs>
                <w:tab w:val="right" w:pos="1062"/>
              </w:tabs>
              <w:spacing w:after="60"/>
              <w:rPr>
                <w:sz w:val="20"/>
                <w:szCs w:val="20"/>
              </w:rPr>
            </w:pPr>
          </w:p>
        </w:tc>
        <w:tc>
          <w:tcPr>
            <w:tcW w:w="1134" w:type="dxa"/>
            <w:tcBorders>
              <w:right w:val="single" w:sz="4" w:space="0" w:color="auto"/>
            </w:tcBorders>
          </w:tcPr>
          <w:p w14:paraId="026FBB37" w14:textId="77777777" w:rsidR="00212057" w:rsidRPr="00CC5270" w:rsidRDefault="00212057" w:rsidP="005505B9">
            <w:pPr>
              <w:tabs>
                <w:tab w:val="right" w:pos="882"/>
              </w:tabs>
              <w:spacing w:after="60"/>
              <w:rPr>
                <w:sz w:val="20"/>
                <w:szCs w:val="20"/>
              </w:rPr>
            </w:pPr>
          </w:p>
        </w:tc>
        <w:tc>
          <w:tcPr>
            <w:tcW w:w="3686" w:type="dxa"/>
            <w:tcBorders>
              <w:left w:val="single" w:sz="4" w:space="0" w:color="auto"/>
            </w:tcBorders>
          </w:tcPr>
          <w:p w14:paraId="136DE03C" w14:textId="77777777" w:rsidR="00212057" w:rsidRPr="00CC5270" w:rsidRDefault="00212057" w:rsidP="005505B9">
            <w:pPr>
              <w:tabs>
                <w:tab w:val="right" w:pos="1062"/>
              </w:tabs>
              <w:spacing w:after="60"/>
              <w:rPr>
                <w:sz w:val="20"/>
                <w:szCs w:val="20"/>
              </w:rPr>
            </w:pPr>
          </w:p>
        </w:tc>
        <w:tc>
          <w:tcPr>
            <w:tcW w:w="1086" w:type="dxa"/>
          </w:tcPr>
          <w:p w14:paraId="79401A90" w14:textId="77777777" w:rsidR="00212057" w:rsidRPr="00CC5270" w:rsidRDefault="00212057" w:rsidP="005505B9">
            <w:pPr>
              <w:tabs>
                <w:tab w:val="right" w:pos="972"/>
              </w:tabs>
              <w:spacing w:after="60"/>
              <w:rPr>
                <w:sz w:val="20"/>
                <w:szCs w:val="20"/>
              </w:rPr>
            </w:pPr>
          </w:p>
        </w:tc>
      </w:tr>
      <w:tr w:rsidR="00212057" w14:paraId="2866A6F0" w14:textId="77777777" w:rsidTr="005505B9">
        <w:tc>
          <w:tcPr>
            <w:tcW w:w="4112" w:type="dxa"/>
          </w:tcPr>
          <w:p w14:paraId="04AA8DA7" w14:textId="77777777" w:rsidR="00212057" w:rsidRPr="00CC5270" w:rsidRDefault="00212057" w:rsidP="005505B9">
            <w:pPr>
              <w:tabs>
                <w:tab w:val="left" w:pos="249"/>
              </w:tabs>
              <w:spacing w:after="60"/>
              <w:rPr>
                <w:sz w:val="20"/>
                <w:szCs w:val="20"/>
              </w:rPr>
            </w:pPr>
            <w:r w:rsidRPr="00CC5270">
              <w:rPr>
                <w:sz w:val="20"/>
                <w:szCs w:val="20"/>
              </w:rPr>
              <w:tab/>
              <w:t>Balance from Profit and Loss Account</w:t>
            </w:r>
          </w:p>
        </w:tc>
        <w:tc>
          <w:tcPr>
            <w:tcW w:w="850" w:type="dxa"/>
          </w:tcPr>
          <w:p w14:paraId="1E08F76B" w14:textId="77777777" w:rsidR="00212057" w:rsidRPr="00CC5270" w:rsidRDefault="00212057" w:rsidP="005505B9">
            <w:pPr>
              <w:tabs>
                <w:tab w:val="right" w:pos="702"/>
              </w:tabs>
              <w:spacing w:after="60"/>
              <w:rPr>
                <w:sz w:val="20"/>
                <w:szCs w:val="20"/>
              </w:rPr>
            </w:pPr>
            <w:r w:rsidRPr="00CC5270">
              <w:rPr>
                <w:sz w:val="20"/>
                <w:szCs w:val="20"/>
              </w:rPr>
              <w:tab/>
              <w:t>847,879</w:t>
            </w:r>
          </w:p>
        </w:tc>
        <w:tc>
          <w:tcPr>
            <w:tcW w:w="1134" w:type="dxa"/>
            <w:tcBorders>
              <w:right w:val="single" w:sz="4" w:space="0" w:color="auto"/>
            </w:tcBorders>
          </w:tcPr>
          <w:p w14:paraId="59087CBE" w14:textId="77777777" w:rsidR="00212057" w:rsidRPr="00CC5270" w:rsidRDefault="00212057" w:rsidP="005505B9">
            <w:pPr>
              <w:tabs>
                <w:tab w:val="right" w:pos="882"/>
              </w:tabs>
              <w:spacing w:after="60"/>
              <w:rPr>
                <w:sz w:val="20"/>
                <w:szCs w:val="20"/>
              </w:rPr>
            </w:pPr>
          </w:p>
        </w:tc>
        <w:tc>
          <w:tcPr>
            <w:tcW w:w="3686" w:type="dxa"/>
            <w:tcBorders>
              <w:left w:val="single" w:sz="4" w:space="0" w:color="auto"/>
            </w:tcBorders>
          </w:tcPr>
          <w:p w14:paraId="35A659B2" w14:textId="77777777" w:rsidR="00212057" w:rsidRPr="00CC5270" w:rsidRDefault="00212057" w:rsidP="005505B9">
            <w:pPr>
              <w:tabs>
                <w:tab w:val="right" w:pos="1062"/>
              </w:tabs>
              <w:spacing w:after="60"/>
              <w:rPr>
                <w:sz w:val="20"/>
                <w:szCs w:val="20"/>
              </w:rPr>
            </w:pPr>
          </w:p>
        </w:tc>
        <w:tc>
          <w:tcPr>
            <w:tcW w:w="1086" w:type="dxa"/>
          </w:tcPr>
          <w:p w14:paraId="49CBBEE1" w14:textId="77777777" w:rsidR="00212057" w:rsidRPr="00CC5270" w:rsidRDefault="00212057" w:rsidP="005505B9">
            <w:pPr>
              <w:tabs>
                <w:tab w:val="right" w:pos="972"/>
              </w:tabs>
              <w:spacing w:after="60"/>
              <w:rPr>
                <w:sz w:val="20"/>
                <w:szCs w:val="20"/>
              </w:rPr>
            </w:pPr>
          </w:p>
        </w:tc>
      </w:tr>
      <w:tr w:rsidR="00212057" w14:paraId="3881F55D" w14:textId="77777777" w:rsidTr="005505B9">
        <w:tc>
          <w:tcPr>
            <w:tcW w:w="4112" w:type="dxa"/>
          </w:tcPr>
          <w:p w14:paraId="051F1FEE" w14:textId="77777777" w:rsidR="00212057" w:rsidRPr="00CC5270" w:rsidRDefault="00212057" w:rsidP="005505B9">
            <w:pPr>
              <w:tabs>
                <w:tab w:val="left" w:pos="249"/>
              </w:tabs>
              <w:spacing w:after="60"/>
              <w:rPr>
                <w:sz w:val="20"/>
                <w:szCs w:val="20"/>
              </w:rPr>
            </w:pPr>
            <w:r w:rsidRPr="00CC5270">
              <w:rPr>
                <w:sz w:val="20"/>
                <w:szCs w:val="20"/>
              </w:rPr>
              <w:tab/>
            </w:r>
            <w:r w:rsidRPr="00CC5270">
              <w:rPr>
                <w:i/>
                <w:sz w:val="20"/>
                <w:szCs w:val="20"/>
              </w:rPr>
              <w:t>Less</w:t>
            </w:r>
            <w:r w:rsidRPr="00CC5270">
              <w:rPr>
                <w:sz w:val="20"/>
                <w:szCs w:val="20"/>
              </w:rPr>
              <w:t xml:space="preserve"> Dividends</w:t>
            </w:r>
          </w:p>
        </w:tc>
        <w:tc>
          <w:tcPr>
            <w:tcW w:w="850" w:type="dxa"/>
          </w:tcPr>
          <w:p w14:paraId="16189FAA" w14:textId="77777777" w:rsidR="00212057" w:rsidRPr="00CC5270" w:rsidRDefault="00212057" w:rsidP="005505B9">
            <w:pPr>
              <w:tabs>
                <w:tab w:val="right" w:pos="702"/>
              </w:tabs>
              <w:spacing w:after="60"/>
              <w:rPr>
                <w:sz w:val="20"/>
                <w:szCs w:val="20"/>
              </w:rPr>
            </w:pPr>
            <w:r w:rsidRPr="00CC5270">
              <w:rPr>
                <w:sz w:val="20"/>
                <w:szCs w:val="20"/>
              </w:rPr>
              <w:tab/>
              <w:t>184,131</w:t>
            </w:r>
          </w:p>
        </w:tc>
        <w:tc>
          <w:tcPr>
            <w:tcW w:w="1134" w:type="dxa"/>
            <w:tcBorders>
              <w:right w:val="single" w:sz="4" w:space="0" w:color="auto"/>
            </w:tcBorders>
          </w:tcPr>
          <w:p w14:paraId="49B20B0F" w14:textId="77777777" w:rsidR="00212057" w:rsidRPr="00CC5270" w:rsidRDefault="00212057" w:rsidP="005505B9">
            <w:pPr>
              <w:tabs>
                <w:tab w:val="right" w:pos="882"/>
              </w:tabs>
              <w:spacing w:after="60"/>
              <w:rPr>
                <w:sz w:val="20"/>
                <w:szCs w:val="20"/>
              </w:rPr>
            </w:pPr>
          </w:p>
        </w:tc>
        <w:tc>
          <w:tcPr>
            <w:tcW w:w="3686" w:type="dxa"/>
            <w:tcBorders>
              <w:left w:val="single" w:sz="4" w:space="0" w:color="auto"/>
            </w:tcBorders>
          </w:tcPr>
          <w:p w14:paraId="4E5F112B" w14:textId="77777777" w:rsidR="00212057" w:rsidRPr="00CC5270" w:rsidRDefault="00212057" w:rsidP="005505B9">
            <w:pPr>
              <w:tabs>
                <w:tab w:val="right" w:pos="1062"/>
              </w:tabs>
              <w:spacing w:after="60"/>
              <w:rPr>
                <w:sz w:val="20"/>
                <w:szCs w:val="20"/>
              </w:rPr>
            </w:pPr>
          </w:p>
        </w:tc>
        <w:tc>
          <w:tcPr>
            <w:tcW w:w="1086" w:type="dxa"/>
          </w:tcPr>
          <w:p w14:paraId="30228CD8" w14:textId="77777777" w:rsidR="00212057" w:rsidRPr="00CC5270" w:rsidRDefault="00212057" w:rsidP="005505B9">
            <w:pPr>
              <w:tabs>
                <w:tab w:val="right" w:pos="972"/>
              </w:tabs>
              <w:spacing w:after="60"/>
              <w:rPr>
                <w:sz w:val="20"/>
                <w:szCs w:val="20"/>
              </w:rPr>
            </w:pPr>
          </w:p>
        </w:tc>
      </w:tr>
      <w:tr w:rsidR="00212057" w14:paraId="5198342C" w14:textId="77777777" w:rsidTr="005505B9">
        <w:tc>
          <w:tcPr>
            <w:tcW w:w="4112" w:type="dxa"/>
          </w:tcPr>
          <w:p w14:paraId="6CAEC1C8" w14:textId="77777777" w:rsidR="00212057" w:rsidRPr="00CC5270" w:rsidRDefault="00212057" w:rsidP="005505B9">
            <w:pPr>
              <w:tabs>
                <w:tab w:val="left" w:pos="249"/>
              </w:tabs>
              <w:spacing w:after="60"/>
              <w:rPr>
                <w:sz w:val="20"/>
                <w:szCs w:val="20"/>
              </w:rPr>
            </w:pPr>
          </w:p>
        </w:tc>
        <w:tc>
          <w:tcPr>
            <w:tcW w:w="850" w:type="dxa"/>
          </w:tcPr>
          <w:p w14:paraId="074CFD10" w14:textId="77777777" w:rsidR="00212057" w:rsidRPr="00CC5270" w:rsidRDefault="00212057" w:rsidP="005505B9">
            <w:pPr>
              <w:tabs>
                <w:tab w:val="right" w:pos="1062"/>
              </w:tabs>
              <w:spacing w:after="60"/>
              <w:rPr>
                <w:sz w:val="20"/>
                <w:szCs w:val="20"/>
              </w:rPr>
            </w:pPr>
          </w:p>
        </w:tc>
        <w:tc>
          <w:tcPr>
            <w:tcW w:w="1134" w:type="dxa"/>
            <w:tcBorders>
              <w:bottom w:val="single" w:sz="4" w:space="0" w:color="auto"/>
              <w:right w:val="single" w:sz="4" w:space="0" w:color="auto"/>
            </w:tcBorders>
          </w:tcPr>
          <w:p w14:paraId="2F94F567" w14:textId="77777777" w:rsidR="00212057" w:rsidRPr="00CC5270" w:rsidRDefault="00212057" w:rsidP="005505B9">
            <w:pPr>
              <w:tabs>
                <w:tab w:val="right" w:pos="882"/>
              </w:tabs>
              <w:spacing w:after="60"/>
              <w:rPr>
                <w:sz w:val="20"/>
                <w:szCs w:val="20"/>
              </w:rPr>
            </w:pPr>
            <w:r w:rsidRPr="00CC5270">
              <w:rPr>
                <w:sz w:val="20"/>
                <w:szCs w:val="20"/>
              </w:rPr>
              <w:tab/>
              <w:t>663,748</w:t>
            </w:r>
          </w:p>
        </w:tc>
        <w:tc>
          <w:tcPr>
            <w:tcW w:w="3686" w:type="dxa"/>
            <w:tcBorders>
              <w:left w:val="single" w:sz="4" w:space="0" w:color="auto"/>
              <w:bottom w:val="single" w:sz="4" w:space="0" w:color="auto"/>
            </w:tcBorders>
          </w:tcPr>
          <w:p w14:paraId="009738CE" w14:textId="77777777" w:rsidR="00212057" w:rsidRPr="00CC5270" w:rsidRDefault="00212057" w:rsidP="005505B9">
            <w:pPr>
              <w:tabs>
                <w:tab w:val="right" w:pos="1062"/>
              </w:tabs>
              <w:spacing w:after="60"/>
              <w:rPr>
                <w:sz w:val="20"/>
                <w:szCs w:val="20"/>
              </w:rPr>
            </w:pPr>
          </w:p>
        </w:tc>
        <w:tc>
          <w:tcPr>
            <w:tcW w:w="1086" w:type="dxa"/>
            <w:tcBorders>
              <w:bottom w:val="single" w:sz="4" w:space="0" w:color="auto"/>
            </w:tcBorders>
          </w:tcPr>
          <w:p w14:paraId="446AD5C8" w14:textId="77777777" w:rsidR="00212057" w:rsidRPr="00CC5270" w:rsidRDefault="00212057" w:rsidP="005505B9">
            <w:pPr>
              <w:tabs>
                <w:tab w:val="right" w:pos="972"/>
              </w:tabs>
              <w:spacing w:after="60"/>
              <w:rPr>
                <w:sz w:val="20"/>
                <w:szCs w:val="20"/>
              </w:rPr>
            </w:pPr>
          </w:p>
        </w:tc>
      </w:tr>
      <w:tr w:rsidR="00212057" w14:paraId="5B5AFDB9" w14:textId="77777777" w:rsidTr="005505B9">
        <w:tc>
          <w:tcPr>
            <w:tcW w:w="4112" w:type="dxa"/>
          </w:tcPr>
          <w:p w14:paraId="57164B1C" w14:textId="77777777" w:rsidR="00212057" w:rsidRPr="00CC5270" w:rsidRDefault="00212057" w:rsidP="005505B9">
            <w:pPr>
              <w:tabs>
                <w:tab w:val="left" w:pos="249"/>
              </w:tabs>
              <w:spacing w:after="60"/>
              <w:rPr>
                <w:sz w:val="20"/>
                <w:szCs w:val="20"/>
              </w:rPr>
            </w:pPr>
          </w:p>
        </w:tc>
        <w:tc>
          <w:tcPr>
            <w:tcW w:w="850" w:type="dxa"/>
          </w:tcPr>
          <w:p w14:paraId="0D4C43D2" w14:textId="77777777" w:rsidR="00212057" w:rsidRPr="00CC5270" w:rsidRDefault="00212057" w:rsidP="005505B9">
            <w:pPr>
              <w:tabs>
                <w:tab w:val="right" w:pos="1062"/>
              </w:tabs>
              <w:spacing w:after="60"/>
              <w:rPr>
                <w:sz w:val="20"/>
                <w:szCs w:val="20"/>
              </w:rPr>
            </w:pPr>
            <w:r w:rsidRPr="00CC5270">
              <w:rPr>
                <w:sz w:val="20"/>
                <w:szCs w:val="20"/>
              </w:rPr>
              <w:tab/>
            </w:r>
          </w:p>
        </w:tc>
        <w:tc>
          <w:tcPr>
            <w:tcW w:w="1134" w:type="dxa"/>
            <w:tcBorders>
              <w:top w:val="single" w:sz="4" w:space="0" w:color="auto"/>
              <w:bottom w:val="single" w:sz="4" w:space="0" w:color="auto"/>
              <w:right w:val="single" w:sz="4" w:space="0" w:color="auto"/>
            </w:tcBorders>
          </w:tcPr>
          <w:p w14:paraId="41D2902D" w14:textId="77777777" w:rsidR="00212057" w:rsidRPr="00CC5270" w:rsidRDefault="00212057" w:rsidP="005505B9">
            <w:pPr>
              <w:tabs>
                <w:tab w:val="right" w:pos="882"/>
              </w:tabs>
              <w:spacing w:after="60"/>
              <w:rPr>
                <w:sz w:val="20"/>
                <w:szCs w:val="20"/>
              </w:rPr>
            </w:pPr>
            <w:r w:rsidRPr="00CC5270">
              <w:rPr>
                <w:sz w:val="20"/>
                <w:szCs w:val="20"/>
              </w:rPr>
              <w:tab/>
              <w:t>6,267,165</w:t>
            </w:r>
          </w:p>
        </w:tc>
        <w:tc>
          <w:tcPr>
            <w:tcW w:w="3686" w:type="dxa"/>
            <w:tcBorders>
              <w:top w:val="single" w:sz="4" w:space="0" w:color="auto"/>
              <w:left w:val="single" w:sz="4" w:space="0" w:color="auto"/>
              <w:bottom w:val="single" w:sz="4" w:space="0" w:color="auto"/>
            </w:tcBorders>
          </w:tcPr>
          <w:p w14:paraId="45F1F3BA" w14:textId="77777777" w:rsidR="00212057" w:rsidRPr="00CC5270" w:rsidRDefault="00212057" w:rsidP="005505B9">
            <w:pPr>
              <w:tabs>
                <w:tab w:val="right" w:pos="1062"/>
              </w:tabs>
              <w:spacing w:after="60"/>
              <w:rPr>
                <w:sz w:val="20"/>
                <w:szCs w:val="20"/>
              </w:rPr>
            </w:pPr>
          </w:p>
        </w:tc>
        <w:tc>
          <w:tcPr>
            <w:tcW w:w="1086" w:type="dxa"/>
            <w:tcBorders>
              <w:top w:val="single" w:sz="4" w:space="0" w:color="auto"/>
              <w:bottom w:val="single" w:sz="4" w:space="0" w:color="auto"/>
            </w:tcBorders>
          </w:tcPr>
          <w:p w14:paraId="6E1FF731" w14:textId="77777777" w:rsidR="00212057" w:rsidRPr="00CC5270" w:rsidRDefault="00212057" w:rsidP="005505B9">
            <w:pPr>
              <w:tabs>
                <w:tab w:val="right" w:pos="972"/>
              </w:tabs>
              <w:spacing w:after="60"/>
              <w:rPr>
                <w:sz w:val="20"/>
                <w:szCs w:val="20"/>
              </w:rPr>
            </w:pPr>
            <w:r>
              <w:rPr>
                <w:sz w:val="20"/>
                <w:szCs w:val="20"/>
              </w:rPr>
              <w:tab/>
              <w:t>6,267,165</w:t>
            </w:r>
          </w:p>
        </w:tc>
      </w:tr>
    </w:tbl>
    <w:p w14:paraId="4CC483D7" w14:textId="77777777" w:rsidR="00212057" w:rsidRDefault="00212057" w:rsidP="00212057"/>
    <w:p w14:paraId="2A029C95" w14:textId="2B8C79A2" w:rsidR="00212057" w:rsidRDefault="00212057" w:rsidP="00212057">
      <w:r w:rsidRPr="006C3380">
        <w:t xml:space="preserve">Figure 3.  </w:t>
      </w:r>
      <w:r>
        <w:t>The balance sheet of Marks and Spencer Limited as at 31 March 1934 (main headings only; shillings and pence rounded)</w:t>
      </w:r>
      <w:r w:rsidR="006C3380">
        <w:t>.</w:t>
      </w:r>
      <w:r>
        <w:br w:type="page"/>
      </w:r>
    </w:p>
    <w:p w14:paraId="413DD2ED" w14:textId="77777777" w:rsidR="00212057" w:rsidRPr="00212057" w:rsidRDefault="00212057" w:rsidP="00212057">
      <w:pPr>
        <w:spacing w:after="120" w:line="240" w:lineRule="auto"/>
        <w:rPr>
          <w:b/>
        </w:rPr>
      </w:pPr>
      <w:r w:rsidRPr="00212057">
        <w:rPr>
          <w:b/>
        </w:rPr>
        <w:t>Liabilities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1890"/>
      </w:tblGrid>
      <w:tr w:rsidR="00212057" w14:paraId="000ECA77" w14:textId="77777777" w:rsidTr="005505B9">
        <w:tc>
          <w:tcPr>
            <w:tcW w:w="5508" w:type="dxa"/>
          </w:tcPr>
          <w:p w14:paraId="7BD19CEB" w14:textId="77777777" w:rsidR="00212057" w:rsidRPr="00DD31F7" w:rsidRDefault="00212057" w:rsidP="005505B9">
            <w:pPr>
              <w:spacing w:after="120"/>
              <w:rPr>
                <w:u w:val="single"/>
              </w:rPr>
            </w:pPr>
            <w:r>
              <w:rPr>
                <w:u w:val="single"/>
              </w:rPr>
              <w:t>CAPITAL AND RESERVES</w:t>
            </w:r>
          </w:p>
        </w:tc>
        <w:tc>
          <w:tcPr>
            <w:tcW w:w="1890" w:type="dxa"/>
          </w:tcPr>
          <w:p w14:paraId="337DE6DF" w14:textId="77777777" w:rsidR="00212057" w:rsidRDefault="00212057" w:rsidP="005505B9">
            <w:pPr>
              <w:tabs>
                <w:tab w:val="right" w:pos="702"/>
                <w:tab w:val="right" w:pos="1152"/>
                <w:tab w:val="right" w:pos="1602"/>
              </w:tabs>
              <w:spacing w:after="120"/>
            </w:pPr>
            <w:r>
              <w:tab/>
              <w:t>15</w:t>
            </w:r>
            <w:r>
              <w:tab/>
              <w:t>128</w:t>
            </w:r>
            <w:r>
              <w:tab/>
              <w:t>803</w:t>
            </w:r>
          </w:p>
        </w:tc>
      </w:tr>
      <w:tr w:rsidR="00212057" w14:paraId="7B7CA0C8" w14:textId="77777777" w:rsidTr="005505B9">
        <w:tc>
          <w:tcPr>
            <w:tcW w:w="5508" w:type="dxa"/>
          </w:tcPr>
          <w:p w14:paraId="5279D55A" w14:textId="77777777" w:rsidR="00212057" w:rsidRDefault="00212057" w:rsidP="005505B9">
            <w:r>
              <w:t>Issued capital</w:t>
            </w:r>
          </w:p>
        </w:tc>
        <w:tc>
          <w:tcPr>
            <w:tcW w:w="1890" w:type="dxa"/>
          </w:tcPr>
          <w:p w14:paraId="26FAB849" w14:textId="77777777" w:rsidR="00212057" w:rsidRDefault="00212057" w:rsidP="005505B9">
            <w:pPr>
              <w:tabs>
                <w:tab w:val="right" w:pos="702"/>
                <w:tab w:val="right" w:pos="1152"/>
                <w:tab w:val="right" w:pos="1602"/>
              </w:tabs>
            </w:pPr>
            <w:r>
              <w:tab/>
              <w:t>1</w:t>
            </w:r>
            <w:r>
              <w:tab/>
              <w:t>541</w:t>
            </w:r>
            <w:r>
              <w:tab/>
              <w:t>449</w:t>
            </w:r>
          </w:p>
        </w:tc>
      </w:tr>
      <w:tr w:rsidR="00212057" w14:paraId="7B089315" w14:textId="77777777" w:rsidTr="005505B9">
        <w:tc>
          <w:tcPr>
            <w:tcW w:w="5508" w:type="dxa"/>
          </w:tcPr>
          <w:p w14:paraId="773117CE" w14:textId="77777777" w:rsidR="00212057" w:rsidRDefault="00212057" w:rsidP="005505B9">
            <w:r>
              <w:t>Share premium account shares and converted bonds</w:t>
            </w:r>
          </w:p>
        </w:tc>
        <w:tc>
          <w:tcPr>
            <w:tcW w:w="1890" w:type="dxa"/>
          </w:tcPr>
          <w:p w14:paraId="316B437B" w14:textId="77777777" w:rsidR="00212057" w:rsidRDefault="00212057" w:rsidP="005505B9">
            <w:pPr>
              <w:tabs>
                <w:tab w:val="right" w:pos="702"/>
                <w:tab w:val="right" w:pos="1152"/>
                <w:tab w:val="right" w:pos="1602"/>
              </w:tabs>
            </w:pPr>
            <w:r>
              <w:tab/>
              <w:t>1</w:t>
            </w:r>
            <w:r>
              <w:tab/>
              <w:t>373</w:t>
            </w:r>
            <w:r>
              <w:tab/>
              <w:t>860</w:t>
            </w:r>
          </w:p>
        </w:tc>
      </w:tr>
      <w:tr w:rsidR="00212057" w14:paraId="19EF0790" w14:textId="77777777" w:rsidTr="005505B9">
        <w:tc>
          <w:tcPr>
            <w:tcW w:w="5508" w:type="dxa"/>
          </w:tcPr>
          <w:p w14:paraId="12FF7ED3" w14:textId="77777777" w:rsidR="00212057" w:rsidRDefault="00212057" w:rsidP="005505B9">
            <w:r>
              <w:t>Revaluation reserve</w:t>
            </w:r>
          </w:p>
        </w:tc>
        <w:tc>
          <w:tcPr>
            <w:tcW w:w="1890" w:type="dxa"/>
          </w:tcPr>
          <w:p w14:paraId="6EB1113B" w14:textId="77777777" w:rsidR="00212057" w:rsidRDefault="00212057" w:rsidP="005505B9">
            <w:pPr>
              <w:tabs>
                <w:tab w:val="right" w:pos="702"/>
                <w:tab w:val="right" w:pos="1152"/>
                <w:tab w:val="right" w:pos="1602"/>
              </w:tabs>
            </w:pPr>
            <w:r>
              <w:tab/>
              <w:t>2</w:t>
            </w:r>
            <w:r>
              <w:tab/>
              <w:t>764</w:t>
            </w:r>
            <w:r>
              <w:tab/>
              <w:t>919</w:t>
            </w:r>
          </w:p>
        </w:tc>
      </w:tr>
      <w:tr w:rsidR="00212057" w14:paraId="66FDB679" w14:textId="77777777" w:rsidTr="005505B9">
        <w:tc>
          <w:tcPr>
            <w:tcW w:w="5508" w:type="dxa"/>
          </w:tcPr>
          <w:p w14:paraId="0201CDFF" w14:textId="77777777" w:rsidR="00212057" w:rsidRDefault="00212057" w:rsidP="005505B9">
            <w:r>
              <w:t>Legal reserve</w:t>
            </w:r>
          </w:p>
        </w:tc>
        <w:tc>
          <w:tcPr>
            <w:tcW w:w="1890" w:type="dxa"/>
          </w:tcPr>
          <w:p w14:paraId="1A486956" w14:textId="77777777" w:rsidR="00212057" w:rsidRDefault="00212057" w:rsidP="005505B9">
            <w:pPr>
              <w:tabs>
                <w:tab w:val="right" w:pos="702"/>
                <w:tab w:val="right" w:pos="1152"/>
                <w:tab w:val="right" w:pos="1602"/>
              </w:tabs>
            </w:pPr>
            <w:r>
              <w:tab/>
            </w:r>
            <w:r>
              <w:tab/>
              <w:t>153</w:t>
            </w:r>
            <w:r>
              <w:tab/>
              <w:t>587</w:t>
            </w:r>
          </w:p>
        </w:tc>
      </w:tr>
      <w:tr w:rsidR="00212057" w14:paraId="4404B46F" w14:textId="77777777" w:rsidTr="005505B9">
        <w:tc>
          <w:tcPr>
            <w:tcW w:w="5508" w:type="dxa"/>
          </w:tcPr>
          <w:p w14:paraId="2E4E3393" w14:textId="77777777" w:rsidR="00212057" w:rsidRDefault="00212057" w:rsidP="005505B9">
            <w:r>
              <w:t>Other reserves:</w:t>
            </w:r>
          </w:p>
        </w:tc>
        <w:tc>
          <w:tcPr>
            <w:tcW w:w="1890" w:type="dxa"/>
          </w:tcPr>
          <w:p w14:paraId="091D4C4C" w14:textId="77777777" w:rsidR="00212057" w:rsidRDefault="00212057" w:rsidP="005505B9">
            <w:pPr>
              <w:tabs>
                <w:tab w:val="right" w:pos="702"/>
                <w:tab w:val="right" w:pos="1152"/>
                <w:tab w:val="right" w:pos="1602"/>
              </w:tabs>
            </w:pPr>
          </w:p>
        </w:tc>
      </w:tr>
      <w:tr w:rsidR="00212057" w14:paraId="34AD8EAE" w14:textId="77777777" w:rsidTr="005505B9">
        <w:tc>
          <w:tcPr>
            <w:tcW w:w="5508" w:type="dxa"/>
          </w:tcPr>
          <w:p w14:paraId="038AE257" w14:textId="77777777" w:rsidR="00212057" w:rsidRDefault="00212057" w:rsidP="005505B9">
            <w:pPr>
              <w:tabs>
                <w:tab w:val="left" w:pos="225"/>
              </w:tabs>
            </w:pPr>
            <w:r>
              <w:tab/>
              <w:t>General reserves</w:t>
            </w:r>
          </w:p>
        </w:tc>
        <w:tc>
          <w:tcPr>
            <w:tcW w:w="1890" w:type="dxa"/>
          </w:tcPr>
          <w:p w14:paraId="0219D92F" w14:textId="77777777" w:rsidR="00212057" w:rsidRDefault="00212057" w:rsidP="005505B9">
            <w:pPr>
              <w:tabs>
                <w:tab w:val="right" w:pos="702"/>
                <w:tab w:val="right" w:pos="1152"/>
                <w:tab w:val="right" w:pos="1602"/>
              </w:tabs>
            </w:pPr>
            <w:r>
              <w:tab/>
              <w:t>7</w:t>
            </w:r>
            <w:r>
              <w:tab/>
              <w:t>365</w:t>
            </w:r>
            <w:r>
              <w:tab/>
              <w:t>000</w:t>
            </w:r>
          </w:p>
        </w:tc>
      </w:tr>
      <w:tr w:rsidR="00212057" w14:paraId="5F206079" w14:textId="77777777" w:rsidTr="005505B9">
        <w:tc>
          <w:tcPr>
            <w:tcW w:w="5508" w:type="dxa"/>
          </w:tcPr>
          <w:p w14:paraId="0147824F" w14:textId="77777777" w:rsidR="00212057" w:rsidRDefault="00212057" w:rsidP="005505B9">
            <w:pPr>
              <w:tabs>
                <w:tab w:val="left" w:pos="225"/>
              </w:tabs>
            </w:pPr>
            <w:r>
              <w:tab/>
              <w:t>Surplus arising on exchange of shares</w:t>
            </w:r>
          </w:p>
        </w:tc>
        <w:tc>
          <w:tcPr>
            <w:tcW w:w="1890" w:type="dxa"/>
          </w:tcPr>
          <w:p w14:paraId="2F5EB3B1" w14:textId="77777777" w:rsidR="00212057" w:rsidRDefault="00212057" w:rsidP="005505B9">
            <w:pPr>
              <w:tabs>
                <w:tab w:val="right" w:pos="702"/>
                <w:tab w:val="right" w:pos="1152"/>
                <w:tab w:val="right" w:pos="1602"/>
              </w:tabs>
            </w:pPr>
            <w:r>
              <w:tab/>
            </w:r>
            <w:r>
              <w:tab/>
              <w:t>14</w:t>
            </w:r>
            <w:r>
              <w:tab/>
              <w:t>335</w:t>
            </w:r>
          </w:p>
        </w:tc>
      </w:tr>
      <w:tr w:rsidR="00212057" w14:paraId="2EC16B69" w14:textId="77777777" w:rsidTr="005505B9">
        <w:tc>
          <w:tcPr>
            <w:tcW w:w="5508" w:type="dxa"/>
          </w:tcPr>
          <w:p w14:paraId="7821D8C2" w14:textId="77777777" w:rsidR="00212057" w:rsidRDefault="00212057" w:rsidP="005505B9">
            <w:pPr>
              <w:tabs>
                <w:tab w:val="left" w:pos="225"/>
              </w:tabs>
              <w:spacing w:after="240"/>
            </w:pPr>
            <w:r>
              <w:t>Profit brought forward</w:t>
            </w:r>
            <w:r>
              <w:tab/>
            </w:r>
          </w:p>
        </w:tc>
        <w:tc>
          <w:tcPr>
            <w:tcW w:w="1890" w:type="dxa"/>
          </w:tcPr>
          <w:p w14:paraId="4585880E" w14:textId="77777777" w:rsidR="00212057" w:rsidRDefault="00212057" w:rsidP="005505B9">
            <w:pPr>
              <w:tabs>
                <w:tab w:val="right" w:pos="702"/>
                <w:tab w:val="right" w:pos="1152"/>
                <w:tab w:val="right" w:pos="1602"/>
              </w:tabs>
              <w:spacing w:after="240"/>
            </w:pPr>
            <w:r>
              <w:tab/>
            </w:r>
            <w:r>
              <w:tab/>
              <w:t>292</w:t>
            </w:r>
            <w:r>
              <w:tab/>
              <w:t>039</w:t>
            </w:r>
          </w:p>
        </w:tc>
      </w:tr>
      <w:tr w:rsidR="00212057" w14:paraId="31E916D7" w14:textId="77777777" w:rsidTr="005505B9">
        <w:tc>
          <w:tcPr>
            <w:tcW w:w="5508" w:type="dxa"/>
          </w:tcPr>
          <w:p w14:paraId="4D426B51" w14:textId="77777777" w:rsidR="00212057" w:rsidRDefault="00212057" w:rsidP="005505B9">
            <w:pPr>
              <w:tabs>
                <w:tab w:val="left" w:pos="225"/>
              </w:tabs>
              <w:spacing w:after="240"/>
            </w:pPr>
            <w:r>
              <w:t>Profit for the year</w:t>
            </w:r>
          </w:p>
        </w:tc>
        <w:tc>
          <w:tcPr>
            <w:tcW w:w="1890" w:type="dxa"/>
          </w:tcPr>
          <w:p w14:paraId="081BE9E8" w14:textId="77777777" w:rsidR="00212057" w:rsidRDefault="00212057" w:rsidP="005505B9">
            <w:pPr>
              <w:tabs>
                <w:tab w:val="right" w:pos="702"/>
                <w:tab w:val="right" w:pos="1152"/>
                <w:tab w:val="right" w:pos="1602"/>
              </w:tabs>
              <w:spacing w:after="240"/>
            </w:pPr>
            <w:r>
              <w:tab/>
              <w:t>1</w:t>
            </w:r>
            <w:r>
              <w:tab/>
              <w:t>623</w:t>
            </w:r>
            <w:r>
              <w:tab/>
              <w:t>034</w:t>
            </w:r>
          </w:p>
        </w:tc>
      </w:tr>
      <w:tr w:rsidR="00212057" w14:paraId="358B9B5F" w14:textId="77777777" w:rsidTr="005505B9">
        <w:tc>
          <w:tcPr>
            <w:tcW w:w="5508" w:type="dxa"/>
          </w:tcPr>
          <w:p w14:paraId="561DFA5D" w14:textId="77777777" w:rsidR="00212057" w:rsidRDefault="00212057" w:rsidP="005505B9">
            <w:pPr>
              <w:tabs>
                <w:tab w:val="left" w:pos="225"/>
              </w:tabs>
              <w:spacing w:after="240"/>
            </w:pPr>
            <w:r>
              <w:t>Legal revaluation special provision</w:t>
            </w:r>
          </w:p>
        </w:tc>
        <w:tc>
          <w:tcPr>
            <w:tcW w:w="1890" w:type="dxa"/>
          </w:tcPr>
          <w:p w14:paraId="571AADD5" w14:textId="77777777" w:rsidR="00212057" w:rsidRDefault="00212057" w:rsidP="005505B9">
            <w:pPr>
              <w:tabs>
                <w:tab w:val="right" w:pos="702"/>
                <w:tab w:val="right" w:pos="1152"/>
                <w:tab w:val="right" w:pos="1602"/>
              </w:tabs>
            </w:pPr>
            <w:r>
              <w:tab/>
            </w:r>
            <w:r>
              <w:tab/>
            </w:r>
            <w:r>
              <w:tab/>
              <w:t>580</w:t>
            </w:r>
          </w:p>
        </w:tc>
      </w:tr>
      <w:tr w:rsidR="00212057" w14:paraId="00572AFE" w14:textId="77777777" w:rsidTr="005505B9">
        <w:tc>
          <w:tcPr>
            <w:tcW w:w="5508" w:type="dxa"/>
          </w:tcPr>
          <w:p w14:paraId="47D460EE" w14:textId="77777777" w:rsidR="00212057" w:rsidRPr="00315487" w:rsidRDefault="00212057" w:rsidP="005505B9">
            <w:pPr>
              <w:tabs>
                <w:tab w:val="left" w:pos="225"/>
              </w:tabs>
              <w:spacing w:after="120"/>
              <w:rPr>
                <w:u w:val="single"/>
              </w:rPr>
            </w:pPr>
            <w:r>
              <w:rPr>
                <w:u w:val="single"/>
              </w:rPr>
              <w:t>PROVISION FOR RISKS AND CHARGES</w:t>
            </w:r>
          </w:p>
        </w:tc>
        <w:tc>
          <w:tcPr>
            <w:tcW w:w="1890" w:type="dxa"/>
          </w:tcPr>
          <w:p w14:paraId="39976700" w14:textId="77777777" w:rsidR="00212057" w:rsidRDefault="00212057" w:rsidP="005505B9">
            <w:pPr>
              <w:tabs>
                <w:tab w:val="right" w:pos="702"/>
                <w:tab w:val="right" w:pos="1152"/>
                <w:tab w:val="right" w:pos="1602"/>
              </w:tabs>
              <w:spacing w:after="120"/>
            </w:pPr>
            <w:r>
              <w:tab/>
              <w:t>2</w:t>
            </w:r>
            <w:r>
              <w:tab/>
              <w:t>190</w:t>
            </w:r>
            <w:r>
              <w:tab/>
              <w:t>300</w:t>
            </w:r>
          </w:p>
        </w:tc>
      </w:tr>
      <w:tr w:rsidR="00212057" w14:paraId="6506843B" w14:textId="77777777" w:rsidTr="005505B9">
        <w:tc>
          <w:tcPr>
            <w:tcW w:w="5508" w:type="dxa"/>
          </w:tcPr>
          <w:p w14:paraId="2B190A65" w14:textId="77777777" w:rsidR="00212057" w:rsidRPr="00315487" w:rsidRDefault="00212057" w:rsidP="005505B9">
            <w:pPr>
              <w:tabs>
                <w:tab w:val="left" w:pos="225"/>
              </w:tabs>
            </w:pPr>
            <w:r>
              <w:t>Provisions for general risks</w:t>
            </w:r>
          </w:p>
        </w:tc>
        <w:tc>
          <w:tcPr>
            <w:tcW w:w="1890" w:type="dxa"/>
          </w:tcPr>
          <w:p w14:paraId="7AB0A067" w14:textId="77777777" w:rsidR="00212057" w:rsidRDefault="00212057" w:rsidP="005505B9">
            <w:pPr>
              <w:tabs>
                <w:tab w:val="right" w:pos="702"/>
                <w:tab w:val="right" w:pos="1152"/>
                <w:tab w:val="right" w:pos="1602"/>
              </w:tabs>
            </w:pPr>
            <w:r>
              <w:tab/>
            </w:r>
            <w:r>
              <w:tab/>
            </w:r>
            <w:r>
              <w:tab/>
              <w:t>-</w:t>
            </w:r>
          </w:p>
        </w:tc>
      </w:tr>
      <w:tr w:rsidR="00212057" w14:paraId="3C860CC7" w14:textId="77777777" w:rsidTr="005505B9">
        <w:tc>
          <w:tcPr>
            <w:tcW w:w="5508" w:type="dxa"/>
          </w:tcPr>
          <w:p w14:paraId="460BAC2A" w14:textId="77777777" w:rsidR="00212057" w:rsidRPr="00315487" w:rsidRDefault="00212057" w:rsidP="005505B9">
            <w:pPr>
              <w:tabs>
                <w:tab w:val="left" w:pos="225"/>
              </w:tabs>
            </w:pPr>
            <w:r>
              <w:t>Provisions for financial risks</w:t>
            </w:r>
          </w:p>
        </w:tc>
        <w:tc>
          <w:tcPr>
            <w:tcW w:w="1890" w:type="dxa"/>
          </w:tcPr>
          <w:p w14:paraId="48D8B434" w14:textId="77777777" w:rsidR="00212057" w:rsidRDefault="00212057" w:rsidP="005505B9">
            <w:pPr>
              <w:tabs>
                <w:tab w:val="right" w:pos="702"/>
                <w:tab w:val="right" w:pos="1152"/>
                <w:tab w:val="right" w:pos="1602"/>
              </w:tabs>
            </w:pPr>
            <w:r>
              <w:tab/>
            </w:r>
            <w:r>
              <w:tab/>
              <w:t>321</w:t>
            </w:r>
            <w:r>
              <w:tab/>
              <w:t>300</w:t>
            </w:r>
          </w:p>
        </w:tc>
      </w:tr>
      <w:tr w:rsidR="00212057" w14:paraId="63D76A46" w14:textId="77777777" w:rsidTr="005505B9">
        <w:tc>
          <w:tcPr>
            <w:tcW w:w="5508" w:type="dxa"/>
          </w:tcPr>
          <w:p w14:paraId="7DA4F89E" w14:textId="77777777" w:rsidR="00212057" w:rsidRPr="00315487" w:rsidRDefault="00212057" w:rsidP="005505B9">
            <w:pPr>
              <w:tabs>
                <w:tab w:val="left" w:pos="225"/>
              </w:tabs>
            </w:pPr>
            <w:r>
              <w:t>Provisions for pensions and similar obligations</w:t>
            </w:r>
          </w:p>
        </w:tc>
        <w:tc>
          <w:tcPr>
            <w:tcW w:w="1890" w:type="dxa"/>
          </w:tcPr>
          <w:p w14:paraId="3CE2CCCB" w14:textId="77777777" w:rsidR="00212057" w:rsidRDefault="00212057" w:rsidP="005505B9">
            <w:pPr>
              <w:tabs>
                <w:tab w:val="right" w:pos="702"/>
                <w:tab w:val="right" w:pos="1152"/>
                <w:tab w:val="right" w:pos="1602"/>
              </w:tabs>
            </w:pPr>
            <w:r>
              <w:tab/>
            </w:r>
            <w:r>
              <w:tab/>
              <w:t>539</w:t>
            </w:r>
            <w:r>
              <w:tab/>
              <w:t>000</w:t>
            </w:r>
          </w:p>
        </w:tc>
      </w:tr>
      <w:tr w:rsidR="00212057" w14:paraId="02D5AB0E" w14:textId="77777777" w:rsidTr="005505B9">
        <w:tc>
          <w:tcPr>
            <w:tcW w:w="5508" w:type="dxa"/>
          </w:tcPr>
          <w:p w14:paraId="5A14FA29" w14:textId="77777777" w:rsidR="00212057" w:rsidRPr="00315487" w:rsidRDefault="00212057" w:rsidP="005505B9">
            <w:pPr>
              <w:tabs>
                <w:tab w:val="left" w:pos="225"/>
              </w:tabs>
              <w:spacing w:after="240"/>
            </w:pPr>
            <w:r>
              <w:t>Provisions for specific sector risks</w:t>
            </w:r>
          </w:p>
        </w:tc>
        <w:tc>
          <w:tcPr>
            <w:tcW w:w="1890" w:type="dxa"/>
          </w:tcPr>
          <w:p w14:paraId="71CDE4F6" w14:textId="77777777" w:rsidR="00212057" w:rsidRDefault="00212057" w:rsidP="005505B9">
            <w:pPr>
              <w:tabs>
                <w:tab w:val="right" w:pos="702"/>
                <w:tab w:val="right" w:pos="1152"/>
                <w:tab w:val="right" w:pos="1602"/>
              </w:tabs>
              <w:spacing w:after="240"/>
            </w:pPr>
            <w:r>
              <w:tab/>
              <w:t>1</w:t>
            </w:r>
            <w:r>
              <w:tab/>
              <w:t>330</w:t>
            </w:r>
            <w:r>
              <w:tab/>
              <w:t>000</w:t>
            </w:r>
          </w:p>
        </w:tc>
      </w:tr>
      <w:tr w:rsidR="00212057" w14:paraId="6B7A98D0" w14:textId="77777777" w:rsidTr="005505B9">
        <w:tc>
          <w:tcPr>
            <w:tcW w:w="5508" w:type="dxa"/>
          </w:tcPr>
          <w:p w14:paraId="5A0FEAF6" w14:textId="77777777" w:rsidR="00212057" w:rsidRPr="00315487" w:rsidRDefault="00212057" w:rsidP="005505B9">
            <w:pPr>
              <w:tabs>
                <w:tab w:val="left" w:pos="225"/>
              </w:tabs>
              <w:spacing w:after="120"/>
            </w:pPr>
            <w:r>
              <w:rPr>
                <w:u w:val="single"/>
              </w:rPr>
              <w:t>CREDITORS</w:t>
            </w:r>
          </w:p>
        </w:tc>
        <w:tc>
          <w:tcPr>
            <w:tcW w:w="1890" w:type="dxa"/>
          </w:tcPr>
          <w:p w14:paraId="2FB5C606" w14:textId="77777777" w:rsidR="00212057" w:rsidRDefault="00212057" w:rsidP="005505B9">
            <w:pPr>
              <w:tabs>
                <w:tab w:val="right" w:pos="702"/>
                <w:tab w:val="right" w:pos="1152"/>
                <w:tab w:val="right" w:pos="1602"/>
              </w:tabs>
            </w:pPr>
            <w:r>
              <w:tab/>
              <w:t>12</w:t>
            </w:r>
            <w:r>
              <w:tab/>
              <w:t>778</w:t>
            </w:r>
            <w:r>
              <w:tab/>
              <w:t>386</w:t>
            </w:r>
          </w:p>
        </w:tc>
      </w:tr>
      <w:tr w:rsidR="00212057" w14:paraId="4C4BC02F" w14:textId="77777777" w:rsidTr="005505B9">
        <w:tc>
          <w:tcPr>
            <w:tcW w:w="5508" w:type="dxa"/>
          </w:tcPr>
          <w:p w14:paraId="59454C16" w14:textId="77777777" w:rsidR="00212057" w:rsidRPr="00315487" w:rsidRDefault="00212057" w:rsidP="005505B9">
            <w:pPr>
              <w:tabs>
                <w:tab w:val="left" w:pos="225"/>
              </w:tabs>
              <w:spacing w:after="240"/>
            </w:pPr>
            <w:r>
              <w:t>Financial</w:t>
            </w:r>
          </w:p>
        </w:tc>
        <w:tc>
          <w:tcPr>
            <w:tcW w:w="1890" w:type="dxa"/>
          </w:tcPr>
          <w:p w14:paraId="5284D0D1" w14:textId="77777777" w:rsidR="00212057" w:rsidRDefault="00212057" w:rsidP="005505B9">
            <w:pPr>
              <w:tabs>
                <w:tab w:val="right" w:pos="702"/>
                <w:tab w:val="right" w:pos="1152"/>
                <w:tab w:val="right" w:pos="1602"/>
              </w:tabs>
              <w:spacing w:after="240"/>
            </w:pPr>
            <w:r>
              <w:tab/>
              <w:t>5</w:t>
            </w:r>
            <w:r>
              <w:tab/>
              <w:t>442</w:t>
            </w:r>
            <w:r>
              <w:tab/>
              <w:t>539</w:t>
            </w:r>
          </w:p>
        </w:tc>
      </w:tr>
      <w:tr w:rsidR="00212057" w14:paraId="337B8265" w14:textId="77777777" w:rsidTr="005505B9">
        <w:tc>
          <w:tcPr>
            <w:tcW w:w="5508" w:type="dxa"/>
          </w:tcPr>
          <w:p w14:paraId="1118B83F" w14:textId="77777777" w:rsidR="00212057" w:rsidRPr="00315487" w:rsidRDefault="00212057" w:rsidP="005505B9">
            <w:pPr>
              <w:tabs>
                <w:tab w:val="left" w:pos="225"/>
              </w:tabs>
            </w:pPr>
            <w:r>
              <w:t>Convertible debenture loan</w:t>
            </w:r>
          </w:p>
        </w:tc>
        <w:tc>
          <w:tcPr>
            <w:tcW w:w="1890" w:type="dxa"/>
          </w:tcPr>
          <w:p w14:paraId="7C61154F" w14:textId="77777777" w:rsidR="00212057" w:rsidRDefault="00212057" w:rsidP="005505B9">
            <w:pPr>
              <w:tabs>
                <w:tab w:val="right" w:pos="702"/>
                <w:tab w:val="right" w:pos="1152"/>
                <w:tab w:val="right" w:pos="1602"/>
              </w:tabs>
            </w:pPr>
            <w:r>
              <w:tab/>
            </w:r>
            <w:r>
              <w:tab/>
              <w:t>311</w:t>
            </w:r>
            <w:r>
              <w:tab/>
              <w:t>227</w:t>
            </w:r>
          </w:p>
        </w:tc>
      </w:tr>
      <w:tr w:rsidR="00212057" w14:paraId="30AA5164" w14:textId="77777777" w:rsidTr="005505B9">
        <w:tc>
          <w:tcPr>
            <w:tcW w:w="5508" w:type="dxa"/>
          </w:tcPr>
          <w:p w14:paraId="24461890" w14:textId="77777777" w:rsidR="00212057" w:rsidRPr="00315487" w:rsidRDefault="00212057" w:rsidP="005505B9">
            <w:pPr>
              <w:tabs>
                <w:tab w:val="left" w:pos="225"/>
              </w:tabs>
            </w:pPr>
            <w:r>
              <w:t>Other debenture loans</w:t>
            </w:r>
          </w:p>
        </w:tc>
        <w:tc>
          <w:tcPr>
            <w:tcW w:w="1890" w:type="dxa"/>
          </w:tcPr>
          <w:p w14:paraId="302904CF" w14:textId="77777777" w:rsidR="00212057" w:rsidRDefault="00212057" w:rsidP="005505B9">
            <w:pPr>
              <w:tabs>
                <w:tab w:val="right" w:pos="702"/>
                <w:tab w:val="right" w:pos="1152"/>
                <w:tab w:val="right" w:pos="1602"/>
              </w:tabs>
            </w:pPr>
            <w:r>
              <w:tab/>
              <w:t>1</w:t>
            </w:r>
            <w:r>
              <w:tab/>
              <w:t>926</w:t>
            </w:r>
            <w:r>
              <w:tab/>
              <w:t>852</w:t>
            </w:r>
          </w:p>
        </w:tc>
      </w:tr>
      <w:tr w:rsidR="00212057" w14:paraId="7B0FC655" w14:textId="77777777" w:rsidTr="005505B9">
        <w:tc>
          <w:tcPr>
            <w:tcW w:w="5508" w:type="dxa"/>
          </w:tcPr>
          <w:p w14:paraId="11013B27" w14:textId="77777777" w:rsidR="00212057" w:rsidRPr="00315487" w:rsidRDefault="00212057" w:rsidP="005505B9">
            <w:pPr>
              <w:tabs>
                <w:tab w:val="left" w:pos="225"/>
              </w:tabs>
            </w:pPr>
            <w:r>
              <w:t>Unclaimed debentures repayable and interest</w:t>
            </w:r>
          </w:p>
        </w:tc>
        <w:tc>
          <w:tcPr>
            <w:tcW w:w="1890" w:type="dxa"/>
          </w:tcPr>
          <w:p w14:paraId="77470821" w14:textId="77777777" w:rsidR="00212057" w:rsidRDefault="00212057" w:rsidP="005505B9">
            <w:pPr>
              <w:tabs>
                <w:tab w:val="right" w:pos="702"/>
                <w:tab w:val="right" w:pos="1152"/>
                <w:tab w:val="right" w:pos="1602"/>
              </w:tabs>
            </w:pPr>
            <w:r>
              <w:tab/>
            </w:r>
            <w:r>
              <w:tab/>
              <w:t>30</w:t>
            </w:r>
            <w:r>
              <w:tab/>
              <w:t>725</w:t>
            </w:r>
          </w:p>
        </w:tc>
      </w:tr>
      <w:tr w:rsidR="00212057" w14:paraId="34E6747A" w14:textId="77777777" w:rsidTr="005505B9">
        <w:tc>
          <w:tcPr>
            <w:tcW w:w="5508" w:type="dxa"/>
          </w:tcPr>
          <w:p w14:paraId="27389DE5" w14:textId="77777777" w:rsidR="00212057" w:rsidRPr="00315487" w:rsidRDefault="00212057" w:rsidP="005505B9">
            <w:pPr>
              <w:tabs>
                <w:tab w:val="left" w:pos="225"/>
              </w:tabs>
            </w:pPr>
            <w:r>
              <w:t>Accrued debenture interest</w:t>
            </w:r>
          </w:p>
        </w:tc>
        <w:tc>
          <w:tcPr>
            <w:tcW w:w="1890" w:type="dxa"/>
          </w:tcPr>
          <w:p w14:paraId="420E2D23" w14:textId="77777777" w:rsidR="00212057" w:rsidRDefault="00212057" w:rsidP="005505B9">
            <w:pPr>
              <w:tabs>
                <w:tab w:val="right" w:pos="702"/>
                <w:tab w:val="right" w:pos="1152"/>
                <w:tab w:val="right" w:pos="1602"/>
              </w:tabs>
            </w:pPr>
            <w:r>
              <w:tab/>
            </w:r>
            <w:r>
              <w:tab/>
              <w:t>92</w:t>
            </w:r>
            <w:r>
              <w:tab/>
              <w:t>497</w:t>
            </w:r>
          </w:p>
        </w:tc>
      </w:tr>
      <w:tr w:rsidR="00212057" w14:paraId="280E9B49" w14:textId="77777777" w:rsidTr="005505B9">
        <w:tc>
          <w:tcPr>
            <w:tcW w:w="5508" w:type="dxa"/>
          </w:tcPr>
          <w:p w14:paraId="080F4138" w14:textId="77777777" w:rsidR="00212057" w:rsidRPr="00315487" w:rsidRDefault="00212057" w:rsidP="005505B9">
            <w:pPr>
              <w:tabs>
                <w:tab w:val="left" w:pos="225"/>
              </w:tabs>
            </w:pPr>
            <w:r>
              <w:t>Other loans and finance debts</w:t>
            </w:r>
            <w:r>
              <w:tab/>
            </w:r>
          </w:p>
        </w:tc>
        <w:tc>
          <w:tcPr>
            <w:tcW w:w="1890" w:type="dxa"/>
          </w:tcPr>
          <w:p w14:paraId="4C45AD1A" w14:textId="77777777" w:rsidR="00212057" w:rsidRDefault="00212057" w:rsidP="005505B9">
            <w:pPr>
              <w:tabs>
                <w:tab w:val="right" w:pos="702"/>
                <w:tab w:val="right" w:pos="1152"/>
                <w:tab w:val="right" w:pos="1602"/>
              </w:tabs>
            </w:pPr>
            <w:r>
              <w:tab/>
              <w:t>2</w:t>
            </w:r>
            <w:r>
              <w:tab/>
              <w:t>938</w:t>
            </w:r>
            <w:r>
              <w:tab/>
              <w:t>367</w:t>
            </w:r>
          </w:p>
        </w:tc>
      </w:tr>
      <w:tr w:rsidR="00212057" w14:paraId="7986C522" w14:textId="77777777" w:rsidTr="005505B9">
        <w:tc>
          <w:tcPr>
            <w:tcW w:w="5508" w:type="dxa"/>
          </w:tcPr>
          <w:p w14:paraId="5367F504" w14:textId="77777777" w:rsidR="00212057" w:rsidRPr="00315487" w:rsidRDefault="00212057" w:rsidP="005505B9">
            <w:pPr>
              <w:tabs>
                <w:tab w:val="left" w:pos="225"/>
              </w:tabs>
            </w:pPr>
            <w:r>
              <w:t>Interest accrued thereon</w:t>
            </w:r>
          </w:p>
        </w:tc>
        <w:tc>
          <w:tcPr>
            <w:tcW w:w="1890" w:type="dxa"/>
          </w:tcPr>
          <w:p w14:paraId="562F8ED1" w14:textId="77777777" w:rsidR="00212057" w:rsidRDefault="00212057" w:rsidP="005505B9">
            <w:pPr>
              <w:tabs>
                <w:tab w:val="right" w:pos="702"/>
                <w:tab w:val="right" w:pos="1152"/>
                <w:tab w:val="right" w:pos="1602"/>
              </w:tabs>
            </w:pPr>
            <w:r>
              <w:tab/>
            </w:r>
            <w:r>
              <w:tab/>
              <w:t>42</w:t>
            </w:r>
            <w:r>
              <w:tab/>
              <w:t>008</w:t>
            </w:r>
          </w:p>
        </w:tc>
      </w:tr>
      <w:tr w:rsidR="00212057" w14:paraId="76291D6C" w14:textId="77777777" w:rsidTr="005505B9">
        <w:tc>
          <w:tcPr>
            <w:tcW w:w="5508" w:type="dxa"/>
          </w:tcPr>
          <w:p w14:paraId="4245A80E" w14:textId="77777777" w:rsidR="00212057" w:rsidRPr="00315487" w:rsidRDefault="00212057" w:rsidP="005505B9">
            <w:pPr>
              <w:tabs>
                <w:tab w:val="left" w:pos="225"/>
              </w:tabs>
              <w:spacing w:after="240"/>
            </w:pPr>
            <w:r>
              <w:t>Bank accounts</w:t>
            </w:r>
          </w:p>
        </w:tc>
        <w:tc>
          <w:tcPr>
            <w:tcW w:w="1890" w:type="dxa"/>
          </w:tcPr>
          <w:p w14:paraId="054D00EC" w14:textId="77777777" w:rsidR="00212057" w:rsidRDefault="00212057" w:rsidP="005505B9">
            <w:pPr>
              <w:tabs>
                <w:tab w:val="right" w:pos="702"/>
                <w:tab w:val="right" w:pos="1152"/>
                <w:tab w:val="right" w:pos="1602"/>
              </w:tabs>
              <w:spacing w:after="240"/>
            </w:pPr>
            <w:r>
              <w:tab/>
            </w:r>
            <w:r>
              <w:tab/>
              <w:t>100</w:t>
            </w:r>
            <w:r>
              <w:tab/>
              <w:t>863</w:t>
            </w:r>
          </w:p>
        </w:tc>
      </w:tr>
      <w:tr w:rsidR="00212057" w14:paraId="0B88B294" w14:textId="77777777" w:rsidTr="005505B9">
        <w:tc>
          <w:tcPr>
            <w:tcW w:w="5508" w:type="dxa"/>
          </w:tcPr>
          <w:p w14:paraId="225AA136" w14:textId="77777777" w:rsidR="00212057" w:rsidRPr="00315487" w:rsidRDefault="00212057" w:rsidP="005505B9">
            <w:pPr>
              <w:tabs>
                <w:tab w:val="left" w:pos="225"/>
              </w:tabs>
              <w:spacing w:after="240"/>
            </w:pPr>
            <w:r>
              <w:t>Operating</w:t>
            </w:r>
          </w:p>
        </w:tc>
        <w:tc>
          <w:tcPr>
            <w:tcW w:w="1890" w:type="dxa"/>
          </w:tcPr>
          <w:p w14:paraId="09E75A87" w14:textId="77777777" w:rsidR="00212057" w:rsidRDefault="00212057" w:rsidP="005505B9">
            <w:pPr>
              <w:tabs>
                <w:tab w:val="right" w:pos="702"/>
                <w:tab w:val="right" w:pos="1152"/>
                <w:tab w:val="right" w:pos="1602"/>
              </w:tabs>
              <w:spacing w:after="240"/>
            </w:pPr>
            <w:r>
              <w:tab/>
              <w:t>7</w:t>
            </w:r>
            <w:r>
              <w:tab/>
              <w:t>297</w:t>
            </w:r>
            <w:r>
              <w:tab/>
              <w:t>085</w:t>
            </w:r>
          </w:p>
        </w:tc>
      </w:tr>
      <w:tr w:rsidR="00212057" w14:paraId="71B6C710" w14:textId="77777777" w:rsidTr="005505B9">
        <w:tc>
          <w:tcPr>
            <w:tcW w:w="5508" w:type="dxa"/>
          </w:tcPr>
          <w:p w14:paraId="1637A0D3" w14:textId="77777777" w:rsidR="00212057" w:rsidRPr="00315487" w:rsidRDefault="00212057" w:rsidP="005505B9">
            <w:pPr>
              <w:tabs>
                <w:tab w:val="left" w:pos="225"/>
              </w:tabs>
            </w:pPr>
            <w:r>
              <w:t>Trade creditors</w:t>
            </w:r>
          </w:p>
        </w:tc>
        <w:tc>
          <w:tcPr>
            <w:tcW w:w="1890" w:type="dxa"/>
          </w:tcPr>
          <w:p w14:paraId="6F2175F2" w14:textId="77777777" w:rsidR="00212057" w:rsidRDefault="00212057" w:rsidP="005505B9">
            <w:pPr>
              <w:tabs>
                <w:tab w:val="right" w:pos="702"/>
                <w:tab w:val="right" w:pos="1152"/>
                <w:tab w:val="right" w:pos="1602"/>
              </w:tabs>
            </w:pPr>
            <w:r>
              <w:tab/>
              <w:t>5</w:t>
            </w:r>
            <w:r>
              <w:tab/>
              <w:t>574</w:t>
            </w:r>
            <w:r>
              <w:tab/>
              <w:t>892</w:t>
            </w:r>
          </w:p>
        </w:tc>
      </w:tr>
      <w:tr w:rsidR="00212057" w14:paraId="7C81F437" w14:textId="77777777" w:rsidTr="005505B9">
        <w:tc>
          <w:tcPr>
            <w:tcW w:w="5508" w:type="dxa"/>
          </w:tcPr>
          <w:p w14:paraId="0BFF9E49" w14:textId="77777777" w:rsidR="00212057" w:rsidRPr="00315487" w:rsidRDefault="00212057" w:rsidP="005505B9">
            <w:pPr>
              <w:tabs>
                <w:tab w:val="left" w:pos="225"/>
              </w:tabs>
            </w:pPr>
            <w:r>
              <w:t>Other creditors</w:t>
            </w:r>
          </w:p>
        </w:tc>
        <w:tc>
          <w:tcPr>
            <w:tcW w:w="1890" w:type="dxa"/>
          </w:tcPr>
          <w:p w14:paraId="68681887" w14:textId="77777777" w:rsidR="00212057" w:rsidRDefault="00212057" w:rsidP="005505B9">
            <w:pPr>
              <w:tabs>
                <w:tab w:val="right" w:pos="702"/>
                <w:tab w:val="right" w:pos="1152"/>
                <w:tab w:val="right" w:pos="1602"/>
              </w:tabs>
            </w:pPr>
            <w:r>
              <w:tab/>
              <w:t>1</w:t>
            </w:r>
            <w:r>
              <w:tab/>
              <w:t>722</w:t>
            </w:r>
            <w:r>
              <w:tab/>
              <w:t>193</w:t>
            </w:r>
          </w:p>
        </w:tc>
      </w:tr>
      <w:tr w:rsidR="00212057" w14:paraId="66902656" w14:textId="77777777" w:rsidTr="005505B9">
        <w:tc>
          <w:tcPr>
            <w:tcW w:w="5508" w:type="dxa"/>
          </w:tcPr>
          <w:p w14:paraId="2082E7E1" w14:textId="77777777" w:rsidR="00212057" w:rsidRPr="00315487" w:rsidRDefault="00212057" w:rsidP="005505B9">
            <w:pPr>
              <w:tabs>
                <w:tab w:val="left" w:pos="225"/>
              </w:tabs>
            </w:pPr>
          </w:p>
        </w:tc>
        <w:tc>
          <w:tcPr>
            <w:tcW w:w="1890" w:type="dxa"/>
          </w:tcPr>
          <w:p w14:paraId="59066CFE" w14:textId="77777777" w:rsidR="00212057" w:rsidRDefault="00212057" w:rsidP="005505B9">
            <w:pPr>
              <w:tabs>
                <w:tab w:val="right" w:pos="702"/>
                <w:tab w:val="right" w:pos="1152"/>
                <w:tab w:val="right" w:pos="1602"/>
              </w:tabs>
            </w:pPr>
          </w:p>
        </w:tc>
      </w:tr>
      <w:tr w:rsidR="00212057" w14:paraId="449092C6" w14:textId="77777777" w:rsidTr="005505B9">
        <w:tc>
          <w:tcPr>
            <w:tcW w:w="5508" w:type="dxa"/>
          </w:tcPr>
          <w:p w14:paraId="431B97D2" w14:textId="77777777" w:rsidR="00212057" w:rsidRPr="00315487" w:rsidRDefault="00212057" w:rsidP="005505B9">
            <w:pPr>
              <w:tabs>
                <w:tab w:val="left" w:pos="225"/>
              </w:tabs>
            </w:pPr>
            <w:r>
              <w:t>Sundry</w:t>
            </w:r>
          </w:p>
        </w:tc>
        <w:tc>
          <w:tcPr>
            <w:tcW w:w="1890" w:type="dxa"/>
          </w:tcPr>
          <w:p w14:paraId="149C2051" w14:textId="77777777" w:rsidR="00212057" w:rsidRDefault="00212057" w:rsidP="005505B9">
            <w:pPr>
              <w:tabs>
                <w:tab w:val="right" w:pos="702"/>
                <w:tab w:val="right" w:pos="1152"/>
                <w:tab w:val="right" w:pos="1602"/>
              </w:tabs>
            </w:pPr>
            <w:r>
              <w:tab/>
            </w:r>
            <w:r>
              <w:tab/>
              <w:t>2</w:t>
            </w:r>
            <w:r>
              <w:tab/>
              <w:t>988</w:t>
            </w:r>
          </w:p>
        </w:tc>
      </w:tr>
      <w:tr w:rsidR="00212057" w14:paraId="292D919E" w14:textId="77777777" w:rsidTr="005505B9">
        <w:tc>
          <w:tcPr>
            <w:tcW w:w="5508" w:type="dxa"/>
          </w:tcPr>
          <w:p w14:paraId="795B9D7A" w14:textId="77777777" w:rsidR="00212057" w:rsidRDefault="00212057" w:rsidP="005505B9">
            <w:pPr>
              <w:tabs>
                <w:tab w:val="left" w:pos="225"/>
              </w:tabs>
            </w:pPr>
          </w:p>
        </w:tc>
        <w:tc>
          <w:tcPr>
            <w:tcW w:w="1890" w:type="dxa"/>
          </w:tcPr>
          <w:p w14:paraId="4AB55292" w14:textId="77777777" w:rsidR="00212057" w:rsidRDefault="00212057" w:rsidP="005505B9">
            <w:pPr>
              <w:tabs>
                <w:tab w:val="right" w:pos="702"/>
                <w:tab w:val="right" w:pos="1152"/>
                <w:tab w:val="right" w:pos="1602"/>
              </w:tabs>
            </w:pPr>
          </w:p>
        </w:tc>
      </w:tr>
      <w:tr w:rsidR="00212057" w14:paraId="7600DE76" w14:textId="77777777" w:rsidTr="005505B9">
        <w:tc>
          <w:tcPr>
            <w:tcW w:w="5508" w:type="dxa"/>
          </w:tcPr>
          <w:p w14:paraId="5438276C" w14:textId="77777777" w:rsidR="00212057" w:rsidRDefault="00212057" w:rsidP="005505B9">
            <w:pPr>
              <w:tabs>
                <w:tab w:val="left" w:pos="225"/>
              </w:tabs>
            </w:pPr>
            <w:r>
              <w:t>Amounts uncalled in respect of shares in affiliated companies</w:t>
            </w:r>
            <w:r>
              <w:tab/>
            </w:r>
          </w:p>
        </w:tc>
        <w:tc>
          <w:tcPr>
            <w:tcW w:w="1890" w:type="dxa"/>
          </w:tcPr>
          <w:p w14:paraId="094D4FF3" w14:textId="77777777" w:rsidR="00212057" w:rsidRDefault="00212057" w:rsidP="005505B9">
            <w:pPr>
              <w:tabs>
                <w:tab w:val="right" w:pos="702"/>
                <w:tab w:val="right" w:pos="1152"/>
                <w:tab w:val="right" w:pos="1602"/>
              </w:tabs>
            </w:pPr>
            <w:r>
              <w:tab/>
            </w:r>
            <w:r>
              <w:tab/>
            </w:r>
            <w:r>
              <w:tab/>
            </w:r>
            <w:r>
              <w:tab/>
            </w:r>
            <w:r>
              <w:tab/>
              <w:t>2</w:t>
            </w:r>
            <w:r>
              <w:tab/>
              <w:t>988</w:t>
            </w:r>
          </w:p>
        </w:tc>
      </w:tr>
      <w:tr w:rsidR="00212057" w14:paraId="3DEB4C59" w14:textId="77777777" w:rsidTr="005505B9">
        <w:tc>
          <w:tcPr>
            <w:tcW w:w="5508" w:type="dxa"/>
          </w:tcPr>
          <w:p w14:paraId="1A63561F" w14:textId="77777777" w:rsidR="00212057" w:rsidRDefault="00212057" w:rsidP="005505B9">
            <w:pPr>
              <w:tabs>
                <w:tab w:val="left" w:pos="225"/>
              </w:tabs>
            </w:pPr>
          </w:p>
        </w:tc>
        <w:tc>
          <w:tcPr>
            <w:tcW w:w="1890" w:type="dxa"/>
          </w:tcPr>
          <w:p w14:paraId="6FEBA379" w14:textId="77777777" w:rsidR="00212057" w:rsidRDefault="00212057" w:rsidP="005505B9">
            <w:pPr>
              <w:tabs>
                <w:tab w:val="right" w:pos="702"/>
                <w:tab w:val="right" w:pos="1152"/>
                <w:tab w:val="right" w:pos="1602"/>
              </w:tabs>
            </w:pPr>
          </w:p>
        </w:tc>
      </w:tr>
      <w:tr w:rsidR="00212057" w14:paraId="1E3F6EBB" w14:textId="77777777" w:rsidTr="005505B9">
        <w:tc>
          <w:tcPr>
            <w:tcW w:w="5508" w:type="dxa"/>
          </w:tcPr>
          <w:p w14:paraId="06DCC1AF" w14:textId="77777777" w:rsidR="00212057" w:rsidRDefault="00212057" w:rsidP="005505B9">
            <w:pPr>
              <w:tabs>
                <w:tab w:val="left" w:pos="225"/>
              </w:tabs>
              <w:spacing w:after="240"/>
            </w:pPr>
            <w:r>
              <w:t>Regularization accounts</w:t>
            </w:r>
          </w:p>
        </w:tc>
        <w:tc>
          <w:tcPr>
            <w:tcW w:w="1890" w:type="dxa"/>
          </w:tcPr>
          <w:p w14:paraId="5DFF17C3" w14:textId="77777777" w:rsidR="00212057" w:rsidRDefault="00212057" w:rsidP="005505B9">
            <w:pPr>
              <w:tabs>
                <w:tab w:val="right" w:pos="702"/>
                <w:tab w:val="right" w:pos="1152"/>
                <w:tab w:val="right" w:pos="1602"/>
              </w:tabs>
              <w:spacing w:after="240"/>
            </w:pPr>
            <w:r>
              <w:tab/>
            </w:r>
            <w:r>
              <w:tab/>
              <w:t>35</w:t>
            </w:r>
            <w:r>
              <w:tab/>
              <w:t>774</w:t>
            </w:r>
          </w:p>
        </w:tc>
      </w:tr>
      <w:tr w:rsidR="00212057" w14:paraId="37B0B2D7" w14:textId="77777777" w:rsidTr="005505B9">
        <w:tc>
          <w:tcPr>
            <w:tcW w:w="5508" w:type="dxa"/>
          </w:tcPr>
          <w:p w14:paraId="0287BC14" w14:textId="77777777" w:rsidR="00212057" w:rsidRDefault="00212057" w:rsidP="005505B9">
            <w:pPr>
              <w:tabs>
                <w:tab w:val="left" w:pos="225"/>
              </w:tabs>
              <w:spacing w:after="240"/>
            </w:pPr>
            <w:r>
              <w:t>Accruals and deferred income</w:t>
            </w:r>
          </w:p>
        </w:tc>
        <w:tc>
          <w:tcPr>
            <w:tcW w:w="1890" w:type="dxa"/>
          </w:tcPr>
          <w:p w14:paraId="2C46EAF6" w14:textId="77777777" w:rsidR="00212057" w:rsidRDefault="00212057" w:rsidP="005505B9">
            <w:pPr>
              <w:tabs>
                <w:tab w:val="right" w:pos="702"/>
                <w:tab w:val="right" w:pos="1152"/>
                <w:tab w:val="right" w:pos="1602"/>
              </w:tabs>
              <w:spacing w:after="240"/>
            </w:pPr>
            <w:r>
              <w:tab/>
            </w:r>
            <w:r>
              <w:tab/>
              <w:t>35</w:t>
            </w:r>
            <w:r>
              <w:tab/>
              <w:t>774</w:t>
            </w:r>
          </w:p>
        </w:tc>
      </w:tr>
      <w:tr w:rsidR="00212057" w14:paraId="461B9CD5" w14:textId="77777777" w:rsidTr="005505B9">
        <w:tc>
          <w:tcPr>
            <w:tcW w:w="5508" w:type="dxa"/>
          </w:tcPr>
          <w:p w14:paraId="10C9B9ED" w14:textId="77777777" w:rsidR="00212057" w:rsidRDefault="00212057" w:rsidP="005505B9">
            <w:pPr>
              <w:tabs>
                <w:tab w:val="left" w:pos="225"/>
              </w:tabs>
              <w:spacing w:after="240"/>
            </w:pPr>
            <w:r>
              <w:t>Difference on exchange</w:t>
            </w:r>
          </w:p>
        </w:tc>
        <w:tc>
          <w:tcPr>
            <w:tcW w:w="1890" w:type="dxa"/>
          </w:tcPr>
          <w:p w14:paraId="25EE6814" w14:textId="77777777" w:rsidR="00212057" w:rsidRDefault="00212057" w:rsidP="005505B9">
            <w:pPr>
              <w:tabs>
                <w:tab w:val="right" w:pos="702"/>
                <w:tab w:val="right" w:pos="1152"/>
                <w:tab w:val="right" w:pos="1602"/>
              </w:tabs>
              <w:spacing w:after="240"/>
            </w:pPr>
            <w:r>
              <w:tab/>
            </w:r>
            <w:r>
              <w:tab/>
              <w:t>165</w:t>
            </w:r>
            <w:r>
              <w:tab/>
              <w:t>082</w:t>
            </w:r>
          </w:p>
        </w:tc>
      </w:tr>
      <w:tr w:rsidR="00212057" w14:paraId="1BD79D93" w14:textId="77777777" w:rsidTr="005505B9">
        <w:tc>
          <w:tcPr>
            <w:tcW w:w="5508" w:type="dxa"/>
          </w:tcPr>
          <w:p w14:paraId="2C5C81DB" w14:textId="77777777" w:rsidR="00212057" w:rsidRDefault="00212057" w:rsidP="005505B9">
            <w:pPr>
              <w:tabs>
                <w:tab w:val="left" w:pos="225"/>
              </w:tabs>
            </w:pPr>
            <w:r>
              <w:tab/>
            </w:r>
            <w:r>
              <w:tab/>
            </w:r>
            <w:r>
              <w:tab/>
              <w:t>GRAND TOTAL</w:t>
            </w:r>
            <w:r>
              <w:tab/>
            </w:r>
          </w:p>
        </w:tc>
        <w:tc>
          <w:tcPr>
            <w:tcW w:w="1890" w:type="dxa"/>
          </w:tcPr>
          <w:p w14:paraId="73EE664D" w14:textId="77777777" w:rsidR="00212057" w:rsidRDefault="00212057" w:rsidP="005505B9">
            <w:pPr>
              <w:tabs>
                <w:tab w:val="right" w:pos="702"/>
                <w:tab w:val="right" w:pos="1152"/>
                <w:tab w:val="right" w:pos="1602"/>
              </w:tabs>
            </w:pPr>
            <w:r>
              <w:tab/>
              <w:t>30</w:t>
            </w:r>
            <w:r>
              <w:tab/>
              <w:t>262</w:t>
            </w:r>
            <w:r>
              <w:tab/>
              <w:t>571</w:t>
            </w:r>
          </w:p>
        </w:tc>
      </w:tr>
    </w:tbl>
    <w:p w14:paraId="39C4BEC9" w14:textId="77777777" w:rsidR="00212057" w:rsidRDefault="00212057" w:rsidP="00212057">
      <w:pPr>
        <w:spacing w:after="120" w:line="240" w:lineRule="auto"/>
      </w:pPr>
    </w:p>
    <w:p w14:paraId="4BD7E934" w14:textId="47231145" w:rsidR="00212057" w:rsidRDefault="00212057" w:rsidP="00212057">
      <w:pPr>
        <w:spacing w:after="120" w:line="240" w:lineRule="auto"/>
        <w:sectPr w:rsidR="00212057" w:rsidSect="005505B9">
          <w:pgSz w:w="11906" w:h="16838"/>
          <w:pgMar w:top="1008" w:right="1440" w:bottom="1440" w:left="1800" w:header="706" w:footer="706" w:gutter="0"/>
          <w:cols w:space="708"/>
          <w:docGrid w:linePitch="360"/>
        </w:sectPr>
      </w:pPr>
      <w:r w:rsidRPr="006C3380">
        <w:t>Figure 4.</w:t>
      </w:r>
      <w:r>
        <w:t xml:space="preserve">  Right-hand side of balance sheet of Total Oil, as at 31 December 1985 (in thousands of French francs; some columns deleted)</w:t>
      </w:r>
      <w:r w:rsidR="006C3380">
        <w:t>.</w:t>
      </w:r>
    </w:p>
    <w:p w14:paraId="351A54F8" w14:textId="77777777" w:rsidR="00212057" w:rsidRPr="005073DC" w:rsidRDefault="00212057" w:rsidP="00212057">
      <w:r>
        <w:rPr>
          <w:b/>
        </w:rPr>
        <w:t>Liabilities</w:t>
      </w:r>
    </w:p>
    <w:p w14:paraId="4E3A8935" w14:textId="77777777" w:rsidR="00212057" w:rsidRDefault="00212057" w:rsidP="00212057">
      <w:r>
        <w:t>A.</w:t>
      </w:r>
      <w:r>
        <w:tab/>
        <w:t>Shareholders’ equity</w:t>
      </w:r>
    </w:p>
    <w:p w14:paraId="36AE8B4C" w14:textId="77777777" w:rsidR="00212057" w:rsidRDefault="00212057" w:rsidP="00212057">
      <w:r>
        <w:t>B.</w:t>
      </w:r>
      <w:r>
        <w:tab/>
        <w:t>Reserve for risks and changes</w:t>
      </w:r>
    </w:p>
    <w:p w14:paraId="6122C2AA" w14:textId="77777777" w:rsidR="00212057" w:rsidRDefault="00212057" w:rsidP="00212057">
      <w:r>
        <w:t>C.</w:t>
      </w:r>
      <w:r>
        <w:tab/>
        <w:t>Staff severance fund</w:t>
      </w:r>
    </w:p>
    <w:p w14:paraId="0D92EEB8" w14:textId="77777777" w:rsidR="00212057" w:rsidRDefault="00212057" w:rsidP="00212057">
      <w:r>
        <w:t>D.</w:t>
      </w:r>
      <w:r>
        <w:tab/>
        <w:t>Payables</w:t>
      </w:r>
    </w:p>
    <w:p w14:paraId="58DCBF17" w14:textId="77777777" w:rsidR="00212057" w:rsidRDefault="00212057" w:rsidP="00212057">
      <w:r>
        <w:t>E.</w:t>
      </w:r>
      <w:r>
        <w:tab/>
        <w:t>Accrued liabilities and deferred income</w:t>
      </w:r>
    </w:p>
    <w:p w14:paraId="279BC2AD" w14:textId="275A609B" w:rsidR="00212057" w:rsidRDefault="00212057" w:rsidP="00212057">
      <w:r w:rsidRPr="006C3380">
        <w:t>Figure 5.</w:t>
      </w:r>
      <w:r>
        <w:t xml:space="preserve">  Main headings from the right-hand side of the balance sheet of Davide Campari S.p.A. as at 31 December 2004</w:t>
      </w:r>
      <w:r w:rsidR="006C3380">
        <w:t>.</w:t>
      </w:r>
    </w:p>
    <w:p w14:paraId="1D884137" w14:textId="77777777" w:rsidR="00212057" w:rsidRDefault="00212057" w:rsidP="00212057"/>
    <w:p w14:paraId="0F3A90B5" w14:textId="77777777" w:rsidR="00212057" w:rsidRDefault="00212057" w:rsidP="00212057"/>
    <w:p w14:paraId="54CE2C4C" w14:textId="77777777" w:rsidR="00212057" w:rsidRDefault="00212057" w:rsidP="00212057"/>
    <w:p w14:paraId="04863076" w14:textId="77777777" w:rsidR="00212057" w:rsidRDefault="00212057" w:rsidP="0021205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9"/>
        <w:gridCol w:w="4337"/>
      </w:tblGrid>
      <w:tr w:rsidR="00212057" w14:paraId="7BB19A83" w14:textId="77777777" w:rsidTr="005505B9">
        <w:tc>
          <w:tcPr>
            <w:tcW w:w="4441" w:type="dxa"/>
          </w:tcPr>
          <w:p w14:paraId="2AFDD1F8" w14:textId="77777777" w:rsidR="00212057" w:rsidRPr="00212057" w:rsidRDefault="00212057" w:rsidP="005505B9">
            <w:pPr>
              <w:spacing w:line="480" w:lineRule="auto"/>
              <w:jc w:val="center"/>
              <w:rPr>
                <w:b/>
              </w:rPr>
            </w:pPr>
            <w:r w:rsidRPr="00212057">
              <w:rPr>
                <w:b/>
              </w:rPr>
              <w:t>ASSETS</w:t>
            </w:r>
          </w:p>
        </w:tc>
        <w:tc>
          <w:tcPr>
            <w:tcW w:w="4441" w:type="dxa"/>
          </w:tcPr>
          <w:p w14:paraId="666CEC49" w14:textId="77777777" w:rsidR="00212057" w:rsidRPr="00212057" w:rsidRDefault="00212057" w:rsidP="005505B9">
            <w:pPr>
              <w:spacing w:line="480" w:lineRule="auto"/>
              <w:jc w:val="center"/>
              <w:rPr>
                <w:b/>
              </w:rPr>
            </w:pPr>
            <w:r w:rsidRPr="00212057">
              <w:rPr>
                <w:b/>
              </w:rPr>
              <w:t>LIABILITIES</w:t>
            </w:r>
          </w:p>
        </w:tc>
      </w:tr>
      <w:tr w:rsidR="00212057" w14:paraId="76A3E1CF" w14:textId="77777777" w:rsidTr="005505B9">
        <w:tc>
          <w:tcPr>
            <w:tcW w:w="4441" w:type="dxa"/>
          </w:tcPr>
          <w:p w14:paraId="6781864E" w14:textId="77777777" w:rsidR="00212057" w:rsidRDefault="00212057" w:rsidP="005505B9">
            <w:pPr>
              <w:tabs>
                <w:tab w:val="left" w:pos="277"/>
              </w:tabs>
              <w:spacing w:line="480" w:lineRule="auto"/>
            </w:pPr>
            <w:r>
              <w:t>A.</w:t>
            </w:r>
            <w:r>
              <w:tab/>
              <w:t>Called up share capital not paid</w:t>
            </w:r>
          </w:p>
        </w:tc>
        <w:tc>
          <w:tcPr>
            <w:tcW w:w="4441" w:type="dxa"/>
          </w:tcPr>
          <w:p w14:paraId="6F0A3BC5" w14:textId="77777777" w:rsidR="00212057" w:rsidRDefault="00212057" w:rsidP="005505B9">
            <w:pPr>
              <w:tabs>
                <w:tab w:val="left" w:pos="329"/>
              </w:tabs>
              <w:spacing w:line="480" w:lineRule="auto"/>
            </w:pPr>
            <w:r>
              <w:t>A.</w:t>
            </w:r>
            <w:r>
              <w:tab/>
              <w:t>Capital and reserves</w:t>
            </w:r>
          </w:p>
        </w:tc>
      </w:tr>
      <w:tr w:rsidR="00212057" w14:paraId="531E5BCD" w14:textId="77777777" w:rsidTr="005505B9">
        <w:tc>
          <w:tcPr>
            <w:tcW w:w="4441" w:type="dxa"/>
          </w:tcPr>
          <w:p w14:paraId="081ABC1C" w14:textId="77777777" w:rsidR="00212057" w:rsidRDefault="00212057" w:rsidP="005505B9">
            <w:pPr>
              <w:tabs>
                <w:tab w:val="left" w:pos="277"/>
              </w:tabs>
              <w:spacing w:line="480" w:lineRule="auto"/>
            </w:pPr>
            <w:r>
              <w:t>B.</w:t>
            </w:r>
            <w:r>
              <w:tab/>
              <w:t>Fixed assets</w:t>
            </w:r>
          </w:p>
        </w:tc>
        <w:tc>
          <w:tcPr>
            <w:tcW w:w="4441" w:type="dxa"/>
          </w:tcPr>
          <w:p w14:paraId="04AF4608" w14:textId="77777777" w:rsidR="00212057" w:rsidRDefault="00212057" w:rsidP="005505B9">
            <w:pPr>
              <w:tabs>
                <w:tab w:val="left" w:pos="329"/>
                <w:tab w:val="left" w:pos="779"/>
              </w:tabs>
              <w:spacing w:line="480" w:lineRule="auto"/>
            </w:pPr>
            <w:r>
              <w:tab/>
              <w:t>I</w:t>
            </w:r>
            <w:r>
              <w:tab/>
              <w:t>Called up share capital</w:t>
            </w:r>
          </w:p>
        </w:tc>
      </w:tr>
      <w:tr w:rsidR="00212057" w14:paraId="12FA7597" w14:textId="77777777" w:rsidTr="005505B9">
        <w:tc>
          <w:tcPr>
            <w:tcW w:w="4441" w:type="dxa"/>
          </w:tcPr>
          <w:p w14:paraId="4EB49878" w14:textId="77777777" w:rsidR="00212057" w:rsidRDefault="00212057" w:rsidP="005505B9">
            <w:pPr>
              <w:tabs>
                <w:tab w:val="left" w:pos="277"/>
              </w:tabs>
              <w:spacing w:line="480" w:lineRule="auto"/>
            </w:pPr>
            <w:r>
              <w:t>C.</w:t>
            </w:r>
            <w:r>
              <w:tab/>
              <w:t>Current assets</w:t>
            </w:r>
          </w:p>
        </w:tc>
        <w:tc>
          <w:tcPr>
            <w:tcW w:w="4441" w:type="dxa"/>
          </w:tcPr>
          <w:p w14:paraId="014A1B00" w14:textId="77777777" w:rsidR="00212057" w:rsidRDefault="00212057" w:rsidP="005505B9">
            <w:pPr>
              <w:tabs>
                <w:tab w:val="left" w:pos="329"/>
                <w:tab w:val="left" w:pos="779"/>
              </w:tabs>
              <w:spacing w:line="480" w:lineRule="auto"/>
            </w:pPr>
            <w:r>
              <w:tab/>
              <w:t>II</w:t>
            </w:r>
            <w:r>
              <w:tab/>
              <w:t>Share premium account</w:t>
            </w:r>
          </w:p>
        </w:tc>
      </w:tr>
      <w:tr w:rsidR="00212057" w14:paraId="78027141" w14:textId="77777777" w:rsidTr="005505B9">
        <w:tc>
          <w:tcPr>
            <w:tcW w:w="4441" w:type="dxa"/>
          </w:tcPr>
          <w:p w14:paraId="2D7DEA3D" w14:textId="77777777" w:rsidR="00212057" w:rsidRDefault="00212057" w:rsidP="005505B9">
            <w:pPr>
              <w:tabs>
                <w:tab w:val="left" w:pos="277"/>
              </w:tabs>
              <w:spacing w:line="480" w:lineRule="auto"/>
            </w:pPr>
            <w:r>
              <w:t>D.</w:t>
            </w:r>
            <w:r>
              <w:tab/>
              <w:t>Prepayments and accrued income</w:t>
            </w:r>
          </w:p>
        </w:tc>
        <w:tc>
          <w:tcPr>
            <w:tcW w:w="4441" w:type="dxa"/>
          </w:tcPr>
          <w:p w14:paraId="528FF6F8" w14:textId="77777777" w:rsidR="00212057" w:rsidRDefault="00212057" w:rsidP="005505B9">
            <w:pPr>
              <w:tabs>
                <w:tab w:val="left" w:pos="329"/>
                <w:tab w:val="left" w:pos="779"/>
              </w:tabs>
              <w:spacing w:line="480" w:lineRule="auto"/>
            </w:pPr>
            <w:r>
              <w:tab/>
              <w:t>III</w:t>
            </w:r>
            <w:r>
              <w:tab/>
              <w:t>Revaluation reserve</w:t>
            </w:r>
          </w:p>
        </w:tc>
      </w:tr>
      <w:tr w:rsidR="00212057" w14:paraId="220BB9CA" w14:textId="77777777" w:rsidTr="005505B9">
        <w:tc>
          <w:tcPr>
            <w:tcW w:w="4441" w:type="dxa"/>
          </w:tcPr>
          <w:p w14:paraId="10BFB504" w14:textId="77777777" w:rsidR="00212057" w:rsidRDefault="00212057" w:rsidP="005505B9">
            <w:pPr>
              <w:tabs>
                <w:tab w:val="left" w:pos="277"/>
              </w:tabs>
              <w:spacing w:line="480" w:lineRule="auto"/>
            </w:pPr>
          </w:p>
        </w:tc>
        <w:tc>
          <w:tcPr>
            <w:tcW w:w="4441" w:type="dxa"/>
          </w:tcPr>
          <w:p w14:paraId="25900B3C" w14:textId="77777777" w:rsidR="00212057" w:rsidRPr="005E27A9" w:rsidRDefault="00212057" w:rsidP="005505B9">
            <w:pPr>
              <w:tabs>
                <w:tab w:val="left" w:pos="329"/>
                <w:tab w:val="left" w:pos="779"/>
              </w:tabs>
              <w:spacing w:line="480" w:lineRule="auto"/>
            </w:pPr>
            <w:r>
              <w:tab/>
              <w:t>IV</w:t>
            </w:r>
            <w:r>
              <w:tab/>
              <w:t>Other reserves</w:t>
            </w:r>
          </w:p>
        </w:tc>
      </w:tr>
      <w:tr w:rsidR="00212057" w14:paraId="56AC26B8" w14:textId="77777777" w:rsidTr="005505B9">
        <w:tc>
          <w:tcPr>
            <w:tcW w:w="4441" w:type="dxa"/>
          </w:tcPr>
          <w:p w14:paraId="36E34EAE" w14:textId="77777777" w:rsidR="00212057" w:rsidRDefault="00212057" w:rsidP="005505B9">
            <w:pPr>
              <w:tabs>
                <w:tab w:val="left" w:pos="277"/>
              </w:tabs>
              <w:spacing w:line="480" w:lineRule="auto"/>
            </w:pPr>
          </w:p>
        </w:tc>
        <w:tc>
          <w:tcPr>
            <w:tcW w:w="4441" w:type="dxa"/>
          </w:tcPr>
          <w:p w14:paraId="494E29F3" w14:textId="77777777" w:rsidR="00212057" w:rsidRDefault="00212057" w:rsidP="005505B9">
            <w:pPr>
              <w:tabs>
                <w:tab w:val="left" w:pos="329"/>
                <w:tab w:val="left" w:pos="779"/>
              </w:tabs>
              <w:spacing w:line="480" w:lineRule="auto"/>
            </w:pPr>
            <w:r>
              <w:t>B.</w:t>
            </w:r>
            <w:r>
              <w:tab/>
              <w:t>Provisions for liabilities</w:t>
            </w:r>
          </w:p>
        </w:tc>
      </w:tr>
      <w:tr w:rsidR="00212057" w14:paraId="69D972B2" w14:textId="77777777" w:rsidTr="005505B9">
        <w:tc>
          <w:tcPr>
            <w:tcW w:w="4441" w:type="dxa"/>
          </w:tcPr>
          <w:p w14:paraId="255639B6" w14:textId="77777777" w:rsidR="00212057" w:rsidRDefault="00212057" w:rsidP="005505B9">
            <w:pPr>
              <w:tabs>
                <w:tab w:val="left" w:pos="277"/>
              </w:tabs>
              <w:spacing w:line="480" w:lineRule="auto"/>
            </w:pPr>
          </w:p>
        </w:tc>
        <w:tc>
          <w:tcPr>
            <w:tcW w:w="4441" w:type="dxa"/>
          </w:tcPr>
          <w:p w14:paraId="77F0BEED" w14:textId="77777777" w:rsidR="00212057" w:rsidRDefault="00212057" w:rsidP="005505B9">
            <w:pPr>
              <w:tabs>
                <w:tab w:val="left" w:pos="329"/>
                <w:tab w:val="left" w:pos="779"/>
              </w:tabs>
              <w:spacing w:line="480" w:lineRule="auto"/>
            </w:pPr>
            <w:r>
              <w:t>C.</w:t>
            </w:r>
            <w:r>
              <w:tab/>
              <w:t>Creditors</w:t>
            </w:r>
          </w:p>
        </w:tc>
      </w:tr>
      <w:tr w:rsidR="00212057" w14:paraId="6609673B" w14:textId="77777777" w:rsidTr="005505B9">
        <w:tc>
          <w:tcPr>
            <w:tcW w:w="4441" w:type="dxa"/>
          </w:tcPr>
          <w:p w14:paraId="56120662" w14:textId="77777777" w:rsidR="00212057" w:rsidRDefault="00212057" w:rsidP="005505B9">
            <w:pPr>
              <w:tabs>
                <w:tab w:val="left" w:pos="277"/>
              </w:tabs>
              <w:spacing w:line="480" w:lineRule="auto"/>
            </w:pPr>
          </w:p>
        </w:tc>
        <w:tc>
          <w:tcPr>
            <w:tcW w:w="4441" w:type="dxa"/>
          </w:tcPr>
          <w:p w14:paraId="0C8BB0C7" w14:textId="77777777" w:rsidR="00212057" w:rsidRDefault="00212057" w:rsidP="005505B9">
            <w:pPr>
              <w:tabs>
                <w:tab w:val="left" w:pos="329"/>
                <w:tab w:val="left" w:pos="779"/>
              </w:tabs>
              <w:spacing w:line="480" w:lineRule="auto"/>
            </w:pPr>
            <w:r>
              <w:t>D.</w:t>
            </w:r>
            <w:r>
              <w:tab/>
              <w:t>Accruals and deferred income</w:t>
            </w:r>
          </w:p>
        </w:tc>
      </w:tr>
    </w:tbl>
    <w:p w14:paraId="11CA3155" w14:textId="77777777" w:rsidR="00212057" w:rsidRDefault="00212057" w:rsidP="00212057">
      <w:pPr>
        <w:tabs>
          <w:tab w:val="left" w:pos="720"/>
          <w:tab w:val="left" w:pos="1260"/>
        </w:tabs>
        <w:spacing w:after="0" w:line="480" w:lineRule="auto"/>
      </w:pPr>
    </w:p>
    <w:p w14:paraId="14D336C4" w14:textId="5138DA4C" w:rsidR="00212057" w:rsidRDefault="00212057" w:rsidP="00212057">
      <w:pPr>
        <w:tabs>
          <w:tab w:val="left" w:pos="720"/>
          <w:tab w:val="left" w:pos="1260"/>
        </w:tabs>
        <w:spacing w:after="0" w:line="240" w:lineRule="auto"/>
      </w:pPr>
      <w:r w:rsidRPr="006C3380">
        <w:t>Figure 6.</w:t>
      </w:r>
      <w:r>
        <w:t xml:space="preserve">  Format 2 of the balance sheet in the Companies Act 2006 Statutory Instruments (first two levels of headings from Regulations 2008, Schedule 1, Part I, Section B)</w:t>
      </w:r>
      <w:r w:rsidR="006C3380">
        <w:t>.</w:t>
      </w:r>
    </w:p>
    <w:p w14:paraId="05E8A91D" w14:textId="77777777" w:rsidR="00212057" w:rsidRDefault="00212057" w:rsidP="00212057">
      <w:r>
        <w:br w:type="page"/>
      </w:r>
    </w:p>
    <w:p w14:paraId="49AC81F2" w14:textId="77777777" w:rsidR="00D922F3" w:rsidRPr="00A05957" w:rsidRDefault="00D922F3" w:rsidP="00B511CC">
      <w:pPr>
        <w:tabs>
          <w:tab w:val="left" w:pos="720"/>
          <w:tab w:val="left" w:pos="1260"/>
        </w:tabs>
        <w:spacing w:after="0" w:line="240" w:lineRule="auto"/>
        <w:sectPr w:rsidR="00D922F3" w:rsidRPr="00A05957" w:rsidSect="00524229">
          <w:pgSz w:w="11906" w:h="16838"/>
          <w:pgMar w:top="864" w:right="1800" w:bottom="1008" w:left="1440" w:header="706" w:footer="706"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1896"/>
      </w:tblGrid>
      <w:tr w:rsidR="001814B5" w14:paraId="31AD968F" w14:textId="77777777" w:rsidTr="001814B5">
        <w:tc>
          <w:tcPr>
            <w:tcW w:w="6048" w:type="dxa"/>
            <w:tcBorders>
              <w:top w:val="single" w:sz="4" w:space="0" w:color="auto"/>
              <w:bottom w:val="single" w:sz="4" w:space="0" w:color="auto"/>
            </w:tcBorders>
          </w:tcPr>
          <w:p w14:paraId="7A01F488" w14:textId="77777777" w:rsidR="001814B5" w:rsidRPr="001814B5" w:rsidRDefault="001814B5" w:rsidP="00B511CC">
            <w:pPr>
              <w:spacing w:after="120"/>
              <w:rPr>
                <w:b/>
              </w:rPr>
            </w:pPr>
            <w:r>
              <w:rPr>
                <w:b/>
              </w:rPr>
              <w:t>LIABILITIES AND SHAREHOLDERS’ EQUITY</w:t>
            </w:r>
          </w:p>
        </w:tc>
        <w:tc>
          <w:tcPr>
            <w:tcW w:w="1800" w:type="dxa"/>
          </w:tcPr>
          <w:p w14:paraId="380EFA85" w14:textId="77777777" w:rsidR="001814B5" w:rsidRDefault="001814B5" w:rsidP="001814B5">
            <w:pPr>
              <w:tabs>
                <w:tab w:val="right" w:pos="1317"/>
              </w:tabs>
              <w:spacing w:after="120"/>
            </w:pPr>
          </w:p>
        </w:tc>
      </w:tr>
      <w:tr w:rsidR="001814B5" w14:paraId="3FA974B9" w14:textId="77777777" w:rsidTr="001814B5">
        <w:tc>
          <w:tcPr>
            <w:tcW w:w="6048" w:type="dxa"/>
            <w:tcBorders>
              <w:top w:val="single" w:sz="4" w:space="0" w:color="auto"/>
              <w:bottom w:val="single" w:sz="4" w:space="0" w:color="auto"/>
            </w:tcBorders>
          </w:tcPr>
          <w:p w14:paraId="6B75C869" w14:textId="77777777" w:rsidR="001814B5" w:rsidRDefault="001814B5" w:rsidP="00B511CC">
            <w:pPr>
              <w:spacing w:after="120"/>
            </w:pPr>
            <w:r>
              <w:t>SHAREHOLDERS’ EQUITY</w:t>
            </w:r>
          </w:p>
        </w:tc>
        <w:tc>
          <w:tcPr>
            <w:tcW w:w="1800" w:type="dxa"/>
          </w:tcPr>
          <w:p w14:paraId="20964388" w14:textId="77777777" w:rsidR="001814B5" w:rsidRDefault="001814B5" w:rsidP="001814B5">
            <w:pPr>
              <w:tabs>
                <w:tab w:val="right" w:pos="1317"/>
              </w:tabs>
              <w:spacing w:after="120"/>
            </w:pPr>
            <w:r>
              <w:tab/>
              <w:t>41,150,524</w:t>
            </w:r>
          </w:p>
        </w:tc>
      </w:tr>
      <w:tr w:rsidR="001814B5" w14:paraId="7937DEF0" w14:textId="77777777" w:rsidTr="001814B5">
        <w:tc>
          <w:tcPr>
            <w:tcW w:w="6048" w:type="dxa"/>
            <w:tcBorders>
              <w:top w:val="single" w:sz="4" w:space="0" w:color="auto"/>
            </w:tcBorders>
          </w:tcPr>
          <w:p w14:paraId="62EFBF83" w14:textId="77777777" w:rsidR="001814B5" w:rsidRDefault="001814B5" w:rsidP="00B511CC">
            <w:pPr>
              <w:spacing w:after="120"/>
            </w:pPr>
            <w:r>
              <w:t>Common shares</w:t>
            </w:r>
          </w:p>
        </w:tc>
        <w:tc>
          <w:tcPr>
            <w:tcW w:w="1800" w:type="dxa"/>
          </w:tcPr>
          <w:p w14:paraId="2292EA6B" w14:textId="77777777" w:rsidR="001814B5" w:rsidRDefault="001814B5" w:rsidP="001814B5">
            <w:pPr>
              <w:tabs>
                <w:tab w:val="right" w:pos="1317"/>
              </w:tabs>
              <w:spacing w:after="120"/>
            </w:pPr>
            <w:r>
              <w:tab/>
              <w:t>10,978,868</w:t>
            </w:r>
          </w:p>
        </w:tc>
      </w:tr>
      <w:tr w:rsidR="001814B5" w14:paraId="6B03A37C" w14:textId="77777777" w:rsidTr="001814B5">
        <w:tc>
          <w:tcPr>
            <w:tcW w:w="6048" w:type="dxa"/>
          </w:tcPr>
          <w:p w14:paraId="6F7095BF" w14:textId="77777777" w:rsidR="001814B5" w:rsidRDefault="001814B5" w:rsidP="00B511CC">
            <w:pPr>
              <w:spacing w:after="120"/>
            </w:pPr>
            <w:r>
              <w:t>Paid-in surplus</w:t>
            </w:r>
          </w:p>
        </w:tc>
        <w:tc>
          <w:tcPr>
            <w:tcW w:w="1800" w:type="dxa"/>
          </w:tcPr>
          <w:p w14:paraId="4D2DA444" w14:textId="77777777" w:rsidR="001814B5" w:rsidRDefault="001814B5" w:rsidP="001814B5">
            <w:pPr>
              <w:tabs>
                <w:tab w:val="right" w:pos="1317"/>
              </w:tabs>
              <w:spacing w:after="120"/>
            </w:pPr>
            <w:r>
              <w:tab/>
              <w:t>8,039,727</w:t>
            </w:r>
          </w:p>
        </w:tc>
      </w:tr>
      <w:tr w:rsidR="001814B5" w14:paraId="4B5999B2" w14:textId="77777777" w:rsidTr="001814B5">
        <w:tc>
          <w:tcPr>
            <w:tcW w:w="6048" w:type="dxa"/>
          </w:tcPr>
          <w:p w14:paraId="05A3C3A3" w14:textId="77777777" w:rsidR="001814B5" w:rsidRDefault="001814B5" w:rsidP="00B511CC">
            <w:pPr>
              <w:spacing w:after="120"/>
            </w:pPr>
            <w:r>
              <w:t>Revaluation reserves</w:t>
            </w:r>
          </w:p>
        </w:tc>
        <w:tc>
          <w:tcPr>
            <w:tcW w:w="1800" w:type="dxa"/>
          </w:tcPr>
          <w:p w14:paraId="7694F3CB" w14:textId="77777777" w:rsidR="001814B5" w:rsidRDefault="001814B5" w:rsidP="001814B5">
            <w:pPr>
              <w:tabs>
                <w:tab w:val="right" w:pos="1317"/>
              </w:tabs>
              <w:spacing w:after="120"/>
            </w:pPr>
            <w:r>
              <w:tab/>
              <w:t>2,020,704</w:t>
            </w:r>
          </w:p>
        </w:tc>
      </w:tr>
      <w:tr w:rsidR="001814B5" w14:paraId="4A1BD1CC" w14:textId="77777777" w:rsidTr="001814B5">
        <w:tc>
          <w:tcPr>
            <w:tcW w:w="6048" w:type="dxa"/>
          </w:tcPr>
          <w:p w14:paraId="476A31AF" w14:textId="77777777" w:rsidR="001814B5" w:rsidRDefault="001814B5" w:rsidP="00B511CC">
            <w:pPr>
              <w:spacing w:after="120"/>
            </w:pPr>
            <w:r>
              <w:t>Legal reserve</w:t>
            </w:r>
          </w:p>
        </w:tc>
        <w:tc>
          <w:tcPr>
            <w:tcW w:w="1800" w:type="dxa"/>
          </w:tcPr>
          <w:p w14:paraId="5000CF41" w14:textId="77777777" w:rsidR="001814B5" w:rsidRDefault="001814B5" w:rsidP="001814B5">
            <w:pPr>
              <w:tabs>
                <w:tab w:val="right" w:pos="1317"/>
              </w:tabs>
              <w:spacing w:after="120"/>
            </w:pPr>
            <w:r>
              <w:tab/>
              <w:t>950,015</w:t>
            </w:r>
          </w:p>
        </w:tc>
      </w:tr>
      <w:tr w:rsidR="001814B5" w14:paraId="0FB583BD" w14:textId="77777777" w:rsidTr="001814B5">
        <w:tc>
          <w:tcPr>
            <w:tcW w:w="6048" w:type="dxa"/>
          </w:tcPr>
          <w:p w14:paraId="284C4924" w14:textId="77777777" w:rsidR="001814B5" w:rsidRDefault="001814B5" w:rsidP="00B511CC">
            <w:pPr>
              <w:spacing w:after="120"/>
            </w:pPr>
            <w:r>
              <w:t>Untaxed reserves</w:t>
            </w:r>
          </w:p>
        </w:tc>
        <w:tc>
          <w:tcPr>
            <w:tcW w:w="1800" w:type="dxa"/>
          </w:tcPr>
          <w:p w14:paraId="119EAF3D" w14:textId="77777777" w:rsidR="001814B5" w:rsidRDefault="001814B5" w:rsidP="001814B5">
            <w:pPr>
              <w:tabs>
                <w:tab w:val="right" w:pos="1317"/>
              </w:tabs>
              <w:spacing w:after="120"/>
            </w:pPr>
            <w:r>
              <w:tab/>
              <w:t>1,209,169</w:t>
            </w:r>
          </w:p>
        </w:tc>
      </w:tr>
      <w:tr w:rsidR="001814B5" w14:paraId="393D9CB6" w14:textId="77777777" w:rsidTr="001814B5">
        <w:tc>
          <w:tcPr>
            <w:tcW w:w="6048" w:type="dxa"/>
          </w:tcPr>
          <w:p w14:paraId="418BB590" w14:textId="77777777" w:rsidR="001814B5" w:rsidRDefault="001814B5" w:rsidP="00B511CC">
            <w:pPr>
              <w:spacing w:after="120"/>
            </w:pPr>
            <w:r>
              <w:t>General reserves</w:t>
            </w:r>
          </w:p>
        </w:tc>
        <w:tc>
          <w:tcPr>
            <w:tcW w:w="1800" w:type="dxa"/>
          </w:tcPr>
          <w:p w14:paraId="27C12F3A" w14:textId="77777777" w:rsidR="001814B5" w:rsidRDefault="001814B5" w:rsidP="001814B5">
            <w:pPr>
              <w:tabs>
                <w:tab w:val="right" w:pos="1317"/>
              </w:tabs>
              <w:spacing w:after="120"/>
            </w:pPr>
            <w:r>
              <w:tab/>
              <w:t>12,738,004</w:t>
            </w:r>
          </w:p>
        </w:tc>
      </w:tr>
      <w:tr w:rsidR="001814B5" w14:paraId="760555E7" w14:textId="77777777" w:rsidTr="001814B5">
        <w:tc>
          <w:tcPr>
            <w:tcW w:w="6048" w:type="dxa"/>
          </w:tcPr>
          <w:p w14:paraId="0BB1C764" w14:textId="77777777" w:rsidR="001814B5" w:rsidRDefault="001814B5" w:rsidP="00B511CC">
            <w:pPr>
              <w:spacing w:after="120"/>
            </w:pPr>
            <w:r>
              <w:t>Retaining</w:t>
            </w:r>
            <w:r w:rsidR="00451B0B">
              <w:t>*</w:t>
            </w:r>
            <w:r>
              <w:t xml:space="preserve"> earnings</w:t>
            </w:r>
          </w:p>
        </w:tc>
        <w:tc>
          <w:tcPr>
            <w:tcW w:w="1800" w:type="dxa"/>
          </w:tcPr>
          <w:p w14:paraId="3E3AEF91" w14:textId="77777777" w:rsidR="001814B5" w:rsidRDefault="001814B5" w:rsidP="001814B5">
            <w:pPr>
              <w:tabs>
                <w:tab w:val="right" w:pos="1317"/>
              </w:tabs>
              <w:spacing w:after="120"/>
            </w:pPr>
            <w:r>
              <w:tab/>
              <w:t>1,705,059</w:t>
            </w:r>
          </w:p>
        </w:tc>
      </w:tr>
      <w:tr w:rsidR="001814B5" w14:paraId="57E8A166" w14:textId="77777777" w:rsidTr="001814B5">
        <w:tc>
          <w:tcPr>
            <w:tcW w:w="6048" w:type="dxa"/>
            <w:tcBorders>
              <w:bottom w:val="single" w:sz="4" w:space="0" w:color="auto"/>
            </w:tcBorders>
          </w:tcPr>
          <w:p w14:paraId="45BD8304" w14:textId="77777777" w:rsidR="001814B5" w:rsidRDefault="001814B5" w:rsidP="00B511CC">
            <w:pPr>
              <w:spacing w:after="120"/>
            </w:pPr>
            <w:r>
              <w:t>Income for the year</w:t>
            </w:r>
          </w:p>
        </w:tc>
        <w:tc>
          <w:tcPr>
            <w:tcW w:w="1800" w:type="dxa"/>
            <w:tcBorders>
              <w:bottom w:val="single" w:sz="4" w:space="0" w:color="auto"/>
            </w:tcBorders>
          </w:tcPr>
          <w:p w14:paraId="12581349" w14:textId="77777777" w:rsidR="001814B5" w:rsidRDefault="001814B5" w:rsidP="001814B5">
            <w:pPr>
              <w:tabs>
                <w:tab w:val="right" w:pos="1317"/>
              </w:tabs>
              <w:spacing w:after="120"/>
            </w:pPr>
            <w:r>
              <w:tab/>
              <w:t>3,508,978</w:t>
            </w:r>
          </w:p>
        </w:tc>
      </w:tr>
      <w:tr w:rsidR="001814B5" w14:paraId="189DD736" w14:textId="77777777" w:rsidTr="001814B5">
        <w:tc>
          <w:tcPr>
            <w:tcW w:w="6048" w:type="dxa"/>
            <w:tcBorders>
              <w:top w:val="single" w:sz="4" w:space="0" w:color="auto"/>
              <w:bottom w:val="single" w:sz="4" w:space="0" w:color="auto"/>
            </w:tcBorders>
          </w:tcPr>
          <w:p w14:paraId="1284A3A5" w14:textId="77777777" w:rsidR="001814B5" w:rsidRDefault="001814B5" w:rsidP="00B511CC">
            <w:pPr>
              <w:spacing w:after="120"/>
            </w:pPr>
            <w:r>
              <w:t>OTHER EQUITY</w:t>
            </w:r>
          </w:p>
        </w:tc>
        <w:tc>
          <w:tcPr>
            <w:tcW w:w="1800" w:type="dxa"/>
            <w:tcBorders>
              <w:top w:val="single" w:sz="4" w:space="0" w:color="auto"/>
              <w:bottom w:val="single" w:sz="4" w:space="0" w:color="auto"/>
            </w:tcBorders>
          </w:tcPr>
          <w:p w14:paraId="05869F67" w14:textId="77777777" w:rsidR="001814B5" w:rsidRDefault="001814B5" w:rsidP="001814B5">
            <w:pPr>
              <w:tabs>
                <w:tab w:val="right" w:pos="1317"/>
              </w:tabs>
              <w:spacing w:after="120"/>
            </w:pPr>
            <w:r>
              <w:tab/>
              <w:t>1,954,845</w:t>
            </w:r>
          </w:p>
        </w:tc>
      </w:tr>
      <w:tr w:rsidR="001814B5" w14:paraId="5E2F3967" w14:textId="77777777" w:rsidTr="001814B5">
        <w:tc>
          <w:tcPr>
            <w:tcW w:w="6048" w:type="dxa"/>
            <w:tcBorders>
              <w:top w:val="single" w:sz="4" w:space="0" w:color="auto"/>
              <w:bottom w:val="single" w:sz="4" w:space="0" w:color="auto"/>
            </w:tcBorders>
          </w:tcPr>
          <w:p w14:paraId="7A55ED35" w14:textId="77777777" w:rsidR="001814B5" w:rsidRDefault="001814B5" w:rsidP="00B511CC">
            <w:pPr>
              <w:spacing w:after="120"/>
            </w:pPr>
            <w:r>
              <w:t>Perpetual subordinated securities repayable in shares</w:t>
            </w:r>
          </w:p>
        </w:tc>
        <w:tc>
          <w:tcPr>
            <w:tcW w:w="1800" w:type="dxa"/>
            <w:tcBorders>
              <w:top w:val="single" w:sz="4" w:space="0" w:color="auto"/>
              <w:bottom w:val="single" w:sz="4" w:space="0" w:color="auto"/>
            </w:tcBorders>
          </w:tcPr>
          <w:p w14:paraId="4D7A0C1B" w14:textId="77777777" w:rsidR="001814B5" w:rsidRDefault="001814B5" w:rsidP="001814B5">
            <w:pPr>
              <w:tabs>
                <w:tab w:val="right" w:pos="1317"/>
              </w:tabs>
              <w:spacing w:after="120"/>
            </w:pPr>
            <w:r>
              <w:tab/>
              <w:t>1,954,845</w:t>
            </w:r>
          </w:p>
        </w:tc>
      </w:tr>
      <w:tr w:rsidR="001814B5" w14:paraId="116ABD8B" w14:textId="77777777" w:rsidTr="001814B5">
        <w:tc>
          <w:tcPr>
            <w:tcW w:w="6048" w:type="dxa"/>
            <w:tcBorders>
              <w:top w:val="single" w:sz="4" w:space="0" w:color="auto"/>
              <w:bottom w:val="single" w:sz="4" w:space="0" w:color="auto"/>
            </w:tcBorders>
          </w:tcPr>
          <w:p w14:paraId="54BA1D34" w14:textId="77777777" w:rsidR="001814B5" w:rsidRDefault="001814B5" w:rsidP="00B511CC">
            <w:pPr>
              <w:spacing w:after="120"/>
            </w:pPr>
            <w:r>
              <w:t>CONTINGENCY RESERVES</w:t>
            </w:r>
          </w:p>
        </w:tc>
        <w:tc>
          <w:tcPr>
            <w:tcW w:w="1800" w:type="dxa"/>
            <w:tcBorders>
              <w:top w:val="single" w:sz="4" w:space="0" w:color="auto"/>
              <w:bottom w:val="single" w:sz="4" w:space="0" w:color="auto"/>
            </w:tcBorders>
          </w:tcPr>
          <w:p w14:paraId="02FF263E" w14:textId="77777777" w:rsidR="001814B5" w:rsidRDefault="001814B5" w:rsidP="001814B5">
            <w:pPr>
              <w:tabs>
                <w:tab w:val="right" w:pos="1317"/>
              </w:tabs>
              <w:spacing w:after="120"/>
            </w:pPr>
            <w:r>
              <w:tab/>
              <w:t>2,460,000</w:t>
            </w:r>
          </w:p>
        </w:tc>
      </w:tr>
      <w:tr w:rsidR="001814B5" w14:paraId="478D38C3" w14:textId="77777777" w:rsidTr="001814B5">
        <w:tc>
          <w:tcPr>
            <w:tcW w:w="6048" w:type="dxa"/>
            <w:tcBorders>
              <w:top w:val="single" w:sz="4" w:space="0" w:color="auto"/>
            </w:tcBorders>
          </w:tcPr>
          <w:p w14:paraId="46F626A2" w14:textId="77777777" w:rsidR="001814B5" w:rsidRDefault="001814B5" w:rsidP="00B511CC">
            <w:pPr>
              <w:spacing w:after="120"/>
            </w:pPr>
            <w:r>
              <w:t>Reserves for financial risks</w:t>
            </w:r>
          </w:p>
        </w:tc>
        <w:tc>
          <w:tcPr>
            <w:tcW w:w="1800" w:type="dxa"/>
            <w:tcBorders>
              <w:top w:val="single" w:sz="4" w:space="0" w:color="auto"/>
            </w:tcBorders>
          </w:tcPr>
          <w:p w14:paraId="6C34FAFA" w14:textId="77777777" w:rsidR="001814B5" w:rsidRDefault="001814B5" w:rsidP="001814B5">
            <w:pPr>
              <w:tabs>
                <w:tab w:val="right" w:pos="1317"/>
              </w:tabs>
              <w:spacing w:after="120"/>
            </w:pPr>
            <w:r>
              <w:tab/>
              <w:t>125,600</w:t>
            </w:r>
          </w:p>
        </w:tc>
      </w:tr>
      <w:tr w:rsidR="001814B5" w14:paraId="25CB3080" w14:textId="77777777" w:rsidTr="001814B5">
        <w:tc>
          <w:tcPr>
            <w:tcW w:w="6048" w:type="dxa"/>
          </w:tcPr>
          <w:p w14:paraId="0FC77912" w14:textId="77777777" w:rsidR="001814B5" w:rsidRDefault="001814B5" w:rsidP="00B511CC">
            <w:pPr>
              <w:spacing w:after="120"/>
            </w:pPr>
            <w:r>
              <w:t>Reserves for retirement benefits, pension plans and social termination plans</w:t>
            </w:r>
          </w:p>
        </w:tc>
        <w:tc>
          <w:tcPr>
            <w:tcW w:w="1800" w:type="dxa"/>
          </w:tcPr>
          <w:p w14:paraId="727C4E0D" w14:textId="77777777" w:rsidR="001814B5" w:rsidRDefault="001814B5" w:rsidP="001814B5">
            <w:pPr>
              <w:tabs>
                <w:tab w:val="right" w:pos="1317"/>
              </w:tabs>
              <w:spacing w:after="120"/>
            </w:pPr>
            <w:r>
              <w:tab/>
            </w:r>
            <w:r>
              <w:tab/>
            </w:r>
            <w:r>
              <w:tab/>
              <w:t>1,904,400</w:t>
            </w:r>
          </w:p>
        </w:tc>
      </w:tr>
      <w:tr w:rsidR="001814B5" w14:paraId="568E1804" w14:textId="77777777" w:rsidTr="001814B5">
        <w:tc>
          <w:tcPr>
            <w:tcW w:w="6048" w:type="dxa"/>
            <w:tcBorders>
              <w:bottom w:val="single" w:sz="4" w:space="0" w:color="auto"/>
            </w:tcBorders>
          </w:tcPr>
          <w:p w14:paraId="7F106800" w14:textId="77777777" w:rsidR="001814B5" w:rsidRDefault="001814B5" w:rsidP="00B511CC">
            <w:pPr>
              <w:spacing w:after="120"/>
            </w:pPr>
            <w:r>
              <w:t>Reserves for special industry risks</w:t>
            </w:r>
          </w:p>
        </w:tc>
        <w:tc>
          <w:tcPr>
            <w:tcW w:w="1800" w:type="dxa"/>
            <w:tcBorders>
              <w:bottom w:val="single" w:sz="4" w:space="0" w:color="auto"/>
            </w:tcBorders>
          </w:tcPr>
          <w:p w14:paraId="3372CF79" w14:textId="77777777" w:rsidR="001814B5" w:rsidRDefault="001814B5" w:rsidP="001814B5">
            <w:pPr>
              <w:tabs>
                <w:tab w:val="right" w:pos="1317"/>
              </w:tabs>
              <w:spacing w:after="120"/>
            </w:pPr>
            <w:r>
              <w:tab/>
              <w:t>430,000</w:t>
            </w:r>
          </w:p>
        </w:tc>
      </w:tr>
      <w:tr w:rsidR="001814B5" w14:paraId="530847F1" w14:textId="77777777" w:rsidTr="001814B5">
        <w:tc>
          <w:tcPr>
            <w:tcW w:w="6048" w:type="dxa"/>
            <w:tcBorders>
              <w:top w:val="single" w:sz="4" w:space="0" w:color="auto"/>
              <w:bottom w:val="single" w:sz="4" w:space="0" w:color="auto"/>
            </w:tcBorders>
          </w:tcPr>
          <w:p w14:paraId="243C4119" w14:textId="77777777" w:rsidR="001814B5" w:rsidRDefault="001814B5" w:rsidP="00B511CC">
            <w:pPr>
              <w:spacing w:after="120"/>
            </w:pPr>
            <w:r>
              <w:t>DEBT</w:t>
            </w:r>
          </w:p>
        </w:tc>
        <w:tc>
          <w:tcPr>
            <w:tcW w:w="1800" w:type="dxa"/>
            <w:tcBorders>
              <w:top w:val="single" w:sz="4" w:space="0" w:color="auto"/>
              <w:bottom w:val="single" w:sz="4" w:space="0" w:color="auto"/>
            </w:tcBorders>
          </w:tcPr>
          <w:p w14:paraId="369A2849" w14:textId="77777777" w:rsidR="001814B5" w:rsidRDefault="001814B5" w:rsidP="001814B5">
            <w:pPr>
              <w:tabs>
                <w:tab w:val="right" w:pos="1317"/>
              </w:tabs>
              <w:spacing w:after="120"/>
            </w:pPr>
            <w:r>
              <w:tab/>
              <w:t>23,448,269</w:t>
            </w:r>
          </w:p>
        </w:tc>
      </w:tr>
      <w:tr w:rsidR="001814B5" w14:paraId="5D132B5C" w14:textId="77777777" w:rsidTr="001814B5">
        <w:tc>
          <w:tcPr>
            <w:tcW w:w="6048" w:type="dxa"/>
            <w:tcBorders>
              <w:top w:val="single" w:sz="4" w:space="0" w:color="auto"/>
            </w:tcBorders>
          </w:tcPr>
          <w:p w14:paraId="7FBCD711" w14:textId="77777777" w:rsidR="001814B5" w:rsidRDefault="00524229" w:rsidP="00B511CC">
            <w:pPr>
              <w:spacing w:after="120"/>
            </w:pPr>
            <w:r>
              <w:t>Loans</w:t>
            </w:r>
          </w:p>
        </w:tc>
        <w:tc>
          <w:tcPr>
            <w:tcW w:w="1800" w:type="dxa"/>
            <w:tcBorders>
              <w:top w:val="single" w:sz="4" w:space="0" w:color="auto"/>
            </w:tcBorders>
          </w:tcPr>
          <w:p w14:paraId="0A93A44F" w14:textId="77777777" w:rsidR="001814B5" w:rsidRDefault="00524229" w:rsidP="001814B5">
            <w:pPr>
              <w:tabs>
                <w:tab w:val="right" w:pos="1317"/>
              </w:tabs>
              <w:spacing w:after="120"/>
            </w:pPr>
            <w:r>
              <w:tab/>
              <w:t>19,291,057</w:t>
            </w:r>
          </w:p>
        </w:tc>
      </w:tr>
      <w:tr w:rsidR="001814B5" w14:paraId="56AE1E2A" w14:textId="77777777" w:rsidTr="001814B5">
        <w:tc>
          <w:tcPr>
            <w:tcW w:w="6048" w:type="dxa"/>
          </w:tcPr>
          <w:p w14:paraId="43735F42" w14:textId="77777777" w:rsidR="001814B5" w:rsidRDefault="00524229" w:rsidP="00524229">
            <w:pPr>
              <w:pStyle w:val="ListParagraph"/>
              <w:numPr>
                <w:ilvl w:val="0"/>
                <w:numId w:val="1"/>
              </w:numPr>
              <w:spacing w:after="120"/>
            </w:pPr>
            <w:r>
              <w:t>Convertible debentures</w:t>
            </w:r>
          </w:p>
        </w:tc>
        <w:tc>
          <w:tcPr>
            <w:tcW w:w="1800" w:type="dxa"/>
          </w:tcPr>
          <w:p w14:paraId="3C1A43F7" w14:textId="77777777" w:rsidR="001814B5" w:rsidRDefault="00524229" w:rsidP="001814B5">
            <w:pPr>
              <w:tabs>
                <w:tab w:val="right" w:pos="1317"/>
              </w:tabs>
              <w:spacing w:after="120"/>
            </w:pPr>
            <w:r>
              <w:tab/>
              <w:t>0</w:t>
            </w:r>
          </w:p>
        </w:tc>
      </w:tr>
      <w:tr w:rsidR="001814B5" w14:paraId="72DAA5F9" w14:textId="77777777" w:rsidTr="001814B5">
        <w:tc>
          <w:tcPr>
            <w:tcW w:w="6048" w:type="dxa"/>
          </w:tcPr>
          <w:p w14:paraId="70C81D60" w14:textId="77777777" w:rsidR="001814B5" w:rsidRDefault="00524229" w:rsidP="00524229">
            <w:pPr>
              <w:pStyle w:val="ListParagraph"/>
              <w:numPr>
                <w:ilvl w:val="0"/>
                <w:numId w:val="1"/>
              </w:numPr>
              <w:spacing w:after="120"/>
            </w:pPr>
            <w:r>
              <w:t>Other debentures</w:t>
            </w:r>
          </w:p>
        </w:tc>
        <w:tc>
          <w:tcPr>
            <w:tcW w:w="1800" w:type="dxa"/>
          </w:tcPr>
          <w:p w14:paraId="481BF033" w14:textId="77777777" w:rsidR="001814B5" w:rsidRDefault="00524229" w:rsidP="001814B5">
            <w:pPr>
              <w:tabs>
                <w:tab w:val="right" w:pos="1317"/>
              </w:tabs>
              <w:spacing w:after="120"/>
            </w:pPr>
            <w:r>
              <w:tab/>
              <w:t>6,440,397</w:t>
            </w:r>
          </w:p>
        </w:tc>
      </w:tr>
      <w:tr w:rsidR="001814B5" w14:paraId="1AC8BC78" w14:textId="77777777" w:rsidTr="001814B5">
        <w:tc>
          <w:tcPr>
            <w:tcW w:w="6048" w:type="dxa"/>
          </w:tcPr>
          <w:p w14:paraId="491E2C4E" w14:textId="77777777" w:rsidR="001814B5" w:rsidRDefault="00524229" w:rsidP="00524229">
            <w:pPr>
              <w:pStyle w:val="ListParagraph"/>
              <w:numPr>
                <w:ilvl w:val="0"/>
                <w:numId w:val="1"/>
              </w:numPr>
              <w:spacing w:after="120"/>
            </w:pPr>
            <w:r>
              <w:t>Other loans</w:t>
            </w:r>
          </w:p>
        </w:tc>
        <w:tc>
          <w:tcPr>
            <w:tcW w:w="1800" w:type="dxa"/>
          </w:tcPr>
          <w:p w14:paraId="25968713" w14:textId="77777777" w:rsidR="001814B5" w:rsidRDefault="00524229" w:rsidP="001814B5">
            <w:pPr>
              <w:tabs>
                <w:tab w:val="right" w:pos="1317"/>
              </w:tabs>
              <w:spacing w:after="120"/>
            </w:pPr>
            <w:r>
              <w:tab/>
              <w:t>12,800,601</w:t>
            </w:r>
          </w:p>
        </w:tc>
      </w:tr>
      <w:tr w:rsidR="001814B5" w14:paraId="43DE0CDD" w14:textId="77777777" w:rsidTr="001814B5">
        <w:tc>
          <w:tcPr>
            <w:tcW w:w="6048" w:type="dxa"/>
          </w:tcPr>
          <w:p w14:paraId="21F315E5" w14:textId="77777777" w:rsidR="001814B5" w:rsidRDefault="00524229" w:rsidP="00524229">
            <w:pPr>
              <w:pStyle w:val="ListParagraph"/>
              <w:numPr>
                <w:ilvl w:val="0"/>
                <w:numId w:val="1"/>
              </w:numPr>
              <w:spacing w:after="120"/>
            </w:pPr>
            <w:r>
              <w:t>Bank overdrafts</w:t>
            </w:r>
          </w:p>
        </w:tc>
        <w:tc>
          <w:tcPr>
            <w:tcW w:w="1800" w:type="dxa"/>
          </w:tcPr>
          <w:p w14:paraId="059BC4EB" w14:textId="77777777" w:rsidR="001814B5" w:rsidRDefault="00524229" w:rsidP="001814B5">
            <w:pPr>
              <w:tabs>
                <w:tab w:val="right" w:pos="1317"/>
              </w:tabs>
              <w:spacing w:after="120"/>
            </w:pPr>
            <w:r>
              <w:tab/>
              <w:t>50,059</w:t>
            </w:r>
          </w:p>
        </w:tc>
      </w:tr>
      <w:tr w:rsidR="001814B5" w14:paraId="32ED2D2D" w14:textId="77777777" w:rsidTr="001814B5">
        <w:tc>
          <w:tcPr>
            <w:tcW w:w="6048" w:type="dxa"/>
          </w:tcPr>
          <w:p w14:paraId="38A05B8B" w14:textId="77777777" w:rsidR="001814B5" w:rsidRDefault="00524229" w:rsidP="00B511CC">
            <w:pPr>
              <w:spacing w:after="120"/>
            </w:pPr>
            <w:r>
              <w:t>Liabilities</w:t>
            </w:r>
          </w:p>
        </w:tc>
        <w:tc>
          <w:tcPr>
            <w:tcW w:w="1800" w:type="dxa"/>
          </w:tcPr>
          <w:p w14:paraId="7AE4B47E" w14:textId="77777777" w:rsidR="001814B5" w:rsidRDefault="00524229" w:rsidP="001814B5">
            <w:pPr>
              <w:tabs>
                <w:tab w:val="right" w:pos="1317"/>
              </w:tabs>
              <w:spacing w:after="120"/>
            </w:pPr>
            <w:r>
              <w:tab/>
              <w:t>4,162,350</w:t>
            </w:r>
          </w:p>
        </w:tc>
      </w:tr>
      <w:tr w:rsidR="00524229" w14:paraId="54DD365E" w14:textId="77777777" w:rsidTr="001814B5">
        <w:tc>
          <w:tcPr>
            <w:tcW w:w="6048" w:type="dxa"/>
          </w:tcPr>
          <w:p w14:paraId="4FEAE44C" w14:textId="77777777" w:rsidR="00524229" w:rsidRDefault="00524229" w:rsidP="00524229">
            <w:pPr>
              <w:pStyle w:val="ListParagraph"/>
              <w:numPr>
                <w:ilvl w:val="0"/>
                <w:numId w:val="1"/>
              </w:numPr>
              <w:spacing w:after="120"/>
            </w:pPr>
            <w:r>
              <w:t>Accounts and notes payable-trade</w:t>
            </w:r>
          </w:p>
        </w:tc>
        <w:tc>
          <w:tcPr>
            <w:tcW w:w="1800" w:type="dxa"/>
          </w:tcPr>
          <w:p w14:paraId="0145265C" w14:textId="77777777" w:rsidR="00524229" w:rsidRDefault="00524229" w:rsidP="001814B5">
            <w:pPr>
              <w:tabs>
                <w:tab w:val="right" w:pos="1317"/>
              </w:tabs>
              <w:spacing w:after="120"/>
            </w:pPr>
            <w:r>
              <w:tab/>
              <w:t>2,847,766</w:t>
            </w:r>
          </w:p>
        </w:tc>
      </w:tr>
      <w:tr w:rsidR="00524229" w14:paraId="5E9F56BF" w14:textId="77777777" w:rsidTr="00524229">
        <w:tc>
          <w:tcPr>
            <w:tcW w:w="6048" w:type="dxa"/>
            <w:tcBorders>
              <w:bottom w:val="single" w:sz="4" w:space="0" w:color="auto"/>
            </w:tcBorders>
          </w:tcPr>
          <w:p w14:paraId="457B8EAA" w14:textId="77777777" w:rsidR="00524229" w:rsidRDefault="00524229" w:rsidP="00524229">
            <w:pPr>
              <w:pStyle w:val="ListParagraph"/>
              <w:numPr>
                <w:ilvl w:val="0"/>
                <w:numId w:val="1"/>
              </w:numPr>
              <w:spacing w:after="120"/>
            </w:pPr>
            <w:r>
              <w:t>Other payables</w:t>
            </w:r>
          </w:p>
        </w:tc>
        <w:tc>
          <w:tcPr>
            <w:tcW w:w="1800" w:type="dxa"/>
            <w:tcBorders>
              <w:bottom w:val="single" w:sz="4" w:space="0" w:color="auto"/>
            </w:tcBorders>
          </w:tcPr>
          <w:p w14:paraId="301CDEE2" w14:textId="77777777" w:rsidR="00524229" w:rsidRDefault="00524229" w:rsidP="001814B5">
            <w:pPr>
              <w:tabs>
                <w:tab w:val="right" w:pos="1317"/>
              </w:tabs>
              <w:spacing w:after="120"/>
            </w:pPr>
            <w:r>
              <w:tab/>
              <w:t>1,314,584</w:t>
            </w:r>
          </w:p>
        </w:tc>
      </w:tr>
      <w:tr w:rsidR="00524229" w14:paraId="2DB345D8" w14:textId="77777777" w:rsidTr="00524229">
        <w:tc>
          <w:tcPr>
            <w:tcW w:w="6048" w:type="dxa"/>
            <w:tcBorders>
              <w:top w:val="single" w:sz="4" w:space="0" w:color="auto"/>
              <w:bottom w:val="single" w:sz="4" w:space="0" w:color="auto"/>
            </w:tcBorders>
          </w:tcPr>
          <w:p w14:paraId="21CFC4A4" w14:textId="77777777" w:rsidR="00524229" w:rsidRDefault="00524229" w:rsidP="00B511CC">
            <w:pPr>
              <w:spacing w:after="120"/>
            </w:pPr>
            <w:r>
              <w:t>OTHER CREDITORS AND ACCRUED LIABILITIES</w:t>
            </w:r>
          </w:p>
        </w:tc>
        <w:tc>
          <w:tcPr>
            <w:tcW w:w="1800" w:type="dxa"/>
            <w:tcBorders>
              <w:top w:val="single" w:sz="4" w:space="0" w:color="auto"/>
              <w:bottom w:val="single" w:sz="4" w:space="0" w:color="auto"/>
            </w:tcBorders>
          </w:tcPr>
          <w:p w14:paraId="3AB78698" w14:textId="77777777" w:rsidR="00524229" w:rsidRDefault="00524229" w:rsidP="001814B5">
            <w:pPr>
              <w:tabs>
                <w:tab w:val="right" w:pos="1317"/>
              </w:tabs>
              <w:spacing w:after="120"/>
            </w:pPr>
            <w:r>
              <w:tab/>
              <w:t>325</w:t>
            </w:r>
          </w:p>
        </w:tc>
      </w:tr>
      <w:tr w:rsidR="00524229" w14:paraId="1823F5F5" w14:textId="77777777" w:rsidTr="00524229">
        <w:tc>
          <w:tcPr>
            <w:tcW w:w="6048" w:type="dxa"/>
            <w:tcBorders>
              <w:top w:val="single" w:sz="4" w:space="0" w:color="auto"/>
              <w:bottom w:val="single" w:sz="4" w:space="0" w:color="auto"/>
            </w:tcBorders>
          </w:tcPr>
          <w:p w14:paraId="518B3407" w14:textId="77777777" w:rsidR="00524229" w:rsidRDefault="00524229" w:rsidP="00B511CC">
            <w:pPr>
              <w:spacing w:after="120"/>
            </w:pPr>
            <w:r>
              <w:t>TRANSLATION ADJUSTMENT</w:t>
            </w:r>
          </w:p>
        </w:tc>
        <w:tc>
          <w:tcPr>
            <w:tcW w:w="1800" w:type="dxa"/>
            <w:tcBorders>
              <w:top w:val="single" w:sz="4" w:space="0" w:color="auto"/>
              <w:bottom w:val="single" w:sz="4" w:space="0" w:color="auto"/>
            </w:tcBorders>
          </w:tcPr>
          <w:p w14:paraId="6457D219" w14:textId="77777777" w:rsidR="00524229" w:rsidRDefault="00524229" w:rsidP="001814B5">
            <w:pPr>
              <w:tabs>
                <w:tab w:val="right" w:pos="1317"/>
              </w:tabs>
              <w:spacing w:after="120"/>
            </w:pPr>
            <w:r>
              <w:tab/>
              <w:t>539,884</w:t>
            </w:r>
          </w:p>
        </w:tc>
      </w:tr>
      <w:tr w:rsidR="00524229" w14:paraId="36649DB7" w14:textId="77777777" w:rsidTr="00524229">
        <w:tc>
          <w:tcPr>
            <w:tcW w:w="6048" w:type="dxa"/>
            <w:tcBorders>
              <w:top w:val="single" w:sz="4" w:space="0" w:color="auto"/>
              <w:bottom w:val="single" w:sz="4" w:space="0" w:color="auto"/>
            </w:tcBorders>
          </w:tcPr>
          <w:p w14:paraId="369F688F" w14:textId="77777777" w:rsidR="00524229" w:rsidRDefault="00524229" w:rsidP="00B511CC">
            <w:pPr>
              <w:spacing w:after="120"/>
            </w:pPr>
            <w:r>
              <w:t>TOTAL LIABILITIES AND SHAREHOLDER’S</w:t>
            </w:r>
            <w:r w:rsidR="00451B0B">
              <w:t>*</w:t>
            </w:r>
            <w:r>
              <w:t xml:space="preserve"> EQUITY</w:t>
            </w:r>
          </w:p>
        </w:tc>
        <w:tc>
          <w:tcPr>
            <w:tcW w:w="1800" w:type="dxa"/>
            <w:tcBorders>
              <w:top w:val="single" w:sz="4" w:space="0" w:color="auto"/>
              <w:bottom w:val="single" w:sz="4" w:space="0" w:color="auto"/>
            </w:tcBorders>
          </w:tcPr>
          <w:p w14:paraId="1C7B0467" w14:textId="77777777" w:rsidR="00524229" w:rsidRDefault="00524229" w:rsidP="001814B5">
            <w:pPr>
              <w:tabs>
                <w:tab w:val="right" w:pos="1317"/>
              </w:tabs>
              <w:spacing w:after="120"/>
            </w:pPr>
            <w:r>
              <w:tab/>
              <w:t>69,558,985</w:t>
            </w:r>
          </w:p>
        </w:tc>
      </w:tr>
    </w:tbl>
    <w:p w14:paraId="4D033518" w14:textId="77777777" w:rsidR="001814B5" w:rsidRDefault="00451B0B" w:rsidP="00451B0B">
      <w:pPr>
        <w:spacing w:after="120" w:line="240" w:lineRule="auto"/>
      </w:pPr>
      <w:r>
        <w:t>*these words are as spelt in the original.</w:t>
      </w:r>
    </w:p>
    <w:p w14:paraId="0F18BBBA" w14:textId="7141986E" w:rsidR="00AE7A30" w:rsidRDefault="001814B5" w:rsidP="00AE7A30">
      <w:pPr>
        <w:spacing w:after="120" w:line="240" w:lineRule="auto"/>
      </w:pPr>
      <w:r w:rsidRPr="006C3380">
        <w:t xml:space="preserve">Figure </w:t>
      </w:r>
      <w:r w:rsidR="0045637F" w:rsidRPr="006C3380">
        <w:t>7</w:t>
      </w:r>
      <w:r w:rsidRPr="006C3380">
        <w:t>.</w:t>
      </w:r>
      <w:r>
        <w:t xml:space="preserve">  Right-hand side of balance sheet of Total Oil, as at 31 December 1993</w:t>
      </w:r>
      <w:r w:rsidR="009141D7">
        <w:t xml:space="preserve"> (in thousands of French francs; some columns and notes deleted</w:t>
      </w:r>
      <w:r w:rsidR="006C3380">
        <w:t>).</w:t>
      </w:r>
    </w:p>
    <w:p w14:paraId="42E69886" w14:textId="77777777" w:rsidR="00AE7A30" w:rsidRDefault="00AE7A30" w:rsidP="00AE7A30">
      <w:pPr>
        <w:spacing w:after="120" w:line="240" w:lineRule="auto"/>
        <w:sectPr w:rsidR="00AE7A30" w:rsidSect="00AE7A30">
          <w:headerReference w:type="default" r:id="rId15"/>
          <w:headerReference w:type="first" r:id="rId16"/>
          <w:pgSz w:w="11906" w:h="16838"/>
          <w:pgMar w:top="1440" w:right="1800" w:bottom="1440" w:left="1440" w:header="706" w:footer="706" w:gutter="0"/>
          <w:cols w:space="708"/>
          <w:docGrid w:linePitch="360"/>
        </w:sectPr>
      </w:pPr>
    </w:p>
    <w:p w14:paraId="2376313C" w14:textId="694D8AC4" w:rsidR="00717A6C" w:rsidRDefault="00D55E27" w:rsidP="00717A6C">
      <w:pPr>
        <w:spacing w:after="120" w:line="480" w:lineRule="auto"/>
      </w:pPr>
      <w:r>
        <w:rPr>
          <w:noProof/>
          <w:lang w:val="en-AU" w:eastAsia="en-AU"/>
        </w:rPr>
        <mc:AlternateContent>
          <mc:Choice Requires="wps">
            <w:drawing>
              <wp:anchor distT="0" distB="0" distL="114300" distR="114300" simplePos="0" relativeHeight="251694080" behindDoc="0" locked="0" layoutInCell="1" allowOverlap="1" wp14:anchorId="7508F4B1" wp14:editId="0BB30AA6">
                <wp:simplePos x="0" y="0"/>
                <wp:positionH relativeFrom="column">
                  <wp:posOffset>3419475</wp:posOffset>
                </wp:positionH>
                <wp:positionV relativeFrom="paragraph">
                  <wp:posOffset>76201</wp:posOffset>
                </wp:positionV>
                <wp:extent cx="1332230" cy="971550"/>
                <wp:effectExtent l="0" t="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2230"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8804CD" w14:textId="77777777" w:rsidR="00CC25D3" w:rsidRPr="00344788" w:rsidRDefault="00CC25D3" w:rsidP="00717A6C">
                            <w:pPr>
                              <w:spacing w:after="0"/>
                            </w:pPr>
                            <w:r w:rsidRPr="00344788">
                              <w:t>Partnerships;</w:t>
                            </w:r>
                          </w:p>
                          <w:p w14:paraId="022D0FFB" w14:textId="6EAC328E" w:rsidR="00CC25D3" w:rsidRPr="00344788" w:rsidRDefault="00CC25D3" w:rsidP="00717A6C">
                            <w:pPr>
                              <w:spacing w:after="0"/>
                            </w:pPr>
                            <w:r w:rsidRPr="00344788">
                              <w:t>Companies Act companies</w:t>
                            </w:r>
                            <w:r>
                              <w:t xml:space="preserve"> (e.g. 1845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8F4B1" id="_x0000_t202" coordsize="21600,21600" o:spt="202" path="m,l,21600r21600,l21600,xe">
                <v:stroke joinstyle="miter"/>
                <v:path gradientshapeok="t" o:connecttype="rect"/>
              </v:shapetype>
              <v:shape id="Text Box 6" o:spid="_x0000_s1026" type="#_x0000_t202" style="position:absolute;margin-left:269.25pt;margin-top:6pt;width:104.9pt;height: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4RkwIAAKMFAAAOAAAAZHJzL2Uyb0RvYy54bWysVEtPGzEQvlfqf7B8L5sHj7Jig1IQVaUI&#10;UEPF2fHaxML2uLaT3fTXM/ZuHlAuVL3sjj3fzHi+eVxctkaTtfBBga3o8GhAibAcamWfKvrr4ebL&#10;V0pCZLZmGqyo6EYEejn5/OmicaUYwRJ0LTxBJzaUjavoMkZXFkXgS2FYOAInLColeMMiHv1TUXvW&#10;oHeji9FgcFo04GvngYsQ8Pa6U9JJ9i+l4PFOyiAi0RXFt8X89fm7SN9icsHKJ8/cUvH+GewfXmGY&#10;shh05+qaRUZWXv3lyijuIYCMRxxMAVIqLnIOmM1w8Cab+ZI5kXNBcoLb0RT+n1t+u773RNUVPaXE&#10;MoMlehBtJN+gJaeJncaFEkFzh7DY4jVWOWca3Az4c0BIcYDpDAKiExut9Cb9MU+ChliAzY70FIUn&#10;b+PxaDRGFUfd+dnw5CRXpdhbOx/idwGGJKGiHouaX8DWsxBTfFZuISlYAK3qG6V1PqRGElfakzXD&#10;FtBxmJJCi1cobUmDDIwxdDKykMw7nLbpRuRW6sOldLsMsxQ3WiSMtj+FRCpzou/EZpwLu4uf0Qkl&#10;MdRHDHv8/lUfMe7yQIscGWzcGRtlwXeFfU1Z/bylTHb4vuChyztRENtFi2wlcQH1BjvFQzdpwfEb&#10;hVWbsRDvmcfRwkLjuoh3+JEakHXoJUqW4P+8d5/w2PGopaTBUa1o+L1iXlCif1ichfPh8XGa7Xw4&#10;Pjkb4cEfahaHGrsyV4CtMMTF5HgWEz7qrSg9mEfcKtMUFVXMcoxd0bgVr2K3QHArcTGdZhBOs2Nx&#10;ZueObwck9eRD+8i86xs3YsvfwnaoWfmmfztsKoyF6SqCVLm596z2xOMmyB3cb620ag7PGbXfrZMX&#10;AAAA//8DAFBLAwQUAAYACAAAACEAUjsH4OAAAAAKAQAADwAAAGRycy9kb3ducmV2LnhtbEyPwW7C&#10;MBBE75X6D9ZW6gUVB2ggSuOgqioSHDg07YWbiZckaryObAPp33d7KsedeZqdKdaj7cUFfegcKZhN&#10;ExBItTMdNQq+PjdPGYgQNRndO0IFPxhgXd7fFTo37kofeKliIziEQq4VtDEOuZShbtHqMHUDEnsn&#10;562OfPpGGq+vHG57OU+SpbS6I/7Q6gHfWqy/q7NVsA+H7eTgt5tJFYzcIe7fd7Oo1OPD+PoCIuIY&#10;/2H4q8/VoeROR3cmE0SvIF1kKaNszHkTA6vnbAHiyMIyTUCWhbydUP4CAAD//wMAUEsBAi0AFAAG&#10;AAgAAAAhALaDOJL+AAAA4QEAABMAAAAAAAAAAAAAAAAAAAAAAFtDb250ZW50X1R5cGVzXS54bWxQ&#10;SwECLQAUAAYACAAAACEAOP0h/9YAAACUAQAACwAAAAAAAAAAAAAAAAAvAQAAX3JlbHMvLnJlbHNQ&#10;SwECLQAUAAYACAAAACEAWnUuEZMCAACjBQAADgAAAAAAAAAAAAAAAAAuAgAAZHJzL2Uyb0RvYy54&#10;bWxQSwECLQAUAAYACAAAACEAUjsH4OAAAAAKAQAADwAAAAAAAAAAAAAAAADtBAAAZHJzL2Rvd25y&#10;ZXYueG1sUEsFBgAAAAAEAAQA8wAAAPoFAAAAAA==&#10;" fillcolor="white [3201]" stroked="f" strokeweight=".5pt">
                <v:path arrowok="t"/>
                <v:textbox>
                  <w:txbxContent>
                    <w:p w14:paraId="498804CD" w14:textId="77777777" w:rsidR="00CC25D3" w:rsidRPr="00344788" w:rsidRDefault="00CC25D3" w:rsidP="00717A6C">
                      <w:pPr>
                        <w:spacing w:after="0"/>
                      </w:pPr>
                      <w:r w:rsidRPr="00344788">
                        <w:t>Partnerships;</w:t>
                      </w:r>
                    </w:p>
                    <w:p w14:paraId="022D0FFB" w14:textId="6EAC328E" w:rsidR="00CC25D3" w:rsidRPr="00344788" w:rsidRDefault="00CC25D3" w:rsidP="00717A6C">
                      <w:pPr>
                        <w:spacing w:after="0"/>
                      </w:pPr>
                      <w:r w:rsidRPr="00344788">
                        <w:t>Companies Act companies</w:t>
                      </w:r>
                      <w:r>
                        <w:t xml:space="preserve"> (e.g. 1845 Act)</w:t>
                      </w:r>
                    </w:p>
                  </w:txbxContent>
                </v:textbox>
              </v:shape>
            </w:pict>
          </mc:Fallback>
        </mc:AlternateContent>
      </w:r>
      <w:r>
        <w:rPr>
          <w:noProof/>
          <w:lang w:val="en-AU" w:eastAsia="en-AU"/>
        </w:rPr>
        <mc:AlternateContent>
          <mc:Choice Requires="wps">
            <w:drawing>
              <wp:anchor distT="0" distB="0" distL="114300" distR="114300" simplePos="0" relativeHeight="251696128" behindDoc="0" locked="0" layoutInCell="1" allowOverlap="1" wp14:anchorId="3F164734" wp14:editId="59D778F9">
                <wp:simplePos x="0" y="0"/>
                <wp:positionH relativeFrom="margin">
                  <wp:align>right</wp:align>
                </wp:positionH>
                <wp:positionV relativeFrom="paragraph">
                  <wp:posOffset>200025</wp:posOffset>
                </wp:positionV>
                <wp:extent cx="1676400" cy="510540"/>
                <wp:effectExtent l="0" t="0" r="0" b="381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6400" cy="510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472CD5" w14:textId="77777777" w:rsidR="00CC25D3" w:rsidRDefault="00CC25D3" w:rsidP="00717A6C">
                            <w:pPr>
                              <w:spacing w:after="0"/>
                            </w:pPr>
                            <w:r>
                              <w:t>Partnerships;</w:t>
                            </w:r>
                          </w:p>
                          <w:p w14:paraId="3B8FE230" w14:textId="754F46CF" w:rsidR="00CC25D3" w:rsidRDefault="00CC25D3" w:rsidP="00717A6C">
                            <w:pPr>
                              <w:spacing w:after="0"/>
                            </w:pPr>
                            <w:r>
                              <w:t>Companies (1980 Act)</w:t>
                            </w:r>
                          </w:p>
                          <w:p w14:paraId="19E51A31" w14:textId="77777777" w:rsidR="00CC25D3" w:rsidRDefault="00CC25D3" w:rsidP="00717A6C">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F164734" id="Text Box 8" o:spid="_x0000_s1027" type="#_x0000_t202" style="position:absolute;margin-left:80.8pt;margin-top:15.75pt;width:132pt;height:40.2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DqolQIAAKsFAAAOAAAAZHJzL2Uyb0RvYy54bWysVN9P2zAQfp+0/8Hy+0jatYVFTVEHYppU&#10;ARpMPLuOTSMcn2e7Tbq/fmc7KYXxwrQXx8599/u7m593jSI7YV0NuqSjk5wSoTlUtX4s6c/7q09n&#10;lDjPdMUUaFHSvXD0fPHxw7w1hRjDBlQlLEEj2hWtKenGe1NkmeMb0TB3AkZoFEqwDfP4tI9ZZVmL&#10;1huVjfN8lrVgK2OBC+fw72US0kW0L6Xg/kZKJzxRJcXYfDxtPNfhzBZzVjxaZjY178Ng/xBFw2qN&#10;Tg+mLplnZGvrv0w1NbfgQPoTDk0GUtZcxBwwm1H+Kpu7DTMi5oLFceZQJvf/zPLr3a0ldYW9G1Gi&#10;WYM9uhedJ1+hI2ehPK1xBaLuDOJ8h78RGlN1ZgX8ySEkO8IkBYfoUI5O2iZ8MVGCitiB/aHqwQsP&#10;1mans0mOIo6y6SifTmJbsmdtY53/JqAh4VJSi12NEbDdyvngnxUDJDhzoOrqqlYqPgKTxIWyZMeQ&#10;A8qPQlKo8QKlNGlLOvs8zaNhDUE94ZQOZkTkUu8upJsyjDe/VyJglP4hJNYyJvqGb8a50Af/ER1Q&#10;El29R7HHP0f1HuWUB2pEz6D9QbmpNdjU2Jclq56GksmE7xvuUt6hBL5bd4lEA2PWUO2RMBbSxDnD&#10;r2ps3oo5f8ssjhj2G9eGv8FDKsDiQ3+jZAP291v/Ax6Zj1JKWhzZkrpfW2YFJeq7xpn4MpogdYiP&#10;j8n0dIwPeyxZH0v0trkAZATSHqOL14D3arhKC80Dbpdl8Ioipjn6Lqkfrhc+LRLcTlwslxGEU22Y&#10;X+k7w4c5CdS87x6YNT1/PTL/GobhZsUrGids6I+G5daDrCPHQ51TVfv640aIRO63V1g5x++Iet6x&#10;iz8AAAD//wMAUEsDBBQABgAIAAAAIQCkkJcx3QAAAAcBAAAPAAAAZHJzL2Rvd25yZXYueG1sTI/B&#10;TsMwEETvSPyDtUhcKuq40ArSOBVCVGoPPZBy6c2Nt0lEvI5stw1/z3KC4+yMZt4Wq9H14oIhdp40&#10;qGkGAqn2tqNGw+d+/fAMIiZD1vSeUMM3RliVtzeFya2/0gdeqtQILqGYGw1tSkMuZaxbdCZO/YDE&#10;3skHZxLL0EgbzJXLXS9nWbaQznTEC60Z8K3F+qs6Ow27eNhMDmGznlTRyi3i7n2rktb3d+PrEkTC&#10;Mf2F4Ref0aFkpqM/k42i18CPJA2Pag6C3dniiQ9Hjin1ArIs5H/+8gcAAP//AwBQSwECLQAUAAYA&#10;CAAAACEAtoM4kv4AAADhAQAAEwAAAAAAAAAAAAAAAAAAAAAAW0NvbnRlbnRfVHlwZXNdLnhtbFBL&#10;AQItABQABgAIAAAAIQA4/SH/1gAAAJQBAAALAAAAAAAAAAAAAAAAAC8BAABfcmVscy8ucmVsc1BL&#10;AQItABQABgAIAAAAIQD6ODqolQIAAKsFAAAOAAAAAAAAAAAAAAAAAC4CAABkcnMvZTJvRG9jLnht&#10;bFBLAQItABQABgAIAAAAIQCkkJcx3QAAAAcBAAAPAAAAAAAAAAAAAAAAAO8EAABkcnMvZG93bnJl&#10;di54bWxQSwUGAAAAAAQABADzAAAA+QUAAAAA&#10;" fillcolor="white [3201]" stroked="f" strokeweight=".5pt">
                <v:path arrowok="t"/>
                <v:textbox>
                  <w:txbxContent>
                    <w:p w14:paraId="6E472CD5" w14:textId="77777777" w:rsidR="00CC25D3" w:rsidRDefault="00CC25D3" w:rsidP="00717A6C">
                      <w:pPr>
                        <w:spacing w:after="0"/>
                      </w:pPr>
                      <w:r>
                        <w:t>Partnerships;</w:t>
                      </w:r>
                    </w:p>
                    <w:p w14:paraId="3B8FE230" w14:textId="754F46CF" w:rsidR="00CC25D3" w:rsidRDefault="00CC25D3" w:rsidP="00717A6C">
                      <w:pPr>
                        <w:spacing w:after="0"/>
                      </w:pPr>
                      <w:r>
                        <w:t>Companies (1980 Act)</w:t>
                      </w:r>
                    </w:p>
                    <w:p w14:paraId="19E51A31" w14:textId="77777777" w:rsidR="00CC25D3" w:rsidRDefault="00CC25D3" w:rsidP="00717A6C">
                      <w:pPr>
                        <w:spacing w:after="0"/>
                      </w:pPr>
                    </w:p>
                  </w:txbxContent>
                </v:textbox>
                <w10:wrap anchorx="margin"/>
              </v:shape>
            </w:pict>
          </mc:Fallback>
        </mc:AlternateContent>
      </w:r>
      <w:r w:rsidR="007A5064">
        <w:rPr>
          <w:noProof/>
          <w:lang w:val="en-AU" w:eastAsia="en-AU"/>
        </w:rPr>
        <mc:AlternateContent>
          <mc:Choice Requires="wps">
            <w:drawing>
              <wp:anchor distT="0" distB="0" distL="114300" distR="114300" simplePos="0" relativeHeight="251695104" behindDoc="0" locked="0" layoutInCell="1" allowOverlap="1" wp14:anchorId="66500E43" wp14:editId="5ED167EE">
                <wp:simplePos x="0" y="0"/>
                <wp:positionH relativeFrom="column">
                  <wp:posOffset>5477510</wp:posOffset>
                </wp:positionH>
                <wp:positionV relativeFrom="paragraph">
                  <wp:posOffset>299085</wp:posOffset>
                </wp:positionV>
                <wp:extent cx="993140" cy="350520"/>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140"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025AE" w14:textId="77777777" w:rsidR="00CC25D3" w:rsidRPr="00344788" w:rsidRDefault="00CC25D3" w:rsidP="00717A6C">
                            <w:r w:rsidRPr="00344788">
                              <w:t>Partnerships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00E43" id="Text Box 7" o:spid="_x0000_s1028" type="#_x0000_t202" style="position:absolute;margin-left:431.3pt;margin-top:23.55pt;width:78.2pt;height:2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MAlgIAAKoFAAAOAAAAZHJzL2Uyb0RvYy54bWysVE1v2zAMvQ/YfxB0X52kX4tRp8hadBgQ&#10;tMXaoWdFlhqhkqhJSuzs15eS7TTteumwi02Jj6RIPvLsvDWabIQPCmxFxwcjSoTlUCv7WNFf91df&#10;vlISIrM102BFRbci0PPZ509njSvFBFaga+EJOrGhbFxFVzG6sigCXwnDwgE4YVEpwRsW8egfi9qz&#10;Br0bXUxGo5OiAV87D1yEgLeXnZLOsn8pBY83UgYRia4ovi3mr8/fZfoWszNWPnrmVor3z2D/8ArD&#10;lMWgO1eXLDKy9uovV0ZxDwFkPOBgCpBScZFzwGzGozfZ3K2YEzkXLE5wuzKF/+eWX29uPVE19m5K&#10;iWUGe3Qv2ki+QUtOU3kaF0pE3TnExRavEZpTDW4B/CkgpNjDdAYB0akcrfQm/TFRgobYge2u6ikK&#10;x8vp9HB8hBqOqsPj0fEkd6V4MXY+xO8CDElCRT02NT+AbRYhpvCsHCApVgCt6iuldT4kIokL7cmG&#10;IQV0HKec0OIVSlvSVPQEo2fHFpJ5h9M2uRGZSn24lG2XYJbiVouE0fankFjKnOc7sRnnwu7iZ3RC&#10;SQz1EcMe//Kqjxh3eaBFjgw27oyNsuC7vr4uWf00lEx2+L7focs7lSC2yzZzaDIQZgn1FvnioRu4&#10;4PiVwuYtWIi3zOOEYb9xa8Qb/EgNWHzoJUpW4P+8d5/wSHzUUtLgxFY0/F4zLyjRPyyOxHR8lGgU&#10;8+Ho+BR5RPy+ZrmvsWtzAciIMe4nx7OY8FEPovRgHnC5zFNUVDHLMXZF4yBexG6P4HLiYj7PIBxq&#10;x+LC3jk+jEmi5n37wLzr+RuR+NcwzDYr39C4w6b+WJivI0iVOZ7q3FW1rz8uhEzkfnmljbN/zqiX&#10;FTt7BgAA//8DAFBLAwQUAAYACAAAACEAXdKwu+AAAAALAQAADwAAAGRycy9kb3ducmV2LnhtbEyP&#10;wU7DMAyG70i8Q2QkLhNLW1AZpemEEJO2ww4ULrtljWkrGqeKs628PekJbrb86ff3l+vJDuKMnntH&#10;CtJlAgKpcaanVsHnx+ZuBYKDJqMHR6jgBxnW1fVVqQvjLvSO5zq0IoYQF1pBF8JYSMlNh1bz0o1I&#10;8fblvNUhrr6VxutLDLeDzJIkl1b3FD90esTXDpvv+mQV7PmwXRz8drOo2cgd4v5tlwalbm+ml2cQ&#10;AafwB8OsH9Whik5HdyLDYlCwyrM8ogoeHlMQM5CkT7HdcZ6ye5BVKf93qH4BAAD//wMAUEsBAi0A&#10;FAAGAAgAAAAhALaDOJL+AAAA4QEAABMAAAAAAAAAAAAAAAAAAAAAAFtDb250ZW50X1R5cGVzXS54&#10;bWxQSwECLQAUAAYACAAAACEAOP0h/9YAAACUAQAACwAAAAAAAAAAAAAAAAAvAQAAX3JlbHMvLnJl&#10;bHNQSwECLQAUAAYACAAAACEAlzkjAJYCAACqBQAADgAAAAAAAAAAAAAAAAAuAgAAZHJzL2Uyb0Rv&#10;Yy54bWxQSwECLQAUAAYACAAAACEAXdKwu+AAAAALAQAADwAAAAAAAAAAAAAAAADwBAAAZHJzL2Rv&#10;d25yZXYueG1sUEsFBgAAAAAEAAQA8wAAAP0FAAAAAA==&#10;" fillcolor="white [3201]" stroked="f" strokeweight=".5pt">
                <v:path arrowok="t"/>
                <v:textbox>
                  <w:txbxContent>
                    <w:p w14:paraId="6A2025AE" w14:textId="77777777" w:rsidR="00CC25D3" w:rsidRPr="00344788" w:rsidRDefault="00CC25D3" w:rsidP="00717A6C">
                      <w:r w:rsidRPr="00344788">
                        <w:t>Partnerships</w:t>
                      </w:r>
                    </w:p>
                  </w:txbxContent>
                </v:textbox>
              </v:shape>
            </w:pict>
          </mc:Fallback>
        </mc:AlternateContent>
      </w:r>
      <w:r w:rsidR="007A5064">
        <w:rPr>
          <w:noProof/>
          <w:lang w:val="en-AU" w:eastAsia="en-AU"/>
        </w:rPr>
        <mc:AlternateContent>
          <mc:Choice Requires="wps">
            <w:drawing>
              <wp:anchor distT="0" distB="0" distL="114300" distR="114300" simplePos="0" relativeHeight="251693056" behindDoc="0" locked="0" layoutInCell="1" allowOverlap="1" wp14:anchorId="5EE81283" wp14:editId="081B0489">
                <wp:simplePos x="0" y="0"/>
                <wp:positionH relativeFrom="column">
                  <wp:posOffset>1565275</wp:posOffset>
                </wp:positionH>
                <wp:positionV relativeFrom="paragraph">
                  <wp:posOffset>246380</wp:posOffset>
                </wp:positionV>
                <wp:extent cx="1081405" cy="466725"/>
                <wp:effectExtent l="0" t="0" r="444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140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02ED96" w14:textId="77777777" w:rsidR="00CC25D3" w:rsidRPr="00344788" w:rsidRDefault="00CC25D3" w:rsidP="00717A6C">
                            <w:pPr>
                              <w:spacing w:after="0" w:line="240" w:lineRule="auto"/>
                            </w:pPr>
                            <w:r w:rsidRPr="00344788">
                              <w:t>Merchants</w:t>
                            </w:r>
                          </w:p>
                          <w:p w14:paraId="2B615C53" w14:textId="77777777" w:rsidR="00CC25D3" w:rsidRPr="00EC4BB2" w:rsidRDefault="00CC25D3" w:rsidP="00717A6C">
                            <w:r w:rsidRPr="00EC4BB2">
                              <w:t>(double entry</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81283" id="Text Box 5" o:spid="_x0000_s1029" type="#_x0000_t202" style="position:absolute;margin-left:123.25pt;margin-top:19.4pt;width:85.15pt;height:3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rMlwIAAKoFAAAOAAAAZHJzL2Uyb0RvYy54bWysVFFP2zAQfp+0/2D5fSQtbWERKepATJMq&#10;QIOJZ9exqYXj82y3SffrOTtJKYwXpr0459x3d7677+7svK012QrnFZiSjo5ySoThUCnzWNJf91df&#10;TinxgZmKaTCipDvh6fn886ezxhZiDGvQlXAEnRhfNLak6xBskWWer0XN/BFYYVApwdUs4NU9ZpVj&#10;DXqvdTbO81nWgKusAy68x7+XnZLOk38pBQ83UnoRiC4pvi2k06VzFc9sfsaKR8fsWvH+GewfXlEz&#10;ZTDo3tUlC4xsnPrLVa24Aw8yHHGoM5BScZFywGxG+Zts7tbMipQLFsfbfZn8/3PLr7e3jqiqpFNK&#10;DKuxRfeiDeQbtGQaq9NYXyDoziIstPgbu5wy9XYJ/MkjJDvAdAYe0bEarXR1/GKeBA2xAbt90WMU&#10;Hr3lp6NJjtE56iaz2ck4xc1erK3z4buAmkShpA6bml7AtksfYnxWDJAYzINW1ZXSOl0ikcSFdmTL&#10;kAI6jGJSaPEKpQ1pSjo7nubJsYFo3uG0iW5EolIfLqbbZZiksNMiYrT5KSSWMiX6TmzGuTD7+Akd&#10;URJDfcSwx7+86iPGXR5okSKDCXvjWhlwXWNfl6x6GkomO3zfcN/lHUsQ2lWbOHQ8MGYF1Q4J46Ab&#10;OG/5lcLmLZkPt8zhhCEVcGuEGzykBiw+9BIla3B/3vsf8Uh81FLS4MSW1P/eMCco0T8MjsTX0WQS&#10;RzxdJtOTMV7coWZ1qDGb+gKQESPcT5YnMeKDHkTpoH7A5bKIUVHFDMfYJQ2DeBG6PYLLiYvFIoFw&#10;qC0LS3Nn+TAnkZr37QNztudvQOZfwzDbrHhD4w4b+2NgsQkgVeJ4rHNX1b7+uBASkfvlFTfO4T2h&#10;Xlbs/BkAAP//AwBQSwMEFAAGAAgAAAAhAP+zIfXgAAAACgEAAA8AAABkcnMvZG93bnJldi54bWxM&#10;j8FOwzAMhu9IvENkJC7TlrYb1dQ1nRBi0nbYgcJlt6wxbUXjVEm2lbfHnOBmy59+f3+5newgruhD&#10;70hBukhAIDXO9NQq+HjfzdcgQtRk9OAIFXxjgG11f1fqwrgbveG1jq3gEAqFVtDFOBZShqZDq8PC&#10;jUh8+3Te6sirb6Xx+sbhdpBZkuTS6p74Q6dHfOmw+aovVsExnPazk9/vZnUw8oB4fD2kUanHh+l5&#10;AyLiFP9g+NVndajY6ewuZIIYFGSr/IlRBcs1V2BgleY8nJlMsyXIqpT/K1Q/AAAA//8DAFBLAQIt&#10;ABQABgAIAAAAIQC2gziS/gAAAOEBAAATAAAAAAAAAAAAAAAAAAAAAABbQ29udGVudF9UeXBlc10u&#10;eG1sUEsBAi0AFAAGAAgAAAAhADj9If/WAAAAlAEAAAsAAAAAAAAAAAAAAAAALwEAAF9yZWxzLy5y&#10;ZWxzUEsBAi0AFAAGAAgAAAAhAJ1GSsyXAgAAqgUAAA4AAAAAAAAAAAAAAAAALgIAAGRycy9lMm9E&#10;b2MueG1sUEsBAi0AFAAGAAgAAAAhAP+zIfXgAAAACgEAAA8AAAAAAAAAAAAAAAAA8QQAAGRycy9k&#10;b3ducmV2LnhtbFBLBQYAAAAABAAEAPMAAAD+BQAAAAA=&#10;" fillcolor="white [3201]" stroked="f" strokeweight=".5pt">
                <v:path arrowok="t"/>
                <v:textbox>
                  <w:txbxContent>
                    <w:p w14:paraId="2002ED96" w14:textId="77777777" w:rsidR="00CC25D3" w:rsidRPr="00344788" w:rsidRDefault="00CC25D3" w:rsidP="00717A6C">
                      <w:pPr>
                        <w:spacing w:after="0" w:line="240" w:lineRule="auto"/>
                      </w:pPr>
                      <w:r w:rsidRPr="00344788">
                        <w:t>Merchants</w:t>
                      </w:r>
                    </w:p>
                    <w:p w14:paraId="2B615C53" w14:textId="77777777" w:rsidR="00CC25D3" w:rsidRPr="00EC4BB2" w:rsidRDefault="00CC25D3" w:rsidP="00717A6C">
                      <w:r w:rsidRPr="00EC4BB2">
                        <w:t>(double entry</w:t>
                      </w:r>
                      <w:r>
                        <w:t>)</w:t>
                      </w:r>
                    </w:p>
                  </w:txbxContent>
                </v:textbox>
              </v:shape>
            </w:pict>
          </mc:Fallback>
        </mc:AlternateContent>
      </w:r>
      <w:r w:rsidR="007A5064">
        <w:rPr>
          <w:noProof/>
          <w:lang w:val="en-AU" w:eastAsia="en-AU"/>
        </w:rPr>
        <mc:AlternateContent>
          <mc:Choice Requires="wps">
            <w:drawing>
              <wp:anchor distT="0" distB="0" distL="114300" distR="114300" simplePos="0" relativeHeight="251691008" behindDoc="0" locked="0" layoutInCell="1" allowOverlap="1" wp14:anchorId="0F89A030" wp14:editId="2DD30F8E">
                <wp:simplePos x="0" y="0"/>
                <wp:positionH relativeFrom="column">
                  <wp:posOffset>87630</wp:posOffset>
                </wp:positionH>
                <wp:positionV relativeFrom="paragraph">
                  <wp:posOffset>87630</wp:posOffset>
                </wp:positionV>
                <wp:extent cx="975995" cy="879475"/>
                <wp:effectExtent l="0" t="0" r="14605" b="158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995" cy="879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06406E" w14:textId="77777777" w:rsidR="00CC25D3" w:rsidRPr="004E7D41" w:rsidRDefault="00CC25D3" w:rsidP="00717A6C">
                            <w:pPr>
                              <w:rPr>
                                <w:sz w:val="22"/>
                                <w:szCs w:val="22"/>
                              </w:rPr>
                            </w:pPr>
                            <w:r w:rsidRPr="004E7D41">
                              <w:rPr>
                                <w:sz w:val="22"/>
                                <w:szCs w:val="22"/>
                              </w:rPr>
                              <w:t>INCOME IS AN INCREASE IN CAPITAL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9A030" id="Text Box 1" o:spid="_x0000_s1030" type="#_x0000_t202" style="position:absolute;margin-left:6.9pt;margin-top:6.9pt;width:76.85pt;height:6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iUoQIAANEFAAAOAAAAZHJzL2Uyb0RvYy54bWysVEtPGzEQvlfqf7B8bzahCSERG5QGUVWK&#10;ABUqzo7XJitsj2s72U1/PWN7EwLlQtXLru355vXN4/yi1YpshfM1mJIOen1KhOFQ1eaxpL/ur76c&#10;UeIDMxVTYERJd8LTi9nnT+eNnYoTWIOqhCNoxPhpY0u6DsFOi8LztdDM98AKg0IJTrOAV/dYVI41&#10;aF2r4qTfPy0acJV1wIX3+HqZhXSW7EspeLiR0otAVEkxtpC+Ln1X8VvMztn00TG7rnkXBvuHKDSr&#10;DTo9mLpkgZGNq/8ypWvuwIMMPQ66AClrLlIOmM2g/yabuzWzIuWC5Hh7oMn/P7P8envrSF2VdEiJ&#10;YRpLdC/aQL5BSwaRncb6KYLuLMJCi89Y5ZSpt0vgTx4hxREmK3hERzZa6XT8Y54EFbEAuwPp0QvH&#10;x8l4NJmMKOEoOhtPhuNRdFu8KFvnw3cBmsRDSR3WNAXAtksfMnQPib48qLq6qpVKl9hHYqEc2TLs&#10;ABVSTmj8FUoZ0pT09OuonzM7thBNH/RXivGnLrwjC2hPmehOpI7rwoqsZCLSKeyUiBhlfgqJjCc+&#10;3omRcS7MIc6EjiiJGX1EscO/RPUR5ZwHaiTPYMJBWdcGXGbpNbXV055amfFdX/icd6QgtKu2a7Wu&#10;sVZQ7bCvHOS59JZf1cj3kvlwyxwOInYMLpdwgx+pAIsE3YmSNbg/771HPM4HSilpcLBL6n9vmBOU&#10;qB8GJ2cyGA7jJkiX4Wh8ghd3LFkdS8xGLwA7Z4BrzPJ0jPig9kfpQD/gDppHryhihqPvkob9cRHy&#10;usEdxsV8nkA4+5aFpbmzfD9Osc/u2wfmbNfnAQfkGvYrgE3ftHvGxvoYmG8CyDrNQuQ5s9rxj3sj&#10;TVO34+JiOr4n1Msmnj0DAAD//wMAUEsDBBQABgAIAAAAIQBCT64G3QAAAAkBAAAPAAAAZHJzL2Rv&#10;d25yZXYueG1sTI9BS8NAEIXvgv9hGcGb3diSKjGbUkRBkByaKva4zU6yodnZkN228d87BUFPM483&#10;vPlevppcL044hs6TgvtZAgKp9qajVsHH9vXuEUSImozuPaGCbwywKq6vcp0Zf6YNnqrYCg6hkGkF&#10;NsYhkzLUFp0OMz8gsdf40enIcmylGfWZw10v50mylE53xB+sHvDZYn2ojk6BaZrtIbVvzeb9q9l9&#10;li/leleVSt3eTOsnEBGn+HcMF3xGh4KZ9v5IJoie9YLJ4++8+MuHFMSel3S+AFnk8n+D4gcAAP//&#10;AwBQSwECLQAUAAYACAAAACEAtoM4kv4AAADhAQAAEwAAAAAAAAAAAAAAAAAAAAAAW0NvbnRlbnRf&#10;VHlwZXNdLnhtbFBLAQItABQABgAIAAAAIQA4/SH/1gAAAJQBAAALAAAAAAAAAAAAAAAAAC8BAABf&#10;cmVscy8ucmVsc1BLAQItABQABgAIAAAAIQCxHYiUoQIAANEFAAAOAAAAAAAAAAAAAAAAAC4CAABk&#10;cnMvZTJvRG9jLnhtbFBLAQItABQABgAIAAAAIQBCT64G3QAAAAkBAAAPAAAAAAAAAAAAAAAAAPsE&#10;AABkcnMvZG93bnJldi54bWxQSwUGAAAAAAQABADzAAAABQYAAAAA&#10;" fillcolor="white [3201]" strokeweight=".5pt">
                <v:path arrowok="t"/>
                <v:textbox>
                  <w:txbxContent>
                    <w:p w14:paraId="4606406E" w14:textId="77777777" w:rsidR="00CC25D3" w:rsidRPr="004E7D41" w:rsidRDefault="00CC25D3" w:rsidP="00717A6C">
                      <w:pPr>
                        <w:rPr>
                          <w:sz w:val="22"/>
                          <w:szCs w:val="22"/>
                        </w:rPr>
                      </w:pPr>
                      <w:r w:rsidRPr="004E7D41">
                        <w:rPr>
                          <w:sz w:val="22"/>
                          <w:szCs w:val="22"/>
                        </w:rPr>
                        <w:t>INCOME IS AN INCREASE IN CAPITAL</w:t>
                      </w:r>
                    </w:p>
                  </w:txbxContent>
                </v:textbox>
              </v:shape>
            </w:pict>
          </mc:Fallback>
        </mc:AlternateContent>
      </w:r>
      <w:r w:rsidR="007A5064">
        <w:rPr>
          <w:noProof/>
          <w:lang w:val="en-AU" w:eastAsia="en-AU"/>
        </w:rPr>
        <mc:AlternateContent>
          <mc:Choice Requires="wps">
            <w:drawing>
              <wp:anchor distT="0" distB="0" distL="114300" distR="114300" simplePos="0" relativeHeight="251714560" behindDoc="0" locked="0" layoutInCell="1" allowOverlap="1" wp14:anchorId="15088451" wp14:editId="02C8E714">
                <wp:simplePos x="0" y="0"/>
                <wp:positionH relativeFrom="column">
                  <wp:posOffset>8486140</wp:posOffset>
                </wp:positionH>
                <wp:positionV relativeFrom="paragraph">
                  <wp:posOffset>-800100</wp:posOffset>
                </wp:positionV>
                <wp:extent cx="635" cy="635"/>
                <wp:effectExtent l="76200" t="95250" r="56515" b="56515"/>
                <wp:wrapNone/>
                <wp:docPr id="1"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D38D20" id="_x0000_t32" coordsize="21600,21600" o:spt="32" o:oned="t" path="m,l21600,21600e" filled="f">
                <v:path arrowok="t" fillok="f" o:connecttype="none"/>
                <o:lock v:ext="edit" shapetype="t"/>
              </v:shapetype>
              <v:shape id="Straight Arrow Connector 33" o:spid="_x0000_s1026" type="#_x0000_t32" style="position:absolute;margin-left:668.2pt;margin-top:-63pt;width:.0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r0TgIAAKIEAAAOAAAAZHJzL2Uyb0RvYy54bWysVE2P2yAQvVfqf0DcE9v5amKts1rZSS/b&#10;7kq7/QEEcIyKAQGJE1X97x2w43bbS1X1QobB83hveJO7+0sr0ZlbJ7QqcDZNMeKKaibUscBfXveT&#10;NUbOE8WI1IoX+Modvt++f3fXmZzPdKMl4xYBiHJ5ZwrceG/yJHG04S1xU224gsNa25Z42Npjwizp&#10;AL2VySxNV0mnLTNWU+4cZKv+EG8jfl1z6p/q2nGPZIGBm4+rjeshrMn2juRHS0wj6ECD/AOLlggF&#10;l45QFfEEnaz4A6oV1Gqnaz+luk10XQvKowZQk6W/qXlpiOFRCzTHmbFN7v/B0s/nZ4sEg7fDSJEW&#10;nujFWyKOjUcP1uoOlVopaKO2aD4P7eqMy6GqVM82CKYX9WIeNf3qkNJlQ9SRR9qvVwNYWahI3pSE&#10;jTNw6aH7pBl8Q05ex95datsGSOgKusQnuo5PxC8eUUiu5kuMKORDELBJfisz1vmPXLcoBAV2g4yR&#10;fxYvIedH5/vCW0G4U+m9kBLyJJcKdQXeLGfLWOC0FCwchrPoS15Ki84EHEUo5cr3wPLUgp4+v1mm&#10;6eAtSIMD+3RMAeMRJfJ/c4HVJ8UijYYTthtiT4SEGPnYVBLeBQeSLWcYSQ6TF6JelVSBKPQLdA5R&#10;78Rvm3SzW+/Wi8littpNFmlVTR725WKy2mcfltW8Kssq+x40Z4u8EYxxFWTfpiJb/J3rhvns/TzO&#10;xdjf5C167ACQvf1G0tEwwSO92w6aXZ9tUBe8A4MQPx6GNkzar/v41c+/lu0PAAAA//8DAFBLAwQU&#10;AAYACAAAACEAyCx1JOAAAAAPAQAADwAAAGRycy9kb3ducmV2LnhtbEyPwU7DMBBE70j8g7VI3Fon&#10;LY1oGqdCVFy4FErVsxtv44h4HcVuE/h6tlzgOLNPszPFenStuGAfGk8K0mkCAqnypqFawf7jZfII&#10;IkRNRreeUMEXBliXtzeFzo0f6B0vu1gLDqGQawU2xi6XMlQWnQ5T3yHx7eR7pyPLvpam1wOHu1bO&#10;kiSTTjfEH6zu8Nli9bk7OwXL8GZjsAfcnLZptv3W9eZ1Pyh1fzc+rUBEHOMfDNf6XB1K7nT0ZzJB&#10;tKzn8+yBWQWTdJbxrCvD3gLE8ddbLEGWhfy/o/wBAAD//wMAUEsBAi0AFAAGAAgAAAAhALaDOJL+&#10;AAAA4QEAABMAAAAAAAAAAAAAAAAAAAAAAFtDb250ZW50X1R5cGVzXS54bWxQSwECLQAUAAYACAAA&#10;ACEAOP0h/9YAAACUAQAACwAAAAAAAAAAAAAAAAAvAQAAX3JlbHMvLnJlbHNQSwECLQAUAAYACAAA&#10;ACEA7zBq9E4CAACiBAAADgAAAAAAAAAAAAAAAAAuAgAAZHJzL2Uyb0RvYy54bWxQSwECLQAUAAYA&#10;CAAAACEAyCx1JOAAAAAPAQAADwAAAAAAAAAAAAAAAACoBAAAZHJzL2Rvd25yZXYueG1sUEsFBgAA&#10;AAAEAAQA8wAAALUFAAAAAA==&#10;" strokecolor="#4579b8 [3044]">
                <v:stroke endarrow="open"/>
              </v:shape>
            </w:pict>
          </mc:Fallback>
        </mc:AlternateContent>
      </w:r>
    </w:p>
    <w:p w14:paraId="084B9B80" w14:textId="77777777" w:rsidR="00717A6C" w:rsidRPr="00344788" w:rsidRDefault="007A5064" w:rsidP="00717A6C">
      <w:r>
        <w:rPr>
          <w:noProof/>
          <w:lang w:val="en-AU" w:eastAsia="en-AU"/>
        </w:rPr>
        <mc:AlternateContent>
          <mc:Choice Requires="wps">
            <w:drawing>
              <wp:anchor distT="0" distB="0" distL="114300" distR="114300" simplePos="0" relativeHeight="251722752" behindDoc="0" locked="0" layoutInCell="1" allowOverlap="1" wp14:anchorId="7055A0F6" wp14:editId="200CEE24">
                <wp:simplePos x="0" y="0"/>
                <wp:positionH relativeFrom="column">
                  <wp:posOffset>7983220</wp:posOffset>
                </wp:positionH>
                <wp:positionV relativeFrom="paragraph">
                  <wp:posOffset>222250</wp:posOffset>
                </wp:positionV>
                <wp:extent cx="246380" cy="1647190"/>
                <wp:effectExtent l="0" t="38100" r="77470" b="2921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6380" cy="16471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CA697B" id="Straight Arrow Connector 39" o:spid="_x0000_s1026" type="#_x0000_t32" style="position:absolute;margin-left:628.6pt;margin-top:17.5pt;width:19.4pt;height:129.7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jc7QEAACoEAAAOAAAAZHJzL2Uyb0RvYy54bWysU02P0zAQvSPxHyzfadruquxGTVeoC1xW&#10;UFHg7nXsxsL2WGPTpP+esdNm+RISiIsVe+bNvPdmsr4bnGVHhdGAb/hiNudMeQmt8YeGf/r45sUN&#10;ZzEJ3woLXjX8pCK/2zx/tu5DrZbQgW0VMiriY92HhncphbqqouyUE3EGQXkKakAnEl3xULUoeqru&#10;bLWcz1dVD9gGBKlipNf7Mcg3pb7WSqb3WkeVmG04cUvlxHI+5rParEV9QBE6I880xD+wcMJ4ajqV&#10;uhdJsK9ofinljESIoNNMgqtAayNV0UBqFvOf1Ow7EVTRQubEMNkU/19Z+e64Q2bahl/dcuaFoxnt&#10;Ewpz6BJ7hQg924L35CMgoxTyqw+xJtjW7zArloPfhweQXyLFqh+C+RLDmDZodExbEz7TmhSrSDwb&#10;yiRO0yTUkJikx+X16uqG5iUptFhdv1zcllFVos51ctuAMb1V4Fj+aHg8c57Ijj3E8SGmzOsJkMHW&#10;5zMJY1/7lqVTINUii836KDfHi5SRfdGRTlaN2A9Kk2PEcuxRdlVtLbKjoC0TUiqfFlMlys4wbayd&#10;gPNiwB+B5/wMVWWP/wY8IUpn8GkCO+MBf9c9DRfKesy/ODDqzhY8Qnva4WXKtJDFq/PPkzf++3uB&#10;P/3im28AAAD//wMAUEsDBBQABgAIAAAAIQBlVtaT3wAAAAwBAAAPAAAAZHJzL2Rvd25yZXYueG1s&#10;TI9NTsMwEIX3SNzBGiR21MG0aZvGqUIFqBIrAgdwYzeJao+j2G3S2zNdwW6e5tP7ybeTs+xihtB5&#10;lPA8S4AZrL3usJHw8/3+tAIWokKtrEcj4WoCbIv7u1xl2o/4ZS5VbBiZYMiUhDbGPuM81K1xKsx8&#10;b5B+Rz84FUkODdeDGsncWS6SJOVOdUgJrerNrjX1qTo7CeWKf+LpuluGal+n2o7T20f5KuXjw1Ru&#10;gEUzxT8YbvWpOhTU6eDPqAOzpMViKYiV8LKgUTdCrFO6DhLEej4HXuT8/4jiFwAA//8DAFBLAQIt&#10;ABQABgAIAAAAIQC2gziS/gAAAOEBAAATAAAAAAAAAAAAAAAAAAAAAABbQ29udGVudF9UeXBlc10u&#10;eG1sUEsBAi0AFAAGAAgAAAAhADj9If/WAAAAlAEAAAsAAAAAAAAAAAAAAAAALwEAAF9yZWxzLy5y&#10;ZWxzUEsBAi0AFAAGAAgAAAAhAGs3GNztAQAAKgQAAA4AAAAAAAAAAAAAAAAALgIAAGRycy9lMm9E&#10;b2MueG1sUEsBAi0AFAAGAAgAAAAhAGVW1pPfAAAADAEAAA8AAAAAAAAAAAAAAAAARwQAAGRycy9k&#10;b3ducmV2LnhtbFBLBQYAAAAABAAEAPMAAABTBQAAAAA=&#10;" strokecolor="#4579b8 [3044]">
                <v:stroke endarrow="open"/>
                <o:lock v:ext="edit" shapetype="f"/>
              </v:shape>
            </w:pict>
          </mc:Fallback>
        </mc:AlternateContent>
      </w:r>
      <w:r>
        <w:rPr>
          <w:noProof/>
          <w:lang w:val="en-AU" w:eastAsia="en-AU"/>
        </w:rPr>
        <mc:AlternateContent>
          <mc:Choice Requires="wps">
            <w:drawing>
              <wp:anchor distT="4294967291" distB="4294967291" distL="114300" distR="114300" simplePos="0" relativeHeight="251699200" behindDoc="0" locked="0" layoutInCell="1" allowOverlap="1" wp14:anchorId="2B188D5B" wp14:editId="67F3B153">
                <wp:simplePos x="0" y="0"/>
                <wp:positionH relativeFrom="column">
                  <wp:posOffset>6468110</wp:posOffset>
                </wp:positionH>
                <wp:positionV relativeFrom="paragraph">
                  <wp:posOffset>28574</wp:posOffset>
                </wp:positionV>
                <wp:extent cx="619125" cy="0"/>
                <wp:effectExtent l="0" t="76200" r="28575" b="114300"/>
                <wp:wrapNone/>
                <wp:docPr id="14"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006A332F" id="Straight Arrow Connector 12" o:spid="_x0000_s1026" type="#_x0000_t32" style="position:absolute;margin-left:509.3pt;margin-top:2.25pt;width:48.75pt;height:0;z-index:2516992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Li3gEAABoEAAAOAAAAZHJzL2Uyb0RvYy54bWysU9uO0zAQfUfiHyy/0zQVrCBqukJd4GUF&#10;FYUPmHXsxsI3jU2T/j1jpwnLRUggXkaxZ87MOceT7e1oDTtLjNq7lterNWfSCd9pd2r5509vn73k&#10;LCZwHRjvZMsvMvLb3dMn2yE0cuN7bzqJjJq42Ayh5X1KoamqKHppIa58kI6SyqOFREc8VR3CQN2t&#10;qTbr9U01eOwCeiFjpNu7Kcl3pb9SUqQPSkWZmGk5cUslYokPOVa7LTQnhNBrcaUB/8DCgnY0dGl1&#10;BwnYV9S/tLJaoI9epZXwtvJKaSGLBlJTr39Sc+whyKKFzIlhsSn+v7bi/fmATHf0ds85c2DpjY4J&#10;QZ/6xF4j+oHtvXPko0dWb7JfQ4gNwfbugFmxGN0x3HvxJVKu+iGZDzFMZaNCm8tJMhuL/5fFfzkm&#10;Jujypn5Vb15wJuZUBc2MCxjTO+ktyx8tj1eOC7m62A/n+5gyD2hmQB5qXI4JtHnjOpYugVRCFpf1&#10;UG3OF+oT28I7XYycsB+lIoeI3zSj7KbcG2RnoK0CIaRL9dKJqjNMaWMW4LqQ+yPwWp+hsuzt34AX&#10;RJnsXVrAVjuPv5uexpmymupnBybd2YIH310OOL8qLWDx6vqz5A1/fC7w77/07hsAAAD//wMAUEsD&#10;BBQABgAIAAAAIQBjyRDM2wAAAAkBAAAPAAAAZHJzL2Rvd25yZXYueG1sTI/BTsMwDIbvSLxD5Enc&#10;WBoE1ShNJ8TEhctgTJy9xmuqNU7VZGvh6cm4sONvf/r9uVxOrhMnGkLrWYOaZyCIa29abjRsP19v&#10;FyBCRDbYeSYN3xRgWV1flVgYP/IHnTaxEamEQ4EabIx9IWWoLTkMc98Tp93eDw5jikMjzYBjKned&#10;vMuyXDpsOV2w2NOLpfqwOToNj+HdxmC/aLVfq3z9g83qbTtqfTObnp9ARJriPwxn/aQOVXLa+SOb&#10;ILqUM7XIE6vh/gHEGVAqVyB2fwNZlfLyg+oXAAD//wMAUEsBAi0AFAAGAAgAAAAhALaDOJL+AAAA&#10;4QEAABMAAAAAAAAAAAAAAAAAAAAAAFtDb250ZW50X1R5cGVzXS54bWxQSwECLQAUAAYACAAAACEA&#10;OP0h/9YAAACUAQAACwAAAAAAAAAAAAAAAAAvAQAAX3JlbHMvLnJlbHNQSwECLQAUAAYACAAAACEA&#10;J2yS4t4BAAAaBAAADgAAAAAAAAAAAAAAAAAuAgAAZHJzL2Uyb0RvYy54bWxQSwECLQAUAAYACAAA&#10;ACEAY8kQzNsAAAAJAQAADwAAAAAAAAAAAAAAAAA4BAAAZHJzL2Rvd25yZXYueG1sUEsFBgAAAAAE&#10;AAQA8wAAAEAFAAAAAA==&#10;" strokecolor="#4579b8 [3044]">
                <v:stroke endarrow="open"/>
                <o:lock v:ext="edit" shapetype="f"/>
              </v:shape>
            </w:pict>
          </mc:Fallback>
        </mc:AlternateContent>
      </w:r>
      <w:r>
        <w:rPr>
          <w:noProof/>
          <w:lang w:val="en-AU" w:eastAsia="en-AU"/>
        </w:rPr>
        <mc:AlternateContent>
          <mc:Choice Requires="wps">
            <w:drawing>
              <wp:anchor distT="4294967291" distB="4294967291" distL="114300" distR="114300" simplePos="0" relativeHeight="251697152" behindDoc="0" locked="0" layoutInCell="1" allowOverlap="1" wp14:anchorId="0AE6B21E" wp14:editId="4F4BF121">
                <wp:simplePos x="0" y="0"/>
                <wp:positionH relativeFrom="column">
                  <wp:posOffset>2658745</wp:posOffset>
                </wp:positionH>
                <wp:positionV relativeFrom="paragraph">
                  <wp:posOffset>23494</wp:posOffset>
                </wp:positionV>
                <wp:extent cx="752475" cy="0"/>
                <wp:effectExtent l="0" t="76200" r="28575" b="1143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1A25A775" id="Straight Arrow Connector 10" o:spid="_x0000_s1026" type="#_x0000_t32" style="position:absolute;margin-left:209.35pt;margin-top:1.85pt;width:59.25pt;height:0;z-index:251697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Pg3QEAABoEAAAOAAAAZHJzL2Uyb0RvYy54bWysU9uO0zAQfUfiHyy/06QVy6Ko6Qp1gZcV&#10;VBQ+wOvYjYXtscamSf+esdOEq5BAvIxiz5yZc44n27vRWXZWGA34lq9XNWfKS+iMP7X808c3z15y&#10;FpPwnbDgVcsvKvK73dMn2yE0agM92E4hoyY+NkNoeZ9SaKoqyl45EVcQlKekBnQi0RFPVYdioO7O&#10;Vpu6flENgF1AkCpGur2fknxX+mutZHqvdVSJ2ZYTt1QilviYY7XbiuaEIvRGXmmIf2DhhPE0dGl1&#10;L5JgX9D80soZiRBBp5UEV4HWRqqigdSs65/UHHsRVNFC5sSw2BT/X1v57nxAZjp6O7LHC0dvdEwo&#10;zKlP7BUiDGwP3pOPgIxKyK8hxIZge3/ArFiO/hgeQH6OlKt+SOZDDFPZqNHlcpLMxuL/ZfFfjYlJ&#10;ury92Ty/veFMzqlKNDMuYExvFTiWP1oerxwXcutivzg/xJR5iGYG5KHW55iEsa99x9IlkEqRxWU9&#10;VJvzhfrEtvBOF6sm7AelySHiN80ou6n2FtlZ0FYJKZVP66UTVWeYNtYuwLqQ+yPwWp+hquzt34AX&#10;RJkMPi1gZzzg76ancaasp/rZgUl3tuARussB51elBSxeXX+WvOHfnwv82y+9+woAAP//AwBQSwME&#10;FAAGAAgAAAAhAACmyfnbAAAABwEAAA8AAABkcnMvZG93bnJldi54bWxMjsFOwzAQRO9I/IO1SNyo&#10;kxbaEuJUiIoLl5ZScd4m2zgiXkex2wS+noULnEajGc28fDW6Vp2pD41nA+kkAUVc+qrh2sD+7flm&#10;CSpE5Apbz2TgkwKsisuLHLPKD/xK512slYxwyNCAjbHLtA6lJYdh4jtiyY6+dxjF9rWuehxk3LV6&#10;miRz7bBhebDY0ZOl8mN3cgbuw9bGYN9pfdyk880X1uuX/WDM9dX4+AAq0hj/yvCDL+hQCNPBn7gK&#10;qjVwmy4XUjUwE5H8braYgjr8el3k+j9/8Q0AAP//AwBQSwECLQAUAAYACAAAACEAtoM4kv4AAADh&#10;AQAAEwAAAAAAAAAAAAAAAAAAAAAAW0NvbnRlbnRfVHlwZXNdLnhtbFBLAQItABQABgAIAAAAIQA4&#10;/SH/1gAAAJQBAAALAAAAAAAAAAAAAAAAAC8BAABfcmVscy8ucmVsc1BLAQItABQABgAIAAAAIQDn&#10;tZPg3QEAABoEAAAOAAAAAAAAAAAAAAAAAC4CAABkcnMvZTJvRG9jLnhtbFBLAQItABQABgAIAAAA&#10;IQAApsn52wAAAAcBAAAPAAAAAAAAAAAAAAAAADcEAABkcnMvZG93bnJldi54bWxQSwUGAAAAAAQA&#10;BADzAAAAPwUAAAAA&#10;" strokecolor="#4579b8 [3044]">
                <v:stroke endarrow="open"/>
                <o:lock v:ext="edit" shapetype="f"/>
              </v:shape>
            </w:pict>
          </mc:Fallback>
        </mc:AlternateContent>
      </w:r>
      <w:r>
        <w:rPr>
          <w:noProof/>
          <w:lang w:val="en-AU" w:eastAsia="en-AU"/>
        </w:rPr>
        <mc:AlternateContent>
          <mc:Choice Requires="wps">
            <w:drawing>
              <wp:anchor distT="4294967291" distB="4294967291" distL="114300" distR="114300" simplePos="0" relativeHeight="251698176" behindDoc="0" locked="0" layoutInCell="1" allowOverlap="1" wp14:anchorId="2F6E5CBA" wp14:editId="37E807F7">
                <wp:simplePos x="0" y="0"/>
                <wp:positionH relativeFrom="column">
                  <wp:posOffset>4761230</wp:posOffset>
                </wp:positionH>
                <wp:positionV relativeFrom="paragraph">
                  <wp:posOffset>28574</wp:posOffset>
                </wp:positionV>
                <wp:extent cx="714375" cy="0"/>
                <wp:effectExtent l="0" t="76200" r="28575" b="114300"/>
                <wp:wrapNone/>
                <wp:docPr id="1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E098E17" id="Straight Arrow Connector 11" o:spid="_x0000_s1026" type="#_x0000_t32" style="position:absolute;margin-left:374.9pt;margin-top:2.25pt;width:56.25pt;height:0;z-index:251698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bE3wEAABoEAAAOAAAAZHJzL2Uyb0RvYy54bWysU9uO0zAQfUfiHyy/0zTlsihqukJd4GUF&#10;FYUP8Dp2Y2F7rLFp0r9n7DThKiQQL6PYM2fmnOPJ9nZ0lp0VRgO+5fVqzZnyEjrjTy3/9PHNk5ec&#10;xSR8Jyx41fKLivx29/jRdgiN2kAPtlPIqImPzRBa3qcUmqqKsldOxBUE5SmpAZ1IdMRT1aEYqLuz&#10;1Wa9flENgF1AkCpGur2bknxX+mutZHqvdVSJ2ZYTt1QilviQY7XbiuaEIvRGXmmIf2DhhPE0dGl1&#10;J5JgX9D80soZiRBBp5UEV4HWRqqigdTU65/UHHsRVNFC5sSw2BT/X1v57nxAZjp6uw1nXjh6o2NC&#10;YU59Yq8QYWB78J58BGR1nf0aQmwItvcHzIrl6I/hHuTnSLnqh2Q+xDCVjRpdLifJbCz+Xxb/1ZiY&#10;pMub+tnTm+ecyTlViWbGBYzprQLH8kfL45XjQq4u9ovzfUyZh2hmQB5qfY5JGPvadyxdAqkUWVzW&#10;Q7U5X6hPbAvvdLFqwn5QmhwiftOMsptqb5GdBW2VkFL5VJwpnag6w7SxdgGuC7k/Aq/1GarK3v4N&#10;eEGUyeDTAnbGA/5uehpnynqqnx2YdGcLHqC7HHB+VVrA4tX1Z8kb/v25wL/90ruvAAAA//8DAFBL&#10;AwQUAAYACAAAACEATFpGI9wAAAAHAQAADwAAAGRycy9kb3ducmV2LnhtbEzOQU/CQBAF4LuJ/2Ez&#10;JN5kC2KB2i0xEi9eQCCeh+7QbejONt2FVn+9qxc9vrzJmy9fDbYRV+p87VjBZJyAIC6drrlScNi/&#10;3i9A+ICssXFMCj7Jw6q4vckx067nd7ruQiXiCPsMFZgQ2kxKXxqy6MeuJY7dyXUWQ4xdJXWHfRy3&#10;jZwmSSot1hw/GGzpxVB53l2sgqXfmuDNB61Pm0m6+cJq/XbolbobDc9PIAIN4e8YfviRDkU0Hd2F&#10;tReNgvlsGelBwewRROwX6fQBxPE3yyKX//3FNwAAAP//AwBQSwECLQAUAAYACAAAACEAtoM4kv4A&#10;AADhAQAAEwAAAAAAAAAAAAAAAAAAAAAAW0NvbnRlbnRfVHlwZXNdLnhtbFBLAQItABQABgAIAAAA&#10;IQA4/SH/1gAAAJQBAAALAAAAAAAAAAAAAAAAAC8BAABfcmVscy8ucmVsc1BLAQItABQABgAIAAAA&#10;IQDCKObE3wEAABoEAAAOAAAAAAAAAAAAAAAAAC4CAABkcnMvZTJvRG9jLnhtbFBLAQItABQABgAI&#10;AAAAIQBMWkYj3AAAAAcBAAAPAAAAAAAAAAAAAAAAADkEAABkcnMvZG93bnJldi54bWxQSwUGAAAA&#10;AAQABADzAAAAQgUAAAAA&#10;" strokecolor="#4579b8 [3044]">
                <v:stroke endarrow="open"/>
                <o:lock v:ext="edit" shapetype="f"/>
              </v:shape>
            </w:pict>
          </mc:Fallback>
        </mc:AlternateContent>
      </w:r>
    </w:p>
    <w:p w14:paraId="579922AA" w14:textId="77777777" w:rsidR="00717A6C" w:rsidRPr="00344788" w:rsidRDefault="007A5064" w:rsidP="00717A6C">
      <w:r>
        <w:rPr>
          <w:noProof/>
          <w:lang w:val="en-AU" w:eastAsia="en-AU"/>
        </w:rPr>
        <mc:AlternateContent>
          <mc:Choice Requires="wps">
            <w:drawing>
              <wp:anchor distT="0" distB="0" distL="114300" distR="114300" simplePos="0" relativeHeight="251715584" behindDoc="0" locked="0" layoutInCell="1" allowOverlap="1" wp14:anchorId="5B8651A4" wp14:editId="4AF6E249">
                <wp:simplePos x="0" y="0"/>
                <wp:positionH relativeFrom="column">
                  <wp:posOffset>4053205</wp:posOffset>
                </wp:positionH>
                <wp:positionV relativeFrom="paragraph">
                  <wp:posOffset>123190</wp:posOffset>
                </wp:positionV>
                <wp:extent cx="2065655" cy="1468755"/>
                <wp:effectExtent l="0" t="0" r="67945" b="5524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5655" cy="14687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F647868" id="Straight Arrow Connector 34" o:spid="_x0000_s1026" type="#_x0000_t32" style="position:absolute;margin-left:319.15pt;margin-top:9.7pt;width:162.65pt;height:115.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GD4wEAACEEAAAOAAAAZHJzL2Uyb0RvYy54bWysU9uO0zAQfUfiHyy/0yRlW1ZR0xXqAi8r&#10;qLbwAV7Hbix809g06d8zdi5chQTiZRR75sycczzZ3Q1Gk4uAoJxtaLUqKRGWu1bZc0M/fXz74paS&#10;EJltmXZWNPQqAr3bP3+2630t1q5zuhVAsIkNde8b2sXo66IIvBOGhZXzwmJSOjAs4hHORQusx+5G&#10;F+uy3Ba9g9aD4yIEvL0fk3Sf+0spePwgZRCR6IYit5gj5PiUYrHfsfoMzHeKTzTYP7AwTFkcurS6&#10;Z5GRL6B+aWUUBxecjCvuTOGkVFxkDaimKn9Sc+qYF1kLmhP8YlP4f235+8sRiGob+vKGEssMvtEp&#10;AlPnLpLXAK4nB2ct+uiAYAn61ftQI+xgj5AU88Ge/IPjnwPmih+S6RD8WDZIMKkcJZMh+39d/BdD&#10;JBwv1+V2s91sKOGYq262t6/wkLqyeoZ7CPGdcIakj4aGierCscqvwC4PIY7AGZBma5tiZEq/sS2J&#10;V49iWdI4DUn5rGAknenHqxYj9lFINAppjjPyioqDBnJhuFyMc2FjtXTC6gSTSusFWGZyfwRO9Qkq&#10;8vr+DXhB5MnOxgVslHXwu+lxmCnLsX52YNSdLHhy7fUI8+PiHuYHmf6ZtOjfnzP825+9/woAAP//&#10;AwBQSwMEFAAGAAgAAAAhACXRvMHfAAAACgEAAA8AAABkcnMvZG93bnJldi54bWxMj8FOwzAQRO9I&#10;/IO1SNyo0wZME+JUiIpLL4VScd4m2zgiXkex24R+PeYEx9U8zbwtVpPtxJkG3zrWMJ8lIIgrV7fc&#10;aNh/vN4tQfiAXGPnmDR8k4dVeX1VYF67kd/pvAuNiCXsc9RgQuhzKX1lyKKfuZ44Zkc3WAzxHBpZ&#10;DzjGctvJRZIoabHluGCwpxdD1dfuZDVk/s0Ebz5pfdzO1faCzXqzH7W+vZmen0AEmsIfDL/6UR3K&#10;6HRwJ6696DSodJlGNAbZPYgIZCpVIA4aFg/JI8iykP9fKH8AAAD//wMAUEsBAi0AFAAGAAgAAAAh&#10;ALaDOJL+AAAA4QEAABMAAAAAAAAAAAAAAAAAAAAAAFtDb250ZW50X1R5cGVzXS54bWxQSwECLQAU&#10;AAYACAAAACEAOP0h/9YAAACUAQAACwAAAAAAAAAAAAAAAAAvAQAAX3JlbHMvLnJlbHNQSwECLQAU&#10;AAYACAAAACEAa3hxg+MBAAAhBAAADgAAAAAAAAAAAAAAAAAuAgAAZHJzL2Uyb0RvYy54bWxQSwEC&#10;LQAUAAYACAAAACEAJdG8wd8AAAAKAQAADwAAAAAAAAAAAAAAAAA9BAAAZHJzL2Rvd25yZXYueG1s&#10;UEsFBgAAAAAEAAQA8wAAAEkFAAAAAA==&#10;" strokecolor="#4579b8 [3044]">
                <v:stroke endarrow="open"/>
                <o:lock v:ext="edit" shapetype="f"/>
              </v:shape>
            </w:pict>
          </mc:Fallback>
        </mc:AlternateContent>
      </w:r>
    </w:p>
    <w:p w14:paraId="28D3B132" w14:textId="77777777" w:rsidR="00717A6C" w:rsidRPr="00344788" w:rsidRDefault="007A5064" w:rsidP="00717A6C">
      <w:r>
        <w:rPr>
          <w:noProof/>
          <w:lang w:val="en-AU" w:eastAsia="en-AU"/>
        </w:rPr>
        <mc:AlternateContent>
          <mc:Choice Requires="wps">
            <w:drawing>
              <wp:anchor distT="0" distB="0" distL="114300" distR="114300" simplePos="0" relativeHeight="251721728" behindDoc="0" locked="0" layoutInCell="1" allowOverlap="1" wp14:anchorId="7C53DEF6" wp14:editId="389D7868">
                <wp:simplePos x="0" y="0"/>
                <wp:positionH relativeFrom="column">
                  <wp:posOffset>7552690</wp:posOffset>
                </wp:positionH>
                <wp:positionV relativeFrom="paragraph">
                  <wp:posOffset>59055</wp:posOffset>
                </wp:positionV>
                <wp:extent cx="676275" cy="457200"/>
                <wp:effectExtent l="0" t="0" r="952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5CCB55" w14:textId="77777777" w:rsidR="00CC25D3" w:rsidRDefault="00CC25D3" w:rsidP="00717A6C">
                            <w:r>
                              <w:t>Hicks (1946)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3DEF6" id="Text Box 38" o:spid="_x0000_s1031" type="#_x0000_t202" style="position:absolute;margin-left:594.7pt;margin-top:4.65pt;width:53.2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EQkwIAAKsFAAAOAAAAZHJzL2Uyb0RvYy54bWysVE1PGzEQvVfqf7B8L5sAgTZig1IQVaUI&#10;UKHi7HhtYmF7XNvJbvrrO7Z3Q6BcqHrZtT1vvt/M2XlnNNkIHxTYmo4PRpQIy6FR9rGmP++vPn2m&#10;JERmG6bBippuRaDns48fzlo3FYewAt0IT9CIDdPW1XQVo5tWVeArYVg4ACcsCiV4wyJe/WPVeNai&#10;daOrw9HopGrBN84DFyHg62UR0lm2L6Xg8UbKICLRNcXYYv76/F2mbzU7Y9NHz9xK8T4M9g9RGKYs&#10;Ot2ZumSRkbVXf5kyinsIIOMBB1OBlIqLnANmMx69yuZuxZzIuWBxgtuVKfw/s/x6c+uJamp6hJ2y&#10;zGCP7kUXyVfoCD5hfVoXpgi7cwiMHb5jn3OuwS2APwWEVHuYohAQnerRSW/SHzMlqIgt2O7Kntxw&#10;fDw5PTk8nVDCUXQ8OcW2JrfVs7LzIX4TYEg61NRjV3MAbLMIsUAHSPIVQKvmSmmdL4lJ4kJ7smHI&#10;AR3HvfEXKG1Ji4EcTUbZsIWkXixrm8yIzKXeXcq2JJhPcatFwmj7Q0isZc7zDd+Mc2F3/jM6oSS6&#10;eo9ij3+O6j3KJQ/UyJ7Bxp2yURZ86evLkjVPQ8lkwff9DiXvVILYLbtMoslAmCU0W+SLhzJxwfEr&#10;hc1bsBBvmccRQybg2og3+JEasPjQnyhZgf/91nvCI/NRSkmLI1vT8GvNvKBEf7c4E1/Gx8dpxvMl&#10;E4kSvy9Z7kvs2lwAMmKMC8rxfERlH/VwlB7MA26XefKKImY5+q5pHI4XsSwS3E5czOcZhFPtWFzY&#10;O8eHMUnUvO8emHc9fyMS/xqG4WbTVzQu2NQfC/N1BKkyx1OdS1X7+uNGyFPSb6+0cvbvGfW8Y2d/&#10;AAAA//8DAFBLAwQUAAYACAAAACEAQbAVyuAAAAAKAQAADwAAAGRycy9kb3ducmV2LnhtbEyPMU/D&#10;MBCFdyT+g3VILBV10gJKQpwKISq1QwcCS7drfCQR8Tmy3Tb8e9yJjk/36b3vytVkBnEi53vLCtJ5&#10;AoK4sbrnVsHX5/ohA+EDssbBMin4JQ+r6vamxELbM3/QqQ6tiCXsC1TQhTAWUvqmI4N+bkfiePu2&#10;zmCI0bVSOzzHcjPIRZI8S4M9x4UOR3rrqPmpj0bBzu83s73brGe113JLtHvfpkGp+7vp9QVEoCn8&#10;w3DRj+pQRaeDPbL2Yog5zfLHyCrIlyAuwCJ/ykEcFGTpEmRVyusXqj8AAAD//wMAUEsBAi0AFAAG&#10;AAgAAAAhALaDOJL+AAAA4QEAABMAAAAAAAAAAAAAAAAAAAAAAFtDb250ZW50X1R5cGVzXS54bWxQ&#10;SwECLQAUAAYACAAAACEAOP0h/9YAAACUAQAACwAAAAAAAAAAAAAAAAAvAQAAX3JlbHMvLnJlbHNQ&#10;SwECLQAUAAYACAAAACEAcObxEJMCAACrBQAADgAAAAAAAAAAAAAAAAAuAgAAZHJzL2Uyb0RvYy54&#10;bWxQSwECLQAUAAYACAAAACEAQbAVyuAAAAAKAQAADwAAAAAAAAAAAAAAAADtBAAAZHJzL2Rvd25y&#10;ZXYueG1sUEsFBgAAAAAEAAQA8wAAAPoFAAAAAA==&#10;" fillcolor="white [3201]" stroked="f" strokeweight=".5pt">
                <v:path arrowok="t"/>
                <v:textbox>
                  <w:txbxContent>
                    <w:p w14:paraId="2A5CCB55" w14:textId="77777777" w:rsidR="00CC25D3" w:rsidRDefault="00CC25D3" w:rsidP="00717A6C">
                      <w:r>
                        <w:t>Hicks (1946)</w:t>
                      </w:r>
                    </w:p>
                  </w:txbxContent>
                </v:textbox>
              </v:shape>
            </w:pict>
          </mc:Fallback>
        </mc:AlternateContent>
      </w:r>
      <w:r>
        <w:rPr>
          <w:noProof/>
          <w:lang w:val="en-AU" w:eastAsia="en-AU"/>
        </w:rPr>
        <mc:AlternateContent>
          <mc:Choice Requires="wps">
            <w:drawing>
              <wp:anchor distT="4294967295" distB="4294967295" distL="114300" distR="114300" simplePos="0" relativeHeight="251720704" behindDoc="0" locked="0" layoutInCell="1" allowOverlap="1" wp14:anchorId="0C20FD22" wp14:editId="689BC289">
                <wp:simplePos x="0" y="0"/>
                <wp:positionH relativeFrom="column">
                  <wp:posOffset>7130415</wp:posOffset>
                </wp:positionH>
                <wp:positionV relativeFrom="paragraph">
                  <wp:posOffset>287654</wp:posOffset>
                </wp:positionV>
                <wp:extent cx="421640" cy="0"/>
                <wp:effectExtent l="0" t="76200" r="16510" b="11430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16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207B638F" id="Straight Arrow Connector 36" o:spid="_x0000_s1026" type="#_x0000_t32" style="position:absolute;margin-left:561.45pt;margin-top:22.65pt;width:33.2pt;height:0;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1K3gEAABoEAAAOAAAAZHJzL2Uyb0RvYy54bWysU9uO0zAQfUfiHyy/07RlVaGo6Qp1gZcV&#10;VHT5gFnHbix809g06d8zdppw1UqLeBnFnjkz5xxPtreDNewsMWrvGr5aLDmTTvhWu1PDvzy8f/WG&#10;s5jAtWC8kw2/yMhvdy9fbPtQy7XvvGklMmriYt2HhncphbqqouikhbjwQTpKKo8WEh3xVLUIPXW3&#10;plovl5uq99gG9ELGSLd3Y5LvSn+lpEiflIoyMdNw4pZKxBIfc6x2W6hPCKHT4koD/oGFBe1o6Nzq&#10;DhKwb6j/aGW1QB+9SgvhbeWV0kIWDaRmtfxNzbGDIIsWMieG2ab4/9qKj+cDMt02/PWGMweW3uiY&#10;EPSpS+wtou/Z3jtHPnpkVEJ+9SHWBNu7A2bFYnDHcO/F10i56pdkPsQwlg0KbS4nyWwo/l9m/+WQ&#10;mKDLm/Vqc0OvJKZUBfWECxjTB+ktyx8Nj1eOM7lVsR/O9zFlHlBPgDzUuBwTaPPOtSxdAqmELC7r&#10;odqcL9RHtoV3uhg5Yj9LRQ4Rv3FG2U25N8jOQFsFQkiXVnMnqs4wpY2ZgctC7kngtT5DZdnb54Bn&#10;RJnsXZrBVjuPf5uehomyGusnB0bd2YJH314OOL0qLWDx6vqz5A3/+VzgP37p3XcAAAD//wMAUEsD&#10;BBQABgAIAAAAIQDXKLHw3gAAAAsBAAAPAAAAZHJzL2Rvd25yZXYueG1sTI9BT8MwDIXvSPyHyEjc&#10;WNoC09o1nRATFy6DMXH2Gq+p1iRVk62FX48nDnDzs5+ev1euJtuJMw2h9U5BOktAkKu9bl2jYPfx&#10;crcAESI6jZ13pOCLAqyq66sSC+1H907nbWwEh7hQoAITY19IGWpDFsPM9+T4dvCDxchyaKQecORw&#10;28ksSebSYuv4g8Geng3Vx+3JKsjDm4nBfNL6sEnnm29s1q+7Uanbm+lpCSLSFP/McMFndKiYae9P&#10;TgfRsU6zLGevgofHexAXR7rIedr/bmRVyv8dqh8AAAD//wMAUEsBAi0AFAAGAAgAAAAhALaDOJL+&#10;AAAA4QEAABMAAAAAAAAAAAAAAAAAAAAAAFtDb250ZW50X1R5cGVzXS54bWxQSwECLQAUAAYACAAA&#10;ACEAOP0h/9YAAACUAQAACwAAAAAAAAAAAAAAAAAvAQAAX3JlbHMvLnJlbHNQSwECLQAUAAYACAAA&#10;ACEAkmd9St4BAAAaBAAADgAAAAAAAAAAAAAAAAAuAgAAZHJzL2Uyb0RvYy54bWxQSwECLQAUAAYA&#10;CAAAACEA1yix8N4AAAALAQAADwAAAAAAAAAAAAAAAAA4BAAAZHJzL2Rvd25yZXYueG1sUEsFBgAA&#10;AAAEAAQA8wAAAEMFAAAAAA==&#10;" strokecolor="#4579b8 [3044]">
                <v:stroke endarrow="open"/>
                <o:lock v:ext="edit" shapetype="f"/>
              </v:shape>
            </w:pict>
          </mc:Fallback>
        </mc:AlternateContent>
      </w:r>
      <w:r>
        <w:rPr>
          <w:noProof/>
          <w:lang w:val="en-AU" w:eastAsia="en-AU"/>
        </w:rPr>
        <mc:AlternateContent>
          <mc:Choice Requires="wps">
            <w:drawing>
              <wp:anchor distT="0" distB="0" distL="114300" distR="114300" simplePos="0" relativeHeight="251703296" behindDoc="0" locked="0" layoutInCell="1" allowOverlap="1" wp14:anchorId="3A830306" wp14:editId="4F17BD51">
                <wp:simplePos x="0" y="0"/>
                <wp:positionH relativeFrom="column">
                  <wp:posOffset>5134610</wp:posOffset>
                </wp:positionH>
                <wp:positionV relativeFrom="paragraph">
                  <wp:posOffset>59055</wp:posOffset>
                </wp:positionV>
                <wp:extent cx="1290320" cy="485775"/>
                <wp:effectExtent l="0" t="0" r="50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032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EE627B" w14:textId="77777777" w:rsidR="00CC25D3" w:rsidRPr="00EC4BB2" w:rsidRDefault="00CC25D3" w:rsidP="00717A6C">
                            <w:r>
                              <w:rPr>
                                <w:i/>
                              </w:rPr>
                              <w:t xml:space="preserve">Lee v. Neuchatel </w:t>
                            </w:r>
                            <w:r>
                              <w:t>(1889)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A830306" id="Text Box 16" o:spid="_x0000_s1032" type="#_x0000_t202" style="position:absolute;margin-left:404.3pt;margin-top:4.65pt;width:101.6pt;height:3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Gv6lgIAAKwFAAAOAAAAZHJzL2Uyb0RvYy54bWysVEtv2zAMvg/YfxB0X52kSR9BnSJr0WFA&#10;0BZLh54VWUqMSqImKbGzXz9Kch7teumwi02JH0mR/Mir61YrshHO12BK2j/pUSIMh6o2y5L+fLr7&#10;ckGJD8xUTIERJd0KT68nnz9dNXYsBrACVQlH0Inx48aWdBWCHReF5yuhmT8BKwwqJTjNAh7dsqgc&#10;a9C7VsWg1zsrGnCVdcCF93h7m5V0kvxLKXh4kNKLQFRJ8W0hfV36LuK3mFyx8dIxu6p59wz2D6/Q&#10;rDYYdO/qlgVG1q7+y5WuuQMPMpxw0AVIWXORcsBs+r032cxXzIqUCxbH232Z/P9zy+83j47UFfbu&#10;jBLDNPboSbSBfIWW4BXWp7F+jLC5RWBo8R6xKVdvZ8BfPEKKI0w28IiO9Wil0/GPmRI0xBZs92WP&#10;YXj0NrjsnQ5QxVE3vBidn49i3OJgbZ0P3wRoEoWSOmxregHbzHzI0B0kBvOg6uquViodIpXEjXJk&#10;w5AEKvQ7569QypCmpGeno15ybCCaZ8/KRDcikakLF9PNGSYpbJWIGGV+CInFTIm+E5txLsw+fkJH&#10;lMRQHzHs8IdXfcQ454EWKTKYsDfWtQGXG/u6ZNXLrmQy47uG+5x3LEFoF21i0Z4xC6i2SBgHeeS8&#10;5Xc1Nm/GfHhkDmcM+417IzzgRyrA4kMnUbIC9/u9+4hH6qOWkgZntqT+15o5QYn6bnAoLvvDYRzy&#10;dBiOziOn3LFmcawxa30DyIg+bijLkxjxQe1E6UA/43qZxqioYoZj7JKGnXgT8ibB9cTFdJpAONaW&#10;hZmZW76bk0jNp/aZOdvxNyDz72E33Wz8hsYZG/tjYLoOIOvE8VjnXNWu/rgS0pR06yvunONzQh2W&#10;7OQPAAAA//8DAFBLAwQUAAYACAAAACEAldhx794AAAAJAQAADwAAAGRycy9kb3ducmV2LnhtbEyP&#10;MU/DMBCFdyT+g3VILFVrB0SVhjgVQlRqhw4Elm5ufCQR8Tmy3Tb8e64TjKfv6d33yvXkBnHGEHtP&#10;GrKFAoHUeNtTq+HzYzPPQcRkyJrBE2r4wQjr6vamNIX1F3rHc51awSUUC6OhS2kspIxNh87EhR+R&#10;mH354EziM7TSBnPhcjfIB6WW0pme+ENnRnztsPmuT07DPh62s0PYbmZ1tHKHuH/bZUnr+7vp5RlE&#10;win9heGqz+pQsdPRn8hGMWjIVb7kqIbVI4grV1nGW45MnnKQVSn/L6h+AQAA//8DAFBLAQItABQA&#10;BgAIAAAAIQC2gziS/gAAAOEBAAATAAAAAAAAAAAAAAAAAAAAAABbQ29udGVudF9UeXBlc10ueG1s&#10;UEsBAi0AFAAGAAgAAAAhADj9If/WAAAAlAEAAAsAAAAAAAAAAAAAAAAALwEAAF9yZWxzLy5yZWxz&#10;UEsBAi0AFAAGAAgAAAAhAILka/qWAgAArAUAAA4AAAAAAAAAAAAAAAAALgIAAGRycy9lMm9Eb2Mu&#10;eG1sUEsBAi0AFAAGAAgAAAAhAJXYce/eAAAACQEAAA8AAAAAAAAAAAAAAAAA8AQAAGRycy9kb3du&#10;cmV2LnhtbFBLBQYAAAAABAAEAPMAAAD7BQAAAAA=&#10;" fillcolor="white [3201]" stroked="f" strokeweight=".5pt">
                <v:path arrowok="t"/>
                <v:textbox>
                  <w:txbxContent>
                    <w:p w14:paraId="76EE627B" w14:textId="77777777" w:rsidR="00CC25D3" w:rsidRPr="00EC4BB2" w:rsidRDefault="00CC25D3" w:rsidP="00717A6C">
                      <w:r>
                        <w:rPr>
                          <w:i/>
                        </w:rPr>
                        <w:t xml:space="preserve">Lee v. Neuchatel </w:t>
                      </w:r>
                      <w:r>
                        <w:t>(1889)</w:t>
                      </w:r>
                    </w:p>
                  </w:txbxContent>
                </v:textbox>
              </v:shape>
            </w:pict>
          </mc:Fallback>
        </mc:AlternateContent>
      </w:r>
      <w:r>
        <w:rPr>
          <w:noProof/>
          <w:lang w:val="en-AU" w:eastAsia="en-AU"/>
        </w:rPr>
        <mc:AlternateContent>
          <mc:Choice Requires="wps">
            <w:drawing>
              <wp:anchor distT="0" distB="0" distL="114300" distR="114300" simplePos="0" relativeHeight="251704320" behindDoc="0" locked="0" layoutInCell="1" allowOverlap="1" wp14:anchorId="5CC6B8D8" wp14:editId="4EAE304D">
                <wp:simplePos x="0" y="0"/>
                <wp:positionH relativeFrom="column">
                  <wp:posOffset>6638290</wp:posOffset>
                </wp:positionH>
                <wp:positionV relativeFrom="paragraph">
                  <wp:posOffset>59055</wp:posOffset>
                </wp:positionV>
                <wp:extent cx="624205" cy="533400"/>
                <wp:effectExtent l="0" t="0" r="444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20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D7ADA" w14:textId="77777777" w:rsidR="00CC25D3" w:rsidRDefault="00CC25D3" w:rsidP="00717A6C">
                            <w:r>
                              <w:t>Fisher (1896)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6B8D8" id="Text Box 17" o:spid="_x0000_s1033" type="#_x0000_t202" style="position:absolute;margin-left:522.7pt;margin-top:4.65pt;width:49.15pt;height: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ZpGlgIAAKsFAAAOAAAAZHJzL2Uyb0RvYy54bWysVN9P2zAQfp+0/8Hy+0haWtgiUtSBmCZV&#10;gAYTz65jUwvb59luk+6v39lJS2G8MO0lsX3f/f7uzs47o8lG+KDA1nR0VFIiLIdG2cea/ry/+vSZ&#10;khCZbZgGK2q6FYGezz5+OGtdJcawAt0IT9CIDVXrarqK0VVFEfhKGBaOwAmLQgnesIhX/1g0nrVo&#10;3ehiXJYnRQu+cR64CAFfL3shnWX7Ugoeb6QMIhJdU4wt5q/P32X6FrMzVj165laKD2Gwf4jCMGXR&#10;6d7UJYuMrL36y5RR3EMAGY84mAKkVFzkHDCbUfkqm7sVcyLngsUJbl+m8P/M8uvNrSeqwd6dUmKZ&#10;wR7diy6Sr9ARfML6tC5UCLtzCIwdviM25xrcAvhTQEhxgOkVAqJTPTrpTfpjpgQVsQXbfdmTG46P&#10;J+PJuJxSwlE0PT6elLktxbOy8yF+E2BIOtTUY1dzAGyzCDG5Z9UOknwF0Kq5UlrnS2KSuNCebBhy&#10;QMdRygk1XqC0JS0Gcjwts2ELSb3HaZvMiMylwV3Ktk8wn+JWi4TR9oeQWMuc5xu+GefC7v1ndEJJ&#10;dPUexQH/HNV7lPs8UCN7Bhv3ykZZ8H1fX5asedqVTPb4od+hzzuVIHbLLpNoT5glNFvki4d+4oLj&#10;Vwqbt2Ah3jKPI4ZMwLURb/AjNWDxYThRsgL/+633hEfmo5SSFke2puHXmnlBif5ucSa+jCaTNOP5&#10;MpmejvHiDyXLQ4ldmwtARoxwQTmejwkf9e4oPZgH3C7z5BVFzHL0XdO4O17EfpHgduJiPs8gnGrH&#10;4sLeOb4bk0TN++6BeTfwNyLxr2E33Kx6ReMem/pjYb6OIFXmeKpzX9Wh/rgRMpGH7ZVWzuE9o553&#10;7OwPAAAA//8DAFBLAwQUAAYACAAAACEAOdLfwN8AAAAKAQAADwAAAGRycy9kb3ducmV2LnhtbEyP&#10;TU/DMAyG70j8h8hIXCaWlpav0nRCiEnbYQcKl92yxrQVjVPF2Vb+PekJjq/96PXjcjXZQZzQc+9I&#10;QbpMQCA1zvTUKvj8WN88guCgyejBESr4QYZVdXlR6sK4M73jqQ6tiCXEhVbQhTAWUnLTodW8dCNS&#10;3H05b3WI0bfSeH2O5XaQt0lyL63uKV7o9IivHTbf9dEq2PF+s9j7zXpRs5FbxN3bNg1KXV9NL88g&#10;Ak7hD4ZZP6pDFZ0O7kiGxRBzkt/lkVXwlIGYgTTPHkAc5kEGsirl/xeqXwAAAP//AwBQSwECLQAU&#10;AAYACAAAACEAtoM4kv4AAADhAQAAEwAAAAAAAAAAAAAAAAAAAAAAW0NvbnRlbnRfVHlwZXNdLnht&#10;bFBLAQItABQABgAIAAAAIQA4/SH/1gAAAJQBAAALAAAAAAAAAAAAAAAAAC8BAABfcmVscy8ucmVs&#10;c1BLAQItABQABgAIAAAAIQAu6ZpGlgIAAKsFAAAOAAAAAAAAAAAAAAAAAC4CAABkcnMvZTJvRG9j&#10;LnhtbFBLAQItABQABgAIAAAAIQA50t/A3wAAAAoBAAAPAAAAAAAAAAAAAAAAAPAEAABkcnMvZG93&#10;bnJldi54bWxQSwUGAAAAAAQABADzAAAA/AUAAAAA&#10;" fillcolor="white [3201]" stroked="f" strokeweight=".5pt">
                <v:path arrowok="t"/>
                <v:textbox>
                  <w:txbxContent>
                    <w:p w14:paraId="1DBD7ADA" w14:textId="77777777" w:rsidR="00CC25D3" w:rsidRDefault="00CC25D3" w:rsidP="00717A6C">
                      <w:r>
                        <w:t>Fisher (1896)</w:t>
                      </w:r>
                    </w:p>
                  </w:txbxContent>
                </v:textbox>
              </v:shape>
            </w:pict>
          </mc:Fallback>
        </mc:AlternateContent>
      </w:r>
    </w:p>
    <w:p w14:paraId="5C41920B" w14:textId="77777777" w:rsidR="00717A6C" w:rsidRPr="00344788" w:rsidRDefault="007A5064" w:rsidP="00717A6C">
      <w:r>
        <w:rPr>
          <w:noProof/>
          <w:lang w:val="en-AU" w:eastAsia="en-AU"/>
        </w:rPr>
        <mc:AlternateContent>
          <mc:Choice Requires="wps">
            <w:drawing>
              <wp:anchor distT="0" distB="0" distL="114300" distR="114300" simplePos="0" relativeHeight="251717632" behindDoc="0" locked="0" layoutInCell="1" allowOverlap="1" wp14:anchorId="0B7FE127" wp14:editId="43ED4D37">
                <wp:simplePos x="0" y="0"/>
                <wp:positionH relativeFrom="column">
                  <wp:posOffset>6638290</wp:posOffset>
                </wp:positionH>
                <wp:positionV relativeFrom="paragraph">
                  <wp:posOffset>187960</wp:posOffset>
                </wp:positionV>
                <wp:extent cx="295275" cy="1837690"/>
                <wp:effectExtent l="0" t="38100" r="66675" b="29210"/>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1837690"/>
                        </a:xfrm>
                        <a:prstGeom prst="straightConnector1">
                          <a:avLst/>
                        </a:prstGeom>
                        <a:noFill/>
                        <a:ln w="9525">
                          <a:solidFill>
                            <a:schemeClr val="tx2">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B22FA" id="AutoShape 32" o:spid="_x0000_s1026" type="#_x0000_t32" style="position:absolute;margin-left:522.7pt;margin-top:14.8pt;width:23.25pt;height:144.7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uLWAIAAKcEAAAOAAAAZHJzL2Uyb0RvYy54bWysVF1v2yAUfZ+0/4B4T/0RJ02sOlVlJ3vp&#10;tkjt9k4Bx2gYEJA40bT/vgtO0nV7mablgcDlfp3Dub67P/YSHbh1QqsKZzcpRlxRzYTaVfjL82ay&#10;wMh5ohiRWvEKn7jD96v37+4GU/Jcd1oybhEkUa4cTIU7702ZJI52vCfuRhuu4LLVticejnaXMEsG&#10;yN7LJE/TeTJoy4zVlDsH1ma8xKuYv2059Z/b1nGPZIWhNx9XG9eXsCarO1LuLDGdoOc2yD900ROh&#10;oOg1VUM8QXsr/kjVC2q1062/obpPdNsKyiMGQJOlv6F56ojhEQuQ48yVJvf/0tJPh61FglV4iZEi&#10;PTzRw97rWBlN88DPYFwJbrXa2oCQHtWTedT0m0NK1x1ROx69n08GgrMQkbwJCQdnoMrL8FEz8CFQ&#10;IJJ1bG2PWinM1xAYkgMh6Bhf53R9HX70iIIxX87y2xlGFK6yxfR2vozPl5Ay5AnRxjr/gesehU2F&#10;nbdE7Dpfa6VACNqONcjh0fnQ5WtACFZ6I6SMepAKDUDILJ/FppyWgoXL4BaVyWtp0YGApvwxjz5y&#10;3wO40TZP4TcqC8ygv9FcXMxQ+JoltvGmgNV7xWIbHSdsfd57IiTskY8seyuAd8lx6LPnDCPJYfzC&#10;bgQmVegVmAOo590ox+/LdLlerBfFpMjn60mRNs3kYVMXk/kmu50106aum+xHgJQVZScY4yogv4xG&#10;Vvyd9M5DOor6OhxXipO32SMJ0OzlPzYdRRR0MyrwRbPT1gZ0QU8wDdH5PLlh3H49R6/X78vqJwAA&#10;AP//AwBQSwMEFAAGAAgAAAAhAJ2RlOvhAAAADAEAAA8AAABkcnMvZG93bnJldi54bWxMj8FOwzAQ&#10;RO9I/IO1SNyonbZUdRqnggLihkTh0psbb5OAvQ6x0wa+HvcEx9E+zbwt1qOz7Ih9aD0pyCYCGFLl&#10;TUu1gve3p5slsBA1GW09oYJvDLAuLy8KnRt/olc8bmPNUgmFXCtoYuxyzkPVoNNh4jukdDv43umY&#10;Yl9z0+tTKneWT4VYcKdbSguN7nDTYPW5HZyCzc8jP7jl81dXP8zuP+xusDK8KHV9Nd6tgEUc4x8M&#10;Z/2kDmVy2vuBTGA2ZTG/nSdWwVQugJ0JITMJbK9glkkBvCz4/yfKXwAAAP//AwBQSwECLQAUAAYA&#10;CAAAACEAtoM4kv4AAADhAQAAEwAAAAAAAAAAAAAAAAAAAAAAW0NvbnRlbnRfVHlwZXNdLnhtbFBL&#10;AQItABQABgAIAAAAIQA4/SH/1gAAAJQBAAALAAAAAAAAAAAAAAAAAC8BAABfcmVscy8ucmVsc1BL&#10;AQItABQABgAIAAAAIQA2AfuLWAIAAKcEAAAOAAAAAAAAAAAAAAAAAC4CAABkcnMvZTJvRG9jLnht&#10;bFBLAQItABQABgAIAAAAIQCdkZTr4QAAAAwBAAAPAAAAAAAAAAAAAAAAALIEAABkcnMvZG93bnJl&#10;di54bWxQSwUGAAAAAAQABADzAAAAwAUAAAAA&#10;" strokecolor="#548dd4 [1951]">
                <v:stroke endarrow="block"/>
              </v:shape>
            </w:pict>
          </mc:Fallback>
        </mc:AlternateContent>
      </w:r>
      <w:r>
        <w:rPr>
          <w:noProof/>
          <w:lang w:val="en-AU" w:eastAsia="en-AU"/>
        </w:rPr>
        <mc:AlternateContent>
          <mc:Choice Requires="wps">
            <w:drawing>
              <wp:anchor distT="0" distB="0" distL="114300" distR="114300" simplePos="0" relativeHeight="251702272" behindDoc="0" locked="0" layoutInCell="1" allowOverlap="1" wp14:anchorId="01B80BBA" wp14:editId="0CA6A2C2">
                <wp:simplePos x="0" y="0"/>
                <wp:positionH relativeFrom="column">
                  <wp:posOffset>87630</wp:posOffset>
                </wp:positionH>
                <wp:positionV relativeFrom="paragraph">
                  <wp:posOffset>284480</wp:posOffset>
                </wp:positionV>
                <wp:extent cx="8712835" cy="66675"/>
                <wp:effectExtent l="0" t="0" r="31115" b="2857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712835"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C297D1" id="Straight Connector 15"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22.4pt" to="692.9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ZpV0wEAAO8DAAAOAAAAZHJzL2Uyb0RvYy54bWysU01v2zAMvQ/YfxB0X+xkWBoYcXpIsV2K&#10;LVjW3VVZioVJokBpifPvR8mJuy8U6LCLYIl8j++R9Pp2cJYdFUYDvuXzWc2Z8hI64w8tf/jy/s2K&#10;s5iE74QFr1p+VpHfbl6/Wp9CoxbQg+0UMiLxsTmFlvcphaaqouyVE3EGQXkKakAnEl3xUHUoTsTu&#10;bLWo62V1AuwCglQx0uvdGOSbwq+1kumT1lElZltO2lI5sZyP+aw2a9EcUITeyIsM8Q8qnDCeik5U&#10;dyIJ9h3NH1TOSIQIOs0kuAq0NlIVD+RmXv/mZt+LoIoXak4MU5vi/6OVH487ZKaj2b3jzAtHM9on&#10;FObQJ7YF76mDgIyC1KlTiA0Btn6H2asc/D7cg/wWKVb9EsyXGMa0QaNj2prwlYqUJpFtNpQZnKcZ&#10;qCExSY+rm/li9Za0SIotl8ubUrkSTabJVQPG9EGBY/mj5db43CLRiON9TFnIU8pF1SikSEpnq3Ky&#10;9Z+VJttUcJRUFk5tLbKjoFURUiqf5tk08ZXsDNPG2glYl7LPAi/5GarKMr4EPCFKZfBpAjvjAf9W&#10;PQ1XyXrMv3Zg9J1b8AjdeYfXgdFWFYeXPyCv7c/3An/6Tzc/AAAA//8DAFBLAwQUAAYACAAAACEA&#10;wLhOeN0AAAAJAQAADwAAAGRycy9kb3ducmV2LnhtbEyPwU7DMBBE70j8g7VI3KjTJkFtiFMhSs+I&#10;AlKPbrwkAXsdxW6b/D3bEz2NRrOaeVuuR2fFCYfQeVIwnyUgkGpvOmoUfH5sH5YgQtRktPWECiYM&#10;sK5ub0pdGH+mdzztYiO4hEKhFbQx9oWUoW7R6TDzPRJn335wOrIdGmkGfeZyZ+UiSR6l0x3xQqt7&#10;fGmx/t0dnYJgm9ef6Wvym4UZps027PFtnil1fzc+P4GIOMb/Y7jgMzpUzHTwRzJBWPYpk0cFWcZ6&#10;ydNlvgJxUJDnKciqlNcfVH8AAAD//wMAUEsBAi0AFAAGAAgAAAAhALaDOJL+AAAA4QEAABMAAAAA&#10;AAAAAAAAAAAAAAAAAFtDb250ZW50X1R5cGVzXS54bWxQSwECLQAUAAYACAAAACEAOP0h/9YAAACU&#10;AQAACwAAAAAAAAAAAAAAAAAvAQAAX3JlbHMvLnJlbHNQSwECLQAUAAYACAAAACEAfeGaVdMBAADv&#10;AwAADgAAAAAAAAAAAAAAAAAuAgAAZHJzL2Uyb0RvYy54bWxQSwECLQAUAAYACAAAACEAwLhOeN0A&#10;AAAJAQAADwAAAAAAAAAAAAAAAAAtBAAAZHJzL2Rvd25yZXYueG1sUEsFBgAAAAAEAAQA8wAAADcF&#10;AAAAAA==&#10;" strokecolor="#4579b8 [3044]">
                <o:lock v:ext="edit" shapetype="f"/>
              </v:line>
            </w:pict>
          </mc:Fallback>
        </mc:AlternateContent>
      </w:r>
    </w:p>
    <w:p w14:paraId="5A8CA9C1" w14:textId="77777777" w:rsidR="00717A6C" w:rsidRPr="00344788" w:rsidRDefault="007A5064" w:rsidP="00717A6C">
      <w:r>
        <w:rPr>
          <w:noProof/>
          <w:lang w:val="en-AU" w:eastAsia="en-AU"/>
        </w:rPr>
        <mc:AlternateContent>
          <mc:Choice Requires="wps">
            <w:drawing>
              <wp:anchor distT="0" distB="0" distL="114300" distR="114300" simplePos="0" relativeHeight="251701248" behindDoc="0" locked="0" layoutInCell="1" allowOverlap="1" wp14:anchorId="6FBEAB31" wp14:editId="00BA68E9">
                <wp:simplePos x="0" y="0"/>
                <wp:positionH relativeFrom="column">
                  <wp:posOffset>3561080</wp:posOffset>
                </wp:positionH>
                <wp:positionV relativeFrom="paragraph">
                  <wp:posOffset>290195</wp:posOffset>
                </wp:positionV>
                <wp:extent cx="1258570" cy="1057275"/>
                <wp:effectExtent l="0" t="0" r="0" b="9525"/>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8570"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974F31" w14:textId="77777777" w:rsidR="00CC25D3" w:rsidRDefault="00CC25D3" w:rsidP="00717A6C">
                            <w:pPr>
                              <w:spacing w:after="0"/>
                            </w:pPr>
                            <w:r>
                              <w:t>Parliamentary companies  (double account, e.g. Railways Act 1868)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FBEAB31" id="Text Box 14" o:spid="_x0000_s1034" type="#_x0000_t202" style="position:absolute;margin-left:280.4pt;margin-top:22.85pt;width:99.1pt;height:8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fKlwIAAK0FAAAOAAAAZHJzL2Uyb0RvYy54bWysVN9P2zAQfp+0/8Hy+0jTtcAqUtSBmCZV&#10;gAYTz65jUwvH59luk+6v39lOSmG8MO3FOee+u/N99+PsvGs02QrnFZiKlkcjSoThUCvzWNGf91ef&#10;TinxgZmaaTCiojvh6fn844ez1s7EGNaga+EIOjF+1tqKrkOws6LwfC0a5o/ACoNKCa5hAa/usagd&#10;a9F7o4vxaHRctOBq64AL7/HvZVbSefIvpeDhRkovAtEVxbeFdLp0ruJZzM/Y7NExu1a8fwb7h1c0&#10;TBkMund1yQIjG6f+ctUo7sCDDEccmgKkVFykHDCbcvQqm7s1syLlguR4u6fJ/z+3/Hp764iqKzpG&#10;egxrsEb3ogvkK3SknER+WutnCLuzCAwd/sc6p1y9XQJ/8ggpDjDZwCM68tFJ18QvZkrQEGPs9rTH&#10;MDx6G09Ppyeo4qgrR9OT8ck0Bi6eza3z4ZuAhkShog7rmp7AtksfMnSAxGgetKqvlNbpEntJXGhH&#10;tgy7QIeyd/4CpQ1pK3r8eTpKjg1E8+xZm+hGpG7qw8V8c4pJCjstIkabH0IimynTN2IzzoXZx0/o&#10;iJIY6j2GPf75Ve8xznmgRYoMJuyNG2XA5cq+pKx+GiiTGd9X3Oe8IwWhW3WpjU6HlllBvcOOcZBn&#10;zlt+pbB4S+bDLXM4ZFhwXBzhBg+pAcmHXqJkDe73W/8jHnsftZS0OLQV9b82zAlK9HeDU/GlnEzQ&#10;bUiXCTYSXtyhZnWoMZvmArAjSlxRlicx4oMeROmgecD9sohRUcUMx9gVDYN4EfIqwf3ExWKRQDjX&#10;loWlubN8GJTYmvfdA3O279+ArX8Nw3iz2as2zthYHwOLTQCpUo9HnjOrPf+4E9KU9PsrLp3De0I9&#10;b9n5HwAAAP//AwBQSwMEFAAGAAgAAAAhAC4YnvbhAAAACgEAAA8AAABkcnMvZG93bnJldi54bWxM&#10;jzFPwzAUhPdK/AfrIbFU1ElEWghxKoSo1A4dCCzd3PiRRMTPke224d/zOsF4utPdd+V6soM4ow+9&#10;IwXpIgGB1DjTU6vg82Nz/wgiRE1GD45QwQ8GWFc3s1IXxl3oHc91bAWXUCi0gi7GsZAyNB1aHRZu&#10;RGLvy3mrI0vfSuP1hcvtILMkWUqre+KFTo/42mHzXZ+sgn04bOcHv93M62DkDnH/tkujUne308sz&#10;iIhT/AvDFZ/RoWKmozuRCWJQkC8TRo8KHvIVCA6s8ic+d1SQpVkGsirl/wvVLwAAAP//AwBQSwEC&#10;LQAUAAYACAAAACEAtoM4kv4AAADhAQAAEwAAAAAAAAAAAAAAAAAAAAAAW0NvbnRlbnRfVHlwZXNd&#10;LnhtbFBLAQItABQABgAIAAAAIQA4/SH/1gAAAJQBAAALAAAAAAAAAAAAAAAAAC8BAABfcmVscy8u&#10;cmVsc1BLAQItABQABgAIAAAAIQDxAjfKlwIAAK0FAAAOAAAAAAAAAAAAAAAAAC4CAABkcnMvZTJv&#10;RG9jLnhtbFBLAQItABQABgAIAAAAIQAuGJ724QAAAAoBAAAPAAAAAAAAAAAAAAAAAPEEAABkcnMv&#10;ZG93bnJldi54bWxQSwUGAAAAAAQABADzAAAA/wUAAAAA&#10;" fillcolor="white [3201]" stroked="f" strokeweight=".5pt">
                <v:path arrowok="t"/>
                <v:textbox>
                  <w:txbxContent>
                    <w:p w14:paraId="7B974F31" w14:textId="77777777" w:rsidR="00CC25D3" w:rsidRDefault="00CC25D3" w:rsidP="00717A6C">
                      <w:pPr>
                        <w:spacing w:after="0"/>
                      </w:pPr>
                      <w:r>
                        <w:t>Parliamentary companies  (double account, e.g. Railways Act 1868)</w:t>
                      </w:r>
                    </w:p>
                  </w:txbxContent>
                </v:textbox>
              </v:shape>
            </w:pict>
          </mc:Fallback>
        </mc:AlternateContent>
      </w:r>
      <w:r>
        <w:rPr>
          <w:noProof/>
          <w:lang w:val="en-AU" w:eastAsia="en-AU"/>
        </w:rPr>
        <mc:AlternateContent>
          <mc:Choice Requires="wps">
            <w:drawing>
              <wp:anchor distT="0" distB="0" distL="114300" distR="114300" simplePos="0" relativeHeight="251700224" behindDoc="0" locked="0" layoutInCell="1" allowOverlap="1" wp14:anchorId="0A576F6A" wp14:editId="5759F4E6">
                <wp:simplePos x="0" y="0"/>
                <wp:positionH relativeFrom="column">
                  <wp:posOffset>1635125</wp:posOffset>
                </wp:positionH>
                <wp:positionV relativeFrom="paragraph">
                  <wp:posOffset>290195</wp:posOffset>
                </wp:positionV>
                <wp:extent cx="1019810" cy="1177925"/>
                <wp:effectExtent l="0" t="0" r="889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9810" cy="1177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19863F" w14:textId="77777777" w:rsidR="00CC25D3" w:rsidRDefault="00CC25D3" w:rsidP="00717A6C">
                            <w:pPr>
                              <w:spacing w:after="0"/>
                            </w:pPr>
                            <w:r>
                              <w:t>Monasteries, Aristocratic estates</w:t>
                            </w:r>
                            <w:r>
                              <w:tab/>
                            </w:r>
                          </w:p>
                          <w:p w14:paraId="763FDD26" w14:textId="77777777" w:rsidR="00CC25D3" w:rsidRDefault="00CC25D3" w:rsidP="00717A6C">
                            <w:pPr>
                              <w:spacing w:after="0"/>
                            </w:pPr>
                            <w:r>
                              <w:t>(charge/</w:t>
                            </w:r>
                          </w:p>
                          <w:p w14:paraId="0B13F8D6" w14:textId="77777777" w:rsidR="00CC25D3" w:rsidRDefault="00CC25D3" w:rsidP="00717A6C">
                            <w:pPr>
                              <w:spacing w:after="0"/>
                            </w:pPr>
                            <w:r>
                              <w:t>discharge)</w:t>
                            </w:r>
                          </w:p>
                          <w:p w14:paraId="183DF14D" w14:textId="77777777" w:rsidR="00CC25D3" w:rsidRDefault="00CC25D3" w:rsidP="00717A6C">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76F6A" id="Text Box 13" o:spid="_x0000_s1035" type="#_x0000_t202" style="position:absolute;margin-left:128.75pt;margin-top:22.85pt;width:80.3pt;height:9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zQklgIAAK0FAAAOAAAAZHJzL2Uyb0RvYy54bWysVE1v2zAMvQ/YfxB0Xx2nnwnqFFmLDgOC&#10;tlg79KzIUmNUEjVJiZ39+lGSnaZdLx12sSnxkRTJR55fdFqRjXC+AVPR8mBEiTAc6sY8VfTnw/WX&#10;M0p8YKZmCoyo6FZ4ejH7/Om8tVMxhhWoWjiCToyftraiqxDstCg8XwnN/AFYYVApwWkW8Oieitqx&#10;Fr1rVYxHo5OiBVdbB1x4j7dXWUlnyb+UgodbKb0IRFUU3xbS16XvMn6L2TmbPjlmVw3vn8H+4RWa&#10;NQaD7lxdscDI2jV/udINd+BBhgMOugApGy5SDphNOXqTzf2KWZFyweJ4uyuT/39u+c3mzpGmxt4d&#10;UmKYxh49iC6Qr9ARvML6tNZPEXZvERg6vEdsytXbBfBnj5BiD5MNPKJjPTrpdPxjpgQNsQXbXdlj&#10;GB69jcrJWYkqjrqyPD2djI9j4OLF3DofvgnQJAoVddjX9AS2WfiQoQMkRvOgmvq6USodIpfEpXJk&#10;w5AFKpS981coZUhb0ZPD41FybCCaZ8/KRDcisakPF/PNKSYpbJWIGGV+CInVTJm+E5txLswufkJH&#10;lMRQHzHs8S+v+ohxzgMtUmQwYWesGwMud/Z1yernoWQy4/uO+5x3LEHoll2i0WSgzBLqLTLGQZ45&#10;b/l1g81bMB/umMMhw4bj4gi3+JEKsPjQS5SswP1+7z7ikfuopaTFoa2o/7VmTlCivhucikl5dBSn&#10;PB2Ojk/HeHD7muW+xqz1JSAjSlxRlicx4oMaROlAP+J+mceoqGKGY+yKhkG8DHmV4H7iYj5PIJxr&#10;y8LC3Fs+DEqk5kP3yJzt+RuQ+jcwjDebvqFxxsb+GJivA8gmcTzWOVe1rz/uhDQl/f6KS2f/nFAv&#10;W3b2BwAA//8DAFBLAwQUAAYACAAAACEA6EjCzuAAAAAKAQAADwAAAGRycy9kb3ducmV2LnhtbEyP&#10;MU/DMBCFdyT+g3VILBV1HBpahTgVQlRqhw4Elm5ufCQR8TmK3Tb8e46Jjqf36b3vivXkenHGMXSe&#10;NKh5AgKp9rajRsPnx+ZhBSJEQ9b0nlDDDwZYl7c3hcmtv9A7nqvYCC6hkBsNbYxDLmWoW3QmzP2A&#10;xNmXH52JfI6NtKO5cLnrZZokT9KZjnihNQO+tlh/VyenYR8O29lh3G5mVbByh7h/26mo9f3d9PIM&#10;IuIU/2H402d1KNnp6E9kg+g1pNkyY1TDIluCYGChVgrEkZNHlYIsC3n9QvkLAAD//wMAUEsBAi0A&#10;FAAGAAgAAAAhALaDOJL+AAAA4QEAABMAAAAAAAAAAAAAAAAAAAAAAFtDb250ZW50X1R5cGVzXS54&#10;bWxQSwECLQAUAAYACAAAACEAOP0h/9YAAACUAQAACwAAAAAAAAAAAAAAAAAvAQAAX3JlbHMvLnJl&#10;bHNQSwECLQAUAAYACAAAACEAta80JJYCAACtBQAADgAAAAAAAAAAAAAAAAAuAgAAZHJzL2Uyb0Rv&#10;Yy54bWxQSwECLQAUAAYACAAAACEA6EjCzuAAAAAKAQAADwAAAAAAAAAAAAAAAADwBAAAZHJzL2Rv&#10;d25yZXYueG1sUEsFBgAAAAAEAAQA8wAAAP0FAAAAAA==&#10;" fillcolor="white [3201]" stroked="f" strokeweight=".5pt">
                <v:path arrowok="t"/>
                <v:textbox>
                  <w:txbxContent>
                    <w:p w14:paraId="2819863F" w14:textId="77777777" w:rsidR="00CC25D3" w:rsidRDefault="00CC25D3" w:rsidP="00717A6C">
                      <w:pPr>
                        <w:spacing w:after="0"/>
                      </w:pPr>
                      <w:r>
                        <w:t>Monasteries, Aristocratic estates</w:t>
                      </w:r>
                      <w:r>
                        <w:tab/>
                      </w:r>
                    </w:p>
                    <w:p w14:paraId="763FDD26" w14:textId="77777777" w:rsidR="00CC25D3" w:rsidRDefault="00CC25D3" w:rsidP="00717A6C">
                      <w:pPr>
                        <w:spacing w:after="0"/>
                      </w:pPr>
                      <w:r>
                        <w:t>(charge/</w:t>
                      </w:r>
                    </w:p>
                    <w:p w14:paraId="0B13F8D6" w14:textId="77777777" w:rsidR="00CC25D3" w:rsidRDefault="00CC25D3" w:rsidP="00717A6C">
                      <w:pPr>
                        <w:spacing w:after="0"/>
                      </w:pPr>
                      <w:r>
                        <w:t>discharge)</w:t>
                      </w:r>
                    </w:p>
                    <w:p w14:paraId="183DF14D" w14:textId="77777777" w:rsidR="00CC25D3" w:rsidRDefault="00CC25D3" w:rsidP="00717A6C">
                      <w:pPr>
                        <w:spacing w:line="240" w:lineRule="auto"/>
                      </w:pPr>
                    </w:p>
                  </w:txbxContent>
                </v:textbox>
              </v:shape>
            </w:pict>
          </mc:Fallback>
        </mc:AlternateContent>
      </w:r>
      <w:r>
        <w:rPr>
          <w:noProof/>
          <w:lang w:val="en-AU" w:eastAsia="en-AU"/>
        </w:rPr>
        <mc:AlternateContent>
          <mc:Choice Requires="wps">
            <w:drawing>
              <wp:anchor distT="0" distB="0" distL="114300" distR="114300" simplePos="0" relativeHeight="251692032" behindDoc="0" locked="0" layoutInCell="1" allowOverlap="1" wp14:anchorId="3114F429" wp14:editId="0BE7878A">
                <wp:simplePos x="0" y="0"/>
                <wp:positionH relativeFrom="column">
                  <wp:posOffset>87630</wp:posOffset>
                </wp:positionH>
                <wp:positionV relativeFrom="paragraph">
                  <wp:posOffset>290195</wp:posOffset>
                </wp:positionV>
                <wp:extent cx="1037590" cy="1406525"/>
                <wp:effectExtent l="0" t="0" r="10160"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7590" cy="1406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38708B" w14:textId="77777777" w:rsidR="00CC25D3" w:rsidRDefault="00CC25D3" w:rsidP="00717A6C">
                            <w:r w:rsidRPr="004E7D41">
                              <w:rPr>
                                <w:sz w:val="22"/>
                                <w:szCs w:val="22"/>
                              </w:rPr>
                              <w:t>INCOME AND CAPITAL ARE SEPARATE FORMS OF</w:t>
                            </w:r>
                            <w:r>
                              <w:t xml:space="preserve"> </w:t>
                            </w:r>
                            <w:r w:rsidRPr="004E7D41">
                              <w:rPr>
                                <w:sz w:val="22"/>
                                <w:szCs w:val="22"/>
                              </w:rPr>
                              <w:t>WEALTH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114F429" id="Text Box 3" o:spid="_x0000_s1036" type="#_x0000_t202" style="position:absolute;margin-left:6.9pt;margin-top:22.85pt;width:81.7pt;height:11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IhnwIAANQFAAAOAAAAZHJzL2Uyb0RvYy54bWysVMlu2zAQvRfoPxC8N5K8JI0ROXATpChg&#10;JEGdImeaImMiFIclaUvu13dIyUuWS4peJJLzZnuzXFy2tSYb4bwCU9LiJKdEGA6VMk8l/fVw8+Ur&#10;JT4wUzENRpR0Kzy9nH7+dNHYiRjACnQlHEEjxk8aW9JVCHaSZZ6vRM38CVhhUCjB1Szg1T1llWMN&#10;Wq91Nsjz06wBV1kHXHiPr9edkE6TfSkFD3dSehGILinGFtLXpe8yfrPpBZs8OWZXivdhsH+IombK&#10;oNO9qWsWGFk79cZUrbgDDzKccKgzkFJxkXLAbIr8VTaLFbMi5YLkeLunyf8/s/x2c++Iqko6pMSw&#10;Gkv0INpAvkFLhpGdxvoJghYWYaHFZ6xyytTbOfBnj5DsCNMpeERHNlrp6vjHPAkqYgG2e9KjFx6t&#10;5cOz8TmKOMqKUX46Hoyj4+ygbp0P3wXUJB5K6rCqKQS2mfvQQXeQ6M2DVtWN0jpdYieJK+3IhmEP&#10;6FD0xl+gtCFNSU+H47zL7dhCNL3XX2rGn99awGC1ie5E6rk+rMhLR0U6ha0WEaPNTyGR88TIOzEy&#10;zoXZx5nQESUxo48o9vhDVB9R7vJAjeQZTNgr18qA61h6SW31vKNWdvi+M3yXd6QgtMs2NVuRJi8+&#10;LaHaYms56EbTW36jkPA58+GeOZxF7AzcL+EOP1IDVgn6EyUrcH/ee494HBGUUtLgbJfU/14zJyjR&#10;PwwOz3kxGsVlkC6j8dkAL+5YsjyWmHV9Bdg6BW4yy9Mx4oPeHaWD+hHX0Cx6RREzHH2XNOyOV6Hb&#10;OLjGuJjNEgjH37IwNwvLdxMVG+2hfWTO9o0ecEZuYbcF2ORVv3fYWCADs3UAqdIwHFjtC4CrI41T&#10;v+bibjq+J9RhGU//AgAA//8DAFBLAwQUAAYACAAAACEA3sdRXOAAAAAJAQAADwAAAGRycy9kb3du&#10;cmV2LnhtbEyPwU7DMBBE70j8g7VI3KhDoE0V4lQVAgkJ5dAU1B7deB1Hje0odtvw92xPcJvRrGbe&#10;FqvJ9uyMY+i8E/A4S4Cha7zqXCvga/v+sAQWonRK9t6hgB8MsCpvbwqZK39xGzzXsWVU4kIuBZgY&#10;h5zz0Bi0Msz8gI4y7UcrI9mx5WqUFyq3PU+TZMGt7BwtGDngq8HmWJ+sAKX19jg3H3rzudP77+qt&#10;Wu/rSoj7u2n9AiziFP+O4YpP6FAS08GfnAqsJ/9E5FHA8zwDds2zLAV2EJAuSPCy4P8/KH8BAAD/&#10;/wMAUEsBAi0AFAAGAAgAAAAhALaDOJL+AAAA4QEAABMAAAAAAAAAAAAAAAAAAAAAAFtDb250ZW50&#10;X1R5cGVzXS54bWxQSwECLQAUAAYACAAAACEAOP0h/9YAAACUAQAACwAAAAAAAAAAAAAAAAAvAQAA&#10;X3JlbHMvLnJlbHNQSwECLQAUAAYACAAAACEAVCoCIZ8CAADUBQAADgAAAAAAAAAAAAAAAAAuAgAA&#10;ZHJzL2Uyb0RvYy54bWxQSwECLQAUAAYACAAAACEA3sdRXOAAAAAJAQAADwAAAAAAAAAAAAAAAAD5&#10;BAAAZHJzL2Rvd25yZXYueG1sUEsFBgAAAAAEAAQA8wAAAAYGAAAAAA==&#10;" fillcolor="white [3201]" strokeweight=".5pt">
                <v:path arrowok="t"/>
                <v:textbox>
                  <w:txbxContent>
                    <w:p w14:paraId="2138708B" w14:textId="77777777" w:rsidR="00CC25D3" w:rsidRDefault="00CC25D3" w:rsidP="00717A6C">
                      <w:r w:rsidRPr="004E7D41">
                        <w:rPr>
                          <w:sz w:val="22"/>
                          <w:szCs w:val="22"/>
                        </w:rPr>
                        <w:t>INCOME AND CAPITAL ARE SEPARATE FORMS OF</w:t>
                      </w:r>
                      <w:r>
                        <w:t xml:space="preserve"> </w:t>
                      </w:r>
                      <w:r w:rsidRPr="004E7D41">
                        <w:rPr>
                          <w:sz w:val="22"/>
                          <w:szCs w:val="22"/>
                        </w:rPr>
                        <w:t>WEALTH</w:t>
                      </w:r>
                    </w:p>
                  </w:txbxContent>
                </v:textbox>
              </v:shape>
            </w:pict>
          </mc:Fallback>
        </mc:AlternateContent>
      </w:r>
    </w:p>
    <w:p w14:paraId="61593152" w14:textId="77777777" w:rsidR="00717A6C" w:rsidRPr="00344788" w:rsidRDefault="007A5064" w:rsidP="00717A6C">
      <w:r>
        <w:rPr>
          <w:noProof/>
          <w:lang w:val="en-AU" w:eastAsia="en-AU"/>
        </w:rPr>
        <mc:AlternateContent>
          <mc:Choice Requires="wps">
            <w:drawing>
              <wp:anchor distT="0" distB="0" distL="114300" distR="114300" simplePos="0" relativeHeight="251706368" behindDoc="0" locked="0" layoutInCell="1" allowOverlap="1" wp14:anchorId="4C4766EA" wp14:editId="6A43F82C">
                <wp:simplePos x="0" y="0"/>
                <wp:positionH relativeFrom="column">
                  <wp:posOffset>5723255</wp:posOffset>
                </wp:positionH>
                <wp:positionV relativeFrom="paragraph">
                  <wp:posOffset>233680</wp:posOffset>
                </wp:positionV>
                <wp:extent cx="981710" cy="285750"/>
                <wp:effectExtent l="0" t="0" r="889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71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8E84F" w14:textId="77777777" w:rsidR="00CC25D3" w:rsidRDefault="00CC25D3" w:rsidP="00717A6C">
                            <w:r>
                              <w:t>Companies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766EA" id="Text Box 21" o:spid="_x0000_s1037" type="#_x0000_t202" style="position:absolute;margin-left:450.65pt;margin-top:18.4pt;width:77.3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kplgIAAKwFAAAOAAAAZHJzL2Uyb0RvYy54bWysVEtPGzEQvlfqf7B8L5tNeYQVG5SCqCpF&#10;gAoVZ8drEwvb49pOdtNfz9i7CYFyoepl1/Z88/5mzs47o8la+KDA1rQ8GFEiLIdG2cea/rq/+jKh&#10;JERmG6bBippuRKDn08+fzlpXiTEsQTfCEzRiQ9W6mi5jdFVRBL4UhoUDcMKiUII3LOLVPxaNZy1a&#10;N7oYj0bHRQu+cR64CAFfL3shnWb7Ugoeb6QMIhJdU4wt5q/P30X6FtMzVj165paKD2Gwf4jCMGXR&#10;6c7UJYuMrLz6y5RR3EMAGQ84mAKkVFzkHDCbcvQmm7slcyLngsUJblem8P/M8uv1rSeqqem4pMQy&#10;gz26F10k36Aj+IT1aV2oEHbnEBg7fMc+51yDmwN/Cggp9jC9QkB0qkcnvUl/zJSgIrZgsyt7csPx&#10;8XRSnpQo4SgaT45OjnJbihdl50P8LsCQdKipx67mANh6HmJyz6otJPkKoFVzpbTOl8QkcaE9WTPk&#10;gI45J9R4hdKWtDU9/oquk5KFpN5b1ja9iMylwV3Ktk8wn+JGi4TR9qeQWMuc5zu+GefC7vxndEJJ&#10;dPURxQH/EtVHlPs8UCN7Bht3ykZZ8H1fX5esedqWTPb4od+hzzuVIHaLLpOo3DFmAc0GCeOhH7ng&#10;+JXC7s1ZiLfM44xhw3FvxBv8SA1YfRhOlCzB/3nvPeGR+iilpMWZrWn4vWJeUKJ/WByK0/LwMA15&#10;vhwenYzx4vcli32JXZkLQEog7zG6fEz4qLdH6cE84HqZJa8oYpaj75rG7fEi9psE1xMXs1kG4Vg7&#10;Fuf2zvHtnCRu3ncPzLuBwBGZfw3b6WbVGx732NQgC7NVBKkyyVOh+6oODcCVkLk/rK+0c/bvGfWy&#10;ZKfPAAAA//8DAFBLAwQUAAYACAAAACEACOIlWeAAAAAKAQAADwAAAGRycy9kb3ducmV2LnhtbEyP&#10;MW/CMBCF90r9D9ZV6oKKnSJQCLmgqioSDAxNu7CZ+EiixucoNpD++5qpjKf79N738vVoO3GhwbeO&#10;EZKpAkFcOdNyjfD9tXlJQfig2ejOMSH8kod18fiQ68y4K3/SpQy1iCHsM43QhNBnUvqqIav91PXE&#10;8Xdyg9UhnkMtzaCvMdx28lWphbS65djQ6J7eG6p+yrNF2PvDdnIYtptJ6Y3cEe0/dklAfH4a31Yg&#10;Ao3hH4abflSHIjod3ZmNFx3CUiWziCLMFnHCDVDz+RLEESFNUpBFLu8nFH8AAAD//wMAUEsBAi0A&#10;FAAGAAgAAAAhALaDOJL+AAAA4QEAABMAAAAAAAAAAAAAAAAAAAAAAFtDb250ZW50X1R5cGVzXS54&#10;bWxQSwECLQAUAAYACAAAACEAOP0h/9YAAACUAQAACwAAAAAAAAAAAAAAAAAvAQAAX3JlbHMvLnJl&#10;bHNQSwECLQAUAAYACAAAACEA6aG5KZYCAACsBQAADgAAAAAAAAAAAAAAAAAuAgAAZHJzL2Uyb0Rv&#10;Yy54bWxQSwECLQAUAAYACAAAACEACOIlWeAAAAAKAQAADwAAAAAAAAAAAAAAAADwBAAAZHJzL2Rv&#10;d25yZXYueG1sUEsFBgAAAAAEAAQA8wAAAP0FAAAAAA==&#10;" fillcolor="white [3201]" stroked="f" strokeweight=".5pt">
                <v:path arrowok="t"/>
                <v:textbox>
                  <w:txbxContent>
                    <w:p w14:paraId="4238E84F" w14:textId="77777777" w:rsidR="00CC25D3" w:rsidRDefault="00CC25D3" w:rsidP="00717A6C">
                      <w:r>
                        <w:t>Companies</w:t>
                      </w:r>
                    </w:p>
                  </w:txbxContent>
                </v:textbox>
              </v:shape>
            </w:pict>
          </mc:Fallback>
        </mc:AlternateContent>
      </w:r>
      <w:r>
        <w:rPr>
          <w:noProof/>
          <w:lang w:val="en-AU" w:eastAsia="en-AU"/>
        </w:rPr>
        <mc:AlternateContent>
          <mc:Choice Requires="wps">
            <w:drawing>
              <wp:anchor distT="0" distB="0" distL="114300" distR="114300" simplePos="0" relativeHeight="251719680" behindDoc="0" locked="0" layoutInCell="1" allowOverlap="1" wp14:anchorId="4C948FAB" wp14:editId="7A586B3C">
                <wp:simplePos x="0" y="0"/>
                <wp:positionH relativeFrom="column">
                  <wp:posOffset>7473315</wp:posOffset>
                </wp:positionH>
                <wp:positionV relativeFrom="paragraph">
                  <wp:posOffset>234315</wp:posOffset>
                </wp:positionV>
                <wp:extent cx="1019810" cy="285750"/>
                <wp:effectExtent l="0" t="0" r="889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981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C4C1C" w14:textId="77777777" w:rsidR="00CC25D3" w:rsidRDefault="00CC25D3" w:rsidP="00717A6C">
                            <w:r>
                              <w:t>Companies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C948FAB" id="Text Box 30" o:spid="_x0000_s1038" type="#_x0000_t202" style="position:absolute;margin-left:588.45pt;margin-top:18.45pt;width:80.3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50jmQIAAK0FAAAOAAAAZHJzL2Uyb0RvYy54bWysVE1v2zAMvQ/YfxB0Xx2nX6kRp8hadBgQ&#10;tMXaoWdFlhKhsqhJSuzs14+S7TTteumwiy2Jj3wi+cTpZVtrshXOKzAlzY9GlAjDoVJmVdKfjzdf&#10;JpT4wEzFNBhR0p3w9HL2+dO0sYUYwxp0JRzBIMYXjS3pOgRbZJnna1EzfwRWGDRKcDULuHWrrHKs&#10;wei1zsaj0VnWgKusAy68x9PrzkhnKb6Ugoc7Kb0IRJcU7xbS16XvMn6z2ZQVK8fsWvH+GuwfblEz&#10;ZZB0H+qaBUY2Tv0VqlbcgQcZjjjUGUipuEg5YDb56E02D2tmRcoFi+Ptvkz+/4Xlt9t7R1RV0mMs&#10;j2E19uhRtIF8hZbgEdansb5A2INFYGjxHPuccvV2AfzZIyQ7wHQOHtGxHq10dfxjpgQdkWO3L3uk&#10;4THaKL+Y5GjiaBtPTs9PE2/24m2dD98E1CQuSuqwrekGbLvwIfKzYoBEMg9aVTdK67SJUhJX2pEt&#10;QxHokMek0OMVShvSlPTsGKmjk4Ho3uG0iSciiamni+l2GaZV2GkRMdr8EBKLmRJ9h5txLsyeP6Ej&#10;SiLVRxx7/MutPuLc5YEeiRlM2DvXyoDrGvu6ZNXzUDLZ4fuG+y7vWILQLtukonw8SGYJ1Q4V46B7&#10;c97yG4XdWzAf7pnDR4YNx8ER7vAjNWD1oV9Rsgb3+73ziEfto5WSBh9tSf2vDXOCEv3d4Ku4yE9O&#10;MGxIm5PT8zFu3KFleWgxm/oKUBI5jijL0zLigx6W0kH9hPNlHlnRxAxH7pKGYXkVulGC84mL+TyB&#10;8F1bFhbmwfLhoURtPrZPzNlewAGlfwvD82bFGx132NggA/NNAKmSyGOhu6r2DcCZkJTcz684dA73&#10;CfUyZWd/AAAA//8DAFBLAwQUAAYACAAAACEAsvmKa+AAAAALAQAADwAAAGRycy9kb3ducmV2Lnht&#10;bEyPTU/DMAyG70j8h8hIXCaWlop9lKYTQkzaDjtQuOyWNaataJwqybby73FPcLJe+dHrx8VmtL24&#10;oA+dIwXpPAGBVDvTUaPg82P7sAIRoiaje0eo4AcDbMrbm0Lnxl3pHS9VbASXUMi1gjbGIZcy1C1a&#10;HeZuQOLdl/NWR46+kcbrK5fbXj4myUJa3RFfaPWAry3W39XZKjiE42529LvtrApG7hEPb/s0KnV/&#10;N748g4g4xj8YJn1Wh5KdTu5MJoiec7pcrJlVkE1zIrJs+QTipGCVrkGWhfz/Q/kLAAD//wMAUEsB&#10;Ai0AFAAGAAgAAAAhALaDOJL+AAAA4QEAABMAAAAAAAAAAAAAAAAAAAAAAFtDb250ZW50X1R5cGVz&#10;XS54bWxQSwECLQAUAAYACAAAACEAOP0h/9YAAACUAQAACwAAAAAAAAAAAAAAAAAvAQAAX3JlbHMv&#10;LnJlbHNQSwECLQAUAAYACAAAACEALRedI5kCAACtBQAADgAAAAAAAAAAAAAAAAAuAgAAZHJzL2Uy&#10;b0RvYy54bWxQSwECLQAUAAYACAAAACEAsvmKa+AAAAALAQAADwAAAAAAAAAAAAAAAADzBAAAZHJz&#10;L2Rvd25yZXYueG1sUEsFBgAAAAAEAAQA8wAAAAAGAAAAAA==&#10;" fillcolor="white [3201]" stroked="f" strokeweight=".5pt">
                <v:path arrowok="t"/>
                <v:textbox>
                  <w:txbxContent>
                    <w:p w14:paraId="356C4C1C" w14:textId="77777777" w:rsidR="00CC25D3" w:rsidRDefault="00CC25D3" w:rsidP="00717A6C">
                      <w:r>
                        <w:t>Companies</w:t>
                      </w:r>
                    </w:p>
                  </w:txbxContent>
                </v:textbox>
              </v:shape>
            </w:pict>
          </mc:Fallback>
        </mc:AlternateContent>
      </w:r>
    </w:p>
    <w:p w14:paraId="35C5F952" w14:textId="77777777" w:rsidR="00717A6C" w:rsidRDefault="007A5064" w:rsidP="00717A6C">
      <w:r>
        <w:rPr>
          <w:noProof/>
          <w:lang w:val="en-AU" w:eastAsia="en-AU"/>
        </w:rPr>
        <mc:AlternateContent>
          <mc:Choice Requires="wps">
            <w:drawing>
              <wp:anchor distT="0" distB="0" distL="114300" distR="114300" simplePos="0" relativeHeight="251724800" behindDoc="0" locked="0" layoutInCell="1" allowOverlap="1" wp14:anchorId="2D16CE04" wp14:editId="5EEA349C">
                <wp:simplePos x="0" y="0"/>
                <wp:positionH relativeFrom="column">
                  <wp:posOffset>4923790</wp:posOffset>
                </wp:positionH>
                <wp:positionV relativeFrom="paragraph">
                  <wp:posOffset>81915</wp:posOffset>
                </wp:positionV>
                <wp:extent cx="738505" cy="8890"/>
                <wp:effectExtent l="0" t="76200" r="23495" b="10541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8505" cy="88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312FF55" id="Straight Arrow Connector 28" o:spid="_x0000_s1026" type="#_x0000_t32" style="position:absolute;margin-left:387.7pt;margin-top:6.45pt;width:58.15pt;height:.7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4U6QEAACcEAAAOAAAAZHJzL2Uyb0RvYy54bWysU02P0zAQvSPxHyzfadKihRI1XaEucFnB&#10;agvcvY7dWNgea2ya9N8zdtosX0ICcbFiz7yZ995MNtejs+yoMBrwLV8uas6Ul9AZf2j5p49vn605&#10;i0n4TljwquUnFfn19umTzRAatYIebKeQUREfmyG0vE8pNFUVZa+ciAsIylNQAzqR6IqHqkMxUHVn&#10;q1Vdv6gGwC4gSBUjvd5MQb4t9bVWMn3QOqrEbMuJWyonlvMhn9V2I5oDitAbeaYh/oGFE8ZT07nU&#10;jUiCfUXzSylnJEIEnRYSXAVaG6mKBlKzrH9Ss+9FUEULmRPDbFP8f2Xl++MdMtO1fEWT8sLRjPYJ&#10;hTn0ib1GhIHtwHvyEZBRCvk1hNgQbOfvMCuWo9+HW5BfIsWqH4L5EsOUNmp0TFsTPtOaFKtIPBvL&#10;JE7zJNSYmKTHl8/XV/UVZ5JC6/WrMqdKNLlI7hkwpncKHMsfLY9nwjPTqYE43saUST0CMtj6fCZh&#10;7BvfsXQKJFlkpVkc5eZ40TFRLyLSyaoJe6802UUUpx5lUdXOIjsKWjEhpfJpOVei7AzTxtoZWBf1&#10;fwSe8zNUlSX+G/CMKJ3BpxnsjAf8Xfc0XijrKf/iwKQ7W/AA3ekOLyOmbSxenf+cvO7f3wv88f/e&#10;fgMAAP//AwBQSwMEFAAGAAgAAAAhAJkL9EPdAAAACQEAAA8AAABkcnMvZG93bnJldi54bWxMj8FO&#10;wzAMhu9IvENkJG4s3RhrV5pOZQKExInCA2SNaaslTtVka/f2mBMc7f/T78/FbnZWnHEMvScFy0UC&#10;AqnxpqdWwdfny10GIkRNRltPqOCCAXbl9VWhc+Mn+sBzHVvBJRRyraCLccilDE2HToeFH5A4+/aj&#10;05HHsZVm1BOXOytXSbKRTvfEFzo94L7D5lifnIIqk+90vOzTUL81G2On+fm1elLq9mauHkFEnOMf&#10;DL/6rA4lOx38iUwQVkGaPqwZ5WC1BcFAtl2mIA68WN+DLAv5/4PyBwAA//8DAFBLAQItABQABgAI&#10;AAAAIQC2gziS/gAAAOEBAAATAAAAAAAAAAAAAAAAAAAAAABbQ29udGVudF9UeXBlc10ueG1sUEsB&#10;Ai0AFAAGAAgAAAAhADj9If/WAAAAlAEAAAsAAAAAAAAAAAAAAAAALwEAAF9yZWxzLy5yZWxzUEsB&#10;Ai0AFAAGAAgAAAAhAMy+3hTpAQAAJwQAAA4AAAAAAAAAAAAAAAAALgIAAGRycy9lMm9Eb2MueG1s&#10;UEsBAi0AFAAGAAgAAAAhAJkL9EPdAAAACQEAAA8AAAAAAAAAAAAAAAAAQwQAAGRycy9kb3ducmV2&#10;LnhtbFBLBQYAAAAABAAEAPMAAABNBQAAAAA=&#10;" strokecolor="#4579b8 [3044]">
                <v:stroke endarrow="open"/>
                <o:lock v:ext="edit" shapetype="f"/>
              </v:shape>
            </w:pict>
          </mc:Fallback>
        </mc:AlternateContent>
      </w:r>
      <w:r>
        <w:rPr>
          <w:noProof/>
          <w:lang w:val="en-AU" w:eastAsia="en-AU"/>
        </w:rPr>
        <mc:AlternateContent>
          <mc:Choice Requires="wps">
            <w:drawing>
              <wp:anchor distT="4294967295" distB="4294967295" distL="114300" distR="114300" simplePos="0" relativeHeight="251718656" behindDoc="0" locked="0" layoutInCell="1" allowOverlap="1" wp14:anchorId="59F1379C" wp14:editId="15EF4DF1">
                <wp:simplePos x="0" y="0"/>
                <wp:positionH relativeFrom="column">
                  <wp:posOffset>6637655</wp:posOffset>
                </wp:positionH>
                <wp:positionV relativeFrom="paragraph">
                  <wp:posOffset>72389</wp:posOffset>
                </wp:positionV>
                <wp:extent cx="765810" cy="0"/>
                <wp:effectExtent l="0" t="76200" r="15240" b="1143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58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BBEE68" id="Straight Arrow Connector 29" o:spid="_x0000_s1026" type="#_x0000_t32" style="position:absolute;margin-left:522.65pt;margin-top:5.7pt;width:60.3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1kH3QEAABoEAAAOAAAAZHJzL2Uyb0RvYy54bWysU9uO0zAQfUfiHyy/0zSVWJao6Qp1gZcV&#10;VBQ+YNaxGwvfNDZN+veMnSZchQTiZRR75sycczzZ3o3WsLPEqL1reb1acyad8J12p5Z/+vjm2S1n&#10;MYHrwHgnW36Rkd/tnj7ZDqGRG99700lk1MTFZggt71MKTVVF0UsLceWDdJRUHi0kOuKp6hAG6m5N&#10;tVmvb6rBYxfQCxkj3d5PSb4r/ZWSIr1XKsrETMuJWyoRS3zMsdptoTkhhF6LKw34BxYWtKOhS6t7&#10;SMC+oP6lldUCffQqrYS3lVdKC1k0kJp6/ZOaYw9BFi1kTgyLTfH/tRXvzgdkumv55iVnDiy90TEh&#10;6FOf2CtEP7C9d4589MiohPwaQmwItncHzIrF6I7hwYvPkXLVD8l8iGEqGxXaXE6S2Vj8vyz+yzEx&#10;QZcvbp7f1vRKYk5V0My4gDG9ld6y/NHyeOW4kKuL/XB+iCnzgGYG5KHG5ZhAm9euY+kSSCVkcVkP&#10;1eZ8oT6xLbzTxcgJ+0Eqcoj4TTPKbsq9QXYG2ioQQrpUL52oOsOUNmYBrgu5PwKv9Rkqy97+DXhB&#10;lMnepQVstfP4u+lpnCmrqX52YNKdLXj03eWA86vSAhavrj9L3vDvzwX+7ZfefQUAAP//AwBQSwME&#10;FAAGAAgAAAAhAJKDICfdAAAACwEAAA8AAABkcnMvZG93bnJldi54bWxMj0FPwzAMhe9I/IfISNxY&#10;WtgqVppOiIkLl8GYOHut11Q0TtVka+HX44kD3Pzsp+fvFavJdepEQ2g9G0hnCSjiytctNwZ27883&#10;96BCRK6x80wGvijAqry8KDCv/chvdNrGRkkIhxwN2Bj7XOtQWXIYZr4nltvBDw6jyKHR9YCjhLtO&#10;3yZJph22LB8s9vRkqfrcHp2BZXi1MdgPWh82abb5xmb9shuNub6aHh9ARZrinxnO+IIOpTDt/ZHr&#10;oDrRyXxxJ16Z0jmosyPNFktQ+9+NLgv9v0P5AwAA//8DAFBLAQItABQABgAIAAAAIQC2gziS/gAA&#10;AOEBAAATAAAAAAAAAAAAAAAAAAAAAABbQ29udGVudF9UeXBlc10ueG1sUEsBAi0AFAAGAAgAAAAh&#10;ADj9If/WAAAAlAEAAAsAAAAAAAAAAAAAAAAALwEAAF9yZWxzLy5yZWxzUEsBAi0AFAAGAAgAAAAh&#10;AJ7bWQfdAQAAGgQAAA4AAAAAAAAAAAAAAAAALgIAAGRycy9lMm9Eb2MueG1sUEsBAi0AFAAGAAgA&#10;AAAhAJKDICfdAAAACwEAAA8AAAAAAAAAAAAAAAAANwQAAGRycy9kb3ducmV2LnhtbFBLBQYAAAAA&#10;BAAEAPMAAABBBQAAAAA=&#10;" strokecolor="#4579b8 [3044]">
                <v:stroke endarrow="open"/>
                <o:lock v:ext="edit" shapetype="f"/>
              </v:shape>
            </w:pict>
          </mc:Fallback>
        </mc:AlternateContent>
      </w:r>
      <w:r>
        <w:rPr>
          <w:noProof/>
          <w:lang w:val="en-AU" w:eastAsia="en-AU"/>
        </w:rPr>
        <mc:AlternateContent>
          <mc:Choice Requires="wps">
            <w:drawing>
              <wp:anchor distT="0" distB="0" distL="114300" distR="114300" simplePos="0" relativeHeight="251716608" behindDoc="0" locked="0" layoutInCell="1" allowOverlap="1" wp14:anchorId="188DCA1B" wp14:editId="128F2017">
                <wp:simplePos x="0" y="0"/>
                <wp:positionH relativeFrom="column">
                  <wp:posOffset>2655570</wp:posOffset>
                </wp:positionH>
                <wp:positionV relativeFrom="paragraph">
                  <wp:posOffset>90170</wp:posOffset>
                </wp:positionV>
                <wp:extent cx="525780" cy="897255"/>
                <wp:effectExtent l="0" t="0" r="83820" b="5524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 cy="897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9912BC6" id="Straight Arrow Connector 35" o:spid="_x0000_s1026" type="#_x0000_t32" style="position:absolute;margin-left:209.1pt;margin-top:7.1pt;width:41.4pt;height:70.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yP5QEAAB8EAAAOAAAAZHJzL2Uyb0RvYy54bWysU9uO0zAQfUfiHyy/07RFZUvUdIW6wMsK&#10;Ksp+gNexGwvbY41Nk/49Y6cNV60E4mUUe+bMnHM82dwOzrKTwmjAN3wxm3OmvITW+GPDHz6/e7Hm&#10;LCbhW2HBq4afVeS32+fPNn2o1RI6sK1CRk18rPvQ8C6lUFdVlJ1yIs4gKE9JDehEoiMeqxZFT92d&#10;rZbz+auqB2wDglQx0u3dmOTb0l9rJdNHraNKzDacuKUSscTHHKvtRtRHFKEz8kJD/AMLJ4ynoVOr&#10;O5EE+4rmt1bOSIQIOs0kuAq0NlIVDaRmMf9FzaETQRUtZE4Mk03x/7WVH057ZKZt+MsVZ144eqND&#10;QmGOXWJvEKFnO/CefARkVEJ+9SHWBNv5PWbFcvCHcA/yS6Rc9VMyH2IYywaNLpeTZDYU/8+T/2pI&#10;TNLlarm6WdMrSUqtX98sV2VeJeorOGBM7xU4lj8aHi9EJ4aL8gbidB9TJiPqKyBPtj7HJIx961uW&#10;zoGkiqwwi6LanC/8R8qFfDpbNWI/KU02EclxRllQtbPIToJWS0ipfFpMnag6w7SxdgLOC7kngZf6&#10;DFVlef8GPCHKZPBpAjvjAf80PQ1Xynqsvzow6s4WPEJ73uP1aWkLi1eXPyav+Y/nAv/+X2+/AQAA&#10;//8DAFBLAwQUAAYACAAAACEAsNo3ft4AAAAKAQAADwAAAGRycy9kb3ducmV2LnhtbEyPQU/DMAyF&#10;70j8h8hI3FjaaZ1G13RCTFy4DMbE2Wu9plrjVE22Fn495gQny35Pz98rNpPr1JWG0Ho2kM4SUMSV&#10;r1tuDBw+Xh5WoEJErrHzTAa+KMCmvL0pMK/9yO903cdGSQiHHA3YGPtc61BZchhmvicW7eQHh1HW&#10;odH1gKOEu07Pk2SpHbYsHyz29GypOu8vzsBjeLMx2E/annbpcveNzfb1MBpzfzc9rUFFmuKfGX7x&#10;BR1KYTr6C9dBdQYW6WouVhEWMsWQJamUO8ohyzLQZaH/Vyh/AAAA//8DAFBLAQItABQABgAIAAAA&#10;IQC2gziS/gAAAOEBAAATAAAAAAAAAAAAAAAAAAAAAABbQ29udGVudF9UeXBlc10ueG1sUEsBAi0A&#10;FAAGAAgAAAAhADj9If/WAAAAlAEAAAsAAAAAAAAAAAAAAAAALwEAAF9yZWxzLy5yZWxzUEsBAi0A&#10;FAAGAAgAAAAhAPGkTI/lAQAAHwQAAA4AAAAAAAAAAAAAAAAALgIAAGRycy9lMm9Eb2MueG1sUEsB&#10;Ai0AFAAGAAgAAAAhALDaN37eAAAACgEAAA8AAAAAAAAAAAAAAAAAPwQAAGRycy9kb3ducmV2Lnht&#10;bFBLBQYAAAAABAAEAPMAAABKBQAAAAA=&#10;" strokecolor="#4579b8 [3044]">
                <v:stroke endarrow="open"/>
                <o:lock v:ext="edit" shapetype="f"/>
              </v:shape>
            </w:pict>
          </mc:Fallback>
        </mc:AlternateContent>
      </w:r>
      <w:r>
        <w:rPr>
          <w:noProof/>
          <w:lang w:val="en-AU" w:eastAsia="en-AU"/>
        </w:rPr>
        <mc:AlternateContent>
          <mc:Choice Requires="wps">
            <w:drawing>
              <wp:anchor distT="4294967292" distB="4294967292" distL="114300" distR="114300" simplePos="0" relativeHeight="251711488" behindDoc="0" locked="0" layoutInCell="1" allowOverlap="1" wp14:anchorId="17CEC143" wp14:editId="71D8F5F0">
                <wp:simplePos x="0" y="0"/>
                <wp:positionH relativeFrom="column">
                  <wp:posOffset>2655570</wp:posOffset>
                </wp:positionH>
                <wp:positionV relativeFrom="paragraph">
                  <wp:posOffset>81915</wp:posOffset>
                </wp:positionV>
                <wp:extent cx="905510" cy="8890"/>
                <wp:effectExtent l="0" t="76200" r="8890" b="10541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10" cy="889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538FF" id="Straight Arrow Connector 26" o:spid="_x0000_s1026" type="#_x0000_t32" style="position:absolute;margin-left:209.1pt;margin-top:6.45pt;width:71.3pt;height:.7pt;z-index:2517114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oMUgIAAKcEAAAOAAAAZHJzL2Uyb0RvYy54bWysVE2P0zAQvSPxHyzfu0lKWtpo09Uqabks&#10;UKnLD/DaTmPh2JbtNq0Q/52xkwYWLghxSf01b96bedP7h0sn0ZlbJ7QqcXaXYsQV1UyoY4m/PO9m&#10;K4ycJ4oRqRUv8ZU7/LB5++a+NwWf61ZLxi0CEOWK3pS49d4USeJoyzvi7rThCi4bbTviYWuPCbOk&#10;B/ROJvM0XSa9tsxYTblzcFoPl3gT8ZuGU/+5aRz3SJYYuPn4tfH7Er7J5p4UR0tMK+hIg/wDi44I&#10;BUknqJp4gk5W/AHVCWq1042/o7pLdNMIyqMGUJOlv6k5tMTwqAWK48xUJvf/YOmn894iwUo8X2Kk&#10;SAc9OnhLxLH16NFa3aNKKwV11BbBE6hXb1wBYZXa26CYXtTBPGn61SGlq5aoI4+8n68GsLIQkbwK&#10;CRtnIOtL/1EzeENOXsfiXRrbBUgoC7rEHl2nHvGLRxQO1+likUEnKVytVuvYwYQUt1Bjnf/AdYfC&#10;osRulDJpyGIicn5yPhAjxS0g5FV6J6SMlpAK9ZBsMV/EAKelYOEyPIvm5JW06EzAVoRSrvwALE8d&#10;aBrO14s0HQ0Gx2DD4fjGeEKJNF4lsPqkWKTRcsK249oTIWGNfCwsCb3BgWTHGUaSw/iF1aBKqkAU&#10;agY6x9Vgx2/rdL1dbVf5LJ8vt7M8revZ467KZ8td9n5Rv6urqs6+B81ZXrSCMa6C7NtoZPnfWW8c&#10;0sHU03BM9U1eo8cKANnbbyQdTRN8MjjuRbPr3gZ1wT8wDfHxOLlh3H7dx1c//182PwAAAP//AwBQ&#10;SwMEFAAGAAgAAAAhAHbmhoDeAAAACQEAAA8AAABkcnMvZG93bnJldi54bWxMj8FOwzAQRO9I/IO1&#10;lbhRJ6FEbYhTISouXAql4uzG2zhqvI5itwl8PcuJHnfmaXamXE+uExccQutJQTpPQCDV3rTUKNh/&#10;vt4vQYSoyejOEyr4xgDr6vam1IXxI33gZRcbwSEUCq3AxtgXUobaotNh7nsk9o5+cDryOTTSDHrk&#10;cNfJLEly6XRL/MHqHl8s1qfd2SlYhXcbg/3CzXGb5tsf3Wze9qNSd7Pp+QlExCn+w/BXn6tDxZ0O&#10;/kwmiE7BIl1mjLKRrUAw8JgnvOXAwuIBZFXK6wXVLwAAAP//AwBQSwECLQAUAAYACAAAACEAtoM4&#10;kv4AAADhAQAAEwAAAAAAAAAAAAAAAAAAAAAAW0NvbnRlbnRfVHlwZXNdLnhtbFBLAQItABQABgAI&#10;AAAAIQA4/SH/1gAAAJQBAAALAAAAAAAAAAAAAAAAAC8BAABfcmVscy8ucmVsc1BLAQItABQABgAI&#10;AAAAIQAEHXoMUgIAAKcEAAAOAAAAAAAAAAAAAAAAAC4CAABkcnMvZTJvRG9jLnhtbFBLAQItABQA&#10;BgAIAAAAIQB25oaA3gAAAAkBAAAPAAAAAAAAAAAAAAAAAKwEAABkcnMvZG93bnJldi54bWxQSwUG&#10;AAAAAAQABADzAAAAtwUAAAAA&#10;" strokecolor="#4579b8 [3044]">
                <v:stroke endarrow="open"/>
              </v:shape>
            </w:pict>
          </mc:Fallback>
        </mc:AlternateContent>
      </w:r>
    </w:p>
    <w:p w14:paraId="06FA932A" w14:textId="77777777" w:rsidR="00717A6C" w:rsidRPr="00344788" w:rsidRDefault="007A5064" w:rsidP="00717A6C">
      <w:pPr>
        <w:tabs>
          <w:tab w:val="left" w:pos="13237"/>
        </w:tabs>
      </w:pPr>
      <w:r>
        <w:rPr>
          <w:noProof/>
          <w:lang w:val="en-AU" w:eastAsia="en-AU"/>
        </w:rPr>
        <mc:AlternateContent>
          <mc:Choice Requires="wps">
            <w:drawing>
              <wp:anchor distT="0" distB="0" distL="114300" distR="114300" simplePos="0" relativeHeight="251709440" behindDoc="0" locked="0" layoutInCell="1" allowOverlap="1" wp14:anchorId="2B5FE6C9" wp14:editId="19256465">
                <wp:simplePos x="0" y="0"/>
                <wp:positionH relativeFrom="column">
                  <wp:posOffset>6242685</wp:posOffset>
                </wp:positionH>
                <wp:positionV relativeFrom="paragraph">
                  <wp:posOffset>711200</wp:posOffset>
                </wp:positionV>
                <wp:extent cx="764540" cy="56197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4540"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52B677" w14:textId="77777777" w:rsidR="00CC25D3" w:rsidRDefault="00CC25D3" w:rsidP="00717A6C">
                            <w:pPr>
                              <w:spacing w:after="0"/>
                            </w:pPr>
                            <w:r>
                              <w:t>Jevons (1888)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FE6C9" id="Text Box 24" o:spid="_x0000_s1039" type="#_x0000_t202" style="position:absolute;margin-left:491.55pt;margin-top:56pt;width:60.2pt;height:4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JRmAIAAKwFAAAOAAAAZHJzL2Uyb0RvYy54bWysVMFu2zAMvQ/YPwi6r47TJF2DOEXWosOA&#10;oC3WDj0rspQYlUVNUmJnX19KstO066XDLjYlPpIi+cjZRVsrshPWVaALmp8MKBGaQ1npdUF/PVx/&#10;+UqJ80yXTIEWBd0LRy/mnz/NGjMVQ9iAKoUl6ES7aWMKuvHeTLPM8Y2omTsBIzQqJdiaeTzadVZa&#10;1qD3WmXDwWCSNWBLY4EL5/D2KinpPPqXUnB/K6UTnqiC4tt8/Nr4XYVvNp+x6doys6l49wz2D6+o&#10;WaUx6MHVFfOMbG31l6u64hYcSH/Coc5AyoqLmANmkw/eZHO/YUbEXLA4zhzK5P6fW36zu7OkKgs6&#10;HFGiWY09ehCtJ9+gJXiF9WmMmyLs3iDQt3iPfY65OrME/uQQkh1hkoFDdKhHK20d/pgpQUNswf5Q&#10;9hCG4+XZZDQeoYajajzJz8/GIWz2Ymys898F1CQIBbXY1fgAtls6n6A9JMRyoKryulIqHgKTxKWy&#10;ZMeQA8rnnfNXKKVJU9DJ6XgQHWsI5smz0sGNiFzqwoVsU4JR8nslAkbpn0JiLWOe78RmnAt9iB/R&#10;ASUx1EcMO/zLqz5inPJAixgZtD8Y15UGm/r6umTlU18ymfBdv13KO5TAt6s2kig/7RmzgnKPhLGQ&#10;Rs4Zfl1h95bM+Ttmccaw4bg3/C1+pAKsPnQSJRuwf967D3ikPmopaXBmC+p+b5kVlKgfGofiPB8F&#10;Hvl4GI3Phniwx5rVsUZv60tASuS4oQyPYsB71YvSQv2I62URoqKKaY6xC+p78dKnTYLriYvFIoJw&#10;rA3zS31veD8ngZsP7SOzpiOwR+bfQD/dbPqGxwkbGqRhsfUgq0jyUOhU1a4BuBLimHTrK+yc43NE&#10;vSzZ+TMAAAD//wMAUEsDBBQABgAIAAAAIQAAEX7J4AAAAAwBAAAPAAAAZHJzL2Rvd25yZXYueG1s&#10;TI8xb8IwFIT3Sv0P1qvUBYFjEBWkcVBVFQkGhqZd2Ez8mkSNnyPbQPrv+5ja8XSnu++Kzeh6ccEQ&#10;O08a1CwDgVR721Gj4fNjO12BiMmQNb0n1PCDETbl/V1hcuuv9I6XKjWCSyjmRkOb0pBLGesWnYkz&#10;PyCx9+WDM4llaKQN5srlrpfzLHuSznTEC60Z8LXF+rs6Ow2HeNxNjmG3nVTRyj3i4W2vktaPD+PL&#10;M4iEY/oLww2f0aFkppM/k42i17BeLRRH2VBzPnVLqGyxBHHSwMtLkGUh/58ofwEAAP//AwBQSwEC&#10;LQAUAAYACAAAACEAtoM4kv4AAADhAQAAEwAAAAAAAAAAAAAAAAAAAAAAW0NvbnRlbnRfVHlwZXNd&#10;LnhtbFBLAQItABQABgAIAAAAIQA4/SH/1gAAAJQBAAALAAAAAAAAAAAAAAAAAC8BAABfcmVscy8u&#10;cmVsc1BLAQItABQABgAIAAAAIQAciuJRmAIAAKwFAAAOAAAAAAAAAAAAAAAAAC4CAABkcnMvZTJv&#10;RG9jLnhtbFBLAQItABQABgAIAAAAIQAAEX7J4AAAAAwBAAAPAAAAAAAAAAAAAAAAAPIEAABkcnMv&#10;ZG93bnJldi54bWxQSwUGAAAAAAQABADzAAAA/wUAAAAA&#10;" fillcolor="white [3201]" stroked="f" strokeweight=".5pt">
                <v:path arrowok="t"/>
                <v:textbox>
                  <w:txbxContent>
                    <w:p w14:paraId="1152B677" w14:textId="77777777" w:rsidR="00CC25D3" w:rsidRDefault="00CC25D3" w:rsidP="00717A6C">
                      <w:pPr>
                        <w:spacing w:after="0"/>
                      </w:pPr>
                      <w:r>
                        <w:t>Jevons (1888)</w:t>
                      </w:r>
                    </w:p>
                  </w:txbxContent>
                </v:textbox>
              </v:shape>
            </w:pict>
          </mc:Fallback>
        </mc:AlternateContent>
      </w:r>
      <w:r>
        <w:rPr>
          <w:noProof/>
          <w:lang w:val="en-AU" w:eastAsia="en-AU"/>
        </w:rPr>
        <mc:AlternateContent>
          <mc:Choice Requires="wps">
            <w:drawing>
              <wp:anchor distT="0" distB="0" distL="114300" distR="114300" simplePos="0" relativeHeight="251713536" behindDoc="0" locked="0" layoutInCell="1" allowOverlap="1" wp14:anchorId="4A893315" wp14:editId="0C7995E8">
                <wp:simplePos x="0" y="0"/>
                <wp:positionH relativeFrom="column">
                  <wp:posOffset>5727065</wp:posOffset>
                </wp:positionH>
                <wp:positionV relativeFrom="paragraph">
                  <wp:posOffset>913765</wp:posOffset>
                </wp:positionV>
                <wp:extent cx="448310" cy="635"/>
                <wp:effectExtent l="0" t="76200" r="8890" b="113665"/>
                <wp:wrapNone/>
                <wp:docPr id="7"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 cy="635"/>
                        </a:xfrm>
                        <a:prstGeom prst="bentConnector3">
                          <a:avLst>
                            <a:gd name="adj1" fmla="val 50000"/>
                          </a:avLst>
                        </a:prstGeom>
                        <a:noFill/>
                        <a:ln w="9525">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78E08736"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1" o:spid="_x0000_s1026" type="#_x0000_t34" style="position:absolute;margin-left:450.95pt;margin-top:71.95pt;width:35.3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GbwIAANsEAAAOAAAAZHJzL2Uyb0RvYy54bWysVE2P0zAQvSPxHyzfu0natLTRpqtV0nJZ&#10;YKVdfoBrO43BH5HtbVoh/jtjJw0sXBCiB9cej9+8eTOT27uzkujErRNGlzi7STHimhom9LHEn5/3&#10;szVGzhPNiDSal/jCHb7bvn1z23cFn5vWSMYtAhDtir4rcet9VySJoy1XxN2Yjmu4bIxVxMPRHhNm&#10;SQ/oSibzNF0lvbGss4Zy58BaD5d4G/GbhlP/qWkc90iWGLj5uNq4HsKabG9JcbSkawUdaZB/YKGI&#10;0BB0gqqJJ+jFij+glKDWONP4G2pUYppGUB5zgGyy9LdsnlrS8ZgLiOO6SSb3/2Dpx9OjRYKV+B1G&#10;migo0ZO3RBxbj+6tNT2qjNYgo7FokQW5+s4V8KrSjzYkTM/6qXsw9KtD2lQt0UceaT9fOsCKL5JX&#10;T8LBdRD00H8wDHzIizdRu3NjVYAEVdA5lugylYifPaJgzPP1IoNCUrhaLZaBUEKK68vOOv+eG4XC&#10;psQHrv1EfxFjkNOD87FQbEyXsC8ZRo2SUPcTkWiZwm/EHb0hwhU5PNVmL6SMnSM16ku8Wc6XEd0Z&#10;KVi4DG6xh3klLQJYSJNSoJNFP/miIPfBvgkBhz4EM3TrYL5SmFBioq8CKOFhdqRQJV4H0iNKywnb&#10;aRb5eSIk7JGP1SChoDgwVpxhJDmMbNgNIkodWIPQo0JB8tjC3zbpZrferfNZPl/tZnla17P7fZXP&#10;Vvvs3bJe1FVVZ99DYlletIIxroMG13HK8r9r13Gwh0GYBmoSO3mNHuUAitf/SDp2WmiuoU0Phl0e&#10;bcguNB1MUHQepz2M6K/n6PXzm7T9AQAA//8DAFBLAwQUAAYACAAAACEAHdkKUN4AAAALAQAADwAA&#10;AGRycy9kb3ducmV2LnhtbEyPQU+DQBCF7yb+h82YeLNLEUQoS9OYeDHRxNYfsLBTQNlZZLcU/73T&#10;k95m5r28+V65XewgZpx870jBehWBQGqc6alV8HF4vnsE4YMmowdHqOAHPWyr66tSF8ad6R3nfWgF&#10;h5AvtIIuhLGQ0jcdWu1XbkRi7egmqwOvUyvNpM8cbgcZR9GDtLon/tDpEZ86bL72J6uAZozTbKc/&#10;6TVLX2RS+++3Q6PU7c2y24AIuIQ/M1zwGR0qZqrdiYwXg4I8WudsZSG554EdeRanIOrLJYlAVqX8&#10;36H6BQAA//8DAFBLAQItABQABgAIAAAAIQC2gziS/gAAAOEBAAATAAAAAAAAAAAAAAAAAAAAAABb&#10;Q29udGVudF9UeXBlc10ueG1sUEsBAi0AFAAGAAgAAAAhADj9If/WAAAAlAEAAAsAAAAAAAAAAAAA&#10;AAAALwEAAF9yZWxzLy5yZWxzUEsBAi0AFAAGAAgAAAAhAPA1f4ZvAgAA2wQAAA4AAAAAAAAAAAAA&#10;AAAALgIAAGRycy9lMm9Eb2MueG1sUEsBAi0AFAAGAAgAAAAhAB3ZClDeAAAACwEAAA8AAAAAAAAA&#10;AAAAAAAAyQQAAGRycy9kb3ducmV2LnhtbFBLBQYAAAAABAAEAPMAAADUBQAAAAA=&#10;" strokecolor="#4579b8 [3044]">
                <v:stroke endarrow="open"/>
              </v:shape>
            </w:pict>
          </mc:Fallback>
        </mc:AlternateContent>
      </w:r>
      <w:r>
        <w:rPr>
          <w:noProof/>
          <w:lang w:val="en-AU" w:eastAsia="en-AU"/>
        </w:rPr>
        <mc:AlternateContent>
          <mc:Choice Requires="wps">
            <w:drawing>
              <wp:anchor distT="0" distB="0" distL="114300" distR="114300" simplePos="0" relativeHeight="251723776" behindDoc="0" locked="0" layoutInCell="1" allowOverlap="1" wp14:anchorId="2F78A0A0" wp14:editId="41B6EE92">
                <wp:simplePos x="0" y="0"/>
                <wp:positionH relativeFrom="column">
                  <wp:posOffset>4747260</wp:posOffset>
                </wp:positionH>
                <wp:positionV relativeFrom="paragraph">
                  <wp:posOffset>913130</wp:posOffset>
                </wp:positionV>
                <wp:extent cx="419735" cy="635"/>
                <wp:effectExtent l="0" t="76200" r="18415" b="11366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9735" cy="6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47DD26E" id="Straight Arrow Connector 40" o:spid="_x0000_s1026" type="#_x0000_t32" style="position:absolute;margin-left:373.8pt;margin-top:71.9pt;width:33.05pt;height:.0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oX5wEAACYEAAAOAAAAZHJzL2Uyb0RvYy54bWysU02P0zAQvSPxHyzfadplWdio6Qp1gcsK&#10;qi3L3evYjYXtscamSf89YycNn0ICcbFiz7w3895M1jeDs+yoMBrwDV8tlpwpL6E1/tDwh49vn73i&#10;LCbhW2HBq4afVOQ3m6dP1n2o1QV0YFuFjEh8rPvQ8C6lUFdVlJ1yIi4gKE9BDehEoiseqhZFT+zO&#10;VhfL5VXVA7YBQaoY6fV2DPJN4ddayfRB66gSsw2n3lI5sZyP+aw2a1EfUITOyKkN8Q9dOGE8FZ2p&#10;bkUS7AuaX6ickQgRdFpIcBVobaQqGkjNavmTmn0ngipayJwYZpvi/6OV7487ZKZt+CXZ44WjGe0T&#10;CnPoEnuNCD3bgvfkIyCjFPKrD7Em2NbvMCuWg9+HO5CfI8WqH4L5EsOYNmh0TFsTPtGaFKtIPBvK&#10;JE7zJNSQmKTHy9X1y+cvOJMUuqKPTC3qzJFLBozpnQLH8kfD49Tv3OjIL453MY3AMyCDrc9nEsa+&#10;8S1Lp0CKRRY6FcnxImPsvGhIJ6tG7L3S5BZ1ONYoe6q2FtlR0IYJKZVPq5mJsjNMG2tn4LKI/yNw&#10;ys9QVXb4b8AzolQGn2awMx7wd9XTcG5Zj/lnB0bd2YJHaE87PE+YlrEMZPpx8rZ/fy/wb7/35isA&#10;AAD//wMAUEsDBBQABgAIAAAAIQBPTJ6j3gAAAAsBAAAPAAAAZHJzL2Rvd25yZXYueG1sTI/BTsMw&#10;EETvSPyDtUjcqFNaJSGNU4UKEFJPBD7AjbdJ1HgdxW6T/j0LFzjuzNPsTL6dbS8uOPrOkYLlIgKB&#10;VDvTUaPg6/P1IQXhgyaje0eo4IoetsXtTa4z4yb6wEsVGsEh5DOtoA1hyKT0dYtW+4UbkNg7utHq&#10;wOfYSDPqicNtLx+jKJZWd8QfWj3grsX6VJ2tgjKVezpdd4mv3uvY9NP88lY+K3V/N5cbEAHn8AfD&#10;T32uDgV3OrgzGS96Bck6iRllY73iDUyky1UC4vCrPIEscvl/Q/ENAAD//wMAUEsBAi0AFAAGAAgA&#10;AAAhALaDOJL+AAAA4QEAABMAAAAAAAAAAAAAAAAAAAAAAFtDb250ZW50X1R5cGVzXS54bWxQSwEC&#10;LQAUAAYACAAAACEAOP0h/9YAAACUAQAACwAAAAAAAAAAAAAAAAAvAQAAX3JlbHMvLnJlbHNQSwEC&#10;LQAUAAYACAAAACEAMq7qF+cBAAAmBAAADgAAAAAAAAAAAAAAAAAuAgAAZHJzL2Uyb0RvYy54bWxQ&#10;SwECLQAUAAYACAAAACEAT0yeo94AAAALAQAADwAAAAAAAAAAAAAAAABBBAAAZHJzL2Rvd25yZXYu&#10;eG1sUEsFBgAAAAAEAAQA8wAAAEwFAAAAAA==&#10;" strokecolor="#4579b8 [3044]">
                <v:stroke endarrow="open"/>
                <o:lock v:ext="edit" shapetype="f"/>
              </v:shape>
            </w:pict>
          </mc:Fallback>
        </mc:AlternateContent>
      </w:r>
      <w:r>
        <w:rPr>
          <w:noProof/>
          <w:lang w:val="en-AU" w:eastAsia="en-AU"/>
        </w:rPr>
        <mc:AlternateContent>
          <mc:Choice Requires="wps">
            <w:drawing>
              <wp:anchor distT="0" distB="0" distL="114300" distR="114300" simplePos="0" relativeHeight="251707392" behindDoc="0" locked="0" layoutInCell="1" allowOverlap="1" wp14:anchorId="21EB25B7" wp14:editId="5512ACAE">
                <wp:simplePos x="0" y="0"/>
                <wp:positionH relativeFrom="column">
                  <wp:posOffset>4053205</wp:posOffset>
                </wp:positionH>
                <wp:positionV relativeFrom="paragraph">
                  <wp:posOffset>710565</wp:posOffset>
                </wp:positionV>
                <wp:extent cx="694055" cy="4953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05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005C73" w14:textId="77777777" w:rsidR="00CC25D3" w:rsidRDefault="00CC25D3" w:rsidP="00717A6C">
                            <w:pPr>
                              <w:spacing w:after="0"/>
                            </w:pPr>
                            <w:r>
                              <w:t>Ricardo (1821)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B25B7" id="Text Box 22" o:spid="_x0000_s1040" type="#_x0000_t202" style="position:absolute;margin-left:319.15pt;margin-top:55.95pt;width:54.65pt;height:3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1rimAIAAKwFAAAOAAAAZHJzL2Uyb0RvYy54bWysVN9P2zAQfp+0/8Hy+0haWjYiUtSBmCZV&#10;gAYTz65jtxaOz7PdJt1fv7OTtIXxwrSXxPZ99/u7u7hsa022wnkFpqSjk5wSYThUyqxK+vPx5tMX&#10;SnxgpmIajCjpTnh6Ofv44aKxhRjDGnQlHEEjxheNLek6BFtkmedrUTN/AlYYFEpwNQt4dauscqxB&#10;67XOxnl+ljXgKuuAC+/x9boT0lmyL6Xg4U5KLwLRJcXYQvq69F3Gbza7YMXKMbtWvA+D/UMUNVMG&#10;ne5NXbPAyMapv0zVijvwIMMJhzoDKRUXKQfMZpS/yuZhzaxIuWBxvN2Xyf8/s/x2e++Iqko6HlNi&#10;WI09ehRtIF+hJfiE9WmsLxD2YBEYWnzHPqdcvV0Af/YIyY4wnYJHdKxHK10d/5gpQUVswW5f9uiG&#10;4+PZ+SSfTinhKJqcT0/z1JbsoGydD98E1CQeSuqwqykAtl34EN2zYoBEXx60qm6U1ukSmSSutCNb&#10;hhzQYRRzQo0XKG1Ig4GcTvNk2EBU73DaRDMical3F7PtEkynsNMiYrT5ISTWMuX5hm/GuTB7/wkd&#10;URJdvUexxx+ieo9ylwdqJM9gwl65VgZc19eXJaueh5LJDt/323d5xxKEdtkmEo0mA2OWUO2QMA66&#10;kfOW3yjs3oL5cM8czhhSAfdGuMOP1IDVh/5EyRrc77feIx6pj1JKGpzZkvpfG+YEJfq7waE4H00m&#10;ccjTZTL9PMaLO5YsjyVmU18BUmKEG8rydIz4oIejdFA/4XqZR68oYoaj75KG4XgVuk2C64mL+TyB&#10;cKwtCwvzYPkwJ5Gbj+0Tc7YncEDm38Iw3ax4xeMOGxtkYL4JIFUieSx0V9W+AbgSEpP79RV3zvE9&#10;oQ5LdvYHAAD//wMAUEsDBBQABgAIAAAAIQDiZtIL4QAAAAsBAAAPAAAAZHJzL2Rvd25yZXYueG1s&#10;TI/BTsMwDIbvSLxDZCQuE0vLUNd2TSeEmLQddqBw2S1rvLaicaom28rbY07saP+ffn8u1pPtxQVH&#10;3zlSEM8jEEi1Mx01Cr4+N08pCB80Gd07QgU/6GFd3t8VOjfuSh94qUIjuIR8rhW0IQy5lL5u0Wo/&#10;dwMSZyc3Wh14HBtpRn3lctvL5yhKpNUd8YVWD/jWYv1dna2CvT9sZ4dxu5lV3sgd4v59FwelHh+m&#10;1xWIgFP4h+FPn9WhZKejO5PxoleQLNIFoxzEcQaCieXLMgFx5E2aZSDLQt7+UP4CAAD//wMAUEsB&#10;Ai0AFAAGAAgAAAAhALaDOJL+AAAA4QEAABMAAAAAAAAAAAAAAAAAAAAAAFtDb250ZW50X1R5cGVz&#10;XS54bWxQSwECLQAUAAYACAAAACEAOP0h/9YAAACUAQAACwAAAAAAAAAAAAAAAAAvAQAAX3JlbHMv&#10;LnJlbHNQSwECLQAUAAYACAAAACEANaNa4pgCAACsBQAADgAAAAAAAAAAAAAAAAAuAgAAZHJzL2Uy&#10;b0RvYy54bWxQSwECLQAUAAYACAAAACEA4mbSC+EAAAALAQAADwAAAAAAAAAAAAAAAADyBAAAZHJz&#10;L2Rvd25yZXYueG1sUEsFBgAAAAAEAAQA8wAAAAAGAAAAAA==&#10;" fillcolor="white [3201]" stroked="f" strokeweight=".5pt">
                <v:path arrowok="t"/>
                <v:textbox>
                  <w:txbxContent>
                    <w:p w14:paraId="72005C73" w14:textId="77777777" w:rsidR="00CC25D3" w:rsidRDefault="00CC25D3" w:rsidP="00717A6C">
                      <w:pPr>
                        <w:spacing w:after="0"/>
                      </w:pPr>
                      <w:r>
                        <w:t>Ricardo (1821)</w:t>
                      </w:r>
                    </w:p>
                  </w:txbxContent>
                </v:textbox>
              </v:shape>
            </w:pict>
          </mc:Fallback>
        </mc:AlternateContent>
      </w:r>
      <w:r>
        <w:rPr>
          <w:noProof/>
          <w:lang w:val="en-AU" w:eastAsia="en-AU"/>
        </w:rPr>
        <mc:AlternateContent>
          <mc:Choice Requires="wps">
            <w:drawing>
              <wp:anchor distT="0" distB="0" distL="114300" distR="114300" simplePos="0" relativeHeight="251708416" behindDoc="0" locked="0" layoutInCell="1" allowOverlap="1" wp14:anchorId="487768D3" wp14:editId="27FD49C9">
                <wp:simplePos x="0" y="0"/>
                <wp:positionH relativeFrom="column">
                  <wp:posOffset>5170170</wp:posOffset>
                </wp:positionH>
                <wp:positionV relativeFrom="paragraph">
                  <wp:posOffset>711200</wp:posOffset>
                </wp:positionV>
                <wp:extent cx="697230" cy="495300"/>
                <wp:effectExtent l="0" t="0" r="762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E19CC" w14:textId="77777777" w:rsidR="00CC25D3" w:rsidRDefault="00CC25D3" w:rsidP="00717A6C">
                            <w:pPr>
                              <w:spacing w:after="0"/>
                            </w:pPr>
                            <w:r>
                              <w:t>Mill (1848)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768D3" id="Text Box 23" o:spid="_x0000_s1041" type="#_x0000_t202" style="position:absolute;margin-left:407.1pt;margin-top:56pt;width:54.9pt;height:3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6wlwIAAKwFAAAOAAAAZHJzL2Uyb0RvYy54bWysVFtP2zAUfp+0/2D5faRXGBEp6oqYJlWA&#10;BhPPrmO3EbaPZ7tNul/PsZOUwnhh2kti+3zn/p1zcdloRXbC+QpMQYcnA0qE4VBWZl3QXw/XX75S&#10;4gMzJVNgREH3wtPL2edPF7XNxQg2oErhCBoxPq9tQTch2DzLPN8IzfwJWGFQKMFpFvDq1lnpWI3W&#10;tcpGg8FpVoMrrQMuvMfXq1ZIZ8m+lIKHWym9CEQVFGML6evSdxW/2eyC5WvH7KbiXRjsH6LQrDLo&#10;9GDqigVGtq76y5SuuAMPMpxw0BlIWXGRcsBshoM32dxvmBUpFyyOt4cy+f9nlt/s7hypyoKOxpQY&#10;prFHD6IJ5Bs0BJ+wPrX1OcLuLQJDg+/Y55Srt0vgTx4h2RGmVfCIjvVopNPxj5kSVMQW7A9lj244&#10;Pp6en43GKOEompxPx4PUluxF2TofvgvQJB4K6rCrKQC2W/oQ3bO8h0RfHlRVXldKpUtkklgoR3YM&#10;OaDCMOaEGq9QypAaAxlPB8mwgaje4pSJZkTiUucuZtsmmE5hr0TEKPNTSKxlyvMd34xzYQ7+Ezqi&#10;JLr6iGKHf4nqI8ptHqiRPIMJB2VdGXBtX1+XrHzqSyZbfNdv3+YdSxCaVZNINJz2jFlBuUfCOGhH&#10;zlt+XWH3lsyHO+ZwxrDhuDfCLX6kAqw+dCdKNuD+vPce8Uh9lFJS48wW1P/eMicoUT8MDsX5cDKJ&#10;Q54uk+nZCC/uWLI6lpitXgBSYogbyvJ0jPig+qN0oB9xvcyjVxQxw9F3QUN/XIR2k+B64mI+TyAc&#10;a8vC0txb3s9J5OZD88ic7QgckPk30E83y9/wuMXGBhmYbwPIKpE8FrqtatcAXAmJyd36ijvn+J5Q&#10;L0t29gwAAP//AwBQSwMEFAAGAAgAAAAhAI2JEGjgAAAACwEAAA8AAABkcnMvZG93bnJldi54bWxM&#10;jzFPwzAQhXck/oN1SCwVtRNVqA1xKoSo1A4dCCzd3PiaRI3Pke224d9zTLDd3Xt6971yPblBXDHE&#10;3pOGbK5AIDXe9tRq+PrcPC1BxGTImsETavjGCOvq/q40hfU3+sBrnVrBIRQLo6FLaSykjE2HzsS5&#10;H5FYO/ngTOI1tNIGc+NwN8hcqWfpTE/8oTMjvnXYnOuL07CPh+3sELabWR2t3CHu33dZ0vrxYXp9&#10;AZFwSn9m+MVndKiY6egvZKMYNCyzRc5WFrKcS7FjlS94OPJlpRTIqpT/O1Q/AAAA//8DAFBLAQIt&#10;ABQABgAIAAAAIQC2gziS/gAAAOEBAAATAAAAAAAAAAAAAAAAAAAAAABbQ29udGVudF9UeXBlc10u&#10;eG1sUEsBAi0AFAAGAAgAAAAhADj9If/WAAAAlAEAAAsAAAAAAAAAAAAAAAAALwEAAF9yZWxzLy5y&#10;ZWxzUEsBAi0AFAAGAAgAAAAhAHNFnrCXAgAArAUAAA4AAAAAAAAAAAAAAAAALgIAAGRycy9lMm9E&#10;b2MueG1sUEsBAi0AFAAGAAgAAAAhAI2JEGjgAAAACwEAAA8AAAAAAAAAAAAAAAAA8QQAAGRycy9k&#10;b3ducmV2LnhtbFBLBQYAAAAABAAEAPMAAAD+BQAAAAA=&#10;" fillcolor="white [3201]" stroked="f" strokeweight=".5pt">
                <v:path arrowok="t"/>
                <v:textbox>
                  <w:txbxContent>
                    <w:p w14:paraId="595E19CC" w14:textId="77777777" w:rsidR="00CC25D3" w:rsidRDefault="00CC25D3" w:rsidP="00717A6C">
                      <w:pPr>
                        <w:spacing w:after="0"/>
                      </w:pPr>
                      <w:r>
                        <w:t>Mill (1848)</w:t>
                      </w:r>
                    </w:p>
                  </w:txbxContent>
                </v:textbox>
              </v:shape>
            </w:pict>
          </mc:Fallback>
        </mc:AlternateContent>
      </w:r>
      <w:r>
        <w:rPr>
          <w:noProof/>
          <w:lang w:val="en-AU" w:eastAsia="en-AU"/>
        </w:rPr>
        <mc:AlternateContent>
          <mc:Choice Requires="wps">
            <w:drawing>
              <wp:anchor distT="0" distB="0" distL="114300" distR="114300" simplePos="0" relativeHeight="251712512" behindDoc="0" locked="0" layoutInCell="1" allowOverlap="1" wp14:anchorId="3B046369" wp14:editId="3266803F">
                <wp:simplePos x="0" y="0"/>
                <wp:positionH relativeFrom="column">
                  <wp:posOffset>3634740</wp:posOffset>
                </wp:positionH>
                <wp:positionV relativeFrom="paragraph">
                  <wp:posOffset>911225</wp:posOffset>
                </wp:positionV>
                <wp:extent cx="390525" cy="635"/>
                <wp:effectExtent l="0" t="76200" r="9525" b="113665"/>
                <wp:wrapNone/>
                <wp:docPr id="2"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635"/>
                        </a:xfrm>
                        <a:prstGeom prst="bentConnector3">
                          <a:avLst>
                            <a:gd name="adj1" fmla="val 49917"/>
                          </a:avLst>
                        </a:prstGeom>
                        <a:noFill/>
                        <a:ln w="9525">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CD006" id="Straight Arrow Connector 29" o:spid="_x0000_s1026" type="#_x0000_t34" style="position:absolute;margin-left:286.2pt;margin-top:71.75pt;width:30.75pt;height:.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29+cgIAANsEAAAOAAAAZHJzL2Uyb0RvYy54bWysVE1v2zAMvQ/YfxB0T20nThobdYrCTnbp&#10;tgDtfoAiybE2fRiSGicY9t9HKU7Qdpdh2EWWKPHx8ZH03f1RSXTg1gmjK5zdpBhxTQ0Tel/hb8+b&#10;yRIj54lmRBrNK3ziDt+vPn64G/qST01nJOMWAYh25dBXuPO+L5PE0Y4r4m5MzzVctsYq4uFo9wmz&#10;ZAB0JZNpmi6SwVjWW0O5c2Btzpd4FfHbllP/tW0d90hWGLj5uNq47sKarO5Iubek7wQdaZB/YKGI&#10;0BD0CtUQT9CLFX9AKUGtcab1N9SoxLStoDzmANlk6btsnjrS85gLiOP6q0zu/8HSL4etRYJVeIqR&#10;JgpK9OQtEfvOowdrzYBqozXIaCyaFkGuoXcleNV6a0PC9Kif+kdDfzikTd0RveeR9vOpB6wseCRv&#10;XMLB9RB0N3w2DN6QF2+idsfWqgAJqqBjLNHpWiJ+9IiCcVak8+kcIwpXi9k8wpPy4tlb5z9xo1DY&#10;VHjHtb/Sn8UY5PDofCwUG9Ml7HuGUask1P1AJMqLIrsdccfXCSkvyMFVm42QMnaO1GiocBEohRtn&#10;pGDhMh5CD/NaWgSwkCalQCeL7+SLgtzP9mKepmMfghm69WyOJggcJyGggI7vAijhYXakUBVeAsYF&#10;peOErTWL/DwREvbIx2qQUFAcGCvOMJIcRjbsQo1IKXVgDUKPCgXJYwv/LNJivVwv80k+Xawnedo0&#10;k4dNnU8Wm+x23syaum6yXyGxLC87wRjXQYPLOGX537XrONjnQbgO1FXs5C16pAwUL99IOnZaaK5z&#10;m+4MO23tpQNhguLjcdrDiL4+w/71P2n1GwAA//8DAFBLAwQUAAYACAAAACEAtVPVI+EAAAALAQAA&#10;DwAAAGRycy9kb3ducmV2LnhtbEyPwU7DMAyG70i8Q2QkLhNLt25lK02nCYmJy5AYXLiljWmrNc6U&#10;ZF15ewwXONr/p9+fi81oezGgD50jBbNpAgKpdqajRsH729PdCkSImozuHaGCLwywKa+vCp0bd6FX&#10;HA6xEVxCIdcK2hhPuZShbtHqMHUnJM4+nbc68ugbaby+cLnt5TxJMml1R3yh1Sd8bLE+Hs5WwVE+&#10;T/x64vfbareTw8ruXz5mRqnbm3H7ACLiGP9g+NFndSjZqXJnMkH0Cpb38wWjHCzSJQgmsjRdg6h+&#10;NxnIspD/fyi/AQAA//8DAFBLAQItABQABgAIAAAAIQC2gziS/gAAAOEBAAATAAAAAAAAAAAAAAAA&#10;AAAAAABbQ29udGVudF9UeXBlc10ueG1sUEsBAi0AFAAGAAgAAAAhADj9If/WAAAAlAEAAAsAAAAA&#10;AAAAAAAAAAAALwEAAF9yZWxzLy5yZWxzUEsBAi0AFAAGAAgAAAAhAJe3b35yAgAA2wQAAA4AAAAA&#10;AAAAAAAAAAAALgIAAGRycy9lMm9Eb2MueG1sUEsBAi0AFAAGAAgAAAAhALVT1SPhAAAACwEAAA8A&#10;AAAAAAAAAAAAAAAAzAQAAGRycy9kb3ducmV2LnhtbFBLBQYAAAAABAAEAPMAAADaBQAAAAA=&#10;" adj="10782" strokecolor="#4579b8 [3044]">
                <v:stroke endarrow="open"/>
              </v:shape>
            </w:pict>
          </mc:Fallback>
        </mc:AlternateContent>
      </w:r>
      <w:r>
        <w:rPr>
          <w:noProof/>
          <w:lang w:val="en-AU" w:eastAsia="en-AU"/>
        </w:rPr>
        <mc:AlternateContent>
          <mc:Choice Requires="wps">
            <w:drawing>
              <wp:anchor distT="0" distB="0" distL="114300" distR="114300" simplePos="0" relativeHeight="251705344" behindDoc="0" locked="0" layoutInCell="1" allowOverlap="1" wp14:anchorId="2152C735" wp14:editId="7FB0F951">
                <wp:simplePos x="0" y="0"/>
                <wp:positionH relativeFrom="column">
                  <wp:posOffset>2655570</wp:posOffset>
                </wp:positionH>
                <wp:positionV relativeFrom="paragraph">
                  <wp:posOffset>711200</wp:posOffset>
                </wp:positionV>
                <wp:extent cx="976630" cy="66675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663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2F396B" w14:textId="77777777" w:rsidR="00CC25D3" w:rsidRDefault="00CC25D3" w:rsidP="00717A6C">
                            <w:r>
                              <w:t>Adam Smith (1788)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152C735" id="Text Box 18" o:spid="_x0000_s1042" type="#_x0000_t202" style="position:absolute;margin-left:209.1pt;margin-top:56pt;width:76.9pt;height: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5SelwIAAKwFAAAOAAAAZHJzL2Uyb0RvYy54bWysVE1PGzEQvVfqf7B8L5vwEUrEBqUgqkpR&#10;QYWKs+O1yQqvx7WdZNNf32fvJgTKhaqXXdvzxs8z82bOL9rGsJXyoSZb8uHBgDNlJVW1fSz5z/vr&#10;T585C1HYShiyquQbFfjF5OOH87Ubq0NakKmUZ7jEhvHalXwRoxsXRZAL1YhwQE5ZGDX5RkRs/WNR&#10;ebHG7Y0pDgeDUbEmXzlPUoWA06vOyCf5fq2VjDdaBxWZKTneFvPX5+88fYvJuRg/euEWteyfIf7h&#10;FY2oLUh3V12JKNjS139d1dTSUyAdDyQ1BWldS5VjQDTDwato7hbCqRwLkhPcLk3h/10rv69uPasr&#10;1A6VsqJBje5VG9kXahmOkJ+1C2PA7hyAscU5sDnW4GYknwIgxR6mcwhAp3y02jfpj0gZHFGCzS7t&#10;iUbi8Ox0NDqCRcI0Go1OT3JZimdn50P8qqhhaVFyj6rmB4jVLMREL8ZbSOIKZOrqujYmb5KS1KXx&#10;bCWgAROHKSZ4vEAZy9YgPwJ1crKU3DucselEZS31dCnaLsC8ihujEsbYH0ojlznON7iFlMru+DM6&#10;oTSo3uPY459f9R7nLg54ZGaycefc1JZ8V9eXKauetinTHb6vd+jiTimI7bztRDTaKmZO1QaC8dS1&#10;XHDyukb1ZiLEW+HRYyg45ka8wUcbQvapX3G2IP/7rfOEh/Rh5WyNni15+LUUXnFmvlk0xdnw+Dg1&#10;ed4cn5weYuP3LfN9i102lwRJDDGhnMzLhI9mu9SemgeMl2lihUlYCe6Sx+3yMnaTBONJquk0g9DW&#10;TsSZvXNy2ydJm/ftg/CuF3CE8r/TtrvF+JWOO2wqkKXpMpKus8hTorus9gXASMhK7sdXmjn7+4x6&#10;HrKTPwAAAP//AwBQSwMEFAAGAAgAAAAhALt2V/fgAAAACwEAAA8AAABkcnMvZG93bnJldi54bWxM&#10;j8FOwzAQRO9I/IO1SFwq6jgCWoU4FUJUag89NHDpzY2XJCJeR7bbhr9ne4LbjuZpdqZcTW4QZwyx&#10;96RBzTMQSI23PbUaPj/WD0sQMRmyZvCEGn4wwqq6vSlNYf2F9niuUys4hGJhNHQpjYWUsenQmTj3&#10;IxJ7Xz44k1iGVtpgLhzuBpln2bN0pif+0JkR3zpsvuuT07CLh83sEDbrWR2t3CLu3rcqaX1/N72+&#10;gEg4pT8YrvW5OlTc6ehPZKMYNDyqZc4oGyrnUUw8La7HUUOuFhnIqpT/N1S/AAAA//8DAFBLAQIt&#10;ABQABgAIAAAAIQC2gziS/gAAAOEBAAATAAAAAAAAAAAAAAAAAAAAAABbQ29udGVudF9UeXBlc10u&#10;eG1sUEsBAi0AFAAGAAgAAAAhADj9If/WAAAAlAEAAAsAAAAAAAAAAAAAAAAALwEAAF9yZWxzLy5y&#10;ZWxzUEsBAi0AFAAGAAgAAAAhACErlJ6XAgAArAUAAA4AAAAAAAAAAAAAAAAALgIAAGRycy9lMm9E&#10;b2MueG1sUEsBAi0AFAAGAAgAAAAhALt2V/fgAAAACwEAAA8AAAAAAAAAAAAAAAAA8QQAAGRycy9k&#10;b3ducmV2LnhtbFBLBQYAAAAABAAEAPMAAAD+BQAAAAA=&#10;" fillcolor="white [3201]" stroked="f" strokeweight=".5pt">
                <v:path arrowok="t"/>
                <v:textbox>
                  <w:txbxContent>
                    <w:p w14:paraId="392F396B" w14:textId="77777777" w:rsidR="00CC25D3" w:rsidRDefault="00CC25D3" w:rsidP="00717A6C">
                      <w:r>
                        <w:t>Adam Smith (1788)</w:t>
                      </w:r>
                    </w:p>
                  </w:txbxContent>
                </v:textbox>
              </v:shape>
            </w:pict>
          </mc:Fallback>
        </mc:AlternateContent>
      </w:r>
      <w:r>
        <w:rPr>
          <w:noProof/>
          <w:lang w:val="en-AU" w:eastAsia="en-AU"/>
        </w:rPr>
        <mc:AlternateContent>
          <mc:Choice Requires="wps">
            <w:drawing>
              <wp:anchor distT="0" distB="0" distL="114300" distR="114300" simplePos="0" relativeHeight="251710464" behindDoc="0" locked="0" layoutInCell="1" allowOverlap="1" wp14:anchorId="43599A0D" wp14:editId="5F77C7DA">
                <wp:simplePos x="0" y="0"/>
                <wp:positionH relativeFrom="column">
                  <wp:posOffset>180975</wp:posOffset>
                </wp:positionH>
                <wp:positionV relativeFrom="paragraph">
                  <wp:posOffset>2434590</wp:posOffset>
                </wp:positionV>
                <wp:extent cx="5143500" cy="817880"/>
                <wp:effectExtent l="0" t="0" r="0"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17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E3E7D" w14:textId="7C819A62" w:rsidR="00CC25D3" w:rsidRDefault="00CC25D3" w:rsidP="00717A6C">
                            <w:r w:rsidRPr="006C3380">
                              <w:t>Figure 8.</w:t>
                            </w:r>
                            <w:r>
                              <w:t xml:space="preserve">  Concepts of Income and Capital</w:t>
                            </w:r>
                            <w:r w:rsidR="006C3380">
                              <w:t>.</w:t>
                            </w:r>
                            <w:r>
                              <w:t xml:space="preserve"> </w:t>
                            </w:r>
                          </w:p>
                          <w:p w14:paraId="454FF99B" w14:textId="77777777" w:rsidR="00CC25D3" w:rsidRDefault="00CC25D3" w:rsidP="00717A6C">
                            <w:pPr>
                              <w:spacing w:line="240" w:lineRule="auto"/>
                            </w:pPr>
                            <w:r w:rsidRPr="00344788">
                              <w:rPr>
                                <w:i/>
                              </w:rPr>
                              <w:t>Note</w:t>
                            </w:r>
                            <w:r>
                              <w:t>: In this figure, the horizontal axis is time. The entities or writers in the top half  see income as an increase in capital. Those in the bottom half do not.</w:t>
                            </w:r>
                          </w:p>
                          <w:p w14:paraId="282791FE" w14:textId="77777777" w:rsidR="00CC25D3" w:rsidRDefault="00CC25D3" w:rsidP="00717A6C"/>
                          <w:p w14:paraId="11187938" w14:textId="77777777" w:rsidR="00CC25D3" w:rsidRDefault="00CC25D3" w:rsidP="00717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3599A0D" id="Text Box 25" o:spid="_x0000_s1043" type="#_x0000_t202" style="position:absolute;margin-left:14.25pt;margin-top:191.7pt;width:405pt;height:6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KNmAIAAK0FAAAOAAAAZHJzL2Uyb0RvYy54bWysVN9P2zAQfp+0/8Hy+0jTtdBFpKgDMU2q&#10;AK1MPLuOTS0cn2e7Tbq/fmcnKYXxwrSXxPZ99/u7O79oa012wnkFpqT5yYgSYThUyjyW9Of99acZ&#10;JT4wUzENRpR0Lzy9mH/8cN7YQoxhA7oSjqAR44vGlnQTgi2yzPONqJk/ASsMCiW4mgW8usescqxB&#10;67XOxqPRadaAq6wDLrzH16tOSOfJvpSCh1spvQhElxRjC+nr0ncdv9n8nBWPjtmN4n0Y7B+iqJky&#10;6PRg6ooFRrZO/WWqVtyBBxlOONQZSKm4SDlgNvnoVTarDbMi5YLF8fZQJv//zPKb3Z0jqirpeEqJ&#10;YTX26F60gXyFluAT1qexvkDYyiIwtPiOfU65ersE/uQRkh1hOgWP6FiPVro6/jFTgorYgv2h7NEN&#10;x8dpPvk8HaGIo2yWn81mqS/Zs7Z1PnwTUJN4KKnDtqYI2G7pQ/TPigESnXnQqrpWWqdLpJK41I7s&#10;GJJAhzwmhRovUNqQpqSnGEcybCCqdzhtohmRyNS7i+l2GaZT2GsRMdr8EBKLmRJ9wzfjXJiD/4SO&#10;KImu3qPY45+jeo9ylwdqJM9gwkG5VgZc19iXJauehpLJDt833Hd5xxKEdt0mFuVnA2XWUO2RMQ66&#10;mfOWXyvs3pL5cMccDhk2HBdHuMWP1IDVh/5EyQbc77feIx65j1JKGhzakvpfW+YEJfq7wan4kk8m&#10;ccrTZTI9G+PFHUvWxxKzrS8BKZHjirI8HSM+6OEoHdQPuF8W0SuKmOHou6RhOF6GbpXgfuJisUgg&#10;nGvLwtKsLB8GJXLzvn1gzvYEDkj9GxjGmxWveNxhY4MMLLYBpEokj4Xuqto3AHdCYnK/v+LSOb4n&#10;1POWnf8BAAD//wMAUEsDBBQABgAIAAAAIQDPd0Pa4AAAAAoBAAAPAAAAZHJzL2Rvd25yZXYueG1s&#10;TI9NT8MwDIbvSPyHyEhcJpZ+MFSVuhNCTNoOO1C47JY1pq1onCrJtvLvyU5wtP3o9fNW69mM4kzO&#10;D5YR0mUCgri1euAO4fNj81CA8EGxVqNlQvghD+v69qZSpbYXfqdzEzoRQ9iXCqEPYSql9G1PRvml&#10;nYjj7cs6o0IcXSe1U5cYbkaZJcmTNGrg+KFXE7321H43J4Ow94ft4uC2m0XjtdwR7d92aUC8v5tf&#10;nkEEmsMfDFf9qA51dDraE2svRoSsWEUSIS/yRxARKPLr5oiwSrMMZF3J/xXqXwAAAP//AwBQSwEC&#10;LQAUAAYACAAAACEAtoM4kv4AAADhAQAAEwAAAAAAAAAAAAAAAAAAAAAAW0NvbnRlbnRfVHlwZXNd&#10;LnhtbFBLAQItABQABgAIAAAAIQA4/SH/1gAAAJQBAAALAAAAAAAAAAAAAAAAAC8BAABfcmVscy8u&#10;cmVsc1BLAQItABQABgAIAAAAIQDmCrKNmAIAAK0FAAAOAAAAAAAAAAAAAAAAAC4CAABkcnMvZTJv&#10;RG9jLnhtbFBLAQItABQABgAIAAAAIQDPd0Pa4AAAAAoBAAAPAAAAAAAAAAAAAAAAAPIEAABkcnMv&#10;ZG93bnJldi54bWxQSwUGAAAAAAQABADzAAAA/wUAAAAA&#10;" fillcolor="white [3201]" stroked="f" strokeweight=".5pt">
                <v:path arrowok="t"/>
                <v:textbox>
                  <w:txbxContent>
                    <w:p w14:paraId="0A1E3E7D" w14:textId="7C819A62" w:rsidR="00CC25D3" w:rsidRDefault="00CC25D3" w:rsidP="00717A6C">
                      <w:r w:rsidRPr="006C3380">
                        <w:t>Figure 8.</w:t>
                      </w:r>
                      <w:r>
                        <w:t xml:space="preserve">  Concepts of Income and Capital</w:t>
                      </w:r>
                      <w:r w:rsidR="006C3380">
                        <w:t>.</w:t>
                      </w:r>
                      <w:r>
                        <w:t xml:space="preserve"> </w:t>
                      </w:r>
                    </w:p>
                    <w:p w14:paraId="454FF99B" w14:textId="77777777" w:rsidR="00CC25D3" w:rsidRDefault="00CC25D3" w:rsidP="00717A6C">
                      <w:pPr>
                        <w:spacing w:line="240" w:lineRule="auto"/>
                      </w:pPr>
                      <w:r w:rsidRPr="00344788">
                        <w:rPr>
                          <w:i/>
                        </w:rPr>
                        <w:t>Note</w:t>
                      </w:r>
                      <w:r>
                        <w:t>: In this figure, the horizontal axis is time. The entities or writers in the top half  see income as an increase in capital. Those in the bottom half do not.</w:t>
                      </w:r>
                    </w:p>
                    <w:p w14:paraId="282791FE" w14:textId="77777777" w:rsidR="00CC25D3" w:rsidRDefault="00CC25D3" w:rsidP="00717A6C"/>
                    <w:p w14:paraId="11187938" w14:textId="77777777" w:rsidR="00CC25D3" w:rsidRDefault="00CC25D3" w:rsidP="00717A6C"/>
                  </w:txbxContent>
                </v:textbox>
              </v:shape>
            </w:pict>
          </mc:Fallback>
        </mc:AlternateContent>
      </w:r>
      <w:r w:rsidR="00717A6C">
        <w:tab/>
      </w:r>
    </w:p>
    <w:p w14:paraId="55EC539A" w14:textId="77777777" w:rsidR="00471972" w:rsidRPr="00344788" w:rsidRDefault="007A5064" w:rsidP="00AE7A30">
      <w:pPr>
        <w:spacing w:after="120" w:line="240" w:lineRule="auto"/>
      </w:pPr>
      <w:r>
        <w:rPr>
          <w:noProof/>
          <w:lang w:val="en-AU" w:eastAsia="en-AU"/>
        </w:rPr>
        <mc:AlternateContent>
          <mc:Choice Requires="wps">
            <w:drawing>
              <wp:anchor distT="4294967295" distB="4294967295" distL="114299" distR="114299" simplePos="0" relativeHeight="251688960" behindDoc="0" locked="0" layoutInCell="1" allowOverlap="1" wp14:anchorId="113ADBF3" wp14:editId="1A14C662">
                <wp:simplePos x="0" y="0"/>
                <wp:positionH relativeFrom="column">
                  <wp:posOffset>8486139</wp:posOffset>
                </wp:positionH>
                <wp:positionV relativeFrom="paragraph">
                  <wp:posOffset>-800101</wp:posOffset>
                </wp:positionV>
                <wp:extent cx="0" cy="0"/>
                <wp:effectExtent l="0" t="0" r="0" b="0"/>
                <wp:wrapNone/>
                <wp:docPr id="8"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52D09" id="Straight Arrow Connector 33" o:spid="_x0000_s1026" type="#_x0000_t32" style="position:absolute;margin-left:668.2pt;margin-top:-63pt;width:0;height:0;z-index:2516889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1kSQIAAJ4EAAAOAAAAZHJzL2Uyb0RvYy54bWysVMGO2yAQvVfqPyDuie1skibWOquVnfSy&#10;7UbK9gNYwDEqBgQkTlT13ztgx+22l6rqhcCYefPe8Cb3D5dWojO3TmhV4GyaYsQV1UyoY4G/vOwm&#10;K4ycJ4oRqRUv8JU7/LB5/+6+Mzmf6UZLxi0CEOXyzhS48d7kSeJow1viptpwBR9rbVvi4WiPCbOk&#10;A/RWJrM0XSadtsxYTblzEK36j3gT8euaU/9c1457JAsM3HxcbVxfw5ps7kl+tMQ0gg40yD+waIlQ&#10;UHSEqogn6GTFH1CtoFY7Xfsp1W2i61pQHjWAmiz9Tc2hIYZHLdAcZ8Y2uf8HSz+f9xYJVmB4KEVa&#10;eKKDt0QcG48erdUdKrVS0EZt0d1daFdnXA5ZpdrbIJhe1ME8afrVIaXLhqgjj7RfrgawspCRvEkJ&#10;B2eg6Gv3STO4Q05ex95datsGSOgKusQnuo5PxC8e0T5Ib9GE5LcUY53/yHWLwqbAbpAwcs9iAXJ+&#10;cj4QIvktIdRTeiekjE6QCnUFXi9mi5jgtBQsfAzXoid5KS06E3AToZQr3wPLUwta+vh6kaaDryAM&#10;7uvDMQSFR5RI400Bq0+KRRoNJ2w77D0REvbIx4aS8CY4kGw5w0hymLqw61VJFYhCr0DnsOtd+G2d&#10;rrer7Wo+mc+W28k8rarJ466cT5a77MOiuqvKssq+B83ZPG8EY1wF2beJyOZ/57hhNnsvjzMx9jd5&#10;ix47AGRvv5F0NEvwR++0V82uexvUBd/AEMTLw8CGKfv1HG/9/FvZ/AAAAP//AwBQSwMEFAAGAAgA&#10;AAAhAPslmDbcAAAADwEAAA8AAABkcnMvZG93bnJldi54bWxMj0FLw0AQhe+C/2EZwVu7SStBYzZF&#10;LF68VGvxPE2m2WB2NmS3TfTXO0VEj+/Nx5v3itXkOnWiIbSeDaTzBBRx5euWGwO7t6fZLagQkWvs&#10;PJOBTwqwKi8vCsxrP/IrnbaxURLCIUcDNsY+1zpUlhyGue+J5Xbwg8Mocmh0PeAo4a7TiyTJtMOW&#10;5YPFnh4tVR/bozNwF15sDPad1odNmm2+sFk/70Zjrq+mh3tQkab4B8O5vlSHUjrt/ZHroDrRy2V2&#10;I6yBWbrIZNaZ+fH2v54uC/1/R/kNAAD//wMAUEsBAi0AFAAGAAgAAAAhALaDOJL+AAAA4QEAABMA&#10;AAAAAAAAAAAAAAAAAAAAAFtDb250ZW50X1R5cGVzXS54bWxQSwECLQAUAAYACAAAACEAOP0h/9YA&#10;AACUAQAACwAAAAAAAAAAAAAAAAAvAQAAX3JlbHMvLnJlbHNQSwECLQAUAAYACAAAACEAGzlNZEkC&#10;AACeBAAADgAAAAAAAAAAAAAAAAAuAgAAZHJzL2Uyb0RvYy54bWxQSwECLQAUAAYACAAAACEA+yWY&#10;NtwAAAAPAQAADwAAAAAAAAAAAAAAAACjBAAAZHJzL2Rvd25yZXYueG1sUEsFBgAAAAAEAAQA8wAA&#10;AKwFAAAAAA==&#10;" strokecolor="#4579b8 [3044]">
                <v:stroke endarrow="open"/>
              </v:shape>
            </w:pict>
          </mc:Fallback>
        </mc:AlternateContent>
      </w:r>
    </w:p>
    <w:sectPr w:rsidR="00471972" w:rsidRPr="00344788" w:rsidSect="00AE7A30">
      <w:headerReference w:type="default" r:id="rId17"/>
      <w:headerReference w:type="first" r:id="rId18"/>
      <w:pgSz w:w="16838" w:h="11906" w:orient="landscape"/>
      <w:pgMar w:top="1440" w:right="1440" w:bottom="180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3AF41" w14:textId="77777777" w:rsidR="00CC25D3" w:rsidRDefault="00CC25D3" w:rsidP="00C55B0B">
      <w:pPr>
        <w:spacing w:after="0" w:line="240" w:lineRule="auto"/>
      </w:pPr>
      <w:r>
        <w:separator/>
      </w:r>
    </w:p>
  </w:endnote>
  <w:endnote w:type="continuationSeparator" w:id="0">
    <w:p w14:paraId="3952E3E5" w14:textId="77777777" w:rsidR="00CC25D3" w:rsidRDefault="00CC25D3" w:rsidP="00C55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9A101" w14:textId="77777777" w:rsidR="00CC25D3" w:rsidRDefault="00CC25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F6D5F" w14:textId="77777777" w:rsidR="00CC25D3" w:rsidRDefault="00CC25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43EE" w14:textId="77777777" w:rsidR="00CC25D3" w:rsidRDefault="00CC2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9B928" w14:textId="77777777" w:rsidR="00CC25D3" w:rsidRDefault="00CC25D3" w:rsidP="00C55B0B">
      <w:pPr>
        <w:spacing w:after="0" w:line="240" w:lineRule="auto"/>
      </w:pPr>
      <w:r>
        <w:separator/>
      </w:r>
    </w:p>
  </w:footnote>
  <w:footnote w:type="continuationSeparator" w:id="0">
    <w:p w14:paraId="2F05A942" w14:textId="77777777" w:rsidR="00CC25D3" w:rsidRDefault="00CC25D3" w:rsidP="00C55B0B">
      <w:pPr>
        <w:spacing w:after="0" w:line="240" w:lineRule="auto"/>
      </w:pPr>
      <w:r>
        <w:continuationSeparator/>
      </w:r>
    </w:p>
  </w:footnote>
  <w:footnote w:id="1">
    <w:p w14:paraId="26A4D707" w14:textId="77777777" w:rsidR="00CC25D3" w:rsidRDefault="00CC25D3">
      <w:pPr>
        <w:pStyle w:val="FootnoteText"/>
      </w:pPr>
      <w:r>
        <w:rPr>
          <w:rStyle w:val="FootnoteReference"/>
        </w:rPr>
        <w:footnoteRef/>
      </w:r>
      <w:r>
        <w:t xml:space="preserve"> This word has the same root as ‘capital’ but comes via the Capitoline in Rome.</w:t>
      </w:r>
    </w:p>
  </w:footnote>
  <w:footnote w:id="2">
    <w:p w14:paraId="1CDA00C9" w14:textId="77777777" w:rsidR="00CC25D3" w:rsidRPr="00014DC0" w:rsidRDefault="00CC25D3" w:rsidP="00EC777F">
      <w:pPr>
        <w:pStyle w:val="FootnoteText"/>
      </w:pPr>
      <w:r>
        <w:rPr>
          <w:rStyle w:val="FootnoteReference"/>
        </w:rPr>
        <w:footnoteRef/>
      </w:r>
      <w:r>
        <w:t xml:space="preserve"> I have used the version of the Summa as reprinted in Toscolano in 1523. Pacioli’s word is “</w:t>
      </w:r>
      <w:r>
        <w:rPr>
          <w:i/>
        </w:rPr>
        <w:t>cauedal</w:t>
      </w:r>
      <w:r>
        <w:t>” or, sometimes, “</w:t>
      </w:r>
      <w:r>
        <w:rPr>
          <w:i/>
        </w:rPr>
        <w:t>cauedale</w:t>
      </w:r>
      <w:r>
        <w:t>”, which might now be transliterated as “</w:t>
      </w:r>
      <w:r w:rsidRPr="005073DC">
        <w:rPr>
          <w:i/>
        </w:rPr>
        <w:t>cavedal</w:t>
      </w:r>
      <w:r>
        <w:t>” or “</w:t>
      </w:r>
      <w:r w:rsidRPr="005073DC">
        <w:rPr>
          <w:i/>
        </w:rPr>
        <w:t>cavedale</w:t>
      </w:r>
      <w:r>
        <w:t>”. Pacioli (or the printer) seem to use ‘u’ and ‘v’ interchangeably, as was also found in English at the time. However, in other parts of the Summa (e.g. Tractatus 7 (3)), Pacioli uses ‘capitale’ and ‘capital’. Stefano Zambon (letter to me of 23.12.2013) suggests that ‘cavedale’ was used in Sienese texts of the period.</w:t>
      </w:r>
    </w:p>
  </w:footnote>
  <w:footnote w:id="3">
    <w:p w14:paraId="725CDF4E" w14:textId="77777777" w:rsidR="00CC25D3" w:rsidRDefault="00CC25D3">
      <w:pPr>
        <w:pStyle w:val="FootnoteText"/>
      </w:pPr>
      <w:r>
        <w:rPr>
          <w:rStyle w:val="FootnoteReference"/>
        </w:rPr>
        <w:footnoteRef/>
      </w:r>
      <w:r>
        <w:t xml:space="preserve"> This is an English translation which had been published in Dutch and French in Antwerp in 1543.</w:t>
      </w:r>
    </w:p>
  </w:footnote>
  <w:footnote w:id="4">
    <w:p w14:paraId="6FEFADB1" w14:textId="77777777" w:rsidR="00CC25D3" w:rsidRDefault="00CC25D3">
      <w:pPr>
        <w:pStyle w:val="FootnoteText"/>
      </w:pPr>
      <w:r>
        <w:rPr>
          <w:rStyle w:val="FootnoteReference"/>
        </w:rPr>
        <w:footnoteRef/>
      </w:r>
      <w:r>
        <w:t xml:space="preserve"> The book was later discovered in Moscow, and Parker (1994, p.78) confirms the quotation.</w:t>
      </w:r>
    </w:p>
  </w:footnote>
  <w:footnote w:id="5">
    <w:p w14:paraId="58E750F7" w14:textId="77777777" w:rsidR="00CC25D3" w:rsidRDefault="00CC25D3">
      <w:pPr>
        <w:pStyle w:val="FootnoteText"/>
      </w:pPr>
      <w:r>
        <w:rPr>
          <w:rStyle w:val="FootnoteReference"/>
        </w:rPr>
        <w:footnoteRef/>
      </w:r>
      <w:r>
        <w:t xml:space="preserve"> I hope that readers will accept the word “he” as accurate at this date.</w:t>
      </w:r>
    </w:p>
  </w:footnote>
  <w:footnote w:id="6">
    <w:p w14:paraId="3D1A02B3" w14:textId="77777777" w:rsidR="00CC25D3" w:rsidRDefault="00CC25D3">
      <w:pPr>
        <w:pStyle w:val="FootnoteText"/>
      </w:pPr>
      <w:r>
        <w:rPr>
          <w:rStyle w:val="FootnoteReference"/>
        </w:rPr>
        <w:footnoteRef/>
      </w:r>
      <w:r>
        <w:t xml:space="preserve"> I have borrowed this observation from Bryer (2000), although Edwards (1989, p.95) notes that some other companies had permanent stock earlier.</w:t>
      </w:r>
    </w:p>
  </w:footnote>
  <w:footnote w:id="7">
    <w:p w14:paraId="29E6673E" w14:textId="77777777" w:rsidR="00CC25D3" w:rsidRDefault="00CC25D3">
      <w:pPr>
        <w:pStyle w:val="FootnoteText"/>
      </w:pPr>
      <w:r>
        <w:rPr>
          <w:rStyle w:val="FootnoteReference"/>
        </w:rPr>
        <w:footnoteRef/>
      </w:r>
      <w:r>
        <w:t xml:space="preserve"> I am grateful to Dick Edwards for pointing out that there had been non-company precedents, e.g. consolidation of military establishments for the information of the UK parliament in the nineteenth century.</w:t>
      </w:r>
    </w:p>
  </w:footnote>
  <w:footnote w:id="8">
    <w:p w14:paraId="071383AD" w14:textId="77777777" w:rsidR="00CC25D3" w:rsidRDefault="00CC25D3" w:rsidP="005F2D9C">
      <w:pPr>
        <w:pStyle w:val="FootnoteText"/>
      </w:pPr>
      <w:r>
        <w:rPr>
          <w:rStyle w:val="FootnoteReference"/>
        </w:rPr>
        <w:footnoteRef/>
      </w:r>
      <w:r>
        <w:t xml:space="preserve"> The company began on 1 April 1901.</w:t>
      </w:r>
    </w:p>
  </w:footnote>
  <w:footnote w:id="9">
    <w:p w14:paraId="12AF48A3" w14:textId="77777777" w:rsidR="00CC25D3" w:rsidRDefault="00CC25D3">
      <w:pPr>
        <w:pStyle w:val="FootnoteText"/>
      </w:pPr>
      <w:r>
        <w:rPr>
          <w:rStyle w:val="FootnoteReference"/>
        </w:rPr>
        <w:footnoteRef/>
      </w:r>
      <w:r>
        <w:t xml:space="preserve"> As noted, the US company narrowed the term liability in 1943. And, for example, in the 1955 balance sheet of Marks and Spencer, there is no heading for the credit side.</w:t>
      </w:r>
    </w:p>
  </w:footnote>
  <w:footnote w:id="10">
    <w:p w14:paraId="69823EF3" w14:textId="77777777" w:rsidR="00CC25D3" w:rsidRDefault="00CC25D3" w:rsidP="009F78B6">
      <w:pPr>
        <w:pStyle w:val="FootnoteText"/>
      </w:pPr>
      <w:r>
        <w:rPr>
          <w:rStyle w:val="FootnoteReference"/>
        </w:rPr>
        <w:footnoteRef/>
      </w:r>
      <w:r>
        <w:t xml:space="preserve"> This balance sheet (and those shown in Figures 5 and 7) were said by the company to be prepared under national law. It was audited by Arthur Andersen.</w:t>
      </w:r>
    </w:p>
  </w:footnote>
  <w:footnote w:id="11">
    <w:p w14:paraId="44B5D0C9" w14:textId="77777777" w:rsidR="00CC25D3" w:rsidRDefault="00CC25D3">
      <w:pPr>
        <w:pStyle w:val="FootnoteText"/>
      </w:pPr>
      <w:r>
        <w:rPr>
          <w:rStyle w:val="FootnoteReference"/>
        </w:rPr>
        <w:footnoteRef/>
      </w:r>
      <w:r>
        <w:t xml:space="preserve"> This is the last balance sheet under Italian GAAP produced by the company.</w:t>
      </w:r>
    </w:p>
  </w:footnote>
  <w:footnote w:id="12">
    <w:p w14:paraId="0E178710" w14:textId="77777777" w:rsidR="00CC25D3" w:rsidRDefault="00CC25D3" w:rsidP="00D4479D">
      <w:pPr>
        <w:pStyle w:val="FootnoteText"/>
      </w:pPr>
      <w:r>
        <w:rPr>
          <w:rStyle w:val="FootnoteReference"/>
        </w:rPr>
        <w:footnoteRef/>
      </w:r>
      <w:r>
        <w:t xml:space="preserve"> In French and Italian, but not German, the words have become nouns as well as being adjectives.</w:t>
      </w:r>
    </w:p>
  </w:footnote>
  <w:footnote w:id="13">
    <w:p w14:paraId="37A534B3" w14:textId="77777777" w:rsidR="00CC25D3" w:rsidRDefault="00CC25D3" w:rsidP="00D6112B">
      <w:pPr>
        <w:pStyle w:val="FootnoteText"/>
      </w:pPr>
      <w:r>
        <w:rPr>
          <w:rStyle w:val="FootnoteReference"/>
        </w:rPr>
        <w:footnoteRef/>
      </w:r>
      <w:r>
        <w:t xml:space="preserve"> “</w:t>
      </w:r>
      <w:r w:rsidRPr="00365811">
        <w:rPr>
          <w:i/>
        </w:rPr>
        <w:t>Passif</w:t>
      </w:r>
      <w:r>
        <w:t>” included equity. Various liabilities were shown on balance sheets, e.g. “</w:t>
      </w:r>
      <w:r w:rsidRPr="00365811">
        <w:rPr>
          <w:i/>
        </w:rPr>
        <w:t>provisions</w:t>
      </w:r>
      <w:r>
        <w:t>” and “</w:t>
      </w:r>
      <w:r w:rsidRPr="00365811">
        <w:rPr>
          <w:i/>
        </w:rPr>
        <w:t>dettes</w:t>
      </w:r>
      <w:r>
        <w:t>”. The German version of IFRS uses ‘</w:t>
      </w:r>
      <w:r w:rsidRPr="005F7589">
        <w:rPr>
          <w:i/>
        </w:rPr>
        <w:t>Schuld</w:t>
      </w:r>
      <w:r>
        <w:t>’ for ‘liability’, a word that does not appear in the Directive.</w:t>
      </w:r>
    </w:p>
  </w:footnote>
  <w:footnote w:id="14">
    <w:p w14:paraId="57E3803B" w14:textId="77777777" w:rsidR="00CC25D3" w:rsidRDefault="00CC25D3" w:rsidP="0056131A">
      <w:pPr>
        <w:pStyle w:val="FootnoteText"/>
      </w:pPr>
      <w:r>
        <w:rPr>
          <w:rStyle w:val="FootnoteReference"/>
        </w:rPr>
        <w:footnoteRef/>
      </w:r>
      <w:r>
        <w:t xml:space="preserve"> I have consulted the original Italian but, for English translations given here, I use those of  von Gebsattel (1994).</w:t>
      </w:r>
    </w:p>
  </w:footnote>
  <w:footnote w:id="15">
    <w:p w14:paraId="4DBB4308" w14:textId="77777777" w:rsidR="00CC25D3" w:rsidRDefault="00CC25D3">
      <w:pPr>
        <w:pStyle w:val="FootnoteText"/>
      </w:pPr>
      <w:r>
        <w:rPr>
          <w:rStyle w:val="FootnoteReference"/>
        </w:rPr>
        <w:footnoteRef/>
      </w:r>
      <w:r>
        <w:t xml:space="preserve"> This is the case for the entries in the books of account. There were no balance sheets.</w:t>
      </w:r>
    </w:p>
  </w:footnote>
  <w:footnote w:id="16">
    <w:p w14:paraId="24075D74" w14:textId="77777777" w:rsidR="00CC25D3" w:rsidRDefault="00CC25D3">
      <w:pPr>
        <w:pStyle w:val="FootnoteText"/>
      </w:pPr>
      <w:r>
        <w:rPr>
          <w:rStyle w:val="FootnoteReference"/>
        </w:rPr>
        <w:footnoteRef/>
      </w:r>
      <w:r>
        <w:t xml:space="preserve"> Stevin’s books include </w:t>
      </w:r>
      <w:r>
        <w:rPr>
          <w:rFonts w:eastAsia="Times New Roman" w:cs="Times New Roman"/>
          <w:i/>
        </w:rPr>
        <w:t>Vorstelicke Bouckhouding op de Italiaensche Wyse</w:t>
      </w:r>
      <w:r>
        <w:t xml:space="preserve"> of 1604. The point about capital being on the left is noted by ten Have (1956, p.244).  </w:t>
      </w:r>
    </w:p>
  </w:footnote>
  <w:footnote w:id="17">
    <w:p w14:paraId="4998F2EC" w14:textId="77777777" w:rsidR="00CC25D3" w:rsidRDefault="00CC25D3">
      <w:pPr>
        <w:pStyle w:val="FootnoteText"/>
      </w:pPr>
      <w:r>
        <w:rPr>
          <w:rStyle w:val="FootnoteReference"/>
        </w:rPr>
        <w:footnoteRef/>
      </w:r>
      <w:r>
        <w:t xml:space="preserve"> First Schedule, No.13.</w:t>
      </w:r>
    </w:p>
  </w:footnote>
  <w:footnote w:id="18">
    <w:p w14:paraId="0BAC2207" w14:textId="77777777" w:rsidR="00CC25D3" w:rsidRDefault="00CC25D3">
      <w:pPr>
        <w:pStyle w:val="FootnoteText"/>
      </w:pPr>
      <w:r>
        <w:rPr>
          <w:rStyle w:val="FootnoteReference"/>
        </w:rPr>
        <w:footnoteRef/>
      </w:r>
      <w:r>
        <w:t xml:space="preserve"> There is one in the 1862 Act but not in the 1908, 1929 or 1948 consolidating Acts.</w:t>
      </w:r>
    </w:p>
  </w:footnote>
  <w:footnote w:id="19">
    <w:p w14:paraId="65A2154C" w14:textId="77777777" w:rsidR="00CC25D3" w:rsidRDefault="00CC25D3">
      <w:pPr>
        <w:pStyle w:val="FootnoteText"/>
      </w:pPr>
      <w:r>
        <w:rPr>
          <w:rStyle w:val="FootnoteReference"/>
        </w:rPr>
        <w:footnoteRef/>
      </w:r>
      <w:r>
        <w:t xml:space="preserve"> Old French ‘asez’ from Latin ‘satis’.</w:t>
      </w:r>
    </w:p>
  </w:footnote>
  <w:footnote w:id="20">
    <w:p w14:paraId="1617EBA3" w14:textId="77777777" w:rsidR="00CC25D3" w:rsidRDefault="00CC25D3" w:rsidP="003860AC">
      <w:pPr>
        <w:pStyle w:val="FootnoteText"/>
      </w:pPr>
      <w:r>
        <w:rPr>
          <w:rStyle w:val="FootnoteReference"/>
        </w:rPr>
        <w:footnoteRef/>
      </w:r>
      <w:r>
        <w:t xml:space="preserve"> Barker (2010) pointed out the analogous problem for “income”.</w:t>
      </w:r>
    </w:p>
  </w:footnote>
  <w:footnote w:id="21">
    <w:p w14:paraId="2EB79CB0" w14:textId="77777777" w:rsidR="00CC25D3" w:rsidRPr="007F23F3" w:rsidRDefault="00CC25D3" w:rsidP="00DE036D">
      <w:pPr>
        <w:pStyle w:val="FootnoteText"/>
        <w:rPr>
          <w:lang w:val="en-AU"/>
        </w:rPr>
      </w:pPr>
      <w:r>
        <w:rPr>
          <w:rStyle w:val="FootnoteReference"/>
        </w:rPr>
        <w:footnoteRef/>
      </w:r>
      <w:r>
        <w:t xml:space="preserve"> The first quotation is from Section 121 of the standard clauses proposed (by the Companies Clauses Consolidation Act 1845) for any new companies set up by parliament, </w:t>
      </w:r>
      <w:r>
        <w:rPr>
          <w:lang w:val="en-AU"/>
        </w:rPr>
        <w:t>The second is the formulation in paragraph 73 of the optional Table A in Schedule 1 to the Companies Act 1862, which was the model form of Articles of Association. Similar wording was found in the Schedule 1 to the 1908, 1929 and 1948 consolidating Acts.</w:t>
      </w:r>
    </w:p>
  </w:footnote>
  <w:footnote w:id="22">
    <w:p w14:paraId="5502E8EC" w14:textId="77777777" w:rsidR="00CC25D3" w:rsidRPr="00E936B0" w:rsidRDefault="00CC25D3">
      <w:pPr>
        <w:pStyle w:val="FootnoteText"/>
        <w:rPr>
          <w:lang w:val="en-AU"/>
        </w:rPr>
      </w:pPr>
      <w:r>
        <w:rPr>
          <w:rStyle w:val="FootnoteReference"/>
        </w:rPr>
        <w:footnoteRef/>
      </w:r>
      <w:r>
        <w:t xml:space="preserve"> </w:t>
      </w:r>
      <w:r w:rsidRPr="00D101F5">
        <w:rPr>
          <w:i/>
          <w:lang w:val="en-AU"/>
        </w:rPr>
        <w:t>in re</w:t>
      </w:r>
      <w:r>
        <w:rPr>
          <w:lang w:val="en-AU"/>
        </w:rPr>
        <w:t xml:space="preserve"> Exchange Banking Company 21, Ch.D. 518.</w:t>
      </w:r>
    </w:p>
  </w:footnote>
  <w:footnote w:id="23">
    <w:p w14:paraId="6BAE8F88" w14:textId="77777777" w:rsidR="00CC25D3" w:rsidRPr="00E936B0" w:rsidRDefault="00CC25D3">
      <w:pPr>
        <w:pStyle w:val="FootnoteText"/>
        <w:rPr>
          <w:lang w:val="en-AU"/>
        </w:rPr>
      </w:pPr>
      <w:r>
        <w:rPr>
          <w:rStyle w:val="FootnoteReference"/>
        </w:rPr>
        <w:footnoteRef/>
      </w:r>
      <w:r>
        <w:t xml:space="preserve"> (1889) </w:t>
      </w:r>
      <w:r>
        <w:rPr>
          <w:lang w:val="en-AU"/>
        </w:rPr>
        <w:t>41.Ch.D. 1.</w:t>
      </w:r>
    </w:p>
  </w:footnote>
  <w:footnote w:id="24">
    <w:p w14:paraId="22C54088" w14:textId="77777777" w:rsidR="00CC25D3" w:rsidRPr="00A94943" w:rsidRDefault="00CC25D3">
      <w:pPr>
        <w:pStyle w:val="FootnoteText"/>
        <w:rPr>
          <w:rFonts w:cstheme="minorHAnsi"/>
        </w:rPr>
      </w:pPr>
      <w:r>
        <w:rPr>
          <w:rStyle w:val="FootnoteReference"/>
        </w:rPr>
        <w:footnoteRef/>
      </w:r>
      <w:r>
        <w:t>.</w:t>
      </w:r>
      <w:r w:rsidRPr="00A94943">
        <w:rPr>
          <w:rFonts w:eastAsia="Times New Roman" w:cstheme="minorHAnsi"/>
          <w:color w:val="000000"/>
        </w:rPr>
        <w:t xml:space="preserve"> </w:t>
      </w:r>
      <w:r>
        <w:rPr>
          <w:rFonts w:eastAsia="Times New Roman" w:cstheme="minorHAnsi"/>
          <w:color w:val="000000"/>
        </w:rPr>
        <w:t xml:space="preserve">However, Alisdair Dobie </w:t>
      </w:r>
      <w:r>
        <w:t xml:space="preserve">(letter to me of 18.11.2014) </w:t>
      </w:r>
      <w:r>
        <w:rPr>
          <w:rFonts w:eastAsia="Times New Roman" w:cstheme="minorHAnsi"/>
          <w:color w:val="000000"/>
        </w:rPr>
        <w:t>notes that monasteries often prepared a ‘</w:t>
      </w:r>
      <w:r w:rsidRPr="00F25B70">
        <w:rPr>
          <w:rFonts w:eastAsia="Times New Roman" w:cstheme="minorHAnsi"/>
          <w:color w:val="000000"/>
        </w:rPr>
        <w:t>status</w:t>
      </w:r>
      <w:r>
        <w:rPr>
          <w:rFonts w:eastAsia="Times New Roman" w:cstheme="minorHAnsi"/>
          <w:color w:val="000000"/>
        </w:rPr>
        <w:t xml:space="preserve">’ </w:t>
      </w:r>
      <w:r w:rsidRPr="00F25B70">
        <w:rPr>
          <w:rFonts w:eastAsia="Times New Roman" w:cstheme="minorHAnsi"/>
          <w:color w:val="000000"/>
        </w:rPr>
        <w:t>at the start of an abbacy</w:t>
      </w:r>
      <w:r>
        <w:rPr>
          <w:rFonts w:eastAsia="Times New Roman" w:cstheme="minorHAnsi"/>
          <w:color w:val="000000"/>
        </w:rPr>
        <w:t>, listing all the assets and liabilities of a house, so that comparison</w:t>
      </w:r>
      <w:r w:rsidRPr="00F25B70">
        <w:rPr>
          <w:rFonts w:eastAsia="Times New Roman" w:cstheme="minorHAnsi"/>
          <w:color w:val="000000"/>
        </w:rPr>
        <w:t xml:space="preserve"> could be made of the 'status' of the house at the beginning and end of a per</w:t>
      </w:r>
      <w:r>
        <w:rPr>
          <w:rFonts w:eastAsia="Times New Roman" w:cstheme="minorHAnsi"/>
          <w:color w:val="000000"/>
        </w:rPr>
        <w:t>iod of rule by an abbot or prior</w:t>
      </w:r>
      <w:r w:rsidRPr="00F25B70">
        <w:rPr>
          <w:rFonts w:eastAsia="Times New Roman" w:cstheme="minorHAnsi"/>
          <w:color w:val="000000"/>
        </w:rPr>
        <w:t>. </w:t>
      </w:r>
      <w:r w:rsidRPr="00F25B70">
        <w:rPr>
          <w:rFonts w:cstheme="minorHAnsi"/>
        </w:rPr>
        <w:t xml:space="preserve"> </w:t>
      </w:r>
    </w:p>
  </w:footnote>
  <w:footnote w:id="25">
    <w:p w14:paraId="04495915" w14:textId="77777777" w:rsidR="00CC25D3" w:rsidRDefault="00CC25D3">
      <w:pPr>
        <w:pStyle w:val="FootnoteText"/>
      </w:pPr>
      <w:r>
        <w:rPr>
          <w:rStyle w:val="FootnoteReference"/>
        </w:rPr>
        <w:footnoteRef/>
      </w:r>
      <w:r>
        <w:t xml:space="preserve"> Any excess of finance over expenditure (while building was in progress, or at completion) was taken to the general balance sheet.</w:t>
      </w:r>
    </w:p>
  </w:footnote>
  <w:footnote w:id="26">
    <w:p w14:paraId="0CEB2C89" w14:textId="77777777" w:rsidR="00CC25D3" w:rsidRPr="00E936B0" w:rsidRDefault="00CC25D3">
      <w:pPr>
        <w:pStyle w:val="FootnoteText"/>
        <w:rPr>
          <w:lang w:val="en-AU"/>
        </w:rPr>
      </w:pPr>
      <w:r>
        <w:rPr>
          <w:rStyle w:val="FootnoteReference"/>
        </w:rPr>
        <w:footnoteRef/>
      </w:r>
      <w:r>
        <w:t xml:space="preserve"> </w:t>
      </w:r>
      <w:r>
        <w:rPr>
          <w:lang w:val="en-AU"/>
        </w:rPr>
        <w:t>(1894) 2. Ch. D. 289.</w:t>
      </w:r>
    </w:p>
  </w:footnote>
  <w:footnote w:id="27">
    <w:p w14:paraId="35183633" w14:textId="77777777" w:rsidR="00CC25D3" w:rsidRPr="00E936B0" w:rsidRDefault="00CC25D3">
      <w:pPr>
        <w:pStyle w:val="FootnoteText"/>
        <w:rPr>
          <w:lang w:val="en-AU"/>
        </w:rPr>
      </w:pPr>
      <w:r>
        <w:rPr>
          <w:rStyle w:val="FootnoteReference"/>
        </w:rPr>
        <w:footnoteRef/>
      </w:r>
      <w:r>
        <w:t xml:space="preserve"> </w:t>
      </w:r>
      <w:r>
        <w:rPr>
          <w:lang w:val="en-AU"/>
        </w:rPr>
        <w:t>(1896) 2 Ch. D. 279.</w:t>
      </w:r>
    </w:p>
  </w:footnote>
  <w:footnote w:id="28">
    <w:p w14:paraId="7CE3FF5E" w14:textId="041425E6" w:rsidR="00CC25D3" w:rsidRPr="005B57C1" w:rsidRDefault="00CC25D3" w:rsidP="000F49DB">
      <w:pPr>
        <w:pStyle w:val="FootnoteText"/>
      </w:pPr>
      <w:r>
        <w:rPr>
          <w:rStyle w:val="FootnoteReference"/>
        </w:rPr>
        <w:footnoteRef/>
      </w:r>
      <w:r>
        <w:t xml:space="preserve"> In the IASB </w:t>
      </w:r>
      <w:r>
        <w:rPr>
          <w:i/>
        </w:rPr>
        <w:t>Framework</w:t>
      </w:r>
      <w:r>
        <w:t xml:space="preserve"> (para. 4.25</w:t>
      </w:r>
      <w:r w:rsidRPr="00883FDE">
        <w:t xml:space="preserve"> </w:t>
      </w:r>
      <w:r>
        <w:t>of the 2010 version), “income” is the antithesis of “expenses”.  Income comes in two forms: revenue and gains (para. 4.29).  The former is gross. There is much confusion here. For example, Haswell and Langfield-Smith (2008) incorrectly accuse the IASB of writing ‘revenue’ when it meant ‘income’, because the words had opposite meanings in the Australian and IASB conceptual frameworks.</w:t>
      </w:r>
    </w:p>
  </w:footnote>
  <w:footnote w:id="29">
    <w:p w14:paraId="51C8A5DE" w14:textId="77777777" w:rsidR="00CC25D3" w:rsidRPr="006D3F10" w:rsidRDefault="00CC25D3">
      <w:pPr>
        <w:pStyle w:val="FootnoteText"/>
        <w:rPr>
          <w:lang w:val="en-AU"/>
        </w:rPr>
      </w:pPr>
      <w:r>
        <w:rPr>
          <w:rStyle w:val="FootnoteReference"/>
        </w:rPr>
        <w:footnoteRef/>
      </w:r>
      <w:r>
        <w:t xml:space="preserve"> </w:t>
      </w:r>
      <w:r>
        <w:rPr>
          <w:lang w:val="en-AU"/>
        </w:rPr>
        <w:t>(1918) 1 Ch. D. 266.</w:t>
      </w:r>
    </w:p>
  </w:footnote>
  <w:footnote w:id="30">
    <w:p w14:paraId="19902512" w14:textId="77777777" w:rsidR="00CC25D3" w:rsidRPr="006D3F10" w:rsidRDefault="00CC25D3">
      <w:pPr>
        <w:pStyle w:val="FootnoteText"/>
        <w:rPr>
          <w:lang w:val="en-AU"/>
        </w:rPr>
      </w:pPr>
      <w:r>
        <w:rPr>
          <w:rStyle w:val="FootnoteReference"/>
        </w:rPr>
        <w:footnoteRef/>
      </w:r>
      <w:r>
        <w:t xml:space="preserve"> </w:t>
      </w:r>
      <w:r>
        <w:rPr>
          <w:lang w:val="en-AU"/>
        </w:rPr>
        <w:t>(1961) 1. All E.R. 769.</w:t>
      </w:r>
    </w:p>
  </w:footnote>
  <w:footnote w:id="31">
    <w:p w14:paraId="49EADAD6" w14:textId="77777777" w:rsidR="00CC25D3" w:rsidRDefault="00CC25D3">
      <w:pPr>
        <w:pStyle w:val="FootnoteText"/>
      </w:pPr>
      <w:r>
        <w:rPr>
          <w:rStyle w:val="FootnoteReference"/>
        </w:rPr>
        <w:footnoteRef/>
      </w:r>
      <w:r>
        <w:t xml:space="preserve"> Richard Macve has pointed out to me that Hicks (1974, p.310), at least, was aware of the different views of economists and accountants on this point.</w:t>
      </w:r>
    </w:p>
  </w:footnote>
  <w:footnote w:id="32">
    <w:p w14:paraId="51DA1F87" w14:textId="77777777" w:rsidR="00CC25D3" w:rsidRDefault="00CC25D3">
      <w:pPr>
        <w:pStyle w:val="FootnoteText"/>
      </w:pPr>
      <w:r>
        <w:rPr>
          <w:rStyle w:val="FootnoteReference"/>
        </w:rPr>
        <w:footnoteRef/>
      </w:r>
      <w:r>
        <w:t xml:space="preserve"> This method was proposed as compulsory in the exposure draft. Vestiges of that can be seen in the prohibition of a change from fair value to cost (para. 31) and in the requirement to disclose fair value if cost is used in the balance sheet (para.s 32 and 79e).</w:t>
      </w:r>
    </w:p>
  </w:footnote>
  <w:footnote w:id="33">
    <w:p w14:paraId="37F86B70" w14:textId="77777777" w:rsidR="00CC25D3" w:rsidRDefault="00CC25D3">
      <w:pPr>
        <w:pStyle w:val="FootnoteText"/>
      </w:pPr>
      <w:r>
        <w:rPr>
          <w:rStyle w:val="FootnoteReference"/>
        </w:rPr>
        <w:footnoteRef/>
      </w:r>
      <w:r>
        <w:t xml:space="preserve"> </w:t>
      </w:r>
      <w:r>
        <w:rPr>
          <w:rFonts w:cstheme="minorHAnsi"/>
        </w:rPr>
        <w:t>§</w:t>
      </w:r>
      <w:r>
        <w:t xml:space="preserve">39 of the 1980 Act; now </w:t>
      </w:r>
      <w:r>
        <w:rPr>
          <w:rFonts w:cstheme="minorHAnsi"/>
        </w:rPr>
        <w:t>§</w:t>
      </w:r>
      <w:r>
        <w:t>830 of the Companies Act 2006.</w:t>
      </w:r>
    </w:p>
  </w:footnote>
  <w:footnote w:id="34">
    <w:p w14:paraId="503E8905" w14:textId="77777777" w:rsidR="00CC25D3" w:rsidRDefault="00CC25D3">
      <w:pPr>
        <w:pStyle w:val="FootnoteText"/>
      </w:pPr>
      <w:r>
        <w:rPr>
          <w:rStyle w:val="FootnoteReference"/>
        </w:rPr>
        <w:footnoteRef/>
      </w:r>
      <w:r>
        <w:t xml:space="preserve"> The Companies Act permits this (CA 2006, S.I, Sch. 1, para. 33 (3)), and accounting standards require it (from a revision to SSAP 12 in 1987 onwards).</w:t>
      </w:r>
    </w:p>
  </w:footnote>
  <w:footnote w:id="35">
    <w:p w14:paraId="0A1B5CC9" w14:textId="77777777" w:rsidR="00CC25D3" w:rsidRDefault="00CC25D3">
      <w:pPr>
        <w:pStyle w:val="FootnoteText"/>
      </w:pPr>
      <w:r>
        <w:rPr>
          <w:rStyle w:val="FootnoteReference"/>
        </w:rPr>
        <w:footnoteRef/>
      </w:r>
      <w:r>
        <w:t xml:space="preserve"> As paragraph 90 of Schedule 1.</w:t>
      </w:r>
    </w:p>
  </w:footnote>
  <w:footnote w:id="36">
    <w:p w14:paraId="56C347EF" w14:textId="77777777" w:rsidR="00CC25D3" w:rsidRDefault="00CC25D3" w:rsidP="00013BBE">
      <w:pPr>
        <w:pStyle w:val="FootnoteText"/>
      </w:pPr>
      <w:r>
        <w:rPr>
          <w:rStyle w:val="FootnoteReference"/>
        </w:rPr>
        <w:footnoteRef/>
      </w:r>
      <w:r>
        <w:t xml:space="preserve"> That is, in the UK, for corporation tax or for income tax on business profits.</w:t>
      </w:r>
    </w:p>
  </w:footnote>
  <w:footnote w:id="37">
    <w:p w14:paraId="1CAB8F84" w14:textId="77777777" w:rsidR="00CC25D3" w:rsidRDefault="00CC25D3" w:rsidP="00B30B48">
      <w:pPr>
        <w:spacing w:after="120" w:line="240" w:lineRule="auto"/>
      </w:pPr>
      <w:r w:rsidRPr="00F83579">
        <w:rPr>
          <w:rStyle w:val="FootnoteReference"/>
          <w:sz w:val="20"/>
          <w:szCs w:val="20"/>
        </w:rPr>
        <w:footnoteRef/>
      </w:r>
      <w:r>
        <w:t xml:space="preserve"> </w:t>
      </w:r>
      <w:r w:rsidRPr="00F83579">
        <w:rPr>
          <w:sz w:val="20"/>
          <w:szCs w:val="20"/>
        </w:rPr>
        <w:t xml:space="preserve">For example, </w:t>
      </w:r>
      <w:r w:rsidRPr="00F83579">
        <w:rPr>
          <w:i/>
          <w:sz w:val="20"/>
          <w:szCs w:val="20"/>
        </w:rPr>
        <w:t>Law Shipping Co. Ltd. v IRC (1924)</w:t>
      </w:r>
      <w:r w:rsidRPr="00F83579">
        <w:rPr>
          <w:sz w:val="20"/>
          <w:szCs w:val="20"/>
        </w:rPr>
        <w:t xml:space="preserve"> and </w:t>
      </w:r>
      <w:r w:rsidRPr="00F83579">
        <w:rPr>
          <w:i/>
          <w:sz w:val="20"/>
          <w:szCs w:val="20"/>
        </w:rPr>
        <w:t>Odeon Associated Theatres Ltd. v Jones CIR (1951)</w:t>
      </w:r>
      <w:r w:rsidRPr="00F83579">
        <w:rPr>
          <w:sz w:val="20"/>
          <w:szCs w:val="20"/>
        </w:rPr>
        <w:t xml:space="preserve"> relate to whether repairs are expenses or capital cost when they concern assets purchased in a dilapidated state; and</w:t>
      </w:r>
      <w:r w:rsidRPr="00F83579">
        <w:rPr>
          <w:i/>
          <w:sz w:val="20"/>
          <w:szCs w:val="20"/>
        </w:rPr>
        <w:t xml:space="preserve"> Samuel Jones &amp; Co. (Devondale) Ltd. v CIR (1951)</w:t>
      </w:r>
      <w:r w:rsidRPr="00F83579">
        <w:rPr>
          <w:sz w:val="20"/>
          <w:szCs w:val="20"/>
        </w:rPr>
        <w:t xml:space="preserve"> and </w:t>
      </w:r>
      <w:r w:rsidRPr="00F83579">
        <w:rPr>
          <w:i/>
          <w:sz w:val="20"/>
          <w:szCs w:val="20"/>
        </w:rPr>
        <w:t>Brown v Burnley Football and Athletic Co. Ltd. (1980)</w:t>
      </w:r>
      <w:r w:rsidRPr="00F83579">
        <w:rPr>
          <w:sz w:val="20"/>
          <w:szCs w:val="20"/>
        </w:rPr>
        <w:t xml:space="preserve"> relate to whether certain costs were repair expenses or additions to assets.</w:t>
      </w:r>
      <w:r>
        <w:t xml:space="preserve">  </w:t>
      </w:r>
    </w:p>
  </w:footnote>
  <w:footnote w:id="38">
    <w:p w14:paraId="7CAD7FCF" w14:textId="77777777" w:rsidR="00CC25D3" w:rsidRPr="00A76BAF" w:rsidRDefault="00CC25D3" w:rsidP="00BB7CA2">
      <w:pPr>
        <w:pStyle w:val="FootnoteText"/>
      </w:pPr>
      <w:r>
        <w:rPr>
          <w:rStyle w:val="FootnoteReference"/>
        </w:rPr>
        <w:footnoteRef/>
      </w:r>
      <w:r>
        <w:t xml:space="preserve"> Strictly speaking, it is erroneously defined as the increase in net assets (which is a </w:t>
      </w:r>
      <w:r>
        <w:rPr>
          <w:i/>
        </w:rPr>
        <w:t>debit</w:t>
      </w:r>
      <w:r>
        <w:t>). See the analogous discussion on ‘expense’ in Section 2.4.</w:t>
      </w:r>
    </w:p>
  </w:footnote>
  <w:footnote w:id="39">
    <w:p w14:paraId="270D25A2" w14:textId="77777777" w:rsidR="00CC25D3" w:rsidRDefault="00CC25D3">
      <w:pPr>
        <w:pStyle w:val="FootnoteText"/>
      </w:pPr>
      <w:r>
        <w:rPr>
          <w:rStyle w:val="FootnoteReference"/>
        </w:rPr>
        <w:footnoteRef/>
      </w:r>
      <w:r>
        <w:t xml:space="preserve"> The departures from cost for the measurement of financial assets were introduced by SFAS 115 of 1993.</w:t>
      </w:r>
    </w:p>
  </w:footnote>
  <w:footnote w:id="40">
    <w:p w14:paraId="3E696E06" w14:textId="77777777" w:rsidR="00CC25D3" w:rsidRDefault="00CC25D3" w:rsidP="00BB7CA2">
      <w:pPr>
        <w:pStyle w:val="FootnoteText"/>
      </w:pPr>
      <w:r>
        <w:rPr>
          <w:rStyle w:val="FootnoteReference"/>
        </w:rPr>
        <w:footnoteRef/>
      </w:r>
      <w:r>
        <w:t xml:space="preserve"> This is mentioned by the DP (para. 9.53) and is explicit in the equivalent former UK standard (FRS 15, III, para. 19).</w:t>
      </w:r>
    </w:p>
  </w:footnote>
  <w:footnote w:id="41">
    <w:p w14:paraId="6DAEC287" w14:textId="77777777" w:rsidR="00CC25D3" w:rsidRDefault="00CC25D3" w:rsidP="00A25C53">
      <w:pPr>
        <w:pStyle w:val="FootnoteText"/>
      </w:pPr>
      <w:r>
        <w:rPr>
          <w:rStyle w:val="FootnoteReference"/>
        </w:rPr>
        <w:footnoteRef/>
      </w:r>
      <w:r>
        <w:t xml:space="preserve"> Whether or not they are ‘realised’ is a complex question, as explained in Section 5.</w:t>
      </w:r>
    </w:p>
  </w:footnote>
  <w:footnote w:id="42">
    <w:p w14:paraId="6469B9E4" w14:textId="0F4B343F" w:rsidR="00CC25D3" w:rsidRDefault="00CC25D3" w:rsidP="0007403A">
      <w:pPr>
        <w:pStyle w:val="FootnoteText"/>
      </w:pPr>
      <w:r>
        <w:rPr>
          <w:rStyle w:val="FootnoteReference"/>
        </w:rPr>
        <w:footnoteRef/>
      </w:r>
      <w:r>
        <w:t xml:space="preserve"> Current cost accounting was required in the UK for large companies, in the form of supplementary information, by SSAP 16 which was issued in 1980. The mandatory status was removed in 1985, and the standard was withdrawn in 1988 (Tweedie and Whittington 1997).</w:t>
      </w:r>
    </w:p>
  </w:footnote>
  <w:footnote w:id="43">
    <w:p w14:paraId="470D3B9D" w14:textId="77777777" w:rsidR="00CC25D3" w:rsidRPr="00E85282" w:rsidRDefault="00CC25D3">
      <w:pPr>
        <w:pStyle w:val="FootnoteText"/>
      </w:pPr>
      <w:r>
        <w:rPr>
          <w:rStyle w:val="FootnoteReference"/>
        </w:rPr>
        <w:footnoteRef/>
      </w:r>
      <w:r>
        <w:t xml:space="preserve"> </w:t>
      </w:r>
      <w:r>
        <w:rPr>
          <w:i/>
        </w:rPr>
        <w:t>R v Kylsant and Another</w:t>
      </w:r>
      <w:r>
        <w:t>.</w:t>
      </w:r>
    </w:p>
  </w:footnote>
  <w:footnote w:id="44">
    <w:p w14:paraId="61B4E36E" w14:textId="77777777" w:rsidR="00CC25D3" w:rsidRDefault="00CC25D3">
      <w:pPr>
        <w:pStyle w:val="FootnoteText"/>
      </w:pPr>
      <w:r>
        <w:rPr>
          <w:rStyle w:val="FootnoteReference"/>
        </w:rPr>
        <w:footnoteRef/>
      </w:r>
      <w:r>
        <w:t xml:space="preserve"> I am grateful to Christopher Napier for suggesting these last ten words, which draw on findings in Brooks (1933, pp. xxviii-xxix).</w:t>
      </w:r>
    </w:p>
  </w:footnote>
  <w:footnote w:id="45">
    <w:p w14:paraId="7385D44A" w14:textId="77777777" w:rsidR="00CC25D3" w:rsidRDefault="00CC25D3">
      <w:pPr>
        <w:pStyle w:val="FootnoteText"/>
      </w:pPr>
      <w:r>
        <w:rPr>
          <w:rStyle w:val="FootnoteReference"/>
        </w:rPr>
        <w:footnoteRef/>
      </w:r>
      <w:r>
        <w:t xml:space="preserve"> In the 1948 Act, which was current until 1981, these terms were found in paragraph 6 of Schedule 8.</w:t>
      </w:r>
    </w:p>
  </w:footnote>
  <w:footnote w:id="46">
    <w:p w14:paraId="702E1936" w14:textId="77777777" w:rsidR="00CC25D3" w:rsidRDefault="00CC25D3">
      <w:pPr>
        <w:pStyle w:val="FootnoteText"/>
      </w:pPr>
      <w:r>
        <w:rPr>
          <w:rStyle w:val="FootnoteReference"/>
        </w:rPr>
        <w:footnoteRef/>
      </w:r>
      <w:r>
        <w:t xml:space="preserve"> IASB (2013, para. 2.11) proposed to change this to ‘a present obligation of the entity to transfer an economic resource as a result of past events’.</w:t>
      </w:r>
    </w:p>
  </w:footnote>
  <w:footnote w:id="47">
    <w:p w14:paraId="338A100C" w14:textId="77777777" w:rsidR="00CC25D3" w:rsidRDefault="00CC25D3">
      <w:pPr>
        <w:pStyle w:val="FootnoteText"/>
      </w:pPr>
      <w:r>
        <w:rPr>
          <w:rStyle w:val="FootnoteReference"/>
        </w:rPr>
        <w:footnoteRef/>
      </w:r>
      <w:r>
        <w:t xml:space="preserve"> ‘Non-controlling interests’ is the term used from 2008 in IFRS; now in IFRS 3 and IFRS 10.  The previous term, ‘minority interests’ is inappropriate when the scope of consolidation includes entities that are controlled even if less than majority owned.</w:t>
      </w:r>
    </w:p>
  </w:footnote>
  <w:footnote w:id="48">
    <w:p w14:paraId="529677B2" w14:textId="77777777" w:rsidR="00CC25D3" w:rsidRDefault="00CC25D3">
      <w:pPr>
        <w:pStyle w:val="FootnoteText"/>
      </w:pPr>
      <w:r>
        <w:rPr>
          <w:rStyle w:val="FootnoteReference"/>
        </w:rPr>
        <w:footnoteRef/>
      </w:r>
      <w:r>
        <w:t xml:space="preserve"> There can be exceptions, e.g. if the parent guarantees dividends to NCI holders.</w:t>
      </w:r>
    </w:p>
  </w:footnote>
  <w:footnote w:id="49">
    <w:p w14:paraId="717AD19C" w14:textId="53202117" w:rsidR="00CC25D3" w:rsidRDefault="00CC25D3">
      <w:pPr>
        <w:pStyle w:val="FootnoteText"/>
      </w:pPr>
      <w:r>
        <w:rPr>
          <w:rStyle w:val="FootnoteReference"/>
        </w:rPr>
        <w:footnoteRef/>
      </w:r>
      <w:r>
        <w:t xml:space="preserve"> The first set of consolidated statements was for U.S. Steel in 1901/2, though consolidation of less-than-wholly-owned subsidiaries did not begin until the 1920s (Walker 1978, p.296).</w:t>
      </w:r>
    </w:p>
  </w:footnote>
  <w:footnote w:id="50">
    <w:p w14:paraId="0FC847BC" w14:textId="77777777" w:rsidR="00CC25D3" w:rsidRDefault="00CC25D3">
      <w:pPr>
        <w:pStyle w:val="FootnoteText"/>
      </w:pPr>
      <w:r>
        <w:rPr>
          <w:rStyle w:val="FootnoteReference"/>
        </w:rPr>
        <w:footnoteRef/>
      </w:r>
      <w:r>
        <w:t xml:space="preserve"> Sometimes as liabilities and sometimes between equity and liabilities.</w:t>
      </w:r>
    </w:p>
  </w:footnote>
  <w:footnote w:id="51">
    <w:p w14:paraId="1174A6BB" w14:textId="12A23EC8" w:rsidR="00CC25D3" w:rsidRDefault="00CC25D3">
      <w:pPr>
        <w:pStyle w:val="FootnoteText"/>
      </w:pPr>
      <w:r>
        <w:rPr>
          <w:rStyle w:val="FootnoteReference"/>
        </w:rPr>
        <w:footnoteRef/>
      </w:r>
      <w:r>
        <w:t xml:space="preserve"> Walker (1978, p. 49) reports on the 1920s. The Companies Acts formats (e.g. Schedule 4A, para 17 of the 1985 Act) require minority interests to be shown separately. In practice, this was outside of equity (PwC 2007, p.24096).</w:t>
      </w:r>
    </w:p>
  </w:footnote>
  <w:footnote w:id="52">
    <w:p w14:paraId="432D0696" w14:textId="77777777" w:rsidR="00CC25D3" w:rsidRDefault="00CC25D3">
      <w:pPr>
        <w:pStyle w:val="FootnoteText"/>
      </w:pPr>
      <w:r>
        <w:rPr>
          <w:rStyle w:val="FootnoteReference"/>
        </w:rPr>
        <w:footnoteRef/>
      </w:r>
      <w:r>
        <w:t xml:space="preserve"> IAS 3 (para. 43) required that minority interest should not be shown as equity. IAS 27, from 1988 until 2003, required it to be shown separately from liabilities and parent’s equity, and afterwards within equity, separately from parent’s equity.</w:t>
      </w:r>
    </w:p>
  </w:footnote>
  <w:footnote w:id="53">
    <w:p w14:paraId="31627A3D" w14:textId="77777777" w:rsidR="00CC25D3" w:rsidRPr="001830D5" w:rsidRDefault="00CC25D3">
      <w:pPr>
        <w:pStyle w:val="FootnoteText"/>
      </w:pPr>
      <w:r>
        <w:rPr>
          <w:rStyle w:val="FootnoteReference"/>
        </w:rPr>
        <w:footnoteRef/>
      </w:r>
      <w:r>
        <w:t xml:space="preserve"> This is of some relevance; see Horton </w:t>
      </w:r>
      <w:r>
        <w:rPr>
          <w:i/>
        </w:rPr>
        <w:t>et al</w:t>
      </w:r>
      <w:r>
        <w:t>. (2011) and Nobes (2011).</w:t>
      </w:r>
    </w:p>
  </w:footnote>
  <w:footnote w:id="54">
    <w:p w14:paraId="29F85685" w14:textId="77777777" w:rsidR="00CC25D3" w:rsidRDefault="00CC25D3">
      <w:pPr>
        <w:pStyle w:val="FootnoteText"/>
      </w:pPr>
      <w:r>
        <w:rPr>
          <w:rStyle w:val="FootnoteReference"/>
        </w:rPr>
        <w:footnoteRef/>
      </w:r>
      <w:r>
        <w:t xml:space="preserve"> Depending on the state of the industry, it might be less, but H&amp;W won the contract under competitive conditions.</w:t>
      </w:r>
    </w:p>
  </w:footnote>
  <w:footnote w:id="55">
    <w:p w14:paraId="371BF66C" w14:textId="77777777" w:rsidR="00CC25D3" w:rsidRDefault="00CC25D3">
      <w:pPr>
        <w:pStyle w:val="FootnoteText"/>
      </w:pPr>
      <w:r>
        <w:rPr>
          <w:rStyle w:val="FootnoteReference"/>
        </w:rPr>
        <w:footnoteRef/>
      </w:r>
      <w:r>
        <w:t xml:space="preserve"> Richard Macve suggests (in a letter to me of 6 November 2014) that the following, </w:t>
      </w:r>
      <w:r w:rsidRPr="000E60F0">
        <w:rPr>
          <w:i/>
        </w:rPr>
        <w:t>inter alia</w:t>
      </w:r>
      <w:r>
        <w:t xml:space="preserve">, are relevant: </w:t>
      </w:r>
      <w:r>
        <w:rPr>
          <w:bCs/>
        </w:rPr>
        <w:t>the structure of competition in the market; the degree of uncertainty/risk in performing the contract; what ‘overheads’ H&amp;W is committed to incurring (but that are not yet accounted for); and what previously expensed intangibles (e.g. brand reputation) are being recovered in the price.</w:t>
      </w:r>
    </w:p>
  </w:footnote>
  <w:footnote w:id="56">
    <w:p w14:paraId="46C9595D" w14:textId="77777777" w:rsidR="00CC25D3" w:rsidRPr="009853E5" w:rsidRDefault="00CC25D3" w:rsidP="009853E5">
      <w:pPr>
        <w:pStyle w:val="NormalWeb"/>
        <w:rPr>
          <w:sz w:val="20"/>
          <w:szCs w:val="20"/>
        </w:rPr>
      </w:pPr>
      <w:r w:rsidRPr="009853E5">
        <w:rPr>
          <w:rStyle w:val="FootnoteReference"/>
          <w:sz w:val="20"/>
          <w:szCs w:val="20"/>
        </w:rPr>
        <w:footnoteRef/>
      </w:r>
      <w:r w:rsidRPr="009853E5">
        <w:rPr>
          <w:sz w:val="20"/>
          <w:szCs w:val="20"/>
        </w:rPr>
        <w:t xml:space="preserve"> This is the basis for pension obligations, lease liabilities, provisions and deferred tax. It could also be said to be consistent with </w:t>
      </w:r>
      <w:r>
        <w:rPr>
          <w:sz w:val="20"/>
          <w:szCs w:val="20"/>
        </w:rPr>
        <w:t xml:space="preserve">the measurement of </w:t>
      </w:r>
      <w:r w:rsidRPr="009853E5">
        <w:rPr>
          <w:sz w:val="20"/>
          <w:szCs w:val="20"/>
        </w:rPr>
        <w:t>bank loans and accounts payable.</w:t>
      </w:r>
    </w:p>
    <w:p w14:paraId="35760D3E" w14:textId="77777777" w:rsidR="00CC25D3" w:rsidRDefault="00CC25D3">
      <w:pPr>
        <w:pStyle w:val="FootnoteText"/>
      </w:pPr>
    </w:p>
  </w:footnote>
  <w:footnote w:id="57">
    <w:p w14:paraId="0CE6CFCE" w14:textId="77777777" w:rsidR="00CC25D3" w:rsidRDefault="00CC25D3">
      <w:pPr>
        <w:pStyle w:val="FootnoteText"/>
      </w:pPr>
      <w:r>
        <w:rPr>
          <w:rStyle w:val="FootnoteReference"/>
        </w:rPr>
        <w:footnoteRef/>
      </w:r>
      <w:r>
        <w:t xml:space="preserve"> The punctuation in this title is as in the original.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CBA50" w14:textId="77777777" w:rsidR="00CC25D3" w:rsidRDefault="00CC25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487240"/>
      <w:docPartObj>
        <w:docPartGallery w:val="Page Numbers (Top of Page)"/>
        <w:docPartUnique/>
      </w:docPartObj>
    </w:sdtPr>
    <w:sdtEndPr>
      <w:rPr>
        <w:noProof/>
      </w:rPr>
    </w:sdtEndPr>
    <w:sdtContent>
      <w:p w14:paraId="0225FC74" w14:textId="77777777" w:rsidR="00CC25D3" w:rsidRDefault="00CC25D3">
        <w:pPr>
          <w:pStyle w:val="Header"/>
          <w:jc w:val="right"/>
        </w:pPr>
        <w:r>
          <w:fldChar w:fldCharType="begin"/>
        </w:r>
        <w:r>
          <w:instrText xml:space="preserve"> PAGE   \* MERGEFORMAT </w:instrText>
        </w:r>
        <w:r>
          <w:fldChar w:fldCharType="separate"/>
        </w:r>
        <w:r w:rsidR="00233E77">
          <w:rPr>
            <w:noProof/>
          </w:rPr>
          <w:t>2</w:t>
        </w:r>
        <w:r>
          <w:rPr>
            <w:noProof/>
          </w:rPr>
          <w:fldChar w:fldCharType="end"/>
        </w:r>
      </w:p>
    </w:sdtContent>
  </w:sdt>
  <w:p w14:paraId="0652927C" w14:textId="77777777" w:rsidR="00CC25D3" w:rsidRDefault="00CC25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7BCE" w14:textId="77777777" w:rsidR="00CC25D3" w:rsidRDefault="00CC25D3">
    <w:pPr>
      <w:pStyle w:val="Header"/>
      <w:jc w:val="right"/>
    </w:pPr>
  </w:p>
  <w:p w14:paraId="0D4875EA" w14:textId="77777777" w:rsidR="00CC25D3" w:rsidRDefault="00CC25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295652"/>
      <w:docPartObj>
        <w:docPartGallery w:val="Page Numbers (Top of Page)"/>
        <w:docPartUnique/>
      </w:docPartObj>
    </w:sdtPr>
    <w:sdtEndPr>
      <w:rPr>
        <w:noProof/>
      </w:rPr>
    </w:sdtEndPr>
    <w:sdtContent>
      <w:p w14:paraId="09A7660D" w14:textId="77777777" w:rsidR="00CC25D3" w:rsidRDefault="00CC25D3">
        <w:pPr>
          <w:pStyle w:val="Header"/>
          <w:jc w:val="right"/>
        </w:pPr>
        <w:r>
          <w:fldChar w:fldCharType="begin"/>
        </w:r>
        <w:r>
          <w:instrText xml:space="preserve"> PAGE   \* MERGEFORMAT </w:instrText>
        </w:r>
        <w:r>
          <w:fldChar w:fldCharType="separate"/>
        </w:r>
        <w:r w:rsidR="006C3380">
          <w:rPr>
            <w:noProof/>
          </w:rPr>
          <w:t>56</w:t>
        </w:r>
        <w:r>
          <w:rPr>
            <w:noProof/>
          </w:rPr>
          <w:fldChar w:fldCharType="end"/>
        </w:r>
      </w:p>
    </w:sdtContent>
  </w:sdt>
  <w:p w14:paraId="7602A463" w14:textId="77777777" w:rsidR="00CC25D3" w:rsidRDefault="00CC25D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16911" w14:textId="77777777" w:rsidR="00CC25D3" w:rsidRDefault="00CC25D3">
    <w:pPr>
      <w:pStyle w:val="Header"/>
      <w:jc w:val="right"/>
    </w:pPr>
  </w:p>
  <w:p w14:paraId="73285DAE" w14:textId="77777777" w:rsidR="00CC25D3" w:rsidRDefault="00CC25D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594730"/>
      <w:docPartObj>
        <w:docPartGallery w:val="Page Numbers (Top of Page)"/>
        <w:docPartUnique/>
      </w:docPartObj>
    </w:sdtPr>
    <w:sdtEndPr>
      <w:rPr>
        <w:noProof/>
      </w:rPr>
    </w:sdtEndPr>
    <w:sdtContent>
      <w:p w14:paraId="5EDF673D" w14:textId="77777777" w:rsidR="00CC25D3" w:rsidRDefault="00CC25D3">
        <w:pPr>
          <w:pStyle w:val="Header"/>
          <w:jc w:val="right"/>
        </w:pPr>
        <w:r>
          <w:fldChar w:fldCharType="begin"/>
        </w:r>
        <w:r>
          <w:instrText xml:space="preserve"> PAGE   \* MERGEFORMAT </w:instrText>
        </w:r>
        <w:r>
          <w:fldChar w:fldCharType="separate"/>
        </w:r>
        <w:r w:rsidR="006C3380">
          <w:rPr>
            <w:noProof/>
          </w:rPr>
          <w:t>57</w:t>
        </w:r>
        <w:r>
          <w:rPr>
            <w:noProof/>
          </w:rPr>
          <w:fldChar w:fldCharType="end"/>
        </w:r>
      </w:p>
    </w:sdtContent>
  </w:sdt>
  <w:p w14:paraId="3B8867F3" w14:textId="77777777" w:rsidR="00CC25D3" w:rsidRDefault="00CC25D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A3368" w14:textId="77777777" w:rsidR="00CC25D3" w:rsidRDefault="00CC25D3">
    <w:pPr>
      <w:pStyle w:val="Header"/>
      <w:jc w:val="right"/>
    </w:pPr>
  </w:p>
  <w:p w14:paraId="6EB2E5D5" w14:textId="77777777" w:rsidR="00CC25D3" w:rsidRDefault="00CC2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C276C"/>
    <w:multiLevelType w:val="hybridMultilevel"/>
    <w:tmpl w:val="A53C5EC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A47C6"/>
    <w:multiLevelType w:val="hybridMultilevel"/>
    <w:tmpl w:val="99DE43B4"/>
    <w:lvl w:ilvl="0" w:tplc="F4027C1C">
      <w:start w:val="1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3D4A57"/>
    <w:multiLevelType w:val="hybridMultilevel"/>
    <w:tmpl w:val="EF66B4A8"/>
    <w:lvl w:ilvl="0" w:tplc="2DEC35DC">
      <w:start w:val="1"/>
      <w:numFmt w:val="lowerRoman"/>
      <w:lvlText w:val="(%1)"/>
      <w:lvlJc w:val="left"/>
      <w:pPr>
        <w:ind w:left="1440"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FB19BB"/>
    <w:multiLevelType w:val="hybridMultilevel"/>
    <w:tmpl w:val="DC0EB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084034"/>
    <w:multiLevelType w:val="hybridMultilevel"/>
    <w:tmpl w:val="2524509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430297"/>
    <w:multiLevelType w:val="hybridMultilevel"/>
    <w:tmpl w:val="A53C5EC6"/>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635F77"/>
    <w:multiLevelType w:val="hybridMultilevel"/>
    <w:tmpl w:val="FC2818A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594691"/>
    <w:multiLevelType w:val="hybridMultilevel"/>
    <w:tmpl w:val="4B4884EA"/>
    <w:lvl w:ilvl="0" w:tplc="73A8906E">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FE4F50"/>
    <w:multiLevelType w:val="hybridMultilevel"/>
    <w:tmpl w:val="9BB604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762E28"/>
    <w:multiLevelType w:val="hybridMultilevel"/>
    <w:tmpl w:val="1D06EB7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A75718"/>
    <w:multiLevelType w:val="hybridMultilevel"/>
    <w:tmpl w:val="77183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5C3C7D"/>
    <w:multiLevelType w:val="hybridMultilevel"/>
    <w:tmpl w:val="14AE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F9785A"/>
    <w:multiLevelType w:val="hybridMultilevel"/>
    <w:tmpl w:val="75D25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6A62EF"/>
    <w:multiLevelType w:val="hybridMultilevel"/>
    <w:tmpl w:val="EBE8A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3"/>
  </w:num>
  <w:num w:numId="4">
    <w:abstractNumId w:val="10"/>
  </w:num>
  <w:num w:numId="5">
    <w:abstractNumId w:val="2"/>
  </w:num>
  <w:num w:numId="6">
    <w:abstractNumId w:val="12"/>
  </w:num>
  <w:num w:numId="7">
    <w:abstractNumId w:val="9"/>
  </w:num>
  <w:num w:numId="8">
    <w:abstractNumId w:val="7"/>
  </w:num>
  <w:num w:numId="9">
    <w:abstractNumId w:val="1"/>
  </w:num>
  <w:num w:numId="10">
    <w:abstractNumId w:val="8"/>
  </w:num>
  <w:num w:numId="11">
    <w:abstractNumId w:val="6"/>
  </w:num>
  <w:num w:numId="12">
    <w:abstractNumId w:val="5"/>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doNotTrackFormatting/>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E3"/>
    <w:rsid w:val="00006A56"/>
    <w:rsid w:val="00006CB0"/>
    <w:rsid w:val="000134E8"/>
    <w:rsid w:val="00013BBE"/>
    <w:rsid w:val="000140B4"/>
    <w:rsid w:val="00014DC0"/>
    <w:rsid w:val="000222E6"/>
    <w:rsid w:val="0002357A"/>
    <w:rsid w:val="000255C3"/>
    <w:rsid w:val="0002669C"/>
    <w:rsid w:val="00030498"/>
    <w:rsid w:val="00031746"/>
    <w:rsid w:val="000317BD"/>
    <w:rsid w:val="00036EBF"/>
    <w:rsid w:val="00037318"/>
    <w:rsid w:val="000469A5"/>
    <w:rsid w:val="00053237"/>
    <w:rsid w:val="0005334D"/>
    <w:rsid w:val="0005375B"/>
    <w:rsid w:val="000551ED"/>
    <w:rsid w:val="00055665"/>
    <w:rsid w:val="000610BB"/>
    <w:rsid w:val="00073B13"/>
    <w:rsid w:val="00073F9F"/>
    <w:rsid w:val="0007403A"/>
    <w:rsid w:val="00076F46"/>
    <w:rsid w:val="000770EC"/>
    <w:rsid w:val="00082BC8"/>
    <w:rsid w:val="00083664"/>
    <w:rsid w:val="00083745"/>
    <w:rsid w:val="00085A31"/>
    <w:rsid w:val="00092CE5"/>
    <w:rsid w:val="00093397"/>
    <w:rsid w:val="000951D7"/>
    <w:rsid w:val="000966D4"/>
    <w:rsid w:val="000A0D25"/>
    <w:rsid w:val="000A36B7"/>
    <w:rsid w:val="000B00E0"/>
    <w:rsid w:val="000B185C"/>
    <w:rsid w:val="000B189A"/>
    <w:rsid w:val="000B1A85"/>
    <w:rsid w:val="000B1B81"/>
    <w:rsid w:val="000B2F6A"/>
    <w:rsid w:val="000B5017"/>
    <w:rsid w:val="000B6427"/>
    <w:rsid w:val="000D000F"/>
    <w:rsid w:val="000D197B"/>
    <w:rsid w:val="000D1EBE"/>
    <w:rsid w:val="000D5639"/>
    <w:rsid w:val="000E1E15"/>
    <w:rsid w:val="000E2872"/>
    <w:rsid w:val="000E3F25"/>
    <w:rsid w:val="000E42CE"/>
    <w:rsid w:val="000E60F0"/>
    <w:rsid w:val="000E639C"/>
    <w:rsid w:val="000F3A0E"/>
    <w:rsid w:val="000F3BAD"/>
    <w:rsid w:val="000F49DB"/>
    <w:rsid w:val="000F7898"/>
    <w:rsid w:val="00104E02"/>
    <w:rsid w:val="00105369"/>
    <w:rsid w:val="001055A0"/>
    <w:rsid w:val="001066AA"/>
    <w:rsid w:val="00106C9B"/>
    <w:rsid w:val="00107940"/>
    <w:rsid w:val="001145F1"/>
    <w:rsid w:val="00116B6A"/>
    <w:rsid w:val="0012006B"/>
    <w:rsid w:val="00124E32"/>
    <w:rsid w:val="0012576C"/>
    <w:rsid w:val="00127B10"/>
    <w:rsid w:val="00127F8D"/>
    <w:rsid w:val="0013733F"/>
    <w:rsid w:val="0014109F"/>
    <w:rsid w:val="0014133F"/>
    <w:rsid w:val="00142971"/>
    <w:rsid w:val="00143C9E"/>
    <w:rsid w:val="00143CEE"/>
    <w:rsid w:val="00144680"/>
    <w:rsid w:val="001468A5"/>
    <w:rsid w:val="0015149D"/>
    <w:rsid w:val="00151FC8"/>
    <w:rsid w:val="001567C9"/>
    <w:rsid w:val="00161F59"/>
    <w:rsid w:val="00162A65"/>
    <w:rsid w:val="00163815"/>
    <w:rsid w:val="00164166"/>
    <w:rsid w:val="00166526"/>
    <w:rsid w:val="00166C69"/>
    <w:rsid w:val="0016772E"/>
    <w:rsid w:val="0017208F"/>
    <w:rsid w:val="00175FFC"/>
    <w:rsid w:val="0017770B"/>
    <w:rsid w:val="001814B5"/>
    <w:rsid w:val="00182D1D"/>
    <w:rsid w:val="001830D5"/>
    <w:rsid w:val="0018489C"/>
    <w:rsid w:val="0018502A"/>
    <w:rsid w:val="00187D8A"/>
    <w:rsid w:val="00187DFC"/>
    <w:rsid w:val="0019174E"/>
    <w:rsid w:val="00191A5C"/>
    <w:rsid w:val="001944C8"/>
    <w:rsid w:val="00196FFD"/>
    <w:rsid w:val="00197F23"/>
    <w:rsid w:val="001A05D4"/>
    <w:rsid w:val="001A2FDA"/>
    <w:rsid w:val="001B0941"/>
    <w:rsid w:val="001B1E49"/>
    <w:rsid w:val="001B25EB"/>
    <w:rsid w:val="001B727B"/>
    <w:rsid w:val="001C05AD"/>
    <w:rsid w:val="001C1FB7"/>
    <w:rsid w:val="001C5C94"/>
    <w:rsid w:val="001D39FC"/>
    <w:rsid w:val="001D524E"/>
    <w:rsid w:val="001E1553"/>
    <w:rsid w:val="001E1716"/>
    <w:rsid w:val="001E59F5"/>
    <w:rsid w:val="001E69F3"/>
    <w:rsid w:val="001F15F7"/>
    <w:rsid w:val="001F4E42"/>
    <w:rsid w:val="001F61CC"/>
    <w:rsid w:val="002043B5"/>
    <w:rsid w:val="00207DDD"/>
    <w:rsid w:val="00207F67"/>
    <w:rsid w:val="00212057"/>
    <w:rsid w:val="00212249"/>
    <w:rsid w:val="00215FCB"/>
    <w:rsid w:val="002315EA"/>
    <w:rsid w:val="00233E77"/>
    <w:rsid w:val="00236FC5"/>
    <w:rsid w:val="00246AC8"/>
    <w:rsid w:val="002473A2"/>
    <w:rsid w:val="00250B64"/>
    <w:rsid w:val="002560F3"/>
    <w:rsid w:val="00256F79"/>
    <w:rsid w:val="0025708A"/>
    <w:rsid w:val="00257F7B"/>
    <w:rsid w:val="00264F86"/>
    <w:rsid w:val="0026722E"/>
    <w:rsid w:val="002713F6"/>
    <w:rsid w:val="00271B19"/>
    <w:rsid w:val="00272B15"/>
    <w:rsid w:val="0027319E"/>
    <w:rsid w:val="00273553"/>
    <w:rsid w:val="0027553F"/>
    <w:rsid w:val="00275A97"/>
    <w:rsid w:val="00275C1B"/>
    <w:rsid w:val="00276DF5"/>
    <w:rsid w:val="0028069B"/>
    <w:rsid w:val="00281A77"/>
    <w:rsid w:val="00282306"/>
    <w:rsid w:val="00282374"/>
    <w:rsid w:val="00284288"/>
    <w:rsid w:val="00284EE6"/>
    <w:rsid w:val="00284FE9"/>
    <w:rsid w:val="00285086"/>
    <w:rsid w:val="00287B02"/>
    <w:rsid w:val="00293180"/>
    <w:rsid w:val="0029346E"/>
    <w:rsid w:val="0029365A"/>
    <w:rsid w:val="002956B6"/>
    <w:rsid w:val="002A0B03"/>
    <w:rsid w:val="002A5669"/>
    <w:rsid w:val="002A6379"/>
    <w:rsid w:val="002B2ABD"/>
    <w:rsid w:val="002B4E37"/>
    <w:rsid w:val="002C6DCA"/>
    <w:rsid w:val="002D1325"/>
    <w:rsid w:val="002D6665"/>
    <w:rsid w:val="002E035E"/>
    <w:rsid w:val="002E38C3"/>
    <w:rsid w:val="002E59DE"/>
    <w:rsid w:val="002E7185"/>
    <w:rsid w:val="002F7021"/>
    <w:rsid w:val="003028A2"/>
    <w:rsid w:val="00304058"/>
    <w:rsid w:val="0031059E"/>
    <w:rsid w:val="00315487"/>
    <w:rsid w:val="0031580E"/>
    <w:rsid w:val="00321AD5"/>
    <w:rsid w:val="00322AC5"/>
    <w:rsid w:val="00323C6C"/>
    <w:rsid w:val="00325947"/>
    <w:rsid w:val="00327709"/>
    <w:rsid w:val="00332690"/>
    <w:rsid w:val="00333F66"/>
    <w:rsid w:val="00335D7E"/>
    <w:rsid w:val="00342DDC"/>
    <w:rsid w:val="00344788"/>
    <w:rsid w:val="003469E7"/>
    <w:rsid w:val="00347F76"/>
    <w:rsid w:val="00350E86"/>
    <w:rsid w:val="00354E6A"/>
    <w:rsid w:val="003558EC"/>
    <w:rsid w:val="00365493"/>
    <w:rsid w:val="00365811"/>
    <w:rsid w:val="00371144"/>
    <w:rsid w:val="00373A17"/>
    <w:rsid w:val="00374145"/>
    <w:rsid w:val="00374F0E"/>
    <w:rsid w:val="00376AE3"/>
    <w:rsid w:val="003776F4"/>
    <w:rsid w:val="00381284"/>
    <w:rsid w:val="0038342F"/>
    <w:rsid w:val="003860AC"/>
    <w:rsid w:val="003908DD"/>
    <w:rsid w:val="00391C8F"/>
    <w:rsid w:val="00392C02"/>
    <w:rsid w:val="00396F58"/>
    <w:rsid w:val="003A08B1"/>
    <w:rsid w:val="003A193F"/>
    <w:rsid w:val="003A1983"/>
    <w:rsid w:val="003A269A"/>
    <w:rsid w:val="003A2D15"/>
    <w:rsid w:val="003B4B21"/>
    <w:rsid w:val="003B6C89"/>
    <w:rsid w:val="003C3991"/>
    <w:rsid w:val="003C4897"/>
    <w:rsid w:val="003C4C5A"/>
    <w:rsid w:val="003C5CC8"/>
    <w:rsid w:val="003D033E"/>
    <w:rsid w:val="003D2591"/>
    <w:rsid w:val="003D3B6D"/>
    <w:rsid w:val="003D5414"/>
    <w:rsid w:val="003D5C8C"/>
    <w:rsid w:val="003E3A31"/>
    <w:rsid w:val="003E60AB"/>
    <w:rsid w:val="003E6E9D"/>
    <w:rsid w:val="003F1DE1"/>
    <w:rsid w:val="003F3703"/>
    <w:rsid w:val="003F3741"/>
    <w:rsid w:val="003F4EB3"/>
    <w:rsid w:val="003F5A3B"/>
    <w:rsid w:val="003F5C61"/>
    <w:rsid w:val="00400D53"/>
    <w:rsid w:val="0040280E"/>
    <w:rsid w:val="004038DB"/>
    <w:rsid w:val="00406543"/>
    <w:rsid w:val="00410375"/>
    <w:rsid w:val="004113FC"/>
    <w:rsid w:val="00413507"/>
    <w:rsid w:val="0041401C"/>
    <w:rsid w:val="004207D7"/>
    <w:rsid w:val="00420A06"/>
    <w:rsid w:val="00421F51"/>
    <w:rsid w:val="00423618"/>
    <w:rsid w:val="004244F4"/>
    <w:rsid w:val="00424E61"/>
    <w:rsid w:val="00425049"/>
    <w:rsid w:val="0042522B"/>
    <w:rsid w:val="00431E87"/>
    <w:rsid w:val="0043364A"/>
    <w:rsid w:val="00437D6D"/>
    <w:rsid w:val="0044134F"/>
    <w:rsid w:val="0044188E"/>
    <w:rsid w:val="004501B4"/>
    <w:rsid w:val="00450FCE"/>
    <w:rsid w:val="00451B0B"/>
    <w:rsid w:val="00453961"/>
    <w:rsid w:val="004554C4"/>
    <w:rsid w:val="00455AEE"/>
    <w:rsid w:val="00455B46"/>
    <w:rsid w:val="0045637F"/>
    <w:rsid w:val="00460C6E"/>
    <w:rsid w:val="00467719"/>
    <w:rsid w:val="00467802"/>
    <w:rsid w:val="00471972"/>
    <w:rsid w:val="00472DF3"/>
    <w:rsid w:val="00481D71"/>
    <w:rsid w:val="004830A7"/>
    <w:rsid w:val="00485E01"/>
    <w:rsid w:val="00486853"/>
    <w:rsid w:val="00487DE1"/>
    <w:rsid w:val="00490DE6"/>
    <w:rsid w:val="00497D40"/>
    <w:rsid w:val="00497F76"/>
    <w:rsid w:val="004A1CC0"/>
    <w:rsid w:val="004A5E55"/>
    <w:rsid w:val="004B436E"/>
    <w:rsid w:val="004B530D"/>
    <w:rsid w:val="004B7621"/>
    <w:rsid w:val="004B7C1A"/>
    <w:rsid w:val="004B7D1E"/>
    <w:rsid w:val="004C0828"/>
    <w:rsid w:val="004C29C5"/>
    <w:rsid w:val="004C4517"/>
    <w:rsid w:val="004D09CD"/>
    <w:rsid w:val="004D0B8D"/>
    <w:rsid w:val="004D1EFF"/>
    <w:rsid w:val="004D2CD7"/>
    <w:rsid w:val="004D358D"/>
    <w:rsid w:val="004D6CCB"/>
    <w:rsid w:val="004E09C0"/>
    <w:rsid w:val="004E17DB"/>
    <w:rsid w:val="004E563C"/>
    <w:rsid w:val="004E7D41"/>
    <w:rsid w:val="004F2C1B"/>
    <w:rsid w:val="004F3149"/>
    <w:rsid w:val="004F3D97"/>
    <w:rsid w:val="004F557B"/>
    <w:rsid w:val="004F5763"/>
    <w:rsid w:val="004F6AD6"/>
    <w:rsid w:val="004F7696"/>
    <w:rsid w:val="005012BC"/>
    <w:rsid w:val="00502979"/>
    <w:rsid w:val="0050398B"/>
    <w:rsid w:val="0050432C"/>
    <w:rsid w:val="00504BDB"/>
    <w:rsid w:val="00505256"/>
    <w:rsid w:val="005073DC"/>
    <w:rsid w:val="0051047B"/>
    <w:rsid w:val="0051184C"/>
    <w:rsid w:val="005139A7"/>
    <w:rsid w:val="0051433A"/>
    <w:rsid w:val="00517EE4"/>
    <w:rsid w:val="00520923"/>
    <w:rsid w:val="005220A1"/>
    <w:rsid w:val="005228BA"/>
    <w:rsid w:val="00522AD8"/>
    <w:rsid w:val="00524229"/>
    <w:rsid w:val="00524E7F"/>
    <w:rsid w:val="00532321"/>
    <w:rsid w:val="00537017"/>
    <w:rsid w:val="005377CB"/>
    <w:rsid w:val="0054082F"/>
    <w:rsid w:val="00542A44"/>
    <w:rsid w:val="005505B9"/>
    <w:rsid w:val="005520DF"/>
    <w:rsid w:val="00552172"/>
    <w:rsid w:val="00556DCA"/>
    <w:rsid w:val="0056131A"/>
    <w:rsid w:val="005615E8"/>
    <w:rsid w:val="00564952"/>
    <w:rsid w:val="005748CC"/>
    <w:rsid w:val="00574E45"/>
    <w:rsid w:val="0058128B"/>
    <w:rsid w:val="00582088"/>
    <w:rsid w:val="0058227D"/>
    <w:rsid w:val="005823CC"/>
    <w:rsid w:val="00582654"/>
    <w:rsid w:val="0058385A"/>
    <w:rsid w:val="00586154"/>
    <w:rsid w:val="005905BA"/>
    <w:rsid w:val="00593A10"/>
    <w:rsid w:val="00595E47"/>
    <w:rsid w:val="00596702"/>
    <w:rsid w:val="00596D6D"/>
    <w:rsid w:val="005A258E"/>
    <w:rsid w:val="005A314F"/>
    <w:rsid w:val="005A3EB4"/>
    <w:rsid w:val="005A4F28"/>
    <w:rsid w:val="005B57C1"/>
    <w:rsid w:val="005B5BFE"/>
    <w:rsid w:val="005C3894"/>
    <w:rsid w:val="005C3C52"/>
    <w:rsid w:val="005C60F4"/>
    <w:rsid w:val="005D2353"/>
    <w:rsid w:val="005D2406"/>
    <w:rsid w:val="005D2B9E"/>
    <w:rsid w:val="005D45B6"/>
    <w:rsid w:val="005D7872"/>
    <w:rsid w:val="005E23B3"/>
    <w:rsid w:val="005E7D00"/>
    <w:rsid w:val="005F027A"/>
    <w:rsid w:val="005F1AA2"/>
    <w:rsid w:val="005F262E"/>
    <w:rsid w:val="005F2B91"/>
    <w:rsid w:val="005F2D9C"/>
    <w:rsid w:val="005F3B07"/>
    <w:rsid w:val="005F7589"/>
    <w:rsid w:val="006007CF"/>
    <w:rsid w:val="0060336B"/>
    <w:rsid w:val="00603C6F"/>
    <w:rsid w:val="006135F0"/>
    <w:rsid w:val="00616A21"/>
    <w:rsid w:val="00625B8C"/>
    <w:rsid w:val="00630740"/>
    <w:rsid w:val="00630D89"/>
    <w:rsid w:val="00633A6E"/>
    <w:rsid w:val="0064099E"/>
    <w:rsid w:val="00640F34"/>
    <w:rsid w:val="006469A2"/>
    <w:rsid w:val="00651CED"/>
    <w:rsid w:val="00662903"/>
    <w:rsid w:val="00665ECC"/>
    <w:rsid w:val="006700CB"/>
    <w:rsid w:val="00671892"/>
    <w:rsid w:val="00673B55"/>
    <w:rsid w:val="00676889"/>
    <w:rsid w:val="006779A8"/>
    <w:rsid w:val="0068131E"/>
    <w:rsid w:val="00684EF9"/>
    <w:rsid w:val="006870D9"/>
    <w:rsid w:val="006871BD"/>
    <w:rsid w:val="00687D48"/>
    <w:rsid w:val="00694817"/>
    <w:rsid w:val="00695A66"/>
    <w:rsid w:val="00697B19"/>
    <w:rsid w:val="006A30BB"/>
    <w:rsid w:val="006A5CC6"/>
    <w:rsid w:val="006A7071"/>
    <w:rsid w:val="006B55DD"/>
    <w:rsid w:val="006B6198"/>
    <w:rsid w:val="006C1F24"/>
    <w:rsid w:val="006C3380"/>
    <w:rsid w:val="006C3D4D"/>
    <w:rsid w:val="006C78F9"/>
    <w:rsid w:val="006D3083"/>
    <w:rsid w:val="006D3808"/>
    <w:rsid w:val="006D3F10"/>
    <w:rsid w:val="006D5EBE"/>
    <w:rsid w:val="006D61AB"/>
    <w:rsid w:val="006E03AB"/>
    <w:rsid w:val="006E43F9"/>
    <w:rsid w:val="006E448D"/>
    <w:rsid w:val="006E5A1B"/>
    <w:rsid w:val="006E671A"/>
    <w:rsid w:val="006E7F2D"/>
    <w:rsid w:val="006F038D"/>
    <w:rsid w:val="006F144C"/>
    <w:rsid w:val="006F2B53"/>
    <w:rsid w:val="006F496C"/>
    <w:rsid w:val="00702EEB"/>
    <w:rsid w:val="00703209"/>
    <w:rsid w:val="0070411C"/>
    <w:rsid w:val="00705F3D"/>
    <w:rsid w:val="0071115E"/>
    <w:rsid w:val="00714E89"/>
    <w:rsid w:val="00717A6C"/>
    <w:rsid w:val="00717F26"/>
    <w:rsid w:val="00720A13"/>
    <w:rsid w:val="0072146B"/>
    <w:rsid w:val="007264AD"/>
    <w:rsid w:val="00730C2D"/>
    <w:rsid w:val="00733F81"/>
    <w:rsid w:val="0074186F"/>
    <w:rsid w:val="00742921"/>
    <w:rsid w:val="007465DE"/>
    <w:rsid w:val="007560CA"/>
    <w:rsid w:val="00760998"/>
    <w:rsid w:val="007779D6"/>
    <w:rsid w:val="00780E9F"/>
    <w:rsid w:val="0078145D"/>
    <w:rsid w:val="00781F9C"/>
    <w:rsid w:val="00784871"/>
    <w:rsid w:val="00786206"/>
    <w:rsid w:val="0079765D"/>
    <w:rsid w:val="007A27E7"/>
    <w:rsid w:val="007A382E"/>
    <w:rsid w:val="007A3B83"/>
    <w:rsid w:val="007A4805"/>
    <w:rsid w:val="007A5064"/>
    <w:rsid w:val="007A5F3C"/>
    <w:rsid w:val="007B1BD3"/>
    <w:rsid w:val="007B331D"/>
    <w:rsid w:val="007C035A"/>
    <w:rsid w:val="007C1E42"/>
    <w:rsid w:val="007C38E4"/>
    <w:rsid w:val="007C4A32"/>
    <w:rsid w:val="007C5FAC"/>
    <w:rsid w:val="007D1AE2"/>
    <w:rsid w:val="007D5165"/>
    <w:rsid w:val="007E1D56"/>
    <w:rsid w:val="007E39F3"/>
    <w:rsid w:val="007E7E99"/>
    <w:rsid w:val="007F19B7"/>
    <w:rsid w:val="007F23F3"/>
    <w:rsid w:val="007F38D6"/>
    <w:rsid w:val="007F3B07"/>
    <w:rsid w:val="007F4948"/>
    <w:rsid w:val="007F7723"/>
    <w:rsid w:val="007F778D"/>
    <w:rsid w:val="00802C29"/>
    <w:rsid w:val="00804E47"/>
    <w:rsid w:val="00811658"/>
    <w:rsid w:val="00815DC6"/>
    <w:rsid w:val="008178AA"/>
    <w:rsid w:val="00824FF8"/>
    <w:rsid w:val="00827003"/>
    <w:rsid w:val="00830898"/>
    <w:rsid w:val="008308EA"/>
    <w:rsid w:val="008339DA"/>
    <w:rsid w:val="008340DC"/>
    <w:rsid w:val="00836BD5"/>
    <w:rsid w:val="008400F7"/>
    <w:rsid w:val="008418F4"/>
    <w:rsid w:val="008461F7"/>
    <w:rsid w:val="0085266C"/>
    <w:rsid w:val="0085266E"/>
    <w:rsid w:val="00854923"/>
    <w:rsid w:val="00856A27"/>
    <w:rsid w:val="00860025"/>
    <w:rsid w:val="00862010"/>
    <w:rsid w:val="0086288D"/>
    <w:rsid w:val="00863D4F"/>
    <w:rsid w:val="00864663"/>
    <w:rsid w:val="00865CA0"/>
    <w:rsid w:val="008675D6"/>
    <w:rsid w:val="00872C2F"/>
    <w:rsid w:val="00875831"/>
    <w:rsid w:val="008765C7"/>
    <w:rsid w:val="0087708E"/>
    <w:rsid w:val="00881BAF"/>
    <w:rsid w:val="008836CA"/>
    <w:rsid w:val="00883FDE"/>
    <w:rsid w:val="008845E5"/>
    <w:rsid w:val="008855C5"/>
    <w:rsid w:val="0088626A"/>
    <w:rsid w:val="00893C1E"/>
    <w:rsid w:val="008947CD"/>
    <w:rsid w:val="00897CDC"/>
    <w:rsid w:val="008A1988"/>
    <w:rsid w:val="008A1DDF"/>
    <w:rsid w:val="008A2767"/>
    <w:rsid w:val="008A5A36"/>
    <w:rsid w:val="008A7DC5"/>
    <w:rsid w:val="008B01E3"/>
    <w:rsid w:val="008B1A5C"/>
    <w:rsid w:val="008B2B22"/>
    <w:rsid w:val="008B3433"/>
    <w:rsid w:val="008B6977"/>
    <w:rsid w:val="008B7C11"/>
    <w:rsid w:val="008C0CFC"/>
    <w:rsid w:val="008C0D6A"/>
    <w:rsid w:val="008C1CD0"/>
    <w:rsid w:val="008C1D59"/>
    <w:rsid w:val="008D0B08"/>
    <w:rsid w:val="008D6833"/>
    <w:rsid w:val="008E3FD1"/>
    <w:rsid w:val="008E6B1E"/>
    <w:rsid w:val="008F07E8"/>
    <w:rsid w:val="008F272E"/>
    <w:rsid w:val="008F4D63"/>
    <w:rsid w:val="008F4FFC"/>
    <w:rsid w:val="00901E8E"/>
    <w:rsid w:val="00902021"/>
    <w:rsid w:val="009023E4"/>
    <w:rsid w:val="00906D22"/>
    <w:rsid w:val="00907502"/>
    <w:rsid w:val="009126CA"/>
    <w:rsid w:val="009135E2"/>
    <w:rsid w:val="00913CB7"/>
    <w:rsid w:val="009141D7"/>
    <w:rsid w:val="0091704F"/>
    <w:rsid w:val="00920124"/>
    <w:rsid w:val="009205BA"/>
    <w:rsid w:val="00921695"/>
    <w:rsid w:val="00925BF9"/>
    <w:rsid w:val="00930142"/>
    <w:rsid w:val="00934D31"/>
    <w:rsid w:val="00936A81"/>
    <w:rsid w:val="009464A9"/>
    <w:rsid w:val="00946C93"/>
    <w:rsid w:val="009512F5"/>
    <w:rsid w:val="00951DCC"/>
    <w:rsid w:val="009541AD"/>
    <w:rsid w:val="00954225"/>
    <w:rsid w:val="00956907"/>
    <w:rsid w:val="00957B48"/>
    <w:rsid w:val="0096062F"/>
    <w:rsid w:val="00960A22"/>
    <w:rsid w:val="00961542"/>
    <w:rsid w:val="00973B11"/>
    <w:rsid w:val="0097460D"/>
    <w:rsid w:val="009757CF"/>
    <w:rsid w:val="00980B91"/>
    <w:rsid w:val="009813B1"/>
    <w:rsid w:val="00984672"/>
    <w:rsid w:val="009853E5"/>
    <w:rsid w:val="00985702"/>
    <w:rsid w:val="00986353"/>
    <w:rsid w:val="00991B96"/>
    <w:rsid w:val="00992C96"/>
    <w:rsid w:val="00993381"/>
    <w:rsid w:val="009A12C1"/>
    <w:rsid w:val="009A3CCC"/>
    <w:rsid w:val="009A4BC5"/>
    <w:rsid w:val="009A538B"/>
    <w:rsid w:val="009A53B6"/>
    <w:rsid w:val="009A5706"/>
    <w:rsid w:val="009B1BF2"/>
    <w:rsid w:val="009B48CB"/>
    <w:rsid w:val="009C212A"/>
    <w:rsid w:val="009C6504"/>
    <w:rsid w:val="009C7909"/>
    <w:rsid w:val="009D00AC"/>
    <w:rsid w:val="009D2368"/>
    <w:rsid w:val="009D2C44"/>
    <w:rsid w:val="009D3965"/>
    <w:rsid w:val="009D3A80"/>
    <w:rsid w:val="009E0218"/>
    <w:rsid w:val="009E0981"/>
    <w:rsid w:val="009E2380"/>
    <w:rsid w:val="009E56F5"/>
    <w:rsid w:val="009E7A57"/>
    <w:rsid w:val="009F3192"/>
    <w:rsid w:val="009F78B6"/>
    <w:rsid w:val="00A02591"/>
    <w:rsid w:val="00A05957"/>
    <w:rsid w:val="00A069BE"/>
    <w:rsid w:val="00A07884"/>
    <w:rsid w:val="00A1016E"/>
    <w:rsid w:val="00A109EA"/>
    <w:rsid w:val="00A14776"/>
    <w:rsid w:val="00A22A98"/>
    <w:rsid w:val="00A23E94"/>
    <w:rsid w:val="00A249DB"/>
    <w:rsid w:val="00A25C53"/>
    <w:rsid w:val="00A30CC2"/>
    <w:rsid w:val="00A314CD"/>
    <w:rsid w:val="00A31F85"/>
    <w:rsid w:val="00A3366B"/>
    <w:rsid w:val="00A37C9D"/>
    <w:rsid w:val="00A40271"/>
    <w:rsid w:val="00A41649"/>
    <w:rsid w:val="00A449D0"/>
    <w:rsid w:val="00A4593E"/>
    <w:rsid w:val="00A4636F"/>
    <w:rsid w:val="00A50B58"/>
    <w:rsid w:val="00A54619"/>
    <w:rsid w:val="00A54E60"/>
    <w:rsid w:val="00A65119"/>
    <w:rsid w:val="00A70F6C"/>
    <w:rsid w:val="00A71388"/>
    <w:rsid w:val="00A7639F"/>
    <w:rsid w:val="00A76BAF"/>
    <w:rsid w:val="00A775AA"/>
    <w:rsid w:val="00A80502"/>
    <w:rsid w:val="00A864F5"/>
    <w:rsid w:val="00A87A0E"/>
    <w:rsid w:val="00A87ED9"/>
    <w:rsid w:val="00A945E1"/>
    <w:rsid w:val="00A94943"/>
    <w:rsid w:val="00A95C29"/>
    <w:rsid w:val="00AA1F0D"/>
    <w:rsid w:val="00AB3845"/>
    <w:rsid w:val="00AB4A59"/>
    <w:rsid w:val="00AB6BFD"/>
    <w:rsid w:val="00AC0BFE"/>
    <w:rsid w:val="00AC6E9F"/>
    <w:rsid w:val="00AC7EFA"/>
    <w:rsid w:val="00AD3589"/>
    <w:rsid w:val="00AE0ABD"/>
    <w:rsid w:val="00AE1CFA"/>
    <w:rsid w:val="00AE2C4D"/>
    <w:rsid w:val="00AE625E"/>
    <w:rsid w:val="00AE7A30"/>
    <w:rsid w:val="00AF0FE9"/>
    <w:rsid w:val="00AF18AD"/>
    <w:rsid w:val="00AF49BE"/>
    <w:rsid w:val="00B02243"/>
    <w:rsid w:val="00B04CAE"/>
    <w:rsid w:val="00B11A48"/>
    <w:rsid w:val="00B13501"/>
    <w:rsid w:val="00B15765"/>
    <w:rsid w:val="00B17915"/>
    <w:rsid w:val="00B20F28"/>
    <w:rsid w:val="00B22216"/>
    <w:rsid w:val="00B2379A"/>
    <w:rsid w:val="00B237CB"/>
    <w:rsid w:val="00B2518A"/>
    <w:rsid w:val="00B252EA"/>
    <w:rsid w:val="00B271C0"/>
    <w:rsid w:val="00B30B48"/>
    <w:rsid w:val="00B316DF"/>
    <w:rsid w:val="00B33CFF"/>
    <w:rsid w:val="00B36868"/>
    <w:rsid w:val="00B45CA2"/>
    <w:rsid w:val="00B511CC"/>
    <w:rsid w:val="00B62AC0"/>
    <w:rsid w:val="00B63012"/>
    <w:rsid w:val="00B7240B"/>
    <w:rsid w:val="00B72440"/>
    <w:rsid w:val="00B74F75"/>
    <w:rsid w:val="00B8010C"/>
    <w:rsid w:val="00B85332"/>
    <w:rsid w:val="00B87C05"/>
    <w:rsid w:val="00B93292"/>
    <w:rsid w:val="00B97F99"/>
    <w:rsid w:val="00BA1CD8"/>
    <w:rsid w:val="00BA344F"/>
    <w:rsid w:val="00BA51CB"/>
    <w:rsid w:val="00BA6D4E"/>
    <w:rsid w:val="00BA7937"/>
    <w:rsid w:val="00BB2945"/>
    <w:rsid w:val="00BB7CA2"/>
    <w:rsid w:val="00BC2900"/>
    <w:rsid w:val="00BC6980"/>
    <w:rsid w:val="00BC7F2D"/>
    <w:rsid w:val="00BD190D"/>
    <w:rsid w:val="00BD21B7"/>
    <w:rsid w:val="00BD22D4"/>
    <w:rsid w:val="00BD2544"/>
    <w:rsid w:val="00BD3092"/>
    <w:rsid w:val="00BD6DDD"/>
    <w:rsid w:val="00BE12AE"/>
    <w:rsid w:val="00BF1A41"/>
    <w:rsid w:val="00BF58F3"/>
    <w:rsid w:val="00BF7509"/>
    <w:rsid w:val="00C00EE2"/>
    <w:rsid w:val="00C011D3"/>
    <w:rsid w:val="00C01E51"/>
    <w:rsid w:val="00C02472"/>
    <w:rsid w:val="00C026C1"/>
    <w:rsid w:val="00C04025"/>
    <w:rsid w:val="00C12D51"/>
    <w:rsid w:val="00C14381"/>
    <w:rsid w:val="00C15431"/>
    <w:rsid w:val="00C16948"/>
    <w:rsid w:val="00C17A68"/>
    <w:rsid w:val="00C23D1F"/>
    <w:rsid w:val="00C26BB1"/>
    <w:rsid w:val="00C30C64"/>
    <w:rsid w:val="00C327C7"/>
    <w:rsid w:val="00C4282C"/>
    <w:rsid w:val="00C501C0"/>
    <w:rsid w:val="00C50DE6"/>
    <w:rsid w:val="00C51128"/>
    <w:rsid w:val="00C53055"/>
    <w:rsid w:val="00C54792"/>
    <w:rsid w:val="00C55B0B"/>
    <w:rsid w:val="00C563D6"/>
    <w:rsid w:val="00C56933"/>
    <w:rsid w:val="00C56A39"/>
    <w:rsid w:val="00C57094"/>
    <w:rsid w:val="00C61050"/>
    <w:rsid w:val="00C6566F"/>
    <w:rsid w:val="00C71D59"/>
    <w:rsid w:val="00C72A87"/>
    <w:rsid w:val="00C73570"/>
    <w:rsid w:val="00C737CF"/>
    <w:rsid w:val="00C765B5"/>
    <w:rsid w:val="00C8005E"/>
    <w:rsid w:val="00C81446"/>
    <w:rsid w:val="00C8173C"/>
    <w:rsid w:val="00C82DD1"/>
    <w:rsid w:val="00C830AC"/>
    <w:rsid w:val="00C8732C"/>
    <w:rsid w:val="00C873DD"/>
    <w:rsid w:val="00C929CB"/>
    <w:rsid w:val="00C955CE"/>
    <w:rsid w:val="00C9626B"/>
    <w:rsid w:val="00CB140D"/>
    <w:rsid w:val="00CB3486"/>
    <w:rsid w:val="00CB53DE"/>
    <w:rsid w:val="00CB652E"/>
    <w:rsid w:val="00CC1448"/>
    <w:rsid w:val="00CC25D3"/>
    <w:rsid w:val="00CC39EF"/>
    <w:rsid w:val="00CC401C"/>
    <w:rsid w:val="00CC7685"/>
    <w:rsid w:val="00CD2717"/>
    <w:rsid w:val="00CD32D5"/>
    <w:rsid w:val="00CD52A4"/>
    <w:rsid w:val="00CE06E9"/>
    <w:rsid w:val="00CE2818"/>
    <w:rsid w:val="00CE2FBA"/>
    <w:rsid w:val="00CE3657"/>
    <w:rsid w:val="00CE6846"/>
    <w:rsid w:val="00CF06F3"/>
    <w:rsid w:val="00D038EA"/>
    <w:rsid w:val="00D05C8F"/>
    <w:rsid w:val="00D062BF"/>
    <w:rsid w:val="00D07E1C"/>
    <w:rsid w:val="00D101F5"/>
    <w:rsid w:val="00D15073"/>
    <w:rsid w:val="00D204BE"/>
    <w:rsid w:val="00D24ADB"/>
    <w:rsid w:val="00D30092"/>
    <w:rsid w:val="00D3109E"/>
    <w:rsid w:val="00D32907"/>
    <w:rsid w:val="00D32F89"/>
    <w:rsid w:val="00D34E91"/>
    <w:rsid w:val="00D4479D"/>
    <w:rsid w:val="00D44BE0"/>
    <w:rsid w:val="00D45B88"/>
    <w:rsid w:val="00D474E5"/>
    <w:rsid w:val="00D502B4"/>
    <w:rsid w:val="00D52553"/>
    <w:rsid w:val="00D55095"/>
    <w:rsid w:val="00D55E27"/>
    <w:rsid w:val="00D578CB"/>
    <w:rsid w:val="00D60C9C"/>
    <w:rsid w:val="00D60E23"/>
    <w:rsid w:val="00D6112B"/>
    <w:rsid w:val="00D61A4D"/>
    <w:rsid w:val="00D63177"/>
    <w:rsid w:val="00D6454B"/>
    <w:rsid w:val="00D67A91"/>
    <w:rsid w:val="00D72385"/>
    <w:rsid w:val="00D73FB2"/>
    <w:rsid w:val="00D7472B"/>
    <w:rsid w:val="00D76143"/>
    <w:rsid w:val="00D8087B"/>
    <w:rsid w:val="00D80BF9"/>
    <w:rsid w:val="00D84E15"/>
    <w:rsid w:val="00D87FD5"/>
    <w:rsid w:val="00D900B9"/>
    <w:rsid w:val="00D922F3"/>
    <w:rsid w:val="00D93C38"/>
    <w:rsid w:val="00D947CE"/>
    <w:rsid w:val="00D947D9"/>
    <w:rsid w:val="00D96642"/>
    <w:rsid w:val="00D973A8"/>
    <w:rsid w:val="00DA0EFA"/>
    <w:rsid w:val="00DA2EBF"/>
    <w:rsid w:val="00DA530C"/>
    <w:rsid w:val="00DB108C"/>
    <w:rsid w:val="00DB122A"/>
    <w:rsid w:val="00DB1B68"/>
    <w:rsid w:val="00DB2138"/>
    <w:rsid w:val="00DB21D9"/>
    <w:rsid w:val="00DB38A7"/>
    <w:rsid w:val="00DB47F9"/>
    <w:rsid w:val="00DB5ACE"/>
    <w:rsid w:val="00DB78AC"/>
    <w:rsid w:val="00DC02E0"/>
    <w:rsid w:val="00DC0E11"/>
    <w:rsid w:val="00DC4F3A"/>
    <w:rsid w:val="00DD0A63"/>
    <w:rsid w:val="00DD31F7"/>
    <w:rsid w:val="00DD443A"/>
    <w:rsid w:val="00DD5A38"/>
    <w:rsid w:val="00DE036D"/>
    <w:rsid w:val="00DE4BF0"/>
    <w:rsid w:val="00DE5B87"/>
    <w:rsid w:val="00DE679C"/>
    <w:rsid w:val="00DF159E"/>
    <w:rsid w:val="00E00E10"/>
    <w:rsid w:val="00E073D7"/>
    <w:rsid w:val="00E07CB0"/>
    <w:rsid w:val="00E12520"/>
    <w:rsid w:val="00E15B26"/>
    <w:rsid w:val="00E20111"/>
    <w:rsid w:val="00E20496"/>
    <w:rsid w:val="00E21C36"/>
    <w:rsid w:val="00E26980"/>
    <w:rsid w:val="00E3017D"/>
    <w:rsid w:val="00E3115B"/>
    <w:rsid w:val="00E370FB"/>
    <w:rsid w:val="00E435F4"/>
    <w:rsid w:val="00E43FE3"/>
    <w:rsid w:val="00E446FC"/>
    <w:rsid w:val="00E477CE"/>
    <w:rsid w:val="00E544A1"/>
    <w:rsid w:val="00E64CAE"/>
    <w:rsid w:val="00E65328"/>
    <w:rsid w:val="00E7111E"/>
    <w:rsid w:val="00E71C06"/>
    <w:rsid w:val="00E7447F"/>
    <w:rsid w:val="00E76E77"/>
    <w:rsid w:val="00E772B0"/>
    <w:rsid w:val="00E77C31"/>
    <w:rsid w:val="00E77CEC"/>
    <w:rsid w:val="00E81D3B"/>
    <w:rsid w:val="00E85282"/>
    <w:rsid w:val="00E87CF9"/>
    <w:rsid w:val="00E90849"/>
    <w:rsid w:val="00E91DD0"/>
    <w:rsid w:val="00E92673"/>
    <w:rsid w:val="00E9269F"/>
    <w:rsid w:val="00E936B0"/>
    <w:rsid w:val="00E9722E"/>
    <w:rsid w:val="00E97C39"/>
    <w:rsid w:val="00EA0A72"/>
    <w:rsid w:val="00EA479A"/>
    <w:rsid w:val="00EA765C"/>
    <w:rsid w:val="00EB490B"/>
    <w:rsid w:val="00EB7E5C"/>
    <w:rsid w:val="00EC28E8"/>
    <w:rsid w:val="00EC44AB"/>
    <w:rsid w:val="00EC4BB2"/>
    <w:rsid w:val="00EC777F"/>
    <w:rsid w:val="00ED3716"/>
    <w:rsid w:val="00ED670A"/>
    <w:rsid w:val="00EE0991"/>
    <w:rsid w:val="00EE21DD"/>
    <w:rsid w:val="00EE5571"/>
    <w:rsid w:val="00EE55C2"/>
    <w:rsid w:val="00EE7684"/>
    <w:rsid w:val="00EF111D"/>
    <w:rsid w:val="00EF723C"/>
    <w:rsid w:val="00F005A5"/>
    <w:rsid w:val="00F03C15"/>
    <w:rsid w:val="00F047C4"/>
    <w:rsid w:val="00F04DF6"/>
    <w:rsid w:val="00F069A9"/>
    <w:rsid w:val="00F074E2"/>
    <w:rsid w:val="00F11717"/>
    <w:rsid w:val="00F13AE0"/>
    <w:rsid w:val="00F1585C"/>
    <w:rsid w:val="00F16466"/>
    <w:rsid w:val="00F16EE8"/>
    <w:rsid w:val="00F17622"/>
    <w:rsid w:val="00F223CA"/>
    <w:rsid w:val="00F242F7"/>
    <w:rsid w:val="00F25B70"/>
    <w:rsid w:val="00F3148A"/>
    <w:rsid w:val="00F40218"/>
    <w:rsid w:val="00F425EF"/>
    <w:rsid w:val="00F45766"/>
    <w:rsid w:val="00F469F7"/>
    <w:rsid w:val="00F4719A"/>
    <w:rsid w:val="00F474BE"/>
    <w:rsid w:val="00F475B5"/>
    <w:rsid w:val="00F52602"/>
    <w:rsid w:val="00F579AE"/>
    <w:rsid w:val="00F61696"/>
    <w:rsid w:val="00F621E3"/>
    <w:rsid w:val="00F62475"/>
    <w:rsid w:val="00F6297F"/>
    <w:rsid w:val="00F64CE7"/>
    <w:rsid w:val="00F669E2"/>
    <w:rsid w:val="00F66A34"/>
    <w:rsid w:val="00F67A93"/>
    <w:rsid w:val="00F7013C"/>
    <w:rsid w:val="00F70B6E"/>
    <w:rsid w:val="00F73F24"/>
    <w:rsid w:val="00F745E3"/>
    <w:rsid w:val="00F76646"/>
    <w:rsid w:val="00F77D05"/>
    <w:rsid w:val="00F83579"/>
    <w:rsid w:val="00F837F1"/>
    <w:rsid w:val="00F8397E"/>
    <w:rsid w:val="00F841A2"/>
    <w:rsid w:val="00F85283"/>
    <w:rsid w:val="00F87EFB"/>
    <w:rsid w:val="00F90D91"/>
    <w:rsid w:val="00F9214B"/>
    <w:rsid w:val="00F93B15"/>
    <w:rsid w:val="00FA1648"/>
    <w:rsid w:val="00FA2196"/>
    <w:rsid w:val="00FA36C7"/>
    <w:rsid w:val="00FA4F86"/>
    <w:rsid w:val="00FB00C8"/>
    <w:rsid w:val="00FB37D5"/>
    <w:rsid w:val="00FB5116"/>
    <w:rsid w:val="00FB7D35"/>
    <w:rsid w:val="00FC3269"/>
    <w:rsid w:val="00FC468D"/>
    <w:rsid w:val="00FC4CB2"/>
    <w:rsid w:val="00FC5322"/>
    <w:rsid w:val="00FD1F82"/>
    <w:rsid w:val="00FD4095"/>
    <w:rsid w:val="00FE693E"/>
    <w:rsid w:val="00FF218A"/>
    <w:rsid w:val="00FF6ECE"/>
    <w:rsid w:val="00FF7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AA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B0B"/>
  </w:style>
  <w:style w:type="paragraph" w:styleId="Footer">
    <w:name w:val="footer"/>
    <w:basedOn w:val="Normal"/>
    <w:link w:val="FooterChar"/>
    <w:uiPriority w:val="99"/>
    <w:unhideWhenUsed/>
    <w:rsid w:val="00C55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B0B"/>
  </w:style>
  <w:style w:type="paragraph" w:styleId="FootnoteText">
    <w:name w:val="footnote text"/>
    <w:basedOn w:val="Normal"/>
    <w:link w:val="FootnoteTextChar"/>
    <w:uiPriority w:val="99"/>
    <w:unhideWhenUsed/>
    <w:rsid w:val="00A95C29"/>
    <w:pPr>
      <w:spacing w:after="0" w:line="240" w:lineRule="auto"/>
    </w:pPr>
    <w:rPr>
      <w:sz w:val="20"/>
      <w:szCs w:val="20"/>
    </w:rPr>
  </w:style>
  <w:style w:type="character" w:customStyle="1" w:styleId="FootnoteTextChar">
    <w:name w:val="Footnote Text Char"/>
    <w:basedOn w:val="DefaultParagraphFont"/>
    <w:link w:val="FootnoteText"/>
    <w:uiPriority w:val="99"/>
    <w:rsid w:val="00A95C29"/>
    <w:rPr>
      <w:sz w:val="20"/>
      <w:szCs w:val="20"/>
    </w:rPr>
  </w:style>
  <w:style w:type="character" w:styleId="FootnoteReference">
    <w:name w:val="footnote reference"/>
    <w:basedOn w:val="DefaultParagraphFont"/>
    <w:uiPriority w:val="99"/>
    <w:semiHidden/>
    <w:unhideWhenUsed/>
    <w:rsid w:val="00A95C29"/>
    <w:rPr>
      <w:vertAlign w:val="superscript"/>
    </w:rPr>
  </w:style>
  <w:style w:type="character" w:styleId="CommentReference">
    <w:name w:val="annotation reference"/>
    <w:basedOn w:val="DefaultParagraphFont"/>
    <w:uiPriority w:val="99"/>
    <w:semiHidden/>
    <w:unhideWhenUsed/>
    <w:rsid w:val="001B1E49"/>
    <w:rPr>
      <w:sz w:val="16"/>
      <w:szCs w:val="16"/>
    </w:rPr>
  </w:style>
  <w:style w:type="paragraph" w:styleId="CommentText">
    <w:name w:val="annotation text"/>
    <w:basedOn w:val="Normal"/>
    <w:link w:val="CommentTextChar"/>
    <w:uiPriority w:val="99"/>
    <w:unhideWhenUsed/>
    <w:rsid w:val="001B1E49"/>
    <w:pPr>
      <w:spacing w:line="240" w:lineRule="auto"/>
    </w:pPr>
    <w:rPr>
      <w:sz w:val="20"/>
      <w:szCs w:val="20"/>
    </w:rPr>
  </w:style>
  <w:style w:type="character" w:customStyle="1" w:styleId="CommentTextChar">
    <w:name w:val="Comment Text Char"/>
    <w:basedOn w:val="DefaultParagraphFont"/>
    <w:link w:val="CommentText"/>
    <w:uiPriority w:val="99"/>
    <w:rsid w:val="001B1E49"/>
    <w:rPr>
      <w:sz w:val="20"/>
      <w:szCs w:val="20"/>
    </w:rPr>
  </w:style>
  <w:style w:type="paragraph" w:styleId="CommentSubject">
    <w:name w:val="annotation subject"/>
    <w:basedOn w:val="CommentText"/>
    <w:next w:val="CommentText"/>
    <w:link w:val="CommentSubjectChar"/>
    <w:uiPriority w:val="99"/>
    <w:semiHidden/>
    <w:unhideWhenUsed/>
    <w:rsid w:val="001B1E49"/>
    <w:rPr>
      <w:b/>
      <w:bCs/>
    </w:rPr>
  </w:style>
  <w:style w:type="character" w:customStyle="1" w:styleId="CommentSubjectChar">
    <w:name w:val="Comment Subject Char"/>
    <w:basedOn w:val="CommentTextChar"/>
    <w:link w:val="CommentSubject"/>
    <w:uiPriority w:val="99"/>
    <w:semiHidden/>
    <w:rsid w:val="001B1E49"/>
    <w:rPr>
      <w:b/>
      <w:bCs/>
      <w:sz w:val="20"/>
      <w:szCs w:val="20"/>
    </w:rPr>
  </w:style>
  <w:style w:type="paragraph" w:styleId="BalloonText">
    <w:name w:val="Balloon Text"/>
    <w:basedOn w:val="Normal"/>
    <w:link w:val="BalloonTextChar"/>
    <w:uiPriority w:val="99"/>
    <w:semiHidden/>
    <w:unhideWhenUsed/>
    <w:rsid w:val="001B1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E49"/>
    <w:rPr>
      <w:rFonts w:ascii="Tahoma" w:hAnsi="Tahoma" w:cs="Tahoma"/>
      <w:sz w:val="16"/>
      <w:szCs w:val="16"/>
    </w:rPr>
  </w:style>
  <w:style w:type="character" w:styleId="Emphasis">
    <w:name w:val="Emphasis"/>
    <w:basedOn w:val="DefaultParagraphFont"/>
    <w:uiPriority w:val="20"/>
    <w:qFormat/>
    <w:rsid w:val="00E9722E"/>
    <w:rPr>
      <w:b/>
      <w:bCs/>
      <w:i w:val="0"/>
      <w:iCs w:val="0"/>
    </w:rPr>
  </w:style>
  <w:style w:type="character" w:customStyle="1" w:styleId="ft">
    <w:name w:val="ft"/>
    <w:basedOn w:val="DefaultParagraphFont"/>
    <w:rsid w:val="00E9722E"/>
  </w:style>
  <w:style w:type="character" w:styleId="Hyperlink">
    <w:name w:val="Hyperlink"/>
    <w:basedOn w:val="DefaultParagraphFont"/>
    <w:uiPriority w:val="99"/>
    <w:unhideWhenUsed/>
    <w:rsid w:val="00893C1E"/>
    <w:rPr>
      <w:color w:val="0000FF" w:themeColor="hyperlink"/>
      <w:u w:val="single"/>
    </w:rPr>
  </w:style>
  <w:style w:type="table" w:styleId="TableGrid">
    <w:name w:val="Table Grid"/>
    <w:basedOn w:val="TableNormal"/>
    <w:uiPriority w:val="59"/>
    <w:rsid w:val="0048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4229"/>
    <w:pPr>
      <w:ind w:left="720"/>
      <w:contextualSpacing/>
    </w:pPr>
  </w:style>
  <w:style w:type="paragraph" w:customStyle="1" w:styleId="References">
    <w:name w:val="_ References"/>
    <w:basedOn w:val="Normal"/>
    <w:uiPriority w:val="99"/>
    <w:rsid w:val="009A12C1"/>
    <w:pPr>
      <w:spacing w:after="120" w:line="240" w:lineRule="auto"/>
      <w:ind w:left="567" w:hanging="567"/>
    </w:pPr>
    <w:rPr>
      <w:rFonts w:ascii="Times New Roman" w:eastAsia="SimSun" w:hAnsi="Times New Roman" w:cs="Times New Roman"/>
      <w:lang w:val="en-US" w:eastAsia="de-DE"/>
    </w:rPr>
  </w:style>
  <w:style w:type="paragraph" w:styleId="NormalWeb">
    <w:name w:val="Normal (Web)"/>
    <w:basedOn w:val="Normal"/>
    <w:uiPriority w:val="99"/>
    <w:semiHidden/>
    <w:unhideWhenUsed/>
    <w:rsid w:val="00105369"/>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73708">
      <w:bodyDiv w:val="1"/>
      <w:marLeft w:val="0"/>
      <w:marRight w:val="0"/>
      <w:marTop w:val="0"/>
      <w:marBottom w:val="0"/>
      <w:divBdr>
        <w:top w:val="none" w:sz="0" w:space="0" w:color="auto"/>
        <w:left w:val="none" w:sz="0" w:space="0" w:color="auto"/>
        <w:bottom w:val="none" w:sz="0" w:space="0" w:color="auto"/>
        <w:right w:val="none" w:sz="0" w:space="0" w:color="auto"/>
      </w:divBdr>
    </w:div>
    <w:div w:id="92815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iirc.org/wp-content/uploads/2013/12/13-12-08-THE-INTERNATIONAL-IR-FRAMEWORK-2-1.pdf"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E3378-76C2-46A6-A9FB-7AAA8B64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14373</Words>
  <Characters>81932</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2015-03-26T00:54:00Z</dcterms:created>
  <dcterms:modified xsi:type="dcterms:W3CDTF">2015-03-26T00:54:00Z</dcterms:modified>
</cp:coreProperties>
</file>