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364C7" w14:textId="7A30958D" w:rsidR="002E774D" w:rsidRPr="00873CA4" w:rsidRDefault="00924811" w:rsidP="000362CC">
      <w:pPr>
        <w:pStyle w:val="TWJReviewtitle"/>
        <w:rPr>
          <w:color w:val="FF0000"/>
        </w:rPr>
      </w:pPr>
      <w:r>
        <w:t>The Python in the Pit</w:t>
      </w:r>
    </w:p>
    <w:p w14:paraId="220DF1AC" w14:textId="77777777" w:rsidR="00BB7DBE" w:rsidRDefault="002E774D" w:rsidP="000362CC">
      <w:pPr>
        <w:pStyle w:val="TWJStandfirst"/>
      </w:pPr>
      <w:r>
        <w:t xml:space="preserve">Mark Berry contrasts </w:t>
      </w:r>
      <w:r w:rsidR="00BB7DBE">
        <w:t xml:space="preserve">Frank </w:t>
      </w:r>
      <w:proofErr w:type="spellStart"/>
      <w:r w:rsidR="00BB7DBE">
        <w:t>Castorf’s</w:t>
      </w:r>
      <w:proofErr w:type="spellEnd"/>
      <w:r w:rsidR="00BB7DBE">
        <w:t xml:space="preserve"> ‘Ring’ </w:t>
      </w:r>
      <w:r>
        <w:t xml:space="preserve">with </w:t>
      </w:r>
      <w:r w:rsidR="00BB7DBE">
        <w:t xml:space="preserve">Patrice </w:t>
      </w:r>
      <w:proofErr w:type="spellStart"/>
      <w:r w:rsidR="00BB7DBE">
        <w:t>Chéreau’s</w:t>
      </w:r>
      <w:proofErr w:type="spellEnd"/>
      <w:r w:rsidR="00BB7DBE" w:rsidRPr="004C2153">
        <w:t xml:space="preserve"> </w:t>
      </w:r>
      <w:r w:rsidR="00BB7DBE">
        <w:t xml:space="preserve">centenary </w:t>
      </w:r>
      <w:r>
        <w:t>cycle</w:t>
      </w:r>
      <w:r w:rsidR="00BB7DBE">
        <w:t xml:space="preserve"> </w:t>
      </w:r>
    </w:p>
    <w:p w14:paraId="0BFD22FD" w14:textId="77777777" w:rsidR="000362CC" w:rsidRDefault="000362CC" w:rsidP="000362CC">
      <w:pPr>
        <w:pStyle w:val="TWJBodynoindent"/>
      </w:pPr>
    </w:p>
    <w:p w14:paraId="0933ECAD" w14:textId="77777777" w:rsidR="000362CC" w:rsidRDefault="00210FD5" w:rsidP="000362CC">
      <w:pPr>
        <w:pStyle w:val="TWJBodynoindent"/>
      </w:pPr>
      <w:r w:rsidRPr="004C2153">
        <w:t xml:space="preserve">When guest editing </w:t>
      </w:r>
      <w:r w:rsidRPr="004C2153">
        <w:rPr>
          <w:i/>
        </w:rPr>
        <w:t>The Wagner Journal</w:t>
      </w:r>
      <w:r w:rsidRPr="004C2153">
        <w:t xml:space="preserve"> this time last year, I contributed a brief editorial</w:t>
      </w:r>
      <w:r w:rsidR="00201C8A">
        <w:t>, entitled</w:t>
      </w:r>
      <w:r w:rsidRPr="004C2153">
        <w:t xml:space="preserve"> ‘Wagner Rescued from the Opera House?’ </w:t>
      </w:r>
      <w:r w:rsidR="00682DEE">
        <w:t>I tried to suggest</w:t>
      </w:r>
      <w:r w:rsidRPr="004C2153">
        <w:t xml:space="preserve"> the incompatibility, as recognised by Wagner and his more discerning interpreters and </w:t>
      </w:r>
      <w:proofErr w:type="gramStart"/>
      <w:r w:rsidRPr="004C2153">
        <w:t>successors</w:t>
      </w:r>
      <w:proofErr w:type="gramEnd"/>
      <w:r w:rsidRPr="004C2153">
        <w:t xml:space="preserve">, between </w:t>
      </w:r>
      <w:r w:rsidR="00682DEE">
        <w:t xml:space="preserve">Wagner’s </w:t>
      </w:r>
      <w:r w:rsidRPr="004C2153">
        <w:t>works and the everyday life of a typical opera house. As Pierre Boulez</w:t>
      </w:r>
      <w:r w:rsidR="00682DEE">
        <w:t xml:space="preserve">, </w:t>
      </w:r>
      <w:r w:rsidR="00CC1941" w:rsidRPr="004C2153">
        <w:t xml:space="preserve">whilst at work on the </w:t>
      </w:r>
      <w:r w:rsidR="00CC1941" w:rsidRPr="004C2153">
        <w:rPr>
          <w:i/>
        </w:rPr>
        <w:t>Ring</w:t>
      </w:r>
      <w:r w:rsidR="00CC1941" w:rsidRPr="004C2153">
        <w:t xml:space="preserve"> at Bayreuth</w:t>
      </w:r>
      <w:r w:rsidR="00682DEE">
        <w:t>, put it</w:t>
      </w:r>
      <w:r w:rsidRPr="004C2153">
        <w:t xml:space="preserve">: </w:t>
      </w:r>
      <w:r w:rsidR="00CC1941" w:rsidRPr="004C2153">
        <w:t xml:space="preserve">‘Opera houses are often rather like cafés where, if you sit near enough to the counter, you can hear waiters calling out their orders: “One </w:t>
      </w:r>
      <w:r w:rsidR="00CC1941" w:rsidRPr="004C2153">
        <w:rPr>
          <w:i/>
        </w:rPr>
        <w:t>Carmen</w:t>
      </w:r>
      <w:r w:rsidR="00CC1941" w:rsidRPr="004C2153">
        <w:t xml:space="preserve">! And one </w:t>
      </w:r>
      <w:proofErr w:type="spellStart"/>
      <w:r w:rsidR="00CC1941" w:rsidRPr="004C2153">
        <w:rPr>
          <w:i/>
        </w:rPr>
        <w:t>Walküre</w:t>
      </w:r>
      <w:proofErr w:type="spellEnd"/>
      <w:r w:rsidR="00CC1941" w:rsidRPr="004C2153">
        <w:t xml:space="preserve">! </w:t>
      </w:r>
      <w:proofErr w:type="gramStart"/>
      <w:r w:rsidR="00CC1941" w:rsidRPr="004C2153">
        <w:t xml:space="preserve">And one </w:t>
      </w:r>
      <w:proofErr w:type="spellStart"/>
      <w:r w:rsidR="00CC1941" w:rsidRPr="004C2153">
        <w:rPr>
          <w:i/>
        </w:rPr>
        <w:t>Rigoletto</w:t>
      </w:r>
      <w:proofErr w:type="spellEnd"/>
      <w:r w:rsidR="00CC1941" w:rsidRPr="004C2153">
        <w:t>!</w:t>
      </w:r>
      <w:r w:rsidR="002E774D">
        <w:t>”</w:t>
      </w:r>
      <w:r w:rsidR="00CC1941" w:rsidRPr="004C2153">
        <w:t>’</w:t>
      </w:r>
      <w:proofErr w:type="gramEnd"/>
      <w:r w:rsidR="00CC1941" w:rsidRPr="004C2153">
        <w:t xml:space="preserve"> What was needed, Boulez noted approvingly, ‘was an entirely new musical and theatrical structure, and it was this that he [Wagner] gradually created’.</w:t>
      </w:r>
      <w:r w:rsidR="00CC1941" w:rsidRPr="000362CC">
        <w:rPr>
          <w:rStyle w:val="FootnoteReference"/>
        </w:rPr>
        <w:footnoteReference w:id="1"/>
      </w:r>
      <w:r w:rsidR="00CC1941" w:rsidRPr="004C2153">
        <w:t xml:space="preserve"> </w:t>
      </w:r>
      <w:r w:rsidR="00682DEE">
        <w:t>W</w:t>
      </w:r>
      <w:r w:rsidR="00CC1941" w:rsidRPr="004C2153">
        <w:t xml:space="preserve">hilst deliberately leaving matters open-ended, </w:t>
      </w:r>
      <w:r w:rsidR="00682DEE">
        <w:t xml:space="preserve">I </w:t>
      </w:r>
      <w:r w:rsidR="00CC1941" w:rsidRPr="004C2153">
        <w:t xml:space="preserve">was </w:t>
      </w:r>
      <w:r w:rsidR="00682DEE">
        <w:t xml:space="preserve">hinting at </w:t>
      </w:r>
      <w:r w:rsidR="00CC1941" w:rsidRPr="004C2153">
        <w:t xml:space="preserve">the need for more opera houses to become like Bayreuth, or </w:t>
      </w:r>
      <w:r w:rsidR="004C2153">
        <w:t>rather</w:t>
      </w:r>
      <w:r w:rsidR="00CC1941" w:rsidRPr="004C2153">
        <w:t xml:space="preserve"> to consider a modern version of </w:t>
      </w:r>
      <w:r w:rsidR="005C565E" w:rsidRPr="004C2153">
        <w:t>Wagner’s</w:t>
      </w:r>
      <w:r w:rsidR="00CC1941" w:rsidRPr="004C2153">
        <w:t xml:space="preserve"> principle</w:t>
      </w:r>
      <w:r w:rsidR="005C565E" w:rsidRPr="004C2153">
        <w:t>s</w:t>
      </w:r>
      <w:r w:rsidR="00682DEE">
        <w:t xml:space="preserve">. Interestingly, however, </w:t>
      </w:r>
      <w:r w:rsidR="00CC1941" w:rsidRPr="004C2153">
        <w:t xml:space="preserve">some readers thought I </w:t>
      </w:r>
      <w:r w:rsidR="004C2153">
        <w:t>was</w:t>
      </w:r>
      <w:r w:rsidR="00CC1941" w:rsidRPr="004C2153">
        <w:t xml:space="preserve"> </w:t>
      </w:r>
      <w:r w:rsidR="00682DEE">
        <w:t>urging a</w:t>
      </w:r>
      <w:r w:rsidR="00CC1941" w:rsidRPr="004C2153">
        <w:t xml:space="preserve"> transfer of Wagner performances from opera house to concert hall.</w:t>
      </w:r>
      <w:r w:rsidR="00EA5532" w:rsidRPr="004C2153">
        <w:t xml:space="preserve"> </w:t>
      </w:r>
      <w:r w:rsidR="004C2153">
        <w:t>I</w:t>
      </w:r>
      <w:r w:rsidR="00EA5532" w:rsidRPr="004C2153">
        <w:t xml:space="preserve">ndeed, </w:t>
      </w:r>
      <w:r w:rsidR="004C2153">
        <w:t>upon considering the</w:t>
      </w:r>
      <w:r w:rsidR="00EA5532" w:rsidRPr="004C2153">
        <w:t xml:space="preserve"> matter further, I realised the uncomfortable truth that my two greatest live </w:t>
      </w:r>
      <w:r w:rsidR="00EA5532" w:rsidRPr="004C2153">
        <w:rPr>
          <w:i/>
        </w:rPr>
        <w:t>Ring</w:t>
      </w:r>
      <w:r w:rsidR="00EA5532" w:rsidRPr="004C2153">
        <w:t xml:space="preserve"> performances had been, if not quite in ‘concert’, minimally staged. </w:t>
      </w:r>
      <w:r w:rsidR="00682DEE">
        <w:t xml:space="preserve">It is surely indicative that </w:t>
      </w:r>
      <w:r w:rsidR="00EA5532" w:rsidRPr="004C2153">
        <w:t xml:space="preserve">I </w:t>
      </w:r>
      <w:r w:rsidR="00682DEE">
        <w:t xml:space="preserve">immediately </w:t>
      </w:r>
      <w:r w:rsidR="00EA5532" w:rsidRPr="004C2153">
        <w:t xml:space="preserve">think of them </w:t>
      </w:r>
      <w:r w:rsidR="00682DEE">
        <w:t>with reference to</w:t>
      </w:r>
      <w:r w:rsidR="00EA5532" w:rsidRPr="004C2153">
        <w:t xml:space="preserve"> the</w:t>
      </w:r>
      <w:r w:rsidR="00682DEE">
        <w:t>ir</w:t>
      </w:r>
      <w:r w:rsidR="00EA5532" w:rsidRPr="004C2153">
        <w:t xml:space="preserve"> conductors, Bernard </w:t>
      </w:r>
      <w:proofErr w:type="spellStart"/>
      <w:r w:rsidR="00EA5532" w:rsidRPr="004C2153">
        <w:t>Haitink</w:t>
      </w:r>
      <w:proofErr w:type="spellEnd"/>
      <w:r w:rsidR="00EA5532" w:rsidRPr="004C2153">
        <w:t xml:space="preserve"> and Daniel Barenboim, </w:t>
      </w:r>
      <w:r w:rsidR="00682DEE">
        <w:t xml:space="preserve">and </w:t>
      </w:r>
      <w:r w:rsidR="00EA5532" w:rsidRPr="004C2153">
        <w:t xml:space="preserve">not, as </w:t>
      </w:r>
      <w:r w:rsidR="00682DEE">
        <w:t>now</w:t>
      </w:r>
      <w:r w:rsidR="00EA5532" w:rsidRPr="004C2153">
        <w:t xml:space="preserve"> tends to be the case with theatrical performances, </w:t>
      </w:r>
      <w:r w:rsidR="00682DEE">
        <w:t>to their stage directors.</w:t>
      </w:r>
    </w:p>
    <w:p w14:paraId="280B5522" w14:textId="34E637F0" w:rsidR="000362CC" w:rsidRDefault="005C565E" w:rsidP="000362CC">
      <w:pPr>
        <w:pStyle w:val="TWJBodyindent"/>
      </w:pPr>
      <w:r w:rsidRPr="004C2153">
        <w:t xml:space="preserve">I returned to such thoughts several times during this year’s Bayreuth </w:t>
      </w:r>
      <w:r w:rsidRPr="004C2153">
        <w:rPr>
          <w:i/>
        </w:rPr>
        <w:t>Ring</w:t>
      </w:r>
      <w:r w:rsidRPr="004C2153">
        <w:t>.</w:t>
      </w:r>
      <w:r w:rsidRPr="000362CC">
        <w:rPr>
          <w:rStyle w:val="FootnoteReference"/>
        </w:rPr>
        <w:footnoteReference w:id="2"/>
      </w:r>
      <w:r w:rsidRPr="004C2153">
        <w:t xml:space="preserve"> A more fundamental disquiet than </w:t>
      </w:r>
      <w:r w:rsidR="00682DEE">
        <w:t xml:space="preserve">Frank </w:t>
      </w:r>
      <w:proofErr w:type="spellStart"/>
      <w:r w:rsidR="00682DEE">
        <w:t>Castorf’s</w:t>
      </w:r>
      <w:proofErr w:type="spellEnd"/>
      <w:r w:rsidRPr="004C2153">
        <w:t xml:space="preserve"> manifold dramaturgical inconsistencies arose. In a number of ways, Bayreuth actually seems – without, admittedly, </w:t>
      </w:r>
      <w:r w:rsidR="00682DEE">
        <w:t>having taken</w:t>
      </w:r>
      <w:r w:rsidRPr="004C2153">
        <w:t xml:space="preserve"> the step of </w:t>
      </w:r>
      <w:r w:rsidR="00682DEE">
        <w:t>expanding its repertoire</w:t>
      </w:r>
      <w:r w:rsidRPr="004C2153">
        <w:t xml:space="preserve"> – to have travelled in the opposite direction, </w:t>
      </w:r>
      <w:r w:rsidR="00682DEE">
        <w:t>towards</w:t>
      </w:r>
      <w:r w:rsidRPr="004C2153">
        <w:t xml:space="preserve"> other houses. That is certainly not all to be regretted. </w:t>
      </w:r>
      <w:r w:rsidR="00682DEE">
        <w:lastRenderedPageBreak/>
        <w:t>P</w:t>
      </w:r>
      <w:r w:rsidRPr="004C2153">
        <w:t xml:space="preserve">rogress has been made with respect to accessibility, wresting a good number of tickets from the </w:t>
      </w:r>
      <w:proofErr w:type="spellStart"/>
      <w:r w:rsidRPr="004C2153">
        <w:t>Fafner</w:t>
      </w:r>
      <w:proofErr w:type="spellEnd"/>
      <w:r w:rsidRPr="004C2153">
        <w:t>-like clutches of the various Wagner Societies</w:t>
      </w:r>
      <w:bookmarkStart w:id="0" w:name="_GoBack"/>
      <w:bookmarkEnd w:id="0"/>
      <w:r w:rsidRPr="004C2153">
        <w:t>, so as to enable attendance from something a little, if only a little, more akin to the broader public the revolutionary Wagner always desired, even demanded</w:t>
      </w:r>
      <w:r w:rsidR="00682DEE">
        <w:t xml:space="preserve">, even though free admission remains elusive. </w:t>
      </w:r>
      <w:r w:rsidRPr="004C2153">
        <w:t xml:space="preserve">But musical values seem, with the magnificent exception of Stefan </w:t>
      </w:r>
      <w:proofErr w:type="spellStart"/>
      <w:r w:rsidRPr="004C2153">
        <w:t>Herheim’s</w:t>
      </w:r>
      <w:proofErr w:type="spellEnd"/>
      <w:r w:rsidRPr="004C2153">
        <w:t xml:space="preserve"> </w:t>
      </w:r>
      <w:r w:rsidRPr="004C2153">
        <w:rPr>
          <w:i/>
        </w:rPr>
        <w:t>Parsifal</w:t>
      </w:r>
      <w:r w:rsidRPr="004C2153">
        <w:t xml:space="preserve">, </w:t>
      </w:r>
      <w:r w:rsidR="00A17EDD" w:rsidRPr="004C2153">
        <w:t>to have slipped further and further down the pecking order.</w:t>
      </w:r>
      <w:r w:rsidR="00682DEE">
        <w:t xml:space="preserve"> Once, B</w:t>
      </w:r>
      <w:r w:rsidR="00EA5532" w:rsidRPr="004C2153">
        <w:t xml:space="preserve">ayreuth audiences would have </w:t>
      </w:r>
      <w:r w:rsidR="004C2153">
        <w:t>expected respective roles’</w:t>
      </w:r>
      <w:r w:rsidR="00EA5532" w:rsidRPr="004C2153">
        <w:t xml:space="preserve"> greatest exponents to be </w:t>
      </w:r>
      <w:r w:rsidR="004C2153">
        <w:t xml:space="preserve">largely present </w:t>
      </w:r>
      <w:r w:rsidR="00EA5532" w:rsidRPr="004C2153">
        <w:t xml:space="preserve">on the Green Hill. Now </w:t>
      </w:r>
      <w:r w:rsidR="007F30BC" w:rsidRPr="004C2153">
        <w:t xml:space="preserve">much </w:t>
      </w:r>
      <w:r w:rsidR="00EA5532" w:rsidRPr="004C2153">
        <w:t xml:space="preserve">of </w:t>
      </w:r>
      <w:r w:rsidR="00682DEE">
        <w:t>the</w:t>
      </w:r>
      <w:r w:rsidR="00EA5532" w:rsidRPr="004C2153">
        <w:t xml:space="preserve"> cast</w:t>
      </w:r>
      <w:r w:rsidR="007F30BC" w:rsidRPr="004C2153">
        <w:t xml:space="preserve">, with some </w:t>
      </w:r>
      <w:r w:rsidR="00682DEE">
        <w:t xml:space="preserve">highly </w:t>
      </w:r>
      <w:r w:rsidR="007F30BC" w:rsidRPr="004C2153">
        <w:t>distinguished exceptions,</w:t>
      </w:r>
      <w:r w:rsidR="00EA5532" w:rsidRPr="004C2153">
        <w:t xml:space="preserve"> would be well enough received in a second-ranking</w:t>
      </w:r>
      <w:r w:rsidRPr="004C2153">
        <w:t xml:space="preserve"> </w:t>
      </w:r>
      <w:r w:rsidR="00682DEE">
        <w:t>house, whilst falling</w:t>
      </w:r>
      <w:r w:rsidR="00EA5532" w:rsidRPr="004C2153">
        <w:t xml:space="preserve"> considerably short of what</w:t>
      </w:r>
      <w:r w:rsidR="00682DEE">
        <w:t xml:space="preserve"> </w:t>
      </w:r>
      <w:r w:rsidR="00EA5532" w:rsidRPr="004C2153">
        <w:t xml:space="preserve">Barenboim </w:t>
      </w:r>
      <w:r w:rsidR="00682DEE">
        <w:t>assembled</w:t>
      </w:r>
      <w:r w:rsidR="00EA5532" w:rsidRPr="004C2153">
        <w:t xml:space="preserve"> for his Proms</w:t>
      </w:r>
      <w:r w:rsidR="000362CC">
        <w:t xml:space="preserve"> performances.</w:t>
      </w:r>
    </w:p>
    <w:p w14:paraId="55CDBA3D" w14:textId="77777777" w:rsidR="000362CC" w:rsidRDefault="00EA5532" w:rsidP="000362CC">
      <w:pPr>
        <w:pStyle w:val="TWJBodyindent"/>
      </w:pPr>
      <w:r w:rsidRPr="004C2153">
        <w:t xml:space="preserve">A more fundamental problem with respect to this particular </w:t>
      </w:r>
      <w:r w:rsidRPr="004C2153">
        <w:rPr>
          <w:i/>
        </w:rPr>
        <w:t>Ring</w:t>
      </w:r>
      <w:r w:rsidRPr="004C2153">
        <w:t xml:space="preserve">, however, was the apparent total lack of interest </w:t>
      </w:r>
      <w:proofErr w:type="spellStart"/>
      <w:r w:rsidRPr="004C2153">
        <w:t>Castorf</w:t>
      </w:r>
      <w:proofErr w:type="spellEnd"/>
      <w:r w:rsidRPr="004C2153">
        <w:t xml:space="preserve"> showed in the work as a </w:t>
      </w:r>
      <w:r w:rsidRPr="004C2153">
        <w:rPr>
          <w:i/>
        </w:rPr>
        <w:t>music</w:t>
      </w:r>
      <w:r w:rsidRPr="004C2153">
        <w:t xml:space="preserve"> drama. At his best, and there are some good ideas amongst the debris, </w:t>
      </w:r>
      <w:proofErr w:type="spellStart"/>
      <w:r w:rsidRPr="004C2153">
        <w:t>Castorf</w:t>
      </w:r>
      <w:proofErr w:type="spellEnd"/>
      <w:r w:rsidRPr="004C2153">
        <w:t xml:space="preserve"> seems to have treated Wagner’s poem </w:t>
      </w:r>
      <w:r w:rsidR="00682DEE">
        <w:t xml:space="preserve">alone </w:t>
      </w:r>
      <w:r w:rsidRPr="004C2153">
        <w:t>as the ‘text’</w:t>
      </w:r>
      <w:r w:rsidR="004C2153">
        <w:t xml:space="preserve">. </w:t>
      </w:r>
      <w:r w:rsidR="00201C8A">
        <w:t>I do not propose a</w:t>
      </w:r>
      <w:r w:rsidR="007F30BC" w:rsidRPr="004C2153">
        <w:t xml:space="preserve"> </w:t>
      </w:r>
      <w:proofErr w:type="spellStart"/>
      <w:r w:rsidR="007F30BC" w:rsidRPr="004C2153">
        <w:t>Debussyan</w:t>
      </w:r>
      <w:proofErr w:type="spellEnd"/>
      <w:r w:rsidR="007F30BC" w:rsidRPr="004C2153">
        <w:t xml:space="preserve"> ‘calling-card’ parody of Wagner’s method, </w:t>
      </w:r>
      <w:r w:rsidR="00201C8A">
        <w:t>making</w:t>
      </w:r>
      <w:r w:rsidR="007F30BC" w:rsidRPr="004C2153">
        <w:t xml:space="preserve"> visual reference to an object every time its leitmotif appears, </w:t>
      </w:r>
      <w:r w:rsidR="00201C8A">
        <w:t>al</w:t>
      </w:r>
      <w:r w:rsidR="007F30BC" w:rsidRPr="004C2153">
        <w:t xml:space="preserve">though Wagner’s particular brand of realism may </w:t>
      </w:r>
      <w:r w:rsidR="00201C8A">
        <w:t xml:space="preserve">sometimes </w:t>
      </w:r>
      <w:r w:rsidR="00B85AE5" w:rsidRPr="004C2153">
        <w:t xml:space="preserve">invite </w:t>
      </w:r>
      <w:r w:rsidR="007F30BC" w:rsidRPr="004C2153">
        <w:t>such practice.</w:t>
      </w:r>
      <w:r w:rsidR="007F30BC" w:rsidRPr="000362CC">
        <w:rPr>
          <w:rStyle w:val="FootnoteReference"/>
        </w:rPr>
        <w:footnoteReference w:id="3"/>
      </w:r>
      <w:r w:rsidR="00B85AE5" w:rsidRPr="004C2153">
        <w:t xml:space="preserve"> </w:t>
      </w:r>
      <w:r w:rsidR="00682DEE">
        <w:t>Ye</w:t>
      </w:r>
      <w:r w:rsidR="00B85AE5" w:rsidRPr="004C2153">
        <w:t>t</w:t>
      </w:r>
      <w:r w:rsidR="00201C8A">
        <w:t>,</w:t>
      </w:r>
      <w:r w:rsidR="00B85AE5" w:rsidRPr="004C2153">
        <w:t xml:space="preserve"> if one </w:t>
      </w:r>
      <w:r w:rsidR="00201C8A">
        <w:t>remains wilfully</w:t>
      </w:r>
      <w:r w:rsidR="00B85AE5" w:rsidRPr="004C2153">
        <w:t xml:space="preserve"> deaf to the voice of Wagner’s orchestra as Greek chorus, how can one possibly emerge with anything other than a partial understanding of </w:t>
      </w:r>
      <w:r w:rsidR="00201C8A">
        <w:t xml:space="preserve">Wagner’s </w:t>
      </w:r>
      <w:r w:rsidR="00B85AE5" w:rsidRPr="004C2153">
        <w:t xml:space="preserve">drama and its </w:t>
      </w:r>
      <w:r w:rsidR="00201C8A">
        <w:t xml:space="preserve">countless possibilities and </w:t>
      </w:r>
      <w:r w:rsidR="00B85AE5" w:rsidRPr="004C2153">
        <w:t>implications?</w:t>
      </w:r>
      <w:r w:rsidR="00682DEE">
        <w:t xml:space="preserve"> How </w:t>
      </w:r>
      <w:r w:rsidR="00201C8A">
        <w:t>could</w:t>
      </w:r>
      <w:r w:rsidR="00682DEE">
        <w:t xml:space="preserve"> one make any sense whatsoever</w:t>
      </w:r>
      <w:r w:rsidR="00201C8A">
        <w:t xml:space="preserve"> – in one’s own mind, let alone on stage –</w:t>
      </w:r>
      <w:r w:rsidR="00682DEE">
        <w:t xml:space="preserve"> of the Funeral March, the close of the Immolation Scene, or any of th</w:t>
      </w:r>
      <w:r w:rsidR="00201C8A">
        <w:t>os</w:t>
      </w:r>
      <w:r w:rsidR="00682DEE">
        <w:t>e numerous cases when the music intensifies, questions, even contradicts, the poem, reminds us of something, crucial to its understanding, which happened several hours previously</w:t>
      </w:r>
      <w:r w:rsidR="00201C8A">
        <w:t xml:space="preserve"> or suggests something which will happen several hours hence</w:t>
      </w:r>
      <w:r w:rsidR="00682DEE">
        <w:t>?</w:t>
      </w:r>
      <w:r w:rsidR="00B85AE5" w:rsidRPr="004C2153">
        <w:t xml:space="preserve"> </w:t>
      </w:r>
      <w:r w:rsidR="00BF6456" w:rsidRPr="004C2153">
        <w:t xml:space="preserve">Just as </w:t>
      </w:r>
      <w:proofErr w:type="spellStart"/>
      <w:r w:rsidR="00BF6456" w:rsidRPr="004C2153">
        <w:t>Aleksander</w:t>
      </w:r>
      <w:proofErr w:type="spellEnd"/>
      <w:r w:rsidR="00BF6456" w:rsidRPr="004C2153">
        <w:t xml:space="preserve"> </w:t>
      </w:r>
      <w:proofErr w:type="spellStart"/>
      <w:r w:rsidR="00BF6456" w:rsidRPr="00C86CB1">
        <w:t>Deni</w:t>
      </w:r>
      <w:r w:rsidR="00BF6456" w:rsidRPr="00C86CB1">
        <w:rPr>
          <w:rFonts w:ascii="Times New Roman" w:hAnsi="Times New Roman" w:cs="Times New Roman"/>
        </w:rPr>
        <w:t>ć</w:t>
      </w:r>
      <w:r w:rsidR="00682DEE" w:rsidRPr="00C86CB1">
        <w:t>’s</w:t>
      </w:r>
      <w:proofErr w:type="spellEnd"/>
      <w:r w:rsidR="00682DEE">
        <w:t xml:space="preserve"> set designs – magnificent, considered simply as sculptures –</w:t>
      </w:r>
      <w:r w:rsidR="00BF6456" w:rsidRPr="004C2153">
        <w:t xml:space="preserve"> often seemed reduced to backdrops, so was the score reduced at best to the level of a soundtrack and</w:t>
      </w:r>
      <w:r w:rsidR="00682DEE">
        <w:t>, one suspected,</w:t>
      </w:r>
      <w:r w:rsidR="00BF6456" w:rsidRPr="004C2153">
        <w:t xml:space="preserve"> a tiresome one </w:t>
      </w:r>
      <w:r w:rsidR="00682DEE">
        <w:t xml:space="preserve">at that for </w:t>
      </w:r>
      <w:proofErr w:type="spellStart"/>
      <w:r w:rsidR="00682DEE">
        <w:t>Castorf</w:t>
      </w:r>
      <w:proofErr w:type="spellEnd"/>
      <w:r w:rsidR="00BF6456" w:rsidRPr="004C2153">
        <w:t xml:space="preserve">. He </w:t>
      </w:r>
      <w:r w:rsidR="00BF6456" w:rsidRPr="004C2153">
        <w:lastRenderedPageBreak/>
        <w:t>would surely have been happier, and the results preferable, had he followed his usual practice of cutting, interspersing</w:t>
      </w:r>
      <w:r w:rsidR="00201C8A">
        <w:t xml:space="preserve"> other texts</w:t>
      </w:r>
      <w:r w:rsidR="00BF6456" w:rsidRPr="004C2153">
        <w:t xml:space="preserve">, and so </w:t>
      </w:r>
      <w:r w:rsidR="00201C8A">
        <w:t>forth</w:t>
      </w:r>
      <w:r w:rsidR="00BF6456" w:rsidRPr="004C2153">
        <w:t xml:space="preserve">, maybe </w:t>
      </w:r>
      <w:r w:rsidR="00201C8A">
        <w:t xml:space="preserve">presenting a new </w:t>
      </w:r>
      <w:r w:rsidR="00BF6456" w:rsidRPr="004C2153">
        <w:rPr>
          <w:i/>
        </w:rPr>
        <w:t>Ring</w:t>
      </w:r>
      <w:r w:rsidR="00BF6456" w:rsidRPr="004C2153">
        <w:t xml:space="preserve"> </w:t>
      </w:r>
      <w:r w:rsidR="00201C8A">
        <w:t>in spoken form</w:t>
      </w:r>
      <w:r w:rsidR="00BF6456" w:rsidRPr="004C2153">
        <w:t xml:space="preserve">, at </w:t>
      </w:r>
      <w:r w:rsidR="00201C8A">
        <w:t>a</w:t>
      </w:r>
      <w:r w:rsidR="00BF6456" w:rsidRPr="004C2153">
        <w:t xml:space="preserve"> ven</w:t>
      </w:r>
      <w:r w:rsidR="00201C8A">
        <w:t>ue</w:t>
      </w:r>
      <w:r w:rsidR="00BF6456" w:rsidRPr="004C2153">
        <w:t xml:space="preserve"> such as the Berlin </w:t>
      </w:r>
      <w:proofErr w:type="spellStart"/>
      <w:r w:rsidR="00BF6456" w:rsidRPr="004C2153">
        <w:t>Volksbühne</w:t>
      </w:r>
      <w:proofErr w:type="spellEnd"/>
      <w:r w:rsidR="00BF6456" w:rsidRPr="004C2153">
        <w:t xml:space="preserve">. Ironically, those passages in which he seemed to have lost all </w:t>
      </w:r>
      <w:r w:rsidR="004C2153">
        <w:t xml:space="preserve">directorial </w:t>
      </w:r>
      <w:r w:rsidR="00682DEE">
        <w:t>interest –</w:t>
      </w:r>
      <w:r w:rsidR="00BF6456" w:rsidRPr="004C2153">
        <w:t xml:space="preserve"> for instance large, often ‘Romantic’, swathes of </w:t>
      </w:r>
      <w:r w:rsidR="00BF6456" w:rsidRPr="004C2153">
        <w:rPr>
          <w:i/>
        </w:rPr>
        <w:t xml:space="preserve">Die </w:t>
      </w:r>
      <w:proofErr w:type="spellStart"/>
      <w:r w:rsidR="00BF6456" w:rsidRPr="004C2153">
        <w:rPr>
          <w:i/>
        </w:rPr>
        <w:t>Walküre</w:t>
      </w:r>
      <w:proofErr w:type="spellEnd"/>
      <w:r w:rsidR="00682DEE">
        <w:t xml:space="preserve"> –</w:t>
      </w:r>
      <w:r w:rsidR="00BF6456" w:rsidRPr="004C2153">
        <w:t xml:space="preserve"> resembled the ‘bad old days’ of ‘park and bark’, highlighting from the other side the dangers of letting one </w:t>
      </w:r>
      <w:proofErr w:type="spellStart"/>
      <w:r w:rsidR="00BF6456" w:rsidRPr="004C2153">
        <w:t>musico</w:t>
      </w:r>
      <w:proofErr w:type="spellEnd"/>
      <w:r w:rsidR="00BF6456" w:rsidRPr="004C2153">
        <w:t>-dramatic element predominate –</w:t>
      </w:r>
      <w:r w:rsidR="004C2153">
        <w:t xml:space="preserve"> especially when</w:t>
      </w:r>
      <w:r w:rsidR="00682DEE">
        <w:t>, as in Wotan’s seemingly interminable monologue,</w:t>
      </w:r>
      <w:r w:rsidR="004C2153">
        <w:t xml:space="preserve"> the singing proved</w:t>
      </w:r>
      <w:r w:rsidR="00BF6456" w:rsidRPr="004C2153">
        <w:t xml:space="preserve"> </w:t>
      </w:r>
      <w:r w:rsidR="004C2153">
        <w:t xml:space="preserve">less than </w:t>
      </w:r>
      <w:r w:rsidR="00682DEE">
        <w:t>convincing</w:t>
      </w:r>
      <w:r w:rsidR="00BF6456" w:rsidRPr="004C2153">
        <w:t xml:space="preserve">. </w:t>
      </w:r>
    </w:p>
    <w:p w14:paraId="506E9B8A" w14:textId="77777777" w:rsidR="004C2153" w:rsidRPr="000362CC" w:rsidRDefault="00201C8A" w:rsidP="000362CC">
      <w:pPr>
        <w:pStyle w:val="TWJBodyindent"/>
      </w:pPr>
      <w:r>
        <w:t xml:space="preserve">By contrast, </w:t>
      </w:r>
      <w:r w:rsidR="00BF6456" w:rsidRPr="004C2153">
        <w:t xml:space="preserve">Patrice </w:t>
      </w:r>
      <w:proofErr w:type="spellStart"/>
      <w:r w:rsidR="00BF6456" w:rsidRPr="004C2153">
        <w:t>Chéreau</w:t>
      </w:r>
      <w:proofErr w:type="spellEnd"/>
      <w:r w:rsidR="00BF6456" w:rsidRPr="004C2153">
        <w:t xml:space="preserve">, although similarly new to opera, strove to learn </w:t>
      </w:r>
      <w:r w:rsidR="004C2153" w:rsidRPr="004C2153">
        <w:t xml:space="preserve">as much as he could </w:t>
      </w:r>
      <w:r w:rsidR="00BF6456" w:rsidRPr="004C2153">
        <w:t xml:space="preserve">about </w:t>
      </w:r>
      <w:r>
        <w:t>score and meaning(s)</w:t>
      </w:r>
      <w:r w:rsidR="00BF6456" w:rsidRPr="004C2153">
        <w:t xml:space="preserve"> from Boulez. The increasing strength of their partnership still</w:t>
      </w:r>
      <w:r w:rsidR="004C2153" w:rsidRPr="004C2153">
        <w:t xml:space="preserve"> asserts itself, in </w:t>
      </w:r>
      <w:r>
        <w:t>one of the few opera DVDs to which I regularly return</w:t>
      </w:r>
      <w:r w:rsidR="00BF6456" w:rsidRPr="004C2153">
        <w:t>.</w:t>
      </w:r>
      <w:r w:rsidR="004C2153" w:rsidRPr="004C2153">
        <w:t xml:space="preserve"> In the year of their first revival, </w:t>
      </w:r>
      <w:proofErr w:type="spellStart"/>
      <w:r w:rsidR="004C2153" w:rsidRPr="004C2153">
        <w:t>Chéreau</w:t>
      </w:r>
      <w:proofErr w:type="spellEnd"/>
      <w:r>
        <w:t>, writing</w:t>
      </w:r>
      <w:r w:rsidR="004C2153" w:rsidRPr="004C2153">
        <w:t xml:space="preserve"> of the end of the Immolation Scene</w:t>
      </w:r>
      <w:r>
        <w:t>, expressed</w:t>
      </w:r>
      <w:r w:rsidR="004C2153" w:rsidRPr="004C2153">
        <w:t xml:space="preserve"> his desire:</w:t>
      </w:r>
      <w:r w:rsidR="004C2153" w:rsidRPr="004C2153">
        <w:rPr>
          <w:rFonts w:eastAsia="Times New Roman"/>
        </w:rPr>
        <w:t xml:space="preserve"> </w:t>
      </w:r>
    </w:p>
    <w:p w14:paraId="3E51CDC2" w14:textId="77777777" w:rsidR="004C2153" w:rsidRPr="004C2153" w:rsidRDefault="004C2153" w:rsidP="000362CC">
      <w:pPr>
        <w:pStyle w:val="TWJDisplay"/>
      </w:pPr>
      <w:proofErr w:type="gramStart"/>
      <w:r w:rsidRPr="004C2153">
        <w:t>that</w:t>
      </w:r>
      <w:proofErr w:type="gramEnd"/>
      <w:r w:rsidRPr="004C2153">
        <w:t xml:space="preserve"> the orchestra pit be, like Delphi’s smoking pit, a crevice uttering oracles – the Funeral March and the concluding redemption motif. The redemption motif is a message delivered to the entire world, but like all pythonesses, the orchestra is unclear, and there are several ways in which one might interpret its message. </w:t>
      </w:r>
      <w:r w:rsidR="00A745A7" w:rsidRPr="00924811">
        <w:t>[</w:t>
      </w:r>
      <w:r w:rsidRPr="00924811">
        <w:t>…</w:t>
      </w:r>
      <w:r w:rsidR="00A745A7" w:rsidRPr="00924811">
        <w:t>]</w:t>
      </w:r>
      <w:r w:rsidRPr="00924811">
        <w:t xml:space="preserve"> </w:t>
      </w:r>
      <w:r w:rsidRPr="004C2153">
        <w:t>Should one not hear it with mistrust and anxiety?</w:t>
      </w:r>
      <w:r w:rsidRPr="000362CC">
        <w:rPr>
          <w:rStyle w:val="FootnoteReference"/>
          <w:sz w:val="20"/>
        </w:rPr>
        <w:footnoteReference w:id="4"/>
      </w:r>
    </w:p>
    <w:p w14:paraId="634F5009" w14:textId="77777777" w:rsidR="00EA5532" w:rsidRDefault="004C2153" w:rsidP="000362CC">
      <w:pPr>
        <w:pStyle w:val="TWJBodynoindent"/>
      </w:pPr>
      <w:r w:rsidRPr="004C2153">
        <w:t xml:space="preserve">To enlist the services of a director who might think in such terms should not be the least priority for Bayreuth, or any other house, </w:t>
      </w:r>
      <w:r>
        <w:t>whe</w:t>
      </w:r>
      <w:r w:rsidRPr="004C2153">
        <w:t xml:space="preserve">n forging a new </w:t>
      </w:r>
      <w:r w:rsidRPr="004C2153">
        <w:rPr>
          <w:i/>
        </w:rPr>
        <w:t>Ring</w:t>
      </w:r>
      <w:r w:rsidRPr="004C2153">
        <w:t>.</w:t>
      </w:r>
    </w:p>
    <w:p w14:paraId="74BE4AD3" w14:textId="77777777" w:rsidR="000362CC" w:rsidRDefault="000362CC" w:rsidP="000362CC">
      <w:pPr>
        <w:pStyle w:val="TWJBodynoindent"/>
      </w:pPr>
    </w:p>
    <w:p w14:paraId="43496D86" w14:textId="77777777" w:rsidR="000362CC" w:rsidRPr="00AC5CFB" w:rsidRDefault="000362CC" w:rsidP="00C86CB1">
      <w:pPr>
        <w:pStyle w:val="TWJFootnotes"/>
        <w:rPr>
          <w:lang w:val="en-US"/>
        </w:rPr>
      </w:pPr>
    </w:p>
    <w:p w14:paraId="72FB84AB" w14:textId="77777777" w:rsidR="000362CC" w:rsidRPr="000362CC" w:rsidRDefault="000362CC" w:rsidP="000362CC">
      <w:pPr>
        <w:pStyle w:val="TWJBodynoindent"/>
      </w:pPr>
    </w:p>
    <w:sectPr w:rsidR="000362CC" w:rsidRPr="000362CC" w:rsidSect="00C85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75CBD" w14:textId="77777777" w:rsidR="00D91DBE" w:rsidRDefault="00D91DBE" w:rsidP="00CC1941">
      <w:pPr>
        <w:spacing w:after="0" w:line="240" w:lineRule="auto"/>
      </w:pPr>
      <w:r>
        <w:separator/>
      </w:r>
    </w:p>
  </w:endnote>
  <w:endnote w:type="continuationSeparator" w:id="0">
    <w:p w14:paraId="0BE8618F" w14:textId="77777777" w:rsidR="00D91DBE" w:rsidRDefault="00D91DBE" w:rsidP="00CC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07A01" w14:textId="77777777" w:rsidR="00D91DBE" w:rsidRDefault="00D91DBE" w:rsidP="00CC1941">
      <w:pPr>
        <w:spacing w:after="0" w:line="240" w:lineRule="auto"/>
      </w:pPr>
      <w:r>
        <w:separator/>
      </w:r>
    </w:p>
  </w:footnote>
  <w:footnote w:type="continuationSeparator" w:id="0">
    <w:p w14:paraId="431BCE40" w14:textId="77777777" w:rsidR="00D91DBE" w:rsidRDefault="00D91DBE" w:rsidP="00CC1941">
      <w:pPr>
        <w:spacing w:after="0" w:line="240" w:lineRule="auto"/>
      </w:pPr>
      <w:r>
        <w:continuationSeparator/>
      </w:r>
    </w:p>
  </w:footnote>
  <w:footnote w:id="1">
    <w:p w14:paraId="7FC9E926" w14:textId="77777777" w:rsidR="009A2A7C" w:rsidRPr="004C2153" w:rsidRDefault="009A2A7C" w:rsidP="000362CC">
      <w:pPr>
        <w:pStyle w:val="TWJFootnotes"/>
      </w:pPr>
      <w:r w:rsidRPr="000362CC">
        <w:rPr>
          <w:rStyle w:val="FootnoteReference"/>
        </w:rPr>
        <w:footnoteRef/>
      </w:r>
      <w:r w:rsidRPr="004C2153">
        <w:t>P</w:t>
      </w:r>
      <w:r>
        <w:t>ierre Boulez, ‘Time Re-explored</w:t>
      </w:r>
      <w:r w:rsidRPr="004C2153">
        <w:t>’</w:t>
      </w:r>
      <w:r>
        <w:t>,</w:t>
      </w:r>
      <w:r w:rsidRPr="004C2153">
        <w:t xml:space="preserve"> in </w:t>
      </w:r>
      <w:r w:rsidRPr="004C2153">
        <w:rPr>
          <w:i/>
        </w:rPr>
        <w:t>Orientations: Collected Writings</w:t>
      </w:r>
      <w:r w:rsidRPr="004C2153">
        <w:t xml:space="preserve">, ed. Jean-Jacques </w:t>
      </w:r>
      <w:proofErr w:type="spellStart"/>
      <w:r w:rsidRPr="004C2153">
        <w:t>Nattiez</w:t>
      </w:r>
      <w:proofErr w:type="spellEnd"/>
      <w:r w:rsidRPr="004C2153">
        <w:t>, tr. Martin Cooper (</w:t>
      </w:r>
      <w:r>
        <w:t xml:space="preserve">London and Boston, 1986), </w:t>
      </w:r>
      <w:r w:rsidRPr="004C2153">
        <w:t>262.</w:t>
      </w:r>
    </w:p>
  </w:footnote>
  <w:footnote w:id="2">
    <w:p w14:paraId="00026699" w14:textId="77777777" w:rsidR="009A2A7C" w:rsidRPr="004C2153" w:rsidRDefault="009A2A7C" w:rsidP="000362CC">
      <w:pPr>
        <w:pStyle w:val="TWJFootnotes"/>
      </w:pPr>
      <w:r w:rsidRPr="000362CC">
        <w:rPr>
          <w:rStyle w:val="FootnoteReference"/>
        </w:rPr>
        <w:footnoteRef/>
      </w:r>
      <w:r w:rsidRPr="004C2153">
        <w:t xml:space="preserve">This is not the place for a review, which the reader will find elsewhere in this issue from Tash Siddiqui. For anyone interested, my thoughts may be found in some detail at </w:t>
      </w:r>
      <w:r>
        <w:t>&lt;</w:t>
      </w:r>
      <w:r w:rsidRPr="004C2153">
        <w:t>http://boulezian.blogspot.com</w:t>
      </w:r>
      <w:r>
        <w:t>&gt;</w:t>
      </w:r>
      <w:r w:rsidRPr="004C2153">
        <w:t xml:space="preserve">. </w:t>
      </w:r>
    </w:p>
  </w:footnote>
  <w:footnote w:id="3">
    <w:p w14:paraId="77269E92" w14:textId="77777777" w:rsidR="009A2A7C" w:rsidRPr="004C2153" w:rsidRDefault="009A2A7C" w:rsidP="000362CC">
      <w:pPr>
        <w:pStyle w:val="TWJFootnotes"/>
      </w:pPr>
      <w:r w:rsidRPr="000362CC">
        <w:rPr>
          <w:rStyle w:val="FootnoteReference"/>
        </w:rPr>
        <w:footnoteRef/>
      </w:r>
      <w:r w:rsidRPr="004C2153">
        <w:t xml:space="preserve">Robin Holloway discusses – if at times with exaggeration – the strong realist currents in the </w:t>
      </w:r>
      <w:r w:rsidRPr="004C2153">
        <w:rPr>
          <w:i/>
        </w:rPr>
        <w:t>Ring</w:t>
      </w:r>
      <w:r>
        <w:rPr>
          <w:i/>
        </w:rPr>
        <w:t xml:space="preserve"> </w:t>
      </w:r>
      <w:r>
        <w:t>in ‘Motif, Memory and M</w:t>
      </w:r>
      <w:r w:rsidRPr="004C2153">
        <w:t>eaning i</w:t>
      </w:r>
      <w:r>
        <w:t>n “Twilight of the Gods”</w:t>
      </w:r>
      <w:r w:rsidRPr="004C2153">
        <w:t>’</w:t>
      </w:r>
      <w:r>
        <w:t>,</w:t>
      </w:r>
      <w:r w:rsidRPr="004C2153">
        <w:t xml:space="preserve"> in Nicholas John (ed.)</w:t>
      </w:r>
      <w:r>
        <w:t>,</w:t>
      </w:r>
      <w:r w:rsidRPr="004C2153">
        <w:t xml:space="preserve"> </w:t>
      </w:r>
      <w:r>
        <w:rPr>
          <w:i/>
        </w:rPr>
        <w:t>Twilight of the Gods/</w:t>
      </w:r>
      <w:proofErr w:type="spellStart"/>
      <w:r w:rsidRPr="004C2153">
        <w:rPr>
          <w:i/>
        </w:rPr>
        <w:t>Götterdämmerung</w:t>
      </w:r>
      <w:proofErr w:type="spellEnd"/>
      <w:r w:rsidRPr="004C2153">
        <w:t xml:space="preserve"> (</w:t>
      </w:r>
      <w:r>
        <w:t>London and New York, 1985), 13–</w:t>
      </w:r>
      <w:r w:rsidRPr="004C2153">
        <w:t>38.</w:t>
      </w:r>
    </w:p>
  </w:footnote>
  <w:footnote w:id="4">
    <w:p w14:paraId="1F9E4094" w14:textId="77777777" w:rsidR="009A2A7C" w:rsidRPr="004C2153" w:rsidRDefault="009A2A7C" w:rsidP="000362CC">
      <w:pPr>
        <w:pStyle w:val="TWJFootnotes"/>
      </w:pPr>
      <w:r w:rsidRPr="000362CC">
        <w:rPr>
          <w:rStyle w:val="FootnoteReference"/>
        </w:rPr>
        <w:footnoteRef/>
      </w:r>
      <w:r>
        <w:t xml:space="preserve">Pierre Boulez </w:t>
      </w:r>
      <w:r w:rsidRPr="004C2153">
        <w:t xml:space="preserve">and Patrice </w:t>
      </w:r>
      <w:proofErr w:type="spellStart"/>
      <w:r w:rsidRPr="004C2153">
        <w:t>Chéreau</w:t>
      </w:r>
      <w:proofErr w:type="spellEnd"/>
      <w:r w:rsidRPr="004C2153">
        <w:t>,</w:t>
      </w:r>
      <w:r>
        <w:t xml:space="preserve"> </w:t>
      </w:r>
      <w:r w:rsidRPr="004C2153">
        <w:rPr>
          <w:lang w:val="fr-FR"/>
        </w:rPr>
        <w:t>‘Commentaires sur “Mythologie et idéologie</w:t>
      </w:r>
      <w:r>
        <w:t>”</w:t>
      </w:r>
      <w:r w:rsidRPr="004C2153">
        <w:t>’</w:t>
      </w:r>
      <w:r>
        <w:t>,</w:t>
      </w:r>
      <w:r w:rsidRPr="004C2153">
        <w:rPr>
          <w:lang w:val="fr-FR"/>
        </w:rPr>
        <w:t xml:space="preserve"> in</w:t>
      </w:r>
      <w:r>
        <w:rPr>
          <w:lang w:val="fr-FR"/>
        </w:rPr>
        <w:t xml:space="preserve"> </w:t>
      </w:r>
      <w:proofErr w:type="spellStart"/>
      <w:r w:rsidRPr="00AC5CFB">
        <w:rPr>
          <w:lang w:val="en-US"/>
        </w:rPr>
        <w:t>Bayreuther</w:t>
      </w:r>
      <w:proofErr w:type="spellEnd"/>
      <w:r w:rsidRPr="00AC5CFB">
        <w:rPr>
          <w:lang w:val="en-US"/>
        </w:rPr>
        <w:t xml:space="preserve"> Festspiele: </w:t>
      </w:r>
      <w:proofErr w:type="spellStart"/>
      <w:r w:rsidRPr="00AC5CFB">
        <w:rPr>
          <w:lang w:val="en-US"/>
        </w:rPr>
        <w:t>Programmheft</w:t>
      </w:r>
      <w:proofErr w:type="spellEnd"/>
      <w:r w:rsidRPr="00AC5CFB">
        <w:rPr>
          <w:lang w:val="en-US"/>
        </w:rPr>
        <w:t xml:space="preserve">, </w:t>
      </w:r>
      <w:r>
        <w:rPr>
          <w:i/>
          <w:lang w:val="en-US"/>
        </w:rPr>
        <w:t>Siegfried</w:t>
      </w:r>
      <w:r>
        <w:rPr>
          <w:lang w:val="en-US"/>
        </w:rPr>
        <w:t xml:space="preserve"> (1977), 86–102, esp. 87</w:t>
      </w:r>
      <w:r w:rsidRPr="004C2153">
        <w:rPr>
          <w:lang w:val="fr-F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D5"/>
    <w:rsid w:val="000362CC"/>
    <w:rsid w:val="00201C8A"/>
    <w:rsid w:val="00210FD5"/>
    <w:rsid w:val="002D693D"/>
    <w:rsid w:val="002E774D"/>
    <w:rsid w:val="003E1F75"/>
    <w:rsid w:val="004C2153"/>
    <w:rsid w:val="00547778"/>
    <w:rsid w:val="005C565E"/>
    <w:rsid w:val="00682DEE"/>
    <w:rsid w:val="00700C3E"/>
    <w:rsid w:val="007F30BC"/>
    <w:rsid w:val="00873CA4"/>
    <w:rsid w:val="00924811"/>
    <w:rsid w:val="009A2A7C"/>
    <w:rsid w:val="009E784B"/>
    <w:rsid w:val="00A17EDD"/>
    <w:rsid w:val="00A745A7"/>
    <w:rsid w:val="00B85AE5"/>
    <w:rsid w:val="00B927BC"/>
    <w:rsid w:val="00BB7DBE"/>
    <w:rsid w:val="00BF6456"/>
    <w:rsid w:val="00C85E52"/>
    <w:rsid w:val="00C86CB1"/>
    <w:rsid w:val="00CC1941"/>
    <w:rsid w:val="00D83881"/>
    <w:rsid w:val="00D91DBE"/>
    <w:rsid w:val="00E71234"/>
    <w:rsid w:val="00EA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81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C19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94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362CC"/>
    <w:rPr>
      <w:rFonts w:ascii="Book Antiqua" w:hAnsi="Book Antiqua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5C565E"/>
    <w:rPr>
      <w:color w:val="0000FF" w:themeColor="hyperlink"/>
      <w:u w:val="single"/>
    </w:rPr>
  </w:style>
  <w:style w:type="paragraph" w:customStyle="1" w:styleId="TWJAuthorname">
    <w:name w:val="TWJ Author name"/>
    <w:rsid w:val="000362CC"/>
    <w:pPr>
      <w:widowControl w:val="0"/>
      <w:suppressAutoHyphens/>
      <w:spacing w:after="0" w:line="360" w:lineRule="auto"/>
      <w:jc w:val="center"/>
    </w:pPr>
    <w:rPr>
      <w:rFonts w:ascii="Book Antiqua" w:eastAsia="SimSun" w:hAnsi="Book Antiqua" w:cs="Book Antiqua"/>
      <w:smallCaps/>
      <w:kern w:val="32"/>
      <w:sz w:val="28"/>
      <w:szCs w:val="28"/>
      <w:lang w:eastAsia="hi-IN" w:bidi="hi-IN"/>
    </w:rPr>
  </w:style>
  <w:style w:type="paragraph" w:customStyle="1" w:styleId="TWJBodyindent">
    <w:name w:val="TWJ Body indent"/>
    <w:rsid w:val="000362CC"/>
    <w:pPr>
      <w:widowControl w:val="0"/>
      <w:suppressAutoHyphens/>
      <w:spacing w:after="0" w:line="360" w:lineRule="auto"/>
      <w:ind w:firstLine="720"/>
    </w:pPr>
    <w:rPr>
      <w:rFonts w:ascii="Book Antiqua" w:eastAsia="SimSun" w:hAnsi="Book Antiqua" w:cs="Book Antiqua"/>
      <w:kern w:val="32"/>
      <w:sz w:val="24"/>
      <w:szCs w:val="24"/>
      <w:lang w:eastAsia="hi-IN" w:bidi="hi-IN"/>
    </w:rPr>
  </w:style>
  <w:style w:type="paragraph" w:customStyle="1" w:styleId="TWJBodynoindent">
    <w:name w:val="TWJ Body no indent"/>
    <w:rsid w:val="000362CC"/>
    <w:pPr>
      <w:widowControl w:val="0"/>
      <w:suppressAutoHyphens/>
      <w:spacing w:after="0" w:line="360" w:lineRule="auto"/>
    </w:pPr>
    <w:rPr>
      <w:rFonts w:ascii="Book Antiqua" w:eastAsia="SimSun" w:hAnsi="Book Antiqua" w:cs="Book Antiqua"/>
      <w:kern w:val="32"/>
      <w:sz w:val="24"/>
      <w:szCs w:val="24"/>
      <w:lang w:eastAsia="hi-IN" w:bidi="hi-IN"/>
    </w:rPr>
  </w:style>
  <w:style w:type="paragraph" w:customStyle="1" w:styleId="TWJCastlist">
    <w:name w:val="TWJ Cast list"/>
    <w:rsid w:val="000362CC"/>
    <w:pPr>
      <w:widowControl w:val="0"/>
      <w:suppressAutoHyphens/>
      <w:spacing w:after="0" w:line="360" w:lineRule="auto"/>
    </w:pPr>
    <w:rPr>
      <w:rFonts w:ascii="Book Antiqua" w:eastAsia="SimSun" w:hAnsi="Book Antiqua" w:cs="Book Antiqua"/>
      <w:kern w:val="32"/>
      <w:lang w:eastAsia="hi-IN" w:bidi="hi-IN"/>
    </w:rPr>
  </w:style>
  <w:style w:type="paragraph" w:customStyle="1" w:styleId="TWJDisplay">
    <w:name w:val="TWJ Display"/>
    <w:rsid w:val="000362CC"/>
    <w:pPr>
      <w:widowControl w:val="0"/>
      <w:suppressAutoHyphens/>
      <w:spacing w:after="0" w:line="360" w:lineRule="auto"/>
      <w:ind w:left="851" w:right="851"/>
    </w:pPr>
    <w:rPr>
      <w:rFonts w:ascii="Book Antiqua" w:eastAsia="SimSun" w:hAnsi="Book Antiqua" w:cs="Book Antiqua"/>
      <w:kern w:val="32"/>
      <w:sz w:val="20"/>
      <w:szCs w:val="20"/>
      <w:lang w:eastAsia="hi-IN" w:bidi="hi-IN"/>
    </w:rPr>
  </w:style>
  <w:style w:type="paragraph" w:customStyle="1" w:styleId="TWJFeaturetitle">
    <w:name w:val="TWJ Feature title"/>
    <w:rsid w:val="000362CC"/>
    <w:pPr>
      <w:widowControl w:val="0"/>
      <w:suppressAutoHyphens/>
      <w:spacing w:after="0" w:line="360" w:lineRule="auto"/>
      <w:jc w:val="center"/>
    </w:pPr>
    <w:rPr>
      <w:rFonts w:ascii="Book Antiqua" w:eastAsia="SimSun" w:hAnsi="Book Antiqua" w:cs="Book Antiqua"/>
      <w:b/>
      <w:kern w:val="32"/>
      <w:sz w:val="32"/>
      <w:szCs w:val="32"/>
      <w:lang w:eastAsia="hi-IN" w:bidi="hi-IN"/>
    </w:rPr>
  </w:style>
  <w:style w:type="paragraph" w:customStyle="1" w:styleId="TWJFootnotes">
    <w:name w:val="TWJ Footnotes"/>
    <w:rsid w:val="000362CC"/>
    <w:pPr>
      <w:widowControl w:val="0"/>
      <w:suppressAutoHyphens/>
      <w:spacing w:after="0" w:line="360" w:lineRule="auto"/>
      <w:ind w:left="284" w:hanging="284"/>
    </w:pPr>
    <w:rPr>
      <w:rFonts w:ascii="Book Antiqua" w:eastAsia="SimSun" w:hAnsi="Book Antiqua" w:cs="Book Antiqua"/>
      <w:kern w:val="32"/>
      <w:sz w:val="20"/>
      <w:szCs w:val="20"/>
      <w:lang w:eastAsia="hi-IN" w:bidi="hi-IN"/>
    </w:rPr>
  </w:style>
  <w:style w:type="paragraph" w:customStyle="1" w:styleId="TWJReviewtitle">
    <w:name w:val="TWJ Review title"/>
    <w:rsid w:val="000362CC"/>
    <w:pPr>
      <w:widowControl w:val="0"/>
      <w:suppressAutoHyphens/>
      <w:spacing w:after="0" w:line="360" w:lineRule="auto"/>
      <w:jc w:val="center"/>
    </w:pPr>
    <w:rPr>
      <w:rFonts w:ascii="Book Antiqua" w:eastAsia="SimSun" w:hAnsi="Book Antiqua" w:cs="Book Antiqua"/>
      <w:b/>
      <w:kern w:val="32"/>
      <w:sz w:val="24"/>
      <w:szCs w:val="24"/>
      <w:lang w:eastAsia="hi-IN" w:bidi="hi-IN"/>
    </w:rPr>
  </w:style>
  <w:style w:type="paragraph" w:customStyle="1" w:styleId="TWJSecondarysubhead">
    <w:name w:val="TWJ Secondary subhead"/>
    <w:rsid w:val="000362CC"/>
    <w:pPr>
      <w:widowControl w:val="0"/>
      <w:suppressAutoHyphens/>
      <w:spacing w:after="0" w:line="360" w:lineRule="auto"/>
    </w:pPr>
    <w:rPr>
      <w:rFonts w:ascii="Book Antiqua" w:eastAsia="SimSun" w:hAnsi="Book Antiqua" w:cs="Book Antiqua"/>
      <w:i/>
      <w:kern w:val="32"/>
      <w:sz w:val="24"/>
      <w:szCs w:val="24"/>
      <w:lang w:eastAsia="hi-IN" w:bidi="hi-IN"/>
    </w:rPr>
  </w:style>
  <w:style w:type="paragraph" w:customStyle="1" w:styleId="TWJStandfirst">
    <w:name w:val="TWJ Standfirst"/>
    <w:rsid w:val="000362CC"/>
    <w:pPr>
      <w:widowControl w:val="0"/>
      <w:suppressAutoHyphens/>
      <w:spacing w:after="0" w:line="360" w:lineRule="auto"/>
      <w:jc w:val="center"/>
    </w:pPr>
    <w:rPr>
      <w:rFonts w:ascii="Book Antiqua" w:eastAsia="SimSun" w:hAnsi="Book Antiqua" w:cs="Book Antiqua"/>
      <w:i/>
      <w:kern w:val="32"/>
      <w:sz w:val="24"/>
      <w:szCs w:val="24"/>
      <w:lang w:eastAsia="hi-IN" w:bidi="hi-IN"/>
    </w:rPr>
  </w:style>
  <w:style w:type="paragraph" w:customStyle="1" w:styleId="TWJSubhead">
    <w:name w:val="TWJ Subhead"/>
    <w:next w:val="Normal"/>
    <w:rsid w:val="000362CC"/>
    <w:pPr>
      <w:widowControl w:val="0"/>
      <w:suppressAutoHyphens/>
      <w:spacing w:after="0" w:line="360" w:lineRule="auto"/>
    </w:pPr>
    <w:rPr>
      <w:rFonts w:ascii="Book Antiqua" w:eastAsia="SimSun" w:hAnsi="Book Antiqua" w:cs="Book Antiqua"/>
      <w:b/>
      <w:kern w:val="3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C19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94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362CC"/>
    <w:rPr>
      <w:rFonts w:ascii="Book Antiqua" w:hAnsi="Book Antiqua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5C565E"/>
    <w:rPr>
      <w:color w:val="0000FF" w:themeColor="hyperlink"/>
      <w:u w:val="single"/>
    </w:rPr>
  </w:style>
  <w:style w:type="paragraph" w:customStyle="1" w:styleId="TWJAuthorname">
    <w:name w:val="TWJ Author name"/>
    <w:rsid w:val="000362CC"/>
    <w:pPr>
      <w:widowControl w:val="0"/>
      <w:suppressAutoHyphens/>
      <w:spacing w:after="0" w:line="360" w:lineRule="auto"/>
      <w:jc w:val="center"/>
    </w:pPr>
    <w:rPr>
      <w:rFonts w:ascii="Book Antiqua" w:eastAsia="SimSun" w:hAnsi="Book Antiqua" w:cs="Book Antiqua"/>
      <w:smallCaps/>
      <w:kern w:val="32"/>
      <w:sz w:val="28"/>
      <w:szCs w:val="28"/>
      <w:lang w:eastAsia="hi-IN" w:bidi="hi-IN"/>
    </w:rPr>
  </w:style>
  <w:style w:type="paragraph" w:customStyle="1" w:styleId="TWJBodyindent">
    <w:name w:val="TWJ Body indent"/>
    <w:rsid w:val="000362CC"/>
    <w:pPr>
      <w:widowControl w:val="0"/>
      <w:suppressAutoHyphens/>
      <w:spacing w:after="0" w:line="360" w:lineRule="auto"/>
      <w:ind w:firstLine="720"/>
    </w:pPr>
    <w:rPr>
      <w:rFonts w:ascii="Book Antiqua" w:eastAsia="SimSun" w:hAnsi="Book Antiqua" w:cs="Book Antiqua"/>
      <w:kern w:val="32"/>
      <w:sz w:val="24"/>
      <w:szCs w:val="24"/>
      <w:lang w:eastAsia="hi-IN" w:bidi="hi-IN"/>
    </w:rPr>
  </w:style>
  <w:style w:type="paragraph" w:customStyle="1" w:styleId="TWJBodynoindent">
    <w:name w:val="TWJ Body no indent"/>
    <w:rsid w:val="000362CC"/>
    <w:pPr>
      <w:widowControl w:val="0"/>
      <w:suppressAutoHyphens/>
      <w:spacing w:after="0" w:line="360" w:lineRule="auto"/>
    </w:pPr>
    <w:rPr>
      <w:rFonts w:ascii="Book Antiqua" w:eastAsia="SimSun" w:hAnsi="Book Antiqua" w:cs="Book Antiqua"/>
      <w:kern w:val="32"/>
      <w:sz w:val="24"/>
      <w:szCs w:val="24"/>
      <w:lang w:eastAsia="hi-IN" w:bidi="hi-IN"/>
    </w:rPr>
  </w:style>
  <w:style w:type="paragraph" w:customStyle="1" w:styleId="TWJCastlist">
    <w:name w:val="TWJ Cast list"/>
    <w:rsid w:val="000362CC"/>
    <w:pPr>
      <w:widowControl w:val="0"/>
      <w:suppressAutoHyphens/>
      <w:spacing w:after="0" w:line="360" w:lineRule="auto"/>
    </w:pPr>
    <w:rPr>
      <w:rFonts w:ascii="Book Antiqua" w:eastAsia="SimSun" w:hAnsi="Book Antiqua" w:cs="Book Antiqua"/>
      <w:kern w:val="32"/>
      <w:lang w:eastAsia="hi-IN" w:bidi="hi-IN"/>
    </w:rPr>
  </w:style>
  <w:style w:type="paragraph" w:customStyle="1" w:styleId="TWJDisplay">
    <w:name w:val="TWJ Display"/>
    <w:rsid w:val="000362CC"/>
    <w:pPr>
      <w:widowControl w:val="0"/>
      <w:suppressAutoHyphens/>
      <w:spacing w:after="0" w:line="360" w:lineRule="auto"/>
      <w:ind w:left="851" w:right="851"/>
    </w:pPr>
    <w:rPr>
      <w:rFonts w:ascii="Book Antiqua" w:eastAsia="SimSun" w:hAnsi="Book Antiqua" w:cs="Book Antiqua"/>
      <w:kern w:val="32"/>
      <w:sz w:val="20"/>
      <w:szCs w:val="20"/>
      <w:lang w:eastAsia="hi-IN" w:bidi="hi-IN"/>
    </w:rPr>
  </w:style>
  <w:style w:type="paragraph" w:customStyle="1" w:styleId="TWJFeaturetitle">
    <w:name w:val="TWJ Feature title"/>
    <w:rsid w:val="000362CC"/>
    <w:pPr>
      <w:widowControl w:val="0"/>
      <w:suppressAutoHyphens/>
      <w:spacing w:after="0" w:line="360" w:lineRule="auto"/>
      <w:jc w:val="center"/>
    </w:pPr>
    <w:rPr>
      <w:rFonts w:ascii="Book Antiqua" w:eastAsia="SimSun" w:hAnsi="Book Antiqua" w:cs="Book Antiqua"/>
      <w:b/>
      <w:kern w:val="32"/>
      <w:sz w:val="32"/>
      <w:szCs w:val="32"/>
      <w:lang w:eastAsia="hi-IN" w:bidi="hi-IN"/>
    </w:rPr>
  </w:style>
  <w:style w:type="paragraph" w:customStyle="1" w:styleId="TWJFootnotes">
    <w:name w:val="TWJ Footnotes"/>
    <w:rsid w:val="000362CC"/>
    <w:pPr>
      <w:widowControl w:val="0"/>
      <w:suppressAutoHyphens/>
      <w:spacing w:after="0" w:line="360" w:lineRule="auto"/>
      <w:ind w:left="284" w:hanging="284"/>
    </w:pPr>
    <w:rPr>
      <w:rFonts w:ascii="Book Antiqua" w:eastAsia="SimSun" w:hAnsi="Book Antiqua" w:cs="Book Antiqua"/>
      <w:kern w:val="32"/>
      <w:sz w:val="20"/>
      <w:szCs w:val="20"/>
      <w:lang w:eastAsia="hi-IN" w:bidi="hi-IN"/>
    </w:rPr>
  </w:style>
  <w:style w:type="paragraph" w:customStyle="1" w:styleId="TWJReviewtitle">
    <w:name w:val="TWJ Review title"/>
    <w:rsid w:val="000362CC"/>
    <w:pPr>
      <w:widowControl w:val="0"/>
      <w:suppressAutoHyphens/>
      <w:spacing w:after="0" w:line="360" w:lineRule="auto"/>
      <w:jc w:val="center"/>
    </w:pPr>
    <w:rPr>
      <w:rFonts w:ascii="Book Antiqua" w:eastAsia="SimSun" w:hAnsi="Book Antiqua" w:cs="Book Antiqua"/>
      <w:b/>
      <w:kern w:val="32"/>
      <w:sz w:val="24"/>
      <w:szCs w:val="24"/>
      <w:lang w:eastAsia="hi-IN" w:bidi="hi-IN"/>
    </w:rPr>
  </w:style>
  <w:style w:type="paragraph" w:customStyle="1" w:styleId="TWJSecondarysubhead">
    <w:name w:val="TWJ Secondary subhead"/>
    <w:rsid w:val="000362CC"/>
    <w:pPr>
      <w:widowControl w:val="0"/>
      <w:suppressAutoHyphens/>
      <w:spacing w:after="0" w:line="360" w:lineRule="auto"/>
    </w:pPr>
    <w:rPr>
      <w:rFonts w:ascii="Book Antiqua" w:eastAsia="SimSun" w:hAnsi="Book Antiqua" w:cs="Book Antiqua"/>
      <w:i/>
      <w:kern w:val="32"/>
      <w:sz w:val="24"/>
      <w:szCs w:val="24"/>
      <w:lang w:eastAsia="hi-IN" w:bidi="hi-IN"/>
    </w:rPr>
  </w:style>
  <w:style w:type="paragraph" w:customStyle="1" w:styleId="TWJStandfirst">
    <w:name w:val="TWJ Standfirst"/>
    <w:rsid w:val="000362CC"/>
    <w:pPr>
      <w:widowControl w:val="0"/>
      <w:suppressAutoHyphens/>
      <w:spacing w:after="0" w:line="360" w:lineRule="auto"/>
      <w:jc w:val="center"/>
    </w:pPr>
    <w:rPr>
      <w:rFonts w:ascii="Book Antiqua" w:eastAsia="SimSun" w:hAnsi="Book Antiqua" w:cs="Book Antiqua"/>
      <w:i/>
      <w:kern w:val="32"/>
      <w:sz w:val="24"/>
      <w:szCs w:val="24"/>
      <w:lang w:eastAsia="hi-IN" w:bidi="hi-IN"/>
    </w:rPr>
  </w:style>
  <w:style w:type="paragraph" w:customStyle="1" w:styleId="TWJSubhead">
    <w:name w:val="TWJ Subhead"/>
    <w:next w:val="Normal"/>
    <w:rsid w:val="000362CC"/>
    <w:pPr>
      <w:widowControl w:val="0"/>
      <w:suppressAutoHyphens/>
      <w:spacing w:after="0" w:line="360" w:lineRule="auto"/>
    </w:pPr>
    <w:rPr>
      <w:rFonts w:ascii="Book Antiqua" w:eastAsia="SimSun" w:hAnsi="Book Antiqua" w:cs="Book Antiqua"/>
      <w:b/>
      <w:kern w:val="3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E039-ACF6-4544-BADE-81233259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Mark (Music)</dc:creator>
  <cp:lastModifiedBy>Berry, Mark (Music)</cp:lastModifiedBy>
  <cp:revision>2</cp:revision>
  <dcterms:created xsi:type="dcterms:W3CDTF">2014-11-02T12:32:00Z</dcterms:created>
  <dcterms:modified xsi:type="dcterms:W3CDTF">2014-11-02T12:32:00Z</dcterms:modified>
</cp:coreProperties>
</file>