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1E294" w14:textId="6ED91F6D" w:rsidR="00904BC8" w:rsidRDefault="005E2273" w:rsidP="0027273A">
      <w:pPr>
        <w:pStyle w:val="Heading1"/>
        <w:numPr>
          <w:ilvl w:val="0"/>
          <w:numId w:val="0"/>
        </w:numPr>
        <w:jc w:val="center"/>
        <w:rPr>
          <w:u w:val="single"/>
        </w:rPr>
      </w:pPr>
      <w:r w:rsidRPr="0027273A">
        <w:rPr>
          <w:u w:val="single"/>
        </w:rPr>
        <w:t xml:space="preserve">Incorporating materiality considerations into analyses of </w:t>
      </w:r>
      <w:r w:rsidR="00C37A79" w:rsidRPr="0027273A">
        <w:rPr>
          <w:u w:val="single"/>
        </w:rPr>
        <w:t>absence</w:t>
      </w:r>
      <w:r w:rsidR="00C37A79">
        <w:rPr>
          <w:u w:val="single"/>
        </w:rPr>
        <w:t xml:space="preserve"> from</w:t>
      </w:r>
      <w:r w:rsidR="00C37A79" w:rsidRPr="0027273A">
        <w:rPr>
          <w:u w:val="single"/>
        </w:rPr>
        <w:t xml:space="preserve"> </w:t>
      </w:r>
      <w:r w:rsidRPr="0027273A">
        <w:rPr>
          <w:u w:val="single"/>
        </w:rPr>
        <w:t xml:space="preserve">sustainability reporting </w:t>
      </w:r>
    </w:p>
    <w:p w14:paraId="6038565B" w14:textId="77777777" w:rsidR="00BB192F" w:rsidRDefault="00BB192F" w:rsidP="00BE6A80"/>
    <w:p w14:paraId="48A7098B" w14:textId="6FDFDA5C" w:rsidR="00306E33" w:rsidRDefault="00BB192F" w:rsidP="00BE6A80">
      <w:r>
        <w:t xml:space="preserve">Paper by: </w:t>
      </w:r>
      <w:r w:rsidRPr="00BB192F">
        <w:rPr>
          <w:b/>
        </w:rPr>
        <w:t>Jeffrey Unerman</w:t>
      </w:r>
      <w:r>
        <w:t xml:space="preserve"> and </w:t>
      </w:r>
      <w:r w:rsidRPr="00BB192F">
        <w:rPr>
          <w:b/>
        </w:rPr>
        <w:t>Franco Zappettini</w:t>
      </w:r>
      <w:r>
        <w:t>, School of Management, Royal Holloway University of London</w:t>
      </w:r>
    </w:p>
    <w:p w14:paraId="79C8F3C1" w14:textId="77777777" w:rsidR="00BB192F" w:rsidRDefault="00BB192F" w:rsidP="00BE6A80"/>
    <w:p w14:paraId="2D3C2887" w14:textId="3DAFA098" w:rsidR="00BB192F" w:rsidRPr="00BE6A80" w:rsidRDefault="00BB192F" w:rsidP="00BE6A80">
      <w:r>
        <w:t xml:space="preserve">Address for correspondence: </w:t>
      </w:r>
      <w:hyperlink r:id="rId10" w:history="1">
        <w:r w:rsidRPr="006202A2">
          <w:rPr>
            <w:rStyle w:val="Hyperlink"/>
          </w:rPr>
          <w:t>Jeffrey.unerman@royalholloway.ac.uk</w:t>
        </w:r>
      </w:hyperlink>
      <w:r>
        <w:t xml:space="preserve"> </w:t>
      </w:r>
    </w:p>
    <w:p w14:paraId="69D91928" w14:textId="77777777" w:rsidR="00306E33" w:rsidRPr="004525BD" w:rsidRDefault="00306E33" w:rsidP="00F27269"/>
    <w:p w14:paraId="46B53EB9" w14:textId="15BCDB7F" w:rsidR="005E2273" w:rsidRDefault="005E2273" w:rsidP="0027273A">
      <w:pPr>
        <w:pStyle w:val="Heading1"/>
        <w:numPr>
          <w:ilvl w:val="0"/>
          <w:numId w:val="0"/>
        </w:numPr>
      </w:pPr>
      <w:r>
        <w:t>Abstract</w:t>
      </w:r>
    </w:p>
    <w:p w14:paraId="0BF8B20D" w14:textId="12A2A1C5" w:rsidR="008D1027" w:rsidRDefault="00A45F6B" w:rsidP="008D1027">
      <w:pPr>
        <w:jc w:val="both"/>
      </w:pPr>
      <w:r>
        <w:t>This paper</w:t>
      </w:r>
      <w:r w:rsidR="001C5571">
        <w:t xml:space="preserve"> highlights the need to take materiality into </w:t>
      </w:r>
      <w:r w:rsidR="00166125">
        <w:t>account</w:t>
      </w:r>
      <w:r w:rsidR="001C5571">
        <w:t xml:space="preserve"> when analysing the absence of social </w:t>
      </w:r>
      <w:r w:rsidR="00166125">
        <w:t>and/</w:t>
      </w:r>
      <w:r w:rsidR="001C5571">
        <w:t xml:space="preserve">or environmental disclosures </w:t>
      </w:r>
      <w:r w:rsidR="005B2891">
        <w:t xml:space="preserve">from </w:t>
      </w:r>
      <w:r w:rsidR="001C5571">
        <w:t>organizational sustainability reports.</w:t>
      </w:r>
      <w:r>
        <w:t xml:space="preserve"> </w:t>
      </w:r>
      <w:r w:rsidR="001C5571">
        <w:t>It argues</w:t>
      </w:r>
      <w:r>
        <w:t xml:space="preserve"> that materiality must be </w:t>
      </w:r>
      <w:r w:rsidR="00166125">
        <w:t>considered</w:t>
      </w:r>
      <w:r>
        <w:t xml:space="preserve"> as a prerequisite when </w:t>
      </w:r>
      <w:r w:rsidR="008A5B1D">
        <w:t xml:space="preserve">researchers seek to </w:t>
      </w:r>
      <w:r>
        <w:t>interpret lack of disclosures of specific</w:t>
      </w:r>
      <w:r w:rsidR="008A5B1D">
        <w:t xml:space="preserve"> social and/or environmental</w:t>
      </w:r>
      <w:r>
        <w:t xml:space="preserve"> issues</w:t>
      </w:r>
      <w:r w:rsidR="00166125">
        <w:t xml:space="preserve"> or incidents</w:t>
      </w:r>
      <w:r>
        <w:t xml:space="preserve">. </w:t>
      </w:r>
      <w:r w:rsidR="00166125">
        <w:t xml:space="preserve">Illustrating these arguments using an example from interpretation of </w:t>
      </w:r>
      <w:r w:rsidR="005B2891">
        <w:t xml:space="preserve">absence from </w:t>
      </w:r>
      <w:r w:rsidR="00166125">
        <w:t>reporting in a recent award winning paper, w</w:t>
      </w:r>
      <w:r>
        <w:t xml:space="preserve">e contend that </w:t>
      </w:r>
      <w:r w:rsidR="00166125">
        <w:t xml:space="preserve">such </w:t>
      </w:r>
      <w:r w:rsidR="00781FB1">
        <w:t xml:space="preserve">interpretations </w:t>
      </w:r>
      <w:r>
        <w:t xml:space="preserve">can only be justified if organizational processes related to materiality are factored into the analysis of rhetorical </w:t>
      </w:r>
      <w:r w:rsidR="00454833">
        <w:t xml:space="preserve">or symbolic </w:t>
      </w:r>
      <w:r>
        <w:t>representations</w:t>
      </w:r>
      <w:r w:rsidR="00454833">
        <w:t xml:space="preserve"> of sustainability within organizational reporting</w:t>
      </w:r>
      <w:r w:rsidR="008D1027">
        <w:t xml:space="preserve">, a point that </w:t>
      </w:r>
      <w:r w:rsidR="00BE6A80">
        <w:t xml:space="preserve">tends </w:t>
      </w:r>
      <w:r w:rsidR="008D1027">
        <w:t>to be missed in</w:t>
      </w:r>
      <w:r w:rsidR="00BE6A80">
        <w:t xml:space="preserve"> </w:t>
      </w:r>
      <w:r w:rsidR="008D1027">
        <w:t xml:space="preserve">studies of </w:t>
      </w:r>
      <w:r w:rsidR="005B2891">
        <w:t xml:space="preserve">absence from </w:t>
      </w:r>
      <w:r w:rsidR="008D1027">
        <w:t>sustainability reporting.</w:t>
      </w:r>
    </w:p>
    <w:p w14:paraId="5825681A" w14:textId="2C81D5ED" w:rsidR="00A45F6B" w:rsidRDefault="00A45F6B" w:rsidP="00A45F6B">
      <w:pPr>
        <w:jc w:val="both"/>
      </w:pPr>
    </w:p>
    <w:p w14:paraId="39F68218" w14:textId="77777777" w:rsidR="00BB192F" w:rsidRPr="00BB192F" w:rsidRDefault="00BB192F" w:rsidP="00BB192F">
      <w:pPr>
        <w:pStyle w:val="Heading1"/>
        <w:numPr>
          <w:ilvl w:val="0"/>
          <w:numId w:val="0"/>
        </w:numPr>
      </w:pPr>
      <w:r w:rsidRPr="00BB192F">
        <w:t>Acknowledgements</w:t>
      </w:r>
    </w:p>
    <w:p w14:paraId="5F8ADBC0" w14:textId="66783D48" w:rsidR="00BB192F" w:rsidRDefault="00BB192F" w:rsidP="00BB192F">
      <w:r>
        <w:t xml:space="preserve">We are very grateful to Brendan O’Dwyer and participants at the 2014 British Accounting and Finance Association Annual Conference, 2014 Accounting and Finance Association of Australia and New Zealand Annual Conference, </w:t>
      </w:r>
      <w:r w:rsidR="001B438C">
        <w:t xml:space="preserve">and </w:t>
      </w:r>
      <w:bookmarkStart w:id="0" w:name="_GoBack"/>
      <w:bookmarkEnd w:id="0"/>
      <w:r>
        <w:t>2014 International Congress on Social and Environmental Accounting Research for their invaluable comments on drafts of this paper. Any remaining errors and omissions from the paper are a result of our own unassisted work.</w:t>
      </w:r>
    </w:p>
    <w:p w14:paraId="15B0C807" w14:textId="77777777" w:rsidR="00BB192F" w:rsidRDefault="00BB192F" w:rsidP="00A45F6B">
      <w:pPr>
        <w:jc w:val="both"/>
      </w:pPr>
    </w:p>
    <w:p w14:paraId="11E81DBE" w14:textId="35C8B833" w:rsidR="008D1027" w:rsidRDefault="008D1027" w:rsidP="000116CE">
      <w:pPr>
        <w:spacing w:after="200" w:line="276" w:lineRule="auto"/>
      </w:pPr>
      <w:r>
        <w:br w:type="page"/>
      </w:r>
    </w:p>
    <w:p w14:paraId="5BDF15DF" w14:textId="0424B9F1" w:rsidR="008D1027" w:rsidRPr="0027273A" w:rsidRDefault="008D1027" w:rsidP="008D1027">
      <w:pPr>
        <w:pStyle w:val="Heading1"/>
        <w:numPr>
          <w:ilvl w:val="0"/>
          <w:numId w:val="0"/>
        </w:numPr>
        <w:jc w:val="center"/>
        <w:rPr>
          <w:u w:val="single"/>
        </w:rPr>
      </w:pPr>
      <w:r w:rsidRPr="0027273A">
        <w:rPr>
          <w:u w:val="single"/>
        </w:rPr>
        <w:lastRenderedPageBreak/>
        <w:t xml:space="preserve">Incorporating materiality considerations into analyses of </w:t>
      </w:r>
      <w:r w:rsidR="00F93F3C" w:rsidRPr="0027273A">
        <w:rPr>
          <w:u w:val="single"/>
        </w:rPr>
        <w:t xml:space="preserve">absence </w:t>
      </w:r>
      <w:r w:rsidR="00F93F3C">
        <w:rPr>
          <w:u w:val="single"/>
        </w:rPr>
        <w:t>from</w:t>
      </w:r>
      <w:r w:rsidR="004A5563">
        <w:rPr>
          <w:u w:val="single"/>
        </w:rPr>
        <w:t xml:space="preserve"> </w:t>
      </w:r>
      <w:r w:rsidRPr="0027273A">
        <w:rPr>
          <w:u w:val="single"/>
        </w:rPr>
        <w:t xml:space="preserve">sustainability reporting </w:t>
      </w:r>
    </w:p>
    <w:p w14:paraId="36364AC4" w14:textId="77777777" w:rsidR="005E2273" w:rsidRDefault="005E2273" w:rsidP="00F51A86">
      <w:pPr>
        <w:jc w:val="both"/>
      </w:pPr>
    </w:p>
    <w:p w14:paraId="10C9B2A8" w14:textId="24D78617" w:rsidR="005E2273" w:rsidRDefault="005E2273" w:rsidP="005E2273">
      <w:pPr>
        <w:pStyle w:val="Heading1"/>
      </w:pPr>
      <w:r>
        <w:t>Introduction</w:t>
      </w:r>
    </w:p>
    <w:p w14:paraId="114C9A87" w14:textId="0FFE0EF2" w:rsidR="00F7681D" w:rsidRDefault="00904BC8" w:rsidP="00F51A86">
      <w:pPr>
        <w:jc w:val="both"/>
      </w:pPr>
      <w:r>
        <w:t xml:space="preserve">Numerous research studies into social and environmental accounting and accountability compare organizational discourses on sustainability with underlying sustainability </w:t>
      </w:r>
      <w:r w:rsidRPr="002E2FBF">
        <w:t>performance</w:t>
      </w:r>
      <w:r w:rsidR="009E1814" w:rsidRPr="002E2FBF">
        <w:t xml:space="preserve"> </w:t>
      </w:r>
      <w:r w:rsidR="002E2FBF">
        <w:t xml:space="preserve">(Bebbington </w:t>
      </w:r>
      <w:r w:rsidR="002E2FBF">
        <w:rPr>
          <w:i/>
        </w:rPr>
        <w:t>et al</w:t>
      </w:r>
      <w:r w:rsidR="002E2FBF">
        <w:t>, 2014)</w:t>
      </w:r>
      <w:r w:rsidRPr="002E2FBF">
        <w:t xml:space="preserve">. The </w:t>
      </w:r>
      <w:r w:rsidR="00086EA0" w:rsidRPr="002E2FBF">
        <w:t xml:space="preserve">predominant </w:t>
      </w:r>
      <w:r w:rsidRPr="002E2FBF">
        <w:t>forms of organizational dis</w:t>
      </w:r>
      <w:r>
        <w:t xml:space="preserve">course </w:t>
      </w:r>
      <w:r w:rsidR="008A5B1D">
        <w:t xml:space="preserve">analyzed in such </w:t>
      </w:r>
      <w:r>
        <w:t>studie</w:t>
      </w:r>
      <w:r w:rsidR="008A5B1D">
        <w:t>s</w:t>
      </w:r>
      <w:r>
        <w:t xml:space="preserve"> tend to be annually produced reports such as sustainability reports or sustainability disclosures within financially-focused annual reports</w:t>
      </w:r>
      <w:r w:rsidR="00F7681D">
        <w:t xml:space="preserve">, </w:t>
      </w:r>
      <w:r w:rsidR="004A5563">
        <w:t>or web-based sustainability reports. A</w:t>
      </w:r>
      <w:r w:rsidR="00F7681D">
        <w:t xml:space="preserve"> variety of methods are used to identify</w:t>
      </w:r>
      <w:r w:rsidR="00454833">
        <w:t xml:space="preserve"> proxies for</w:t>
      </w:r>
      <w:r w:rsidR="00F7681D">
        <w:t xml:space="preserve"> underlying performance. The social and environmental disclosures within these reports are regarded </w:t>
      </w:r>
      <w:r w:rsidR="00454833">
        <w:t>within</w:t>
      </w:r>
      <w:r w:rsidR="00F7681D">
        <w:t xml:space="preserve"> many studies as attempts by the reporting organizations to discursively (</w:t>
      </w:r>
      <w:r w:rsidR="004F0B5A">
        <w:t xml:space="preserve">and thus </w:t>
      </w:r>
      <w:r w:rsidR="00F7681D">
        <w:t xml:space="preserve">socially) construct a powerful image of the ‘reality’ of the organization in the minds of a range of economically powerful stakeholders. </w:t>
      </w:r>
      <w:r w:rsidR="008A5B1D">
        <w:t>Academic research s</w:t>
      </w:r>
      <w:r w:rsidR="00F7681D">
        <w:t xml:space="preserve">tudies </w:t>
      </w:r>
      <w:r w:rsidR="008A5B1D">
        <w:t xml:space="preserve">of this nature </w:t>
      </w:r>
      <w:r w:rsidR="00F7681D">
        <w:t xml:space="preserve">identify differences between these symbolical realities constructed through sustainability reporting and the substantive </w:t>
      </w:r>
      <w:r w:rsidR="008A5B1D">
        <w:t xml:space="preserve">underlying </w:t>
      </w:r>
      <w:r w:rsidR="00B0463B">
        <w:t xml:space="preserve">reality of sustainability </w:t>
      </w:r>
      <w:r w:rsidR="008A5B1D">
        <w:t xml:space="preserve">performance </w:t>
      </w:r>
      <w:r w:rsidR="003B5C4C">
        <w:t>(Ashforth and Gibbs, 1990)</w:t>
      </w:r>
      <w:r w:rsidR="00B0463B">
        <w:t xml:space="preserve">. Put another way, </w:t>
      </w:r>
      <w:r w:rsidR="0035702E">
        <w:t xml:space="preserve">to use Goffman’s </w:t>
      </w:r>
      <w:r w:rsidR="0035702E">
        <w:fldChar w:fldCharType="begin"/>
      </w:r>
      <w:r w:rsidR="0035702E">
        <w:instrText xml:space="preserve"> ADDIN EN.CITE &lt;EndNote&gt;&lt;Cite ExcludeAuth="1"&gt;&lt;Author&gt;Goffman&lt;/Author&gt;&lt;Year&gt;1981&lt;/Year&gt;&lt;RecNum&gt;278&lt;/RecNum&gt;&lt;DisplayText&gt;(1981)&lt;/DisplayText&gt;&lt;record&gt;&lt;rec-number&gt;278&lt;/rec-number&gt;&lt;foreign-keys&gt;&lt;key app="EN" db-id="9vwt2x2w4fpvxkezrt1p52wjt2v255r0fa92"&gt;278&lt;/key&gt;&lt;/foreign-keys&gt;&lt;ref-type name="Book"&gt;6&lt;/ref-type&gt;&lt;contributors&gt;&lt;authors&gt;&lt;author&gt;Goffman, Erving&lt;/author&gt;&lt;/authors&gt;&lt;/contributors&gt;&lt;titles&gt;&lt;title&gt;Forms of talk&lt;/title&gt;&lt;/titles&gt;&lt;dates&gt;&lt;year&gt;1981&lt;/year&gt;&lt;/dates&gt;&lt;pub-location&gt;Philadelphia&lt;/pub-location&gt;&lt;publisher&gt;University of Pennsylvania Press&lt;/publisher&gt;&lt;isbn&gt;0812277902 9780812277906 081221112X 9780812211122&lt;/isbn&gt;&lt;urls&gt;&lt;/urls&gt;&lt;remote-database-name&gt;/z-wcorg/&lt;/remote-database-name&gt;&lt;remote-database-provider&gt;http://worldcat.org&lt;/remote-database-provider&gt;&lt;language&gt;English&lt;/language&gt;&lt;/record&gt;&lt;/Cite&gt;&lt;/EndNote&gt;</w:instrText>
      </w:r>
      <w:r w:rsidR="0035702E">
        <w:fldChar w:fldCharType="separate"/>
      </w:r>
      <w:r w:rsidR="0035702E">
        <w:rPr>
          <w:noProof/>
        </w:rPr>
        <w:t>(</w:t>
      </w:r>
      <w:hyperlink w:anchor="_ENREF_13" w:tooltip="Goffman, 1981 #278" w:history="1">
        <w:r w:rsidR="00000517">
          <w:rPr>
            <w:noProof/>
          </w:rPr>
          <w:t>1981</w:t>
        </w:r>
      </w:hyperlink>
      <w:r w:rsidR="0035702E">
        <w:rPr>
          <w:noProof/>
        </w:rPr>
        <w:t>)</w:t>
      </w:r>
      <w:r w:rsidR="0035702E">
        <w:fldChar w:fldCharType="end"/>
      </w:r>
      <w:r w:rsidR="0035702E">
        <w:t xml:space="preserve"> metaphor</w:t>
      </w:r>
      <w:r w:rsidR="00223F31">
        <w:t>,</w:t>
      </w:r>
      <w:r w:rsidR="0035702E">
        <w:t xml:space="preserve"> </w:t>
      </w:r>
      <w:r w:rsidR="00B0463B">
        <w:t>they compare the frontstage image of sustainability with the backstage reality</w:t>
      </w:r>
      <w:r w:rsidR="00223F31">
        <w:t xml:space="preserve"> of sustainability performance</w:t>
      </w:r>
      <w:r w:rsidR="00B0463B">
        <w:t>.</w:t>
      </w:r>
    </w:p>
    <w:p w14:paraId="63708D6A" w14:textId="6F1719DD" w:rsidR="00FB4C01" w:rsidRDefault="00FB4C01" w:rsidP="00F51A86">
      <w:pPr>
        <w:jc w:val="both"/>
      </w:pPr>
      <w:r>
        <w:t>In interpreting the meaning of, and motivations for, differences between an organization’s symbolic and substantive sustainability performance, polic</w:t>
      </w:r>
      <w:r w:rsidR="00AF22C7">
        <w:t>i</w:t>
      </w:r>
      <w:r>
        <w:t xml:space="preserve">es and practices, researchers </w:t>
      </w:r>
      <w:r w:rsidR="001A7A48">
        <w:t xml:space="preserve">tend to </w:t>
      </w:r>
      <w:r w:rsidR="0071671E">
        <w:t xml:space="preserve">compare </w:t>
      </w:r>
      <w:r>
        <w:t xml:space="preserve">what is reported in the sustainability disclosures with </w:t>
      </w:r>
      <w:r w:rsidR="00223F31">
        <w:t xml:space="preserve">separate </w:t>
      </w:r>
      <w:r>
        <w:t xml:space="preserve">evidence they have compiled about sustainability performance and practices. In </w:t>
      </w:r>
      <w:r w:rsidR="00414E79">
        <w:t>this</w:t>
      </w:r>
      <w:r>
        <w:t xml:space="preserve"> type of study the absence</w:t>
      </w:r>
      <w:r w:rsidR="004A5563">
        <w:t xml:space="preserve"> </w:t>
      </w:r>
      <w:r w:rsidR="005B2891">
        <w:t>from</w:t>
      </w:r>
      <w:r w:rsidR="004A5563">
        <w:t xml:space="preserve"> a sustainability report</w:t>
      </w:r>
      <w:r>
        <w:t xml:space="preserve"> of disclosures</w:t>
      </w:r>
      <w:r w:rsidR="00414E79">
        <w:t xml:space="preserve"> about negative performance</w:t>
      </w:r>
      <w:r>
        <w:t xml:space="preserve"> can be as important (and sometime</w:t>
      </w:r>
      <w:r w:rsidR="001709E7">
        <w:t>s</w:t>
      </w:r>
      <w:r>
        <w:t xml:space="preserve"> more important) in the interpretation of disclosure practices as information that is disclosed in the sustainability report.</w:t>
      </w:r>
      <w:r w:rsidR="0071671E">
        <w:t xml:space="preserve"> The justification for </w:t>
      </w:r>
      <w:r w:rsidR="00223F31">
        <w:t>placing weight on the</w:t>
      </w:r>
      <w:r w:rsidR="0071671E">
        <w:t xml:space="preserve"> absence of disclo</w:t>
      </w:r>
      <w:r w:rsidR="00454833">
        <w:t>sures in such studies is that if</w:t>
      </w:r>
      <w:r w:rsidR="0071671E">
        <w:t xml:space="preserve"> organizations are seeking to use the sustainability reporting to rhetorically </w:t>
      </w:r>
      <w:r w:rsidR="00F55E7E">
        <w:t>project an</w:t>
      </w:r>
      <w:r w:rsidR="0071671E">
        <w:t xml:space="preserve"> </w:t>
      </w:r>
      <w:r w:rsidR="00D11D4D">
        <w:t>image</w:t>
      </w:r>
      <w:r w:rsidR="0071671E">
        <w:t xml:space="preserve"> of sustainability that differs from </w:t>
      </w:r>
      <w:r w:rsidR="00D11D4D">
        <w:t>underlying</w:t>
      </w:r>
      <w:r w:rsidR="0071671E">
        <w:t xml:space="preserve"> performance, it is just as </w:t>
      </w:r>
      <w:r w:rsidR="00D11D4D">
        <w:t>important</w:t>
      </w:r>
      <w:r w:rsidR="0071671E">
        <w:t xml:space="preserve"> to know what and how the organizations have</w:t>
      </w:r>
      <w:r w:rsidR="00D11D4D">
        <w:t xml:space="preserve"> reported what is included in the report as it is to know what negative sustainability incidents </w:t>
      </w:r>
      <w:r w:rsidR="00454833">
        <w:t xml:space="preserve">and outcomes </w:t>
      </w:r>
      <w:r w:rsidR="00D11D4D">
        <w:t xml:space="preserve">are attributable to the organization that the organization has chosen to exclude from its rhetorical construction of reality through </w:t>
      </w:r>
      <w:r w:rsidR="00223F31">
        <w:t xml:space="preserve">a </w:t>
      </w:r>
      <w:r w:rsidR="00D11D4D">
        <w:t>sustainability report.</w:t>
      </w:r>
    </w:p>
    <w:p w14:paraId="52112A27" w14:textId="5FB62967" w:rsidR="00223F31" w:rsidRDefault="00E20BF3" w:rsidP="00F51A86">
      <w:pPr>
        <w:jc w:val="both"/>
      </w:pPr>
      <w:r>
        <w:t xml:space="preserve">While accepting the importance of studying absence of disclosures alongside presence in drawing inferences from discourse analyses of sustainability reporting, this paper aims to contribute towards </w:t>
      </w:r>
      <w:r w:rsidR="0090356C">
        <w:t xml:space="preserve">improving </w:t>
      </w:r>
      <w:r>
        <w:t>the methods used to identify and draw such inference</w:t>
      </w:r>
      <w:r w:rsidR="001709E7">
        <w:t>s</w:t>
      </w:r>
      <w:r>
        <w:t xml:space="preserve"> from absence</w:t>
      </w:r>
      <w:r w:rsidR="00454833">
        <w:t xml:space="preserve">. Specifically it develops a case </w:t>
      </w:r>
      <w:r w:rsidR="0089516F">
        <w:t xml:space="preserve">within these analyses of absence </w:t>
      </w:r>
      <w:r w:rsidR="00454833">
        <w:t xml:space="preserve">for systematic </w:t>
      </w:r>
      <w:r w:rsidR="00414E79">
        <w:t xml:space="preserve">consideration </w:t>
      </w:r>
      <w:r>
        <w:t xml:space="preserve">of materiality </w:t>
      </w:r>
      <w:r w:rsidR="00414E79">
        <w:t>in the context of</w:t>
      </w:r>
      <w:r w:rsidR="00223F31">
        <w:t xml:space="preserve"> the reporting organizations</w:t>
      </w:r>
      <w:r w:rsidR="00414E79">
        <w:t>’ overall operations and impacts</w:t>
      </w:r>
      <w:r>
        <w:t>.</w:t>
      </w:r>
      <w:r w:rsidR="0090356C">
        <w:t xml:space="preserve"> Although we do not provide a guide or checklist of </w:t>
      </w:r>
      <w:r w:rsidR="005B4C02">
        <w:t xml:space="preserve">methods to </w:t>
      </w:r>
      <w:r w:rsidR="0090356C">
        <w:t>incorporate materiality considerations into an</w:t>
      </w:r>
      <w:r w:rsidR="005B4C02">
        <w:t xml:space="preserve">alysis of absence from </w:t>
      </w:r>
      <w:r w:rsidR="005B4C02">
        <w:lastRenderedPageBreak/>
        <w:t>sustainability reports, because these precise methods will need to vary according to the context of each study, we demonstrate how ignoring materiality considerations can lead to misleading results from research studies.</w:t>
      </w:r>
      <w:r>
        <w:t xml:space="preserve"> </w:t>
      </w:r>
    </w:p>
    <w:p w14:paraId="6E0B93F5" w14:textId="6A5F4E40" w:rsidR="00904BC8" w:rsidRDefault="001A7D5A" w:rsidP="00F51A86">
      <w:pPr>
        <w:jc w:val="both"/>
      </w:pPr>
      <w:r>
        <w:t xml:space="preserve">The main </w:t>
      </w:r>
      <w:r w:rsidR="00454833">
        <w:t>contribution of</w:t>
      </w:r>
      <w:r>
        <w:t xml:space="preserve"> this paper</w:t>
      </w:r>
      <w:r w:rsidR="005B4C02">
        <w:t xml:space="preserve"> therefore</w:t>
      </w:r>
      <w:r>
        <w:t xml:space="preserve"> is</w:t>
      </w:r>
      <w:r w:rsidR="00454833">
        <w:t xml:space="preserve"> the recognition</w:t>
      </w:r>
      <w:r>
        <w:t xml:space="preserve"> that before drawing inferences from lack of disclosure by an organization of a negative sustainability outcome associated with that organization, researchers need to ascertain that the negative outcome is indeed material in relation to the overall operations covered </w:t>
      </w:r>
      <w:r w:rsidR="00414E79">
        <w:t xml:space="preserve">by </w:t>
      </w:r>
      <w:r>
        <w:t>a sustainability report. Just because a negative incident or outcome might appear to be significant in relation to the totality of similar incidents and outcomes across a range of organizations</w:t>
      </w:r>
      <w:r w:rsidR="001709E7">
        <w:t xml:space="preserve"> or society</w:t>
      </w:r>
      <w:r w:rsidR="00D57472">
        <w:t>, this</w:t>
      </w:r>
      <w:r>
        <w:t xml:space="preserve"> does not necessarily mean that the incident or outcome will be material </w:t>
      </w:r>
      <w:r w:rsidR="00414E79">
        <w:t xml:space="preserve">in the overall context of </w:t>
      </w:r>
      <w:r w:rsidR="005B4C02">
        <w:t xml:space="preserve">each </w:t>
      </w:r>
      <w:r>
        <w:t>reporting organization.</w:t>
      </w:r>
      <w:r w:rsidR="00570578">
        <w:t xml:space="preserve"> </w:t>
      </w:r>
      <w:r w:rsidR="00223F31">
        <w:t xml:space="preserve">Where an organization has processes in place that are used to distinguish between material and immaterial sustainability issues and incidents/events, we argue that to draw an inference from absence of disclosure of a specific issue or incident requires the researchers first to </w:t>
      </w:r>
      <w:r w:rsidR="006F6A38">
        <w:t>investigate</w:t>
      </w:r>
      <w:r w:rsidR="00223F31">
        <w:t xml:space="preserve"> whether </w:t>
      </w:r>
      <w:r w:rsidR="006F6A38">
        <w:t>the issue or incident was considered and filtered out th</w:t>
      </w:r>
      <w:r w:rsidR="009F24C0">
        <w:t>r</w:t>
      </w:r>
      <w:r w:rsidR="006F6A38">
        <w:t>ough a materiality process. If it was, then to draw inferences requires the researchers to provide credible evidence that questions and challenges the specific judgments made</w:t>
      </w:r>
      <w:r w:rsidR="001709E7">
        <w:t xml:space="preserve"> by the reporting organization</w:t>
      </w:r>
      <w:r w:rsidR="006F6A38">
        <w:t xml:space="preserve"> in </w:t>
      </w:r>
      <w:r w:rsidR="008D1027">
        <w:t xml:space="preserve">the application of </w:t>
      </w:r>
      <w:r w:rsidR="006F6A38">
        <w:t>a materiality filter to the incident or event.</w:t>
      </w:r>
      <w:r w:rsidR="005B4C02" w:rsidRPr="005B4C02">
        <w:t xml:space="preserve"> </w:t>
      </w:r>
      <w:r w:rsidR="005B2891">
        <w:t>While</w:t>
      </w:r>
      <w:r w:rsidR="00D57472">
        <w:t xml:space="preserve"> </w:t>
      </w:r>
      <w:r w:rsidR="005B2891">
        <w:t>such</w:t>
      </w:r>
      <w:r w:rsidR="00D57472">
        <w:t xml:space="preserve"> a study of materiality determination processes in individual companies is beyond the scope of </w:t>
      </w:r>
      <w:r w:rsidR="005B2891">
        <w:t>this</w:t>
      </w:r>
      <w:r w:rsidR="00D57472">
        <w:t xml:space="preserve"> paper</w:t>
      </w:r>
      <w:r w:rsidR="005B2891">
        <w:t>,</w:t>
      </w:r>
      <w:r w:rsidR="00D57472">
        <w:t xml:space="preserve"> we urge researchers to develop a research agenda examining these processes from the inside</w:t>
      </w:r>
      <w:r w:rsidR="005B2891">
        <w:t>. This is because</w:t>
      </w:r>
      <w:r w:rsidR="00D57472">
        <w:t xml:space="preserve"> we believe the lack of empirical evidence in this area could enable companies to use (or abuse) materiality as a justification for not disclosing issues that many stakeholders </w:t>
      </w:r>
      <w:r w:rsidR="00D91960">
        <w:t>might</w:t>
      </w:r>
      <w:r w:rsidR="00D57472">
        <w:t xml:space="preserve"> consider</w:t>
      </w:r>
      <w:r w:rsidR="00D91960">
        <w:t xml:space="preserve"> to be</w:t>
      </w:r>
      <w:r w:rsidR="00D57472">
        <w:t xml:space="preserve"> very important.</w:t>
      </w:r>
    </w:p>
    <w:p w14:paraId="0C030429" w14:textId="6549D46D" w:rsidR="00570578" w:rsidRDefault="00570578" w:rsidP="00F51A86">
      <w:pPr>
        <w:jc w:val="both"/>
      </w:pPr>
      <w:r>
        <w:t xml:space="preserve">To achieve its aims, the paper proceeds as follows: The next section outlines why studying absence is important in analysis of organizational discourse. </w:t>
      </w:r>
      <w:proofErr w:type="gramStart"/>
      <w:r>
        <w:t xml:space="preserve">This is followed by a section that recaps the concept of materiality and explains how this has </w:t>
      </w:r>
      <w:r w:rsidR="00454833">
        <w:t>been</w:t>
      </w:r>
      <w:r>
        <w:t xml:space="preserve"> incorporated in sustainability reporting guidelines</w:t>
      </w:r>
      <w:proofErr w:type="gramEnd"/>
      <w:r>
        <w:t xml:space="preserve">. The </w:t>
      </w:r>
      <w:r w:rsidR="001709E7">
        <w:t xml:space="preserve">subsequent </w:t>
      </w:r>
      <w:r>
        <w:t xml:space="preserve">section then takes a recently published </w:t>
      </w:r>
      <w:r w:rsidR="00414E79">
        <w:t xml:space="preserve">award winning </w:t>
      </w:r>
      <w:r>
        <w:t xml:space="preserve">paper </w:t>
      </w:r>
      <w:r w:rsidR="004029A4">
        <w:fldChar w:fldCharType="begin"/>
      </w:r>
      <w:r w:rsidR="004029A4">
        <w:instrText xml:space="preserve"> ADDIN EN.CITE &lt;EndNote&gt;&lt;Cite&gt;&lt;Author&gt;Boiral&lt;/Author&gt;&lt;Year&gt;2013&lt;/Year&gt;&lt;RecNum&gt;343&lt;/RecNum&gt;&lt;DisplayText&gt;(Boiral, 2013)&lt;/DisplayText&gt;&lt;record&gt;&lt;rec-number&gt;343&lt;/rec-number&gt;&lt;foreign-keys&gt;&lt;key app="EN" db-id="9vwt2x2w4fpvxkezrt1p52wjt2v255r0fa92"&gt;343&lt;/key&gt;&lt;/foreign-keys&gt;&lt;ref-type name="Journal Article"&gt;17&lt;/ref-type&gt;&lt;contributors&gt;&lt;authors&gt;&lt;author&gt;Boiral, O.&lt;/author&gt;&lt;/authors&gt;&lt;/contributors&gt;&lt;titles&gt;&lt;title&gt;Sustainability reports as simulacra? A counter-account of A and A+ GRI reports&lt;/title&gt;&lt;secondary-title&gt;Account. Audit. Account. J. Accounting, Auditing and Accountability Journal&lt;/secondary-title&gt;&lt;/titles&gt;&lt;periodical&gt;&lt;full-title&gt;Account. Audit. Account. J. Accounting, Auditing and Accountability Journal&lt;/full-title&gt;&lt;/periodical&gt;&lt;pages&gt;1036-1071&lt;/pages&gt;&lt;volume&gt;26&lt;/volume&gt;&lt;number&gt;7&lt;/number&gt;&lt;dates&gt;&lt;year&gt;2013&lt;/year&gt;&lt;/dates&gt;&lt;isbn&gt;0951-3574&lt;/isbn&gt;&lt;urls&gt;&lt;/urls&gt;&lt;remote-database-name&gt;/z-wcorg/&lt;/remote-database-name&gt;&lt;remote-database-provider&gt;http://worldcat.org&lt;/remote-database-provider&gt;&lt;language&gt;English&lt;/language&gt;&lt;/record&gt;&lt;/Cite&gt;&lt;/EndNote&gt;</w:instrText>
      </w:r>
      <w:r w:rsidR="004029A4">
        <w:fldChar w:fldCharType="separate"/>
      </w:r>
      <w:r w:rsidR="004029A4">
        <w:rPr>
          <w:noProof/>
        </w:rPr>
        <w:t>(</w:t>
      </w:r>
      <w:hyperlink w:anchor="_ENREF_5" w:tooltip="Boiral, 2013 #343" w:history="1">
        <w:r w:rsidR="00000517">
          <w:rPr>
            <w:noProof/>
          </w:rPr>
          <w:t>Boiral, 2013</w:t>
        </w:r>
      </w:hyperlink>
      <w:r w:rsidR="004029A4">
        <w:rPr>
          <w:noProof/>
        </w:rPr>
        <w:t>)</w:t>
      </w:r>
      <w:r w:rsidR="004029A4">
        <w:fldChar w:fldCharType="end"/>
      </w:r>
      <w:r>
        <w:t xml:space="preserve"> an</w:t>
      </w:r>
      <w:r w:rsidR="006A24ED">
        <w:t>d</w:t>
      </w:r>
      <w:r>
        <w:t xml:space="preserve"> explains how consideration of materiality could have affected</w:t>
      </w:r>
      <w:r w:rsidR="001709E7">
        <w:t xml:space="preserve"> or augmented</w:t>
      </w:r>
      <w:r>
        <w:t xml:space="preserve"> the interpretation of the results </w:t>
      </w:r>
      <w:r w:rsidR="00454833">
        <w:t>within</w:t>
      </w:r>
      <w:r>
        <w:t xml:space="preserve"> the study.</w:t>
      </w:r>
      <w:r w:rsidR="00414E79">
        <w:t xml:space="preserve"> The final section draws conclusions and makes recommendations for future studies of </w:t>
      </w:r>
      <w:r w:rsidR="005B4C02">
        <w:t xml:space="preserve">absence with </w:t>
      </w:r>
      <w:r w:rsidR="00414E79">
        <w:t>sustainability reporting.</w:t>
      </w:r>
    </w:p>
    <w:p w14:paraId="2E8E3110" w14:textId="77777777" w:rsidR="001709E7" w:rsidRDefault="001709E7" w:rsidP="00F51A86">
      <w:pPr>
        <w:jc w:val="both"/>
      </w:pPr>
    </w:p>
    <w:p w14:paraId="1CD0121D" w14:textId="4E823678" w:rsidR="0027273A" w:rsidRDefault="0027273A" w:rsidP="0027273A">
      <w:pPr>
        <w:pStyle w:val="Heading1"/>
      </w:pPr>
      <w:r>
        <w:t>Importance of absence in analysis of sustainability discourse</w:t>
      </w:r>
    </w:p>
    <w:p w14:paraId="27382585" w14:textId="1C8E43ED" w:rsidR="0027273A" w:rsidRDefault="00425854" w:rsidP="00F51A86">
      <w:pPr>
        <w:jc w:val="both"/>
      </w:pPr>
      <w:r>
        <w:t>It has long been recognized that when analysing accounting phenomena, identification and interpretation of absence of the accounting issues or aspects being explored can add substantively to the insights derived from the analysis</w:t>
      </w:r>
      <w:r w:rsidR="006A24ED">
        <w:t xml:space="preserve">. </w:t>
      </w:r>
      <w:proofErr w:type="spellStart"/>
      <w:r w:rsidR="006A24ED">
        <w:t>Choudhury</w:t>
      </w:r>
      <w:proofErr w:type="spellEnd"/>
      <w:r>
        <w:t xml:space="preserve"> </w:t>
      </w:r>
      <w:r w:rsidR="0051520F">
        <w:fldChar w:fldCharType="begin"/>
      </w:r>
      <w:r w:rsidR="006A24ED">
        <w:instrText xml:space="preserve"> ADDIN EN.CITE &lt;EndNote&gt;&lt;Cite ExcludeAuth="1"&gt;&lt;Author&gt;Choudhury&lt;/Author&gt;&lt;Year&gt;1988&lt;/Year&gt;&lt;RecNum&gt;340&lt;/RecNum&gt;&lt;Pages&gt;550&lt;/Pages&gt;&lt;DisplayText&gt;(1988, p. 550)&lt;/DisplayText&gt;&lt;record&gt;&lt;rec-number&gt;340&lt;/rec-number&gt;&lt;foreign-keys&gt;&lt;key app="EN" db-id="9vwt2x2w4fpvxkezrt1p52wjt2v255r0fa92"&gt;340&lt;/key&gt;&lt;/foreign-keys&gt;&lt;ref-type name="Journal Article"&gt;17&lt;/ref-type&gt;&lt;contributors&gt;&lt;authors&gt;&lt;author&gt;Choudhury, Nandan&lt;/author&gt;&lt;/authors&gt;&lt;/contributors&gt;&lt;titles&gt;&lt;title&gt;The seeking of accounting where it is not: Towards a theory of non-accounting in organizational settings&lt;/title&gt;&lt;secondary-title&gt;Accounting, Organizations and Society&lt;/secondary-title&gt;&lt;/titles&gt;&lt;periodical&gt;&lt;full-title&gt;Accounting, Organizations and Society&lt;/full-title&gt;&lt;/periodical&gt;&lt;pages&gt;549-557&lt;/pages&gt;&lt;volume&gt;13&lt;/volume&gt;&lt;number&gt;6&lt;/number&gt;&lt;dates&gt;&lt;year&gt;1988&lt;/year&gt;&lt;/dates&gt;&lt;isbn&gt;0361-3682&lt;/isbn&gt;&lt;urls&gt;&lt;related-urls&gt;&lt;url&gt;http://www.sciencedirect.com/science/article/pii/036136828890030X&lt;/url&gt;&lt;/related-urls&gt;&lt;/urls&gt;&lt;electronic-resource-num&gt;http://dx.doi.org/10.1016/0361-3682(88)90030-X&lt;/electronic-resource-num&gt;&lt;/record&gt;&lt;/Cite&gt;&lt;/EndNote&gt;</w:instrText>
      </w:r>
      <w:r w:rsidR="0051520F">
        <w:fldChar w:fldCharType="separate"/>
      </w:r>
      <w:r w:rsidR="006A24ED">
        <w:rPr>
          <w:noProof/>
        </w:rPr>
        <w:t>(</w:t>
      </w:r>
      <w:hyperlink w:anchor="_ENREF_7" w:tooltip="Choudhury, 1988 #340" w:history="1">
        <w:r w:rsidR="00000517">
          <w:rPr>
            <w:noProof/>
          </w:rPr>
          <w:t>1988, p. 550</w:t>
        </w:r>
      </w:hyperlink>
      <w:r w:rsidR="006A24ED">
        <w:rPr>
          <w:noProof/>
        </w:rPr>
        <w:t>)</w:t>
      </w:r>
      <w:r w:rsidR="0051520F">
        <w:fldChar w:fldCharType="end"/>
      </w:r>
      <w:r w:rsidR="00CC6CBD">
        <w:t xml:space="preserve"> explains that:</w:t>
      </w:r>
    </w:p>
    <w:p w14:paraId="075ED8BD" w14:textId="7CB288A3" w:rsidR="00CC6CBD" w:rsidRDefault="00CC6CBD" w:rsidP="006A24ED">
      <w:pPr>
        <w:pStyle w:val="Quote"/>
        <w:jc w:val="both"/>
      </w:pPr>
      <w:r>
        <w:t>The absence of accounting may tell researchers a lot about the nature of accounti</w:t>
      </w:r>
      <w:r w:rsidR="00454833">
        <w:t>ng and its existence. The aim of</w:t>
      </w:r>
      <w:r>
        <w:t xml:space="preserve"> knowledge is not only to systematize that which exists but also </w:t>
      </w:r>
      <w:r>
        <w:lastRenderedPageBreak/>
        <w:t>to rationalize that which does not. By investigating examples of accounting absence and explaining accounting’s non-pervasiveness, it might be possible to create a dialectic between the existing and non-existing accounting worlds and thereby achieve a deeper understanding of the nature of accounting … just as the chief executi</w:t>
      </w:r>
      <w:r w:rsidR="006E190F">
        <w:t>ve’s actions, comments and emphases, both public and within the firm, operate as indicators of corporate intent (Peters, 1978), the omissions – what is not done, not said, and not emphasized – are similarly informative.</w:t>
      </w:r>
    </w:p>
    <w:p w14:paraId="6CCDB975" w14:textId="78A37348" w:rsidR="00454833" w:rsidRDefault="00E3506E" w:rsidP="00F51A86">
      <w:pPr>
        <w:jc w:val="both"/>
      </w:pPr>
      <w:r>
        <w:t>Analysis of absence has played an important role in some sustai</w:t>
      </w:r>
      <w:r w:rsidR="00454833">
        <w:t>nability reporting research where</w:t>
      </w:r>
      <w:r>
        <w:t xml:space="preserve"> the studies have established major</w:t>
      </w:r>
      <w:r w:rsidR="001C5571">
        <w:t xml:space="preserve"> macro-level</w:t>
      </w:r>
      <w:r>
        <w:t xml:space="preserve"> social and environmental issues prevalent at the time the analysed organizational reports had been published</w:t>
      </w:r>
      <w:r w:rsidR="0051520F">
        <w:t xml:space="preserve">. For example, Adams and Harte </w:t>
      </w:r>
      <w:r w:rsidR="0051520F">
        <w:fldChar w:fldCharType="begin"/>
      </w:r>
      <w:r w:rsidR="0051520F">
        <w:instrText xml:space="preserve"> ADDIN EN.CITE &lt;EndNote&gt;&lt;Cite ExcludeAuth="1"&gt;&lt;Author&gt;Adams&lt;/Author&gt;&lt;Year&gt;1998&lt;/Year&gt;&lt;RecNum&gt;341&lt;/RecNum&gt;&lt;DisplayText&gt;(1998)&lt;/DisplayText&gt;&lt;record&gt;&lt;rec-number&gt;341&lt;/rec-number&gt;&lt;foreign-keys&gt;&lt;key app="EN" db-id="9vwt2x2w4fpvxkezrt1p52wjt2v255r0fa92"&gt;341&lt;/key&gt;&lt;/foreign-keys&gt;&lt;ref-type name="Journal Article"&gt;17&lt;/ref-type&gt;&lt;contributors&gt;&lt;authors&gt;&lt;author&gt;Adams, Carol A.&lt;/author&gt;&lt;author&gt;Harte, George&lt;/author&gt;&lt;/authors&gt;&lt;/contributors&gt;&lt;titles&gt;&lt;title&gt;The changing portrayal of the employment of women in British banks&amp;apos; and retail companies&amp;apos; corporate annual reports&lt;/title&gt;&lt;secondary-title&gt;Accounting, Organizations and Society&lt;/secondary-title&gt;&lt;/titles&gt;&lt;periodical&gt;&lt;full-title&gt;Accounting, Organizations and Society&lt;/full-title&gt;&lt;/periodical&gt;&lt;pages&gt;781-812&lt;/pages&gt;&lt;volume&gt;23&lt;/volume&gt;&lt;number&gt;8&lt;/number&gt;&lt;dates&gt;&lt;year&gt;1998&lt;/year&gt;&lt;/dates&gt;&lt;isbn&gt;0361-3682&lt;/isbn&gt;&lt;urls&gt;&lt;related-urls&gt;&lt;url&gt;http://www.sciencedirect.com/science/article/pii/S0361368298000282&lt;/url&gt;&lt;/related-urls&gt;&lt;/urls&gt;&lt;electronic-resource-num&gt;http://dx.doi.org/10.1016/S0361-3682(98)00028-2&lt;/electronic-resource-num&gt;&lt;/record&gt;&lt;/Cite&gt;&lt;/EndNote&gt;</w:instrText>
      </w:r>
      <w:r w:rsidR="0051520F">
        <w:fldChar w:fldCharType="separate"/>
      </w:r>
      <w:r w:rsidR="0051520F">
        <w:rPr>
          <w:noProof/>
        </w:rPr>
        <w:t>(</w:t>
      </w:r>
      <w:hyperlink w:anchor="_ENREF_3" w:tooltip="Adams, 1998 #341" w:history="1">
        <w:r w:rsidR="00000517">
          <w:rPr>
            <w:noProof/>
          </w:rPr>
          <w:t>1998</w:t>
        </w:r>
      </w:hyperlink>
      <w:r w:rsidR="0051520F">
        <w:rPr>
          <w:noProof/>
        </w:rPr>
        <w:t>)</w:t>
      </w:r>
      <w:r w:rsidR="0051520F">
        <w:fldChar w:fldCharType="end"/>
      </w:r>
      <w:r>
        <w:t xml:space="preserve"> examined how a number of large British banks and retailers reflected female</w:t>
      </w:r>
      <w:r w:rsidR="003C354A">
        <w:t xml:space="preserve"> employment practices in their </w:t>
      </w:r>
      <w:r>
        <w:t>annual reports over six decades</w:t>
      </w:r>
      <w:r w:rsidR="000C4A1E">
        <w:t>. They</w:t>
      </w:r>
      <w:r>
        <w:t xml:space="preserve"> interpreted the disclosure patterns by examining “disclosure and non-disclosure in the light of the social, political an economic context of the time” (p. 781)</w:t>
      </w:r>
      <w:r w:rsidR="00AC2B9C">
        <w:t>. In justifying this approach, Adams and Harte (p. 782) state that “</w:t>
      </w:r>
      <w:r w:rsidR="00AC601D">
        <w:t>[</w:t>
      </w:r>
      <w:proofErr w:type="gramStart"/>
      <w:r w:rsidR="00AC601D">
        <w:t>a]</w:t>
      </w:r>
      <w:proofErr w:type="spellStart"/>
      <w:r w:rsidR="00AC2B9C">
        <w:t>ccounting</w:t>
      </w:r>
      <w:proofErr w:type="spellEnd"/>
      <w:proofErr w:type="gramEnd"/>
      <w:r w:rsidR="00AC2B9C">
        <w:t xml:space="preserve"> can be seen as a language which can be used to legitimate corporate action, where what is not disclosed can be seen as important as that which is”. They further explain, in the conclusions to their study (p. 807), that: </w:t>
      </w:r>
    </w:p>
    <w:p w14:paraId="46322CE4" w14:textId="11D15E09" w:rsidR="00E3506E" w:rsidRDefault="00AC2B9C" w:rsidP="006A24ED">
      <w:pPr>
        <w:pStyle w:val="Quote"/>
        <w:jc w:val="both"/>
      </w:pPr>
      <w:r w:rsidRPr="00454833">
        <w:t xml:space="preserve">Alone, corporate annual reports add little, but using a theoretical framework which allows us to identify what is missing, they can be seen </w:t>
      </w:r>
      <w:r w:rsidR="003C354A" w:rsidRPr="00454833">
        <w:t>to add to our knowledge of women’s employment … both in their choice of disclosures (e.g. explaining opportunities for young men) and in their silence, corporate managers have contributed to social perceptions of women and employment</w:t>
      </w:r>
      <w:r w:rsidR="003C354A">
        <w:t>.</w:t>
      </w:r>
    </w:p>
    <w:p w14:paraId="33FBF971" w14:textId="26341C29" w:rsidR="00C063CC" w:rsidRDefault="00C063CC" w:rsidP="00580EC9">
      <w:pPr>
        <w:jc w:val="both"/>
      </w:pPr>
      <w:r>
        <w:t>While Adams ands Harte (1998) is an example of a research study into social re</w:t>
      </w:r>
      <w:r w:rsidR="00006828">
        <w:t>p</w:t>
      </w:r>
      <w:r>
        <w:t xml:space="preserve">orting practices that takes into account significant elements of the changing </w:t>
      </w:r>
      <w:r w:rsidR="00EF77A1">
        <w:t>macro-</w:t>
      </w:r>
      <w:r w:rsidR="00FC4808">
        <w:t xml:space="preserve">societal </w:t>
      </w:r>
      <w:r>
        <w:t xml:space="preserve">context within which the disclosure practices took place, </w:t>
      </w:r>
      <w:r w:rsidR="00781FB1">
        <w:t>some</w:t>
      </w:r>
      <w:r>
        <w:t xml:space="preserve"> </w:t>
      </w:r>
      <w:r w:rsidR="000C4A1E">
        <w:t xml:space="preserve">academic </w:t>
      </w:r>
      <w:r>
        <w:t>studies in</w:t>
      </w:r>
      <w:r w:rsidR="000C4A1E">
        <w:t>to</w:t>
      </w:r>
      <w:r>
        <w:t xml:space="preserve"> sustainability reporting </w:t>
      </w:r>
      <w:r w:rsidR="00781FB1">
        <w:t xml:space="preserve">interpret </w:t>
      </w:r>
      <w:r>
        <w:t xml:space="preserve">absence of disclosures on </w:t>
      </w:r>
      <w:r w:rsidR="00EF77A1">
        <w:t xml:space="preserve">more micro-level </w:t>
      </w:r>
      <w:r>
        <w:t>issues</w:t>
      </w:r>
      <w:r w:rsidR="00D85C00">
        <w:t>. These issues may</w:t>
      </w:r>
      <w:r>
        <w:t xml:space="preserve"> have been selected as </w:t>
      </w:r>
      <w:r w:rsidR="00580EC9">
        <w:t xml:space="preserve">being </w:t>
      </w:r>
      <w:r>
        <w:t xml:space="preserve">of interest </w:t>
      </w:r>
      <w:r w:rsidR="00D85C00">
        <w:t xml:space="preserve">to </w:t>
      </w:r>
      <w:r>
        <w:t xml:space="preserve">the researchers without </w:t>
      </w:r>
      <w:r w:rsidR="002B6408">
        <w:t xml:space="preserve">apparently </w:t>
      </w:r>
      <w:r>
        <w:t>taking into account the likely significance of the issues to</w:t>
      </w:r>
      <w:r w:rsidR="00D85C00">
        <w:t xml:space="preserve"> society as a whole and/or their significance in the context of the reporting organization’s overall operations</w:t>
      </w:r>
      <w:r>
        <w:t xml:space="preserve"> </w:t>
      </w:r>
      <w:r w:rsidR="00D85C00">
        <w:t>in the period</w:t>
      </w:r>
      <w:r w:rsidR="00580EC9">
        <w:t xml:space="preserve"> covered by</w:t>
      </w:r>
      <w:r>
        <w:t xml:space="preserve"> the </w:t>
      </w:r>
      <w:r w:rsidR="00580EC9">
        <w:t xml:space="preserve">sustainability </w:t>
      </w:r>
      <w:r>
        <w:t xml:space="preserve">report. In some </w:t>
      </w:r>
      <w:r w:rsidR="00454833">
        <w:t>sustainability reporting</w:t>
      </w:r>
      <w:r>
        <w:t xml:space="preserve"> research</w:t>
      </w:r>
      <w:r w:rsidR="000C4A1E">
        <w:t>,</w:t>
      </w:r>
      <w:r>
        <w:t xml:space="preserve"> absence (or the ‘non-materialisation’) of certain issues </w:t>
      </w:r>
      <w:r w:rsidR="00712E79">
        <w:t xml:space="preserve">from </w:t>
      </w:r>
      <w:r w:rsidR="00454833">
        <w:t>disclosures with</w:t>
      </w:r>
      <w:r w:rsidR="000C4A1E">
        <w:t>in</w:t>
      </w:r>
      <w:r w:rsidR="00454833">
        <w:t xml:space="preserve"> </w:t>
      </w:r>
      <w:r>
        <w:t>the</w:t>
      </w:r>
      <w:r w:rsidR="00454833">
        <w:t xml:space="preserve"> sustainability</w:t>
      </w:r>
      <w:r>
        <w:t xml:space="preserve"> report</w:t>
      </w:r>
      <w:r w:rsidR="00454833">
        <w:t xml:space="preserve"> </w:t>
      </w:r>
      <w:r w:rsidR="000C4A1E">
        <w:t xml:space="preserve">appears to be almost </w:t>
      </w:r>
      <w:r w:rsidR="00454833">
        <w:t>automatically taken</w:t>
      </w:r>
      <w:r>
        <w:t xml:space="preserve"> as an indicator of intentional and somewhat malign exclusion by the organization’s senior managers. </w:t>
      </w:r>
    </w:p>
    <w:p w14:paraId="3D437A5C" w14:textId="75D1A6BA" w:rsidR="00454833" w:rsidRDefault="00580EC9" w:rsidP="00454833">
      <w:pPr>
        <w:jc w:val="both"/>
      </w:pPr>
      <w:r>
        <w:t xml:space="preserve">However, </w:t>
      </w:r>
      <w:proofErr w:type="spellStart"/>
      <w:r w:rsidR="00454833">
        <w:t>Choudhury</w:t>
      </w:r>
      <w:proofErr w:type="spellEnd"/>
      <w:r w:rsidR="00454833">
        <w:t xml:space="preserve"> (1988, p. 550) explains that absence takes on meaning when it is considered against the context in which the accounting </w:t>
      </w:r>
      <w:proofErr w:type="gramStart"/>
      <w:r w:rsidR="00454833">
        <w:t>phenomena being investigated i</w:t>
      </w:r>
      <w:r w:rsidR="00633791">
        <w:t>s</w:t>
      </w:r>
      <w:proofErr w:type="gramEnd"/>
      <w:r w:rsidR="00454833">
        <w:t xml:space="preserve"> enacted: “It is the context, the background, the milieu that gives absence its significance”. </w:t>
      </w:r>
      <w:r w:rsidR="000C4A1E">
        <w:t xml:space="preserve">He also argues </w:t>
      </w:r>
      <w:r w:rsidR="00454833">
        <w:t>(p. 551</w:t>
      </w:r>
      <w:proofErr w:type="gramStart"/>
      <w:r w:rsidR="00454833">
        <w:t xml:space="preserve">) </w:t>
      </w:r>
      <w:r w:rsidR="00D85C00">
        <w:t>that</w:t>
      </w:r>
      <w:proofErr w:type="gramEnd"/>
      <w:r w:rsidR="00D85C00">
        <w:t xml:space="preserve"> </w:t>
      </w:r>
      <w:r w:rsidR="00454833">
        <w:t>“only against a backdrop of a preconceived set of expectations can non-events be recognized”. He cautions about over-interpreting accounting absence, when the preconception</w:t>
      </w:r>
      <w:r w:rsidR="002B6408">
        <w:t>s</w:t>
      </w:r>
      <w:r w:rsidR="00454833">
        <w:t xml:space="preserve"> held by a researcher of the expected presence of an accounting phenomena (such as a type of disclosure) is unreasonably </w:t>
      </w:r>
      <w:r w:rsidR="00454833">
        <w:lastRenderedPageBreak/>
        <w:t>strong:  “the study of accounting absence must tread a precarious path between under- and over-sensitivity</w:t>
      </w:r>
      <w:r w:rsidR="00454833" w:rsidRPr="002E2FBF">
        <w:t xml:space="preserve">” </w:t>
      </w:r>
      <w:r w:rsidR="002E2FBF">
        <w:t>(</w:t>
      </w:r>
      <w:proofErr w:type="spellStart"/>
      <w:r w:rsidR="002E2FBF">
        <w:t>Choudhury</w:t>
      </w:r>
      <w:proofErr w:type="spellEnd"/>
      <w:r w:rsidR="002E2FBF">
        <w:t>, 198</w:t>
      </w:r>
      <w:r w:rsidR="00454833" w:rsidRPr="002E2FBF">
        <w:t>8, p. 551).</w:t>
      </w:r>
      <w:r w:rsidR="00454833">
        <w:t xml:space="preserve"> </w:t>
      </w:r>
    </w:p>
    <w:p w14:paraId="6C4B88A8" w14:textId="29DCFDFE" w:rsidR="00B5394D" w:rsidRDefault="00580EC9" w:rsidP="00F51A86">
      <w:pPr>
        <w:jc w:val="both"/>
      </w:pPr>
      <w:r>
        <w:t xml:space="preserve">From this perspective </w:t>
      </w:r>
      <w:r w:rsidR="0053634F">
        <w:t xml:space="preserve">it is important for academics </w:t>
      </w:r>
      <w:proofErr w:type="gramStart"/>
      <w:r w:rsidR="0053634F">
        <w:t>who</w:t>
      </w:r>
      <w:proofErr w:type="gramEnd"/>
      <w:r w:rsidR="0053634F">
        <w:t xml:space="preserve"> engage in interpretations of absence of disclosures </w:t>
      </w:r>
      <w:r>
        <w:t xml:space="preserve">from </w:t>
      </w:r>
      <w:r w:rsidR="0053634F">
        <w:t>sustainability reports to acknowledge why and how particular discourses are not manifest in a sustainability report</w:t>
      </w:r>
      <w:r w:rsidR="002876A8" w:rsidRPr="002876A8">
        <w:t xml:space="preserve"> </w:t>
      </w:r>
      <w:r w:rsidR="002876A8">
        <w:t>by focusing on the</w:t>
      </w:r>
      <w:r w:rsidR="002876A8" w:rsidRPr="00611F27">
        <w:t xml:space="preserve"> context</w:t>
      </w:r>
      <w:r w:rsidR="002876A8">
        <w:t xml:space="preserve"> of production</w:t>
      </w:r>
      <w:r w:rsidR="004C6DDE">
        <w:t xml:space="preserve"> of texts</w:t>
      </w:r>
      <w:r w:rsidR="008912B1">
        <w:t xml:space="preserve"> </w:t>
      </w:r>
      <w:r w:rsidR="008912B1">
        <w:rPr>
          <w:rStyle w:val="FootnoteReference"/>
        </w:rPr>
        <w:footnoteReference w:id="2"/>
      </w:r>
      <w:r w:rsidR="002876A8" w:rsidRPr="00611F27">
        <w:t>.</w:t>
      </w:r>
      <w:r w:rsidR="006F13BF">
        <w:t xml:space="preserve"> </w:t>
      </w:r>
      <w:r w:rsidR="00716D12">
        <w:t>T</w:t>
      </w:r>
      <w:r w:rsidR="0053634F">
        <w:t xml:space="preserve">his involves investigating the </w:t>
      </w:r>
      <w:r w:rsidR="0053634F" w:rsidRPr="0033133A">
        <w:rPr>
          <w:i/>
        </w:rPr>
        <w:t>process</w:t>
      </w:r>
      <w:r w:rsidR="0053634F">
        <w:t xml:space="preserve"> </w:t>
      </w:r>
      <w:r w:rsidR="009D0100">
        <w:t xml:space="preserve">of production </w:t>
      </w:r>
      <w:r w:rsidR="0053634F">
        <w:t xml:space="preserve">rather than assuming </w:t>
      </w:r>
      <w:r w:rsidR="0053634F" w:rsidRPr="00F86975">
        <w:rPr>
          <w:i/>
        </w:rPr>
        <w:t>a priori</w:t>
      </w:r>
      <w:r w:rsidR="0053634F">
        <w:t xml:space="preserve"> intentionality from the </w:t>
      </w:r>
      <w:r w:rsidR="0053634F" w:rsidRPr="0033133A">
        <w:rPr>
          <w:i/>
        </w:rPr>
        <w:t>outcome</w:t>
      </w:r>
      <w:r w:rsidR="0053634F">
        <w:t xml:space="preserve"> (i.e. the presence or absence</w:t>
      </w:r>
      <w:r w:rsidR="000A5AF5">
        <w:t xml:space="preserve"> of specific discourses</w:t>
      </w:r>
      <w:r w:rsidR="00694DC8">
        <w:t xml:space="preserve"> in the text</w:t>
      </w:r>
      <w:r w:rsidR="0053634F">
        <w:t xml:space="preserve">). In other words whilst it is reasonable for research studies to take a position that “the absence of accounting can be understood … as the negative of presence (in principle)” </w:t>
      </w:r>
      <w:r w:rsidR="00FB119B">
        <w:fldChar w:fldCharType="begin"/>
      </w:r>
      <w:r w:rsidR="00FB119B">
        <w:instrText xml:space="preserve"> ADDIN EN.CITE &lt;EndNote&gt;&lt;Cite&gt;&lt;Author&gt;Catasus&lt;/Author&gt;&lt;Year&gt;2008&lt;/Year&gt;&lt;RecNum&gt;346&lt;/RecNum&gt;&lt;DisplayText&gt;(Catasus, 2008)&lt;/DisplayText&gt;&lt;record&gt;&lt;rec-number&gt;346&lt;/rec-number&gt;&lt;foreign-keys&gt;&lt;key app="EN" db-id="9vwt2x2w4fpvxkezrt1p52wjt2v255r0fa92"&gt;346&lt;/key&gt;&lt;/foreign-keys&gt;&lt;ref-type name="Journal Article"&gt;17&lt;/ref-type&gt;&lt;contributors&gt;&lt;authors&gt;&lt;author&gt;Catasus, Bino&lt;/author&gt;&lt;/authors&gt;&lt;/contributors&gt;&lt;titles&gt;&lt;title&gt;In search of accounting absence&lt;/title&gt;&lt;secondary-title&gt;YCPAC Critical Perspectives on Accounting&lt;/secondary-title&gt;&lt;/titles&gt;&lt;periodical&gt;&lt;full-title&gt;YCPAC Critical Perspectives on Accounting&lt;/full-title&gt;&lt;/periodical&gt;&lt;pages&gt;1004-1019&lt;/pages&gt;&lt;volume&gt;19&lt;/volume&gt;&lt;number&gt;7&lt;/number&gt;&lt;dates&gt;&lt;year&gt;2008&lt;/year&gt;&lt;/dates&gt;&lt;isbn&gt;1045-2354&lt;/isbn&gt;&lt;urls&gt;&lt;/urls&gt;&lt;remote-database-name&gt;/z-wcorg/&lt;/remote-database-name&gt;&lt;remote-database-provider&gt;http://worldcat.org&lt;/remote-database-provider&gt;&lt;language&gt;English&lt;/language&gt;&lt;/record&gt;&lt;/Cite&gt;&lt;/EndNote&gt;</w:instrText>
      </w:r>
      <w:r w:rsidR="00FB119B">
        <w:fldChar w:fldCharType="separate"/>
      </w:r>
      <w:r w:rsidR="00FB119B">
        <w:rPr>
          <w:noProof/>
        </w:rPr>
        <w:t>(</w:t>
      </w:r>
      <w:hyperlink w:anchor="_ENREF_6" w:tooltip="Catasus, 2008 #346" w:history="1">
        <w:r w:rsidR="00000517">
          <w:rPr>
            <w:noProof/>
          </w:rPr>
          <w:t>Catasus, 2008</w:t>
        </w:r>
      </w:hyperlink>
      <w:r w:rsidR="00FB119B">
        <w:rPr>
          <w:noProof/>
        </w:rPr>
        <w:t>)</w:t>
      </w:r>
      <w:r w:rsidR="00FB119B">
        <w:fldChar w:fldCharType="end"/>
      </w:r>
      <w:r w:rsidR="0053634F">
        <w:t>,</w:t>
      </w:r>
      <w:r w:rsidR="00FB119B">
        <w:t xml:space="preserve"> </w:t>
      </w:r>
      <w:r w:rsidR="0053634F">
        <w:t xml:space="preserve">this </w:t>
      </w:r>
      <w:r w:rsidR="00B47587">
        <w:t xml:space="preserve">understanding </w:t>
      </w:r>
      <w:r w:rsidR="0053634F">
        <w:t>should emerge from a contextualised analysis of the production and negotiation of discourses rather than a content analysis</w:t>
      </w:r>
      <w:r w:rsidR="00B47587">
        <w:t xml:space="preserve"> simply</w:t>
      </w:r>
      <w:r w:rsidR="00FB119B">
        <w:t xml:space="preserve"> exposing what is missing.</w:t>
      </w:r>
      <w:r w:rsidR="004D4FBB">
        <w:t xml:space="preserve"> </w:t>
      </w:r>
      <w:r w:rsidR="00D76B3A">
        <w:t>In this respect o</w:t>
      </w:r>
      <w:r w:rsidR="00B5394D">
        <w:t xml:space="preserve">ne element of the sustainability reporting context that seems to be ignored in many research studies that interpret absence in sustainability reporting is the materiality </w:t>
      </w:r>
      <w:r>
        <w:t>(</w:t>
      </w:r>
      <w:r w:rsidR="001E6830">
        <w:t>with</w:t>
      </w:r>
      <w:r w:rsidR="00D85C00">
        <w:t xml:space="preserve">in the overall context of </w:t>
      </w:r>
      <w:r w:rsidR="00B5394D">
        <w:t>the reporting organization</w:t>
      </w:r>
      <w:r>
        <w:t>)</w:t>
      </w:r>
      <w:r w:rsidR="00B5394D">
        <w:t xml:space="preserve"> of the negative social and environmental issues, incidents and outcomes that researchers find have occurred but that are absent from the reports. To help provide a </w:t>
      </w:r>
      <w:r w:rsidR="008D1027">
        <w:t>background</w:t>
      </w:r>
      <w:r w:rsidR="00B5394D">
        <w:t xml:space="preserve"> for understanding this important contextual element, the next section of this paper </w:t>
      </w:r>
      <w:r w:rsidR="00D85C00">
        <w:t xml:space="preserve">briefly </w:t>
      </w:r>
      <w:r w:rsidR="00B5394D">
        <w:t xml:space="preserve">explores </w:t>
      </w:r>
      <w:r w:rsidR="00B47587">
        <w:t xml:space="preserve">the </w:t>
      </w:r>
      <w:r w:rsidR="002A77F0">
        <w:t xml:space="preserve">principle and </w:t>
      </w:r>
      <w:r w:rsidR="00B47587">
        <w:t xml:space="preserve">manifestation of </w:t>
      </w:r>
      <w:r w:rsidR="00B5394D">
        <w:t>materiality in sustainability reporting practices.</w:t>
      </w:r>
    </w:p>
    <w:p w14:paraId="30E09EE2" w14:textId="77777777" w:rsidR="006871C6" w:rsidRDefault="006871C6" w:rsidP="00F51A86">
      <w:pPr>
        <w:jc w:val="both"/>
      </w:pPr>
    </w:p>
    <w:p w14:paraId="49B94E4D" w14:textId="197136A3" w:rsidR="00B5394D" w:rsidRDefault="00B5394D" w:rsidP="00B5394D">
      <w:pPr>
        <w:pStyle w:val="Heading1"/>
      </w:pPr>
      <w:r>
        <w:t>Materiality in sustainability reporting</w:t>
      </w:r>
    </w:p>
    <w:p w14:paraId="033FA7B1" w14:textId="08A72120" w:rsidR="00D57472" w:rsidRDefault="00B5394D" w:rsidP="002D1FAE">
      <w:pPr>
        <w:jc w:val="both"/>
      </w:pPr>
      <w:r>
        <w:t xml:space="preserve">Materiality has long been regarded as a fundamental concept underlying production of </w:t>
      </w:r>
      <w:r w:rsidR="002D1FAE">
        <w:t xml:space="preserve">financial reports and accounts </w:t>
      </w:r>
      <w:r w:rsidR="00712E79">
        <w:t>(</w:t>
      </w:r>
      <w:proofErr w:type="spellStart"/>
      <w:r w:rsidR="00712E79">
        <w:t>Edgley</w:t>
      </w:r>
      <w:proofErr w:type="spellEnd"/>
      <w:r w:rsidR="00712E79">
        <w:t>, 2014).</w:t>
      </w:r>
      <w:r w:rsidR="002D1FAE">
        <w:t xml:space="preserve"> </w:t>
      </w:r>
      <w:r w:rsidR="00D57472">
        <w:t xml:space="preserve">However materiality has only developed in sustainability reporting guidelines more recently. </w:t>
      </w:r>
    </w:p>
    <w:p w14:paraId="328BDFF3" w14:textId="0EAE7489" w:rsidR="00604966" w:rsidRDefault="009975D4" w:rsidP="002D1FAE">
      <w:pPr>
        <w:jc w:val="both"/>
      </w:pPr>
      <w:r>
        <w:t>I</w:t>
      </w:r>
      <w:r w:rsidR="00D57472">
        <w:t>n financial reporting, materiality</w:t>
      </w:r>
      <w:r>
        <w:t xml:space="preserve"> </w:t>
      </w:r>
      <w:r w:rsidR="00F523D7">
        <w:t>represents a guideline for p</w:t>
      </w:r>
      <w:r>
        <w:t>rofessionals</w:t>
      </w:r>
      <w:r w:rsidR="00F523D7">
        <w:t xml:space="preserve"> and p</w:t>
      </w:r>
      <w:r>
        <w:t xml:space="preserve">ractitioners to help them assess whether an item should be included or not in a financial report, based on its relative significance. </w:t>
      </w:r>
      <w:r w:rsidR="00FE29F6">
        <w:t xml:space="preserve">For example, </w:t>
      </w:r>
      <w:r>
        <w:t xml:space="preserve">the </w:t>
      </w:r>
      <w:r w:rsidR="00FE29F6" w:rsidRPr="0072182C">
        <w:t>International Accounting Standards Board</w:t>
      </w:r>
      <w:r w:rsidR="00FE29F6">
        <w:t xml:space="preserve">’s </w:t>
      </w:r>
      <w:r>
        <w:t xml:space="preserve">Conceptual Framework for Financial Reporting </w:t>
      </w:r>
      <w:r w:rsidR="007F5F95">
        <w:fldChar w:fldCharType="begin"/>
      </w:r>
      <w:r w:rsidR="007F5F95">
        <w:instrText xml:space="preserve"> ADDIN EN.CITE &lt;EndNote&gt;&lt;Cite&gt;&lt;Author&gt;IASB&lt;/Author&gt;&lt;Year&gt;2010&lt;/Year&gt;&lt;RecNum&gt;347&lt;/RecNum&gt;&lt;Pages&gt;17&lt;/Pages&gt;&lt;DisplayText&gt;(IASB, 2010, p. 17)&lt;/DisplayText&gt;&lt;record&gt;&lt;rec-number&gt;347&lt;/rec-number&gt;&lt;foreign-keys&gt;&lt;key app="EN" db-id="9vwt2x2w4fpvxkezrt1p52wjt2v255r0fa92"&gt;347&lt;/key&gt;&lt;/foreign-keys&gt;&lt;ref-type name="Legal Rule or Regulation"&gt;50&lt;/ref-type&gt;&lt;contributors&gt;&lt;authors&gt;&lt;author&gt;IASB&lt;/author&gt;&lt;/authors&gt;&lt;secondary-authors&gt;&lt;author&gt;International Accounting Standards Board&lt;/author&gt;&lt;/secondary-authors&gt;&lt;/contributors&gt;&lt;titles&gt;&lt;title&gt;Conceptual Framework for Financial Reporting 2010&lt;/title&gt;&lt;/titles&gt;&lt;dates&gt;&lt;year&gt;2010&lt;/year&gt;&lt;/dates&gt;&lt;pub-location&gt;London&lt;/pub-location&gt;&lt;urls&gt;&lt;related-urls&gt;&lt;url&gt;http://www.ifrs.org/News/Press-Releases/Documents/ConceptualFW2010vb.pdf&lt;/url&gt;&lt;/related-urls&gt;&lt;/urls&gt;&lt;/record&gt;&lt;/Cite&gt;&lt;Cite&gt;&lt;Author&gt;IASB&lt;/Author&gt;&lt;Year&gt;2010&lt;/Year&gt;&lt;RecNum&gt;347&lt;/RecNum&gt;&lt;record&gt;&lt;rec-number&gt;347&lt;/rec-number&gt;&lt;foreign-keys&gt;&lt;key app="EN" db-id="9vwt2x2w4fpvxkezrt1p52wjt2v255r0fa92"&gt;347&lt;/key&gt;&lt;/foreign-keys&gt;&lt;ref-type name="Legal Rule or Regulation"&gt;50&lt;/ref-type&gt;&lt;contributors&gt;&lt;authors&gt;&lt;author&gt;IASB&lt;/author&gt;&lt;/authors&gt;&lt;secondary-authors&gt;&lt;author&gt;International Accounting Standards Board&lt;/author&gt;&lt;/secondary-authors&gt;&lt;/contributors&gt;&lt;titles&gt;&lt;title&gt;Conceptual Framework for Financial Reporting 2010&lt;/title&gt;&lt;/titles&gt;&lt;dates&gt;&lt;year&gt;2010&lt;/year&gt;&lt;/dates&gt;&lt;pub-location&gt;London&lt;/pub-location&gt;&lt;urls&gt;&lt;related-urls&gt;&lt;url&gt;http://www.ifrs.org/News/Press-Releases/Documents/ConceptualFW2010vb.pdf&lt;/url&gt;&lt;/related-urls&gt;&lt;/urls&gt;&lt;/record&gt;&lt;/Cite&gt;&lt;/EndNote&gt;</w:instrText>
      </w:r>
      <w:r w:rsidR="007F5F95">
        <w:fldChar w:fldCharType="separate"/>
      </w:r>
      <w:r w:rsidR="007F5F95">
        <w:rPr>
          <w:noProof/>
        </w:rPr>
        <w:t>(</w:t>
      </w:r>
      <w:hyperlink w:anchor="_ENREF_16" w:tooltip="IASB, 2010 #347" w:history="1">
        <w:r w:rsidR="00000517">
          <w:rPr>
            <w:noProof/>
          </w:rPr>
          <w:t>IASB, 2010, p. 17</w:t>
        </w:r>
      </w:hyperlink>
      <w:r w:rsidR="007F5F95">
        <w:rPr>
          <w:noProof/>
        </w:rPr>
        <w:t>)</w:t>
      </w:r>
      <w:r w:rsidR="007F5F95">
        <w:fldChar w:fldCharType="end"/>
      </w:r>
      <w:r w:rsidR="007F5F95">
        <w:t xml:space="preserve"> </w:t>
      </w:r>
      <w:r w:rsidR="00604966">
        <w:t>defines</w:t>
      </w:r>
      <w:r>
        <w:t xml:space="preserve"> materiality</w:t>
      </w:r>
      <w:r w:rsidR="00604966">
        <w:t xml:space="preserve"> as follows:</w:t>
      </w:r>
    </w:p>
    <w:p w14:paraId="20927AED" w14:textId="562CC75E" w:rsidR="00604966" w:rsidRPr="00604966" w:rsidRDefault="00604966" w:rsidP="00497ED3">
      <w:pPr>
        <w:pStyle w:val="Quote"/>
        <w:jc w:val="both"/>
        <w:rPr>
          <w:lang w:val="en-US"/>
        </w:rPr>
      </w:pPr>
      <w:r>
        <w:rPr>
          <w:lang w:val="en-US"/>
        </w:rPr>
        <w:t xml:space="preserve">Information is material if omitting it or misstating it could influence decisions that users make on the basis of financial information about a specific reporting entity. In other words, materiality is an entity-specific aspect of relevance based on the nature or magnitude, or both, of the items to which the information relates in the context of an individual entity’s financial report. [The IASB] cannot specify a uniform quantitative </w:t>
      </w:r>
      <w:r>
        <w:rPr>
          <w:lang w:val="en-US"/>
        </w:rPr>
        <w:lastRenderedPageBreak/>
        <w:t>threshold for materiality or predetermine what could be material in a particular situation</w:t>
      </w:r>
    </w:p>
    <w:p w14:paraId="2E829AE2" w14:textId="7B5B8B85" w:rsidR="00604966" w:rsidRDefault="006F1069" w:rsidP="006F1069">
      <w:pPr>
        <w:jc w:val="both"/>
        <w:rPr>
          <w:lang w:val="en-US"/>
        </w:rPr>
      </w:pPr>
      <w:r>
        <w:t xml:space="preserve">In seeking to clarify how materiality should be applied to financial reporting, the IASB in its 2013 </w:t>
      </w:r>
      <w:r w:rsidR="00EE1A3D">
        <w:t xml:space="preserve">discussion paper reviewing its conceptual framework </w:t>
      </w:r>
      <w:r w:rsidR="006B5D1D">
        <w:fldChar w:fldCharType="begin"/>
      </w:r>
      <w:r w:rsidR="006B5D1D">
        <w:instrText xml:space="preserve"> ADDIN EN.CITE &lt;EndNote&gt;&lt;Cite&gt;&lt;Author&gt;IASB&lt;/Author&gt;&lt;Year&gt;2013&lt;/Year&gt;&lt;RecNum&gt;348&lt;/RecNum&gt;&lt;Pages&gt;145&lt;/Pages&gt;&lt;DisplayText&gt;(IASB, 2013, p. 145)&lt;/DisplayText&gt;&lt;record&gt;&lt;rec-number&gt;348&lt;/rec-number&gt;&lt;foreign-keys&gt;&lt;key app="EN" db-id="9vwt2x2w4fpvxkezrt1p52wjt2v255r0fa92"&gt;348&lt;/key&gt;&lt;/foreign-keys&gt;&lt;ref-type name="Generic"&gt;13&lt;/ref-type&gt;&lt;contributors&gt;&lt;authors&gt;&lt;author&gt;IASB&lt;/author&gt;&lt;/authors&gt;&lt;/contributors&gt;&lt;titles&gt;&lt;title&gt;A Review of the Conceptual Framework for Financial Reporting Discussion Paper DP/2013/1&lt;/title&gt;&lt;/titles&gt;&lt;dates&gt;&lt;year&gt;2013&lt;/year&gt;&lt;/dates&gt;&lt;urls&gt;&lt;/urls&gt;&lt;/record&gt;&lt;/Cite&gt;&lt;/EndNote&gt;</w:instrText>
      </w:r>
      <w:r w:rsidR="006B5D1D">
        <w:fldChar w:fldCharType="separate"/>
      </w:r>
      <w:r w:rsidR="006B5D1D">
        <w:rPr>
          <w:noProof/>
        </w:rPr>
        <w:t>(</w:t>
      </w:r>
      <w:hyperlink w:anchor="_ENREF_17" w:tooltip="IASB, 2013 #348" w:history="1">
        <w:r w:rsidR="00000517">
          <w:rPr>
            <w:noProof/>
          </w:rPr>
          <w:t>IASB, 2013, p. 145</w:t>
        </w:r>
      </w:hyperlink>
      <w:r w:rsidR="006B5D1D">
        <w:rPr>
          <w:noProof/>
        </w:rPr>
        <w:t>)</w:t>
      </w:r>
      <w:r w:rsidR="006B5D1D">
        <w:fldChar w:fldCharType="end"/>
      </w:r>
      <w:r w:rsidR="006B5D1D">
        <w:t xml:space="preserve"> </w:t>
      </w:r>
      <w:r>
        <w:t>stated that “</w:t>
      </w:r>
      <w:r w:rsidRPr="006F1069">
        <w:rPr>
          <w:lang w:val="en-US"/>
        </w:rPr>
        <w:t>disclosure of immaterial information can impair the understandability</w:t>
      </w:r>
      <w:r>
        <w:rPr>
          <w:lang w:val="en-US"/>
        </w:rPr>
        <w:t xml:space="preserve"> </w:t>
      </w:r>
      <w:r w:rsidRPr="006F1069">
        <w:rPr>
          <w:lang w:val="en-US"/>
        </w:rPr>
        <w:t>of material information that is also disclosed</w:t>
      </w:r>
      <w:r>
        <w:rPr>
          <w:lang w:val="en-US"/>
        </w:rPr>
        <w:t>”</w:t>
      </w:r>
      <w:r w:rsidR="00523300">
        <w:rPr>
          <w:lang w:val="en-US"/>
        </w:rPr>
        <w:t>. This</w:t>
      </w:r>
      <w:r>
        <w:rPr>
          <w:lang w:val="en-US"/>
        </w:rPr>
        <w:t xml:space="preserve"> indicat</w:t>
      </w:r>
      <w:r w:rsidR="00523300">
        <w:rPr>
          <w:lang w:val="en-US"/>
        </w:rPr>
        <w:t>es</w:t>
      </w:r>
      <w:r>
        <w:rPr>
          <w:lang w:val="en-US"/>
        </w:rPr>
        <w:t xml:space="preserve"> a view from this informed body that clarity of corporate reports, and their communicative effectiveness, </w:t>
      </w:r>
      <w:proofErr w:type="gramStart"/>
      <w:r>
        <w:rPr>
          <w:lang w:val="en-US"/>
        </w:rPr>
        <w:t>can</w:t>
      </w:r>
      <w:proofErr w:type="gramEnd"/>
      <w:r>
        <w:rPr>
          <w:lang w:val="en-US"/>
        </w:rPr>
        <w:t xml:space="preserve"> be diminished where information that is not material is included in the report. We </w:t>
      </w:r>
      <w:r w:rsidR="001E6830">
        <w:rPr>
          <w:lang w:val="en-US"/>
        </w:rPr>
        <w:t xml:space="preserve">suggest </w:t>
      </w:r>
      <w:r>
        <w:rPr>
          <w:lang w:val="en-US"/>
        </w:rPr>
        <w:t>that this consideration applies equally, if not more so, in sustainability reports than in financial reports</w:t>
      </w:r>
      <w:r w:rsidR="006871C6">
        <w:rPr>
          <w:lang w:val="en-US"/>
        </w:rPr>
        <w:t>. This is</w:t>
      </w:r>
      <w:r>
        <w:rPr>
          <w:lang w:val="en-US"/>
        </w:rPr>
        <w:t xml:space="preserve"> because sustainability reports cover a much </w:t>
      </w:r>
      <w:r w:rsidR="00EE1A3D">
        <w:rPr>
          <w:lang w:val="en-US"/>
        </w:rPr>
        <w:t>broader</w:t>
      </w:r>
      <w:r>
        <w:rPr>
          <w:lang w:val="en-US"/>
        </w:rPr>
        <w:t xml:space="preserve"> range of complex issues than a narrower financial </w:t>
      </w:r>
      <w:r w:rsidRPr="002E2FBF">
        <w:rPr>
          <w:lang w:val="en-US"/>
        </w:rPr>
        <w:t>report</w:t>
      </w:r>
      <w:r w:rsidR="000A36B8" w:rsidRPr="002E2FBF">
        <w:rPr>
          <w:lang w:val="en-US"/>
        </w:rPr>
        <w:t xml:space="preserve"> </w:t>
      </w:r>
      <w:r w:rsidR="002E2FBF">
        <w:rPr>
          <w:lang w:val="en-US"/>
        </w:rPr>
        <w:t xml:space="preserve">(Hopwood </w:t>
      </w:r>
      <w:r w:rsidR="002E2FBF">
        <w:rPr>
          <w:i/>
          <w:lang w:val="en-US"/>
        </w:rPr>
        <w:t>et al</w:t>
      </w:r>
      <w:r w:rsidR="002E2FBF">
        <w:rPr>
          <w:lang w:val="en-US"/>
        </w:rPr>
        <w:t>, 2010</w:t>
      </w:r>
      <w:r w:rsidR="00712E79">
        <w:rPr>
          <w:lang w:val="en-US"/>
        </w:rPr>
        <w:t>, Bebbington and Larrinaga, 2014</w:t>
      </w:r>
      <w:r w:rsidR="002E2FBF">
        <w:rPr>
          <w:lang w:val="en-US"/>
        </w:rPr>
        <w:t>)</w:t>
      </w:r>
      <w:r w:rsidR="006871C6" w:rsidRPr="002E2FBF">
        <w:rPr>
          <w:lang w:val="en-US"/>
        </w:rPr>
        <w:t>,</w:t>
      </w:r>
      <w:r w:rsidR="006871C6">
        <w:rPr>
          <w:lang w:val="en-US"/>
        </w:rPr>
        <w:t xml:space="preserve"> so the scope for information overload for report readers by including </w:t>
      </w:r>
      <w:r w:rsidR="00712E79">
        <w:rPr>
          <w:lang w:val="en-US"/>
        </w:rPr>
        <w:t xml:space="preserve">less </w:t>
      </w:r>
      <w:r w:rsidR="006871C6">
        <w:rPr>
          <w:lang w:val="en-US"/>
        </w:rPr>
        <w:t xml:space="preserve">material items in a sustainability report is even greater than the scope for information overload when including </w:t>
      </w:r>
      <w:r w:rsidR="00712E79">
        <w:rPr>
          <w:lang w:val="en-US"/>
        </w:rPr>
        <w:t xml:space="preserve">less </w:t>
      </w:r>
      <w:r w:rsidR="006871C6">
        <w:rPr>
          <w:lang w:val="en-US"/>
        </w:rPr>
        <w:t>material items in a financial report.</w:t>
      </w:r>
    </w:p>
    <w:p w14:paraId="7C593625" w14:textId="53A1038E" w:rsidR="00305FE1" w:rsidRDefault="003A587C" w:rsidP="006F1069">
      <w:pPr>
        <w:jc w:val="both"/>
        <w:rPr>
          <w:lang w:val="en-US"/>
        </w:rPr>
      </w:pPr>
      <w:r>
        <w:rPr>
          <w:lang w:val="en-US"/>
        </w:rPr>
        <w:t xml:space="preserve">As sustainability reporting has become ever more prevalent over the past two decades, </w:t>
      </w:r>
      <w:r w:rsidR="007E57CC">
        <w:rPr>
          <w:lang w:val="en-US"/>
        </w:rPr>
        <w:t xml:space="preserve">voluntary </w:t>
      </w:r>
      <w:r>
        <w:rPr>
          <w:lang w:val="en-US"/>
        </w:rPr>
        <w:t xml:space="preserve">sustainability reporting guidelines have been developed </w:t>
      </w:r>
      <w:r w:rsidR="007E57CC">
        <w:rPr>
          <w:lang w:val="en-US"/>
        </w:rPr>
        <w:t xml:space="preserve">to </w:t>
      </w:r>
      <w:r w:rsidR="00B47587">
        <w:rPr>
          <w:lang w:val="en-US"/>
        </w:rPr>
        <w:t xml:space="preserve">codify and </w:t>
      </w:r>
      <w:r w:rsidR="007E57CC">
        <w:rPr>
          <w:lang w:val="en-US"/>
        </w:rPr>
        <w:t xml:space="preserve">shape best practice. The main sustainability reporting guidelines now set out materiality processes to be adopted that </w:t>
      </w:r>
      <w:r w:rsidR="00FE39A5">
        <w:rPr>
          <w:lang w:val="en-US"/>
        </w:rPr>
        <w:t xml:space="preserve">can </w:t>
      </w:r>
      <w:r w:rsidR="007E57CC">
        <w:rPr>
          <w:lang w:val="en-US"/>
        </w:rPr>
        <w:t>guide reporting organizations in deciding whether a particular impact or outcome is or is not sufficiently material</w:t>
      </w:r>
      <w:r w:rsidR="001E6830">
        <w:rPr>
          <w:lang w:val="en-US"/>
        </w:rPr>
        <w:t>,</w:t>
      </w:r>
      <w:r w:rsidR="007E57CC">
        <w:rPr>
          <w:lang w:val="en-US"/>
        </w:rPr>
        <w:t xml:space="preserve"> </w:t>
      </w:r>
      <w:r w:rsidR="00523300">
        <w:rPr>
          <w:lang w:val="en-US"/>
        </w:rPr>
        <w:t>against the context of an organization’s overall operations and impacts</w:t>
      </w:r>
      <w:r w:rsidR="001E6830">
        <w:rPr>
          <w:lang w:val="en-US"/>
        </w:rPr>
        <w:t>,</w:t>
      </w:r>
      <w:r w:rsidR="00523300">
        <w:rPr>
          <w:lang w:val="en-US"/>
        </w:rPr>
        <w:t xml:space="preserve"> </w:t>
      </w:r>
      <w:r w:rsidR="007E57CC">
        <w:rPr>
          <w:lang w:val="en-US"/>
        </w:rPr>
        <w:t xml:space="preserve">to be disclosed in the sustainability report. The aim of these processes appears to be similar to the aim of materiality hurdles in financial reporting, to ensure that the clarity of a report is not diminished by excessive detail on relatively minor issues obscuring a focus </w:t>
      </w:r>
      <w:r w:rsidR="00523300">
        <w:rPr>
          <w:lang w:val="en-US"/>
        </w:rPr>
        <w:t xml:space="preserve">and clarity </w:t>
      </w:r>
      <w:r w:rsidR="007E57CC">
        <w:rPr>
          <w:lang w:val="en-US"/>
        </w:rPr>
        <w:t>on the major issues.</w:t>
      </w:r>
      <w:r w:rsidR="001E6830">
        <w:rPr>
          <w:lang w:val="en-US"/>
        </w:rPr>
        <w:t xml:space="preserve"> This raises </w:t>
      </w:r>
      <w:r w:rsidR="0076273E" w:rsidRPr="0076273E">
        <w:rPr>
          <w:lang w:val="en-US"/>
        </w:rPr>
        <w:t>questions</w:t>
      </w:r>
      <w:r w:rsidR="001E6830">
        <w:rPr>
          <w:lang w:val="en-US"/>
        </w:rPr>
        <w:t xml:space="preserve"> about who decides whether a particular issue is relatively major or minor, or from whose perspective an issue is material or immaterial. In practice, this can be from external stakeholders’ or report preparers’ perspectives or a combination of the two – a point we return to later in this paper. </w:t>
      </w:r>
      <w:r w:rsidR="007E57CC">
        <w:rPr>
          <w:lang w:val="en-US"/>
        </w:rPr>
        <w:t xml:space="preserve"> </w:t>
      </w:r>
    </w:p>
    <w:p w14:paraId="3FAB98AF" w14:textId="6AA008A2" w:rsidR="00FD3CDE" w:rsidRDefault="007E57CC" w:rsidP="006F1069">
      <w:pPr>
        <w:jc w:val="both"/>
        <w:rPr>
          <w:lang w:val="en-US"/>
        </w:rPr>
      </w:pPr>
      <w:r>
        <w:rPr>
          <w:lang w:val="en-US"/>
        </w:rPr>
        <w:t>Although there are several sets of guidelines related to sustainability reporting, in this paper we will focus on the most</w:t>
      </w:r>
      <w:r w:rsidR="00FE39A5">
        <w:rPr>
          <w:lang w:val="en-US"/>
        </w:rPr>
        <w:t xml:space="preserve"> widely</w:t>
      </w:r>
      <w:r>
        <w:rPr>
          <w:lang w:val="en-US"/>
        </w:rPr>
        <w:t xml:space="preserve"> used </w:t>
      </w:r>
      <w:proofErr w:type="gramStart"/>
      <w:r>
        <w:rPr>
          <w:lang w:val="en-US"/>
        </w:rPr>
        <w:t>sustainability reporting</w:t>
      </w:r>
      <w:proofErr w:type="gramEnd"/>
      <w:r>
        <w:rPr>
          <w:lang w:val="en-US"/>
        </w:rPr>
        <w:t xml:space="preserve"> guidelines – those published by the Global Reporting Initiative (GRI)</w:t>
      </w:r>
      <w:r w:rsidR="003A5C54">
        <w:rPr>
          <w:rStyle w:val="FootnoteReference"/>
          <w:lang w:val="en-US"/>
        </w:rPr>
        <w:footnoteReference w:id="3"/>
      </w:r>
      <w:r>
        <w:rPr>
          <w:lang w:val="en-US"/>
        </w:rPr>
        <w:t>.</w:t>
      </w:r>
      <w:r w:rsidR="00305FE1">
        <w:rPr>
          <w:lang w:val="en-US"/>
        </w:rPr>
        <w:t xml:space="preserve"> </w:t>
      </w:r>
      <w:r w:rsidR="00E104A8">
        <w:rPr>
          <w:lang w:val="en-US"/>
        </w:rPr>
        <w:t>The GRI G3 G</w:t>
      </w:r>
      <w:r w:rsidR="00FD3CDE">
        <w:rPr>
          <w:lang w:val="en-US"/>
        </w:rPr>
        <w:t>uideline</w:t>
      </w:r>
      <w:r w:rsidR="00E104A8">
        <w:rPr>
          <w:lang w:val="en-US"/>
        </w:rPr>
        <w:t>s</w:t>
      </w:r>
      <w:r w:rsidR="00FD3CDE">
        <w:rPr>
          <w:lang w:val="en-US"/>
        </w:rPr>
        <w:t xml:space="preserve"> published in 2006</w:t>
      </w:r>
      <w:r w:rsidR="00B5477A">
        <w:rPr>
          <w:lang w:val="en-US"/>
        </w:rPr>
        <w:t xml:space="preserve"> were the first set of GRI guidelines to incorporate reasonably detailed consideration of materiality and guidance on how to determine whether any particular issue was sufficiently material to be disclosed within a sustainability report. The G3 guidelines stated that they now covered </w:t>
      </w:r>
      <w:r w:rsidR="00FD3CDE">
        <w:rPr>
          <w:lang w:val="en-US"/>
        </w:rPr>
        <w:t xml:space="preserve">materiality </w:t>
      </w:r>
      <w:r w:rsidR="00B5477A">
        <w:rPr>
          <w:lang w:val="en-US"/>
        </w:rPr>
        <w:t xml:space="preserve">because </w:t>
      </w:r>
      <w:r w:rsidR="000A36B8">
        <w:rPr>
          <w:lang w:val="en-US"/>
        </w:rPr>
        <w:fldChar w:fldCharType="begin"/>
      </w:r>
      <w:r w:rsidR="000A36B8">
        <w:rPr>
          <w:lang w:val="en-US"/>
        </w:rPr>
        <w:instrText xml:space="preserve"> ADDIN EN.CITE &lt;EndNote&gt;&lt;Cite&gt;&lt;Author&gt;GRI&lt;/Author&gt;&lt;Year&gt;2013&lt;/Year&gt;&lt;RecNum&gt;351&lt;/RecNum&gt;&lt;Pages&gt;8&lt;/Pages&gt;&lt;DisplayText&gt;(GRI, 2013, p. 8)&lt;/DisplayText&gt;&lt;record&gt;&lt;rec-number&gt;351&lt;/rec-number&gt;&lt;foreign-keys&gt;&lt;key app="EN" db-id="9vwt2x2w4fpvxkezrt1p52wjt2v255r0fa92"&gt;351&lt;/key&gt;&lt;/foreign-keys&gt;&lt;ref-type name="Legal Rule or Regulation"&gt;50&lt;/ref-type&gt;&lt;contributors&gt;&lt;authors&gt;&lt;author&gt;GRI&lt;/author&gt;&lt;/authors&gt;&lt;secondary-authors&gt;&lt;author&gt;GRI Global Report Initiative&lt;/author&gt;&lt;/secondary-authors&gt;&lt;/contributors&gt;&lt;titles&gt;&lt;title&gt;G4 Sustainability Reporting Guidelines &lt;/title&gt;&lt;/titles&gt;&lt;dates&gt;&lt;year&gt;2013&lt;/year&gt;&lt;/dates&gt;&lt;pub-location&gt;Amsterdam&lt;/pub-location&gt;&lt;urls&gt;&lt;/urls&gt;&lt;/record&gt;&lt;/Cite&gt;&lt;Cite&gt;&lt;Author&gt;GRI&lt;/Author&gt;&lt;Year&gt;2013&lt;/Year&gt;&lt;RecNum&gt;351&lt;/RecNum&gt;&lt;record&gt;&lt;rec-number&gt;351&lt;/rec-number&gt;&lt;foreign-keys&gt;&lt;key app="EN" db-id="9vwt2x2w4fpvxkezrt1p52wjt2v255r0fa92"&gt;351&lt;/key&gt;&lt;/foreign-keys&gt;&lt;ref-type name="Legal Rule or Regulation"&gt;50&lt;/ref-type&gt;&lt;contributors&gt;&lt;authors&gt;&lt;author&gt;GRI&lt;/author&gt;&lt;/authors&gt;&lt;secondary-authors&gt;&lt;author&gt;GRI Global Report Initiative&lt;/author&gt;&lt;/secondary-authors&gt;&lt;/contributors&gt;&lt;titles&gt;&lt;title&gt;G4 Sustainability Reporting Guidelines &lt;/title&gt;&lt;/titles&gt;&lt;dates&gt;&lt;year&gt;2013&lt;/year&gt;&lt;/dates&gt;&lt;pub-location&gt;Amsterdam&lt;/pub-location&gt;&lt;urls&gt;&lt;/urls&gt;&lt;/record&gt;&lt;/Cite&gt;&lt;/EndNote&gt;</w:instrText>
      </w:r>
      <w:r w:rsidR="000A36B8">
        <w:rPr>
          <w:lang w:val="en-US"/>
        </w:rPr>
        <w:fldChar w:fldCharType="separate"/>
      </w:r>
      <w:r w:rsidR="000A36B8">
        <w:rPr>
          <w:noProof/>
          <w:lang w:val="en-US"/>
        </w:rPr>
        <w:t>(</w:t>
      </w:r>
      <w:hyperlink w:anchor="_ENREF_14" w:tooltip="GRI, 2013 #351" w:history="1">
        <w:r w:rsidR="003642FB">
          <w:rPr>
            <w:noProof/>
            <w:lang w:val="en-US"/>
          </w:rPr>
          <w:t>GRI, 2006</w:t>
        </w:r>
        <w:r w:rsidR="00000517">
          <w:rPr>
            <w:noProof/>
            <w:lang w:val="en-US"/>
          </w:rPr>
          <w:t>, p. 8</w:t>
        </w:r>
      </w:hyperlink>
      <w:r w:rsidR="000A36B8">
        <w:rPr>
          <w:noProof/>
          <w:lang w:val="en-US"/>
        </w:rPr>
        <w:t>)</w:t>
      </w:r>
      <w:r w:rsidR="000A36B8">
        <w:rPr>
          <w:lang w:val="en-US"/>
        </w:rPr>
        <w:fldChar w:fldCharType="end"/>
      </w:r>
      <w:r w:rsidR="000A36B8">
        <w:rPr>
          <w:lang w:val="en-US"/>
        </w:rPr>
        <w:t>:</w:t>
      </w:r>
    </w:p>
    <w:p w14:paraId="2B673030" w14:textId="336B0A59" w:rsidR="00FD3CDE" w:rsidRPr="00FD3CDE" w:rsidRDefault="00FD3CDE" w:rsidP="000A36B8">
      <w:pPr>
        <w:pStyle w:val="Quote"/>
        <w:jc w:val="both"/>
        <w:rPr>
          <w:lang w:val="en-US"/>
        </w:rPr>
      </w:pPr>
      <w:r>
        <w:rPr>
          <w:lang w:val="en-US"/>
        </w:rPr>
        <w:lastRenderedPageBreak/>
        <w:t>The information in a report should cover topics and Indicators that reflect the organization’s significant economic, environmental, and social impacts, or that would substantively influence the assessments and decisions of stakeholders.</w:t>
      </w:r>
    </w:p>
    <w:p w14:paraId="26601965" w14:textId="34E1F9DA" w:rsidR="00EE1A3D" w:rsidRDefault="00FD3CDE" w:rsidP="000A36B8">
      <w:pPr>
        <w:jc w:val="both"/>
        <w:rPr>
          <w:lang w:val="en-US"/>
        </w:rPr>
      </w:pPr>
      <w:r>
        <w:rPr>
          <w:lang w:val="en-US"/>
        </w:rPr>
        <w:t>The G3 guidelines further explain</w:t>
      </w:r>
      <w:r w:rsidR="00B5477A">
        <w:rPr>
          <w:lang w:val="en-US"/>
        </w:rPr>
        <w:t>ed</w:t>
      </w:r>
      <w:r>
        <w:rPr>
          <w:lang w:val="en-US"/>
        </w:rPr>
        <w:t xml:space="preserve"> that:</w:t>
      </w:r>
    </w:p>
    <w:p w14:paraId="74B4D370" w14:textId="07E8D9E5" w:rsidR="00FD3CDE" w:rsidRDefault="00FD3CDE" w:rsidP="000A36B8">
      <w:pPr>
        <w:pStyle w:val="Quote"/>
        <w:jc w:val="both"/>
        <w:rPr>
          <w:lang w:val="en-US"/>
        </w:rPr>
      </w:pPr>
      <w:r>
        <w:rPr>
          <w:lang w:val="en-US"/>
        </w:rPr>
        <w:t xml:space="preserve">Organizations are faced with a wide range of topics on which [they] could report. Relevant topics and Indicators are those that may reasonably be considered important for reflecting the organization’s economic, environmental, and social impacts, or influencing the decisions of stakeholders, and, therefore, potentially merit inclusion in the report. Materiality is the threshold at which an issue or Indicator becomes sufficiently important that it should be reported. Beyond this threshold, not all material topics will be of equal importance and the emphasis within a report should reflect the relative priority of these material topics and Indicators. … </w:t>
      </w:r>
      <w:r w:rsidRPr="00FD3CDE">
        <w:rPr>
          <w:lang w:val="en-US"/>
        </w:rPr>
        <w:t>Materiality for sustainability reporting is not limited only</w:t>
      </w:r>
      <w:r>
        <w:rPr>
          <w:lang w:val="en-US"/>
        </w:rPr>
        <w:t xml:space="preserve"> </w:t>
      </w:r>
      <w:r w:rsidRPr="00FD3CDE">
        <w:rPr>
          <w:lang w:val="en-US"/>
        </w:rPr>
        <w:t>to those sustainability topics that have a significant</w:t>
      </w:r>
      <w:r>
        <w:rPr>
          <w:lang w:val="en-US"/>
        </w:rPr>
        <w:t xml:space="preserve"> </w:t>
      </w:r>
      <w:r w:rsidRPr="00FD3CDE">
        <w:rPr>
          <w:lang w:val="en-US"/>
        </w:rPr>
        <w:t>financial impact on the organization. Determining</w:t>
      </w:r>
      <w:r>
        <w:rPr>
          <w:lang w:val="en-US"/>
        </w:rPr>
        <w:t xml:space="preserve"> </w:t>
      </w:r>
      <w:r w:rsidRPr="00FD3CDE">
        <w:rPr>
          <w:lang w:val="en-US"/>
        </w:rPr>
        <w:t>materiality for a sustainability report also includes</w:t>
      </w:r>
      <w:r>
        <w:rPr>
          <w:lang w:val="en-US"/>
        </w:rPr>
        <w:t xml:space="preserve"> </w:t>
      </w:r>
      <w:r w:rsidRPr="00FD3CDE">
        <w:rPr>
          <w:lang w:val="en-US"/>
        </w:rPr>
        <w:t>considering economic, environmental, and social</w:t>
      </w:r>
      <w:r>
        <w:rPr>
          <w:lang w:val="en-US"/>
        </w:rPr>
        <w:t xml:space="preserve"> </w:t>
      </w:r>
      <w:r w:rsidRPr="00FD3CDE">
        <w:rPr>
          <w:lang w:val="en-US"/>
        </w:rPr>
        <w:t>impacts that cross a threshold in affecting the ability to</w:t>
      </w:r>
      <w:r>
        <w:rPr>
          <w:lang w:val="en-US"/>
        </w:rPr>
        <w:t xml:space="preserve"> </w:t>
      </w:r>
      <w:r w:rsidRPr="00FD3CDE">
        <w:rPr>
          <w:lang w:val="en-US"/>
        </w:rPr>
        <w:t>meet the needs of the present without compromising</w:t>
      </w:r>
      <w:r>
        <w:rPr>
          <w:lang w:val="en-US"/>
        </w:rPr>
        <w:t xml:space="preserve"> </w:t>
      </w:r>
      <w:r w:rsidRPr="00FD3CDE">
        <w:rPr>
          <w:lang w:val="en-US"/>
        </w:rPr>
        <w:t>the needs of future generations.</w:t>
      </w:r>
    </w:p>
    <w:p w14:paraId="46D5632F" w14:textId="5203282D" w:rsidR="00BC1FD1" w:rsidRDefault="00FD3CDE" w:rsidP="00A02461">
      <w:pPr>
        <w:jc w:val="both"/>
        <w:rPr>
          <w:lang w:val="en-US"/>
        </w:rPr>
      </w:pPr>
      <w:r>
        <w:rPr>
          <w:lang w:val="en-US"/>
        </w:rPr>
        <w:t xml:space="preserve">The GRI G3 guidelines </w:t>
      </w:r>
      <w:r w:rsidR="00B5477A">
        <w:rPr>
          <w:lang w:val="en-US"/>
        </w:rPr>
        <w:t>specify that</w:t>
      </w:r>
      <w:r>
        <w:rPr>
          <w:lang w:val="en-US"/>
        </w:rPr>
        <w:t xml:space="preserve"> the views of a range of </w:t>
      </w:r>
      <w:r w:rsidR="00A02461">
        <w:rPr>
          <w:lang w:val="en-US"/>
        </w:rPr>
        <w:t xml:space="preserve">external </w:t>
      </w:r>
      <w:r>
        <w:rPr>
          <w:lang w:val="en-US"/>
        </w:rPr>
        <w:t>stakeholders regarding the importance of an issue as well as internal organizational assessments regarding the significance of that item should be combined</w:t>
      </w:r>
      <w:r w:rsidR="00B5477A">
        <w:rPr>
          <w:lang w:val="en-US"/>
        </w:rPr>
        <w:t xml:space="preserve"> in determining its materiality</w:t>
      </w:r>
      <w:r>
        <w:rPr>
          <w:lang w:val="en-US"/>
        </w:rPr>
        <w:t>.</w:t>
      </w:r>
      <w:r w:rsidR="00A02461">
        <w:rPr>
          <w:lang w:val="en-US"/>
        </w:rPr>
        <w:t xml:space="preserve"> </w:t>
      </w:r>
      <w:r w:rsidR="00B5477A">
        <w:rPr>
          <w:lang w:val="en-US"/>
        </w:rPr>
        <w:t>They</w:t>
      </w:r>
      <w:r w:rsidR="00A02461">
        <w:rPr>
          <w:lang w:val="en-US"/>
        </w:rPr>
        <w:t xml:space="preserve"> also specify that the processes an organization uses to identify the materiality of different impacts and outcomes should be explained in the report</w:t>
      </w:r>
      <w:r w:rsidR="00A02461" w:rsidRPr="00A02461">
        <w:rPr>
          <w:lang w:val="en-US"/>
        </w:rPr>
        <w:t>.</w:t>
      </w:r>
      <w:r w:rsidR="00A02461">
        <w:rPr>
          <w:lang w:val="en-US"/>
        </w:rPr>
        <w:t xml:space="preserve"> </w:t>
      </w:r>
      <w:r w:rsidR="00BC1FD1">
        <w:rPr>
          <w:lang w:val="en-US"/>
        </w:rPr>
        <w:t xml:space="preserve">Figure 1 reproduces a diagram from the </w:t>
      </w:r>
      <w:r w:rsidR="00B47587">
        <w:rPr>
          <w:lang w:val="en-US"/>
        </w:rPr>
        <w:t>GRI</w:t>
      </w:r>
      <w:r w:rsidR="00BC1FD1">
        <w:rPr>
          <w:lang w:val="en-US"/>
        </w:rPr>
        <w:t xml:space="preserve"> G3</w:t>
      </w:r>
      <w:r w:rsidR="00B47587">
        <w:rPr>
          <w:lang w:val="en-US"/>
        </w:rPr>
        <w:t xml:space="preserve"> </w:t>
      </w:r>
      <w:r w:rsidR="00A02461">
        <w:rPr>
          <w:lang w:val="en-US"/>
        </w:rPr>
        <w:t xml:space="preserve">guidelines showing how the external stakeholder and the internal organizational assessments of significance of an item can be combined to determine the relative importance of different sustainability issues </w:t>
      </w:r>
      <w:r w:rsidR="00523300">
        <w:rPr>
          <w:lang w:val="en-US"/>
        </w:rPr>
        <w:t xml:space="preserve">against the overall context of </w:t>
      </w:r>
      <w:r w:rsidR="00A02461">
        <w:rPr>
          <w:lang w:val="en-US"/>
        </w:rPr>
        <w:t>the organization</w:t>
      </w:r>
      <w:r w:rsidR="00523300">
        <w:rPr>
          <w:lang w:val="en-US"/>
        </w:rPr>
        <w:t>’s operations and impacts</w:t>
      </w:r>
      <w:r w:rsidR="00A02461">
        <w:rPr>
          <w:lang w:val="en-US"/>
        </w:rPr>
        <w:t xml:space="preserve">, and thereby decide what should be included in the report and what should be </w:t>
      </w:r>
      <w:r w:rsidR="00523300">
        <w:rPr>
          <w:lang w:val="en-US"/>
        </w:rPr>
        <w:t xml:space="preserve">left out </w:t>
      </w:r>
      <w:r w:rsidR="00A02461">
        <w:rPr>
          <w:lang w:val="en-US"/>
        </w:rPr>
        <w:t>(</w:t>
      </w:r>
      <w:r w:rsidR="003642FB">
        <w:rPr>
          <w:lang w:val="en-US"/>
        </w:rPr>
        <w:t>GRI 2006</w:t>
      </w:r>
      <w:r w:rsidR="00B5477A">
        <w:rPr>
          <w:lang w:val="en-US"/>
        </w:rPr>
        <w:t>, p. 8</w:t>
      </w:r>
      <w:r w:rsidR="00A02461">
        <w:rPr>
          <w:lang w:val="en-US"/>
        </w:rPr>
        <w:t>)</w:t>
      </w:r>
      <w:r w:rsidR="00BC1FD1">
        <w:rPr>
          <w:lang w:val="en-US"/>
        </w:rPr>
        <w:t>.</w:t>
      </w:r>
    </w:p>
    <w:p w14:paraId="6AEBE5C8" w14:textId="4BBD40D4" w:rsidR="00BC1FD1" w:rsidRPr="00ED3371" w:rsidRDefault="00BC1FD1" w:rsidP="00BC1FD1">
      <w:pPr>
        <w:jc w:val="both"/>
        <w:rPr>
          <w:b/>
        </w:rPr>
      </w:pPr>
      <w:r w:rsidRPr="00B61416">
        <w:rPr>
          <w:b/>
        </w:rPr>
        <w:t>[TAKE IN FIGURE 1 ABOUT HERE]</w:t>
      </w:r>
    </w:p>
    <w:p w14:paraId="0A0B7E3C" w14:textId="3E0D16A4" w:rsidR="00905566" w:rsidRDefault="00905566" w:rsidP="0064551C">
      <w:pPr>
        <w:jc w:val="both"/>
      </w:pPr>
      <w:r>
        <w:t>Definitions and processes of determining materiality set out in the subsequent</w:t>
      </w:r>
      <w:r w:rsidR="005C785E">
        <w:t xml:space="preserve"> GRI G3.1 Guidelines</w:t>
      </w:r>
      <w:r>
        <w:t xml:space="preserve"> published in 201</w:t>
      </w:r>
      <w:r w:rsidR="0019540C">
        <w:t>1</w:t>
      </w:r>
      <w:r w:rsidR="005C785E">
        <w:t xml:space="preserve"> and </w:t>
      </w:r>
      <w:r w:rsidR="0019540C">
        <w:t>G4 Guidelines published in 2013</w:t>
      </w:r>
      <w:r w:rsidR="005C785E">
        <w:t xml:space="preserve"> d</w:t>
      </w:r>
      <w:r>
        <w:t>o not differ substantively from the above G3 definitions and processes</w:t>
      </w:r>
      <w:r w:rsidR="005C785E">
        <w:t>. However there is an even greater focus in the latest G4 Guidelines on the importance of applying materiality criteria to ensure the resultant sustainability report has greater clarity</w:t>
      </w:r>
      <w:r w:rsidR="00523300">
        <w:t xml:space="preserve"> through concision</w:t>
      </w:r>
      <w:r w:rsidR="005C785E">
        <w:t xml:space="preserve"> </w:t>
      </w:r>
      <w:r w:rsidR="000A36B8">
        <w:fldChar w:fldCharType="begin"/>
      </w:r>
      <w:r w:rsidR="000A36B8">
        <w:instrText xml:space="preserve"> ADDIN EN.CITE &lt;EndNote&gt;&lt;Cite&gt;&lt;Author&gt;GRI&lt;/Author&gt;&lt;Year&gt;2013&lt;/Year&gt;&lt;RecNum&gt;351&lt;/RecNum&gt;&lt;Pages&gt;3&lt;/Pages&gt;&lt;DisplayText&gt;(GRI, 2013, p. 3)&lt;/DisplayText&gt;&lt;record&gt;&lt;rec-number&gt;351&lt;/rec-number&gt;&lt;foreign-keys&gt;&lt;key app="EN" db-id="9vwt2x2w4fpvxkezrt1p52wjt2v255r0fa92"&gt;351&lt;/key&gt;&lt;/foreign-keys&gt;&lt;ref-type name="Legal Rule or Regulation"&gt;50&lt;/ref-type&gt;&lt;contributors&gt;&lt;authors&gt;&lt;author&gt;GRI&lt;/author&gt;&lt;/authors&gt;&lt;secondary-authors&gt;&lt;author&gt;GRI Global Report Initiative&lt;/author&gt;&lt;/secondary-authors&gt;&lt;/contributors&gt;&lt;titles&gt;&lt;title&gt;G4 Sustainability Reporting Guidelines &lt;/title&gt;&lt;/titles&gt;&lt;dates&gt;&lt;year&gt;2013&lt;/year&gt;&lt;/dates&gt;&lt;pub-location&gt;Amsterdam&lt;/pub-location&gt;&lt;urls&gt;&lt;/urls&gt;&lt;/record&gt;&lt;/Cite&gt;&lt;/EndNote&gt;</w:instrText>
      </w:r>
      <w:r w:rsidR="000A36B8">
        <w:fldChar w:fldCharType="separate"/>
      </w:r>
      <w:r w:rsidR="000A36B8">
        <w:rPr>
          <w:noProof/>
        </w:rPr>
        <w:t>(</w:t>
      </w:r>
      <w:hyperlink w:anchor="_ENREF_14" w:tooltip="GRI, 2013 #351" w:history="1">
        <w:r w:rsidR="00000517">
          <w:rPr>
            <w:noProof/>
          </w:rPr>
          <w:t>GRI, 2013, p. 3</w:t>
        </w:r>
      </w:hyperlink>
      <w:r w:rsidR="000A36B8">
        <w:rPr>
          <w:noProof/>
        </w:rPr>
        <w:t>)</w:t>
      </w:r>
      <w:r w:rsidR="000A36B8">
        <w:fldChar w:fldCharType="end"/>
      </w:r>
      <w:r w:rsidR="005C785E">
        <w:t>:</w:t>
      </w:r>
    </w:p>
    <w:p w14:paraId="50F48791" w14:textId="2D3CA043" w:rsidR="005C785E" w:rsidRDefault="005C785E" w:rsidP="000A36B8">
      <w:pPr>
        <w:pStyle w:val="Quote"/>
        <w:jc w:val="both"/>
      </w:pPr>
      <w:r>
        <w:t xml:space="preserve">G4 has an increased emphasis on the need for organizations to focus the reporting process and final report on those topics that are material to their business and their key stakeholders. This ‘materiality’ focus will make reports more relevant, more credible and </w:t>
      </w:r>
      <w:proofErr w:type="gramStart"/>
      <w:r>
        <w:t>more user-friendly</w:t>
      </w:r>
      <w:proofErr w:type="gramEnd"/>
      <w:r>
        <w:t xml:space="preserve">. This will, in turn, enable organizations to better inform markets and society on sustainability matters. </w:t>
      </w:r>
    </w:p>
    <w:p w14:paraId="53FCD117" w14:textId="281F5FFD" w:rsidR="002D2047" w:rsidRPr="00D15128" w:rsidRDefault="005C785E" w:rsidP="003027DB">
      <w:pPr>
        <w:pStyle w:val="Quote"/>
        <w:ind w:left="0" w:right="-46"/>
        <w:jc w:val="both"/>
        <w:rPr>
          <w:i w:val="0"/>
        </w:rPr>
      </w:pPr>
      <w:r w:rsidRPr="00A672A7">
        <w:rPr>
          <w:i w:val="0"/>
        </w:rPr>
        <w:lastRenderedPageBreak/>
        <w:t xml:space="preserve">While organizations may monitor and manage a </w:t>
      </w:r>
      <w:r w:rsidR="00B47587">
        <w:rPr>
          <w:i w:val="0"/>
        </w:rPr>
        <w:t>very</w:t>
      </w:r>
      <w:r w:rsidR="00B47587" w:rsidRPr="00A672A7">
        <w:rPr>
          <w:i w:val="0"/>
        </w:rPr>
        <w:t xml:space="preserve"> </w:t>
      </w:r>
      <w:r w:rsidRPr="00A672A7">
        <w:rPr>
          <w:i w:val="0"/>
        </w:rPr>
        <w:t xml:space="preserve">wide array of sustainability-related topics </w:t>
      </w:r>
      <w:r w:rsidR="00523300">
        <w:rPr>
          <w:i w:val="0"/>
        </w:rPr>
        <w:t>arising from and related to</w:t>
      </w:r>
      <w:r w:rsidR="00523300" w:rsidRPr="00A672A7">
        <w:rPr>
          <w:i w:val="0"/>
        </w:rPr>
        <w:t xml:space="preserve"> </w:t>
      </w:r>
      <w:r w:rsidRPr="00A672A7">
        <w:rPr>
          <w:i w:val="0"/>
        </w:rPr>
        <w:t xml:space="preserve">their everyday management activities, this </w:t>
      </w:r>
      <w:r w:rsidR="002A77F0">
        <w:rPr>
          <w:i w:val="0"/>
        </w:rPr>
        <w:t>greater</w:t>
      </w:r>
      <w:r w:rsidR="002A77F0" w:rsidRPr="00A672A7">
        <w:rPr>
          <w:i w:val="0"/>
        </w:rPr>
        <w:t xml:space="preserve"> </w:t>
      </w:r>
      <w:r w:rsidRPr="00A672A7">
        <w:rPr>
          <w:i w:val="0"/>
        </w:rPr>
        <w:t xml:space="preserve">focus on materiality means that sustainability reports </w:t>
      </w:r>
      <w:r w:rsidR="00712E79">
        <w:rPr>
          <w:i w:val="0"/>
        </w:rPr>
        <w:t>should</w:t>
      </w:r>
      <w:r w:rsidR="00712E79" w:rsidRPr="00A672A7">
        <w:rPr>
          <w:i w:val="0"/>
        </w:rPr>
        <w:t xml:space="preserve"> </w:t>
      </w:r>
      <w:r w:rsidRPr="00A672A7">
        <w:rPr>
          <w:i w:val="0"/>
        </w:rPr>
        <w:t xml:space="preserve">be </w:t>
      </w:r>
      <w:r w:rsidR="00FE39A5" w:rsidRPr="00A672A7">
        <w:rPr>
          <w:i w:val="0"/>
        </w:rPr>
        <w:t>centred</w:t>
      </w:r>
      <w:r w:rsidRPr="00A672A7">
        <w:rPr>
          <w:i w:val="0"/>
        </w:rPr>
        <w:t xml:space="preserve"> on matters that are </w:t>
      </w:r>
      <w:r w:rsidR="002A77F0">
        <w:rPr>
          <w:i w:val="0"/>
        </w:rPr>
        <w:t>considered (through a materiality process) the most</w:t>
      </w:r>
      <w:r w:rsidR="002A77F0" w:rsidRPr="00A672A7">
        <w:rPr>
          <w:i w:val="0"/>
        </w:rPr>
        <w:t xml:space="preserve"> </w:t>
      </w:r>
      <w:r w:rsidRPr="00A672A7">
        <w:rPr>
          <w:i w:val="0"/>
        </w:rPr>
        <w:t xml:space="preserve">critical in order to </w:t>
      </w:r>
      <w:r w:rsidR="00253624">
        <w:rPr>
          <w:i w:val="0"/>
        </w:rPr>
        <w:t xml:space="preserve">best inform </w:t>
      </w:r>
      <w:r w:rsidR="00523300">
        <w:rPr>
          <w:i w:val="0"/>
        </w:rPr>
        <w:t xml:space="preserve">an organization’s </w:t>
      </w:r>
      <w:r w:rsidR="00253624">
        <w:rPr>
          <w:i w:val="0"/>
        </w:rPr>
        <w:t>prioritized stakeholders about</w:t>
      </w:r>
      <w:r w:rsidRPr="00A672A7">
        <w:rPr>
          <w:i w:val="0"/>
        </w:rPr>
        <w:t xml:space="preserve"> its impact on society</w:t>
      </w:r>
      <w:r w:rsidR="00253624">
        <w:rPr>
          <w:i w:val="0"/>
        </w:rPr>
        <w:t>, the econom</w:t>
      </w:r>
      <w:r w:rsidR="00DC0073">
        <w:rPr>
          <w:i w:val="0"/>
        </w:rPr>
        <w:t>y</w:t>
      </w:r>
      <w:r w:rsidR="00253624">
        <w:rPr>
          <w:i w:val="0"/>
        </w:rPr>
        <w:t xml:space="preserve"> and the natural environment</w:t>
      </w:r>
      <w:r w:rsidRPr="00A672A7">
        <w:rPr>
          <w:i w:val="0"/>
        </w:rPr>
        <w:t xml:space="preserve">. </w:t>
      </w:r>
    </w:p>
    <w:p w14:paraId="74553FAF" w14:textId="77777777" w:rsidR="007000D1" w:rsidRPr="007000D1" w:rsidRDefault="007000D1" w:rsidP="007000D1"/>
    <w:p w14:paraId="062A49A9" w14:textId="21AB0CED" w:rsidR="007F1B1B" w:rsidRDefault="007F1B1B" w:rsidP="007000D1">
      <w:pPr>
        <w:pStyle w:val="Heading2"/>
      </w:pPr>
      <w:r>
        <w:t>‘Looking’ for materiality when doing research</w:t>
      </w:r>
    </w:p>
    <w:p w14:paraId="01E86149" w14:textId="3EADB844" w:rsidR="002A77F0" w:rsidRDefault="002A77F0" w:rsidP="00F51A86">
      <w:pPr>
        <w:jc w:val="both"/>
      </w:pPr>
      <w:r>
        <w:t>Application of</w:t>
      </w:r>
      <w:r w:rsidR="00211813">
        <w:t xml:space="preserve"> the principle of materiality</w:t>
      </w:r>
      <w:r w:rsidR="007000D1">
        <w:t xml:space="preserve"> in sustainability reporting, for example as set out in the GRI Guidelines,</w:t>
      </w:r>
      <w:r w:rsidR="00211813">
        <w:t xml:space="preserve"> is </w:t>
      </w:r>
      <w:r w:rsidR="007000D1">
        <w:t xml:space="preserve">therefore </w:t>
      </w:r>
      <w:r w:rsidR="00047D89">
        <w:t>about</w:t>
      </w:r>
      <w:r>
        <w:t xml:space="preserve"> adopting processes that </w:t>
      </w:r>
      <w:r w:rsidR="00712E79">
        <w:t xml:space="preserve">should </w:t>
      </w:r>
      <w:r>
        <w:t>result in sustainability reports</w:t>
      </w:r>
      <w:r w:rsidR="007000D1">
        <w:t xml:space="preserve"> focusing on</w:t>
      </w:r>
      <w:r w:rsidR="00047D89">
        <w:t xml:space="preserve"> issues that are believed to have </w:t>
      </w:r>
      <w:r w:rsidR="00DC0073">
        <w:t xml:space="preserve">the most </w:t>
      </w:r>
      <w:r w:rsidR="007000D1">
        <w:t>significant impact on sustainability. Applying a materiality hurdle or filter</w:t>
      </w:r>
      <w:r w:rsidR="00047D89">
        <w:t xml:space="preserve"> </w:t>
      </w:r>
      <w:r>
        <w:t xml:space="preserve">therefore </w:t>
      </w:r>
      <w:r w:rsidR="007000D1">
        <w:t>requires an organization’s managers to make</w:t>
      </w:r>
      <w:r w:rsidR="00211813">
        <w:t xml:space="preserve"> choices </w:t>
      </w:r>
      <w:r w:rsidR="007000D1">
        <w:t>about</w:t>
      </w:r>
      <w:r w:rsidR="00211813">
        <w:t xml:space="preserve"> what is </w:t>
      </w:r>
      <w:r w:rsidR="00047D89">
        <w:t>considered</w:t>
      </w:r>
      <w:r w:rsidR="002455AD">
        <w:t xml:space="preserve"> by the organization and its key stakeholders</w:t>
      </w:r>
      <w:r w:rsidR="007000D1">
        <w:t xml:space="preserve"> to be the most</w:t>
      </w:r>
      <w:r w:rsidR="00047D89">
        <w:t xml:space="preserve"> </w:t>
      </w:r>
      <w:r w:rsidR="00211813">
        <w:t xml:space="preserve">relevant </w:t>
      </w:r>
      <w:r w:rsidR="007000D1">
        <w:t xml:space="preserve">social, environmental and economic sustainability information </w:t>
      </w:r>
      <w:r w:rsidR="00211813">
        <w:t>to be</w:t>
      </w:r>
      <w:r w:rsidR="00F068D8">
        <w:t xml:space="preserve"> communicated about the company</w:t>
      </w:r>
      <w:r w:rsidR="00047D89">
        <w:t xml:space="preserve">. </w:t>
      </w:r>
      <w:r w:rsidR="0022587E">
        <w:t>As a judgem</w:t>
      </w:r>
      <w:r w:rsidR="00047D89">
        <w:t>e</w:t>
      </w:r>
      <w:r w:rsidR="0022587E">
        <w:t>nt of value in relative terms</w:t>
      </w:r>
      <w:r w:rsidR="00047D89">
        <w:t>,</w:t>
      </w:r>
      <w:r w:rsidR="0022587E">
        <w:t xml:space="preserve"> materiality is </w:t>
      </w:r>
      <w:r w:rsidR="00211813">
        <w:t>by necessity a process that involves selection, inclusion</w:t>
      </w:r>
      <w:r w:rsidR="0022587E">
        <w:t xml:space="preserve">, and exclusion of information. </w:t>
      </w:r>
      <w:r w:rsidR="00DA4EB0">
        <w:t>On this basis</w:t>
      </w:r>
      <w:r w:rsidR="00625793">
        <w:t>,</w:t>
      </w:r>
      <w:r w:rsidR="00DA4EB0">
        <w:t xml:space="preserve"> defining the context of production of discourses and a holistic approach to interpretation are essential to derive conclusions from </w:t>
      </w:r>
      <w:r w:rsidR="00625793">
        <w:t>any</w:t>
      </w:r>
      <w:r w:rsidR="00DA4EB0">
        <w:t xml:space="preserve"> analysis</w:t>
      </w:r>
      <w:r w:rsidR="00625793">
        <w:t xml:space="preserve"> of absence </w:t>
      </w:r>
      <w:r w:rsidR="00712E79">
        <w:t xml:space="preserve">from </w:t>
      </w:r>
      <w:r w:rsidR="00625793">
        <w:t xml:space="preserve">sustainability reporting research. </w:t>
      </w:r>
    </w:p>
    <w:p w14:paraId="75FC0784" w14:textId="19EF8610" w:rsidR="00000517" w:rsidRDefault="00625793" w:rsidP="00F51A86">
      <w:pPr>
        <w:jc w:val="both"/>
      </w:pPr>
      <w:r>
        <w:t>E</w:t>
      </w:r>
      <w:r w:rsidR="00106F81">
        <w:t xml:space="preserve">xamples exist of how pioneering businesses have concerned themselves with </w:t>
      </w:r>
      <w:r w:rsidR="002927F8">
        <w:t>developing</w:t>
      </w:r>
      <w:r w:rsidR="00106F81">
        <w:t xml:space="preserve"> practices to </w:t>
      </w:r>
      <w:r w:rsidR="002927F8">
        <w:t xml:space="preserve">include </w:t>
      </w:r>
      <w:r w:rsidR="00106F81">
        <w:t xml:space="preserve">materiality </w:t>
      </w:r>
      <w:r w:rsidR="002927F8">
        <w:t xml:space="preserve">issues </w:t>
      </w:r>
      <w:r w:rsidR="00106F81">
        <w:t xml:space="preserve">that take into account the views of their stakeholders. </w:t>
      </w:r>
      <w:r w:rsidR="00E47B97">
        <w:t xml:space="preserve">Unerman and O’Dwyer </w:t>
      </w:r>
      <w:r w:rsidR="00A672A7">
        <w:fldChar w:fldCharType="begin"/>
      </w:r>
      <w:r w:rsidR="00A672A7">
        <w:instrText xml:space="preserve"> ADDIN EN.CITE &lt;EndNote&gt;&lt;Cite ExcludeAuth="1"&gt;&lt;Author&gt;Unerman&lt;/Author&gt;&lt;Year&gt;2010&lt;/Year&gt;&lt;RecNum&gt;353&lt;/RecNum&gt;&lt;DisplayText&gt;(2010)&lt;/DisplayText&gt;&lt;record&gt;&lt;rec-number&gt;353&lt;/rec-number&gt;&lt;foreign-keys&gt;&lt;key app="EN" db-id="9vwt2x2w4fpvxkezrt1p52wjt2v255r0fa92"&gt;353&lt;/key&gt;&lt;/foreign-keys&gt;&lt;ref-type name="Book Section"&gt;5&lt;/ref-type&gt;&lt;contributors&gt;&lt;authors&gt;&lt;author&gt;Unerman, Jeffrey&lt;/author&gt;&lt;author&gt;O&amp;apos; Dwyer, Brendan&lt;/author&gt;&lt;/authors&gt;&lt;secondary-authors&gt;&lt;author&gt;Hopwood, Anthony G. &lt;/author&gt;&lt;author&gt;Unerman, Jeffrey &lt;/author&gt;&lt;author&gt;Fries, Jessica&lt;/author&gt;&lt;/secondary-authors&gt;&lt;/contributors&gt;&lt;titles&gt;&lt;title&gt;Accounting for sustainability : practical insights&lt;/title&gt;&lt;secondary-title&gt;Accounting for sustainability : practical insights&lt;/secondary-title&gt;&lt;/titles&gt;&lt;dates&gt;&lt;year&gt;2010&lt;/year&gt;&lt;/dates&gt;&lt;pub-location&gt;London; Washington, DC&lt;/pub-location&gt;&lt;publisher&gt;Earthscan&lt;/publisher&gt;&lt;isbn&gt;9781849710664 184971066X 9781849710671 1849710678&lt;/isbn&gt;&lt;urls&gt;&lt;/urls&gt;&lt;remote-database-name&gt;/z-wcorg/&lt;/remote-database-name&gt;&lt;remote-database-provider&gt;http://worldcat.org&lt;/remote-database-provider&gt;&lt;language&gt;English&lt;/language&gt;&lt;/record&gt;&lt;/Cite&gt;&lt;/EndNote&gt;</w:instrText>
      </w:r>
      <w:r w:rsidR="00A672A7">
        <w:fldChar w:fldCharType="separate"/>
      </w:r>
      <w:r w:rsidR="00A672A7">
        <w:rPr>
          <w:noProof/>
        </w:rPr>
        <w:t>(</w:t>
      </w:r>
      <w:hyperlink w:anchor="_ENREF_19" w:tooltip="Unerman, 2010 #353" w:history="1">
        <w:r w:rsidR="00000517">
          <w:rPr>
            <w:noProof/>
          </w:rPr>
          <w:t>2010</w:t>
        </w:r>
      </w:hyperlink>
      <w:r w:rsidR="00A672A7">
        <w:rPr>
          <w:noProof/>
        </w:rPr>
        <w:t>)</w:t>
      </w:r>
      <w:r w:rsidR="00A672A7">
        <w:fldChar w:fldCharType="end"/>
      </w:r>
      <w:r w:rsidR="00A672A7">
        <w:t xml:space="preserve"> </w:t>
      </w:r>
      <w:r w:rsidR="00E47B97">
        <w:t xml:space="preserve">for example show how the principle of materiality was </w:t>
      </w:r>
      <w:r>
        <w:t>applied</w:t>
      </w:r>
      <w:r w:rsidR="00E47B97">
        <w:t xml:space="preserve"> by BT in</w:t>
      </w:r>
      <w:r w:rsidR="002455AD">
        <w:t xml:space="preserve"> deciding upon the content of</w:t>
      </w:r>
      <w:r w:rsidR="00E47B97">
        <w:t xml:space="preserve"> their sustainability reports. </w:t>
      </w:r>
      <w:r w:rsidR="002455AD">
        <w:t>In line with GRI guidelines discussed above, at BT t</w:t>
      </w:r>
      <w:r w:rsidR="00E47B97">
        <w:t>his involved a formal process of assessment of environmental and social risks which combined internal and external perspectives</w:t>
      </w:r>
      <w:r w:rsidR="00815CDF">
        <w:t xml:space="preserve">, including customers, staff, shareholders, investors, suppliers, government, and the media. </w:t>
      </w:r>
      <w:r w:rsidR="00635D8A">
        <w:t>Different views were subsequently plotted on a ‘materiality identification graph’ and combined in ‘most material’, ‘material’ and ‘non material’ clusters. According t</w:t>
      </w:r>
      <w:r w:rsidR="004813F3">
        <w:t>o</w:t>
      </w:r>
      <w:r w:rsidR="00635D8A">
        <w:t xml:space="preserve"> Unerman and O’Dwyer</w:t>
      </w:r>
      <w:r>
        <w:t xml:space="preserve"> (2010) this process allowed BT to </w:t>
      </w:r>
      <w:r w:rsidR="00635D8A">
        <w:t xml:space="preserve">weigh and adjust the internal </w:t>
      </w:r>
      <w:r w:rsidR="004813F3">
        <w:t>materiality</w:t>
      </w:r>
      <w:r w:rsidR="00635D8A">
        <w:t xml:space="preserve"> of each issue vis-à-vis the external </w:t>
      </w:r>
      <w:r w:rsidR="008E38B2">
        <w:t>attribution of significance emerg</w:t>
      </w:r>
      <w:r w:rsidR="00712E79">
        <w:t>ing</w:t>
      </w:r>
      <w:r w:rsidR="008E38B2">
        <w:t xml:space="preserve"> from BT’s External Corporate Responsibility Leadership panel.</w:t>
      </w:r>
      <w:r w:rsidR="00635D8A">
        <w:t xml:space="preserve"> </w:t>
      </w:r>
      <w:r w:rsidR="008E38B2">
        <w:t>In the case of BT</w:t>
      </w:r>
      <w:r w:rsidR="009D4C19">
        <w:t>,</w:t>
      </w:r>
      <w:r w:rsidR="008E38B2">
        <w:t xml:space="preserve"> therefore</w:t>
      </w:r>
      <w:r w:rsidR="009D4C19">
        <w:t>,</w:t>
      </w:r>
      <w:r w:rsidR="008E38B2">
        <w:t xml:space="preserve"> the inclusion</w:t>
      </w:r>
      <w:r>
        <w:t xml:space="preserve"> of item</w:t>
      </w:r>
      <w:r w:rsidR="002A77F0">
        <w:t>s</w:t>
      </w:r>
      <w:r>
        <w:t xml:space="preserve"> in,</w:t>
      </w:r>
      <w:r w:rsidR="008E38B2">
        <w:t xml:space="preserve"> or </w:t>
      </w:r>
      <w:r>
        <w:t xml:space="preserve">the </w:t>
      </w:r>
      <w:r w:rsidR="008E38B2">
        <w:t>omission of items</w:t>
      </w:r>
      <w:r>
        <w:t xml:space="preserve"> f</w:t>
      </w:r>
      <w:r w:rsidR="002A77F0">
        <w:t>ro</w:t>
      </w:r>
      <w:r>
        <w:t>m, the BT sustainabili</w:t>
      </w:r>
      <w:r w:rsidR="00421A8E">
        <w:t>ty R</w:t>
      </w:r>
      <w:r>
        <w:t>eport represented</w:t>
      </w:r>
      <w:r w:rsidR="008E38B2">
        <w:t xml:space="preserve"> the outcome of a process in which a negotiation of </w:t>
      </w:r>
      <w:r w:rsidR="00EA48CC">
        <w:t xml:space="preserve">significant issues </w:t>
      </w:r>
      <w:r w:rsidR="008E38B2">
        <w:t>ha</w:t>
      </w:r>
      <w:r w:rsidR="00FE39A5">
        <w:t>d</w:t>
      </w:r>
      <w:r w:rsidR="008E38B2">
        <w:t xml:space="preserve"> occurred,</w:t>
      </w:r>
      <w:r w:rsidR="004813F3">
        <w:t xml:space="preserve"> although this might not be apparent</w:t>
      </w:r>
      <w:r>
        <w:t xml:space="preserve"> from merely reading the </w:t>
      </w:r>
      <w:r w:rsidR="00421A8E">
        <w:t>final</w:t>
      </w:r>
      <w:r w:rsidR="002A77F0">
        <w:t xml:space="preserve"> </w:t>
      </w:r>
      <w:r w:rsidR="00421A8E">
        <w:t>r</w:t>
      </w:r>
      <w:r>
        <w:t>eport</w:t>
      </w:r>
      <w:r w:rsidR="004813F3">
        <w:t>.</w:t>
      </w:r>
      <w:r w:rsidR="00412B8C">
        <w:t xml:space="preserve"> </w:t>
      </w:r>
      <w:r w:rsidR="002455AD">
        <w:t>F</w:t>
      </w:r>
      <w:r w:rsidR="00412B8C">
        <w:t xml:space="preserve">or example, the decision of not including specific accounts on ethical sourcing of </w:t>
      </w:r>
      <w:r w:rsidR="002455AD">
        <w:t xml:space="preserve">BT </w:t>
      </w:r>
      <w:r w:rsidR="00412B8C">
        <w:t xml:space="preserve">staff </w:t>
      </w:r>
      <w:r w:rsidR="008E301F">
        <w:t xml:space="preserve">uniforms </w:t>
      </w:r>
      <w:r w:rsidR="00412B8C">
        <w:t>in the final report emerged because of internal and external agreement on the relative low significance of this vis-à-vis other issues.</w:t>
      </w:r>
    </w:p>
    <w:p w14:paraId="71FF8558" w14:textId="34879829" w:rsidR="005B46CE" w:rsidRDefault="005B46CE" w:rsidP="00F51A86">
      <w:pPr>
        <w:jc w:val="both"/>
      </w:pPr>
      <w:r>
        <w:t xml:space="preserve">There are many other examples in sustainability reports where organizations disclose aspects of their structures for negotiating materiality between internal and external perspectives, as recommended in the G3 and G4 guidelines. We will return to one such instance in the next section </w:t>
      </w:r>
      <w:r>
        <w:lastRenderedPageBreak/>
        <w:t>of this paper as part of the data we draw upon to illustrate the importance of considering materiality in interpretations of absence from sustainability reporting.</w:t>
      </w:r>
    </w:p>
    <w:p w14:paraId="0A9E511C" w14:textId="77777777" w:rsidR="002A77F0" w:rsidRDefault="002A77F0" w:rsidP="0033133A">
      <w:pPr>
        <w:jc w:val="both"/>
      </w:pPr>
    </w:p>
    <w:p w14:paraId="062214FC" w14:textId="7047CD07" w:rsidR="00414394" w:rsidRDefault="006804D7" w:rsidP="006804D7">
      <w:pPr>
        <w:pStyle w:val="Heading1"/>
      </w:pPr>
      <w:r>
        <w:t>An example of incorporating materiality considerations into the interpretation of sustainability reporting absence</w:t>
      </w:r>
    </w:p>
    <w:p w14:paraId="2AC82E64" w14:textId="525EACF7" w:rsidR="00BA22D9" w:rsidRDefault="006804D7" w:rsidP="00A328E9">
      <w:pPr>
        <w:jc w:val="both"/>
      </w:pPr>
      <w:r>
        <w:t xml:space="preserve">The issues discussed so far in this paper indicate that materiality is an important guiding principle in deciding </w:t>
      </w:r>
      <w:r w:rsidR="008E301F">
        <w:t xml:space="preserve">which </w:t>
      </w:r>
      <w:r>
        <w:t>positive and negative social, environmental and economic impacts</w:t>
      </w:r>
      <w:r w:rsidR="00553029">
        <w:t>, incidents and/or events</w:t>
      </w:r>
      <w:r>
        <w:t xml:space="preserve"> should be included and </w:t>
      </w:r>
      <w:r w:rsidR="008E301F">
        <w:t xml:space="preserve">which </w:t>
      </w:r>
      <w:r>
        <w:t>should be excluded from an organization’s sustainability report.</w:t>
      </w:r>
      <w:r w:rsidR="002D5846">
        <w:t xml:space="preserve"> They also indicate that incorporating analysis of absence from sustainability reports into research studies of sustainability reporting </w:t>
      </w:r>
      <w:r w:rsidR="00A54FB9">
        <w:t xml:space="preserve">has the potential to </w:t>
      </w:r>
      <w:r w:rsidR="002D5846">
        <w:t xml:space="preserve">add substantive insights to the analysis compared to an exclusive focus on disclosures that are actually present in a report – but only if the researcher is not over-sensitive to absence. We </w:t>
      </w:r>
      <w:r w:rsidR="002A77F0">
        <w:t xml:space="preserve">have argued </w:t>
      </w:r>
      <w:r w:rsidR="002D5846">
        <w:t>that ignoring materiality criteria</w:t>
      </w:r>
      <w:r w:rsidR="00553029">
        <w:t xml:space="preserve"> and processes</w:t>
      </w:r>
      <w:r w:rsidR="008E301F">
        <w:t xml:space="preserve"> applied by the reporting organizations</w:t>
      </w:r>
      <w:r w:rsidR="002D5846">
        <w:t xml:space="preserve"> in such research is likely to result in over-sensitivity to, and therefore</w:t>
      </w:r>
      <w:r w:rsidR="008E301F">
        <w:t xml:space="preserve"> risk</w:t>
      </w:r>
      <w:r w:rsidR="002D5846">
        <w:t xml:space="preserve"> over-interpretation of, </w:t>
      </w:r>
      <w:r w:rsidR="00712E79">
        <w:t xml:space="preserve">instances </w:t>
      </w:r>
      <w:r w:rsidR="002D5846">
        <w:t xml:space="preserve">of </w:t>
      </w:r>
      <w:r w:rsidR="00A54FB9">
        <w:t xml:space="preserve">absence from </w:t>
      </w:r>
      <w:r w:rsidR="002D5846">
        <w:t xml:space="preserve">sustainability reporting. We </w:t>
      </w:r>
      <w:r w:rsidR="002A77F0">
        <w:t xml:space="preserve">now proceed to </w:t>
      </w:r>
      <w:r w:rsidR="002D5846">
        <w:t>illustrate th</w:t>
      </w:r>
      <w:r w:rsidR="00A54FB9">
        <w:t>ese</w:t>
      </w:r>
      <w:r w:rsidR="002D5846">
        <w:t xml:space="preserve"> issue</w:t>
      </w:r>
      <w:r w:rsidR="00A54FB9">
        <w:t>s</w:t>
      </w:r>
      <w:r w:rsidR="002D5846">
        <w:t xml:space="preserve"> by examining interpretations of </w:t>
      </w:r>
      <w:r w:rsidR="00A54FB9">
        <w:t xml:space="preserve">absence from </w:t>
      </w:r>
      <w:r w:rsidR="002D5846">
        <w:t>sustainability reporting in a recently published</w:t>
      </w:r>
      <w:r w:rsidR="00DC0073">
        <w:t xml:space="preserve"> and award-winning</w:t>
      </w:r>
      <w:r w:rsidR="002D5846">
        <w:t xml:space="preserve"> study – Boiral (2013). </w:t>
      </w:r>
      <w:r w:rsidR="005D3349">
        <w:t>We must stress that b</w:t>
      </w:r>
      <w:r w:rsidR="002D5846">
        <w:t xml:space="preserve">y focusing on </w:t>
      </w:r>
      <w:r w:rsidR="00DD0D24">
        <w:t>Boiral’s</w:t>
      </w:r>
      <w:r w:rsidR="002D5846">
        <w:t xml:space="preserve"> paper we </w:t>
      </w:r>
      <w:r w:rsidR="00FE3E06">
        <w:t xml:space="preserve">do </w:t>
      </w:r>
      <w:r w:rsidR="002D5846">
        <w:t>not inten</w:t>
      </w:r>
      <w:r w:rsidR="00FE3E06">
        <w:t>d</w:t>
      </w:r>
      <w:r w:rsidR="002D5846">
        <w:t xml:space="preserve"> to </w:t>
      </w:r>
      <w:r w:rsidR="005D3349">
        <w:t>undermine the quality of his work nor challenge altogether the conclusions he draws f</w:t>
      </w:r>
      <w:r w:rsidR="008E301F">
        <w:t>ro</w:t>
      </w:r>
      <w:r w:rsidR="005D3349">
        <w:t xml:space="preserve">m his analysis. Rather, </w:t>
      </w:r>
      <w:r w:rsidR="0098391F">
        <w:t xml:space="preserve">we </w:t>
      </w:r>
      <w:r w:rsidR="005D3349">
        <w:t>problematiz</w:t>
      </w:r>
      <w:r w:rsidR="0098391F">
        <w:t>e</w:t>
      </w:r>
      <w:r w:rsidR="005D3349">
        <w:t xml:space="preserve"> </w:t>
      </w:r>
      <w:r w:rsidR="0098391F">
        <w:t xml:space="preserve">some of the premises to his analysis </w:t>
      </w:r>
      <w:r w:rsidR="00877518">
        <w:t>highlighting</w:t>
      </w:r>
      <w:r w:rsidR="0098391F">
        <w:t xml:space="preserve"> in particular </w:t>
      </w:r>
      <w:r w:rsidR="00877518">
        <w:t xml:space="preserve">how materiality appears </w:t>
      </w:r>
      <w:r w:rsidR="0098391F">
        <w:t>downplay</w:t>
      </w:r>
      <w:r w:rsidR="00877518">
        <w:t>ed</w:t>
      </w:r>
      <w:r w:rsidR="00F27269">
        <w:t xml:space="preserve"> in the background of his investigation</w:t>
      </w:r>
      <w:r w:rsidR="0098391F">
        <w:rPr>
          <w:rStyle w:val="FootnoteReference"/>
        </w:rPr>
        <w:footnoteReference w:id="4"/>
      </w:r>
      <w:r w:rsidR="0098391F">
        <w:t xml:space="preserve">. </w:t>
      </w:r>
      <w:r w:rsidR="002E48F7">
        <w:t>W</w:t>
      </w:r>
      <w:r w:rsidR="005D3349">
        <w:t xml:space="preserve">e aim </w:t>
      </w:r>
      <w:r w:rsidR="002E48F7">
        <w:t xml:space="preserve">thus to offset what in our view is a potential limitation of Boiral’s study by </w:t>
      </w:r>
      <w:r w:rsidR="005D3349">
        <w:t>offer</w:t>
      </w:r>
      <w:r w:rsidR="002E48F7">
        <w:t>ing</w:t>
      </w:r>
      <w:r w:rsidR="005D3349">
        <w:t xml:space="preserve"> an alternative/</w:t>
      </w:r>
      <w:r w:rsidR="00A54FB9">
        <w:t xml:space="preserve"> </w:t>
      </w:r>
      <w:r w:rsidR="005D3349">
        <w:t xml:space="preserve">additional perspective to his methods </w:t>
      </w:r>
      <w:r w:rsidR="00A54FB9">
        <w:t xml:space="preserve">through </w:t>
      </w:r>
      <w:r w:rsidR="00553029">
        <w:t>suggesting</w:t>
      </w:r>
      <w:r w:rsidR="005D3349">
        <w:t xml:space="preserve"> a more holistic </w:t>
      </w:r>
      <w:r w:rsidR="004B51B2">
        <w:t>analytical</w:t>
      </w:r>
      <w:r w:rsidR="005D3349">
        <w:t xml:space="preserve"> approach inclusive of materiality issues. </w:t>
      </w:r>
      <w:r w:rsidR="00712E79">
        <w:t>O</w:t>
      </w:r>
      <w:r w:rsidR="002D5846">
        <w:t>ur critique</w:t>
      </w:r>
      <w:r w:rsidR="004B51B2">
        <w:t xml:space="preserve"> of methods</w:t>
      </w:r>
      <w:r w:rsidR="002D5846">
        <w:t xml:space="preserve"> applies </w:t>
      </w:r>
      <w:r w:rsidR="004B51B2">
        <w:t xml:space="preserve">not only </w:t>
      </w:r>
      <w:r w:rsidR="002D5846">
        <w:t xml:space="preserve">to </w:t>
      </w:r>
      <w:r w:rsidR="002E48F7">
        <w:t>Boiral’s</w:t>
      </w:r>
      <w:r w:rsidR="002D5846">
        <w:t xml:space="preserve"> paper</w:t>
      </w:r>
      <w:r w:rsidR="004B51B2">
        <w:t xml:space="preserve"> but </w:t>
      </w:r>
      <w:r w:rsidR="002E48F7">
        <w:t xml:space="preserve">it </w:t>
      </w:r>
      <w:r w:rsidR="004B51B2">
        <w:t>extends</w:t>
      </w:r>
      <w:r w:rsidR="002D5846">
        <w:t xml:space="preserve"> to </w:t>
      </w:r>
      <w:r w:rsidR="00553029">
        <w:t xml:space="preserve">all </w:t>
      </w:r>
      <w:r w:rsidR="002D5846">
        <w:t xml:space="preserve">studies that have </w:t>
      </w:r>
      <w:r w:rsidR="002E48F7">
        <w:t xml:space="preserve">attempted </w:t>
      </w:r>
      <w:r w:rsidR="002D5846">
        <w:t>interpret</w:t>
      </w:r>
      <w:r w:rsidR="002E48F7">
        <w:t>ation of absence</w:t>
      </w:r>
      <w:r w:rsidR="00A54FB9">
        <w:t>s</w:t>
      </w:r>
      <w:r w:rsidR="002E48F7">
        <w:t xml:space="preserve"> </w:t>
      </w:r>
      <w:r w:rsidR="00A54FB9">
        <w:t xml:space="preserve">from </w:t>
      </w:r>
      <w:r w:rsidR="002D5846">
        <w:t xml:space="preserve">sustainability reporting without taking into account </w:t>
      </w:r>
      <w:r w:rsidR="004B51B2">
        <w:t>the reporting organizations’ materiality processes</w:t>
      </w:r>
      <w:r w:rsidR="00553029">
        <w:t xml:space="preserve"> and contexts</w:t>
      </w:r>
      <w:r w:rsidR="002D5846">
        <w:t xml:space="preserve">. We have simply used the Boiral (2013) study as an example as it is the most recently published </w:t>
      </w:r>
      <w:r w:rsidR="00DC0073">
        <w:t xml:space="preserve">highly regarded </w:t>
      </w:r>
      <w:r w:rsidR="002D5846">
        <w:t xml:space="preserve">study of which we </w:t>
      </w:r>
      <w:r w:rsidR="00FE39A5">
        <w:t xml:space="preserve">were </w:t>
      </w:r>
      <w:r w:rsidR="002D5846">
        <w:t xml:space="preserve">aware at the time of undertaking this research that interprets </w:t>
      </w:r>
      <w:r w:rsidR="006816F6">
        <w:t xml:space="preserve">absence from </w:t>
      </w:r>
      <w:r w:rsidR="002D5846">
        <w:t xml:space="preserve">sustainability reporting. </w:t>
      </w:r>
    </w:p>
    <w:p w14:paraId="39F1A37D" w14:textId="234296E8" w:rsidR="00A328E9" w:rsidRPr="00447CFF" w:rsidRDefault="00A57053" w:rsidP="00A328E9">
      <w:pPr>
        <w:jc w:val="both"/>
        <w:rPr>
          <w:strike/>
        </w:rPr>
      </w:pPr>
      <w:r>
        <w:t xml:space="preserve">Boiral’s </w:t>
      </w:r>
      <w:r w:rsidR="00187EC5">
        <w:t>main argument – that sustainability reports can be seen as opportunities to camouflage negative events and to project corporate image</w:t>
      </w:r>
      <w:r w:rsidR="00732CF5">
        <w:t>s</w:t>
      </w:r>
      <w:r w:rsidR="00187EC5">
        <w:t xml:space="preserve"> detached from reality </w:t>
      </w:r>
      <w:r w:rsidR="00DD0D24">
        <w:t>–</w:t>
      </w:r>
      <w:r w:rsidR="00732CF5">
        <w:t xml:space="preserve"> </w:t>
      </w:r>
      <w:r w:rsidR="00187EC5">
        <w:t xml:space="preserve">is </w:t>
      </w:r>
      <w:r w:rsidR="00545662">
        <w:t>underpinned by</w:t>
      </w:r>
      <w:r>
        <w:t xml:space="preserve"> two distinct analytical approaches. The first</w:t>
      </w:r>
      <w:r w:rsidR="00F10629">
        <w:t xml:space="preserve"> </w:t>
      </w:r>
      <w:r w:rsidR="00187EC5">
        <w:t xml:space="preserve">approach </w:t>
      </w:r>
      <w:r w:rsidR="00224FD4">
        <w:t>draws on a</w:t>
      </w:r>
      <w:r w:rsidR="00A328E9">
        <w:t xml:space="preserve"> content analysis </w:t>
      </w:r>
      <w:r w:rsidR="00F83B07">
        <w:t xml:space="preserve">of 23 </w:t>
      </w:r>
      <w:r w:rsidR="00ED3371">
        <w:t xml:space="preserve">mining and energy company </w:t>
      </w:r>
      <w:r w:rsidR="00F83B07">
        <w:t>sustainabil</w:t>
      </w:r>
      <w:r w:rsidR="00A328E9">
        <w:t>ity reports</w:t>
      </w:r>
      <w:r w:rsidR="00F10629">
        <w:rPr>
          <w:rStyle w:val="FootnoteReference"/>
        </w:rPr>
        <w:footnoteReference w:id="5"/>
      </w:r>
      <w:r w:rsidR="00A328E9">
        <w:t xml:space="preserve"> </w:t>
      </w:r>
      <w:r w:rsidR="00DD0D24">
        <w:t>from 2007</w:t>
      </w:r>
      <w:r w:rsidR="00ED3371">
        <w:t xml:space="preserve"> that were GRI compliant at the A or A+ application levels</w:t>
      </w:r>
      <w:r w:rsidR="00DD0D24">
        <w:t xml:space="preserve"> and </w:t>
      </w:r>
      <w:r w:rsidR="00B2340A">
        <w:t>compar</w:t>
      </w:r>
      <w:r w:rsidR="00224FD4">
        <w:t>es</w:t>
      </w:r>
      <w:r w:rsidR="00B2340A">
        <w:t xml:space="preserve"> them </w:t>
      </w:r>
      <w:r w:rsidR="00224FD4">
        <w:t xml:space="preserve">to </w:t>
      </w:r>
      <w:r w:rsidR="000116CE">
        <w:t>“</w:t>
      </w:r>
      <w:r w:rsidR="00A328E9">
        <w:t>significant news events</w:t>
      </w:r>
      <w:r w:rsidR="000116CE">
        <w:t>” (p. 1047)</w:t>
      </w:r>
      <w:r w:rsidR="00A328E9">
        <w:t xml:space="preserve"> </w:t>
      </w:r>
      <w:r w:rsidR="00F83B07">
        <w:t>related to</w:t>
      </w:r>
      <w:r w:rsidR="00A328E9">
        <w:t xml:space="preserve"> the </w:t>
      </w:r>
      <w:r w:rsidR="00E20565">
        <w:t xml:space="preserve">corporate social </w:t>
      </w:r>
      <w:r w:rsidR="00A328E9">
        <w:lastRenderedPageBreak/>
        <w:t>responsibility of firms</w:t>
      </w:r>
      <w:r w:rsidR="00187EC5">
        <w:t xml:space="preserve"> analysed</w:t>
      </w:r>
      <w:r w:rsidR="00DD0D24">
        <w:t>. From this part of his study, Boiral</w:t>
      </w:r>
      <w:r w:rsidR="00187EC5">
        <w:t xml:space="preserve"> conclud</w:t>
      </w:r>
      <w:r w:rsidR="00DD0D24">
        <w:t>es</w:t>
      </w:r>
      <w:r w:rsidR="00187EC5">
        <w:t xml:space="preserve"> that </w:t>
      </w:r>
      <w:r w:rsidR="00A328E9">
        <w:t>90 per cent of the significant negative</w:t>
      </w:r>
      <w:r w:rsidR="00BF0C7B">
        <w:t xml:space="preserve"> news</w:t>
      </w:r>
      <w:r w:rsidR="00A328E9">
        <w:t xml:space="preserve"> events were not </w:t>
      </w:r>
      <w:r w:rsidR="00BF0C7B">
        <w:t>disclosed in the sustainability reports</w:t>
      </w:r>
      <w:r w:rsidR="00A328E9">
        <w:t>.</w:t>
      </w:r>
      <w:r w:rsidR="008B5B0F">
        <w:t xml:space="preserve"> </w:t>
      </w:r>
      <w:r w:rsidR="00187EC5">
        <w:t>The second approach</w:t>
      </w:r>
      <w:r w:rsidR="00A328E9">
        <w:t xml:space="preserve"> </w:t>
      </w:r>
      <w:r w:rsidR="00DD0D24">
        <w:t xml:space="preserve">in Boiral (2013) </w:t>
      </w:r>
      <w:r w:rsidR="00A328E9">
        <w:t xml:space="preserve">analyses a corpus of pictures used in sustainability reports to </w:t>
      </w:r>
      <w:r w:rsidR="00BA22D9">
        <w:t xml:space="preserve">suggest </w:t>
      </w:r>
      <w:r w:rsidR="00850459">
        <w:t>corporations tend</w:t>
      </w:r>
      <w:r w:rsidR="00BA22D9">
        <w:t xml:space="preserve"> to instrumentally deploy distorted representations for ‘organizational </w:t>
      </w:r>
      <w:r w:rsidR="00DD0D24">
        <w:t>narcissism</w:t>
      </w:r>
      <w:r w:rsidR="00BA22D9">
        <w:t>’</w:t>
      </w:r>
      <w:r w:rsidR="00732CF5">
        <w:t xml:space="preserve">. Although Boiral conflates </w:t>
      </w:r>
      <w:r w:rsidR="008E301F">
        <w:t xml:space="preserve">results from </w:t>
      </w:r>
      <w:r w:rsidR="00732CF5">
        <w:t xml:space="preserve">the two analytical </w:t>
      </w:r>
      <w:r w:rsidR="00224FD4">
        <w:t xml:space="preserve">elements </w:t>
      </w:r>
      <w:r w:rsidR="00732CF5">
        <w:t xml:space="preserve">to </w:t>
      </w:r>
      <w:r w:rsidR="00732CF5" w:rsidRPr="004F65BE">
        <w:t xml:space="preserve">conclude that “the virtual absence of negative images paralleled the scarcity of information about the negative events involving the firms, despite the GRI requirements for balance and completeness” </w:t>
      </w:r>
      <w:r w:rsidR="00A14B30">
        <w:t>(</w:t>
      </w:r>
      <w:r w:rsidR="00DF049B">
        <w:t>Boiral</w:t>
      </w:r>
      <w:r w:rsidR="00A14B30">
        <w:t>,</w:t>
      </w:r>
      <w:r w:rsidR="00DF049B">
        <w:t xml:space="preserve"> 2013 p.</w:t>
      </w:r>
      <w:r w:rsidR="00A14B30">
        <w:t xml:space="preserve"> 1062) </w:t>
      </w:r>
      <w:r w:rsidR="00732CF5" w:rsidRPr="004F65BE">
        <w:t xml:space="preserve">in our paper </w:t>
      </w:r>
      <w:r w:rsidR="00A328E9" w:rsidRPr="004F65BE">
        <w:t xml:space="preserve">we </w:t>
      </w:r>
      <w:r w:rsidR="004F65BE" w:rsidRPr="004F65BE">
        <w:t>only discuss the first approach</w:t>
      </w:r>
      <w:r w:rsidR="00224FD4">
        <w:t xml:space="preserve"> as the methods used in this approach relate </w:t>
      </w:r>
      <w:r w:rsidR="00E400FA">
        <w:t xml:space="preserve">to </w:t>
      </w:r>
      <w:r w:rsidR="00BF0C7B">
        <w:t>the focus of our paper</w:t>
      </w:r>
      <w:r w:rsidR="00DD0D24">
        <w:t>. We</w:t>
      </w:r>
      <w:r w:rsidR="004F65BE" w:rsidRPr="004F65BE">
        <w:t xml:space="preserve"> </w:t>
      </w:r>
      <w:r w:rsidR="00A328E9" w:rsidRPr="004F65BE">
        <w:t>critiqu</w:t>
      </w:r>
      <w:r w:rsidR="00DD0D24">
        <w:t>e</w:t>
      </w:r>
      <w:r w:rsidR="00A328E9" w:rsidRPr="004F65BE">
        <w:t xml:space="preserve"> his interpretation of absence </w:t>
      </w:r>
      <w:r w:rsidR="00224FD4">
        <w:t xml:space="preserve">of disclosure </w:t>
      </w:r>
      <w:r w:rsidR="00A328E9" w:rsidRPr="004F65BE">
        <w:t>without</w:t>
      </w:r>
      <w:r w:rsidR="00224FD4">
        <w:t xml:space="preserve"> his explicitly</w:t>
      </w:r>
      <w:r w:rsidR="00A328E9" w:rsidRPr="004F65BE">
        <w:t xml:space="preserve"> factoring in</w:t>
      </w:r>
      <w:r w:rsidR="00000632">
        <w:t>to his paper</w:t>
      </w:r>
      <w:r w:rsidR="000116CE">
        <w:t xml:space="preserve"> </w:t>
      </w:r>
      <w:r w:rsidR="00F35AB6">
        <w:t>outcomes of organizational</w:t>
      </w:r>
      <w:r w:rsidR="000116CE">
        <w:t xml:space="preserve"> process</w:t>
      </w:r>
      <w:r w:rsidR="00F35AB6">
        <w:t>es</w:t>
      </w:r>
      <w:r w:rsidR="00A328E9" w:rsidRPr="004F65BE">
        <w:t xml:space="preserve"> </w:t>
      </w:r>
      <w:r w:rsidR="00BF0C7B">
        <w:t xml:space="preserve">used to </w:t>
      </w:r>
      <w:r w:rsidR="00464CD5">
        <w:t>defin</w:t>
      </w:r>
      <w:r w:rsidR="00BF0C7B">
        <w:t>e</w:t>
      </w:r>
      <w:r w:rsidR="00464CD5">
        <w:t xml:space="preserve"> </w:t>
      </w:r>
      <w:r w:rsidR="003D6733">
        <w:t>materiality.</w:t>
      </w:r>
      <w:r w:rsidR="0098391F" w:rsidRPr="00447CFF">
        <w:rPr>
          <w:strike/>
        </w:rPr>
        <w:t xml:space="preserve"> </w:t>
      </w:r>
    </w:p>
    <w:p w14:paraId="20705B16" w14:textId="0CBF92AF" w:rsidR="00ED3371" w:rsidRDefault="00464CD5" w:rsidP="0060765E">
      <w:pPr>
        <w:jc w:val="both"/>
      </w:pPr>
      <w:r>
        <w:t>In gather</w:t>
      </w:r>
      <w:r w:rsidR="00BF0C7B">
        <w:t>ing</w:t>
      </w:r>
      <w:r>
        <w:t xml:space="preserve"> counter account</w:t>
      </w:r>
      <w:r w:rsidR="00424B6E">
        <w:t>ing</w:t>
      </w:r>
      <w:r>
        <w:t xml:space="preserve"> data</w:t>
      </w:r>
      <w:r w:rsidR="00BF0C7B">
        <w:t xml:space="preserve"> to identify negative news events,</w:t>
      </w:r>
      <w:r>
        <w:t xml:space="preserve"> Boiral </w:t>
      </w:r>
      <w:r w:rsidR="0047121B">
        <w:t>selected</w:t>
      </w:r>
      <w:r>
        <w:t xml:space="preserve"> </w:t>
      </w:r>
      <w:r w:rsidR="00D21290">
        <w:t xml:space="preserve">news </w:t>
      </w:r>
      <w:r>
        <w:t xml:space="preserve">articles that </w:t>
      </w:r>
      <w:r w:rsidR="00D21290">
        <w:t>“</w:t>
      </w:r>
      <w:r>
        <w:t>addressed significant events that occurred in 2007 implicating the</w:t>
      </w:r>
      <w:r w:rsidR="00D21290">
        <w:t xml:space="preserve"> </w:t>
      </w:r>
      <w:r>
        <w:t>responsibility of one of the 23 firms in a major spill, conflict with local</w:t>
      </w:r>
      <w:r w:rsidR="00D21290">
        <w:t xml:space="preserve"> </w:t>
      </w:r>
      <w:r w:rsidR="00EA48CC">
        <w:t>residents, explosion, etc.</w:t>
      </w:r>
      <w:r w:rsidR="00D21290">
        <w:t>” (p. 1047)</w:t>
      </w:r>
      <w:r>
        <w:t>.</w:t>
      </w:r>
      <w:r w:rsidR="002007DA" w:rsidRPr="002007DA">
        <w:t xml:space="preserve"> </w:t>
      </w:r>
      <w:r w:rsidR="003C30EB">
        <w:t xml:space="preserve">It would thus appear </w:t>
      </w:r>
      <w:r w:rsidR="00A73DE0">
        <w:t>that</w:t>
      </w:r>
      <w:r w:rsidR="00A34B12">
        <w:t xml:space="preserve"> </w:t>
      </w:r>
      <w:r w:rsidR="00A73DE0">
        <w:t>Boiral</w:t>
      </w:r>
      <w:r w:rsidR="00A34B12">
        <w:t xml:space="preserve"> chose to </w:t>
      </w:r>
      <w:r w:rsidR="003C30EB">
        <w:t>treat</w:t>
      </w:r>
      <w:r w:rsidR="00A34B12">
        <w:t xml:space="preserve"> events</w:t>
      </w:r>
      <w:r w:rsidR="003C30EB">
        <w:t xml:space="preserve"> as </w:t>
      </w:r>
      <w:r w:rsidR="00EA48CC">
        <w:t>‘</w:t>
      </w:r>
      <w:r w:rsidR="003C30EB">
        <w:t>significant</w:t>
      </w:r>
      <w:r w:rsidR="00EA48CC">
        <w:t>’</w:t>
      </w:r>
      <w:r w:rsidR="003C30EB">
        <w:t xml:space="preserve"> because </w:t>
      </w:r>
      <w:r w:rsidR="00A22C09">
        <w:t>they had been reported in news media (specifically, in at least two news articles)</w:t>
      </w:r>
      <w:r w:rsidR="00BF0C7B">
        <w:t>. H</w:t>
      </w:r>
      <w:r w:rsidR="005502BF">
        <w:t xml:space="preserve">owever no information is </w:t>
      </w:r>
      <w:r w:rsidR="00521F7B">
        <w:t>provided</w:t>
      </w:r>
      <w:r w:rsidR="005502BF">
        <w:t xml:space="preserve"> </w:t>
      </w:r>
      <w:r w:rsidR="00A22C09">
        <w:t xml:space="preserve">in the paper </w:t>
      </w:r>
      <w:r w:rsidR="005502BF">
        <w:t>about</w:t>
      </w:r>
      <w:r w:rsidR="00A34B12">
        <w:t xml:space="preserve"> </w:t>
      </w:r>
      <w:r w:rsidR="00BF0C7B">
        <w:t xml:space="preserve">whether </w:t>
      </w:r>
      <w:r w:rsidR="005502BF">
        <w:t xml:space="preserve">and how such events were filtered through materiality </w:t>
      </w:r>
      <w:r w:rsidR="00A22C09">
        <w:t>processes</w:t>
      </w:r>
      <w:r w:rsidR="005502BF">
        <w:t xml:space="preserve"> in the context of production of </w:t>
      </w:r>
      <w:r w:rsidR="00A22C09">
        <w:t xml:space="preserve">the </w:t>
      </w:r>
      <w:r w:rsidR="00BF0C7B">
        <w:t>organizational</w:t>
      </w:r>
      <w:r w:rsidR="00A22C09">
        <w:t xml:space="preserve"> </w:t>
      </w:r>
      <w:r w:rsidR="005502BF">
        <w:t>reports.</w:t>
      </w:r>
      <w:r w:rsidR="00A22C09">
        <w:t xml:space="preserve"> </w:t>
      </w:r>
      <w:r w:rsidR="005502BF">
        <w:t>To make up for this gap</w:t>
      </w:r>
      <w:r w:rsidR="00DD0D24">
        <w:t xml:space="preserve"> we</w:t>
      </w:r>
      <w:r w:rsidR="005100D0" w:rsidRPr="003B374D">
        <w:t xml:space="preserve"> </w:t>
      </w:r>
      <w:r w:rsidR="00A22C09">
        <w:t>re-</w:t>
      </w:r>
      <w:r w:rsidR="005100D0" w:rsidRPr="003B374D">
        <w:t xml:space="preserve">examined </w:t>
      </w:r>
      <w:r w:rsidR="00ED3371">
        <w:t xml:space="preserve">the </w:t>
      </w:r>
      <w:r w:rsidR="001B1F5F">
        <w:t>20</w:t>
      </w:r>
      <w:r w:rsidR="00ED3371">
        <w:t xml:space="preserve"> reports we were able to access in English out</w:t>
      </w:r>
      <w:r w:rsidR="005100D0" w:rsidRPr="003B374D">
        <w:t xml:space="preserve"> of the 23</w:t>
      </w:r>
      <w:r w:rsidR="00414394" w:rsidRPr="003B374D">
        <w:t xml:space="preserve"> </w:t>
      </w:r>
      <w:r w:rsidR="00ED3371">
        <w:t>mining and energy compan</w:t>
      </w:r>
      <w:r w:rsidR="00712E79">
        <w:t>ies’ 2007</w:t>
      </w:r>
      <w:r w:rsidR="00ED3371">
        <w:t xml:space="preserve"> </w:t>
      </w:r>
      <w:r w:rsidR="00BF0C7B">
        <w:t xml:space="preserve">sustainability </w:t>
      </w:r>
      <w:r w:rsidR="00414394" w:rsidRPr="003B374D">
        <w:t>reports</w:t>
      </w:r>
      <w:r w:rsidR="005100D0" w:rsidRPr="003B374D">
        <w:rPr>
          <w:rStyle w:val="FootnoteReference"/>
        </w:rPr>
        <w:footnoteReference w:id="6"/>
      </w:r>
      <w:r w:rsidR="00414394" w:rsidRPr="003B374D">
        <w:t xml:space="preserve"> </w:t>
      </w:r>
      <w:r w:rsidR="005100D0" w:rsidRPr="003B374D">
        <w:t>analysed by Boiral</w:t>
      </w:r>
      <w:r w:rsidR="00ED3371">
        <w:t xml:space="preserve">. We focused this re-examination on ascertaining </w:t>
      </w:r>
      <w:r w:rsidR="00BF0C7B">
        <w:t>whether</w:t>
      </w:r>
      <w:r w:rsidR="00DD0D24">
        <w:t>,</w:t>
      </w:r>
      <w:r w:rsidR="005100D0" w:rsidRPr="003B374D">
        <w:t xml:space="preserve"> and the extent to which</w:t>
      </w:r>
      <w:r w:rsidR="00DD0D24">
        <w:t>,</w:t>
      </w:r>
      <w:r w:rsidR="005100D0" w:rsidRPr="003B374D">
        <w:t xml:space="preserve"> issues related to the principle of materiality had</w:t>
      </w:r>
      <w:r w:rsidR="00FF4CC7" w:rsidRPr="003B374D">
        <w:t xml:space="preserve"> been </w:t>
      </w:r>
      <w:r w:rsidR="00DD0D24">
        <w:t>disclosed</w:t>
      </w:r>
      <w:r w:rsidR="00DD0D24" w:rsidRPr="003B374D">
        <w:t xml:space="preserve"> </w:t>
      </w:r>
      <w:r w:rsidR="00FF4CC7" w:rsidRPr="003B374D">
        <w:t>in these reports.</w:t>
      </w:r>
      <w:r w:rsidR="006C08EA">
        <w:t xml:space="preserve"> The results of this review </w:t>
      </w:r>
      <w:r w:rsidR="00F8610A">
        <w:t xml:space="preserve">are </w:t>
      </w:r>
      <w:r w:rsidR="006C08EA">
        <w:t>show</w:t>
      </w:r>
      <w:r w:rsidR="00F8610A">
        <w:t xml:space="preserve">n in table 1. </w:t>
      </w:r>
    </w:p>
    <w:p w14:paraId="243C9495" w14:textId="1A74D353" w:rsidR="00ED3371" w:rsidRPr="00ED3371" w:rsidRDefault="00ED3371" w:rsidP="0060765E">
      <w:pPr>
        <w:jc w:val="both"/>
        <w:rPr>
          <w:b/>
        </w:rPr>
      </w:pPr>
      <w:r w:rsidRPr="00B61416">
        <w:rPr>
          <w:b/>
        </w:rPr>
        <w:t>[TAKE IN TABLE 1 ABOUT HERE]</w:t>
      </w:r>
    </w:p>
    <w:p w14:paraId="25A23E7E" w14:textId="2C6AE884" w:rsidR="00ED3371" w:rsidRDefault="00A87FD8" w:rsidP="0060765E">
      <w:pPr>
        <w:jc w:val="both"/>
      </w:pPr>
      <w:r>
        <w:t>The 2007 sustainability reports analyse</w:t>
      </w:r>
      <w:r w:rsidR="00541DB9">
        <w:t>d</w:t>
      </w:r>
      <w:r>
        <w:t xml:space="preserve"> related to the year after the GRI first incorporated detailed</w:t>
      </w:r>
      <w:r w:rsidR="00541DB9">
        <w:t xml:space="preserve"> guidance and requirements about materiality in its 2006 G3 guidelines. </w:t>
      </w:r>
      <w:r w:rsidR="009D1670">
        <w:t>C</w:t>
      </w:r>
      <w:r w:rsidR="00541DB9">
        <w:t>ompliance with any G3 application level r</w:t>
      </w:r>
      <w:r w:rsidR="009D1670">
        <w:t>equires</w:t>
      </w:r>
      <w:r w:rsidR="00541DB9">
        <w:t xml:space="preserve"> not just consideration of materiality but also an explanation of the</w:t>
      </w:r>
      <w:r w:rsidR="009D1670">
        <w:t>se materiality consideration</w:t>
      </w:r>
      <w:r w:rsidR="00541DB9">
        <w:t xml:space="preserve"> process</w:t>
      </w:r>
      <w:r w:rsidR="009D1670">
        <w:t xml:space="preserve">es </w:t>
      </w:r>
      <w:r w:rsidR="00712E79">
        <w:t>(</w:t>
      </w:r>
      <w:r w:rsidR="009D1670">
        <w:t>as part of the explanation about how</w:t>
      </w:r>
      <w:r w:rsidR="00541DB9">
        <w:t xml:space="preserve"> the content of the sustainability report</w:t>
      </w:r>
      <w:r w:rsidR="009D1670">
        <w:t xml:space="preserve"> was decided upon</w:t>
      </w:r>
      <w:r w:rsidR="00712E79">
        <w:t>)</w:t>
      </w:r>
      <w:r w:rsidR="009D1670">
        <w:t>. As the companies in the sample have all self-declared GRI compliance at the highest application level (A or A+),</w:t>
      </w:r>
      <w:r w:rsidR="00541DB9">
        <w:t xml:space="preserve"> we would expect </w:t>
      </w:r>
      <w:r w:rsidR="009D1670">
        <w:t>them all to have</w:t>
      </w:r>
      <w:r w:rsidR="00541DB9">
        <w:t xml:space="preserve"> both used a materiality filter in deciding upon the contents of the</w:t>
      </w:r>
      <w:r w:rsidR="009D1670">
        <w:t>ir</w:t>
      </w:r>
      <w:r w:rsidR="00541DB9">
        <w:t xml:space="preserve"> reports and to have disclosed some information about this process. </w:t>
      </w:r>
      <w:r w:rsidR="009D1670">
        <w:t xml:space="preserve">We were therefore surprised to find that four of the sample companies did not appear to include any information or discussion about materiality in their 2007 sustainability report. Of the remaining 16 companies that did explicitly address </w:t>
      </w:r>
      <w:r w:rsidR="00E94C71">
        <w:t xml:space="preserve">some aspect(s) </w:t>
      </w:r>
      <w:r w:rsidR="00FE3E06">
        <w:t xml:space="preserve">of </w:t>
      </w:r>
      <w:r w:rsidR="009D1670">
        <w:t xml:space="preserve">materiality in their sustainability reports, four only gave what we regard as the bare minimum disclosure that they had taken </w:t>
      </w:r>
      <w:r w:rsidR="00514A67">
        <w:t xml:space="preserve">materiality into account as required by GRI G3 guidelines. This left 12 of the companies from the Boiral study that disclosed a variety of aspects </w:t>
      </w:r>
      <w:r w:rsidR="00E94C71">
        <w:t>about</w:t>
      </w:r>
      <w:r w:rsidR="00514A67">
        <w:t xml:space="preserve"> how materiality </w:t>
      </w:r>
      <w:r w:rsidR="00E94C71">
        <w:t>considerations influenced or were incorporated in</w:t>
      </w:r>
      <w:r w:rsidR="00514A67">
        <w:t xml:space="preserve"> their </w:t>
      </w:r>
      <w:r w:rsidR="00E94C71">
        <w:t xml:space="preserve">sustainability </w:t>
      </w:r>
      <w:r w:rsidR="00514A67">
        <w:t>reports</w:t>
      </w:r>
      <w:r w:rsidR="00FE3E06">
        <w:t>.</w:t>
      </w:r>
    </w:p>
    <w:p w14:paraId="65C78574" w14:textId="1C66D87C" w:rsidR="00514A67" w:rsidRDefault="006A7CCD" w:rsidP="0060765E">
      <w:pPr>
        <w:jc w:val="both"/>
      </w:pPr>
      <w:r>
        <w:lastRenderedPageBreak/>
        <w:t xml:space="preserve">Nine </w:t>
      </w:r>
      <w:r w:rsidR="00E94C71">
        <w:t xml:space="preserve">sustainability </w:t>
      </w:r>
      <w:r>
        <w:t xml:space="preserve">reports </w:t>
      </w:r>
      <w:r w:rsidR="00E94C71">
        <w:t>note</w:t>
      </w:r>
      <w:r>
        <w:t xml:space="preserve"> that materiality cons</w:t>
      </w:r>
      <w:r w:rsidR="00E94C71">
        <w:t>iderations had</w:t>
      </w:r>
      <w:r>
        <w:t xml:space="preserve"> been taken into account in deciding upon the contents of the report. </w:t>
      </w:r>
      <w:r w:rsidR="00514A67">
        <w:t xml:space="preserve">Eight reports either discussed materiality in relation to the requirements of </w:t>
      </w:r>
      <w:proofErr w:type="spellStart"/>
      <w:r w:rsidR="00514A67">
        <w:t>AccountAbility’s</w:t>
      </w:r>
      <w:proofErr w:type="spellEnd"/>
      <w:r w:rsidR="00514A67">
        <w:t xml:space="preserve"> AA1000 standard and/or disclosed materiality process</w:t>
      </w:r>
      <w:r w:rsidR="005570E0">
        <w:t>es</w:t>
      </w:r>
      <w:r w:rsidR="00514A67">
        <w:t xml:space="preserve"> or considerations as part of an assurance statement. Some of these assurance statements devoted considerable space to explanations of materiality considerations in relation to report</w:t>
      </w:r>
      <w:r w:rsidR="00E94C71">
        <w:t>ing processes and/or</w:t>
      </w:r>
      <w:r w:rsidR="00514A67">
        <w:t xml:space="preserve"> content.</w:t>
      </w:r>
    </w:p>
    <w:p w14:paraId="146E8C69" w14:textId="308BE04B" w:rsidR="00514A67" w:rsidRDefault="00514A67" w:rsidP="0060765E">
      <w:pPr>
        <w:jc w:val="both"/>
      </w:pPr>
      <w:r>
        <w:t xml:space="preserve">Nine reports disclosed some information about how a range of stakeholders were engaged in the process of deciding which issues were sufficiently material to be incorporated in the sustainability report. Eight reports explained that the company used a combination of external perspectives and internal management perspectives in deciding upon which </w:t>
      </w:r>
      <w:proofErr w:type="gramStart"/>
      <w:r>
        <w:t>were</w:t>
      </w:r>
      <w:proofErr w:type="gramEnd"/>
      <w:r>
        <w:t xml:space="preserve"> the most material issues (all but one of these companies </w:t>
      </w:r>
      <w:r w:rsidR="00ED7C67">
        <w:t xml:space="preserve">were </w:t>
      </w:r>
      <w:r>
        <w:t>also</w:t>
      </w:r>
      <w:r w:rsidR="00ED7C67">
        <w:t xml:space="preserve"> among those that</w:t>
      </w:r>
      <w:r>
        <w:t xml:space="preserve"> explained their processes of stakeholder engagement in arriving at the external view). </w:t>
      </w:r>
      <w:r w:rsidR="00E94C71">
        <w:t xml:space="preserve">This combining of internal and external views follows the GRI guidance in determining the topics that are material enough in the organization’s overall context to be disclosed in its sustainability report. </w:t>
      </w:r>
      <w:r>
        <w:t xml:space="preserve">Four of these companies provided a materiality graph, although only two of these </w:t>
      </w:r>
      <w:r w:rsidR="00154AC3">
        <w:t>(</w:t>
      </w:r>
      <w:r w:rsidR="005570E0">
        <w:t>Gas Natural</w:t>
      </w:r>
      <w:r w:rsidR="00154AC3">
        <w:t xml:space="preserve"> Fernosa and Petrobras) displayed broad sustainability issues on the graph</w:t>
      </w:r>
      <w:r w:rsidR="00ED7C67">
        <w:t xml:space="preserve"> –</w:t>
      </w:r>
      <w:r w:rsidR="00154AC3">
        <w:t xml:space="preserve"> enabling readers of the reports to appreciate both the external and internal importance accorded to each broad issue.</w:t>
      </w:r>
      <w:r w:rsidR="00575828">
        <w:t xml:space="preserve"> The other two companies (Shell and Tech Cominco) provided a graph illustrating the</w:t>
      </w:r>
      <w:r w:rsidR="00E94C71">
        <w:t>ir</w:t>
      </w:r>
      <w:r w:rsidR="00575828">
        <w:t xml:space="preserve"> materiality determination process without placing sustainability issues on the graph.</w:t>
      </w:r>
      <w:r w:rsidR="00982F32">
        <w:t xml:space="preserve"> However, eight companies did provide lists of the broad sustainability areas that their </w:t>
      </w:r>
      <w:r w:rsidR="00EE3E7F">
        <w:t xml:space="preserve">materiality </w:t>
      </w:r>
      <w:r w:rsidR="00982F32">
        <w:t>processes had decided were the most material</w:t>
      </w:r>
      <w:r w:rsidR="00ED7C67">
        <w:t xml:space="preserve">, even though </w:t>
      </w:r>
      <w:r w:rsidR="00575828">
        <w:t>they did not</w:t>
      </w:r>
      <w:r w:rsidR="00712E79">
        <w:t xml:space="preserve"> all</w:t>
      </w:r>
      <w:r w:rsidR="00575828">
        <w:t xml:space="preserve"> show</w:t>
      </w:r>
      <w:r w:rsidR="00ED7C67">
        <w:t xml:space="preserve"> the positioning on a graph of internal and external perspective</w:t>
      </w:r>
      <w:r w:rsidR="00575828">
        <w:t>s that had led to a determination of the materiality of these issues</w:t>
      </w:r>
      <w:r w:rsidR="00ED7C67">
        <w:t>.</w:t>
      </w:r>
    </w:p>
    <w:p w14:paraId="7493ABE8" w14:textId="2F1E583E" w:rsidR="00575828" w:rsidRDefault="00575828" w:rsidP="0060765E">
      <w:pPr>
        <w:jc w:val="both"/>
      </w:pPr>
      <w:r>
        <w:t xml:space="preserve">Within Shell’s report there was a report from an external review committee. The following excerpt from this report illustrates well the reasons why it is necessary to filter out less material items from a sustainability report if the resultant report is to provide greater clarity on the most material issues. This also shows that </w:t>
      </w:r>
      <w:r w:rsidR="00816856">
        <w:t xml:space="preserve">in practice </w:t>
      </w:r>
      <w:r>
        <w:t>it is not</w:t>
      </w:r>
      <w:r w:rsidR="00EE3E7F">
        <w:t xml:space="preserve"> necessarily</w:t>
      </w:r>
      <w:r>
        <w:t xml:space="preserve"> the company itself that exclusively determines the relative materiality of different broad sustainability issues:</w:t>
      </w:r>
    </w:p>
    <w:p w14:paraId="21864435" w14:textId="002D3130" w:rsidR="00816856" w:rsidRDefault="00816856" w:rsidP="00B61416">
      <w:pPr>
        <w:pStyle w:val="Quote"/>
      </w:pPr>
      <w:r>
        <w:rPr>
          <w:lang w:val="en-US"/>
        </w:rPr>
        <w:t xml:space="preserve">In autumn 2007, we commented on Shell’s initial choice of issues to address in the report. … The 2007 report effectively </w:t>
      </w:r>
      <w:proofErr w:type="spellStart"/>
      <w:r>
        <w:rPr>
          <w:lang w:val="en-US"/>
        </w:rPr>
        <w:t>prioritises</w:t>
      </w:r>
      <w:proofErr w:type="spellEnd"/>
      <w:r>
        <w:rPr>
          <w:lang w:val="en-US"/>
        </w:rPr>
        <w:t xml:space="preserve"> the issues that are most material to the company, and of greatest interest to Shell’s stakeholders, in addition to covering one of the most significant topics facing our world – climate change. In a short report, it will always be a challenge to provide sufficient depth on critical, complex issues. This year, because of the urgency of addressing climate change, we encouraged Shell to devote more space to explain its latest Strategic Energy Scenarios and advocacy efforts. Inevitably, due to space limits, other topics – such as local environmental impacts, Shell’s contributions to achievement of the Millennium Development Goals (including the link between energy and poverty reduction), and social performance in difficult operating environments – received less attention as a result. We therefore encourage Shell to use other tools such as its website to reinforce the coverage of all sustainability issues of </w:t>
      </w:r>
      <w:r>
        <w:rPr>
          <w:lang w:val="en-US"/>
        </w:rPr>
        <w:lastRenderedPageBreak/>
        <w:t>importance to its stakeholders … we refer again this year to the need for Shell to provide greater insight into its investment levels in renewable energy sources. The credibility of Shell’s advocacy efforts, on which it rightly focuses, will be greatly strengthened by providing this information. (The Shell Sustainability Report 2007, p. 38)</w:t>
      </w:r>
    </w:p>
    <w:p w14:paraId="77F1D8E8" w14:textId="3B03C1B6" w:rsidR="00BC1FD1" w:rsidRDefault="00561866" w:rsidP="0075067A">
      <w:pPr>
        <w:jc w:val="both"/>
      </w:pPr>
      <w:r>
        <w:t>This disclosure clearly explains that the 2007 Shell Sustainability report focus</w:t>
      </w:r>
      <w:r w:rsidR="00425CDA">
        <w:t>es</w:t>
      </w:r>
      <w:r>
        <w:t xml:space="preserve"> on just the most material topics, and stakeholders i</w:t>
      </w:r>
      <w:r w:rsidR="00425CDA">
        <w:t>nterested in other impacts (of which there will be many) can refe</w:t>
      </w:r>
      <w:r w:rsidR="00712E79">
        <w:t>r to disclosures in other media –</w:t>
      </w:r>
      <w:r w:rsidR="00425CDA">
        <w:t xml:space="preserve"> such as web-based disclosures. In this context, we contend that </w:t>
      </w:r>
      <w:r w:rsidR="00073C79">
        <w:t xml:space="preserve">inferences drawn in </w:t>
      </w:r>
      <w:r w:rsidR="00425CDA">
        <w:t>Boiral</w:t>
      </w:r>
      <w:r w:rsidR="00073C79">
        <w:t xml:space="preserve"> (2013)</w:t>
      </w:r>
      <w:r w:rsidR="00425CDA">
        <w:t xml:space="preserve"> </w:t>
      </w:r>
      <w:r w:rsidR="008F5406">
        <w:t xml:space="preserve">about the lack of </w:t>
      </w:r>
      <w:r w:rsidR="00073C79">
        <w:t xml:space="preserve">sustainability report </w:t>
      </w:r>
      <w:r w:rsidR="008F5406">
        <w:t xml:space="preserve">disclosures </w:t>
      </w:r>
      <w:r w:rsidR="00073C79">
        <w:t>of</w:t>
      </w:r>
      <w:r w:rsidR="00425CDA">
        <w:t xml:space="preserve"> </w:t>
      </w:r>
      <w:r w:rsidR="00FE3E06">
        <w:t>some of Shell’s</w:t>
      </w:r>
      <w:r w:rsidR="00425CDA">
        <w:t xml:space="preserve"> specific micro-level negative news</w:t>
      </w:r>
      <w:r w:rsidR="008F5406">
        <w:t xml:space="preserve"> events</w:t>
      </w:r>
      <w:r w:rsidR="00425CDA">
        <w:t xml:space="preserve"> </w:t>
      </w:r>
      <w:r w:rsidR="008F5406">
        <w:t>are</w:t>
      </w:r>
      <w:r w:rsidR="00425CDA">
        <w:t xml:space="preserve"> unreasonable</w:t>
      </w:r>
      <w:r w:rsidR="008F5406">
        <w:t>,</w:t>
      </w:r>
      <w:r w:rsidR="00425CDA">
        <w:t xml:space="preserve"> as </w:t>
      </w:r>
      <w:r w:rsidR="008F5406">
        <w:t>these events</w:t>
      </w:r>
      <w:r w:rsidR="00425CDA">
        <w:t xml:space="preserve"> do not fall within the issues Shell’s external review panel </w:t>
      </w:r>
      <w:r w:rsidR="008F5406">
        <w:t xml:space="preserve">explicitly </w:t>
      </w:r>
      <w:r w:rsidR="00425CDA">
        <w:t>consider the most material</w:t>
      </w:r>
      <w:r w:rsidR="004816C7">
        <w:t xml:space="preserve"> and therefore worthy of disclosing in the 40 page report</w:t>
      </w:r>
      <w:r w:rsidR="001918A6">
        <w:t xml:space="preserve">. While </w:t>
      </w:r>
      <w:r w:rsidR="00073C79">
        <w:t xml:space="preserve">probably </w:t>
      </w:r>
      <w:r w:rsidR="001918A6">
        <w:t>important to those i</w:t>
      </w:r>
      <w:r w:rsidR="00FE3E06">
        <w:t xml:space="preserve">nvolved in these incidents, </w:t>
      </w:r>
      <w:r w:rsidR="00B054DE">
        <w:t xml:space="preserve">we contend that </w:t>
      </w:r>
      <w:r w:rsidR="00FE3E06">
        <w:t>the following issues identified</w:t>
      </w:r>
      <w:r w:rsidR="00B054DE">
        <w:t xml:space="preserve"> in Boiral (2013, pp. 1054-55</w:t>
      </w:r>
      <w:r w:rsidR="00FE3E06">
        <w:t>)</w:t>
      </w:r>
      <w:r w:rsidR="001918A6">
        <w:t xml:space="preserve"> appear to be relatively minor in the context of a company the size of Shel</w:t>
      </w:r>
      <w:r w:rsidR="00FE3E06">
        <w:t>l</w:t>
      </w:r>
      <w:r w:rsidR="00425CDA">
        <w:t>:</w:t>
      </w:r>
    </w:p>
    <w:p w14:paraId="6DF28AAB" w14:textId="69C136DF" w:rsidR="00425CDA" w:rsidRDefault="00425CDA" w:rsidP="00B61416">
      <w:pPr>
        <w:pStyle w:val="Quote"/>
      </w:pPr>
      <w:r w:rsidRPr="00425CDA">
        <w:rPr>
          <w:lang w:val="en-US"/>
        </w:rPr>
        <w:t>The sustainability</w:t>
      </w:r>
      <w:r>
        <w:rPr>
          <w:lang w:val="en-US"/>
        </w:rPr>
        <w:t xml:space="preserve"> </w:t>
      </w:r>
      <w:r w:rsidRPr="00425CDA">
        <w:rPr>
          <w:lang w:val="en-US"/>
        </w:rPr>
        <w:t xml:space="preserve">report with the greatest number of </w:t>
      </w:r>
      <w:r w:rsidR="008F5406">
        <w:rPr>
          <w:lang w:val="en-US"/>
        </w:rPr>
        <w:t>such</w:t>
      </w:r>
      <w:r w:rsidRPr="00425CDA">
        <w:rPr>
          <w:lang w:val="en-US"/>
        </w:rPr>
        <w:t xml:space="preserve"> omissions was that issued by Shell </w:t>
      </w:r>
      <w:r>
        <w:rPr>
          <w:lang w:val="en-US"/>
        </w:rPr>
        <w:t>…</w:t>
      </w:r>
      <w:r w:rsidRPr="00425CDA">
        <w:rPr>
          <w:lang w:val="en-US"/>
        </w:rPr>
        <w:t xml:space="preserve"> The events that Shell did not report were fairly representative of the</w:t>
      </w:r>
      <w:r>
        <w:rPr>
          <w:lang w:val="en-US"/>
        </w:rPr>
        <w:t xml:space="preserve"> </w:t>
      </w:r>
      <w:r w:rsidRPr="00425CDA">
        <w:rPr>
          <w:lang w:val="en-US"/>
        </w:rPr>
        <w:t>diversity of economic, environmental and social problems that are hidden behind the</w:t>
      </w:r>
      <w:r>
        <w:rPr>
          <w:lang w:val="en-US"/>
        </w:rPr>
        <w:t xml:space="preserve"> </w:t>
      </w:r>
      <w:r w:rsidRPr="00425CDA">
        <w:rPr>
          <w:lang w:val="en-US"/>
        </w:rPr>
        <w:t>reassuring appearances of sustainability reports. For example, with regard to</w:t>
      </w:r>
      <w:r>
        <w:rPr>
          <w:lang w:val="en-US"/>
        </w:rPr>
        <w:t xml:space="preserve"> </w:t>
      </w:r>
      <w:r w:rsidRPr="00425CDA">
        <w:rPr>
          <w:lang w:val="en-US"/>
        </w:rPr>
        <w:t>economic sustainability issues, Shell was accused by the French competition authority</w:t>
      </w:r>
      <w:r>
        <w:rPr>
          <w:lang w:val="en-US"/>
        </w:rPr>
        <w:t xml:space="preserve"> …</w:t>
      </w:r>
      <w:r w:rsidRPr="00425CDA">
        <w:rPr>
          <w:lang w:val="en-US"/>
        </w:rPr>
        <w:t xml:space="preserve"> of colluding with other oil companies in pricing</w:t>
      </w:r>
      <w:r>
        <w:rPr>
          <w:lang w:val="en-US"/>
        </w:rPr>
        <w:t xml:space="preserve"> </w:t>
      </w:r>
      <w:r w:rsidRPr="00425CDA">
        <w:rPr>
          <w:lang w:val="en-US"/>
        </w:rPr>
        <w:t xml:space="preserve">kerosene on </w:t>
      </w:r>
      <w:proofErr w:type="spellStart"/>
      <w:r w:rsidRPr="00425CDA">
        <w:rPr>
          <w:lang w:val="en-US"/>
        </w:rPr>
        <w:t>Re´union</w:t>
      </w:r>
      <w:proofErr w:type="spellEnd"/>
      <w:r w:rsidRPr="00425CDA">
        <w:rPr>
          <w:lang w:val="en-US"/>
        </w:rPr>
        <w:t xml:space="preserve"> Island. Contrary to the GRI requirements (SO7 and SO8 indicators</w:t>
      </w:r>
      <w:r>
        <w:rPr>
          <w:lang w:val="en-US"/>
        </w:rPr>
        <w:t xml:space="preserve"> </w:t>
      </w:r>
      <w:r w:rsidRPr="00425CDA">
        <w:rPr>
          <w:lang w:val="en-US"/>
        </w:rPr>
        <w:t>on anti-competitive behavior and compliance with laws and regulations), the report</w:t>
      </w:r>
      <w:r>
        <w:rPr>
          <w:lang w:val="en-US"/>
        </w:rPr>
        <w:t xml:space="preserve"> </w:t>
      </w:r>
      <w:r w:rsidRPr="00425CDA">
        <w:rPr>
          <w:lang w:val="en-US"/>
        </w:rPr>
        <w:t xml:space="preserve">made no mention of the matter </w:t>
      </w:r>
      <w:proofErr w:type="gramStart"/>
      <w:r w:rsidRPr="00425CDA">
        <w:rPr>
          <w:lang w:val="en-US"/>
        </w:rPr>
        <w:t>nor</w:t>
      </w:r>
      <w:proofErr w:type="gramEnd"/>
      <w:r w:rsidRPr="00425CDA">
        <w:rPr>
          <w:lang w:val="en-US"/>
        </w:rPr>
        <w:t xml:space="preserve"> of the legal proceedings </w:t>
      </w:r>
      <w:proofErr w:type="spellStart"/>
      <w:r w:rsidRPr="00425CDA">
        <w:rPr>
          <w:lang w:val="en-US"/>
        </w:rPr>
        <w:t>totalling</w:t>
      </w:r>
      <w:proofErr w:type="spellEnd"/>
      <w:r w:rsidRPr="00425CDA">
        <w:rPr>
          <w:lang w:val="en-US"/>
        </w:rPr>
        <w:t xml:space="preserve"> several million</w:t>
      </w:r>
      <w:r>
        <w:rPr>
          <w:lang w:val="en-US"/>
        </w:rPr>
        <w:t xml:space="preserve"> </w:t>
      </w:r>
      <w:r w:rsidRPr="00425CDA">
        <w:rPr>
          <w:lang w:val="en-US"/>
        </w:rPr>
        <w:t>Euros for anti-competitive practices. With regard to social issues, one notable event in</w:t>
      </w:r>
      <w:r>
        <w:rPr>
          <w:lang w:val="en-US"/>
        </w:rPr>
        <w:t xml:space="preserve"> </w:t>
      </w:r>
      <w:r w:rsidRPr="00425CDA">
        <w:rPr>
          <w:lang w:val="en-US"/>
        </w:rPr>
        <w:t>2007 involved Shell being sued by some of its Ethiopian and Malaysian employees for</w:t>
      </w:r>
      <w:r>
        <w:rPr>
          <w:lang w:val="en-US"/>
        </w:rPr>
        <w:t xml:space="preserve"> </w:t>
      </w:r>
      <w:r w:rsidRPr="00425CDA">
        <w:rPr>
          <w:lang w:val="en-US"/>
        </w:rPr>
        <w:t>discriminatory hiring practices. Whether they were justified or not, these</w:t>
      </w:r>
      <w:r>
        <w:rPr>
          <w:lang w:val="en-US"/>
        </w:rPr>
        <w:t xml:space="preserve"> </w:t>
      </w:r>
      <w:r w:rsidRPr="00425CDA">
        <w:rPr>
          <w:lang w:val="en-US"/>
        </w:rPr>
        <w:t xml:space="preserve">discrimination cases involving hundreds of employees </w:t>
      </w:r>
      <w:r>
        <w:rPr>
          <w:lang w:val="en-US"/>
        </w:rPr>
        <w:t xml:space="preserve">… </w:t>
      </w:r>
      <w:r w:rsidRPr="00425CDA">
        <w:rPr>
          <w:lang w:val="en-US"/>
        </w:rPr>
        <w:t>were not</w:t>
      </w:r>
      <w:r>
        <w:rPr>
          <w:lang w:val="en-US"/>
        </w:rPr>
        <w:t xml:space="preserve"> </w:t>
      </w:r>
      <w:r w:rsidRPr="00425CDA">
        <w:rPr>
          <w:lang w:val="en-US"/>
        </w:rPr>
        <w:t>mentioned in the sustainability report contrary to GRI requirements (see for example</w:t>
      </w:r>
      <w:r>
        <w:rPr>
          <w:lang w:val="en-US"/>
        </w:rPr>
        <w:t xml:space="preserve"> </w:t>
      </w:r>
      <w:r w:rsidRPr="00425CDA">
        <w:rPr>
          <w:lang w:val="en-US"/>
        </w:rPr>
        <w:t>HR4 incidents of discrimination and actions taken). Finally, Shell was accused of</w:t>
      </w:r>
      <w:r>
        <w:rPr>
          <w:lang w:val="en-US"/>
        </w:rPr>
        <w:t xml:space="preserve"> </w:t>
      </w:r>
      <w:r w:rsidRPr="00425CDA">
        <w:rPr>
          <w:lang w:val="en-US"/>
        </w:rPr>
        <w:t>misleading advertising by the British Advertising Standards Authority in 2007, for</w:t>
      </w:r>
      <w:r>
        <w:rPr>
          <w:lang w:val="en-US"/>
        </w:rPr>
        <w:t xml:space="preserve"> </w:t>
      </w:r>
      <w:r w:rsidRPr="00425CDA">
        <w:rPr>
          <w:lang w:val="en-US"/>
        </w:rPr>
        <w:t>having connected the term “sustainable development” with exploitation of the oil sands</w:t>
      </w:r>
      <w:r>
        <w:rPr>
          <w:lang w:val="en-US"/>
        </w:rPr>
        <w:t xml:space="preserve"> </w:t>
      </w:r>
      <w:r w:rsidRPr="00425CDA">
        <w:rPr>
          <w:lang w:val="en-US"/>
        </w:rPr>
        <w:t>in Alberta, an operation which has had particularly negative environmental impacts</w:t>
      </w:r>
      <w:r>
        <w:rPr>
          <w:lang w:val="en-US"/>
        </w:rPr>
        <w:t xml:space="preserve"> …</w:t>
      </w:r>
      <w:r w:rsidRPr="00425CDA">
        <w:rPr>
          <w:lang w:val="en-US"/>
        </w:rPr>
        <w:t xml:space="preserve"> This charge should have been mentioned in</w:t>
      </w:r>
      <w:r>
        <w:rPr>
          <w:lang w:val="en-US"/>
        </w:rPr>
        <w:t xml:space="preserve"> </w:t>
      </w:r>
      <w:r w:rsidRPr="00425CDA">
        <w:rPr>
          <w:lang w:val="en-US"/>
        </w:rPr>
        <w:t>Shell’s report (PR7 indicator on incidents of non-compliance with regulations and</w:t>
      </w:r>
      <w:r>
        <w:rPr>
          <w:lang w:val="en-US"/>
        </w:rPr>
        <w:t xml:space="preserve"> </w:t>
      </w:r>
      <w:r w:rsidRPr="00425CDA">
        <w:rPr>
          <w:lang w:val="en-US"/>
        </w:rPr>
        <w:t>voluntary codes concerning marketing communications, including advertising).</w:t>
      </w:r>
    </w:p>
    <w:p w14:paraId="736518CB" w14:textId="250C8EFB" w:rsidR="00BC1FD1" w:rsidRPr="00ED3371" w:rsidRDefault="00BC1FD1" w:rsidP="00BC1FD1">
      <w:pPr>
        <w:jc w:val="both"/>
        <w:rPr>
          <w:b/>
        </w:rPr>
      </w:pPr>
      <w:r w:rsidRPr="00B61416">
        <w:rPr>
          <w:b/>
        </w:rPr>
        <w:t>[TAKE IN FIGURE 2 ABOUT HERE]</w:t>
      </w:r>
    </w:p>
    <w:p w14:paraId="796E74E8" w14:textId="330094B2" w:rsidR="00CB751E" w:rsidRDefault="00A26E81" w:rsidP="0060765E">
      <w:pPr>
        <w:jc w:val="both"/>
      </w:pPr>
      <w:r>
        <w:t xml:space="preserve">Figure </w:t>
      </w:r>
      <w:r w:rsidR="0075067A">
        <w:t>2</w:t>
      </w:r>
      <w:r>
        <w:t xml:space="preserve"> reproduces the materiality graph from Petrobras’s 2007 sustainability report, one of the two reports in the sample that provide</w:t>
      </w:r>
      <w:r w:rsidR="00EE3E7F">
        <w:t>s</w:t>
      </w:r>
      <w:r>
        <w:t xml:space="preserve"> a graph with broad issues mapped on</w:t>
      </w:r>
      <w:r w:rsidR="008115BE">
        <w:t>to</w:t>
      </w:r>
      <w:r>
        <w:t xml:space="preserve"> the graph.</w:t>
      </w:r>
      <w:r w:rsidR="0075067A">
        <w:t xml:space="preserve"> The company explains that topics in quadrant III are considered the most material as they are of substantive importance both for stakeholders and for the company. Petrobras </w:t>
      </w:r>
      <w:r w:rsidR="00EE3E7F">
        <w:t>chose to focus</w:t>
      </w:r>
      <w:r w:rsidR="0075067A">
        <w:t xml:space="preserve"> its </w:t>
      </w:r>
      <w:r w:rsidR="0075067A">
        <w:lastRenderedPageBreak/>
        <w:t>sustainability reporting</w:t>
      </w:r>
      <w:r w:rsidR="00EE3E7F">
        <w:t xml:space="preserve"> for 2007</w:t>
      </w:r>
      <w:r w:rsidR="0075067A">
        <w:t xml:space="preserve"> on these most material topics in addition to topics in quadrants II and IV (of high importance to either stakeholders or the company). </w:t>
      </w:r>
    </w:p>
    <w:p w14:paraId="4A90B721" w14:textId="216AB005" w:rsidR="00BC1FD1" w:rsidRDefault="00BC1FD1" w:rsidP="00BC1FD1">
      <w:pPr>
        <w:jc w:val="both"/>
      </w:pPr>
      <w:r>
        <w:t xml:space="preserve">Interpreting this information disclosed in Petrobras’s 2007 Sustainability Report against the inferences drawn in the Boiral (2013) study, Boiral states (in his Table IV, p. 1052) that of the six negative news events he had identified for Petrobras four had not been disclosed in the Petrobras 2007 Sustainability Report and the other two had only been ‘partially reported’. Based on the arguments earlier in this paper, to draw robust inferences from this observation, we believe that Boiral would first have had to identify which of the six events that he </w:t>
      </w:r>
      <w:r w:rsidRPr="00E77182">
        <w:t>discovered</w:t>
      </w:r>
      <w:r>
        <w:t xml:space="preserve"> from external news reports fell within topics in Petrobras’s Materiality Matrix quadrant I. We are not claiming that these events did not fall within th</w:t>
      </w:r>
      <w:r w:rsidR="00B054DE">
        <w:t>is</w:t>
      </w:r>
      <w:r>
        <w:t xml:space="preserve"> quadrant; rather we are concerned that without explicitly addressing this question, it is not possible to tell if, and if so how, Boiral took this factor into account in reaching his interpretation. Just because a negative sustainability incident or event is mentioned in two news reports (Boiral’s hurdle for identifying a significant event) does not necessarily make it material in the context of Petrobras’s overall operations and impacts. Indeed, in an era when some journalists sometimes appear to do little more than reproduce press releases or stories from other news media rather than undertaking original investigative journalism, two or more negative news articles could flow from a press release put out by a campaigning organization and may not indicate much about the significance of the reported issue or event to society more broadly. Equally, we recognise that companies themselves provide press releases with their preferred view of the world to journalists that find their way into news reports. </w:t>
      </w:r>
    </w:p>
    <w:p w14:paraId="2CCE50CB" w14:textId="541188CB" w:rsidR="00BC1FD1" w:rsidRDefault="00BC1FD1" w:rsidP="00BC1FD1">
      <w:pPr>
        <w:jc w:val="both"/>
      </w:pPr>
      <w:r>
        <w:t>Even if the six events negative identified by Boiral for Petrobras in 2007 from external news reports fell within broad topics that Petrobras considered to be the most material for the company in 2007, there is a further level of materiality filter that companies need to apply in their sustainability reporting. It would be unreasonable to expect large companies to disclose individually all incidents that fell within a particular material topic. For example, for Petrobras Health and Safety is one of the most material sustainability topics. An organization the size and complexity of Petrobras is likely to face a large number of health and safety incidents in any one year, most of which individually might be immaterial. Once it has been decided that a particular broad sustainability topic is material, an organization might then dedicate a section of its sustainability report to explaining why it is important, giving an overview of its approach and polices to managing sustainability risks in this topic area, providing aggregate key performance indicators to show its overall targets and performance in this topic area, and providing illustrations by disclosing a very small number of examples from the more material individual incidents in this topic area during the year under review. In other words, materiality filters apply both in filtering broad topics or issues to be addressed in a sustainability report and in filtering which individual or collective incidents within any material broad topic area should be disclosed individually rather than as part of an aggregate disclosure.</w:t>
      </w:r>
    </w:p>
    <w:p w14:paraId="01FE537E" w14:textId="21E256FE" w:rsidR="00BC1FD1" w:rsidRDefault="00BC1FD1" w:rsidP="00BC1FD1">
      <w:pPr>
        <w:jc w:val="both"/>
      </w:pPr>
      <w:r>
        <w:t xml:space="preserve">Overall, therefore, while we cannot assume without further investigation (which is beyond the scope of this paper) that the materiality processes employed by the companies took into account all of the </w:t>
      </w:r>
      <w:r>
        <w:lastRenderedPageBreak/>
        <w:t>‘significant events’ Boiral identified from the counter-accounts, neither can we (or Boiral) assume they did not take these events into account and decide that they were individually not sufficiently material to disclose in the sustainability report.</w:t>
      </w:r>
    </w:p>
    <w:p w14:paraId="0E64B905" w14:textId="000B9667" w:rsidR="00BC1FD1" w:rsidRDefault="00BC1FD1" w:rsidP="00BC1FD1">
      <w:pPr>
        <w:jc w:val="both"/>
        <w:rPr>
          <w:highlight w:val="yellow"/>
        </w:rPr>
      </w:pPr>
      <w:r>
        <w:t xml:space="preserve"> </w:t>
      </w:r>
    </w:p>
    <w:p w14:paraId="491AAB97" w14:textId="77777777" w:rsidR="00BC1FD1" w:rsidRPr="003B374D" w:rsidRDefault="00BC1FD1" w:rsidP="00BC1FD1">
      <w:pPr>
        <w:pStyle w:val="Heading1"/>
      </w:pPr>
      <w:r w:rsidRPr="003B374D">
        <w:t>Conclusions</w:t>
      </w:r>
    </w:p>
    <w:p w14:paraId="1F359F99" w14:textId="57959CD9" w:rsidR="00BC1FD1" w:rsidRDefault="00BC1FD1" w:rsidP="00BC1FD1">
      <w:pPr>
        <w:jc w:val="both"/>
      </w:pPr>
      <w:r>
        <w:t xml:space="preserve">Our main aim in this paper has been to highlight the importance of including considerations of materiality when analysing absence </w:t>
      </w:r>
      <w:r w:rsidR="000C02DB">
        <w:t xml:space="preserve">from </w:t>
      </w:r>
      <w:r>
        <w:t>sustainability reporting. W</w:t>
      </w:r>
      <w:r w:rsidRPr="003B374D">
        <w:t>e have argued for</w:t>
      </w:r>
      <w:r>
        <w:t xml:space="preserve"> a methodological </w:t>
      </w:r>
      <w:r w:rsidRPr="003B374D">
        <w:t xml:space="preserve">approach to </w:t>
      </w:r>
      <w:r w:rsidR="000C02DB">
        <w:t xml:space="preserve">interpretation of </w:t>
      </w:r>
      <w:r w:rsidRPr="003B374D">
        <w:t>absence</w:t>
      </w:r>
      <w:r w:rsidR="000C02DB">
        <w:t xml:space="preserve"> from</w:t>
      </w:r>
      <w:r w:rsidRPr="003B374D">
        <w:t xml:space="preserve"> and/or non-disclosure </w:t>
      </w:r>
      <w:r w:rsidRPr="005D497C">
        <w:t xml:space="preserve">in reports </w:t>
      </w:r>
      <w:r w:rsidRPr="003B374D">
        <w:t xml:space="preserve">that focuses </w:t>
      </w:r>
      <w:r>
        <w:t xml:space="preserve">on </w:t>
      </w:r>
      <w:r w:rsidRPr="003B374D">
        <w:t xml:space="preserve">and investigates the </w:t>
      </w:r>
      <w:r w:rsidRPr="003B374D">
        <w:rPr>
          <w:i/>
        </w:rPr>
        <w:t>process</w:t>
      </w:r>
      <w:r w:rsidRPr="003B374D">
        <w:t xml:space="preserve"> </w:t>
      </w:r>
      <w:r>
        <w:t xml:space="preserve">of materiality determination </w:t>
      </w:r>
      <w:r w:rsidRPr="003B374D">
        <w:t xml:space="preserve">rather than assuming a priori intentionality from the </w:t>
      </w:r>
      <w:r w:rsidRPr="003B374D">
        <w:rPr>
          <w:i/>
        </w:rPr>
        <w:t>outcome</w:t>
      </w:r>
      <w:r>
        <w:t xml:space="preserve"> of this process</w:t>
      </w:r>
      <w:r w:rsidRPr="00D15128">
        <w:t>.</w:t>
      </w:r>
      <w:r>
        <w:t xml:space="preserve"> From this premise we have used a recent investigation by Boiral (2013) to demonstrate the limitations of overlooking or black-boxing materiality in drawing robust analytical conclusions about absence. </w:t>
      </w:r>
    </w:p>
    <w:p w14:paraId="6738712B" w14:textId="5319A937" w:rsidR="00BC1FD1" w:rsidRDefault="00BC1FD1" w:rsidP="00BC1FD1">
      <w:pPr>
        <w:jc w:val="both"/>
      </w:pPr>
      <w:r>
        <w:t>In our view a key pitfall of not explicitly factoring materiality processes into analys</w:t>
      </w:r>
      <w:r w:rsidR="000C02DB">
        <w:t>e</w:t>
      </w:r>
      <w:r>
        <w:t xml:space="preserve">s of </w:t>
      </w:r>
      <w:r w:rsidR="000C02DB">
        <w:t xml:space="preserve">absence from </w:t>
      </w:r>
      <w:r>
        <w:t>sustainability reporting is reliance on a conceptualisation of ‘significance’ from presence of issues in counter accounts such as news articles. While such counter accounts collectively are necessary for healthy development and dissemination of the sustainability agenda, the reporting of individual incidents or events in news reports is not in always sufficient to make theses incidents or events material in the overall context of the organizations responsible for the negative social and/or environmental incidents and events. It might be reasonable to expect macro-level and some micro-level issues of major concern to society and</w:t>
      </w:r>
      <w:r w:rsidR="000C02DB">
        <w:t>/or</w:t>
      </w:r>
      <w:r>
        <w:t xml:space="preserve"> reporting organizations to be reflected across a large number of news reports and other counter accounts, with a large number of news reports in these cases plausibly </w:t>
      </w:r>
      <w:proofErr w:type="spellStart"/>
      <w:r>
        <w:t>proxying</w:t>
      </w:r>
      <w:proofErr w:type="spellEnd"/>
      <w:r>
        <w:t xml:space="preserve"> for widespread societal concern and materiality from an organizational perspective. An example of this broad correlation of widespread news reporting, raised societal concern and materiality could be the BP Gulf of Mexico accident and oil spill of April 2010 which was a material incident for BP (socially, environmentally and financially), a major incident ecologically and socially, and widely reported across many news media for a prolonged period.  </w:t>
      </w:r>
    </w:p>
    <w:p w14:paraId="7B5A6E7C" w14:textId="2B2701BB" w:rsidR="00BC1FD1" w:rsidRDefault="00BC1FD1" w:rsidP="00BC1FD1">
      <w:pPr>
        <w:jc w:val="both"/>
      </w:pPr>
      <w:r>
        <w:t xml:space="preserve">However, a relatively small number of news reports about individual micro-level negative sustainability incidents and events does not equate to these incidents and events being material in a societal context or against a reporting organization’s overall context. Where researchers find an absence from an organization’s sustainability reporting of some of these narrow micro-level incidents and events, credible interpretation of this absence requires the researchers to evaluate the materiality evaluation processes that resulted in decisions about what to include and what not to explicitly mention in the sustainability report. To then infer malign intent from absence of such micro-level incidents requires a well reasoned and evidenced challenge to the integrity of the judgements deployed by the organization’s managers in deciding </w:t>
      </w:r>
      <w:r w:rsidR="00B054DE">
        <w:t>up</w:t>
      </w:r>
      <w:r>
        <w:t xml:space="preserve">on the immateriality of specific incidents and events.  </w:t>
      </w:r>
    </w:p>
    <w:p w14:paraId="55FABB60" w14:textId="2914AAE7" w:rsidR="00BC1FD1" w:rsidRDefault="00BC1FD1" w:rsidP="00BC1FD1">
      <w:pPr>
        <w:jc w:val="both"/>
      </w:pPr>
      <w:r>
        <w:lastRenderedPageBreak/>
        <w:t xml:space="preserve">We recognize that </w:t>
      </w:r>
      <w:r w:rsidR="000C02DB">
        <w:t xml:space="preserve">any </w:t>
      </w:r>
      <w:r>
        <w:t>definition of materiality represents a contested area where meanings are constructed both from stakeholders’ and organizations’ perspectives and thus open to negotiation of discourses.</w:t>
      </w:r>
      <w:r w:rsidR="003B7499">
        <w:t xml:space="preserve"> We also recognize that the interests of c</w:t>
      </w:r>
      <w:r w:rsidR="00E63D27">
        <w:t xml:space="preserve">apital may </w:t>
      </w:r>
      <w:r w:rsidR="00E63D27" w:rsidRPr="00E63D27">
        <w:t>wield</w:t>
      </w:r>
      <w:r w:rsidR="00E63D27">
        <w:t xml:space="preserve"> disproportionate</w:t>
      </w:r>
      <w:r w:rsidR="003B7499">
        <w:t xml:space="preserve"> power in this negotiation process</w:t>
      </w:r>
      <w:r w:rsidR="00E63D27">
        <w:t xml:space="preserve"> in a way that could partly or wholly marginalize the voices of other stakeholders</w:t>
      </w:r>
      <w:r w:rsidR="003B7499">
        <w:t>.</w:t>
      </w:r>
      <w:r>
        <w:t xml:space="preserve"> The disclosure of significant events in organizational sustainability reports represents the outcome of such potentially tense processes of negotiation and it is in this direction that we encourage further research to address the limitations of simply looking at the outcomes of, or black-boxing, these processes</w:t>
      </w:r>
      <w:r w:rsidR="00E63D27">
        <w:t xml:space="preserve"> of materiality determination</w:t>
      </w:r>
      <w:r>
        <w:t xml:space="preserve"> when analysing </w:t>
      </w:r>
      <w:r w:rsidR="00E63D27">
        <w:t xml:space="preserve">absence </w:t>
      </w:r>
      <w:r w:rsidR="00661529">
        <w:t>from</w:t>
      </w:r>
      <w:r w:rsidR="00E63D27">
        <w:t xml:space="preserve"> </w:t>
      </w:r>
      <w:r>
        <w:t xml:space="preserve">sustainability reporting. </w:t>
      </w:r>
    </w:p>
    <w:p w14:paraId="491A3594" w14:textId="035F5810" w:rsidR="00E63D27" w:rsidRDefault="00BC1FD1" w:rsidP="00BC1FD1">
      <w:pPr>
        <w:jc w:val="both"/>
      </w:pPr>
      <w:r>
        <w:t xml:space="preserve">There are a number of avenues this further research could take. First, we might expect organizations to have become more conversant with and experienced at meeting the requirements of sustainability reporting standards and guidelines in more recent years, </w:t>
      </w:r>
      <w:r w:rsidR="00DE2886">
        <w:t xml:space="preserve">providing </w:t>
      </w:r>
      <w:r>
        <w:t>more widespread disclosure of materiality matrices within sustainability reports</w:t>
      </w:r>
      <w:r w:rsidR="00DE2886">
        <w:t xml:space="preserve"> compared to the 2007 reports analysed in this paper (just a year after the GRI’s first detailed guidance on materiality). Studies that seek to draw inferences from the absence of specific sustainability disclosures in more recen</w:t>
      </w:r>
      <w:r w:rsidR="00C871AD">
        <w:t>t years than Boi</w:t>
      </w:r>
      <w:r w:rsidR="00DE2886">
        <w:t xml:space="preserve">ral’s </w:t>
      </w:r>
      <w:r w:rsidR="00C871AD">
        <w:t xml:space="preserve">(2013) </w:t>
      </w:r>
      <w:r w:rsidR="00DE2886">
        <w:t>study could analyse whether the materiality information now disclosed has become more sophisticated and pervasive. If so, more systematic incorporation of corporate disclosures about materiality processes into research studies might</w:t>
      </w:r>
      <w:r>
        <w:t xml:space="preserve"> enable researchers to more readily ascertain whether the negative issues and events they had identified from counter accounts in more up to date studies were within areas not </w:t>
      </w:r>
      <w:r w:rsidR="00661529">
        <w:t xml:space="preserve">deemed </w:t>
      </w:r>
      <w:r>
        <w:t xml:space="preserve">material </w:t>
      </w:r>
      <w:r w:rsidR="00661529">
        <w:t xml:space="preserve">by </w:t>
      </w:r>
      <w:r>
        <w:t>each reporting organization. Second, research could be conducted across a number of organizations to ascertain in greater depth than is apparent from disclosures within sustainability reports their criteria of materiality determination both for each broad area of sustainability and for individual positive and negative incidents and events within each broad area that is considered material. This could help to identify</w:t>
      </w:r>
      <w:r w:rsidR="00DE2886">
        <w:t>, rather than assume,</w:t>
      </w:r>
      <w:r>
        <w:t xml:space="preserve"> the extent to which materiality determination follows a narrow and economically focused managerialist agenda. Finally, in-depth case studies based on interviews and/or ethnographies could be used to provide a fine-grained understanding of the judgement processes</w:t>
      </w:r>
      <w:r w:rsidR="003B3F1B">
        <w:t xml:space="preserve"> and power dynamics</w:t>
      </w:r>
      <w:r>
        <w:t xml:space="preserve"> used in determining the materiality of broad areas of sustainability and of individual incidents and events within each of these areas.</w:t>
      </w:r>
      <w:r w:rsidR="00DE2886">
        <w:t xml:space="preserve"> </w:t>
      </w:r>
      <w:r w:rsidR="00E63D27">
        <w:t>A</w:t>
      </w:r>
      <w:r w:rsidR="00D77986">
        <w:t xml:space="preserve"> study of power dynamics could also surface insights about </w:t>
      </w:r>
      <w:r w:rsidR="00E63D27">
        <w:t xml:space="preserve">whether and </w:t>
      </w:r>
      <w:r w:rsidR="00D77986">
        <w:t xml:space="preserve">how materiality determination processes </w:t>
      </w:r>
      <w:r w:rsidR="00E63D27">
        <w:t>can</w:t>
      </w:r>
      <w:r w:rsidR="00D77986">
        <w:t xml:space="preserve"> be designed by managers</w:t>
      </w:r>
      <w:r w:rsidR="00E63D27">
        <w:t xml:space="preserve"> in a way that ensures major issues they do not want to disclose in a sustainability report are likely to be deemed immaterial. </w:t>
      </w:r>
    </w:p>
    <w:p w14:paraId="0EF34185" w14:textId="0233695A" w:rsidR="00BC1FD1" w:rsidRDefault="00DE2886" w:rsidP="00BC1FD1">
      <w:pPr>
        <w:jc w:val="both"/>
      </w:pPr>
      <w:r>
        <w:t xml:space="preserve">We believe that opening up a research agenda </w:t>
      </w:r>
      <w:r w:rsidR="00E63D27">
        <w:t>to address the above issues</w:t>
      </w:r>
      <w:r>
        <w:t xml:space="preserve"> should help academics provide more robust interpretations of absence from sustainability reporting</w:t>
      </w:r>
      <w:r w:rsidR="001F369E" w:rsidRPr="001F369E">
        <w:t xml:space="preserve"> </w:t>
      </w:r>
      <w:r w:rsidR="001F369E">
        <w:t>than is the case in assuming, without evidence, that issues of interest to a researcher are material in the reporting organization’s context</w:t>
      </w:r>
      <w:r w:rsidR="00661529">
        <w:t>. This robust evidence may have the potential to much more credibly show whether, and if so how, companies use or abuse sustainability reporting processes (such as materiality determination processes) to portray a false image of their sustainability performance</w:t>
      </w:r>
      <w:r>
        <w:t>.</w:t>
      </w:r>
    </w:p>
    <w:p w14:paraId="6F9C0782" w14:textId="77777777" w:rsidR="00B90A4A" w:rsidRDefault="00B90A4A" w:rsidP="00BC1FD1">
      <w:pPr>
        <w:jc w:val="both"/>
      </w:pPr>
    </w:p>
    <w:p w14:paraId="249B58BE" w14:textId="77777777" w:rsidR="00BC1FD1" w:rsidRPr="006B528B" w:rsidRDefault="00BC1FD1" w:rsidP="00BC1FD1">
      <w:pPr>
        <w:pStyle w:val="Heading1"/>
        <w:numPr>
          <w:ilvl w:val="0"/>
          <w:numId w:val="0"/>
        </w:numPr>
      </w:pPr>
      <w:r w:rsidRPr="006B528B">
        <w:lastRenderedPageBreak/>
        <w:t>REFERENCES</w:t>
      </w:r>
    </w:p>
    <w:p w14:paraId="4235DF59" w14:textId="6C0C545D" w:rsidR="00BC1FD1" w:rsidRDefault="00BC1FD1" w:rsidP="00B61416">
      <w:pPr>
        <w:spacing w:after="120" w:line="240" w:lineRule="auto"/>
        <w:ind w:left="720" w:hanging="720"/>
        <w:jc w:val="both"/>
        <w:rPr>
          <w:rFonts w:ascii="Calibri" w:hAnsi="Calibri"/>
          <w:noProof/>
        </w:rPr>
      </w:pPr>
      <w:r>
        <w:fldChar w:fldCharType="begin"/>
      </w:r>
      <w:r>
        <w:instrText xml:space="preserve"> ADDIN EN.REFLIST </w:instrText>
      </w:r>
      <w:r>
        <w:fldChar w:fldCharType="separate"/>
      </w:r>
      <w:bookmarkStart w:id="1" w:name="_ENREF_3"/>
      <w:r w:rsidRPr="00000517">
        <w:rPr>
          <w:rFonts w:ascii="Calibri" w:hAnsi="Calibri"/>
          <w:noProof/>
        </w:rPr>
        <w:t xml:space="preserve">Adams, C. A., &amp; Harte, G. (1998). The changing portrayal of the employment of women in British banks' and retail companies' corporate annual reports. </w:t>
      </w:r>
      <w:r w:rsidRPr="00000517">
        <w:rPr>
          <w:rFonts w:ascii="Calibri" w:hAnsi="Calibri"/>
          <w:i/>
          <w:noProof/>
        </w:rPr>
        <w:t>Accounting, Organizations and Society, 23</w:t>
      </w:r>
      <w:r w:rsidRPr="00000517">
        <w:rPr>
          <w:rFonts w:ascii="Calibri" w:hAnsi="Calibri"/>
          <w:noProof/>
        </w:rPr>
        <w:t xml:space="preserve">(8), 781-812. </w:t>
      </w:r>
      <w:bookmarkEnd w:id="1"/>
    </w:p>
    <w:p w14:paraId="15AC8217" w14:textId="77777777" w:rsidR="00BC1FD1" w:rsidRPr="003A037F" w:rsidRDefault="00BC1FD1" w:rsidP="00B61416">
      <w:pPr>
        <w:spacing w:after="120" w:line="240" w:lineRule="auto"/>
        <w:ind w:left="720" w:hanging="720"/>
        <w:jc w:val="both"/>
        <w:rPr>
          <w:rFonts w:ascii="Calibri" w:hAnsi="Calibri"/>
          <w:noProof/>
        </w:rPr>
      </w:pPr>
      <w:bookmarkStart w:id="2" w:name="_ENREF_4"/>
      <w:r>
        <w:rPr>
          <w:rFonts w:ascii="Calibri" w:hAnsi="Calibri"/>
          <w:noProof/>
        </w:rPr>
        <w:t xml:space="preserve">Ashforth, B. and Gibbs, B. (1990). The double edge of legitimization. </w:t>
      </w:r>
      <w:r>
        <w:rPr>
          <w:rFonts w:ascii="Calibri" w:hAnsi="Calibri"/>
          <w:i/>
          <w:noProof/>
        </w:rPr>
        <w:t>Organization Science</w:t>
      </w:r>
      <w:r>
        <w:rPr>
          <w:rFonts w:ascii="Calibri" w:hAnsi="Calibri"/>
          <w:noProof/>
        </w:rPr>
        <w:t>,</w:t>
      </w:r>
      <w:r w:rsidRPr="003A037F">
        <w:rPr>
          <w:rFonts w:ascii="Calibri" w:hAnsi="Calibri"/>
          <w:i/>
          <w:noProof/>
        </w:rPr>
        <w:t xml:space="preserve"> 1(2)</w:t>
      </w:r>
      <w:r>
        <w:rPr>
          <w:rFonts w:ascii="Calibri" w:hAnsi="Calibri"/>
          <w:i/>
          <w:noProof/>
        </w:rPr>
        <w:t>,</w:t>
      </w:r>
      <w:r>
        <w:rPr>
          <w:rFonts w:ascii="Calibri" w:hAnsi="Calibri"/>
          <w:noProof/>
        </w:rPr>
        <w:t xml:space="preserve"> 177-94</w:t>
      </w:r>
    </w:p>
    <w:p w14:paraId="095D4D02" w14:textId="240444E7" w:rsidR="001F369E" w:rsidRDefault="001F369E" w:rsidP="00B61416">
      <w:pPr>
        <w:spacing w:after="120" w:line="240" w:lineRule="auto"/>
        <w:ind w:left="709" w:hanging="709"/>
        <w:jc w:val="both"/>
        <w:rPr>
          <w:rFonts w:ascii="Calibri" w:hAnsi="Calibri"/>
          <w:noProof/>
        </w:rPr>
      </w:pPr>
      <w:bookmarkStart w:id="3" w:name="_ENREF_5"/>
      <w:bookmarkEnd w:id="2"/>
      <w:r>
        <w:rPr>
          <w:rFonts w:ascii="Calibri" w:hAnsi="Calibri"/>
          <w:noProof/>
        </w:rPr>
        <w:t xml:space="preserve">Bebbington, J., &amp; Larrinaga, C. (2014). </w:t>
      </w:r>
      <w:r w:rsidRPr="00B61416">
        <w:rPr>
          <w:rFonts w:ascii="Calibri" w:hAnsi="Calibri"/>
          <w:noProof/>
        </w:rPr>
        <w:t>Accounting and sustainable development: An exploration.</w:t>
      </w:r>
      <w:r>
        <w:rPr>
          <w:rFonts w:ascii="Calibri" w:hAnsi="Calibri"/>
          <w:bCs/>
          <w:noProof/>
        </w:rPr>
        <w:t xml:space="preserve"> </w:t>
      </w:r>
      <w:r w:rsidRPr="00000517">
        <w:rPr>
          <w:rFonts w:ascii="Calibri" w:hAnsi="Calibri"/>
          <w:i/>
          <w:noProof/>
        </w:rPr>
        <w:t>Accountin</w:t>
      </w:r>
      <w:r>
        <w:rPr>
          <w:rFonts w:ascii="Calibri" w:hAnsi="Calibri"/>
          <w:i/>
          <w:noProof/>
        </w:rPr>
        <w:t>g, Organizations and Society, 39</w:t>
      </w:r>
      <w:r w:rsidRPr="00000517">
        <w:rPr>
          <w:rFonts w:ascii="Calibri" w:hAnsi="Calibri"/>
          <w:noProof/>
        </w:rPr>
        <w:t xml:space="preserve">(6), </w:t>
      </w:r>
      <w:r>
        <w:rPr>
          <w:rFonts w:ascii="Calibri" w:hAnsi="Calibri"/>
          <w:noProof/>
        </w:rPr>
        <w:t>forthcoming</w:t>
      </w:r>
    </w:p>
    <w:p w14:paraId="1607721E" w14:textId="77777777" w:rsidR="00BC1FD1" w:rsidRPr="00000517" w:rsidRDefault="00BC1FD1" w:rsidP="00B61416">
      <w:pPr>
        <w:spacing w:after="120" w:line="240" w:lineRule="auto"/>
        <w:ind w:left="720" w:hanging="720"/>
        <w:jc w:val="both"/>
        <w:rPr>
          <w:rFonts w:ascii="Calibri" w:hAnsi="Calibri"/>
          <w:noProof/>
        </w:rPr>
      </w:pPr>
      <w:r w:rsidRPr="00000517">
        <w:rPr>
          <w:rFonts w:ascii="Calibri" w:hAnsi="Calibri"/>
          <w:noProof/>
        </w:rPr>
        <w:t>Bebbington, J.,</w:t>
      </w:r>
      <w:r>
        <w:rPr>
          <w:rFonts w:ascii="Calibri" w:hAnsi="Calibri"/>
          <w:noProof/>
        </w:rPr>
        <w:t xml:space="preserve"> Unerman, J., &amp; O'Dwyer, B. (2014</w:t>
      </w:r>
      <w:r w:rsidRPr="00000517">
        <w:rPr>
          <w:rFonts w:ascii="Calibri" w:hAnsi="Calibri"/>
          <w:noProof/>
        </w:rPr>
        <w:t xml:space="preserve">). </w:t>
      </w:r>
      <w:r w:rsidRPr="00000517">
        <w:rPr>
          <w:rFonts w:ascii="Calibri" w:hAnsi="Calibri"/>
          <w:i/>
          <w:noProof/>
        </w:rPr>
        <w:t>Sustainability Accounting and Accountability</w:t>
      </w:r>
      <w:r>
        <w:rPr>
          <w:rFonts w:ascii="Calibri" w:hAnsi="Calibri"/>
          <w:noProof/>
        </w:rPr>
        <w:t xml:space="preserve">  (Second </w:t>
      </w:r>
      <w:r w:rsidRPr="00000517">
        <w:rPr>
          <w:rFonts w:ascii="Calibri" w:hAnsi="Calibri"/>
          <w:noProof/>
        </w:rPr>
        <w:t>ed</w:t>
      </w:r>
      <w:r>
        <w:rPr>
          <w:rFonts w:ascii="Calibri" w:hAnsi="Calibri"/>
          <w:noProof/>
        </w:rPr>
        <w:t>ition</w:t>
      </w:r>
      <w:r w:rsidRPr="00000517">
        <w:rPr>
          <w:rFonts w:ascii="Calibri" w:hAnsi="Calibri"/>
          <w:noProof/>
        </w:rPr>
        <w:t xml:space="preserve">): </w:t>
      </w:r>
      <w:r>
        <w:rPr>
          <w:rFonts w:ascii="Calibri" w:hAnsi="Calibri"/>
          <w:noProof/>
        </w:rPr>
        <w:t xml:space="preserve">Abbingdon: </w:t>
      </w:r>
      <w:r w:rsidRPr="00000517">
        <w:rPr>
          <w:rFonts w:ascii="Calibri" w:hAnsi="Calibri"/>
          <w:noProof/>
        </w:rPr>
        <w:t>Taylor &amp; Francis.</w:t>
      </w:r>
    </w:p>
    <w:p w14:paraId="36B1A07F" w14:textId="77777777" w:rsidR="00BC1FD1" w:rsidRPr="00000517" w:rsidRDefault="00BC1FD1" w:rsidP="00B61416">
      <w:pPr>
        <w:spacing w:after="120" w:line="240" w:lineRule="auto"/>
        <w:ind w:left="720" w:hanging="720"/>
        <w:jc w:val="both"/>
        <w:rPr>
          <w:rFonts w:ascii="Calibri" w:hAnsi="Calibri"/>
          <w:noProof/>
        </w:rPr>
      </w:pPr>
      <w:r w:rsidRPr="00000517">
        <w:rPr>
          <w:rFonts w:ascii="Calibri" w:hAnsi="Calibri"/>
          <w:noProof/>
        </w:rPr>
        <w:t xml:space="preserve">Boiral, O. (2013). Sustainability reports as simulacra? A counter-account of A and A+ GRI reports. </w:t>
      </w:r>
      <w:r w:rsidRPr="00000517">
        <w:rPr>
          <w:rFonts w:ascii="Calibri" w:hAnsi="Calibri"/>
          <w:i/>
          <w:noProof/>
        </w:rPr>
        <w:t>Accounting, Auditing and Accountability Journal, 26</w:t>
      </w:r>
      <w:r w:rsidRPr="00000517">
        <w:rPr>
          <w:rFonts w:ascii="Calibri" w:hAnsi="Calibri"/>
          <w:noProof/>
        </w:rPr>
        <w:t>(7), 1036-1071</w:t>
      </w:r>
      <w:bookmarkEnd w:id="3"/>
    </w:p>
    <w:p w14:paraId="5766F96F" w14:textId="77777777" w:rsidR="00BC1FD1" w:rsidRPr="00000517" w:rsidRDefault="00BC1FD1" w:rsidP="00B61416">
      <w:pPr>
        <w:spacing w:after="120" w:line="240" w:lineRule="auto"/>
        <w:ind w:left="720" w:hanging="720"/>
        <w:jc w:val="both"/>
        <w:rPr>
          <w:rFonts w:ascii="Calibri" w:hAnsi="Calibri"/>
          <w:noProof/>
        </w:rPr>
      </w:pPr>
      <w:bookmarkStart w:id="4" w:name="_ENREF_6"/>
      <w:r w:rsidRPr="00000517">
        <w:rPr>
          <w:rFonts w:ascii="Calibri" w:hAnsi="Calibri"/>
          <w:noProof/>
        </w:rPr>
        <w:t xml:space="preserve">Catasus, B. (2008). In search of accounting absence. </w:t>
      </w:r>
      <w:r w:rsidRPr="00000517">
        <w:rPr>
          <w:rFonts w:ascii="Calibri" w:hAnsi="Calibri"/>
          <w:i/>
          <w:noProof/>
        </w:rPr>
        <w:t>Critical Perspectives on Accounting, 19</w:t>
      </w:r>
      <w:r w:rsidRPr="00000517">
        <w:rPr>
          <w:rFonts w:ascii="Calibri" w:hAnsi="Calibri"/>
          <w:noProof/>
        </w:rPr>
        <w:t>(7), 1004-1019</w:t>
      </w:r>
      <w:bookmarkEnd w:id="4"/>
    </w:p>
    <w:p w14:paraId="247BF43D" w14:textId="77777777" w:rsidR="00BC1FD1" w:rsidRPr="00000517" w:rsidRDefault="00BC1FD1" w:rsidP="00B61416">
      <w:pPr>
        <w:spacing w:after="120" w:line="240" w:lineRule="auto"/>
        <w:ind w:left="720" w:hanging="720"/>
        <w:jc w:val="both"/>
        <w:rPr>
          <w:rFonts w:ascii="Calibri" w:hAnsi="Calibri"/>
          <w:noProof/>
        </w:rPr>
      </w:pPr>
      <w:bookmarkStart w:id="5" w:name="_ENREF_7"/>
      <w:r w:rsidRPr="00000517">
        <w:rPr>
          <w:rFonts w:ascii="Calibri" w:hAnsi="Calibri"/>
          <w:noProof/>
        </w:rPr>
        <w:t xml:space="preserve">Choudhury, N. (1988). The seeking of accounting where it is not: Towards a theory of non-accounting in organizational settings. </w:t>
      </w:r>
      <w:r w:rsidRPr="00000517">
        <w:rPr>
          <w:rFonts w:ascii="Calibri" w:hAnsi="Calibri"/>
          <w:i/>
          <w:noProof/>
        </w:rPr>
        <w:t>Accounting, Organizations and Society, 13</w:t>
      </w:r>
      <w:r w:rsidRPr="00000517">
        <w:rPr>
          <w:rFonts w:ascii="Calibri" w:hAnsi="Calibri"/>
          <w:noProof/>
        </w:rPr>
        <w:t xml:space="preserve">(6), 549-557. </w:t>
      </w:r>
      <w:bookmarkEnd w:id="5"/>
    </w:p>
    <w:p w14:paraId="425584A1" w14:textId="6D645836" w:rsidR="00BC1FD1" w:rsidRPr="00000517" w:rsidRDefault="00BC1FD1" w:rsidP="00B61416">
      <w:pPr>
        <w:spacing w:after="120" w:line="240" w:lineRule="auto"/>
        <w:ind w:left="720" w:hanging="720"/>
        <w:jc w:val="both"/>
        <w:rPr>
          <w:rFonts w:ascii="Calibri" w:hAnsi="Calibri"/>
          <w:noProof/>
        </w:rPr>
      </w:pPr>
      <w:bookmarkStart w:id="6" w:name="_ENREF_8"/>
      <w:r w:rsidRPr="00000517">
        <w:rPr>
          <w:rFonts w:ascii="Calibri" w:hAnsi="Calibri"/>
          <w:noProof/>
        </w:rPr>
        <w:t>Edgley, C. (</w:t>
      </w:r>
      <w:r w:rsidR="001F369E">
        <w:rPr>
          <w:rFonts w:ascii="Calibri" w:hAnsi="Calibri"/>
          <w:noProof/>
        </w:rPr>
        <w:t>2014</w:t>
      </w:r>
      <w:r w:rsidRPr="00000517">
        <w:rPr>
          <w:rFonts w:ascii="Calibri" w:hAnsi="Calibri"/>
          <w:noProof/>
        </w:rPr>
        <w:t xml:space="preserve">). A genealogy of accounting materiality. </w:t>
      </w:r>
      <w:r w:rsidRPr="00000517">
        <w:rPr>
          <w:rFonts w:ascii="Calibri" w:hAnsi="Calibri"/>
          <w:i/>
          <w:noProof/>
        </w:rPr>
        <w:t>Critical Perspectives on Accounting</w:t>
      </w:r>
      <w:r w:rsidR="001F369E">
        <w:rPr>
          <w:rFonts w:ascii="Calibri" w:hAnsi="Calibri"/>
          <w:i/>
          <w:noProof/>
        </w:rPr>
        <w:t>.</w:t>
      </w:r>
      <w:r w:rsidR="001F369E">
        <w:rPr>
          <w:rFonts w:ascii="Calibri" w:hAnsi="Calibri"/>
          <w:noProof/>
        </w:rPr>
        <w:t xml:space="preserve"> 25(3</w:t>
      </w:r>
      <w:r w:rsidRPr="00000517">
        <w:rPr>
          <w:rFonts w:ascii="Calibri" w:hAnsi="Calibri"/>
          <w:noProof/>
        </w:rPr>
        <w:t>)</w:t>
      </w:r>
      <w:r w:rsidR="001F369E">
        <w:rPr>
          <w:rFonts w:ascii="Calibri" w:hAnsi="Calibri"/>
          <w:noProof/>
        </w:rPr>
        <w:t>, 255-271</w:t>
      </w:r>
      <w:r w:rsidRPr="00000517">
        <w:rPr>
          <w:rFonts w:ascii="Calibri" w:hAnsi="Calibri"/>
          <w:noProof/>
        </w:rPr>
        <w:t>.</w:t>
      </w:r>
      <w:bookmarkEnd w:id="6"/>
    </w:p>
    <w:p w14:paraId="5621C80D" w14:textId="77777777" w:rsidR="00BC1FD1" w:rsidRPr="00000517" w:rsidRDefault="00BC1FD1" w:rsidP="00B61416">
      <w:pPr>
        <w:spacing w:after="120" w:line="240" w:lineRule="auto"/>
        <w:ind w:left="720" w:hanging="720"/>
        <w:jc w:val="both"/>
        <w:rPr>
          <w:rFonts w:ascii="Calibri" w:hAnsi="Calibri"/>
          <w:noProof/>
        </w:rPr>
      </w:pPr>
      <w:bookmarkStart w:id="7" w:name="_ENREF_13"/>
      <w:r w:rsidRPr="00000517">
        <w:rPr>
          <w:rFonts w:ascii="Calibri" w:hAnsi="Calibri"/>
          <w:noProof/>
        </w:rPr>
        <w:t xml:space="preserve">Goffman, E. (1981). </w:t>
      </w:r>
      <w:r w:rsidRPr="00000517">
        <w:rPr>
          <w:rFonts w:ascii="Calibri" w:hAnsi="Calibri"/>
          <w:i/>
          <w:noProof/>
        </w:rPr>
        <w:t>Forms of talk</w:t>
      </w:r>
      <w:r w:rsidRPr="00000517">
        <w:rPr>
          <w:rFonts w:ascii="Calibri" w:hAnsi="Calibri"/>
          <w:noProof/>
        </w:rPr>
        <w:t>. Philadelphia: University of Pennsylvania Press.</w:t>
      </w:r>
      <w:bookmarkEnd w:id="7"/>
    </w:p>
    <w:p w14:paraId="300D6A19" w14:textId="72B9F690" w:rsidR="003642FB" w:rsidRDefault="003642FB" w:rsidP="00B61416">
      <w:pPr>
        <w:spacing w:after="120" w:line="240" w:lineRule="auto"/>
        <w:ind w:left="720" w:hanging="720"/>
        <w:jc w:val="both"/>
        <w:rPr>
          <w:rFonts w:ascii="Calibri" w:hAnsi="Calibri"/>
          <w:noProof/>
        </w:rPr>
      </w:pPr>
      <w:bookmarkStart w:id="8" w:name="_ENREF_14"/>
      <w:r>
        <w:rPr>
          <w:rFonts w:ascii="Calibri" w:hAnsi="Calibri"/>
          <w:noProof/>
        </w:rPr>
        <w:t xml:space="preserve">GRI (2006), </w:t>
      </w:r>
      <w:r w:rsidRPr="003642FB">
        <w:rPr>
          <w:rFonts w:ascii="Calibri" w:hAnsi="Calibri"/>
          <w:i/>
          <w:noProof/>
        </w:rPr>
        <w:t>G3 Sustainability Reporting Guidelines.</w:t>
      </w:r>
      <w:r>
        <w:rPr>
          <w:rFonts w:ascii="Calibri" w:hAnsi="Calibri"/>
          <w:noProof/>
        </w:rPr>
        <w:t xml:space="preserve"> Global Reporting Initiative. Amsterdam.</w:t>
      </w:r>
    </w:p>
    <w:p w14:paraId="69047BAE" w14:textId="13780EBF" w:rsidR="00BC1FD1" w:rsidRPr="00000517" w:rsidRDefault="00BC1FD1" w:rsidP="00B61416">
      <w:pPr>
        <w:spacing w:after="120" w:line="240" w:lineRule="auto"/>
        <w:ind w:left="720" w:hanging="720"/>
        <w:jc w:val="both"/>
        <w:rPr>
          <w:rFonts w:ascii="Calibri" w:hAnsi="Calibri"/>
          <w:noProof/>
        </w:rPr>
      </w:pPr>
      <w:r w:rsidRPr="00000517">
        <w:rPr>
          <w:rFonts w:ascii="Calibri" w:hAnsi="Calibri"/>
          <w:noProof/>
        </w:rPr>
        <w:t xml:space="preserve">GRI. (2013). </w:t>
      </w:r>
      <w:r w:rsidRPr="003642FB">
        <w:rPr>
          <w:rFonts w:ascii="Calibri" w:hAnsi="Calibri"/>
          <w:i/>
          <w:noProof/>
        </w:rPr>
        <w:t>G4 Susta</w:t>
      </w:r>
      <w:r w:rsidR="003642FB" w:rsidRPr="003642FB">
        <w:rPr>
          <w:rFonts w:ascii="Calibri" w:hAnsi="Calibri"/>
          <w:i/>
          <w:noProof/>
        </w:rPr>
        <w:t>inability Reporting Guidelines</w:t>
      </w:r>
      <w:r w:rsidR="003642FB">
        <w:rPr>
          <w:rFonts w:ascii="Calibri" w:hAnsi="Calibri"/>
          <w:noProof/>
        </w:rPr>
        <w:t xml:space="preserve"> Global Reporting Initiative</w:t>
      </w:r>
      <w:r w:rsidRPr="00000517">
        <w:rPr>
          <w:rFonts w:ascii="Calibri" w:hAnsi="Calibri"/>
          <w:noProof/>
        </w:rPr>
        <w:t>. Amsterdam.</w:t>
      </w:r>
      <w:bookmarkEnd w:id="8"/>
    </w:p>
    <w:p w14:paraId="6C09A929" w14:textId="77777777" w:rsidR="00BC1FD1" w:rsidRPr="00000517" w:rsidRDefault="00BC1FD1" w:rsidP="00B61416">
      <w:pPr>
        <w:spacing w:after="120" w:line="240" w:lineRule="auto"/>
        <w:ind w:left="720" w:hanging="720"/>
        <w:jc w:val="both"/>
        <w:rPr>
          <w:rFonts w:ascii="Calibri" w:hAnsi="Calibri"/>
          <w:noProof/>
        </w:rPr>
      </w:pPr>
      <w:bookmarkStart w:id="9" w:name="_ENREF_15"/>
      <w:r w:rsidRPr="00000517">
        <w:rPr>
          <w:rFonts w:ascii="Calibri" w:hAnsi="Calibri"/>
          <w:noProof/>
        </w:rPr>
        <w:t xml:space="preserve">Hopwood, A. G., Unerman, J., &amp; Fries, J. (2010). </w:t>
      </w:r>
      <w:r w:rsidRPr="00000517">
        <w:rPr>
          <w:rFonts w:ascii="Calibri" w:hAnsi="Calibri"/>
          <w:i/>
          <w:noProof/>
        </w:rPr>
        <w:t>Accounting for sustainability : practical insights</w:t>
      </w:r>
      <w:r w:rsidRPr="00000517">
        <w:rPr>
          <w:rFonts w:ascii="Calibri" w:hAnsi="Calibri"/>
          <w:noProof/>
        </w:rPr>
        <w:t>. London; Washington, DC: Earthscan.</w:t>
      </w:r>
      <w:bookmarkEnd w:id="9"/>
    </w:p>
    <w:p w14:paraId="49AB79C3" w14:textId="021A5A30" w:rsidR="00BC1FD1" w:rsidRPr="00000517" w:rsidRDefault="00BC1FD1" w:rsidP="00B61416">
      <w:pPr>
        <w:spacing w:after="120" w:line="240" w:lineRule="auto"/>
        <w:ind w:left="720" w:hanging="720"/>
        <w:jc w:val="both"/>
        <w:rPr>
          <w:rFonts w:ascii="Calibri" w:hAnsi="Calibri"/>
          <w:noProof/>
        </w:rPr>
      </w:pPr>
      <w:bookmarkStart w:id="10" w:name="_ENREF_16"/>
      <w:r w:rsidRPr="00000517">
        <w:rPr>
          <w:rFonts w:ascii="Calibri" w:hAnsi="Calibri"/>
          <w:noProof/>
        </w:rPr>
        <w:t xml:space="preserve">IASB. (2010). </w:t>
      </w:r>
      <w:r w:rsidRPr="003642FB">
        <w:rPr>
          <w:rFonts w:ascii="Calibri" w:hAnsi="Calibri"/>
          <w:i/>
          <w:noProof/>
        </w:rPr>
        <w:t>Conceptual Framework for Financial Reporting 2010.</w:t>
      </w:r>
      <w:r w:rsidRPr="00000517">
        <w:rPr>
          <w:rFonts w:ascii="Calibri" w:hAnsi="Calibri"/>
          <w:noProof/>
        </w:rPr>
        <w:t xml:space="preserve"> </w:t>
      </w:r>
      <w:r w:rsidR="003642FB">
        <w:rPr>
          <w:rFonts w:ascii="Calibri" w:hAnsi="Calibri"/>
          <w:noProof/>
        </w:rPr>
        <w:t>International Accounting Standards Board.</w:t>
      </w:r>
      <w:r w:rsidRPr="00000517">
        <w:rPr>
          <w:rFonts w:ascii="Calibri" w:hAnsi="Calibri"/>
          <w:noProof/>
        </w:rPr>
        <w:t xml:space="preserve"> London.</w:t>
      </w:r>
      <w:bookmarkEnd w:id="10"/>
    </w:p>
    <w:p w14:paraId="427EE967" w14:textId="19CCF5AD" w:rsidR="003642FB" w:rsidRPr="00000517" w:rsidRDefault="00BC1FD1" w:rsidP="003642FB">
      <w:pPr>
        <w:spacing w:after="120" w:line="240" w:lineRule="auto"/>
        <w:ind w:left="720" w:hanging="720"/>
        <w:jc w:val="both"/>
        <w:rPr>
          <w:rFonts w:ascii="Calibri" w:hAnsi="Calibri"/>
          <w:noProof/>
        </w:rPr>
      </w:pPr>
      <w:bookmarkStart w:id="11" w:name="_ENREF_17"/>
      <w:r w:rsidRPr="00000517">
        <w:rPr>
          <w:rFonts w:ascii="Calibri" w:hAnsi="Calibri"/>
          <w:noProof/>
        </w:rPr>
        <w:t xml:space="preserve">IASB. (2013). </w:t>
      </w:r>
      <w:r w:rsidRPr="003642FB">
        <w:rPr>
          <w:rFonts w:ascii="Calibri" w:hAnsi="Calibri"/>
          <w:i/>
          <w:noProof/>
        </w:rPr>
        <w:t>A Review of the Conceptual Framework for Financial Reporting Discussion Paper DP/2013/1.</w:t>
      </w:r>
      <w:bookmarkEnd w:id="11"/>
      <w:r w:rsidR="003642FB" w:rsidRPr="003642FB">
        <w:rPr>
          <w:rFonts w:ascii="Calibri" w:hAnsi="Calibri"/>
          <w:noProof/>
        </w:rPr>
        <w:t xml:space="preserve"> </w:t>
      </w:r>
      <w:r w:rsidR="003642FB">
        <w:rPr>
          <w:rFonts w:ascii="Calibri" w:hAnsi="Calibri"/>
          <w:noProof/>
        </w:rPr>
        <w:t>International Accounting Standards Board.</w:t>
      </w:r>
      <w:r w:rsidR="003642FB" w:rsidRPr="00000517">
        <w:rPr>
          <w:rFonts w:ascii="Calibri" w:hAnsi="Calibri"/>
          <w:noProof/>
        </w:rPr>
        <w:t xml:space="preserve"> London.</w:t>
      </w:r>
    </w:p>
    <w:p w14:paraId="2BBC3BFC" w14:textId="628A02B6" w:rsidR="003642FB" w:rsidRPr="003642FB" w:rsidRDefault="003642FB" w:rsidP="003642FB">
      <w:pPr>
        <w:spacing w:after="120" w:line="240" w:lineRule="auto"/>
        <w:ind w:left="720" w:hanging="720"/>
        <w:jc w:val="both"/>
        <w:rPr>
          <w:rFonts w:ascii="Calibri" w:hAnsi="Calibri"/>
          <w:noProof/>
          <w:lang w:val="en-US"/>
        </w:rPr>
      </w:pPr>
      <w:bookmarkStart w:id="12" w:name="_ENREF_18"/>
      <w:r w:rsidRPr="003642FB">
        <w:rPr>
          <w:rFonts w:ascii="Calibri" w:hAnsi="Calibri"/>
          <w:noProof/>
          <w:lang w:val="en-US"/>
        </w:rPr>
        <w:t xml:space="preserve">Petrobras. </w:t>
      </w:r>
      <w:r>
        <w:rPr>
          <w:rFonts w:ascii="Calibri" w:hAnsi="Calibri"/>
          <w:noProof/>
          <w:lang w:val="en-US"/>
        </w:rPr>
        <w:t>(</w:t>
      </w:r>
      <w:r w:rsidRPr="003642FB">
        <w:rPr>
          <w:rFonts w:ascii="Calibri" w:hAnsi="Calibri"/>
          <w:noProof/>
          <w:lang w:val="en-US"/>
        </w:rPr>
        <w:t>2007</w:t>
      </w:r>
      <w:r>
        <w:rPr>
          <w:rFonts w:ascii="Calibri" w:hAnsi="Calibri"/>
          <w:noProof/>
          <w:lang w:val="en-US"/>
        </w:rPr>
        <w:t>)</w:t>
      </w:r>
      <w:r w:rsidRPr="003642FB">
        <w:rPr>
          <w:rFonts w:ascii="Calibri" w:hAnsi="Calibri"/>
          <w:noProof/>
          <w:lang w:val="en-US"/>
        </w:rPr>
        <w:t>. Social and Environmental Report. Petrobras. Rio de Janeiro</w:t>
      </w:r>
    </w:p>
    <w:p w14:paraId="4FD329EB" w14:textId="310B7173" w:rsidR="003642FB" w:rsidRPr="003642FB" w:rsidRDefault="003642FB" w:rsidP="003642FB">
      <w:pPr>
        <w:spacing w:after="120" w:line="240" w:lineRule="auto"/>
        <w:ind w:left="720" w:hanging="720"/>
        <w:jc w:val="both"/>
        <w:rPr>
          <w:rFonts w:ascii="Calibri" w:hAnsi="Calibri"/>
          <w:noProof/>
          <w:lang w:val="en-US"/>
        </w:rPr>
      </w:pPr>
      <w:r w:rsidRPr="003642FB">
        <w:rPr>
          <w:rFonts w:ascii="Calibri" w:hAnsi="Calibri"/>
          <w:noProof/>
          <w:lang w:val="en-US"/>
        </w:rPr>
        <w:t xml:space="preserve">Royal Dutch Shell plc. </w:t>
      </w:r>
      <w:r>
        <w:rPr>
          <w:rFonts w:ascii="Calibri" w:hAnsi="Calibri"/>
          <w:noProof/>
          <w:lang w:val="en-US"/>
        </w:rPr>
        <w:t>(</w:t>
      </w:r>
      <w:r w:rsidRPr="003642FB">
        <w:rPr>
          <w:rFonts w:ascii="Calibri" w:hAnsi="Calibri"/>
          <w:noProof/>
          <w:lang w:val="en-US"/>
        </w:rPr>
        <w:t>2007</w:t>
      </w:r>
      <w:r>
        <w:rPr>
          <w:rFonts w:ascii="Calibri" w:hAnsi="Calibri"/>
          <w:noProof/>
          <w:lang w:val="en-US"/>
        </w:rPr>
        <w:t>)</w:t>
      </w:r>
      <w:r w:rsidRPr="003642FB">
        <w:rPr>
          <w:rFonts w:ascii="Calibri" w:hAnsi="Calibri"/>
          <w:noProof/>
          <w:lang w:val="en-US"/>
        </w:rPr>
        <w:t>. The Shell Sustainability Report. Royal Dutch Shell plc. London</w:t>
      </w:r>
    </w:p>
    <w:p w14:paraId="684F93C6" w14:textId="77777777" w:rsidR="00BC1FD1" w:rsidRPr="00000517" w:rsidRDefault="00BC1FD1" w:rsidP="00B61416">
      <w:pPr>
        <w:spacing w:after="120" w:line="240" w:lineRule="auto"/>
        <w:ind w:left="720" w:hanging="720"/>
        <w:jc w:val="both"/>
        <w:rPr>
          <w:rFonts w:ascii="Calibri" w:hAnsi="Calibri"/>
          <w:noProof/>
        </w:rPr>
      </w:pPr>
      <w:bookmarkStart w:id="13" w:name="_ENREF_19"/>
      <w:bookmarkEnd w:id="12"/>
      <w:r w:rsidRPr="00000517">
        <w:rPr>
          <w:rFonts w:ascii="Calibri" w:hAnsi="Calibri"/>
          <w:noProof/>
        </w:rPr>
        <w:t xml:space="preserve">Unerman, J., &amp; O' Dwyer, B. (2010). Accounting for sustainability : practical insights. In A. G. Hopwood, J. Unerman &amp; J. Fries (Eds.), </w:t>
      </w:r>
      <w:r w:rsidRPr="00000517">
        <w:rPr>
          <w:rFonts w:ascii="Calibri" w:hAnsi="Calibri"/>
          <w:i/>
          <w:noProof/>
        </w:rPr>
        <w:t>Accounting for sustainability : practical insights</w:t>
      </w:r>
      <w:r w:rsidRPr="00000517">
        <w:rPr>
          <w:rFonts w:ascii="Calibri" w:hAnsi="Calibri"/>
          <w:noProof/>
        </w:rPr>
        <w:t>. London; Washington, DC: Earthscan.</w:t>
      </w:r>
      <w:bookmarkEnd w:id="13"/>
    </w:p>
    <w:p w14:paraId="4FE505F2" w14:textId="77777777" w:rsidR="00BC1FD1" w:rsidRDefault="00BC1FD1" w:rsidP="00B61416">
      <w:pPr>
        <w:spacing w:after="120" w:line="240" w:lineRule="auto"/>
        <w:ind w:left="720" w:hanging="720"/>
        <w:jc w:val="both"/>
      </w:pPr>
      <w:bookmarkStart w:id="14" w:name="_ENREF_20"/>
      <w:r w:rsidRPr="00000517">
        <w:rPr>
          <w:rFonts w:ascii="Calibri" w:hAnsi="Calibri"/>
          <w:noProof/>
        </w:rPr>
        <w:t>van Dijk, T. A. (19</w:t>
      </w:r>
      <w:r>
        <w:rPr>
          <w:rFonts w:ascii="Calibri" w:hAnsi="Calibri"/>
          <w:noProof/>
        </w:rPr>
        <w:t>85</w:t>
      </w:r>
      <w:r w:rsidRPr="00000517">
        <w:rPr>
          <w:rFonts w:ascii="Calibri" w:hAnsi="Calibri"/>
          <w:noProof/>
        </w:rPr>
        <w:t xml:space="preserve">). </w:t>
      </w:r>
      <w:r w:rsidRPr="00934E94">
        <w:rPr>
          <w:rFonts w:ascii="Calibri" w:hAnsi="Calibri"/>
          <w:noProof/>
        </w:rPr>
        <w:t>Discourse and communication : new approaches to the analysis of mass media discourse and communication</w:t>
      </w:r>
      <w:r>
        <w:rPr>
          <w:rFonts w:ascii="Calibri" w:hAnsi="Calibri"/>
          <w:noProof/>
        </w:rPr>
        <w:t>. Berlin: de Gruyter</w:t>
      </w:r>
      <w:bookmarkEnd w:id="14"/>
      <w:r>
        <w:fldChar w:fldCharType="end"/>
      </w:r>
    </w:p>
    <w:p w14:paraId="1D87F081" w14:textId="03224109" w:rsidR="00CB751E" w:rsidRDefault="00CB751E">
      <w:pPr>
        <w:spacing w:after="200" w:line="276" w:lineRule="auto"/>
      </w:pPr>
      <w:r>
        <w:br w:type="page"/>
      </w:r>
    </w:p>
    <w:p w14:paraId="6CC8B95B" w14:textId="2E7ED68E" w:rsidR="00CB751E" w:rsidRDefault="00CB751E" w:rsidP="00CB751E">
      <w:pPr>
        <w:pStyle w:val="Caption"/>
      </w:pPr>
      <w:proofErr w:type="gramStart"/>
      <w:r>
        <w:lastRenderedPageBreak/>
        <w:t xml:space="preserve">Table </w:t>
      </w:r>
      <w:fldSimple w:instr=" SEQ Table \* ARABIC ">
        <w:r w:rsidR="00515093">
          <w:rPr>
            <w:noProof/>
          </w:rPr>
          <w:t>1</w:t>
        </w:r>
      </w:fldSimple>
      <w:r>
        <w:t>.</w:t>
      </w:r>
      <w:proofErr w:type="gramEnd"/>
      <w:r>
        <w:t xml:space="preserve"> A summary of materiality disclosures within 2007 sustainability reports analysed by Boiral (2013) </w:t>
      </w:r>
    </w:p>
    <w:p w14:paraId="32FAD5CF" w14:textId="77777777" w:rsidR="001F369E" w:rsidRPr="00B61416" w:rsidRDefault="001F369E" w:rsidP="00B61416"/>
    <w:tbl>
      <w:tblPr>
        <w:tblW w:w="89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709"/>
        <w:gridCol w:w="863"/>
        <w:gridCol w:w="981"/>
        <w:gridCol w:w="1150"/>
        <w:gridCol w:w="1542"/>
        <w:gridCol w:w="904"/>
        <w:gridCol w:w="1049"/>
      </w:tblGrid>
      <w:tr w:rsidR="001F369E" w:rsidRPr="00447CFF" w14:paraId="3BE54649" w14:textId="77777777" w:rsidTr="001F369E">
        <w:trPr>
          <w:trHeight w:val="348"/>
        </w:trPr>
        <w:tc>
          <w:tcPr>
            <w:tcW w:w="1716" w:type="dxa"/>
            <w:vMerge w:val="restart"/>
            <w:shd w:val="clear" w:color="auto" w:fill="auto"/>
            <w:vAlign w:val="center"/>
            <w:hideMark/>
          </w:tcPr>
          <w:p w14:paraId="6B7BD44A" w14:textId="3011AF13" w:rsidR="001F369E" w:rsidRPr="00447CFF" w:rsidRDefault="001F369E" w:rsidP="00515093">
            <w:pPr>
              <w:spacing w:after="0" w:line="240" w:lineRule="auto"/>
              <w:rPr>
                <w:rFonts w:ascii="Calibri" w:eastAsia="Times New Roman" w:hAnsi="Calibri" w:cs="Times New Roman"/>
                <w:b/>
                <w:color w:val="000000"/>
                <w:sz w:val="18"/>
                <w:szCs w:val="18"/>
                <w:u w:val="single"/>
                <w:lang w:eastAsia="en-GB"/>
              </w:rPr>
            </w:pPr>
            <w:r>
              <w:rPr>
                <w:rFonts w:ascii="Calibri" w:eastAsia="Times New Roman" w:hAnsi="Calibri" w:cs="Times New Roman"/>
                <w:b/>
                <w:color w:val="000000"/>
                <w:sz w:val="18"/>
                <w:szCs w:val="18"/>
                <w:u w:val="single"/>
                <w:lang w:eastAsia="en-GB"/>
              </w:rPr>
              <w:t xml:space="preserve">Company </w:t>
            </w:r>
            <w:r w:rsidRPr="00447CFF">
              <w:rPr>
                <w:rFonts w:ascii="Calibri" w:eastAsia="Times New Roman" w:hAnsi="Calibri" w:cs="Times New Roman"/>
                <w:b/>
                <w:color w:val="000000"/>
                <w:sz w:val="18"/>
                <w:szCs w:val="18"/>
                <w:u w:val="single"/>
                <w:lang w:eastAsia="en-GB"/>
              </w:rPr>
              <w:t>Report Analyzed</w:t>
            </w:r>
          </w:p>
        </w:tc>
        <w:tc>
          <w:tcPr>
            <w:tcW w:w="7198" w:type="dxa"/>
            <w:gridSpan w:val="7"/>
          </w:tcPr>
          <w:p w14:paraId="703C6BE7" w14:textId="7F043C96" w:rsidR="001F369E" w:rsidRDefault="001F369E" w:rsidP="00E94C71">
            <w:pPr>
              <w:spacing w:after="0" w:line="240" w:lineRule="auto"/>
              <w:jc w:val="center"/>
              <w:rPr>
                <w:rFonts w:ascii="Calibri" w:eastAsia="Times New Roman" w:hAnsi="Calibri" w:cs="Times New Roman"/>
                <w:b/>
                <w:color w:val="000000"/>
                <w:sz w:val="18"/>
                <w:szCs w:val="18"/>
                <w:u w:val="single"/>
                <w:lang w:eastAsia="en-GB"/>
              </w:rPr>
            </w:pPr>
            <w:r>
              <w:rPr>
                <w:rFonts w:ascii="Calibri" w:eastAsia="Times New Roman" w:hAnsi="Calibri" w:cs="Times New Roman"/>
                <w:b/>
                <w:color w:val="000000"/>
                <w:sz w:val="18"/>
                <w:szCs w:val="18"/>
                <w:u w:val="single"/>
                <w:lang w:eastAsia="en-GB"/>
              </w:rPr>
              <w:t>Determining materiality disclosed in relation to:</w:t>
            </w:r>
          </w:p>
        </w:tc>
      </w:tr>
      <w:tr w:rsidR="001F369E" w:rsidRPr="00447CFF" w14:paraId="5603B8CB" w14:textId="77777777" w:rsidTr="001F369E">
        <w:trPr>
          <w:trHeight w:val="513"/>
        </w:trPr>
        <w:tc>
          <w:tcPr>
            <w:tcW w:w="1716" w:type="dxa"/>
            <w:vMerge/>
            <w:shd w:val="clear" w:color="auto" w:fill="auto"/>
            <w:vAlign w:val="center"/>
          </w:tcPr>
          <w:p w14:paraId="07A9B011" w14:textId="77777777" w:rsidR="001F369E" w:rsidRDefault="001F369E" w:rsidP="00515093">
            <w:pPr>
              <w:spacing w:after="0" w:line="240" w:lineRule="auto"/>
              <w:rPr>
                <w:rFonts w:ascii="Calibri" w:eastAsia="Times New Roman" w:hAnsi="Calibri" w:cs="Times New Roman"/>
                <w:b/>
                <w:color w:val="000000"/>
                <w:sz w:val="18"/>
                <w:szCs w:val="18"/>
                <w:u w:val="single"/>
                <w:lang w:eastAsia="en-GB"/>
              </w:rPr>
            </w:pPr>
          </w:p>
        </w:tc>
        <w:tc>
          <w:tcPr>
            <w:tcW w:w="709" w:type="dxa"/>
          </w:tcPr>
          <w:p w14:paraId="03E3C241" w14:textId="2B187A02" w:rsidR="001F369E" w:rsidRPr="00447CFF" w:rsidRDefault="001F369E" w:rsidP="00F91147">
            <w:pPr>
              <w:spacing w:after="0" w:line="240" w:lineRule="auto"/>
              <w:jc w:val="center"/>
              <w:rPr>
                <w:rFonts w:ascii="Calibri" w:eastAsia="Times New Roman" w:hAnsi="Calibri" w:cs="Times New Roman"/>
                <w:b/>
                <w:color w:val="000000"/>
                <w:sz w:val="18"/>
                <w:szCs w:val="18"/>
                <w:u w:val="single"/>
                <w:lang w:eastAsia="en-GB"/>
              </w:rPr>
            </w:pPr>
            <w:r>
              <w:rPr>
                <w:rFonts w:ascii="Calibri" w:eastAsia="Times New Roman" w:hAnsi="Calibri" w:cs="Times New Roman"/>
                <w:b/>
                <w:color w:val="000000"/>
                <w:sz w:val="18"/>
                <w:szCs w:val="18"/>
                <w:u w:val="single"/>
                <w:lang w:eastAsia="en-GB"/>
              </w:rPr>
              <w:t>GRI</w:t>
            </w:r>
          </w:p>
        </w:tc>
        <w:tc>
          <w:tcPr>
            <w:tcW w:w="863" w:type="dxa"/>
          </w:tcPr>
          <w:p w14:paraId="539FF115" w14:textId="20BF47E5" w:rsidR="001F369E" w:rsidRPr="00447CFF" w:rsidRDefault="001F369E" w:rsidP="00F91147">
            <w:pPr>
              <w:spacing w:after="0" w:line="240" w:lineRule="auto"/>
              <w:jc w:val="center"/>
              <w:rPr>
                <w:rFonts w:ascii="Calibri" w:eastAsia="Times New Roman" w:hAnsi="Calibri" w:cs="Times New Roman"/>
                <w:b/>
                <w:color w:val="000000"/>
                <w:sz w:val="18"/>
                <w:szCs w:val="18"/>
                <w:u w:val="single"/>
                <w:lang w:eastAsia="en-GB"/>
              </w:rPr>
            </w:pPr>
            <w:r>
              <w:rPr>
                <w:rFonts w:ascii="Calibri" w:eastAsia="Times New Roman" w:hAnsi="Calibri" w:cs="Times New Roman"/>
                <w:b/>
                <w:color w:val="000000"/>
                <w:sz w:val="18"/>
                <w:szCs w:val="18"/>
                <w:u w:val="single"/>
                <w:lang w:eastAsia="en-GB"/>
              </w:rPr>
              <w:t>Deciding on report content</w:t>
            </w:r>
          </w:p>
        </w:tc>
        <w:tc>
          <w:tcPr>
            <w:tcW w:w="981" w:type="dxa"/>
          </w:tcPr>
          <w:p w14:paraId="5E1E342F" w14:textId="5BBEC87B" w:rsidR="001F369E" w:rsidRPr="00447CFF" w:rsidRDefault="001F369E" w:rsidP="00F91147">
            <w:pPr>
              <w:spacing w:after="0" w:line="240" w:lineRule="auto"/>
              <w:jc w:val="center"/>
              <w:rPr>
                <w:rFonts w:ascii="Calibri" w:eastAsia="Times New Roman" w:hAnsi="Calibri" w:cs="Times New Roman"/>
                <w:b/>
                <w:color w:val="000000"/>
                <w:sz w:val="18"/>
                <w:szCs w:val="18"/>
                <w:u w:val="single"/>
                <w:lang w:eastAsia="en-GB"/>
              </w:rPr>
            </w:pPr>
            <w:r>
              <w:rPr>
                <w:rFonts w:ascii="Calibri" w:eastAsia="Times New Roman" w:hAnsi="Calibri" w:cs="Times New Roman"/>
                <w:b/>
                <w:color w:val="000000"/>
                <w:sz w:val="18"/>
                <w:szCs w:val="18"/>
                <w:u w:val="single"/>
                <w:lang w:eastAsia="en-GB"/>
              </w:rPr>
              <w:t>AA1000  / Assurance</w:t>
            </w:r>
          </w:p>
        </w:tc>
        <w:tc>
          <w:tcPr>
            <w:tcW w:w="1150" w:type="dxa"/>
          </w:tcPr>
          <w:p w14:paraId="0BA52FEA" w14:textId="22620AD0" w:rsidR="001F369E" w:rsidRPr="00447CFF" w:rsidRDefault="001F369E" w:rsidP="00F91147">
            <w:pPr>
              <w:spacing w:after="0" w:line="240" w:lineRule="auto"/>
              <w:jc w:val="center"/>
              <w:rPr>
                <w:rFonts w:ascii="Calibri" w:eastAsia="Times New Roman" w:hAnsi="Calibri" w:cs="Times New Roman"/>
                <w:b/>
                <w:color w:val="000000"/>
                <w:sz w:val="18"/>
                <w:szCs w:val="18"/>
                <w:u w:val="single"/>
                <w:lang w:eastAsia="en-GB"/>
              </w:rPr>
            </w:pPr>
            <w:r>
              <w:rPr>
                <w:rFonts w:ascii="Calibri" w:eastAsia="Times New Roman" w:hAnsi="Calibri" w:cs="Times New Roman"/>
                <w:b/>
                <w:color w:val="000000"/>
                <w:sz w:val="18"/>
                <w:szCs w:val="18"/>
                <w:u w:val="single"/>
                <w:lang w:eastAsia="en-GB"/>
              </w:rPr>
              <w:t>Stakeholder engagement</w:t>
            </w:r>
          </w:p>
        </w:tc>
        <w:tc>
          <w:tcPr>
            <w:tcW w:w="1542" w:type="dxa"/>
          </w:tcPr>
          <w:p w14:paraId="0BEC5A36" w14:textId="71B7E081" w:rsidR="001F369E" w:rsidRPr="00447CFF" w:rsidRDefault="001F369E" w:rsidP="00F91147">
            <w:pPr>
              <w:spacing w:after="0" w:line="240" w:lineRule="auto"/>
              <w:jc w:val="center"/>
              <w:rPr>
                <w:rFonts w:ascii="Calibri" w:eastAsia="Times New Roman" w:hAnsi="Calibri" w:cs="Times New Roman"/>
                <w:b/>
                <w:color w:val="000000"/>
                <w:sz w:val="18"/>
                <w:szCs w:val="18"/>
                <w:u w:val="single"/>
                <w:lang w:eastAsia="en-GB"/>
              </w:rPr>
            </w:pPr>
            <w:r>
              <w:rPr>
                <w:rFonts w:ascii="Calibri" w:eastAsia="Times New Roman" w:hAnsi="Calibri" w:cs="Times New Roman"/>
                <w:b/>
                <w:color w:val="000000"/>
                <w:sz w:val="18"/>
                <w:szCs w:val="18"/>
                <w:u w:val="single"/>
                <w:lang w:eastAsia="en-GB"/>
              </w:rPr>
              <w:t>External &amp; internal process of deciding materiality</w:t>
            </w:r>
          </w:p>
        </w:tc>
        <w:tc>
          <w:tcPr>
            <w:tcW w:w="904" w:type="dxa"/>
          </w:tcPr>
          <w:p w14:paraId="36566CCA" w14:textId="5E9CDAFE" w:rsidR="001F369E" w:rsidRPr="00447CFF" w:rsidRDefault="001F369E" w:rsidP="00E94C71">
            <w:pPr>
              <w:spacing w:after="0" w:line="240" w:lineRule="auto"/>
              <w:jc w:val="center"/>
              <w:rPr>
                <w:rFonts w:ascii="Calibri" w:eastAsia="Times New Roman" w:hAnsi="Calibri" w:cs="Times New Roman"/>
                <w:b/>
                <w:color w:val="000000"/>
                <w:sz w:val="18"/>
                <w:szCs w:val="18"/>
                <w:u w:val="single"/>
                <w:lang w:eastAsia="en-GB"/>
              </w:rPr>
            </w:pPr>
            <w:r>
              <w:rPr>
                <w:rFonts w:ascii="Calibri" w:eastAsia="Times New Roman" w:hAnsi="Calibri" w:cs="Times New Roman"/>
                <w:b/>
                <w:color w:val="000000"/>
                <w:sz w:val="18"/>
                <w:szCs w:val="18"/>
                <w:u w:val="single"/>
                <w:lang w:eastAsia="en-GB"/>
              </w:rPr>
              <w:t>Broad material areas disclosed</w:t>
            </w:r>
          </w:p>
        </w:tc>
        <w:tc>
          <w:tcPr>
            <w:tcW w:w="1049" w:type="dxa"/>
          </w:tcPr>
          <w:p w14:paraId="19979EBC" w14:textId="570313D8" w:rsidR="001F369E" w:rsidRDefault="001F369E" w:rsidP="00A86869">
            <w:pPr>
              <w:spacing w:after="0" w:line="240" w:lineRule="auto"/>
              <w:rPr>
                <w:rFonts w:ascii="Calibri" w:eastAsia="Times New Roman" w:hAnsi="Calibri" w:cs="Times New Roman"/>
                <w:b/>
                <w:color w:val="FF0000"/>
                <w:sz w:val="18"/>
                <w:szCs w:val="18"/>
                <w:u w:val="single"/>
                <w:lang w:eastAsia="en-GB"/>
              </w:rPr>
            </w:pPr>
            <w:r>
              <w:rPr>
                <w:rFonts w:ascii="Calibri" w:eastAsia="Times New Roman" w:hAnsi="Calibri" w:cs="Times New Roman"/>
                <w:b/>
                <w:color w:val="000000"/>
                <w:sz w:val="18"/>
                <w:szCs w:val="18"/>
                <w:u w:val="single"/>
                <w:lang w:eastAsia="en-GB"/>
              </w:rPr>
              <w:t>Materiality matrix disclosed</w:t>
            </w:r>
          </w:p>
        </w:tc>
      </w:tr>
      <w:tr w:rsidR="001F369E" w:rsidRPr="00F67428" w14:paraId="3A347587" w14:textId="77777777" w:rsidTr="001F369E">
        <w:trPr>
          <w:trHeight w:val="281"/>
        </w:trPr>
        <w:tc>
          <w:tcPr>
            <w:tcW w:w="1716" w:type="dxa"/>
            <w:shd w:val="clear" w:color="auto" w:fill="auto"/>
            <w:vAlign w:val="center"/>
            <w:hideMark/>
          </w:tcPr>
          <w:p w14:paraId="65C643AC" w14:textId="37145BD8" w:rsidR="001F369E" w:rsidRPr="00F67428" w:rsidRDefault="001F369E" w:rsidP="00515093">
            <w:pPr>
              <w:spacing w:after="0" w:line="240" w:lineRule="auto"/>
              <w:rPr>
                <w:rFonts w:ascii="Calibri" w:eastAsia="Times New Roman" w:hAnsi="Calibri" w:cs="Times New Roman"/>
                <w:color w:val="000000"/>
                <w:sz w:val="18"/>
                <w:szCs w:val="18"/>
                <w:lang w:eastAsia="en-GB"/>
              </w:rPr>
            </w:pPr>
            <w:r w:rsidRPr="00F67428">
              <w:rPr>
                <w:rFonts w:ascii="Calibri" w:eastAsia="Times New Roman" w:hAnsi="Calibri" w:cs="Times New Roman"/>
                <w:color w:val="000000"/>
                <w:sz w:val="18"/>
                <w:szCs w:val="18"/>
                <w:lang w:eastAsia="en-GB"/>
              </w:rPr>
              <w:t>Anglo American</w:t>
            </w:r>
          </w:p>
        </w:tc>
        <w:tc>
          <w:tcPr>
            <w:tcW w:w="709" w:type="dxa"/>
            <w:vAlign w:val="center"/>
          </w:tcPr>
          <w:p w14:paraId="072767F7"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863" w:type="dxa"/>
            <w:vAlign w:val="center"/>
          </w:tcPr>
          <w:p w14:paraId="06216994" w14:textId="600A3B26"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81" w:type="dxa"/>
            <w:vAlign w:val="center"/>
          </w:tcPr>
          <w:p w14:paraId="7E4C94AF" w14:textId="3675A146"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150" w:type="dxa"/>
            <w:vAlign w:val="center"/>
          </w:tcPr>
          <w:p w14:paraId="3B66C830" w14:textId="5687CADE"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542" w:type="dxa"/>
            <w:vAlign w:val="center"/>
          </w:tcPr>
          <w:p w14:paraId="0B0F3903"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69022D21"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787778EE"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379A51AA" w14:textId="77777777" w:rsidTr="001F369E">
        <w:trPr>
          <w:trHeight w:val="117"/>
        </w:trPr>
        <w:tc>
          <w:tcPr>
            <w:tcW w:w="1716" w:type="dxa"/>
            <w:shd w:val="clear" w:color="auto" w:fill="auto"/>
            <w:vAlign w:val="center"/>
          </w:tcPr>
          <w:p w14:paraId="098DA15A" w14:textId="754DD992" w:rsidR="001F369E" w:rsidRDefault="001F369E" w:rsidP="00515093">
            <w:pPr>
              <w:spacing w:after="0" w:line="240" w:lineRule="auto"/>
              <w:rPr>
                <w:rFonts w:ascii="Calibri" w:eastAsia="Times New Roman" w:hAnsi="Calibri" w:cs="Times New Roman"/>
                <w:color w:val="000000"/>
                <w:sz w:val="18"/>
                <w:szCs w:val="18"/>
                <w:lang w:eastAsia="en-GB"/>
              </w:rPr>
            </w:pPr>
            <w:r w:rsidRPr="00F67428">
              <w:rPr>
                <w:rFonts w:ascii="Calibri" w:eastAsia="Times New Roman" w:hAnsi="Calibri" w:cs="Times New Roman"/>
                <w:color w:val="000000"/>
                <w:sz w:val="18"/>
                <w:szCs w:val="18"/>
                <w:lang w:eastAsia="en-GB"/>
              </w:rPr>
              <w:t>Anglo Gold</w:t>
            </w:r>
          </w:p>
        </w:tc>
        <w:tc>
          <w:tcPr>
            <w:tcW w:w="709" w:type="dxa"/>
            <w:vAlign w:val="center"/>
          </w:tcPr>
          <w:p w14:paraId="6BEA2CAD" w14:textId="0A4C3C73"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78918B8B" w14:textId="038C09EF"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81" w:type="dxa"/>
            <w:vAlign w:val="center"/>
          </w:tcPr>
          <w:p w14:paraId="69A0B47C" w14:textId="55F2F0DF"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24ADA6E3" w14:textId="327E95C5"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5603566F"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3B98C6CB"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030E4C9F"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03D1E8C5" w14:textId="77777777" w:rsidTr="001F369E">
        <w:trPr>
          <w:trHeight w:val="495"/>
        </w:trPr>
        <w:tc>
          <w:tcPr>
            <w:tcW w:w="1716" w:type="dxa"/>
            <w:shd w:val="clear" w:color="auto" w:fill="auto"/>
            <w:vAlign w:val="center"/>
          </w:tcPr>
          <w:p w14:paraId="363BABEB" w14:textId="1F878E2C" w:rsidR="001F369E" w:rsidRPr="00F67428" w:rsidRDefault="001F369E" w:rsidP="00515093">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Avon Metals</w:t>
            </w:r>
          </w:p>
        </w:tc>
        <w:tc>
          <w:tcPr>
            <w:tcW w:w="709" w:type="dxa"/>
            <w:vAlign w:val="center"/>
          </w:tcPr>
          <w:p w14:paraId="2CEC6549"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863" w:type="dxa"/>
            <w:vAlign w:val="center"/>
          </w:tcPr>
          <w:p w14:paraId="4C1A0B04" w14:textId="11C0CFB1"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02B9A0B7" w14:textId="3FA6A502"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45863139"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7DC3B522"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32E20E32"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09116B7D"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4BA19B8A" w14:textId="77777777" w:rsidTr="001F369E">
        <w:trPr>
          <w:trHeight w:val="495"/>
        </w:trPr>
        <w:tc>
          <w:tcPr>
            <w:tcW w:w="1716" w:type="dxa"/>
            <w:shd w:val="clear" w:color="auto" w:fill="auto"/>
            <w:vAlign w:val="center"/>
            <w:hideMark/>
          </w:tcPr>
          <w:p w14:paraId="26DB7C8C" w14:textId="4FAD3AAC" w:rsidR="001F369E" w:rsidRPr="00F67428" w:rsidRDefault="001F369E" w:rsidP="00515093">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BHP</w:t>
            </w:r>
            <w:r w:rsidRPr="00F67428">
              <w:rPr>
                <w:rFonts w:ascii="Calibri" w:eastAsia="Times New Roman" w:hAnsi="Calibri" w:cs="Times New Roman"/>
                <w:color w:val="000000"/>
                <w:sz w:val="18"/>
                <w:szCs w:val="18"/>
                <w:lang w:eastAsia="en-GB"/>
              </w:rPr>
              <w:t xml:space="preserve"> Billiton</w:t>
            </w:r>
          </w:p>
        </w:tc>
        <w:tc>
          <w:tcPr>
            <w:tcW w:w="709" w:type="dxa"/>
            <w:vAlign w:val="center"/>
          </w:tcPr>
          <w:p w14:paraId="1FBC830E"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863" w:type="dxa"/>
            <w:vAlign w:val="center"/>
          </w:tcPr>
          <w:p w14:paraId="1F002004" w14:textId="10FF8B20"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81" w:type="dxa"/>
            <w:vAlign w:val="center"/>
          </w:tcPr>
          <w:p w14:paraId="7B93D34E" w14:textId="1FB4AF45"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150" w:type="dxa"/>
            <w:vAlign w:val="center"/>
          </w:tcPr>
          <w:p w14:paraId="5390F8D4" w14:textId="046430F8"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542" w:type="dxa"/>
            <w:vAlign w:val="center"/>
          </w:tcPr>
          <w:p w14:paraId="6763A4C3" w14:textId="1CE76740"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04" w:type="dxa"/>
            <w:vAlign w:val="center"/>
          </w:tcPr>
          <w:p w14:paraId="3D1DD306" w14:textId="13164F8B"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049" w:type="dxa"/>
            <w:vAlign w:val="center"/>
          </w:tcPr>
          <w:p w14:paraId="6FDECC08" w14:textId="77777777" w:rsidR="001F369E"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5B1FF299" w14:textId="77777777" w:rsidTr="001F369E">
        <w:trPr>
          <w:trHeight w:val="223"/>
        </w:trPr>
        <w:tc>
          <w:tcPr>
            <w:tcW w:w="1716" w:type="dxa"/>
            <w:shd w:val="clear" w:color="auto" w:fill="auto"/>
            <w:vAlign w:val="center"/>
          </w:tcPr>
          <w:p w14:paraId="11D8D1CE" w14:textId="55639CE2" w:rsidR="001F369E" w:rsidRPr="00F67428" w:rsidRDefault="001F369E" w:rsidP="00515093">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BP</w:t>
            </w:r>
          </w:p>
        </w:tc>
        <w:tc>
          <w:tcPr>
            <w:tcW w:w="709" w:type="dxa"/>
            <w:vAlign w:val="center"/>
          </w:tcPr>
          <w:p w14:paraId="7AA90D43" w14:textId="2CEE90D1"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3A1F9471" w14:textId="3EBFF1AE"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81" w:type="dxa"/>
            <w:vAlign w:val="center"/>
          </w:tcPr>
          <w:p w14:paraId="33A3DFCC" w14:textId="71B4B73D"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150" w:type="dxa"/>
            <w:vAlign w:val="center"/>
          </w:tcPr>
          <w:p w14:paraId="45AAC244" w14:textId="12B75FA1" w:rsidR="001F369E" w:rsidRPr="00515093" w:rsidRDefault="001F369E" w:rsidP="00515093">
            <w:pPr>
              <w:tabs>
                <w:tab w:val="left" w:pos="493"/>
              </w:tabs>
              <w:spacing w:after="0" w:line="240" w:lineRule="auto"/>
              <w:jc w:val="center"/>
              <w:rPr>
                <w:rFonts w:ascii="Calibri" w:eastAsia="Times New Roman" w:hAnsi="Calibri" w:cs="Times New Roman"/>
                <w:color w:val="000000"/>
                <w:lang w:eastAsia="en-GB"/>
              </w:rPr>
            </w:pPr>
          </w:p>
        </w:tc>
        <w:tc>
          <w:tcPr>
            <w:tcW w:w="1542" w:type="dxa"/>
            <w:vAlign w:val="center"/>
          </w:tcPr>
          <w:p w14:paraId="52B00445" w14:textId="175B5628"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04" w:type="dxa"/>
            <w:vAlign w:val="center"/>
          </w:tcPr>
          <w:p w14:paraId="66148FA0" w14:textId="59F646CF"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049" w:type="dxa"/>
            <w:vAlign w:val="center"/>
          </w:tcPr>
          <w:p w14:paraId="0DF75DB8"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19879420" w14:textId="77777777" w:rsidTr="001F369E">
        <w:trPr>
          <w:trHeight w:val="187"/>
        </w:trPr>
        <w:tc>
          <w:tcPr>
            <w:tcW w:w="1716" w:type="dxa"/>
            <w:shd w:val="clear" w:color="auto" w:fill="auto"/>
            <w:vAlign w:val="center"/>
          </w:tcPr>
          <w:p w14:paraId="73AAACD9" w14:textId="62AC721E" w:rsidR="001F369E" w:rsidRPr="00F67428" w:rsidRDefault="001F369E" w:rsidP="00515093">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CPFL</w:t>
            </w:r>
            <w:r w:rsidRPr="00F67428">
              <w:rPr>
                <w:rFonts w:ascii="Calibri" w:eastAsia="Times New Roman" w:hAnsi="Calibri" w:cs="Times New Roman"/>
                <w:color w:val="000000"/>
                <w:sz w:val="18"/>
                <w:szCs w:val="18"/>
                <w:lang w:eastAsia="en-GB"/>
              </w:rPr>
              <w:t xml:space="preserve"> </w:t>
            </w:r>
            <w:proofErr w:type="spellStart"/>
            <w:r w:rsidRPr="00F67428">
              <w:rPr>
                <w:rFonts w:ascii="Calibri" w:eastAsia="Times New Roman" w:hAnsi="Calibri" w:cs="Times New Roman"/>
                <w:color w:val="000000"/>
                <w:sz w:val="18"/>
                <w:szCs w:val="18"/>
                <w:lang w:eastAsia="en-GB"/>
              </w:rPr>
              <w:t>Energia</w:t>
            </w:r>
            <w:proofErr w:type="spellEnd"/>
          </w:p>
        </w:tc>
        <w:tc>
          <w:tcPr>
            <w:tcW w:w="709" w:type="dxa"/>
            <w:vAlign w:val="center"/>
          </w:tcPr>
          <w:p w14:paraId="2A934863"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863" w:type="dxa"/>
            <w:vAlign w:val="center"/>
          </w:tcPr>
          <w:p w14:paraId="3BF44436" w14:textId="426EAA9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4FDC235A" w14:textId="3794D5A4"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5F6E23FF"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3E08B3C8"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78B4C8AF"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6F471435" w14:textId="77777777" w:rsidR="001F369E"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7AF106AC" w14:textId="77777777" w:rsidTr="001F369E">
        <w:trPr>
          <w:trHeight w:val="307"/>
        </w:trPr>
        <w:tc>
          <w:tcPr>
            <w:tcW w:w="1716" w:type="dxa"/>
            <w:shd w:val="clear" w:color="auto" w:fill="auto"/>
            <w:vAlign w:val="center"/>
          </w:tcPr>
          <w:p w14:paraId="014A4ECB" w14:textId="6ED24908" w:rsidR="001F369E" w:rsidRPr="00F67428" w:rsidRDefault="001F369E" w:rsidP="00515093">
            <w:pPr>
              <w:spacing w:after="0" w:line="240" w:lineRule="auto"/>
              <w:rPr>
                <w:rFonts w:ascii="Calibri" w:eastAsia="Times New Roman" w:hAnsi="Calibri" w:cs="Times New Roman"/>
                <w:color w:val="000000"/>
                <w:sz w:val="18"/>
                <w:szCs w:val="18"/>
                <w:lang w:eastAsia="en-GB"/>
              </w:rPr>
            </w:pPr>
            <w:r w:rsidRPr="00F67428">
              <w:rPr>
                <w:rFonts w:ascii="Calibri" w:eastAsia="Times New Roman" w:hAnsi="Calibri" w:cs="Times New Roman"/>
                <w:color w:val="000000"/>
                <w:sz w:val="18"/>
                <w:szCs w:val="18"/>
                <w:lang w:eastAsia="en-GB"/>
              </w:rPr>
              <w:t xml:space="preserve">Gas Natural </w:t>
            </w:r>
            <w:proofErr w:type="spellStart"/>
            <w:r w:rsidRPr="00F67428">
              <w:rPr>
                <w:rFonts w:ascii="Calibri" w:eastAsia="Times New Roman" w:hAnsi="Calibri" w:cs="Times New Roman"/>
                <w:color w:val="000000"/>
                <w:sz w:val="18"/>
                <w:szCs w:val="18"/>
                <w:lang w:eastAsia="en-GB"/>
              </w:rPr>
              <w:t>Fenosa</w:t>
            </w:r>
            <w:proofErr w:type="spellEnd"/>
          </w:p>
        </w:tc>
        <w:tc>
          <w:tcPr>
            <w:tcW w:w="709" w:type="dxa"/>
            <w:vAlign w:val="center"/>
          </w:tcPr>
          <w:p w14:paraId="6CF52593" w14:textId="57366296"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34323785" w14:textId="0866B1DF"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81" w:type="dxa"/>
            <w:vAlign w:val="center"/>
          </w:tcPr>
          <w:p w14:paraId="334790E4" w14:textId="7700BE94"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150" w:type="dxa"/>
            <w:vAlign w:val="center"/>
          </w:tcPr>
          <w:p w14:paraId="6C3C9AE7" w14:textId="663CEE28"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542" w:type="dxa"/>
            <w:vAlign w:val="center"/>
          </w:tcPr>
          <w:p w14:paraId="03B5E4BA" w14:textId="4D7136FA"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04" w:type="dxa"/>
            <w:vAlign w:val="center"/>
          </w:tcPr>
          <w:p w14:paraId="41BB528E" w14:textId="2DEF0A1B"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049" w:type="dxa"/>
            <w:vAlign w:val="center"/>
          </w:tcPr>
          <w:p w14:paraId="4D5E315D" w14:textId="2C1D3005" w:rsidR="001F369E" w:rsidRDefault="001F369E" w:rsidP="00515093">
            <w:pPr>
              <w:spacing w:after="0" w:line="240" w:lineRule="auto"/>
              <w:jc w:val="center"/>
              <w:rPr>
                <w:rFonts w:ascii="Calibri" w:eastAsia="Times New Roman" w:hAnsi="Calibri" w:cs="Times New Roman"/>
                <w:color w:val="000000"/>
                <w:sz w:val="18"/>
                <w:szCs w:val="18"/>
                <w:lang w:eastAsia="en-GB"/>
              </w:rPr>
            </w:pPr>
            <w:r w:rsidRPr="00515093">
              <w:rPr>
                <w:rFonts w:ascii="Zapf Dingbats" w:eastAsia="Times New Roman" w:hAnsi="Zapf Dingbats" w:cs="Times New Roman"/>
                <w:color w:val="000000"/>
                <w:lang w:eastAsia="en-GB"/>
              </w:rPr>
              <w:t>✔</w:t>
            </w:r>
          </w:p>
        </w:tc>
      </w:tr>
      <w:tr w:rsidR="001F369E" w:rsidRPr="00F67428" w14:paraId="38841C1B" w14:textId="77777777" w:rsidTr="001F369E">
        <w:trPr>
          <w:trHeight w:val="203"/>
        </w:trPr>
        <w:tc>
          <w:tcPr>
            <w:tcW w:w="1716" w:type="dxa"/>
            <w:shd w:val="clear" w:color="auto" w:fill="auto"/>
            <w:vAlign w:val="center"/>
          </w:tcPr>
          <w:p w14:paraId="0B99DFA3" w14:textId="41BDFF18" w:rsidR="001F369E" w:rsidRPr="00F67428" w:rsidRDefault="001F369E" w:rsidP="00515093">
            <w:pPr>
              <w:spacing w:after="0" w:line="240" w:lineRule="auto"/>
              <w:rPr>
                <w:rFonts w:ascii="Calibri" w:eastAsia="Times New Roman" w:hAnsi="Calibri" w:cs="Times New Roman"/>
                <w:color w:val="000000"/>
                <w:sz w:val="18"/>
                <w:szCs w:val="18"/>
                <w:lang w:eastAsia="en-GB"/>
              </w:rPr>
            </w:pPr>
            <w:proofErr w:type="spellStart"/>
            <w:r w:rsidRPr="00F67428">
              <w:rPr>
                <w:rFonts w:ascii="Calibri" w:eastAsia="Times New Roman" w:hAnsi="Calibri" w:cs="Times New Roman"/>
                <w:color w:val="000000"/>
                <w:sz w:val="18"/>
                <w:szCs w:val="18"/>
                <w:lang w:eastAsia="en-GB"/>
              </w:rPr>
              <w:t>Illawarra</w:t>
            </w:r>
            <w:proofErr w:type="spellEnd"/>
            <w:r w:rsidRPr="00F67428">
              <w:rPr>
                <w:rFonts w:ascii="Calibri" w:eastAsia="Times New Roman" w:hAnsi="Calibri" w:cs="Times New Roman"/>
                <w:color w:val="000000"/>
                <w:sz w:val="18"/>
                <w:szCs w:val="18"/>
                <w:lang w:eastAsia="en-GB"/>
              </w:rPr>
              <w:t xml:space="preserve"> Coal</w:t>
            </w:r>
          </w:p>
        </w:tc>
        <w:tc>
          <w:tcPr>
            <w:tcW w:w="709" w:type="dxa"/>
            <w:vAlign w:val="center"/>
          </w:tcPr>
          <w:p w14:paraId="4CB48CCF" w14:textId="77777777" w:rsidR="001F369E" w:rsidRPr="00515093" w:rsidRDefault="001F369E" w:rsidP="00515093">
            <w:pPr>
              <w:spacing w:after="0" w:line="240" w:lineRule="auto"/>
              <w:jc w:val="center"/>
              <w:rPr>
                <w:rFonts w:ascii="Zapf Dingbats" w:eastAsia="Times New Roman" w:hAnsi="Zapf Dingbats" w:cs="Times New Roman"/>
                <w:color w:val="000000"/>
                <w:lang w:eastAsia="en-GB"/>
              </w:rPr>
            </w:pPr>
            <w:r w:rsidRPr="00515093">
              <w:rPr>
                <w:rFonts w:ascii="Zapf Dingbats" w:eastAsia="Times New Roman" w:hAnsi="Zapf Dingbats" w:cs="Times New Roman"/>
                <w:color w:val="000000"/>
                <w:lang w:eastAsia="en-GB"/>
              </w:rPr>
              <w:t>✔</w:t>
            </w:r>
          </w:p>
          <w:p w14:paraId="493A9787" w14:textId="0775C934"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863" w:type="dxa"/>
            <w:vAlign w:val="center"/>
          </w:tcPr>
          <w:p w14:paraId="68BF7DB4" w14:textId="13AF5AC9"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7C9849B5" w14:textId="1F0BDB03"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29D9E0E0"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4B8322E5"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1DD29D17"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45D469ED"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421DD6F1" w14:textId="77777777" w:rsidTr="001F369E">
        <w:trPr>
          <w:trHeight w:val="182"/>
        </w:trPr>
        <w:tc>
          <w:tcPr>
            <w:tcW w:w="1716" w:type="dxa"/>
            <w:shd w:val="clear" w:color="auto" w:fill="auto"/>
            <w:vAlign w:val="center"/>
          </w:tcPr>
          <w:p w14:paraId="3F36F9F9" w14:textId="07B3E6E4" w:rsidR="001F369E" w:rsidRPr="00F67428" w:rsidRDefault="001F369E" w:rsidP="00515093">
            <w:pPr>
              <w:spacing w:after="0" w:line="240" w:lineRule="auto"/>
              <w:rPr>
                <w:rFonts w:ascii="Calibri" w:eastAsia="Times New Roman" w:hAnsi="Calibri" w:cs="Times New Roman"/>
                <w:color w:val="000000"/>
                <w:sz w:val="18"/>
                <w:szCs w:val="18"/>
                <w:lang w:eastAsia="en-GB"/>
              </w:rPr>
            </w:pPr>
            <w:proofErr w:type="spellStart"/>
            <w:r w:rsidRPr="00F67428">
              <w:rPr>
                <w:rFonts w:ascii="Calibri" w:eastAsia="Times New Roman" w:hAnsi="Calibri" w:cs="Times New Roman"/>
                <w:color w:val="000000"/>
                <w:sz w:val="18"/>
                <w:szCs w:val="18"/>
                <w:lang w:eastAsia="en-GB"/>
              </w:rPr>
              <w:t>Kospo</w:t>
            </w:r>
            <w:proofErr w:type="spellEnd"/>
          </w:p>
        </w:tc>
        <w:tc>
          <w:tcPr>
            <w:tcW w:w="709" w:type="dxa"/>
            <w:vAlign w:val="center"/>
          </w:tcPr>
          <w:p w14:paraId="483667D1"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863" w:type="dxa"/>
            <w:vAlign w:val="center"/>
          </w:tcPr>
          <w:p w14:paraId="4669C81A" w14:textId="67D3ECF5"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23233BCA" w14:textId="6C14C49C"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334AE56A"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765FB605" w14:textId="0E786116"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62E23B20"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2668DC86"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6F9BF357" w14:textId="77777777" w:rsidTr="001F369E">
        <w:trPr>
          <w:trHeight w:val="159"/>
        </w:trPr>
        <w:tc>
          <w:tcPr>
            <w:tcW w:w="1716" w:type="dxa"/>
            <w:shd w:val="clear" w:color="auto" w:fill="auto"/>
            <w:vAlign w:val="center"/>
          </w:tcPr>
          <w:p w14:paraId="0DCBC368" w14:textId="5A396BB9" w:rsidR="001F369E" w:rsidRPr="00F67428" w:rsidRDefault="001F369E" w:rsidP="00515093">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OJSC</w:t>
            </w:r>
          </w:p>
        </w:tc>
        <w:tc>
          <w:tcPr>
            <w:tcW w:w="709" w:type="dxa"/>
            <w:vAlign w:val="center"/>
          </w:tcPr>
          <w:p w14:paraId="3F5F431B" w14:textId="6CC9A3AA"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03F88752" w14:textId="66C27441"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7E4CF57B" w14:textId="6ED2D3A2"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150" w:type="dxa"/>
            <w:vAlign w:val="center"/>
          </w:tcPr>
          <w:p w14:paraId="23B607FD" w14:textId="4A895051"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542" w:type="dxa"/>
            <w:vAlign w:val="center"/>
          </w:tcPr>
          <w:p w14:paraId="5CC891D8" w14:textId="3B3148FB"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04" w:type="dxa"/>
            <w:vAlign w:val="center"/>
          </w:tcPr>
          <w:p w14:paraId="3DDE8346" w14:textId="46636A80"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049" w:type="dxa"/>
            <w:vAlign w:val="center"/>
          </w:tcPr>
          <w:p w14:paraId="0E96AFBA"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2D6FF39C" w14:textId="77777777" w:rsidTr="001F369E">
        <w:trPr>
          <w:trHeight w:val="137"/>
        </w:trPr>
        <w:tc>
          <w:tcPr>
            <w:tcW w:w="1716" w:type="dxa"/>
            <w:shd w:val="clear" w:color="auto" w:fill="auto"/>
            <w:vAlign w:val="center"/>
          </w:tcPr>
          <w:p w14:paraId="4CD33216" w14:textId="3924F0C6" w:rsidR="001F369E" w:rsidRPr="00F67428" w:rsidRDefault="001F369E" w:rsidP="00515093">
            <w:pPr>
              <w:spacing w:after="0" w:line="240" w:lineRule="auto"/>
              <w:rPr>
                <w:rFonts w:ascii="Calibri" w:eastAsia="Times New Roman" w:hAnsi="Calibri" w:cs="Times New Roman"/>
                <w:color w:val="000000"/>
                <w:sz w:val="18"/>
                <w:szCs w:val="18"/>
                <w:lang w:eastAsia="en-GB"/>
              </w:rPr>
            </w:pPr>
            <w:proofErr w:type="spellStart"/>
            <w:r w:rsidRPr="00F67428">
              <w:rPr>
                <w:rFonts w:ascii="Calibri" w:eastAsia="Times New Roman" w:hAnsi="Calibri" w:cs="Times New Roman"/>
                <w:color w:val="000000"/>
                <w:sz w:val="18"/>
                <w:szCs w:val="18"/>
                <w:lang w:eastAsia="en-GB"/>
              </w:rPr>
              <w:t>Penoles</w:t>
            </w:r>
            <w:proofErr w:type="spellEnd"/>
          </w:p>
        </w:tc>
        <w:tc>
          <w:tcPr>
            <w:tcW w:w="709" w:type="dxa"/>
            <w:vAlign w:val="center"/>
          </w:tcPr>
          <w:p w14:paraId="06C2CFE2" w14:textId="51DCF968"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79B9FF10" w14:textId="449E44D1"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63BD05EC" w14:textId="1F58BBA5"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2A6C7B64"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4E98DFA2"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7EE515E2"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4618B9D3"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7EC6FC7F" w14:textId="77777777" w:rsidTr="001F369E">
        <w:trPr>
          <w:trHeight w:val="257"/>
        </w:trPr>
        <w:tc>
          <w:tcPr>
            <w:tcW w:w="1716" w:type="dxa"/>
            <w:shd w:val="clear" w:color="auto" w:fill="auto"/>
            <w:vAlign w:val="center"/>
          </w:tcPr>
          <w:p w14:paraId="3AE1785F" w14:textId="7BF87ED5" w:rsidR="001F369E" w:rsidRPr="00F67428" w:rsidRDefault="001F369E" w:rsidP="00515093">
            <w:pPr>
              <w:spacing w:after="0" w:line="240" w:lineRule="auto"/>
              <w:rPr>
                <w:rFonts w:ascii="Calibri" w:eastAsia="Times New Roman" w:hAnsi="Calibri" w:cs="Times New Roman"/>
                <w:color w:val="000000"/>
                <w:sz w:val="18"/>
                <w:szCs w:val="18"/>
                <w:lang w:eastAsia="en-GB"/>
              </w:rPr>
            </w:pPr>
            <w:r w:rsidRPr="00F67428">
              <w:rPr>
                <w:rFonts w:ascii="Calibri" w:eastAsia="Times New Roman" w:hAnsi="Calibri" w:cs="Times New Roman"/>
                <w:color w:val="000000"/>
                <w:sz w:val="18"/>
                <w:szCs w:val="18"/>
                <w:lang w:eastAsia="en-GB"/>
              </w:rPr>
              <w:t>Petrobras</w:t>
            </w:r>
          </w:p>
        </w:tc>
        <w:tc>
          <w:tcPr>
            <w:tcW w:w="709" w:type="dxa"/>
            <w:vAlign w:val="center"/>
          </w:tcPr>
          <w:p w14:paraId="78F640F1" w14:textId="095112E4"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5F1E244D" w14:textId="4CF2BCF3"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81" w:type="dxa"/>
            <w:vAlign w:val="center"/>
          </w:tcPr>
          <w:p w14:paraId="3B049FE9" w14:textId="290DD7E0"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3E93EF74" w14:textId="4186F99F"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542" w:type="dxa"/>
            <w:vAlign w:val="center"/>
          </w:tcPr>
          <w:p w14:paraId="7191C67E" w14:textId="50CBA4DD" w:rsidR="001F369E" w:rsidRPr="00515093" w:rsidRDefault="001F369E" w:rsidP="00515093">
            <w:pPr>
              <w:tabs>
                <w:tab w:val="left" w:pos="653"/>
              </w:tabs>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04" w:type="dxa"/>
            <w:vAlign w:val="center"/>
          </w:tcPr>
          <w:p w14:paraId="5EB0B6CD" w14:textId="76FAB4BD"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049" w:type="dxa"/>
            <w:vAlign w:val="center"/>
          </w:tcPr>
          <w:p w14:paraId="6585A766" w14:textId="76C7EE87" w:rsidR="001F369E" w:rsidRDefault="001F369E" w:rsidP="00515093">
            <w:pPr>
              <w:spacing w:after="0" w:line="240" w:lineRule="auto"/>
              <w:jc w:val="center"/>
              <w:rPr>
                <w:rFonts w:ascii="Calibri" w:eastAsia="Times New Roman" w:hAnsi="Calibri" w:cs="Times New Roman"/>
                <w:color w:val="000000"/>
                <w:sz w:val="18"/>
                <w:szCs w:val="18"/>
                <w:lang w:eastAsia="en-GB"/>
              </w:rPr>
            </w:pPr>
            <w:r w:rsidRPr="00515093">
              <w:rPr>
                <w:rFonts w:ascii="Zapf Dingbats" w:eastAsia="Times New Roman" w:hAnsi="Zapf Dingbats" w:cs="Times New Roman"/>
                <w:color w:val="000000"/>
                <w:lang w:eastAsia="en-GB"/>
              </w:rPr>
              <w:t>✔</w:t>
            </w:r>
          </w:p>
        </w:tc>
      </w:tr>
      <w:tr w:rsidR="001F369E" w:rsidRPr="00F67428" w14:paraId="25E4A6BD" w14:textId="77777777" w:rsidTr="001F369E">
        <w:trPr>
          <w:trHeight w:val="300"/>
        </w:trPr>
        <w:tc>
          <w:tcPr>
            <w:tcW w:w="1716" w:type="dxa"/>
            <w:shd w:val="clear" w:color="auto" w:fill="auto"/>
            <w:vAlign w:val="center"/>
          </w:tcPr>
          <w:p w14:paraId="32D196BD" w14:textId="6F66B641" w:rsidR="001F369E" w:rsidRPr="00F67428" w:rsidRDefault="001F369E" w:rsidP="00515093">
            <w:pPr>
              <w:spacing w:after="0" w:line="240" w:lineRule="auto"/>
              <w:rPr>
                <w:rFonts w:ascii="Calibri" w:eastAsia="Times New Roman" w:hAnsi="Calibri" w:cs="Times New Roman"/>
                <w:color w:val="000000"/>
                <w:sz w:val="18"/>
                <w:szCs w:val="18"/>
                <w:lang w:eastAsia="en-GB"/>
              </w:rPr>
            </w:pPr>
            <w:proofErr w:type="spellStart"/>
            <w:r w:rsidRPr="00F67428">
              <w:rPr>
                <w:rFonts w:ascii="Calibri" w:eastAsia="Times New Roman" w:hAnsi="Calibri" w:cs="Times New Roman"/>
                <w:color w:val="000000"/>
                <w:sz w:val="18"/>
                <w:szCs w:val="18"/>
                <w:lang w:eastAsia="en-GB"/>
              </w:rPr>
              <w:t>Pt</w:t>
            </w:r>
            <w:proofErr w:type="spellEnd"/>
            <w:r w:rsidRPr="00F67428">
              <w:rPr>
                <w:rFonts w:ascii="Calibri" w:eastAsia="Times New Roman" w:hAnsi="Calibri" w:cs="Times New Roman"/>
                <w:color w:val="000000"/>
                <w:sz w:val="18"/>
                <w:szCs w:val="18"/>
                <w:lang w:eastAsia="en-GB"/>
              </w:rPr>
              <w:t xml:space="preserve"> </w:t>
            </w:r>
            <w:proofErr w:type="spellStart"/>
            <w:r w:rsidRPr="00F67428">
              <w:rPr>
                <w:rFonts w:ascii="Calibri" w:eastAsia="Times New Roman" w:hAnsi="Calibri" w:cs="Times New Roman"/>
                <w:color w:val="000000"/>
                <w:sz w:val="18"/>
                <w:szCs w:val="18"/>
                <w:lang w:eastAsia="en-GB"/>
              </w:rPr>
              <w:t>Kaltim</w:t>
            </w:r>
            <w:proofErr w:type="spellEnd"/>
            <w:r w:rsidRPr="00F67428">
              <w:rPr>
                <w:rFonts w:ascii="Calibri" w:eastAsia="Times New Roman" w:hAnsi="Calibri" w:cs="Times New Roman"/>
                <w:color w:val="000000"/>
                <w:sz w:val="18"/>
                <w:szCs w:val="18"/>
                <w:lang w:eastAsia="en-GB"/>
              </w:rPr>
              <w:t xml:space="preserve"> Prima Coal</w:t>
            </w:r>
          </w:p>
        </w:tc>
        <w:tc>
          <w:tcPr>
            <w:tcW w:w="709" w:type="dxa"/>
            <w:vAlign w:val="center"/>
          </w:tcPr>
          <w:p w14:paraId="4AC55F6E"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863" w:type="dxa"/>
            <w:vAlign w:val="center"/>
          </w:tcPr>
          <w:p w14:paraId="5EA1A518" w14:textId="1A264F85"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73B5104B" w14:textId="7D03F122"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19EEA2DD"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322945AD"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0D2B426A"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214646F9"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025DC00B" w14:textId="77777777" w:rsidTr="001F369E">
        <w:trPr>
          <w:trHeight w:val="63"/>
        </w:trPr>
        <w:tc>
          <w:tcPr>
            <w:tcW w:w="1716" w:type="dxa"/>
            <w:shd w:val="clear" w:color="auto" w:fill="auto"/>
            <w:vAlign w:val="center"/>
          </w:tcPr>
          <w:p w14:paraId="4FDD61EC" w14:textId="66A56816" w:rsidR="001F369E" w:rsidRPr="00F67428" w:rsidRDefault="001F369E" w:rsidP="00515093">
            <w:pPr>
              <w:spacing w:after="0" w:line="240" w:lineRule="auto"/>
              <w:rPr>
                <w:rFonts w:ascii="Calibri" w:eastAsia="Times New Roman" w:hAnsi="Calibri" w:cs="Times New Roman"/>
                <w:color w:val="000000"/>
                <w:sz w:val="18"/>
                <w:szCs w:val="18"/>
                <w:lang w:eastAsia="en-GB"/>
              </w:rPr>
            </w:pPr>
            <w:proofErr w:type="spellStart"/>
            <w:r w:rsidRPr="00F67428">
              <w:rPr>
                <w:rFonts w:ascii="Calibri" w:eastAsia="Times New Roman" w:hAnsi="Calibri" w:cs="Times New Roman"/>
                <w:color w:val="000000"/>
                <w:sz w:val="18"/>
                <w:szCs w:val="18"/>
                <w:lang w:eastAsia="en-GB"/>
              </w:rPr>
              <w:t>Repsol</w:t>
            </w:r>
            <w:proofErr w:type="spellEnd"/>
          </w:p>
        </w:tc>
        <w:tc>
          <w:tcPr>
            <w:tcW w:w="709" w:type="dxa"/>
            <w:vAlign w:val="center"/>
          </w:tcPr>
          <w:p w14:paraId="1FE1BBBD" w14:textId="07E4E0AD"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204770AD" w14:textId="10EAEF0F"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00D73342" w14:textId="012A4040"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2F47EF76"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0ABDA8DF"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3A0CC992"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24F64C02"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1966E5D5" w14:textId="77777777" w:rsidTr="001F369E">
        <w:trPr>
          <w:trHeight w:val="251"/>
        </w:trPr>
        <w:tc>
          <w:tcPr>
            <w:tcW w:w="1716" w:type="dxa"/>
            <w:shd w:val="clear" w:color="auto" w:fill="auto"/>
            <w:vAlign w:val="center"/>
          </w:tcPr>
          <w:p w14:paraId="619D0E15" w14:textId="5C496197" w:rsidR="001F369E" w:rsidRPr="00F67428" w:rsidRDefault="001F369E" w:rsidP="00515093">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RWE</w:t>
            </w:r>
          </w:p>
        </w:tc>
        <w:tc>
          <w:tcPr>
            <w:tcW w:w="709" w:type="dxa"/>
            <w:vAlign w:val="center"/>
          </w:tcPr>
          <w:p w14:paraId="44A3ABD3"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863" w:type="dxa"/>
            <w:vAlign w:val="center"/>
          </w:tcPr>
          <w:p w14:paraId="59ED4EB8" w14:textId="1747A03B"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613052C6" w14:textId="3B8F3C1A"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150" w:type="dxa"/>
            <w:vAlign w:val="center"/>
          </w:tcPr>
          <w:p w14:paraId="08F58516" w14:textId="722320BA"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542" w:type="dxa"/>
            <w:vAlign w:val="center"/>
          </w:tcPr>
          <w:p w14:paraId="1E87A39F" w14:textId="3FFDA442"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04" w:type="dxa"/>
            <w:vAlign w:val="center"/>
          </w:tcPr>
          <w:p w14:paraId="17222B95" w14:textId="0AF4B2F8"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049" w:type="dxa"/>
            <w:vAlign w:val="center"/>
          </w:tcPr>
          <w:p w14:paraId="6CCCA2BE"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7C3193E3" w14:textId="77777777" w:rsidTr="001F369E">
        <w:trPr>
          <w:trHeight w:val="74"/>
        </w:trPr>
        <w:tc>
          <w:tcPr>
            <w:tcW w:w="1716" w:type="dxa"/>
            <w:shd w:val="clear" w:color="auto" w:fill="auto"/>
            <w:vAlign w:val="center"/>
          </w:tcPr>
          <w:p w14:paraId="1B8BDA7F" w14:textId="0020608B" w:rsidR="001F369E" w:rsidRPr="00F67428" w:rsidRDefault="001F369E" w:rsidP="00515093">
            <w:pPr>
              <w:spacing w:after="0" w:line="240" w:lineRule="auto"/>
              <w:rPr>
                <w:rFonts w:ascii="Calibri" w:eastAsia="Times New Roman" w:hAnsi="Calibri" w:cs="Times New Roman"/>
                <w:color w:val="000000"/>
                <w:sz w:val="18"/>
                <w:szCs w:val="18"/>
                <w:lang w:eastAsia="en-GB"/>
              </w:rPr>
            </w:pPr>
            <w:r w:rsidRPr="00F67428">
              <w:rPr>
                <w:rFonts w:ascii="Calibri" w:eastAsia="Times New Roman" w:hAnsi="Calibri" w:cs="Times New Roman"/>
                <w:color w:val="000000"/>
                <w:sz w:val="18"/>
                <w:szCs w:val="18"/>
                <w:lang w:eastAsia="en-GB"/>
              </w:rPr>
              <w:t>Rio Tinto</w:t>
            </w:r>
          </w:p>
        </w:tc>
        <w:tc>
          <w:tcPr>
            <w:tcW w:w="709" w:type="dxa"/>
            <w:vAlign w:val="center"/>
          </w:tcPr>
          <w:p w14:paraId="64F6D600" w14:textId="2439C966"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7B27E9D3" w14:textId="31DAA4C4"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72F1C8F1" w14:textId="01017FC0"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150" w:type="dxa"/>
            <w:vAlign w:val="center"/>
          </w:tcPr>
          <w:p w14:paraId="55EFE693"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1CADF6A9"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21C54221"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7A8501E3"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1E61461F" w14:textId="77777777" w:rsidTr="001F369E">
        <w:trPr>
          <w:trHeight w:val="193"/>
        </w:trPr>
        <w:tc>
          <w:tcPr>
            <w:tcW w:w="1716" w:type="dxa"/>
            <w:shd w:val="clear" w:color="auto" w:fill="auto"/>
            <w:vAlign w:val="center"/>
          </w:tcPr>
          <w:p w14:paraId="15035378" w14:textId="106510C1" w:rsidR="001F369E" w:rsidRPr="00F67428" w:rsidRDefault="001F369E" w:rsidP="00515093">
            <w:pPr>
              <w:spacing w:after="0" w:line="240" w:lineRule="auto"/>
              <w:rPr>
                <w:rFonts w:ascii="Calibri" w:eastAsia="Times New Roman" w:hAnsi="Calibri" w:cs="Times New Roman"/>
                <w:color w:val="000000"/>
                <w:sz w:val="18"/>
                <w:szCs w:val="18"/>
                <w:lang w:eastAsia="en-GB"/>
              </w:rPr>
            </w:pPr>
            <w:r w:rsidRPr="00F67428">
              <w:rPr>
                <w:rFonts w:ascii="Calibri" w:eastAsia="Times New Roman" w:hAnsi="Calibri" w:cs="Times New Roman"/>
                <w:color w:val="000000"/>
                <w:sz w:val="18"/>
                <w:szCs w:val="18"/>
                <w:lang w:eastAsia="en-GB"/>
              </w:rPr>
              <w:t>Shell</w:t>
            </w:r>
          </w:p>
        </w:tc>
        <w:tc>
          <w:tcPr>
            <w:tcW w:w="709" w:type="dxa"/>
            <w:vAlign w:val="center"/>
          </w:tcPr>
          <w:p w14:paraId="06CAD763"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863" w:type="dxa"/>
            <w:vAlign w:val="center"/>
          </w:tcPr>
          <w:p w14:paraId="1B73EBD3" w14:textId="2BEFC8EC"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81" w:type="dxa"/>
            <w:vAlign w:val="center"/>
          </w:tcPr>
          <w:p w14:paraId="3E4ED48D" w14:textId="318E951C"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5878FF58" w14:textId="71FC1298"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542" w:type="dxa"/>
            <w:vAlign w:val="center"/>
          </w:tcPr>
          <w:p w14:paraId="1E1022E8" w14:textId="32799666"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04" w:type="dxa"/>
            <w:vAlign w:val="center"/>
          </w:tcPr>
          <w:p w14:paraId="76F8D7DA" w14:textId="7491A6F2"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049" w:type="dxa"/>
            <w:vAlign w:val="center"/>
          </w:tcPr>
          <w:p w14:paraId="18376342" w14:textId="6F16B284" w:rsidR="001F369E" w:rsidRDefault="001F369E" w:rsidP="00515093">
            <w:pPr>
              <w:spacing w:after="0" w:line="240" w:lineRule="auto"/>
              <w:jc w:val="center"/>
              <w:rPr>
                <w:rFonts w:ascii="Calibri" w:eastAsia="Times New Roman" w:hAnsi="Calibri" w:cs="Times New Roman"/>
                <w:color w:val="000000"/>
                <w:sz w:val="18"/>
                <w:szCs w:val="18"/>
                <w:lang w:eastAsia="en-GB"/>
              </w:rPr>
            </w:pPr>
            <w:r w:rsidRPr="00515093">
              <w:rPr>
                <w:rFonts w:ascii="Zapf Dingbats" w:eastAsia="Times New Roman" w:hAnsi="Zapf Dingbats" w:cs="Times New Roman"/>
                <w:color w:val="000000"/>
                <w:lang w:eastAsia="en-GB"/>
              </w:rPr>
              <w:t>✔</w:t>
            </w:r>
          </w:p>
        </w:tc>
      </w:tr>
      <w:tr w:rsidR="001F369E" w:rsidRPr="00F67428" w14:paraId="2DFD719E" w14:textId="77777777" w:rsidTr="001F369E">
        <w:trPr>
          <w:trHeight w:val="63"/>
        </w:trPr>
        <w:tc>
          <w:tcPr>
            <w:tcW w:w="1716" w:type="dxa"/>
            <w:shd w:val="clear" w:color="auto" w:fill="auto"/>
            <w:vAlign w:val="center"/>
          </w:tcPr>
          <w:p w14:paraId="14CBCB89" w14:textId="1527ECF5" w:rsidR="001F369E" w:rsidRPr="00F67428" w:rsidRDefault="001F369E" w:rsidP="00515093">
            <w:pPr>
              <w:spacing w:after="0" w:line="240" w:lineRule="auto"/>
              <w:rPr>
                <w:rFonts w:ascii="Calibri" w:eastAsia="Times New Roman" w:hAnsi="Calibri" w:cs="Times New Roman"/>
                <w:color w:val="000000"/>
                <w:sz w:val="18"/>
                <w:szCs w:val="18"/>
                <w:lang w:eastAsia="en-GB"/>
              </w:rPr>
            </w:pPr>
            <w:r w:rsidRPr="00F67428">
              <w:rPr>
                <w:rFonts w:ascii="Calibri" w:eastAsia="Times New Roman" w:hAnsi="Calibri" w:cs="Times New Roman"/>
                <w:color w:val="000000"/>
                <w:sz w:val="18"/>
                <w:szCs w:val="18"/>
                <w:lang w:eastAsia="en-GB"/>
              </w:rPr>
              <w:t>S-Oil</w:t>
            </w:r>
          </w:p>
        </w:tc>
        <w:tc>
          <w:tcPr>
            <w:tcW w:w="709" w:type="dxa"/>
            <w:vAlign w:val="center"/>
          </w:tcPr>
          <w:p w14:paraId="0B1601D8" w14:textId="05BB21B8"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06A6277B" w14:textId="28FBD7C8"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81" w:type="dxa"/>
            <w:vAlign w:val="center"/>
          </w:tcPr>
          <w:p w14:paraId="4B798157" w14:textId="45FB1B0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5E9EC2D5" w14:textId="4AC0E617"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542" w:type="dxa"/>
            <w:vAlign w:val="center"/>
          </w:tcPr>
          <w:p w14:paraId="689D53BC"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47D58F65" w14:textId="12BE9544"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049" w:type="dxa"/>
            <w:vAlign w:val="center"/>
          </w:tcPr>
          <w:p w14:paraId="1375D11D" w14:textId="77777777" w:rsidR="001F369E" w:rsidRDefault="001F369E" w:rsidP="00515093">
            <w:pPr>
              <w:spacing w:after="0" w:line="240" w:lineRule="auto"/>
              <w:jc w:val="center"/>
              <w:rPr>
                <w:rFonts w:ascii="Calibri" w:eastAsia="Times New Roman" w:hAnsi="Calibri" w:cs="Times New Roman"/>
                <w:color w:val="000000"/>
                <w:sz w:val="18"/>
                <w:szCs w:val="18"/>
                <w:lang w:eastAsia="en-GB"/>
              </w:rPr>
            </w:pPr>
          </w:p>
        </w:tc>
      </w:tr>
      <w:tr w:rsidR="001F369E" w:rsidRPr="00F67428" w14:paraId="5A9E6089" w14:textId="77777777" w:rsidTr="001F369E">
        <w:trPr>
          <w:trHeight w:val="76"/>
        </w:trPr>
        <w:tc>
          <w:tcPr>
            <w:tcW w:w="1716" w:type="dxa"/>
            <w:shd w:val="clear" w:color="auto" w:fill="auto"/>
            <w:vAlign w:val="center"/>
          </w:tcPr>
          <w:p w14:paraId="6EFC7810" w14:textId="7EB5E812" w:rsidR="001F369E" w:rsidRPr="00F67428" w:rsidRDefault="001F369E" w:rsidP="00515093">
            <w:pPr>
              <w:spacing w:after="0" w:line="240" w:lineRule="auto"/>
              <w:rPr>
                <w:rFonts w:ascii="Calibri" w:eastAsia="Times New Roman" w:hAnsi="Calibri" w:cs="Times New Roman"/>
                <w:color w:val="000000"/>
                <w:sz w:val="18"/>
                <w:szCs w:val="18"/>
                <w:lang w:eastAsia="en-GB"/>
              </w:rPr>
            </w:pPr>
            <w:proofErr w:type="spellStart"/>
            <w:r w:rsidRPr="00F67428">
              <w:rPr>
                <w:rFonts w:ascii="Calibri" w:eastAsia="Times New Roman" w:hAnsi="Calibri" w:cs="Times New Roman"/>
                <w:color w:val="000000"/>
                <w:sz w:val="18"/>
                <w:szCs w:val="18"/>
                <w:lang w:eastAsia="en-GB"/>
              </w:rPr>
              <w:t>Teck</w:t>
            </w:r>
            <w:proofErr w:type="spellEnd"/>
            <w:r w:rsidRPr="00F67428">
              <w:rPr>
                <w:rFonts w:ascii="Calibri" w:eastAsia="Times New Roman" w:hAnsi="Calibri" w:cs="Times New Roman"/>
                <w:color w:val="000000"/>
                <w:sz w:val="18"/>
                <w:szCs w:val="18"/>
                <w:lang w:eastAsia="en-GB"/>
              </w:rPr>
              <w:t xml:space="preserve"> Cominco</w:t>
            </w:r>
          </w:p>
        </w:tc>
        <w:tc>
          <w:tcPr>
            <w:tcW w:w="709" w:type="dxa"/>
            <w:vAlign w:val="center"/>
          </w:tcPr>
          <w:p w14:paraId="5EDA7769" w14:textId="1AD49CA3"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12C1B7A5" w14:textId="58B899A9"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81" w:type="dxa"/>
            <w:vAlign w:val="center"/>
          </w:tcPr>
          <w:p w14:paraId="7F08FC08" w14:textId="7C391194"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150" w:type="dxa"/>
            <w:vAlign w:val="center"/>
          </w:tcPr>
          <w:p w14:paraId="614E2CC9" w14:textId="10FD7CAB"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1542" w:type="dxa"/>
            <w:vAlign w:val="center"/>
          </w:tcPr>
          <w:p w14:paraId="47796013" w14:textId="558E4F39"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904" w:type="dxa"/>
            <w:vAlign w:val="center"/>
          </w:tcPr>
          <w:p w14:paraId="5E921EF7" w14:textId="3471153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2C897A98" w14:textId="54CB6D5C" w:rsidR="001F369E" w:rsidRDefault="001F369E" w:rsidP="00515093">
            <w:pPr>
              <w:spacing w:after="0" w:line="240" w:lineRule="auto"/>
              <w:jc w:val="center"/>
              <w:rPr>
                <w:rFonts w:ascii="Calibri" w:eastAsia="Times New Roman" w:hAnsi="Calibri" w:cs="Times New Roman"/>
                <w:color w:val="000000"/>
                <w:sz w:val="18"/>
                <w:szCs w:val="18"/>
                <w:lang w:eastAsia="en-GB"/>
              </w:rPr>
            </w:pPr>
            <w:r w:rsidRPr="00515093">
              <w:rPr>
                <w:rFonts w:ascii="Zapf Dingbats" w:eastAsia="Times New Roman" w:hAnsi="Zapf Dingbats" w:cs="Times New Roman"/>
                <w:color w:val="000000"/>
                <w:lang w:eastAsia="en-GB"/>
              </w:rPr>
              <w:t>✔</w:t>
            </w:r>
          </w:p>
        </w:tc>
      </w:tr>
      <w:tr w:rsidR="001F369E" w:rsidRPr="00F67428" w14:paraId="6420F58D" w14:textId="77777777" w:rsidTr="001F369E">
        <w:trPr>
          <w:trHeight w:val="269"/>
        </w:trPr>
        <w:tc>
          <w:tcPr>
            <w:tcW w:w="1716" w:type="dxa"/>
            <w:shd w:val="clear" w:color="auto" w:fill="auto"/>
            <w:vAlign w:val="center"/>
          </w:tcPr>
          <w:p w14:paraId="08EA5911" w14:textId="267DD019" w:rsidR="001F369E" w:rsidRDefault="001F369E" w:rsidP="00515093">
            <w:pPr>
              <w:spacing w:after="0" w:line="240" w:lineRule="auto"/>
              <w:rPr>
                <w:rFonts w:ascii="Calibri" w:eastAsia="Times New Roman" w:hAnsi="Calibri" w:cs="Times New Roman"/>
                <w:color w:val="000000"/>
                <w:sz w:val="18"/>
                <w:szCs w:val="18"/>
                <w:lang w:eastAsia="en-GB"/>
              </w:rPr>
            </w:pPr>
            <w:proofErr w:type="spellStart"/>
            <w:r>
              <w:rPr>
                <w:rFonts w:ascii="Calibri" w:eastAsia="Times New Roman" w:hAnsi="Calibri" w:cs="Times New Roman"/>
                <w:color w:val="000000"/>
                <w:sz w:val="18"/>
                <w:szCs w:val="18"/>
                <w:lang w:eastAsia="en-GB"/>
              </w:rPr>
              <w:t>Usiminas</w:t>
            </w:r>
            <w:proofErr w:type="spellEnd"/>
          </w:p>
        </w:tc>
        <w:tc>
          <w:tcPr>
            <w:tcW w:w="709" w:type="dxa"/>
            <w:vAlign w:val="center"/>
          </w:tcPr>
          <w:p w14:paraId="406855F5" w14:textId="28CF4BA1" w:rsidR="001F369E" w:rsidRPr="00515093" w:rsidRDefault="001F369E" w:rsidP="00515093">
            <w:pPr>
              <w:spacing w:after="0" w:line="240" w:lineRule="auto"/>
              <w:jc w:val="center"/>
              <w:rPr>
                <w:rFonts w:ascii="Calibri" w:eastAsia="Times New Roman" w:hAnsi="Calibri" w:cs="Times New Roman"/>
                <w:color w:val="000000"/>
                <w:lang w:eastAsia="en-GB"/>
              </w:rPr>
            </w:pPr>
            <w:r w:rsidRPr="00515093">
              <w:rPr>
                <w:rFonts w:ascii="Zapf Dingbats" w:eastAsia="Times New Roman" w:hAnsi="Zapf Dingbats" w:cs="Times New Roman"/>
                <w:color w:val="000000"/>
                <w:lang w:eastAsia="en-GB"/>
              </w:rPr>
              <w:t>✔</w:t>
            </w:r>
          </w:p>
        </w:tc>
        <w:tc>
          <w:tcPr>
            <w:tcW w:w="863" w:type="dxa"/>
            <w:vAlign w:val="center"/>
          </w:tcPr>
          <w:p w14:paraId="4DC0BAEA" w14:textId="7E23D9D2"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81" w:type="dxa"/>
            <w:vAlign w:val="center"/>
          </w:tcPr>
          <w:p w14:paraId="71244D0D" w14:textId="1BCF860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150" w:type="dxa"/>
            <w:vAlign w:val="center"/>
          </w:tcPr>
          <w:p w14:paraId="4CE65D0A"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542" w:type="dxa"/>
            <w:vAlign w:val="center"/>
          </w:tcPr>
          <w:p w14:paraId="1FF0C3A0"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904" w:type="dxa"/>
            <w:vAlign w:val="center"/>
          </w:tcPr>
          <w:p w14:paraId="66636468" w14:textId="77777777" w:rsidR="001F369E" w:rsidRPr="00515093" w:rsidRDefault="001F369E" w:rsidP="00515093">
            <w:pPr>
              <w:spacing w:after="0" w:line="240" w:lineRule="auto"/>
              <w:jc w:val="center"/>
              <w:rPr>
                <w:rFonts w:ascii="Calibri" w:eastAsia="Times New Roman" w:hAnsi="Calibri" w:cs="Times New Roman"/>
                <w:color w:val="000000"/>
                <w:lang w:eastAsia="en-GB"/>
              </w:rPr>
            </w:pPr>
          </w:p>
        </w:tc>
        <w:tc>
          <w:tcPr>
            <w:tcW w:w="1049" w:type="dxa"/>
            <w:vAlign w:val="center"/>
          </w:tcPr>
          <w:p w14:paraId="3E7BF187" w14:textId="77777777" w:rsidR="001F369E" w:rsidRPr="00F67428" w:rsidRDefault="001F369E" w:rsidP="00515093">
            <w:pPr>
              <w:spacing w:after="0" w:line="240" w:lineRule="auto"/>
              <w:jc w:val="center"/>
              <w:rPr>
                <w:rFonts w:ascii="Calibri" w:eastAsia="Times New Roman" w:hAnsi="Calibri" w:cs="Times New Roman"/>
                <w:color w:val="000000"/>
                <w:sz w:val="18"/>
                <w:szCs w:val="18"/>
                <w:lang w:eastAsia="en-GB"/>
              </w:rPr>
            </w:pPr>
          </w:p>
        </w:tc>
      </w:tr>
    </w:tbl>
    <w:p w14:paraId="5F791024" w14:textId="77777777" w:rsidR="00CB751E" w:rsidRDefault="00CB751E" w:rsidP="00CB751E">
      <w:pPr>
        <w:jc w:val="both"/>
      </w:pPr>
      <w:r>
        <w:t xml:space="preserve"> </w:t>
      </w:r>
    </w:p>
    <w:p w14:paraId="5425A446" w14:textId="77777777" w:rsidR="00CB751E" w:rsidRDefault="00CB751E" w:rsidP="0060765E">
      <w:pPr>
        <w:jc w:val="both"/>
      </w:pPr>
    </w:p>
    <w:p w14:paraId="570E1818" w14:textId="77777777" w:rsidR="00BC1FD1" w:rsidRDefault="00BC1FD1" w:rsidP="00BC1FD1">
      <w:pPr>
        <w:keepNext/>
        <w:jc w:val="both"/>
      </w:pPr>
      <w:r>
        <w:rPr>
          <w:noProof/>
          <w:lang w:val="en-US"/>
        </w:rPr>
        <w:lastRenderedPageBreak/>
        <w:drawing>
          <wp:inline distT="0" distB="0" distL="0" distR="0" wp14:anchorId="0D4EA4EA" wp14:editId="1D195DE1">
            <wp:extent cx="3771900" cy="37719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14:paraId="52BF3B31" w14:textId="2B490ABC" w:rsidR="00BC1FD1" w:rsidRDefault="00BC1FD1" w:rsidP="00BC1FD1">
      <w:pPr>
        <w:pStyle w:val="Caption"/>
        <w:jc w:val="both"/>
        <w:rPr>
          <w:lang w:val="en-US"/>
        </w:rPr>
      </w:pPr>
      <w:r>
        <w:t xml:space="preserve">Figure </w:t>
      </w:r>
      <w:fldSimple w:instr=" SEQ Figure \* ARABIC ">
        <w:r>
          <w:rPr>
            <w:noProof/>
          </w:rPr>
          <w:t>1</w:t>
        </w:r>
      </w:fldSimple>
      <w:r>
        <w:t xml:space="preserve"> - GRI process for defining materiality, copied from GRI G3 Guidelines, </w:t>
      </w:r>
      <w:r w:rsidR="003642FB">
        <w:t xml:space="preserve">(GRI, 2006, </w:t>
      </w:r>
      <w:r>
        <w:t>p. 8</w:t>
      </w:r>
      <w:r w:rsidR="003642FB">
        <w:t>)</w:t>
      </w:r>
    </w:p>
    <w:p w14:paraId="414A3633" w14:textId="77777777" w:rsidR="00BC1FD1" w:rsidRDefault="00BC1FD1" w:rsidP="0060765E">
      <w:pPr>
        <w:jc w:val="both"/>
      </w:pPr>
    </w:p>
    <w:p w14:paraId="564B1CF0" w14:textId="1F70F517" w:rsidR="004A4876" w:rsidRDefault="004A4876">
      <w:pPr>
        <w:spacing w:after="200" w:line="276" w:lineRule="auto"/>
      </w:pPr>
      <w:r>
        <w:br w:type="page"/>
      </w:r>
    </w:p>
    <w:p w14:paraId="0915B426" w14:textId="6A370AD2" w:rsidR="001F369E" w:rsidRDefault="00333264" w:rsidP="00333264">
      <w:pPr>
        <w:pStyle w:val="Caption"/>
      </w:pPr>
      <w:proofErr w:type="gramStart"/>
      <w:r>
        <w:lastRenderedPageBreak/>
        <w:t xml:space="preserve">Figure </w:t>
      </w:r>
      <w:fldSimple w:instr=" SEQ Figure \* ARABIC ">
        <w:r w:rsidR="00515093">
          <w:rPr>
            <w:noProof/>
          </w:rPr>
          <w:t>2</w:t>
        </w:r>
      </w:fldSimple>
      <w:r>
        <w:t>.</w:t>
      </w:r>
      <w:proofErr w:type="gramEnd"/>
      <w:r>
        <w:t xml:space="preserve"> </w:t>
      </w:r>
      <w:r w:rsidR="004C4210">
        <w:t xml:space="preserve">Materiality determination graph </w:t>
      </w:r>
      <w:r>
        <w:t>extract</w:t>
      </w:r>
      <w:r w:rsidR="004C4210">
        <w:t>ed</w:t>
      </w:r>
      <w:r>
        <w:t xml:space="preserve"> from the 2007 Petrobras Sustainability Report</w:t>
      </w:r>
      <w:r w:rsidR="004C4210">
        <w:t xml:space="preserve">, </w:t>
      </w:r>
      <w:r w:rsidR="003642FB">
        <w:t xml:space="preserve">(Petrobras, 2007, </w:t>
      </w:r>
      <w:r w:rsidR="004C4210">
        <w:t>p. 109</w:t>
      </w:r>
      <w:r w:rsidR="003642FB">
        <w:t>)</w:t>
      </w:r>
      <w:r>
        <w:t xml:space="preserve"> </w:t>
      </w:r>
    </w:p>
    <w:p w14:paraId="6E3C5DB4" w14:textId="6D4A89CC" w:rsidR="00333264" w:rsidRDefault="00333264" w:rsidP="00333264">
      <w:pPr>
        <w:pStyle w:val="Caption"/>
        <w:rPr>
          <w:noProof/>
          <w:lang w:val="en-US"/>
        </w:rPr>
      </w:pPr>
    </w:p>
    <w:p w14:paraId="158BBA6A" w14:textId="5F9555F6" w:rsidR="00333264" w:rsidRDefault="004C4210" w:rsidP="00882E2E">
      <w:pPr>
        <w:jc w:val="both"/>
      </w:pPr>
      <w:r>
        <w:rPr>
          <w:noProof/>
          <w:lang w:val="en-US"/>
        </w:rPr>
        <w:drawing>
          <wp:inline distT="0" distB="0" distL="0" distR="0" wp14:anchorId="6D563D8F" wp14:editId="6C749C7B">
            <wp:extent cx="5731510" cy="4196284"/>
            <wp:effectExtent l="0" t="0" r="889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96284"/>
                    </a:xfrm>
                    <a:prstGeom prst="rect">
                      <a:avLst/>
                    </a:prstGeom>
                    <a:noFill/>
                    <a:ln>
                      <a:noFill/>
                    </a:ln>
                  </pic:spPr>
                </pic:pic>
              </a:graphicData>
            </a:graphic>
          </wp:inline>
        </w:drawing>
      </w:r>
    </w:p>
    <w:p w14:paraId="0217B9C1" w14:textId="77777777" w:rsidR="004C4210" w:rsidRDefault="004C4210" w:rsidP="00882E2E">
      <w:pPr>
        <w:jc w:val="both"/>
      </w:pPr>
    </w:p>
    <w:p w14:paraId="633DC1EE" w14:textId="77777777" w:rsidR="004C4210" w:rsidRDefault="004C4210" w:rsidP="00882E2E">
      <w:pPr>
        <w:jc w:val="both"/>
      </w:pPr>
    </w:p>
    <w:p w14:paraId="71335568" w14:textId="72024209" w:rsidR="00BC1FD1" w:rsidRDefault="00BC1FD1"/>
    <w:sectPr w:rsidR="00BC1FD1" w:rsidSect="00B61416">
      <w:footerReference w:type="even" r:id="rId13"/>
      <w:footerReference w:type="default" r:id="rId14"/>
      <w:pgSz w:w="11906" w:h="16838"/>
      <w:pgMar w:top="1440" w:right="1440" w:bottom="1531" w:left="1440" w:header="709"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5D4EC" w14:textId="77777777" w:rsidR="00661529" w:rsidRDefault="00661529" w:rsidP="00DF7FB3">
      <w:pPr>
        <w:spacing w:after="0" w:line="240" w:lineRule="auto"/>
      </w:pPr>
      <w:r>
        <w:separator/>
      </w:r>
    </w:p>
  </w:endnote>
  <w:endnote w:type="continuationSeparator" w:id="0">
    <w:p w14:paraId="0B5FBF2C" w14:textId="77777777" w:rsidR="00661529" w:rsidRDefault="00661529" w:rsidP="00DF7FB3">
      <w:pPr>
        <w:spacing w:after="0" w:line="240" w:lineRule="auto"/>
      </w:pPr>
      <w:r>
        <w:continuationSeparator/>
      </w:r>
    </w:p>
  </w:endnote>
  <w:endnote w:type="continuationNotice" w:id="1">
    <w:p w14:paraId="6C02C717" w14:textId="77777777" w:rsidR="00661529" w:rsidRDefault="00661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B4868" w14:textId="77777777" w:rsidR="00661529" w:rsidRDefault="00661529" w:rsidP="00743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47221" w14:textId="77777777" w:rsidR="00661529" w:rsidRDefault="006615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25AC5" w14:textId="77777777" w:rsidR="00661529" w:rsidRDefault="00661529" w:rsidP="00743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38C">
      <w:rPr>
        <w:rStyle w:val="PageNumber"/>
        <w:noProof/>
      </w:rPr>
      <w:t>1</w:t>
    </w:r>
    <w:r>
      <w:rPr>
        <w:rStyle w:val="PageNumber"/>
      </w:rPr>
      <w:fldChar w:fldCharType="end"/>
    </w:r>
  </w:p>
  <w:p w14:paraId="0F11E95D" w14:textId="77777777" w:rsidR="00661529" w:rsidRDefault="006615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12C87" w14:textId="77777777" w:rsidR="00661529" w:rsidRDefault="00661529" w:rsidP="00DF7FB3">
      <w:pPr>
        <w:spacing w:after="0" w:line="240" w:lineRule="auto"/>
      </w:pPr>
      <w:r>
        <w:separator/>
      </w:r>
    </w:p>
  </w:footnote>
  <w:footnote w:type="continuationSeparator" w:id="0">
    <w:p w14:paraId="4B63AA31" w14:textId="77777777" w:rsidR="00661529" w:rsidRDefault="00661529" w:rsidP="00DF7FB3">
      <w:pPr>
        <w:spacing w:after="0" w:line="240" w:lineRule="auto"/>
      </w:pPr>
      <w:r>
        <w:continuationSeparator/>
      </w:r>
    </w:p>
  </w:footnote>
  <w:footnote w:type="continuationNotice" w:id="1">
    <w:p w14:paraId="0DCB5D83" w14:textId="77777777" w:rsidR="00661529" w:rsidRDefault="00661529">
      <w:pPr>
        <w:spacing w:after="0" w:line="240" w:lineRule="auto"/>
      </w:pPr>
    </w:p>
  </w:footnote>
  <w:footnote w:id="2">
    <w:p w14:paraId="336C1F22" w14:textId="69CD3D8C" w:rsidR="00661529" w:rsidRDefault="00661529">
      <w:pPr>
        <w:pStyle w:val="FootnoteText"/>
      </w:pPr>
      <w:r>
        <w:rPr>
          <w:rStyle w:val="FootnoteReference"/>
        </w:rPr>
        <w:footnoteRef/>
      </w:r>
      <w:r>
        <w:t xml:space="preserve"> We borrow the notion of texts ‘produced’ and ‘consumed’ at different sites from Critical Discourse Analysis to suggest the different conditions under which a text is constructed and received (see for </w:t>
      </w:r>
      <w:r w:rsidRPr="002E2FBF">
        <w:t xml:space="preserve">example </w:t>
      </w:r>
      <w:r>
        <w:t>v</w:t>
      </w:r>
      <w:r w:rsidRPr="002E2FBF">
        <w:t xml:space="preserve">an </w:t>
      </w:r>
      <w:proofErr w:type="spellStart"/>
      <w:r w:rsidRPr="002E2FBF">
        <w:t>Dijk</w:t>
      </w:r>
      <w:proofErr w:type="spellEnd"/>
      <w:r w:rsidRPr="002E2FBF">
        <w:t>,</w:t>
      </w:r>
      <w:r>
        <w:t xml:space="preserve"> 1985). </w:t>
      </w:r>
    </w:p>
  </w:footnote>
  <w:footnote w:id="3">
    <w:p w14:paraId="2F2A2570" w14:textId="2CB1D9A8" w:rsidR="003A5C54" w:rsidRPr="003A5C54" w:rsidRDefault="003A5C54">
      <w:pPr>
        <w:pStyle w:val="FootnoteText"/>
        <w:rPr>
          <w:lang w:val="en-US"/>
        </w:rPr>
      </w:pPr>
      <w:r>
        <w:rPr>
          <w:rStyle w:val="FootnoteReference"/>
        </w:rPr>
        <w:footnoteRef/>
      </w:r>
      <w:r>
        <w:t xml:space="preserve"> </w:t>
      </w:r>
      <w:r w:rsidRPr="003A5C54">
        <w:rPr>
          <w:lang w:val="en-US"/>
        </w:rPr>
        <w:t>The Global Reporting Initiative (GRI) states that it "produces a comprehensive Sustainability Reporting Framework that is widely used around the world, to enable greater organizational transparency. The Framework, including the Reporting Guidelines, sets out the Principles and Indicators organizations can use to report their economic, environmental, and social performance. GRI is committed to continuously improving and increasing the use of the Guidelines, which are freely available to the public."</w:t>
      </w:r>
    </w:p>
  </w:footnote>
  <w:footnote w:id="4">
    <w:p w14:paraId="67F0E328" w14:textId="66753C18" w:rsidR="00661529" w:rsidRDefault="00661529">
      <w:pPr>
        <w:pStyle w:val="FootnoteText"/>
      </w:pPr>
      <w:r>
        <w:rPr>
          <w:rStyle w:val="FootnoteReference"/>
        </w:rPr>
        <w:footnoteRef/>
      </w:r>
      <w:r>
        <w:t xml:space="preserve"> Whilst Boiral often refers to general GRI principles he only mentions materiality once (p. 1039) and juxtaposes the results of his analysis to the principles of balance, completeness and transparency. </w:t>
      </w:r>
    </w:p>
  </w:footnote>
  <w:footnote w:id="5">
    <w:p w14:paraId="4CA64CF7" w14:textId="23B00640" w:rsidR="00661529" w:rsidRPr="00F10629" w:rsidRDefault="00661529">
      <w:pPr>
        <w:pStyle w:val="FootnoteText"/>
        <w:rPr>
          <w:lang w:val="en-US"/>
        </w:rPr>
      </w:pPr>
      <w:r>
        <w:rPr>
          <w:rStyle w:val="FootnoteReference"/>
        </w:rPr>
        <w:footnoteRef/>
      </w:r>
      <w:r>
        <w:t xml:space="preserve"> </w:t>
      </w:r>
      <w:r>
        <w:rPr>
          <w:lang w:val="en-US"/>
        </w:rPr>
        <w:t>Boiral (2013) analyses “reports from firms in the energy and mining sectors which had received application levels of A or A + from the Global Reporting Initiative (GRI)” (p. 1036).).</w:t>
      </w:r>
    </w:p>
  </w:footnote>
  <w:footnote w:id="6">
    <w:p w14:paraId="0F481CA3" w14:textId="56201807" w:rsidR="00661529" w:rsidRPr="005100D0" w:rsidRDefault="00661529">
      <w:pPr>
        <w:pStyle w:val="FootnoteText"/>
        <w:rPr>
          <w:lang w:val="en-US"/>
        </w:rPr>
      </w:pPr>
      <w:r>
        <w:rPr>
          <w:rStyle w:val="FootnoteReference"/>
        </w:rPr>
        <w:footnoteRef/>
      </w:r>
      <w:r>
        <w:t xml:space="preserve"> </w:t>
      </w:r>
      <w:r>
        <w:rPr>
          <w:lang w:val="en-US"/>
        </w:rPr>
        <w:t>In our search the reports of Suncor and Newmont Mining were not available.</w:t>
      </w:r>
      <w:r w:rsidRPr="0021565D">
        <w:rPr>
          <w:lang w:val="en-US"/>
        </w:rPr>
        <w:t xml:space="preserve"> </w:t>
      </w:r>
      <w:r>
        <w:rPr>
          <w:lang w:val="en-US"/>
        </w:rPr>
        <w:t xml:space="preserve">The report of </w:t>
      </w:r>
      <w:proofErr w:type="spellStart"/>
      <w:r>
        <w:rPr>
          <w:lang w:val="en-US"/>
        </w:rPr>
        <w:t>Codelco</w:t>
      </w:r>
      <w:proofErr w:type="spellEnd"/>
      <w:r>
        <w:rPr>
          <w:lang w:val="en-US"/>
        </w:rPr>
        <w:t xml:space="preserve"> was not available in English.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BC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F831F31"/>
    <w:multiLevelType w:val="hybridMultilevel"/>
    <w:tmpl w:val="BFEE8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Discourse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wt2x2w4fpvxkezrt1p52wjt2v255r0fa92&quot;&gt;FZ EndNote Library&lt;record-ids&gt;&lt;item&gt;79&lt;/item&gt;&lt;item&gt;119&lt;/item&gt;&lt;item&gt;121&lt;/item&gt;&lt;item&gt;124&lt;/item&gt;&lt;item&gt;278&lt;/item&gt;&lt;item&gt;340&lt;/item&gt;&lt;item&gt;341&lt;/item&gt;&lt;item&gt;342&lt;/item&gt;&lt;item&gt;343&lt;/item&gt;&lt;item&gt;344&lt;/item&gt;&lt;item&gt;345&lt;/item&gt;&lt;item&gt;346&lt;/item&gt;&lt;item&gt;347&lt;/item&gt;&lt;item&gt;348&lt;/item&gt;&lt;item&gt;349&lt;/item&gt;&lt;item&gt;350&lt;/item&gt;&lt;item&gt;351&lt;/item&gt;&lt;item&gt;353&lt;/item&gt;&lt;item&gt;354&lt;/item&gt;&lt;item&gt;355&lt;/item&gt;&lt;/record-ids&gt;&lt;/item&gt;&lt;/Libraries&gt;"/>
  </w:docVars>
  <w:rsids>
    <w:rsidRoot w:val="00D13524"/>
    <w:rsid w:val="00000517"/>
    <w:rsid w:val="00000632"/>
    <w:rsid w:val="00006828"/>
    <w:rsid w:val="000116CE"/>
    <w:rsid w:val="0001642B"/>
    <w:rsid w:val="0002471E"/>
    <w:rsid w:val="00033C7E"/>
    <w:rsid w:val="00040643"/>
    <w:rsid w:val="00042982"/>
    <w:rsid w:val="00047333"/>
    <w:rsid w:val="00047D89"/>
    <w:rsid w:val="00057257"/>
    <w:rsid w:val="00071CCE"/>
    <w:rsid w:val="00073C79"/>
    <w:rsid w:val="00086EA0"/>
    <w:rsid w:val="000A36B8"/>
    <w:rsid w:val="000A5AF5"/>
    <w:rsid w:val="000A697D"/>
    <w:rsid w:val="000C02DB"/>
    <w:rsid w:val="000C4A1E"/>
    <w:rsid w:val="000E01F1"/>
    <w:rsid w:val="00106F81"/>
    <w:rsid w:val="00123BB0"/>
    <w:rsid w:val="001357A6"/>
    <w:rsid w:val="001357AD"/>
    <w:rsid w:val="001358D0"/>
    <w:rsid w:val="00144BCF"/>
    <w:rsid w:val="00146E18"/>
    <w:rsid w:val="00151ADA"/>
    <w:rsid w:val="00154AC3"/>
    <w:rsid w:val="00166125"/>
    <w:rsid w:val="001663ED"/>
    <w:rsid w:val="00170225"/>
    <w:rsid w:val="001709E7"/>
    <w:rsid w:val="00173445"/>
    <w:rsid w:val="001856E5"/>
    <w:rsid w:val="00187EC5"/>
    <w:rsid w:val="00190142"/>
    <w:rsid w:val="001918A6"/>
    <w:rsid w:val="0019540C"/>
    <w:rsid w:val="001A1C43"/>
    <w:rsid w:val="001A2D51"/>
    <w:rsid w:val="001A7969"/>
    <w:rsid w:val="001A7A48"/>
    <w:rsid w:val="001A7D5A"/>
    <w:rsid w:val="001B1F5F"/>
    <w:rsid w:val="001B1F73"/>
    <w:rsid w:val="001B2E0E"/>
    <w:rsid w:val="001B438C"/>
    <w:rsid w:val="001C5571"/>
    <w:rsid w:val="001E0A0A"/>
    <w:rsid w:val="001E6830"/>
    <w:rsid w:val="001F369E"/>
    <w:rsid w:val="001F4343"/>
    <w:rsid w:val="002007DA"/>
    <w:rsid w:val="00211813"/>
    <w:rsid w:val="0021565D"/>
    <w:rsid w:val="002178B2"/>
    <w:rsid w:val="002238ED"/>
    <w:rsid w:val="00223F31"/>
    <w:rsid w:val="00224FD4"/>
    <w:rsid w:val="0022587E"/>
    <w:rsid w:val="00227F3F"/>
    <w:rsid w:val="002301D0"/>
    <w:rsid w:val="00240CA6"/>
    <w:rsid w:val="00242BDB"/>
    <w:rsid w:val="002455AD"/>
    <w:rsid w:val="00247759"/>
    <w:rsid w:val="00253624"/>
    <w:rsid w:val="002542E8"/>
    <w:rsid w:val="00260EDB"/>
    <w:rsid w:val="00266B30"/>
    <w:rsid w:val="0027273A"/>
    <w:rsid w:val="002876A8"/>
    <w:rsid w:val="002927F8"/>
    <w:rsid w:val="002948A7"/>
    <w:rsid w:val="00295CE2"/>
    <w:rsid w:val="002A77F0"/>
    <w:rsid w:val="002B0655"/>
    <w:rsid w:val="002B3349"/>
    <w:rsid w:val="002B6408"/>
    <w:rsid w:val="002C12F6"/>
    <w:rsid w:val="002C23D2"/>
    <w:rsid w:val="002D1FAE"/>
    <w:rsid w:val="002D2047"/>
    <w:rsid w:val="002D4672"/>
    <w:rsid w:val="002D5479"/>
    <w:rsid w:val="002D5846"/>
    <w:rsid w:val="002E1430"/>
    <w:rsid w:val="002E2FBF"/>
    <w:rsid w:val="002E2FFE"/>
    <w:rsid w:val="002E390F"/>
    <w:rsid w:val="002E48F7"/>
    <w:rsid w:val="00300942"/>
    <w:rsid w:val="003027DB"/>
    <w:rsid w:val="00305FE1"/>
    <w:rsid w:val="00306E33"/>
    <w:rsid w:val="00312876"/>
    <w:rsid w:val="00312E01"/>
    <w:rsid w:val="00314FF6"/>
    <w:rsid w:val="00321730"/>
    <w:rsid w:val="00321D28"/>
    <w:rsid w:val="0033133A"/>
    <w:rsid w:val="00333264"/>
    <w:rsid w:val="00347C01"/>
    <w:rsid w:val="00350C12"/>
    <w:rsid w:val="00351153"/>
    <w:rsid w:val="0035702E"/>
    <w:rsid w:val="003576F4"/>
    <w:rsid w:val="003642FB"/>
    <w:rsid w:val="00377DBE"/>
    <w:rsid w:val="00387F06"/>
    <w:rsid w:val="003A037F"/>
    <w:rsid w:val="003A587C"/>
    <w:rsid w:val="003A5C54"/>
    <w:rsid w:val="003A611B"/>
    <w:rsid w:val="003B374D"/>
    <w:rsid w:val="003B3D29"/>
    <w:rsid w:val="003B3F1B"/>
    <w:rsid w:val="003B5C4C"/>
    <w:rsid w:val="003B7499"/>
    <w:rsid w:val="003C30EB"/>
    <w:rsid w:val="003C354A"/>
    <w:rsid w:val="003C4386"/>
    <w:rsid w:val="003C6E26"/>
    <w:rsid w:val="003D3AB0"/>
    <w:rsid w:val="003D6733"/>
    <w:rsid w:val="003E30DB"/>
    <w:rsid w:val="003F2CD3"/>
    <w:rsid w:val="004029A4"/>
    <w:rsid w:val="00407E82"/>
    <w:rsid w:val="00412B8C"/>
    <w:rsid w:val="00414394"/>
    <w:rsid w:val="00414E79"/>
    <w:rsid w:val="00420DC6"/>
    <w:rsid w:val="00421A8E"/>
    <w:rsid w:val="00424158"/>
    <w:rsid w:val="00424B6E"/>
    <w:rsid w:val="00425854"/>
    <w:rsid w:val="00425CDA"/>
    <w:rsid w:val="00430E7A"/>
    <w:rsid w:val="00436CB3"/>
    <w:rsid w:val="00447CFF"/>
    <w:rsid w:val="00452188"/>
    <w:rsid w:val="004525BD"/>
    <w:rsid w:val="0045451E"/>
    <w:rsid w:val="00454833"/>
    <w:rsid w:val="00463FF4"/>
    <w:rsid w:val="00464CD5"/>
    <w:rsid w:val="0047121B"/>
    <w:rsid w:val="00471297"/>
    <w:rsid w:val="00471ACE"/>
    <w:rsid w:val="00474234"/>
    <w:rsid w:val="00476E5A"/>
    <w:rsid w:val="00477A2B"/>
    <w:rsid w:val="004813F3"/>
    <w:rsid w:val="004816C7"/>
    <w:rsid w:val="00484726"/>
    <w:rsid w:val="00491C2B"/>
    <w:rsid w:val="00493850"/>
    <w:rsid w:val="004979A5"/>
    <w:rsid w:val="00497E4F"/>
    <w:rsid w:val="00497ED3"/>
    <w:rsid w:val="004A4876"/>
    <w:rsid w:val="004A50E5"/>
    <w:rsid w:val="004A5563"/>
    <w:rsid w:val="004A5576"/>
    <w:rsid w:val="004B51B2"/>
    <w:rsid w:val="004B61C7"/>
    <w:rsid w:val="004C4210"/>
    <w:rsid w:val="004C6DDE"/>
    <w:rsid w:val="004C7D8C"/>
    <w:rsid w:val="004D4FBB"/>
    <w:rsid w:val="004E2A2D"/>
    <w:rsid w:val="004F0140"/>
    <w:rsid w:val="004F0B5A"/>
    <w:rsid w:val="004F2D64"/>
    <w:rsid w:val="004F65BE"/>
    <w:rsid w:val="00502FFC"/>
    <w:rsid w:val="005100D0"/>
    <w:rsid w:val="00511440"/>
    <w:rsid w:val="005134F4"/>
    <w:rsid w:val="00514A67"/>
    <w:rsid w:val="00515093"/>
    <w:rsid w:val="0051520F"/>
    <w:rsid w:val="0051650E"/>
    <w:rsid w:val="00521F7B"/>
    <w:rsid w:val="00523300"/>
    <w:rsid w:val="00530353"/>
    <w:rsid w:val="005330EC"/>
    <w:rsid w:val="0053344A"/>
    <w:rsid w:val="00535E4B"/>
    <w:rsid w:val="0053634F"/>
    <w:rsid w:val="00541DB9"/>
    <w:rsid w:val="005426B5"/>
    <w:rsid w:val="00544013"/>
    <w:rsid w:val="00545662"/>
    <w:rsid w:val="005502BF"/>
    <w:rsid w:val="00551CD1"/>
    <w:rsid w:val="00553029"/>
    <w:rsid w:val="00555292"/>
    <w:rsid w:val="005570E0"/>
    <w:rsid w:val="00560E17"/>
    <w:rsid w:val="00561866"/>
    <w:rsid w:val="00562255"/>
    <w:rsid w:val="00563DFA"/>
    <w:rsid w:val="00566408"/>
    <w:rsid w:val="00570578"/>
    <w:rsid w:val="00575828"/>
    <w:rsid w:val="00580EC9"/>
    <w:rsid w:val="0059646D"/>
    <w:rsid w:val="00596DF8"/>
    <w:rsid w:val="005A404B"/>
    <w:rsid w:val="005B045B"/>
    <w:rsid w:val="005B2891"/>
    <w:rsid w:val="005B46CE"/>
    <w:rsid w:val="005B4C02"/>
    <w:rsid w:val="005C5D7D"/>
    <w:rsid w:val="005C785E"/>
    <w:rsid w:val="005D3349"/>
    <w:rsid w:val="005D3B7F"/>
    <w:rsid w:val="005D497C"/>
    <w:rsid w:val="005E10F1"/>
    <w:rsid w:val="005E2273"/>
    <w:rsid w:val="005E5236"/>
    <w:rsid w:val="006018D8"/>
    <w:rsid w:val="00604966"/>
    <w:rsid w:val="0060765E"/>
    <w:rsid w:val="00607BF5"/>
    <w:rsid w:val="00611F27"/>
    <w:rsid w:val="006239C4"/>
    <w:rsid w:val="00625793"/>
    <w:rsid w:val="00627ECA"/>
    <w:rsid w:val="00631785"/>
    <w:rsid w:val="0063197F"/>
    <w:rsid w:val="00632B6B"/>
    <w:rsid w:val="00633382"/>
    <w:rsid w:val="00633791"/>
    <w:rsid w:val="00635D8A"/>
    <w:rsid w:val="006454B0"/>
    <w:rsid w:val="0064551C"/>
    <w:rsid w:val="006458C8"/>
    <w:rsid w:val="006528CE"/>
    <w:rsid w:val="0065478A"/>
    <w:rsid w:val="00661529"/>
    <w:rsid w:val="006804D7"/>
    <w:rsid w:val="006816F6"/>
    <w:rsid w:val="006871C6"/>
    <w:rsid w:val="00694DC8"/>
    <w:rsid w:val="006A16FB"/>
    <w:rsid w:val="006A24ED"/>
    <w:rsid w:val="006A7CCD"/>
    <w:rsid w:val="006B1421"/>
    <w:rsid w:val="006B528B"/>
    <w:rsid w:val="006B5D1D"/>
    <w:rsid w:val="006C08EA"/>
    <w:rsid w:val="006C5EF1"/>
    <w:rsid w:val="006D0A28"/>
    <w:rsid w:val="006D45A8"/>
    <w:rsid w:val="006E190F"/>
    <w:rsid w:val="006F1069"/>
    <w:rsid w:val="006F13BF"/>
    <w:rsid w:val="006F6A38"/>
    <w:rsid w:val="006F7743"/>
    <w:rsid w:val="007000D1"/>
    <w:rsid w:val="00700814"/>
    <w:rsid w:val="00712E79"/>
    <w:rsid w:val="00713002"/>
    <w:rsid w:val="0071671E"/>
    <w:rsid w:val="00716CBA"/>
    <w:rsid w:val="00716D12"/>
    <w:rsid w:val="00717ECD"/>
    <w:rsid w:val="0072100B"/>
    <w:rsid w:val="0072182C"/>
    <w:rsid w:val="00732CF5"/>
    <w:rsid w:val="00743DDB"/>
    <w:rsid w:val="00747083"/>
    <w:rsid w:val="0075067A"/>
    <w:rsid w:val="00754CB2"/>
    <w:rsid w:val="007611E9"/>
    <w:rsid w:val="0076273E"/>
    <w:rsid w:val="00762883"/>
    <w:rsid w:val="007740B3"/>
    <w:rsid w:val="00781FB1"/>
    <w:rsid w:val="00796816"/>
    <w:rsid w:val="007A019E"/>
    <w:rsid w:val="007A3DF0"/>
    <w:rsid w:val="007C368C"/>
    <w:rsid w:val="007C3DA1"/>
    <w:rsid w:val="007D54E7"/>
    <w:rsid w:val="007E353E"/>
    <w:rsid w:val="007E57CC"/>
    <w:rsid w:val="007F1B1B"/>
    <w:rsid w:val="007F5F95"/>
    <w:rsid w:val="00801559"/>
    <w:rsid w:val="008073F2"/>
    <w:rsid w:val="008115BE"/>
    <w:rsid w:val="00812D29"/>
    <w:rsid w:val="00815CDF"/>
    <w:rsid w:val="00816856"/>
    <w:rsid w:val="008215BE"/>
    <w:rsid w:val="0082369B"/>
    <w:rsid w:val="00823F63"/>
    <w:rsid w:val="00824CC3"/>
    <w:rsid w:val="00843D01"/>
    <w:rsid w:val="0084662F"/>
    <w:rsid w:val="00850459"/>
    <w:rsid w:val="00862E7C"/>
    <w:rsid w:val="0086526B"/>
    <w:rsid w:val="0087033D"/>
    <w:rsid w:val="00877518"/>
    <w:rsid w:val="00882E2E"/>
    <w:rsid w:val="00890F2B"/>
    <w:rsid w:val="008912B1"/>
    <w:rsid w:val="0089516F"/>
    <w:rsid w:val="0089613B"/>
    <w:rsid w:val="008A20C5"/>
    <w:rsid w:val="008A4A1C"/>
    <w:rsid w:val="008A4F72"/>
    <w:rsid w:val="008A57D3"/>
    <w:rsid w:val="008A5B1D"/>
    <w:rsid w:val="008A7455"/>
    <w:rsid w:val="008A77D7"/>
    <w:rsid w:val="008B18DE"/>
    <w:rsid w:val="008B4C5F"/>
    <w:rsid w:val="008B5B0F"/>
    <w:rsid w:val="008D00DB"/>
    <w:rsid w:val="008D0317"/>
    <w:rsid w:val="008D1027"/>
    <w:rsid w:val="008D329C"/>
    <w:rsid w:val="008D3D54"/>
    <w:rsid w:val="008E301F"/>
    <w:rsid w:val="008E38B2"/>
    <w:rsid w:val="008E3EBA"/>
    <w:rsid w:val="008F5406"/>
    <w:rsid w:val="008F78E7"/>
    <w:rsid w:val="00901D0C"/>
    <w:rsid w:val="0090356C"/>
    <w:rsid w:val="00904BC8"/>
    <w:rsid w:val="00905566"/>
    <w:rsid w:val="00905C56"/>
    <w:rsid w:val="00916936"/>
    <w:rsid w:val="009309D7"/>
    <w:rsid w:val="00933903"/>
    <w:rsid w:val="00934E94"/>
    <w:rsid w:val="00937DB5"/>
    <w:rsid w:val="00941972"/>
    <w:rsid w:val="00942C3E"/>
    <w:rsid w:val="009561D2"/>
    <w:rsid w:val="00973EA9"/>
    <w:rsid w:val="00975298"/>
    <w:rsid w:val="0098068A"/>
    <w:rsid w:val="00982F32"/>
    <w:rsid w:val="0098391F"/>
    <w:rsid w:val="009861F9"/>
    <w:rsid w:val="0099296F"/>
    <w:rsid w:val="00994A06"/>
    <w:rsid w:val="009975D4"/>
    <w:rsid w:val="009C73CD"/>
    <w:rsid w:val="009D0100"/>
    <w:rsid w:val="009D1670"/>
    <w:rsid w:val="009D4C19"/>
    <w:rsid w:val="009E0D95"/>
    <w:rsid w:val="009E1814"/>
    <w:rsid w:val="009E365E"/>
    <w:rsid w:val="009F24C0"/>
    <w:rsid w:val="00A02461"/>
    <w:rsid w:val="00A030F9"/>
    <w:rsid w:val="00A14B30"/>
    <w:rsid w:val="00A22C09"/>
    <w:rsid w:val="00A26E81"/>
    <w:rsid w:val="00A303F3"/>
    <w:rsid w:val="00A3106A"/>
    <w:rsid w:val="00A3226A"/>
    <w:rsid w:val="00A328E9"/>
    <w:rsid w:val="00A3357F"/>
    <w:rsid w:val="00A34B12"/>
    <w:rsid w:val="00A35137"/>
    <w:rsid w:val="00A45F6B"/>
    <w:rsid w:val="00A466EC"/>
    <w:rsid w:val="00A54FB9"/>
    <w:rsid w:val="00A557E0"/>
    <w:rsid w:val="00A57053"/>
    <w:rsid w:val="00A60BEC"/>
    <w:rsid w:val="00A672A7"/>
    <w:rsid w:val="00A678FA"/>
    <w:rsid w:val="00A70410"/>
    <w:rsid w:val="00A73DE0"/>
    <w:rsid w:val="00A74036"/>
    <w:rsid w:val="00A837AE"/>
    <w:rsid w:val="00A86869"/>
    <w:rsid w:val="00A87FD8"/>
    <w:rsid w:val="00A90EB2"/>
    <w:rsid w:val="00AA2290"/>
    <w:rsid w:val="00AA6E5D"/>
    <w:rsid w:val="00AB0421"/>
    <w:rsid w:val="00AB72B4"/>
    <w:rsid w:val="00AC26B1"/>
    <w:rsid w:val="00AC2B9C"/>
    <w:rsid w:val="00AC601D"/>
    <w:rsid w:val="00AF22C7"/>
    <w:rsid w:val="00AF377F"/>
    <w:rsid w:val="00B0051A"/>
    <w:rsid w:val="00B0463B"/>
    <w:rsid w:val="00B054DE"/>
    <w:rsid w:val="00B0752B"/>
    <w:rsid w:val="00B21951"/>
    <w:rsid w:val="00B220C1"/>
    <w:rsid w:val="00B2340A"/>
    <w:rsid w:val="00B25C76"/>
    <w:rsid w:val="00B444DF"/>
    <w:rsid w:val="00B47587"/>
    <w:rsid w:val="00B500E3"/>
    <w:rsid w:val="00B5394D"/>
    <w:rsid w:val="00B5477A"/>
    <w:rsid w:val="00B61374"/>
    <w:rsid w:val="00B61416"/>
    <w:rsid w:val="00B615AC"/>
    <w:rsid w:val="00B65DCD"/>
    <w:rsid w:val="00B85DFA"/>
    <w:rsid w:val="00B90A4A"/>
    <w:rsid w:val="00BA22D9"/>
    <w:rsid w:val="00BB192F"/>
    <w:rsid w:val="00BC1FD1"/>
    <w:rsid w:val="00BC3639"/>
    <w:rsid w:val="00BD2E1A"/>
    <w:rsid w:val="00BD6204"/>
    <w:rsid w:val="00BE6A80"/>
    <w:rsid w:val="00BF0C7B"/>
    <w:rsid w:val="00C005B6"/>
    <w:rsid w:val="00C02CE7"/>
    <w:rsid w:val="00C063CC"/>
    <w:rsid w:val="00C17495"/>
    <w:rsid w:val="00C20EA8"/>
    <w:rsid w:val="00C25F16"/>
    <w:rsid w:val="00C3061D"/>
    <w:rsid w:val="00C30653"/>
    <w:rsid w:val="00C30DE8"/>
    <w:rsid w:val="00C37A79"/>
    <w:rsid w:val="00C4013F"/>
    <w:rsid w:val="00C4365E"/>
    <w:rsid w:val="00C43A80"/>
    <w:rsid w:val="00C53BF1"/>
    <w:rsid w:val="00C55108"/>
    <w:rsid w:val="00C55326"/>
    <w:rsid w:val="00C579D3"/>
    <w:rsid w:val="00C65A04"/>
    <w:rsid w:val="00C67855"/>
    <w:rsid w:val="00C871AD"/>
    <w:rsid w:val="00C96D00"/>
    <w:rsid w:val="00CB751E"/>
    <w:rsid w:val="00CC18B8"/>
    <w:rsid w:val="00CC6CBD"/>
    <w:rsid w:val="00CE0E99"/>
    <w:rsid w:val="00CE5793"/>
    <w:rsid w:val="00D05764"/>
    <w:rsid w:val="00D07534"/>
    <w:rsid w:val="00D11D4D"/>
    <w:rsid w:val="00D12A9E"/>
    <w:rsid w:val="00D13524"/>
    <w:rsid w:val="00D13EFA"/>
    <w:rsid w:val="00D15128"/>
    <w:rsid w:val="00D21290"/>
    <w:rsid w:val="00D24B0D"/>
    <w:rsid w:val="00D32EF6"/>
    <w:rsid w:val="00D57472"/>
    <w:rsid w:val="00D66D4A"/>
    <w:rsid w:val="00D76B3A"/>
    <w:rsid w:val="00D7780D"/>
    <w:rsid w:val="00D77986"/>
    <w:rsid w:val="00D80198"/>
    <w:rsid w:val="00D83726"/>
    <w:rsid w:val="00D83D71"/>
    <w:rsid w:val="00D85C00"/>
    <w:rsid w:val="00D91960"/>
    <w:rsid w:val="00DA3138"/>
    <w:rsid w:val="00DA3B23"/>
    <w:rsid w:val="00DA4EB0"/>
    <w:rsid w:val="00DB1CE9"/>
    <w:rsid w:val="00DC0073"/>
    <w:rsid w:val="00DC6489"/>
    <w:rsid w:val="00DC7599"/>
    <w:rsid w:val="00DD0D24"/>
    <w:rsid w:val="00DD14E9"/>
    <w:rsid w:val="00DD7970"/>
    <w:rsid w:val="00DE1C5E"/>
    <w:rsid w:val="00DE2886"/>
    <w:rsid w:val="00DF049B"/>
    <w:rsid w:val="00DF7FB3"/>
    <w:rsid w:val="00E01610"/>
    <w:rsid w:val="00E020B4"/>
    <w:rsid w:val="00E053AB"/>
    <w:rsid w:val="00E104A8"/>
    <w:rsid w:val="00E1366C"/>
    <w:rsid w:val="00E20565"/>
    <w:rsid w:val="00E20BF3"/>
    <w:rsid w:val="00E248A2"/>
    <w:rsid w:val="00E30332"/>
    <w:rsid w:val="00E3506E"/>
    <w:rsid w:val="00E400FA"/>
    <w:rsid w:val="00E432DB"/>
    <w:rsid w:val="00E47B97"/>
    <w:rsid w:val="00E63D27"/>
    <w:rsid w:val="00E656C6"/>
    <w:rsid w:val="00E77182"/>
    <w:rsid w:val="00E931A9"/>
    <w:rsid w:val="00E94C71"/>
    <w:rsid w:val="00E966FA"/>
    <w:rsid w:val="00EA1BDB"/>
    <w:rsid w:val="00EA48CC"/>
    <w:rsid w:val="00EA4D9D"/>
    <w:rsid w:val="00EC074F"/>
    <w:rsid w:val="00EC2E33"/>
    <w:rsid w:val="00EC7186"/>
    <w:rsid w:val="00ED3371"/>
    <w:rsid w:val="00ED76B7"/>
    <w:rsid w:val="00ED7C67"/>
    <w:rsid w:val="00EE1A3D"/>
    <w:rsid w:val="00EE3E7F"/>
    <w:rsid w:val="00EE4DDF"/>
    <w:rsid w:val="00EE69FB"/>
    <w:rsid w:val="00EF042C"/>
    <w:rsid w:val="00EF77A1"/>
    <w:rsid w:val="00F068D8"/>
    <w:rsid w:val="00F10629"/>
    <w:rsid w:val="00F137B0"/>
    <w:rsid w:val="00F24954"/>
    <w:rsid w:val="00F27269"/>
    <w:rsid w:val="00F34A0B"/>
    <w:rsid w:val="00F35AB6"/>
    <w:rsid w:val="00F431F2"/>
    <w:rsid w:val="00F4395E"/>
    <w:rsid w:val="00F45A81"/>
    <w:rsid w:val="00F51A86"/>
    <w:rsid w:val="00F51ACD"/>
    <w:rsid w:val="00F523D7"/>
    <w:rsid w:val="00F52580"/>
    <w:rsid w:val="00F54302"/>
    <w:rsid w:val="00F54954"/>
    <w:rsid w:val="00F55E7E"/>
    <w:rsid w:val="00F616F8"/>
    <w:rsid w:val="00F63C03"/>
    <w:rsid w:val="00F67428"/>
    <w:rsid w:val="00F73819"/>
    <w:rsid w:val="00F7431B"/>
    <w:rsid w:val="00F7681D"/>
    <w:rsid w:val="00F77A19"/>
    <w:rsid w:val="00F83B07"/>
    <w:rsid w:val="00F8610A"/>
    <w:rsid w:val="00F86975"/>
    <w:rsid w:val="00F91147"/>
    <w:rsid w:val="00F91B0F"/>
    <w:rsid w:val="00F93F3C"/>
    <w:rsid w:val="00F94EBA"/>
    <w:rsid w:val="00FB119B"/>
    <w:rsid w:val="00FB4C01"/>
    <w:rsid w:val="00FB7965"/>
    <w:rsid w:val="00FC12CD"/>
    <w:rsid w:val="00FC4808"/>
    <w:rsid w:val="00FC74CB"/>
    <w:rsid w:val="00FD1174"/>
    <w:rsid w:val="00FD3CDE"/>
    <w:rsid w:val="00FE2324"/>
    <w:rsid w:val="00FE29F6"/>
    <w:rsid w:val="00FE316F"/>
    <w:rsid w:val="00FE39A5"/>
    <w:rsid w:val="00FE3E06"/>
    <w:rsid w:val="00FF03B3"/>
    <w:rsid w:val="00FF4CC7"/>
    <w:rsid w:val="00FF58FB"/>
    <w:rsid w:val="00FF61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F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C5"/>
    <w:pPr>
      <w:spacing w:after="240" w:line="300" w:lineRule="auto"/>
    </w:pPr>
  </w:style>
  <w:style w:type="paragraph" w:styleId="Heading1">
    <w:name w:val="heading 1"/>
    <w:basedOn w:val="Normal"/>
    <w:next w:val="Normal"/>
    <w:link w:val="Heading1Char"/>
    <w:uiPriority w:val="9"/>
    <w:qFormat/>
    <w:rsid w:val="00333264"/>
    <w:pPr>
      <w:keepNext/>
      <w:keepLines/>
      <w:numPr>
        <w:numId w:val="1"/>
      </w:numPr>
      <w:spacing w:before="120" w:after="3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00D1"/>
    <w:pPr>
      <w:keepNext/>
      <w:keepLines/>
      <w:numPr>
        <w:ilvl w:val="1"/>
        <w:numId w:val="1"/>
      </w:numPr>
      <w:spacing w:before="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273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273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273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273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273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273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273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7F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FB3"/>
    <w:rPr>
      <w:sz w:val="20"/>
      <w:szCs w:val="20"/>
    </w:rPr>
  </w:style>
  <w:style w:type="character" w:styleId="EndnoteReference">
    <w:name w:val="endnote reference"/>
    <w:basedOn w:val="DefaultParagraphFont"/>
    <w:uiPriority w:val="99"/>
    <w:semiHidden/>
    <w:unhideWhenUsed/>
    <w:rsid w:val="00DF7FB3"/>
    <w:rPr>
      <w:vertAlign w:val="superscript"/>
    </w:rPr>
  </w:style>
  <w:style w:type="paragraph" w:styleId="FootnoteText">
    <w:name w:val="footnote text"/>
    <w:basedOn w:val="Normal"/>
    <w:link w:val="FootnoteTextChar"/>
    <w:uiPriority w:val="99"/>
    <w:unhideWhenUsed/>
    <w:rsid w:val="00033C7E"/>
    <w:pPr>
      <w:spacing w:after="0" w:line="240" w:lineRule="auto"/>
    </w:pPr>
    <w:rPr>
      <w:sz w:val="20"/>
      <w:szCs w:val="20"/>
    </w:rPr>
  </w:style>
  <w:style w:type="character" w:customStyle="1" w:styleId="FootnoteTextChar">
    <w:name w:val="Footnote Text Char"/>
    <w:basedOn w:val="DefaultParagraphFont"/>
    <w:link w:val="FootnoteText"/>
    <w:uiPriority w:val="99"/>
    <w:rsid w:val="00033C7E"/>
    <w:rPr>
      <w:sz w:val="20"/>
      <w:szCs w:val="20"/>
    </w:rPr>
  </w:style>
  <w:style w:type="character" w:styleId="FootnoteReference">
    <w:name w:val="footnote reference"/>
    <w:basedOn w:val="DefaultParagraphFont"/>
    <w:uiPriority w:val="99"/>
    <w:unhideWhenUsed/>
    <w:rsid w:val="00033C7E"/>
    <w:rPr>
      <w:vertAlign w:val="superscript"/>
    </w:rPr>
  </w:style>
  <w:style w:type="character" w:customStyle="1" w:styleId="Heading1Char">
    <w:name w:val="Heading 1 Char"/>
    <w:basedOn w:val="DefaultParagraphFont"/>
    <w:link w:val="Heading1"/>
    <w:uiPriority w:val="9"/>
    <w:rsid w:val="0033326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E2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27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000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2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27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27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27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27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27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273A"/>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CC6CBD"/>
    <w:pPr>
      <w:ind w:left="567" w:right="567"/>
    </w:pPr>
    <w:rPr>
      <w:i/>
      <w:iCs/>
      <w:color w:val="000000" w:themeColor="text1"/>
    </w:rPr>
  </w:style>
  <w:style w:type="character" w:customStyle="1" w:styleId="QuoteChar">
    <w:name w:val="Quote Char"/>
    <w:basedOn w:val="DefaultParagraphFont"/>
    <w:link w:val="Quote"/>
    <w:uiPriority w:val="29"/>
    <w:rsid w:val="00CC6CBD"/>
    <w:rPr>
      <w:i/>
      <w:iCs/>
      <w:color w:val="000000" w:themeColor="text1"/>
    </w:rPr>
  </w:style>
  <w:style w:type="paragraph" w:styleId="Footer">
    <w:name w:val="footer"/>
    <w:basedOn w:val="Normal"/>
    <w:link w:val="FooterChar"/>
    <w:uiPriority w:val="99"/>
    <w:unhideWhenUsed/>
    <w:rsid w:val="00FF61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61EB"/>
  </w:style>
  <w:style w:type="character" w:styleId="PageNumber">
    <w:name w:val="page number"/>
    <w:basedOn w:val="DefaultParagraphFont"/>
    <w:uiPriority w:val="99"/>
    <w:semiHidden/>
    <w:unhideWhenUsed/>
    <w:rsid w:val="00FF61EB"/>
  </w:style>
  <w:style w:type="paragraph" w:styleId="BalloonText">
    <w:name w:val="Balloon Text"/>
    <w:basedOn w:val="Normal"/>
    <w:link w:val="BalloonTextChar"/>
    <w:uiPriority w:val="99"/>
    <w:semiHidden/>
    <w:unhideWhenUsed/>
    <w:rsid w:val="00A024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461"/>
    <w:rPr>
      <w:rFonts w:ascii="Lucida Grande" w:hAnsi="Lucida Grande" w:cs="Lucida Grande"/>
      <w:sz w:val="18"/>
      <w:szCs w:val="18"/>
    </w:rPr>
  </w:style>
  <w:style w:type="paragraph" w:styleId="Caption">
    <w:name w:val="caption"/>
    <w:basedOn w:val="Normal"/>
    <w:next w:val="Normal"/>
    <w:uiPriority w:val="35"/>
    <w:unhideWhenUsed/>
    <w:qFormat/>
    <w:rsid w:val="001F369E"/>
    <w:pPr>
      <w:keepNext/>
      <w:spacing w:before="240" w:after="0" w:line="240" w:lineRule="auto"/>
    </w:pPr>
    <w:rPr>
      <w:b/>
      <w:bCs/>
      <w:color w:val="4F81BD" w:themeColor="accent1"/>
      <w:szCs w:val="18"/>
    </w:rPr>
  </w:style>
  <w:style w:type="character" w:styleId="Hyperlink">
    <w:name w:val="Hyperlink"/>
    <w:basedOn w:val="DefaultParagraphFont"/>
    <w:uiPriority w:val="99"/>
    <w:unhideWhenUsed/>
    <w:rsid w:val="0051650E"/>
    <w:rPr>
      <w:color w:val="0000FF" w:themeColor="hyperlink"/>
      <w:u w:val="single"/>
    </w:rPr>
  </w:style>
  <w:style w:type="character" w:styleId="CommentReference">
    <w:name w:val="annotation reference"/>
    <w:basedOn w:val="DefaultParagraphFont"/>
    <w:uiPriority w:val="99"/>
    <w:semiHidden/>
    <w:unhideWhenUsed/>
    <w:rsid w:val="00B47587"/>
    <w:rPr>
      <w:sz w:val="18"/>
      <w:szCs w:val="18"/>
    </w:rPr>
  </w:style>
  <w:style w:type="paragraph" w:styleId="CommentText">
    <w:name w:val="annotation text"/>
    <w:basedOn w:val="Normal"/>
    <w:link w:val="CommentTextChar"/>
    <w:uiPriority w:val="99"/>
    <w:semiHidden/>
    <w:unhideWhenUsed/>
    <w:rsid w:val="00B47587"/>
    <w:pPr>
      <w:spacing w:line="240" w:lineRule="auto"/>
    </w:pPr>
    <w:rPr>
      <w:sz w:val="24"/>
      <w:szCs w:val="24"/>
    </w:rPr>
  </w:style>
  <w:style w:type="character" w:customStyle="1" w:styleId="CommentTextChar">
    <w:name w:val="Comment Text Char"/>
    <w:basedOn w:val="DefaultParagraphFont"/>
    <w:link w:val="CommentText"/>
    <w:uiPriority w:val="99"/>
    <w:semiHidden/>
    <w:rsid w:val="00B47587"/>
    <w:rPr>
      <w:sz w:val="24"/>
      <w:szCs w:val="24"/>
    </w:rPr>
  </w:style>
  <w:style w:type="paragraph" w:styleId="CommentSubject">
    <w:name w:val="annotation subject"/>
    <w:basedOn w:val="CommentText"/>
    <w:next w:val="CommentText"/>
    <w:link w:val="CommentSubjectChar"/>
    <w:uiPriority w:val="99"/>
    <w:semiHidden/>
    <w:unhideWhenUsed/>
    <w:rsid w:val="00B47587"/>
    <w:rPr>
      <w:b/>
      <w:bCs/>
      <w:sz w:val="20"/>
      <w:szCs w:val="20"/>
    </w:rPr>
  </w:style>
  <w:style w:type="character" w:customStyle="1" w:styleId="CommentSubjectChar">
    <w:name w:val="Comment Subject Char"/>
    <w:basedOn w:val="CommentTextChar"/>
    <w:link w:val="CommentSubject"/>
    <w:uiPriority w:val="99"/>
    <w:semiHidden/>
    <w:rsid w:val="00B47587"/>
    <w:rPr>
      <w:b/>
      <w:bCs/>
      <w:sz w:val="20"/>
      <w:szCs w:val="20"/>
    </w:rPr>
  </w:style>
  <w:style w:type="paragraph" w:styleId="ListParagraph">
    <w:name w:val="List Paragraph"/>
    <w:basedOn w:val="Normal"/>
    <w:uiPriority w:val="34"/>
    <w:qFormat/>
    <w:rsid w:val="00C4013F"/>
    <w:pPr>
      <w:ind w:left="720"/>
      <w:contextualSpacing/>
    </w:pPr>
  </w:style>
  <w:style w:type="paragraph" w:styleId="Header">
    <w:name w:val="header"/>
    <w:basedOn w:val="Normal"/>
    <w:link w:val="HeaderChar"/>
    <w:uiPriority w:val="99"/>
    <w:unhideWhenUsed/>
    <w:rsid w:val="00452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BD"/>
  </w:style>
  <w:style w:type="paragraph" w:styleId="Revision">
    <w:name w:val="Revision"/>
    <w:hidden/>
    <w:uiPriority w:val="99"/>
    <w:semiHidden/>
    <w:rsid w:val="004525B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C5"/>
    <w:pPr>
      <w:spacing w:after="240" w:line="300" w:lineRule="auto"/>
    </w:pPr>
  </w:style>
  <w:style w:type="paragraph" w:styleId="Heading1">
    <w:name w:val="heading 1"/>
    <w:basedOn w:val="Normal"/>
    <w:next w:val="Normal"/>
    <w:link w:val="Heading1Char"/>
    <w:uiPriority w:val="9"/>
    <w:qFormat/>
    <w:rsid w:val="00333264"/>
    <w:pPr>
      <w:keepNext/>
      <w:keepLines/>
      <w:numPr>
        <w:numId w:val="1"/>
      </w:numPr>
      <w:spacing w:before="120" w:after="3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00D1"/>
    <w:pPr>
      <w:keepNext/>
      <w:keepLines/>
      <w:numPr>
        <w:ilvl w:val="1"/>
        <w:numId w:val="1"/>
      </w:numPr>
      <w:spacing w:before="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273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273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273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273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273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273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273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7F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FB3"/>
    <w:rPr>
      <w:sz w:val="20"/>
      <w:szCs w:val="20"/>
    </w:rPr>
  </w:style>
  <w:style w:type="character" w:styleId="EndnoteReference">
    <w:name w:val="endnote reference"/>
    <w:basedOn w:val="DefaultParagraphFont"/>
    <w:uiPriority w:val="99"/>
    <w:semiHidden/>
    <w:unhideWhenUsed/>
    <w:rsid w:val="00DF7FB3"/>
    <w:rPr>
      <w:vertAlign w:val="superscript"/>
    </w:rPr>
  </w:style>
  <w:style w:type="paragraph" w:styleId="FootnoteText">
    <w:name w:val="footnote text"/>
    <w:basedOn w:val="Normal"/>
    <w:link w:val="FootnoteTextChar"/>
    <w:uiPriority w:val="99"/>
    <w:unhideWhenUsed/>
    <w:rsid w:val="00033C7E"/>
    <w:pPr>
      <w:spacing w:after="0" w:line="240" w:lineRule="auto"/>
    </w:pPr>
    <w:rPr>
      <w:sz w:val="20"/>
      <w:szCs w:val="20"/>
    </w:rPr>
  </w:style>
  <w:style w:type="character" w:customStyle="1" w:styleId="FootnoteTextChar">
    <w:name w:val="Footnote Text Char"/>
    <w:basedOn w:val="DefaultParagraphFont"/>
    <w:link w:val="FootnoteText"/>
    <w:uiPriority w:val="99"/>
    <w:rsid w:val="00033C7E"/>
    <w:rPr>
      <w:sz w:val="20"/>
      <w:szCs w:val="20"/>
    </w:rPr>
  </w:style>
  <w:style w:type="character" w:styleId="FootnoteReference">
    <w:name w:val="footnote reference"/>
    <w:basedOn w:val="DefaultParagraphFont"/>
    <w:uiPriority w:val="99"/>
    <w:unhideWhenUsed/>
    <w:rsid w:val="00033C7E"/>
    <w:rPr>
      <w:vertAlign w:val="superscript"/>
    </w:rPr>
  </w:style>
  <w:style w:type="character" w:customStyle="1" w:styleId="Heading1Char">
    <w:name w:val="Heading 1 Char"/>
    <w:basedOn w:val="DefaultParagraphFont"/>
    <w:link w:val="Heading1"/>
    <w:uiPriority w:val="9"/>
    <w:rsid w:val="0033326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E2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27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000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2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27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27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27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27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27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273A"/>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CC6CBD"/>
    <w:pPr>
      <w:ind w:left="567" w:right="567"/>
    </w:pPr>
    <w:rPr>
      <w:i/>
      <w:iCs/>
      <w:color w:val="000000" w:themeColor="text1"/>
    </w:rPr>
  </w:style>
  <w:style w:type="character" w:customStyle="1" w:styleId="QuoteChar">
    <w:name w:val="Quote Char"/>
    <w:basedOn w:val="DefaultParagraphFont"/>
    <w:link w:val="Quote"/>
    <w:uiPriority w:val="29"/>
    <w:rsid w:val="00CC6CBD"/>
    <w:rPr>
      <w:i/>
      <w:iCs/>
      <w:color w:val="000000" w:themeColor="text1"/>
    </w:rPr>
  </w:style>
  <w:style w:type="paragraph" w:styleId="Footer">
    <w:name w:val="footer"/>
    <w:basedOn w:val="Normal"/>
    <w:link w:val="FooterChar"/>
    <w:uiPriority w:val="99"/>
    <w:unhideWhenUsed/>
    <w:rsid w:val="00FF61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61EB"/>
  </w:style>
  <w:style w:type="character" w:styleId="PageNumber">
    <w:name w:val="page number"/>
    <w:basedOn w:val="DefaultParagraphFont"/>
    <w:uiPriority w:val="99"/>
    <w:semiHidden/>
    <w:unhideWhenUsed/>
    <w:rsid w:val="00FF61EB"/>
  </w:style>
  <w:style w:type="paragraph" w:styleId="BalloonText">
    <w:name w:val="Balloon Text"/>
    <w:basedOn w:val="Normal"/>
    <w:link w:val="BalloonTextChar"/>
    <w:uiPriority w:val="99"/>
    <w:semiHidden/>
    <w:unhideWhenUsed/>
    <w:rsid w:val="00A024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461"/>
    <w:rPr>
      <w:rFonts w:ascii="Lucida Grande" w:hAnsi="Lucida Grande" w:cs="Lucida Grande"/>
      <w:sz w:val="18"/>
      <w:szCs w:val="18"/>
    </w:rPr>
  </w:style>
  <w:style w:type="paragraph" w:styleId="Caption">
    <w:name w:val="caption"/>
    <w:basedOn w:val="Normal"/>
    <w:next w:val="Normal"/>
    <w:uiPriority w:val="35"/>
    <w:unhideWhenUsed/>
    <w:qFormat/>
    <w:rsid w:val="001F369E"/>
    <w:pPr>
      <w:keepNext/>
      <w:spacing w:before="240" w:after="0" w:line="240" w:lineRule="auto"/>
    </w:pPr>
    <w:rPr>
      <w:b/>
      <w:bCs/>
      <w:color w:val="4F81BD" w:themeColor="accent1"/>
      <w:szCs w:val="18"/>
    </w:rPr>
  </w:style>
  <w:style w:type="character" w:styleId="Hyperlink">
    <w:name w:val="Hyperlink"/>
    <w:basedOn w:val="DefaultParagraphFont"/>
    <w:uiPriority w:val="99"/>
    <w:unhideWhenUsed/>
    <w:rsid w:val="0051650E"/>
    <w:rPr>
      <w:color w:val="0000FF" w:themeColor="hyperlink"/>
      <w:u w:val="single"/>
    </w:rPr>
  </w:style>
  <w:style w:type="character" w:styleId="CommentReference">
    <w:name w:val="annotation reference"/>
    <w:basedOn w:val="DefaultParagraphFont"/>
    <w:uiPriority w:val="99"/>
    <w:semiHidden/>
    <w:unhideWhenUsed/>
    <w:rsid w:val="00B47587"/>
    <w:rPr>
      <w:sz w:val="18"/>
      <w:szCs w:val="18"/>
    </w:rPr>
  </w:style>
  <w:style w:type="paragraph" w:styleId="CommentText">
    <w:name w:val="annotation text"/>
    <w:basedOn w:val="Normal"/>
    <w:link w:val="CommentTextChar"/>
    <w:uiPriority w:val="99"/>
    <w:semiHidden/>
    <w:unhideWhenUsed/>
    <w:rsid w:val="00B47587"/>
    <w:pPr>
      <w:spacing w:line="240" w:lineRule="auto"/>
    </w:pPr>
    <w:rPr>
      <w:sz w:val="24"/>
      <w:szCs w:val="24"/>
    </w:rPr>
  </w:style>
  <w:style w:type="character" w:customStyle="1" w:styleId="CommentTextChar">
    <w:name w:val="Comment Text Char"/>
    <w:basedOn w:val="DefaultParagraphFont"/>
    <w:link w:val="CommentText"/>
    <w:uiPriority w:val="99"/>
    <w:semiHidden/>
    <w:rsid w:val="00B47587"/>
    <w:rPr>
      <w:sz w:val="24"/>
      <w:szCs w:val="24"/>
    </w:rPr>
  </w:style>
  <w:style w:type="paragraph" w:styleId="CommentSubject">
    <w:name w:val="annotation subject"/>
    <w:basedOn w:val="CommentText"/>
    <w:next w:val="CommentText"/>
    <w:link w:val="CommentSubjectChar"/>
    <w:uiPriority w:val="99"/>
    <w:semiHidden/>
    <w:unhideWhenUsed/>
    <w:rsid w:val="00B47587"/>
    <w:rPr>
      <w:b/>
      <w:bCs/>
      <w:sz w:val="20"/>
      <w:szCs w:val="20"/>
    </w:rPr>
  </w:style>
  <w:style w:type="character" w:customStyle="1" w:styleId="CommentSubjectChar">
    <w:name w:val="Comment Subject Char"/>
    <w:basedOn w:val="CommentTextChar"/>
    <w:link w:val="CommentSubject"/>
    <w:uiPriority w:val="99"/>
    <w:semiHidden/>
    <w:rsid w:val="00B47587"/>
    <w:rPr>
      <w:b/>
      <w:bCs/>
      <w:sz w:val="20"/>
      <w:szCs w:val="20"/>
    </w:rPr>
  </w:style>
  <w:style w:type="paragraph" w:styleId="ListParagraph">
    <w:name w:val="List Paragraph"/>
    <w:basedOn w:val="Normal"/>
    <w:uiPriority w:val="34"/>
    <w:qFormat/>
    <w:rsid w:val="00C4013F"/>
    <w:pPr>
      <w:ind w:left="720"/>
      <w:contextualSpacing/>
    </w:pPr>
  </w:style>
  <w:style w:type="paragraph" w:styleId="Header">
    <w:name w:val="header"/>
    <w:basedOn w:val="Normal"/>
    <w:link w:val="HeaderChar"/>
    <w:uiPriority w:val="99"/>
    <w:unhideWhenUsed/>
    <w:rsid w:val="00452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BD"/>
  </w:style>
  <w:style w:type="paragraph" w:styleId="Revision">
    <w:name w:val="Revision"/>
    <w:hidden/>
    <w:uiPriority w:val="99"/>
    <w:semiHidden/>
    <w:rsid w:val="00452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31719">
      <w:bodyDiv w:val="1"/>
      <w:marLeft w:val="0"/>
      <w:marRight w:val="0"/>
      <w:marTop w:val="0"/>
      <w:marBottom w:val="0"/>
      <w:divBdr>
        <w:top w:val="none" w:sz="0" w:space="0" w:color="auto"/>
        <w:left w:val="none" w:sz="0" w:space="0" w:color="auto"/>
        <w:bottom w:val="none" w:sz="0" w:space="0" w:color="auto"/>
        <w:right w:val="none" w:sz="0" w:space="0" w:color="auto"/>
      </w:divBdr>
    </w:div>
    <w:div w:id="1644502760">
      <w:bodyDiv w:val="1"/>
      <w:marLeft w:val="0"/>
      <w:marRight w:val="0"/>
      <w:marTop w:val="0"/>
      <w:marBottom w:val="0"/>
      <w:divBdr>
        <w:top w:val="none" w:sz="0" w:space="0" w:color="auto"/>
        <w:left w:val="none" w:sz="0" w:space="0" w:color="auto"/>
        <w:bottom w:val="none" w:sz="0" w:space="0" w:color="auto"/>
        <w:right w:val="none" w:sz="0" w:space="0" w:color="auto"/>
      </w:divBdr>
    </w:div>
    <w:div w:id="1867715430">
      <w:bodyDiv w:val="1"/>
      <w:marLeft w:val="0"/>
      <w:marRight w:val="0"/>
      <w:marTop w:val="0"/>
      <w:marBottom w:val="0"/>
      <w:divBdr>
        <w:top w:val="none" w:sz="0" w:space="0" w:color="auto"/>
        <w:left w:val="none" w:sz="0" w:space="0" w:color="auto"/>
        <w:bottom w:val="none" w:sz="0" w:space="0" w:color="auto"/>
        <w:right w:val="none" w:sz="0" w:space="0" w:color="auto"/>
      </w:divBdr>
      <w:divsChild>
        <w:div w:id="1752268278">
          <w:marLeft w:val="0"/>
          <w:marRight w:val="0"/>
          <w:marTop w:val="0"/>
          <w:marBottom w:val="0"/>
          <w:divBdr>
            <w:top w:val="none" w:sz="0" w:space="0" w:color="auto"/>
            <w:left w:val="none" w:sz="0" w:space="0" w:color="auto"/>
            <w:bottom w:val="none" w:sz="0" w:space="0" w:color="auto"/>
            <w:right w:val="none" w:sz="0" w:space="0" w:color="auto"/>
          </w:divBdr>
          <w:divsChild>
            <w:div w:id="436288529">
              <w:marLeft w:val="0"/>
              <w:marRight w:val="0"/>
              <w:marTop w:val="0"/>
              <w:marBottom w:val="120"/>
              <w:divBdr>
                <w:top w:val="none" w:sz="0" w:space="0" w:color="auto"/>
                <w:left w:val="none" w:sz="0" w:space="0" w:color="auto"/>
                <w:bottom w:val="none" w:sz="0" w:space="0" w:color="auto"/>
                <w:right w:val="none" w:sz="0" w:space="0" w:color="auto"/>
              </w:divBdr>
              <w:divsChild>
                <w:div w:id="1461998865">
                  <w:marLeft w:val="0"/>
                  <w:marRight w:val="0"/>
                  <w:marTop w:val="0"/>
                  <w:marBottom w:val="0"/>
                  <w:divBdr>
                    <w:top w:val="none" w:sz="0" w:space="0" w:color="auto"/>
                    <w:left w:val="none" w:sz="0" w:space="0" w:color="auto"/>
                    <w:bottom w:val="none" w:sz="0" w:space="0" w:color="auto"/>
                    <w:right w:val="none" w:sz="0" w:space="0" w:color="auto"/>
                  </w:divBdr>
                  <w:divsChild>
                    <w:div w:id="1390030260">
                      <w:marLeft w:val="0"/>
                      <w:marRight w:val="150"/>
                      <w:marTop w:val="0"/>
                      <w:marBottom w:val="0"/>
                      <w:divBdr>
                        <w:top w:val="none" w:sz="0" w:space="0" w:color="auto"/>
                        <w:left w:val="none" w:sz="0" w:space="0" w:color="auto"/>
                        <w:bottom w:val="none" w:sz="0" w:space="0" w:color="auto"/>
                        <w:right w:val="none" w:sz="0" w:space="0" w:color="auto"/>
                      </w:divBdr>
                      <w:divsChild>
                        <w:div w:id="1946959121">
                          <w:marLeft w:val="0"/>
                          <w:marRight w:val="0"/>
                          <w:marTop w:val="0"/>
                          <w:marBottom w:val="0"/>
                          <w:divBdr>
                            <w:top w:val="none" w:sz="0" w:space="0" w:color="auto"/>
                            <w:left w:val="none" w:sz="0" w:space="0" w:color="auto"/>
                            <w:bottom w:val="none" w:sz="0" w:space="0" w:color="auto"/>
                            <w:right w:val="none" w:sz="0" w:space="0" w:color="auto"/>
                          </w:divBdr>
                          <w:divsChild>
                            <w:div w:id="917248398">
                              <w:marLeft w:val="0"/>
                              <w:marRight w:val="0"/>
                              <w:marTop w:val="0"/>
                              <w:marBottom w:val="0"/>
                              <w:divBdr>
                                <w:top w:val="none" w:sz="0" w:space="0" w:color="auto"/>
                                <w:left w:val="none" w:sz="0" w:space="0" w:color="auto"/>
                                <w:bottom w:val="none" w:sz="0" w:space="0" w:color="auto"/>
                                <w:right w:val="none" w:sz="0" w:space="0" w:color="auto"/>
                              </w:divBdr>
                              <w:divsChild>
                                <w:div w:id="116527507">
                                  <w:marLeft w:val="0"/>
                                  <w:marRight w:val="0"/>
                                  <w:marTop w:val="0"/>
                                  <w:marBottom w:val="0"/>
                                  <w:divBdr>
                                    <w:top w:val="none" w:sz="0" w:space="0" w:color="auto"/>
                                    <w:left w:val="none" w:sz="0" w:space="0" w:color="auto"/>
                                    <w:bottom w:val="none" w:sz="0" w:space="0" w:color="auto"/>
                                    <w:right w:val="none" w:sz="0" w:space="0" w:color="auto"/>
                                  </w:divBdr>
                                  <w:divsChild>
                                    <w:div w:id="396824237">
                                      <w:marLeft w:val="0"/>
                                      <w:marRight w:val="0"/>
                                      <w:marTop w:val="0"/>
                                      <w:marBottom w:val="0"/>
                                      <w:divBdr>
                                        <w:top w:val="none" w:sz="0" w:space="0" w:color="auto"/>
                                        <w:left w:val="none" w:sz="0" w:space="0" w:color="auto"/>
                                        <w:bottom w:val="none" w:sz="0" w:space="0" w:color="auto"/>
                                        <w:right w:val="none" w:sz="0" w:space="0" w:color="auto"/>
                                      </w:divBdr>
                                      <w:divsChild>
                                        <w:div w:id="493567258">
                                          <w:marLeft w:val="0"/>
                                          <w:marRight w:val="0"/>
                                          <w:marTop w:val="0"/>
                                          <w:marBottom w:val="0"/>
                                          <w:divBdr>
                                            <w:top w:val="none" w:sz="0" w:space="0" w:color="auto"/>
                                            <w:left w:val="none" w:sz="0" w:space="0" w:color="auto"/>
                                            <w:bottom w:val="none" w:sz="0" w:space="0" w:color="auto"/>
                                            <w:right w:val="none" w:sz="0" w:space="0" w:color="auto"/>
                                          </w:divBdr>
                                          <w:divsChild>
                                            <w:div w:id="19206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Jeffrey.unerman@royalhollow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BF14-7249-2D4C-839A-244AD80D5CB2}">
  <ds:schemaRefs>
    <ds:schemaRef ds:uri="http://schemas.openxmlformats.org/officeDocument/2006/bibliography"/>
  </ds:schemaRefs>
</ds:datastoreItem>
</file>

<file path=customXml/itemProps2.xml><?xml version="1.0" encoding="utf-8"?>
<ds:datastoreItem xmlns:ds="http://schemas.openxmlformats.org/officeDocument/2006/customXml" ds:itemID="{6A2E8B45-1000-C94D-BCD5-CD00870E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9057</Words>
  <Characters>51628</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Temporary-staff Management-3</dc:creator>
  <cp:lastModifiedBy>Jeffrey Unerman</cp:lastModifiedBy>
  <cp:revision>5</cp:revision>
  <cp:lastPrinted>2014-08-11T15:11:00Z</cp:lastPrinted>
  <dcterms:created xsi:type="dcterms:W3CDTF">2014-09-27T11:39:00Z</dcterms:created>
  <dcterms:modified xsi:type="dcterms:W3CDTF">2014-09-29T15:20:00Z</dcterms:modified>
</cp:coreProperties>
</file>