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033" w:rsidRDefault="00465033" w:rsidP="00E736F7">
      <w:pPr>
        <w:rPr>
          <w:szCs w:val="24"/>
        </w:rPr>
      </w:pPr>
      <w:r w:rsidRPr="00027ACC">
        <w:rPr>
          <w:b/>
          <w:szCs w:val="24"/>
        </w:rPr>
        <w:t>Morality</w:t>
      </w:r>
      <w:r w:rsidR="00027ACC">
        <w:rPr>
          <w:szCs w:val="24"/>
        </w:rPr>
        <w:t xml:space="preserve">. </w:t>
      </w:r>
      <w:r>
        <w:rPr>
          <w:szCs w:val="24"/>
        </w:rPr>
        <w:t>Historians often adopt a tone of prurient hypocrisy with figures of whom they disapprove. The Russian Empress, Catherine the Great, long endured</w:t>
      </w:r>
      <w:r w:rsidR="00027ACC">
        <w:rPr>
          <w:szCs w:val="24"/>
        </w:rPr>
        <w:t xml:space="preserve"> persistent references to her “scandalous”</w:t>
      </w:r>
      <w:r>
        <w:rPr>
          <w:szCs w:val="24"/>
        </w:rPr>
        <w:t xml:space="preserve"> love life: that is, she was a successful female ruler with the temerity to take lovers. It has become the practice for moral custodians, </w:t>
      </w:r>
      <w:proofErr w:type="spellStart"/>
      <w:r w:rsidRPr="00630253">
        <w:rPr>
          <w:smallCaps/>
          <w:szCs w:val="24"/>
        </w:rPr>
        <w:t>Fricka</w:t>
      </w:r>
      <w:r>
        <w:rPr>
          <w:szCs w:val="24"/>
        </w:rPr>
        <w:t>s</w:t>
      </w:r>
      <w:proofErr w:type="spellEnd"/>
      <w:r>
        <w:rPr>
          <w:szCs w:val="24"/>
        </w:rPr>
        <w:t xml:space="preserve"> </w:t>
      </w:r>
      <w:r>
        <w:rPr>
          <w:i/>
          <w:szCs w:val="24"/>
        </w:rPr>
        <w:t xml:space="preserve">de </w:t>
      </w:r>
      <w:proofErr w:type="spellStart"/>
      <w:r>
        <w:rPr>
          <w:i/>
          <w:szCs w:val="24"/>
        </w:rPr>
        <w:t>nos</w:t>
      </w:r>
      <w:proofErr w:type="spellEnd"/>
      <w:r>
        <w:rPr>
          <w:i/>
          <w:szCs w:val="24"/>
        </w:rPr>
        <w:t xml:space="preserve"> </w:t>
      </w:r>
      <w:proofErr w:type="spellStart"/>
      <w:r>
        <w:rPr>
          <w:i/>
          <w:szCs w:val="24"/>
        </w:rPr>
        <w:t>jours</w:t>
      </w:r>
      <w:proofErr w:type="spellEnd"/>
      <w:r>
        <w:rPr>
          <w:szCs w:val="24"/>
        </w:rPr>
        <w:t xml:space="preserve">, to berate Wagner for his easy way with other men’s money and women. Understanding both as property is instructive, betokening a narrow </w:t>
      </w:r>
      <w:r w:rsidR="00D534AC">
        <w:rPr>
          <w:szCs w:val="24"/>
        </w:rPr>
        <w:t xml:space="preserve">conception </w:t>
      </w:r>
      <w:r>
        <w:rPr>
          <w:szCs w:val="24"/>
        </w:rPr>
        <w:t xml:space="preserve">of </w:t>
      </w:r>
      <w:r w:rsidR="00027ACC">
        <w:rPr>
          <w:szCs w:val="24"/>
        </w:rPr>
        <w:t>“</w:t>
      </w:r>
      <w:r>
        <w:rPr>
          <w:szCs w:val="24"/>
        </w:rPr>
        <w:t>mor</w:t>
      </w:r>
      <w:r w:rsidR="00027ACC">
        <w:rPr>
          <w:szCs w:val="24"/>
        </w:rPr>
        <w:t>ality</w:t>
      </w:r>
      <w:r>
        <w:rPr>
          <w:szCs w:val="24"/>
        </w:rPr>
        <w:t>,</w:t>
      </w:r>
      <w:r w:rsidR="00027ACC">
        <w:rPr>
          <w:szCs w:val="24"/>
        </w:rPr>
        <w:t>”</w:t>
      </w:r>
      <w:r>
        <w:rPr>
          <w:szCs w:val="24"/>
        </w:rPr>
        <w:t xml:space="preserve"> typical of the public opinion and commercial </w:t>
      </w:r>
      <w:r w:rsidR="00D534AC">
        <w:rPr>
          <w:szCs w:val="24"/>
        </w:rPr>
        <w:t>P</w:t>
      </w:r>
      <w:r>
        <w:rPr>
          <w:szCs w:val="24"/>
        </w:rPr>
        <w:t xml:space="preserve">ress by which Wagner not unreasonably considered himself hounded. Wagner believed consistently that private property distorted every relationship between man and man, likewise man and woman. Shortly before his death, he lauded </w:t>
      </w:r>
      <w:r w:rsidRPr="006D0D14">
        <w:rPr>
          <w:szCs w:val="24"/>
        </w:rPr>
        <w:t xml:space="preserve">Wilhelm </w:t>
      </w:r>
      <w:proofErr w:type="spellStart"/>
      <w:r w:rsidRPr="006D0D14">
        <w:rPr>
          <w:szCs w:val="24"/>
        </w:rPr>
        <w:t>Heinse</w:t>
      </w:r>
      <w:proofErr w:type="spellEnd"/>
      <w:r>
        <w:rPr>
          <w:szCs w:val="24"/>
        </w:rPr>
        <w:t xml:space="preserve"> for having depicted in his novel, </w:t>
      </w:r>
      <w:proofErr w:type="spellStart"/>
      <w:r>
        <w:rPr>
          <w:i/>
          <w:szCs w:val="24"/>
        </w:rPr>
        <w:t>Ardinghello</w:t>
      </w:r>
      <w:proofErr w:type="spellEnd"/>
      <w:r w:rsidR="00B81BD6">
        <w:rPr>
          <w:szCs w:val="24"/>
        </w:rPr>
        <w:t xml:space="preserve"> (1787),</w:t>
      </w:r>
      <w:r>
        <w:rPr>
          <w:szCs w:val="24"/>
        </w:rPr>
        <w:t xml:space="preserve"> a society in which institution of property had never been permitted</w:t>
      </w:r>
      <w:r w:rsidR="00027ACC">
        <w:rPr>
          <w:szCs w:val="24"/>
        </w:rPr>
        <w:t xml:space="preserve"> (CWD, 30 Sep</w:t>
      </w:r>
      <w:r w:rsidR="00027ACC" w:rsidRPr="00027ACC">
        <w:rPr>
          <w:szCs w:val="24"/>
        </w:rPr>
        <w:t xml:space="preserve"> 1882</w:t>
      </w:r>
      <w:r w:rsidR="00027ACC">
        <w:rPr>
          <w:szCs w:val="24"/>
        </w:rPr>
        <w:t>)</w:t>
      </w:r>
      <w:r>
        <w:rPr>
          <w:szCs w:val="24"/>
        </w:rPr>
        <w:t>.</w:t>
      </w:r>
    </w:p>
    <w:p w:rsidR="00465033" w:rsidRDefault="00465033" w:rsidP="00E736F7">
      <w:pPr>
        <w:ind w:firstLine="720"/>
        <w:rPr>
          <w:szCs w:val="24"/>
        </w:rPr>
      </w:pPr>
      <w:r>
        <w:rPr>
          <w:szCs w:val="24"/>
        </w:rPr>
        <w:t xml:space="preserve">French socialism, directly and through intermediaries such as </w:t>
      </w:r>
      <w:r w:rsidRPr="005B18A4">
        <w:rPr>
          <w:smallCaps/>
          <w:szCs w:val="24"/>
        </w:rPr>
        <w:t xml:space="preserve">Heinrich </w:t>
      </w:r>
      <w:proofErr w:type="spellStart"/>
      <w:r w:rsidRPr="005B18A4">
        <w:rPr>
          <w:smallCaps/>
          <w:szCs w:val="24"/>
        </w:rPr>
        <w:t>Laube</w:t>
      </w:r>
      <w:proofErr w:type="spellEnd"/>
      <w:r>
        <w:rPr>
          <w:szCs w:val="24"/>
        </w:rPr>
        <w:t xml:space="preserve">, </w:t>
      </w:r>
      <w:r w:rsidRPr="005B18A4">
        <w:rPr>
          <w:smallCaps/>
          <w:szCs w:val="24"/>
        </w:rPr>
        <w:t xml:space="preserve">August </w:t>
      </w:r>
      <w:proofErr w:type="spellStart"/>
      <w:r w:rsidRPr="005B18A4">
        <w:rPr>
          <w:smallCaps/>
          <w:szCs w:val="24"/>
        </w:rPr>
        <w:t>Röckel</w:t>
      </w:r>
      <w:proofErr w:type="spellEnd"/>
      <w:r>
        <w:rPr>
          <w:szCs w:val="24"/>
        </w:rPr>
        <w:t xml:space="preserve">, and </w:t>
      </w:r>
      <w:r w:rsidRPr="005B18A4">
        <w:rPr>
          <w:smallCaps/>
          <w:szCs w:val="24"/>
        </w:rPr>
        <w:t>Mikhail Bakunin</w:t>
      </w:r>
      <w:r>
        <w:rPr>
          <w:szCs w:val="24"/>
        </w:rPr>
        <w:t xml:space="preserve">, was a pervading influence. As early as </w:t>
      </w:r>
      <w:r w:rsidRPr="00F625F4">
        <w:rPr>
          <w:i/>
          <w:smallCaps/>
          <w:szCs w:val="24"/>
        </w:rPr>
        <w:t xml:space="preserve">Das </w:t>
      </w:r>
      <w:proofErr w:type="spellStart"/>
      <w:r w:rsidRPr="00F625F4">
        <w:rPr>
          <w:i/>
          <w:smallCaps/>
          <w:szCs w:val="24"/>
        </w:rPr>
        <w:t>Liebesverbot</w:t>
      </w:r>
      <w:proofErr w:type="spellEnd"/>
      <w:r>
        <w:rPr>
          <w:szCs w:val="24"/>
        </w:rPr>
        <w:t>, Wagner tells us,</w:t>
      </w:r>
      <w:r w:rsidR="005B18A4">
        <w:rPr>
          <w:szCs w:val="24"/>
        </w:rPr>
        <w:t xml:space="preserve"> “</w:t>
      </w:r>
      <w:r>
        <w:rPr>
          <w:szCs w:val="24"/>
        </w:rPr>
        <w:t>all I cared about was to uncover the sinfulness of hypocrisy and the artificiality of the ju</w:t>
      </w:r>
      <w:r w:rsidR="005B18A4">
        <w:rPr>
          <w:szCs w:val="24"/>
        </w:rPr>
        <w:t xml:space="preserve">dicial </w:t>
      </w:r>
      <w:r w:rsidR="0054543D">
        <w:rPr>
          <w:szCs w:val="24"/>
        </w:rPr>
        <w:t>attitude toward morality” (ML/E</w:t>
      </w:r>
      <w:r w:rsidR="005B18A4">
        <w:rPr>
          <w:szCs w:val="24"/>
        </w:rPr>
        <w:t xml:space="preserve"> 83).</w:t>
      </w:r>
      <w:r>
        <w:rPr>
          <w:szCs w:val="24"/>
        </w:rPr>
        <w:t xml:space="preserve"> Friedrich, prudishly shocked by popular licentiousness, employs state power to enforce an unnatural moral code, whilst transgressing it himself. </w:t>
      </w:r>
      <w:proofErr w:type="spellStart"/>
      <w:r>
        <w:rPr>
          <w:szCs w:val="24"/>
        </w:rPr>
        <w:t>Röckel</w:t>
      </w:r>
      <w:proofErr w:type="spellEnd"/>
      <w:r>
        <w:rPr>
          <w:szCs w:val="24"/>
        </w:rPr>
        <w:t xml:space="preserve">, during their </w:t>
      </w:r>
      <w:r w:rsidRPr="005B18A4">
        <w:rPr>
          <w:smallCaps/>
          <w:szCs w:val="24"/>
        </w:rPr>
        <w:t>Dresden</w:t>
      </w:r>
      <w:r>
        <w:rPr>
          <w:szCs w:val="24"/>
        </w:rPr>
        <w:t xml:space="preserve"> discussions</w:t>
      </w:r>
      <w:r w:rsidR="00952AFC">
        <w:rPr>
          <w:szCs w:val="24"/>
        </w:rPr>
        <w:t xml:space="preserve"> provided theoretical ballast: “</w:t>
      </w:r>
      <w:r>
        <w:rPr>
          <w:szCs w:val="24"/>
        </w:rPr>
        <w:t xml:space="preserve">On the basis of the socialist theories of Proudhon and others … he constructed a whole new moral order of things to which … he little by little converted me … I began to rebuild upon it my hopes for the </w:t>
      </w:r>
      <w:r w:rsidR="0054543D">
        <w:rPr>
          <w:szCs w:val="24"/>
        </w:rPr>
        <w:t>realization</w:t>
      </w:r>
      <w:r w:rsidR="00952AFC">
        <w:rPr>
          <w:szCs w:val="24"/>
        </w:rPr>
        <w:t xml:space="preserve"> of my artistic ideals.”</w:t>
      </w:r>
      <w:r>
        <w:rPr>
          <w:szCs w:val="24"/>
        </w:rPr>
        <w:t xml:space="preserve"> Wagner ques</w:t>
      </w:r>
      <w:r w:rsidR="00952AFC">
        <w:rPr>
          <w:szCs w:val="24"/>
        </w:rPr>
        <w:t xml:space="preserve">tioned </w:t>
      </w:r>
      <w:proofErr w:type="spellStart"/>
      <w:r w:rsidR="00952AFC">
        <w:rPr>
          <w:szCs w:val="24"/>
        </w:rPr>
        <w:t>Röckel</w:t>
      </w:r>
      <w:proofErr w:type="spellEnd"/>
      <w:r w:rsidR="00952AFC">
        <w:rPr>
          <w:szCs w:val="24"/>
        </w:rPr>
        <w:t xml:space="preserve"> about his desire “</w:t>
      </w:r>
      <w:r>
        <w:rPr>
          <w:szCs w:val="24"/>
        </w:rPr>
        <w:t>to do away completely with the institution of marri</w:t>
      </w:r>
      <w:r w:rsidR="00952AFC">
        <w:rPr>
          <w:szCs w:val="24"/>
        </w:rPr>
        <w:t>age as we knew it</w:t>
      </w:r>
      <w:r>
        <w:rPr>
          <w:szCs w:val="24"/>
        </w:rPr>
        <w:t>,</w:t>
      </w:r>
      <w:r w:rsidR="00952AFC">
        <w:rPr>
          <w:szCs w:val="24"/>
        </w:rPr>
        <w:t>”</w:t>
      </w:r>
      <w:r>
        <w:rPr>
          <w:szCs w:val="24"/>
        </w:rPr>
        <w:t xml:space="preserve"> and was </w:t>
      </w:r>
      <w:r w:rsidR="00952AFC">
        <w:rPr>
          <w:szCs w:val="24"/>
        </w:rPr>
        <w:t>“particularly struck”</w:t>
      </w:r>
      <w:r>
        <w:rPr>
          <w:szCs w:val="24"/>
        </w:rPr>
        <w:t xml:space="preserve"> by the claim that, only after eradication of coercion by money, rank, and family prejudice, would sexual morality be possible</w:t>
      </w:r>
      <w:r w:rsidR="0054543D">
        <w:rPr>
          <w:szCs w:val="24"/>
        </w:rPr>
        <w:t xml:space="preserve"> (ML/E</w:t>
      </w:r>
      <w:r w:rsidR="00952AFC">
        <w:rPr>
          <w:szCs w:val="24"/>
        </w:rPr>
        <w:t xml:space="preserve"> </w:t>
      </w:r>
      <w:r w:rsidR="00952AFC" w:rsidRPr="00952AFC">
        <w:rPr>
          <w:szCs w:val="24"/>
        </w:rPr>
        <w:t>373-4</w:t>
      </w:r>
      <w:r w:rsidR="00952AFC">
        <w:rPr>
          <w:szCs w:val="24"/>
        </w:rPr>
        <w:t>)</w:t>
      </w:r>
      <w:r>
        <w:rPr>
          <w:szCs w:val="24"/>
        </w:rPr>
        <w:t xml:space="preserve">. He returned in his final </w:t>
      </w:r>
      <w:r w:rsidR="00D534AC">
        <w:rPr>
          <w:szCs w:val="24"/>
        </w:rPr>
        <w:t>essay “</w:t>
      </w:r>
      <w:proofErr w:type="spellStart"/>
      <w:r w:rsidR="00D534AC" w:rsidRPr="00D534AC">
        <w:rPr>
          <w:szCs w:val="24"/>
        </w:rPr>
        <w:t>Über</w:t>
      </w:r>
      <w:proofErr w:type="spellEnd"/>
      <w:r w:rsidR="00D534AC" w:rsidRPr="00D534AC">
        <w:rPr>
          <w:szCs w:val="24"/>
        </w:rPr>
        <w:t xml:space="preserve"> das </w:t>
      </w:r>
      <w:proofErr w:type="spellStart"/>
      <w:r w:rsidR="00D534AC" w:rsidRPr="00D534AC">
        <w:rPr>
          <w:szCs w:val="24"/>
        </w:rPr>
        <w:t>Weibliche</w:t>
      </w:r>
      <w:proofErr w:type="spellEnd"/>
      <w:r w:rsidR="00D534AC">
        <w:rPr>
          <w:szCs w:val="24"/>
        </w:rPr>
        <w:t>”</w:t>
      </w:r>
      <w:r w:rsidR="00D534AC" w:rsidRPr="00D534AC">
        <w:rPr>
          <w:szCs w:val="24"/>
        </w:rPr>
        <w:t xml:space="preserve"> </w:t>
      </w:r>
      <w:r>
        <w:rPr>
          <w:szCs w:val="24"/>
        </w:rPr>
        <w:t>to the subject</w:t>
      </w:r>
      <w:r w:rsidR="00952AFC">
        <w:rPr>
          <w:szCs w:val="24"/>
        </w:rPr>
        <w:t>.</w:t>
      </w:r>
      <w:r>
        <w:rPr>
          <w:szCs w:val="24"/>
        </w:rPr>
        <w:t xml:space="preserve"> </w:t>
      </w:r>
      <w:r w:rsidR="00952AFC">
        <w:rPr>
          <w:szCs w:val="24"/>
        </w:rPr>
        <w:t>M</w:t>
      </w:r>
      <w:r>
        <w:rPr>
          <w:szCs w:val="24"/>
        </w:rPr>
        <w:t xml:space="preserve">arriage – to Cosima, at least? – raised man and his moral faculties far above the animal world, yet he was </w:t>
      </w:r>
      <w:r>
        <w:rPr>
          <w:szCs w:val="24"/>
        </w:rPr>
        <w:lastRenderedPageBreak/>
        <w:t xml:space="preserve">dragged far beneath it by </w:t>
      </w:r>
      <w:r w:rsidR="00952AFC">
        <w:rPr>
          <w:szCs w:val="24"/>
        </w:rPr>
        <w:t>“</w:t>
      </w:r>
      <w:r>
        <w:rPr>
          <w:szCs w:val="24"/>
        </w:rPr>
        <w:t>conventional marriage</w:t>
      </w:r>
      <w:r w:rsidR="00952AFC">
        <w:rPr>
          <w:szCs w:val="24"/>
        </w:rPr>
        <w:t>”</w:t>
      </w:r>
      <w:r>
        <w:rPr>
          <w:szCs w:val="24"/>
        </w:rPr>
        <w:t xml:space="preserve"> (</w:t>
      </w:r>
      <w:proofErr w:type="spellStart"/>
      <w:r>
        <w:rPr>
          <w:i/>
          <w:szCs w:val="24"/>
        </w:rPr>
        <w:t>Konventionsheiraten</w:t>
      </w:r>
      <w:proofErr w:type="spellEnd"/>
      <w:r>
        <w:rPr>
          <w:szCs w:val="24"/>
        </w:rPr>
        <w:t xml:space="preserve">), an </w:t>
      </w:r>
      <w:r w:rsidR="00952AFC">
        <w:rPr>
          <w:szCs w:val="24"/>
        </w:rPr>
        <w:t>“</w:t>
      </w:r>
      <w:r>
        <w:rPr>
          <w:szCs w:val="24"/>
        </w:rPr>
        <w:t>abuse</w:t>
      </w:r>
      <w:r w:rsidR="00952AFC">
        <w:rPr>
          <w:szCs w:val="24"/>
        </w:rPr>
        <w:t>”</w:t>
      </w:r>
      <w:r>
        <w:rPr>
          <w:szCs w:val="24"/>
        </w:rPr>
        <w:t xml:space="preserve"> (</w:t>
      </w:r>
      <w:proofErr w:type="spellStart"/>
      <w:r>
        <w:rPr>
          <w:i/>
          <w:szCs w:val="24"/>
        </w:rPr>
        <w:t>Mißbrauch</w:t>
      </w:r>
      <w:proofErr w:type="spellEnd"/>
      <w:r>
        <w:rPr>
          <w:szCs w:val="24"/>
        </w:rPr>
        <w:t>)</w:t>
      </w:r>
      <w:r>
        <w:rPr>
          <w:i/>
          <w:szCs w:val="24"/>
        </w:rPr>
        <w:t xml:space="preserve"> </w:t>
      </w:r>
      <w:r>
        <w:rPr>
          <w:szCs w:val="24"/>
        </w:rPr>
        <w:t>founded upon property</w:t>
      </w:r>
      <w:r w:rsidR="00D534AC">
        <w:rPr>
          <w:szCs w:val="24"/>
        </w:rPr>
        <w:t xml:space="preserve"> (</w:t>
      </w:r>
      <w:r w:rsidR="00D534AC" w:rsidRPr="006E0623">
        <w:rPr>
          <w:szCs w:val="24"/>
        </w:rPr>
        <w:t>SSD</w:t>
      </w:r>
      <w:r w:rsidR="0054543D" w:rsidRPr="006E0623">
        <w:rPr>
          <w:szCs w:val="24"/>
        </w:rPr>
        <w:t xml:space="preserve"> </w:t>
      </w:r>
      <w:r w:rsidR="0054543D">
        <w:rPr>
          <w:szCs w:val="24"/>
        </w:rPr>
        <w:t>12:</w:t>
      </w:r>
      <w:r w:rsidR="00D534AC">
        <w:rPr>
          <w:szCs w:val="24"/>
        </w:rPr>
        <w:t>343-4)</w:t>
      </w:r>
      <w:r>
        <w:rPr>
          <w:szCs w:val="24"/>
        </w:rPr>
        <w:t>.</w:t>
      </w:r>
    </w:p>
    <w:p w:rsidR="00465033" w:rsidRDefault="00465033" w:rsidP="00E736F7">
      <w:pPr>
        <w:ind w:firstLine="720"/>
        <w:rPr>
          <w:szCs w:val="24"/>
        </w:rPr>
      </w:pPr>
      <w:r>
        <w:rPr>
          <w:szCs w:val="24"/>
        </w:rPr>
        <w:t>Self-justification? Perhaps, for instance when Wagner tells us that</w:t>
      </w:r>
      <w:r w:rsidRPr="00D52822">
        <w:rPr>
          <w:szCs w:val="24"/>
        </w:rPr>
        <w:t xml:space="preserve"> </w:t>
      </w:r>
      <w:proofErr w:type="spellStart"/>
      <w:r w:rsidR="0032712F">
        <w:rPr>
          <w:szCs w:val="24"/>
        </w:rPr>
        <w:t>Minna</w:t>
      </w:r>
      <w:proofErr w:type="spellEnd"/>
      <w:r w:rsidR="0032712F">
        <w:rPr>
          <w:szCs w:val="24"/>
        </w:rPr>
        <w:t xml:space="preserve"> “</w:t>
      </w:r>
      <w:r>
        <w:rPr>
          <w:szCs w:val="24"/>
        </w:rPr>
        <w:t>became increasingly perplexed at my seemingly incomprehensible conception of a</w:t>
      </w:r>
      <w:r w:rsidR="0032712F">
        <w:rPr>
          <w:szCs w:val="24"/>
        </w:rPr>
        <w:t>rt and its relative importance,”</w:t>
      </w:r>
      <w:r>
        <w:rPr>
          <w:szCs w:val="24"/>
        </w:rPr>
        <w:t xml:space="preserve"> and at his </w:t>
      </w:r>
      <w:r w:rsidR="0032712F">
        <w:rPr>
          <w:szCs w:val="24"/>
        </w:rPr>
        <w:t>“</w:t>
      </w:r>
      <w:r>
        <w:rPr>
          <w:szCs w:val="24"/>
        </w:rPr>
        <w:t>higher delicac</w:t>
      </w:r>
      <w:r w:rsidR="0032712F">
        <w:rPr>
          <w:szCs w:val="24"/>
        </w:rPr>
        <w:t>y in regard to moral questions,”</w:t>
      </w:r>
      <w:r>
        <w:rPr>
          <w:szCs w:val="24"/>
        </w:rPr>
        <w:t xml:space="preserve"> being </w:t>
      </w:r>
      <w:r w:rsidR="0032712F">
        <w:rPr>
          <w:szCs w:val="24"/>
        </w:rPr>
        <w:t>“</w:t>
      </w:r>
      <w:r>
        <w:rPr>
          <w:szCs w:val="24"/>
        </w:rPr>
        <w:t>unable to understand and approve my fre</w:t>
      </w:r>
      <w:r w:rsidR="0032712F">
        <w:rPr>
          <w:szCs w:val="24"/>
        </w:rPr>
        <w:t>edom of</w:t>
      </w:r>
      <w:r w:rsidR="0054543D">
        <w:rPr>
          <w:szCs w:val="24"/>
        </w:rPr>
        <w:t xml:space="preserve"> thought in such matters” (ML/E</w:t>
      </w:r>
      <w:r w:rsidR="0032712F">
        <w:rPr>
          <w:szCs w:val="24"/>
        </w:rPr>
        <w:t xml:space="preserve"> 130-1).</w:t>
      </w:r>
      <w:r>
        <w:rPr>
          <w:szCs w:val="24"/>
        </w:rPr>
        <w:t xml:space="preserve"> Only up to a point, though, for the contrast between </w:t>
      </w:r>
      <w:proofErr w:type="spellStart"/>
      <w:r w:rsidRPr="002A536C">
        <w:rPr>
          <w:szCs w:val="24"/>
        </w:rPr>
        <w:t>Minna’s</w:t>
      </w:r>
      <w:proofErr w:type="spellEnd"/>
      <w:r w:rsidRPr="002A536C">
        <w:rPr>
          <w:szCs w:val="24"/>
        </w:rPr>
        <w:t xml:space="preserve"> </w:t>
      </w:r>
      <w:r>
        <w:rPr>
          <w:szCs w:val="24"/>
        </w:rPr>
        <w:t>need</w:t>
      </w:r>
      <w:r w:rsidRPr="002A536C">
        <w:rPr>
          <w:szCs w:val="24"/>
        </w:rPr>
        <w:t xml:space="preserve"> for financial stability and the moral purpose Wagner sought in art </w:t>
      </w:r>
      <w:r>
        <w:rPr>
          <w:szCs w:val="24"/>
        </w:rPr>
        <w:t>i</w:t>
      </w:r>
      <w:r w:rsidRPr="002A536C">
        <w:rPr>
          <w:szCs w:val="24"/>
        </w:rPr>
        <w:t xml:space="preserve">s real enough. </w:t>
      </w:r>
      <w:r>
        <w:rPr>
          <w:szCs w:val="24"/>
        </w:rPr>
        <w:t xml:space="preserve">That they were ultimately unsuited need not send one scurrying for blame. There is, moreover, no mistaking Wagner’s </w:t>
      </w:r>
      <w:r w:rsidRPr="002A536C">
        <w:rPr>
          <w:szCs w:val="24"/>
        </w:rPr>
        <w:t xml:space="preserve">moral outrage </w:t>
      </w:r>
      <w:r w:rsidR="0032712F">
        <w:rPr>
          <w:szCs w:val="24"/>
        </w:rPr>
        <w:t xml:space="preserve">at his perception </w:t>
      </w:r>
      <w:r w:rsidRPr="002A536C">
        <w:rPr>
          <w:szCs w:val="24"/>
        </w:rPr>
        <w:t xml:space="preserve">of modern art as </w:t>
      </w:r>
      <w:r w:rsidR="0032712F">
        <w:rPr>
          <w:szCs w:val="24"/>
        </w:rPr>
        <w:t>“</w:t>
      </w:r>
      <w:r w:rsidRPr="002A536C">
        <w:rPr>
          <w:szCs w:val="24"/>
        </w:rPr>
        <w:t xml:space="preserve">industry, its moral purpose the acquisition of money, its </w:t>
      </w:r>
      <w:r w:rsidR="0032712F">
        <w:rPr>
          <w:szCs w:val="24"/>
        </w:rPr>
        <w:t>ae</w:t>
      </w:r>
      <w:r w:rsidRPr="002A536C">
        <w:rPr>
          <w:szCs w:val="24"/>
        </w:rPr>
        <w:t>sthetic purpose the entertainment of the bored</w:t>
      </w:r>
      <w:r w:rsidR="0032712F">
        <w:rPr>
          <w:szCs w:val="24"/>
        </w:rPr>
        <w:t>” (</w:t>
      </w:r>
      <w:r w:rsidR="0032712F" w:rsidRPr="006E0623">
        <w:rPr>
          <w:szCs w:val="24"/>
        </w:rPr>
        <w:t>SSD</w:t>
      </w:r>
      <w:r w:rsidR="0032712F">
        <w:rPr>
          <w:szCs w:val="24"/>
        </w:rPr>
        <w:t xml:space="preserve"> 3: 18).</w:t>
      </w:r>
    </w:p>
    <w:p w:rsidR="00465033" w:rsidRPr="006B7669" w:rsidRDefault="00465033" w:rsidP="00E736F7">
      <w:pPr>
        <w:ind w:firstLine="720"/>
        <w:rPr>
          <w:szCs w:val="24"/>
        </w:rPr>
      </w:pPr>
      <w:r w:rsidRPr="00604C02">
        <w:rPr>
          <w:szCs w:val="24"/>
        </w:rPr>
        <w:t xml:space="preserve">Under the influence of </w:t>
      </w:r>
      <w:r w:rsidRPr="006E2751">
        <w:rPr>
          <w:smallCaps/>
          <w:szCs w:val="24"/>
        </w:rPr>
        <w:t>Young German</w:t>
      </w:r>
      <w:r w:rsidRPr="00604C02">
        <w:rPr>
          <w:szCs w:val="24"/>
        </w:rPr>
        <w:t xml:space="preserve"> and Young Hegeli</w:t>
      </w:r>
      <w:r>
        <w:rPr>
          <w:szCs w:val="24"/>
        </w:rPr>
        <w:t>an ideas, most likely including</w:t>
      </w:r>
      <w:r w:rsidRPr="00604C02">
        <w:rPr>
          <w:szCs w:val="24"/>
        </w:rPr>
        <w:t xml:space="preserve"> Max </w:t>
      </w:r>
      <w:proofErr w:type="spellStart"/>
      <w:r w:rsidRPr="00604C02">
        <w:rPr>
          <w:szCs w:val="24"/>
        </w:rPr>
        <w:t>Stirner’s</w:t>
      </w:r>
      <w:proofErr w:type="spellEnd"/>
      <w:r>
        <w:rPr>
          <w:szCs w:val="24"/>
        </w:rPr>
        <w:t xml:space="preserve"> anarchistic manifesto,</w:t>
      </w:r>
      <w:r w:rsidRPr="00604C02">
        <w:rPr>
          <w:szCs w:val="24"/>
        </w:rPr>
        <w:t xml:space="preserve"> </w:t>
      </w:r>
      <w:r>
        <w:rPr>
          <w:i/>
          <w:szCs w:val="24"/>
        </w:rPr>
        <w:t>The Ego and its Own</w:t>
      </w:r>
      <w:r w:rsidR="006E2751">
        <w:rPr>
          <w:szCs w:val="24"/>
        </w:rPr>
        <w:t xml:space="preserve"> (1844),</w:t>
      </w:r>
      <w:r w:rsidRPr="00604C02">
        <w:rPr>
          <w:szCs w:val="24"/>
        </w:rPr>
        <w:t xml:space="preserve"> Wagner created in the </w:t>
      </w:r>
      <w:r w:rsidRPr="006E2751">
        <w:rPr>
          <w:i/>
          <w:smallCaps/>
          <w:szCs w:val="24"/>
        </w:rPr>
        <w:t>Ring</w:t>
      </w:r>
      <w:r w:rsidRPr="00604C02">
        <w:rPr>
          <w:szCs w:val="24"/>
        </w:rPr>
        <w:t xml:space="preserve"> an artwork</w:t>
      </w:r>
      <w:r w:rsidR="00630253">
        <w:rPr>
          <w:szCs w:val="24"/>
        </w:rPr>
        <w:t xml:space="preserve"> that </w:t>
      </w:r>
      <w:r w:rsidR="006E2751">
        <w:rPr>
          <w:szCs w:val="24"/>
        </w:rPr>
        <w:t>dramatiz</w:t>
      </w:r>
      <w:r w:rsidR="00630253">
        <w:rPr>
          <w:szCs w:val="24"/>
        </w:rPr>
        <w:t>es</w:t>
      </w:r>
      <w:r w:rsidRPr="00604C02">
        <w:rPr>
          <w:szCs w:val="24"/>
        </w:rPr>
        <w:t xml:space="preserve"> alternative moral possibilities. </w:t>
      </w:r>
      <w:proofErr w:type="spellStart"/>
      <w:r>
        <w:rPr>
          <w:szCs w:val="24"/>
        </w:rPr>
        <w:t>Fricka</w:t>
      </w:r>
      <w:proofErr w:type="spellEnd"/>
      <w:r>
        <w:rPr>
          <w:szCs w:val="24"/>
        </w:rPr>
        <w:t>, Wagner writes</w:t>
      </w:r>
      <w:r w:rsidRPr="00604C02">
        <w:rPr>
          <w:szCs w:val="24"/>
        </w:rPr>
        <w:t>, represents custom (</w:t>
      </w:r>
      <w:proofErr w:type="spellStart"/>
      <w:r w:rsidRPr="00604C02">
        <w:rPr>
          <w:i/>
          <w:szCs w:val="24"/>
        </w:rPr>
        <w:t>Sitte</w:t>
      </w:r>
      <w:proofErr w:type="spellEnd"/>
      <w:r w:rsidRPr="00604C02">
        <w:rPr>
          <w:szCs w:val="24"/>
        </w:rPr>
        <w:t>)</w:t>
      </w:r>
      <w:r w:rsidR="006E2751">
        <w:rPr>
          <w:szCs w:val="24"/>
        </w:rPr>
        <w:t>,</w:t>
      </w:r>
      <w:r w:rsidR="006E2751" w:rsidRPr="006E2751">
        <w:rPr>
          <w:szCs w:val="24"/>
        </w:rPr>
        <w:t xml:space="preserve"> </w:t>
      </w:r>
      <w:r w:rsidR="006E2751">
        <w:rPr>
          <w:szCs w:val="24"/>
        </w:rPr>
        <w:t>(</w:t>
      </w:r>
      <w:r w:rsidR="001C60F6">
        <w:rPr>
          <w:szCs w:val="24"/>
        </w:rPr>
        <w:t>Wagner</w:t>
      </w:r>
      <w:r w:rsidR="006E2751">
        <w:rPr>
          <w:szCs w:val="24"/>
        </w:rPr>
        <w:t xml:space="preserve"> to </w:t>
      </w:r>
      <w:proofErr w:type="spellStart"/>
      <w:r w:rsidR="006E2751">
        <w:rPr>
          <w:szCs w:val="24"/>
        </w:rPr>
        <w:t>Uhlig</w:t>
      </w:r>
      <w:proofErr w:type="spellEnd"/>
      <w:r w:rsidR="006E2751">
        <w:rPr>
          <w:szCs w:val="24"/>
        </w:rPr>
        <w:t>, 12 Nov</w:t>
      </w:r>
      <w:r w:rsidR="001C60F6">
        <w:rPr>
          <w:szCs w:val="24"/>
        </w:rPr>
        <w:t>.</w:t>
      </w:r>
      <w:r w:rsidR="006E2751" w:rsidRPr="006E2751">
        <w:rPr>
          <w:szCs w:val="24"/>
        </w:rPr>
        <w:t xml:space="preserve"> 1851</w:t>
      </w:r>
      <w:r w:rsidR="006E2751">
        <w:rPr>
          <w:szCs w:val="24"/>
        </w:rPr>
        <w:t>)</w:t>
      </w:r>
      <w:r w:rsidRPr="00604C02">
        <w:rPr>
          <w:szCs w:val="24"/>
        </w:rPr>
        <w:t>.</w:t>
      </w:r>
      <w:r w:rsidRPr="00604C02">
        <w:rPr>
          <w:i/>
          <w:szCs w:val="24"/>
        </w:rPr>
        <w:t xml:space="preserve"> </w:t>
      </w:r>
      <w:r w:rsidRPr="00604C02">
        <w:rPr>
          <w:szCs w:val="24"/>
        </w:rPr>
        <w:t xml:space="preserve">Her marriage to </w:t>
      </w:r>
      <w:r w:rsidRPr="00630253">
        <w:rPr>
          <w:smallCaps/>
          <w:szCs w:val="24"/>
        </w:rPr>
        <w:t>Wotan</w:t>
      </w:r>
      <w:r w:rsidRPr="00604C02">
        <w:rPr>
          <w:szCs w:val="24"/>
        </w:rPr>
        <w:t xml:space="preserve"> is fruitless; </w:t>
      </w:r>
      <w:r w:rsidR="00630253">
        <w:rPr>
          <w:szCs w:val="24"/>
        </w:rPr>
        <w:t xml:space="preserve">his </w:t>
      </w:r>
      <w:r w:rsidRPr="00604C02">
        <w:rPr>
          <w:szCs w:val="24"/>
        </w:rPr>
        <w:t>chil</w:t>
      </w:r>
      <w:r w:rsidR="006B7669">
        <w:rPr>
          <w:szCs w:val="24"/>
        </w:rPr>
        <w:t xml:space="preserve">dren are sired outside wedlock. One of them, </w:t>
      </w:r>
      <w:r w:rsidR="006B7669" w:rsidRPr="000462B9">
        <w:rPr>
          <w:smallCaps/>
          <w:szCs w:val="24"/>
        </w:rPr>
        <w:t>Sieglinde</w:t>
      </w:r>
      <w:r w:rsidR="006B7669">
        <w:rPr>
          <w:szCs w:val="24"/>
        </w:rPr>
        <w:t xml:space="preserve">, </w:t>
      </w:r>
      <w:r w:rsidR="002F419A">
        <w:rPr>
          <w:szCs w:val="24"/>
        </w:rPr>
        <w:t xml:space="preserve">experiences both brutal treatment as </w:t>
      </w:r>
      <w:r w:rsidR="006B7669">
        <w:rPr>
          <w:szCs w:val="24"/>
        </w:rPr>
        <w:t xml:space="preserve">chattel by her husband </w:t>
      </w:r>
      <w:proofErr w:type="spellStart"/>
      <w:r w:rsidR="006B7669" w:rsidRPr="000462B9">
        <w:rPr>
          <w:smallCaps/>
          <w:szCs w:val="24"/>
        </w:rPr>
        <w:t>Hunding</w:t>
      </w:r>
      <w:proofErr w:type="spellEnd"/>
      <w:r w:rsidR="006B7669">
        <w:rPr>
          <w:szCs w:val="24"/>
        </w:rPr>
        <w:t xml:space="preserve">, </w:t>
      </w:r>
      <w:r w:rsidR="002F419A">
        <w:rPr>
          <w:szCs w:val="24"/>
        </w:rPr>
        <w:t xml:space="preserve">and passionate convention-flouting fulfillment </w:t>
      </w:r>
      <w:r w:rsidR="006B7669">
        <w:rPr>
          <w:szCs w:val="24"/>
        </w:rPr>
        <w:t xml:space="preserve">with her twin brother, </w:t>
      </w:r>
      <w:r w:rsidR="006B7669" w:rsidRPr="000462B9">
        <w:rPr>
          <w:smallCaps/>
          <w:szCs w:val="24"/>
        </w:rPr>
        <w:t>Siegmund</w:t>
      </w:r>
      <w:r w:rsidR="006B7669">
        <w:rPr>
          <w:szCs w:val="24"/>
        </w:rPr>
        <w:t xml:space="preserve">. </w:t>
      </w:r>
      <w:proofErr w:type="spellStart"/>
      <w:r>
        <w:rPr>
          <w:szCs w:val="24"/>
        </w:rPr>
        <w:t>Fricka</w:t>
      </w:r>
      <w:proofErr w:type="spellEnd"/>
      <w:r>
        <w:rPr>
          <w:szCs w:val="24"/>
        </w:rPr>
        <w:t xml:space="preserve"> is outraged</w:t>
      </w:r>
      <w:r w:rsidRPr="00604C02">
        <w:rPr>
          <w:szCs w:val="24"/>
        </w:rPr>
        <w:t xml:space="preserve">: </w:t>
      </w:r>
      <w:r w:rsidR="006B7669">
        <w:rPr>
          <w:szCs w:val="24"/>
        </w:rPr>
        <w:t>“</w:t>
      </w:r>
      <w:r w:rsidRPr="00604C02">
        <w:rPr>
          <w:szCs w:val="24"/>
        </w:rPr>
        <w:t xml:space="preserve">My heart trembles, my mind reels: </w:t>
      </w:r>
      <w:r>
        <w:rPr>
          <w:szCs w:val="24"/>
        </w:rPr>
        <w:t>bridal embrace</w:t>
      </w:r>
      <w:r w:rsidRPr="00604C02">
        <w:rPr>
          <w:szCs w:val="24"/>
        </w:rPr>
        <w:t xml:space="preserve"> between brother and sister! When was it ever heard of that siblings were lovers?</w:t>
      </w:r>
      <w:r w:rsidR="000462B9">
        <w:rPr>
          <w:szCs w:val="24"/>
        </w:rPr>
        <w:t>” (</w:t>
      </w:r>
      <w:proofErr w:type="spellStart"/>
      <w:r w:rsidR="000462B9" w:rsidRPr="000462B9">
        <w:rPr>
          <w:i/>
          <w:szCs w:val="24"/>
        </w:rPr>
        <w:t>Walküre</w:t>
      </w:r>
      <w:proofErr w:type="spellEnd"/>
      <w:r w:rsidR="000462B9">
        <w:rPr>
          <w:szCs w:val="24"/>
        </w:rPr>
        <w:t>, II/i).</w:t>
      </w:r>
      <w:r w:rsidRPr="00604C02">
        <w:rPr>
          <w:szCs w:val="24"/>
        </w:rPr>
        <w:t xml:space="preserve"> </w:t>
      </w:r>
      <w:r>
        <w:rPr>
          <w:szCs w:val="24"/>
        </w:rPr>
        <w:t xml:space="preserve">As the gods’ – religion’s – hold on society falters, moral prohibitions dependent upon their power are insisted upon ever more stridently. The gods would go to ruin, </w:t>
      </w:r>
      <w:proofErr w:type="spellStart"/>
      <w:r>
        <w:rPr>
          <w:szCs w:val="24"/>
        </w:rPr>
        <w:t>Fricka</w:t>
      </w:r>
      <w:proofErr w:type="spellEnd"/>
      <w:r>
        <w:rPr>
          <w:szCs w:val="24"/>
        </w:rPr>
        <w:t xml:space="preserve"> insists, were her moral law not to be obeyed; they already have. </w:t>
      </w:r>
      <w:r w:rsidR="00B9303A">
        <w:rPr>
          <w:szCs w:val="24"/>
        </w:rPr>
        <w:t xml:space="preserve">Wagner </w:t>
      </w:r>
      <w:r w:rsidR="00B9303A" w:rsidRPr="00604C02">
        <w:rPr>
          <w:szCs w:val="24"/>
        </w:rPr>
        <w:t xml:space="preserve">echoes </w:t>
      </w:r>
      <w:proofErr w:type="spellStart"/>
      <w:r w:rsidR="00B9303A">
        <w:rPr>
          <w:szCs w:val="24"/>
        </w:rPr>
        <w:t>Stirner</w:t>
      </w:r>
      <w:proofErr w:type="spellEnd"/>
      <w:r w:rsidR="00B9303A">
        <w:rPr>
          <w:szCs w:val="24"/>
        </w:rPr>
        <w:t xml:space="preserve"> and prefigures </w:t>
      </w:r>
      <w:r w:rsidR="00B9303A" w:rsidRPr="00EB20E0">
        <w:rPr>
          <w:smallCaps/>
          <w:szCs w:val="24"/>
        </w:rPr>
        <w:t>Nietzsche</w:t>
      </w:r>
      <w:r w:rsidR="00B9303A">
        <w:rPr>
          <w:szCs w:val="24"/>
        </w:rPr>
        <w:t xml:space="preserve">, providing a crucial link in the inversion of </w:t>
      </w:r>
      <w:r w:rsidR="00B9303A" w:rsidRPr="00EB20E0">
        <w:rPr>
          <w:smallCaps/>
          <w:szCs w:val="24"/>
        </w:rPr>
        <w:t>Hegel</w:t>
      </w:r>
      <w:r w:rsidR="00B9303A">
        <w:rPr>
          <w:szCs w:val="24"/>
        </w:rPr>
        <w:t xml:space="preserve">’s elevation of customary over individual morality: </w:t>
      </w:r>
      <w:r w:rsidR="000462B9">
        <w:rPr>
          <w:szCs w:val="24"/>
        </w:rPr>
        <w:t>“</w:t>
      </w:r>
      <w:r>
        <w:rPr>
          <w:szCs w:val="24"/>
        </w:rPr>
        <w:t xml:space="preserve">Note how a </w:t>
      </w:r>
      <w:r w:rsidR="000462B9">
        <w:rPr>
          <w:szCs w:val="24"/>
        </w:rPr>
        <w:t>‘</w:t>
      </w:r>
      <w:r w:rsidRPr="007A31EE">
        <w:rPr>
          <w:szCs w:val="24"/>
        </w:rPr>
        <w:t>moral man</w:t>
      </w:r>
      <w:r w:rsidR="000462B9">
        <w:rPr>
          <w:szCs w:val="24"/>
        </w:rPr>
        <w:t>’</w:t>
      </w:r>
      <w:r w:rsidRPr="007A31EE">
        <w:rPr>
          <w:szCs w:val="24"/>
        </w:rPr>
        <w:t xml:space="preserve"> behaves, who today often thinks he is through with God </w:t>
      </w:r>
      <w:r w:rsidR="001C60F6">
        <w:rPr>
          <w:szCs w:val="24"/>
        </w:rPr>
        <w:t>.</w:t>
      </w:r>
      <w:r w:rsidRPr="007A31EE">
        <w:rPr>
          <w:szCs w:val="24"/>
        </w:rPr>
        <w:t>…</w:t>
      </w:r>
      <w:r w:rsidR="00C7754C" w:rsidRPr="00C7754C">
        <w:rPr>
          <w:szCs w:val="24"/>
        </w:rPr>
        <w:t xml:space="preserve"> a customary-moral shudder will come over </w:t>
      </w:r>
      <w:r w:rsidR="00C7754C" w:rsidRPr="00C7754C">
        <w:rPr>
          <w:szCs w:val="24"/>
        </w:rPr>
        <w:lastRenderedPageBreak/>
        <w:t>him at the conception of one’s being allowed to touch his s</w:t>
      </w:r>
      <w:r w:rsidR="0091644C">
        <w:rPr>
          <w:szCs w:val="24"/>
        </w:rPr>
        <w:t>ister also as a woman</w:t>
      </w:r>
      <w:r w:rsidR="00C7754C">
        <w:rPr>
          <w:szCs w:val="24"/>
        </w:rPr>
        <w:t>.</w:t>
      </w:r>
      <w:r w:rsidRPr="007A31EE">
        <w:rPr>
          <w:szCs w:val="24"/>
        </w:rPr>
        <w:t xml:space="preserve">… Because he </w:t>
      </w:r>
      <w:r w:rsidRPr="007A31EE">
        <w:rPr>
          <w:i/>
          <w:szCs w:val="24"/>
        </w:rPr>
        <w:t xml:space="preserve">believes </w:t>
      </w:r>
      <w:r w:rsidR="00B9303A">
        <w:rPr>
          <w:szCs w:val="24"/>
        </w:rPr>
        <w:t>in those moral commandments</w:t>
      </w:r>
      <w:r w:rsidR="000462B9">
        <w:rPr>
          <w:szCs w:val="24"/>
        </w:rPr>
        <w:t>”</w:t>
      </w:r>
      <w:r w:rsidR="00B9303A">
        <w:rPr>
          <w:szCs w:val="24"/>
        </w:rPr>
        <w:t xml:space="preserve"> (</w:t>
      </w:r>
      <w:proofErr w:type="spellStart"/>
      <w:r w:rsidR="00B9303A">
        <w:rPr>
          <w:szCs w:val="24"/>
        </w:rPr>
        <w:t>Stirner</w:t>
      </w:r>
      <w:bookmarkStart w:id="0" w:name="_GoBack"/>
      <w:bookmarkEnd w:id="0"/>
      <w:proofErr w:type="spellEnd"/>
      <w:r w:rsidR="006E0623">
        <w:rPr>
          <w:szCs w:val="24"/>
        </w:rPr>
        <w:t xml:space="preserve"> 45</w:t>
      </w:r>
      <w:r w:rsidR="00B9303A">
        <w:rPr>
          <w:szCs w:val="24"/>
        </w:rPr>
        <w:t>); and “</w:t>
      </w:r>
      <w:r w:rsidRPr="0074706F">
        <w:rPr>
          <w:szCs w:val="24"/>
        </w:rPr>
        <w:t>They have rid themselves of the Christian God, and thus believe that they must cling all the more firmly to Christian morality</w:t>
      </w:r>
      <w:r w:rsidR="001C60F6">
        <w:rPr>
          <w:szCs w:val="24"/>
        </w:rPr>
        <w:t xml:space="preserve"> … </w:t>
      </w:r>
      <w:r w:rsidRPr="0074706F">
        <w:rPr>
          <w:szCs w:val="24"/>
        </w:rPr>
        <w:t>one must, in response to the smallest</w:t>
      </w:r>
      <w:r>
        <w:rPr>
          <w:szCs w:val="24"/>
        </w:rPr>
        <w:t xml:space="preserve"> eman</w:t>
      </w:r>
      <w:r w:rsidRPr="0074706F">
        <w:rPr>
          <w:szCs w:val="24"/>
        </w:rPr>
        <w:t>cipation from theology, reassert one’s position in awe-inspi</w:t>
      </w:r>
      <w:r w:rsidR="003D61B8">
        <w:rPr>
          <w:szCs w:val="24"/>
        </w:rPr>
        <w:t>ring fashion as a moral fanatic</w:t>
      </w:r>
      <w:r w:rsidR="000462B9">
        <w:rPr>
          <w:szCs w:val="24"/>
        </w:rPr>
        <w:t>”</w:t>
      </w:r>
      <w:r w:rsidR="003D61B8">
        <w:rPr>
          <w:szCs w:val="24"/>
        </w:rPr>
        <w:t xml:space="preserve"> (Nietzsche</w:t>
      </w:r>
      <w:r w:rsidR="006E0623">
        <w:rPr>
          <w:szCs w:val="24"/>
        </w:rPr>
        <w:t xml:space="preserve"> 80</w:t>
      </w:r>
      <w:r w:rsidR="003D61B8">
        <w:rPr>
          <w:szCs w:val="24"/>
        </w:rPr>
        <w:t>).</w:t>
      </w:r>
    </w:p>
    <w:p w:rsidR="00465033" w:rsidRDefault="00AA7F2F" w:rsidP="00E736F7">
      <w:pPr>
        <w:ind w:firstLine="720"/>
        <w:rPr>
          <w:szCs w:val="24"/>
        </w:rPr>
      </w:pPr>
      <w:r>
        <w:rPr>
          <w:szCs w:val="24"/>
        </w:rPr>
        <w:t>What, then</w:t>
      </w:r>
      <w:r w:rsidR="003D61B8">
        <w:rPr>
          <w:szCs w:val="24"/>
        </w:rPr>
        <w:t>,</w:t>
      </w:r>
      <w:r>
        <w:rPr>
          <w:szCs w:val="24"/>
        </w:rPr>
        <w:t xml:space="preserve"> of the pre-eminent “affair</w:t>
      </w:r>
      <w:r w:rsidR="00465033">
        <w:rPr>
          <w:szCs w:val="24"/>
        </w:rPr>
        <w:t>,</w:t>
      </w:r>
      <w:r>
        <w:rPr>
          <w:szCs w:val="24"/>
        </w:rPr>
        <w:t>”</w:t>
      </w:r>
      <w:r w:rsidR="00465033">
        <w:rPr>
          <w:szCs w:val="24"/>
        </w:rPr>
        <w:t xml:space="preserve"> with </w:t>
      </w:r>
      <w:r w:rsidR="00465033" w:rsidRPr="001C60F6">
        <w:rPr>
          <w:smallCaps/>
          <w:szCs w:val="24"/>
        </w:rPr>
        <w:t>Mathilde</w:t>
      </w:r>
      <w:r w:rsidR="00465033" w:rsidRPr="00AA7F2F">
        <w:rPr>
          <w:smallCaps/>
          <w:szCs w:val="24"/>
        </w:rPr>
        <w:t xml:space="preserve"> Wesendonck</w:t>
      </w:r>
      <w:r w:rsidR="00465033">
        <w:rPr>
          <w:szCs w:val="24"/>
        </w:rPr>
        <w:t xml:space="preserve">? One can deplore Wagner’s ingratitude towards her husband, </w:t>
      </w:r>
      <w:r w:rsidR="00465033" w:rsidRPr="001C60F6">
        <w:rPr>
          <w:smallCaps/>
          <w:szCs w:val="24"/>
        </w:rPr>
        <w:t>Otto</w:t>
      </w:r>
      <w:r w:rsidR="00465033">
        <w:rPr>
          <w:szCs w:val="24"/>
        </w:rPr>
        <w:t>, who had offered considerable financial support, only to find himself cuckolded – at least metaphysically. Wagner opposed marriage as legal setting in stone or ring. Moreover, Wagner’s insistence that the world owed him a livi</w:t>
      </w:r>
      <w:r w:rsidR="00507A73">
        <w:rPr>
          <w:szCs w:val="24"/>
        </w:rPr>
        <w:t>ng – why should someone be favo</w:t>
      </w:r>
      <w:r w:rsidR="00465033">
        <w:rPr>
          <w:szCs w:val="24"/>
        </w:rPr>
        <w:t xml:space="preserve">red because he dealt in silks instead of composing the </w:t>
      </w:r>
      <w:r w:rsidR="00465033">
        <w:rPr>
          <w:i/>
          <w:szCs w:val="24"/>
        </w:rPr>
        <w:t>Ring</w:t>
      </w:r>
      <w:r w:rsidR="00465033">
        <w:rPr>
          <w:szCs w:val="24"/>
        </w:rPr>
        <w:t xml:space="preserve">? – is borne out even in capitalist terms by the industry he created for and bequeathed that world. It has done incalculably better from him than </w:t>
      </w:r>
      <w:r w:rsidR="00465033">
        <w:rPr>
          <w:i/>
          <w:szCs w:val="24"/>
        </w:rPr>
        <w:t>vice versa</w:t>
      </w:r>
      <w:r w:rsidR="00465033">
        <w:rPr>
          <w:szCs w:val="24"/>
        </w:rPr>
        <w:t>.</w:t>
      </w:r>
    </w:p>
    <w:p w:rsidR="00465033" w:rsidRDefault="00465033" w:rsidP="00E736F7">
      <w:pPr>
        <w:ind w:firstLine="720"/>
        <w:rPr>
          <w:szCs w:val="24"/>
        </w:rPr>
      </w:pPr>
      <w:r>
        <w:rPr>
          <w:szCs w:val="24"/>
        </w:rPr>
        <w:t xml:space="preserve">One might also consider it significant that, when Wagner condensed the action of </w:t>
      </w:r>
      <w:r w:rsidRPr="00296897">
        <w:rPr>
          <w:i/>
          <w:smallCaps/>
          <w:szCs w:val="24"/>
        </w:rPr>
        <w:t>Tristan und Isolde</w:t>
      </w:r>
      <w:r>
        <w:rPr>
          <w:szCs w:val="24"/>
        </w:rPr>
        <w:t xml:space="preserve"> into a few words for Mathilde Wesendonck, he did not even mention </w:t>
      </w:r>
      <w:r w:rsidRPr="008765ED">
        <w:rPr>
          <w:szCs w:val="24"/>
        </w:rPr>
        <w:t xml:space="preserve">King </w:t>
      </w:r>
      <w:proofErr w:type="spellStart"/>
      <w:r w:rsidRPr="008765ED">
        <w:rPr>
          <w:szCs w:val="24"/>
        </w:rPr>
        <w:t>Marke</w:t>
      </w:r>
      <w:r>
        <w:rPr>
          <w:szCs w:val="24"/>
        </w:rPr>
        <w:t>’s</w:t>
      </w:r>
      <w:proofErr w:type="spellEnd"/>
      <w:r>
        <w:rPr>
          <w:szCs w:val="24"/>
        </w:rPr>
        <w:t xml:space="preserve"> forgiveness. Were the sacrifices of men such as Wesendonck and </w:t>
      </w:r>
      <w:r w:rsidRPr="008765ED">
        <w:rPr>
          <w:smallCaps/>
          <w:szCs w:val="24"/>
        </w:rPr>
        <w:t xml:space="preserve">Hans von </w:t>
      </w:r>
      <w:proofErr w:type="spellStart"/>
      <w:r w:rsidRPr="008765ED">
        <w:rPr>
          <w:smallCaps/>
          <w:szCs w:val="24"/>
        </w:rPr>
        <w:t>Bülow</w:t>
      </w:r>
      <w:proofErr w:type="spellEnd"/>
      <w:r>
        <w:rPr>
          <w:szCs w:val="24"/>
        </w:rPr>
        <w:t xml:space="preserve"> as naught to such a mons</w:t>
      </w:r>
      <w:r w:rsidR="008765ED">
        <w:rPr>
          <w:szCs w:val="24"/>
        </w:rPr>
        <w:t>trous ego? Yet Wagner sees the “custom of the time”</w:t>
      </w:r>
      <w:r>
        <w:rPr>
          <w:szCs w:val="24"/>
        </w:rPr>
        <w:t xml:space="preserve"> leading to the sin of marriage for </w:t>
      </w:r>
      <w:r w:rsidRPr="001C60F6">
        <w:rPr>
          <w:smallCaps/>
          <w:szCs w:val="24"/>
        </w:rPr>
        <w:t>politics</w:t>
      </w:r>
      <w:r>
        <w:rPr>
          <w:szCs w:val="24"/>
        </w:rPr>
        <w:t xml:space="preserve">’ sake. The action </w:t>
      </w:r>
      <w:r w:rsidR="000E67B9">
        <w:rPr>
          <w:szCs w:val="24"/>
        </w:rPr>
        <w:t xml:space="preserve">of </w:t>
      </w:r>
      <w:r w:rsidR="000E67B9" w:rsidRPr="000E67B9">
        <w:rPr>
          <w:i/>
          <w:szCs w:val="24"/>
        </w:rPr>
        <w:t>Tristan</w:t>
      </w:r>
      <w:r w:rsidR="000E67B9">
        <w:rPr>
          <w:szCs w:val="24"/>
        </w:rPr>
        <w:t xml:space="preserve"> </w:t>
      </w:r>
      <w:r>
        <w:rPr>
          <w:szCs w:val="24"/>
        </w:rPr>
        <w:t xml:space="preserve">is not, moreover, really of this phenomenal world at all, but metaphysical. By now (1859), Wagner had partially converted to a morality founded upon </w:t>
      </w:r>
      <w:r w:rsidRPr="008765ED">
        <w:rPr>
          <w:smallCaps/>
          <w:szCs w:val="24"/>
        </w:rPr>
        <w:t>Schopenhauer</w:t>
      </w:r>
      <w:r>
        <w:rPr>
          <w:szCs w:val="24"/>
        </w:rPr>
        <w:t>’s teaching. Though immed</w:t>
      </w:r>
      <w:r w:rsidR="008765ED">
        <w:rPr>
          <w:szCs w:val="24"/>
        </w:rPr>
        <w:t xml:space="preserve">iately taken by Schopenhauer’s </w:t>
      </w:r>
      <w:r w:rsidR="008765ED" w:rsidRPr="001C60F6">
        <w:rPr>
          <w:smallCaps/>
          <w:szCs w:val="24"/>
        </w:rPr>
        <w:t>ae</w:t>
      </w:r>
      <w:r w:rsidRPr="001C60F6">
        <w:rPr>
          <w:smallCaps/>
          <w:szCs w:val="24"/>
        </w:rPr>
        <w:t>sthetics</w:t>
      </w:r>
      <w:r>
        <w:rPr>
          <w:szCs w:val="24"/>
        </w:rPr>
        <w:t xml:space="preserve">, </w:t>
      </w:r>
      <w:r w:rsidR="008765ED">
        <w:rPr>
          <w:szCs w:val="24"/>
        </w:rPr>
        <w:t>“the moral principles”</w:t>
      </w:r>
      <w:r>
        <w:rPr>
          <w:szCs w:val="24"/>
        </w:rPr>
        <w:t xml:space="preserve"> of </w:t>
      </w:r>
      <w:r>
        <w:rPr>
          <w:i/>
          <w:szCs w:val="24"/>
        </w:rPr>
        <w:t>The World as Will and Representation</w:t>
      </w:r>
      <w:r>
        <w:rPr>
          <w:szCs w:val="24"/>
        </w:rPr>
        <w:t xml:space="preserve"> had been more </w:t>
      </w:r>
      <w:r w:rsidR="008765ED">
        <w:rPr>
          <w:szCs w:val="24"/>
        </w:rPr>
        <w:t>difficult initially to accept, “</w:t>
      </w:r>
      <w:r>
        <w:rPr>
          <w:szCs w:val="24"/>
        </w:rPr>
        <w:t>for here the annihilation of the Will and complete self-abnegation are represented as the only true means of redemption from the constricting bonds of individuality</w:t>
      </w:r>
      <w:r w:rsidR="008765ED">
        <w:rPr>
          <w:szCs w:val="24"/>
        </w:rPr>
        <w:t xml:space="preserve"> in its dealings with the world”</w:t>
      </w:r>
      <w:r w:rsidR="00B9303A" w:rsidRPr="00B9303A">
        <w:rPr>
          <w:szCs w:val="24"/>
        </w:rPr>
        <w:t xml:space="preserve"> </w:t>
      </w:r>
      <w:r w:rsidR="00B9303A">
        <w:rPr>
          <w:szCs w:val="24"/>
        </w:rPr>
        <w:t>(ML/E 509).</w:t>
      </w:r>
      <w:r>
        <w:rPr>
          <w:szCs w:val="24"/>
        </w:rPr>
        <w:t xml:space="preserve"> Either way – in practice, both – Wagner rejected </w:t>
      </w:r>
      <w:r w:rsidR="001C60F6">
        <w:rPr>
          <w:szCs w:val="24"/>
        </w:rPr>
        <w:t xml:space="preserve">the </w:t>
      </w:r>
      <w:r>
        <w:rPr>
          <w:szCs w:val="24"/>
        </w:rPr>
        <w:t>dictates of bourgeois morality.</w:t>
      </w:r>
    </w:p>
    <w:p w:rsidR="00465033" w:rsidRDefault="00630253" w:rsidP="00E736F7">
      <w:pPr>
        <w:jc w:val="right"/>
        <w:rPr>
          <w:szCs w:val="24"/>
        </w:rPr>
      </w:pPr>
      <w:r>
        <w:rPr>
          <w:szCs w:val="24"/>
        </w:rPr>
        <w:t>MARK BERRY</w:t>
      </w:r>
    </w:p>
    <w:p w:rsidR="000462B9" w:rsidRDefault="000462B9" w:rsidP="00E736F7">
      <w:pPr>
        <w:rPr>
          <w:szCs w:val="24"/>
        </w:rPr>
      </w:pPr>
      <w:r>
        <w:rPr>
          <w:szCs w:val="24"/>
        </w:rPr>
        <w:lastRenderedPageBreak/>
        <w:t xml:space="preserve">See also: </w:t>
      </w:r>
      <w:r w:rsidRPr="000462B9">
        <w:rPr>
          <w:smallCaps/>
          <w:szCs w:val="24"/>
        </w:rPr>
        <w:t>Love</w:t>
      </w:r>
      <w:r w:rsidR="001C60F6">
        <w:rPr>
          <w:smallCaps/>
          <w:szCs w:val="24"/>
        </w:rPr>
        <w:t>;</w:t>
      </w:r>
    </w:p>
    <w:p w:rsidR="00465033" w:rsidRDefault="00465033" w:rsidP="00E736F7">
      <w:pPr>
        <w:ind w:left="720" w:hanging="720"/>
      </w:pPr>
      <w:r>
        <w:t>Mark Berry</w:t>
      </w:r>
      <w:r w:rsidR="003D61B8">
        <w:t>, “</w:t>
      </w:r>
      <w:r w:rsidRPr="00C028DB">
        <w:t>The Positive Infl</w:t>
      </w:r>
      <w:r w:rsidR="003D61B8">
        <w:t>uence of Wagner upon Nietzsche,”</w:t>
      </w:r>
      <w:r w:rsidRPr="00C028DB">
        <w:t xml:space="preserve"> </w:t>
      </w:r>
      <w:r w:rsidRPr="00C028DB">
        <w:rPr>
          <w:i/>
        </w:rPr>
        <w:t>The Wagner Journal</w:t>
      </w:r>
      <w:r w:rsidR="003D61B8">
        <w:t>, 2.</w:t>
      </w:r>
      <w:r w:rsidRPr="00C028DB">
        <w:t xml:space="preserve">2 </w:t>
      </w:r>
      <w:r w:rsidR="003D61B8">
        <w:t xml:space="preserve">(2008): </w:t>
      </w:r>
      <w:r w:rsidRPr="00C028DB">
        <w:t>11-28</w:t>
      </w:r>
      <w:r w:rsidR="003D61B8">
        <w:t>.</w:t>
      </w:r>
    </w:p>
    <w:p w:rsidR="00465033" w:rsidRPr="00C028DB" w:rsidRDefault="00465033" w:rsidP="00E736F7">
      <w:pPr>
        <w:ind w:left="720" w:hanging="720"/>
      </w:pPr>
      <w:r w:rsidRPr="00C028DB">
        <w:t xml:space="preserve">Friedrich Nietzsche, </w:t>
      </w:r>
      <w:r w:rsidRPr="00C028DB">
        <w:rPr>
          <w:i/>
        </w:rPr>
        <w:t>Twilight of the Idols / The Anti-Christ</w:t>
      </w:r>
      <w:r w:rsidRPr="00C028DB">
        <w:t xml:space="preserve">, tr. R.J. </w:t>
      </w:r>
      <w:proofErr w:type="spellStart"/>
      <w:r w:rsidRPr="00C028DB">
        <w:t>Hollingdale</w:t>
      </w:r>
      <w:proofErr w:type="spellEnd"/>
      <w:r w:rsidRPr="00C028DB">
        <w:t>, with an introduction by Michael Tanner (</w:t>
      </w:r>
      <w:proofErr w:type="spellStart"/>
      <w:r w:rsidRPr="00C028DB">
        <w:t>Harmondsworth</w:t>
      </w:r>
      <w:proofErr w:type="spellEnd"/>
      <w:r w:rsidRPr="00C028DB">
        <w:t>: Penguin, 1990)</w:t>
      </w:r>
      <w:r w:rsidR="001C60F6">
        <w:t>.</w:t>
      </w:r>
    </w:p>
    <w:p w:rsidR="003D61B8" w:rsidRDefault="003D61B8" w:rsidP="00E736F7">
      <w:pPr>
        <w:ind w:left="720" w:hanging="720"/>
      </w:pPr>
      <w:r w:rsidRPr="00C028DB">
        <w:t xml:space="preserve">Max </w:t>
      </w:r>
      <w:proofErr w:type="spellStart"/>
      <w:r w:rsidRPr="00C028DB">
        <w:t>Stirner</w:t>
      </w:r>
      <w:proofErr w:type="spellEnd"/>
      <w:r w:rsidRPr="00C028DB">
        <w:t xml:space="preserve">, </w:t>
      </w:r>
      <w:r w:rsidRPr="00C028DB">
        <w:rPr>
          <w:i/>
        </w:rPr>
        <w:t>The Ego and its Own</w:t>
      </w:r>
      <w:r w:rsidRPr="00C028DB">
        <w:t xml:space="preserve">, tr. Steven </w:t>
      </w:r>
      <w:proofErr w:type="spellStart"/>
      <w:r w:rsidRPr="00C028DB">
        <w:t>Byington</w:t>
      </w:r>
      <w:proofErr w:type="spellEnd"/>
      <w:r w:rsidRPr="00C028DB">
        <w:t>, ed. David Leopold (Cambridge: Cambridge University Press, 1995)</w:t>
      </w:r>
      <w:r w:rsidR="001C60F6">
        <w:t>.</w:t>
      </w:r>
    </w:p>
    <w:p w:rsidR="003F2A2D" w:rsidRPr="00FE7221" w:rsidRDefault="003F2A2D" w:rsidP="00E736F7">
      <w:pPr>
        <w:ind w:left="720" w:hanging="720"/>
      </w:pPr>
    </w:p>
    <w:sectPr w:rsidR="003F2A2D" w:rsidRPr="00FE7221" w:rsidSect="00392F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CB0" w:rsidRDefault="00FD2CB0" w:rsidP="003147F6">
      <w:pPr>
        <w:spacing w:line="240" w:lineRule="auto"/>
      </w:pPr>
      <w:r>
        <w:separator/>
      </w:r>
    </w:p>
  </w:endnote>
  <w:endnote w:type="continuationSeparator" w:id="0">
    <w:p w:rsidR="00FD2CB0" w:rsidRDefault="00FD2CB0" w:rsidP="003147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CB0" w:rsidRDefault="00FD2CB0" w:rsidP="003147F6">
      <w:pPr>
        <w:spacing w:line="240" w:lineRule="auto"/>
      </w:pPr>
      <w:r>
        <w:separator/>
      </w:r>
    </w:p>
  </w:footnote>
  <w:footnote w:type="continuationSeparator" w:id="0">
    <w:p w:rsidR="00FD2CB0" w:rsidRDefault="00FD2CB0" w:rsidP="003147F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147F6"/>
    <w:rsid w:val="000208FE"/>
    <w:rsid w:val="00027ACC"/>
    <w:rsid w:val="000462B9"/>
    <w:rsid w:val="000E586D"/>
    <w:rsid w:val="000E67B9"/>
    <w:rsid w:val="001C60F6"/>
    <w:rsid w:val="00296897"/>
    <w:rsid w:val="002F419A"/>
    <w:rsid w:val="003147F6"/>
    <w:rsid w:val="0032712F"/>
    <w:rsid w:val="00345E19"/>
    <w:rsid w:val="0036067E"/>
    <w:rsid w:val="003A3EDC"/>
    <w:rsid w:val="003D56FE"/>
    <w:rsid w:val="003D61B8"/>
    <w:rsid w:val="003F2A2D"/>
    <w:rsid w:val="00451D87"/>
    <w:rsid w:val="00465033"/>
    <w:rsid w:val="004B0A7C"/>
    <w:rsid w:val="00507A73"/>
    <w:rsid w:val="0054543D"/>
    <w:rsid w:val="00596BA0"/>
    <w:rsid w:val="005B18A4"/>
    <w:rsid w:val="006124BC"/>
    <w:rsid w:val="00630253"/>
    <w:rsid w:val="00693A64"/>
    <w:rsid w:val="006B2E60"/>
    <w:rsid w:val="006B7669"/>
    <w:rsid w:val="006E0623"/>
    <w:rsid w:val="006E2751"/>
    <w:rsid w:val="00760C31"/>
    <w:rsid w:val="008765ED"/>
    <w:rsid w:val="00881451"/>
    <w:rsid w:val="008A0218"/>
    <w:rsid w:val="0091644C"/>
    <w:rsid w:val="00952AFC"/>
    <w:rsid w:val="009A2C0C"/>
    <w:rsid w:val="00A13371"/>
    <w:rsid w:val="00A95159"/>
    <w:rsid w:val="00AA7F2F"/>
    <w:rsid w:val="00B81BD6"/>
    <w:rsid w:val="00B9303A"/>
    <w:rsid w:val="00BA67BE"/>
    <w:rsid w:val="00BB1630"/>
    <w:rsid w:val="00BC7C4B"/>
    <w:rsid w:val="00C62337"/>
    <w:rsid w:val="00C7754C"/>
    <w:rsid w:val="00CC3E98"/>
    <w:rsid w:val="00CE31A4"/>
    <w:rsid w:val="00D534AC"/>
    <w:rsid w:val="00E51662"/>
    <w:rsid w:val="00E736F7"/>
    <w:rsid w:val="00E86E2E"/>
    <w:rsid w:val="00EB20E0"/>
    <w:rsid w:val="00F30F4D"/>
    <w:rsid w:val="00F625F4"/>
    <w:rsid w:val="00FD2CB0"/>
    <w:rsid w:val="00FE7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7F6"/>
    <w:pPr>
      <w:spacing w:after="0" w:line="48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147F6"/>
    <w:rPr>
      <w:vertAlign w:val="superscript"/>
    </w:rPr>
  </w:style>
  <w:style w:type="paragraph" w:styleId="FootnoteText">
    <w:name w:val="footnote text"/>
    <w:basedOn w:val="Normal"/>
    <w:link w:val="FootnoteTextChar"/>
    <w:semiHidden/>
    <w:rsid w:val="00465033"/>
    <w:pPr>
      <w:overflowPunct w:val="0"/>
      <w:autoSpaceDE w:val="0"/>
      <w:autoSpaceDN w:val="0"/>
      <w:adjustRightInd w:val="0"/>
      <w:spacing w:line="240" w:lineRule="auto"/>
      <w:textAlignment w:val="baseline"/>
    </w:pPr>
    <w:rPr>
      <w:rFonts w:eastAsia="Times New Roman"/>
      <w:sz w:val="20"/>
      <w:szCs w:val="20"/>
      <w:lang w:val="en-GB"/>
    </w:rPr>
  </w:style>
  <w:style w:type="character" w:customStyle="1" w:styleId="FootnoteTextChar">
    <w:name w:val="Footnote Text Char"/>
    <w:basedOn w:val="DefaultParagraphFont"/>
    <w:link w:val="FootnoteText"/>
    <w:semiHidden/>
    <w:rsid w:val="00465033"/>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668526">
      <w:bodyDiv w:val="1"/>
      <w:marLeft w:val="0"/>
      <w:marRight w:val="0"/>
      <w:marTop w:val="0"/>
      <w:marBottom w:val="0"/>
      <w:divBdr>
        <w:top w:val="none" w:sz="0" w:space="0" w:color="auto"/>
        <w:left w:val="none" w:sz="0" w:space="0" w:color="auto"/>
        <w:bottom w:val="none" w:sz="0" w:space="0" w:color="auto"/>
        <w:right w:val="none" w:sz="0" w:space="0" w:color="auto"/>
      </w:divBdr>
      <w:divsChild>
        <w:div w:id="1720931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South Carolina</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dc:creator>
  <cp:lastModifiedBy>Nicholas Vazsonyi</cp:lastModifiedBy>
  <cp:revision>29</cp:revision>
  <dcterms:created xsi:type="dcterms:W3CDTF">2011-01-06T18:59:00Z</dcterms:created>
  <dcterms:modified xsi:type="dcterms:W3CDTF">2011-05-13T13:31:00Z</dcterms:modified>
</cp:coreProperties>
</file>